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6392" w14:textId="1CDB2B0D" w:rsidR="008B2F44" w:rsidRDefault="00AF202D" w:rsidP="008B2F44">
      <w:bookmarkStart w:id="0" w:name="_GoBack"/>
      <w:bookmarkEnd w:id="0"/>
      <w:r>
        <w:rPr>
          <w:noProof/>
        </w:rPr>
        <w:drawing>
          <wp:inline distT="0" distB="0" distL="0" distR="0" wp14:anchorId="2B743A63" wp14:editId="24F0A99B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669" w14:textId="77777777" w:rsidR="0078010D" w:rsidRDefault="0078010D" w:rsidP="00054F6A"/>
    <w:p w14:paraId="6D98730C" w14:textId="77777777" w:rsidR="00054F6A" w:rsidRDefault="00054F6A" w:rsidP="00054F6A"/>
    <w:p w14:paraId="0C828973" w14:textId="77777777" w:rsidR="00D0235B" w:rsidRPr="00054F6A" w:rsidRDefault="00D0235B" w:rsidP="00054F6A"/>
    <w:p w14:paraId="06DFBE72" w14:textId="5FEFC911" w:rsidR="00A85B7A" w:rsidRDefault="008B2F44" w:rsidP="008B2F44">
      <w:pPr>
        <w:pStyle w:val="ADRTitle"/>
      </w:pPr>
      <w:r>
        <w:t>Vehicle Standard (Australian Design Rule</w:t>
      </w:r>
      <w:r w:rsidR="001559C8">
        <w:t xml:space="preserve">) </w:t>
      </w:r>
      <w:r w:rsidR="009757C5">
        <w:t>Safer Freight Vehicles Amendment</w:t>
      </w:r>
      <w:r w:rsidR="001559C8">
        <w:t xml:space="preserve"> </w:t>
      </w:r>
      <w:r w:rsidR="00675435">
        <w:t xml:space="preserve">No. </w:t>
      </w:r>
      <w:r w:rsidR="00C13514">
        <w:t>2</w:t>
      </w:r>
      <w:r w:rsidR="00675435">
        <w:t xml:space="preserve"> </w:t>
      </w:r>
      <w:r w:rsidR="00FB4892">
        <w:t>2023</w:t>
      </w:r>
    </w:p>
    <w:p w14:paraId="5099E1B2" w14:textId="5E22844E" w:rsidR="008B2F44" w:rsidRPr="008A16DC" w:rsidRDefault="000702F0" w:rsidP="000702F0">
      <w:pPr>
        <w:jc w:val="both"/>
      </w:pPr>
      <w:r w:rsidRPr="00334FD0">
        <w:t xml:space="preserve">I, </w:t>
      </w:r>
      <w:r w:rsidR="00343166" w:rsidRPr="00343166">
        <w:t>CATHERINE KING, Minister for Infrastructure, Transport, Regional Development and Local Government,</w:t>
      </w:r>
      <w:r w:rsidRPr="00C9765D">
        <w:t xml:space="preserve"> </w:t>
      </w:r>
      <w:r w:rsidR="00C13514" w:rsidRPr="00C13514">
        <w:t>make the following determination</w:t>
      </w:r>
      <w:r w:rsidR="000C11CB">
        <w:t>.</w:t>
      </w:r>
    </w:p>
    <w:p w14:paraId="3A74520A" w14:textId="77777777" w:rsidR="008B2F44" w:rsidRDefault="008B2F44"/>
    <w:p w14:paraId="1B7C2473" w14:textId="77777777" w:rsidR="002302FE" w:rsidRDefault="002302FE"/>
    <w:p w14:paraId="048F08F4" w14:textId="77777777" w:rsidR="002302FE" w:rsidRDefault="002302FE"/>
    <w:p w14:paraId="7E571C74" w14:textId="77777777" w:rsidR="00966A4E" w:rsidRDefault="00966A4E"/>
    <w:p w14:paraId="6EEB8799" w14:textId="77777777" w:rsidR="0011409D" w:rsidRDefault="0011409D"/>
    <w:p w14:paraId="5CBDE35A" w14:textId="23583DE1" w:rsidR="008B2F44" w:rsidRDefault="001028EA" w:rsidP="0053723A">
      <w:pPr>
        <w:tabs>
          <w:tab w:val="left" w:pos="1134"/>
        </w:tabs>
      </w:pPr>
      <w:r>
        <w:t>Dated</w:t>
      </w:r>
      <w:r w:rsidR="0053723A">
        <w:tab/>
        <w:t>14 September 2023</w:t>
      </w:r>
    </w:p>
    <w:p w14:paraId="7BC7EDC0" w14:textId="77777777" w:rsidR="001028EA" w:rsidRDefault="001028EA"/>
    <w:p w14:paraId="3FF8DAD5" w14:textId="77777777" w:rsidR="001028EA" w:rsidRDefault="001028EA"/>
    <w:p w14:paraId="48EFEF6D" w14:textId="77777777" w:rsidR="001028EA" w:rsidRDefault="001028EA" w:rsidP="00897376">
      <w:pPr>
        <w:tabs>
          <w:tab w:val="left" w:pos="2301"/>
        </w:tabs>
      </w:pPr>
    </w:p>
    <w:p w14:paraId="37C0FE77" w14:textId="77777777" w:rsidR="002302FE" w:rsidRDefault="002302FE"/>
    <w:p w14:paraId="01EEFB38" w14:textId="77777777" w:rsidR="002302FE" w:rsidRDefault="002302FE"/>
    <w:p w14:paraId="48283A9B" w14:textId="77777777" w:rsidR="002302FE" w:rsidRDefault="002302FE"/>
    <w:p w14:paraId="4A5D2D0B" w14:textId="77777777" w:rsidR="002302FE" w:rsidRDefault="002302FE"/>
    <w:p w14:paraId="7395DC94" w14:textId="77777777" w:rsidR="002302FE" w:rsidRDefault="002302FE"/>
    <w:p w14:paraId="573C14F2" w14:textId="77777777" w:rsidR="002302FE" w:rsidRDefault="002302FE"/>
    <w:p w14:paraId="36FC796E" w14:textId="77777777" w:rsidR="002302FE" w:rsidRDefault="002302FE"/>
    <w:p w14:paraId="0ECB51EC" w14:textId="77777777" w:rsidR="00064AB1" w:rsidRDefault="00064AB1"/>
    <w:p w14:paraId="29127FDC" w14:textId="77777777" w:rsidR="00064AB1" w:rsidRDefault="00064AB1"/>
    <w:p w14:paraId="45BFEC72" w14:textId="77777777" w:rsidR="00064AB1" w:rsidRDefault="00064AB1"/>
    <w:p w14:paraId="6EDE9CDD" w14:textId="6CDF7CB3" w:rsidR="00064AB1" w:rsidRDefault="0053723A">
      <w:r>
        <w:t>[SIGNED]</w:t>
      </w:r>
    </w:p>
    <w:p w14:paraId="4D3060C8" w14:textId="77777777" w:rsidR="00343166" w:rsidRDefault="00343166" w:rsidP="00343166">
      <w:pPr>
        <w:spacing w:before="100" w:beforeAutospacing="1" w:after="100" w:afterAutospacing="1"/>
      </w:pPr>
      <w:r>
        <w:t>Catherine King</w:t>
      </w:r>
    </w:p>
    <w:p w14:paraId="14BDC997" w14:textId="53FDA59B" w:rsidR="00926E89" w:rsidRDefault="00343166" w:rsidP="00343166">
      <w:pPr>
        <w:spacing w:before="100" w:beforeAutospacing="1" w:after="100" w:afterAutospacing="1"/>
      </w:pPr>
      <w:r>
        <w:t>Minister for Infrastructure, Transport, Regional Development and Local Government</w:t>
      </w:r>
    </w:p>
    <w:p w14:paraId="169F1871" w14:textId="47E9BADC" w:rsidR="00076FFF" w:rsidRDefault="00076FFF" w:rsidP="000E0F91">
      <w:pPr>
        <w:spacing w:before="100" w:beforeAutospacing="1" w:after="100" w:afterAutospacing="1"/>
      </w:pPr>
    </w:p>
    <w:p w14:paraId="707972E0" w14:textId="77777777" w:rsidR="00076FFF" w:rsidRDefault="00076FFF" w:rsidP="000E0F91">
      <w:pPr>
        <w:spacing w:before="100" w:beforeAutospacing="1" w:after="100" w:afterAutospacing="1"/>
      </w:pPr>
    </w:p>
    <w:p w14:paraId="7E38F4AE" w14:textId="77777777" w:rsidR="0011409D" w:rsidRDefault="0011409D" w:rsidP="0011409D">
      <w:pPr>
        <w:spacing w:before="100" w:beforeAutospacing="1" w:after="100" w:afterAutospacing="1"/>
        <w:sectPr w:rsidR="0011409D" w:rsidSect="003F0CF3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A0FBA68" w14:textId="77777777" w:rsidR="00C35C89" w:rsidRDefault="00C35C89">
      <w:pPr>
        <w:rPr>
          <w:b/>
        </w:rPr>
      </w:pPr>
    </w:p>
    <w:p w14:paraId="786F2A14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BAE3C99" w14:textId="77777777" w:rsidR="00C35C89" w:rsidRPr="00550132" w:rsidRDefault="00C35C89" w:rsidP="00C35C89">
      <w:pPr>
        <w:jc w:val="center"/>
        <w:rPr>
          <w:b/>
        </w:rPr>
      </w:pPr>
    </w:p>
    <w:p w14:paraId="65ADBFC0" w14:textId="7AB18A3B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 w:rsidR="008E638C">
        <w:rPr>
          <w:noProof/>
        </w:rPr>
        <w:t>3</w:t>
      </w:r>
    </w:p>
    <w:p w14:paraId="55A21F5C" w14:textId="6B80086A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8E638C">
        <w:rPr>
          <w:noProof/>
        </w:rPr>
        <w:t>3</w:t>
      </w:r>
    </w:p>
    <w:p w14:paraId="4799FADE" w14:textId="4FC7F970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 w:rsidR="008E638C">
        <w:rPr>
          <w:noProof/>
        </w:rPr>
        <w:t>3</w:t>
      </w:r>
    </w:p>
    <w:p w14:paraId="7939E672" w14:textId="5525706B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 w:rsidR="008E638C">
        <w:rPr>
          <w:noProof/>
        </w:rPr>
        <w:t>3</w:t>
      </w:r>
    </w:p>
    <w:p w14:paraId="3D4A8E6A" w14:textId="65B8BF63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 – AMENDMENTS</w:t>
      </w:r>
      <w:r>
        <w:rPr>
          <w:noProof/>
        </w:rPr>
        <w:tab/>
      </w:r>
      <w:r w:rsidR="008E638C">
        <w:rPr>
          <w:noProof/>
        </w:rPr>
        <w:t>4</w:t>
      </w:r>
    </w:p>
    <w:p w14:paraId="70463AAB" w14:textId="0A566489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2 – AMENDMENTS</w:t>
      </w:r>
      <w:r>
        <w:rPr>
          <w:noProof/>
        </w:rPr>
        <w:tab/>
      </w:r>
      <w:r w:rsidR="008E638C">
        <w:rPr>
          <w:noProof/>
        </w:rPr>
        <w:t>5</w:t>
      </w:r>
    </w:p>
    <w:p w14:paraId="18B0FB17" w14:textId="25564C15" w:rsidR="007A731E" w:rsidRDefault="007A731E"/>
    <w:p w14:paraId="589D62EB" w14:textId="49547ECB" w:rsidR="00906CD2" w:rsidRPr="00596FFC" w:rsidRDefault="002302FE" w:rsidP="00596FFC">
      <w:pPr>
        <w:pStyle w:val="Heading2"/>
      </w:pPr>
      <w:r>
        <w:br w:type="page"/>
      </w:r>
      <w:bookmarkStart w:id="1" w:name="_Toc140579127"/>
      <w:r w:rsidR="00354C6A">
        <w:lastRenderedPageBreak/>
        <w:t>Name</w:t>
      </w:r>
      <w:bookmarkEnd w:id="1"/>
    </w:p>
    <w:p w14:paraId="009E2C90" w14:textId="3EAA8C15" w:rsidR="007A731E" w:rsidRDefault="007A731E" w:rsidP="00354C6A">
      <w:pPr>
        <w:pStyle w:val="Subclause"/>
      </w:pPr>
      <w:r>
        <w:t xml:space="preserve">This </w:t>
      </w:r>
      <w:r w:rsidR="009B2101">
        <w:t>instrument</w:t>
      </w:r>
      <w:r>
        <w:t xml:space="preserve"> is the Vehicle Standard (Australian Design Rule)</w:t>
      </w:r>
      <w:r w:rsidR="00354C6A">
        <w:t xml:space="preserve"> </w:t>
      </w:r>
      <w:r w:rsidR="0013462A">
        <w:t xml:space="preserve">Safer Freight Vehicles </w:t>
      </w:r>
      <w:r w:rsidR="009B2101">
        <w:t xml:space="preserve">Amendment </w:t>
      </w:r>
      <w:r w:rsidR="00675435">
        <w:t xml:space="preserve">No. </w:t>
      </w:r>
      <w:r w:rsidR="00C13514">
        <w:t>2</w:t>
      </w:r>
      <w:r w:rsidR="00675435">
        <w:t xml:space="preserve"> </w:t>
      </w:r>
      <w:r w:rsidR="00FB4892">
        <w:t>2023</w:t>
      </w:r>
      <w:r w:rsidR="0066040D">
        <w:t>.</w:t>
      </w:r>
    </w:p>
    <w:p w14:paraId="28835347" w14:textId="2785D7D2" w:rsidR="00354C6A" w:rsidRDefault="00354C6A" w:rsidP="00596FFC">
      <w:pPr>
        <w:pStyle w:val="Heading2"/>
      </w:pPr>
      <w:bookmarkStart w:id="2" w:name="_Toc140579128"/>
      <w:r>
        <w:t>Commencement</w:t>
      </w:r>
      <w:bookmarkEnd w:id="2"/>
    </w:p>
    <w:p w14:paraId="54B55A65" w14:textId="6F1189CC" w:rsidR="00354C6A" w:rsidRPr="00354C6A" w:rsidRDefault="00354C6A" w:rsidP="00354C6A">
      <w:pPr>
        <w:pStyle w:val="Subclause"/>
      </w:pPr>
      <w:r w:rsidRPr="00354C6A">
        <w:t xml:space="preserve">This </w:t>
      </w:r>
      <w:r w:rsidRPr="00334FE6">
        <w:t xml:space="preserve">instrument commences on </w:t>
      </w:r>
      <w:r w:rsidR="00B65FC8" w:rsidRPr="00334FE6">
        <w:t>1 October</w:t>
      </w:r>
      <w:r w:rsidR="00C13514" w:rsidRPr="00334FE6">
        <w:t xml:space="preserve"> 2023</w:t>
      </w:r>
      <w:r w:rsidRPr="00334FE6">
        <w:t>.</w:t>
      </w:r>
    </w:p>
    <w:p w14:paraId="3ECB6FC5" w14:textId="07A38DCB" w:rsidR="00354C6A" w:rsidRDefault="00354C6A" w:rsidP="00596FFC">
      <w:pPr>
        <w:pStyle w:val="Heading2"/>
      </w:pPr>
      <w:bookmarkStart w:id="3" w:name="_Toc140579129"/>
      <w:r>
        <w:t>Authority</w:t>
      </w:r>
      <w:bookmarkEnd w:id="3"/>
    </w:p>
    <w:p w14:paraId="698A4D9B" w14:textId="3DE327DA" w:rsidR="00354C6A" w:rsidRPr="00354C6A" w:rsidRDefault="00354C6A" w:rsidP="00354C6A">
      <w:pPr>
        <w:pStyle w:val="Subclause"/>
      </w:pPr>
      <w:r>
        <w:t xml:space="preserve">This instrument is made under section 12 of the </w:t>
      </w:r>
      <w:r w:rsidRPr="00354C6A">
        <w:rPr>
          <w:i/>
        </w:rPr>
        <w:t>Road Vehicle Standards Act 2018</w:t>
      </w:r>
      <w:r>
        <w:t>.</w:t>
      </w:r>
    </w:p>
    <w:p w14:paraId="5A2F1812" w14:textId="36CC8961" w:rsidR="00573C97" w:rsidRDefault="00354C6A" w:rsidP="00596FFC">
      <w:pPr>
        <w:pStyle w:val="Heading2"/>
      </w:pPr>
      <w:bookmarkStart w:id="4" w:name="_Toc140579130"/>
      <w:r>
        <w:t>Schedule</w:t>
      </w:r>
      <w:r w:rsidR="006121B3">
        <w:t>S</w:t>
      </w:r>
      <w:bookmarkEnd w:id="4"/>
    </w:p>
    <w:p w14:paraId="3B1E24B2" w14:textId="080872A5" w:rsidR="00076FFF" w:rsidRDefault="006121B3" w:rsidP="00386745">
      <w:pPr>
        <w:pStyle w:val="Subclause"/>
      </w:pPr>
      <w:r w:rsidRPr="006121B3"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3BBA8E8F" w14:textId="77777777" w:rsidR="00386745" w:rsidRPr="00386745" w:rsidRDefault="00386745" w:rsidP="00386745"/>
    <w:p w14:paraId="0E728766" w14:textId="77777777" w:rsidR="003F0CF3" w:rsidRDefault="003F0CF3" w:rsidP="009B2101">
      <w:pPr>
        <w:sectPr w:rsidR="003F0CF3" w:rsidSect="00F97BB1">
          <w:headerReference w:type="even" r:id="rId11"/>
          <w:headerReference w:type="default" r:id="rId12"/>
          <w:headerReference w:type="firs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40702AEA" w14:textId="04C072F8" w:rsidR="00E72D97" w:rsidRDefault="00E72D97" w:rsidP="00E72D97">
      <w:pPr>
        <w:pStyle w:val="Heading2"/>
        <w:numPr>
          <w:ilvl w:val="0"/>
          <w:numId w:val="0"/>
        </w:numPr>
        <w:spacing w:before="0"/>
        <w:ind w:left="1418" w:hanging="1418"/>
      </w:pPr>
      <w:bookmarkStart w:id="5" w:name="_Toc140579131"/>
      <w:bookmarkStart w:id="6" w:name="_Toc231974352"/>
      <w:bookmarkStart w:id="7" w:name="_Toc40883441"/>
      <w:r w:rsidRPr="00392CD7">
        <w:lastRenderedPageBreak/>
        <w:t xml:space="preserve">Schedule </w:t>
      </w:r>
      <w:r>
        <w:t xml:space="preserve">1 </w:t>
      </w:r>
      <w:r w:rsidRPr="00213DA9">
        <w:t>– AMENDMENTS</w:t>
      </w:r>
      <w:bookmarkEnd w:id="5"/>
    </w:p>
    <w:p w14:paraId="2A2B2D99" w14:textId="134B6781" w:rsidR="00E72D97" w:rsidRPr="00C42BB5" w:rsidRDefault="00E72D97" w:rsidP="00E72D97">
      <w:pPr>
        <w:pStyle w:val="Heading3"/>
      </w:pPr>
      <w:r w:rsidRPr="00C42BB5">
        <w:t xml:space="preserve">Vehicle Standard (Australian Design Rule </w:t>
      </w:r>
      <w:r>
        <w:t xml:space="preserve">13/00 </w:t>
      </w:r>
      <w:r w:rsidRPr="00C42BB5">
        <w:t xml:space="preserve">– </w:t>
      </w:r>
      <w:r w:rsidRPr="00E72D97">
        <w:t>Installation of Lighting and Light Signalling Devices on other than L-Group Vehicles</w:t>
      </w:r>
      <w:r w:rsidRPr="00C42BB5">
        <w:t>) 200</w:t>
      </w:r>
      <w:r>
        <w:t>5</w:t>
      </w:r>
    </w:p>
    <w:p w14:paraId="6F217F2B" w14:textId="2671CB7D" w:rsidR="00253F57" w:rsidRDefault="00E72D97" w:rsidP="00E72D97">
      <w:pPr>
        <w:pStyle w:val="Scheduleitem"/>
        <w:keepNext w:val="0"/>
      </w:pPr>
      <w:r>
        <w:t xml:space="preserve">Clause </w:t>
      </w:r>
      <w:r w:rsidR="00B23B10">
        <w:t>10.14</w:t>
      </w:r>
      <w:r>
        <w:t>.1, amend to read</w:t>
      </w:r>
      <w:r w:rsidR="00253F57">
        <w:t>:</w:t>
      </w:r>
    </w:p>
    <w:p w14:paraId="55811136" w14:textId="7F584072" w:rsidR="00E72D97" w:rsidRDefault="00253F57" w:rsidP="00253F57">
      <w:pPr>
        <w:pStyle w:val="Scheduleitem"/>
        <w:keepNext w:val="0"/>
        <w:numPr>
          <w:ilvl w:val="0"/>
          <w:numId w:val="0"/>
        </w:numPr>
        <w:ind w:left="2160" w:hanging="1440"/>
      </w:pPr>
      <w:r>
        <w:t>“10.14.1.</w:t>
      </w:r>
      <w:r>
        <w:tab/>
        <w:t xml:space="preserve">For motor vehicles </w:t>
      </w:r>
      <w:r w:rsidRPr="00253F57">
        <w:t xml:space="preserve">with an </w:t>
      </w:r>
      <w:r w:rsidRPr="00253F57">
        <w:rPr>
          <w:i/>
        </w:rPr>
        <w:t>‘Overall Width’</w:t>
      </w:r>
      <w:r w:rsidRPr="00253F57">
        <w:t xml:space="preserve"> </w:t>
      </w:r>
      <w:r>
        <w:t xml:space="preserve">not </w:t>
      </w:r>
      <w:r w:rsidRPr="00253F57">
        <w:t>exceeding 2,500</w:t>
      </w:r>
      <w:r>
        <w:t> </w:t>
      </w:r>
      <w:r w:rsidRPr="00253F57">
        <w:t>mm</w:t>
      </w:r>
      <w:r>
        <w:t xml:space="preserve"> and for trailers, i</w:t>
      </w:r>
      <w:r w:rsidRPr="00253F57">
        <w:t>n paragraph 6.21.1.2 of Appendix A of this standard, where it states</w:t>
      </w:r>
      <w:r>
        <w:t xml:space="preserve"> </w:t>
      </w:r>
      <w:r w:rsidRPr="00253F57">
        <w:t>Mandatory</w:t>
      </w:r>
      <w:r w:rsidR="00367A39">
        <w:t xml:space="preserve"> </w:t>
      </w:r>
      <w:r w:rsidRPr="00253F57">
        <w:t>read Optional</w:t>
      </w:r>
      <w:r>
        <w:t>.</w:t>
      </w:r>
      <w:r w:rsidR="00266132">
        <w:t>”</w:t>
      </w:r>
    </w:p>
    <w:p w14:paraId="27E4C5DE" w14:textId="77777777" w:rsidR="00E72D97" w:rsidRDefault="00E72D97" w:rsidP="00C42BB5">
      <w:pPr>
        <w:pStyle w:val="Heading2"/>
        <w:numPr>
          <w:ilvl w:val="0"/>
          <w:numId w:val="0"/>
        </w:numPr>
        <w:spacing w:before="0"/>
        <w:ind w:left="1418" w:hanging="1418"/>
      </w:pPr>
    </w:p>
    <w:p w14:paraId="323F0583" w14:textId="537E1B29" w:rsidR="00E72D97" w:rsidRPr="00E72D97" w:rsidRDefault="00E72D97" w:rsidP="00E72D97">
      <w:pPr>
        <w:sectPr w:rsidR="00E72D97" w:rsidRPr="00E72D97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3CFC9F0A" w14:textId="0FC2763F" w:rsidR="008C7A46" w:rsidRDefault="008C7A46" w:rsidP="00C42BB5">
      <w:pPr>
        <w:pStyle w:val="Heading2"/>
        <w:numPr>
          <w:ilvl w:val="0"/>
          <w:numId w:val="0"/>
        </w:numPr>
        <w:spacing w:before="0"/>
        <w:ind w:left="1418" w:hanging="1418"/>
      </w:pPr>
      <w:bookmarkStart w:id="8" w:name="_Toc140579132"/>
      <w:r w:rsidRPr="00392CD7">
        <w:lastRenderedPageBreak/>
        <w:t xml:space="preserve">Schedule </w:t>
      </w:r>
      <w:bookmarkEnd w:id="6"/>
      <w:bookmarkEnd w:id="7"/>
      <w:r w:rsidR="00E72D97">
        <w:t>2</w:t>
      </w:r>
      <w:r w:rsidR="00213DA9">
        <w:t xml:space="preserve"> </w:t>
      </w:r>
      <w:r w:rsidR="00213DA9" w:rsidRPr="00213DA9">
        <w:t>– AMENDMENTS</w:t>
      </w:r>
      <w:bookmarkEnd w:id="8"/>
    </w:p>
    <w:p w14:paraId="5152419E" w14:textId="26FFBF0C" w:rsidR="00C42BB5" w:rsidRPr="00C42BB5" w:rsidRDefault="00C42BB5" w:rsidP="00C42BB5">
      <w:pPr>
        <w:pStyle w:val="Heading3"/>
      </w:pPr>
      <w:r w:rsidRPr="00C42BB5">
        <w:t xml:space="preserve">Vehicle Standard (Australian Design Rule </w:t>
      </w:r>
      <w:r w:rsidR="00C13514">
        <w:t xml:space="preserve">43/04 </w:t>
      </w:r>
      <w:r w:rsidRPr="00C42BB5">
        <w:t xml:space="preserve">– </w:t>
      </w:r>
      <w:r w:rsidR="00C13514">
        <w:t>Vehicle Configuration and Dimensions</w:t>
      </w:r>
      <w:r w:rsidRPr="00C42BB5">
        <w:t>) 200</w:t>
      </w:r>
      <w:r w:rsidR="00C13514">
        <w:t>6</w:t>
      </w:r>
    </w:p>
    <w:p w14:paraId="59A3DBDE" w14:textId="77777777" w:rsidR="00CB73A5" w:rsidRDefault="00CB73A5" w:rsidP="00540C86">
      <w:pPr>
        <w:pStyle w:val="Scheduleitem"/>
        <w:keepNext w:val="0"/>
        <w:numPr>
          <w:ilvl w:val="0"/>
          <w:numId w:val="44"/>
        </w:numPr>
      </w:pPr>
      <w:r>
        <w:t>Clause 6.1.5.1, amend to read:</w:t>
      </w:r>
    </w:p>
    <w:p w14:paraId="438A4D1A" w14:textId="567157B7" w:rsidR="000F500D" w:rsidRDefault="002C63F6" w:rsidP="00ED655D">
      <w:pPr>
        <w:pStyle w:val="Scheduleitem"/>
        <w:keepNext w:val="0"/>
        <w:numPr>
          <w:ilvl w:val="0"/>
          <w:numId w:val="0"/>
        </w:numPr>
        <w:ind w:left="2160" w:hanging="1440"/>
      </w:pPr>
      <w:r>
        <w:t>“</w:t>
      </w:r>
      <w:r w:rsidR="00CB73A5">
        <w:t>6.1.5.1.</w:t>
      </w:r>
      <w:r w:rsidR="00CB73A5">
        <w:tab/>
        <w:t xml:space="preserve">The </w:t>
      </w:r>
      <w:r w:rsidR="00CB73A5" w:rsidRPr="00CB73A5">
        <w:rPr>
          <w:i/>
        </w:rPr>
        <w:t>‘Overall Width’</w:t>
      </w:r>
      <w:r w:rsidR="00CB73A5">
        <w:t xml:space="preserve"> of a category MA, MB, MC, MD, ME, NA or sub-category NB1 vehicle must not exceed 2,500 mm.</w:t>
      </w:r>
      <w:r>
        <w:t>”</w:t>
      </w:r>
    </w:p>
    <w:p w14:paraId="553EE78A" w14:textId="38055D2C" w:rsidR="002C63F6" w:rsidRDefault="003015B1" w:rsidP="00ED655D">
      <w:pPr>
        <w:pStyle w:val="Scheduleitem"/>
        <w:keepNext w:val="0"/>
        <w:rPr>
          <w:rFonts w:ascii="TimesNewRoman" w:hAnsi="TimesNewRoman" w:cs="TimesNewRoman"/>
        </w:rPr>
      </w:pPr>
      <w:r w:rsidRPr="003015B1">
        <w:rPr>
          <w:rFonts w:ascii="TimesNewRoman" w:hAnsi="TimesNewRoman" w:cs="TimesNewRoman"/>
        </w:rPr>
        <w:t>Clauses 6.1.5.2 to 6.1.5.2.3, renumber as clauses 6.1.5.3 to 6.1.5.3.3.</w:t>
      </w:r>
    </w:p>
    <w:p w14:paraId="2800C4EB" w14:textId="77777777" w:rsidR="003015B1" w:rsidRPr="003015B1" w:rsidRDefault="003015B1" w:rsidP="003015B1">
      <w:pPr>
        <w:pStyle w:val="Scheduleitem"/>
        <w:keepNext w:val="0"/>
        <w:rPr>
          <w:rFonts w:ascii="TimesNewRoman" w:hAnsi="TimesNewRoman" w:cs="TimesNewRoman"/>
        </w:rPr>
      </w:pPr>
      <w:r w:rsidRPr="003015B1">
        <w:rPr>
          <w:rFonts w:ascii="TimesNewRoman" w:hAnsi="TimesNewRoman" w:cs="TimesNewRoman"/>
        </w:rPr>
        <w:t>Insert a new clause 6.1.5.2 to read:</w:t>
      </w:r>
    </w:p>
    <w:p w14:paraId="298D3C01" w14:textId="77777777" w:rsidR="00AD1603" w:rsidRDefault="003015B1" w:rsidP="00AD1603">
      <w:pPr>
        <w:pStyle w:val="Scheduleitem"/>
        <w:keepNext w:val="0"/>
        <w:numPr>
          <w:ilvl w:val="0"/>
          <w:numId w:val="0"/>
        </w:numPr>
        <w:ind w:left="216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</w:t>
      </w:r>
      <w:r w:rsidR="00014702">
        <w:rPr>
          <w:rFonts w:ascii="TimesNewRoman" w:hAnsi="TimesNewRoman" w:cs="TimesNewRoman"/>
        </w:rPr>
        <w:t>6.1.5.2.</w:t>
      </w:r>
      <w:r w:rsidR="00014702">
        <w:rPr>
          <w:rFonts w:ascii="TimesNewRoman" w:hAnsi="TimesNewRoman" w:cs="TimesNewRoman"/>
        </w:rPr>
        <w:tab/>
      </w:r>
      <w:r w:rsidRPr="003015B1">
        <w:rPr>
          <w:rFonts w:ascii="TimesNewRoman" w:hAnsi="TimesNewRoman" w:cs="TimesNewRoman"/>
        </w:rPr>
        <w:t xml:space="preserve">The </w:t>
      </w:r>
      <w:r w:rsidRPr="003015B1">
        <w:rPr>
          <w:rFonts w:ascii="TimesNewRoman" w:hAnsi="TimesNewRoman" w:cs="TimesNewRoman"/>
          <w:i/>
        </w:rPr>
        <w:t>‘Overall Width’</w:t>
      </w:r>
      <w:r w:rsidRPr="003015B1">
        <w:rPr>
          <w:rFonts w:ascii="TimesNewRoman" w:hAnsi="TimesNewRoman" w:cs="TimesNewRoman"/>
        </w:rPr>
        <w:t xml:space="preserve"> of a sub-category NB2 or category NC vehicle must not exceed</w:t>
      </w:r>
      <w:r>
        <w:rPr>
          <w:rFonts w:ascii="TimesNewRoman" w:hAnsi="TimesNewRoman" w:cs="TimesNewRoman"/>
        </w:rPr>
        <w:t xml:space="preserve"> 2,550 mm.</w:t>
      </w:r>
    </w:p>
    <w:p w14:paraId="295D3190" w14:textId="667B18C8" w:rsidR="00AD1603" w:rsidRPr="003015B1" w:rsidRDefault="00AD1603" w:rsidP="002D0FE1">
      <w:pPr>
        <w:pStyle w:val="Scheduleitem"/>
        <w:keepNext w:val="0"/>
        <w:rPr>
          <w:rFonts w:ascii="TimesNewRoman" w:hAnsi="TimesNewRoman" w:cs="TimesNewRoman"/>
        </w:rPr>
      </w:pPr>
      <w:r w:rsidRPr="003015B1">
        <w:rPr>
          <w:rFonts w:ascii="TimesNewRoman" w:hAnsi="TimesNewRoman" w:cs="TimesNewRoman"/>
        </w:rPr>
        <w:t>Insert a new clause 6.1.5.2</w:t>
      </w:r>
      <w:r>
        <w:rPr>
          <w:rFonts w:ascii="TimesNewRoman" w:hAnsi="TimesNewRoman" w:cs="TimesNewRoman"/>
        </w:rPr>
        <w:t>.1</w:t>
      </w:r>
      <w:r w:rsidRPr="003015B1">
        <w:rPr>
          <w:rFonts w:ascii="TimesNewRoman" w:hAnsi="TimesNewRoman" w:cs="TimesNewRoman"/>
        </w:rPr>
        <w:t xml:space="preserve"> to read:</w:t>
      </w:r>
    </w:p>
    <w:p w14:paraId="5E9BC587" w14:textId="3D8508DD" w:rsidR="003015B1" w:rsidRPr="00AD1603" w:rsidRDefault="00AD1603" w:rsidP="00AD1603">
      <w:pPr>
        <w:pStyle w:val="Scheduleitem"/>
        <w:keepNext w:val="0"/>
        <w:numPr>
          <w:ilvl w:val="0"/>
          <w:numId w:val="0"/>
        </w:numPr>
        <w:ind w:left="2160" w:hanging="1440"/>
        <w:rPr>
          <w:rFonts w:ascii="TimesNewRoman" w:hAnsi="TimesNewRoman" w:cs="TimesNewRoman"/>
        </w:rPr>
      </w:pPr>
      <w:r w:rsidRPr="00AD1603">
        <w:rPr>
          <w:rFonts w:ascii="TimesNewRoman" w:hAnsi="TimesNewRoman" w:cs="TimesNewRoman"/>
        </w:rPr>
        <w:t>“6.1.5.2.1</w:t>
      </w:r>
      <w:r w:rsidRPr="00AD1603">
        <w:rPr>
          <w:rFonts w:ascii="TimesNewRoman" w:hAnsi="TimesNewRoman" w:cs="TimesNewRoman"/>
        </w:rPr>
        <w:tab/>
      </w:r>
      <w:r w:rsidR="003015B1" w:rsidRPr="00AD1603">
        <w:rPr>
          <w:rFonts w:ascii="TimesNewRoman" w:hAnsi="TimesNewRoman" w:cs="TimesNewRoman"/>
        </w:rPr>
        <w:t xml:space="preserve">Sub-category NB2 and category NC vehicles with an </w:t>
      </w:r>
      <w:r w:rsidR="003015B1" w:rsidRPr="00AD1603">
        <w:rPr>
          <w:rFonts w:ascii="TimesNewRoman" w:hAnsi="TimesNewRoman" w:cs="TimesNewRoman"/>
          <w:i/>
        </w:rPr>
        <w:t>‘Overall</w:t>
      </w:r>
      <w:r w:rsidR="00ED599B">
        <w:rPr>
          <w:rFonts w:ascii="TimesNewRoman" w:hAnsi="TimesNewRoman" w:cs="TimesNewRoman"/>
          <w:i/>
        </w:rPr>
        <w:t> </w:t>
      </w:r>
      <w:r w:rsidR="003015B1" w:rsidRPr="00AD1603">
        <w:rPr>
          <w:rFonts w:ascii="TimesNewRoman" w:hAnsi="TimesNewRoman" w:cs="TimesNewRoman"/>
          <w:i/>
        </w:rPr>
        <w:t>Width’</w:t>
      </w:r>
      <w:r w:rsidR="003015B1" w:rsidRPr="00AD1603">
        <w:rPr>
          <w:rFonts w:ascii="TimesNewRoman" w:hAnsi="TimesNewRoman" w:cs="TimesNewRoman"/>
        </w:rPr>
        <w:t xml:space="preserve"> exceeding 2,500</w:t>
      </w:r>
      <w:r w:rsidR="00EA42EE">
        <w:rPr>
          <w:rFonts w:ascii="TimesNewRoman" w:hAnsi="TimesNewRoman" w:cs="TimesNewRoman"/>
        </w:rPr>
        <w:t xml:space="preserve"> </w:t>
      </w:r>
      <w:r w:rsidR="003015B1" w:rsidRPr="00AD1603">
        <w:rPr>
          <w:rFonts w:ascii="TimesNewRoman" w:hAnsi="TimesNewRoman" w:cs="TimesNewRoman"/>
        </w:rPr>
        <w:t>mm must comply</w:t>
      </w:r>
      <w:r w:rsidR="002D0FE1">
        <w:rPr>
          <w:rFonts w:ascii="TimesNewRoman" w:hAnsi="TimesNewRoman" w:cs="TimesNewRoman"/>
        </w:rPr>
        <w:t xml:space="preserve"> </w:t>
      </w:r>
      <w:r w:rsidR="003015B1" w:rsidRPr="00AD1603">
        <w:rPr>
          <w:rFonts w:ascii="TimesNewRoman" w:hAnsi="TimesNewRoman" w:cs="TimesNewRoman"/>
        </w:rPr>
        <w:t>with:</w:t>
      </w:r>
    </w:p>
    <w:p w14:paraId="049FA3C0" w14:textId="2C264E29" w:rsidR="00E71F4E" w:rsidRPr="00AD1603" w:rsidRDefault="002D0FE1" w:rsidP="002D0FE1">
      <w:pPr>
        <w:pStyle w:val="Body-Listalpha"/>
      </w:pPr>
      <w:r w:rsidRPr="002D0FE1">
        <w:t>the</w:t>
      </w:r>
      <w:r>
        <w:t xml:space="preserve"> </w:t>
      </w:r>
      <w:r w:rsidR="00E71F4E" w:rsidRPr="00AD1603">
        <w:t>Australian Design Rule 14/03 – Devices for Indirect Vision</w:t>
      </w:r>
      <w:r w:rsidR="00581B28">
        <w:t xml:space="preserve">, </w:t>
      </w:r>
      <w:r w:rsidR="00581B28" w:rsidRPr="00581B28">
        <w:t>or a later version</w:t>
      </w:r>
      <w:r w:rsidR="00E71F4E" w:rsidRPr="00AD1603">
        <w:t>;</w:t>
      </w:r>
    </w:p>
    <w:p w14:paraId="14704599" w14:textId="0FDCAE40" w:rsidR="00E71F4E" w:rsidRPr="00AD1603" w:rsidRDefault="002D0FE1" w:rsidP="002D0FE1">
      <w:pPr>
        <w:pStyle w:val="Body-Listalpha"/>
      </w:pPr>
      <w:r>
        <w:t xml:space="preserve">the </w:t>
      </w:r>
      <w:r w:rsidR="00E71F4E" w:rsidRPr="00AD1603">
        <w:t>Australian Design Rule 35/07 – Commercial Vehicle Brake Systems</w:t>
      </w:r>
      <w:r w:rsidR="00581B28">
        <w:t xml:space="preserve">, </w:t>
      </w:r>
      <w:r w:rsidR="00581B28" w:rsidRPr="00581B28">
        <w:t>or a later version</w:t>
      </w:r>
      <w:r w:rsidR="00E71F4E" w:rsidRPr="00AD1603">
        <w:t>;</w:t>
      </w:r>
    </w:p>
    <w:p w14:paraId="3131ECB5" w14:textId="33CFC3C8" w:rsidR="00E71F4E" w:rsidRPr="00AD1603" w:rsidRDefault="00317122" w:rsidP="002D0FE1">
      <w:pPr>
        <w:pStyle w:val="Body-Listalpha"/>
      </w:pPr>
      <w:r>
        <w:t xml:space="preserve">except for vehicles with four or more </w:t>
      </w:r>
      <w:r w:rsidRPr="00317122">
        <w:rPr>
          <w:i/>
        </w:rPr>
        <w:t>‘Axles’</w:t>
      </w:r>
      <w:r w:rsidR="00485A7A">
        <w:t xml:space="preserve"> </w:t>
      </w:r>
      <w:r>
        <w:t>and vehicles ‘designed for off-road use’</w:t>
      </w:r>
      <w:r w:rsidR="00CE7148">
        <w:t xml:space="preserve"> (see note below)</w:t>
      </w:r>
      <w:r w:rsidR="008D25B9">
        <w:t xml:space="preserve">, the </w:t>
      </w:r>
      <w:r w:rsidR="00E71F4E" w:rsidRPr="00AD1603">
        <w:t>Australian Design Rule 97/00 – Advanced Emergency Braking for Omnibuses, and Medium and Heavy Goods Vehicles</w:t>
      </w:r>
      <w:r w:rsidR="00581B28">
        <w:t xml:space="preserve">, </w:t>
      </w:r>
      <w:r w:rsidR="00581B28" w:rsidRPr="00581B28">
        <w:t>or a later version</w:t>
      </w:r>
      <w:r w:rsidR="00E71F4E" w:rsidRPr="00AD1603">
        <w:t>;</w:t>
      </w:r>
      <w:r w:rsidR="003804E2">
        <w:t xml:space="preserve"> and</w:t>
      </w:r>
    </w:p>
    <w:p w14:paraId="2E9ADE7C" w14:textId="52027FD3" w:rsidR="00CE7148" w:rsidRDefault="00317122" w:rsidP="005C0801">
      <w:pPr>
        <w:pStyle w:val="Body-Listalpha"/>
      </w:pPr>
      <w:r>
        <w:t xml:space="preserve">except for vehicles with four or more </w:t>
      </w:r>
      <w:r w:rsidRPr="00317122">
        <w:rPr>
          <w:i/>
        </w:rPr>
        <w:t>‘Axles’</w:t>
      </w:r>
      <w:r>
        <w:t xml:space="preserve"> and vehicles ‘designed for off-road use’</w:t>
      </w:r>
      <w:r w:rsidR="00CE7148">
        <w:t xml:space="preserve"> (see note below)</w:t>
      </w:r>
      <w:r w:rsidR="008D25B9">
        <w:t xml:space="preserve">, the </w:t>
      </w:r>
      <w:r w:rsidR="00E71F4E" w:rsidRPr="00AD1603">
        <w:t>Australian Design Rule 9</w:t>
      </w:r>
      <w:r w:rsidR="00633EA4" w:rsidRPr="00AD1603">
        <w:t>9</w:t>
      </w:r>
      <w:r w:rsidR="00E71F4E" w:rsidRPr="00AD1603">
        <w:t xml:space="preserve">/00 – </w:t>
      </w:r>
      <w:r w:rsidR="00BB1395" w:rsidRPr="00AD1603">
        <w:t>Lane Departure Warning Systems</w:t>
      </w:r>
      <w:r w:rsidR="00581B28">
        <w:t xml:space="preserve">, </w:t>
      </w:r>
      <w:r w:rsidR="00581B28" w:rsidRPr="00581B28">
        <w:t>or a later version</w:t>
      </w:r>
      <w:r w:rsidR="0067670D">
        <w:t>.</w:t>
      </w:r>
    </w:p>
    <w:p w14:paraId="0EECDFB8" w14:textId="4CB2BC5A" w:rsidR="00633EA4" w:rsidRDefault="00CE7148" w:rsidP="00CE7148">
      <w:pPr>
        <w:pStyle w:val="Body-Listalpha"/>
        <w:numPr>
          <w:ilvl w:val="0"/>
          <w:numId w:val="0"/>
        </w:numPr>
        <w:spacing w:before="120"/>
        <w:ind w:left="2880"/>
      </w:pPr>
      <w:r>
        <w:rPr>
          <w:sz w:val="20"/>
          <w:szCs w:val="20"/>
        </w:rPr>
        <w:t>Note: For the definition of ‘designed for off-road use’ see ADR 97/00 and ADR 99/00 (as applicable).</w:t>
      </w:r>
      <w:r w:rsidR="00F8724E">
        <w:t>”</w:t>
      </w:r>
    </w:p>
    <w:p w14:paraId="099C107F" w14:textId="7A5FC781" w:rsidR="00F8724E" w:rsidRPr="003015B1" w:rsidRDefault="00F8724E" w:rsidP="00F8724E">
      <w:pPr>
        <w:pStyle w:val="Scheduleitem"/>
        <w:keepNext w:val="0"/>
        <w:rPr>
          <w:rFonts w:ascii="TimesNewRoman" w:hAnsi="TimesNewRoman" w:cs="TimesNewRoman"/>
        </w:rPr>
      </w:pPr>
      <w:r w:rsidRPr="003015B1">
        <w:rPr>
          <w:rFonts w:ascii="TimesNewRoman" w:hAnsi="TimesNewRoman" w:cs="TimesNewRoman"/>
        </w:rPr>
        <w:t>Insert a new clause 6.1.5.2</w:t>
      </w:r>
      <w:r>
        <w:rPr>
          <w:rFonts w:ascii="TimesNewRoman" w:hAnsi="TimesNewRoman" w:cs="TimesNewRoman"/>
        </w:rPr>
        <w:t>.2</w:t>
      </w:r>
      <w:r w:rsidRPr="003015B1">
        <w:rPr>
          <w:rFonts w:ascii="TimesNewRoman" w:hAnsi="TimesNewRoman" w:cs="TimesNewRoman"/>
        </w:rPr>
        <w:t xml:space="preserve"> to read:</w:t>
      </w:r>
    </w:p>
    <w:p w14:paraId="28530A49" w14:textId="32E7F987" w:rsidR="003804E2" w:rsidRDefault="00F8724E" w:rsidP="00F8724E">
      <w:pPr>
        <w:pStyle w:val="Scheduleitem"/>
        <w:keepNext w:val="0"/>
        <w:numPr>
          <w:ilvl w:val="0"/>
          <w:numId w:val="0"/>
        </w:numPr>
        <w:ind w:left="2160" w:hanging="1440"/>
        <w:rPr>
          <w:rFonts w:ascii="TimesNewRoman" w:hAnsi="TimesNewRoman" w:cs="TimesNewRoman"/>
        </w:rPr>
      </w:pPr>
      <w:r w:rsidRPr="00AD1603">
        <w:rPr>
          <w:rFonts w:ascii="TimesNewRoman" w:hAnsi="TimesNewRoman" w:cs="TimesNewRoman"/>
        </w:rPr>
        <w:t>“6.1.5.2.</w:t>
      </w:r>
      <w:r>
        <w:rPr>
          <w:rFonts w:ascii="TimesNewRoman" w:hAnsi="TimesNewRoman" w:cs="TimesNewRoman"/>
        </w:rPr>
        <w:t>2</w:t>
      </w:r>
      <w:r w:rsidRPr="00AD1603">
        <w:rPr>
          <w:rFonts w:ascii="TimesNewRoman" w:hAnsi="TimesNewRoman" w:cs="TimesNewRoman"/>
        </w:rPr>
        <w:tab/>
      </w:r>
      <w:r w:rsidR="00633EA4" w:rsidRPr="00AD1603">
        <w:rPr>
          <w:rFonts w:ascii="TimesNewRoman" w:hAnsi="TimesNewRoman" w:cs="TimesNewRoman"/>
        </w:rPr>
        <w:t xml:space="preserve">Sub-category NB2 and category NC vehicles with an </w:t>
      </w:r>
      <w:r w:rsidR="00633EA4" w:rsidRPr="00AD1603">
        <w:rPr>
          <w:rFonts w:ascii="TimesNewRoman" w:hAnsi="TimesNewRoman" w:cs="TimesNewRoman"/>
          <w:i/>
        </w:rPr>
        <w:t>‘Overall</w:t>
      </w:r>
      <w:r>
        <w:rPr>
          <w:rFonts w:ascii="TimesNewRoman" w:hAnsi="TimesNewRoman" w:cs="TimesNewRoman"/>
          <w:i/>
        </w:rPr>
        <w:t> </w:t>
      </w:r>
      <w:r w:rsidR="00633EA4" w:rsidRPr="00AD1603">
        <w:rPr>
          <w:rFonts w:ascii="TimesNewRoman" w:hAnsi="TimesNewRoman" w:cs="TimesNewRoman"/>
          <w:i/>
        </w:rPr>
        <w:t>Width’</w:t>
      </w:r>
      <w:r w:rsidR="00633EA4" w:rsidRPr="00AD1603">
        <w:rPr>
          <w:rFonts w:ascii="TimesNewRoman" w:hAnsi="TimesNewRoman" w:cs="TimesNewRoman"/>
        </w:rPr>
        <w:t xml:space="preserve"> exceeding 2,500 mm must</w:t>
      </w:r>
      <w:r>
        <w:rPr>
          <w:rFonts w:ascii="TimesNewRoman" w:hAnsi="TimesNewRoman" w:cs="TimesNewRoman"/>
        </w:rPr>
        <w:t xml:space="preserve"> also</w:t>
      </w:r>
      <w:r w:rsidR="00D43058">
        <w:rPr>
          <w:rFonts w:ascii="TimesNewRoman" w:hAnsi="TimesNewRoman" w:cs="TimesNewRoman"/>
        </w:rPr>
        <w:t xml:space="preserve">, </w:t>
      </w:r>
      <w:r w:rsidR="0072614A" w:rsidRPr="00AD1603">
        <w:rPr>
          <w:rFonts w:ascii="TimesNewRoman" w:hAnsi="TimesNewRoman" w:cs="TimesNewRoman"/>
        </w:rPr>
        <w:t xml:space="preserve">with the exception of </w:t>
      </w:r>
      <w:r w:rsidR="0072614A" w:rsidRPr="00AD1603">
        <w:rPr>
          <w:rFonts w:ascii="TimesNewRoman" w:hAnsi="TimesNewRoman" w:cs="TimesNewRoman"/>
          <w:i/>
        </w:rPr>
        <w:t>‘Partially Completed Vehicles’</w:t>
      </w:r>
      <w:r w:rsidR="0072614A" w:rsidRPr="00AD1603">
        <w:rPr>
          <w:rFonts w:ascii="TimesNewRoman" w:hAnsi="TimesNewRoman" w:cs="TimesNewRoman"/>
        </w:rPr>
        <w:t xml:space="preserve"> and </w:t>
      </w:r>
      <w:r w:rsidR="0072614A" w:rsidRPr="00AD1603">
        <w:rPr>
          <w:rFonts w:ascii="TimesNewRoman" w:hAnsi="TimesNewRoman" w:cs="TimesNewRoman"/>
          <w:i/>
        </w:rPr>
        <w:t>‘Prime</w:t>
      </w:r>
      <w:r>
        <w:rPr>
          <w:rFonts w:ascii="TimesNewRoman" w:hAnsi="TimesNewRoman" w:cs="TimesNewRoman"/>
          <w:i/>
        </w:rPr>
        <w:t> </w:t>
      </w:r>
      <w:r w:rsidR="0072614A" w:rsidRPr="00AD1603">
        <w:rPr>
          <w:rFonts w:ascii="TimesNewRoman" w:hAnsi="TimesNewRoman" w:cs="TimesNewRoman"/>
          <w:i/>
        </w:rPr>
        <w:t>Movers’</w:t>
      </w:r>
      <w:r w:rsidR="008E6A75">
        <w:rPr>
          <w:rFonts w:ascii="TimesNewRoman" w:hAnsi="TimesNewRoman" w:cs="TimesNewRoman"/>
        </w:rPr>
        <w:t>:</w:t>
      </w:r>
    </w:p>
    <w:p w14:paraId="6807A0B8" w14:textId="48532266" w:rsidR="00B310F3" w:rsidRDefault="008E6A75" w:rsidP="002D0FE1">
      <w:pPr>
        <w:pStyle w:val="Body-Listalpha"/>
        <w:numPr>
          <w:ilvl w:val="6"/>
          <w:numId w:val="46"/>
        </w:numPr>
        <w:ind w:left="2880" w:hanging="720"/>
      </w:pPr>
      <w:r>
        <w:t xml:space="preserve">comply with </w:t>
      </w:r>
      <w:r w:rsidR="00B310F3">
        <w:t xml:space="preserve">the </w:t>
      </w:r>
      <w:r w:rsidR="003804E2" w:rsidRPr="00AD1603">
        <w:t>Australian Design Rule 106/00 – Side Underrun Protection</w:t>
      </w:r>
      <w:r w:rsidR="00581B28">
        <w:t xml:space="preserve">, </w:t>
      </w:r>
      <w:r w:rsidR="00581B28" w:rsidRPr="00581B28">
        <w:t>or a later version</w:t>
      </w:r>
      <w:r w:rsidR="003804E2">
        <w:t>;</w:t>
      </w:r>
    </w:p>
    <w:p w14:paraId="1A6F2387" w14:textId="311BD68D" w:rsidR="00B310F3" w:rsidRDefault="00633EA4" w:rsidP="002D0FE1">
      <w:pPr>
        <w:pStyle w:val="Body-Listalpha"/>
      </w:pPr>
      <w:r w:rsidRPr="00AD1603">
        <w:t>be fitted with</w:t>
      </w:r>
      <w:r w:rsidR="00EC0590">
        <w:t xml:space="preserve"> </w:t>
      </w:r>
      <w:proofErr w:type="spellStart"/>
      <w:r w:rsidR="00EC0590">
        <w:t>c</w:t>
      </w:r>
      <w:r w:rsidR="00014702" w:rsidRPr="00AD1603">
        <w:t>onspicuity</w:t>
      </w:r>
      <w:proofErr w:type="spellEnd"/>
      <w:r w:rsidR="00014702" w:rsidRPr="00AD1603">
        <w:t xml:space="preserve"> markings </w:t>
      </w:r>
      <w:r w:rsidR="00B310F3">
        <w:t xml:space="preserve">to the rear, </w:t>
      </w:r>
      <w:r w:rsidR="00014702" w:rsidRPr="00AD1603">
        <w:t>in accordance with the Australian Design Rule 13/00 – Installation of Lighting and Light Signalling Devices on other than L-Group</w:t>
      </w:r>
      <w:r w:rsidR="0072614A" w:rsidRPr="00AD1603">
        <w:t xml:space="preserve"> </w:t>
      </w:r>
      <w:r w:rsidR="00136F4C" w:rsidRPr="00AD1603">
        <w:t>V</w:t>
      </w:r>
      <w:r w:rsidR="0072614A" w:rsidRPr="00AD1603">
        <w:t>ehicles</w:t>
      </w:r>
      <w:r w:rsidR="00581B28">
        <w:t xml:space="preserve">, </w:t>
      </w:r>
      <w:r w:rsidR="00581B28" w:rsidRPr="00581B28">
        <w:t>or a later version</w:t>
      </w:r>
      <w:r w:rsidR="00B310F3">
        <w:t>; and</w:t>
      </w:r>
    </w:p>
    <w:p w14:paraId="46925D11" w14:textId="48D0DC66" w:rsidR="00BB1395" w:rsidRDefault="00B310F3" w:rsidP="002D0FE1">
      <w:pPr>
        <w:pStyle w:val="Body-Listalpha"/>
      </w:pPr>
      <w:r>
        <w:t xml:space="preserve">if more than 6,000 mm in </w:t>
      </w:r>
      <w:r w:rsidRPr="00B310F3">
        <w:rPr>
          <w:i/>
        </w:rPr>
        <w:t>‘Total Length’</w:t>
      </w:r>
      <w:r>
        <w:t xml:space="preserve">, </w:t>
      </w:r>
      <w:r w:rsidRPr="00AD1603">
        <w:t>be fitted with</w:t>
      </w:r>
      <w:r>
        <w:t xml:space="preserve"> </w:t>
      </w:r>
      <w:proofErr w:type="spellStart"/>
      <w:r>
        <w:t>c</w:t>
      </w:r>
      <w:r w:rsidRPr="00AD1603">
        <w:t>onspicuity</w:t>
      </w:r>
      <w:proofErr w:type="spellEnd"/>
      <w:r w:rsidRPr="00AD1603">
        <w:t xml:space="preserve"> markings </w:t>
      </w:r>
      <w:r>
        <w:t xml:space="preserve">to both sides, </w:t>
      </w:r>
      <w:r w:rsidRPr="00AD1603">
        <w:t>in accordance with the Australian Design Rule 13/00 – Installation of Lighting and Light Signalling Devices on other than L-Group Vehicles</w:t>
      </w:r>
      <w:r w:rsidR="00581B28">
        <w:t xml:space="preserve">, </w:t>
      </w:r>
      <w:r w:rsidR="00581B28" w:rsidRPr="00581B28">
        <w:t>or a later version</w:t>
      </w:r>
      <w:r w:rsidR="00014702" w:rsidRPr="00AD1603">
        <w:t>.</w:t>
      </w:r>
      <w:r w:rsidR="00633EA4" w:rsidRPr="00AD1603">
        <w:t>”</w:t>
      </w:r>
    </w:p>
    <w:p w14:paraId="6B69CABD" w14:textId="2C51C397" w:rsidR="0090079B" w:rsidRPr="003015B1" w:rsidRDefault="0090079B" w:rsidP="006E2EE4">
      <w:pPr>
        <w:pStyle w:val="Scheduleitem"/>
        <w:rPr>
          <w:rFonts w:ascii="TimesNewRoman" w:hAnsi="TimesNewRoman" w:cs="TimesNewRoman"/>
        </w:rPr>
      </w:pPr>
      <w:r w:rsidRPr="003015B1">
        <w:rPr>
          <w:rFonts w:ascii="TimesNewRoman" w:hAnsi="TimesNewRoman" w:cs="TimesNewRoman"/>
        </w:rPr>
        <w:lastRenderedPageBreak/>
        <w:t>Insert a new clause 6.1.5.2</w:t>
      </w:r>
      <w:r>
        <w:rPr>
          <w:rFonts w:ascii="TimesNewRoman" w:hAnsi="TimesNewRoman" w:cs="TimesNewRoman"/>
        </w:rPr>
        <w:t>.3</w:t>
      </w:r>
      <w:r w:rsidRPr="003015B1">
        <w:rPr>
          <w:rFonts w:ascii="TimesNewRoman" w:hAnsi="TimesNewRoman" w:cs="TimesNewRoman"/>
        </w:rPr>
        <w:t xml:space="preserve"> to read:</w:t>
      </w:r>
    </w:p>
    <w:p w14:paraId="4099E818" w14:textId="0BDEEEE7" w:rsidR="0090079B" w:rsidRPr="00AD1603" w:rsidRDefault="0090079B" w:rsidP="006E2EE4">
      <w:pPr>
        <w:pStyle w:val="Scheduleitem"/>
        <w:keepNext w:val="0"/>
        <w:keepLines/>
        <w:numPr>
          <w:ilvl w:val="0"/>
          <w:numId w:val="0"/>
        </w:numPr>
        <w:ind w:left="2160" w:hanging="1440"/>
        <w:rPr>
          <w:rFonts w:ascii="TimesNewRoman" w:hAnsi="TimesNewRoman" w:cs="TimesNewRoman"/>
        </w:rPr>
      </w:pPr>
      <w:r w:rsidRPr="00AD1603">
        <w:rPr>
          <w:rFonts w:ascii="TimesNewRoman" w:hAnsi="TimesNewRoman" w:cs="TimesNewRoman"/>
        </w:rPr>
        <w:t>“6.1.5.2.</w:t>
      </w:r>
      <w:r>
        <w:rPr>
          <w:rFonts w:ascii="TimesNewRoman" w:hAnsi="TimesNewRoman" w:cs="TimesNewRoman"/>
        </w:rPr>
        <w:t>3</w:t>
      </w:r>
      <w:r w:rsidRPr="00AD1603">
        <w:rPr>
          <w:rFonts w:ascii="TimesNewRoman" w:hAnsi="TimesNewRoman" w:cs="TimesNewRoman"/>
        </w:rPr>
        <w:tab/>
        <w:t xml:space="preserve">Sub-category NB2 and category NC vehicles </w:t>
      </w:r>
      <w:r w:rsidRPr="0090079B">
        <w:rPr>
          <w:rFonts w:ascii="TimesNewRoman" w:hAnsi="TimesNewRoman" w:cs="TimesNewRoman"/>
        </w:rPr>
        <w:t xml:space="preserve">with a </w:t>
      </w:r>
      <w:r w:rsidRPr="0090079B">
        <w:rPr>
          <w:rFonts w:ascii="TimesNewRoman" w:hAnsi="TimesNewRoman" w:cs="TimesNewRoman"/>
          <w:i/>
        </w:rPr>
        <w:t>‘Gross</w:t>
      </w:r>
      <w:r w:rsidR="00C63F70">
        <w:rPr>
          <w:rFonts w:ascii="TimesNewRoman" w:hAnsi="TimesNewRoman" w:cs="TimesNewRoman"/>
          <w:i/>
        </w:rPr>
        <w:t> </w:t>
      </w:r>
      <w:r w:rsidRPr="0090079B">
        <w:rPr>
          <w:rFonts w:ascii="TimesNewRoman" w:hAnsi="TimesNewRoman" w:cs="TimesNewRoman"/>
          <w:i/>
        </w:rPr>
        <w:t>Vehicle Mass’</w:t>
      </w:r>
      <w:r w:rsidRPr="0090079B">
        <w:rPr>
          <w:rFonts w:ascii="TimesNewRoman" w:hAnsi="TimesNewRoman" w:cs="TimesNewRoman"/>
        </w:rPr>
        <w:t xml:space="preserve"> over 8 tonnes and with an </w:t>
      </w:r>
      <w:r w:rsidRPr="0090079B">
        <w:rPr>
          <w:rFonts w:ascii="TimesNewRoman" w:hAnsi="TimesNewRoman" w:cs="TimesNewRoman"/>
          <w:i/>
        </w:rPr>
        <w:t>‘Overall Width’</w:t>
      </w:r>
      <w:r w:rsidRPr="0090079B">
        <w:rPr>
          <w:rFonts w:ascii="TimesNewRoman" w:hAnsi="TimesNewRoman" w:cs="TimesNewRoman"/>
        </w:rPr>
        <w:t xml:space="preserve"> exceeding 2,500 mm, </w:t>
      </w:r>
      <w:r>
        <w:rPr>
          <w:rFonts w:ascii="TimesNewRoman" w:hAnsi="TimesNewRoman" w:cs="TimesNewRoman"/>
        </w:rPr>
        <w:t xml:space="preserve">must also comply with the </w:t>
      </w:r>
      <w:proofErr w:type="spellStart"/>
      <w:r w:rsidR="001B4653">
        <w:rPr>
          <w:rFonts w:ascii="TimesNewRoman" w:hAnsi="TimesNewRoman" w:cs="TimesNewRoman"/>
        </w:rPr>
        <w:t>the</w:t>
      </w:r>
      <w:proofErr w:type="spellEnd"/>
      <w:r w:rsidR="001B4653">
        <w:rPr>
          <w:rFonts w:ascii="TimesNewRoman" w:hAnsi="TimesNewRoman" w:cs="TimesNewRoman"/>
        </w:rPr>
        <w:t xml:space="preserve"> Australian </w:t>
      </w:r>
      <w:r w:rsidRPr="0090079B">
        <w:rPr>
          <w:rFonts w:ascii="TimesNewRoman" w:hAnsi="TimesNewRoman" w:cs="TimesNewRoman"/>
        </w:rPr>
        <w:t>Design Rule 105/00 – Blind Spot Information Systems</w:t>
      </w:r>
      <w:r w:rsidR="00581B28">
        <w:rPr>
          <w:rFonts w:ascii="TimesNewRoman" w:hAnsi="TimesNewRoman" w:cs="TimesNewRoman"/>
        </w:rPr>
        <w:t xml:space="preserve">, </w:t>
      </w:r>
      <w:r w:rsidR="00581B28" w:rsidRPr="00581B28">
        <w:rPr>
          <w:rFonts w:ascii="TimesNewRoman" w:hAnsi="TimesNewRoman" w:cs="TimesNewRoman"/>
        </w:rPr>
        <w:t>or a later version</w:t>
      </w:r>
      <w:r w:rsidR="00581B28">
        <w:rPr>
          <w:rFonts w:ascii="TimesNewRoman" w:hAnsi="TimesNewRoman" w:cs="TimesNewRoman"/>
        </w:rPr>
        <w:t>,</w:t>
      </w:r>
      <w:r w:rsidRPr="0090079B">
        <w:rPr>
          <w:rFonts w:ascii="TimesNewRoman" w:hAnsi="TimesNewRoman" w:cs="TimesNewRoman"/>
        </w:rPr>
        <w:t xml:space="preserve"> from</w:t>
      </w:r>
      <w:r>
        <w:rPr>
          <w:rFonts w:ascii="TimesNewRoman" w:hAnsi="TimesNewRoman" w:cs="TimesNewRoman"/>
        </w:rPr>
        <w:t xml:space="preserve"> 1 November</w:t>
      </w:r>
      <w:r w:rsidR="008B72EF">
        <w:rPr>
          <w:rFonts w:ascii="TimesNewRoman" w:hAnsi="TimesNewRoman" w:cs="TimesNewRoman"/>
        </w:rPr>
        <w:t> </w:t>
      </w:r>
      <w:r>
        <w:rPr>
          <w:rFonts w:ascii="TimesNewRoman" w:hAnsi="TimesNewRoman" w:cs="TimesNewRoman"/>
        </w:rPr>
        <w:t>202</w:t>
      </w:r>
      <w:r w:rsidR="00581B28">
        <w:rPr>
          <w:rFonts w:ascii="TimesNewRoman" w:hAnsi="TimesNewRoman" w:cs="TimesNewRoman"/>
        </w:rPr>
        <w:t>5</w:t>
      </w:r>
      <w:r>
        <w:rPr>
          <w:rFonts w:ascii="TimesNewRoman" w:hAnsi="TimesNewRoman" w:cs="TimesNewRoman"/>
        </w:rPr>
        <w:t xml:space="preserve"> for new model</w:t>
      </w:r>
      <w:r w:rsidR="008B72EF">
        <w:rPr>
          <w:rFonts w:ascii="TimesNewRoman" w:hAnsi="TimesNewRoman" w:cs="TimesNewRoman"/>
        </w:rPr>
        <w:t xml:space="preserve"> vehicles</w:t>
      </w:r>
      <w:r>
        <w:rPr>
          <w:rFonts w:ascii="TimesNewRoman" w:hAnsi="TimesNewRoman" w:cs="TimesNewRoman"/>
        </w:rPr>
        <w:t>, and 1</w:t>
      </w:r>
      <w:r w:rsidR="008B72EF">
        <w:rPr>
          <w:rFonts w:ascii="TimesNewRoman" w:hAnsi="TimesNewRoman" w:cs="TimesNewRoman"/>
        </w:rPr>
        <w:t> </w:t>
      </w:r>
      <w:r>
        <w:rPr>
          <w:rFonts w:ascii="TimesNewRoman" w:hAnsi="TimesNewRoman" w:cs="TimesNewRoman"/>
        </w:rPr>
        <w:t>February</w:t>
      </w:r>
      <w:r w:rsidR="008B72EF">
        <w:rPr>
          <w:rFonts w:ascii="TimesNewRoman" w:hAnsi="TimesNewRoman" w:cs="TimesNewRoman"/>
        </w:rPr>
        <w:t> </w:t>
      </w:r>
      <w:r>
        <w:rPr>
          <w:rFonts w:ascii="TimesNewRoman" w:hAnsi="TimesNewRoman" w:cs="TimesNewRoman"/>
        </w:rPr>
        <w:t>2027</w:t>
      </w:r>
      <w:r w:rsidR="00197B6A">
        <w:rPr>
          <w:rFonts w:ascii="TimesNewRoman" w:hAnsi="TimesNewRoman" w:cs="TimesNewRoman"/>
        </w:rPr>
        <w:t xml:space="preserve"> for all vehicles.</w:t>
      </w:r>
      <w:r w:rsidRPr="00AD1603">
        <w:rPr>
          <w:rFonts w:ascii="TimesNewRoman" w:hAnsi="TimesNewRoman" w:cs="TimesNewRoman"/>
        </w:rPr>
        <w:t>”</w:t>
      </w:r>
    </w:p>
    <w:sectPr w:rsidR="0090079B" w:rsidRPr="00AD1603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53C8" w14:textId="77777777" w:rsidR="00560F32" w:rsidRDefault="00560F32">
      <w:r>
        <w:separator/>
      </w:r>
    </w:p>
  </w:endnote>
  <w:endnote w:type="continuationSeparator" w:id="0">
    <w:p w14:paraId="3DD085B3" w14:textId="77777777" w:rsidR="00560F32" w:rsidRDefault="005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250F" w14:textId="30B18C4E" w:rsidR="003973BF" w:rsidRDefault="003973BF" w:rsidP="003973BF">
    <w:pPr>
      <w:pStyle w:val="Footer"/>
      <w:pBdr>
        <w:top w:val="single" w:sz="4" w:space="1" w:color="auto"/>
      </w:pBdr>
    </w:pPr>
  </w:p>
  <w:p w14:paraId="26604DC0" w14:textId="77777777" w:rsidR="003973BF" w:rsidRDefault="003973BF" w:rsidP="003973BF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AB4A" w14:textId="77777777" w:rsidR="00560F32" w:rsidRDefault="00560F32">
      <w:r>
        <w:separator/>
      </w:r>
    </w:p>
  </w:footnote>
  <w:footnote w:type="continuationSeparator" w:id="0">
    <w:p w14:paraId="6C8BBB7E" w14:textId="77777777" w:rsidR="00560F32" w:rsidRDefault="0056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BA62" w14:textId="7443BC2C" w:rsidR="00560F32" w:rsidRDefault="00BD2E83" w:rsidP="003973BF">
    <w:pPr>
      <w:pStyle w:val="Header"/>
      <w:pBdr>
        <w:bottom w:val="single" w:sz="4" w:space="1" w:color="auto"/>
      </w:pBdr>
    </w:pPr>
    <w:r>
      <w:rPr>
        <w:szCs w:val="20"/>
      </w:rPr>
      <w:t>Vehicle Standard (</w:t>
    </w:r>
    <w:r w:rsidRPr="00F74E75">
      <w:rPr>
        <w:szCs w:val="20"/>
      </w:rPr>
      <w:t>Australian Design Rule</w:t>
    </w:r>
    <w:r>
      <w:rPr>
        <w:szCs w:val="20"/>
      </w:rPr>
      <w:t>) Safer Freight Vehicles Amendment No. 2 2023</w:t>
    </w:r>
    <w:r>
      <w:rPr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3BF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E509" w14:textId="49CB9E14" w:rsidR="00560F32" w:rsidRDefault="0056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D97B" w14:textId="0AD02281" w:rsidR="00560F32" w:rsidRPr="00791D27" w:rsidRDefault="003973BF" w:rsidP="003973BF">
    <w:pPr>
      <w:pStyle w:val="Header"/>
      <w:pBdr>
        <w:bottom w:val="single" w:sz="4" w:space="1" w:color="auto"/>
      </w:pBdr>
      <w:rPr>
        <w:szCs w:val="20"/>
      </w:rPr>
    </w:pPr>
    <w:r>
      <w:rPr>
        <w:szCs w:val="20"/>
      </w:rPr>
      <w:t>Vehicle Standard (</w:t>
    </w:r>
    <w:r w:rsidRPr="00F74E75">
      <w:rPr>
        <w:szCs w:val="20"/>
      </w:rPr>
      <w:t>Australian Design Rule</w:t>
    </w:r>
    <w:r>
      <w:rPr>
        <w:szCs w:val="20"/>
      </w:rPr>
      <w:t>) Safer Freight Vehicles Amendment No. 2 2023</w:t>
    </w:r>
    <w:r>
      <w:rPr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EC9E" w14:textId="5C231AE5" w:rsidR="00560F32" w:rsidRDefault="0056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930"/>
    <w:multiLevelType w:val="hybridMultilevel"/>
    <w:tmpl w:val="BED69A24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7DB4"/>
    <w:multiLevelType w:val="hybridMultilevel"/>
    <w:tmpl w:val="98C65962"/>
    <w:lvl w:ilvl="0" w:tplc="58229048">
      <w:start w:val="1"/>
      <w:numFmt w:val="lowerRoman"/>
      <w:lvlText w:val="(%1)"/>
      <w:lvlJc w:val="left"/>
      <w:pPr>
        <w:ind w:left="259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52" w:hanging="360"/>
      </w:pPr>
    </w:lvl>
    <w:lvl w:ilvl="2" w:tplc="0C09001B" w:tentative="1">
      <w:start w:val="1"/>
      <w:numFmt w:val="lowerRoman"/>
      <w:lvlText w:val="%3."/>
      <w:lvlJc w:val="right"/>
      <w:pPr>
        <w:ind w:left="3672" w:hanging="180"/>
      </w:pPr>
    </w:lvl>
    <w:lvl w:ilvl="3" w:tplc="0C09000F" w:tentative="1">
      <w:start w:val="1"/>
      <w:numFmt w:val="decimal"/>
      <w:lvlText w:val="%4."/>
      <w:lvlJc w:val="left"/>
      <w:pPr>
        <w:ind w:left="4392" w:hanging="360"/>
      </w:pPr>
    </w:lvl>
    <w:lvl w:ilvl="4" w:tplc="0C090019" w:tentative="1">
      <w:start w:val="1"/>
      <w:numFmt w:val="lowerLetter"/>
      <w:lvlText w:val="%5."/>
      <w:lvlJc w:val="left"/>
      <w:pPr>
        <w:ind w:left="5112" w:hanging="360"/>
      </w:pPr>
    </w:lvl>
    <w:lvl w:ilvl="5" w:tplc="0C09001B" w:tentative="1">
      <w:start w:val="1"/>
      <w:numFmt w:val="lowerRoman"/>
      <w:lvlText w:val="%6."/>
      <w:lvlJc w:val="right"/>
      <w:pPr>
        <w:ind w:left="5832" w:hanging="180"/>
      </w:pPr>
    </w:lvl>
    <w:lvl w:ilvl="6" w:tplc="0C09000F" w:tentative="1">
      <w:start w:val="1"/>
      <w:numFmt w:val="decimal"/>
      <w:lvlText w:val="%7."/>
      <w:lvlJc w:val="left"/>
      <w:pPr>
        <w:ind w:left="6552" w:hanging="360"/>
      </w:pPr>
    </w:lvl>
    <w:lvl w:ilvl="7" w:tplc="0C090019" w:tentative="1">
      <w:start w:val="1"/>
      <w:numFmt w:val="lowerLetter"/>
      <w:lvlText w:val="%8."/>
      <w:lvlJc w:val="left"/>
      <w:pPr>
        <w:ind w:left="7272" w:hanging="360"/>
      </w:pPr>
    </w:lvl>
    <w:lvl w:ilvl="8" w:tplc="0C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342408A6"/>
    <w:multiLevelType w:val="multilevel"/>
    <w:tmpl w:val="146832CA"/>
    <w:styleLink w:val="Body"/>
    <w:lvl w:ilvl="0">
      <w:start w:val="1"/>
      <w:numFmt w:val="decimal"/>
      <w:pStyle w:val="Body-SectionTitle"/>
      <w:lvlText w:val="%1."/>
      <w:lvlJc w:val="left"/>
      <w:pPr>
        <w:tabs>
          <w:tab w:val="num" w:pos="4111"/>
        </w:tabs>
        <w:ind w:left="4111" w:hanging="1418"/>
      </w:pPr>
      <w:rPr>
        <w:rFonts w:hint="default"/>
      </w:rPr>
    </w:lvl>
    <w:lvl w:ilvl="1">
      <w:start w:val="1"/>
      <w:numFmt w:val="decimal"/>
      <w:pStyle w:val="Body-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Body-Subx2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Body-Subx3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ody-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pStyle w:val="Body-Listalpha"/>
      <w:lvlText w:val="(%7)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pStyle w:val="AlphabeticalLis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4D56530"/>
    <w:multiLevelType w:val="hybridMultilevel"/>
    <w:tmpl w:val="6F8A7334"/>
    <w:lvl w:ilvl="0" w:tplc="789A44E4">
      <w:numFmt w:val="bullet"/>
      <w:lvlText w:val="-"/>
      <w:lvlJc w:val="left"/>
      <w:pPr>
        <w:ind w:left="1504" w:hanging="360"/>
      </w:pPr>
      <w:rPr>
        <w:rFonts w:ascii="TimesNewRoman" w:eastAsia="Times New Roman" w:hAnsi="TimesNewRoman" w:cs="TimesNewRoman" w:hint="default"/>
      </w:rPr>
    </w:lvl>
    <w:lvl w:ilvl="1" w:tplc="0C0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6">
    <w:abstractNumId w:val="1"/>
  </w:num>
  <w:num w:numId="27">
    <w:abstractNumId w:val="2"/>
  </w:num>
  <w:num w:numId="28">
    <w:abstractNumId w:val="2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2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65"/>
    <w:rsid w:val="00003820"/>
    <w:rsid w:val="00003E2A"/>
    <w:rsid w:val="00004B53"/>
    <w:rsid w:val="00007B7B"/>
    <w:rsid w:val="00010457"/>
    <w:rsid w:val="000107E9"/>
    <w:rsid w:val="0001168C"/>
    <w:rsid w:val="00013261"/>
    <w:rsid w:val="000133A8"/>
    <w:rsid w:val="00014702"/>
    <w:rsid w:val="00015D53"/>
    <w:rsid w:val="00015D72"/>
    <w:rsid w:val="000219E8"/>
    <w:rsid w:val="00022AD5"/>
    <w:rsid w:val="000242C0"/>
    <w:rsid w:val="00027E1C"/>
    <w:rsid w:val="00030604"/>
    <w:rsid w:val="00032B07"/>
    <w:rsid w:val="000346AF"/>
    <w:rsid w:val="00036035"/>
    <w:rsid w:val="00037384"/>
    <w:rsid w:val="00037A21"/>
    <w:rsid w:val="00040D23"/>
    <w:rsid w:val="00040FA3"/>
    <w:rsid w:val="0004323E"/>
    <w:rsid w:val="00043C05"/>
    <w:rsid w:val="000459D7"/>
    <w:rsid w:val="00046F8B"/>
    <w:rsid w:val="0005034F"/>
    <w:rsid w:val="00052752"/>
    <w:rsid w:val="00053253"/>
    <w:rsid w:val="00054F6A"/>
    <w:rsid w:val="000622D8"/>
    <w:rsid w:val="000625D8"/>
    <w:rsid w:val="00064AB1"/>
    <w:rsid w:val="00066F0B"/>
    <w:rsid w:val="00067CAF"/>
    <w:rsid w:val="000702F0"/>
    <w:rsid w:val="00071AA3"/>
    <w:rsid w:val="00071C6A"/>
    <w:rsid w:val="00073C4E"/>
    <w:rsid w:val="0007647B"/>
    <w:rsid w:val="00076FFF"/>
    <w:rsid w:val="00077F9D"/>
    <w:rsid w:val="00080417"/>
    <w:rsid w:val="00084C60"/>
    <w:rsid w:val="000862D5"/>
    <w:rsid w:val="00086DE5"/>
    <w:rsid w:val="00090401"/>
    <w:rsid w:val="0009138D"/>
    <w:rsid w:val="000918C7"/>
    <w:rsid w:val="00091C3F"/>
    <w:rsid w:val="00092952"/>
    <w:rsid w:val="00093C48"/>
    <w:rsid w:val="00094673"/>
    <w:rsid w:val="000953E0"/>
    <w:rsid w:val="00095D8A"/>
    <w:rsid w:val="0009706D"/>
    <w:rsid w:val="000A0E33"/>
    <w:rsid w:val="000A34CF"/>
    <w:rsid w:val="000A5DB9"/>
    <w:rsid w:val="000A5EF4"/>
    <w:rsid w:val="000A6EF2"/>
    <w:rsid w:val="000B11BE"/>
    <w:rsid w:val="000B2D5F"/>
    <w:rsid w:val="000B35BB"/>
    <w:rsid w:val="000B57CC"/>
    <w:rsid w:val="000B5B05"/>
    <w:rsid w:val="000B78B6"/>
    <w:rsid w:val="000C11CB"/>
    <w:rsid w:val="000C30DB"/>
    <w:rsid w:val="000C37BA"/>
    <w:rsid w:val="000C4C93"/>
    <w:rsid w:val="000D143B"/>
    <w:rsid w:val="000D1E82"/>
    <w:rsid w:val="000D21A8"/>
    <w:rsid w:val="000D31C5"/>
    <w:rsid w:val="000D43B5"/>
    <w:rsid w:val="000D4E5E"/>
    <w:rsid w:val="000D5BC0"/>
    <w:rsid w:val="000E0ABF"/>
    <w:rsid w:val="000E0F91"/>
    <w:rsid w:val="000E189C"/>
    <w:rsid w:val="000E18E9"/>
    <w:rsid w:val="000E2E8A"/>
    <w:rsid w:val="000E2FA2"/>
    <w:rsid w:val="000E354C"/>
    <w:rsid w:val="000E3F80"/>
    <w:rsid w:val="000E5440"/>
    <w:rsid w:val="000E6342"/>
    <w:rsid w:val="000E67A8"/>
    <w:rsid w:val="000F231B"/>
    <w:rsid w:val="000F31B4"/>
    <w:rsid w:val="000F500D"/>
    <w:rsid w:val="000F579F"/>
    <w:rsid w:val="000F64F9"/>
    <w:rsid w:val="00100FDD"/>
    <w:rsid w:val="001028EA"/>
    <w:rsid w:val="00102C89"/>
    <w:rsid w:val="00103164"/>
    <w:rsid w:val="001034BD"/>
    <w:rsid w:val="00107F67"/>
    <w:rsid w:val="001106BA"/>
    <w:rsid w:val="00110B04"/>
    <w:rsid w:val="00111275"/>
    <w:rsid w:val="00111749"/>
    <w:rsid w:val="00113B5B"/>
    <w:rsid w:val="00113C46"/>
    <w:rsid w:val="0011409D"/>
    <w:rsid w:val="001166A4"/>
    <w:rsid w:val="00117E42"/>
    <w:rsid w:val="00117E99"/>
    <w:rsid w:val="0012123B"/>
    <w:rsid w:val="00126F4B"/>
    <w:rsid w:val="0012795E"/>
    <w:rsid w:val="001302D1"/>
    <w:rsid w:val="00132556"/>
    <w:rsid w:val="0013320F"/>
    <w:rsid w:val="0013462A"/>
    <w:rsid w:val="00135697"/>
    <w:rsid w:val="00135A66"/>
    <w:rsid w:val="00136F4C"/>
    <w:rsid w:val="001402AD"/>
    <w:rsid w:val="00141E07"/>
    <w:rsid w:val="0014336E"/>
    <w:rsid w:val="001442DF"/>
    <w:rsid w:val="00145997"/>
    <w:rsid w:val="0014782B"/>
    <w:rsid w:val="00150DE0"/>
    <w:rsid w:val="0015189C"/>
    <w:rsid w:val="00153FFB"/>
    <w:rsid w:val="00154035"/>
    <w:rsid w:val="00154793"/>
    <w:rsid w:val="00154EB6"/>
    <w:rsid w:val="001554D7"/>
    <w:rsid w:val="001559C8"/>
    <w:rsid w:val="001560CA"/>
    <w:rsid w:val="00157D5F"/>
    <w:rsid w:val="00157E5D"/>
    <w:rsid w:val="00162D4C"/>
    <w:rsid w:val="0016375E"/>
    <w:rsid w:val="0016397C"/>
    <w:rsid w:val="00164667"/>
    <w:rsid w:val="00165ED4"/>
    <w:rsid w:val="001715A0"/>
    <w:rsid w:val="00173012"/>
    <w:rsid w:val="00173905"/>
    <w:rsid w:val="0017442C"/>
    <w:rsid w:val="00175E63"/>
    <w:rsid w:val="00176296"/>
    <w:rsid w:val="00182831"/>
    <w:rsid w:val="00182BD7"/>
    <w:rsid w:val="00182D62"/>
    <w:rsid w:val="00183CAF"/>
    <w:rsid w:val="00184CE2"/>
    <w:rsid w:val="00184FF9"/>
    <w:rsid w:val="00185CA1"/>
    <w:rsid w:val="00194F88"/>
    <w:rsid w:val="00195336"/>
    <w:rsid w:val="001977EA"/>
    <w:rsid w:val="00197B6A"/>
    <w:rsid w:val="001A1E2C"/>
    <w:rsid w:val="001A268A"/>
    <w:rsid w:val="001A27A0"/>
    <w:rsid w:val="001A4110"/>
    <w:rsid w:val="001A4823"/>
    <w:rsid w:val="001A5E8E"/>
    <w:rsid w:val="001A6B65"/>
    <w:rsid w:val="001B289E"/>
    <w:rsid w:val="001B38AA"/>
    <w:rsid w:val="001B4653"/>
    <w:rsid w:val="001B5474"/>
    <w:rsid w:val="001B62E1"/>
    <w:rsid w:val="001B7375"/>
    <w:rsid w:val="001B79DC"/>
    <w:rsid w:val="001C21E9"/>
    <w:rsid w:val="001C24D8"/>
    <w:rsid w:val="001C2F06"/>
    <w:rsid w:val="001C3E2F"/>
    <w:rsid w:val="001C4F32"/>
    <w:rsid w:val="001C7FFD"/>
    <w:rsid w:val="001D1DC5"/>
    <w:rsid w:val="001D359F"/>
    <w:rsid w:val="001D4152"/>
    <w:rsid w:val="001D73F1"/>
    <w:rsid w:val="001D73FC"/>
    <w:rsid w:val="001E0272"/>
    <w:rsid w:val="001E0750"/>
    <w:rsid w:val="001E1D00"/>
    <w:rsid w:val="001E3AB4"/>
    <w:rsid w:val="001E4A7A"/>
    <w:rsid w:val="001E6C22"/>
    <w:rsid w:val="001F07FE"/>
    <w:rsid w:val="001F1238"/>
    <w:rsid w:val="001F3A19"/>
    <w:rsid w:val="001F6DAB"/>
    <w:rsid w:val="001F74ED"/>
    <w:rsid w:val="002025F9"/>
    <w:rsid w:val="00203001"/>
    <w:rsid w:val="0020310A"/>
    <w:rsid w:val="00207D93"/>
    <w:rsid w:val="00207DFD"/>
    <w:rsid w:val="0021006A"/>
    <w:rsid w:val="0021043B"/>
    <w:rsid w:val="00210D9C"/>
    <w:rsid w:val="00213DA9"/>
    <w:rsid w:val="00215014"/>
    <w:rsid w:val="0021503E"/>
    <w:rsid w:val="00215302"/>
    <w:rsid w:val="002208E6"/>
    <w:rsid w:val="00221C7A"/>
    <w:rsid w:val="00223616"/>
    <w:rsid w:val="00224D20"/>
    <w:rsid w:val="0022616A"/>
    <w:rsid w:val="0022658D"/>
    <w:rsid w:val="002302FE"/>
    <w:rsid w:val="002324D8"/>
    <w:rsid w:val="0023431C"/>
    <w:rsid w:val="00234C43"/>
    <w:rsid w:val="002352CB"/>
    <w:rsid w:val="00241863"/>
    <w:rsid w:val="00241B3E"/>
    <w:rsid w:val="00242A55"/>
    <w:rsid w:val="00244236"/>
    <w:rsid w:val="00244E0C"/>
    <w:rsid w:val="00245F41"/>
    <w:rsid w:val="002460E4"/>
    <w:rsid w:val="00246550"/>
    <w:rsid w:val="002502C6"/>
    <w:rsid w:val="00251011"/>
    <w:rsid w:val="00252BE4"/>
    <w:rsid w:val="00252D5A"/>
    <w:rsid w:val="00252E28"/>
    <w:rsid w:val="00253F57"/>
    <w:rsid w:val="002542FE"/>
    <w:rsid w:val="002545D9"/>
    <w:rsid w:val="00256891"/>
    <w:rsid w:val="0026352B"/>
    <w:rsid w:val="0026379C"/>
    <w:rsid w:val="002647BA"/>
    <w:rsid w:val="002649FB"/>
    <w:rsid w:val="00266132"/>
    <w:rsid w:val="00266E3C"/>
    <w:rsid w:val="002674DA"/>
    <w:rsid w:val="00270A49"/>
    <w:rsid w:val="00270C35"/>
    <w:rsid w:val="00272076"/>
    <w:rsid w:val="002800B0"/>
    <w:rsid w:val="00281943"/>
    <w:rsid w:val="00283350"/>
    <w:rsid w:val="00285006"/>
    <w:rsid w:val="0029061C"/>
    <w:rsid w:val="00291E35"/>
    <w:rsid w:val="00292891"/>
    <w:rsid w:val="00292B9B"/>
    <w:rsid w:val="002964D6"/>
    <w:rsid w:val="002A1078"/>
    <w:rsid w:val="002A113C"/>
    <w:rsid w:val="002A227E"/>
    <w:rsid w:val="002A2282"/>
    <w:rsid w:val="002A24BB"/>
    <w:rsid w:val="002A3906"/>
    <w:rsid w:val="002A68B4"/>
    <w:rsid w:val="002A6AAE"/>
    <w:rsid w:val="002A7F73"/>
    <w:rsid w:val="002B0C3F"/>
    <w:rsid w:val="002B0D90"/>
    <w:rsid w:val="002B6BB7"/>
    <w:rsid w:val="002C0916"/>
    <w:rsid w:val="002C0F0C"/>
    <w:rsid w:val="002C135A"/>
    <w:rsid w:val="002C560B"/>
    <w:rsid w:val="002C63F6"/>
    <w:rsid w:val="002D0868"/>
    <w:rsid w:val="002D0FE1"/>
    <w:rsid w:val="002D1A0B"/>
    <w:rsid w:val="002D2980"/>
    <w:rsid w:val="002D2AF8"/>
    <w:rsid w:val="002D5381"/>
    <w:rsid w:val="002D635D"/>
    <w:rsid w:val="002D6D4A"/>
    <w:rsid w:val="002D7419"/>
    <w:rsid w:val="002D7893"/>
    <w:rsid w:val="002E0678"/>
    <w:rsid w:val="002E0D6A"/>
    <w:rsid w:val="002E36D1"/>
    <w:rsid w:val="002E3DFD"/>
    <w:rsid w:val="002E5375"/>
    <w:rsid w:val="002E6A5D"/>
    <w:rsid w:val="002F0723"/>
    <w:rsid w:val="002F1CD1"/>
    <w:rsid w:val="002F1D85"/>
    <w:rsid w:val="002F2BA1"/>
    <w:rsid w:val="002F7BC6"/>
    <w:rsid w:val="003015B1"/>
    <w:rsid w:val="00301CD1"/>
    <w:rsid w:val="00304089"/>
    <w:rsid w:val="00304461"/>
    <w:rsid w:val="003049FD"/>
    <w:rsid w:val="00306421"/>
    <w:rsid w:val="00312258"/>
    <w:rsid w:val="00313974"/>
    <w:rsid w:val="0031654E"/>
    <w:rsid w:val="003165F0"/>
    <w:rsid w:val="00317122"/>
    <w:rsid w:val="00317FD4"/>
    <w:rsid w:val="00321FE3"/>
    <w:rsid w:val="00322CB2"/>
    <w:rsid w:val="00324A87"/>
    <w:rsid w:val="00324B5F"/>
    <w:rsid w:val="003260E8"/>
    <w:rsid w:val="003271A7"/>
    <w:rsid w:val="0033396F"/>
    <w:rsid w:val="00333E16"/>
    <w:rsid w:val="00334FE6"/>
    <w:rsid w:val="00335AA5"/>
    <w:rsid w:val="0033749C"/>
    <w:rsid w:val="0034023B"/>
    <w:rsid w:val="00343166"/>
    <w:rsid w:val="00343704"/>
    <w:rsid w:val="003447B8"/>
    <w:rsid w:val="003447E5"/>
    <w:rsid w:val="003454A3"/>
    <w:rsid w:val="00347D68"/>
    <w:rsid w:val="00351DBB"/>
    <w:rsid w:val="00351E7D"/>
    <w:rsid w:val="003521FD"/>
    <w:rsid w:val="003545AD"/>
    <w:rsid w:val="00354C6A"/>
    <w:rsid w:val="00356EE7"/>
    <w:rsid w:val="0035770C"/>
    <w:rsid w:val="00361C19"/>
    <w:rsid w:val="00366740"/>
    <w:rsid w:val="00367A39"/>
    <w:rsid w:val="00371AE6"/>
    <w:rsid w:val="00371DCE"/>
    <w:rsid w:val="00373AE7"/>
    <w:rsid w:val="00375663"/>
    <w:rsid w:val="00375BDD"/>
    <w:rsid w:val="00375E85"/>
    <w:rsid w:val="003772BF"/>
    <w:rsid w:val="003804E2"/>
    <w:rsid w:val="00380AE2"/>
    <w:rsid w:val="00382DDB"/>
    <w:rsid w:val="0038364E"/>
    <w:rsid w:val="0038529C"/>
    <w:rsid w:val="0038558B"/>
    <w:rsid w:val="0038582E"/>
    <w:rsid w:val="00386025"/>
    <w:rsid w:val="00386745"/>
    <w:rsid w:val="003914FC"/>
    <w:rsid w:val="003916FB"/>
    <w:rsid w:val="003919E6"/>
    <w:rsid w:val="003921E0"/>
    <w:rsid w:val="00392973"/>
    <w:rsid w:val="00392CD7"/>
    <w:rsid w:val="00392F87"/>
    <w:rsid w:val="0039551E"/>
    <w:rsid w:val="003969CC"/>
    <w:rsid w:val="003973BF"/>
    <w:rsid w:val="003979F7"/>
    <w:rsid w:val="003A078D"/>
    <w:rsid w:val="003A1411"/>
    <w:rsid w:val="003A280F"/>
    <w:rsid w:val="003A2ADB"/>
    <w:rsid w:val="003A516F"/>
    <w:rsid w:val="003A7631"/>
    <w:rsid w:val="003B10B8"/>
    <w:rsid w:val="003B5AE2"/>
    <w:rsid w:val="003B5B49"/>
    <w:rsid w:val="003B6334"/>
    <w:rsid w:val="003B79B2"/>
    <w:rsid w:val="003B7D44"/>
    <w:rsid w:val="003C3633"/>
    <w:rsid w:val="003C4BAE"/>
    <w:rsid w:val="003C4EA9"/>
    <w:rsid w:val="003C6196"/>
    <w:rsid w:val="003D0901"/>
    <w:rsid w:val="003D14B2"/>
    <w:rsid w:val="003D178C"/>
    <w:rsid w:val="003D25B9"/>
    <w:rsid w:val="003D3087"/>
    <w:rsid w:val="003D5DF2"/>
    <w:rsid w:val="003D7524"/>
    <w:rsid w:val="003D7A94"/>
    <w:rsid w:val="003E0B62"/>
    <w:rsid w:val="003E0D5F"/>
    <w:rsid w:val="003E2D99"/>
    <w:rsid w:val="003E3DA5"/>
    <w:rsid w:val="003E433E"/>
    <w:rsid w:val="003E51DF"/>
    <w:rsid w:val="003E5374"/>
    <w:rsid w:val="003E5F99"/>
    <w:rsid w:val="003E62BE"/>
    <w:rsid w:val="003F0CF3"/>
    <w:rsid w:val="003F110C"/>
    <w:rsid w:val="003F3E1C"/>
    <w:rsid w:val="003F4819"/>
    <w:rsid w:val="003F6095"/>
    <w:rsid w:val="00402310"/>
    <w:rsid w:val="00403405"/>
    <w:rsid w:val="004070E7"/>
    <w:rsid w:val="00407EC2"/>
    <w:rsid w:val="004116C2"/>
    <w:rsid w:val="00412622"/>
    <w:rsid w:val="00413682"/>
    <w:rsid w:val="00413BFE"/>
    <w:rsid w:val="00414695"/>
    <w:rsid w:val="00414C92"/>
    <w:rsid w:val="00414F2E"/>
    <w:rsid w:val="0041559E"/>
    <w:rsid w:val="00415E8D"/>
    <w:rsid w:val="0042138E"/>
    <w:rsid w:val="00422441"/>
    <w:rsid w:val="00425CE6"/>
    <w:rsid w:val="00430968"/>
    <w:rsid w:val="004311F3"/>
    <w:rsid w:val="00432C26"/>
    <w:rsid w:val="00433961"/>
    <w:rsid w:val="0043479D"/>
    <w:rsid w:val="00436084"/>
    <w:rsid w:val="004362C1"/>
    <w:rsid w:val="00436425"/>
    <w:rsid w:val="004364B7"/>
    <w:rsid w:val="00436D97"/>
    <w:rsid w:val="00440451"/>
    <w:rsid w:val="00442185"/>
    <w:rsid w:val="004438B5"/>
    <w:rsid w:val="0044610E"/>
    <w:rsid w:val="004461C9"/>
    <w:rsid w:val="00450092"/>
    <w:rsid w:val="00453CBC"/>
    <w:rsid w:val="00456866"/>
    <w:rsid w:val="00460E4A"/>
    <w:rsid w:val="0046105C"/>
    <w:rsid w:val="00461EC4"/>
    <w:rsid w:val="00466FA4"/>
    <w:rsid w:val="00472D8E"/>
    <w:rsid w:val="00473ABE"/>
    <w:rsid w:val="00474E0B"/>
    <w:rsid w:val="00475F1C"/>
    <w:rsid w:val="00477BF2"/>
    <w:rsid w:val="00480333"/>
    <w:rsid w:val="00481516"/>
    <w:rsid w:val="0048196E"/>
    <w:rsid w:val="0048303D"/>
    <w:rsid w:val="00485A7A"/>
    <w:rsid w:val="00486F66"/>
    <w:rsid w:val="00487D0E"/>
    <w:rsid w:val="0049016A"/>
    <w:rsid w:val="00492DC0"/>
    <w:rsid w:val="00494B4E"/>
    <w:rsid w:val="0049695D"/>
    <w:rsid w:val="004A09A6"/>
    <w:rsid w:val="004A0EFA"/>
    <w:rsid w:val="004A1378"/>
    <w:rsid w:val="004A1B4D"/>
    <w:rsid w:val="004A44DD"/>
    <w:rsid w:val="004A63E5"/>
    <w:rsid w:val="004A70F7"/>
    <w:rsid w:val="004A7193"/>
    <w:rsid w:val="004B2B2E"/>
    <w:rsid w:val="004B32B3"/>
    <w:rsid w:val="004B4CA7"/>
    <w:rsid w:val="004C0161"/>
    <w:rsid w:val="004C3006"/>
    <w:rsid w:val="004C40AD"/>
    <w:rsid w:val="004C4F80"/>
    <w:rsid w:val="004C609C"/>
    <w:rsid w:val="004D0F81"/>
    <w:rsid w:val="004D265D"/>
    <w:rsid w:val="004D389B"/>
    <w:rsid w:val="004D455C"/>
    <w:rsid w:val="004D4A7A"/>
    <w:rsid w:val="004D4FC9"/>
    <w:rsid w:val="004D5698"/>
    <w:rsid w:val="004D67D8"/>
    <w:rsid w:val="004E1A05"/>
    <w:rsid w:val="004E2271"/>
    <w:rsid w:val="004E2D0D"/>
    <w:rsid w:val="004E3175"/>
    <w:rsid w:val="004E3D99"/>
    <w:rsid w:val="004E4259"/>
    <w:rsid w:val="004E4B39"/>
    <w:rsid w:val="004E6618"/>
    <w:rsid w:val="004E6D9E"/>
    <w:rsid w:val="004E74DF"/>
    <w:rsid w:val="004F2830"/>
    <w:rsid w:val="004F40B9"/>
    <w:rsid w:val="004F4230"/>
    <w:rsid w:val="004F5A5A"/>
    <w:rsid w:val="004F5EB2"/>
    <w:rsid w:val="00500895"/>
    <w:rsid w:val="00502717"/>
    <w:rsid w:val="005028DA"/>
    <w:rsid w:val="00502FE0"/>
    <w:rsid w:val="00503539"/>
    <w:rsid w:val="00506EC8"/>
    <w:rsid w:val="00507423"/>
    <w:rsid w:val="00513C0D"/>
    <w:rsid w:val="0052142E"/>
    <w:rsid w:val="00521821"/>
    <w:rsid w:val="00524D4A"/>
    <w:rsid w:val="00524F70"/>
    <w:rsid w:val="00525AAF"/>
    <w:rsid w:val="00526EC4"/>
    <w:rsid w:val="00531671"/>
    <w:rsid w:val="00533559"/>
    <w:rsid w:val="00535606"/>
    <w:rsid w:val="00535DBA"/>
    <w:rsid w:val="00536EEE"/>
    <w:rsid w:val="0053723A"/>
    <w:rsid w:val="005376CF"/>
    <w:rsid w:val="00540C86"/>
    <w:rsid w:val="00542793"/>
    <w:rsid w:val="005430E4"/>
    <w:rsid w:val="00543883"/>
    <w:rsid w:val="00544920"/>
    <w:rsid w:val="005455A2"/>
    <w:rsid w:val="00545D98"/>
    <w:rsid w:val="00546AB9"/>
    <w:rsid w:val="00547607"/>
    <w:rsid w:val="00550132"/>
    <w:rsid w:val="00550994"/>
    <w:rsid w:val="00551D1E"/>
    <w:rsid w:val="00555548"/>
    <w:rsid w:val="00560F32"/>
    <w:rsid w:val="00561708"/>
    <w:rsid w:val="00562309"/>
    <w:rsid w:val="005650A9"/>
    <w:rsid w:val="005669CC"/>
    <w:rsid w:val="00567003"/>
    <w:rsid w:val="0056734E"/>
    <w:rsid w:val="00567603"/>
    <w:rsid w:val="00572DC6"/>
    <w:rsid w:val="00573440"/>
    <w:rsid w:val="00573C97"/>
    <w:rsid w:val="005748BC"/>
    <w:rsid w:val="0057602B"/>
    <w:rsid w:val="0057654F"/>
    <w:rsid w:val="0057749B"/>
    <w:rsid w:val="00577D99"/>
    <w:rsid w:val="00581B28"/>
    <w:rsid w:val="00582C4A"/>
    <w:rsid w:val="00587029"/>
    <w:rsid w:val="00594424"/>
    <w:rsid w:val="00596FFC"/>
    <w:rsid w:val="005A01D8"/>
    <w:rsid w:val="005A18D6"/>
    <w:rsid w:val="005A5567"/>
    <w:rsid w:val="005A60B8"/>
    <w:rsid w:val="005A7BA5"/>
    <w:rsid w:val="005B0DD1"/>
    <w:rsid w:val="005B10F3"/>
    <w:rsid w:val="005B1166"/>
    <w:rsid w:val="005B135C"/>
    <w:rsid w:val="005B3496"/>
    <w:rsid w:val="005B38B7"/>
    <w:rsid w:val="005B394E"/>
    <w:rsid w:val="005B3E82"/>
    <w:rsid w:val="005B6767"/>
    <w:rsid w:val="005B745B"/>
    <w:rsid w:val="005C0801"/>
    <w:rsid w:val="005C0AD8"/>
    <w:rsid w:val="005C0CEA"/>
    <w:rsid w:val="005C7AE3"/>
    <w:rsid w:val="005D2153"/>
    <w:rsid w:val="005D3377"/>
    <w:rsid w:val="005D6A45"/>
    <w:rsid w:val="005D7712"/>
    <w:rsid w:val="005E232F"/>
    <w:rsid w:val="005E3F78"/>
    <w:rsid w:val="005E50F7"/>
    <w:rsid w:val="005F24D9"/>
    <w:rsid w:val="005F26ED"/>
    <w:rsid w:val="005F2BEE"/>
    <w:rsid w:val="005F6433"/>
    <w:rsid w:val="0060107B"/>
    <w:rsid w:val="00603102"/>
    <w:rsid w:val="006034F4"/>
    <w:rsid w:val="0060476A"/>
    <w:rsid w:val="006110A4"/>
    <w:rsid w:val="00611145"/>
    <w:rsid w:val="006113A7"/>
    <w:rsid w:val="0061152E"/>
    <w:rsid w:val="00611ED2"/>
    <w:rsid w:val="00612167"/>
    <w:rsid w:val="006121B3"/>
    <w:rsid w:val="006129D9"/>
    <w:rsid w:val="00612CDA"/>
    <w:rsid w:val="0061349C"/>
    <w:rsid w:val="00613788"/>
    <w:rsid w:val="00613CE1"/>
    <w:rsid w:val="00617DFE"/>
    <w:rsid w:val="00621885"/>
    <w:rsid w:val="00622853"/>
    <w:rsid w:val="00622C34"/>
    <w:rsid w:val="0062399F"/>
    <w:rsid w:val="00625E54"/>
    <w:rsid w:val="00630925"/>
    <w:rsid w:val="0063127E"/>
    <w:rsid w:val="00632551"/>
    <w:rsid w:val="00633E21"/>
    <w:rsid w:val="00633EA4"/>
    <w:rsid w:val="00635937"/>
    <w:rsid w:val="00636B5A"/>
    <w:rsid w:val="0064095B"/>
    <w:rsid w:val="006412D0"/>
    <w:rsid w:val="00642A57"/>
    <w:rsid w:val="00643248"/>
    <w:rsid w:val="00643715"/>
    <w:rsid w:val="00644AD8"/>
    <w:rsid w:val="00647EEC"/>
    <w:rsid w:val="006519E9"/>
    <w:rsid w:val="0065392B"/>
    <w:rsid w:val="0066040D"/>
    <w:rsid w:val="00663084"/>
    <w:rsid w:val="00666B2C"/>
    <w:rsid w:val="00670778"/>
    <w:rsid w:val="00670FF2"/>
    <w:rsid w:val="00675435"/>
    <w:rsid w:val="0067670D"/>
    <w:rsid w:val="00677ADD"/>
    <w:rsid w:val="0068046E"/>
    <w:rsid w:val="00681700"/>
    <w:rsid w:val="00682474"/>
    <w:rsid w:val="006919A9"/>
    <w:rsid w:val="006919D4"/>
    <w:rsid w:val="00693132"/>
    <w:rsid w:val="006936FB"/>
    <w:rsid w:val="006950B2"/>
    <w:rsid w:val="00696485"/>
    <w:rsid w:val="00696DEC"/>
    <w:rsid w:val="0069711C"/>
    <w:rsid w:val="0069783C"/>
    <w:rsid w:val="006A02A3"/>
    <w:rsid w:val="006A3E5B"/>
    <w:rsid w:val="006A6A0B"/>
    <w:rsid w:val="006A7764"/>
    <w:rsid w:val="006B1D1D"/>
    <w:rsid w:val="006B3793"/>
    <w:rsid w:val="006B3B3F"/>
    <w:rsid w:val="006B3B82"/>
    <w:rsid w:val="006B463B"/>
    <w:rsid w:val="006B5185"/>
    <w:rsid w:val="006B51CC"/>
    <w:rsid w:val="006B77B2"/>
    <w:rsid w:val="006C00E9"/>
    <w:rsid w:val="006C3C1C"/>
    <w:rsid w:val="006C489E"/>
    <w:rsid w:val="006C61D8"/>
    <w:rsid w:val="006C68CD"/>
    <w:rsid w:val="006D2386"/>
    <w:rsid w:val="006D345D"/>
    <w:rsid w:val="006D3A21"/>
    <w:rsid w:val="006D3D44"/>
    <w:rsid w:val="006D4560"/>
    <w:rsid w:val="006D52BA"/>
    <w:rsid w:val="006D7FF3"/>
    <w:rsid w:val="006E246B"/>
    <w:rsid w:val="006E289D"/>
    <w:rsid w:val="006E2EE4"/>
    <w:rsid w:val="006E76DA"/>
    <w:rsid w:val="006F07DB"/>
    <w:rsid w:val="006F19D1"/>
    <w:rsid w:val="006F1D08"/>
    <w:rsid w:val="006F2273"/>
    <w:rsid w:val="006F65B9"/>
    <w:rsid w:val="006F75D3"/>
    <w:rsid w:val="007022B5"/>
    <w:rsid w:val="00705709"/>
    <w:rsid w:val="00706307"/>
    <w:rsid w:val="0070634C"/>
    <w:rsid w:val="007072DA"/>
    <w:rsid w:val="007078BF"/>
    <w:rsid w:val="0071204C"/>
    <w:rsid w:val="00712A21"/>
    <w:rsid w:val="007136B1"/>
    <w:rsid w:val="007136C2"/>
    <w:rsid w:val="007156A9"/>
    <w:rsid w:val="007159CC"/>
    <w:rsid w:val="0072353D"/>
    <w:rsid w:val="0072614A"/>
    <w:rsid w:val="007261B5"/>
    <w:rsid w:val="007270F4"/>
    <w:rsid w:val="0072720E"/>
    <w:rsid w:val="00731201"/>
    <w:rsid w:val="007312FA"/>
    <w:rsid w:val="007324F1"/>
    <w:rsid w:val="00732BD5"/>
    <w:rsid w:val="007350C3"/>
    <w:rsid w:val="00737F22"/>
    <w:rsid w:val="007432B1"/>
    <w:rsid w:val="00746039"/>
    <w:rsid w:val="0074708F"/>
    <w:rsid w:val="00747F51"/>
    <w:rsid w:val="0075556E"/>
    <w:rsid w:val="0075648A"/>
    <w:rsid w:val="007569E1"/>
    <w:rsid w:val="0075753B"/>
    <w:rsid w:val="00760F02"/>
    <w:rsid w:val="007658E1"/>
    <w:rsid w:val="007703C1"/>
    <w:rsid w:val="0077128B"/>
    <w:rsid w:val="007714F6"/>
    <w:rsid w:val="00771B9A"/>
    <w:rsid w:val="00772B50"/>
    <w:rsid w:val="007746C8"/>
    <w:rsid w:val="00776153"/>
    <w:rsid w:val="007778BA"/>
    <w:rsid w:val="00777ED0"/>
    <w:rsid w:val="0078010D"/>
    <w:rsid w:val="00781AC2"/>
    <w:rsid w:val="00781D6D"/>
    <w:rsid w:val="00782CC4"/>
    <w:rsid w:val="00783099"/>
    <w:rsid w:val="00784CDB"/>
    <w:rsid w:val="00784D3E"/>
    <w:rsid w:val="0078685D"/>
    <w:rsid w:val="00786BE5"/>
    <w:rsid w:val="007912DD"/>
    <w:rsid w:val="00791C61"/>
    <w:rsid w:val="00791D27"/>
    <w:rsid w:val="007939CD"/>
    <w:rsid w:val="007940F2"/>
    <w:rsid w:val="00794F91"/>
    <w:rsid w:val="00797D09"/>
    <w:rsid w:val="007A04F7"/>
    <w:rsid w:val="007A0BCF"/>
    <w:rsid w:val="007A26AA"/>
    <w:rsid w:val="007A2F0D"/>
    <w:rsid w:val="007A4A4B"/>
    <w:rsid w:val="007A584A"/>
    <w:rsid w:val="007A731E"/>
    <w:rsid w:val="007A74C2"/>
    <w:rsid w:val="007A78B5"/>
    <w:rsid w:val="007B0ADD"/>
    <w:rsid w:val="007B0DB7"/>
    <w:rsid w:val="007B1009"/>
    <w:rsid w:val="007B1CFA"/>
    <w:rsid w:val="007B56FD"/>
    <w:rsid w:val="007B688F"/>
    <w:rsid w:val="007C18C3"/>
    <w:rsid w:val="007C1A45"/>
    <w:rsid w:val="007C1B0F"/>
    <w:rsid w:val="007C284C"/>
    <w:rsid w:val="007C565A"/>
    <w:rsid w:val="007C5FE5"/>
    <w:rsid w:val="007D0628"/>
    <w:rsid w:val="007D26C8"/>
    <w:rsid w:val="007D3659"/>
    <w:rsid w:val="007D4AE2"/>
    <w:rsid w:val="007D6232"/>
    <w:rsid w:val="007D7EFF"/>
    <w:rsid w:val="007E230D"/>
    <w:rsid w:val="007E4F2B"/>
    <w:rsid w:val="007E5142"/>
    <w:rsid w:val="007F62CA"/>
    <w:rsid w:val="00801605"/>
    <w:rsid w:val="00802C01"/>
    <w:rsid w:val="00802F61"/>
    <w:rsid w:val="0081002C"/>
    <w:rsid w:val="00810422"/>
    <w:rsid w:val="00811F9C"/>
    <w:rsid w:val="00815054"/>
    <w:rsid w:val="00817051"/>
    <w:rsid w:val="00820678"/>
    <w:rsid w:val="00821816"/>
    <w:rsid w:val="008220F0"/>
    <w:rsid w:val="0082482C"/>
    <w:rsid w:val="00825F6F"/>
    <w:rsid w:val="00827441"/>
    <w:rsid w:val="0083021D"/>
    <w:rsid w:val="008336F2"/>
    <w:rsid w:val="00833CFF"/>
    <w:rsid w:val="0083439F"/>
    <w:rsid w:val="00836E04"/>
    <w:rsid w:val="00837CEF"/>
    <w:rsid w:val="00837D20"/>
    <w:rsid w:val="00840084"/>
    <w:rsid w:val="00842044"/>
    <w:rsid w:val="0084242A"/>
    <w:rsid w:val="00845945"/>
    <w:rsid w:val="00845F88"/>
    <w:rsid w:val="00847527"/>
    <w:rsid w:val="00847AEF"/>
    <w:rsid w:val="008502B1"/>
    <w:rsid w:val="00851D0B"/>
    <w:rsid w:val="00854080"/>
    <w:rsid w:val="00855050"/>
    <w:rsid w:val="008553C3"/>
    <w:rsid w:val="00856B5D"/>
    <w:rsid w:val="008604F2"/>
    <w:rsid w:val="008622BF"/>
    <w:rsid w:val="00863E4A"/>
    <w:rsid w:val="00864011"/>
    <w:rsid w:val="00865822"/>
    <w:rsid w:val="00866D6C"/>
    <w:rsid w:val="00867693"/>
    <w:rsid w:val="00871B5C"/>
    <w:rsid w:val="00873EC6"/>
    <w:rsid w:val="00874726"/>
    <w:rsid w:val="00875DBE"/>
    <w:rsid w:val="008767D2"/>
    <w:rsid w:val="00881D03"/>
    <w:rsid w:val="00881D4F"/>
    <w:rsid w:val="0088390B"/>
    <w:rsid w:val="008842C7"/>
    <w:rsid w:val="00885370"/>
    <w:rsid w:val="008854A2"/>
    <w:rsid w:val="008876B4"/>
    <w:rsid w:val="00891958"/>
    <w:rsid w:val="00891E46"/>
    <w:rsid w:val="00897376"/>
    <w:rsid w:val="008A16DC"/>
    <w:rsid w:val="008A1F75"/>
    <w:rsid w:val="008A21BF"/>
    <w:rsid w:val="008A3CA7"/>
    <w:rsid w:val="008A50EB"/>
    <w:rsid w:val="008A5CEA"/>
    <w:rsid w:val="008A73CA"/>
    <w:rsid w:val="008B2F44"/>
    <w:rsid w:val="008B3AB1"/>
    <w:rsid w:val="008B4C1E"/>
    <w:rsid w:val="008B72EF"/>
    <w:rsid w:val="008C0D73"/>
    <w:rsid w:val="008C171A"/>
    <w:rsid w:val="008C23CA"/>
    <w:rsid w:val="008C2E5A"/>
    <w:rsid w:val="008C3DA2"/>
    <w:rsid w:val="008C5478"/>
    <w:rsid w:val="008C6424"/>
    <w:rsid w:val="008C698C"/>
    <w:rsid w:val="008C7721"/>
    <w:rsid w:val="008C772A"/>
    <w:rsid w:val="008C7A46"/>
    <w:rsid w:val="008D044E"/>
    <w:rsid w:val="008D1994"/>
    <w:rsid w:val="008D25B9"/>
    <w:rsid w:val="008D2E96"/>
    <w:rsid w:val="008D3828"/>
    <w:rsid w:val="008D6381"/>
    <w:rsid w:val="008E3D97"/>
    <w:rsid w:val="008E4AFA"/>
    <w:rsid w:val="008E5524"/>
    <w:rsid w:val="008E5F31"/>
    <w:rsid w:val="008E638C"/>
    <w:rsid w:val="008E6A75"/>
    <w:rsid w:val="008E7AAC"/>
    <w:rsid w:val="008F0195"/>
    <w:rsid w:val="008F1629"/>
    <w:rsid w:val="008F2C4F"/>
    <w:rsid w:val="008F45F3"/>
    <w:rsid w:val="008F5D34"/>
    <w:rsid w:val="0090079B"/>
    <w:rsid w:val="00900BB7"/>
    <w:rsid w:val="00901228"/>
    <w:rsid w:val="00901C73"/>
    <w:rsid w:val="00902067"/>
    <w:rsid w:val="00902D43"/>
    <w:rsid w:val="009043D9"/>
    <w:rsid w:val="00906CD2"/>
    <w:rsid w:val="00907474"/>
    <w:rsid w:val="009101B4"/>
    <w:rsid w:val="00910B39"/>
    <w:rsid w:val="009112E4"/>
    <w:rsid w:val="00914C57"/>
    <w:rsid w:val="00915A5F"/>
    <w:rsid w:val="00916DB6"/>
    <w:rsid w:val="00920D68"/>
    <w:rsid w:val="00924320"/>
    <w:rsid w:val="00924C16"/>
    <w:rsid w:val="0092670C"/>
    <w:rsid w:val="0092689B"/>
    <w:rsid w:val="00926AD9"/>
    <w:rsid w:val="00926E89"/>
    <w:rsid w:val="00930BCC"/>
    <w:rsid w:val="00932160"/>
    <w:rsid w:val="00935752"/>
    <w:rsid w:val="00936063"/>
    <w:rsid w:val="0094234F"/>
    <w:rsid w:val="00942F81"/>
    <w:rsid w:val="00943325"/>
    <w:rsid w:val="00946082"/>
    <w:rsid w:val="00947D96"/>
    <w:rsid w:val="00950819"/>
    <w:rsid w:val="00953954"/>
    <w:rsid w:val="00953A31"/>
    <w:rsid w:val="00954036"/>
    <w:rsid w:val="009541ED"/>
    <w:rsid w:val="009572B9"/>
    <w:rsid w:val="00966A4E"/>
    <w:rsid w:val="00967498"/>
    <w:rsid w:val="00970099"/>
    <w:rsid w:val="009700EC"/>
    <w:rsid w:val="009703CF"/>
    <w:rsid w:val="009757C5"/>
    <w:rsid w:val="0097640D"/>
    <w:rsid w:val="00980089"/>
    <w:rsid w:val="0098172D"/>
    <w:rsid w:val="00981958"/>
    <w:rsid w:val="00983692"/>
    <w:rsid w:val="009852BD"/>
    <w:rsid w:val="00985B32"/>
    <w:rsid w:val="00990983"/>
    <w:rsid w:val="009912E6"/>
    <w:rsid w:val="00991A55"/>
    <w:rsid w:val="00994D67"/>
    <w:rsid w:val="009A0096"/>
    <w:rsid w:val="009A3BED"/>
    <w:rsid w:val="009A410D"/>
    <w:rsid w:val="009A69A0"/>
    <w:rsid w:val="009A79D9"/>
    <w:rsid w:val="009B2101"/>
    <w:rsid w:val="009B2753"/>
    <w:rsid w:val="009B2F35"/>
    <w:rsid w:val="009B414D"/>
    <w:rsid w:val="009B43B8"/>
    <w:rsid w:val="009C0FF9"/>
    <w:rsid w:val="009C283E"/>
    <w:rsid w:val="009C4259"/>
    <w:rsid w:val="009C4A4B"/>
    <w:rsid w:val="009D0856"/>
    <w:rsid w:val="009D3EE3"/>
    <w:rsid w:val="009D6745"/>
    <w:rsid w:val="009D6AAB"/>
    <w:rsid w:val="009E1BDA"/>
    <w:rsid w:val="009E2D6E"/>
    <w:rsid w:val="009E3CE3"/>
    <w:rsid w:val="009E58F1"/>
    <w:rsid w:val="009E7AAA"/>
    <w:rsid w:val="009F1855"/>
    <w:rsid w:val="009F3370"/>
    <w:rsid w:val="009F354C"/>
    <w:rsid w:val="009F370A"/>
    <w:rsid w:val="009F4306"/>
    <w:rsid w:val="009F7B95"/>
    <w:rsid w:val="009F7FFC"/>
    <w:rsid w:val="00A02FA3"/>
    <w:rsid w:val="00A05139"/>
    <w:rsid w:val="00A10A69"/>
    <w:rsid w:val="00A112C1"/>
    <w:rsid w:val="00A123A6"/>
    <w:rsid w:val="00A12E96"/>
    <w:rsid w:val="00A14071"/>
    <w:rsid w:val="00A159A3"/>
    <w:rsid w:val="00A20248"/>
    <w:rsid w:val="00A20ACF"/>
    <w:rsid w:val="00A217AC"/>
    <w:rsid w:val="00A21D53"/>
    <w:rsid w:val="00A224E1"/>
    <w:rsid w:val="00A2291A"/>
    <w:rsid w:val="00A24E3C"/>
    <w:rsid w:val="00A256A7"/>
    <w:rsid w:val="00A272B1"/>
    <w:rsid w:val="00A2796B"/>
    <w:rsid w:val="00A309F4"/>
    <w:rsid w:val="00A30F89"/>
    <w:rsid w:val="00A32639"/>
    <w:rsid w:val="00A33FD3"/>
    <w:rsid w:val="00A34CD8"/>
    <w:rsid w:val="00A34F1D"/>
    <w:rsid w:val="00A35127"/>
    <w:rsid w:val="00A36115"/>
    <w:rsid w:val="00A3674E"/>
    <w:rsid w:val="00A4020E"/>
    <w:rsid w:val="00A42286"/>
    <w:rsid w:val="00A425F5"/>
    <w:rsid w:val="00A4268C"/>
    <w:rsid w:val="00A4745D"/>
    <w:rsid w:val="00A474EC"/>
    <w:rsid w:val="00A47670"/>
    <w:rsid w:val="00A47816"/>
    <w:rsid w:val="00A47E94"/>
    <w:rsid w:val="00A559D0"/>
    <w:rsid w:val="00A5601D"/>
    <w:rsid w:val="00A60DD2"/>
    <w:rsid w:val="00A6258A"/>
    <w:rsid w:val="00A628CA"/>
    <w:rsid w:val="00A7106C"/>
    <w:rsid w:val="00A7312F"/>
    <w:rsid w:val="00A733DD"/>
    <w:rsid w:val="00A736A4"/>
    <w:rsid w:val="00A73CB8"/>
    <w:rsid w:val="00A7448B"/>
    <w:rsid w:val="00A75036"/>
    <w:rsid w:val="00A76AA8"/>
    <w:rsid w:val="00A76FFD"/>
    <w:rsid w:val="00A81818"/>
    <w:rsid w:val="00A85B7A"/>
    <w:rsid w:val="00A87E3F"/>
    <w:rsid w:val="00A906E3"/>
    <w:rsid w:val="00A90ADF"/>
    <w:rsid w:val="00A912F4"/>
    <w:rsid w:val="00A92D63"/>
    <w:rsid w:val="00A93615"/>
    <w:rsid w:val="00A93B24"/>
    <w:rsid w:val="00A94A76"/>
    <w:rsid w:val="00A94E95"/>
    <w:rsid w:val="00A972FB"/>
    <w:rsid w:val="00AA288B"/>
    <w:rsid w:val="00AA4C7E"/>
    <w:rsid w:val="00AA5030"/>
    <w:rsid w:val="00AB081C"/>
    <w:rsid w:val="00AB1B3F"/>
    <w:rsid w:val="00AB1FD3"/>
    <w:rsid w:val="00AB23C3"/>
    <w:rsid w:val="00AB508A"/>
    <w:rsid w:val="00AB5CCA"/>
    <w:rsid w:val="00AB5D32"/>
    <w:rsid w:val="00AC222E"/>
    <w:rsid w:val="00AC448B"/>
    <w:rsid w:val="00AC70B9"/>
    <w:rsid w:val="00AD0E7E"/>
    <w:rsid w:val="00AD1137"/>
    <w:rsid w:val="00AD1603"/>
    <w:rsid w:val="00AD2A10"/>
    <w:rsid w:val="00AD2F5B"/>
    <w:rsid w:val="00AD45CE"/>
    <w:rsid w:val="00AD58B0"/>
    <w:rsid w:val="00AD7CF8"/>
    <w:rsid w:val="00AE020F"/>
    <w:rsid w:val="00AE0A5C"/>
    <w:rsid w:val="00AE0B2D"/>
    <w:rsid w:val="00AE1E38"/>
    <w:rsid w:val="00AE274E"/>
    <w:rsid w:val="00AE5343"/>
    <w:rsid w:val="00AF0965"/>
    <w:rsid w:val="00AF202D"/>
    <w:rsid w:val="00AF6391"/>
    <w:rsid w:val="00AF7390"/>
    <w:rsid w:val="00B016C1"/>
    <w:rsid w:val="00B022E9"/>
    <w:rsid w:val="00B07CA9"/>
    <w:rsid w:val="00B105A6"/>
    <w:rsid w:val="00B11265"/>
    <w:rsid w:val="00B142E6"/>
    <w:rsid w:val="00B14FB5"/>
    <w:rsid w:val="00B150BB"/>
    <w:rsid w:val="00B15CFE"/>
    <w:rsid w:val="00B20EAF"/>
    <w:rsid w:val="00B21726"/>
    <w:rsid w:val="00B22A5A"/>
    <w:rsid w:val="00B22DC2"/>
    <w:rsid w:val="00B23B10"/>
    <w:rsid w:val="00B2667F"/>
    <w:rsid w:val="00B27E05"/>
    <w:rsid w:val="00B305F6"/>
    <w:rsid w:val="00B30AF0"/>
    <w:rsid w:val="00B310F3"/>
    <w:rsid w:val="00B31ADC"/>
    <w:rsid w:val="00B3249D"/>
    <w:rsid w:val="00B33477"/>
    <w:rsid w:val="00B33545"/>
    <w:rsid w:val="00B369BE"/>
    <w:rsid w:val="00B4321E"/>
    <w:rsid w:val="00B43441"/>
    <w:rsid w:val="00B45481"/>
    <w:rsid w:val="00B46ADA"/>
    <w:rsid w:val="00B52735"/>
    <w:rsid w:val="00B56254"/>
    <w:rsid w:val="00B56988"/>
    <w:rsid w:val="00B61BB9"/>
    <w:rsid w:val="00B63D29"/>
    <w:rsid w:val="00B64E6E"/>
    <w:rsid w:val="00B65FC8"/>
    <w:rsid w:val="00B73291"/>
    <w:rsid w:val="00B7502B"/>
    <w:rsid w:val="00B77A79"/>
    <w:rsid w:val="00B77F1E"/>
    <w:rsid w:val="00B80D40"/>
    <w:rsid w:val="00B80EEC"/>
    <w:rsid w:val="00B81626"/>
    <w:rsid w:val="00B82ADD"/>
    <w:rsid w:val="00B9039F"/>
    <w:rsid w:val="00B9187D"/>
    <w:rsid w:val="00B92084"/>
    <w:rsid w:val="00B9356D"/>
    <w:rsid w:val="00B94ED7"/>
    <w:rsid w:val="00B95303"/>
    <w:rsid w:val="00B95AE2"/>
    <w:rsid w:val="00BA1CC9"/>
    <w:rsid w:val="00BA231E"/>
    <w:rsid w:val="00BA2721"/>
    <w:rsid w:val="00BA7B99"/>
    <w:rsid w:val="00BB1395"/>
    <w:rsid w:val="00BB2153"/>
    <w:rsid w:val="00BB5101"/>
    <w:rsid w:val="00BB56D1"/>
    <w:rsid w:val="00BB6CA1"/>
    <w:rsid w:val="00BC4548"/>
    <w:rsid w:val="00BC4E82"/>
    <w:rsid w:val="00BC6D28"/>
    <w:rsid w:val="00BC739D"/>
    <w:rsid w:val="00BD2573"/>
    <w:rsid w:val="00BD2E83"/>
    <w:rsid w:val="00BD7358"/>
    <w:rsid w:val="00BD7991"/>
    <w:rsid w:val="00BD79AA"/>
    <w:rsid w:val="00BE1D32"/>
    <w:rsid w:val="00BE1D88"/>
    <w:rsid w:val="00BE22D2"/>
    <w:rsid w:val="00BE2DC1"/>
    <w:rsid w:val="00BE6052"/>
    <w:rsid w:val="00BE7308"/>
    <w:rsid w:val="00BF1B31"/>
    <w:rsid w:val="00BF31CD"/>
    <w:rsid w:val="00BF6990"/>
    <w:rsid w:val="00C0473D"/>
    <w:rsid w:val="00C05911"/>
    <w:rsid w:val="00C0599C"/>
    <w:rsid w:val="00C07573"/>
    <w:rsid w:val="00C07578"/>
    <w:rsid w:val="00C101EE"/>
    <w:rsid w:val="00C10CE9"/>
    <w:rsid w:val="00C13514"/>
    <w:rsid w:val="00C1356D"/>
    <w:rsid w:val="00C162F3"/>
    <w:rsid w:val="00C165BF"/>
    <w:rsid w:val="00C17407"/>
    <w:rsid w:val="00C211E0"/>
    <w:rsid w:val="00C217F4"/>
    <w:rsid w:val="00C23527"/>
    <w:rsid w:val="00C23D21"/>
    <w:rsid w:val="00C24761"/>
    <w:rsid w:val="00C25064"/>
    <w:rsid w:val="00C25A56"/>
    <w:rsid w:val="00C25BE7"/>
    <w:rsid w:val="00C27FB4"/>
    <w:rsid w:val="00C30D34"/>
    <w:rsid w:val="00C32B7C"/>
    <w:rsid w:val="00C338E4"/>
    <w:rsid w:val="00C3396B"/>
    <w:rsid w:val="00C35C89"/>
    <w:rsid w:val="00C36763"/>
    <w:rsid w:val="00C4018F"/>
    <w:rsid w:val="00C42141"/>
    <w:rsid w:val="00C42BB5"/>
    <w:rsid w:val="00C43044"/>
    <w:rsid w:val="00C47D54"/>
    <w:rsid w:val="00C47EBF"/>
    <w:rsid w:val="00C51227"/>
    <w:rsid w:val="00C52ECB"/>
    <w:rsid w:val="00C53F83"/>
    <w:rsid w:val="00C5446F"/>
    <w:rsid w:val="00C54D2C"/>
    <w:rsid w:val="00C574D6"/>
    <w:rsid w:val="00C576CB"/>
    <w:rsid w:val="00C6048D"/>
    <w:rsid w:val="00C6075A"/>
    <w:rsid w:val="00C62124"/>
    <w:rsid w:val="00C63F70"/>
    <w:rsid w:val="00C673DD"/>
    <w:rsid w:val="00C70F7A"/>
    <w:rsid w:val="00C71D36"/>
    <w:rsid w:val="00C732FA"/>
    <w:rsid w:val="00C76077"/>
    <w:rsid w:val="00C76798"/>
    <w:rsid w:val="00C777F3"/>
    <w:rsid w:val="00C80C41"/>
    <w:rsid w:val="00C8114D"/>
    <w:rsid w:val="00C82CE5"/>
    <w:rsid w:val="00C82EED"/>
    <w:rsid w:val="00C838F2"/>
    <w:rsid w:val="00C87AC5"/>
    <w:rsid w:val="00C93254"/>
    <w:rsid w:val="00C93539"/>
    <w:rsid w:val="00C93FC0"/>
    <w:rsid w:val="00C941BD"/>
    <w:rsid w:val="00C942EB"/>
    <w:rsid w:val="00C95344"/>
    <w:rsid w:val="00C95CDF"/>
    <w:rsid w:val="00C9645A"/>
    <w:rsid w:val="00C97F2C"/>
    <w:rsid w:val="00CA5E10"/>
    <w:rsid w:val="00CA76E3"/>
    <w:rsid w:val="00CA7BB6"/>
    <w:rsid w:val="00CA7F62"/>
    <w:rsid w:val="00CB2487"/>
    <w:rsid w:val="00CB2FAF"/>
    <w:rsid w:val="00CB36CF"/>
    <w:rsid w:val="00CB3BBE"/>
    <w:rsid w:val="00CB439B"/>
    <w:rsid w:val="00CB5981"/>
    <w:rsid w:val="00CB611C"/>
    <w:rsid w:val="00CB6C9C"/>
    <w:rsid w:val="00CB6E4E"/>
    <w:rsid w:val="00CB73A5"/>
    <w:rsid w:val="00CC1025"/>
    <w:rsid w:val="00CC1057"/>
    <w:rsid w:val="00CC3EE4"/>
    <w:rsid w:val="00CC40B8"/>
    <w:rsid w:val="00CC547E"/>
    <w:rsid w:val="00CD185D"/>
    <w:rsid w:val="00CD3AB4"/>
    <w:rsid w:val="00CD40EA"/>
    <w:rsid w:val="00CD641F"/>
    <w:rsid w:val="00CE0838"/>
    <w:rsid w:val="00CE63CB"/>
    <w:rsid w:val="00CE7148"/>
    <w:rsid w:val="00CF3D00"/>
    <w:rsid w:val="00CF71D3"/>
    <w:rsid w:val="00D0117D"/>
    <w:rsid w:val="00D01A28"/>
    <w:rsid w:val="00D0235B"/>
    <w:rsid w:val="00D03E05"/>
    <w:rsid w:val="00D05A04"/>
    <w:rsid w:val="00D0601B"/>
    <w:rsid w:val="00D07380"/>
    <w:rsid w:val="00D12AD3"/>
    <w:rsid w:val="00D12F8C"/>
    <w:rsid w:val="00D14B5A"/>
    <w:rsid w:val="00D173E5"/>
    <w:rsid w:val="00D177BC"/>
    <w:rsid w:val="00D17A14"/>
    <w:rsid w:val="00D23967"/>
    <w:rsid w:val="00D26434"/>
    <w:rsid w:val="00D26A8B"/>
    <w:rsid w:val="00D30146"/>
    <w:rsid w:val="00D30B3C"/>
    <w:rsid w:val="00D30DBF"/>
    <w:rsid w:val="00D31354"/>
    <w:rsid w:val="00D34276"/>
    <w:rsid w:val="00D36290"/>
    <w:rsid w:val="00D37D4E"/>
    <w:rsid w:val="00D416E9"/>
    <w:rsid w:val="00D41EDD"/>
    <w:rsid w:val="00D42C6C"/>
    <w:rsid w:val="00D43058"/>
    <w:rsid w:val="00D44621"/>
    <w:rsid w:val="00D450B1"/>
    <w:rsid w:val="00D45199"/>
    <w:rsid w:val="00D45510"/>
    <w:rsid w:val="00D47A15"/>
    <w:rsid w:val="00D50E13"/>
    <w:rsid w:val="00D51458"/>
    <w:rsid w:val="00D52A84"/>
    <w:rsid w:val="00D53430"/>
    <w:rsid w:val="00D54497"/>
    <w:rsid w:val="00D552FC"/>
    <w:rsid w:val="00D577D0"/>
    <w:rsid w:val="00D57DAB"/>
    <w:rsid w:val="00D60669"/>
    <w:rsid w:val="00D61271"/>
    <w:rsid w:val="00D6452F"/>
    <w:rsid w:val="00D65CB2"/>
    <w:rsid w:val="00D75048"/>
    <w:rsid w:val="00D76073"/>
    <w:rsid w:val="00D7778B"/>
    <w:rsid w:val="00D81DCA"/>
    <w:rsid w:val="00D82442"/>
    <w:rsid w:val="00D8251E"/>
    <w:rsid w:val="00D84E8F"/>
    <w:rsid w:val="00D86EDE"/>
    <w:rsid w:val="00D87EDB"/>
    <w:rsid w:val="00D93951"/>
    <w:rsid w:val="00D9436E"/>
    <w:rsid w:val="00D94A17"/>
    <w:rsid w:val="00D95E8C"/>
    <w:rsid w:val="00D96C33"/>
    <w:rsid w:val="00D97EB4"/>
    <w:rsid w:val="00DA177A"/>
    <w:rsid w:val="00DA1E4F"/>
    <w:rsid w:val="00DA2A51"/>
    <w:rsid w:val="00DA5E1E"/>
    <w:rsid w:val="00DA6E18"/>
    <w:rsid w:val="00DB03F8"/>
    <w:rsid w:val="00DB5A7E"/>
    <w:rsid w:val="00DB5A85"/>
    <w:rsid w:val="00DB6222"/>
    <w:rsid w:val="00DC0C47"/>
    <w:rsid w:val="00DC0C6A"/>
    <w:rsid w:val="00DC0FD5"/>
    <w:rsid w:val="00DC229A"/>
    <w:rsid w:val="00DC2CAC"/>
    <w:rsid w:val="00DD52A5"/>
    <w:rsid w:val="00DD6F27"/>
    <w:rsid w:val="00DE2D46"/>
    <w:rsid w:val="00DE56AD"/>
    <w:rsid w:val="00DF06C6"/>
    <w:rsid w:val="00DF0F11"/>
    <w:rsid w:val="00DF1CDA"/>
    <w:rsid w:val="00DF2F0D"/>
    <w:rsid w:val="00E12FB8"/>
    <w:rsid w:val="00E131D9"/>
    <w:rsid w:val="00E14C0E"/>
    <w:rsid w:val="00E16436"/>
    <w:rsid w:val="00E268DC"/>
    <w:rsid w:val="00E27244"/>
    <w:rsid w:val="00E27D9B"/>
    <w:rsid w:val="00E32FFB"/>
    <w:rsid w:val="00E35E4D"/>
    <w:rsid w:val="00E36EBD"/>
    <w:rsid w:val="00E41BC3"/>
    <w:rsid w:val="00E42096"/>
    <w:rsid w:val="00E44143"/>
    <w:rsid w:val="00E46F10"/>
    <w:rsid w:val="00E53F00"/>
    <w:rsid w:val="00E57456"/>
    <w:rsid w:val="00E62BF9"/>
    <w:rsid w:val="00E64E63"/>
    <w:rsid w:val="00E71F4E"/>
    <w:rsid w:val="00E72D97"/>
    <w:rsid w:val="00E752B5"/>
    <w:rsid w:val="00E76F31"/>
    <w:rsid w:val="00E7721B"/>
    <w:rsid w:val="00E82B66"/>
    <w:rsid w:val="00E8503E"/>
    <w:rsid w:val="00E902C2"/>
    <w:rsid w:val="00E90574"/>
    <w:rsid w:val="00E91417"/>
    <w:rsid w:val="00E91F4B"/>
    <w:rsid w:val="00E94374"/>
    <w:rsid w:val="00E97256"/>
    <w:rsid w:val="00E974B1"/>
    <w:rsid w:val="00EA145D"/>
    <w:rsid w:val="00EA30AC"/>
    <w:rsid w:val="00EA3C20"/>
    <w:rsid w:val="00EA42EE"/>
    <w:rsid w:val="00EA4813"/>
    <w:rsid w:val="00EA4CCA"/>
    <w:rsid w:val="00EA54DB"/>
    <w:rsid w:val="00EA56AE"/>
    <w:rsid w:val="00EA7240"/>
    <w:rsid w:val="00EA7C90"/>
    <w:rsid w:val="00EB049E"/>
    <w:rsid w:val="00EB0F33"/>
    <w:rsid w:val="00EB2574"/>
    <w:rsid w:val="00EB30DD"/>
    <w:rsid w:val="00EB421E"/>
    <w:rsid w:val="00EB4843"/>
    <w:rsid w:val="00EB4EA9"/>
    <w:rsid w:val="00EB5E77"/>
    <w:rsid w:val="00EB754F"/>
    <w:rsid w:val="00EC0365"/>
    <w:rsid w:val="00EC0590"/>
    <w:rsid w:val="00EC067F"/>
    <w:rsid w:val="00EC14CC"/>
    <w:rsid w:val="00EC1D43"/>
    <w:rsid w:val="00EC7462"/>
    <w:rsid w:val="00ED09AE"/>
    <w:rsid w:val="00ED145D"/>
    <w:rsid w:val="00ED1ACB"/>
    <w:rsid w:val="00ED1FAC"/>
    <w:rsid w:val="00ED23CF"/>
    <w:rsid w:val="00ED599B"/>
    <w:rsid w:val="00ED655D"/>
    <w:rsid w:val="00EE07CA"/>
    <w:rsid w:val="00EE18EB"/>
    <w:rsid w:val="00EE58CA"/>
    <w:rsid w:val="00EE7599"/>
    <w:rsid w:val="00EE7873"/>
    <w:rsid w:val="00EF0456"/>
    <w:rsid w:val="00EF1B10"/>
    <w:rsid w:val="00EF1BC1"/>
    <w:rsid w:val="00EF3562"/>
    <w:rsid w:val="00EF3B96"/>
    <w:rsid w:val="00EF5881"/>
    <w:rsid w:val="00EF6A40"/>
    <w:rsid w:val="00EF7F44"/>
    <w:rsid w:val="00F0068F"/>
    <w:rsid w:val="00F00E2B"/>
    <w:rsid w:val="00F01DE9"/>
    <w:rsid w:val="00F04A7B"/>
    <w:rsid w:val="00F054B8"/>
    <w:rsid w:val="00F133A6"/>
    <w:rsid w:val="00F134AD"/>
    <w:rsid w:val="00F157DA"/>
    <w:rsid w:val="00F2059C"/>
    <w:rsid w:val="00F23AE2"/>
    <w:rsid w:val="00F24C04"/>
    <w:rsid w:val="00F25DF5"/>
    <w:rsid w:val="00F302C7"/>
    <w:rsid w:val="00F307D1"/>
    <w:rsid w:val="00F309C0"/>
    <w:rsid w:val="00F30A33"/>
    <w:rsid w:val="00F30CD6"/>
    <w:rsid w:val="00F34D2F"/>
    <w:rsid w:val="00F36D86"/>
    <w:rsid w:val="00F36E74"/>
    <w:rsid w:val="00F405F3"/>
    <w:rsid w:val="00F407C2"/>
    <w:rsid w:val="00F40AB1"/>
    <w:rsid w:val="00F42FF9"/>
    <w:rsid w:val="00F4488C"/>
    <w:rsid w:val="00F45DFF"/>
    <w:rsid w:val="00F45EBF"/>
    <w:rsid w:val="00F47002"/>
    <w:rsid w:val="00F47B6A"/>
    <w:rsid w:val="00F50222"/>
    <w:rsid w:val="00F50430"/>
    <w:rsid w:val="00F51E78"/>
    <w:rsid w:val="00F5387F"/>
    <w:rsid w:val="00F5441C"/>
    <w:rsid w:val="00F60F0A"/>
    <w:rsid w:val="00F65507"/>
    <w:rsid w:val="00F66A73"/>
    <w:rsid w:val="00F7034E"/>
    <w:rsid w:val="00F751A2"/>
    <w:rsid w:val="00F77BC9"/>
    <w:rsid w:val="00F81BAB"/>
    <w:rsid w:val="00F81F3E"/>
    <w:rsid w:val="00F82C19"/>
    <w:rsid w:val="00F86340"/>
    <w:rsid w:val="00F86E59"/>
    <w:rsid w:val="00F86ED0"/>
    <w:rsid w:val="00F8724E"/>
    <w:rsid w:val="00F87F5F"/>
    <w:rsid w:val="00F90262"/>
    <w:rsid w:val="00F925E0"/>
    <w:rsid w:val="00F94A96"/>
    <w:rsid w:val="00F957F7"/>
    <w:rsid w:val="00F959E6"/>
    <w:rsid w:val="00F9687D"/>
    <w:rsid w:val="00F97BB1"/>
    <w:rsid w:val="00F97F5D"/>
    <w:rsid w:val="00FA2AFE"/>
    <w:rsid w:val="00FA3035"/>
    <w:rsid w:val="00FA34D3"/>
    <w:rsid w:val="00FA4894"/>
    <w:rsid w:val="00FA6D4F"/>
    <w:rsid w:val="00FA7184"/>
    <w:rsid w:val="00FB4109"/>
    <w:rsid w:val="00FB46AA"/>
    <w:rsid w:val="00FB4892"/>
    <w:rsid w:val="00FB531A"/>
    <w:rsid w:val="00FB7361"/>
    <w:rsid w:val="00FB7837"/>
    <w:rsid w:val="00FC100E"/>
    <w:rsid w:val="00FC30E4"/>
    <w:rsid w:val="00FC3114"/>
    <w:rsid w:val="00FC372E"/>
    <w:rsid w:val="00FC7772"/>
    <w:rsid w:val="00FC7D16"/>
    <w:rsid w:val="00FD052E"/>
    <w:rsid w:val="00FD0900"/>
    <w:rsid w:val="00FD1A42"/>
    <w:rsid w:val="00FD3F72"/>
    <w:rsid w:val="00FD4275"/>
    <w:rsid w:val="00FD4B1A"/>
    <w:rsid w:val="00FD7A41"/>
    <w:rsid w:val="00FE10D6"/>
    <w:rsid w:val="00FE11E1"/>
    <w:rsid w:val="00FE1497"/>
    <w:rsid w:val="00FE1EF6"/>
    <w:rsid w:val="00FE26BF"/>
    <w:rsid w:val="00FE38EB"/>
    <w:rsid w:val="00FF197A"/>
    <w:rsid w:val="00FF68EE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."/>
  <w:listSeparator w:val=","/>
  <w14:docId w14:val="1CAF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596FFC"/>
    <w:pPr>
      <w:outlineLvl w:val="1"/>
    </w:pPr>
  </w:style>
  <w:style w:type="paragraph" w:styleId="Heading3">
    <w:name w:val="heading 3"/>
    <w:basedOn w:val="Normal"/>
    <w:next w:val="Normal"/>
    <w:qFormat/>
    <w:rsid w:val="00C42BB5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link w:val="ScheduleitemChar"/>
    <w:rsid w:val="0069711C"/>
    <w:pPr>
      <w:keepNext/>
      <w:numPr>
        <w:numId w:val="2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uiPriority w:val="99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60"/>
    <w:pPr>
      <w:ind w:left="720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  <w:style w:type="character" w:customStyle="1" w:styleId="ScheduleitemChar">
    <w:name w:val="Schedule item Char"/>
    <w:basedOn w:val="DefaultParagraphFont"/>
    <w:link w:val="Scheduleitem"/>
    <w:rsid w:val="0071204C"/>
    <w:rPr>
      <w:sz w:val="24"/>
      <w:szCs w:val="24"/>
    </w:rPr>
  </w:style>
  <w:style w:type="paragraph" w:customStyle="1" w:styleId="Table2notes">
    <w:name w:val="Table 2 notes"/>
    <w:basedOn w:val="Normal"/>
    <w:qFormat/>
    <w:rsid w:val="0071204C"/>
    <w:pPr>
      <w:tabs>
        <w:tab w:val="left" w:pos="426"/>
        <w:tab w:val="left" w:pos="1276"/>
        <w:tab w:val="left" w:pos="3085"/>
        <w:tab w:val="left" w:pos="6062"/>
        <w:tab w:val="left" w:pos="9747"/>
      </w:tabs>
      <w:spacing w:after="120"/>
      <w:ind w:left="1276" w:hanging="1276"/>
    </w:pPr>
  </w:style>
  <w:style w:type="paragraph" w:customStyle="1" w:styleId="Body-SectionTitle">
    <w:name w:val="Body-Section Title"/>
    <w:basedOn w:val="Normal"/>
    <w:next w:val="Body-SubClause"/>
    <w:qFormat/>
    <w:rsid w:val="00946082"/>
    <w:pPr>
      <w:numPr>
        <w:numId w:val="25"/>
      </w:numPr>
      <w:tabs>
        <w:tab w:val="clear" w:pos="4111"/>
        <w:tab w:val="num" w:pos="1418"/>
      </w:tabs>
      <w:spacing w:before="240" w:after="120"/>
      <w:ind w:left="1418"/>
      <w:outlineLvl w:val="0"/>
    </w:pPr>
    <w:rPr>
      <w:rFonts w:ascii="Times New Roman Bold" w:eastAsiaTheme="minorHAnsi" w:hAnsi="Times New Roman Bold" w:cstheme="minorBidi"/>
      <w:b/>
      <w:caps/>
      <w:szCs w:val="22"/>
      <w:lang w:eastAsia="en-US"/>
    </w:rPr>
  </w:style>
  <w:style w:type="paragraph" w:customStyle="1" w:styleId="Body-SubClause">
    <w:name w:val="Body-Sub Clause"/>
    <w:basedOn w:val="Normal"/>
    <w:qFormat/>
    <w:rsid w:val="00946082"/>
    <w:pPr>
      <w:numPr>
        <w:ilvl w:val="1"/>
        <w:numId w:val="2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2Clause">
    <w:name w:val="Body-Subx2 Clause"/>
    <w:basedOn w:val="Normal"/>
    <w:qFormat/>
    <w:rsid w:val="00946082"/>
    <w:pPr>
      <w:numPr>
        <w:ilvl w:val="2"/>
        <w:numId w:val="2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3Clause">
    <w:name w:val="Body-Subx3 Clause"/>
    <w:basedOn w:val="Normal"/>
    <w:qFormat/>
    <w:rsid w:val="00946082"/>
    <w:pPr>
      <w:numPr>
        <w:ilvl w:val="3"/>
        <w:numId w:val="2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4Clause">
    <w:name w:val="Body-Subx4 Clause"/>
    <w:basedOn w:val="Normal"/>
    <w:qFormat/>
    <w:rsid w:val="00946082"/>
    <w:pPr>
      <w:numPr>
        <w:ilvl w:val="4"/>
        <w:numId w:val="2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Listalpha">
    <w:name w:val="Body-List (alpha)"/>
    <w:basedOn w:val="Normal"/>
    <w:qFormat/>
    <w:rsid w:val="002D0FE1"/>
    <w:pPr>
      <w:numPr>
        <w:ilvl w:val="6"/>
        <w:numId w:val="25"/>
      </w:numPr>
      <w:ind w:left="2880" w:hanging="720"/>
    </w:pPr>
    <w:rPr>
      <w:rFonts w:eastAsiaTheme="minorHAnsi" w:cstheme="minorBidi"/>
      <w:szCs w:val="22"/>
      <w:lang w:eastAsia="en-US"/>
    </w:rPr>
  </w:style>
  <w:style w:type="numbering" w:customStyle="1" w:styleId="Body">
    <w:name w:val="Body"/>
    <w:uiPriority w:val="99"/>
    <w:rsid w:val="00946082"/>
    <w:pPr>
      <w:numPr>
        <w:numId w:val="27"/>
      </w:numPr>
    </w:pPr>
  </w:style>
  <w:style w:type="paragraph" w:customStyle="1" w:styleId="AlphabeticalList">
    <w:name w:val="Alphabetical List"/>
    <w:basedOn w:val="Body-Listalpha"/>
    <w:qFormat/>
    <w:rsid w:val="00946082"/>
    <w:pPr>
      <w:numPr>
        <w:numId w:val="24"/>
      </w:numPr>
    </w:pPr>
  </w:style>
  <w:style w:type="table" w:customStyle="1" w:styleId="TableGrid0">
    <w:name w:val="TableGrid"/>
    <w:rsid w:val="00D577D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1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275"/>
  </w:style>
  <w:style w:type="paragraph" w:customStyle="1" w:styleId="Clause-heading">
    <w:name w:val="Clause - heading"/>
    <w:basedOn w:val="Heading1"/>
    <w:next w:val="Normal"/>
    <w:rsid w:val="00DB5A7E"/>
    <w:pPr>
      <w:tabs>
        <w:tab w:val="num" w:pos="1418"/>
      </w:tabs>
      <w:spacing w:after="120"/>
      <w:ind w:left="1418" w:hanging="1418"/>
    </w:pPr>
    <w:rPr>
      <w:rFonts w:cs="Times New Roman"/>
      <w:caps/>
      <w:sz w:val="24"/>
      <w:lang w:eastAsia="en-US"/>
    </w:rPr>
  </w:style>
  <w:style w:type="paragraph" w:customStyle="1" w:styleId="Subx6clause">
    <w:name w:val="Sub x6 clause"/>
    <w:basedOn w:val="Normal"/>
    <w:next w:val="Normal"/>
    <w:rsid w:val="00DB5A7E"/>
    <w:pPr>
      <w:tabs>
        <w:tab w:val="num" w:pos="1701"/>
      </w:tabs>
      <w:spacing w:before="120" w:after="120"/>
      <w:ind w:left="1701" w:hanging="1701"/>
    </w:pPr>
  </w:style>
  <w:style w:type="paragraph" w:customStyle="1" w:styleId="Clause-sub">
    <w:name w:val="Clause - sub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2">
    <w:name w:val="Clause - subx2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3">
    <w:name w:val="Clause - subx3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4">
    <w:name w:val="Clause - subx4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rFonts w:eastAsia="Calibri"/>
      <w:sz w:val="24"/>
      <w:szCs w:val="22"/>
      <w:lang w:val="en-GB"/>
    </w:rPr>
  </w:style>
  <w:style w:type="paragraph" w:customStyle="1" w:styleId="Clause-alphalist">
    <w:name w:val="Clause - alpha list"/>
    <w:next w:val="Normal"/>
    <w:qFormat/>
    <w:rsid w:val="00DB5A7E"/>
    <w:pPr>
      <w:tabs>
        <w:tab w:val="num" w:pos="2268"/>
      </w:tabs>
      <w:spacing w:before="120" w:after="120"/>
      <w:ind w:left="2041" w:hanging="3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23DA-E216-4C63-BCA9-A0C97367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2023-09-20T07:24:00Z</dcterms:created>
  <dcterms:modified xsi:type="dcterms:W3CDTF">2023-09-20T07:25:00Z</dcterms:modified>
</cp:coreProperties>
</file>