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E1D1" w14:textId="77777777" w:rsidR="00BC6AC3" w:rsidRPr="00EF7C8C" w:rsidRDefault="00BC6AC3" w:rsidP="00BA4CCD">
      <w:pPr>
        <w:jc w:val="center"/>
        <w:rPr>
          <w:b/>
          <w:sz w:val="40"/>
          <w:szCs w:val="40"/>
        </w:rPr>
      </w:pPr>
    </w:p>
    <w:p w14:paraId="5B73C10D" w14:textId="77777777" w:rsidR="00A40FE5" w:rsidRPr="00EF7C8C" w:rsidRDefault="00A40FE5" w:rsidP="00A40FE5">
      <w:pPr>
        <w:spacing w:after="480"/>
        <w:rPr>
          <w:rFonts w:cs="Arial"/>
          <w:b/>
          <w:sz w:val="40"/>
        </w:rPr>
      </w:pPr>
      <w:r w:rsidRPr="00EF7C8C">
        <w:rPr>
          <w:rFonts w:cs="Arial"/>
          <w:b/>
          <w:sz w:val="40"/>
        </w:rPr>
        <w:t>Vehicle Standard (Australian Design Rule 106/00 – Side Underrun Protection) 2023</w:t>
      </w:r>
    </w:p>
    <w:p w14:paraId="6723C8B6" w14:textId="77777777" w:rsidR="00485E16" w:rsidRPr="00EF7C8C" w:rsidRDefault="00485E16" w:rsidP="00D82CC0"/>
    <w:p w14:paraId="62D7DBF6" w14:textId="77777777" w:rsidR="00BA4F48" w:rsidRPr="00EF7C8C" w:rsidRDefault="00BA4F48" w:rsidP="00D82CC0"/>
    <w:p w14:paraId="0E1E6827" w14:textId="77777777" w:rsidR="00BA4F48" w:rsidRPr="00EF7C8C" w:rsidRDefault="00BA4F48" w:rsidP="00D82CC0"/>
    <w:p w14:paraId="3F8E5657" w14:textId="77777777" w:rsidR="00BA4F48" w:rsidRPr="00EF7C8C" w:rsidRDefault="009C484B" w:rsidP="00D82CC0">
      <w:pPr>
        <w:jc w:val="center"/>
      </w:pPr>
      <w:r w:rsidRPr="00EF7C8C">
        <w:t xml:space="preserve">Made under section 12 of the </w:t>
      </w:r>
      <w:r w:rsidRPr="00EF7C8C">
        <w:rPr>
          <w:i/>
        </w:rPr>
        <w:t>Road Vehicle Standards Act 2018</w:t>
      </w:r>
    </w:p>
    <w:p w14:paraId="52932DF5" w14:textId="77777777" w:rsidR="00BA4F48" w:rsidRPr="00EF7C8C" w:rsidRDefault="00BA4F48" w:rsidP="00D82CC0"/>
    <w:p w14:paraId="7356EE7C" w14:textId="77777777" w:rsidR="00BA4F48" w:rsidRPr="00EF7C8C" w:rsidRDefault="00BA4F48" w:rsidP="00D82CC0"/>
    <w:p w14:paraId="69080D1F" w14:textId="77777777" w:rsidR="00BA4F48" w:rsidRPr="00EF7C8C" w:rsidRDefault="00BA4F48" w:rsidP="00D82CC0"/>
    <w:p w14:paraId="74EC44B0" w14:textId="77777777" w:rsidR="00BA4F48" w:rsidRPr="00EF7C8C" w:rsidRDefault="00BA4F48" w:rsidP="00D82CC0"/>
    <w:p w14:paraId="2713F964" w14:textId="77777777" w:rsidR="00BA4F48" w:rsidRPr="00EF7C8C" w:rsidRDefault="00BA4F48" w:rsidP="00D82CC0"/>
    <w:p w14:paraId="44534912" w14:textId="77777777" w:rsidR="00BA4F48" w:rsidRPr="00EF7C8C" w:rsidRDefault="00BA4F48" w:rsidP="00BA4CCD">
      <w:pPr>
        <w:jc w:val="center"/>
        <w:rPr>
          <w:b/>
          <w:bCs/>
          <w:sz w:val="40"/>
        </w:rPr>
      </w:pPr>
      <w:r w:rsidRPr="00EF7C8C">
        <w:rPr>
          <w:b/>
          <w:bCs/>
          <w:sz w:val="40"/>
        </w:rPr>
        <w:t>Explanatory Statement</w:t>
      </w:r>
    </w:p>
    <w:p w14:paraId="4A2705EA" w14:textId="77777777" w:rsidR="00BA4F48" w:rsidRPr="00EF7C8C" w:rsidRDefault="00BA4F48" w:rsidP="00D82CC0"/>
    <w:p w14:paraId="561ABBB2" w14:textId="77777777" w:rsidR="00BA4F48" w:rsidRPr="00EF7C8C" w:rsidRDefault="00BA4F48" w:rsidP="00D82CC0"/>
    <w:p w14:paraId="5A9F85C3" w14:textId="77777777" w:rsidR="00BA4F48" w:rsidRPr="00EF7C8C" w:rsidRDefault="00BA4F48" w:rsidP="00D82CC0"/>
    <w:p w14:paraId="34DB6B79" w14:textId="77777777" w:rsidR="00BA4F48" w:rsidRPr="00EF7C8C" w:rsidRDefault="00BA4F48" w:rsidP="00D82CC0"/>
    <w:p w14:paraId="60B6CE6E" w14:textId="77777777" w:rsidR="00BA4F48" w:rsidRPr="00EF7C8C" w:rsidRDefault="00BA4F48" w:rsidP="00D82CC0"/>
    <w:p w14:paraId="601A4B1E" w14:textId="2EF3C4D3" w:rsidR="00BA4F48" w:rsidRPr="00EF7C8C" w:rsidRDefault="005A120C" w:rsidP="00BC32DD">
      <w:pPr>
        <w:jc w:val="center"/>
      </w:pPr>
      <w:r w:rsidRPr="00EF7C8C">
        <w:t>A</w:t>
      </w:r>
      <w:r w:rsidR="00BC32DD" w:rsidRPr="00EF7C8C">
        <w:t>pprov</w:t>
      </w:r>
      <w:r w:rsidRPr="00EF7C8C">
        <w:t>ed</w:t>
      </w:r>
      <w:r w:rsidR="00BC32DD" w:rsidRPr="00EF7C8C">
        <w:t xml:space="preserve"> by the Hon </w:t>
      </w:r>
      <w:r w:rsidRPr="00EF7C8C">
        <w:t>Catherine King</w:t>
      </w:r>
      <w:r w:rsidR="00BC32DD" w:rsidRPr="00EF7C8C">
        <w:t xml:space="preserve"> MP, Minister for Infrastructure</w:t>
      </w:r>
      <w:r w:rsidRPr="00EF7C8C">
        <w:t>,</w:t>
      </w:r>
      <w:r w:rsidR="00BC32DD" w:rsidRPr="00EF7C8C">
        <w:t xml:space="preserve"> Transport</w:t>
      </w:r>
      <w:r w:rsidRPr="00EF7C8C">
        <w:t>, Regional</w:t>
      </w:r>
      <w:r w:rsidR="004C1AF4" w:rsidRPr="00EF7C8C">
        <w:t> </w:t>
      </w:r>
      <w:r w:rsidRPr="00EF7C8C">
        <w:t>Development and Local Government</w:t>
      </w:r>
    </w:p>
    <w:p w14:paraId="6BC0B315" w14:textId="77777777" w:rsidR="00BA4F48" w:rsidRPr="00EF7C8C" w:rsidRDefault="00BA4F48" w:rsidP="00D82CC0"/>
    <w:p w14:paraId="5AA33020" w14:textId="77777777" w:rsidR="00BA4F48" w:rsidRPr="00EF7C8C" w:rsidRDefault="00BA4F48" w:rsidP="00D82CC0"/>
    <w:p w14:paraId="417A3370" w14:textId="77777777" w:rsidR="00BA4F48" w:rsidRPr="00EF7C8C" w:rsidRDefault="00BA4F48" w:rsidP="00D82CC0"/>
    <w:p w14:paraId="0814142D" w14:textId="77777777" w:rsidR="00BA4F48" w:rsidRPr="00EF7C8C" w:rsidRDefault="00BA4F48" w:rsidP="00D82CC0"/>
    <w:p w14:paraId="0556B694" w14:textId="1CF9E2F5" w:rsidR="00BA4F48" w:rsidRPr="00EF7C8C" w:rsidRDefault="005F7682" w:rsidP="00BA4CCD">
      <w:pPr>
        <w:jc w:val="center"/>
        <w:rPr>
          <w:b/>
          <w:bCs/>
          <w:sz w:val="40"/>
        </w:rPr>
      </w:pPr>
      <w:r>
        <w:rPr>
          <w:b/>
          <w:bCs/>
          <w:sz w:val="40"/>
        </w:rPr>
        <w:t>September</w:t>
      </w:r>
      <w:r w:rsidR="005A120C" w:rsidRPr="00EF7C8C">
        <w:rPr>
          <w:b/>
          <w:bCs/>
          <w:sz w:val="40"/>
        </w:rPr>
        <w:t xml:space="preserve"> </w:t>
      </w:r>
      <w:r w:rsidR="00181511" w:rsidRPr="00EF7C8C">
        <w:rPr>
          <w:b/>
          <w:bCs/>
          <w:sz w:val="40"/>
        </w:rPr>
        <w:t>20</w:t>
      </w:r>
      <w:r w:rsidR="00874956" w:rsidRPr="00EF7C8C">
        <w:rPr>
          <w:b/>
          <w:bCs/>
          <w:sz w:val="40"/>
        </w:rPr>
        <w:t>2</w:t>
      </w:r>
      <w:r w:rsidR="00BC32DD" w:rsidRPr="00EF7C8C">
        <w:rPr>
          <w:b/>
          <w:bCs/>
          <w:sz w:val="40"/>
        </w:rPr>
        <w:t>3</w:t>
      </w:r>
    </w:p>
    <w:p w14:paraId="6AA6F007" w14:textId="77777777" w:rsidR="00BA4F48" w:rsidRPr="00EF7C8C" w:rsidRDefault="00BA4F48" w:rsidP="00D82CC0"/>
    <w:p w14:paraId="21533973" w14:textId="77777777" w:rsidR="00BA4F48" w:rsidRPr="00EF7C8C" w:rsidRDefault="00BA4F48" w:rsidP="00D82CC0"/>
    <w:p w14:paraId="467E7FB8" w14:textId="77777777" w:rsidR="00FD272C" w:rsidRPr="00EF7C8C" w:rsidRDefault="00FD272C" w:rsidP="00780DE8">
      <w:pPr>
        <w:pStyle w:val="ContentsHeading"/>
        <w:sectPr w:rsidR="00FD272C" w:rsidRPr="00EF7C8C" w:rsidSect="000D5D4A">
          <w:headerReference w:type="default" r:id="rId8"/>
          <w:pgSz w:w="11906" w:h="16838" w:code="9"/>
          <w:pgMar w:top="1440" w:right="1474" w:bottom="1440" w:left="1474" w:header="709" w:footer="709" w:gutter="0"/>
          <w:pgNumType w:start="1"/>
          <w:cols w:space="708"/>
          <w:titlePg/>
          <w:docGrid w:linePitch="360"/>
        </w:sectPr>
      </w:pPr>
    </w:p>
    <w:p w14:paraId="7DF698D2" w14:textId="77777777" w:rsidR="005142E1" w:rsidRPr="00EF7C8C" w:rsidRDefault="005142E1" w:rsidP="005142E1">
      <w:pPr>
        <w:pStyle w:val="ContentsHeading"/>
      </w:pPr>
    </w:p>
    <w:p w14:paraId="7851AE77" w14:textId="1F5DB242" w:rsidR="007D5A43" w:rsidRPr="00EF7C8C" w:rsidRDefault="00BA4F48" w:rsidP="003A62FE">
      <w:pPr>
        <w:pStyle w:val="ContentsHeading"/>
      </w:pPr>
      <w:r w:rsidRPr="00EF7C8C">
        <w:t>CONTENTS</w:t>
      </w:r>
    </w:p>
    <w:p w14:paraId="688C426D" w14:textId="6BFD1D57" w:rsidR="001A48A9" w:rsidRPr="00EF7C8C" w:rsidRDefault="001A48A9" w:rsidP="001A48A9">
      <w:pPr>
        <w:pStyle w:val="ContentsHeading"/>
        <w:jc w:val="left"/>
        <w:rPr>
          <w:b w:val="0"/>
        </w:rPr>
      </w:pPr>
    </w:p>
    <w:p w14:paraId="31131B19" w14:textId="7CA1A8AF" w:rsidR="00EF17FE" w:rsidRDefault="00EF17FE">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842716">
        <w:rPr>
          <w:noProof/>
        </w:rPr>
        <w:t>3</w:t>
      </w:r>
    </w:p>
    <w:p w14:paraId="45035A6F" w14:textId="33964366" w:rsidR="00EF17FE" w:rsidRDefault="00EF17FE">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842716">
        <w:rPr>
          <w:noProof/>
        </w:rPr>
        <w:t>3</w:t>
      </w:r>
    </w:p>
    <w:p w14:paraId="2CB131B0" w14:textId="06441744" w:rsidR="00EF17FE" w:rsidRDefault="00EF17FE">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842716">
        <w:rPr>
          <w:noProof/>
        </w:rPr>
        <w:t>3</w:t>
      </w:r>
    </w:p>
    <w:p w14:paraId="24CBECDA" w14:textId="31BC43E6" w:rsidR="00EF17FE" w:rsidRDefault="00EF17FE">
      <w:pPr>
        <w:pStyle w:val="TOC2"/>
        <w:rPr>
          <w:rFonts w:asciiTheme="minorHAnsi" w:eastAsiaTheme="minorEastAsia" w:hAnsiTheme="minorHAnsi" w:cstheme="minorBidi"/>
          <w:noProof/>
          <w:sz w:val="22"/>
          <w:szCs w:val="22"/>
        </w:rPr>
      </w:pPr>
      <w:r w:rsidRPr="00220A84">
        <w:rPr>
          <w:rFonts w:cs="Arial"/>
          <w:noProof/>
        </w:rPr>
        <w:t>1.3.</w:t>
      </w:r>
      <w:r>
        <w:rPr>
          <w:rFonts w:asciiTheme="minorHAnsi" w:eastAsiaTheme="minorEastAsia" w:hAnsiTheme="minorHAnsi" w:cstheme="minorBidi"/>
          <w:noProof/>
          <w:sz w:val="22"/>
          <w:szCs w:val="22"/>
        </w:rPr>
        <w:tab/>
      </w:r>
      <w:r w:rsidRPr="00220A84">
        <w:rPr>
          <w:rFonts w:cs="Arial"/>
          <w:noProof/>
        </w:rPr>
        <w:t>International Harmonisation</w:t>
      </w:r>
      <w:r>
        <w:rPr>
          <w:noProof/>
        </w:rPr>
        <w:tab/>
      </w:r>
      <w:r w:rsidR="00842716">
        <w:rPr>
          <w:noProof/>
        </w:rPr>
        <w:t>4</w:t>
      </w:r>
    </w:p>
    <w:p w14:paraId="3E4A3EB6" w14:textId="01DC1B92" w:rsidR="00EF17FE" w:rsidRDefault="00EF17FE">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842716">
        <w:rPr>
          <w:noProof/>
        </w:rPr>
        <w:t>5</w:t>
      </w:r>
    </w:p>
    <w:p w14:paraId="4154ABF3" w14:textId="6E6CEE6E" w:rsidR="00EF17FE" w:rsidRDefault="00EF17FE">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842716">
        <w:rPr>
          <w:noProof/>
        </w:rPr>
        <w:t>5</w:t>
      </w:r>
    </w:p>
    <w:p w14:paraId="68556F54" w14:textId="297CB034" w:rsidR="00EF17FE" w:rsidRDefault="00EF17FE">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842716">
        <w:rPr>
          <w:noProof/>
        </w:rPr>
        <w:t>5</w:t>
      </w:r>
    </w:p>
    <w:p w14:paraId="309CD27E" w14:textId="41049EC8" w:rsidR="00EF17FE" w:rsidRDefault="00EF17FE">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842716">
        <w:rPr>
          <w:noProof/>
        </w:rPr>
        <w:t>9</w:t>
      </w:r>
    </w:p>
    <w:p w14:paraId="0B43F19C" w14:textId="7319293D" w:rsidR="00EF17FE" w:rsidRDefault="00EF17FE">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842716">
        <w:rPr>
          <w:noProof/>
        </w:rPr>
        <w:t>9</w:t>
      </w:r>
    </w:p>
    <w:p w14:paraId="4898AC3D" w14:textId="00934342" w:rsidR="00EF17FE" w:rsidRDefault="00EF17FE">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842716">
        <w:rPr>
          <w:noProof/>
        </w:rPr>
        <w:t>9</w:t>
      </w:r>
    </w:p>
    <w:p w14:paraId="24146D57" w14:textId="6BBD0E44" w:rsidR="00EF17FE" w:rsidRDefault="00EF17FE">
      <w:pPr>
        <w:pStyle w:val="TOC1"/>
        <w:rPr>
          <w:rFonts w:asciiTheme="minorHAnsi" w:eastAsiaTheme="minorEastAsia" w:hAnsiTheme="minorHAnsi" w:cstheme="minorBidi"/>
          <w:caps w:val="0"/>
          <w:noProof/>
          <w:sz w:val="22"/>
          <w:szCs w:val="22"/>
        </w:rPr>
      </w:pPr>
      <w:r w:rsidRPr="00220A84">
        <w:rPr>
          <w:noProof/>
        </w:rPr>
        <w:t>4.</w:t>
      </w:r>
      <w:r>
        <w:rPr>
          <w:rFonts w:asciiTheme="minorHAnsi" w:eastAsiaTheme="minorEastAsia" w:hAnsiTheme="minorHAnsi" w:cstheme="minorBidi"/>
          <w:caps w:val="0"/>
          <w:noProof/>
          <w:sz w:val="22"/>
          <w:szCs w:val="22"/>
        </w:rPr>
        <w:tab/>
      </w:r>
      <w:r>
        <w:rPr>
          <w:noProof/>
        </w:rPr>
        <w:t>Consultation</w:t>
      </w:r>
      <w:r>
        <w:rPr>
          <w:noProof/>
        </w:rPr>
        <w:tab/>
      </w:r>
      <w:r w:rsidR="00842716">
        <w:rPr>
          <w:noProof/>
        </w:rPr>
        <w:t>11</w:t>
      </w:r>
    </w:p>
    <w:p w14:paraId="3EB35987" w14:textId="300C3C19" w:rsidR="00EF17FE" w:rsidRDefault="00EF17FE">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842716">
        <w:rPr>
          <w:noProof/>
        </w:rPr>
        <w:t>11</w:t>
      </w:r>
    </w:p>
    <w:p w14:paraId="017E6F5B" w14:textId="27797ED0" w:rsidR="00EF17FE" w:rsidRDefault="00EF17FE">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842716">
        <w:rPr>
          <w:noProof/>
        </w:rPr>
        <w:t>11</w:t>
      </w:r>
    </w:p>
    <w:p w14:paraId="6A82AB55" w14:textId="5835DAB8" w:rsidR="00EF17FE" w:rsidRDefault="00EF17FE">
      <w:pPr>
        <w:pStyle w:val="TOC1"/>
        <w:rPr>
          <w:rFonts w:asciiTheme="minorHAnsi" w:eastAsiaTheme="minorEastAsia" w:hAnsiTheme="minorHAnsi" w:cstheme="minorBidi"/>
          <w:caps w:val="0"/>
          <w:noProof/>
          <w:sz w:val="22"/>
          <w:szCs w:val="22"/>
        </w:rPr>
      </w:pPr>
      <w:r w:rsidRPr="00220A84">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842716">
        <w:rPr>
          <w:noProof/>
        </w:rPr>
        <w:t>12</w:t>
      </w:r>
    </w:p>
    <w:p w14:paraId="31F3BB57" w14:textId="0FA113CF" w:rsidR="00EF17FE" w:rsidRDefault="00EF17FE">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842716">
        <w:rPr>
          <w:noProof/>
        </w:rPr>
        <w:t>12</w:t>
      </w:r>
    </w:p>
    <w:p w14:paraId="6E66C747" w14:textId="3C6480B7" w:rsidR="00EF17FE" w:rsidRDefault="00EF17FE">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842716">
        <w:rPr>
          <w:noProof/>
        </w:rPr>
        <w:t>12</w:t>
      </w:r>
    </w:p>
    <w:p w14:paraId="77F7E45A" w14:textId="38D4E643" w:rsidR="00EF17FE" w:rsidRDefault="00EF17FE">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842716">
        <w:rPr>
          <w:noProof/>
        </w:rPr>
        <w:t>12</w:t>
      </w:r>
    </w:p>
    <w:p w14:paraId="7C0050BF" w14:textId="19AE04EB" w:rsidR="00EF17FE" w:rsidRDefault="00EF17FE">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842716">
        <w:rPr>
          <w:noProof/>
        </w:rPr>
        <w:t>12</w:t>
      </w:r>
    </w:p>
    <w:p w14:paraId="33269990" w14:textId="2AA0A6C1" w:rsidR="00EF17FE" w:rsidRDefault="00EF17FE">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842716">
        <w:rPr>
          <w:noProof/>
        </w:rPr>
        <w:t>12</w:t>
      </w:r>
    </w:p>
    <w:p w14:paraId="6ADDEB9F" w14:textId="45AD17A3" w:rsidR="00EF17FE" w:rsidRDefault="00EF17FE">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842716">
        <w:rPr>
          <w:noProof/>
        </w:rPr>
        <w:t>12</w:t>
      </w:r>
    </w:p>
    <w:p w14:paraId="554C575F" w14:textId="374F69FC" w:rsidR="001F161E" w:rsidRPr="00EF7C8C" w:rsidRDefault="001F161E" w:rsidP="001A48A9">
      <w:pPr>
        <w:pStyle w:val="ContentsHeading"/>
        <w:jc w:val="left"/>
        <w:rPr>
          <w:b w:val="0"/>
        </w:rPr>
      </w:pPr>
    </w:p>
    <w:p w14:paraId="05CE95D3" w14:textId="77777777" w:rsidR="00BA4F48" w:rsidRPr="00EF7C8C" w:rsidRDefault="00BA4F48" w:rsidP="00536A11">
      <w:pPr>
        <w:pStyle w:val="HeadingLevel1"/>
      </w:pPr>
      <w:r w:rsidRPr="00EF7C8C">
        <w:rPr>
          <w:color w:val="3366FF"/>
        </w:rPr>
        <w:br w:type="page"/>
      </w:r>
      <w:bookmarkStart w:id="0" w:name="_Toc167864611"/>
      <w:bookmarkStart w:id="1" w:name="_Toc505092258"/>
      <w:bookmarkStart w:id="2" w:name="_Toc46333216"/>
      <w:bookmarkStart w:id="3" w:name="_Toc46333470"/>
      <w:bookmarkStart w:id="4" w:name="_Toc46333624"/>
      <w:bookmarkStart w:id="5" w:name="_Toc46333789"/>
      <w:bookmarkStart w:id="6" w:name="_Toc46333903"/>
      <w:bookmarkStart w:id="7" w:name="_Toc46334639"/>
      <w:bookmarkStart w:id="8" w:name="_Toc106612237"/>
      <w:bookmarkStart w:id="9" w:name="_Toc107390989"/>
      <w:bookmarkStart w:id="10" w:name="_Toc139017627"/>
      <w:bookmarkStart w:id="11" w:name="_Toc139018771"/>
      <w:bookmarkStart w:id="12" w:name="_Toc139019185"/>
      <w:bookmarkStart w:id="13" w:name="_Toc139019335"/>
      <w:bookmarkStart w:id="14" w:name="_Toc139019482"/>
      <w:bookmarkStart w:id="15" w:name="_Toc141438506"/>
      <w:r w:rsidR="004B7B18" w:rsidRPr="00EF7C8C">
        <w:lastRenderedPageBreak/>
        <w:t>L</w:t>
      </w:r>
      <w:r w:rsidRPr="00EF7C8C">
        <w:t xml:space="preserve">egislative </w:t>
      </w:r>
      <w:bookmarkEnd w:id="0"/>
      <w:bookmarkEnd w:id="1"/>
      <w:bookmarkEnd w:id="2"/>
      <w:bookmarkEnd w:id="3"/>
      <w:bookmarkEnd w:id="4"/>
      <w:bookmarkEnd w:id="5"/>
      <w:bookmarkEnd w:id="6"/>
      <w:bookmarkEnd w:id="7"/>
      <w:r w:rsidR="004B7B18" w:rsidRPr="00EF7C8C">
        <w:t>Authority</w:t>
      </w:r>
      <w:bookmarkEnd w:id="8"/>
      <w:bookmarkEnd w:id="9"/>
      <w:bookmarkEnd w:id="10"/>
      <w:bookmarkEnd w:id="11"/>
      <w:bookmarkEnd w:id="12"/>
      <w:bookmarkEnd w:id="13"/>
      <w:bookmarkEnd w:id="14"/>
      <w:bookmarkEnd w:id="15"/>
    </w:p>
    <w:p w14:paraId="61566A5C" w14:textId="77777777" w:rsidR="00CD6DCB" w:rsidRPr="00EF7C8C" w:rsidRDefault="00171B88" w:rsidP="00536A11">
      <w:pPr>
        <w:pStyle w:val="HeadingLevel2"/>
      </w:pPr>
      <w:bookmarkStart w:id="16" w:name="_Toc107390990"/>
      <w:bookmarkStart w:id="17" w:name="_Toc139017628"/>
      <w:bookmarkStart w:id="18" w:name="_Toc139018772"/>
      <w:bookmarkStart w:id="19" w:name="_Toc139019186"/>
      <w:bookmarkStart w:id="20" w:name="_Toc139019336"/>
      <w:bookmarkStart w:id="21" w:name="_Toc139019483"/>
      <w:bookmarkStart w:id="22" w:name="_Toc141438507"/>
      <w:r w:rsidRPr="00EF7C8C">
        <w:t>National Road Vehicle S</w:t>
      </w:r>
      <w:r w:rsidR="00CD6DCB" w:rsidRPr="00EF7C8C">
        <w:t>tandards</w:t>
      </w:r>
      <w:bookmarkEnd w:id="16"/>
      <w:bookmarkEnd w:id="17"/>
      <w:bookmarkEnd w:id="18"/>
      <w:bookmarkEnd w:id="19"/>
      <w:bookmarkEnd w:id="20"/>
      <w:bookmarkEnd w:id="21"/>
      <w:bookmarkEnd w:id="22"/>
    </w:p>
    <w:p w14:paraId="65582577" w14:textId="2DD37FCF" w:rsidR="009862A0" w:rsidRPr="00EF7C8C" w:rsidRDefault="00964E81" w:rsidP="009862A0">
      <w:r w:rsidRPr="00EF7C8C">
        <w:t xml:space="preserve">The </w:t>
      </w:r>
      <w:r w:rsidR="009862A0" w:rsidRPr="00EF7C8C">
        <w:t xml:space="preserve">Vehicle Standard (Australian Design Rule 106/00 – Side Underrun Protection) 2023, </w:t>
      </w:r>
      <w:r w:rsidRPr="00EF7C8C">
        <w:t>which may also be cited as the Australian Design Rule 106/00 – Side Underrun Protection or ADR 106/00</w:t>
      </w:r>
      <w:r w:rsidR="009862A0" w:rsidRPr="00EF7C8C">
        <w:t xml:space="preserve">, is made under the </w:t>
      </w:r>
      <w:r w:rsidR="009862A0" w:rsidRPr="00EF7C8C">
        <w:rPr>
          <w:i/>
        </w:rPr>
        <w:t>Road Vehicle Standards Act 2018</w:t>
      </w:r>
      <w:r w:rsidR="009862A0" w:rsidRPr="00EF7C8C">
        <w:t xml:space="preserve"> (RVSA). 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01A23282" w14:textId="77777777" w:rsidR="009862A0" w:rsidRPr="00EF7C8C" w:rsidRDefault="009862A0" w:rsidP="00E47396">
      <w:r w:rsidRPr="00EF7C8C">
        <w:t>The making of the vehicle standards necessary for the RVSA’s effective operation is provided for in section 12, which empowers the Minister to “determine standards for road vehicles or road vehicle components”.</w:t>
      </w:r>
    </w:p>
    <w:p w14:paraId="46784466" w14:textId="77777777" w:rsidR="00CD6DCB" w:rsidRPr="00EF7C8C" w:rsidRDefault="00171B88" w:rsidP="00536A11">
      <w:pPr>
        <w:pStyle w:val="HeadingLevel2"/>
      </w:pPr>
      <w:bookmarkStart w:id="23" w:name="_Toc107390991"/>
      <w:bookmarkStart w:id="24" w:name="_Toc139017629"/>
      <w:bookmarkStart w:id="25" w:name="_Toc139018773"/>
      <w:bookmarkStart w:id="26" w:name="_Toc139019187"/>
      <w:bookmarkStart w:id="27" w:name="_Toc139019337"/>
      <w:bookmarkStart w:id="28" w:name="_Toc139019484"/>
      <w:bookmarkStart w:id="29" w:name="_Toc141438508"/>
      <w:r w:rsidRPr="00EF7C8C">
        <w:t>Exemption from S</w:t>
      </w:r>
      <w:r w:rsidR="00CD6DCB" w:rsidRPr="00EF7C8C">
        <w:t>unsetting</w:t>
      </w:r>
      <w:bookmarkEnd w:id="23"/>
      <w:bookmarkEnd w:id="24"/>
      <w:bookmarkEnd w:id="25"/>
      <w:bookmarkEnd w:id="26"/>
      <w:bookmarkEnd w:id="27"/>
      <w:bookmarkEnd w:id="28"/>
      <w:bookmarkEnd w:id="29"/>
    </w:p>
    <w:p w14:paraId="0EE4C61D" w14:textId="77B0C6FB" w:rsidR="00CD6DCB" w:rsidRPr="00EF7C8C" w:rsidRDefault="00171B88" w:rsidP="00CD6DCB">
      <w:r w:rsidRPr="00EF7C8C">
        <w:t xml:space="preserve">ADR </w:t>
      </w:r>
      <w:r w:rsidR="00BC32DD" w:rsidRPr="00EF7C8C">
        <w:t>106</w:t>
      </w:r>
      <w:r w:rsidRPr="00EF7C8C">
        <w:t>/00</w:t>
      </w:r>
      <w:r w:rsidR="00CD6DCB" w:rsidRPr="00EF7C8C">
        <w:t xml:space="preserve"> is exempt from the sunsetting provisions of the </w:t>
      </w:r>
      <w:r w:rsidR="00CD6DCB" w:rsidRPr="00EF7C8C">
        <w:rPr>
          <w:i/>
        </w:rPr>
        <w:t>Legislation Act 2003</w:t>
      </w:r>
      <w:r w:rsidR="00CD6DCB" w:rsidRPr="00EF7C8C">
        <w:t>.</w:t>
      </w:r>
    </w:p>
    <w:p w14:paraId="4C1E7C61" w14:textId="77777777" w:rsidR="00CD6DCB" w:rsidRPr="00EF7C8C" w:rsidRDefault="00CD6DCB" w:rsidP="00CD6DCB">
      <w:pPr>
        <w:rPr>
          <w:i/>
        </w:rPr>
      </w:pPr>
      <w:r w:rsidRPr="00EF7C8C">
        <w:rPr>
          <w:i/>
        </w:rPr>
        <w:t>Source of the Exemption</w:t>
      </w:r>
    </w:p>
    <w:p w14:paraId="48967213" w14:textId="553E1FA6" w:rsidR="00CD6DCB" w:rsidRPr="00EF7C8C" w:rsidRDefault="00CD6DCB" w:rsidP="00CD6DCB">
      <w:r w:rsidRPr="00EF7C8C">
        <w:t xml:space="preserve">A standard made under section 12 of the </w:t>
      </w:r>
      <w:r w:rsidR="00171B88" w:rsidRPr="00EF7C8C">
        <w:t>RVSA</w:t>
      </w:r>
      <w:r w:rsidRPr="00EF7C8C">
        <w:t xml:space="preserve"> is not subject to the sunsetting provisions of section 50 of the </w:t>
      </w:r>
      <w:r w:rsidRPr="00EF7C8C">
        <w:rPr>
          <w:i/>
        </w:rPr>
        <w:t>Legislation (Exemptions and Other Matters) Act 2003</w:t>
      </w:r>
      <w:r w:rsidRPr="00EF7C8C">
        <w:t xml:space="preserve"> through section 12 of the Legislation (Exemptions and Other Matters) Regulation 2015 (table item 56C). A similar exemption was previously granted in respect of national road vehicle standards made under section 7 of the </w:t>
      </w:r>
      <w:r w:rsidRPr="00EF7C8C">
        <w:rPr>
          <w:i/>
        </w:rPr>
        <w:t>Motor Vehicle Standards Act 1989</w:t>
      </w:r>
      <w:r w:rsidRPr="00EF7C8C">
        <w:t xml:space="preserve"> (MVSA) (item 40, section 12 of the Legislation (Exemptions and Other Matters) Regulation 2015). This exemption is im</w:t>
      </w:r>
      <w:r w:rsidR="00171B88" w:rsidRPr="00EF7C8C">
        <w:t xml:space="preserve">portant to ensure that </w:t>
      </w:r>
      <w:r w:rsidR="00EE7E84" w:rsidRPr="00EF7C8C">
        <w:t>Australian</w:t>
      </w:r>
      <w:r w:rsidR="00C11624">
        <w:t> </w:t>
      </w:r>
      <w:r w:rsidR="00EE7E84" w:rsidRPr="00EF7C8C">
        <w:t>Design</w:t>
      </w:r>
      <w:r w:rsidR="00C11624">
        <w:t> </w:t>
      </w:r>
      <w:r w:rsidR="00EE7E84" w:rsidRPr="00EF7C8C">
        <w:t xml:space="preserve">Rules (ADRs), including </w:t>
      </w:r>
      <w:r w:rsidR="00171B88" w:rsidRPr="00EF7C8C">
        <w:t xml:space="preserve">ADR </w:t>
      </w:r>
      <w:r w:rsidR="008C55E6" w:rsidRPr="00EF7C8C">
        <w:t>106</w:t>
      </w:r>
      <w:r w:rsidR="00171B88" w:rsidRPr="00EF7C8C">
        <w:t>/00</w:t>
      </w:r>
      <w:r w:rsidR="00EE7E84" w:rsidRPr="00EF7C8C">
        <w:t>,</w:t>
      </w:r>
      <w:r w:rsidRPr="00EF7C8C">
        <w:t xml:space="preserve"> continue to remain in force and available to regulators and industry.</w:t>
      </w:r>
    </w:p>
    <w:p w14:paraId="4EA31EC4" w14:textId="77777777" w:rsidR="00CD6DCB" w:rsidRPr="00EF7C8C" w:rsidRDefault="00171B88" w:rsidP="00171B88">
      <w:pPr>
        <w:pStyle w:val="Subsubsubsection"/>
        <w:numPr>
          <w:ilvl w:val="0"/>
          <w:numId w:val="0"/>
        </w:numPr>
        <w:ind w:left="851" w:hanging="851"/>
        <w:rPr>
          <w:i/>
        </w:rPr>
      </w:pPr>
      <w:r w:rsidRPr="00EF7C8C">
        <w:rPr>
          <w:i/>
        </w:rPr>
        <w:t>Intergovernmental D</w:t>
      </w:r>
      <w:r w:rsidR="00CD6DCB" w:rsidRPr="00EF7C8C">
        <w:rPr>
          <w:i/>
        </w:rPr>
        <w:t>ependencies</w:t>
      </w:r>
    </w:p>
    <w:p w14:paraId="62E01334" w14:textId="34628F0E" w:rsidR="00CD6DCB" w:rsidRPr="00EF7C8C" w:rsidRDefault="00CD6DCB" w:rsidP="00CD6DCB">
      <w:r w:rsidRPr="00EF7C8C">
        <w:t xml:space="preserve">The exemption concerns ADRs which facilitate the establishment and operation of the intergovernmental vehicle standard regime that Commonwealth, </w:t>
      </w:r>
      <w:r w:rsidR="009414F3">
        <w:t>s</w:t>
      </w:r>
      <w:r w:rsidRPr="00EF7C8C">
        <w:t xml:space="preserve">tate and </w:t>
      </w:r>
      <w:r w:rsidR="009414F3">
        <w:t>t</w:t>
      </w:r>
      <w:r w:rsidRPr="00EF7C8C">
        <w:t>erritory governments rely on to regulate the safety of vehicles on public roads.</w:t>
      </w:r>
    </w:p>
    <w:p w14:paraId="494D8F1A" w14:textId="19617D41" w:rsidR="00CD6DCB" w:rsidRPr="00EF7C8C" w:rsidRDefault="00CD6DCB" w:rsidP="00CD6DCB">
      <w:r w:rsidRPr="00EF7C8C">
        <w:t xml:space="preserve">The Commonwealth uses the ADRs as the basis on which approvals to supply types of road vehicles to the market are granted under the Road Vehicle Standards Rules 2019. </w:t>
      </w:r>
      <w:r w:rsidR="002E60AD" w:rsidRPr="00EF7C8C">
        <w:t xml:space="preserve"> </w:t>
      </w:r>
      <w:r w:rsidRPr="00EF7C8C">
        <w:t xml:space="preserve">States and territories </w:t>
      </w:r>
      <w:r w:rsidR="003178A8">
        <w:t xml:space="preserve">and the National Heavy Vehicle Regulator </w:t>
      </w:r>
      <w:r w:rsidRPr="00EF7C8C">
        <w:t>use the ADRs as the primary criteria on which vehicles are assessed for road worthiness.</w:t>
      </w:r>
      <w:r w:rsidR="002E60AD" w:rsidRPr="00EF7C8C">
        <w:t xml:space="preserve"> </w:t>
      </w:r>
      <w:r w:rsidRPr="00EF7C8C">
        <w:t xml:space="preserve">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9E6756">
        <w:t>over 10</w:t>
      </w:r>
      <w:r w:rsidRPr="00EF7C8C">
        <w:t xml:space="preserve"> years.</w:t>
      </w:r>
    </w:p>
    <w:p w14:paraId="3F77B0C9" w14:textId="5B647BF9" w:rsidR="00CD6DCB" w:rsidRPr="00EF7C8C" w:rsidRDefault="00CD6DCB" w:rsidP="00CD6DCB">
      <w:r w:rsidRPr="00EF7C8C">
        <w:t xml:space="preserve">While the ADRs are regularly updated to reflect changes in technology, it is not possible to apply these new standards retrospectively to vehicles that are already in use. With former ADRs kept on the Federal Register of Legislation, </w:t>
      </w:r>
      <w:r w:rsidR="009414F3">
        <w:t>s</w:t>
      </w:r>
      <w:r w:rsidRPr="00EF7C8C">
        <w:t xml:space="preserve">tate and </w:t>
      </w:r>
      <w:r w:rsidR="009414F3">
        <w:t>t</w:t>
      </w:r>
      <w:r w:rsidRPr="00EF7C8C">
        <w:t>erritory governments can use them to ensure vehicles continue to comply with the ADRs that were in force when they were first supplied to the market.</w:t>
      </w:r>
    </w:p>
    <w:p w14:paraId="6DC5EEC7" w14:textId="086914E5" w:rsidR="00CD6DCB" w:rsidRPr="00EF7C8C" w:rsidRDefault="00CD6DCB" w:rsidP="006B1655">
      <w:pPr>
        <w:keepLines/>
      </w:pPr>
      <w:r w:rsidRPr="00EF7C8C">
        <w:lastRenderedPageBreak/>
        <w:t xml:space="preserve">In the event that the Commonwealth could not justify the maintenance of the ADRs, </w:t>
      </w:r>
      <w:r w:rsidR="009414F3">
        <w:t>s</w:t>
      </w:r>
      <w:r w:rsidRPr="00EF7C8C">
        <w:t xml:space="preserve">tate and </w:t>
      </w:r>
      <w:r w:rsidR="009414F3">
        <w:t>t</w:t>
      </w:r>
      <w:r w:rsidRPr="00EF7C8C">
        <w:t xml:space="preserve">erritory governments would be compelled to create their own vehicle standards. Whilst this could mean adopting the substance of the lapsed ADRs as an interim measure, the differing needs and agendas of each </w:t>
      </w:r>
      <w:r w:rsidR="009414F3">
        <w:t>s</w:t>
      </w:r>
      <w:r w:rsidRPr="00EF7C8C">
        <w:t xml:space="preserve">tate and </w:t>
      </w:r>
      <w:r w:rsidR="009414F3">
        <w:t>t</w:t>
      </w:r>
      <w:r w:rsidRPr="00EF7C8C">
        <w:t xml:space="preserve">erritory government may result in variations to in-service regulations. Having different vehicle standards across the states and territories would make the scheme operate contrary to the underlying policy intent of the </w:t>
      </w:r>
      <w:r w:rsidR="00171B88" w:rsidRPr="00EF7C8C">
        <w:t>RVSA</w:t>
      </w:r>
      <w:r w:rsidRPr="00EF7C8C">
        <w:t xml:space="preserve"> which is to set nationally consistent </w:t>
      </w:r>
      <w:r w:rsidR="00EF7C8C" w:rsidRPr="00EF7C8C">
        <w:t>performance-based</w:t>
      </w:r>
      <w:r w:rsidRPr="00EF7C8C">
        <w:t xml:space="preserve"> standards.</w:t>
      </w:r>
    </w:p>
    <w:p w14:paraId="5D662760" w14:textId="77777777" w:rsidR="00CD6DCB" w:rsidRPr="00EF7C8C" w:rsidRDefault="00171B88" w:rsidP="00171B88">
      <w:pPr>
        <w:pStyle w:val="Subsubsubsection"/>
        <w:numPr>
          <w:ilvl w:val="0"/>
          <w:numId w:val="0"/>
        </w:numPr>
        <w:ind w:left="851" w:hanging="851"/>
        <w:rPr>
          <w:i/>
        </w:rPr>
      </w:pPr>
      <w:r w:rsidRPr="00EF7C8C">
        <w:rPr>
          <w:i/>
        </w:rPr>
        <w:t>Commercial D</w:t>
      </w:r>
      <w:r w:rsidR="00CD6DCB" w:rsidRPr="00EF7C8C">
        <w:rPr>
          <w:i/>
        </w:rPr>
        <w:t>ependencies</w:t>
      </w:r>
    </w:p>
    <w:p w14:paraId="33017B0C" w14:textId="0C56FE56" w:rsidR="00CD6DCB" w:rsidRPr="00EF7C8C" w:rsidRDefault="00CD6DCB" w:rsidP="00CD6DCB">
      <w:r w:rsidRPr="00EF7C8C">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6FADE38B" w14:textId="77777777" w:rsidR="006E3C2A" w:rsidRPr="00EF7C8C" w:rsidRDefault="006E3C2A" w:rsidP="006E3C2A">
      <w:pPr>
        <w:ind w:left="851" w:hanging="851"/>
        <w:rPr>
          <w:i/>
        </w:rPr>
      </w:pPr>
      <w:r w:rsidRPr="00EF7C8C">
        <w:rPr>
          <w:i/>
        </w:rPr>
        <w:t>Reviews of Australian Design Rules</w:t>
      </w:r>
    </w:p>
    <w:p w14:paraId="7CFF3CB6" w14:textId="77777777" w:rsidR="006E3C2A" w:rsidRPr="00EF7C8C" w:rsidRDefault="006E3C2A" w:rsidP="006E3C2A">
      <w:r w:rsidRPr="00EF7C8C">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66C8FDA3" w14:textId="77777777" w:rsidR="006E3C2A" w:rsidRPr="00EF7C8C" w:rsidRDefault="006E3C2A" w:rsidP="006E3C2A">
      <w:pPr>
        <w:pStyle w:val="HeadingLevel2"/>
        <w:keepNext w:val="0"/>
        <w:rPr>
          <w:rFonts w:cs="Arial"/>
        </w:rPr>
      </w:pPr>
      <w:bookmarkStart w:id="30" w:name="_Toc139632092"/>
      <w:bookmarkStart w:id="31" w:name="_Toc141438509"/>
      <w:r w:rsidRPr="00EF7C8C">
        <w:rPr>
          <w:rFonts w:cs="Arial"/>
        </w:rPr>
        <w:t>International Harmonisation</w:t>
      </w:r>
      <w:bookmarkEnd w:id="30"/>
      <w:bookmarkEnd w:id="31"/>
    </w:p>
    <w:p w14:paraId="50F90E7D" w14:textId="5F238CEB" w:rsidR="00CD6DCB" w:rsidRPr="00EF7C8C" w:rsidRDefault="006E3C2A" w:rsidP="006E3C2A">
      <w:r w:rsidRPr="00EF7C8C">
        <w:rPr>
          <w:rFonts w:cs="Arial"/>
        </w:rPr>
        <w:t xml:space="preserve">A majority of Australian road vehicle standards, including ADR </w:t>
      </w:r>
      <w:r w:rsidR="00D619AD" w:rsidRPr="00EF7C8C">
        <w:rPr>
          <w:rFonts w:cs="Arial"/>
        </w:rPr>
        <w:t>106</w:t>
      </w:r>
      <w:r w:rsidRPr="00EF7C8C">
        <w:rPr>
          <w:rFonts w:cs="Arial"/>
        </w:rPr>
        <w:t>/00, are closely harmonised with internationally based UN regulations, which are developed by the UN World Forum for Harmonization of Vehicle Regulations. 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7DADA94D" w14:textId="77777777" w:rsidR="0018242E" w:rsidRPr="00EF7C8C" w:rsidRDefault="00662BF8" w:rsidP="00E47396">
      <w:pPr>
        <w:pStyle w:val="HeadingLevel1"/>
      </w:pPr>
      <w:bookmarkStart w:id="32" w:name="_Toc46333217"/>
      <w:bookmarkStart w:id="33" w:name="_Toc46333471"/>
      <w:bookmarkStart w:id="34" w:name="_Toc46333625"/>
      <w:bookmarkStart w:id="35" w:name="_Toc46333790"/>
      <w:bookmarkStart w:id="36" w:name="_Toc46333904"/>
      <w:bookmarkStart w:id="37" w:name="_Toc46334640"/>
      <w:bookmarkStart w:id="38" w:name="_Toc106612238"/>
      <w:bookmarkStart w:id="39" w:name="_Toc107390992"/>
      <w:bookmarkStart w:id="40" w:name="_Toc139017630"/>
      <w:bookmarkStart w:id="41" w:name="_Toc139018774"/>
      <w:bookmarkStart w:id="42" w:name="_Toc139019188"/>
      <w:bookmarkStart w:id="43" w:name="_Toc139019338"/>
      <w:bookmarkStart w:id="44" w:name="_Toc139019485"/>
      <w:bookmarkStart w:id="45" w:name="_Toc141438510"/>
      <w:r w:rsidRPr="00EF7C8C">
        <w:lastRenderedPageBreak/>
        <w:t>Purpose and Operation</w:t>
      </w:r>
      <w:bookmarkStart w:id="46" w:name="_Toc167864613"/>
      <w:bookmarkStart w:id="47" w:name="_Toc505092260"/>
      <w:bookmarkStart w:id="48" w:name="_Toc46333218"/>
      <w:bookmarkStart w:id="49" w:name="_Toc46333472"/>
      <w:bookmarkStart w:id="50" w:name="_Toc46333626"/>
      <w:bookmarkStart w:id="51" w:name="_Toc46333791"/>
      <w:bookmarkStart w:id="52" w:name="_Toc46333905"/>
      <w:bookmarkStart w:id="53" w:name="_Toc4633464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A44E24A" w14:textId="49105CC3" w:rsidR="00AB0CC5" w:rsidRPr="00EF7C8C" w:rsidRDefault="00AB0CC5" w:rsidP="00C6692A">
      <w:pPr>
        <w:pStyle w:val="HeadingLevel2"/>
      </w:pPr>
      <w:bookmarkStart w:id="54" w:name="_Toc106612239"/>
      <w:bookmarkStart w:id="55" w:name="_Toc107390993"/>
      <w:bookmarkStart w:id="56" w:name="_Toc139017631"/>
      <w:bookmarkStart w:id="57" w:name="_Toc139018775"/>
      <w:bookmarkStart w:id="58" w:name="_Toc139019189"/>
      <w:bookmarkStart w:id="59" w:name="_Toc139019339"/>
      <w:bookmarkStart w:id="60" w:name="_Toc139019486"/>
      <w:bookmarkStart w:id="61" w:name="_Toc141438511"/>
      <w:r w:rsidRPr="00EF7C8C">
        <w:t xml:space="preserve">Overview of the </w:t>
      </w:r>
      <w:r w:rsidR="00EF17FE">
        <w:t>R</w:t>
      </w:r>
      <w:r w:rsidRPr="00EF7C8C">
        <w:t xml:space="preserve">egulatory </w:t>
      </w:r>
      <w:r w:rsidR="00EF17FE">
        <w:t>F</w:t>
      </w:r>
      <w:r w:rsidRPr="00EF7C8C">
        <w:t>ramework</w:t>
      </w:r>
      <w:bookmarkEnd w:id="54"/>
      <w:bookmarkEnd w:id="55"/>
      <w:bookmarkEnd w:id="56"/>
      <w:bookmarkEnd w:id="57"/>
      <w:bookmarkEnd w:id="58"/>
      <w:bookmarkEnd w:id="59"/>
      <w:bookmarkEnd w:id="60"/>
      <w:bookmarkEnd w:id="61"/>
    </w:p>
    <w:p w14:paraId="0FA9F957" w14:textId="3B68439F" w:rsidR="00AB0CC5" w:rsidRPr="00EF7C8C" w:rsidRDefault="00AB0CC5" w:rsidP="00D619AD">
      <w:pPr>
        <w:keepLines/>
      </w:pPr>
      <w:r w:rsidRPr="00EF7C8C">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w:t>
      </w:r>
      <w:r w:rsidR="00171B88" w:rsidRPr="00EF7C8C">
        <w:t>. The ADRs</w:t>
      </w:r>
      <w:r w:rsidRPr="00EF7C8C">
        <w:t xml:space="preserve">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w:t>
      </w:r>
      <w:r w:rsidR="00620CD0" w:rsidRPr="00EF7C8C">
        <w:t>termined as national standards.</w:t>
      </w:r>
      <w:r w:rsidR="005A120C" w:rsidRPr="00EF7C8C">
        <w:t xml:space="preserve"> </w:t>
      </w:r>
      <w:r w:rsidR="0028549E" w:rsidRPr="00EF7C8C">
        <w:t>The RVSA commenced in full and replaced the MVSA on 1 July 2021. A two-year transition period was provided between 1 July 2021 and 30 June 2023.</w:t>
      </w:r>
    </w:p>
    <w:p w14:paraId="02324A2D" w14:textId="29F6FDB6" w:rsidR="00AB0CC5" w:rsidRPr="00EF7C8C" w:rsidRDefault="00AB0CC5" w:rsidP="00D619AD">
      <w:r w:rsidRPr="00EF7C8C">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5E545120" w14:textId="62AAA5EF" w:rsidR="00BA4F48" w:rsidRPr="00EF7C8C" w:rsidRDefault="001F33B9" w:rsidP="00C6692A">
      <w:pPr>
        <w:pStyle w:val="HeadingLevel2"/>
      </w:pPr>
      <w:bookmarkStart w:id="62" w:name="_Toc106612240"/>
      <w:bookmarkStart w:id="63" w:name="_Toc107390994"/>
      <w:bookmarkStart w:id="64" w:name="_Toc139017632"/>
      <w:bookmarkStart w:id="65" w:name="_Toc139018776"/>
      <w:bookmarkStart w:id="66" w:name="_Toc139019190"/>
      <w:bookmarkStart w:id="67" w:name="_Toc139019340"/>
      <w:bookmarkStart w:id="68" w:name="_Toc139019487"/>
      <w:bookmarkStart w:id="69" w:name="_Toc141438512"/>
      <w:bookmarkEnd w:id="46"/>
      <w:bookmarkEnd w:id="47"/>
      <w:bookmarkEnd w:id="48"/>
      <w:bookmarkEnd w:id="49"/>
      <w:bookmarkEnd w:id="50"/>
      <w:bookmarkEnd w:id="51"/>
      <w:bookmarkEnd w:id="52"/>
      <w:bookmarkEnd w:id="53"/>
      <w:r w:rsidRPr="00EF7C8C">
        <w:t>Overview</w:t>
      </w:r>
      <w:r w:rsidR="00D90682" w:rsidRPr="00EF7C8C">
        <w:t xml:space="preserve"> of the ADR</w:t>
      </w:r>
      <w:bookmarkEnd w:id="62"/>
      <w:bookmarkEnd w:id="63"/>
      <w:bookmarkEnd w:id="64"/>
      <w:bookmarkEnd w:id="65"/>
      <w:bookmarkEnd w:id="66"/>
      <w:bookmarkEnd w:id="67"/>
      <w:bookmarkEnd w:id="68"/>
      <w:bookmarkEnd w:id="69"/>
    </w:p>
    <w:p w14:paraId="63B91BFB" w14:textId="03B9EAA1" w:rsidR="00BD6B16" w:rsidRPr="00EF7C8C" w:rsidRDefault="00E47396" w:rsidP="002C6CB2">
      <w:r w:rsidRPr="00EF7C8C">
        <w:t xml:space="preserve">The </w:t>
      </w:r>
      <w:r w:rsidR="00976309" w:rsidRPr="00EF7C8C">
        <w:t>purpose</w:t>
      </w:r>
      <w:r w:rsidR="007056DA" w:rsidRPr="00EF7C8C">
        <w:t xml:space="preserve"> of ADR </w:t>
      </w:r>
      <w:r w:rsidR="00AC01BD" w:rsidRPr="00EF7C8C">
        <w:t>106</w:t>
      </w:r>
      <w:r w:rsidR="007056DA" w:rsidRPr="00EF7C8C">
        <w:t xml:space="preserve">/00 is to specify requirements for </w:t>
      </w:r>
      <w:r w:rsidR="00B3390C" w:rsidRPr="00EF7C8C">
        <w:t>s</w:t>
      </w:r>
      <w:r w:rsidR="00AC01BD" w:rsidRPr="00EF7C8C">
        <w:t xml:space="preserve">ide </w:t>
      </w:r>
      <w:r w:rsidR="00B3390C" w:rsidRPr="00EF7C8C">
        <w:t>u</w:t>
      </w:r>
      <w:r w:rsidR="00AC01BD" w:rsidRPr="00EF7C8C">
        <w:t xml:space="preserve">nderrun </w:t>
      </w:r>
      <w:r w:rsidR="00B3390C" w:rsidRPr="00EF7C8C">
        <w:t>p</w:t>
      </w:r>
      <w:r w:rsidR="00AC01BD" w:rsidRPr="00EF7C8C">
        <w:t>rotection</w:t>
      </w:r>
      <w:r w:rsidR="007056DA" w:rsidRPr="00EF7C8C">
        <w:t xml:space="preserve"> </w:t>
      </w:r>
      <w:r w:rsidR="007319BB" w:rsidRPr="00EF7C8C">
        <w:t xml:space="preserve">on medium and heavy goods vehicles, to reduce </w:t>
      </w:r>
      <w:r w:rsidR="002C73D2" w:rsidRPr="00EF7C8C">
        <w:t>the risk of pedestrians and</w:t>
      </w:r>
      <w:r w:rsidR="00392720" w:rsidRPr="00EF7C8C">
        <w:t xml:space="preserve"> cyclists falling under the sides and being caught under the wheels of </w:t>
      </w:r>
      <w:r w:rsidR="007319BB" w:rsidRPr="00EF7C8C">
        <w:t>these vehicles</w:t>
      </w:r>
      <w:r w:rsidR="00392720" w:rsidRPr="00EF7C8C">
        <w:t xml:space="preserve">. </w:t>
      </w:r>
      <w:r w:rsidR="007319BB" w:rsidRPr="00EF7C8C">
        <w:t>This</w:t>
      </w:r>
      <w:r w:rsidR="00BD6B16" w:rsidRPr="00EF7C8C">
        <w:t xml:space="preserve"> mostly occur</w:t>
      </w:r>
      <w:r w:rsidR="007319BB" w:rsidRPr="00EF7C8C">
        <w:t>s</w:t>
      </w:r>
      <w:r w:rsidR="00BD6B16" w:rsidRPr="00EF7C8C">
        <w:t xml:space="preserve"> </w:t>
      </w:r>
      <w:r w:rsidR="007319BB" w:rsidRPr="00EF7C8C">
        <w:t xml:space="preserve">during heavy vehicle </w:t>
      </w:r>
      <w:r w:rsidR="00EF7C8C" w:rsidRPr="00EF7C8C">
        <w:t>turning</w:t>
      </w:r>
      <w:r w:rsidR="007319BB" w:rsidRPr="00EF7C8C">
        <w:t xml:space="preserve"> manoeuvres in urban areas</w:t>
      </w:r>
      <w:r w:rsidR="00BD6B16" w:rsidRPr="00EF7C8C">
        <w:t>.</w:t>
      </w:r>
    </w:p>
    <w:p w14:paraId="4F73577B" w14:textId="347F6C51" w:rsidR="00D971E6" w:rsidRPr="00EF7C8C" w:rsidRDefault="00BD6B16" w:rsidP="002C6CB2">
      <w:r w:rsidRPr="00EF7C8C">
        <w:t xml:space="preserve">Side </w:t>
      </w:r>
      <w:r w:rsidR="00B3390C" w:rsidRPr="00EF7C8C">
        <w:t>u</w:t>
      </w:r>
      <w:r w:rsidRPr="00EF7C8C">
        <w:t xml:space="preserve">nderrun </w:t>
      </w:r>
      <w:r w:rsidR="00B3390C" w:rsidRPr="00EF7C8C">
        <w:t>p</w:t>
      </w:r>
      <w:r w:rsidRPr="00EF7C8C">
        <w:t xml:space="preserve">rotection </w:t>
      </w:r>
      <w:r w:rsidR="00C56D41" w:rsidRPr="00EF7C8C">
        <w:t xml:space="preserve">is provided through Lateral Protection Devices (LPDs), which </w:t>
      </w:r>
      <w:r w:rsidR="00BA1CD7" w:rsidRPr="00EF7C8C">
        <w:t>provide a practically continuous physical barrier in the form of</w:t>
      </w:r>
      <w:r w:rsidR="00C56D41" w:rsidRPr="00EF7C8C">
        <w:t xml:space="preserve"> </w:t>
      </w:r>
      <w:r w:rsidR="00BA1CD7" w:rsidRPr="00EF7C8C">
        <w:t xml:space="preserve">a continuous flat surface, or </w:t>
      </w:r>
      <w:r w:rsidR="00C56D41" w:rsidRPr="00EF7C8C">
        <w:t>one or more horizontal rails</w:t>
      </w:r>
      <w:r w:rsidR="00BA1CD7" w:rsidRPr="00EF7C8C">
        <w:t>, or a combination of surfaces and rails</w:t>
      </w:r>
      <w:r w:rsidR="00F96BEF" w:rsidRPr="00EF7C8C">
        <w:t xml:space="preserve">. The LPDs are fitted </w:t>
      </w:r>
      <w:r w:rsidR="000120B6" w:rsidRPr="00EF7C8C">
        <w:t>in</w:t>
      </w:r>
      <w:r w:rsidR="00107EF9" w:rsidRPr="00EF7C8C">
        <w:t xml:space="preserve"> front of the rear wheels </w:t>
      </w:r>
      <w:r w:rsidRPr="00EF7C8C">
        <w:t xml:space="preserve">to prevent vulnerable road users, </w:t>
      </w:r>
      <w:r w:rsidR="007319BB" w:rsidRPr="00EF7C8C">
        <w:t xml:space="preserve">in particular </w:t>
      </w:r>
      <w:r w:rsidRPr="00EF7C8C">
        <w:t xml:space="preserve">pedestrians and cyclists, </w:t>
      </w:r>
      <w:r w:rsidR="00FD7CA0" w:rsidRPr="00EF7C8C">
        <w:t xml:space="preserve">from </w:t>
      </w:r>
      <w:r w:rsidRPr="00EF7C8C">
        <w:t xml:space="preserve">getting </w:t>
      </w:r>
      <w:r w:rsidR="00107EF9" w:rsidRPr="00EF7C8C">
        <w:t xml:space="preserve">killed or seriously </w:t>
      </w:r>
      <w:r w:rsidR="00EF7C8C" w:rsidRPr="00EF7C8C">
        <w:t>injured</w:t>
      </w:r>
      <w:r w:rsidR="00107EF9" w:rsidRPr="00EF7C8C">
        <w:t xml:space="preserve"> if they get too close to the vehicle.</w:t>
      </w:r>
      <w:r w:rsidR="00571425" w:rsidRPr="00EF7C8C">
        <w:t xml:space="preserve"> Components permanently fixed to the vehicle, e.g. spare wheels, battery box, air tanks, fuel tanks, lamps, reflectors and tool boxes may be incorporated in </w:t>
      </w:r>
      <w:r w:rsidR="005A72A4" w:rsidRPr="00EF7C8C">
        <w:t>an LPD</w:t>
      </w:r>
      <w:r w:rsidR="00571425" w:rsidRPr="00EF7C8C">
        <w:t>, provided that they meet the dimensional requirements</w:t>
      </w:r>
      <w:r w:rsidR="005A72A4" w:rsidRPr="00EF7C8C">
        <w:t>.</w:t>
      </w:r>
      <w:r w:rsidR="00EC786E" w:rsidRPr="00EF7C8C">
        <w:t xml:space="preserve"> LPDs may also be designed to have several adjustment positions at the side of the vehicle, including for example to include elements that can be moved to provide access to storage space under the vehicle (e.g. for trailer gates, a spare wheel carrier etc.).</w:t>
      </w:r>
    </w:p>
    <w:p w14:paraId="761CE584" w14:textId="4DDBF46F" w:rsidR="00383A38" w:rsidRPr="00EF7C8C" w:rsidRDefault="00383A38" w:rsidP="00383A38">
      <w:r w:rsidRPr="00EF7C8C">
        <w:t xml:space="preserve">Clause 3.1 requires goods vehicles over 4.5 tonnes Gross Vehicle Mass (GVM) </w:t>
      </w:r>
      <w:r w:rsidRPr="00EF7C8C">
        <w:br/>
        <w:t xml:space="preserve">(ADR sub-category NB2 and category NC vehicles) with an Overall Width exceeding 2,500 mm to comply with ADR 106/00 from </w:t>
      </w:r>
      <w:r w:rsidR="004165C4" w:rsidRPr="00D10396">
        <w:t>1 October</w:t>
      </w:r>
      <w:r w:rsidRPr="00D10396">
        <w:t xml:space="preserve"> 2023</w:t>
      </w:r>
      <w:r w:rsidRPr="00EF7C8C">
        <w:t>. This is the same date from which the Overall Width limit for goods vehicles meeting a package of ADRs (including this ADR 106/00), increases from 2,500 mm to 2,550 mm, through the commencement of the Vehicle Standard (Australian Design Rule) Safer Freight Vehicles Amendment No. 2 2023. For further detail, including on the package of ADRs, refer to the Safer Freight Vehicles Impact Analysis published as supporting material for this ADR. The objective of the Safer Freight Vehicles package is to allow wider heavy goods vehicles (up to 2,550 mm overall width) if fitted with additional safety systems</w:t>
      </w:r>
      <w:r w:rsidR="00162F87" w:rsidRPr="00EF7C8C">
        <w:t xml:space="preserve"> or features</w:t>
      </w:r>
      <w:r w:rsidRPr="00EF7C8C">
        <w:t xml:space="preserve">, one of which is </w:t>
      </w:r>
      <w:r w:rsidR="00B3390C" w:rsidRPr="00EF7C8C">
        <w:t>s</w:t>
      </w:r>
      <w:r w:rsidRPr="00EF7C8C">
        <w:t xml:space="preserve">ide </w:t>
      </w:r>
      <w:r w:rsidR="00B3390C" w:rsidRPr="00EF7C8C">
        <w:t>u</w:t>
      </w:r>
      <w:r w:rsidRPr="00EF7C8C">
        <w:t xml:space="preserve">nderrun </w:t>
      </w:r>
      <w:r w:rsidR="00B3390C" w:rsidRPr="00EF7C8C">
        <w:t>p</w:t>
      </w:r>
      <w:r w:rsidRPr="00EF7C8C">
        <w:t>rotection.</w:t>
      </w:r>
    </w:p>
    <w:p w14:paraId="3B4528FB" w14:textId="5A74726E" w:rsidR="0067750E" w:rsidRPr="00EF7C8C" w:rsidRDefault="005C270E" w:rsidP="00E97A84">
      <w:r w:rsidRPr="00EF7C8C">
        <w:lastRenderedPageBreak/>
        <w:t xml:space="preserve">Clause 3.2 </w:t>
      </w:r>
      <w:r w:rsidR="00B3390C" w:rsidRPr="00EF7C8C">
        <w:t>exempts</w:t>
      </w:r>
      <w:r w:rsidRPr="00EF7C8C">
        <w:t xml:space="preserve"> prime movers </w:t>
      </w:r>
      <w:r w:rsidR="00EE106B" w:rsidRPr="00EF7C8C">
        <w:t xml:space="preserve">(vehicles </w:t>
      </w:r>
      <w:r w:rsidR="0000257F" w:rsidRPr="00EF7C8C">
        <w:t>built</w:t>
      </w:r>
      <w:r w:rsidR="00EE106B" w:rsidRPr="00EF7C8C">
        <w:t xml:space="preserve"> to tow a semi-trailer) </w:t>
      </w:r>
      <w:r w:rsidRPr="00EF7C8C">
        <w:t>and partially completed vehicles</w:t>
      </w:r>
      <w:r w:rsidR="00655F68" w:rsidRPr="00EF7C8C">
        <w:t xml:space="preserve"> </w:t>
      </w:r>
      <w:r w:rsidR="00B3390C" w:rsidRPr="00EF7C8C">
        <w:t>from having</w:t>
      </w:r>
      <w:r w:rsidR="00655F68" w:rsidRPr="00EF7C8C">
        <w:t xml:space="preserve"> to </w:t>
      </w:r>
      <w:r w:rsidR="00B3390C" w:rsidRPr="00EF7C8C">
        <w:t>comply with ADR 106/00</w:t>
      </w:r>
      <w:r w:rsidR="00100591" w:rsidRPr="00EF7C8C">
        <w:t xml:space="preserve">. </w:t>
      </w:r>
      <w:r w:rsidR="00C4005A" w:rsidRPr="00EF7C8C">
        <w:t>In the case of p</w:t>
      </w:r>
      <w:r w:rsidR="00100591" w:rsidRPr="00EF7C8C">
        <w:t xml:space="preserve">rime movers </w:t>
      </w:r>
      <w:r w:rsidR="00C4005A" w:rsidRPr="00EF7C8C">
        <w:t>there is usually</w:t>
      </w:r>
      <w:r w:rsidR="00AE5117" w:rsidRPr="00EF7C8C">
        <w:t xml:space="preserve"> limited space between the rear of the cab and the rear wheels in which to fit side underrun and this space usually includes fuel tanks and other components that perform a similar function</w:t>
      </w:r>
      <w:r w:rsidR="00C4005A" w:rsidRPr="00EF7C8C">
        <w:t>. I</w:t>
      </w:r>
      <w:r w:rsidR="00100591" w:rsidRPr="00EF7C8C">
        <w:t xml:space="preserve">n the case of partially completed vehicles the original manufacturer </w:t>
      </w:r>
      <w:r w:rsidR="00383A38" w:rsidRPr="00EF7C8C">
        <w:t>may</w:t>
      </w:r>
      <w:r w:rsidR="00100591" w:rsidRPr="00EF7C8C">
        <w:t xml:space="preserve"> </w:t>
      </w:r>
      <w:r w:rsidR="00383A38" w:rsidRPr="00EF7C8C">
        <w:t xml:space="preserve">or may </w:t>
      </w:r>
      <w:r w:rsidR="00100591" w:rsidRPr="00EF7C8C">
        <w:t xml:space="preserve">not fit </w:t>
      </w:r>
      <w:r w:rsidR="00615DD1" w:rsidRPr="00EF7C8C">
        <w:t>s</w:t>
      </w:r>
      <w:r w:rsidR="00100591" w:rsidRPr="00EF7C8C">
        <w:t xml:space="preserve">ide </w:t>
      </w:r>
      <w:r w:rsidR="00615DD1" w:rsidRPr="00EF7C8C">
        <w:t>u</w:t>
      </w:r>
      <w:r w:rsidR="00100591" w:rsidRPr="00EF7C8C">
        <w:t>nderrun protection to a vehicle before the vehicle was entered on the Register of Approved Vehicles</w:t>
      </w:r>
      <w:r w:rsidR="00636A85" w:rsidRPr="00EF7C8C">
        <w:t xml:space="preserve"> as required by the RVS legislation. </w:t>
      </w:r>
      <w:r w:rsidR="00100591" w:rsidRPr="00EF7C8C">
        <w:t xml:space="preserve">However, the policy intent is that cab-chassis and other partially completed vehicles supplied without side underrun protection </w:t>
      </w:r>
      <w:r w:rsidR="003A4FA0" w:rsidRPr="00EF7C8C">
        <w:t xml:space="preserve">will </w:t>
      </w:r>
      <w:r w:rsidR="00100591" w:rsidRPr="00EF7C8C">
        <w:t xml:space="preserve">still </w:t>
      </w:r>
      <w:r w:rsidR="00DB2928" w:rsidRPr="00EF7C8C">
        <w:t>be required to be fitted with these</w:t>
      </w:r>
      <w:r w:rsidR="00100591" w:rsidRPr="00EF7C8C">
        <w:t xml:space="preserve"> during the completion of the vehicle, e.g. by a vehicle bodybuilder</w:t>
      </w:r>
      <w:r w:rsidR="00383A38" w:rsidRPr="00EF7C8C">
        <w:t>,</w:t>
      </w:r>
      <w:r w:rsidR="00ED4B17" w:rsidRPr="00EF7C8C">
        <w:t xml:space="preserve"> to be allowed to exceed 2</w:t>
      </w:r>
      <w:r w:rsidR="00383A38" w:rsidRPr="00EF7C8C">
        <w:t>,</w:t>
      </w:r>
      <w:r w:rsidR="00ED4B17" w:rsidRPr="00EF7C8C">
        <w:t>5</w:t>
      </w:r>
      <w:r w:rsidR="00383A38" w:rsidRPr="00EF7C8C">
        <w:t>00</w:t>
      </w:r>
      <w:r w:rsidR="00ED4B17" w:rsidRPr="00EF7C8C">
        <w:t xml:space="preserve"> m</w:t>
      </w:r>
      <w:r w:rsidR="00383A38" w:rsidRPr="00EF7C8C">
        <w:t>m</w:t>
      </w:r>
      <w:r w:rsidR="000C52DD" w:rsidRPr="00EF7C8C">
        <w:t xml:space="preserve"> in width</w:t>
      </w:r>
      <w:r w:rsidR="00100591" w:rsidRPr="00EF7C8C">
        <w:t>.</w:t>
      </w:r>
      <w:r w:rsidR="00C93290" w:rsidRPr="00EF7C8C">
        <w:t xml:space="preserve"> It is expected that jurisdictions and the National Heavy Vehicle Regulator will </w:t>
      </w:r>
      <w:r w:rsidR="006148A7">
        <w:t xml:space="preserve">be able to </w:t>
      </w:r>
      <w:r w:rsidR="00C93290" w:rsidRPr="00EF7C8C">
        <w:t>use existing legislation to require compliance for completed vehicles over 2,500 mm in width.</w:t>
      </w:r>
    </w:p>
    <w:p w14:paraId="67420517" w14:textId="176B2A48" w:rsidR="00B96652" w:rsidRPr="00EF7C8C" w:rsidRDefault="0067750E" w:rsidP="00C93290">
      <w:r w:rsidRPr="00EF7C8C">
        <w:t xml:space="preserve">Clause 3.3 </w:t>
      </w:r>
      <w:r w:rsidR="003E4DA6" w:rsidRPr="00EF7C8C">
        <w:t>clarifies that ADR 106/00 is optional for</w:t>
      </w:r>
      <w:r w:rsidRPr="00EF7C8C">
        <w:t xml:space="preserve"> goods vehicles over 4.5 tonnes GVM </w:t>
      </w:r>
      <w:r w:rsidR="003E4DA6" w:rsidRPr="00EF7C8C">
        <w:t xml:space="preserve">(ADR sub-category NB2 and category NC vehicles), which have an overall width </w:t>
      </w:r>
      <w:r w:rsidRPr="00EF7C8C">
        <w:t>not exceeding 2</w:t>
      </w:r>
      <w:r w:rsidR="003E4DA6" w:rsidRPr="00EF7C8C">
        <w:t>,500 mm and/or are partially completed vehicles</w:t>
      </w:r>
      <w:r w:rsidRPr="00EF7C8C">
        <w:t>.</w:t>
      </w:r>
      <w:r w:rsidR="003E4DA6" w:rsidRPr="00EF7C8C">
        <w:t xml:space="preserve"> This gives manufacturers of </w:t>
      </w:r>
      <w:r w:rsidR="00E91D87" w:rsidRPr="00EF7C8C">
        <w:t>these vehicles</w:t>
      </w:r>
      <w:r w:rsidR="00E32FC1" w:rsidRPr="00EF7C8C">
        <w:t xml:space="preserve"> </w:t>
      </w:r>
      <w:r w:rsidR="003E4DA6" w:rsidRPr="00EF7C8C">
        <w:t xml:space="preserve">the option to </w:t>
      </w:r>
      <w:r w:rsidR="00E91D87" w:rsidRPr="00EF7C8C">
        <w:t>meet</w:t>
      </w:r>
      <w:r w:rsidR="003E4DA6" w:rsidRPr="00EF7C8C">
        <w:t xml:space="preserve"> the ADR, but does not </w:t>
      </w:r>
      <w:r w:rsidR="00C93290" w:rsidRPr="00EF7C8C">
        <w:t>require compliance</w:t>
      </w:r>
      <w:r w:rsidR="003E4DA6" w:rsidRPr="00EF7C8C">
        <w:t>, including if fitted with side underrun protection.</w:t>
      </w:r>
      <w:r w:rsidR="00E32FC1" w:rsidRPr="00EF7C8C">
        <w:t xml:space="preserve"> </w:t>
      </w:r>
      <w:r w:rsidR="00C93290" w:rsidRPr="00EF7C8C">
        <w:t>As per the explanation for clause 3.2 above, compliance in service would be required for completed vehicles over 2,500 mm in width.</w:t>
      </w:r>
    </w:p>
    <w:p w14:paraId="69AEB7BA" w14:textId="0E081581" w:rsidR="00BE4C2D" w:rsidRPr="00EF7C8C" w:rsidRDefault="00BE4C2D" w:rsidP="00E97A84">
      <w:r w:rsidRPr="00EF7C8C">
        <w:t>Clause 5 sets out different paths that a vehicle manufacturer may cho</w:t>
      </w:r>
      <w:r w:rsidR="00E91D87" w:rsidRPr="00EF7C8C">
        <w:t>o</w:t>
      </w:r>
      <w:r w:rsidRPr="00EF7C8C">
        <w:t>se between to demonstrate compliance with the requirements of ADR 106/00.</w:t>
      </w:r>
      <w:r w:rsidR="008C393E" w:rsidRPr="00EF7C8C">
        <w:t xml:space="preserve"> This is recogni</w:t>
      </w:r>
      <w:r w:rsidR="005D525B" w:rsidRPr="00EF7C8C">
        <w:t>sing</w:t>
      </w:r>
      <w:r w:rsidR="008C393E" w:rsidRPr="00EF7C8C">
        <w:t xml:space="preserve"> that heavy vehicles are not always completed in one stage.</w:t>
      </w:r>
    </w:p>
    <w:p w14:paraId="6ECB474A" w14:textId="34A3B92D" w:rsidR="00B22321" w:rsidRPr="00EF7C8C" w:rsidRDefault="00B96652" w:rsidP="00E97A84">
      <w:r w:rsidRPr="00EF7C8C">
        <w:t xml:space="preserve">Clause </w:t>
      </w:r>
      <w:r w:rsidR="004052D9" w:rsidRPr="00EF7C8C">
        <w:t xml:space="preserve">5.1(a) </w:t>
      </w:r>
      <w:r w:rsidR="003F783E" w:rsidRPr="00EF7C8C">
        <w:t>provides that</w:t>
      </w:r>
      <w:r w:rsidR="004052D9" w:rsidRPr="00EF7C8C">
        <w:t xml:space="preserve"> vehicles meet</w:t>
      </w:r>
      <w:r w:rsidR="003F783E" w:rsidRPr="00EF7C8C">
        <w:t>ing</w:t>
      </w:r>
      <w:r w:rsidR="004052D9" w:rsidRPr="00EF7C8C">
        <w:t xml:space="preserve"> the requirements of Part I of Appendix</w:t>
      </w:r>
      <w:r w:rsidR="000238B0" w:rsidRPr="00EF7C8C">
        <w:t> </w:t>
      </w:r>
      <w:r w:rsidR="004052D9" w:rsidRPr="00EF7C8C">
        <w:t xml:space="preserve">A, as varied by </w:t>
      </w:r>
      <w:r w:rsidR="006327A5" w:rsidRPr="00EF7C8C">
        <w:t>clause</w:t>
      </w:r>
      <w:r w:rsidR="004052D9" w:rsidRPr="00EF7C8C">
        <w:t xml:space="preserve"> 6 </w:t>
      </w:r>
      <w:r w:rsidR="006327A5" w:rsidRPr="00EF7C8C">
        <w:t>(</w:t>
      </w:r>
      <w:r w:rsidR="00C45E94" w:rsidRPr="00EF7C8C">
        <w:t xml:space="preserve">Exemptions </w:t>
      </w:r>
      <w:r w:rsidR="004052D9" w:rsidRPr="00EF7C8C">
        <w:t>and Alternative Procedures</w:t>
      </w:r>
      <w:r w:rsidR="006327A5" w:rsidRPr="00EF7C8C">
        <w:t>)</w:t>
      </w:r>
      <w:r w:rsidR="007A03FA" w:rsidRPr="00EF7C8C">
        <w:t>,</w:t>
      </w:r>
      <w:r w:rsidR="003F783E" w:rsidRPr="00EF7C8C">
        <w:t xml:space="preserve"> satisfy the requirements of ADR 106/00</w:t>
      </w:r>
      <w:r w:rsidR="004052D9" w:rsidRPr="00EF7C8C">
        <w:t>.</w:t>
      </w:r>
      <w:r w:rsidR="00ED4B17" w:rsidRPr="00EF7C8C">
        <w:t xml:space="preserve"> </w:t>
      </w:r>
      <w:r w:rsidR="004052D9" w:rsidRPr="00EF7C8C">
        <w:t>Part I of Appendix A is the United Nations (UN) Regulation No. 73 (R73) – UNIFORM PROVISIONS CONCERNING THE APPROVAL OF</w:t>
      </w:r>
      <w:r w:rsidR="005C270E" w:rsidRPr="00EF7C8C">
        <w:t xml:space="preserve"> </w:t>
      </w:r>
      <w:r w:rsidR="004052D9" w:rsidRPr="00EF7C8C">
        <w:t>VEHICLES WITH REGARD TO THEIR LATERAL PROTECTION DEVICES</w:t>
      </w:r>
      <w:r w:rsidR="00EE50B8" w:rsidRPr="00EF7C8C">
        <w:t xml:space="preserve"> (LPD)</w:t>
      </w:r>
      <w:r w:rsidR="007A03FA" w:rsidRPr="00EF7C8C">
        <w:t>, incorporating the 01 series of amendments</w:t>
      </w:r>
      <w:r w:rsidR="004052D9" w:rsidRPr="00EF7C8C">
        <w:t>.</w:t>
      </w:r>
      <w:r w:rsidR="00BE4C2D" w:rsidRPr="00EF7C8C">
        <w:t xml:space="preserve"> Part I sets out the requirements to be met by the </w:t>
      </w:r>
      <w:r w:rsidR="00C45E94" w:rsidRPr="00EF7C8C">
        <w:t>LPD (</w:t>
      </w:r>
      <w:r w:rsidR="00BE4C2D" w:rsidRPr="00EF7C8C">
        <w:t>side underrun protection</w:t>
      </w:r>
      <w:r w:rsidR="00C45E94" w:rsidRPr="00EF7C8C">
        <w:t>)</w:t>
      </w:r>
      <w:r w:rsidR="00BE4C2D" w:rsidRPr="00EF7C8C">
        <w:t xml:space="preserve"> and its installation</w:t>
      </w:r>
      <w:r w:rsidR="005D525B" w:rsidRPr="00EF7C8C">
        <w:t xml:space="preserve"> under </w:t>
      </w:r>
      <w:r w:rsidR="00C10847" w:rsidRPr="00EF7C8C">
        <w:t xml:space="preserve">vehicle </w:t>
      </w:r>
      <w:r w:rsidR="005D525B" w:rsidRPr="00EF7C8C">
        <w:t>type approval arrangements</w:t>
      </w:r>
      <w:r w:rsidR="00BE4C2D" w:rsidRPr="00EF7C8C">
        <w:t>.</w:t>
      </w:r>
    </w:p>
    <w:p w14:paraId="0DB974EA" w14:textId="057DB458" w:rsidR="00BE4C2D" w:rsidRPr="00EF7C8C" w:rsidRDefault="00BE4C2D" w:rsidP="00E97A84">
      <w:r w:rsidRPr="00EF7C8C">
        <w:t xml:space="preserve">Clause 5.1(b) </w:t>
      </w:r>
      <w:r w:rsidR="003F783E" w:rsidRPr="00EF7C8C">
        <w:t xml:space="preserve">provides that vehicles meeting the requirements of Part II and III of Appendix A, as varied by </w:t>
      </w:r>
      <w:r w:rsidR="006327A5" w:rsidRPr="00EF7C8C">
        <w:t>clause</w:t>
      </w:r>
      <w:r w:rsidR="003F783E" w:rsidRPr="00EF7C8C">
        <w:t xml:space="preserve"> 6 </w:t>
      </w:r>
      <w:r w:rsidR="006327A5" w:rsidRPr="00EF7C8C">
        <w:t>(</w:t>
      </w:r>
      <w:r w:rsidR="003F783E" w:rsidRPr="00EF7C8C">
        <w:t>Exemptions and Alternative Procedures</w:t>
      </w:r>
      <w:r w:rsidR="006327A5" w:rsidRPr="00EF7C8C">
        <w:t>)</w:t>
      </w:r>
      <w:r w:rsidR="007A03FA" w:rsidRPr="00EF7C8C">
        <w:t>,</w:t>
      </w:r>
      <w:r w:rsidR="003F783E" w:rsidRPr="00EF7C8C">
        <w:t xml:space="preserve"> satisfy the requirements of ADR 106/00. Part II of Appendix A is the </w:t>
      </w:r>
      <w:r w:rsidR="00FE2A70" w:rsidRPr="00EF7C8C">
        <w:t>UN</w:t>
      </w:r>
      <w:r w:rsidR="003F783E" w:rsidRPr="00EF7C8C">
        <w:t xml:space="preserve"> Regulation No. 73 (R73) – UNIFORM PROVISIONS CONCERNING THE APPROVAL </w:t>
      </w:r>
      <w:r w:rsidR="00FE2A70" w:rsidRPr="00EF7C8C">
        <w:t xml:space="preserve">OF </w:t>
      </w:r>
      <w:r w:rsidR="003F783E" w:rsidRPr="00EF7C8C">
        <w:t>LATERAL PROTECTION DEVICES</w:t>
      </w:r>
      <w:r w:rsidR="007A03FA" w:rsidRPr="00EF7C8C">
        <w:t>, incorporating the 01 series of amendments</w:t>
      </w:r>
      <w:r w:rsidR="003F783E" w:rsidRPr="00EF7C8C">
        <w:t>.</w:t>
      </w:r>
      <w:r w:rsidR="00EE50B8" w:rsidRPr="00EF7C8C">
        <w:t xml:space="preserve"> Part III of Appendix A is the </w:t>
      </w:r>
      <w:r w:rsidR="00FE2A70" w:rsidRPr="00EF7C8C">
        <w:t>UN</w:t>
      </w:r>
      <w:r w:rsidR="00EE50B8" w:rsidRPr="00EF7C8C">
        <w:t xml:space="preserve"> Regulation No. 73 (R73) – UNIFORM PROVISIONS CONCERNING THE APPROVAL OF VEHICLES WITH REGARD TO THE INSTALLATION OF LPD OF AN APPROVED TYPE ACCORDING TO PART II OF THIS REGULATION</w:t>
      </w:r>
      <w:r w:rsidR="007A03FA" w:rsidRPr="00EF7C8C">
        <w:t>, incorporating the 01 series of amendments</w:t>
      </w:r>
      <w:r w:rsidR="00EE50B8" w:rsidRPr="00EF7C8C">
        <w:t>.</w:t>
      </w:r>
      <w:r w:rsidR="00C45E94" w:rsidRPr="00EF7C8C">
        <w:t xml:space="preserve"> Part</w:t>
      </w:r>
      <w:r w:rsidR="00FE2A70" w:rsidRPr="00EF7C8C">
        <w:t> </w:t>
      </w:r>
      <w:r w:rsidR="00C45E94" w:rsidRPr="00EF7C8C">
        <w:t>II sets out the requirements to be met by LPDs (side underrun protection) for component type approval, and Part III sets out the requirements for the installation of LPDs approved under Part II to vehicles.</w:t>
      </w:r>
    </w:p>
    <w:p w14:paraId="52D12C30" w14:textId="3DAFB97D" w:rsidR="00C92C4D" w:rsidRPr="00EF7C8C" w:rsidRDefault="005D525B" w:rsidP="00C93290">
      <w:pPr>
        <w:keepLines/>
      </w:pPr>
      <w:r w:rsidRPr="00EF7C8C">
        <w:lastRenderedPageBreak/>
        <w:t xml:space="preserve">Clause 5.1(c) provides that vehicles </w:t>
      </w:r>
      <w:r w:rsidR="00670FA2" w:rsidRPr="00EF7C8C">
        <w:t>that meet the technical requirements</w:t>
      </w:r>
      <w:r w:rsidRPr="00EF7C8C">
        <w:t xml:space="preserve"> to Part I of UN R73</w:t>
      </w:r>
      <w:r w:rsidR="00FE2A70" w:rsidRPr="00EF7C8C">
        <w:t>, incorporating the 01 series of amendments</w:t>
      </w:r>
      <w:r w:rsidR="007A03FA" w:rsidRPr="00EF7C8C">
        <w:t xml:space="preserve">, satisfy </w:t>
      </w:r>
      <w:r w:rsidRPr="00EF7C8C">
        <w:t>the requirements of ADR</w:t>
      </w:r>
      <w:r w:rsidR="00BE0C16" w:rsidRPr="00EF7C8C">
        <w:t> </w:t>
      </w:r>
      <w:r w:rsidRPr="00EF7C8C">
        <w:t>106/00.</w:t>
      </w:r>
      <w:r w:rsidR="008D2655" w:rsidRPr="00EF7C8C">
        <w:t xml:space="preserve"> </w:t>
      </w:r>
      <w:r w:rsidR="00FE2A70" w:rsidRPr="00EF7C8C">
        <w:t>Compliance with the technical requirements of Part I could be demonstrated by a UN approval</w:t>
      </w:r>
      <w:r w:rsidR="00BE0C16" w:rsidRPr="00EF7C8C">
        <w:t>,</w:t>
      </w:r>
      <w:r w:rsidR="00FE2A70" w:rsidRPr="00EF7C8C">
        <w:t xml:space="preserve"> or by a test report </w:t>
      </w:r>
      <w:r w:rsidR="00D034C8" w:rsidRPr="00EF7C8C">
        <w:t>from</w:t>
      </w:r>
      <w:r w:rsidR="00FE2A70" w:rsidRPr="00EF7C8C">
        <w:t xml:space="preserve"> a</w:t>
      </w:r>
      <w:r w:rsidR="00BE0C16" w:rsidRPr="00EF7C8C">
        <w:t>n approved</w:t>
      </w:r>
      <w:r w:rsidR="00FE2A70" w:rsidRPr="00EF7C8C">
        <w:t xml:space="preserve"> tes</w:t>
      </w:r>
      <w:r w:rsidR="00BE0C16" w:rsidRPr="00EF7C8C">
        <w:t>t</w:t>
      </w:r>
      <w:r w:rsidR="00FE2A70" w:rsidRPr="00EF7C8C">
        <w:t>ing facility</w:t>
      </w:r>
      <w:r w:rsidR="00BE0C16" w:rsidRPr="00EF7C8C">
        <w:t>,</w:t>
      </w:r>
      <w:r w:rsidR="00FE2A70" w:rsidRPr="00EF7C8C">
        <w:t xml:space="preserve"> </w:t>
      </w:r>
      <w:r w:rsidR="00BE0C16" w:rsidRPr="00EF7C8C">
        <w:t>covering all</w:t>
      </w:r>
      <w:r w:rsidR="00FE2A70" w:rsidRPr="00EF7C8C">
        <w:t xml:space="preserve"> </w:t>
      </w:r>
      <w:r w:rsidR="009D5D6D" w:rsidRPr="00EF7C8C">
        <w:t xml:space="preserve">the </w:t>
      </w:r>
      <w:r w:rsidR="00FE2A70" w:rsidRPr="00EF7C8C">
        <w:t xml:space="preserve">technical requirements </w:t>
      </w:r>
      <w:r w:rsidR="00A75AD7" w:rsidRPr="00EF7C8C">
        <w:t xml:space="preserve">of </w:t>
      </w:r>
      <w:r w:rsidR="00FE2A70" w:rsidRPr="00EF7C8C">
        <w:t>Part I of UN R73 incorporating the 01</w:t>
      </w:r>
      <w:r w:rsidR="009D5D6D" w:rsidRPr="00EF7C8C">
        <w:t> </w:t>
      </w:r>
      <w:r w:rsidR="00FE2A70" w:rsidRPr="00EF7C8C">
        <w:t>series of amendments</w:t>
      </w:r>
      <w:r w:rsidR="00BE0C16" w:rsidRPr="00EF7C8C">
        <w:t>, for the vehicle model/type</w:t>
      </w:r>
      <w:r w:rsidR="00FE2A70" w:rsidRPr="00EF7C8C">
        <w:t>.</w:t>
      </w:r>
    </w:p>
    <w:p w14:paraId="3D99130A" w14:textId="1CCB7C96" w:rsidR="00822006" w:rsidRPr="00EF7C8C" w:rsidRDefault="005D525B" w:rsidP="00E97A84">
      <w:r w:rsidRPr="00EF7C8C">
        <w:t xml:space="preserve">Clause 5.1(d) provides that vehicles fitted with </w:t>
      </w:r>
      <w:r w:rsidR="007A03FA" w:rsidRPr="00EF7C8C">
        <w:t xml:space="preserve">LPDs </w:t>
      </w:r>
      <w:r w:rsidR="00BE0C16" w:rsidRPr="00EF7C8C">
        <w:t>in accordance with the technical requirements of Part</w:t>
      </w:r>
      <w:r w:rsidR="00CF6392">
        <w:t>s</w:t>
      </w:r>
      <w:r w:rsidR="00BE0C16" w:rsidRPr="00EF7C8C">
        <w:t xml:space="preserve"> I</w:t>
      </w:r>
      <w:r w:rsidR="00CF6392">
        <w:t>I</w:t>
      </w:r>
      <w:r w:rsidR="00BE0C16" w:rsidRPr="00EF7C8C">
        <w:t xml:space="preserve"> and Part I</w:t>
      </w:r>
      <w:r w:rsidR="00CF6392">
        <w:t>I</w:t>
      </w:r>
      <w:r w:rsidR="00BE0C16" w:rsidRPr="00EF7C8C">
        <w:t>I of UN R73 incorporating the 01 series of amendments, satisfy the requirements of ADR 106/00</w:t>
      </w:r>
      <w:r w:rsidR="007D044D" w:rsidRPr="00EF7C8C">
        <w:t>.</w:t>
      </w:r>
      <w:r w:rsidR="00BE0C16" w:rsidRPr="00EF7C8C">
        <w:t xml:space="preserve"> Compliance with the technical requirements of these parts could be demonstrated by UN approval(s), and/or by a test report from an approved testing facility, covering all </w:t>
      </w:r>
      <w:r w:rsidR="005D1CC1" w:rsidRPr="00EF7C8C">
        <w:t xml:space="preserve">the </w:t>
      </w:r>
      <w:r w:rsidR="00BE0C16" w:rsidRPr="00EF7C8C">
        <w:t>technical requirements of Part I and/or Part II (as applicable) of UN R73 incorporating the 01 series of amendments, for the vehicle model/type.</w:t>
      </w:r>
    </w:p>
    <w:p w14:paraId="176033C9" w14:textId="29A96988" w:rsidR="00C45E94" w:rsidRPr="00EF7C8C" w:rsidRDefault="00C45E94" w:rsidP="00C45E94">
      <w:r w:rsidRPr="00EF7C8C">
        <w:t xml:space="preserve">The objective of the requirements </w:t>
      </w:r>
      <w:r w:rsidR="00E6166D" w:rsidRPr="00EF7C8C">
        <w:t>of</w:t>
      </w:r>
      <w:r w:rsidR="00155A36" w:rsidRPr="00EF7C8C">
        <w:t xml:space="preserve"> clause 5.1 (parts (a) to (d)) </w:t>
      </w:r>
      <w:r w:rsidRPr="00EF7C8C">
        <w:t>is to ensure that the barrier fitted to prevent vulnerable road users from falling under the vehicle performs that task without creating other unintended safety problems by protruding too far, having sharp parts or interfering with the functioning of the vehicle.</w:t>
      </w:r>
    </w:p>
    <w:p w14:paraId="347C4C29" w14:textId="77777777" w:rsidR="005D525B" w:rsidRPr="00EF7C8C" w:rsidRDefault="00822006" w:rsidP="00E97A84">
      <w:r w:rsidRPr="00EF7C8C">
        <w:t>Clause 6.1</w:t>
      </w:r>
      <w:r w:rsidR="00166113" w:rsidRPr="00EF7C8C">
        <w:t xml:space="preserve"> provides exemptions from the requirements of Appendix A which relate to gaining a UN R73 Approval. These exemptions are allowed because it is not a requirement to gain a UN Approval</w:t>
      </w:r>
      <w:r w:rsidR="007D044D" w:rsidRPr="00EF7C8C">
        <w:t xml:space="preserve"> </w:t>
      </w:r>
      <w:r w:rsidR="00166113" w:rsidRPr="00EF7C8C">
        <w:t>for vehicle supply to the market in Australia, where the Commonwealth administers approvals through the RVSA and the ADRs.</w:t>
      </w:r>
    </w:p>
    <w:p w14:paraId="1F829F75" w14:textId="77777777" w:rsidR="00166113" w:rsidRPr="00EF7C8C" w:rsidRDefault="00166113" w:rsidP="00E97A84">
      <w:r w:rsidRPr="00EF7C8C">
        <w:t>Clause 6.2 clarifies that “maximum mass” in Appendix A, paragraph 2.1.2 must be read as the ‘</w:t>
      </w:r>
      <w:r w:rsidRPr="00EF7C8C">
        <w:rPr>
          <w:i/>
        </w:rPr>
        <w:t>Gross Vehicle Mass</w:t>
      </w:r>
      <w:r w:rsidRPr="00EF7C8C">
        <w:t>’. This is because ‘</w:t>
      </w:r>
      <w:r w:rsidRPr="00EF7C8C">
        <w:rPr>
          <w:i/>
        </w:rPr>
        <w:t>Gross Vehicle Mass</w:t>
      </w:r>
      <w:r w:rsidRPr="00EF7C8C">
        <w:t>’ is the defined term to describe the maximum laden mass of a motor vehicle in the ADRs.</w:t>
      </w:r>
    </w:p>
    <w:p w14:paraId="5802D12D" w14:textId="118EE22F" w:rsidR="00936B2A" w:rsidRPr="00EF7C8C" w:rsidRDefault="00936B2A" w:rsidP="00E97A84">
      <w:r w:rsidRPr="00EF7C8C">
        <w:t xml:space="preserve">Clauses 6.3, </w:t>
      </w:r>
      <w:r w:rsidR="00D218EA" w:rsidRPr="00EF7C8C">
        <w:t>6.6, and 6.7 correct paragraph cross-referencing errors in Appendix A (UN R73 incorporating up to supplement 3 to the 01 series of amendments).</w:t>
      </w:r>
    </w:p>
    <w:p w14:paraId="3187E391" w14:textId="78E35B10" w:rsidR="002E6908" w:rsidRPr="00EF7C8C" w:rsidRDefault="002E6908" w:rsidP="00E97A84">
      <w:r w:rsidRPr="00EF7C8C">
        <w:t>Clauses 6.4 and 6.5 set</w:t>
      </w:r>
      <w:r w:rsidR="00170E07" w:rsidRPr="00EF7C8C">
        <w:t xml:space="preserve"> </w:t>
      </w:r>
      <w:r w:rsidRPr="00EF7C8C">
        <w:t xml:space="preserve">out how the validity of any calculation methods used to demonstrate </w:t>
      </w:r>
      <w:r w:rsidR="00170E07" w:rsidRPr="00EF7C8C">
        <w:t>the</w:t>
      </w:r>
      <w:r w:rsidRPr="00EF7C8C">
        <w:t xml:space="preserve"> LPD</w:t>
      </w:r>
      <w:r w:rsidR="00170E07" w:rsidRPr="00EF7C8C">
        <w:t>s</w:t>
      </w:r>
      <w:r w:rsidRPr="00EF7C8C">
        <w:t xml:space="preserve"> (side underrun) </w:t>
      </w:r>
      <w:r w:rsidR="00170E07" w:rsidRPr="00EF7C8C">
        <w:t xml:space="preserve">meet the </w:t>
      </w:r>
      <w:r w:rsidRPr="00EF7C8C">
        <w:t>minimum strength and maximum deflection requirements is to be established, where compliance with ADR</w:t>
      </w:r>
      <w:r w:rsidR="00962B0E" w:rsidRPr="00EF7C8C">
        <w:t> </w:t>
      </w:r>
      <w:r w:rsidRPr="00EF7C8C">
        <w:t xml:space="preserve">106/00 is demonstrated </w:t>
      </w:r>
      <w:r w:rsidR="00962B0E" w:rsidRPr="00EF7C8C">
        <w:t>through clause 5.1(a) or 5.1(b).</w:t>
      </w:r>
    </w:p>
    <w:p w14:paraId="45297610" w14:textId="3E28C35D" w:rsidR="00E354BF" w:rsidRPr="00EF7C8C" w:rsidRDefault="00E354BF" w:rsidP="00E97A84">
      <w:r w:rsidRPr="00EF7C8C">
        <w:t xml:space="preserve">Clauses 6.9 to 6.11 allow </w:t>
      </w:r>
      <w:r w:rsidR="007E04E2" w:rsidRPr="00EF7C8C">
        <w:t xml:space="preserve">for </w:t>
      </w:r>
      <w:r w:rsidRPr="00EF7C8C">
        <w:t xml:space="preserve">access steps with an outer face of at least 42 mm in height </w:t>
      </w:r>
      <w:r w:rsidR="007E04E2" w:rsidRPr="00EF7C8C">
        <w:t>to</w:t>
      </w:r>
      <w:r w:rsidRPr="00EF7C8C">
        <w:t xml:space="preserve"> be used as horizontal rails in an LPD. </w:t>
      </w:r>
      <w:r w:rsidR="00E10894" w:rsidRPr="00EF7C8C">
        <w:t xml:space="preserve">UN R73 (as per Appendix A) would otherwise require </w:t>
      </w:r>
      <w:r w:rsidR="00EF7C8C" w:rsidRPr="00EF7C8C">
        <w:t>horizontal</w:t>
      </w:r>
      <w:r w:rsidR="00E10894" w:rsidRPr="00EF7C8C">
        <w:t xml:space="preserve"> rails used in an LPD to be at least 50 mm high for </w:t>
      </w:r>
      <w:r w:rsidR="00E10894" w:rsidRPr="00EF7C8C">
        <w:br/>
        <w:t xml:space="preserve">sub-category NB2 vehicles and 100 mm high for category NC vehicles. </w:t>
      </w:r>
      <w:r w:rsidRPr="00EF7C8C">
        <w:t xml:space="preserve">This </w:t>
      </w:r>
      <w:r w:rsidR="00E10894" w:rsidRPr="00EF7C8C">
        <w:t xml:space="preserve">derogation from UN R73 </w:t>
      </w:r>
      <w:r w:rsidRPr="00EF7C8C">
        <w:t>is to balance the need for heavy vehicle operators to have safe access to truck cabs, sleeper berths and load/cargo carrying areas, while also providing an effective barrier to reduce the risk of pedestrians and cyclists falling under the sides and being caught under the wheels of these vehicles.</w:t>
      </w:r>
      <w:r w:rsidR="003F42E3" w:rsidRPr="00EF7C8C">
        <w:t xml:space="preserve"> The policy intent of </w:t>
      </w:r>
      <w:r w:rsidR="007163BB" w:rsidRPr="00EF7C8C">
        <w:t xml:space="preserve">these clauses is to ensure that the derogation (i.e. lower minimum rail height) relative to UN R73 will only be applied for access steps which are </w:t>
      </w:r>
      <w:r w:rsidR="00EF7C8C" w:rsidRPr="00EF7C8C">
        <w:t>genuinely</w:t>
      </w:r>
      <w:r w:rsidR="007163BB" w:rsidRPr="00EF7C8C">
        <w:t xml:space="preserve"> designed and positioned to allow an operator to maintain three points of contact, to safely climb and descend the vehicle. Maintaining three points of contact is widely recommended for workplace health and safety reasons, and means keeping at least three of four limbs in contact with the vehicle at all times.</w:t>
      </w:r>
    </w:p>
    <w:p w14:paraId="77151D29" w14:textId="44C69F64" w:rsidR="000E57B6" w:rsidRPr="00EF7C8C" w:rsidRDefault="000E57B6" w:rsidP="00E971A7">
      <w:r w:rsidRPr="00EF7C8C">
        <w:lastRenderedPageBreak/>
        <w:t xml:space="preserve">Clause 6.12 allows </w:t>
      </w:r>
      <w:r w:rsidR="000046A8" w:rsidRPr="00EF7C8C">
        <w:t xml:space="preserve">for </w:t>
      </w:r>
      <w:r w:rsidRPr="00EF7C8C">
        <w:t xml:space="preserve">additional gaps to be provided in LPD where this is necessary for </w:t>
      </w:r>
      <w:r w:rsidR="000046A8" w:rsidRPr="00EF7C8C">
        <w:t xml:space="preserve">specified </w:t>
      </w:r>
      <w:r w:rsidRPr="00EF7C8C">
        <w:t>vehicle uses/functions</w:t>
      </w:r>
      <w:r w:rsidR="00BD7703" w:rsidRPr="00EF7C8C">
        <w:t xml:space="preserve"> (e.g. </w:t>
      </w:r>
      <w:r w:rsidR="002D53A5" w:rsidRPr="00EF7C8C">
        <w:t xml:space="preserve">for </w:t>
      </w:r>
      <w:r w:rsidR="00BD7703" w:rsidRPr="00EF7C8C">
        <w:t xml:space="preserve">connecting hoses to </w:t>
      </w:r>
      <w:r w:rsidR="00514A2A" w:rsidRPr="00EF7C8C">
        <w:t xml:space="preserve">a </w:t>
      </w:r>
      <w:r w:rsidR="00BD7703" w:rsidRPr="00EF7C8C">
        <w:t xml:space="preserve">closed tank permanently fitted to </w:t>
      </w:r>
      <w:r w:rsidR="00514A2A" w:rsidRPr="00EF7C8C">
        <w:t xml:space="preserve">a </w:t>
      </w:r>
      <w:r w:rsidR="00BD7703" w:rsidRPr="00EF7C8C">
        <w:t>vehicle designed solely for the carriage of gases or liquids).</w:t>
      </w:r>
      <w:r w:rsidR="007C63E3" w:rsidRPr="00EF7C8C">
        <w:t xml:space="preserve"> </w:t>
      </w:r>
      <w:r w:rsidR="006A634F" w:rsidRPr="00EF7C8C">
        <w:t>Where additional gaps in the LPD(s) are necessary, the vehicle must be fitted with LPDs that comply so far as is practicable</w:t>
      </w:r>
      <w:r w:rsidR="007C63E3" w:rsidRPr="00EF7C8C">
        <w:t>.</w:t>
      </w:r>
    </w:p>
    <w:p w14:paraId="7B4466A3" w14:textId="34D74CA9" w:rsidR="000046A8" w:rsidRPr="00EF7C8C" w:rsidRDefault="000046A8" w:rsidP="00627712">
      <w:r w:rsidRPr="00EF7C8C">
        <w:t xml:space="preserve">Clause 6.13 allows </w:t>
      </w:r>
      <w:r w:rsidR="00623D65" w:rsidRPr="00EF7C8C">
        <w:t xml:space="preserve">for an LPD not </w:t>
      </w:r>
      <w:r w:rsidR="00062657" w:rsidRPr="00EF7C8C">
        <w:t xml:space="preserve">to </w:t>
      </w:r>
      <w:r w:rsidR="00623D65" w:rsidRPr="00EF7C8C">
        <w:t xml:space="preserve">be fitted on the </w:t>
      </w:r>
      <w:r w:rsidR="00EF7C8C" w:rsidRPr="00EF7C8C">
        <w:t>right-hand</w:t>
      </w:r>
      <w:r w:rsidR="00623D65" w:rsidRPr="00EF7C8C">
        <w:t xml:space="preserve"> side (i.e. driver’s side or offside) of a vehicle with a side tipping function for the unloading of stored material on that side of the vehicle, where this would be incompatible with the unloading or tipping function. Fitment </w:t>
      </w:r>
      <w:r w:rsidR="00062657" w:rsidRPr="00EF7C8C">
        <w:t xml:space="preserve">is still </w:t>
      </w:r>
      <w:r w:rsidR="00623D65" w:rsidRPr="00EF7C8C">
        <w:t xml:space="preserve">required on the </w:t>
      </w:r>
      <w:r w:rsidR="00EF7C8C" w:rsidRPr="00EF7C8C">
        <w:t>left-hand</w:t>
      </w:r>
      <w:r w:rsidR="00623D65" w:rsidRPr="00EF7C8C">
        <w:t xml:space="preserve"> side (i.e. passenger’s side or nearside) of such vehicles. This is because a side tipping function may be </w:t>
      </w:r>
      <w:r w:rsidR="00BD7703" w:rsidRPr="00EF7C8C">
        <w:t xml:space="preserve">somewhat </w:t>
      </w:r>
      <w:r w:rsidR="00623D65" w:rsidRPr="00EF7C8C">
        <w:t xml:space="preserve">blocked by </w:t>
      </w:r>
      <w:r w:rsidR="00BD7703" w:rsidRPr="00EF7C8C">
        <w:t>and/</w:t>
      </w:r>
      <w:r w:rsidR="00623D65" w:rsidRPr="00EF7C8C">
        <w:t xml:space="preserve">or increase the risk of damage to LPDs on the unloading side, while the benefits of </w:t>
      </w:r>
      <w:r w:rsidR="00062657" w:rsidRPr="00EF7C8C">
        <w:t>side underrun protection</w:t>
      </w:r>
      <w:r w:rsidR="00623D65" w:rsidRPr="00EF7C8C">
        <w:t xml:space="preserve"> will be greate</w:t>
      </w:r>
      <w:r w:rsidR="00062657" w:rsidRPr="00EF7C8C">
        <w:t>st</w:t>
      </w:r>
      <w:r w:rsidR="00623D65" w:rsidRPr="00EF7C8C">
        <w:t xml:space="preserve"> on the nearside</w:t>
      </w:r>
      <w:r w:rsidR="00C07582" w:rsidRPr="00EF7C8C">
        <w:t xml:space="preserve"> (side closest to the kerb)</w:t>
      </w:r>
      <w:r w:rsidR="00BD7703" w:rsidRPr="00EF7C8C">
        <w:t>.</w:t>
      </w:r>
    </w:p>
    <w:p w14:paraId="3848FBAF" w14:textId="267524E5" w:rsidR="00E971A7" w:rsidRPr="00EF7C8C" w:rsidRDefault="00E971A7" w:rsidP="00627712">
      <w:pPr>
        <w:rPr>
          <w:rFonts w:eastAsiaTheme="minorHAnsi" w:cstheme="minorBidi"/>
          <w:szCs w:val="22"/>
          <w:lang w:eastAsia="en-US"/>
        </w:rPr>
      </w:pPr>
      <w:r w:rsidRPr="00EF7C8C">
        <w:t xml:space="preserve">Clause 7.1 specifies the technical requirements of UN Regulation No. 73 </w:t>
      </w:r>
      <w:r w:rsidRPr="00EF7C8C">
        <w:rPr>
          <w:rFonts w:eastAsiaTheme="minorHAnsi" w:cstheme="minorBidi"/>
          <w:szCs w:val="22"/>
          <w:lang w:eastAsia="en-US"/>
        </w:rPr>
        <w:t>– UNIFORM PROVISIONS CONCERNING THE APPROVAL OF:</w:t>
      </w:r>
    </w:p>
    <w:p w14:paraId="62EC3380" w14:textId="77777777" w:rsidR="00E971A7" w:rsidRPr="00EF7C8C" w:rsidRDefault="00E971A7" w:rsidP="000A4668">
      <w:pPr>
        <w:numPr>
          <w:ilvl w:val="0"/>
          <w:numId w:val="32"/>
        </w:numPr>
        <w:suppressAutoHyphens/>
        <w:spacing w:before="0" w:line="240" w:lineRule="atLeast"/>
        <w:ind w:left="567" w:hanging="425"/>
        <w:rPr>
          <w:rFonts w:eastAsiaTheme="minorHAnsi" w:cstheme="minorBidi"/>
          <w:szCs w:val="22"/>
          <w:lang w:eastAsia="en-US"/>
        </w:rPr>
      </w:pPr>
      <w:r w:rsidRPr="00EF7C8C">
        <w:rPr>
          <w:rFonts w:eastAsiaTheme="minorHAnsi" w:cstheme="minorBidi"/>
          <w:szCs w:val="22"/>
          <w:lang w:eastAsia="en-US"/>
        </w:rPr>
        <w:t>VEHICLES WITH REGARD TO THEIR LATERAL PROTECTION DEVICES (LPD)</w:t>
      </w:r>
    </w:p>
    <w:p w14:paraId="1A80A7EB" w14:textId="77777777" w:rsidR="00E971A7" w:rsidRPr="00EF7C8C" w:rsidRDefault="00E971A7" w:rsidP="00E971A7">
      <w:pPr>
        <w:numPr>
          <w:ilvl w:val="0"/>
          <w:numId w:val="32"/>
        </w:numPr>
        <w:suppressAutoHyphens/>
        <w:spacing w:before="0" w:line="240" w:lineRule="atLeast"/>
        <w:ind w:left="567" w:hanging="425"/>
        <w:rPr>
          <w:rFonts w:eastAsiaTheme="minorHAnsi" w:cstheme="minorBidi"/>
          <w:szCs w:val="22"/>
          <w:lang w:eastAsia="en-US"/>
        </w:rPr>
      </w:pPr>
      <w:r w:rsidRPr="00EF7C8C">
        <w:rPr>
          <w:rFonts w:eastAsiaTheme="minorHAnsi" w:cstheme="minorBidi"/>
          <w:szCs w:val="22"/>
          <w:lang w:eastAsia="en-US"/>
        </w:rPr>
        <w:t>LATERAL PROCTECTION DEVICES (LPD)</w:t>
      </w:r>
    </w:p>
    <w:p w14:paraId="54B6A3DC" w14:textId="77777777" w:rsidR="00E971A7" w:rsidRPr="00EF7C8C" w:rsidRDefault="00E971A7" w:rsidP="00E971A7">
      <w:pPr>
        <w:numPr>
          <w:ilvl w:val="0"/>
          <w:numId w:val="32"/>
        </w:numPr>
        <w:suppressAutoHyphens/>
        <w:spacing w:before="0" w:after="0" w:line="240" w:lineRule="atLeast"/>
        <w:ind w:left="567" w:hanging="425"/>
        <w:rPr>
          <w:rFonts w:eastAsiaTheme="minorHAnsi" w:cstheme="minorBidi"/>
          <w:szCs w:val="22"/>
          <w:lang w:eastAsia="en-US"/>
        </w:rPr>
      </w:pPr>
      <w:r w:rsidRPr="00EF7C8C">
        <w:rPr>
          <w:rFonts w:eastAsiaTheme="minorHAnsi" w:cstheme="minorBidi"/>
          <w:szCs w:val="22"/>
          <w:lang w:eastAsia="en-US"/>
        </w:rPr>
        <w:t>VEHICLES WITH REGARD TO THE INSTALLATION OF LPD OF AN APPROVED TYPE ACCORDING TO PART II OF THIS REGULATION</w:t>
      </w:r>
    </w:p>
    <w:p w14:paraId="7EEED46C" w14:textId="6726AB59" w:rsidR="001B5805" w:rsidRPr="00EF7C8C" w:rsidRDefault="00E971A7" w:rsidP="00E971A7">
      <w:r w:rsidRPr="00EF7C8C">
        <w:t xml:space="preserve">incorporating the 01 series of amendments, </w:t>
      </w:r>
      <w:r w:rsidR="00127AD8" w:rsidRPr="00EF7C8C">
        <w:t xml:space="preserve">as an acceptable alternative standard to ADR </w:t>
      </w:r>
      <w:r w:rsidRPr="00EF7C8C">
        <w:t>106</w:t>
      </w:r>
      <w:r w:rsidR="00127AD8" w:rsidRPr="00EF7C8C">
        <w:t>/00.</w:t>
      </w:r>
      <w:r w:rsidRPr="00EF7C8C">
        <w:t xml:space="preserve"> </w:t>
      </w:r>
      <w:r w:rsidR="002627FF" w:rsidRPr="00EF7C8C">
        <w:t xml:space="preserve">UN R73 is the recognised international standard for </w:t>
      </w:r>
      <w:r w:rsidR="003A128F" w:rsidRPr="00EF7C8C">
        <w:t>LPDs (</w:t>
      </w:r>
      <w:r w:rsidR="002627FF" w:rsidRPr="00EF7C8C">
        <w:t>side underrun protection</w:t>
      </w:r>
      <w:r w:rsidR="003A128F" w:rsidRPr="00EF7C8C">
        <w:t>)</w:t>
      </w:r>
      <w:r w:rsidRPr="00EF7C8C">
        <w:t>.</w:t>
      </w:r>
    </w:p>
    <w:p w14:paraId="172F80D0" w14:textId="5707A321" w:rsidR="002A68BC" w:rsidRPr="00EF7C8C" w:rsidRDefault="00E97A84" w:rsidP="003F42E3">
      <w:r w:rsidRPr="00EF7C8C">
        <w:t xml:space="preserve">To meet </w:t>
      </w:r>
      <w:r w:rsidR="002A68BC" w:rsidRPr="00EF7C8C">
        <w:t>UN R73 as incorporated in Appendix A</w:t>
      </w:r>
      <w:r w:rsidRPr="00EF7C8C">
        <w:t>, LPDs must not increase the overall width of the vehicle, or be any more than 150 mm inboard (at the main part of the outer surface) of the outermost planes between which the maximum vehicle width is measured. Further, the rear end (rearmost 250 mm) of an LPD must not be any more than 30</w:t>
      </w:r>
      <w:r w:rsidR="0052031F">
        <w:t> </w:t>
      </w:r>
      <w:r w:rsidRPr="00EF7C8C">
        <w:t>mm inboard of the outermost edge of the rear tyres (excluding any bulging of the tyres near the ground). Combinations of surfaces and rails must form a practically continuous LPD member from front to rear, with no more than a 25</w:t>
      </w:r>
      <w:r w:rsidR="0052031F">
        <w:t> </w:t>
      </w:r>
      <w:r w:rsidRPr="00EF7C8C">
        <w:t>mm gap permitted between adjacent components. Where horizontal rails are used in LPDs, these must be at least 50</w:t>
      </w:r>
      <w:r w:rsidR="0052031F">
        <w:t> </w:t>
      </w:r>
      <w:r w:rsidRPr="00EF7C8C">
        <w:t>mm high for UN category N</w:t>
      </w:r>
      <w:r w:rsidRPr="00EF7C8C">
        <w:rPr>
          <w:vertAlign w:val="subscript"/>
        </w:rPr>
        <w:t>2</w:t>
      </w:r>
      <w:r w:rsidRPr="00EF7C8C">
        <w:t xml:space="preserve"> and O</w:t>
      </w:r>
      <w:r w:rsidRPr="00EF7C8C">
        <w:rPr>
          <w:vertAlign w:val="subscript"/>
        </w:rPr>
        <w:t>3</w:t>
      </w:r>
      <w:r w:rsidRPr="00EF7C8C">
        <w:t xml:space="preserve"> vehicles, and at least 100</w:t>
      </w:r>
      <w:r w:rsidR="0052031F">
        <w:t> </w:t>
      </w:r>
      <w:r w:rsidRPr="00EF7C8C">
        <w:t>mm high for UN category N</w:t>
      </w:r>
      <w:r w:rsidRPr="00EF7C8C">
        <w:rPr>
          <w:vertAlign w:val="subscript"/>
        </w:rPr>
        <w:t>3</w:t>
      </w:r>
      <w:r w:rsidRPr="00EF7C8C">
        <w:t xml:space="preserve"> and O</w:t>
      </w:r>
      <w:r w:rsidRPr="00EF7C8C">
        <w:rPr>
          <w:vertAlign w:val="subscript"/>
        </w:rPr>
        <w:t>4</w:t>
      </w:r>
      <w:r w:rsidRPr="00EF7C8C">
        <w:t xml:space="preserve"> vehicles. The vertical gap between rails must not be any more than 300</w:t>
      </w:r>
      <w:r w:rsidR="00A36E81" w:rsidRPr="00EF7C8C">
        <w:t> </w:t>
      </w:r>
      <w:r w:rsidRPr="00EF7C8C">
        <w:t xml:space="preserve">mm. </w:t>
      </w:r>
      <w:r w:rsidR="002A68BC" w:rsidRPr="00EF7C8C">
        <w:t>LPDs must be capable of withstanding a horizontal static force of 1 </w:t>
      </w:r>
      <w:proofErr w:type="spellStart"/>
      <w:r w:rsidR="00EF7C8C" w:rsidRPr="00EF7C8C">
        <w:t>k</w:t>
      </w:r>
      <w:r w:rsidR="0046760B">
        <w:t>N</w:t>
      </w:r>
      <w:proofErr w:type="spellEnd"/>
      <w:r w:rsidR="002A68BC" w:rsidRPr="00EF7C8C">
        <w:t xml:space="preserve"> applied perpendicularly to any part of their external surface by the centre of a ram, the face of which is circular and flat, with a diameter of 220 mm ± 10 mm. The deflection of the LPD under load (measured at the centre of the ram) must not be more than 30</w:t>
      </w:r>
      <w:r w:rsidR="0052031F">
        <w:t> </w:t>
      </w:r>
      <w:r w:rsidR="002A68BC" w:rsidRPr="00EF7C8C">
        <w:t>mm over the rearmost 250</w:t>
      </w:r>
      <w:r w:rsidR="0052031F">
        <w:t> </w:t>
      </w:r>
      <w:r w:rsidR="002A68BC" w:rsidRPr="00EF7C8C">
        <w:t>mm of the LPD, and not more than 150</w:t>
      </w:r>
      <w:r w:rsidR="0052031F">
        <w:t> </w:t>
      </w:r>
      <w:r w:rsidR="002A68BC" w:rsidRPr="00EF7C8C">
        <w:t>mm over the remainder of the LPD. This level of force has been set to ensure LPDs are sufficiently strong to be effective in collisions with vulnerable road users (in particular, pedestrians and bicyclists). LPDs are not required to have sufficient structural strength to prevent the underrun of a passenger car in a side (i.e. lateral) impact crash.</w:t>
      </w:r>
    </w:p>
    <w:p w14:paraId="0F201E5C" w14:textId="2D24113E" w:rsidR="00E97A84" w:rsidRPr="00EF7C8C" w:rsidRDefault="00291912" w:rsidP="00C93290">
      <w:pPr>
        <w:keepLines/>
      </w:pPr>
      <w:r w:rsidRPr="00EF7C8C">
        <w:lastRenderedPageBreak/>
        <w:t xml:space="preserve">Figure </w:t>
      </w:r>
      <w:r w:rsidRPr="00EF7C8C">
        <w:rPr>
          <w:noProof/>
        </w:rPr>
        <w:t>1</w:t>
      </w:r>
      <w:r w:rsidR="002A68BC" w:rsidRPr="00EF7C8C">
        <w:t xml:space="preserve"> </w:t>
      </w:r>
      <w:r w:rsidR="00E354BF" w:rsidRPr="00EF7C8C">
        <w:t>is</w:t>
      </w:r>
      <w:r w:rsidR="002A68BC" w:rsidRPr="00EF7C8C">
        <w:t xml:space="preserve"> an</w:t>
      </w:r>
      <w:r w:rsidR="00E97A84" w:rsidRPr="00EF7C8C">
        <w:t xml:space="preserve"> example illustration of the fitment of LPDs for a rigid truck, including key UN R73 dimensional</w:t>
      </w:r>
      <w:r w:rsidR="007F0F98" w:rsidRPr="00EF7C8C">
        <w:t xml:space="preserve"> and </w:t>
      </w:r>
      <w:r w:rsidR="00E97A84" w:rsidRPr="00EF7C8C">
        <w:t>position requirements. For all vehicles, the lower edge of the LPD must not be any more than 550 mm from the ground. The permissible gaps at the front, rear and upper edge of the LPD vary by vehicle category and design/purpose. In the case of a vehicle having two steered axles, an LPD is not required between these axles if the longitudinal distance between the centrelines of the axles is no greater than 2.1</w:t>
      </w:r>
      <w:r w:rsidR="004076AC" w:rsidRPr="00EF7C8C">
        <w:t> </w:t>
      </w:r>
      <w:r w:rsidR="00E97A84" w:rsidRPr="00EF7C8C">
        <w:t>m.</w:t>
      </w:r>
    </w:p>
    <w:p w14:paraId="5A7CE443" w14:textId="77777777" w:rsidR="00E97A84" w:rsidRPr="00EF7C8C" w:rsidRDefault="00E97A84" w:rsidP="005E7005">
      <w:pPr>
        <w:jc w:val="center"/>
      </w:pPr>
      <w:r w:rsidRPr="00EF7C8C">
        <w:rPr>
          <w:noProof/>
        </w:rPr>
        <w:drawing>
          <wp:inline distT="0" distB="0" distL="0" distR="0" wp14:anchorId="59E65EF9" wp14:editId="2449D3ED">
            <wp:extent cx="3988499" cy="3060000"/>
            <wp:effectExtent l="0" t="0" r="0" b="7620"/>
            <wp:docPr id="1" name="Picture 1" descr="Illustration in side view and overhead view, of a rigid truck utilising fuel tanks and horizontal rails on each side for side underrun protection, including key dimensional lim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8499" cy="3060000"/>
                    </a:xfrm>
                    <a:prstGeom prst="rect">
                      <a:avLst/>
                    </a:prstGeom>
                  </pic:spPr>
                </pic:pic>
              </a:graphicData>
            </a:graphic>
          </wp:inline>
        </w:drawing>
      </w:r>
    </w:p>
    <w:p w14:paraId="044DB257" w14:textId="13D3C2A5" w:rsidR="00E97A84" w:rsidRPr="00EF7C8C" w:rsidRDefault="00291912" w:rsidP="00291912">
      <w:pPr>
        <w:pStyle w:val="Caption"/>
      </w:pPr>
      <w:bookmarkStart w:id="70" w:name="_Ref139637228"/>
      <w:r w:rsidRPr="00EF7C8C">
        <w:t xml:space="preserve">Figure </w:t>
      </w:r>
      <w:r w:rsidRPr="00EF7C8C">
        <w:rPr>
          <w:noProof/>
        </w:rPr>
        <w:t>1</w:t>
      </w:r>
      <w:bookmarkEnd w:id="70"/>
      <w:r w:rsidR="00E97A84" w:rsidRPr="00EF7C8C">
        <w:t>: Illustration (side view and overhead/plan view) of a rigid truck utilising fuel tanks and horizontal rails/members on each side as LPDs for side underrun protection, including key UN R73 dimensional limits</w:t>
      </w:r>
    </w:p>
    <w:p w14:paraId="465FCB2D" w14:textId="31071DD2" w:rsidR="00297D5D" w:rsidRPr="00EF7C8C" w:rsidRDefault="00F57F19" w:rsidP="00536A11">
      <w:pPr>
        <w:pStyle w:val="HeadingLevel1"/>
      </w:pPr>
      <w:bookmarkStart w:id="71" w:name="_Toc107390995"/>
      <w:bookmarkStart w:id="72" w:name="_Toc139017633"/>
      <w:bookmarkStart w:id="73" w:name="_Toc139018777"/>
      <w:bookmarkStart w:id="74" w:name="_Toc139019191"/>
      <w:bookmarkStart w:id="75" w:name="_Toc139019341"/>
      <w:bookmarkStart w:id="76" w:name="_Toc139019488"/>
      <w:bookmarkStart w:id="77" w:name="_Toc141438513"/>
      <w:bookmarkStart w:id="78" w:name="_Toc167864615"/>
      <w:r w:rsidRPr="00EF7C8C">
        <w:t>Matter</w:t>
      </w:r>
      <w:r w:rsidR="004B7B18" w:rsidRPr="00EF7C8C">
        <w:t>s</w:t>
      </w:r>
      <w:r w:rsidR="00BC27D6" w:rsidRPr="00EF7C8C">
        <w:t xml:space="preserve"> Incorporated By Reference</w:t>
      </w:r>
      <w:bookmarkEnd w:id="71"/>
      <w:bookmarkEnd w:id="72"/>
      <w:bookmarkEnd w:id="73"/>
      <w:bookmarkEnd w:id="74"/>
      <w:bookmarkEnd w:id="75"/>
      <w:bookmarkEnd w:id="76"/>
      <w:bookmarkEnd w:id="77"/>
    </w:p>
    <w:p w14:paraId="6402651F" w14:textId="790BD3EF" w:rsidR="00E97A84" w:rsidRPr="00EF7C8C" w:rsidRDefault="004F64F7" w:rsidP="00BD7A89">
      <w:pPr>
        <w:pStyle w:val="HeadingLevel2"/>
      </w:pPr>
      <w:bookmarkStart w:id="79" w:name="_Toc106612241"/>
      <w:bookmarkStart w:id="80" w:name="_Toc107390996"/>
      <w:bookmarkStart w:id="81" w:name="_Toc139017634"/>
      <w:bookmarkStart w:id="82" w:name="_Toc139018778"/>
      <w:bookmarkStart w:id="83" w:name="_Toc139019192"/>
      <w:bookmarkStart w:id="84" w:name="_Toc139019342"/>
      <w:bookmarkStart w:id="85" w:name="_Toc139019489"/>
      <w:bookmarkStart w:id="86" w:name="_Toc141438514"/>
      <w:r w:rsidRPr="00EF7C8C">
        <w:t>Legislative Instruments</w:t>
      </w:r>
      <w:bookmarkStart w:id="87" w:name="_GoBack"/>
      <w:bookmarkEnd w:id="79"/>
      <w:bookmarkEnd w:id="80"/>
      <w:bookmarkEnd w:id="81"/>
      <w:bookmarkEnd w:id="82"/>
      <w:bookmarkEnd w:id="83"/>
      <w:bookmarkEnd w:id="84"/>
      <w:bookmarkEnd w:id="85"/>
      <w:bookmarkEnd w:id="86"/>
      <w:bookmarkEnd w:id="87"/>
    </w:p>
    <w:p w14:paraId="4AEE460E" w14:textId="7F084322" w:rsidR="002434DA" w:rsidRPr="00EF7C8C" w:rsidRDefault="002434DA" w:rsidP="002434DA">
      <w:pPr>
        <w:rPr>
          <w:highlight w:val="yellow"/>
        </w:rPr>
      </w:pPr>
      <w:r w:rsidRPr="00EF7C8C">
        <w:t>Clause 4.1.1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042DE596" w14:textId="49576DDB" w:rsidR="006A0BBA" w:rsidRPr="00EF7C8C" w:rsidRDefault="006A0BBA" w:rsidP="002434DA">
      <w:r w:rsidRPr="00EF7C8C">
        <w:t xml:space="preserve">In accordance with </w:t>
      </w:r>
      <w:r w:rsidR="00D619AD" w:rsidRPr="00EF7C8C">
        <w:t xml:space="preserve">paragraph 12(2)(b) of the </w:t>
      </w:r>
      <w:r w:rsidRPr="00EF7C8C">
        <w:t>RVSA, this ADR is incorporated as in force or existing from time to time.</w:t>
      </w:r>
    </w:p>
    <w:p w14:paraId="062E4786" w14:textId="77CBB42E" w:rsidR="002434DA" w:rsidRPr="00EF7C8C" w:rsidRDefault="002434DA" w:rsidP="003A5887">
      <w:r w:rsidRPr="00EF7C8C">
        <w:t xml:space="preserve">The ADRs may be freely accessed online through the Federal Register of Legislation. The website is </w:t>
      </w:r>
      <w:r w:rsidRPr="00EF7C8C">
        <w:rPr>
          <w:rStyle w:val="Hyperlink"/>
        </w:rPr>
        <w:t>www</w:t>
      </w:r>
      <w:r w:rsidRPr="00EF7C8C">
        <w:rPr>
          <w:rStyle w:val="Hyperlink"/>
          <w:bCs w:val="0"/>
        </w:rPr>
        <w:t>.legislation.gov.au</w:t>
      </w:r>
      <w:r w:rsidRPr="00EF7C8C">
        <w:t>.</w:t>
      </w:r>
    </w:p>
    <w:p w14:paraId="387A890A" w14:textId="1D358326" w:rsidR="007B0BEB" w:rsidRPr="00EF7C8C" w:rsidRDefault="004F64F7" w:rsidP="00C6692A">
      <w:pPr>
        <w:pStyle w:val="HeadingLevel2"/>
      </w:pPr>
      <w:bookmarkStart w:id="88" w:name="_Toc106612242"/>
      <w:bookmarkStart w:id="89" w:name="_Toc107390997"/>
      <w:bookmarkStart w:id="90" w:name="_Toc139017635"/>
      <w:bookmarkStart w:id="91" w:name="_Toc139018779"/>
      <w:bookmarkStart w:id="92" w:name="_Toc139019193"/>
      <w:bookmarkStart w:id="93" w:name="_Toc139019343"/>
      <w:bookmarkStart w:id="94" w:name="_Toc139019490"/>
      <w:bookmarkStart w:id="95" w:name="_Toc141438515"/>
      <w:r w:rsidRPr="00EF7C8C">
        <w:t>Other Documents</w:t>
      </w:r>
      <w:bookmarkEnd w:id="88"/>
      <w:bookmarkEnd w:id="89"/>
      <w:bookmarkEnd w:id="90"/>
      <w:bookmarkEnd w:id="91"/>
      <w:bookmarkEnd w:id="92"/>
      <w:bookmarkEnd w:id="93"/>
      <w:bookmarkEnd w:id="94"/>
      <w:bookmarkEnd w:id="95"/>
    </w:p>
    <w:p w14:paraId="4FE828A9" w14:textId="7B389864" w:rsidR="00457545" w:rsidRPr="00EF7C8C" w:rsidRDefault="00457545" w:rsidP="00625912">
      <w:pPr>
        <w:rPr>
          <w:i/>
        </w:rPr>
      </w:pPr>
      <w:r w:rsidRPr="00EF7C8C">
        <w:rPr>
          <w:i/>
        </w:rPr>
        <w:t>Internati</w:t>
      </w:r>
      <w:r w:rsidR="006D2781" w:rsidRPr="00EF7C8C">
        <w:rPr>
          <w:i/>
        </w:rPr>
        <w:t>onal Organiz</w:t>
      </w:r>
      <w:r w:rsidR="00B62277" w:rsidRPr="00EF7C8C">
        <w:rPr>
          <w:i/>
        </w:rPr>
        <w:t>ation for Standardiz</w:t>
      </w:r>
      <w:r w:rsidRPr="00EF7C8C">
        <w:rPr>
          <w:i/>
        </w:rPr>
        <w:t>ation</w:t>
      </w:r>
    </w:p>
    <w:p w14:paraId="186CC80B" w14:textId="769BD86C" w:rsidR="00AE11B7" w:rsidRPr="00EF7C8C" w:rsidRDefault="009F1A50" w:rsidP="009F1A50">
      <w:pPr>
        <w:rPr>
          <w:snapToGrid w:val="0"/>
        </w:rPr>
      </w:pPr>
      <w:r w:rsidRPr="00EF7C8C">
        <w:t xml:space="preserve">Clause </w:t>
      </w:r>
      <w:r w:rsidR="00AE11B7" w:rsidRPr="00EF7C8C">
        <w:t>6.</w:t>
      </w:r>
      <w:r w:rsidR="00BF3D06" w:rsidRPr="00EF7C8C">
        <w:t xml:space="preserve">12, </w:t>
      </w:r>
      <w:r w:rsidR="004B08AB" w:rsidRPr="00EF7C8C">
        <w:t xml:space="preserve">and </w:t>
      </w:r>
      <w:r w:rsidR="00AE11B7" w:rsidRPr="00EF7C8C">
        <w:t>paragraph</w:t>
      </w:r>
      <w:r w:rsidR="00964E81" w:rsidRPr="00EF7C8C">
        <w:t>s</w:t>
      </w:r>
      <w:r w:rsidR="00AE11B7" w:rsidRPr="00EF7C8C">
        <w:t xml:space="preserve"> 13.1.4 and 16.1.4 </w:t>
      </w:r>
      <w:r w:rsidR="00964E81" w:rsidRPr="00EF7C8C">
        <w:t xml:space="preserve">of Appendix A, include </w:t>
      </w:r>
      <w:r w:rsidRPr="00EF7C8C">
        <w:t xml:space="preserve">references </w:t>
      </w:r>
      <w:r w:rsidR="00964E81" w:rsidRPr="00EF7C8C">
        <w:t xml:space="preserve">to </w:t>
      </w:r>
      <w:r w:rsidR="00964E81" w:rsidRPr="00EF7C8C">
        <w:rPr>
          <w:snapToGrid w:val="0"/>
        </w:rPr>
        <w:t xml:space="preserve">ISO 9367-1:1989 and ISO 9367-2:1994. </w:t>
      </w:r>
      <w:r w:rsidR="00C83C25" w:rsidRPr="00EF7C8C">
        <w:rPr>
          <w:snapToGrid w:val="0"/>
        </w:rPr>
        <w:t>Th</w:t>
      </w:r>
      <w:r w:rsidR="00964E81" w:rsidRPr="00EF7C8C">
        <w:rPr>
          <w:snapToGrid w:val="0"/>
        </w:rPr>
        <w:t>ese</w:t>
      </w:r>
      <w:r w:rsidR="00C83C25" w:rsidRPr="00EF7C8C">
        <w:rPr>
          <w:snapToGrid w:val="0"/>
        </w:rPr>
        <w:t xml:space="preserve"> standard</w:t>
      </w:r>
      <w:r w:rsidR="00964E81" w:rsidRPr="00EF7C8C">
        <w:rPr>
          <w:snapToGrid w:val="0"/>
        </w:rPr>
        <w:t>s</w:t>
      </w:r>
      <w:r w:rsidR="00C83C25" w:rsidRPr="00EF7C8C">
        <w:rPr>
          <w:snapToGrid w:val="0"/>
        </w:rPr>
        <w:t xml:space="preserve"> s</w:t>
      </w:r>
      <w:r w:rsidR="0017138C" w:rsidRPr="00EF7C8C">
        <w:rPr>
          <w:snapToGrid w:val="0"/>
        </w:rPr>
        <w:t>pecif</w:t>
      </w:r>
      <w:r w:rsidR="00964E81" w:rsidRPr="00EF7C8C">
        <w:rPr>
          <w:snapToGrid w:val="0"/>
        </w:rPr>
        <w:t>y</w:t>
      </w:r>
      <w:r w:rsidR="0017138C" w:rsidRPr="00EF7C8C">
        <w:rPr>
          <w:snapToGrid w:val="0"/>
        </w:rPr>
        <w:t xml:space="preserve"> minimum requirements to allow efficient lashing and securing of </w:t>
      </w:r>
      <w:r w:rsidR="00964E81" w:rsidRPr="00EF7C8C">
        <w:rPr>
          <w:snapToGrid w:val="0"/>
        </w:rPr>
        <w:t xml:space="preserve">goods vehicles and </w:t>
      </w:r>
      <w:r w:rsidR="008E4717" w:rsidRPr="00EF7C8C">
        <w:rPr>
          <w:snapToGrid w:val="0"/>
        </w:rPr>
        <w:br/>
      </w:r>
      <w:r w:rsidR="00964E81" w:rsidRPr="00EF7C8C">
        <w:rPr>
          <w:snapToGrid w:val="0"/>
        </w:rPr>
        <w:t>semi-trailers</w:t>
      </w:r>
      <w:r w:rsidR="0017138C" w:rsidRPr="00EF7C8C">
        <w:rPr>
          <w:snapToGrid w:val="0"/>
        </w:rPr>
        <w:t xml:space="preserve"> on board roll-on/roll-off ships.</w:t>
      </w:r>
    </w:p>
    <w:p w14:paraId="2DD1B955" w14:textId="1C9A9E81" w:rsidR="00E209A5" w:rsidRPr="00EF7C8C" w:rsidRDefault="00E209A5" w:rsidP="00E209A5">
      <w:r w:rsidRPr="00EF7C8C">
        <w:lastRenderedPageBreak/>
        <w:t xml:space="preserve">In accordance with </w:t>
      </w:r>
      <w:r w:rsidR="004C1C55" w:rsidRPr="00EF7C8C">
        <w:t>paragraph 14(1)(b) and subsection 14(2)</w:t>
      </w:r>
      <w:r w:rsidRPr="00EF7C8C">
        <w:t xml:space="preserve"> of the </w:t>
      </w:r>
      <w:r w:rsidRPr="00EF7C8C">
        <w:rPr>
          <w:i/>
        </w:rPr>
        <w:t>Legislation</w:t>
      </w:r>
      <w:r w:rsidR="00125546">
        <w:rPr>
          <w:i/>
        </w:rPr>
        <w:t> </w:t>
      </w:r>
      <w:r w:rsidRPr="00EF7C8C">
        <w:rPr>
          <w:i/>
        </w:rPr>
        <w:t>Act</w:t>
      </w:r>
      <w:r w:rsidR="00125546">
        <w:rPr>
          <w:i/>
        </w:rPr>
        <w:t> </w:t>
      </w:r>
      <w:r w:rsidRPr="00EF7C8C">
        <w:rPr>
          <w:i/>
        </w:rPr>
        <w:t>2003</w:t>
      </w:r>
      <w:r w:rsidRPr="00EF7C8C">
        <w:t>, each of these documents are incorporated as in force on the date this national road vehicle standard is made.</w:t>
      </w:r>
    </w:p>
    <w:p w14:paraId="47C9F78A" w14:textId="0CD27981" w:rsidR="004F3CE1" w:rsidRPr="00EF7C8C" w:rsidRDefault="004F3CE1" w:rsidP="004901AB">
      <w:r w:rsidRPr="00EF7C8C">
        <w:t xml:space="preserve">ISO standards are all available for purchase only from the ISO and various associated national standards bodies. </w:t>
      </w:r>
      <w:r w:rsidR="006A6F3C" w:rsidRPr="00EF7C8C">
        <w:t>While not freely available, these ISO standards are all readily accessible and widely used by vehicle manufacturers</w:t>
      </w:r>
      <w:r w:rsidRPr="00EF7C8C">
        <w:t>.</w:t>
      </w:r>
    </w:p>
    <w:p w14:paraId="3332924D" w14:textId="20CF4C27" w:rsidR="004F3CE1" w:rsidRPr="00EF7C8C" w:rsidRDefault="004F3CE1" w:rsidP="004F3CE1">
      <w:r w:rsidRPr="00EF7C8C">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0735E1E1" w14:textId="728E61D6" w:rsidR="00457545" w:rsidRPr="00EF7C8C" w:rsidRDefault="00243106" w:rsidP="00625912">
      <w:pPr>
        <w:rPr>
          <w:i/>
        </w:rPr>
      </w:pPr>
      <w:r w:rsidRPr="00EF7C8C">
        <w:rPr>
          <w:i/>
        </w:rPr>
        <w:t>United Nations</w:t>
      </w:r>
    </w:p>
    <w:p w14:paraId="0039D8FE" w14:textId="2C36D00A" w:rsidR="00D21822" w:rsidRPr="00EF7C8C" w:rsidRDefault="00D21822" w:rsidP="008207B6">
      <w:pPr>
        <w:rPr>
          <w:rFonts w:eastAsiaTheme="minorHAnsi" w:cstheme="minorBidi"/>
          <w:szCs w:val="22"/>
          <w:lang w:eastAsia="en-US"/>
        </w:rPr>
      </w:pPr>
      <w:r w:rsidRPr="00EF7C8C">
        <w:t>Clause 7.1 includes a reference to the United Nation</w:t>
      </w:r>
      <w:r w:rsidR="00D66A7E" w:rsidRPr="00EF7C8C">
        <w:t xml:space="preserve">s </w:t>
      </w:r>
      <w:r w:rsidRPr="00EF7C8C">
        <w:t>Regulation No.</w:t>
      </w:r>
      <w:r w:rsidR="00D66A7E" w:rsidRPr="00EF7C8C">
        <w:t xml:space="preserve"> </w:t>
      </w:r>
      <w:r w:rsidRPr="00EF7C8C">
        <w:t>73</w:t>
      </w:r>
      <w:r w:rsidR="008207B6" w:rsidRPr="00EF7C8C">
        <w:t xml:space="preserve"> </w:t>
      </w:r>
      <w:r w:rsidR="008C6DD1" w:rsidRPr="00EF7C8C">
        <w:rPr>
          <w:rFonts w:eastAsiaTheme="minorHAnsi" w:cstheme="minorBidi"/>
          <w:szCs w:val="22"/>
          <w:lang w:eastAsia="en-US"/>
        </w:rPr>
        <w:t>– UNIFORM PROVISIONS CONCERNING THE APPROVAL OF:</w:t>
      </w:r>
    </w:p>
    <w:p w14:paraId="0E389465" w14:textId="77777777" w:rsidR="008C6DD1" w:rsidRPr="00EF7C8C" w:rsidRDefault="008C6DD1" w:rsidP="004E100F">
      <w:pPr>
        <w:numPr>
          <w:ilvl w:val="0"/>
          <w:numId w:val="35"/>
        </w:numPr>
        <w:suppressAutoHyphens/>
        <w:spacing w:before="0" w:line="240" w:lineRule="atLeast"/>
        <w:ind w:left="567" w:hanging="425"/>
        <w:rPr>
          <w:rFonts w:eastAsiaTheme="minorHAnsi" w:cstheme="minorBidi"/>
          <w:szCs w:val="22"/>
          <w:lang w:eastAsia="en-US"/>
        </w:rPr>
      </w:pPr>
      <w:r w:rsidRPr="00EF7C8C">
        <w:rPr>
          <w:rFonts w:eastAsiaTheme="minorHAnsi" w:cstheme="minorBidi"/>
          <w:szCs w:val="22"/>
          <w:lang w:eastAsia="en-US"/>
        </w:rPr>
        <w:t>VEHICLES WITH REGARD TO THEIR LATERAL PROTECTION DEVICES (LPD)</w:t>
      </w:r>
    </w:p>
    <w:p w14:paraId="4ADA32DD" w14:textId="77777777" w:rsidR="008C6DD1" w:rsidRPr="00EF7C8C" w:rsidRDefault="008C6DD1" w:rsidP="00122446">
      <w:pPr>
        <w:numPr>
          <w:ilvl w:val="0"/>
          <w:numId w:val="35"/>
        </w:numPr>
        <w:suppressAutoHyphens/>
        <w:spacing w:before="0" w:line="240" w:lineRule="atLeast"/>
        <w:ind w:left="567" w:hanging="425"/>
        <w:rPr>
          <w:rFonts w:eastAsiaTheme="minorHAnsi" w:cstheme="minorBidi"/>
          <w:szCs w:val="22"/>
          <w:lang w:eastAsia="en-US"/>
        </w:rPr>
      </w:pPr>
      <w:r w:rsidRPr="00EF7C8C">
        <w:rPr>
          <w:rFonts w:eastAsiaTheme="minorHAnsi" w:cstheme="minorBidi"/>
          <w:szCs w:val="22"/>
          <w:lang w:eastAsia="en-US"/>
        </w:rPr>
        <w:t>LATERAL PROCTECTION DEVICES (LPD)</w:t>
      </w:r>
    </w:p>
    <w:p w14:paraId="7A7F0F63" w14:textId="77777777" w:rsidR="008C6DD1" w:rsidRPr="00EF7C8C" w:rsidRDefault="008C6DD1" w:rsidP="00122446">
      <w:pPr>
        <w:numPr>
          <w:ilvl w:val="0"/>
          <w:numId w:val="35"/>
        </w:numPr>
        <w:suppressAutoHyphens/>
        <w:spacing w:before="0" w:after="0" w:line="240" w:lineRule="atLeast"/>
        <w:ind w:left="567" w:hanging="425"/>
        <w:rPr>
          <w:rFonts w:eastAsiaTheme="minorHAnsi" w:cstheme="minorBidi"/>
          <w:szCs w:val="22"/>
          <w:lang w:eastAsia="en-US"/>
        </w:rPr>
      </w:pPr>
      <w:r w:rsidRPr="00EF7C8C">
        <w:rPr>
          <w:rFonts w:eastAsiaTheme="minorHAnsi" w:cstheme="minorBidi"/>
          <w:szCs w:val="22"/>
          <w:lang w:eastAsia="en-US"/>
        </w:rPr>
        <w:t>VEHICLES WITH REGARD TO THE INSTALLATION OF LPD OF AN APPROVED TYPE ACCORDING TO PART II OF THIS REGULATION</w:t>
      </w:r>
    </w:p>
    <w:p w14:paraId="14C59A78" w14:textId="3F3E48BB" w:rsidR="008207B6" w:rsidRPr="00EF7C8C" w:rsidRDefault="004C6160" w:rsidP="00ED1C4D">
      <w:r w:rsidRPr="00EF7C8C">
        <w:t>incorporating the 01 series of amendments.</w:t>
      </w:r>
      <w:r w:rsidR="00440279" w:rsidRPr="00EF7C8C">
        <w:t xml:space="preserve"> This is an international standard for </w:t>
      </w:r>
      <w:r w:rsidR="003A128F" w:rsidRPr="00EF7C8C">
        <w:t>LPDs</w:t>
      </w:r>
      <w:r w:rsidR="00440279" w:rsidRPr="00EF7C8C">
        <w:t>, which are smooth, longitudinal barriers over gaps between wheels and other body fixtures, designed to reduce the risk of pedestrians or cyclists falling under the side body and wheels of the vehicle (side underrun protection).</w:t>
      </w:r>
    </w:p>
    <w:p w14:paraId="433CC332" w14:textId="76E6820F" w:rsidR="00ED1C4D" w:rsidRPr="00EF7C8C" w:rsidRDefault="00EA322C" w:rsidP="00ED1C4D">
      <w:r w:rsidRPr="00EF7C8C">
        <w:t>Paragraphs 1.1.1 to 1.1.3</w:t>
      </w:r>
      <w:r w:rsidR="00ED1C4D" w:rsidRPr="00EF7C8C">
        <w:t xml:space="preserve"> of Appendix A include a </w:t>
      </w:r>
      <w:r w:rsidRPr="00EF7C8C">
        <w:t xml:space="preserve">footnote </w:t>
      </w:r>
      <w:r w:rsidR="00ED1C4D" w:rsidRPr="00EF7C8C">
        <w:t>reference to the Consolidated Resolution on the Construction of Vehicles (R.E.3.), document ECE/TRANS/WP.29/78/Rev.6. This includes definitions for the UN vehicle category classifications used in Appendix A and the alternative standard under clause 7 of ADR 106/00.</w:t>
      </w:r>
    </w:p>
    <w:p w14:paraId="19751351" w14:textId="7C113B88" w:rsidR="00DC1681" w:rsidRPr="00EF7C8C" w:rsidRDefault="00DC1681" w:rsidP="00DC1681">
      <w:r w:rsidRPr="00EF7C8C">
        <w:t xml:space="preserve">In accordance with </w:t>
      </w:r>
      <w:r w:rsidR="00D619AD" w:rsidRPr="00EF7C8C">
        <w:t xml:space="preserve">paragraph 14(1)(b) and subsection 14(2) of the </w:t>
      </w:r>
      <w:r w:rsidR="00D619AD" w:rsidRPr="00EF7C8C">
        <w:rPr>
          <w:i/>
        </w:rPr>
        <w:t>Legislation Act 2003</w:t>
      </w:r>
      <w:r w:rsidRPr="00EF7C8C">
        <w:t>, each of these UN documents are incorporated as in force on the date this national road vehicle standard is made.</w:t>
      </w:r>
    </w:p>
    <w:p w14:paraId="420A9966" w14:textId="6243DDBC" w:rsidR="002F66C3" w:rsidRPr="00EF7C8C" w:rsidRDefault="002F66C3" w:rsidP="002F66C3">
      <w:r w:rsidRPr="00EF7C8C">
        <w:t xml:space="preserve">UN Regulations and Resolutions may be freely accessed online through the UN World Forum for the Harmonization of Vehicle Regulations (WP.29). The WP.29 website is </w:t>
      </w:r>
      <w:r w:rsidRPr="00EF7C8C">
        <w:rPr>
          <w:u w:val="single"/>
        </w:rPr>
        <w:t>www.unece.org/trans/main/welcwp29.html</w:t>
      </w:r>
      <w:r w:rsidRPr="00EF7C8C">
        <w:t>.</w:t>
      </w:r>
    </w:p>
    <w:p w14:paraId="3B72B8A8" w14:textId="22DE82AA" w:rsidR="00BA4F48" w:rsidRPr="00EF7C8C" w:rsidRDefault="00132DC9" w:rsidP="00536A11">
      <w:pPr>
        <w:pStyle w:val="HeadingLevel1"/>
        <w:rPr>
          <w:b w:val="0"/>
        </w:rPr>
      </w:pPr>
      <w:bookmarkStart w:id="96" w:name="_Toc504999786"/>
      <w:bookmarkStart w:id="97" w:name="_Toc504999787"/>
      <w:bookmarkStart w:id="98" w:name="_Toc504999788"/>
      <w:bookmarkStart w:id="99" w:name="_Toc505092263"/>
      <w:bookmarkStart w:id="100" w:name="_Toc46333221"/>
      <w:bookmarkStart w:id="101" w:name="_Toc46333475"/>
      <w:bookmarkStart w:id="102" w:name="_Toc46333629"/>
      <w:bookmarkStart w:id="103" w:name="_Toc46333794"/>
      <w:bookmarkStart w:id="104" w:name="_Toc46333908"/>
      <w:bookmarkStart w:id="105" w:name="_Toc46334644"/>
      <w:bookmarkStart w:id="106" w:name="_Toc106612243"/>
      <w:bookmarkStart w:id="107" w:name="_Toc107390998"/>
      <w:bookmarkStart w:id="108" w:name="_Toc139017636"/>
      <w:bookmarkStart w:id="109" w:name="_Toc139018780"/>
      <w:bookmarkStart w:id="110" w:name="_Toc139019194"/>
      <w:bookmarkStart w:id="111" w:name="_Toc139019344"/>
      <w:bookmarkStart w:id="112" w:name="_Toc139019491"/>
      <w:bookmarkStart w:id="113" w:name="_Toc141438516"/>
      <w:bookmarkEnd w:id="96"/>
      <w:bookmarkEnd w:id="97"/>
      <w:bookmarkEnd w:id="98"/>
      <w:r w:rsidRPr="00EF7C8C">
        <w:lastRenderedPageBreak/>
        <w:t>Consultation</w:t>
      </w:r>
      <w:bookmarkEnd w:id="7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B22E1A5" w14:textId="37C0C329" w:rsidR="00767207" w:rsidRPr="00EF7C8C" w:rsidRDefault="00626DBC" w:rsidP="00B96A37">
      <w:pPr>
        <w:pStyle w:val="HeadingLevel2"/>
      </w:pPr>
      <w:bookmarkStart w:id="114" w:name="_Toc167864617"/>
      <w:bookmarkStart w:id="115" w:name="_Toc505092265"/>
      <w:bookmarkStart w:id="116" w:name="_Toc46333223"/>
      <w:bookmarkStart w:id="117" w:name="_Toc46333477"/>
      <w:bookmarkStart w:id="118" w:name="_Toc46333631"/>
      <w:bookmarkStart w:id="119" w:name="_Toc46333796"/>
      <w:bookmarkStart w:id="120" w:name="_Toc46333910"/>
      <w:bookmarkStart w:id="121" w:name="_Toc46334646"/>
      <w:bookmarkStart w:id="122" w:name="_Toc106612244"/>
      <w:bookmarkStart w:id="123" w:name="_Toc107390999"/>
      <w:bookmarkStart w:id="124" w:name="_Toc139017637"/>
      <w:bookmarkStart w:id="125" w:name="_Toc139018781"/>
      <w:bookmarkStart w:id="126" w:name="_Toc139019195"/>
      <w:bookmarkStart w:id="127" w:name="_Toc139019345"/>
      <w:bookmarkStart w:id="128" w:name="_Toc139019492"/>
      <w:bookmarkStart w:id="129" w:name="_Toc141438517"/>
      <w:r w:rsidRPr="00EF7C8C">
        <w:t>General Consultation Arrangements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4373DE6" w14:textId="42ECC8B6" w:rsidR="00CB306B" w:rsidRPr="00EF7C8C" w:rsidRDefault="00CB306B" w:rsidP="00C93290">
      <w:pPr>
        <w:keepLines/>
      </w:pPr>
      <w:r w:rsidRPr="00EF7C8C">
        <w:t xml:space="preserve">It has been longstanding practice to consult widely on proposed new or amended vehicle standards. For many years, there has been active collaboration between the Commonwealth and the </w:t>
      </w:r>
      <w:r w:rsidR="009414F3">
        <w:t>s</w:t>
      </w:r>
      <w:r w:rsidRPr="00EF7C8C">
        <w:t>tate</w:t>
      </w:r>
      <w:r w:rsidR="0094585E" w:rsidRPr="00EF7C8C">
        <w:t xml:space="preserve"> and </w:t>
      </w:r>
      <w:r w:rsidR="009414F3">
        <w:t>t</w:t>
      </w:r>
      <w:r w:rsidRPr="00EF7C8C">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164E7AEC" w14:textId="7F07C2B4" w:rsidR="00CB306B" w:rsidRPr="00EF7C8C" w:rsidRDefault="002F2F17" w:rsidP="004F5A57">
      <w:pPr>
        <w:pStyle w:val="ESNormal"/>
        <w:rPr>
          <w:i/>
        </w:rPr>
      </w:pPr>
      <w:r w:rsidRPr="00EF7C8C">
        <w:t>Proposals that are regarded as significant need to be supported by a</w:t>
      </w:r>
      <w:r w:rsidR="0094585E" w:rsidRPr="00EF7C8C">
        <w:t>n Impact Analysis (IA)</w:t>
      </w:r>
      <w:r w:rsidRPr="00EF7C8C">
        <w:t xml:space="preserve"> meeting the requirements of the Office of </w:t>
      </w:r>
      <w:r w:rsidR="0094585E" w:rsidRPr="00EF7C8C">
        <w:t>Impact Analysis (OIA</w:t>
      </w:r>
      <w:r w:rsidR="007F3E15" w:rsidRPr="00EF7C8C">
        <w:t xml:space="preserve">) as published in the </w:t>
      </w:r>
      <w:r w:rsidR="007F3E15" w:rsidRPr="00EF7C8C">
        <w:rPr>
          <w:i/>
        </w:rPr>
        <w:t>Australian Government Guide to Policy Impact Analysis</w:t>
      </w:r>
      <w:r w:rsidR="007F3E15" w:rsidRPr="00EF7C8C">
        <w:t xml:space="preserve"> or the </w:t>
      </w:r>
      <w:r w:rsidR="007F3E15" w:rsidRPr="00EF7C8C">
        <w:rPr>
          <w:i/>
        </w:rPr>
        <w:t>Regulatory Impact Analysis Guide for Ministers’ Meetings and National Standard Setting Bodies</w:t>
      </w:r>
      <w:r w:rsidRPr="00EF7C8C">
        <w:t>.</w:t>
      </w:r>
    </w:p>
    <w:p w14:paraId="49A9B8FE" w14:textId="77777777" w:rsidR="00066F93" w:rsidRPr="00EF7C8C" w:rsidRDefault="00BA4F48" w:rsidP="00B96A37">
      <w:pPr>
        <w:pStyle w:val="HeadingLevel2"/>
      </w:pPr>
      <w:bookmarkStart w:id="130" w:name="_Toc167864618"/>
      <w:bookmarkStart w:id="131" w:name="_Toc505092266"/>
      <w:bookmarkStart w:id="132" w:name="_Toc46333224"/>
      <w:bookmarkStart w:id="133" w:name="_Toc46333478"/>
      <w:bookmarkStart w:id="134" w:name="_Toc46333632"/>
      <w:bookmarkStart w:id="135" w:name="_Toc46333797"/>
      <w:bookmarkStart w:id="136" w:name="_Toc46333911"/>
      <w:bookmarkStart w:id="137" w:name="_Toc46334647"/>
      <w:bookmarkStart w:id="138" w:name="_Toc107391000"/>
      <w:bookmarkStart w:id="139" w:name="_Toc139017638"/>
      <w:bookmarkStart w:id="140" w:name="_Toc139018782"/>
      <w:bookmarkStart w:id="141" w:name="_Toc139019196"/>
      <w:bookmarkStart w:id="142" w:name="_Toc139019346"/>
      <w:bookmarkStart w:id="143" w:name="_Toc139019493"/>
      <w:bookmarkStart w:id="144" w:name="_Toc141438518"/>
      <w:r w:rsidRPr="00EF7C8C">
        <w:t>Specific Consultation Arrangements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44A34FD" w14:textId="2D24381D" w:rsidR="00F736CD" w:rsidRPr="00EF7C8C" w:rsidRDefault="00F736CD" w:rsidP="004F5A57">
      <w:r w:rsidRPr="00EF7C8C">
        <w:t>Public comment was sought on the Safer Freight Vehicles package, of which Side Underrun Protection forms an integral part, from 27 April 2021 to 30 June 2021.</w:t>
      </w:r>
    </w:p>
    <w:p w14:paraId="4DDF8FB2" w14:textId="2CA6634A" w:rsidR="00F736CD" w:rsidRPr="00EF7C8C" w:rsidRDefault="00F736CD" w:rsidP="004F5A57">
      <w:r w:rsidRPr="00EF7C8C">
        <w:t xml:space="preserve">A draft ADR 106/00 – </w:t>
      </w:r>
      <w:r w:rsidR="00995C33" w:rsidRPr="00EF7C8C">
        <w:t>Side Underrun Protection</w:t>
      </w:r>
      <w:r w:rsidRPr="00EF7C8C">
        <w:t xml:space="preserve"> based on the </w:t>
      </w:r>
      <w:r w:rsidR="00BE3420">
        <w:t>UN</w:t>
      </w:r>
      <w:r w:rsidRPr="00EF7C8C">
        <w:t xml:space="preserve"> Regulation No. </w:t>
      </w:r>
      <w:r w:rsidR="00995C33" w:rsidRPr="00EF7C8C">
        <w:t>73</w:t>
      </w:r>
      <w:r w:rsidRPr="00EF7C8C">
        <w:t xml:space="preserve"> was released together with a discussion paper, other draft ADRs proposed for the Safer Freight Vehicles package, and a feedback form on the </w:t>
      </w:r>
      <w:proofErr w:type="spellStart"/>
      <w:r w:rsidR="00974309" w:rsidRPr="00EF7C8C">
        <w:t>the</w:t>
      </w:r>
      <w:proofErr w:type="spellEnd"/>
      <w:r w:rsidR="00974309" w:rsidRPr="00EF7C8C">
        <w:t xml:space="preserve"> Department of Infrastructure, Transport, Regional Development, Communication</w:t>
      </w:r>
      <w:r w:rsidR="00657C40">
        <w:t>s</w:t>
      </w:r>
      <w:r w:rsidR="00974309" w:rsidRPr="00EF7C8C">
        <w:t xml:space="preserve"> and the Arts (the department</w:t>
      </w:r>
      <w:r w:rsidR="00974309">
        <w:t>)</w:t>
      </w:r>
      <w:r w:rsidRPr="00EF7C8C">
        <w:t xml:space="preserve"> website.</w:t>
      </w:r>
    </w:p>
    <w:p w14:paraId="14988BF0" w14:textId="77777777" w:rsidR="00F736CD" w:rsidRPr="00EF7C8C" w:rsidRDefault="00F736CD" w:rsidP="00F736CD">
      <w:r w:rsidRPr="00EF7C8C">
        <w:t>The department provided two ways to comment: 1) Emailing the feedback form to the Vehicle Standards Section email address; or 2) Mailing the provided feedback form to the Vehicle Standards Section postal address.</w:t>
      </w:r>
    </w:p>
    <w:p w14:paraId="3B3D3BB9" w14:textId="7F329387" w:rsidR="00F736CD" w:rsidRPr="00EF7C8C" w:rsidRDefault="00F736CD" w:rsidP="00F736CD">
      <w:r w:rsidRPr="00EF7C8C">
        <w:t xml:space="preserve">An email was also sent on 27 April 2021 to inform senior representatives of </w:t>
      </w:r>
      <w:r w:rsidR="009414F3">
        <w:t>s</w:t>
      </w:r>
      <w:r w:rsidRPr="00EF7C8C">
        <w:t xml:space="preserve">tate and </w:t>
      </w:r>
      <w:r w:rsidR="009414F3">
        <w:t>t</w:t>
      </w:r>
      <w:r w:rsidRPr="00EF7C8C">
        <w:t>erritory governments, and representative bodies for heavy vehicle manufacturer’s, operators, and road users. In addition, a notice was published in the Office of Road Safety newsletter</w:t>
      </w:r>
      <w:r w:rsidR="009414F3" w:rsidRPr="009414F3">
        <w:t xml:space="preserve"> in May 2021. The department also held two targeted consultation meetings in June 2021, to explain the proposed regulatory changes contained within the discussion paper and the draft ADRs to other government and industry stakeholders.</w:t>
      </w:r>
    </w:p>
    <w:p w14:paraId="53131D27" w14:textId="0FEC5985" w:rsidR="00C44998" w:rsidRDefault="00F736CD" w:rsidP="00F736CD">
      <w:r w:rsidRPr="00EF7C8C">
        <w:t xml:space="preserve">Formal feedback was received from members of the public, state government agencies, industry, road user groups and road safety advocates. </w:t>
      </w:r>
      <w:r w:rsidRPr="00580E07">
        <w:t xml:space="preserve">There was broad support for the implementation of a new ADR mandating </w:t>
      </w:r>
      <w:r w:rsidR="00995C33" w:rsidRPr="00580E07">
        <w:t>Side Underrun Protection</w:t>
      </w:r>
      <w:r w:rsidRPr="00580E07">
        <w:t xml:space="preserve"> on trucks to be included in the Safer Freight Vehicles reforms.</w:t>
      </w:r>
    </w:p>
    <w:p w14:paraId="7932FBBC" w14:textId="4273007F" w:rsidR="009414F3" w:rsidRPr="00EF7C8C" w:rsidRDefault="009414F3" w:rsidP="00F736CD">
      <w:pPr>
        <w:rPr>
          <w:highlight w:val="yellow"/>
        </w:rPr>
      </w:pPr>
      <w:r w:rsidRPr="009414F3">
        <w:t>Following the public consultation, the feedback and agreed outcomes from a series of ADR consultative forum meetings between July 2021 and November 2022 were used by the department to improve and refine the proposed Safer Freight Vehicles package of ADRs, including implementation related aspects. These consultative meetings involved nominated senior and technical representatives of government (Australian and state/territory), the manufacturing and operational arms of the industry and of representative organisations of consumers and road users.</w:t>
      </w:r>
    </w:p>
    <w:p w14:paraId="10FBD3C0" w14:textId="448B6933" w:rsidR="00132DC9" w:rsidRPr="00EF7C8C" w:rsidRDefault="00132DC9" w:rsidP="00536A11">
      <w:pPr>
        <w:pStyle w:val="HeadingLevel1"/>
        <w:rPr>
          <w:b w:val="0"/>
        </w:rPr>
      </w:pPr>
      <w:bookmarkStart w:id="145" w:name="_Toc106612245"/>
      <w:bookmarkStart w:id="146" w:name="_Toc107391001"/>
      <w:bookmarkStart w:id="147" w:name="_Toc139017639"/>
      <w:bookmarkStart w:id="148" w:name="_Toc139018783"/>
      <w:bookmarkStart w:id="149" w:name="_Toc139019197"/>
      <w:bookmarkStart w:id="150" w:name="_Toc139019347"/>
      <w:bookmarkStart w:id="151" w:name="_Toc139019494"/>
      <w:bookmarkStart w:id="152" w:name="_Toc141438519"/>
      <w:bookmarkStart w:id="153" w:name="_Toc318271645"/>
      <w:bookmarkStart w:id="154" w:name="_Toc317171517"/>
      <w:bookmarkStart w:id="155" w:name="_Toc317171391"/>
      <w:bookmarkStart w:id="156" w:name="_Toc317158948"/>
      <w:bookmarkStart w:id="157" w:name="_Toc318272904"/>
      <w:bookmarkStart w:id="158" w:name="_Toc319402529"/>
      <w:bookmarkStart w:id="159" w:name="_Toc505092267"/>
      <w:bookmarkStart w:id="160" w:name="_Toc46333225"/>
      <w:bookmarkStart w:id="161" w:name="_Toc46333479"/>
      <w:bookmarkStart w:id="162" w:name="_Toc46333633"/>
      <w:bookmarkStart w:id="163" w:name="_Toc46333798"/>
      <w:bookmarkStart w:id="164" w:name="_Toc46333912"/>
      <w:bookmarkStart w:id="165" w:name="_Toc46334648"/>
      <w:r w:rsidRPr="00EF7C8C">
        <w:lastRenderedPageBreak/>
        <w:t>Regulatory I</w:t>
      </w:r>
      <w:r w:rsidR="00D929FE" w:rsidRPr="00EF7C8C">
        <w:t>mpact</w:t>
      </w:r>
      <w:bookmarkEnd w:id="145"/>
      <w:bookmarkEnd w:id="146"/>
      <w:bookmarkEnd w:id="147"/>
      <w:bookmarkEnd w:id="148"/>
      <w:bookmarkEnd w:id="149"/>
      <w:bookmarkEnd w:id="150"/>
      <w:bookmarkEnd w:id="151"/>
      <w:bookmarkEnd w:id="152"/>
    </w:p>
    <w:p w14:paraId="27F73655" w14:textId="0C8D2452" w:rsidR="00822357" w:rsidRPr="00EF7C8C" w:rsidRDefault="00822357" w:rsidP="00C6692A">
      <w:pPr>
        <w:pStyle w:val="HeadingLevel2"/>
      </w:pPr>
      <w:bookmarkStart w:id="166" w:name="_Toc106612246"/>
      <w:bookmarkStart w:id="167" w:name="_Toc107391002"/>
      <w:bookmarkStart w:id="168" w:name="_Toc139017640"/>
      <w:bookmarkStart w:id="169" w:name="_Toc139018784"/>
      <w:bookmarkStart w:id="170" w:name="_Toc139019198"/>
      <w:bookmarkStart w:id="171" w:name="_Toc139019348"/>
      <w:bookmarkStart w:id="172" w:name="_Toc139019495"/>
      <w:bookmarkStart w:id="173" w:name="_Toc141438520"/>
      <w:bookmarkStart w:id="174" w:name="_Toc167864616"/>
      <w:bookmarkStart w:id="175" w:name="_Toc505092264"/>
      <w:bookmarkStart w:id="176" w:name="_Toc46333222"/>
      <w:bookmarkStart w:id="177" w:name="_Toc46333476"/>
      <w:bookmarkStart w:id="178" w:name="_Toc46333630"/>
      <w:bookmarkStart w:id="179" w:name="_Toc46333795"/>
      <w:bookmarkStart w:id="180" w:name="_Toc46333909"/>
      <w:bookmarkStart w:id="181" w:name="_Toc46334645"/>
      <w:r w:rsidRPr="00EF7C8C">
        <w:t xml:space="preserve">Impact </w:t>
      </w:r>
      <w:bookmarkEnd w:id="166"/>
      <w:bookmarkEnd w:id="167"/>
      <w:r w:rsidR="006815C4" w:rsidRPr="00EF7C8C">
        <w:t>Analysis</w:t>
      </w:r>
      <w:bookmarkEnd w:id="168"/>
      <w:bookmarkEnd w:id="169"/>
      <w:bookmarkEnd w:id="170"/>
      <w:bookmarkEnd w:id="171"/>
      <w:bookmarkEnd w:id="172"/>
      <w:bookmarkEnd w:id="173"/>
    </w:p>
    <w:p w14:paraId="43EC988D" w14:textId="2EBEC445" w:rsidR="00B54F04" w:rsidRPr="00EF7C8C" w:rsidRDefault="006815C4" w:rsidP="006630FA">
      <w:r w:rsidRPr="00EF7C8C">
        <w:t xml:space="preserve">An IA </w:t>
      </w:r>
      <w:r w:rsidR="00420F13">
        <w:t xml:space="preserve">(refer Volume 2) </w:t>
      </w:r>
      <w:r w:rsidRPr="00EF7C8C">
        <w:t>was completed on options to increase the overall width limit for Safer Freight Vehicles meeting a package of additional ADRs harmonised with UN vehicle regulations, including a new ADR 106/00 on Side Underrun Protection. The OIA reference</w:t>
      </w:r>
      <w:r w:rsidR="0097735D" w:rsidRPr="00EF7C8C">
        <w:t xml:space="preserve"> </w:t>
      </w:r>
      <w:r w:rsidRPr="00EF7C8C">
        <w:t>number for the IA is 21-01048</w:t>
      </w:r>
      <w:r w:rsidR="00062F5F" w:rsidRPr="00EF7C8C">
        <w:t>.</w:t>
      </w:r>
    </w:p>
    <w:p w14:paraId="66A521E7" w14:textId="0E0123F3" w:rsidR="00DD03A0" w:rsidRPr="00EF7C8C" w:rsidRDefault="00132DC9" w:rsidP="00C6692A">
      <w:pPr>
        <w:pStyle w:val="HeadingLevel2"/>
      </w:pPr>
      <w:bookmarkStart w:id="182" w:name="_Toc106612247"/>
      <w:bookmarkStart w:id="183" w:name="_Toc107391003"/>
      <w:bookmarkStart w:id="184" w:name="_Toc139017641"/>
      <w:bookmarkStart w:id="185" w:name="_Toc139018785"/>
      <w:bookmarkStart w:id="186" w:name="_Toc139019199"/>
      <w:bookmarkStart w:id="187" w:name="_Toc139019349"/>
      <w:bookmarkStart w:id="188" w:name="_Toc139019496"/>
      <w:bookmarkStart w:id="189" w:name="_Toc141438521"/>
      <w:r w:rsidRPr="00EF7C8C">
        <w:t>B</w:t>
      </w:r>
      <w:bookmarkEnd w:id="174"/>
      <w:r w:rsidRPr="00EF7C8C">
        <w:t>enefits and Costs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8127C19" w14:textId="7996C33D" w:rsidR="004E712D" w:rsidRPr="00EF7C8C" w:rsidRDefault="006815C4" w:rsidP="00817ED3">
      <w:pPr>
        <w:keepLines/>
      </w:pPr>
      <w:bookmarkStart w:id="190" w:name="_Toc106612248"/>
      <w:bookmarkStart w:id="191" w:name="_Toc107391004"/>
      <w:r w:rsidRPr="00EF7C8C">
        <w:t xml:space="preserve">There are both benefits and costs associated with mandating </w:t>
      </w:r>
      <w:r w:rsidR="00B057DC" w:rsidRPr="00EF7C8C">
        <w:t>Side Underrun Protection</w:t>
      </w:r>
      <w:r w:rsidRPr="00EF7C8C">
        <w:t xml:space="preserve"> for goods vehicles that are over </w:t>
      </w:r>
      <w:r w:rsidR="00B057DC" w:rsidRPr="00EF7C8C">
        <w:t>4.5</w:t>
      </w:r>
      <w:r w:rsidRPr="00EF7C8C">
        <w:t xml:space="preserve"> tonnes GVM and have an overall width exceeding 2,500 mm. In the benefit-cost analysis for the IA, the Australian Road Research Board estimated that </w:t>
      </w:r>
      <w:r w:rsidR="00B057DC" w:rsidRPr="00EF7C8C">
        <w:t>Side Underrun Protection</w:t>
      </w:r>
      <w:r w:rsidRPr="00EF7C8C">
        <w:t xml:space="preserve"> reduces the risk of a heavy vehicle having a fatal crash by </w:t>
      </w:r>
      <w:r w:rsidR="0097735D" w:rsidRPr="00EF7C8C">
        <w:t xml:space="preserve">1.4 </w:t>
      </w:r>
      <w:r w:rsidRPr="00EF7C8C">
        <w:t>per cent</w:t>
      </w:r>
      <w:r w:rsidR="0097735D" w:rsidRPr="00EF7C8C">
        <w:t>, reduces the risk of a heavy vehicle having a serious injury crash by 0.1 per cent,</w:t>
      </w:r>
      <w:r w:rsidRPr="00EF7C8C">
        <w:t xml:space="preserve"> and costs $</w:t>
      </w:r>
      <w:r w:rsidR="0097735D" w:rsidRPr="00EF7C8C">
        <w:t>1,0</w:t>
      </w:r>
      <w:r w:rsidRPr="00EF7C8C">
        <w:t>00 per vehicle to fit</w:t>
      </w:r>
      <w:r w:rsidR="00DD03A0" w:rsidRPr="00EF7C8C">
        <w:t>.</w:t>
      </w:r>
    </w:p>
    <w:p w14:paraId="19322171" w14:textId="77777777" w:rsidR="00586887" w:rsidRPr="00EF7C8C" w:rsidRDefault="00586887" w:rsidP="00536A11">
      <w:pPr>
        <w:pStyle w:val="HeadingLevel1"/>
      </w:pPr>
      <w:bookmarkStart w:id="192" w:name="_Toc139017642"/>
      <w:bookmarkStart w:id="193" w:name="_Toc139018786"/>
      <w:bookmarkStart w:id="194" w:name="_Toc139019200"/>
      <w:bookmarkStart w:id="195" w:name="_Toc139019350"/>
      <w:bookmarkStart w:id="196" w:name="_Toc139019497"/>
      <w:bookmarkStart w:id="197" w:name="_Toc141438522"/>
      <w:r w:rsidRPr="00EF7C8C">
        <w:t>STATEMENT OF COMPATIBILITY WITH HUMAN RIGHTS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90"/>
      <w:bookmarkEnd w:id="191"/>
      <w:bookmarkEnd w:id="192"/>
      <w:bookmarkEnd w:id="193"/>
      <w:bookmarkEnd w:id="194"/>
      <w:bookmarkEnd w:id="195"/>
      <w:bookmarkEnd w:id="196"/>
      <w:bookmarkEnd w:id="197"/>
    </w:p>
    <w:p w14:paraId="33399E54" w14:textId="77777777" w:rsidR="00586887" w:rsidRPr="00EF7C8C" w:rsidRDefault="00586887" w:rsidP="00F412A2">
      <w:pPr>
        <w:keepNext/>
      </w:pPr>
      <w:r w:rsidRPr="00EF7C8C">
        <w:t xml:space="preserve">The following Statement is prepared in accordance with Part 3 of the </w:t>
      </w:r>
      <w:r w:rsidRPr="00EF7C8C">
        <w:rPr>
          <w:i/>
          <w:iCs/>
        </w:rPr>
        <w:t>Human Rights (Parliamentary Scrutiny) Act 2011.</w:t>
      </w:r>
    </w:p>
    <w:p w14:paraId="447BD1C9" w14:textId="77777777" w:rsidR="00586887" w:rsidRPr="00EF7C8C" w:rsidRDefault="00586887" w:rsidP="00B96A37">
      <w:pPr>
        <w:pStyle w:val="HeadingLevel2"/>
      </w:pPr>
      <w:bookmarkStart w:id="198" w:name="_Toc318271646"/>
      <w:bookmarkStart w:id="199" w:name="_Toc317171518"/>
      <w:bookmarkStart w:id="200" w:name="_Toc317171392"/>
      <w:bookmarkStart w:id="201" w:name="_Toc318272905"/>
      <w:bookmarkStart w:id="202" w:name="_Toc319402530"/>
      <w:bookmarkStart w:id="203" w:name="_Toc505092268"/>
      <w:bookmarkStart w:id="204" w:name="_Toc46333226"/>
      <w:bookmarkStart w:id="205" w:name="_Toc46333480"/>
      <w:bookmarkStart w:id="206" w:name="_Toc46333634"/>
      <w:bookmarkStart w:id="207" w:name="_Toc46333799"/>
      <w:bookmarkStart w:id="208" w:name="_Toc46333913"/>
      <w:bookmarkStart w:id="209" w:name="_Toc46334649"/>
      <w:bookmarkStart w:id="210" w:name="_Toc106612249"/>
      <w:bookmarkStart w:id="211" w:name="_Toc107391005"/>
      <w:bookmarkStart w:id="212" w:name="_Toc139017643"/>
      <w:bookmarkStart w:id="213" w:name="_Toc139018787"/>
      <w:bookmarkStart w:id="214" w:name="_Toc139019201"/>
      <w:bookmarkStart w:id="215" w:name="_Toc139019351"/>
      <w:bookmarkStart w:id="216" w:name="_Toc139019498"/>
      <w:bookmarkStart w:id="217" w:name="_Toc141438523"/>
      <w:r w:rsidRPr="00EF7C8C">
        <w:t>Overview</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D2BDA9E" w14:textId="271BB1F0" w:rsidR="001D3CA3" w:rsidRPr="00EF7C8C" w:rsidRDefault="001D3CA3" w:rsidP="001D3CA3">
      <w:bookmarkStart w:id="218" w:name="_Toc318271647"/>
      <w:bookmarkStart w:id="219" w:name="_Toc317171519"/>
      <w:bookmarkStart w:id="220" w:name="_Toc317171393"/>
      <w:bookmarkStart w:id="221" w:name="_Toc318272906"/>
      <w:bookmarkStart w:id="222" w:name="_Toc319402531"/>
      <w:bookmarkStart w:id="223" w:name="_Toc505092269"/>
      <w:bookmarkStart w:id="224" w:name="_Toc46333227"/>
      <w:bookmarkStart w:id="225" w:name="_Toc46333481"/>
      <w:bookmarkStart w:id="226" w:name="_Toc46333635"/>
      <w:bookmarkStart w:id="227" w:name="_Toc46333800"/>
      <w:bookmarkStart w:id="228" w:name="_Toc46333914"/>
      <w:bookmarkStart w:id="229" w:name="_Toc46334650"/>
      <w:r w:rsidRPr="00EF7C8C">
        <w:t xml:space="preserve">ADR 106/00 </w:t>
      </w:r>
      <w:r w:rsidR="00B72407">
        <w:t>specifies</w:t>
      </w:r>
      <w:r w:rsidRPr="00EF7C8C">
        <w:t xml:space="preserve"> requirements for lateral protection devices, </w:t>
      </w:r>
      <w:r w:rsidR="009364C5" w:rsidRPr="00EF7C8C">
        <w:t xml:space="preserve">which are </w:t>
      </w:r>
      <w:r w:rsidRPr="00EF7C8C">
        <w:t>smooth, longitudinal barriers over gaps between wheels and other body fixtures</w:t>
      </w:r>
      <w:r w:rsidR="009364C5" w:rsidRPr="00EF7C8C">
        <w:t xml:space="preserve">, </w:t>
      </w:r>
      <w:r w:rsidRPr="00EF7C8C">
        <w:t xml:space="preserve">designed to reduce the risk of pedestrians, </w:t>
      </w:r>
      <w:r w:rsidR="00281C87" w:rsidRPr="00EF7C8C">
        <w:t xml:space="preserve">or </w:t>
      </w:r>
      <w:r w:rsidRPr="00EF7C8C">
        <w:t xml:space="preserve">cyclists falling under the </w:t>
      </w:r>
      <w:r w:rsidR="009364C5" w:rsidRPr="00EF7C8C">
        <w:t>side body</w:t>
      </w:r>
      <w:r w:rsidRPr="00EF7C8C">
        <w:t xml:space="preserve"> and wheels of the vehicle</w:t>
      </w:r>
      <w:r w:rsidR="009364C5" w:rsidRPr="00EF7C8C">
        <w:t>, particularly during turning manoeuvres in urban areas</w:t>
      </w:r>
      <w:r w:rsidRPr="00EF7C8C">
        <w:t>.</w:t>
      </w:r>
    </w:p>
    <w:p w14:paraId="13E16703" w14:textId="77777777" w:rsidR="00586887" w:rsidRPr="00EF7C8C" w:rsidRDefault="00586887" w:rsidP="00B96A37">
      <w:pPr>
        <w:pStyle w:val="HeadingLevel2"/>
      </w:pPr>
      <w:bookmarkStart w:id="230" w:name="_Toc107391006"/>
      <w:bookmarkStart w:id="231" w:name="_Toc139017644"/>
      <w:bookmarkStart w:id="232" w:name="_Toc139018788"/>
      <w:bookmarkStart w:id="233" w:name="_Toc139019202"/>
      <w:bookmarkStart w:id="234" w:name="_Toc139019352"/>
      <w:bookmarkStart w:id="235" w:name="_Toc139019499"/>
      <w:bookmarkStart w:id="236" w:name="_Toc141438524"/>
      <w:r w:rsidRPr="00EF7C8C">
        <w:t>Human Rights Implications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49399A8F" w14:textId="77777777" w:rsidR="00586887" w:rsidRPr="00EF7C8C" w:rsidRDefault="002D7E26" w:rsidP="00D82CC0">
      <w:r w:rsidRPr="00EF7C8C">
        <w:t xml:space="preserve">ADR </w:t>
      </w:r>
      <w:r w:rsidR="00D00680" w:rsidRPr="00EF7C8C">
        <w:t>106</w:t>
      </w:r>
      <w:r w:rsidR="00CF2C5C" w:rsidRPr="00EF7C8C">
        <w:t>/00</w:t>
      </w:r>
      <w:r w:rsidRPr="00EF7C8C">
        <w:t xml:space="preserve"> does not engage any of the human rights and freedoms recognised or declared in the international instruments listed in section 3 of the </w:t>
      </w:r>
      <w:r w:rsidRPr="00EF7C8C">
        <w:rPr>
          <w:i/>
          <w:iCs/>
        </w:rPr>
        <w:t>Human Rights (Parliamentary Scrutiny) Act 2011</w:t>
      </w:r>
      <w:r w:rsidRPr="00EF7C8C">
        <w:t>.</w:t>
      </w:r>
    </w:p>
    <w:p w14:paraId="41EB29D4" w14:textId="77777777" w:rsidR="00586887" w:rsidRPr="00EF7C8C" w:rsidRDefault="00586887" w:rsidP="00B96A37">
      <w:pPr>
        <w:pStyle w:val="HeadingLevel2"/>
      </w:pPr>
      <w:bookmarkStart w:id="237" w:name="_Toc319402532"/>
      <w:bookmarkStart w:id="238" w:name="_Toc505092270"/>
      <w:bookmarkStart w:id="239" w:name="_Toc46333228"/>
      <w:bookmarkStart w:id="240" w:name="_Toc46333482"/>
      <w:bookmarkStart w:id="241" w:name="_Toc46333636"/>
      <w:bookmarkStart w:id="242" w:name="_Toc46333801"/>
      <w:bookmarkStart w:id="243" w:name="_Toc46333915"/>
      <w:bookmarkStart w:id="244" w:name="_Toc46334651"/>
      <w:bookmarkStart w:id="245" w:name="_Toc106612250"/>
      <w:bookmarkStart w:id="246" w:name="_Toc107391007"/>
      <w:bookmarkStart w:id="247" w:name="_Toc139017645"/>
      <w:bookmarkStart w:id="248" w:name="_Toc139018789"/>
      <w:bookmarkStart w:id="249" w:name="_Toc139019203"/>
      <w:bookmarkStart w:id="250" w:name="_Toc139019353"/>
      <w:bookmarkStart w:id="251" w:name="_Toc139019500"/>
      <w:bookmarkStart w:id="252" w:name="_Toc141438525"/>
      <w:r w:rsidRPr="00EF7C8C">
        <w:t>Conclusion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5B08799" w14:textId="77777777" w:rsidR="002D7277" w:rsidRPr="00EF7C8C" w:rsidRDefault="00586887" w:rsidP="00D82CC0">
      <w:r w:rsidRPr="00EF7C8C">
        <w:t xml:space="preserve">ADR </w:t>
      </w:r>
      <w:r w:rsidR="00D00680" w:rsidRPr="00EF7C8C">
        <w:t>106</w:t>
      </w:r>
      <w:r w:rsidR="00CF2C5C" w:rsidRPr="00EF7C8C">
        <w:t>/00</w:t>
      </w:r>
      <w:r w:rsidRPr="00EF7C8C">
        <w:t xml:space="preserve"> is compatible with human rights</w:t>
      </w:r>
      <w:r w:rsidR="00DF5206" w:rsidRPr="00EF7C8C">
        <w:t>,</w:t>
      </w:r>
      <w:r w:rsidRPr="00EF7C8C">
        <w:t xml:space="preserve"> as it does not raise any human rights issues.</w:t>
      </w:r>
    </w:p>
    <w:sectPr w:rsidR="002D7277" w:rsidRPr="00EF7C8C" w:rsidSect="000D5D4A">
      <w:headerReference w:type="first" r:id="rId10"/>
      <w:pgSz w:w="11906" w:h="16838" w:code="9"/>
      <w:pgMar w:top="1440" w:right="1797" w:bottom="184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2724" w14:textId="77777777" w:rsidR="009875D5" w:rsidRDefault="009875D5" w:rsidP="00D82CC0">
      <w:r>
        <w:separator/>
      </w:r>
    </w:p>
  </w:endnote>
  <w:endnote w:type="continuationSeparator" w:id="0">
    <w:p w14:paraId="5D418869" w14:textId="77777777" w:rsidR="009875D5" w:rsidRDefault="009875D5"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227B5" w14:textId="77777777" w:rsidR="009875D5" w:rsidRDefault="009875D5" w:rsidP="00D82CC0">
      <w:r>
        <w:separator/>
      </w:r>
    </w:p>
  </w:footnote>
  <w:footnote w:type="continuationSeparator" w:id="0">
    <w:p w14:paraId="27EA1562" w14:textId="77777777" w:rsidR="009875D5" w:rsidRDefault="009875D5"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78D0" w14:textId="1A922EF6" w:rsidR="00813DBA" w:rsidRDefault="00232DD8" w:rsidP="00232DD8">
    <w:pPr>
      <w:pStyle w:val="Header"/>
      <w:pBdr>
        <w:bottom w:val="single" w:sz="4" w:space="1" w:color="auto"/>
      </w:pBdr>
      <w:spacing w:before="0" w:after="0"/>
    </w:pPr>
    <w:r w:rsidRPr="00BC32DD">
      <w:t>Vehicle Standard (Australian Design Rule 106/00 – Side Underrun Protection) 2023</w:t>
    </w:r>
    <w: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3</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5B0B" w14:textId="765E0F31" w:rsidR="005142E1" w:rsidRDefault="00232DD8" w:rsidP="00232DD8">
    <w:pPr>
      <w:pStyle w:val="Header"/>
      <w:pBdr>
        <w:bottom w:val="single" w:sz="4" w:space="1" w:color="auto"/>
      </w:pBdr>
      <w:spacing w:before="0" w:after="0"/>
    </w:pPr>
    <w:r w:rsidRPr="00BC32DD">
      <w:t>Vehicle Standard (Australian Design Rule 106/00 – Side Underrun Protection) 2023</w:t>
    </w:r>
    <w: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4FD68D6"/>
    <w:multiLevelType w:val="hybridMultilevel"/>
    <w:tmpl w:val="C532938E"/>
    <w:lvl w:ilvl="0" w:tplc="1BCA7108">
      <w:start w:val="1"/>
      <w:numFmt w:val="upp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4"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408A6"/>
    <w:multiLevelType w:val="multilevel"/>
    <w:tmpl w:val="CA7A212C"/>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9"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5C55A58"/>
    <w:multiLevelType w:val="hybridMultilevel"/>
    <w:tmpl w:val="817C013C"/>
    <w:lvl w:ilvl="0" w:tplc="77461A6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C24437"/>
    <w:multiLevelType w:val="hybridMultilevel"/>
    <w:tmpl w:val="86944B06"/>
    <w:lvl w:ilvl="0" w:tplc="468CB4F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1" w15:restartNumberingAfterBreak="0">
    <w:nsid w:val="75C732D6"/>
    <w:multiLevelType w:val="hybridMultilevel"/>
    <w:tmpl w:val="C532938E"/>
    <w:lvl w:ilvl="0" w:tplc="1BCA7108">
      <w:start w:val="1"/>
      <w:numFmt w:val="upp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5"/>
  </w:num>
  <w:num w:numId="4">
    <w:abstractNumId w:val="20"/>
  </w:num>
  <w:num w:numId="5">
    <w:abstractNumId w:val="4"/>
  </w:num>
  <w:num w:numId="6">
    <w:abstractNumId w:val="19"/>
  </w:num>
  <w:num w:numId="7">
    <w:abstractNumId w:val="6"/>
  </w:num>
  <w:num w:numId="8">
    <w:abstractNumId w:val="14"/>
  </w:num>
  <w:num w:numId="9">
    <w:abstractNumId w:val="11"/>
  </w:num>
  <w:num w:numId="10">
    <w:abstractNumId w:val="18"/>
  </w:num>
  <w:num w:numId="11">
    <w:abstractNumId w:val="9"/>
  </w:num>
  <w:num w:numId="12">
    <w:abstractNumId w:val="13"/>
  </w:num>
  <w:num w:numId="13">
    <w:abstractNumId w:val="7"/>
  </w:num>
  <w:num w:numId="14">
    <w:abstractNumId w:val="12"/>
  </w:num>
  <w:num w:numId="15">
    <w:abstractNumId w:val="17"/>
  </w:num>
  <w:num w:numId="16">
    <w:abstractNumId w:val="17"/>
  </w:num>
  <w:num w:numId="17">
    <w:abstractNumId w:val="17"/>
  </w:num>
  <w:num w:numId="18">
    <w:abstractNumId w:val="17"/>
  </w:num>
  <w:num w:numId="19">
    <w:abstractNumId w:val="0"/>
  </w:num>
  <w:num w:numId="20">
    <w:abstractNumId w:val="17"/>
  </w:num>
  <w:num w:numId="21">
    <w:abstractNumId w:val="1"/>
  </w:num>
  <w:num w:numId="22">
    <w:abstractNumId w:val="17"/>
  </w:num>
  <w:num w:numId="23">
    <w:abstractNumId w:val="17"/>
  </w:num>
  <w:num w:numId="24">
    <w:abstractNumId w:val="3"/>
  </w:num>
  <w:num w:numId="25">
    <w:abstractNumId w:val="1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num>
  <w:num w:numId="29">
    <w:abstractNumId w:val="10"/>
  </w:num>
  <w:num w:numId="30">
    <w:abstractNumId w:val="17"/>
  </w:num>
  <w:num w:numId="31">
    <w:abstractNumId w:val="17"/>
  </w:num>
  <w:num w:numId="32">
    <w:abstractNumId w:val="2"/>
  </w:num>
  <w:num w:numId="33">
    <w:abstractNumId w:val="17"/>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257F"/>
    <w:rsid w:val="000040F7"/>
    <w:rsid w:val="000046A8"/>
    <w:rsid w:val="000067BC"/>
    <w:rsid w:val="00006B90"/>
    <w:rsid w:val="000071ED"/>
    <w:rsid w:val="00011FA5"/>
    <w:rsid w:val="000120B6"/>
    <w:rsid w:val="00012FF9"/>
    <w:rsid w:val="000157B0"/>
    <w:rsid w:val="000166ED"/>
    <w:rsid w:val="0002036E"/>
    <w:rsid w:val="000220C0"/>
    <w:rsid w:val="00022CA1"/>
    <w:rsid w:val="000238B0"/>
    <w:rsid w:val="000241C6"/>
    <w:rsid w:val="000245BE"/>
    <w:rsid w:val="0002471C"/>
    <w:rsid w:val="00025A8A"/>
    <w:rsid w:val="000266C9"/>
    <w:rsid w:val="00031993"/>
    <w:rsid w:val="00031F5E"/>
    <w:rsid w:val="000335E2"/>
    <w:rsid w:val="00034FA3"/>
    <w:rsid w:val="00035887"/>
    <w:rsid w:val="00036526"/>
    <w:rsid w:val="00037045"/>
    <w:rsid w:val="000411D0"/>
    <w:rsid w:val="000415C6"/>
    <w:rsid w:val="00041F6C"/>
    <w:rsid w:val="00042799"/>
    <w:rsid w:val="00047E7E"/>
    <w:rsid w:val="00050FB8"/>
    <w:rsid w:val="00052EF3"/>
    <w:rsid w:val="000539B1"/>
    <w:rsid w:val="00053BA8"/>
    <w:rsid w:val="0005416F"/>
    <w:rsid w:val="00054598"/>
    <w:rsid w:val="00054DEF"/>
    <w:rsid w:val="000562F1"/>
    <w:rsid w:val="000571CD"/>
    <w:rsid w:val="000604A0"/>
    <w:rsid w:val="00060FE2"/>
    <w:rsid w:val="00061E00"/>
    <w:rsid w:val="00062657"/>
    <w:rsid w:val="00062F5F"/>
    <w:rsid w:val="00063B7D"/>
    <w:rsid w:val="00064ADD"/>
    <w:rsid w:val="00064AFA"/>
    <w:rsid w:val="00064FA1"/>
    <w:rsid w:val="000650DA"/>
    <w:rsid w:val="00066F93"/>
    <w:rsid w:val="00067219"/>
    <w:rsid w:val="000713D8"/>
    <w:rsid w:val="00071B1F"/>
    <w:rsid w:val="00071E8B"/>
    <w:rsid w:val="000725BB"/>
    <w:rsid w:val="00072E73"/>
    <w:rsid w:val="000740DE"/>
    <w:rsid w:val="00074D90"/>
    <w:rsid w:val="00075EC0"/>
    <w:rsid w:val="000760A3"/>
    <w:rsid w:val="0008418F"/>
    <w:rsid w:val="00085D26"/>
    <w:rsid w:val="0008652F"/>
    <w:rsid w:val="0008670D"/>
    <w:rsid w:val="00087A70"/>
    <w:rsid w:val="0009011D"/>
    <w:rsid w:val="00091EDE"/>
    <w:rsid w:val="00092531"/>
    <w:rsid w:val="000957CE"/>
    <w:rsid w:val="0009658B"/>
    <w:rsid w:val="000A1C07"/>
    <w:rsid w:val="000A40FB"/>
    <w:rsid w:val="000A4668"/>
    <w:rsid w:val="000A4DC4"/>
    <w:rsid w:val="000A6135"/>
    <w:rsid w:val="000B0E53"/>
    <w:rsid w:val="000B1C73"/>
    <w:rsid w:val="000B2988"/>
    <w:rsid w:val="000B38FB"/>
    <w:rsid w:val="000B3D64"/>
    <w:rsid w:val="000B3DBE"/>
    <w:rsid w:val="000B4684"/>
    <w:rsid w:val="000B538B"/>
    <w:rsid w:val="000B7545"/>
    <w:rsid w:val="000B7E19"/>
    <w:rsid w:val="000C068A"/>
    <w:rsid w:val="000C0B71"/>
    <w:rsid w:val="000C0E62"/>
    <w:rsid w:val="000C14D3"/>
    <w:rsid w:val="000C171E"/>
    <w:rsid w:val="000C2AF4"/>
    <w:rsid w:val="000C3C06"/>
    <w:rsid w:val="000C46B1"/>
    <w:rsid w:val="000C52DD"/>
    <w:rsid w:val="000C57AC"/>
    <w:rsid w:val="000C5EBA"/>
    <w:rsid w:val="000C796D"/>
    <w:rsid w:val="000D0DD0"/>
    <w:rsid w:val="000D1A08"/>
    <w:rsid w:val="000D3459"/>
    <w:rsid w:val="000D4320"/>
    <w:rsid w:val="000D5D4A"/>
    <w:rsid w:val="000D6331"/>
    <w:rsid w:val="000D795D"/>
    <w:rsid w:val="000E3161"/>
    <w:rsid w:val="000E3BAA"/>
    <w:rsid w:val="000E3CB6"/>
    <w:rsid w:val="000E46B1"/>
    <w:rsid w:val="000E556E"/>
    <w:rsid w:val="000E57B6"/>
    <w:rsid w:val="000E6C6C"/>
    <w:rsid w:val="000E6E1D"/>
    <w:rsid w:val="000E6F99"/>
    <w:rsid w:val="000E7A76"/>
    <w:rsid w:val="000F184B"/>
    <w:rsid w:val="000F4182"/>
    <w:rsid w:val="000F4F73"/>
    <w:rsid w:val="000F534E"/>
    <w:rsid w:val="000F5C03"/>
    <w:rsid w:val="000F5E60"/>
    <w:rsid w:val="000F631D"/>
    <w:rsid w:val="000F6F83"/>
    <w:rsid w:val="000F7767"/>
    <w:rsid w:val="000F793B"/>
    <w:rsid w:val="00100591"/>
    <w:rsid w:val="0010086F"/>
    <w:rsid w:val="00100C8D"/>
    <w:rsid w:val="00101E42"/>
    <w:rsid w:val="00102B14"/>
    <w:rsid w:val="00102CCC"/>
    <w:rsid w:val="00102EE7"/>
    <w:rsid w:val="0010443C"/>
    <w:rsid w:val="00105209"/>
    <w:rsid w:val="00106C75"/>
    <w:rsid w:val="00107EF9"/>
    <w:rsid w:val="001100FC"/>
    <w:rsid w:val="001143B9"/>
    <w:rsid w:val="0012081F"/>
    <w:rsid w:val="0012110B"/>
    <w:rsid w:val="001216AB"/>
    <w:rsid w:val="00121CBA"/>
    <w:rsid w:val="00122446"/>
    <w:rsid w:val="00123535"/>
    <w:rsid w:val="0012466F"/>
    <w:rsid w:val="00125546"/>
    <w:rsid w:val="00127289"/>
    <w:rsid w:val="00127AD8"/>
    <w:rsid w:val="00130C70"/>
    <w:rsid w:val="00130F68"/>
    <w:rsid w:val="00131492"/>
    <w:rsid w:val="0013273F"/>
    <w:rsid w:val="00132DC9"/>
    <w:rsid w:val="0013314B"/>
    <w:rsid w:val="0013405E"/>
    <w:rsid w:val="0013446A"/>
    <w:rsid w:val="00137CC7"/>
    <w:rsid w:val="00141E4F"/>
    <w:rsid w:val="00141FF9"/>
    <w:rsid w:val="00143898"/>
    <w:rsid w:val="00147481"/>
    <w:rsid w:val="00147F05"/>
    <w:rsid w:val="00150C04"/>
    <w:rsid w:val="0015120A"/>
    <w:rsid w:val="00152636"/>
    <w:rsid w:val="00154361"/>
    <w:rsid w:val="001545E9"/>
    <w:rsid w:val="00155A36"/>
    <w:rsid w:val="00155D59"/>
    <w:rsid w:val="00155DDC"/>
    <w:rsid w:val="00155FE4"/>
    <w:rsid w:val="00157142"/>
    <w:rsid w:val="00157631"/>
    <w:rsid w:val="00157E94"/>
    <w:rsid w:val="001606BF"/>
    <w:rsid w:val="00160C84"/>
    <w:rsid w:val="0016287A"/>
    <w:rsid w:val="00162F87"/>
    <w:rsid w:val="00163D88"/>
    <w:rsid w:val="00164B53"/>
    <w:rsid w:val="00166113"/>
    <w:rsid w:val="00166322"/>
    <w:rsid w:val="00166DC2"/>
    <w:rsid w:val="00167283"/>
    <w:rsid w:val="00167BF1"/>
    <w:rsid w:val="00170AE8"/>
    <w:rsid w:val="00170E07"/>
    <w:rsid w:val="0017138C"/>
    <w:rsid w:val="001717FC"/>
    <w:rsid w:val="00171AFA"/>
    <w:rsid w:val="00171B84"/>
    <w:rsid w:val="00171B88"/>
    <w:rsid w:val="00172773"/>
    <w:rsid w:val="00173C4E"/>
    <w:rsid w:val="00174051"/>
    <w:rsid w:val="00175631"/>
    <w:rsid w:val="0017615C"/>
    <w:rsid w:val="00177811"/>
    <w:rsid w:val="00177ADF"/>
    <w:rsid w:val="001800CF"/>
    <w:rsid w:val="001811E9"/>
    <w:rsid w:val="00181511"/>
    <w:rsid w:val="0018242E"/>
    <w:rsid w:val="00185894"/>
    <w:rsid w:val="00187070"/>
    <w:rsid w:val="001876B7"/>
    <w:rsid w:val="00187D37"/>
    <w:rsid w:val="00190975"/>
    <w:rsid w:val="00192758"/>
    <w:rsid w:val="00192F2E"/>
    <w:rsid w:val="0019630B"/>
    <w:rsid w:val="00197EE4"/>
    <w:rsid w:val="001A0762"/>
    <w:rsid w:val="001A0E75"/>
    <w:rsid w:val="001A28AB"/>
    <w:rsid w:val="001A48A9"/>
    <w:rsid w:val="001A4A7E"/>
    <w:rsid w:val="001A7721"/>
    <w:rsid w:val="001A7DBE"/>
    <w:rsid w:val="001B0EFB"/>
    <w:rsid w:val="001B217D"/>
    <w:rsid w:val="001B35BE"/>
    <w:rsid w:val="001B38AA"/>
    <w:rsid w:val="001B3B65"/>
    <w:rsid w:val="001B5805"/>
    <w:rsid w:val="001B5F38"/>
    <w:rsid w:val="001B7A5F"/>
    <w:rsid w:val="001C1EC8"/>
    <w:rsid w:val="001C69AE"/>
    <w:rsid w:val="001C7211"/>
    <w:rsid w:val="001D01E5"/>
    <w:rsid w:val="001D0DE6"/>
    <w:rsid w:val="001D1535"/>
    <w:rsid w:val="001D17F3"/>
    <w:rsid w:val="001D2618"/>
    <w:rsid w:val="001D28EC"/>
    <w:rsid w:val="001D2D0B"/>
    <w:rsid w:val="001D3CA3"/>
    <w:rsid w:val="001D43CE"/>
    <w:rsid w:val="001D467A"/>
    <w:rsid w:val="001D4C8A"/>
    <w:rsid w:val="001D592B"/>
    <w:rsid w:val="001E0205"/>
    <w:rsid w:val="001E0A6A"/>
    <w:rsid w:val="001E1A19"/>
    <w:rsid w:val="001E218D"/>
    <w:rsid w:val="001E46A6"/>
    <w:rsid w:val="001E50F3"/>
    <w:rsid w:val="001E543A"/>
    <w:rsid w:val="001E5490"/>
    <w:rsid w:val="001E5CFB"/>
    <w:rsid w:val="001E66E7"/>
    <w:rsid w:val="001E6F6F"/>
    <w:rsid w:val="001F0A7E"/>
    <w:rsid w:val="001F128D"/>
    <w:rsid w:val="001F1322"/>
    <w:rsid w:val="001F13D5"/>
    <w:rsid w:val="001F161E"/>
    <w:rsid w:val="001F33B9"/>
    <w:rsid w:val="001F566C"/>
    <w:rsid w:val="001F6B19"/>
    <w:rsid w:val="00200879"/>
    <w:rsid w:val="00201648"/>
    <w:rsid w:val="002019EC"/>
    <w:rsid w:val="00203678"/>
    <w:rsid w:val="00204DFE"/>
    <w:rsid w:val="0020549D"/>
    <w:rsid w:val="00205960"/>
    <w:rsid w:val="00206EF3"/>
    <w:rsid w:val="00207C63"/>
    <w:rsid w:val="00210266"/>
    <w:rsid w:val="00210C5E"/>
    <w:rsid w:val="0021151C"/>
    <w:rsid w:val="00212153"/>
    <w:rsid w:val="00215C84"/>
    <w:rsid w:val="00216DD3"/>
    <w:rsid w:val="0022059A"/>
    <w:rsid w:val="0022104E"/>
    <w:rsid w:val="002211E8"/>
    <w:rsid w:val="00225589"/>
    <w:rsid w:val="0022575C"/>
    <w:rsid w:val="00225EEA"/>
    <w:rsid w:val="00226C00"/>
    <w:rsid w:val="00226CB6"/>
    <w:rsid w:val="0022719C"/>
    <w:rsid w:val="00227A72"/>
    <w:rsid w:val="0023125C"/>
    <w:rsid w:val="00231B30"/>
    <w:rsid w:val="002325B1"/>
    <w:rsid w:val="0023292A"/>
    <w:rsid w:val="00232DD8"/>
    <w:rsid w:val="00232FDA"/>
    <w:rsid w:val="00233126"/>
    <w:rsid w:val="00233E87"/>
    <w:rsid w:val="00233F4B"/>
    <w:rsid w:val="00235D5D"/>
    <w:rsid w:val="00237477"/>
    <w:rsid w:val="00237831"/>
    <w:rsid w:val="00240BB9"/>
    <w:rsid w:val="002411F9"/>
    <w:rsid w:val="0024155C"/>
    <w:rsid w:val="002425A0"/>
    <w:rsid w:val="00242C3C"/>
    <w:rsid w:val="00242D6F"/>
    <w:rsid w:val="00243106"/>
    <w:rsid w:val="002434DA"/>
    <w:rsid w:val="002449FF"/>
    <w:rsid w:val="0024505E"/>
    <w:rsid w:val="00246F06"/>
    <w:rsid w:val="00247A61"/>
    <w:rsid w:val="00247D03"/>
    <w:rsid w:val="00253F55"/>
    <w:rsid w:val="00254F16"/>
    <w:rsid w:val="002550C2"/>
    <w:rsid w:val="00256C8A"/>
    <w:rsid w:val="002577F0"/>
    <w:rsid w:val="002627FF"/>
    <w:rsid w:val="002640E7"/>
    <w:rsid w:val="00265ABF"/>
    <w:rsid w:val="00265FCF"/>
    <w:rsid w:val="002667FE"/>
    <w:rsid w:val="00266FE7"/>
    <w:rsid w:val="00267127"/>
    <w:rsid w:val="00267F4B"/>
    <w:rsid w:val="0027051E"/>
    <w:rsid w:val="002707F7"/>
    <w:rsid w:val="0027099F"/>
    <w:rsid w:val="00270FAD"/>
    <w:rsid w:val="002714C6"/>
    <w:rsid w:val="00271DCE"/>
    <w:rsid w:val="00272F94"/>
    <w:rsid w:val="00274FD3"/>
    <w:rsid w:val="00280A0E"/>
    <w:rsid w:val="00280BF0"/>
    <w:rsid w:val="00280DAF"/>
    <w:rsid w:val="00281C87"/>
    <w:rsid w:val="00282AAC"/>
    <w:rsid w:val="0028346B"/>
    <w:rsid w:val="002834A5"/>
    <w:rsid w:val="00283C75"/>
    <w:rsid w:val="0028478F"/>
    <w:rsid w:val="0028498D"/>
    <w:rsid w:val="0028549E"/>
    <w:rsid w:val="00285ADA"/>
    <w:rsid w:val="002873E7"/>
    <w:rsid w:val="00287770"/>
    <w:rsid w:val="002904A2"/>
    <w:rsid w:val="00291912"/>
    <w:rsid w:val="00291D53"/>
    <w:rsid w:val="00291DBB"/>
    <w:rsid w:val="00292652"/>
    <w:rsid w:val="00292D0D"/>
    <w:rsid w:val="002968C5"/>
    <w:rsid w:val="00296E47"/>
    <w:rsid w:val="00297504"/>
    <w:rsid w:val="002975C7"/>
    <w:rsid w:val="00297D5D"/>
    <w:rsid w:val="002A005B"/>
    <w:rsid w:val="002A063C"/>
    <w:rsid w:val="002A090A"/>
    <w:rsid w:val="002A19CC"/>
    <w:rsid w:val="002A310E"/>
    <w:rsid w:val="002A4357"/>
    <w:rsid w:val="002A435A"/>
    <w:rsid w:val="002A4E59"/>
    <w:rsid w:val="002A68BC"/>
    <w:rsid w:val="002A7A47"/>
    <w:rsid w:val="002B0075"/>
    <w:rsid w:val="002B117A"/>
    <w:rsid w:val="002B14ED"/>
    <w:rsid w:val="002B1FE3"/>
    <w:rsid w:val="002B316E"/>
    <w:rsid w:val="002B5165"/>
    <w:rsid w:val="002B574B"/>
    <w:rsid w:val="002B7491"/>
    <w:rsid w:val="002B7CA5"/>
    <w:rsid w:val="002B7D30"/>
    <w:rsid w:val="002C01D0"/>
    <w:rsid w:val="002C0B37"/>
    <w:rsid w:val="002C32DE"/>
    <w:rsid w:val="002C4578"/>
    <w:rsid w:val="002C517C"/>
    <w:rsid w:val="002C55A1"/>
    <w:rsid w:val="002C6CB2"/>
    <w:rsid w:val="002C73D2"/>
    <w:rsid w:val="002C7803"/>
    <w:rsid w:val="002C7C2B"/>
    <w:rsid w:val="002D070C"/>
    <w:rsid w:val="002D0D1B"/>
    <w:rsid w:val="002D2357"/>
    <w:rsid w:val="002D3608"/>
    <w:rsid w:val="002D4F56"/>
    <w:rsid w:val="002D508E"/>
    <w:rsid w:val="002D53A5"/>
    <w:rsid w:val="002D5B95"/>
    <w:rsid w:val="002D630E"/>
    <w:rsid w:val="002D7277"/>
    <w:rsid w:val="002D7D28"/>
    <w:rsid w:val="002D7E26"/>
    <w:rsid w:val="002E026C"/>
    <w:rsid w:val="002E085E"/>
    <w:rsid w:val="002E0D61"/>
    <w:rsid w:val="002E10E0"/>
    <w:rsid w:val="002E1691"/>
    <w:rsid w:val="002E1798"/>
    <w:rsid w:val="002E1BBE"/>
    <w:rsid w:val="002E37E2"/>
    <w:rsid w:val="002E4DF6"/>
    <w:rsid w:val="002E5035"/>
    <w:rsid w:val="002E51D2"/>
    <w:rsid w:val="002E5381"/>
    <w:rsid w:val="002E60AD"/>
    <w:rsid w:val="002E67B3"/>
    <w:rsid w:val="002E6908"/>
    <w:rsid w:val="002E6D99"/>
    <w:rsid w:val="002E6F12"/>
    <w:rsid w:val="002F09A9"/>
    <w:rsid w:val="002F0A55"/>
    <w:rsid w:val="002F0E5E"/>
    <w:rsid w:val="002F17FE"/>
    <w:rsid w:val="002F2F17"/>
    <w:rsid w:val="002F310C"/>
    <w:rsid w:val="002F3EEF"/>
    <w:rsid w:val="002F48AF"/>
    <w:rsid w:val="002F5749"/>
    <w:rsid w:val="002F5FF3"/>
    <w:rsid w:val="002F66C3"/>
    <w:rsid w:val="002F6C96"/>
    <w:rsid w:val="0030081B"/>
    <w:rsid w:val="00300D97"/>
    <w:rsid w:val="0030182F"/>
    <w:rsid w:val="003039C0"/>
    <w:rsid w:val="00304422"/>
    <w:rsid w:val="00304CAD"/>
    <w:rsid w:val="0030552C"/>
    <w:rsid w:val="003057C9"/>
    <w:rsid w:val="00306314"/>
    <w:rsid w:val="00306DEF"/>
    <w:rsid w:val="00310878"/>
    <w:rsid w:val="00310C61"/>
    <w:rsid w:val="00310E9F"/>
    <w:rsid w:val="003119C5"/>
    <w:rsid w:val="003157F6"/>
    <w:rsid w:val="00315F03"/>
    <w:rsid w:val="003178A8"/>
    <w:rsid w:val="003210C8"/>
    <w:rsid w:val="003239FE"/>
    <w:rsid w:val="00326E4B"/>
    <w:rsid w:val="003319EF"/>
    <w:rsid w:val="0033287C"/>
    <w:rsid w:val="00335816"/>
    <w:rsid w:val="00336B65"/>
    <w:rsid w:val="0033777B"/>
    <w:rsid w:val="003378E8"/>
    <w:rsid w:val="0034024E"/>
    <w:rsid w:val="00340DC0"/>
    <w:rsid w:val="003418A1"/>
    <w:rsid w:val="00341EF6"/>
    <w:rsid w:val="003442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574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526C"/>
    <w:rsid w:val="00376103"/>
    <w:rsid w:val="00376574"/>
    <w:rsid w:val="0037674C"/>
    <w:rsid w:val="003771C7"/>
    <w:rsid w:val="003778A3"/>
    <w:rsid w:val="00377D42"/>
    <w:rsid w:val="00382699"/>
    <w:rsid w:val="0038362C"/>
    <w:rsid w:val="00383A38"/>
    <w:rsid w:val="00384272"/>
    <w:rsid w:val="00385CE8"/>
    <w:rsid w:val="003864BF"/>
    <w:rsid w:val="003868ED"/>
    <w:rsid w:val="00387750"/>
    <w:rsid w:val="003917B0"/>
    <w:rsid w:val="00392720"/>
    <w:rsid w:val="0039439E"/>
    <w:rsid w:val="00395DAB"/>
    <w:rsid w:val="00396C92"/>
    <w:rsid w:val="00397976"/>
    <w:rsid w:val="00397F88"/>
    <w:rsid w:val="003A128F"/>
    <w:rsid w:val="003A25F5"/>
    <w:rsid w:val="003A2B6C"/>
    <w:rsid w:val="003A2BF6"/>
    <w:rsid w:val="003A3373"/>
    <w:rsid w:val="003A3706"/>
    <w:rsid w:val="003A3E29"/>
    <w:rsid w:val="003A4451"/>
    <w:rsid w:val="003A45FB"/>
    <w:rsid w:val="003A462D"/>
    <w:rsid w:val="003A4F94"/>
    <w:rsid w:val="003A4FA0"/>
    <w:rsid w:val="003A5887"/>
    <w:rsid w:val="003A603B"/>
    <w:rsid w:val="003A62FE"/>
    <w:rsid w:val="003A6F9C"/>
    <w:rsid w:val="003A7281"/>
    <w:rsid w:val="003A7701"/>
    <w:rsid w:val="003B220C"/>
    <w:rsid w:val="003B2EB6"/>
    <w:rsid w:val="003B3E39"/>
    <w:rsid w:val="003B4057"/>
    <w:rsid w:val="003B4482"/>
    <w:rsid w:val="003B46A6"/>
    <w:rsid w:val="003B5BF0"/>
    <w:rsid w:val="003B6992"/>
    <w:rsid w:val="003B7123"/>
    <w:rsid w:val="003C06B1"/>
    <w:rsid w:val="003C095B"/>
    <w:rsid w:val="003C0FCE"/>
    <w:rsid w:val="003C1054"/>
    <w:rsid w:val="003C24D8"/>
    <w:rsid w:val="003C33AE"/>
    <w:rsid w:val="003C3647"/>
    <w:rsid w:val="003C3B0E"/>
    <w:rsid w:val="003C5C3D"/>
    <w:rsid w:val="003C7672"/>
    <w:rsid w:val="003C7829"/>
    <w:rsid w:val="003D1A38"/>
    <w:rsid w:val="003D1AB8"/>
    <w:rsid w:val="003D1BC8"/>
    <w:rsid w:val="003D1ECC"/>
    <w:rsid w:val="003D3D19"/>
    <w:rsid w:val="003D4224"/>
    <w:rsid w:val="003D7E2A"/>
    <w:rsid w:val="003E2ACE"/>
    <w:rsid w:val="003E40C9"/>
    <w:rsid w:val="003E4DA6"/>
    <w:rsid w:val="003E5643"/>
    <w:rsid w:val="003E56E7"/>
    <w:rsid w:val="003E6501"/>
    <w:rsid w:val="003E6FFF"/>
    <w:rsid w:val="003F014A"/>
    <w:rsid w:val="003F01D5"/>
    <w:rsid w:val="003F05AD"/>
    <w:rsid w:val="003F05F3"/>
    <w:rsid w:val="003F0FF4"/>
    <w:rsid w:val="003F25A8"/>
    <w:rsid w:val="003F278A"/>
    <w:rsid w:val="003F42E3"/>
    <w:rsid w:val="003F43E4"/>
    <w:rsid w:val="003F51E5"/>
    <w:rsid w:val="003F584A"/>
    <w:rsid w:val="003F610F"/>
    <w:rsid w:val="003F65A7"/>
    <w:rsid w:val="003F6981"/>
    <w:rsid w:val="003F6FBD"/>
    <w:rsid w:val="003F783E"/>
    <w:rsid w:val="00402248"/>
    <w:rsid w:val="00402B28"/>
    <w:rsid w:val="004047EF"/>
    <w:rsid w:val="00404801"/>
    <w:rsid w:val="00404C4E"/>
    <w:rsid w:val="00404CC7"/>
    <w:rsid w:val="004052D9"/>
    <w:rsid w:val="00406B4C"/>
    <w:rsid w:val="004076AC"/>
    <w:rsid w:val="00407EDD"/>
    <w:rsid w:val="00410063"/>
    <w:rsid w:val="00410952"/>
    <w:rsid w:val="00410A2B"/>
    <w:rsid w:val="00410CF0"/>
    <w:rsid w:val="00411500"/>
    <w:rsid w:val="00411ED1"/>
    <w:rsid w:val="004120B1"/>
    <w:rsid w:val="00412831"/>
    <w:rsid w:val="00412A94"/>
    <w:rsid w:val="0041329A"/>
    <w:rsid w:val="004146F1"/>
    <w:rsid w:val="00414BCC"/>
    <w:rsid w:val="00415936"/>
    <w:rsid w:val="00415F5C"/>
    <w:rsid w:val="004161CF"/>
    <w:rsid w:val="004165C4"/>
    <w:rsid w:val="00420724"/>
    <w:rsid w:val="00420A83"/>
    <w:rsid w:val="00420BFB"/>
    <w:rsid w:val="00420F13"/>
    <w:rsid w:val="004218AC"/>
    <w:rsid w:val="00422A41"/>
    <w:rsid w:val="00423778"/>
    <w:rsid w:val="0042540E"/>
    <w:rsid w:val="004255AD"/>
    <w:rsid w:val="00426BF7"/>
    <w:rsid w:val="00427FC5"/>
    <w:rsid w:val="00431883"/>
    <w:rsid w:val="00433473"/>
    <w:rsid w:val="0043406E"/>
    <w:rsid w:val="00436451"/>
    <w:rsid w:val="004365A1"/>
    <w:rsid w:val="0043687C"/>
    <w:rsid w:val="00436891"/>
    <w:rsid w:val="00437142"/>
    <w:rsid w:val="00440279"/>
    <w:rsid w:val="00440876"/>
    <w:rsid w:val="00440BA6"/>
    <w:rsid w:val="00441C3D"/>
    <w:rsid w:val="00441D7B"/>
    <w:rsid w:val="00443380"/>
    <w:rsid w:val="004433E1"/>
    <w:rsid w:val="00444BEB"/>
    <w:rsid w:val="004454CA"/>
    <w:rsid w:val="00445A77"/>
    <w:rsid w:val="00445DDA"/>
    <w:rsid w:val="004472A2"/>
    <w:rsid w:val="00450F3A"/>
    <w:rsid w:val="00451400"/>
    <w:rsid w:val="004524F9"/>
    <w:rsid w:val="00453027"/>
    <w:rsid w:val="004536D3"/>
    <w:rsid w:val="004538BB"/>
    <w:rsid w:val="00454834"/>
    <w:rsid w:val="00455920"/>
    <w:rsid w:val="00456005"/>
    <w:rsid w:val="00457545"/>
    <w:rsid w:val="00457BD8"/>
    <w:rsid w:val="00457C83"/>
    <w:rsid w:val="004619D3"/>
    <w:rsid w:val="00461CA7"/>
    <w:rsid w:val="004621A1"/>
    <w:rsid w:val="004625CE"/>
    <w:rsid w:val="00462A19"/>
    <w:rsid w:val="00464A9A"/>
    <w:rsid w:val="00464BF2"/>
    <w:rsid w:val="004652CD"/>
    <w:rsid w:val="00465D1F"/>
    <w:rsid w:val="004674D6"/>
    <w:rsid w:val="0046760B"/>
    <w:rsid w:val="0047025A"/>
    <w:rsid w:val="00471762"/>
    <w:rsid w:val="00471DCC"/>
    <w:rsid w:val="0047279F"/>
    <w:rsid w:val="00472C2C"/>
    <w:rsid w:val="004767B9"/>
    <w:rsid w:val="00476B93"/>
    <w:rsid w:val="00476D9D"/>
    <w:rsid w:val="00477592"/>
    <w:rsid w:val="00477A90"/>
    <w:rsid w:val="00477BBB"/>
    <w:rsid w:val="00481114"/>
    <w:rsid w:val="00481ACE"/>
    <w:rsid w:val="00482D15"/>
    <w:rsid w:val="004849E0"/>
    <w:rsid w:val="00485D93"/>
    <w:rsid w:val="00485E16"/>
    <w:rsid w:val="004901AB"/>
    <w:rsid w:val="0049097D"/>
    <w:rsid w:val="0049177C"/>
    <w:rsid w:val="004923CD"/>
    <w:rsid w:val="004954F7"/>
    <w:rsid w:val="00496AC6"/>
    <w:rsid w:val="00497B0D"/>
    <w:rsid w:val="004A196C"/>
    <w:rsid w:val="004A1C14"/>
    <w:rsid w:val="004A4C8E"/>
    <w:rsid w:val="004A68FD"/>
    <w:rsid w:val="004A7BBF"/>
    <w:rsid w:val="004B08AB"/>
    <w:rsid w:val="004B17C6"/>
    <w:rsid w:val="004B182E"/>
    <w:rsid w:val="004B1A7B"/>
    <w:rsid w:val="004B6159"/>
    <w:rsid w:val="004B6E2D"/>
    <w:rsid w:val="004B7B18"/>
    <w:rsid w:val="004C0560"/>
    <w:rsid w:val="004C1AF4"/>
    <w:rsid w:val="004C1C55"/>
    <w:rsid w:val="004C3365"/>
    <w:rsid w:val="004C36F7"/>
    <w:rsid w:val="004C52F0"/>
    <w:rsid w:val="004C6160"/>
    <w:rsid w:val="004C68B7"/>
    <w:rsid w:val="004C77FE"/>
    <w:rsid w:val="004D1C74"/>
    <w:rsid w:val="004D2791"/>
    <w:rsid w:val="004D60B6"/>
    <w:rsid w:val="004D6CC1"/>
    <w:rsid w:val="004D785B"/>
    <w:rsid w:val="004E0001"/>
    <w:rsid w:val="004E100F"/>
    <w:rsid w:val="004E2B7C"/>
    <w:rsid w:val="004E3E84"/>
    <w:rsid w:val="004E4D4B"/>
    <w:rsid w:val="004E5834"/>
    <w:rsid w:val="004E5AA5"/>
    <w:rsid w:val="004E712D"/>
    <w:rsid w:val="004E7515"/>
    <w:rsid w:val="004F02F2"/>
    <w:rsid w:val="004F3265"/>
    <w:rsid w:val="004F3CE1"/>
    <w:rsid w:val="004F44F8"/>
    <w:rsid w:val="004F56B7"/>
    <w:rsid w:val="004F5A5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68F"/>
    <w:rsid w:val="005142E1"/>
    <w:rsid w:val="005149AF"/>
    <w:rsid w:val="00514A2A"/>
    <w:rsid w:val="00515B26"/>
    <w:rsid w:val="00515D0D"/>
    <w:rsid w:val="0051772C"/>
    <w:rsid w:val="0052031F"/>
    <w:rsid w:val="00521F04"/>
    <w:rsid w:val="005242E3"/>
    <w:rsid w:val="00525905"/>
    <w:rsid w:val="00527E78"/>
    <w:rsid w:val="00530825"/>
    <w:rsid w:val="00531D5E"/>
    <w:rsid w:val="005328BE"/>
    <w:rsid w:val="00532F57"/>
    <w:rsid w:val="005338E3"/>
    <w:rsid w:val="00536A11"/>
    <w:rsid w:val="00536F80"/>
    <w:rsid w:val="005405AD"/>
    <w:rsid w:val="005425A9"/>
    <w:rsid w:val="00542FE1"/>
    <w:rsid w:val="005455FF"/>
    <w:rsid w:val="0054596A"/>
    <w:rsid w:val="0054701F"/>
    <w:rsid w:val="00550A6B"/>
    <w:rsid w:val="005538D3"/>
    <w:rsid w:val="005561EF"/>
    <w:rsid w:val="00557504"/>
    <w:rsid w:val="00560C37"/>
    <w:rsid w:val="00561BCD"/>
    <w:rsid w:val="005625B8"/>
    <w:rsid w:val="00562C63"/>
    <w:rsid w:val="0056575C"/>
    <w:rsid w:val="00566914"/>
    <w:rsid w:val="0056701E"/>
    <w:rsid w:val="00567C71"/>
    <w:rsid w:val="005701CD"/>
    <w:rsid w:val="00570DA8"/>
    <w:rsid w:val="00571229"/>
    <w:rsid w:val="00571381"/>
    <w:rsid w:val="00571425"/>
    <w:rsid w:val="00571D59"/>
    <w:rsid w:val="005725C2"/>
    <w:rsid w:val="005753E3"/>
    <w:rsid w:val="00575BCE"/>
    <w:rsid w:val="005773AF"/>
    <w:rsid w:val="00577BF0"/>
    <w:rsid w:val="00580E07"/>
    <w:rsid w:val="00581B01"/>
    <w:rsid w:val="00581C0B"/>
    <w:rsid w:val="00581CB5"/>
    <w:rsid w:val="00582135"/>
    <w:rsid w:val="00582247"/>
    <w:rsid w:val="005831BF"/>
    <w:rsid w:val="00583CD6"/>
    <w:rsid w:val="00583F7F"/>
    <w:rsid w:val="00584BDA"/>
    <w:rsid w:val="00585F21"/>
    <w:rsid w:val="00586887"/>
    <w:rsid w:val="00587A15"/>
    <w:rsid w:val="00590013"/>
    <w:rsid w:val="0059095D"/>
    <w:rsid w:val="0059192A"/>
    <w:rsid w:val="00591CFD"/>
    <w:rsid w:val="00594765"/>
    <w:rsid w:val="00595B2F"/>
    <w:rsid w:val="005963A1"/>
    <w:rsid w:val="00596853"/>
    <w:rsid w:val="005A114D"/>
    <w:rsid w:val="005A120C"/>
    <w:rsid w:val="005A160B"/>
    <w:rsid w:val="005A44A1"/>
    <w:rsid w:val="005A49A7"/>
    <w:rsid w:val="005A526D"/>
    <w:rsid w:val="005A5521"/>
    <w:rsid w:val="005A65E2"/>
    <w:rsid w:val="005A66D6"/>
    <w:rsid w:val="005A72A4"/>
    <w:rsid w:val="005A7A40"/>
    <w:rsid w:val="005B114C"/>
    <w:rsid w:val="005B1D19"/>
    <w:rsid w:val="005B31F5"/>
    <w:rsid w:val="005B36D2"/>
    <w:rsid w:val="005B578B"/>
    <w:rsid w:val="005B70A8"/>
    <w:rsid w:val="005C0DEA"/>
    <w:rsid w:val="005C1161"/>
    <w:rsid w:val="005C170C"/>
    <w:rsid w:val="005C17B3"/>
    <w:rsid w:val="005C2244"/>
    <w:rsid w:val="005C270E"/>
    <w:rsid w:val="005C36F7"/>
    <w:rsid w:val="005C4195"/>
    <w:rsid w:val="005C42CD"/>
    <w:rsid w:val="005C461B"/>
    <w:rsid w:val="005C46E4"/>
    <w:rsid w:val="005C479F"/>
    <w:rsid w:val="005C48D4"/>
    <w:rsid w:val="005C628F"/>
    <w:rsid w:val="005C6376"/>
    <w:rsid w:val="005C65A4"/>
    <w:rsid w:val="005C68F0"/>
    <w:rsid w:val="005C6DA8"/>
    <w:rsid w:val="005C7895"/>
    <w:rsid w:val="005C78A2"/>
    <w:rsid w:val="005C7C4A"/>
    <w:rsid w:val="005C7CC1"/>
    <w:rsid w:val="005D0326"/>
    <w:rsid w:val="005D100B"/>
    <w:rsid w:val="005D1CC1"/>
    <w:rsid w:val="005D1E81"/>
    <w:rsid w:val="005D20B2"/>
    <w:rsid w:val="005D2108"/>
    <w:rsid w:val="005D21F5"/>
    <w:rsid w:val="005D3D03"/>
    <w:rsid w:val="005D43DE"/>
    <w:rsid w:val="005D525B"/>
    <w:rsid w:val="005D79C8"/>
    <w:rsid w:val="005E19B9"/>
    <w:rsid w:val="005E2B4C"/>
    <w:rsid w:val="005E4E5D"/>
    <w:rsid w:val="005E7005"/>
    <w:rsid w:val="005E7CEF"/>
    <w:rsid w:val="005F0774"/>
    <w:rsid w:val="005F153E"/>
    <w:rsid w:val="005F1DC1"/>
    <w:rsid w:val="005F26EF"/>
    <w:rsid w:val="005F4354"/>
    <w:rsid w:val="005F51BD"/>
    <w:rsid w:val="005F610E"/>
    <w:rsid w:val="005F64A8"/>
    <w:rsid w:val="005F67B0"/>
    <w:rsid w:val="005F7682"/>
    <w:rsid w:val="005F77E8"/>
    <w:rsid w:val="005F7F32"/>
    <w:rsid w:val="00601265"/>
    <w:rsid w:val="00601B0E"/>
    <w:rsid w:val="006029A9"/>
    <w:rsid w:val="00604430"/>
    <w:rsid w:val="00605DCE"/>
    <w:rsid w:val="006061F6"/>
    <w:rsid w:val="00606506"/>
    <w:rsid w:val="0060672E"/>
    <w:rsid w:val="00606DC2"/>
    <w:rsid w:val="00606EC1"/>
    <w:rsid w:val="006072EA"/>
    <w:rsid w:val="00607F79"/>
    <w:rsid w:val="0061046E"/>
    <w:rsid w:val="006108EA"/>
    <w:rsid w:val="00611194"/>
    <w:rsid w:val="00611327"/>
    <w:rsid w:val="00612E07"/>
    <w:rsid w:val="006136AA"/>
    <w:rsid w:val="00613CD3"/>
    <w:rsid w:val="006148A7"/>
    <w:rsid w:val="0061498D"/>
    <w:rsid w:val="00614AE7"/>
    <w:rsid w:val="00614FB3"/>
    <w:rsid w:val="0061509A"/>
    <w:rsid w:val="00615DD1"/>
    <w:rsid w:val="0062031F"/>
    <w:rsid w:val="00620CD0"/>
    <w:rsid w:val="00620DC8"/>
    <w:rsid w:val="00621320"/>
    <w:rsid w:val="00621558"/>
    <w:rsid w:val="00623D65"/>
    <w:rsid w:val="0062473A"/>
    <w:rsid w:val="00625912"/>
    <w:rsid w:val="00626433"/>
    <w:rsid w:val="00626576"/>
    <w:rsid w:val="00626DBC"/>
    <w:rsid w:val="00627712"/>
    <w:rsid w:val="00630795"/>
    <w:rsid w:val="00630A4B"/>
    <w:rsid w:val="00630F38"/>
    <w:rsid w:val="00631AE5"/>
    <w:rsid w:val="00631CBF"/>
    <w:rsid w:val="006327A5"/>
    <w:rsid w:val="00633730"/>
    <w:rsid w:val="0063421C"/>
    <w:rsid w:val="00635090"/>
    <w:rsid w:val="006364A5"/>
    <w:rsid w:val="00636A85"/>
    <w:rsid w:val="00636B66"/>
    <w:rsid w:val="00637000"/>
    <w:rsid w:val="0063768F"/>
    <w:rsid w:val="00637AD0"/>
    <w:rsid w:val="006433BD"/>
    <w:rsid w:val="006434F1"/>
    <w:rsid w:val="006438BB"/>
    <w:rsid w:val="006440AF"/>
    <w:rsid w:val="00645C09"/>
    <w:rsid w:val="006502B7"/>
    <w:rsid w:val="006512CC"/>
    <w:rsid w:val="00651832"/>
    <w:rsid w:val="00651885"/>
    <w:rsid w:val="006534F5"/>
    <w:rsid w:val="00654410"/>
    <w:rsid w:val="00654C03"/>
    <w:rsid w:val="006550CE"/>
    <w:rsid w:val="00655F68"/>
    <w:rsid w:val="006562FA"/>
    <w:rsid w:val="00657C40"/>
    <w:rsid w:val="00657E7C"/>
    <w:rsid w:val="0066109A"/>
    <w:rsid w:val="00661186"/>
    <w:rsid w:val="00662397"/>
    <w:rsid w:val="00662BBA"/>
    <w:rsid w:val="00662BF8"/>
    <w:rsid w:val="006630FA"/>
    <w:rsid w:val="00663810"/>
    <w:rsid w:val="0066566C"/>
    <w:rsid w:val="006665C5"/>
    <w:rsid w:val="00667A33"/>
    <w:rsid w:val="00670FA2"/>
    <w:rsid w:val="00672700"/>
    <w:rsid w:val="006746CA"/>
    <w:rsid w:val="00674CF8"/>
    <w:rsid w:val="00674E82"/>
    <w:rsid w:val="00675C3C"/>
    <w:rsid w:val="0067750E"/>
    <w:rsid w:val="00680C49"/>
    <w:rsid w:val="0068132F"/>
    <w:rsid w:val="00681486"/>
    <w:rsid w:val="00681507"/>
    <w:rsid w:val="006815B3"/>
    <w:rsid w:val="006815C4"/>
    <w:rsid w:val="00681FF3"/>
    <w:rsid w:val="00682451"/>
    <w:rsid w:val="00683139"/>
    <w:rsid w:val="00683E12"/>
    <w:rsid w:val="00684A9B"/>
    <w:rsid w:val="00684AA8"/>
    <w:rsid w:val="006855FF"/>
    <w:rsid w:val="006856EE"/>
    <w:rsid w:val="00686887"/>
    <w:rsid w:val="006910AB"/>
    <w:rsid w:val="006913EA"/>
    <w:rsid w:val="0069365C"/>
    <w:rsid w:val="006940D8"/>
    <w:rsid w:val="006943CD"/>
    <w:rsid w:val="00694AC3"/>
    <w:rsid w:val="00694C9C"/>
    <w:rsid w:val="00696758"/>
    <w:rsid w:val="006971C6"/>
    <w:rsid w:val="00697C3D"/>
    <w:rsid w:val="006A07B7"/>
    <w:rsid w:val="006A0BBA"/>
    <w:rsid w:val="006A0D9E"/>
    <w:rsid w:val="006A3C57"/>
    <w:rsid w:val="006A48E1"/>
    <w:rsid w:val="006A5DF6"/>
    <w:rsid w:val="006A5E2A"/>
    <w:rsid w:val="006A5FCD"/>
    <w:rsid w:val="006A634F"/>
    <w:rsid w:val="006A6CDC"/>
    <w:rsid w:val="006A6F3C"/>
    <w:rsid w:val="006A700F"/>
    <w:rsid w:val="006B001A"/>
    <w:rsid w:val="006B027E"/>
    <w:rsid w:val="006B0678"/>
    <w:rsid w:val="006B1655"/>
    <w:rsid w:val="006B1D84"/>
    <w:rsid w:val="006B2A4B"/>
    <w:rsid w:val="006B306D"/>
    <w:rsid w:val="006B420D"/>
    <w:rsid w:val="006B55BE"/>
    <w:rsid w:val="006B6354"/>
    <w:rsid w:val="006B6420"/>
    <w:rsid w:val="006B7D5F"/>
    <w:rsid w:val="006C11BB"/>
    <w:rsid w:val="006C1E06"/>
    <w:rsid w:val="006C252B"/>
    <w:rsid w:val="006C415F"/>
    <w:rsid w:val="006C4478"/>
    <w:rsid w:val="006C44F6"/>
    <w:rsid w:val="006C684E"/>
    <w:rsid w:val="006C69D9"/>
    <w:rsid w:val="006C6A77"/>
    <w:rsid w:val="006C6AFC"/>
    <w:rsid w:val="006C7137"/>
    <w:rsid w:val="006D2781"/>
    <w:rsid w:val="006D3E64"/>
    <w:rsid w:val="006D493C"/>
    <w:rsid w:val="006D497D"/>
    <w:rsid w:val="006D5556"/>
    <w:rsid w:val="006D6283"/>
    <w:rsid w:val="006E2B73"/>
    <w:rsid w:val="006E381D"/>
    <w:rsid w:val="006E3C2A"/>
    <w:rsid w:val="006E401F"/>
    <w:rsid w:val="006E509E"/>
    <w:rsid w:val="006E6538"/>
    <w:rsid w:val="006F2BF5"/>
    <w:rsid w:val="006F5DBF"/>
    <w:rsid w:val="006F6F26"/>
    <w:rsid w:val="00700027"/>
    <w:rsid w:val="0070031B"/>
    <w:rsid w:val="007011DC"/>
    <w:rsid w:val="0070387A"/>
    <w:rsid w:val="007056DA"/>
    <w:rsid w:val="0070692D"/>
    <w:rsid w:val="00707003"/>
    <w:rsid w:val="00710BAF"/>
    <w:rsid w:val="0071103C"/>
    <w:rsid w:val="00712C0A"/>
    <w:rsid w:val="007136C2"/>
    <w:rsid w:val="0071541C"/>
    <w:rsid w:val="00715DAC"/>
    <w:rsid w:val="007163BB"/>
    <w:rsid w:val="007163CE"/>
    <w:rsid w:val="00721836"/>
    <w:rsid w:val="007243F0"/>
    <w:rsid w:val="00725167"/>
    <w:rsid w:val="007253D3"/>
    <w:rsid w:val="00725705"/>
    <w:rsid w:val="00726D7C"/>
    <w:rsid w:val="007276AA"/>
    <w:rsid w:val="0073109B"/>
    <w:rsid w:val="00731996"/>
    <w:rsid w:val="007319BB"/>
    <w:rsid w:val="00731D99"/>
    <w:rsid w:val="00734046"/>
    <w:rsid w:val="0073476E"/>
    <w:rsid w:val="007349F5"/>
    <w:rsid w:val="007358A7"/>
    <w:rsid w:val="00735933"/>
    <w:rsid w:val="0073644D"/>
    <w:rsid w:val="00740F06"/>
    <w:rsid w:val="00743AC9"/>
    <w:rsid w:val="00743B9A"/>
    <w:rsid w:val="00744CAF"/>
    <w:rsid w:val="007458ED"/>
    <w:rsid w:val="00746F95"/>
    <w:rsid w:val="00747D71"/>
    <w:rsid w:val="00747F6A"/>
    <w:rsid w:val="0075240B"/>
    <w:rsid w:val="007555B8"/>
    <w:rsid w:val="007573C1"/>
    <w:rsid w:val="00757931"/>
    <w:rsid w:val="00760342"/>
    <w:rsid w:val="00760426"/>
    <w:rsid w:val="00761579"/>
    <w:rsid w:val="00761C3F"/>
    <w:rsid w:val="00762957"/>
    <w:rsid w:val="00763CE8"/>
    <w:rsid w:val="0076466E"/>
    <w:rsid w:val="0076486F"/>
    <w:rsid w:val="00764F3E"/>
    <w:rsid w:val="007653BB"/>
    <w:rsid w:val="00765739"/>
    <w:rsid w:val="007668B6"/>
    <w:rsid w:val="00767207"/>
    <w:rsid w:val="00767782"/>
    <w:rsid w:val="00767D05"/>
    <w:rsid w:val="00772AC3"/>
    <w:rsid w:val="00772D7E"/>
    <w:rsid w:val="007753E7"/>
    <w:rsid w:val="00780CC3"/>
    <w:rsid w:val="00780DE8"/>
    <w:rsid w:val="00782F7D"/>
    <w:rsid w:val="0078303D"/>
    <w:rsid w:val="007837DE"/>
    <w:rsid w:val="00785284"/>
    <w:rsid w:val="00785BEC"/>
    <w:rsid w:val="00785C95"/>
    <w:rsid w:val="00787252"/>
    <w:rsid w:val="007873C1"/>
    <w:rsid w:val="007879C0"/>
    <w:rsid w:val="00790656"/>
    <w:rsid w:val="007918CA"/>
    <w:rsid w:val="00792882"/>
    <w:rsid w:val="00792C5E"/>
    <w:rsid w:val="00792DF4"/>
    <w:rsid w:val="00793E3C"/>
    <w:rsid w:val="00795303"/>
    <w:rsid w:val="007960F3"/>
    <w:rsid w:val="00796570"/>
    <w:rsid w:val="00797BD2"/>
    <w:rsid w:val="00797ECB"/>
    <w:rsid w:val="007A0264"/>
    <w:rsid w:val="007A03FA"/>
    <w:rsid w:val="007A1236"/>
    <w:rsid w:val="007A1E1A"/>
    <w:rsid w:val="007A32A8"/>
    <w:rsid w:val="007A36C3"/>
    <w:rsid w:val="007A3BB4"/>
    <w:rsid w:val="007A42F2"/>
    <w:rsid w:val="007A576D"/>
    <w:rsid w:val="007A590F"/>
    <w:rsid w:val="007B0BEB"/>
    <w:rsid w:val="007B136E"/>
    <w:rsid w:val="007B14D6"/>
    <w:rsid w:val="007B19E3"/>
    <w:rsid w:val="007B1D66"/>
    <w:rsid w:val="007B247C"/>
    <w:rsid w:val="007B331E"/>
    <w:rsid w:val="007B6B17"/>
    <w:rsid w:val="007B710E"/>
    <w:rsid w:val="007B7678"/>
    <w:rsid w:val="007B779C"/>
    <w:rsid w:val="007B7869"/>
    <w:rsid w:val="007C337C"/>
    <w:rsid w:val="007C379F"/>
    <w:rsid w:val="007C4142"/>
    <w:rsid w:val="007C454A"/>
    <w:rsid w:val="007C45EA"/>
    <w:rsid w:val="007C63E3"/>
    <w:rsid w:val="007C6571"/>
    <w:rsid w:val="007C7202"/>
    <w:rsid w:val="007D044D"/>
    <w:rsid w:val="007D0B9D"/>
    <w:rsid w:val="007D12A3"/>
    <w:rsid w:val="007D2367"/>
    <w:rsid w:val="007D28E4"/>
    <w:rsid w:val="007D2CB2"/>
    <w:rsid w:val="007D3884"/>
    <w:rsid w:val="007D53F1"/>
    <w:rsid w:val="007D5A43"/>
    <w:rsid w:val="007D5AE7"/>
    <w:rsid w:val="007D65A6"/>
    <w:rsid w:val="007D671C"/>
    <w:rsid w:val="007D6B3A"/>
    <w:rsid w:val="007D71E2"/>
    <w:rsid w:val="007D796C"/>
    <w:rsid w:val="007D7CA7"/>
    <w:rsid w:val="007D7E48"/>
    <w:rsid w:val="007E04E2"/>
    <w:rsid w:val="007E1DBA"/>
    <w:rsid w:val="007E25A1"/>
    <w:rsid w:val="007E3392"/>
    <w:rsid w:val="007E3B53"/>
    <w:rsid w:val="007E48C4"/>
    <w:rsid w:val="007E5F1B"/>
    <w:rsid w:val="007F0F98"/>
    <w:rsid w:val="007F1CA7"/>
    <w:rsid w:val="007F1DC7"/>
    <w:rsid w:val="007F21AD"/>
    <w:rsid w:val="007F2456"/>
    <w:rsid w:val="007F2A6F"/>
    <w:rsid w:val="007F2AA2"/>
    <w:rsid w:val="007F3A3C"/>
    <w:rsid w:val="007F3E15"/>
    <w:rsid w:val="007F5822"/>
    <w:rsid w:val="007F60ED"/>
    <w:rsid w:val="007F716D"/>
    <w:rsid w:val="00802062"/>
    <w:rsid w:val="00803404"/>
    <w:rsid w:val="0080439B"/>
    <w:rsid w:val="00805446"/>
    <w:rsid w:val="00805CB4"/>
    <w:rsid w:val="00806023"/>
    <w:rsid w:val="00806A59"/>
    <w:rsid w:val="00807755"/>
    <w:rsid w:val="00811BFA"/>
    <w:rsid w:val="0081227F"/>
    <w:rsid w:val="0081357E"/>
    <w:rsid w:val="00813DBA"/>
    <w:rsid w:val="0081647F"/>
    <w:rsid w:val="00816F99"/>
    <w:rsid w:val="00816FAC"/>
    <w:rsid w:val="00817E2B"/>
    <w:rsid w:val="00817ED3"/>
    <w:rsid w:val="008207B6"/>
    <w:rsid w:val="00820DA2"/>
    <w:rsid w:val="0082139D"/>
    <w:rsid w:val="008217CA"/>
    <w:rsid w:val="00822006"/>
    <w:rsid w:val="008220CE"/>
    <w:rsid w:val="00822357"/>
    <w:rsid w:val="008235EB"/>
    <w:rsid w:val="00823F39"/>
    <w:rsid w:val="0082469D"/>
    <w:rsid w:val="00827660"/>
    <w:rsid w:val="00827FAE"/>
    <w:rsid w:val="00830EF4"/>
    <w:rsid w:val="00832154"/>
    <w:rsid w:val="00832A9A"/>
    <w:rsid w:val="00833446"/>
    <w:rsid w:val="00833819"/>
    <w:rsid w:val="0083404B"/>
    <w:rsid w:val="0083412D"/>
    <w:rsid w:val="008353AD"/>
    <w:rsid w:val="008356AB"/>
    <w:rsid w:val="00835B7D"/>
    <w:rsid w:val="00837335"/>
    <w:rsid w:val="00842716"/>
    <w:rsid w:val="0084379C"/>
    <w:rsid w:val="008439FD"/>
    <w:rsid w:val="0084493D"/>
    <w:rsid w:val="00845ABF"/>
    <w:rsid w:val="00846B0F"/>
    <w:rsid w:val="008470C7"/>
    <w:rsid w:val="008470F8"/>
    <w:rsid w:val="00847763"/>
    <w:rsid w:val="00850136"/>
    <w:rsid w:val="008511A9"/>
    <w:rsid w:val="0085194A"/>
    <w:rsid w:val="00852A9F"/>
    <w:rsid w:val="00853153"/>
    <w:rsid w:val="00854105"/>
    <w:rsid w:val="00854C95"/>
    <w:rsid w:val="00854E21"/>
    <w:rsid w:val="008553C3"/>
    <w:rsid w:val="0085695A"/>
    <w:rsid w:val="0085751C"/>
    <w:rsid w:val="00860F16"/>
    <w:rsid w:val="00861299"/>
    <w:rsid w:val="00861751"/>
    <w:rsid w:val="00862803"/>
    <w:rsid w:val="00862FB3"/>
    <w:rsid w:val="0086380C"/>
    <w:rsid w:val="00863D7E"/>
    <w:rsid w:val="00863EF3"/>
    <w:rsid w:val="00863FD7"/>
    <w:rsid w:val="00864344"/>
    <w:rsid w:val="00866749"/>
    <w:rsid w:val="00866C59"/>
    <w:rsid w:val="00867047"/>
    <w:rsid w:val="00867DB6"/>
    <w:rsid w:val="00867EFD"/>
    <w:rsid w:val="008701EA"/>
    <w:rsid w:val="0087275C"/>
    <w:rsid w:val="00872B7C"/>
    <w:rsid w:val="00874956"/>
    <w:rsid w:val="00874C72"/>
    <w:rsid w:val="00875846"/>
    <w:rsid w:val="008807C9"/>
    <w:rsid w:val="00880993"/>
    <w:rsid w:val="00880D9C"/>
    <w:rsid w:val="00882145"/>
    <w:rsid w:val="0088281D"/>
    <w:rsid w:val="00883E42"/>
    <w:rsid w:val="0088400D"/>
    <w:rsid w:val="008845CA"/>
    <w:rsid w:val="008847F4"/>
    <w:rsid w:val="00884A8F"/>
    <w:rsid w:val="0088538D"/>
    <w:rsid w:val="008853E0"/>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A6C31"/>
    <w:rsid w:val="008A6F7F"/>
    <w:rsid w:val="008B10C5"/>
    <w:rsid w:val="008B457B"/>
    <w:rsid w:val="008C0815"/>
    <w:rsid w:val="008C1455"/>
    <w:rsid w:val="008C1BC3"/>
    <w:rsid w:val="008C23F0"/>
    <w:rsid w:val="008C2591"/>
    <w:rsid w:val="008C393E"/>
    <w:rsid w:val="008C3DED"/>
    <w:rsid w:val="008C55E6"/>
    <w:rsid w:val="008C59A1"/>
    <w:rsid w:val="008C605A"/>
    <w:rsid w:val="008C6C0A"/>
    <w:rsid w:val="008C6DD1"/>
    <w:rsid w:val="008C7693"/>
    <w:rsid w:val="008D0660"/>
    <w:rsid w:val="008D2234"/>
    <w:rsid w:val="008D2655"/>
    <w:rsid w:val="008D374F"/>
    <w:rsid w:val="008D37EE"/>
    <w:rsid w:val="008D7191"/>
    <w:rsid w:val="008D7DD8"/>
    <w:rsid w:val="008E20EB"/>
    <w:rsid w:val="008E2AE7"/>
    <w:rsid w:val="008E3028"/>
    <w:rsid w:val="008E326F"/>
    <w:rsid w:val="008E3282"/>
    <w:rsid w:val="008E4717"/>
    <w:rsid w:val="008E4D40"/>
    <w:rsid w:val="008F0FBE"/>
    <w:rsid w:val="008F2C8A"/>
    <w:rsid w:val="008F3A26"/>
    <w:rsid w:val="008F5E51"/>
    <w:rsid w:val="008F6DCD"/>
    <w:rsid w:val="008F74E6"/>
    <w:rsid w:val="00900694"/>
    <w:rsid w:val="0090191B"/>
    <w:rsid w:val="009025D1"/>
    <w:rsid w:val="00902D86"/>
    <w:rsid w:val="009037B8"/>
    <w:rsid w:val="009043D9"/>
    <w:rsid w:val="0090564C"/>
    <w:rsid w:val="009056EC"/>
    <w:rsid w:val="0090590B"/>
    <w:rsid w:val="009074B5"/>
    <w:rsid w:val="009108C3"/>
    <w:rsid w:val="009115F7"/>
    <w:rsid w:val="0091237F"/>
    <w:rsid w:val="00915987"/>
    <w:rsid w:val="009173CE"/>
    <w:rsid w:val="0092063E"/>
    <w:rsid w:val="00921439"/>
    <w:rsid w:val="00921D04"/>
    <w:rsid w:val="00923089"/>
    <w:rsid w:val="009231EC"/>
    <w:rsid w:val="00923635"/>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98"/>
    <w:rsid w:val="009364C5"/>
    <w:rsid w:val="00936B2A"/>
    <w:rsid w:val="0093716F"/>
    <w:rsid w:val="0094091C"/>
    <w:rsid w:val="009414F3"/>
    <w:rsid w:val="00943DF1"/>
    <w:rsid w:val="00944396"/>
    <w:rsid w:val="009456E5"/>
    <w:rsid w:val="0094585E"/>
    <w:rsid w:val="00946184"/>
    <w:rsid w:val="00946AE0"/>
    <w:rsid w:val="00950416"/>
    <w:rsid w:val="00950BD1"/>
    <w:rsid w:val="00950F8F"/>
    <w:rsid w:val="0095143D"/>
    <w:rsid w:val="009514F9"/>
    <w:rsid w:val="0095255D"/>
    <w:rsid w:val="00952828"/>
    <w:rsid w:val="00952B82"/>
    <w:rsid w:val="0095385B"/>
    <w:rsid w:val="00955411"/>
    <w:rsid w:val="0095554F"/>
    <w:rsid w:val="009565EF"/>
    <w:rsid w:val="00956D94"/>
    <w:rsid w:val="00957B66"/>
    <w:rsid w:val="009604FC"/>
    <w:rsid w:val="00960911"/>
    <w:rsid w:val="009611D6"/>
    <w:rsid w:val="00961528"/>
    <w:rsid w:val="00961F3B"/>
    <w:rsid w:val="0096204C"/>
    <w:rsid w:val="00962B0E"/>
    <w:rsid w:val="0096345D"/>
    <w:rsid w:val="00963ABC"/>
    <w:rsid w:val="00963CB4"/>
    <w:rsid w:val="00964E81"/>
    <w:rsid w:val="00965B7B"/>
    <w:rsid w:val="00967954"/>
    <w:rsid w:val="00971128"/>
    <w:rsid w:val="00973043"/>
    <w:rsid w:val="00973448"/>
    <w:rsid w:val="00973876"/>
    <w:rsid w:val="00974309"/>
    <w:rsid w:val="009744B3"/>
    <w:rsid w:val="00974BE3"/>
    <w:rsid w:val="009758ED"/>
    <w:rsid w:val="00976110"/>
    <w:rsid w:val="00976309"/>
    <w:rsid w:val="00976FC2"/>
    <w:rsid w:val="00976FDA"/>
    <w:rsid w:val="0097735D"/>
    <w:rsid w:val="009801F4"/>
    <w:rsid w:val="009810CE"/>
    <w:rsid w:val="00982B97"/>
    <w:rsid w:val="009835BC"/>
    <w:rsid w:val="009835D6"/>
    <w:rsid w:val="0098397F"/>
    <w:rsid w:val="00983DC1"/>
    <w:rsid w:val="009846F3"/>
    <w:rsid w:val="00984D14"/>
    <w:rsid w:val="00985846"/>
    <w:rsid w:val="00985862"/>
    <w:rsid w:val="00985AF1"/>
    <w:rsid w:val="009860B3"/>
    <w:rsid w:val="009862A0"/>
    <w:rsid w:val="00987268"/>
    <w:rsid w:val="009875D5"/>
    <w:rsid w:val="0099479F"/>
    <w:rsid w:val="00995292"/>
    <w:rsid w:val="00995C33"/>
    <w:rsid w:val="0099738B"/>
    <w:rsid w:val="009975C1"/>
    <w:rsid w:val="00997893"/>
    <w:rsid w:val="00997900"/>
    <w:rsid w:val="009A09B4"/>
    <w:rsid w:val="009A1670"/>
    <w:rsid w:val="009A269A"/>
    <w:rsid w:val="009A375F"/>
    <w:rsid w:val="009A38D2"/>
    <w:rsid w:val="009A3B5E"/>
    <w:rsid w:val="009A40C7"/>
    <w:rsid w:val="009A43D4"/>
    <w:rsid w:val="009A4682"/>
    <w:rsid w:val="009A4DF7"/>
    <w:rsid w:val="009A5343"/>
    <w:rsid w:val="009B04C6"/>
    <w:rsid w:val="009B0BFD"/>
    <w:rsid w:val="009B26EC"/>
    <w:rsid w:val="009B288F"/>
    <w:rsid w:val="009B43CC"/>
    <w:rsid w:val="009B4560"/>
    <w:rsid w:val="009C0B8F"/>
    <w:rsid w:val="009C0F3B"/>
    <w:rsid w:val="009C1931"/>
    <w:rsid w:val="009C1BA6"/>
    <w:rsid w:val="009C1F80"/>
    <w:rsid w:val="009C2089"/>
    <w:rsid w:val="009C3304"/>
    <w:rsid w:val="009C35C6"/>
    <w:rsid w:val="009C407C"/>
    <w:rsid w:val="009C4376"/>
    <w:rsid w:val="009C484B"/>
    <w:rsid w:val="009C67B7"/>
    <w:rsid w:val="009C69B1"/>
    <w:rsid w:val="009C6FCA"/>
    <w:rsid w:val="009C70AE"/>
    <w:rsid w:val="009C771D"/>
    <w:rsid w:val="009D2E35"/>
    <w:rsid w:val="009D374F"/>
    <w:rsid w:val="009D3A0B"/>
    <w:rsid w:val="009D5D6D"/>
    <w:rsid w:val="009D6825"/>
    <w:rsid w:val="009D6FB6"/>
    <w:rsid w:val="009D77EA"/>
    <w:rsid w:val="009E4556"/>
    <w:rsid w:val="009E6091"/>
    <w:rsid w:val="009E6756"/>
    <w:rsid w:val="009E67A7"/>
    <w:rsid w:val="009E7D0B"/>
    <w:rsid w:val="009F04AC"/>
    <w:rsid w:val="009F1A50"/>
    <w:rsid w:val="009F2020"/>
    <w:rsid w:val="009F3A0D"/>
    <w:rsid w:val="009F5051"/>
    <w:rsid w:val="009F5065"/>
    <w:rsid w:val="009F5254"/>
    <w:rsid w:val="009F6964"/>
    <w:rsid w:val="009F75E4"/>
    <w:rsid w:val="009F7D12"/>
    <w:rsid w:val="00A0000C"/>
    <w:rsid w:val="00A01178"/>
    <w:rsid w:val="00A04951"/>
    <w:rsid w:val="00A05B39"/>
    <w:rsid w:val="00A05CE2"/>
    <w:rsid w:val="00A0637E"/>
    <w:rsid w:val="00A065ED"/>
    <w:rsid w:val="00A067B4"/>
    <w:rsid w:val="00A06C15"/>
    <w:rsid w:val="00A077A7"/>
    <w:rsid w:val="00A1063D"/>
    <w:rsid w:val="00A10B52"/>
    <w:rsid w:val="00A10F22"/>
    <w:rsid w:val="00A12980"/>
    <w:rsid w:val="00A16B39"/>
    <w:rsid w:val="00A232F1"/>
    <w:rsid w:val="00A26967"/>
    <w:rsid w:val="00A26CA4"/>
    <w:rsid w:val="00A27335"/>
    <w:rsid w:val="00A275B2"/>
    <w:rsid w:val="00A30939"/>
    <w:rsid w:val="00A30DC9"/>
    <w:rsid w:val="00A31E20"/>
    <w:rsid w:val="00A321D7"/>
    <w:rsid w:val="00A34A31"/>
    <w:rsid w:val="00A34D24"/>
    <w:rsid w:val="00A36E81"/>
    <w:rsid w:val="00A36FAB"/>
    <w:rsid w:val="00A37BF0"/>
    <w:rsid w:val="00A37DF5"/>
    <w:rsid w:val="00A40FE5"/>
    <w:rsid w:val="00A41F5B"/>
    <w:rsid w:val="00A43237"/>
    <w:rsid w:val="00A43C6E"/>
    <w:rsid w:val="00A4528C"/>
    <w:rsid w:val="00A45ACC"/>
    <w:rsid w:val="00A46041"/>
    <w:rsid w:val="00A501A3"/>
    <w:rsid w:val="00A50649"/>
    <w:rsid w:val="00A50768"/>
    <w:rsid w:val="00A51E84"/>
    <w:rsid w:val="00A52B9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73B"/>
    <w:rsid w:val="00A74D03"/>
    <w:rsid w:val="00A74D08"/>
    <w:rsid w:val="00A74E67"/>
    <w:rsid w:val="00A7568B"/>
    <w:rsid w:val="00A75AD7"/>
    <w:rsid w:val="00A75C91"/>
    <w:rsid w:val="00A77B2A"/>
    <w:rsid w:val="00A811BF"/>
    <w:rsid w:val="00A8165A"/>
    <w:rsid w:val="00A82B4B"/>
    <w:rsid w:val="00A8398A"/>
    <w:rsid w:val="00A85336"/>
    <w:rsid w:val="00A8675A"/>
    <w:rsid w:val="00A87D8E"/>
    <w:rsid w:val="00A9118A"/>
    <w:rsid w:val="00A9172D"/>
    <w:rsid w:val="00A939B2"/>
    <w:rsid w:val="00A943DD"/>
    <w:rsid w:val="00A94C32"/>
    <w:rsid w:val="00A954A2"/>
    <w:rsid w:val="00A9660B"/>
    <w:rsid w:val="00A96EC8"/>
    <w:rsid w:val="00A97EBD"/>
    <w:rsid w:val="00AA2899"/>
    <w:rsid w:val="00AA3CAA"/>
    <w:rsid w:val="00AA4C60"/>
    <w:rsid w:val="00AA4FC8"/>
    <w:rsid w:val="00AA61C9"/>
    <w:rsid w:val="00AB0CC5"/>
    <w:rsid w:val="00AB0D8C"/>
    <w:rsid w:val="00AB119D"/>
    <w:rsid w:val="00AB1873"/>
    <w:rsid w:val="00AB3062"/>
    <w:rsid w:val="00AB3396"/>
    <w:rsid w:val="00AB3FDE"/>
    <w:rsid w:val="00AB42B4"/>
    <w:rsid w:val="00AB4A3F"/>
    <w:rsid w:val="00AB4BB9"/>
    <w:rsid w:val="00AB52D9"/>
    <w:rsid w:val="00AB6B47"/>
    <w:rsid w:val="00AB7541"/>
    <w:rsid w:val="00AC01BD"/>
    <w:rsid w:val="00AC1227"/>
    <w:rsid w:val="00AC1B2C"/>
    <w:rsid w:val="00AC2F31"/>
    <w:rsid w:val="00AC3972"/>
    <w:rsid w:val="00AC74A7"/>
    <w:rsid w:val="00AC76FC"/>
    <w:rsid w:val="00AC7929"/>
    <w:rsid w:val="00AD12CB"/>
    <w:rsid w:val="00AD36F1"/>
    <w:rsid w:val="00AD4991"/>
    <w:rsid w:val="00AD4A22"/>
    <w:rsid w:val="00AD6C32"/>
    <w:rsid w:val="00AE000F"/>
    <w:rsid w:val="00AE11B7"/>
    <w:rsid w:val="00AE13EB"/>
    <w:rsid w:val="00AE5117"/>
    <w:rsid w:val="00AE5123"/>
    <w:rsid w:val="00AE52FE"/>
    <w:rsid w:val="00AE5AB2"/>
    <w:rsid w:val="00AE5C31"/>
    <w:rsid w:val="00AE6EF0"/>
    <w:rsid w:val="00AE73B7"/>
    <w:rsid w:val="00AE78B1"/>
    <w:rsid w:val="00AE7B08"/>
    <w:rsid w:val="00AF0841"/>
    <w:rsid w:val="00AF3BE4"/>
    <w:rsid w:val="00AF4288"/>
    <w:rsid w:val="00AF5477"/>
    <w:rsid w:val="00AF6452"/>
    <w:rsid w:val="00AF6B1D"/>
    <w:rsid w:val="00B00656"/>
    <w:rsid w:val="00B0183B"/>
    <w:rsid w:val="00B01F01"/>
    <w:rsid w:val="00B03FF8"/>
    <w:rsid w:val="00B047C3"/>
    <w:rsid w:val="00B057DC"/>
    <w:rsid w:val="00B065D6"/>
    <w:rsid w:val="00B06BC0"/>
    <w:rsid w:val="00B07906"/>
    <w:rsid w:val="00B07B3F"/>
    <w:rsid w:val="00B07BB0"/>
    <w:rsid w:val="00B129D9"/>
    <w:rsid w:val="00B1441E"/>
    <w:rsid w:val="00B14F33"/>
    <w:rsid w:val="00B17607"/>
    <w:rsid w:val="00B22321"/>
    <w:rsid w:val="00B226F5"/>
    <w:rsid w:val="00B22AFC"/>
    <w:rsid w:val="00B25A3B"/>
    <w:rsid w:val="00B262E8"/>
    <w:rsid w:val="00B26D4D"/>
    <w:rsid w:val="00B27156"/>
    <w:rsid w:val="00B27EF4"/>
    <w:rsid w:val="00B30204"/>
    <w:rsid w:val="00B31E5C"/>
    <w:rsid w:val="00B3314D"/>
    <w:rsid w:val="00B3390C"/>
    <w:rsid w:val="00B3415A"/>
    <w:rsid w:val="00B35C1D"/>
    <w:rsid w:val="00B36270"/>
    <w:rsid w:val="00B369F9"/>
    <w:rsid w:val="00B41A41"/>
    <w:rsid w:val="00B42CBA"/>
    <w:rsid w:val="00B441BF"/>
    <w:rsid w:val="00B4433A"/>
    <w:rsid w:val="00B44D82"/>
    <w:rsid w:val="00B4535C"/>
    <w:rsid w:val="00B459B5"/>
    <w:rsid w:val="00B45F4C"/>
    <w:rsid w:val="00B468E6"/>
    <w:rsid w:val="00B50607"/>
    <w:rsid w:val="00B50DFD"/>
    <w:rsid w:val="00B51198"/>
    <w:rsid w:val="00B51BFF"/>
    <w:rsid w:val="00B5379B"/>
    <w:rsid w:val="00B53A9C"/>
    <w:rsid w:val="00B54F04"/>
    <w:rsid w:val="00B559A6"/>
    <w:rsid w:val="00B60857"/>
    <w:rsid w:val="00B60C24"/>
    <w:rsid w:val="00B62277"/>
    <w:rsid w:val="00B625FB"/>
    <w:rsid w:val="00B62D54"/>
    <w:rsid w:val="00B633CD"/>
    <w:rsid w:val="00B64155"/>
    <w:rsid w:val="00B6445A"/>
    <w:rsid w:val="00B64F65"/>
    <w:rsid w:val="00B66E60"/>
    <w:rsid w:val="00B6776C"/>
    <w:rsid w:val="00B705FD"/>
    <w:rsid w:val="00B72407"/>
    <w:rsid w:val="00B74C5B"/>
    <w:rsid w:val="00B75982"/>
    <w:rsid w:val="00B779DB"/>
    <w:rsid w:val="00B80C9D"/>
    <w:rsid w:val="00B8152D"/>
    <w:rsid w:val="00B82F19"/>
    <w:rsid w:val="00B831FE"/>
    <w:rsid w:val="00B83C7F"/>
    <w:rsid w:val="00B865C3"/>
    <w:rsid w:val="00B87787"/>
    <w:rsid w:val="00B9033E"/>
    <w:rsid w:val="00B90902"/>
    <w:rsid w:val="00B955DA"/>
    <w:rsid w:val="00B95C27"/>
    <w:rsid w:val="00B96652"/>
    <w:rsid w:val="00B96A37"/>
    <w:rsid w:val="00B9726F"/>
    <w:rsid w:val="00BA0190"/>
    <w:rsid w:val="00BA1CD7"/>
    <w:rsid w:val="00BA233E"/>
    <w:rsid w:val="00BA4977"/>
    <w:rsid w:val="00BA4CCD"/>
    <w:rsid w:val="00BA4F48"/>
    <w:rsid w:val="00BA5B0B"/>
    <w:rsid w:val="00BA616C"/>
    <w:rsid w:val="00BA63B7"/>
    <w:rsid w:val="00BB05C3"/>
    <w:rsid w:val="00BB1899"/>
    <w:rsid w:val="00BB1A30"/>
    <w:rsid w:val="00BB31F0"/>
    <w:rsid w:val="00BB3C00"/>
    <w:rsid w:val="00BB3C5A"/>
    <w:rsid w:val="00BB3D12"/>
    <w:rsid w:val="00BB5D41"/>
    <w:rsid w:val="00BB66CD"/>
    <w:rsid w:val="00BC0731"/>
    <w:rsid w:val="00BC1371"/>
    <w:rsid w:val="00BC1EF8"/>
    <w:rsid w:val="00BC20B6"/>
    <w:rsid w:val="00BC2672"/>
    <w:rsid w:val="00BC27D6"/>
    <w:rsid w:val="00BC2B83"/>
    <w:rsid w:val="00BC2CD5"/>
    <w:rsid w:val="00BC32DD"/>
    <w:rsid w:val="00BC3DB2"/>
    <w:rsid w:val="00BC5A17"/>
    <w:rsid w:val="00BC5CF7"/>
    <w:rsid w:val="00BC6AC3"/>
    <w:rsid w:val="00BC77EA"/>
    <w:rsid w:val="00BC77EE"/>
    <w:rsid w:val="00BD0DDB"/>
    <w:rsid w:val="00BD170E"/>
    <w:rsid w:val="00BD187C"/>
    <w:rsid w:val="00BD3BEA"/>
    <w:rsid w:val="00BD4273"/>
    <w:rsid w:val="00BD453B"/>
    <w:rsid w:val="00BD4708"/>
    <w:rsid w:val="00BD4AA2"/>
    <w:rsid w:val="00BD55FF"/>
    <w:rsid w:val="00BD6B16"/>
    <w:rsid w:val="00BD71DF"/>
    <w:rsid w:val="00BD7703"/>
    <w:rsid w:val="00BE00D9"/>
    <w:rsid w:val="00BE018B"/>
    <w:rsid w:val="00BE0C16"/>
    <w:rsid w:val="00BE1F04"/>
    <w:rsid w:val="00BE30F7"/>
    <w:rsid w:val="00BE3420"/>
    <w:rsid w:val="00BE409A"/>
    <w:rsid w:val="00BE4399"/>
    <w:rsid w:val="00BE44C6"/>
    <w:rsid w:val="00BE4C2D"/>
    <w:rsid w:val="00BE51BB"/>
    <w:rsid w:val="00BE68C7"/>
    <w:rsid w:val="00BE7974"/>
    <w:rsid w:val="00BF1416"/>
    <w:rsid w:val="00BF2FD1"/>
    <w:rsid w:val="00BF381B"/>
    <w:rsid w:val="00BF3D06"/>
    <w:rsid w:val="00BF5A49"/>
    <w:rsid w:val="00BF6853"/>
    <w:rsid w:val="00C02832"/>
    <w:rsid w:val="00C03821"/>
    <w:rsid w:val="00C03DAD"/>
    <w:rsid w:val="00C04554"/>
    <w:rsid w:val="00C0461E"/>
    <w:rsid w:val="00C07582"/>
    <w:rsid w:val="00C1029D"/>
    <w:rsid w:val="00C10847"/>
    <w:rsid w:val="00C11624"/>
    <w:rsid w:val="00C11D56"/>
    <w:rsid w:val="00C12E27"/>
    <w:rsid w:val="00C1417F"/>
    <w:rsid w:val="00C14345"/>
    <w:rsid w:val="00C14482"/>
    <w:rsid w:val="00C1465A"/>
    <w:rsid w:val="00C14FE4"/>
    <w:rsid w:val="00C15408"/>
    <w:rsid w:val="00C16AC9"/>
    <w:rsid w:val="00C17538"/>
    <w:rsid w:val="00C17636"/>
    <w:rsid w:val="00C20145"/>
    <w:rsid w:val="00C20AA8"/>
    <w:rsid w:val="00C22F60"/>
    <w:rsid w:val="00C23B63"/>
    <w:rsid w:val="00C24752"/>
    <w:rsid w:val="00C24B5D"/>
    <w:rsid w:val="00C24D97"/>
    <w:rsid w:val="00C25FC1"/>
    <w:rsid w:val="00C262AF"/>
    <w:rsid w:val="00C271D6"/>
    <w:rsid w:val="00C277F3"/>
    <w:rsid w:val="00C30390"/>
    <w:rsid w:val="00C3088D"/>
    <w:rsid w:val="00C319A8"/>
    <w:rsid w:val="00C319F9"/>
    <w:rsid w:val="00C32522"/>
    <w:rsid w:val="00C32942"/>
    <w:rsid w:val="00C341FC"/>
    <w:rsid w:val="00C34914"/>
    <w:rsid w:val="00C3530A"/>
    <w:rsid w:val="00C35C89"/>
    <w:rsid w:val="00C36BB8"/>
    <w:rsid w:val="00C36EEA"/>
    <w:rsid w:val="00C3727B"/>
    <w:rsid w:val="00C37EA2"/>
    <w:rsid w:val="00C4005A"/>
    <w:rsid w:val="00C40A38"/>
    <w:rsid w:val="00C41391"/>
    <w:rsid w:val="00C414A0"/>
    <w:rsid w:val="00C41F38"/>
    <w:rsid w:val="00C43C8F"/>
    <w:rsid w:val="00C44998"/>
    <w:rsid w:val="00C44D93"/>
    <w:rsid w:val="00C451FF"/>
    <w:rsid w:val="00C45889"/>
    <w:rsid w:val="00C45E94"/>
    <w:rsid w:val="00C476BC"/>
    <w:rsid w:val="00C51114"/>
    <w:rsid w:val="00C519B6"/>
    <w:rsid w:val="00C51E29"/>
    <w:rsid w:val="00C52421"/>
    <w:rsid w:val="00C52AD3"/>
    <w:rsid w:val="00C54034"/>
    <w:rsid w:val="00C55661"/>
    <w:rsid w:val="00C56213"/>
    <w:rsid w:val="00C56894"/>
    <w:rsid w:val="00C56D41"/>
    <w:rsid w:val="00C651A7"/>
    <w:rsid w:val="00C6582D"/>
    <w:rsid w:val="00C662AE"/>
    <w:rsid w:val="00C667DD"/>
    <w:rsid w:val="00C6692A"/>
    <w:rsid w:val="00C66F9D"/>
    <w:rsid w:val="00C675F7"/>
    <w:rsid w:val="00C70B84"/>
    <w:rsid w:val="00C71F6A"/>
    <w:rsid w:val="00C72D86"/>
    <w:rsid w:val="00C73560"/>
    <w:rsid w:val="00C73A82"/>
    <w:rsid w:val="00C7407A"/>
    <w:rsid w:val="00C74150"/>
    <w:rsid w:val="00C749DA"/>
    <w:rsid w:val="00C76BCF"/>
    <w:rsid w:val="00C77983"/>
    <w:rsid w:val="00C80926"/>
    <w:rsid w:val="00C8144A"/>
    <w:rsid w:val="00C818D7"/>
    <w:rsid w:val="00C8301C"/>
    <w:rsid w:val="00C83C25"/>
    <w:rsid w:val="00C847AA"/>
    <w:rsid w:val="00C85B8C"/>
    <w:rsid w:val="00C87C30"/>
    <w:rsid w:val="00C87CA3"/>
    <w:rsid w:val="00C90D80"/>
    <w:rsid w:val="00C91D0F"/>
    <w:rsid w:val="00C92559"/>
    <w:rsid w:val="00C92C4D"/>
    <w:rsid w:val="00C931A6"/>
    <w:rsid w:val="00C931EC"/>
    <w:rsid w:val="00C93290"/>
    <w:rsid w:val="00C937E6"/>
    <w:rsid w:val="00C940D9"/>
    <w:rsid w:val="00C94C86"/>
    <w:rsid w:val="00C96DCD"/>
    <w:rsid w:val="00C971FE"/>
    <w:rsid w:val="00CA0624"/>
    <w:rsid w:val="00CA0B88"/>
    <w:rsid w:val="00CA1826"/>
    <w:rsid w:val="00CA1D08"/>
    <w:rsid w:val="00CA25DB"/>
    <w:rsid w:val="00CA283F"/>
    <w:rsid w:val="00CA46B8"/>
    <w:rsid w:val="00CA5201"/>
    <w:rsid w:val="00CA5C25"/>
    <w:rsid w:val="00CA6875"/>
    <w:rsid w:val="00CA6AD4"/>
    <w:rsid w:val="00CA6F29"/>
    <w:rsid w:val="00CA70D7"/>
    <w:rsid w:val="00CA7778"/>
    <w:rsid w:val="00CA7F62"/>
    <w:rsid w:val="00CA7FA6"/>
    <w:rsid w:val="00CB006C"/>
    <w:rsid w:val="00CB0314"/>
    <w:rsid w:val="00CB094C"/>
    <w:rsid w:val="00CB101B"/>
    <w:rsid w:val="00CB1379"/>
    <w:rsid w:val="00CB18FF"/>
    <w:rsid w:val="00CB2CAE"/>
    <w:rsid w:val="00CB306B"/>
    <w:rsid w:val="00CB30AC"/>
    <w:rsid w:val="00CB3A64"/>
    <w:rsid w:val="00CB49F8"/>
    <w:rsid w:val="00CB5631"/>
    <w:rsid w:val="00CB5A16"/>
    <w:rsid w:val="00CB5E63"/>
    <w:rsid w:val="00CB6542"/>
    <w:rsid w:val="00CB6A0C"/>
    <w:rsid w:val="00CB6AE9"/>
    <w:rsid w:val="00CB73CD"/>
    <w:rsid w:val="00CB7C18"/>
    <w:rsid w:val="00CC0798"/>
    <w:rsid w:val="00CC0A3F"/>
    <w:rsid w:val="00CC28A7"/>
    <w:rsid w:val="00CC4E80"/>
    <w:rsid w:val="00CC7988"/>
    <w:rsid w:val="00CD02EB"/>
    <w:rsid w:val="00CD085E"/>
    <w:rsid w:val="00CD0BD6"/>
    <w:rsid w:val="00CD1530"/>
    <w:rsid w:val="00CD2A42"/>
    <w:rsid w:val="00CD3030"/>
    <w:rsid w:val="00CD3401"/>
    <w:rsid w:val="00CD3BF9"/>
    <w:rsid w:val="00CD4BC8"/>
    <w:rsid w:val="00CD5CEA"/>
    <w:rsid w:val="00CD69BA"/>
    <w:rsid w:val="00CD6DCB"/>
    <w:rsid w:val="00CD7927"/>
    <w:rsid w:val="00CD7B08"/>
    <w:rsid w:val="00CE191B"/>
    <w:rsid w:val="00CE20B8"/>
    <w:rsid w:val="00CE2FD0"/>
    <w:rsid w:val="00CE7CEC"/>
    <w:rsid w:val="00CF0DE5"/>
    <w:rsid w:val="00CF1817"/>
    <w:rsid w:val="00CF1B87"/>
    <w:rsid w:val="00CF1DAF"/>
    <w:rsid w:val="00CF28E3"/>
    <w:rsid w:val="00CF2C5C"/>
    <w:rsid w:val="00CF3248"/>
    <w:rsid w:val="00CF3BAD"/>
    <w:rsid w:val="00CF4601"/>
    <w:rsid w:val="00CF5E43"/>
    <w:rsid w:val="00CF6392"/>
    <w:rsid w:val="00CF6DAA"/>
    <w:rsid w:val="00CF7B2E"/>
    <w:rsid w:val="00D0021C"/>
    <w:rsid w:val="00D00680"/>
    <w:rsid w:val="00D00750"/>
    <w:rsid w:val="00D00F46"/>
    <w:rsid w:val="00D02685"/>
    <w:rsid w:val="00D029FD"/>
    <w:rsid w:val="00D034C8"/>
    <w:rsid w:val="00D0411B"/>
    <w:rsid w:val="00D045E3"/>
    <w:rsid w:val="00D0517D"/>
    <w:rsid w:val="00D05929"/>
    <w:rsid w:val="00D05B3A"/>
    <w:rsid w:val="00D0611E"/>
    <w:rsid w:val="00D065C8"/>
    <w:rsid w:val="00D06B4D"/>
    <w:rsid w:val="00D102E2"/>
    <w:rsid w:val="00D10396"/>
    <w:rsid w:val="00D1082F"/>
    <w:rsid w:val="00D10E77"/>
    <w:rsid w:val="00D13401"/>
    <w:rsid w:val="00D14B50"/>
    <w:rsid w:val="00D160C9"/>
    <w:rsid w:val="00D17126"/>
    <w:rsid w:val="00D1718C"/>
    <w:rsid w:val="00D17480"/>
    <w:rsid w:val="00D2039E"/>
    <w:rsid w:val="00D20477"/>
    <w:rsid w:val="00D21822"/>
    <w:rsid w:val="00D218AE"/>
    <w:rsid w:val="00D218EA"/>
    <w:rsid w:val="00D21C2F"/>
    <w:rsid w:val="00D2209E"/>
    <w:rsid w:val="00D2220E"/>
    <w:rsid w:val="00D22DA8"/>
    <w:rsid w:val="00D22FEB"/>
    <w:rsid w:val="00D259FA"/>
    <w:rsid w:val="00D2796E"/>
    <w:rsid w:val="00D3110E"/>
    <w:rsid w:val="00D320C8"/>
    <w:rsid w:val="00D328AB"/>
    <w:rsid w:val="00D3344C"/>
    <w:rsid w:val="00D36368"/>
    <w:rsid w:val="00D369C4"/>
    <w:rsid w:val="00D42718"/>
    <w:rsid w:val="00D435E8"/>
    <w:rsid w:val="00D43A16"/>
    <w:rsid w:val="00D452A5"/>
    <w:rsid w:val="00D452C4"/>
    <w:rsid w:val="00D45FC0"/>
    <w:rsid w:val="00D46733"/>
    <w:rsid w:val="00D46B41"/>
    <w:rsid w:val="00D46FA2"/>
    <w:rsid w:val="00D47093"/>
    <w:rsid w:val="00D50541"/>
    <w:rsid w:val="00D514DB"/>
    <w:rsid w:val="00D5348F"/>
    <w:rsid w:val="00D53600"/>
    <w:rsid w:val="00D56025"/>
    <w:rsid w:val="00D5709E"/>
    <w:rsid w:val="00D57D2B"/>
    <w:rsid w:val="00D600BE"/>
    <w:rsid w:val="00D619AD"/>
    <w:rsid w:val="00D647E7"/>
    <w:rsid w:val="00D64E59"/>
    <w:rsid w:val="00D6570D"/>
    <w:rsid w:val="00D6618A"/>
    <w:rsid w:val="00D66306"/>
    <w:rsid w:val="00D66A7E"/>
    <w:rsid w:val="00D7047C"/>
    <w:rsid w:val="00D71B6E"/>
    <w:rsid w:val="00D71CF3"/>
    <w:rsid w:val="00D723CB"/>
    <w:rsid w:val="00D72F01"/>
    <w:rsid w:val="00D73BC7"/>
    <w:rsid w:val="00D75CD6"/>
    <w:rsid w:val="00D7635A"/>
    <w:rsid w:val="00D769DF"/>
    <w:rsid w:val="00D76B38"/>
    <w:rsid w:val="00D77391"/>
    <w:rsid w:val="00D803FA"/>
    <w:rsid w:val="00D8139A"/>
    <w:rsid w:val="00D81A4E"/>
    <w:rsid w:val="00D821C1"/>
    <w:rsid w:val="00D82CC0"/>
    <w:rsid w:val="00D848EB"/>
    <w:rsid w:val="00D850AF"/>
    <w:rsid w:val="00D85D41"/>
    <w:rsid w:val="00D85DE4"/>
    <w:rsid w:val="00D86FE4"/>
    <w:rsid w:val="00D86FF6"/>
    <w:rsid w:val="00D90682"/>
    <w:rsid w:val="00D91886"/>
    <w:rsid w:val="00D91C23"/>
    <w:rsid w:val="00D929FE"/>
    <w:rsid w:val="00D92FE3"/>
    <w:rsid w:val="00D93B61"/>
    <w:rsid w:val="00D94AC3"/>
    <w:rsid w:val="00D94FF8"/>
    <w:rsid w:val="00D952C5"/>
    <w:rsid w:val="00D96789"/>
    <w:rsid w:val="00D97173"/>
    <w:rsid w:val="00D971E6"/>
    <w:rsid w:val="00D97232"/>
    <w:rsid w:val="00DA0BC0"/>
    <w:rsid w:val="00DA1DB9"/>
    <w:rsid w:val="00DA2B5F"/>
    <w:rsid w:val="00DA4154"/>
    <w:rsid w:val="00DA45D5"/>
    <w:rsid w:val="00DA5969"/>
    <w:rsid w:val="00DA663F"/>
    <w:rsid w:val="00DA76B7"/>
    <w:rsid w:val="00DB053E"/>
    <w:rsid w:val="00DB26F0"/>
    <w:rsid w:val="00DB2928"/>
    <w:rsid w:val="00DB3101"/>
    <w:rsid w:val="00DB47E9"/>
    <w:rsid w:val="00DB53E7"/>
    <w:rsid w:val="00DB7024"/>
    <w:rsid w:val="00DC1681"/>
    <w:rsid w:val="00DC20A9"/>
    <w:rsid w:val="00DC233D"/>
    <w:rsid w:val="00DC2EEB"/>
    <w:rsid w:val="00DC4200"/>
    <w:rsid w:val="00DC53A0"/>
    <w:rsid w:val="00DC6202"/>
    <w:rsid w:val="00DC6A07"/>
    <w:rsid w:val="00DD03A0"/>
    <w:rsid w:val="00DD1E62"/>
    <w:rsid w:val="00DD24B1"/>
    <w:rsid w:val="00DD2DB0"/>
    <w:rsid w:val="00DD2E5F"/>
    <w:rsid w:val="00DD2FF5"/>
    <w:rsid w:val="00DD375E"/>
    <w:rsid w:val="00DD3D05"/>
    <w:rsid w:val="00DD42F2"/>
    <w:rsid w:val="00DD51BB"/>
    <w:rsid w:val="00DD5A80"/>
    <w:rsid w:val="00DD6F4A"/>
    <w:rsid w:val="00DE0385"/>
    <w:rsid w:val="00DE1C49"/>
    <w:rsid w:val="00DE1C75"/>
    <w:rsid w:val="00DE4658"/>
    <w:rsid w:val="00DE550D"/>
    <w:rsid w:val="00DE57E6"/>
    <w:rsid w:val="00DE7B48"/>
    <w:rsid w:val="00DF02AF"/>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457"/>
    <w:rsid w:val="00E0481B"/>
    <w:rsid w:val="00E0625B"/>
    <w:rsid w:val="00E069A2"/>
    <w:rsid w:val="00E10894"/>
    <w:rsid w:val="00E12716"/>
    <w:rsid w:val="00E13D64"/>
    <w:rsid w:val="00E13FD9"/>
    <w:rsid w:val="00E150BA"/>
    <w:rsid w:val="00E15A1E"/>
    <w:rsid w:val="00E20518"/>
    <w:rsid w:val="00E209A5"/>
    <w:rsid w:val="00E20A7A"/>
    <w:rsid w:val="00E20C5B"/>
    <w:rsid w:val="00E2383A"/>
    <w:rsid w:val="00E23931"/>
    <w:rsid w:val="00E24EFB"/>
    <w:rsid w:val="00E31D06"/>
    <w:rsid w:val="00E32662"/>
    <w:rsid w:val="00E32FC1"/>
    <w:rsid w:val="00E3480D"/>
    <w:rsid w:val="00E354BF"/>
    <w:rsid w:val="00E356E3"/>
    <w:rsid w:val="00E3785E"/>
    <w:rsid w:val="00E43053"/>
    <w:rsid w:val="00E43E64"/>
    <w:rsid w:val="00E446AB"/>
    <w:rsid w:val="00E44B37"/>
    <w:rsid w:val="00E44BDA"/>
    <w:rsid w:val="00E452CA"/>
    <w:rsid w:val="00E4548F"/>
    <w:rsid w:val="00E458FD"/>
    <w:rsid w:val="00E460F4"/>
    <w:rsid w:val="00E4712A"/>
    <w:rsid w:val="00E47396"/>
    <w:rsid w:val="00E47F7E"/>
    <w:rsid w:val="00E50EC0"/>
    <w:rsid w:val="00E524EA"/>
    <w:rsid w:val="00E532C7"/>
    <w:rsid w:val="00E53879"/>
    <w:rsid w:val="00E5549B"/>
    <w:rsid w:val="00E5721E"/>
    <w:rsid w:val="00E57ACF"/>
    <w:rsid w:val="00E60568"/>
    <w:rsid w:val="00E6166D"/>
    <w:rsid w:val="00E61E45"/>
    <w:rsid w:val="00E62372"/>
    <w:rsid w:val="00E62678"/>
    <w:rsid w:val="00E62757"/>
    <w:rsid w:val="00E62DA2"/>
    <w:rsid w:val="00E63D47"/>
    <w:rsid w:val="00E64E18"/>
    <w:rsid w:val="00E65EAB"/>
    <w:rsid w:val="00E708DE"/>
    <w:rsid w:val="00E71C90"/>
    <w:rsid w:val="00E71CF4"/>
    <w:rsid w:val="00E757F0"/>
    <w:rsid w:val="00E82C94"/>
    <w:rsid w:val="00E86850"/>
    <w:rsid w:val="00E90191"/>
    <w:rsid w:val="00E9029F"/>
    <w:rsid w:val="00E904DD"/>
    <w:rsid w:val="00E919FA"/>
    <w:rsid w:val="00E91D87"/>
    <w:rsid w:val="00E932EE"/>
    <w:rsid w:val="00E9460A"/>
    <w:rsid w:val="00E952CB"/>
    <w:rsid w:val="00E971A7"/>
    <w:rsid w:val="00E97A84"/>
    <w:rsid w:val="00EA058D"/>
    <w:rsid w:val="00EA0D24"/>
    <w:rsid w:val="00EA14F1"/>
    <w:rsid w:val="00EA1536"/>
    <w:rsid w:val="00EA322C"/>
    <w:rsid w:val="00EA57A3"/>
    <w:rsid w:val="00EA6769"/>
    <w:rsid w:val="00EB037C"/>
    <w:rsid w:val="00EB07AF"/>
    <w:rsid w:val="00EB0B49"/>
    <w:rsid w:val="00EB1C77"/>
    <w:rsid w:val="00EB1EAC"/>
    <w:rsid w:val="00EB293D"/>
    <w:rsid w:val="00EB3127"/>
    <w:rsid w:val="00EB3DE0"/>
    <w:rsid w:val="00EB4B5B"/>
    <w:rsid w:val="00EB4CDB"/>
    <w:rsid w:val="00EB6085"/>
    <w:rsid w:val="00EB6FF1"/>
    <w:rsid w:val="00EB7372"/>
    <w:rsid w:val="00EB7D96"/>
    <w:rsid w:val="00EC0DDB"/>
    <w:rsid w:val="00EC1B82"/>
    <w:rsid w:val="00EC1D26"/>
    <w:rsid w:val="00EC209B"/>
    <w:rsid w:val="00EC3D0C"/>
    <w:rsid w:val="00EC514A"/>
    <w:rsid w:val="00EC5E6A"/>
    <w:rsid w:val="00EC6915"/>
    <w:rsid w:val="00EC6C15"/>
    <w:rsid w:val="00EC7758"/>
    <w:rsid w:val="00EC786E"/>
    <w:rsid w:val="00ED03E5"/>
    <w:rsid w:val="00ED1C4D"/>
    <w:rsid w:val="00ED22C7"/>
    <w:rsid w:val="00ED3152"/>
    <w:rsid w:val="00ED3A54"/>
    <w:rsid w:val="00ED3E7E"/>
    <w:rsid w:val="00ED4B17"/>
    <w:rsid w:val="00ED5C06"/>
    <w:rsid w:val="00ED6B58"/>
    <w:rsid w:val="00EE025D"/>
    <w:rsid w:val="00EE02BB"/>
    <w:rsid w:val="00EE0782"/>
    <w:rsid w:val="00EE106B"/>
    <w:rsid w:val="00EE109D"/>
    <w:rsid w:val="00EE19DC"/>
    <w:rsid w:val="00EE276D"/>
    <w:rsid w:val="00EE32E7"/>
    <w:rsid w:val="00EE50B8"/>
    <w:rsid w:val="00EE6384"/>
    <w:rsid w:val="00EE7E84"/>
    <w:rsid w:val="00EF0A94"/>
    <w:rsid w:val="00EF17FE"/>
    <w:rsid w:val="00EF1E7E"/>
    <w:rsid w:val="00EF1F5F"/>
    <w:rsid w:val="00EF414D"/>
    <w:rsid w:val="00EF41BB"/>
    <w:rsid w:val="00EF4403"/>
    <w:rsid w:val="00EF7A48"/>
    <w:rsid w:val="00EF7C8C"/>
    <w:rsid w:val="00F002B2"/>
    <w:rsid w:val="00F00724"/>
    <w:rsid w:val="00F025F0"/>
    <w:rsid w:val="00F04103"/>
    <w:rsid w:val="00F061F9"/>
    <w:rsid w:val="00F06AF9"/>
    <w:rsid w:val="00F06EBB"/>
    <w:rsid w:val="00F10914"/>
    <w:rsid w:val="00F10EE1"/>
    <w:rsid w:val="00F11530"/>
    <w:rsid w:val="00F122DA"/>
    <w:rsid w:val="00F12511"/>
    <w:rsid w:val="00F135DF"/>
    <w:rsid w:val="00F13936"/>
    <w:rsid w:val="00F14473"/>
    <w:rsid w:val="00F1554D"/>
    <w:rsid w:val="00F157F1"/>
    <w:rsid w:val="00F16A43"/>
    <w:rsid w:val="00F16A72"/>
    <w:rsid w:val="00F16C2A"/>
    <w:rsid w:val="00F1730F"/>
    <w:rsid w:val="00F204DE"/>
    <w:rsid w:val="00F20ADC"/>
    <w:rsid w:val="00F224B5"/>
    <w:rsid w:val="00F22E51"/>
    <w:rsid w:val="00F231F5"/>
    <w:rsid w:val="00F247CA"/>
    <w:rsid w:val="00F24B9A"/>
    <w:rsid w:val="00F24E76"/>
    <w:rsid w:val="00F24FF0"/>
    <w:rsid w:val="00F25A34"/>
    <w:rsid w:val="00F26A21"/>
    <w:rsid w:val="00F31D2F"/>
    <w:rsid w:val="00F31FD3"/>
    <w:rsid w:val="00F33118"/>
    <w:rsid w:val="00F34566"/>
    <w:rsid w:val="00F37121"/>
    <w:rsid w:val="00F3765E"/>
    <w:rsid w:val="00F37DB9"/>
    <w:rsid w:val="00F40DF9"/>
    <w:rsid w:val="00F412A2"/>
    <w:rsid w:val="00F44541"/>
    <w:rsid w:val="00F445CB"/>
    <w:rsid w:val="00F452BF"/>
    <w:rsid w:val="00F45D54"/>
    <w:rsid w:val="00F46F7A"/>
    <w:rsid w:val="00F4754C"/>
    <w:rsid w:val="00F51B92"/>
    <w:rsid w:val="00F51DE9"/>
    <w:rsid w:val="00F51F5C"/>
    <w:rsid w:val="00F52A23"/>
    <w:rsid w:val="00F52D1B"/>
    <w:rsid w:val="00F53CDB"/>
    <w:rsid w:val="00F553C0"/>
    <w:rsid w:val="00F55BA4"/>
    <w:rsid w:val="00F569A1"/>
    <w:rsid w:val="00F56EDC"/>
    <w:rsid w:val="00F572C5"/>
    <w:rsid w:val="00F57937"/>
    <w:rsid w:val="00F57C9C"/>
    <w:rsid w:val="00F57DFC"/>
    <w:rsid w:val="00F57F19"/>
    <w:rsid w:val="00F6076A"/>
    <w:rsid w:val="00F6085C"/>
    <w:rsid w:val="00F6319A"/>
    <w:rsid w:val="00F63CE3"/>
    <w:rsid w:val="00F64443"/>
    <w:rsid w:val="00F648B2"/>
    <w:rsid w:val="00F65091"/>
    <w:rsid w:val="00F670C8"/>
    <w:rsid w:val="00F67361"/>
    <w:rsid w:val="00F7011B"/>
    <w:rsid w:val="00F70611"/>
    <w:rsid w:val="00F716F2"/>
    <w:rsid w:val="00F71B4E"/>
    <w:rsid w:val="00F731FA"/>
    <w:rsid w:val="00F736CD"/>
    <w:rsid w:val="00F7387B"/>
    <w:rsid w:val="00F7536E"/>
    <w:rsid w:val="00F7564C"/>
    <w:rsid w:val="00F7683B"/>
    <w:rsid w:val="00F76B96"/>
    <w:rsid w:val="00F80A33"/>
    <w:rsid w:val="00F81154"/>
    <w:rsid w:val="00F82781"/>
    <w:rsid w:val="00F82B48"/>
    <w:rsid w:val="00F8343B"/>
    <w:rsid w:val="00F8524C"/>
    <w:rsid w:val="00F85838"/>
    <w:rsid w:val="00F8665A"/>
    <w:rsid w:val="00F875AE"/>
    <w:rsid w:val="00F90262"/>
    <w:rsid w:val="00F90A19"/>
    <w:rsid w:val="00F9199C"/>
    <w:rsid w:val="00F92159"/>
    <w:rsid w:val="00F94400"/>
    <w:rsid w:val="00F946B9"/>
    <w:rsid w:val="00F94AFB"/>
    <w:rsid w:val="00F96BEF"/>
    <w:rsid w:val="00FA4BB6"/>
    <w:rsid w:val="00FA6A12"/>
    <w:rsid w:val="00FA6A3F"/>
    <w:rsid w:val="00FA6E0C"/>
    <w:rsid w:val="00FA7ABA"/>
    <w:rsid w:val="00FB06DA"/>
    <w:rsid w:val="00FB08E8"/>
    <w:rsid w:val="00FB293D"/>
    <w:rsid w:val="00FB2B9A"/>
    <w:rsid w:val="00FB600A"/>
    <w:rsid w:val="00FC0F02"/>
    <w:rsid w:val="00FC1CA3"/>
    <w:rsid w:val="00FC25FB"/>
    <w:rsid w:val="00FC2C6A"/>
    <w:rsid w:val="00FC3F44"/>
    <w:rsid w:val="00FC6C50"/>
    <w:rsid w:val="00FC7C4B"/>
    <w:rsid w:val="00FD0DE3"/>
    <w:rsid w:val="00FD12B2"/>
    <w:rsid w:val="00FD1A00"/>
    <w:rsid w:val="00FD2103"/>
    <w:rsid w:val="00FD272C"/>
    <w:rsid w:val="00FD4156"/>
    <w:rsid w:val="00FD59BF"/>
    <w:rsid w:val="00FD5ECD"/>
    <w:rsid w:val="00FD6C2B"/>
    <w:rsid w:val="00FD6ED5"/>
    <w:rsid w:val="00FD79D3"/>
    <w:rsid w:val="00FD7CA0"/>
    <w:rsid w:val="00FE0084"/>
    <w:rsid w:val="00FE05F0"/>
    <w:rsid w:val="00FE1BF2"/>
    <w:rsid w:val="00FE2A70"/>
    <w:rsid w:val="00FE36E8"/>
    <w:rsid w:val="00FE5281"/>
    <w:rsid w:val="00FE666D"/>
    <w:rsid w:val="00FE6841"/>
    <w:rsid w:val="00FE73BF"/>
    <w:rsid w:val="00FE7826"/>
    <w:rsid w:val="00FF09B0"/>
    <w:rsid w:val="00FF0BDD"/>
    <w:rsid w:val="00FF12A4"/>
    <w:rsid w:val="00FF14E5"/>
    <w:rsid w:val="00FF3129"/>
    <w:rsid w:val="00FF4895"/>
    <w:rsid w:val="00FF4A66"/>
    <w:rsid w:val="00FF614A"/>
    <w:rsid w:val="00FF6F7C"/>
    <w:rsid w:val="00FF7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1F161E"/>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0A4668"/>
    <w:pPr>
      <w:tabs>
        <w:tab w:val="left" w:pos="851"/>
        <w:tab w:val="left" w:leader="dot" w:pos="8051"/>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C6692A"/>
    <w:pPr>
      <w:keepNext/>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1F161E"/>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Body-SectionTitle">
    <w:name w:val="Body-Section Title"/>
    <w:basedOn w:val="Normal"/>
    <w:next w:val="Body-SubClause"/>
    <w:qFormat/>
    <w:rsid w:val="007D53F1"/>
    <w:pPr>
      <w:numPr>
        <w:numId w:val="27"/>
      </w:numPr>
      <w:spacing w:before="240"/>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7D53F1"/>
    <w:pPr>
      <w:numPr>
        <w:ilvl w:val="1"/>
        <w:numId w:val="27"/>
      </w:numPr>
    </w:pPr>
    <w:rPr>
      <w:rFonts w:eastAsiaTheme="minorHAnsi" w:cstheme="minorBidi"/>
      <w:szCs w:val="22"/>
      <w:lang w:eastAsia="en-US"/>
    </w:rPr>
  </w:style>
  <w:style w:type="paragraph" w:customStyle="1" w:styleId="Body-Subx2Clause">
    <w:name w:val="Body-Subx2 Clause"/>
    <w:basedOn w:val="Normal"/>
    <w:qFormat/>
    <w:rsid w:val="007D53F1"/>
    <w:pPr>
      <w:numPr>
        <w:ilvl w:val="2"/>
        <w:numId w:val="27"/>
      </w:numPr>
    </w:pPr>
    <w:rPr>
      <w:rFonts w:eastAsiaTheme="minorHAnsi" w:cstheme="minorBidi"/>
      <w:szCs w:val="22"/>
      <w:lang w:eastAsia="en-US"/>
    </w:rPr>
  </w:style>
  <w:style w:type="paragraph" w:customStyle="1" w:styleId="Body-Subx3Clause">
    <w:name w:val="Body-Subx3 Clause"/>
    <w:basedOn w:val="Normal"/>
    <w:qFormat/>
    <w:rsid w:val="007D53F1"/>
    <w:pPr>
      <w:numPr>
        <w:ilvl w:val="3"/>
        <w:numId w:val="27"/>
      </w:numPr>
    </w:pPr>
    <w:rPr>
      <w:rFonts w:eastAsiaTheme="minorHAnsi" w:cstheme="minorBidi"/>
      <w:szCs w:val="22"/>
      <w:lang w:eastAsia="en-US"/>
    </w:rPr>
  </w:style>
  <w:style w:type="paragraph" w:customStyle="1" w:styleId="Body-Subx4Clause">
    <w:name w:val="Body-Subx4 Clause"/>
    <w:basedOn w:val="Normal"/>
    <w:qFormat/>
    <w:rsid w:val="007D53F1"/>
    <w:pPr>
      <w:numPr>
        <w:ilvl w:val="4"/>
        <w:numId w:val="27"/>
      </w:numPr>
    </w:pPr>
    <w:rPr>
      <w:rFonts w:eastAsiaTheme="minorHAnsi" w:cstheme="minorBidi"/>
      <w:szCs w:val="22"/>
      <w:lang w:eastAsia="en-US"/>
    </w:rPr>
  </w:style>
  <w:style w:type="paragraph" w:customStyle="1" w:styleId="Body-Listalpha">
    <w:name w:val="Body-List (alpha)"/>
    <w:basedOn w:val="Normal"/>
    <w:qFormat/>
    <w:rsid w:val="007D53F1"/>
    <w:pPr>
      <w:numPr>
        <w:ilvl w:val="6"/>
        <w:numId w:val="27"/>
      </w:numPr>
      <w:spacing w:before="0" w:after="0"/>
    </w:pPr>
    <w:rPr>
      <w:rFonts w:eastAsiaTheme="minorHAnsi" w:cstheme="minorBidi"/>
      <w:szCs w:val="22"/>
      <w:lang w:eastAsia="en-US"/>
    </w:rPr>
  </w:style>
  <w:style w:type="paragraph" w:styleId="NormalWeb">
    <w:name w:val="Normal (Web)"/>
    <w:basedOn w:val="Normal"/>
    <w:uiPriority w:val="99"/>
    <w:semiHidden/>
    <w:unhideWhenUsed/>
    <w:rsid w:val="005A120C"/>
    <w:pPr>
      <w:spacing w:before="100" w:beforeAutospacing="1" w:after="100" w:afterAutospacing="1"/>
    </w:pPr>
    <w:rPr>
      <w:rFonts w:eastAsiaTheme="minorEastAsia"/>
    </w:rPr>
  </w:style>
  <w:style w:type="paragraph" w:styleId="Caption">
    <w:name w:val="caption"/>
    <w:basedOn w:val="Normal"/>
    <w:next w:val="Normal"/>
    <w:uiPriority w:val="35"/>
    <w:unhideWhenUsed/>
    <w:qFormat/>
    <w:rsid w:val="003A128F"/>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2905">
      <w:bodyDiv w:val="1"/>
      <w:marLeft w:val="0"/>
      <w:marRight w:val="0"/>
      <w:marTop w:val="0"/>
      <w:marBottom w:val="0"/>
      <w:divBdr>
        <w:top w:val="none" w:sz="0" w:space="0" w:color="auto"/>
        <w:left w:val="none" w:sz="0" w:space="0" w:color="auto"/>
        <w:bottom w:val="none" w:sz="0" w:space="0" w:color="auto"/>
        <w:right w:val="none" w:sz="0" w:space="0" w:color="auto"/>
      </w:divBdr>
    </w:div>
    <w:div w:id="5626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97C6-C7B8-4216-98AF-772EEEE2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4525</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2023-09-20T07:14:00Z</dcterms:created>
  <dcterms:modified xsi:type="dcterms:W3CDTF">2023-09-25T12:53:00Z</dcterms:modified>
</cp:coreProperties>
</file>