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F61FA" w14:textId="20615DD4" w:rsidR="008456D5" w:rsidRPr="007B6E69" w:rsidRDefault="00BD194A" w:rsidP="004B1AE5">
      <w:pPr>
        <w:spacing w:before="0" w:after="0"/>
      </w:pPr>
      <w:bookmarkStart w:id="0" w:name="_GoBack"/>
      <w:r w:rsidRPr="007B6E69">
        <w:rPr>
          <w:noProof/>
          <w:lang w:eastAsia="en-AU"/>
        </w:rPr>
        <w:drawing>
          <wp:inline distT="0" distB="0" distL="0" distR="0" wp14:anchorId="282056C8" wp14:editId="2A51942A">
            <wp:extent cx="7660800" cy="10836000"/>
            <wp:effectExtent l="0" t="0" r="0" b="3810"/>
            <wp:docPr id="1" name="Picture 1" descr="Cover page showing:&#10;&#10;the Department of Infrastructure, Transport, Regional Development, Communications and the Arts crest logo, including the Australian coat of arms;&#10;&#10;a photo of a bonneted truck towing a semi-trailer around a roundabout in the main street of Bombala NSW;&#10;&#10;the Safer Freight Vehicles Impact analysis of options for maximum overall width document; and&#10;&#10;the September 2023 publication d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660800" cy="10836000"/>
                    </a:xfrm>
                    <a:prstGeom prst="rect">
                      <a:avLst/>
                    </a:prstGeom>
                  </pic:spPr>
                </pic:pic>
              </a:graphicData>
            </a:graphic>
          </wp:inline>
        </w:drawing>
      </w:r>
      <w:bookmarkEnd w:id="0"/>
    </w:p>
    <w:p w14:paraId="7597EAFC" w14:textId="77777777" w:rsidR="00DE4FE2" w:rsidRPr="007B6E69" w:rsidRDefault="00DE4FE2">
      <w:pPr>
        <w:sectPr w:rsidR="00DE4FE2" w:rsidRPr="007B6E69" w:rsidSect="00362791">
          <w:headerReference w:type="even" r:id="rId10"/>
          <w:headerReference w:type="default" r:id="rId11"/>
          <w:footerReference w:type="even" r:id="rId12"/>
          <w:footerReference w:type="default" r:id="rId13"/>
          <w:pgSz w:w="11906" w:h="16838" w:code="9"/>
          <w:pgMar w:top="0" w:right="0" w:bottom="0" w:left="0" w:header="510" w:footer="567" w:gutter="0"/>
          <w:cols w:space="708"/>
          <w:titlePg/>
          <w:docGrid w:linePitch="360"/>
        </w:sectPr>
      </w:pPr>
    </w:p>
    <w:p w14:paraId="596BB7C8" w14:textId="77777777" w:rsidR="004B1AE5" w:rsidRDefault="004B1AE5" w:rsidP="000E5674">
      <w:pPr>
        <w:pStyle w:val="NoSpacing"/>
        <w:sectPr w:rsidR="004B1AE5" w:rsidSect="00CD1797">
          <w:headerReference w:type="default" r:id="rId14"/>
          <w:footerReference w:type="default" r:id="rId15"/>
          <w:headerReference w:type="first" r:id="rId16"/>
          <w:footerReference w:type="first" r:id="rId17"/>
          <w:pgSz w:w="11906" w:h="16838" w:code="9"/>
          <w:pgMar w:top="1021" w:right="1021" w:bottom="1021" w:left="1021" w:header="510" w:footer="567" w:gutter="0"/>
          <w:pgNumType w:fmt="lowerRoman" w:start="1"/>
          <w:cols w:space="708"/>
          <w:docGrid w:linePitch="360"/>
        </w:sectPr>
      </w:pPr>
    </w:p>
    <w:p w14:paraId="601EB7A9" w14:textId="6BD4AFDE" w:rsidR="000E5674" w:rsidRPr="007B6E69" w:rsidRDefault="000E5674" w:rsidP="000E5674">
      <w:pPr>
        <w:pStyle w:val="NoSpacing"/>
      </w:pPr>
      <w:r w:rsidRPr="007B6E69">
        <w:t>© Commonwealth of Australia 202</w:t>
      </w:r>
      <w:r w:rsidR="00531858">
        <w:t>3</w:t>
      </w:r>
    </w:p>
    <w:p w14:paraId="1578C0D0" w14:textId="43030C43" w:rsidR="000E5674" w:rsidRPr="007B6E69" w:rsidRDefault="0025215C" w:rsidP="000E5674">
      <w:pPr>
        <w:pStyle w:val="NoSpacing"/>
      </w:pPr>
      <w:r>
        <w:t>September</w:t>
      </w:r>
      <w:r w:rsidR="00531858">
        <w:t xml:space="preserve"> 2023</w:t>
      </w:r>
    </w:p>
    <w:p w14:paraId="5489AD0D" w14:textId="77777777" w:rsidR="00F16D21" w:rsidRPr="007B6E69" w:rsidRDefault="00C80843" w:rsidP="000E5674">
      <w:pPr>
        <w:pStyle w:val="NoSpacing"/>
      </w:pPr>
      <w:r>
        <w:t>OIA</w:t>
      </w:r>
      <w:r w:rsidR="00F16D21" w:rsidRPr="00001B26">
        <w:t>2</w:t>
      </w:r>
      <w:r w:rsidR="00001B26" w:rsidRPr="00001B26">
        <w:t>1</w:t>
      </w:r>
      <w:r w:rsidR="00F16D21" w:rsidRPr="00001B26">
        <w:t>-</w:t>
      </w:r>
      <w:r w:rsidR="00001B26" w:rsidRPr="00001B26">
        <w:t>01048</w:t>
      </w:r>
    </w:p>
    <w:p w14:paraId="40C09C1F" w14:textId="77777777" w:rsidR="000E5674" w:rsidRPr="007B6E69" w:rsidRDefault="000E5674" w:rsidP="000E5674">
      <w:pPr>
        <w:pStyle w:val="ImprintHeading"/>
        <w:rPr>
          <w:lang w:val="en-AU"/>
        </w:rPr>
      </w:pPr>
      <w:r w:rsidRPr="007B6E69">
        <w:rPr>
          <w:lang w:val="en-AU"/>
        </w:rPr>
        <w:t>Ownership of intellectual property rights in this publication</w:t>
      </w:r>
    </w:p>
    <w:p w14:paraId="38322748" w14:textId="77777777" w:rsidR="000E5674" w:rsidRPr="007B6E69" w:rsidRDefault="000E5674" w:rsidP="000E5674">
      <w:r w:rsidRPr="007B6E69">
        <w:t>Unless otherwise noted, copyright (and any other intellectual property rights, if any) in this publication is owned by the Commonwealth of Australia (referred to below as the Commonwealth).</w:t>
      </w:r>
    </w:p>
    <w:p w14:paraId="7719BCB6" w14:textId="77777777" w:rsidR="000E5674" w:rsidRPr="007B6E69" w:rsidRDefault="000E5674" w:rsidP="000E5674">
      <w:pPr>
        <w:pStyle w:val="ImprintHeading"/>
        <w:rPr>
          <w:lang w:val="en-AU"/>
        </w:rPr>
      </w:pPr>
      <w:r w:rsidRPr="007B6E69">
        <w:rPr>
          <w:lang w:val="en-AU"/>
        </w:rPr>
        <w:t>Disclaimer</w:t>
      </w:r>
    </w:p>
    <w:p w14:paraId="31697DDE" w14:textId="77777777" w:rsidR="000E5674" w:rsidRPr="007B6E69" w:rsidRDefault="000E5674" w:rsidP="000E5674">
      <w:r w:rsidRPr="007B6E69">
        <w:t>The material contained in this publication is made available on the understanding that the Commonwealth is not providing professional advice, and that users exercise their own skill and care with respect to its use, and seek independent advice if necessary.</w:t>
      </w:r>
    </w:p>
    <w:p w14:paraId="370E68EB" w14:textId="77777777" w:rsidR="000E5674" w:rsidRPr="007B6E69" w:rsidRDefault="000E5674" w:rsidP="000E5674">
      <w:r w:rsidRPr="007B6E69">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3EDBCCD9" w14:textId="77777777" w:rsidR="000E5674" w:rsidRPr="007B6E69" w:rsidRDefault="000E5674" w:rsidP="000E5674">
      <w:pPr>
        <w:pStyle w:val="ImprintHeading"/>
        <w:rPr>
          <w:lang w:val="en-AU"/>
        </w:rPr>
      </w:pPr>
      <w:r w:rsidRPr="007B6E69">
        <w:rPr>
          <w:lang w:val="en-AU"/>
        </w:rPr>
        <w:t>Creative Commons licence</w:t>
      </w:r>
    </w:p>
    <w:p w14:paraId="114E73A2" w14:textId="77777777" w:rsidR="000E5674" w:rsidRPr="007B6E69" w:rsidRDefault="000E5674" w:rsidP="000E5674">
      <w:r w:rsidRPr="007B6E69">
        <w:t>With the exception of (a) the Coat of Arms; (b) the Department of Infrastructure, Transport, Regional Development</w:t>
      </w:r>
      <w:r w:rsidR="007936D3" w:rsidRPr="007B6E69">
        <w:t xml:space="preserve">, </w:t>
      </w:r>
      <w:r w:rsidRPr="007B6E69">
        <w:t xml:space="preserve">Communications </w:t>
      </w:r>
      <w:r w:rsidR="00EB5C80" w:rsidRPr="007B6E69">
        <w:t xml:space="preserve">and </w:t>
      </w:r>
      <w:r w:rsidR="000938AB" w:rsidRPr="007B6E69">
        <w:t xml:space="preserve">the </w:t>
      </w:r>
      <w:r w:rsidR="00EB5C80" w:rsidRPr="007B6E69">
        <w:t xml:space="preserve">Arts </w:t>
      </w:r>
      <w:r w:rsidRPr="007B6E69">
        <w:t xml:space="preserve">photos and </w:t>
      </w:r>
      <w:r w:rsidRPr="00055971">
        <w:t>graphics; and (c)</w:t>
      </w:r>
      <w:r w:rsidR="00055971" w:rsidRPr="00055971">
        <w:t xml:space="preserve"> </w:t>
      </w:r>
      <w:r w:rsidR="00055971" w:rsidRPr="00055971">
        <w:fldChar w:fldCharType="begin"/>
      </w:r>
      <w:r w:rsidR="00055971" w:rsidRPr="00055971">
        <w:instrText xml:space="preserve"> REF _Ref109657179 \h </w:instrText>
      </w:r>
      <w:r w:rsidR="00055971">
        <w:instrText xml:space="preserve"> \* MERGEFORMAT </w:instrText>
      </w:r>
      <w:r w:rsidR="00055971" w:rsidRPr="00055971">
        <w:fldChar w:fldCharType="separate"/>
      </w:r>
      <w:r w:rsidR="00534814" w:rsidRPr="007B6E69">
        <w:t xml:space="preserve">Figure </w:t>
      </w:r>
      <w:r w:rsidR="00534814">
        <w:rPr>
          <w:noProof/>
        </w:rPr>
        <w:t>1</w:t>
      </w:r>
      <w:r w:rsidR="00055971" w:rsidRPr="00055971">
        <w:fldChar w:fldCharType="end"/>
      </w:r>
      <w:r w:rsidRPr="00055971">
        <w:t>, copyright in this publication is licensed under a Creative Commons Attribution 4.0 Australia Licence.</w:t>
      </w:r>
    </w:p>
    <w:p w14:paraId="09B6B651" w14:textId="77777777" w:rsidR="000E5674" w:rsidRPr="007B6E69" w:rsidRDefault="000E5674" w:rsidP="000E5674">
      <w:r w:rsidRPr="007B6E69">
        <w:t>Creative Commons Attribution 4.0 Australia Licence is a standard form licence agreement that allows you to copy, communicate and adapt this publication provided that you attribute the work to the Commonwealth and abide by the other licence terms.</w:t>
      </w:r>
    </w:p>
    <w:p w14:paraId="417CF833" w14:textId="77777777" w:rsidR="000E5674" w:rsidRPr="007B6E69" w:rsidRDefault="000E5674" w:rsidP="000E5674">
      <w:r w:rsidRPr="007B6E69">
        <w:t xml:space="preserve">Further information on the licence terms is available from </w:t>
      </w:r>
      <w:hyperlink r:id="rId18" w:tooltip="Creative Commons website" w:history="1">
        <w:r w:rsidRPr="007B6E69">
          <w:rPr>
            <w:rStyle w:val="Hyperlink"/>
          </w:rPr>
          <w:t>https://creativecommons.org/licenses/by/4.0/</w:t>
        </w:r>
      </w:hyperlink>
    </w:p>
    <w:p w14:paraId="724A8DE6" w14:textId="77777777" w:rsidR="000E5674" w:rsidRPr="007B6E69" w:rsidRDefault="000E5674" w:rsidP="000E5674">
      <w:r w:rsidRPr="007B6E69">
        <w:t xml:space="preserve">This publication should be attributed in the following way: © Commonwealth of Australia </w:t>
      </w:r>
      <w:r w:rsidR="00D83318" w:rsidRPr="007B6E69">
        <w:t>202</w:t>
      </w:r>
      <w:r w:rsidR="00C80843">
        <w:t>3</w:t>
      </w:r>
    </w:p>
    <w:p w14:paraId="3132946F" w14:textId="77777777" w:rsidR="000E5674" w:rsidRPr="007B6E69" w:rsidRDefault="000E5674" w:rsidP="000E5674">
      <w:pPr>
        <w:pStyle w:val="ImprintHeading"/>
        <w:rPr>
          <w:lang w:val="en-AU"/>
        </w:rPr>
      </w:pPr>
      <w:r w:rsidRPr="007B6E69">
        <w:rPr>
          <w:lang w:val="en-AU"/>
        </w:rPr>
        <w:t>Use of the Coat of Arms</w:t>
      </w:r>
    </w:p>
    <w:p w14:paraId="7C75451B" w14:textId="77777777" w:rsidR="000E5674" w:rsidRPr="007B6E69" w:rsidRDefault="000E5674" w:rsidP="000E5674">
      <w:r w:rsidRPr="007B6E69">
        <w:t xml:space="preserve">The Department of the Prime Minister and Cabinet sets the terms under which the Coat of Arms is used. Please refer to the Commonwealth Coat of Arms - Information and Guidelines publication available at </w:t>
      </w:r>
      <w:hyperlink r:id="rId19" w:tooltip="Department of Prime Minister and Cabinet website" w:history="1">
        <w:r w:rsidRPr="007B6E69">
          <w:rPr>
            <w:rStyle w:val="Hyperlink"/>
          </w:rPr>
          <w:t>http://www.pmc.gov.au</w:t>
        </w:r>
      </w:hyperlink>
      <w:r w:rsidRPr="007B6E69">
        <w:t>.</w:t>
      </w:r>
    </w:p>
    <w:p w14:paraId="39E91465" w14:textId="77777777" w:rsidR="000E5674" w:rsidRPr="007B6E69" w:rsidRDefault="000E5674" w:rsidP="000E5674">
      <w:pPr>
        <w:pStyle w:val="ImprintHeading"/>
        <w:rPr>
          <w:lang w:val="en-AU"/>
        </w:rPr>
      </w:pPr>
      <w:r w:rsidRPr="007B6E69">
        <w:rPr>
          <w:lang w:val="en-AU"/>
        </w:rPr>
        <w:t>Contact us</w:t>
      </w:r>
    </w:p>
    <w:p w14:paraId="3DC03CA2" w14:textId="77777777" w:rsidR="000E5674" w:rsidRPr="007B6E69" w:rsidRDefault="000E5674" w:rsidP="000E5674">
      <w:r w:rsidRPr="007B6E69">
        <w:t>For enquiries regarding the licence and any use of this publication, please contact:</w:t>
      </w:r>
    </w:p>
    <w:p w14:paraId="12E2F9CE" w14:textId="77777777" w:rsidR="000E5674" w:rsidRPr="007B6E69" w:rsidRDefault="000E5674" w:rsidP="000E5674">
      <w:pPr>
        <w:pStyle w:val="NoSpacing"/>
      </w:pPr>
      <w:r w:rsidRPr="007B6E69">
        <w:t xml:space="preserve">Director </w:t>
      </w:r>
      <w:r w:rsidR="00291050" w:rsidRPr="007B6E69">
        <w:t>–</w:t>
      </w:r>
      <w:r w:rsidRPr="007B6E69">
        <w:t xml:space="preserve"> </w:t>
      </w:r>
      <w:r w:rsidR="00291050" w:rsidRPr="007B6E69">
        <w:t>Creative Services</w:t>
      </w:r>
    </w:p>
    <w:p w14:paraId="28961D58" w14:textId="77777777" w:rsidR="000E5674" w:rsidRPr="007B6E69" w:rsidRDefault="000E5674" w:rsidP="000E5674">
      <w:pPr>
        <w:pStyle w:val="NoSpacing"/>
      </w:pPr>
      <w:r w:rsidRPr="007B6E69">
        <w:t>Communication Branch</w:t>
      </w:r>
    </w:p>
    <w:p w14:paraId="21F073B7" w14:textId="77777777" w:rsidR="000E5674" w:rsidRPr="007B6E69" w:rsidRDefault="000E5674" w:rsidP="000E5674">
      <w:pPr>
        <w:pStyle w:val="NoSpacing"/>
      </w:pPr>
      <w:r w:rsidRPr="007B6E69">
        <w:t>Department of Infrastructure, Transport, Regional Development</w:t>
      </w:r>
      <w:r w:rsidR="000938AB" w:rsidRPr="007B6E69">
        <w:t xml:space="preserve">, </w:t>
      </w:r>
      <w:r w:rsidRPr="007B6E69">
        <w:t>Communications</w:t>
      </w:r>
      <w:r w:rsidR="000938AB" w:rsidRPr="007B6E69">
        <w:t xml:space="preserve"> and the Arts</w:t>
      </w:r>
    </w:p>
    <w:p w14:paraId="2093F68B" w14:textId="77777777" w:rsidR="000E5674" w:rsidRPr="007B6E69" w:rsidRDefault="000E5674" w:rsidP="000E5674">
      <w:pPr>
        <w:pStyle w:val="NoSpacing"/>
      </w:pPr>
      <w:r w:rsidRPr="007B6E69">
        <w:t>GPO Box 594</w:t>
      </w:r>
    </w:p>
    <w:p w14:paraId="6765FBC6" w14:textId="77777777" w:rsidR="000E5674" w:rsidRPr="007B6E69" w:rsidRDefault="000E5674" w:rsidP="000E5674">
      <w:pPr>
        <w:pStyle w:val="NoSpacing"/>
      </w:pPr>
      <w:r w:rsidRPr="007B6E69">
        <w:t>Canberra ACT 2601</w:t>
      </w:r>
    </w:p>
    <w:p w14:paraId="4E78CD7F" w14:textId="77777777" w:rsidR="000E5674" w:rsidRPr="007B6E69" w:rsidRDefault="000E5674" w:rsidP="000E5674">
      <w:pPr>
        <w:pStyle w:val="NoSpacing"/>
      </w:pPr>
      <w:r w:rsidRPr="007B6E69">
        <w:t>Australia</w:t>
      </w:r>
    </w:p>
    <w:p w14:paraId="0B705090" w14:textId="77777777" w:rsidR="000E5674" w:rsidRPr="007B6E69" w:rsidRDefault="000E5674" w:rsidP="000E5674">
      <w:r w:rsidRPr="007B6E69">
        <w:t xml:space="preserve">Email: </w:t>
      </w:r>
      <w:hyperlink r:id="rId20" w:tooltip="Email the Publishing team at the Department of Infrastructure, Transport, Regional Development and Communications" w:history="1">
        <w:r w:rsidRPr="007B6E69">
          <w:rPr>
            <w:rStyle w:val="Hyperlink"/>
          </w:rPr>
          <w:t>publishing@infrastructure.gov.au</w:t>
        </w:r>
      </w:hyperlink>
    </w:p>
    <w:p w14:paraId="6ECF6C77" w14:textId="77777777" w:rsidR="009277D8" w:rsidRDefault="000E5674" w:rsidP="00DA2035">
      <w:pPr>
        <w:rPr>
          <w:rStyle w:val="Hyperlink"/>
        </w:rPr>
      </w:pPr>
      <w:r w:rsidRPr="007B6E69">
        <w:t xml:space="preserve">Website: </w:t>
      </w:r>
      <w:hyperlink r:id="rId21" w:tooltip="Department of Infrastructure, Transport, Regional Development and Communications website" w:history="1">
        <w:r w:rsidRPr="007B6E69">
          <w:rPr>
            <w:rStyle w:val="Hyperlink"/>
          </w:rPr>
          <w:t>www.infrastructure.gov.au</w:t>
        </w:r>
      </w:hyperlink>
    </w:p>
    <w:p w14:paraId="26810E5D" w14:textId="77777777" w:rsidR="00546218" w:rsidRPr="007B6E69" w:rsidRDefault="00546218" w:rsidP="00DA2035">
      <w:r w:rsidRPr="007B6E69">
        <w:br w:type="page"/>
      </w:r>
    </w:p>
    <w:p w14:paraId="4010C673" w14:textId="77777777" w:rsidR="00DE4FE2" w:rsidRPr="007B6E69" w:rsidRDefault="002B7197" w:rsidP="00E13D3A">
      <w:pPr>
        <w:pStyle w:val="TOCHeading"/>
      </w:pPr>
      <w:bookmarkStart w:id="1" w:name="_Toc111576716"/>
      <w:r w:rsidRPr="007B6E69">
        <w:t>C</w:t>
      </w:r>
      <w:r w:rsidR="00DE4FE2" w:rsidRPr="007B6E69">
        <w:t>ontents</w:t>
      </w:r>
      <w:bookmarkEnd w:id="1"/>
    </w:p>
    <w:p w14:paraId="4E79810C" w14:textId="3A32D23B" w:rsidR="00C97821" w:rsidRDefault="00C97821">
      <w:pPr>
        <w:pStyle w:val="TOC1"/>
        <w:rPr>
          <w:rFonts w:eastAsiaTheme="minorEastAsia"/>
          <w:b w:val="0"/>
          <w:noProof/>
          <w:color w:val="auto"/>
          <w:kern w:val="0"/>
          <w:sz w:val="22"/>
          <w:szCs w:val="22"/>
          <w:u w:val="none"/>
          <w:lang w:eastAsia="en-AU"/>
        </w:rPr>
      </w:pPr>
      <w:r w:rsidRPr="00191296">
        <w:rPr>
          <w:noProof/>
        </w:rPr>
        <w:t>Executive Summary</w:t>
      </w:r>
      <w:r>
        <w:rPr>
          <w:noProof/>
          <w:webHidden/>
        </w:rPr>
        <w:tab/>
        <w:t>1</w:t>
      </w:r>
    </w:p>
    <w:p w14:paraId="26589B8D" w14:textId="580A48BF" w:rsidR="00C97821" w:rsidRDefault="00C97821">
      <w:pPr>
        <w:pStyle w:val="TOC1"/>
        <w:rPr>
          <w:rFonts w:eastAsiaTheme="minorEastAsia"/>
          <w:b w:val="0"/>
          <w:noProof/>
          <w:color w:val="auto"/>
          <w:kern w:val="0"/>
          <w:sz w:val="22"/>
          <w:szCs w:val="22"/>
          <w:u w:val="none"/>
          <w:lang w:eastAsia="en-AU"/>
        </w:rPr>
      </w:pPr>
      <w:r w:rsidRPr="00191296">
        <w:rPr>
          <w:noProof/>
        </w:rPr>
        <w:t>Chapter 1: Introduction</w:t>
      </w:r>
      <w:r>
        <w:rPr>
          <w:noProof/>
          <w:webHidden/>
        </w:rPr>
        <w:tab/>
        <w:t>4</w:t>
      </w:r>
    </w:p>
    <w:p w14:paraId="3054432B" w14:textId="7CFCE36B" w:rsidR="00C97821" w:rsidRDefault="00C97821">
      <w:pPr>
        <w:pStyle w:val="TOC2"/>
        <w:rPr>
          <w:rFonts w:eastAsiaTheme="minorEastAsia"/>
          <w:noProof/>
          <w:color w:val="auto"/>
          <w:kern w:val="0"/>
          <w:sz w:val="22"/>
          <w:szCs w:val="22"/>
          <w:lang w:eastAsia="en-AU"/>
        </w:rPr>
      </w:pPr>
      <w:r w:rsidRPr="00191296">
        <w:rPr>
          <w:noProof/>
        </w:rPr>
        <w:t>Road vehicle regulation in Australia</w:t>
      </w:r>
      <w:r>
        <w:rPr>
          <w:noProof/>
          <w:webHidden/>
        </w:rPr>
        <w:tab/>
        <w:t>4</w:t>
      </w:r>
    </w:p>
    <w:p w14:paraId="2BA1A562" w14:textId="3B975357" w:rsidR="00C97821" w:rsidRDefault="00C97821">
      <w:pPr>
        <w:pStyle w:val="TOC2"/>
        <w:rPr>
          <w:rFonts w:eastAsiaTheme="minorEastAsia"/>
          <w:noProof/>
          <w:color w:val="auto"/>
          <w:kern w:val="0"/>
          <w:sz w:val="22"/>
          <w:szCs w:val="22"/>
          <w:lang w:eastAsia="en-AU"/>
        </w:rPr>
      </w:pPr>
      <w:r w:rsidRPr="00191296">
        <w:rPr>
          <w:noProof/>
        </w:rPr>
        <w:t>ADR development and review</w:t>
      </w:r>
      <w:r>
        <w:rPr>
          <w:noProof/>
          <w:webHidden/>
        </w:rPr>
        <w:tab/>
        <w:t>4</w:t>
      </w:r>
    </w:p>
    <w:p w14:paraId="7352757E" w14:textId="35268F00" w:rsidR="00C97821" w:rsidRDefault="00C97821">
      <w:pPr>
        <w:pStyle w:val="TOC2"/>
        <w:rPr>
          <w:rFonts w:eastAsiaTheme="minorEastAsia"/>
          <w:noProof/>
          <w:color w:val="auto"/>
          <w:kern w:val="0"/>
          <w:sz w:val="22"/>
          <w:szCs w:val="22"/>
          <w:lang w:eastAsia="en-AU"/>
        </w:rPr>
      </w:pPr>
      <w:r w:rsidRPr="00191296">
        <w:rPr>
          <w:noProof/>
        </w:rPr>
        <w:t>Performance Based Standards (PBS) Schemes</w:t>
      </w:r>
      <w:r>
        <w:rPr>
          <w:noProof/>
          <w:webHidden/>
        </w:rPr>
        <w:tab/>
        <w:t>4</w:t>
      </w:r>
    </w:p>
    <w:p w14:paraId="3D725B42" w14:textId="2D62522D" w:rsidR="00C97821" w:rsidRDefault="00C97821">
      <w:pPr>
        <w:pStyle w:val="TOC1"/>
        <w:rPr>
          <w:rFonts w:eastAsiaTheme="minorEastAsia"/>
          <w:b w:val="0"/>
          <w:noProof/>
          <w:color w:val="auto"/>
          <w:kern w:val="0"/>
          <w:sz w:val="22"/>
          <w:szCs w:val="22"/>
          <w:u w:val="none"/>
          <w:lang w:eastAsia="en-AU"/>
        </w:rPr>
      </w:pPr>
      <w:r w:rsidRPr="00191296">
        <w:rPr>
          <w:noProof/>
        </w:rPr>
        <w:t>Chapter 2: What is the problem?</w:t>
      </w:r>
      <w:r>
        <w:rPr>
          <w:noProof/>
          <w:webHidden/>
        </w:rPr>
        <w:tab/>
        <w:t>5</w:t>
      </w:r>
    </w:p>
    <w:p w14:paraId="6723CFD0" w14:textId="363133C4" w:rsidR="00C97821" w:rsidRDefault="00C97821">
      <w:pPr>
        <w:pStyle w:val="TOC2"/>
        <w:rPr>
          <w:rFonts w:eastAsiaTheme="minorEastAsia"/>
          <w:noProof/>
          <w:color w:val="auto"/>
          <w:kern w:val="0"/>
          <w:sz w:val="22"/>
          <w:szCs w:val="22"/>
          <w:lang w:eastAsia="en-AU"/>
        </w:rPr>
      </w:pPr>
      <w:r w:rsidRPr="00191296">
        <w:rPr>
          <w:noProof/>
        </w:rPr>
        <w:t>Regulatory impediments to the supply of safer and cleaner freight vehicles</w:t>
      </w:r>
      <w:r>
        <w:rPr>
          <w:noProof/>
          <w:webHidden/>
        </w:rPr>
        <w:tab/>
        <w:t>5</w:t>
      </w:r>
    </w:p>
    <w:p w14:paraId="63E83A6C" w14:textId="5D26DBCB" w:rsidR="00C97821" w:rsidRDefault="00C97821">
      <w:pPr>
        <w:pStyle w:val="TOC3"/>
        <w:rPr>
          <w:rFonts w:eastAsiaTheme="minorEastAsia"/>
          <w:color w:val="auto"/>
          <w:kern w:val="0"/>
          <w:sz w:val="22"/>
          <w:szCs w:val="22"/>
          <w:lang w:eastAsia="en-AU"/>
        </w:rPr>
      </w:pPr>
      <w:r w:rsidRPr="00191296">
        <w:t>The National Road Safety Action Plan 2018-2020</w:t>
      </w:r>
      <w:r>
        <w:rPr>
          <w:webHidden/>
        </w:rPr>
        <w:tab/>
        <w:t>5</w:t>
      </w:r>
    </w:p>
    <w:p w14:paraId="5F163599" w14:textId="71C25968" w:rsidR="00C97821" w:rsidRDefault="00C97821">
      <w:pPr>
        <w:pStyle w:val="TOC3"/>
        <w:rPr>
          <w:rFonts w:eastAsiaTheme="minorEastAsia"/>
          <w:color w:val="auto"/>
          <w:kern w:val="0"/>
          <w:sz w:val="22"/>
          <w:szCs w:val="22"/>
          <w:lang w:eastAsia="en-AU"/>
        </w:rPr>
      </w:pPr>
      <w:r w:rsidRPr="00191296">
        <w:t>The Safer Freight Vehicles Discussion Paper</w:t>
      </w:r>
      <w:r>
        <w:rPr>
          <w:webHidden/>
        </w:rPr>
        <w:tab/>
        <w:t>5</w:t>
      </w:r>
    </w:p>
    <w:p w14:paraId="72130BCA" w14:textId="661346BE" w:rsidR="00C97821" w:rsidRDefault="00C97821">
      <w:pPr>
        <w:pStyle w:val="TOC3"/>
        <w:rPr>
          <w:rFonts w:eastAsiaTheme="minorEastAsia"/>
          <w:color w:val="auto"/>
          <w:kern w:val="0"/>
          <w:sz w:val="22"/>
          <w:szCs w:val="22"/>
          <w:lang w:eastAsia="en-AU"/>
        </w:rPr>
      </w:pPr>
      <w:r w:rsidRPr="00191296">
        <w:t>Vehicle width</w:t>
      </w:r>
      <w:r>
        <w:rPr>
          <w:webHidden/>
        </w:rPr>
        <w:tab/>
        <w:t>6</w:t>
      </w:r>
    </w:p>
    <w:p w14:paraId="5FB84316" w14:textId="6C3EB704" w:rsidR="00C97821" w:rsidRDefault="00C97821">
      <w:pPr>
        <w:pStyle w:val="TOC3"/>
        <w:rPr>
          <w:rFonts w:eastAsiaTheme="minorEastAsia"/>
          <w:color w:val="auto"/>
          <w:kern w:val="0"/>
          <w:sz w:val="22"/>
          <w:szCs w:val="22"/>
          <w:lang w:eastAsia="en-AU"/>
        </w:rPr>
      </w:pPr>
      <w:r w:rsidRPr="00191296">
        <w:t>Devices for indirect vision and monitoring devices to detect other road users</w:t>
      </w:r>
      <w:r>
        <w:rPr>
          <w:webHidden/>
        </w:rPr>
        <w:tab/>
        <w:t>7</w:t>
      </w:r>
    </w:p>
    <w:p w14:paraId="3AF282D3" w14:textId="2B72A49D" w:rsidR="00C97821" w:rsidRDefault="00C97821">
      <w:pPr>
        <w:pStyle w:val="TOC2"/>
        <w:rPr>
          <w:rFonts w:eastAsiaTheme="minorEastAsia"/>
          <w:noProof/>
          <w:color w:val="auto"/>
          <w:kern w:val="0"/>
          <w:sz w:val="22"/>
          <w:szCs w:val="22"/>
          <w:lang w:eastAsia="en-AU"/>
        </w:rPr>
      </w:pPr>
      <w:r w:rsidRPr="00191296">
        <w:rPr>
          <w:noProof/>
        </w:rPr>
        <w:t>Slow introduction of safety systems for heavy freight vehicles</w:t>
      </w:r>
      <w:r>
        <w:rPr>
          <w:noProof/>
          <w:webHidden/>
        </w:rPr>
        <w:tab/>
        <w:t>9</w:t>
      </w:r>
    </w:p>
    <w:p w14:paraId="0491BEB5" w14:textId="6A20C780" w:rsidR="00C97821" w:rsidRDefault="00C97821">
      <w:pPr>
        <w:pStyle w:val="TOC1"/>
        <w:rPr>
          <w:rFonts w:eastAsiaTheme="minorEastAsia"/>
          <w:b w:val="0"/>
          <w:noProof/>
          <w:color w:val="auto"/>
          <w:kern w:val="0"/>
          <w:sz w:val="22"/>
          <w:szCs w:val="22"/>
          <w:u w:val="none"/>
          <w:lang w:eastAsia="en-AU"/>
        </w:rPr>
      </w:pPr>
      <w:r w:rsidRPr="00191296">
        <w:rPr>
          <w:noProof/>
        </w:rPr>
        <w:t>Chapter 3: Why is government action needed?</w:t>
      </w:r>
      <w:r>
        <w:rPr>
          <w:noProof/>
          <w:webHidden/>
        </w:rPr>
        <w:tab/>
        <w:t>10</w:t>
      </w:r>
    </w:p>
    <w:p w14:paraId="664DE85D" w14:textId="49350121" w:rsidR="00C97821" w:rsidRDefault="00C97821">
      <w:pPr>
        <w:pStyle w:val="TOC1"/>
        <w:rPr>
          <w:rFonts w:eastAsiaTheme="minorEastAsia"/>
          <w:b w:val="0"/>
          <w:noProof/>
          <w:color w:val="auto"/>
          <w:kern w:val="0"/>
          <w:sz w:val="22"/>
          <w:szCs w:val="22"/>
          <w:u w:val="none"/>
          <w:lang w:eastAsia="en-AU"/>
        </w:rPr>
      </w:pPr>
      <w:r w:rsidRPr="00191296">
        <w:rPr>
          <w:noProof/>
        </w:rPr>
        <w:t>Chapter 4: Policy options considered</w:t>
      </w:r>
      <w:r>
        <w:rPr>
          <w:noProof/>
          <w:webHidden/>
        </w:rPr>
        <w:tab/>
        <w:t>11</w:t>
      </w:r>
    </w:p>
    <w:p w14:paraId="55D823FB" w14:textId="7C45A799" w:rsidR="00C97821" w:rsidRDefault="00C97821">
      <w:pPr>
        <w:pStyle w:val="TOC2"/>
        <w:rPr>
          <w:rFonts w:eastAsiaTheme="minorEastAsia"/>
          <w:noProof/>
          <w:color w:val="auto"/>
          <w:kern w:val="0"/>
          <w:sz w:val="22"/>
          <w:szCs w:val="22"/>
          <w:lang w:eastAsia="en-AU"/>
        </w:rPr>
      </w:pPr>
      <w:r w:rsidRPr="00191296">
        <w:rPr>
          <w:noProof/>
        </w:rPr>
        <w:t>Summary of options</w:t>
      </w:r>
      <w:r>
        <w:rPr>
          <w:noProof/>
          <w:webHidden/>
        </w:rPr>
        <w:tab/>
        <w:t>11</w:t>
      </w:r>
    </w:p>
    <w:p w14:paraId="5FE9391C" w14:textId="3941D84B" w:rsidR="00C97821" w:rsidRDefault="00C97821">
      <w:pPr>
        <w:pStyle w:val="TOC2"/>
        <w:rPr>
          <w:rFonts w:eastAsiaTheme="minorEastAsia"/>
          <w:noProof/>
          <w:color w:val="auto"/>
          <w:kern w:val="0"/>
          <w:sz w:val="22"/>
          <w:szCs w:val="22"/>
          <w:lang w:eastAsia="en-AU"/>
        </w:rPr>
      </w:pPr>
      <w:r w:rsidRPr="00191296">
        <w:rPr>
          <w:noProof/>
        </w:rPr>
        <w:t>Discussion of options</w:t>
      </w:r>
      <w:r>
        <w:rPr>
          <w:noProof/>
          <w:webHidden/>
        </w:rPr>
        <w:tab/>
        <w:t>11</w:t>
      </w:r>
    </w:p>
    <w:p w14:paraId="1140DAB7" w14:textId="59D79FD9" w:rsidR="00C97821" w:rsidRDefault="00C97821">
      <w:pPr>
        <w:pStyle w:val="TOC3"/>
        <w:rPr>
          <w:rFonts w:eastAsiaTheme="minorEastAsia"/>
          <w:color w:val="auto"/>
          <w:kern w:val="0"/>
          <w:sz w:val="22"/>
          <w:szCs w:val="22"/>
          <w:lang w:eastAsia="en-AU"/>
        </w:rPr>
      </w:pPr>
      <w:r w:rsidRPr="00191296">
        <w:t>Option 1: De-regulation (repeal the current requirements)</w:t>
      </w:r>
      <w:r>
        <w:rPr>
          <w:webHidden/>
        </w:rPr>
        <w:tab/>
        <w:t>11</w:t>
      </w:r>
    </w:p>
    <w:p w14:paraId="00135568" w14:textId="6649F00C" w:rsidR="00C97821" w:rsidRDefault="00C97821">
      <w:pPr>
        <w:pStyle w:val="TOC3"/>
        <w:rPr>
          <w:rFonts w:eastAsiaTheme="minorEastAsia"/>
          <w:color w:val="auto"/>
          <w:kern w:val="0"/>
          <w:sz w:val="22"/>
          <w:szCs w:val="22"/>
          <w:lang w:eastAsia="en-AU"/>
        </w:rPr>
      </w:pPr>
      <w:r w:rsidRPr="00191296">
        <w:t>Option 2: Retain existing standards under the RVSA (business as usual)</w:t>
      </w:r>
      <w:r>
        <w:rPr>
          <w:webHidden/>
        </w:rPr>
        <w:tab/>
        <w:t>11</w:t>
      </w:r>
    </w:p>
    <w:p w14:paraId="00C02FBB" w14:textId="76E6D3EB" w:rsidR="00C97821" w:rsidRDefault="00C97821">
      <w:pPr>
        <w:pStyle w:val="TOC3"/>
        <w:rPr>
          <w:rFonts w:eastAsiaTheme="minorEastAsia"/>
          <w:color w:val="auto"/>
          <w:kern w:val="0"/>
          <w:sz w:val="22"/>
          <w:szCs w:val="22"/>
          <w:lang w:eastAsia="en-AU"/>
        </w:rPr>
      </w:pPr>
      <w:r w:rsidRPr="00191296">
        <w:t>Option 3: Implement updated standards under the RVSA</w:t>
      </w:r>
      <w:r>
        <w:rPr>
          <w:webHidden/>
        </w:rPr>
        <w:tab/>
        <w:t>12</w:t>
      </w:r>
    </w:p>
    <w:p w14:paraId="67F3CE35" w14:textId="6CF9979F" w:rsidR="00C97821" w:rsidRDefault="00C97821">
      <w:pPr>
        <w:pStyle w:val="TOC1"/>
        <w:rPr>
          <w:rFonts w:eastAsiaTheme="minorEastAsia"/>
          <w:b w:val="0"/>
          <w:noProof/>
          <w:color w:val="auto"/>
          <w:kern w:val="0"/>
          <w:sz w:val="22"/>
          <w:szCs w:val="22"/>
          <w:u w:val="none"/>
          <w:lang w:eastAsia="en-AU"/>
        </w:rPr>
      </w:pPr>
      <w:r w:rsidRPr="00191296">
        <w:rPr>
          <w:noProof/>
        </w:rPr>
        <w:t>Chapter 5: Likely net benefit of each option</w:t>
      </w:r>
      <w:r>
        <w:rPr>
          <w:noProof/>
          <w:webHidden/>
        </w:rPr>
        <w:tab/>
        <w:t>18</w:t>
      </w:r>
    </w:p>
    <w:p w14:paraId="0F3AB45F" w14:textId="0D47662D" w:rsidR="00C97821" w:rsidRDefault="00C97821">
      <w:pPr>
        <w:pStyle w:val="TOC2"/>
        <w:rPr>
          <w:rFonts w:eastAsiaTheme="minorEastAsia"/>
          <w:noProof/>
          <w:color w:val="auto"/>
          <w:kern w:val="0"/>
          <w:sz w:val="22"/>
          <w:szCs w:val="22"/>
          <w:lang w:eastAsia="en-AU"/>
        </w:rPr>
      </w:pPr>
      <w:r w:rsidRPr="00191296">
        <w:rPr>
          <w:noProof/>
        </w:rPr>
        <w:t>Benefit-cost analysis</w:t>
      </w:r>
      <w:r>
        <w:rPr>
          <w:noProof/>
          <w:webHidden/>
        </w:rPr>
        <w:tab/>
        <w:t>18</w:t>
      </w:r>
    </w:p>
    <w:p w14:paraId="5A265868" w14:textId="1099A7DC" w:rsidR="00C97821" w:rsidRDefault="00C97821">
      <w:pPr>
        <w:pStyle w:val="TOC3"/>
        <w:rPr>
          <w:rFonts w:eastAsiaTheme="minorEastAsia"/>
          <w:color w:val="auto"/>
          <w:kern w:val="0"/>
          <w:sz w:val="22"/>
          <w:szCs w:val="22"/>
          <w:lang w:eastAsia="en-AU"/>
        </w:rPr>
      </w:pPr>
      <w:r w:rsidRPr="00191296">
        <w:t>Demand forecasts</w:t>
      </w:r>
      <w:r>
        <w:rPr>
          <w:webHidden/>
        </w:rPr>
        <w:tab/>
        <w:t>18</w:t>
      </w:r>
    </w:p>
    <w:p w14:paraId="0C1A7AF5" w14:textId="0C3BC7CC" w:rsidR="00C97821" w:rsidRDefault="00C97821">
      <w:pPr>
        <w:pStyle w:val="TOC3"/>
        <w:rPr>
          <w:rFonts w:eastAsiaTheme="minorEastAsia"/>
          <w:color w:val="auto"/>
          <w:kern w:val="0"/>
          <w:sz w:val="22"/>
          <w:szCs w:val="22"/>
          <w:lang w:eastAsia="en-AU"/>
        </w:rPr>
      </w:pPr>
      <w:r w:rsidRPr="00191296">
        <w:t>Benefits</w:t>
      </w:r>
      <w:r>
        <w:rPr>
          <w:webHidden/>
        </w:rPr>
        <w:tab/>
        <w:t>20</w:t>
      </w:r>
    </w:p>
    <w:p w14:paraId="6EEBAF11" w14:textId="1F14A9CE" w:rsidR="00C97821" w:rsidRDefault="00C97821">
      <w:pPr>
        <w:pStyle w:val="TOC3"/>
        <w:rPr>
          <w:rFonts w:eastAsiaTheme="minorEastAsia"/>
          <w:color w:val="auto"/>
          <w:kern w:val="0"/>
          <w:sz w:val="22"/>
          <w:szCs w:val="22"/>
          <w:lang w:eastAsia="en-AU"/>
        </w:rPr>
      </w:pPr>
      <w:r w:rsidRPr="00191296">
        <w:t>Costs</w:t>
      </w:r>
      <w:r>
        <w:rPr>
          <w:webHidden/>
        </w:rPr>
        <w:tab/>
      </w:r>
      <w:r>
        <w:rPr>
          <w:webHidden/>
        </w:rPr>
        <w:tab/>
        <w:t>23</w:t>
      </w:r>
    </w:p>
    <w:p w14:paraId="62A80381" w14:textId="3FBC1A78" w:rsidR="00C97821" w:rsidRDefault="00C97821">
      <w:pPr>
        <w:pStyle w:val="TOC3"/>
        <w:rPr>
          <w:rFonts w:eastAsiaTheme="minorEastAsia"/>
          <w:color w:val="auto"/>
          <w:kern w:val="0"/>
          <w:sz w:val="22"/>
          <w:szCs w:val="22"/>
          <w:lang w:eastAsia="en-AU"/>
        </w:rPr>
      </w:pPr>
      <w:r w:rsidRPr="00191296">
        <w:t>Benefit-cost analysis results</w:t>
      </w:r>
      <w:r>
        <w:rPr>
          <w:webHidden/>
        </w:rPr>
        <w:tab/>
        <w:t>25</w:t>
      </w:r>
    </w:p>
    <w:p w14:paraId="629B4E18" w14:textId="05AE93DE" w:rsidR="00C97821" w:rsidRDefault="00C97821">
      <w:pPr>
        <w:pStyle w:val="TOC3"/>
        <w:rPr>
          <w:rFonts w:eastAsiaTheme="minorEastAsia"/>
          <w:color w:val="auto"/>
          <w:kern w:val="0"/>
          <w:sz w:val="22"/>
          <w:szCs w:val="22"/>
          <w:lang w:eastAsia="en-AU"/>
        </w:rPr>
      </w:pPr>
      <w:r w:rsidRPr="00191296">
        <w:t>Sensitivity analysis</w:t>
      </w:r>
      <w:r>
        <w:rPr>
          <w:webHidden/>
        </w:rPr>
        <w:tab/>
        <w:t>25</w:t>
      </w:r>
    </w:p>
    <w:p w14:paraId="7B0FCD93" w14:textId="208D546A" w:rsidR="00C97821" w:rsidRDefault="00C97821">
      <w:pPr>
        <w:pStyle w:val="TOC2"/>
        <w:rPr>
          <w:rFonts w:eastAsiaTheme="minorEastAsia"/>
          <w:noProof/>
          <w:color w:val="auto"/>
          <w:kern w:val="0"/>
          <w:sz w:val="22"/>
          <w:szCs w:val="22"/>
          <w:lang w:eastAsia="en-AU"/>
        </w:rPr>
      </w:pPr>
      <w:r w:rsidRPr="00191296">
        <w:rPr>
          <w:noProof/>
        </w:rPr>
        <w:t>Distribution of the benefits and costs</w:t>
      </w:r>
      <w:r>
        <w:rPr>
          <w:noProof/>
          <w:webHidden/>
        </w:rPr>
        <w:tab/>
        <w:t>27</w:t>
      </w:r>
    </w:p>
    <w:p w14:paraId="284E7EF5" w14:textId="5C401D2B" w:rsidR="00C97821" w:rsidRDefault="00C97821">
      <w:pPr>
        <w:pStyle w:val="TOC3"/>
        <w:rPr>
          <w:rFonts w:eastAsiaTheme="minorEastAsia"/>
          <w:color w:val="auto"/>
          <w:kern w:val="0"/>
          <w:sz w:val="22"/>
          <w:szCs w:val="22"/>
          <w:lang w:eastAsia="en-AU"/>
        </w:rPr>
      </w:pPr>
      <w:r w:rsidRPr="00191296">
        <w:t>Impact of viable options</w:t>
      </w:r>
      <w:r>
        <w:rPr>
          <w:webHidden/>
        </w:rPr>
        <w:tab/>
        <w:t>27</w:t>
      </w:r>
    </w:p>
    <w:p w14:paraId="66694EE6" w14:textId="65624FD1" w:rsidR="00C97821" w:rsidRDefault="00C97821">
      <w:pPr>
        <w:pStyle w:val="TOC1"/>
        <w:rPr>
          <w:rFonts w:eastAsiaTheme="minorEastAsia"/>
          <w:b w:val="0"/>
          <w:noProof/>
          <w:color w:val="auto"/>
          <w:kern w:val="0"/>
          <w:sz w:val="22"/>
          <w:szCs w:val="22"/>
          <w:u w:val="none"/>
          <w:lang w:eastAsia="en-AU"/>
        </w:rPr>
      </w:pPr>
      <w:r w:rsidRPr="00191296">
        <w:rPr>
          <w:noProof/>
        </w:rPr>
        <w:t>Chapter 6: Consultation</w:t>
      </w:r>
      <w:r>
        <w:rPr>
          <w:noProof/>
          <w:webHidden/>
        </w:rPr>
        <w:tab/>
        <w:t>34</w:t>
      </w:r>
    </w:p>
    <w:p w14:paraId="7104BBD9" w14:textId="034107DF" w:rsidR="00C97821" w:rsidRDefault="00C97821">
      <w:pPr>
        <w:pStyle w:val="TOC2"/>
        <w:rPr>
          <w:rFonts w:eastAsiaTheme="minorEastAsia"/>
          <w:noProof/>
          <w:color w:val="auto"/>
          <w:kern w:val="0"/>
          <w:sz w:val="22"/>
          <w:szCs w:val="22"/>
          <w:lang w:eastAsia="en-AU"/>
        </w:rPr>
      </w:pPr>
      <w:r w:rsidRPr="00191296">
        <w:rPr>
          <w:noProof/>
        </w:rPr>
        <w:t>General consultation arrangements and committees</w:t>
      </w:r>
      <w:r>
        <w:rPr>
          <w:noProof/>
          <w:webHidden/>
        </w:rPr>
        <w:tab/>
        <w:t>34</w:t>
      </w:r>
    </w:p>
    <w:p w14:paraId="5DA75C0E" w14:textId="63F7E695" w:rsidR="00C97821" w:rsidRDefault="00C97821">
      <w:pPr>
        <w:pStyle w:val="TOC2"/>
        <w:rPr>
          <w:rFonts w:eastAsiaTheme="minorEastAsia"/>
          <w:noProof/>
          <w:color w:val="auto"/>
          <w:kern w:val="0"/>
          <w:sz w:val="22"/>
          <w:szCs w:val="22"/>
          <w:lang w:eastAsia="en-AU"/>
        </w:rPr>
      </w:pPr>
      <w:r w:rsidRPr="00191296">
        <w:rPr>
          <w:noProof/>
        </w:rPr>
        <w:t>Public comment</w:t>
      </w:r>
      <w:r>
        <w:rPr>
          <w:noProof/>
          <w:webHidden/>
        </w:rPr>
        <w:tab/>
        <w:t>34</w:t>
      </w:r>
    </w:p>
    <w:p w14:paraId="78837866" w14:textId="06399F19" w:rsidR="00C97821" w:rsidRDefault="00C97821">
      <w:pPr>
        <w:pStyle w:val="TOC2"/>
        <w:rPr>
          <w:rFonts w:eastAsiaTheme="minorEastAsia"/>
          <w:noProof/>
          <w:color w:val="auto"/>
          <w:kern w:val="0"/>
          <w:sz w:val="22"/>
          <w:szCs w:val="22"/>
          <w:lang w:eastAsia="en-AU"/>
        </w:rPr>
      </w:pPr>
      <w:r w:rsidRPr="00191296">
        <w:rPr>
          <w:noProof/>
        </w:rPr>
        <w:t>Informal Working Group on Safer Freight Vehicles</w:t>
      </w:r>
      <w:r>
        <w:rPr>
          <w:noProof/>
          <w:webHidden/>
        </w:rPr>
        <w:tab/>
        <w:t>35</w:t>
      </w:r>
    </w:p>
    <w:p w14:paraId="66AECFCC" w14:textId="1D7B3DCC" w:rsidR="00C97821" w:rsidRDefault="00C97821">
      <w:pPr>
        <w:pStyle w:val="TOC2"/>
        <w:rPr>
          <w:rFonts w:eastAsiaTheme="minorEastAsia"/>
          <w:noProof/>
          <w:color w:val="auto"/>
          <w:kern w:val="0"/>
          <w:sz w:val="22"/>
          <w:szCs w:val="22"/>
          <w:lang w:eastAsia="en-AU"/>
        </w:rPr>
      </w:pPr>
      <w:r w:rsidRPr="00191296">
        <w:rPr>
          <w:noProof/>
        </w:rPr>
        <w:t>SVSEG and TLG</w:t>
      </w:r>
      <w:r>
        <w:rPr>
          <w:noProof/>
          <w:webHidden/>
        </w:rPr>
        <w:tab/>
        <w:t>35</w:t>
      </w:r>
    </w:p>
    <w:p w14:paraId="5B66B0EE" w14:textId="1A0267B5" w:rsidR="00C97821" w:rsidRDefault="00C97821">
      <w:pPr>
        <w:pStyle w:val="TOC2"/>
        <w:rPr>
          <w:rFonts w:eastAsiaTheme="minorEastAsia"/>
          <w:noProof/>
          <w:color w:val="auto"/>
          <w:kern w:val="0"/>
          <w:sz w:val="22"/>
          <w:szCs w:val="22"/>
          <w:lang w:eastAsia="en-AU"/>
        </w:rPr>
      </w:pPr>
      <w:r w:rsidRPr="00191296">
        <w:rPr>
          <w:noProof/>
        </w:rPr>
        <w:t>ITMM</w:t>
      </w:r>
      <w:r>
        <w:rPr>
          <w:noProof/>
          <w:webHidden/>
        </w:rPr>
        <w:tab/>
      </w:r>
      <w:r>
        <w:rPr>
          <w:noProof/>
          <w:webHidden/>
        </w:rPr>
        <w:tab/>
        <w:t>36</w:t>
      </w:r>
    </w:p>
    <w:p w14:paraId="5C0805B8" w14:textId="77777777" w:rsidR="00C97821" w:rsidRDefault="00C97821">
      <w:pPr>
        <w:suppressAutoHyphens w:val="0"/>
        <w:rPr>
          <w:rStyle w:val="Hyperlink"/>
          <w:b/>
          <w:noProof/>
          <w:sz w:val="24"/>
          <w:u w:color="4BB3B5" w:themeColor="accent2"/>
        </w:rPr>
      </w:pPr>
      <w:r>
        <w:rPr>
          <w:rStyle w:val="Hyperlink"/>
          <w:noProof/>
        </w:rPr>
        <w:br w:type="page"/>
      </w:r>
    </w:p>
    <w:p w14:paraId="0D9E82EA" w14:textId="74C82422" w:rsidR="00C97821" w:rsidRDefault="00C97821">
      <w:pPr>
        <w:pStyle w:val="TOC1"/>
        <w:rPr>
          <w:rFonts w:eastAsiaTheme="minorEastAsia"/>
          <w:b w:val="0"/>
          <w:noProof/>
          <w:color w:val="auto"/>
          <w:kern w:val="0"/>
          <w:sz w:val="22"/>
          <w:szCs w:val="22"/>
          <w:u w:val="none"/>
          <w:lang w:eastAsia="en-AU"/>
        </w:rPr>
      </w:pPr>
      <w:r w:rsidRPr="00191296">
        <w:rPr>
          <w:noProof/>
        </w:rPr>
        <w:t>Chapter 7: What is the best option?</w:t>
      </w:r>
      <w:r>
        <w:rPr>
          <w:noProof/>
          <w:webHidden/>
        </w:rPr>
        <w:tab/>
        <w:t>37</w:t>
      </w:r>
    </w:p>
    <w:p w14:paraId="1511066E" w14:textId="702F0736" w:rsidR="00C97821" w:rsidRDefault="00C97821">
      <w:pPr>
        <w:pStyle w:val="TOC2"/>
        <w:rPr>
          <w:rFonts w:eastAsiaTheme="minorEastAsia"/>
          <w:noProof/>
          <w:color w:val="auto"/>
          <w:kern w:val="0"/>
          <w:sz w:val="22"/>
          <w:szCs w:val="22"/>
          <w:lang w:eastAsia="en-AU"/>
        </w:rPr>
      </w:pPr>
      <w:r w:rsidRPr="00191296">
        <w:rPr>
          <w:noProof/>
        </w:rPr>
        <w:t>Net benefits</w:t>
      </w:r>
      <w:r>
        <w:rPr>
          <w:noProof/>
          <w:webHidden/>
        </w:rPr>
        <w:tab/>
        <w:t>37</w:t>
      </w:r>
    </w:p>
    <w:p w14:paraId="49305F03" w14:textId="75BF87D8" w:rsidR="00C97821" w:rsidRDefault="00C97821">
      <w:pPr>
        <w:pStyle w:val="TOC2"/>
        <w:rPr>
          <w:rFonts w:eastAsiaTheme="minorEastAsia"/>
          <w:noProof/>
          <w:color w:val="auto"/>
          <w:kern w:val="0"/>
          <w:sz w:val="22"/>
          <w:szCs w:val="22"/>
          <w:lang w:eastAsia="en-AU"/>
        </w:rPr>
      </w:pPr>
      <w:r w:rsidRPr="00191296">
        <w:rPr>
          <w:noProof/>
        </w:rPr>
        <w:t>Discussion</w:t>
      </w:r>
      <w:r>
        <w:rPr>
          <w:noProof/>
          <w:webHidden/>
        </w:rPr>
        <w:tab/>
        <w:t>37</w:t>
      </w:r>
    </w:p>
    <w:p w14:paraId="5FB9C0A4" w14:textId="6D129E2C" w:rsidR="00C97821" w:rsidRDefault="00C97821">
      <w:pPr>
        <w:pStyle w:val="TOC2"/>
        <w:rPr>
          <w:rFonts w:eastAsiaTheme="minorEastAsia"/>
          <w:noProof/>
          <w:color w:val="auto"/>
          <w:kern w:val="0"/>
          <w:sz w:val="22"/>
          <w:szCs w:val="22"/>
          <w:lang w:eastAsia="en-AU"/>
        </w:rPr>
      </w:pPr>
      <w:r w:rsidRPr="00191296">
        <w:rPr>
          <w:noProof/>
        </w:rPr>
        <w:t>Recommendations</w:t>
      </w:r>
      <w:r>
        <w:rPr>
          <w:noProof/>
          <w:webHidden/>
        </w:rPr>
        <w:tab/>
        <w:t>38</w:t>
      </w:r>
    </w:p>
    <w:p w14:paraId="74204983" w14:textId="352E0908" w:rsidR="00C97821" w:rsidRDefault="00C97821">
      <w:pPr>
        <w:pStyle w:val="TOC1"/>
        <w:rPr>
          <w:rFonts w:eastAsiaTheme="minorEastAsia"/>
          <w:b w:val="0"/>
          <w:noProof/>
          <w:color w:val="auto"/>
          <w:kern w:val="0"/>
          <w:sz w:val="22"/>
          <w:szCs w:val="22"/>
          <w:u w:val="none"/>
          <w:lang w:eastAsia="en-AU"/>
        </w:rPr>
      </w:pPr>
      <w:r w:rsidRPr="00191296">
        <w:rPr>
          <w:noProof/>
        </w:rPr>
        <w:t>Chapter 8: Implementation and evaluation</w:t>
      </w:r>
      <w:r>
        <w:rPr>
          <w:noProof/>
          <w:webHidden/>
        </w:rPr>
        <w:tab/>
        <w:t>39</w:t>
      </w:r>
    </w:p>
    <w:p w14:paraId="15B1230C" w14:textId="2C0AC7F4" w:rsidR="00C97821" w:rsidRDefault="00C97821">
      <w:pPr>
        <w:pStyle w:val="TOC2"/>
        <w:rPr>
          <w:rFonts w:eastAsiaTheme="minorEastAsia"/>
          <w:noProof/>
          <w:color w:val="auto"/>
          <w:kern w:val="0"/>
          <w:sz w:val="22"/>
          <w:szCs w:val="22"/>
          <w:lang w:eastAsia="en-AU"/>
        </w:rPr>
      </w:pPr>
      <w:r w:rsidRPr="00191296">
        <w:rPr>
          <w:noProof/>
        </w:rPr>
        <w:t>Implementation of updated standards</w:t>
      </w:r>
      <w:r>
        <w:rPr>
          <w:noProof/>
          <w:webHidden/>
        </w:rPr>
        <w:tab/>
        <w:t>39</w:t>
      </w:r>
    </w:p>
    <w:p w14:paraId="479A51F6" w14:textId="2FC8CB74" w:rsidR="00C97821" w:rsidRDefault="00C97821">
      <w:pPr>
        <w:pStyle w:val="TOC2"/>
        <w:rPr>
          <w:rFonts w:eastAsiaTheme="minorEastAsia"/>
          <w:noProof/>
          <w:color w:val="auto"/>
          <w:kern w:val="0"/>
          <w:sz w:val="22"/>
          <w:szCs w:val="22"/>
          <w:lang w:eastAsia="en-AU"/>
        </w:rPr>
      </w:pPr>
      <w:r w:rsidRPr="00191296">
        <w:rPr>
          <w:noProof/>
        </w:rPr>
        <w:t>Implementation risks</w:t>
      </w:r>
      <w:r>
        <w:rPr>
          <w:noProof/>
          <w:webHidden/>
        </w:rPr>
        <w:tab/>
        <w:t>39</w:t>
      </w:r>
    </w:p>
    <w:p w14:paraId="0647129A" w14:textId="6C3E3C22" w:rsidR="00C97821" w:rsidRDefault="00C97821">
      <w:pPr>
        <w:pStyle w:val="TOC2"/>
        <w:rPr>
          <w:rFonts w:eastAsiaTheme="minorEastAsia"/>
          <w:noProof/>
          <w:color w:val="auto"/>
          <w:kern w:val="0"/>
          <w:sz w:val="22"/>
          <w:szCs w:val="22"/>
          <w:lang w:eastAsia="en-AU"/>
        </w:rPr>
      </w:pPr>
      <w:r w:rsidRPr="00191296">
        <w:rPr>
          <w:noProof/>
        </w:rPr>
        <w:t>Review and evaluation of standards</w:t>
      </w:r>
      <w:r>
        <w:rPr>
          <w:noProof/>
          <w:webHidden/>
        </w:rPr>
        <w:tab/>
        <w:t>40</w:t>
      </w:r>
    </w:p>
    <w:p w14:paraId="6FA15551" w14:textId="62AF012D" w:rsidR="00C97821" w:rsidRDefault="00C97821">
      <w:pPr>
        <w:pStyle w:val="TOC2"/>
        <w:rPr>
          <w:rFonts w:eastAsiaTheme="minorEastAsia"/>
          <w:noProof/>
          <w:color w:val="auto"/>
          <w:kern w:val="0"/>
          <w:sz w:val="22"/>
          <w:szCs w:val="22"/>
          <w:lang w:eastAsia="en-AU"/>
        </w:rPr>
      </w:pPr>
      <w:r w:rsidRPr="00191296">
        <w:rPr>
          <w:noProof/>
        </w:rPr>
        <w:t>Exemption from sunsetting</w:t>
      </w:r>
      <w:r>
        <w:rPr>
          <w:noProof/>
          <w:webHidden/>
        </w:rPr>
        <w:tab/>
        <w:t>40</w:t>
      </w:r>
    </w:p>
    <w:p w14:paraId="1B52E72F" w14:textId="56131217" w:rsidR="00C97821" w:rsidRDefault="00C97821">
      <w:pPr>
        <w:pStyle w:val="TOC1"/>
        <w:rPr>
          <w:rFonts w:eastAsiaTheme="minorEastAsia"/>
          <w:b w:val="0"/>
          <w:noProof/>
          <w:color w:val="auto"/>
          <w:kern w:val="0"/>
          <w:sz w:val="22"/>
          <w:szCs w:val="22"/>
          <w:u w:val="none"/>
          <w:lang w:eastAsia="en-AU"/>
        </w:rPr>
      </w:pPr>
      <w:r w:rsidRPr="00191296">
        <w:rPr>
          <w:noProof/>
        </w:rPr>
        <w:t>References</w:t>
      </w:r>
      <w:r>
        <w:rPr>
          <w:noProof/>
          <w:webHidden/>
        </w:rPr>
        <w:tab/>
        <w:t>42</w:t>
      </w:r>
    </w:p>
    <w:p w14:paraId="567BB922" w14:textId="43BFF81B" w:rsidR="00C97821" w:rsidRDefault="00C97821">
      <w:pPr>
        <w:pStyle w:val="TOC1"/>
        <w:rPr>
          <w:rFonts w:eastAsiaTheme="minorEastAsia"/>
          <w:b w:val="0"/>
          <w:noProof/>
          <w:color w:val="auto"/>
          <w:kern w:val="0"/>
          <w:sz w:val="22"/>
          <w:szCs w:val="22"/>
          <w:u w:val="none"/>
          <w:lang w:eastAsia="en-AU"/>
        </w:rPr>
      </w:pPr>
      <w:r w:rsidRPr="00191296">
        <w:rPr>
          <w:noProof/>
        </w:rPr>
        <w:t>Appendix 1 – Acronyms and abbreviations</w:t>
      </w:r>
      <w:r>
        <w:rPr>
          <w:noProof/>
          <w:webHidden/>
        </w:rPr>
        <w:tab/>
        <w:t>44</w:t>
      </w:r>
    </w:p>
    <w:p w14:paraId="637A3CFE" w14:textId="6BC12DAF" w:rsidR="00C97821" w:rsidRDefault="00C97821">
      <w:pPr>
        <w:pStyle w:val="TOC1"/>
        <w:rPr>
          <w:rFonts w:eastAsiaTheme="minorEastAsia"/>
          <w:b w:val="0"/>
          <w:noProof/>
          <w:color w:val="auto"/>
          <w:kern w:val="0"/>
          <w:sz w:val="22"/>
          <w:szCs w:val="22"/>
          <w:u w:val="none"/>
          <w:lang w:eastAsia="en-AU"/>
        </w:rPr>
      </w:pPr>
      <w:r w:rsidRPr="00191296">
        <w:rPr>
          <w:noProof/>
        </w:rPr>
        <w:t>Appendix 2 – Glossary</w:t>
      </w:r>
      <w:r>
        <w:rPr>
          <w:noProof/>
          <w:webHidden/>
        </w:rPr>
        <w:tab/>
        <w:t>46</w:t>
      </w:r>
    </w:p>
    <w:p w14:paraId="6382CED6" w14:textId="5432DA25" w:rsidR="00C97821" w:rsidRDefault="00C97821">
      <w:pPr>
        <w:pStyle w:val="TOC1"/>
        <w:rPr>
          <w:rFonts w:eastAsiaTheme="minorEastAsia"/>
          <w:b w:val="0"/>
          <w:noProof/>
          <w:color w:val="auto"/>
          <w:kern w:val="0"/>
          <w:sz w:val="22"/>
          <w:szCs w:val="22"/>
          <w:u w:val="none"/>
          <w:lang w:eastAsia="en-AU"/>
        </w:rPr>
      </w:pPr>
      <w:r w:rsidRPr="00191296">
        <w:rPr>
          <w:noProof/>
        </w:rPr>
        <w:t>Appendix 3 – Heavy goods vehicle and trailer categories</w:t>
      </w:r>
      <w:r>
        <w:rPr>
          <w:noProof/>
          <w:webHidden/>
        </w:rPr>
        <w:tab/>
        <w:t>49</w:t>
      </w:r>
    </w:p>
    <w:p w14:paraId="2C45DD88" w14:textId="056E4CE3" w:rsidR="00C97821" w:rsidRDefault="00C97821">
      <w:pPr>
        <w:pStyle w:val="TOC1"/>
        <w:rPr>
          <w:rFonts w:eastAsiaTheme="minorEastAsia"/>
          <w:b w:val="0"/>
          <w:noProof/>
          <w:color w:val="auto"/>
          <w:kern w:val="0"/>
          <w:sz w:val="22"/>
          <w:szCs w:val="22"/>
          <w:u w:val="none"/>
          <w:lang w:eastAsia="en-AU"/>
        </w:rPr>
      </w:pPr>
      <w:r w:rsidRPr="00191296">
        <w:rPr>
          <w:noProof/>
        </w:rPr>
        <w:t>Appendix 4 – Summary of vehicle width requirements by market</w:t>
      </w:r>
      <w:r>
        <w:rPr>
          <w:noProof/>
          <w:webHidden/>
        </w:rPr>
        <w:tab/>
        <w:t>50</w:t>
      </w:r>
    </w:p>
    <w:p w14:paraId="0F507291" w14:textId="1B4FD77B" w:rsidR="00C97821" w:rsidRDefault="00C97821">
      <w:pPr>
        <w:pStyle w:val="TOC1"/>
        <w:rPr>
          <w:rFonts w:eastAsiaTheme="minorEastAsia"/>
          <w:b w:val="0"/>
          <w:noProof/>
          <w:color w:val="auto"/>
          <w:kern w:val="0"/>
          <w:sz w:val="22"/>
          <w:szCs w:val="22"/>
          <w:u w:val="none"/>
          <w:lang w:eastAsia="en-AU"/>
        </w:rPr>
      </w:pPr>
      <w:r w:rsidRPr="00191296">
        <w:rPr>
          <w:noProof/>
        </w:rPr>
        <w:t>Appendix 5 – Devices for indirect vision</w:t>
      </w:r>
      <w:r>
        <w:rPr>
          <w:noProof/>
          <w:webHidden/>
        </w:rPr>
        <w:tab/>
        <w:t>53</w:t>
      </w:r>
    </w:p>
    <w:p w14:paraId="1C47D515" w14:textId="18F822C4" w:rsidR="00C97821" w:rsidRDefault="00C97821">
      <w:pPr>
        <w:pStyle w:val="TOC1"/>
        <w:rPr>
          <w:rFonts w:eastAsiaTheme="minorEastAsia"/>
          <w:b w:val="0"/>
          <w:noProof/>
          <w:color w:val="auto"/>
          <w:kern w:val="0"/>
          <w:sz w:val="22"/>
          <w:szCs w:val="22"/>
          <w:u w:val="none"/>
          <w:lang w:eastAsia="en-AU"/>
        </w:rPr>
      </w:pPr>
      <w:r w:rsidRPr="00191296">
        <w:rPr>
          <w:noProof/>
        </w:rPr>
        <w:t>Appendix 6 – Electronic Stability Control</w:t>
      </w:r>
      <w:r>
        <w:rPr>
          <w:noProof/>
          <w:webHidden/>
        </w:rPr>
        <w:tab/>
        <w:t>57</w:t>
      </w:r>
    </w:p>
    <w:p w14:paraId="0AC64725" w14:textId="67B6DE43" w:rsidR="00C97821" w:rsidRDefault="00C97821">
      <w:pPr>
        <w:pStyle w:val="TOC1"/>
        <w:rPr>
          <w:rFonts w:eastAsiaTheme="minorEastAsia"/>
          <w:b w:val="0"/>
          <w:noProof/>
          <w:color w:val="auto"/>
          <w:kern w:val="0"/>
          <w:sz w:val="22"/>
          <w:szCs w:val="22"/>
          <w:u w:val="none"/>
          <w:lang w:eastAsia="en-AU"/>
        </w:rPr>
      </w:pPr>
      <w:r w:rsidRPr="00191296">
        <w:rPr>
          <w:noProof/>
        </w:rPr>
        <w:t>Appendix 7 – Advanced Emergency Braking</w:t>
      </w:r>
      <w:r>
        <w:rPr>
          <w:noProof/>
          <w:webHidden/>
        </w:rPr>
        <w:tab/>
        <w:t>60</w:t>
      </w:r>
    </w:p>
    <w:p w14:paraId="73A418FA" w14:textId="02D2262B" w:rsidR="00C97821" w:rsidRDefault="00C97821">
      <w:pPr>
        <w:pStyle w:val="TOC1"/>
        <w:rPr>
          <w:rFonts w:eastAsiaTheme="minorEastAsia"/>
          <w:b w:val="0"/>
          <w:noProof/>
          <w:color w:val="auto"/>
          <w:kern w:val="0"/>
          <w:sz w:val="22"/>
          <w:szCs w:val="22"/>
          <w:u w:val="none"/>
          <w:lang w:eastAsia="en-AU"/>
        </w:rPr>
      </w:pPr>
      <w:r w:rsidRPr="00191296">
        <w:rPr>
          <w:noProof/>
        </w:rPr>
        <w:t>Appendix 8 – Lane Departure Warning Systems</w:t>
      </w:r>
      <w:r>
        <w:rPr>
          <w:noProof/>
          <w:webHidden/>
        </w:rPr>
        <w:tab/>
        <w:t>62</w:t>
      </w:r>
    </w:p>
    <w:p w14:paraId="795F140C" w14:textId="1EDBB193" w:rsidR="00C97821" w:rsidRDefault="00C97821">
      <w:pPr>
        <w:pStyle w:val="TOC1"/>
        <w:rPr>
          <w:rFonts w:eastAsiaTheme="minorEastAsia"/>
          <w:b w:val="0"/>
          <w:noProof/>
          <w:color w:val="auto"/>
          <w:kern w:val="0"/>
          <w:sz w:val="22"/>
          <w:szCs w:val="22"/>
          <w:u w:val="none"/>
          <w:lang w:eastAsia="en-AU"/>
        </w:rPr>
      </w:pPr>
      <w:r w:rsidRPr="00191296">
        <w:rPr>
          <w:noProof/>
        </w:rPr>
        <w:t>Appendix 9 – Blind Spot Information Systems</w:t>
      </w:r>
      <w:r>
        <w:rPr>
          <w:noProof/>
          <w:webHidden/>
        </w:rPr>
        <w:tab/>
        <w:t>63</w:t>
      </w:r>
    </w:p>
    <w:p w14:paraId="4F90F97C" w14:textId="1929F1D9" w:rsidR="00C97821" w:rsidRDefault="00C97821">
      <w:pPr>
        <w:pStyle w:val="TOC1"/>
        <w:rPr>
          <w:rFonts w:eastAsiaTheme="minorEastAsia"/>
          <w:b w:val="0"/>
          <w:noProof/>
          <w:color w:val="auto"/>
          <w:kern w:val="0"/>
          <w:sz w:val="22"/>
          <w:szCs w:val="22"/>
          <w:u w:val="none"/>
          <w:lang w:eastAsia="en-AU"/>
        </w:rPr>
      </w:pPr>
      <w:r w:rsidRPr="00191296">
        <w:rPr>
          <w:noProof/>
        </w:rPr>
        <w:t>Appendix 10 – Side underrun protection</w:t>
      </w:r>
      <w:r>
        <w:rPr>
          <w:noProof/>
          <w:webHidden/>
        </w:rPr>
        <w:tab/>
        <w:t>64</w:t>
      </w:r>
    </w:p>
    <w:p w14:paraId="07BFDDE5" w14:textId="4928C5D4" w:rsidR="00C97821" w:rsidRDefault="00C97821">
      <w:pPr>
        <w:pStyle w:val="TOC1"/>
        <w:rPr>
          <w:rFonts w:eastAsiaTheme="minorEastAsia"/>
          <w:b w:val="0"/>
          <w:noProof/>
          <w:color w:val="auto"/>
          <w:kern w:val="0"/>
          <w:sz w:val="22"/>
          <w:szCs w:val="22"/>
          <w:u w:val="none"/>
          <w:lang w:eastAsia="en-AU"/>
        </w:rPr>
      </w:pPr>
      <w:r w:rsidRPr="00191296">
        <w:rPr>
          <w:noProof/>
        </w:rPr>
        <w:t>Appendix 11 – Conspicuity markings</w:t>
      </w:r>
      <w:r>
        <w:rPr>
          <w:noProof/>
          <w:webHidden/>
        </w:rPr>
        <w:tab/>
        <w:t>67</w:t>
      </w:r>
    </w:p>
    <w:p w14:paraId="66B0577B" w14:textId="33C3FB19" w:rsidR="00C97821" w:rsidRDefault="00C97821">
      <w:pPr>
        <w:pStyle w:val="TOC1"/>
        <w:rPr>
          <w:rFonts w:eastAsiaTheme="minorEastAsia"/>
          <w:b w:val="0"/>
          <w:noProof/>
          <w:color w:val="auto"/>
          <w:kern w:val="0"/>
          <w:sz w:val="22"/>
          <w:szCs w:val="22"/>
          <w:u w:val="none"/>
          <w:lang w:eastAsia="en-AU"/>
        </w:rPr>
      </w:pPr>
      <w:r w:rsidRPr="00191296">
        <w:rPr>
          <w:noProof/>
        </w:rPr>
        <w:t>Appendix 12 – Strategic Vehicle Safety and Environment Group</w:t>
      </w:r>
      <w:r>
        <w:rPr>
          <w:noProof/>
          <w:webHidden/>
        </w:rPr>
        <w:tab/>
        <w:t>69</w:t>
      </w:r>
    </w:p>
    <w:p w14:paraId="1618F9DB" w14:textId="4D45A345" w:rsidR="00C97821" w:rsidRDefault="00C97821">
      <w:pPr>
        <w:pStyle w:val="TOC1"/>
        <w:rPr>
          <w:rFonts w:eastAsiaTheme="minorEastAsia"/>
          <w:b w:val="0"/>
          <w:noProof/>
          <w:color w:val="auto"/>
          <w:kern w:val="0"/>
          <w:sz w:val="22"/>
          <w:szCs w:val="22"/>
          <w:u w:val="none"/>
          <w:lang w:eastAsia="en-AU"/>
        </w:rPr>
      </w:pPr>
      <w:r w:rsidRPr="00191296">
        <w:rPr>
          <w:noProof/>
        </w:rPr>
        <w:t>Appendix 13 – Technical Liaison Group</w:t>
      </w:r>
      <w:r>
        <w:rPr>
          <w:noProof/>
          <w:webHidden/>
        </w:rPr>
        <w:tab/>
        <w:t>70</w:t>
      </w:r>
    </w:p>
    <w:p w14:paraId="5735F6D0" w14:textId="6912DE8C" w:rsidR="00C97821" w:rsidRDefault="00C97821">
      <w:pPr>
        <w:pStyle w:val="TOC1"/>
        <w:rPr>
          <w:rFonts w:eastAsiaTheme="minorEastAsia"/>
          <w:b w:val="0"/>
          <w:noProof/>
          <w:color w:val="auto"/>
          <w:kern w:val="0"/>
          <w:sz w:val="22"/>
          <w:szCs w:val="22"/>
          <w:u w:val="none"/>
          <w:lang w:eastAsia="en-AU"/>
        </w:rPr>
      </w:pPr>
      <w:r w:rsidRPr="00191296">
        <w:rPr>
          <w:noProof/>
        </w:rPr>
        <w:t>Appendix 14 – Public Comment, Safer Freight Vehicles Discussion Paper</w:t>
      </w:r>
      <w:r>
        <w:rPr>
          <w:noProof/>
          <w:webHidden/>
        </w:rPr>
        <w:tab/>
        <w:t>71</w:t>
      </w:r>
    </w:p>
    <w:p w14:paraId="0FCB7143" w14:textId="56A2AF7A" w:rsidR="00DE4FE2" w:rsidRDefault="00DE4FE2">
      <w:pPr>
        <w:rPr>
          <w:b/>
          <w:sz w:val="24"/>
          <w:u w:val="single" w:color="4BB3B5" w:themeColor="accent2"/>
        </w:rPr>
      </w:pPr>
    </w:p>
    <w:p w14:paraId="0AC4C99F" w14:textId="77777777" w:rsidR="00C00417" w:rsidRPr="00A92328" w:rsidRDefault="00C00417">
      <w:pPr>
        <w:rPr>
          <w:color w:val="auto"/>
        </w:rPr>
      </w:pPr>
    </w:p>
    <w:p w14:paraId="3A7787AB" w14:textId="77777777" w:rsidR="00C42EC6" w:rsidRPr="00A92328" w:rsidRDefault="00C42EC6">
      <w:pPr>
        <w:suppressAutoHyphens w:val="0"/>
        <w:rPr>
          <w:rFonts w:asciiTheme="majorHAnsi" w:eastAsiaTheme="majorEastAsia" w:hAnsiTheme="majorHAnsi" w:cstheme="majorBidi"/>
          <w:color w:val="auto"/>
          <w:sz w:val="44"/>
          <w:szCs w:val="32"/>
        </w:rPr>
      </w:pPr>
      <w:r>
        <w:br w:type="page"/>
      </w:r>
    </w:p>
    <w:p w14:paraId="169C79B9" w14:textId="77777777" w:rsidR="005912BE" w:rsidRPr="007B6E69" w:rsidRDefault="002D3DC4" w:rsidP="00A77C0E">
      <w:pPr>
        <w:pStyle w:val="TOCHeading"/>
        <w:spacing w:before="240"/>
        <w:ind w:left="851" w:hanging="851"/>
      </w:pPr>
      <w:bookmarkStart w:id="2" w:name="_Toc111576717"/>
      <w:r w:rsidRPr="007B6E69">
        <w:t xml:space="preserve">List of </w:t>
      </w:r>
      <w:r w:rsidR="0093261E" w:rsidRPr="007B6E69">
        <w:t>t</w:t>
      </w:r>
      <w:r w:rsidR="006E1ECA" w:rsidRPr="007B6E69">
        <w:t>ables</w:t>
      </w:r>
      <w:bookmarkEnd w:id="2"/>
    </w:p>
    <w:p w14:paraId="0BF67671" w14:textId="396BAFE5"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 Summary of the benefits for each option</w:t>
      </w:r>
      <w:r>
        <w:rPr>
          <w:noProof/>
          <w:webHidden/>
        </w:rPr>
        <w:tab/>
      </w:r>
      <w:r w:rsidR="00514931">
        <w:rPr>
          <w:noProof/>
          <w:webHidden/>
        </w:rPr>
        <w:t>1</w:t>
      </w:r>
    </w:p>
    <w:p w14:paraId="092A846D" w14:textId="774EA8BA"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 Summary of the costs for each option</w:t>
      </w:r>
      <w:r>
        <w:rPr>
          <w:noProof/>
          <w:webHidden/>
        </w:rPr>
        <w:tab/>
      </w:r>
      <w:r w:rsidR="00514931">
        <w:rPr>
          <w:noProof/>
          <w:webHidden/>
        </w:rPr>
        <w:t>2</w:t>
      </w:r>
    </w:p>
    <w:p w14:paraId="3F2705FE" w14:textId="5C2E152F"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3: Summary of the outcomes of the BCA for each option</w:t>
      </w:r>
      <w:r>
        <w:rPr>
          <w:noProof/>
          <w:webHidden/>
        </w:rPr>
        <w:tab/>
      </w:r>
      <w:r w:rsidR="00514931">
        <w:rPr>
          <w:noProof/>
          <w:webHidden/>
        </w:rPr>
        <w:t>2</w:t>
      </w:r>
    </w:p>
    <w:p w14:paraId="571DA42F" w14:textId="71210A69"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4: Assumed take-up of wider vehicles used in the analysis</w:t>
      </w:r>
      <w:r>
        <w:rPr>
          <w:noProof/>
          <w:webHidden/>
        </w:rPr>
        <w:tab/>
      </w:r>
      <w:r w:rsidR="00514931">
        <w:rPr>
          <w:noProof/>
          <w:webHidden/>
        </w:rPr>
        <w:t>19</w:t>
      </w:r>
    </w:p>
    <w:p w14:paraId="273080C8" w14:textId="4CFEB69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5: Relative crash risks used in the analysis for vehicle safety systems or features</w:t>
      </w:r>
      <w:r>
        <w:rPr>
          <w:noProof/>
          <w:webHidden/>
        </w:rPr>
        <w:tab/>
      </w:r>
      <w:r w:rsidR="00514931">
        <w:rPr>
          <w:noProof/>
          <w:webHidden/>
        </w:rPr>
        <w:t>21</w:t>
      </w:r>
    </w:p>
    <w:p w14:paraId="0AC94D1B" w14:textId="2E56E32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6: Average willingness to pay based crash costs used in the analysis</w:t>
      </w:r>
      <w:r>
        <w:rPr>
          <w:noProof/>
          <w:webHidden/>
        </w:rPr>
        <w:tab/>
      </w:r>
      <w:r w:rsidR="00514931">
        <w:rPr>
          <w:noProof/>
          <w:webHidden/>
        </w:rPr>
        <w:t>22</w:t>
      </w:r>
    </w:p>
    <w:p w14:paraId="679FAD1E" w14:textId="65277BA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7: Average vehicle operating costs per VKT used in the analysis</w:t>
      </w:r>
      <w:r>
        <w:rPr>
          <w:noProof/>
          <w:webHidden/>
        </w:rPr>
        <w:tab/>
      </w:r>
      <w:r w:rsidR="00514931">
        <w:rPr>
          <w:noProof/>
          <w:webHidden/>
        </w:rPr>
        <w:t>22</w:t>
      </w:r>
    </w:p>
    <w:p w14:paraId="73C14D75" w14:textId="77E4F56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8: Average environmental costs per VKT used in the analysis</w:t>
      </w:r>
      <w:r>
        <w:rPr>
          <w:noProof/>
          <w:webHidden/>
        </w:rPr>
        <w:tab/>
      </w:r>
      <w:r w:rsidR="00514931">
        <w:rPr>
          <w:noProof/>
          <w:webHidden/>
        </w:rPr>
        <w:t>23</w:t>
      </w:r>
    </w:p>
    <w:p w14:paraId="59C5817B" w14:textId="4A13BEBF"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9: Unit fitment costs for safety systems or features used in the analysis</w:t>
      </w:r>
      <w:r>
        <w:rPr>
          <w:noProof/>
          <w:webHidden/>
        </w:rPr>
        <w:tab/>
      </w:r>
      <w:r w:rsidR="00514931">
        <w:rPr>
          <w:noProof/>
          <w:webHidden/>
        </w:rPr>
        <w:t>24</w:t>
      </w:r>
    </w:p>
    <w:p w14:paraId="09052ED1" w14:textId="22E464F2"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10: Summary of the outcomes of the BCA for each option</w:t>
      </w:r>
      <w:r>
        <w:rPr>
          <w:noProof/>
          <w:webHidden/>
        </w:rPr>
        <w:tab/>
      </w:r>
      <w:r w:rsidR="00514931">
        <w:rPr>
          <w:noProof/>
          <w:webHidden/>
        </w:rPr>
        <w:t>25</w:t>
      </w:r>
    </w:p>
    <w:p w14:paraId="26E1C751" w14:textId="2246EEB8"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11: Impact of changes to the discount rate on net benefits</w:t>
      </w:r>
      <w:r>
        <w:rPr>
          <w:noProof/>
          <w:webHidden/>
        </w:rPr>
        <w:tab/>
      </w:r>
      <w:r w:rsidR="00514931">
        <w:rPr>
          <w:noProof/>
          <w:webHidden/>
        </w:rPr>
        <w:t>25</w:t>
      </w:r>
    </w:p>
    <w:p w14:paraId="3EA83B87" w14:textId="5F25062F"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12: Impact of changes in infrastructure update costs on net benefits</w:t>
      </w:r>
      <w:r>
        <w:rPr>
          <w:noProof/>
          <w:webHidden/>
        </w:rPr>
        <w:tab/>
      </w:r>
      <w:r w:rsidR="00514931">
        <w:rPr>
          <w:noProof/>
          <w:webHidden/>
        </w:rPr>
        <w:t>26</w:t>
      </w:r>
    </w:p>
    <w:p w14:paraId="5700805C" w14:textId="0F674FEB"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13: Impact of changes in fleet growth for heavy freight vehicles on net benefits</w:t>
      </w:r>
      <w:r>
        <w:rPr>
          <w:noProof/>
          <w:webHidden/>
        </w:rPr>
        <w:tab/>
      </w:r>
      <w:r w:rsidR="00514931">
        <w:rPr>
          <w:noProof/>
          <w:webHidden/>
        </w:rPr>
        <w:t>26</w:t>
      </w:r>
    </w:p>
    <w:p w14:paraId="49492CDA" w14:textId="1258B976"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14: Impact of changes in the cost of safety systems or features on net benefits</w:t>
      </w:r>
      <w:r>
        <w:rPr>
          <w:noProof/>
          <w:webHidden/>
        </w:rPr>
        <w:tab/>
      </w:r>
      <w:r w:rsidR="00514931">
        <w:rPr>
          <w:noProof/>
          <w:webHidden/>
        </w:rPr>
        <w:t>26</w:t>
      </w:r>
    </w:p>
    <w:p w14:paraId="174A8276" w14:textId="6C0B1152"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15: Impact of changes in the effectiveness of safety systems or features on net benefits</w:t>
      </w:r>
      <w:r>
        <w:rPr>
          <w:noProof/>
          <w:webHidden/>
        </w:rPr>
        <w:tab/>
      </w:r>
      <w:r w:rsidR="00514931">
        <w:rPr>
          <w:noProof/>
          <w:webHidden/>
        </w:rPr>
        <w:t>26</w:t>
      </w:r>
    </w:p>
    <w:p w14:paraId="207BA57D" w14:textId="758B8451"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16: Impact of changes in frontal impact and rollover crash risk for wider vehicles on net benefits</w:t>
      </w:r>
      <w:r>
        <w:rPr>
          <w:noProof/>
          <w:webHidden/>
        </w:rPr>
        <w:tab/>
      </w:r>
      <w:r w:rsidR="00514931">
        <w:rPr>
          <w:noProof/>
          <w:webHidden/>
        </w:rPr>
        <w:t>26</w:t>
      </w:r>
    </w:p>
    <w:p w14:paraId="42885DDD" w14:textId="3035F68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17: Impact of changes in trip reductions achieved by wider freight vehicles on net benefits</w:t>
      </w:r>
      <w:r>
        <w:rPr>
          <w:noProof/>
          <w:webHidden/>
        </w:rPr>
        <w:tab/>
      </w:r>
      <w:r w:rsidR="00514931">
        <w:rPr>
          <w:noProof/>
          <w:webHidden/>
        </w:rPr>
        <w:t>27</w:t>
      </w:r>
    </w:p>
    <w:p w14:paraId="0485BCA2" w14:textId="4AEEB4F2"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18: Summary of the benefits for each option</w:t>
      </w:r>
      <w:r>
        <w:rPr>
          <w:noProof/>
          <w:webHidden/>
        </w:rPr>
        <w:tab/>
      </w:r>
      <w:r w:rsidR="00514931">
        <w:rPr>
          <w:noProof/>
          <w:webHidden/>
        </w:rPr>
        <w:t>29</w:t>
      </w:r>
    </w:p>
    <w:p w14:paraId="19A2420F" w14:textId="30760C1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19: Summary of the costs for each option</w:t>
      </w:r>
      <w:r>
        <w:rPr>
          <w:noProof/>
          <w:webHidden/>
        </w:rPr>
        <w:tab/>
      </w:r>
      <w:r w:rsidR="00514931">
        <w:rPr>
          <w:noProof/>
          <w:webHidden/>
        </w:rPr>
        <w:t>31</w:t>
      </w:r>
    </w:p>
    <w:p w14:paraId="00CCFD90" w14:textId="2A1C943D"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20: Australian vehicle width limit, including summary of exclusions and conditions</w:t>
      </w:r>
      <w:r>
        <w:rPr>
          <w:noProof/>
          <w:webHidden/>
        </w:rPr>
        <w:tab/>
      </w:r>
      <w:r w:rsidR="00514931">
        <w:rPr>
          <w:noProof/>
          <w:webHidden/>
        </w:rPr>
        <w:t>50</w:t>
      </w:r>
    </w:p>
    <w:p w14:paraId="5328350F" w14:textId="10E1E154"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21: EU and UK vehicle width limits, including summary of exclusions and conditions</w:t>
      </w:r>
      <w:r>
        <w:rPr>
          <w:noProof/>
          <w:webHidden/>
        </w:rPr>
        <w:tab/>
      </w:r>
      <w:r w:rsidR="00514931">
        <w:rPr>
          <w:noProof/>
          <w:webHidden/>
        </w:rPr>
        <w:t>51</w:t>
      </w:r>
    </w:p>
    <w:p w14:paraId="48885FAF" w14:textId="5CE60470"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22: Japanese vehicle width limit, including summary of exclusions and conditions</w:t>
      </w:r>
      <w:r>
        <w:rPr>
          <w:noProof/>
          <w:webHidden/>
        </w:rPr>
        <w:tab/>
      </w:r>
      <w:r w:rsidR="00514931">
        <w:rPr>
          <w:noProof/>
          <w:webHidden/>
        </w:rPr>
        <w:t>52</w:t>
      </w:r>
    </w:p>
    <w:p w14:paraId="32CB9CB5" w14:textId="00064DAD"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23: New Zealand vehicle width limit, including summary of exclusions and conditions</w:t>
      </w:r>
      <w:r>
        <w:rPr>
          <w:noProof/>
          <w:webHidden/>
        </w:rPr>
        <w:tab/>
      </w:r>
      <w:r w:rsidR="00514931">
        <w:rPr>
          <w:noProof/>
          <w:webHidden/>
        </w:rPr>
        <w:t>52</w:t>
      </w:r>
    </w:p>
    <w:p w14:paraId="4847A751" w14:textId="5663D565"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24: US vehicle width limit, including summary of exclusions and conditions</w:t>
      </w:r>
      <w:r>
        <w:rPr>
          <w:noProof/>
          <w:webHidden/>
        </w:rPr>
        <w:tab/>
      </w:r>
      <w:r w:rsidR="00514931">
        <w:rPr>
          <w:noProof/>
          <w:webHidden/>
        </w:rPr>
        <w:t>52</w:t>
      </w:r>
    </w:p>
    <w:p w14:paraId="7FEAA6EA" w14:textId="1A682327"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25: Minimum number of devices for indirect vision for goods vehicles over 3.5 tonnes maximum mass</w:t>
      </w:r>
      <w:r>
        <w:rPr>
          <w:noProof/>
          <w:webHidden/>
        </w:rPr>
        <w:tab/>
      </w:r>
      <w:r w:rsidR="00514931">
        <w:rPr>
          <w:noProof/>
          <w:webHidden/>
        </w:rPr>
        <w:t>54</w:t>
      </w:r>
    </w:p>
    <w:p w14:paraId="68124CB3" w14:textId="4795EA64"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26: Summary of UN R131/01 collision warning mode, subject vehicle speed reduction, and moving test target speed requirements for goods vehicles</w:t>
      </w:r>
      <w:r>
        <w:rPr>
          <w:noProof/>
          <w:webHidden/>
        </w:rPr>
        <w:tab/>
      </w:r>
      <w:r w:rsidR="00514931">
        <w:rPr>
          <w:noProof/>
          <w:webHidden/>
        </w:rPr>
        <w:t>61</w:t>
      </w:r>
    </w:p>
    <w:p w14:paraId="21156C3C" w14:textId="3E7AB8D1" w:rsidR="00534814" w:rsidRDefault="00534814">
      <w:pPr>
        <w:pStyle w:val="TableofFigures"/>
        <w:tabs>
          <w:tab w:val="right" w:leader="dot" w:pos="9854"/>
        </w:tabs>
        <w:rPr>
          <w:rFonts w:eastAsiaTheme="minorEastAsia"/>
          <w:noProof/>
          <w:color w:val="auto"/>
          <w:kern w:val="0"/>
          <w:sz w:val="22"/>
          <w:szCs w:val="22"/>
          <w:lang w:eastAsia="en-AU"/>
        </w:rPr>
      </w:pPr>
      <w:r w:rsidRPr="00191296">
        <w:rPr>
          <w:noProof/>
        </w:rPr>
        <w:t>Table 27: Summary of public comments</w:t>
      </w:r>
      <w:r>
        <w:rPr>
          <w:noProof/>
          <w:webHidden/>
        </w:rPr>
        <w:tab/>
      </w:r>
      <w:r w:rsidR="00514931">
        <w:rPr>
          <w:noProof/>
          <w:webHidden/>
        </w:rPr>
        <w:t>71</w:t>
      </w:r>
    </w:p>
    <w:p w14:paraId="4DE60147" w14:textId="515EB5A7" w:rsidR="003A12AB" w:rsidRPr="00191D60" w:rsidRDefault="003A12AB" w:rsidP="005F4A5B">
      <w:pPr>
        <w:rPr>
          <w:color w:val="auto"/>
        </w:rPr>
      </w:pPr>
      <w:bookmarkStart w:id="3" w:name="_Toc111576718"/>
    </w:p>
    <w:p w14:paraId="0BCBE593" w14:textId="77777777" w:rsidR="003A12AB" w:rsidRPr="00191D60" w:rsidRDefault="003A12AB" w:rsidP="006A4EBE">
      <w:pPr>
        <w:rPr>
          <w:rFonts w:asciiTheme="majorHAnsi" w:eastAsiaTheme="majorEastAsia" w:hAnsiTheme="majorHAnsi" w:cstheme="majorBidi"/>
          <w:color w:val="auto"/>
          <w:sz w:val="44"/>
          <w:szCs w:val="32"/>
        </w:rPr>
      </w:pPr>
      <w:r>
        <w:br w:type="page"/>
      </w:r>
    </w:p>
    <w:p w14:paraId="2832F7A5" w14:textId="77777777" w:rsidR="00A77C0E" w:rsidRPr="007B6E69" w:rsidRDefault="00A77C0E" w:rsidP="00A77C0E">
      <w:pPr>
        <w:pStyle w:val="TOCHeading"/>
      </w:pPr>
      <w:r w:rsidRPr="007B6E69">
        <w:t xml:space="preserve">List of </w:t>
      </w:r>
      <w:r>
        <w:t>figures</w:t>
      </w:r>
      <w:bookmarkEnd w:id="3"/>
    </w:p>
    <w:p w14:paraId="4653341B" w14:textId="33C3626F" w:rsidR="00C030CF" w:rsidRPr="00BF4E0B" w:rsidRDefault="00C030CF">
      <w:pPr>
        <w:pStyle w:val="TableofFigures"/>
        <w:tabs>
          <w:tab w:val="right" w:leader="dot" w:pos="9854"/>
        </w:tabs>
        <w:rPr>
          <w:noProof/>
        </w:rPr>
      </w:pPr>
      <w:r>
        <w:rPr>
          <w:noProof/>
        </w:rPr>
        <w:t>Figure 1: An internal monitor (left) and external camera (right) of a camera-monitor system for indirect vision</w:t>
      </w:r>
      <w:r w:rsidRPr="008D31F2">
        <w:rPr>
          <w:noProof/>
        </w:rPr>
        <w:t xml:space="preserve"> </w:t>
      </w:r>
      <w:r>
        <w:rPr>
          <w:noProof/>
        </w:rPr>
        <w:t xml:space="preserve"> (source: supplied by Daimler Truck and Bus Australia Pacific)</w:t>
      </w:r>
      <w:r>
        <w:rPr>
          <w:noProof/>
        </w:rPr>
        <w:tab/>
      </w:r>
      <w:r w:rsidR="00514931">
        <w:rPr>
          <w:noProof/>
        </w:rPr>
        <w:t>7</w:t>
      </w:r>
    </w:p>
    <w:p w14:paraId="0102CE5F" w14:textId="5536EB94" w:rsidR="00C030CF" w:rsidRPr="00BF4E0B" w:rsidRDefault="00C030CF">
      <w:pPr>
        <w:pStyle w:val="TableofFigures"/>
        <w:tabs>
          <w:tab w:val="right" w:leader="dot" w:pos="9854"/>
        </w:tabs>
        <w:rPr>
          <w:noProof/>
        </w:rPr>
      </w:pPr>
      <w:r>
        <w:rPr>
          <w:noProof/>
        </w:rPr>
        <w:t>Figure 2: Minimum required field of view under UN R46 for a close-proximity view (Class V) device for indirect vision (source: adapted (for right-hand-drive) from UN R46)</w:t>
      </w:r>
      <w:r>
        <w:rPr>
          <w:noProof/>
        </w:rPr>
        <w:tab/>
      </w:r>
      <w:r w:rsidR="00514931">
        <w:rPr>
          <w:noProof/>
        </w:rPr>
        <w:t>8</w:t>
      </w:r>
    </w:p>
    <w:p w14:paraId="63B3CED4" w14:textId="6E31B2B1" w:rsidR="00C030CF" w:rsidRPr="00BF4E0B" w:rsidRDefault="00C030CF">
      <w:pPr>
        <w:pStyle w:val="TableofFigures"/>
        <w:tabs>
          <w:tab w:val="right" w:leader="dot" w:pos="9854"/>
        </w:tabs>
        <w:rPr>
          <w:noProof/>
        </w:rPr>
      </w:pPr>
      <w:r>
        <w:rPr>
          <w:noProof/>
        </w:rPr>
        <w:t>Figure 3: Minimum required field of view under UN R46 for a front-view (Class VI) device for indirect vision  (source: adapted (for right-hand-drive) from UN R46)</w:t>
      </w:r>
      <w:r>
        <w:rPr>
          <w:noProof/>
        </w:rPr>
        <w:tab/>
      </w:r>
      <w:r w:rsidR="00514931">
        <w:rPr>
          <w:noProof/>
        </w:rPr>
        <w:t>8</w:t>
      </w:r>
    </w:p>
    <w:p w14:paraId="04127D54" w14:textId="7F1E3B13" w:rsidR="00C030CF" w:rsidRPr="00BF4E0B" w:rsidRDefault="00C030CF">
      <w:pPr>
        <w:pStyle w:val="TableofFigures"/>
        <w:tabs>
          <w:tab w:val="right" w:leader="dot" w:pos="9854"/>
        </w:tabs>
        <w:rPr>
          <w:noProof/>
        </w:rPr>
      </w:pPr>
      <w:r>
        <w:rPr>
          <w:noProof/>
        </w:rPr>
        <w:t>Figure 4: Truck sales in Australia (2020) by country/region of manufacture (source: supplied by the Truck Industry Council)</w:t>
      </w:r>
      <w:r>
        <w:rPr>
          <w:noProof/>
        </w:rPr>
        <w:tab/>
      </w:r>
      <w:r w:rsidR="00514931">
        <w:rPr>
          <w:noProof/>
        </w:rPr>
        <w:t>9</w:t>
      </w:r>
    </w:p>
    <w:p w14:paraId="545EA414" w14:textId="6C5F3BA6" w:rsidR="00C030CF" w:rsidRPr="00BF4E0B" w:rsidRDefault="00C030CF">
      <w:pPr>
        <w:pStyle w:val="TableofFigures"/>
        <w:tabs>
          <w:tab w:val="right" w:leader="dot" w:pos="9854"/>
        </w:tabs>
        <w:rPr>
          <w:noProof/>
        </w:rPr>
      </w:pPr>
      <w:r>
        <w:rPr>
          <w:noProof/>
        </w:rPr>
        <w:t>Figure 5: Modelled take-up of wider goods vehicles under Options 3.1a, 3.1b, 3.2a, and 3.2b</w:t>
      </w:r>
      <w:r>
        <w:rPr>
          <w:noProof/>
        </w:rPr>
        <w:tab/>
      </w:r>
      <w:r w:rsidR="00514931">
        <w:rPr>
          <w:noProof/>
        </w:rPr>
        <w:t>19</w:t>
      </w:r>
    </w:p>
    <w:p w14:paraId="4DC985AE" w14:textId="4CE2391E" w:rsidR="00C030CF" w:rsidRPr="00BF4E0B" w:rsidRDefault="00C030CF">
      <w:pPr>
        <w:pStyle w:val="TableofFigures"/>
        <w:tabs>
          <w:tab w:val="right" w:leader="dot" w:pos="9854"/>
        </w:tabs>
        <w:rPr>
          <w:noProof/>
        </w:rPr>
      </w:pPr>
      <w:r>
        <w:rPr>
          <w:noProof/>
        </w:rPr>
        <w:t>Figure 6: Modelled take-up of wider trailers under Options 3.1a and 3.2a</w:t>
      </w:r>
      <w:r>
        <w:rPr>
          <w:noProof/>
        </w:rPr>
        <w:tab/>
      </w:r>
      <w:r w:rsidR="00514931">
        <w:rPr>
          <w:noProof/>
        </w:rPr>
        <w:t>20</w:t>
      </w:r>
    </w:p>
    <w:p w14:paraId="471A4C10" w14:textId="6EB675F6" w:rsidR="00C030CF" w:rsidRPr="00BF4E0B" w:rsidRDefault="00C030CF">
      <w:pPr>
        <w:pStyle w:val="TableofFigures"/>
        <w:tabs>
          <w:tab w:val="right" w:leader="dot" w:pos="9854"/>
        </w:tabs>
        <w:rPr>
          <w:noProof/>
        </w:rPr>
      </w:pPr>
      <w:r>
        <w:rPr>
          <w:noProof/>
        </w:rPr>
        <w:t>Figure 7: BAU take-up of safety systems or features used in the analysis for heavy freight vehicles</w:t>
      </w:r>
      <w:r>
        <w:rPr>
          <w:noProof/>
        </w:rPr>
        <w:tab/>
      </w:r>
      <w:r w:rsidR="00514931">
        <w:rPr>
          <w:noProof/>
        </w:rPr>
        <w:t>21</w:t>
      </w:r>
    </w:p>
    <w:p w14:paraId="56E4D236" w14:textId="060CE0FF" w:rsidR="00C030CF" w:rsidRPr="00BF4E0B" w:rsidRDefault="00C030CF">
      <w:pPr>
        <w:pStyle w:val="TableofFigures"/>
        <w:tabs>
          <w:tab w:val="right" w:leader="dot" w:pos="9854"/>
        </w:tabs>
        <w:rPr>
          <w:noProof/>
        </w:rPr>
      </w:pPr>
      <w:r>
        <w:rPr>
          <w:noProof/>
        </w:rPr>
        <w:t>Figure 8: Total (i.e. cumulative) benefits under Option 3.1a at each year of the analysis period</w:t>
      </w:r>
      <w:r>
        <w:rPr>
          <w:noProof/>
        </w:rPr>
        <w:tab/>
      </w:r>
      <w:r w:rsidR="00514931">
        <w:rPr>
          <w:noProof/>
        </w:rPr>
        <w:t>29</w:t>
      </w:r>
    </w:p>
    <w:p w14:paraId="236137A3" w14:textId="3C611C35" w:rsidR="00C030CF" w:rsidRPr="00BF4E0B" w:rsidRDefault="00C030CF">
      <w:pPr>
        <w:pStyle w:val="TableofFigures"/>
        <w:tabs>
          <w:tab w:val="right" w:leader="dot" w:pos="9854"/>
        </w:tabs>
        <w:rPr>
          <w:noProof/>
        </w:rPr>
      </w:pPr>
      <w:r>
        <w:rPr>
          <w:noProof/>
        </w:rPr>
        <w:t>Figure 9: Total (i.e. cumulative) benefits under Option 3.1b at each year of the analysis period</w:t>
      </w:r>
      <w:r>
        <w:rPr>
          <w:noProof/>
        </w:rPr>
        <w:tab/>
      </w:r>
      <w:r w:rsidR="00514931">
        <w:rPr>
          <w:noProof/>
        </w:rPr>
        <w:t>29</w:t>
      </w:r>
    </w:p>
    <w:p w14:paraId="63A02FC5" w14:textId="2FB38B78" w:rsidR="00C030CF" w:rsidRPr="00BF4E0B" w:rsidRDefault="00C030CF">
      <w:pPr>
        <w:pStyle w:val="TableofFigures"/>
        <w:tabs>
          <w:tab w:val="right" w:leader="dot" w:pos="9854"/>
        </w:tabs>
        <w:rPr>
          <w:noProof/>
        </w:rPr>
      </w:pPr>
      <w:r>
        <w:rPr>
          <w:noProof/>
        </w:rPr>
        <w:t>Figure 10: Total (i.e. cumulative) benefits under Option 3.2a at each year of the analysis period</w:t>
      </w:r>
      <w:r>
        <w:rPr>
          <w:noProof/>
        </w:rPr>
        <w:tab/>
      </w:r>
      <w:r w:rsidR="00514931">
        <w:rPr>
          <w:noProof/>
        </w:rPr>
        <w:t>30</w:t>
      </w:r>
    </w:p>
    <w:p w14:paraId="13558451" w14:textId="27EE631D" w:rsidR="00C030CF" w:rsidRPr="00BF4E0B" w:rsidRDefault="00C030CF">
      <w:pPr>
        <w:pStyle w:val="TableofFigures"/>
        <w:tabs>
          <w:tab w:val="right" w:leader="dot" w:pos="9854"/>
        </w:tabs>
        <w:rPr>
          <w:noProof/>
        </w:rPr>
      </w:pPr>
      <w:r>
        <w:rPr>
          <w:noProof/>
        </w:rPr>
        <w:t>Figure 11: Total (i.e. cumulative) benefits under Option 3.2b at each year of the analysis period</w:t>
      </w:r>
      <w:r>
        <w:rPr>
          <w:noProof/>
        </w:rPr>
        <w:tab/>
      </w:r>
      <w:r w:rsidR="00514931">
        <w:rPr>
          <w:noProof/>
        </w:rPr>
        <w:t>30</w:t>
      </w:r>
    </w:p>
    <w:p w14:paraId="52C1D28B" w14:textId="4B13D924" w:rsidR="00C030CF" w:rsidRPr="00BF4E0B" w:rsidRDefault="00C030CF">
      <w:pPr>
        <w:pStyle w:val="TableofFigures"/>
        <w:tabs>
          <w:tab w:val="right" w:leader="dot" w:pos="9854"/>
        </w:tabs>
        <w:rPr>
          <w:noProof/>
        </w:rPr>
      </w:pPr>
      <w:r>
        <w:rPr>
          <w:noProof/>
        </w:rPr>
        <w:t>Figure 12: Total (i.e. cumulative) costs under Option 3.1a at each year of the analysis period</w:t>
      </w:r>
      <w:r>
        <w:rPr>
          <w:noProof/>
        </w:rPr>
        <w:tab/>
      </w:r>
      <w:r w:rsidR="00514931">
        <w:rPr>
          <w:noProof/>
        </w:rPr>
        <w:t>32</w:t>
      </w:r>
    </w:p>
    <w:p w14:paraId="70B70465" w14:textId="6FBE2684" w:rsidR="00C030CF" w:rsidRPr="00BF4E0B" w:rsidRDefault="00C030CF">
      <w:pPr>
        <w:pStyle w:val="TableofFigures"/>
        <w:tabs>
          <w:tab w:val="right" w:leader="dot" w:pos="9854"/>
        </w:tabs>
        <w:rPr>
          <w:noProof/>
        </w:rPr>
      </w:pPr>
      <w:r>
        <w:rPr>
          <w:noProof/>
        </w:rPr>
        <w:t>Figure 13: Total (i.e. cumulative) costs under Option 3.1b at each year of the analysis period</w:t>
      </w:r>
      <w:r>
        <w:rPr>
          <w:noProof/>
        </w:rPr>
        <w:tab/>
      </w:r>
      <w:r w:rsidR="00514931">
        <w:rPr>
          <w:noProof/>
        </w:rPr>
        <w:t>32</w:t>
      </w:r>
    </w:p>
    <w:p w14:paraId="38309818" w14:textId="3A6BF6C8" w:rsidR="00C030CF" w:rsidRPr="00BF4E0B" w:rsidRDefault="00C030CF">
      <w:pPr>
        <w:pStyle w:val="TableofFigures"/>
        <w:tabs>
          <w:tab w:val="right" w:leader="dot" w:pos="9854"/>
        </w:tabs>
        <w:rPr>
          <w:noProof/>
        </w:rPr>
      </w:pPr>
      <w:r>
        <w:rPr>
          <w:noProof/>
        </w:rPr>
        <w:t>Figure 14: Total (i.e. cumulative) costs under Option 3.2a at each year of the analysis period</w:t>
      </w:r>
      <w:r>
        <w:rPr>
          <w:noProof/>
        </w:rPr>
        <w:tab/>
      </w:r>
      <w:r w:rsidR="00514931">
        <w:rPr>
          <w:noProof/>
        </w:rPr>
        <w:t>33</w:t>
      </w:r>
    </w:p>
    <w:p w14:paraId="3B479EDF" w14:textId="58B4E8B6" w:rsidR="00C030CF" w:rsidRPr="00BF4E0B" w:rsidRDefault="00C030CF">
      <w:pPr>
        <w:pStyle w:val="TableofFigures"/>
        <w:tabs>
          <w:tab w:val="right" w:leader="dot" w:pos="9854"/>
        </w:tabs>
        <w:rPr>
          <w:noProof/>
        </w:rPr>
      </w:pPr>
      <w:r>
        <w:rPr>
          <w:noProof/>
        </w:rPr>
        <w:t>Figure 15: Total (i.e. cumulative) costs under Option 3.2b at each year of the analysis period</w:t>
      </w:r>
      <w:r>
        <w:rPr>
          <w:noProof/>
        </w:rPr>
        <w:tab/>
      </w:r>
      <w:r w:rsidR="00514931">
        <w:rPr>
          <w:noProof/>
        </w:rPr>
        <w:t>33</w:t>
      </w:r>
    </w:p>
    <w:p w14:paraId="45A695CC" w14:textId="596213A6" w:rsidR="00C030CF" w:rsidRPr="00BF4E0B" w:rsidRDefault="00C030CF">
      <w:pPr>
        <w:pStyle w:val="TableofFigures"/>
        <w:tabs>
          <w:tab w:val="right" w:leader="dot" w:pos="9854"/>
        </w:tabs>
        <w:rPr>
          <w:noProof/>
        </w:rPr>
      </w:pPr>
      <w:r>
        <w:rPr>
          <w:noProof/>
        </w:rPr>
        <w:t xml:space="preserve">Figure 16: Minimum required fields of vision for goods vehicles over 3.5 tonnes maximum mass (note: class VI is optional for goods vehicles </w:t>
      </w:r>
      <w:r w:rsidRPr="00BF4E0B">
        <w:rPr>
          <w:noProof/>
        </w:rPr>
        <w:t>≤</w:t>
      </w:r>
      <w:r>
        <w:rPr>
          <w:noProof/>
        </w:rPr>
        <w:t xml:space="preserve"> 7.5 tonnes) (source: adapted (for right-hand-drive) from UN R46)</w:t>
      </w:r>
      <w:r>
        <w:rPr>
          <w:noProof/>
        </w:rPr>
        <w:tab/>
      </w:r>
      <w:r w:rsidR="00514931">
        <w:rPr>
          <w:noProof/>
        </w:rPr>
        <w:t>55</w:t>
      </w:r>
    </w:p>
    <w:p w14:paraId="22CD8336" w14:textId="6912F89A" w:rsidR="00C030CF" w:rsidRPr="00BF4E0B" w:rsidRDefault="00C030CF">
      <w:pPr>
        <w:pStyle w:val="TableofFigures"/>
        <w:tabs>
          <w:tab w:val="right" w:leader="dot" w:pos="9854"/>
        </w:tabs>
        <w:rPr>
          <w:noProof/>
        </w:rPr>
      </w:pPr>
      <w:r>
        <w:rPr>
          <w:noProof/>
        </w:rPr>
        <w:t>Figure 17: Larger required field of vision on the passenger’s side (note: required view may be achieved using a combination of direct view and indirect vision devices of classes IV, V, and/or VI) (source: adapted for right-hand-drive from UN R46)</w:t>
      </w:r>
      <w:r>
        <w:rPr>
          <w:noProof/>
        </w:rPr>
        <w:tab/>
      </w:r>
      <w:r w:rsidR="00514931">
        <w:rPr>
          <w:noProof/>
        </w:rPr>
        <w:t>56</w:t>
      </w:r>
    </w:p>
    <w:p w14:paraId="412F68C3" w14:textId="596BC1EC" w:rsidR="00C030CF" w:rsidRPr="00BF4E0B" w:rsidRDefault="00C030CF">
      <w:pPr>
        <w:pStyle w:val="TableofFigures"/>
        <w:tabs>
          <w:tab w:val="right" w:leader="dot" w:pos="9854"/>
        </w:tabs>
        <w:rPr>
          <w:noProof/>
        </w:rPr>
      </w:pPr>
      <w:r>
        <w:rPr>
          <w:noProof/>
        </w:rPr>
        <w:t>Figure 18: Example of a suitable J-turn test course (in anticlockwise direction) for a prime mover</w:t>
      </w:r>
      <w:r>
        <w:rPr>
          <w:noProof/>
        </w:rPr>
        <w:tab/>
      </w:r>
      <w:r w:rsidR="00514931">
        <w:rPr>
          <w:noProof/>
        </w:rPr>
        <w:t>58</w:t>
      </w:r>
    </w:p>
    <w:p w14:paraId="52D2D8E1" w14:textId="5824100B" w:rsidR="00C030CF" w:rsidRPr="00BF4E0B" w:rsidRDefault="00C030CF">
      <w:pPr>
        <w:pStyle w:val="TableofFigures"/>
        <w:tabs>
          <w:tab w:val="right" w:leader="dot" w:pos="9854"/>
        </w:tabs>
        <w:rPr>
          <w:noProof/>
        </w:rPr>
      </w:pPr>
      <w:r>
        <w:rPr>
          <w:noProof/>
        </w:rPr>
        <w:t>Figure 19: Illustration (side view and overhead/plan view) of a rigid truck utilising fuel tanks and horizontal rails/members on each side as LPDs for side underrun protection, including key UN R73 dimensional limits</w:t>
      </w:r>
      <w:r>
        <w:rPr>
          <w:noProof/>
        </w:rPr>
        <w:tab/>
      </w:r>
      <w:r w:rsidR="00514931">
        <w:rPr>
          <w:noProof/>
        </w:rPr>
        <w:t>65</w:t>
      </w:r>
    </w:p>
    <w:p w14:paraId="7DD719FC" w14:textId="6D891BCE" w:rsidR="00C030CF" w:rsidRPr="00BF4E0B" w:rsidRDefault="00C030CF">
      <w:pPr>
        <w:pStyle w:val="TableofFigures"/>
        <w:tabs>
          <w:tab w:val="right" w:leader="dot" w:pos="9854"/>
        </w:tabs>
        <w:rPr>
          <w:noProof/>
        </w:rPr>
      </w:pPr>
      <w:r>
        <w:rPr>
          <w:noProof/>
        </w:rPr>
        <w:t>Figure 20: Illustration (side view only) of a semi-trailer fitted with horizontal rails/members as LPDs for side underrun protection, including key UN R73 dimensional limits</w:t>
      </w:r>
      <w:r>
        <w:rPr>
          <w:noProof/>
        </w:rPr>
        <w:tab/>
      </w:r>
      <w:r w:rsidR="00514931">
        <w:rPr>
          <w:noProof/>
        </w:rPr>
        <w:t>65</w:t>
      </w:r>
    </w:p>
    <w:p w14:paraId="400CC81E" w14:textId="37297911" w:rsidR="00C030CF" w:rsidRPr="00BF4E0B" w:rsidRDefault="00C030CF">
      <w:pPr>
        <w:pStyle w:val="TableofFigures"/>
        <w:tabs>
          <w:tab w:val="right" w:leader="dot" w:pos="9854"/>
        </w:tabs>
        <w:rPr>
          <w:noProof/>
        </w:rPr>
      </w:pPr>
      <w:r>
        <w:rPr>
          <w:noProof/>
        </w:rPr>
        <w:t>Figure 21: Illustration of partial (yellow) contour markings on the side and full (red) contour markings on the rear of a  semi-trailer</w:t>
      </w:r>
      <w:r>
        <w:rPr>
          <w:noProof/>
        </w:rPr>
        <w:tab/>
      </w:r>
      <w:r w:rsidR="00514931">
        <w:rPr>
          <w:noProof/>
        </w:rPr>
        <w:t>68</w:t>
      </w:r>
    </w:p>
    <w:p w14:paraId="4565EC35" w14:textId="49B15980" w:rsidR="00792027" w:rsidRDefault="00792027" w:rsidP="00C66D0C"/>
    <w:p w14:paraId="59A7D83C" w14:textId="77777777" w:rsidR="00A77C0E" w:rsidRPr="007B6E69" w:rsidRDefault="00A77C0E" w:rsidP="00C66D0C">
      <w:pPr>
        <w:sectPr w:rsidR="00A77C0E" w:rsidRPr="007B6E69" w:rsidSect="004B1AE5">
          <w:type w:val="continuous"/>
          <w:pgSz w:w="11906" w:h="16838" w:code="9"/>
          <w:pgMar w:top="1021" w:right="1021" w:bottom="1021" w:left="1021" w:header="510" w:footer="567" w:gutter="0"/>
          <w:pgNumType w:fmt="lowerRoman" w:start="1"/>
          <w:cols w:space="708"/>
          <w:docGrid w:linePitch="360"/>
        </w:sectPr>
      </w:pPr>
    </w:p>
    <w:p w14:paraId="171F5C3A" w14:textId="77777777" w:rsidR="005F794B" w:rsidRPr="007B6E69" w:rsidRDefault="002D7327" w:rsidP="00E13D3A">
      <w:pPr>
        <w:pStyle w:val="Heading1"/>
      </w:pPr>
      <w:bookmarkStart w:id="4" w:name="_Toc111576719"/>
      <w:bookmarkStart w:id="5" w:name="_Toc143182119"/>
      <w:r w:rsidRPr="007B6E69">
        <w:t>Executive Summary</w:t>
      </w:r>
      <w:bookmarkEnd w:id="4"/>
      <w:bookmarkEnd w:id="5"/>
    </w:p>
    <w:p w14:paraId="2921DC29" w14:textId="77777777" w:rsidR="00867983" w:rsidRPr="007B6E69" w:rsidRDefault="00867983" w:rsidP="00867983">
      <w:r>
        <w:t xml:space="preserve">This </w:t>
      </w:r>
      <w:r w:rsidR="00C45600">
        <w:t>Impact Analysis</w:t>
      </w:r>
      <w:r w:rsidR="00B564D9">
        <w:t xml:space="preserve"> (</w:t>
      </w:r>
      <w:r w:rsidR="00C45600">
        <w:t>IA</w:t>
      </w:r>
      <w:r w:rsidR="00B564D9">
        <w:t>)</w:t>
      </w:r>
      <w:r>
        <w:t xml:space="preserve"> follows on from a </w:t>
      </w:r>
      <w:r w:rsidRPr="007B6E69">
        <w:t>Safer Freight Vehicles Discussion Paper (</w:t>
      </w:r>
      <w:r>
        <w:t>Commonwealth of Australia</w:t>
      </w:r>
      <w:r w:rsidRPr="007B6E69">
        <w:t>, 2021</w:t>
      </w:r>
      <w:r>
        <w:t>a</w:t>
      </w:r>
      <w:r w:rsidRPr="007B6E69">
        <w:t xml:space="preserve">), </w:t>
      </w:r>
      <w:r>
        <w:t xml:space="preserve">for which </w:t>
      </w:r>
      <w:r w:rsidR="00B9347B">
        <w:t>the Department of Infrastructure, Transport, Regional Development, Communications and the Arts (</w:t>
      </w:r>
      <w:r w:rsidRPr="007B6E69">
        <w:t xml:space="preserve">the </w:t>
      </w:r>
      <w:r w:rsidR="00B9347B">
        <w:t>d</w:t>
      </w:r>
      <w:r w:rsidRPr="007B6E69">
        <w:t>epartment</w:t>
      </w:r>
      <w:r w:rsidR="00B9347B">
        <w:t>)</w:t>
      </w:r>
      <w:r w:rsidRPr="007B6E69">
        <w:t xml:space="preserve"> considered information from a range of sources to identify any potential barriers or impediments in the </w:t>
      </w:r>
      <w:r>
        <w:t xml:space="preserve">National Road Vehicles Standards (the Australian Design Rules or </w:t>
      </w:r>
      <w:r w:rsidRPr="007B6E69">
        <w:t>ADRs</w:t>
      </w:r>
      <w:r>
        <w:t>)</w:t>
      </w:r>
      <w:r w:rsidRPr="007B6E69">
        <w:t xml:space="preserve"> to the supply of safer and cleaner heavy freight vehicles.</w:t>
      </w:r>
    </w:p>
    <w:p w14:paraId="1307E87D" w14:textId="77777777" w:rsidR="00867983" w:rsidRDefault="00867983" w:rsidP="00867983">
      <w:r w:rsidRPr="007B6E69">
        <w:t xml:space="preserve">The main ADR requirement raised by heavy vehicle industry groups as limiting the supply of safer and cleaner heavy freight vehicles is the </w:t>
      </w:r>
      <w:r w:rsidR="00B9347B">
        <w:t>2.50</w:t>
      </w:r>
      <w:r w:rsidR="00FD6FE4">
        <w:t xml:space="preserve"> m </w:t>
      </w:r>
      <w:r w:rsidRPr="007B6E69">
        <w:t>vehicle width limit</w:t>
      </w:r>
      <w:r w:rsidR="00C51D17">
        <w:t>, which is the same as Japan, but narrower than other major markets including the European Union (EU) and the United States (US)</w:t>
      </w:r>
      <w:r w:rsidRPr="007B6E69">
        <w:t xml:space="preserve">. The supply of safer heavy goods vehicles is further restricted by the absence </w:t>
      </w:r>
      <w:r>
        <w:t xml:space="preserve">in the ADRs </w:t>
      </w:r>
      <w:r w:rsidRPr="007B6E69">
        <w:t>of exclusions for various types of devices for indirect vision (i.e. mirrors and cameras) and blind spot information systems (e.g. for the detection of vehicles, bicyclists and/or pedestrians) from the measurement of vehicle</w:t>
      </w:r>
      <w:r w:rsidR="00FD6FE4">
        <w:t xml:space="preserve"> </w:t>
      </w:r>
      <w:r w:rsidRPr="007B6E69">
        <w:t>width and/or length.</w:t>
      </w:r>
    </w:p>
    <w:p w14:paraId="316EC3DA" w14:textId="77777777" w:rsidR="00EF3365" w:rsidRPr="000F530A" w:rsidRDefault="00EF3365" w:rsidP="006924F2">
      <w:r w:rsidRPr="007B6E69">
        <w:t>Th</w:t>
      </w:r>
      <w:r>
        <w:t>e purpose of this</w:t>
      </w:r>
      <w:r w:rsidRPr="007B6E69">
        <w:t xml:space="preserve"> </w:t>
      </w:r>
      <w:r w:rsidR="00C45600">
        <w:t>IA</w:t>
      </w:r>
      <w:r w:rsidRPr="007B6E69">
        <w:t xml:space="preserve"> </w:t>
      </w:r>
      <w:r>
        <w:t xml:space="preserve">is </w:t>
      </w:r>
      <w:r w:rsidR="00867983">
        <w:t xml:space="preserve">therefore </w:t>
      </w:r>
      <w:r>
        <w:t xml:space="preserve">to </w:t>
      </w:r>
      <w:r w:rsidRPr="007B6E69">
        <w:t xml:space="preserve">consider the case for </w:t>
      </w:r>
      <w:r w:rsidR="00050DE8">
        <w:t>increasing the</w:t>
      </w:r>
      <w:r w:rsidR="007E7FEE">
        <w:t xml:space="preserve"> maximum allowable width for</w:t>
      </w:r>
      <w:r>
        <w:t xml:space="preserve"> freight vehicles </w:t>
      </w:r>
      <w:r w:rsidRPr="007B6E69">
        <w:t>in Australia</w:t>
      </w:r>
      <w:r>
        <w:t xml:space="preserve">, together with changes to allow various </w:t>
      </w:r>
      <w:r w:rsidRPr="007B6E69">
        <w:t xml:space="preserve">devices for indirect vision </w:t>
      </w:r>
      <w:r>
        <w:t xml:space="preserve">(e.g. mirrors, cameras) </w:t>
      </w:r>
      <w:r w:rsidRPr="007B6E69">
        <w:t>and monitoring devices to detect other road users (e.g. blind spot information systems for the detection of vehicles, bicycles and/or pedestrians)</w:t>
      </w:r>
      <w:r>
        <w:t xml:space="preserve"> to be excluded from vehicle width and length measurements</w:t>
      </w:r>
      <w:r w:rsidRPr="007B6E69">
        <w:t>.</w:t>
      </w:r>
    </w:p>
    <w:p w14:paraId="015C3DC4" w14:textId="77777777" w:rsidR="00BA041B" w:rsidRDefault="00EF3365" w:rsidP="00F83F07">
      <w:pPr>
        <w:pStyle w:val="Caption"/>
        <w:rPr>
          <w:b w:val="0"/>
          <w:iCs w:val="0"/>
          <w:szCs w:val="20"/>
        </w:rPr>
      </w:pPr>
      <w:r w:rsidRPr="00EF3365">
        <w:rPr>
          <w:b w:val="0"/>
          <w:iCs w:val="0"/>
          <w:szCs w:val="20"/>
        </w:rPr>
        <w:t xml:space="preserve">The </w:t>
      </w:r>
      <w:r w:rsidR="00C45600">
        <w:rPr>
          <w:b w:val="0"/>
          <w:iCs w:val="0"/>
          <w:szCs w:val="20"/>
        </w:rPr>
        <w:t>IA</w:t>
      </w:r>
      <w:r w:rsidRPr="00EF3365">
        <w:rPr>
          <w:b w:val="0"/>
          <w:iCs w:val="0"/>
          <w:szCs w:val="20"/>
        </w:rPr>
        <w:t xml:space="preserve"> explore</w:t>
      </w:r>
      <w:r w:rsidR="006924F2">
        <w:rPr>
          <w:b w:val="0"/>
          <w:iCs w:val="0"/>
          <w:szCs w:val="20"/>
        </w:rPr>
        <w:t>s</w:t>
      </w:r>
      <w:r w:rsidRPr="00EF3365">
        <w:rPr>
          <w:b w:val="0"/>
          <w:iCs w:val="0"/>
          <w:szCs w:val="20"/>
        </w:rPr>
        <w:t xml:space="preserve"> </w:t>
      </w:r>
      <w:r w:rsidR="006924F2">
        <w:rPr>
          <w:b w:val="0"/>
          <w:iCs w:val="0"/>
          <w:szCs w:val="20"/>
        </w:rPr>
        <w:t>three</w:t>
      </w:r>
      <w:r w:rsidRPr="00EF3365">
        <w:rPr>
          <w:b w:val="0"/>
          <w:iCs w:val="0"/>
          <w:szCs w:val="20"/>
        </w:rPr>
        <w:t xml:space="preserve"> </w:t>
      </w:r>
      <w:r w:rsidR="006924F2">
        <w:rPr>
          <w:b w:val="0"/>
          <w:iCs w:val="0"/>
          <w:szCs w:val="20"/>
        </w:rPr>
        <w:t xml:space="preserve">different policy </w:t>
      </w:r>
      <w:r w:rsidRPr="00EF3365">
        <w:rPr>
          <w:b w:val="0"/>
          <w:iCs w:val="0"/>
          <w:szCs w:val="20"/>
        </w:rPr>
        <w:t xml:space="preserve">options. These </w:t>
      </w:r>
      <w:r w:rsidR="006924F2">
        <w:rPr>
          <w:b w:val="0"/>
          <w:iCs w:val="0"/>
          <w:szCs w:val="20"/>
        </w:rPr>
        <w:t>are</w:t>
      </w:r>
      <w:r w:rsidRPr="00EF3365">
        <w:rPr>
          <w:b w:val="0"/>
          <w:iCs w:val="0"/>
          <w:szCs w:val="20"/>
        </w:rPr>
        <w:t xml:space="preserve"> Option 1: </w:t>
      </w:r>
      <w:r w:rsidR="00F83F07">
        <w:rPr>
          <w:b w:val="0"/>
          <w:iCs w:val="0"/>
          <w:szCs w:val="20"/>
        </w:rPr>
        <w:t>D</w:t>
      </w:r>
      <w:r w:rsidR="00050DE8" w:rsidRPr="00050DE8">
        <w:rPr>
          <w:b w:val="0"/>
          <w:iCs w:val="0"/>
          <w:szCs w:val="20"/>
        </w:rPr>
        <w:t xml:space="preserve">e-regulation (repeal the current </w:t>
      </w:r>
      <w:r w:rsidR="00867983">
        <w:rPr>
          <w:b w:val="0"/>
          <w:iCs w:val="0"/>
          <w:szCs w:val="20"/>
        </w:rPr>
        <w:t>requirements</w:t>
      </w:r>
      <w:r w:rsidR="00050DE8" w:rsidRPr="00050DE8">
        <w:rPr>
          <w:b w:val="0"/>
          <w:iCs w:val="0"/>
          <w:szCs w:val="20"/>
        </w:rPr>
        <w:t>)</w:t>
      </w:r>
      <w:r w:rsidRPr="00EF3365">
        <w:rPr>
          <w:b w:val="0"/>
          <w:iCs w:val="0"/>
          <w:szCs w:val="20"/>
        </w:rPr>
        <w:t>; Option</w:t>
      </w:r>
      <w:r w:rsidR="00867983">
        <w:rPr>
          <w:b w:val="0"/>
          <w:iCs w:val="0"/>
          <w:szCs w:val="20"/>
        </w:rPr>
        <w:t> </w:t>
      </w:r>
      <w:r w:rsidRPr="00EF3365">
        <w:rPr>
          <w:b w:val="0"/>
          <w:iCs w:val="0"/>
          <w:szCs w:val="20"/>
        </w:rPr>
        <w:t xml:space="preserve">2: </w:t>
      </w:r>
      <w:r w:rsidR="00F83F07">
        <w:rPr>
          <w:b w:val="0"/>
          <w:iCs w:val="0"/>
          <w:szCs w:val="20"/>
        </w:rPr>
        <w:t>R</w:t>
      </w:r>
      <w:r w:rsidR="002174FF" w:rsidRPr="002174FF">
        <w:rPr>
          <w:b w:val="0"/>
          <w:iCs w:val="0"/>
          <w:szCs w:val="20"/>
        </w:rPr>
        <w:t xml:space="preserve">etain existing standards under the </w:t>
      </w:r>
      <w:r w:rsidR="002174FF" w:rsidRPr="006924F2">
        <w:rPr>
          <w:b w:val="0"/>
          <w:i/>
          <w:iCs w:val="0"/>
          <w:szCs w:val="20"/>
        </w:rPr>
        <w:t>Road Vehicle Standards Act 2018</w:t>
      </w:r>
      <w:r w:rsidR="002174FF" w:rsidRPr="00EF3365">
        <w:rPr>
          <w:b w:val="0"/>
          <w:iCs w:val="0"/>
          <w:szCs w:val="20"/>
        </w:rPr>
        <w:t xml:space="preserve"> (</w:t>
      </w:r>
      <w:proofErr w:type="spellStart"/>
      <w:r w:rsidR="002174FF" w:rsidRPr="00EF3365">
        <w:rPr>
          <w:b w:val="0"/>
          <w:iCs w:val="0"/>
          <w:szCs w:val="20"/>
        </w:rPr>
        <w:t>C’th</w:t>
      </w:r>
      <w:proofErr w:type="spellEnd"/>
      <w:r w:rsidR="002174FF" w:rsidRPr="00EF3365">
        <w:rPr>
          <w:b w:val="0"/>
          <w:iCs w:val="0"/>
          <w:szCs w:val="20"/>
        </w:rPr>
        <w:t>) (</w:t>
      </w:r>
      <w:r w:rsidR="002174FF">
        <w:rPr>
          <w:b w:val="0"/>
          <w:iCs w:val="0"/>
          <w:szCs w:val="20"/>
        </w:rPr>
        <w:t>R</w:t>
      </w:r>
      <w:r w:rsidR="002174FF" w:rsidRPr="00EF3365">
        <w:rPr>
          <w:b w:val="0"/>
          <w:iCs w:val="0"/>
          <w:szCs w:val="20"/>
        </w:rPr>
        <w:t>VSA)</w:t>
      </w:r>
      <w:r w:rsidR="002174FF" w:rsidRPr="002174FF">
        <w:rPr>
          <w:b w:val="0"/>
          <w:iCs w:val="0"/>
          <w:szCs w:val="20"/>
        </w:rPr>
        <w:t xml:space="preserve"> (business as usual)</w:t>
      </w:r>
      <w:r w:rsidRPr="00EF3365">
        <w:rPr>
          <w:b w:val="0"/>
          <w:iCs w:val="0"/>
          <w:szCs w:val="20"/>
        </w:rPr>
        <w:t xml:space="preserve">; </w:t>
      </w:r>
      <w:r w:rsidR="006924F2">
        <w:rPr>
          <w:b w:val="0"/>
          <w:iCs w:val="0"/>
          <w:szCs w:val="20"/>
        </w:rPr>
        <w:t xml:space="preserve">and </w:t>
      </w:r>
      <w:r w:rsidRPr="00EF3365">
        <w:rPr>
          <w:b w:val="0"/>
          <w:iCs w:val="0"/>
          <w:szCs w:val="20"/>
        </w:rPr>
        <w:t>Option</w:t>
      </w:r>
      <w:r w:rsidR="00867983">
        <w:rPr>
          <w:b w:val="0"/>
          <w:iCs w:val="0"/>
          <w:szCs w:val="20"/>
        </w:rPr>
        <w:t> </w:t>
      </w:r>
      <w:r w:rsidR="006924F2">
        <w:rPr>
          <w:b w:val="0"/>
          <w:iCs w:val="0"/>
          <w:szCs w:val="20"/>
        </w:rPr>
        <w:t>3</w:t>
      </w:r>
      <w:r w:rsidRPr="00EF3365">
        <w:rPr>
          <w:b w:val="0"/>
          <w:iCs w:val="0"/>
          <w:szCs w:val="20"/>
        </w:rPr>
        <w:t xml:space="preserve">: </w:t>
      </w:r>
      <w:r w:rsidR="00F83F07">
        <w:rPr>
          <w:b w:val="0"/>
        </w:rPr>
        <w:t>I</w:t>
      </w:r>
      <w:r w:rsidR="00050DE8" w:rsidRPr="00050DE8">
        <w:rPr>
          <w:b w:val="0"/>
        </w:rPr>
        <w:t>mplement updated standards under the</w:t>
      </w:r>
      <w:r w:rsidRPr="00EF3365">
        <w:rPr>
          <w:b w:val="0"/>
          <w:iCs w:val="0"/>
          <w:szCs w:val="20"/>
        </w:rPr>
        <w:t xml:space="preserve"> </w:t>
      </w:r>
      <w:r w:rsidR="006924F2">
        <w:rPr>
          <w:b w:val="0"/>
          <w:iCs w:val="0"/>
          <w:szCs w:val="20"/>
        </w:rPr>
        <w:t>R</w:t>
      </w:r>
      <w:r w:rsidRPr="00EF3365">
        <w:rPr>
          <w:b w:val="0"/>
          <w:iCs w:val="0"/>
          <w:szCs w:val="20"/>
        </w:rPr>
        <w:t xml:space="preserve">VSA. Of these options, </w:t>
      </w:r>
      <w:r w:rsidR="006924F2">
        <w:rPr>
          <w:b w:val="0"/>
          <w:iCs w:val="0"/>
          <w:szCs w:val="20"/>
        </w:rPr>
        <w:t xml:space="preserve">only </w:t>
      </w:r>
      <w:r w:rsidRPr="00EF3365">
        <w:rPr>
          <w:b w:val="0"/>
          <w:iCs w:val="0"/>
          <w:szCs w:val="20"/>
        </w:rPr>
        <w:t xml:space="preserve">Option 2 and Option </w:t>
      </w:r>
      <w:r w:rsidR="006924F2">
        <w:rPr>
          <w:b w:val="0"/>
          <w:iCs w:val="0"/>
          <w:szCs w:val="20"/>
        </w:rPr>
        <w:t>3</w:t>
      </w:r>
      <w:r w:rsidRPr="00EF3365">
        <w:rPr>
          <w:b w:val="0"/>
          <w:iCs w:val="0"/>
          <w:szCs w:val="20"/>
        </w:rPr>
        <w:t xml:space="preserve"> were considered</w:t>
      </w:r>
      <w:r w:rsidR="00050DE8">
        <w:rPr>
          <w:b w:val="0"/>
          <w:iCs w:val="0"/>
          <w:szCs w:val="20"/>
        </w:rPr>
        <w:t xml:space="preserve"> viable</w:t>
      </w:r>
      <w:r w:rsidRPr="00EF3365">
        <w:rPr>
          <w:b w:val="0"/>
          <w:iCs w:val="0"/>
          <w:szCs w:val="20"/>
        </w:rPr>
        <w:t>.</w:t>
      </w:r>
    </w:p>
    <w:p w14:paraId="4ABA4B30" w14:textId="1EB7571F" w:rsidR="006924F2" w:rsidRDefault="00EF3365" w:rsidP="00F83F07">
      <w:pPr>
        <w:pStyle w:val="Caption"/>
        <w:rPr>
          <w:b w:val="0"/>
          <w:iCs w:val="0"/>
          <w:szCs w:val="20"/>
        </w:rPr>
      </w:pPr>
      <w:r w:rsidRPr="00EF3365">
        <w:rPr>
          <w:b w:val="0"/>
          <w:iCs w:val="0"/>
          <w:szCs w:val="20"/>
        </w:rPr>
        <w:t xml:space="preserve">Option </w:t>
      </w:r>
      <w:r w:rsidR="006924F2">
        <w:rPr>
          <w:b w:val="0"/>
          <w:iCs w:val="0"/>
          <w:szCs w:val="20"/>
        </w:rPr>
        <w:t>3</w:t>
      </w:r>
      <w:r w:rsidRPr="00EF3365">
        <w:rPr>
          <w:b w:val="0"/>
          <w:iCs w:val="0"/>
          <w:szCs w:val="20"/>
        </w:rPr>
        <w:t xml:space="preserve"> was separated into </w:t>
      </w:r>
      <w:r w:rsidR="006924F2">
        <w:rPr>
          <w:b w:val="0"/>
          <w:iCs w:val="0"/>
          <w:szCs w:val="20"/>
        </w:rPr>
        <w:t>four</w:t>
      </w:r>
      <w:r w:rsidRPr="00EF3365">
        <w:rPr>
          <w:b w:val="0"/>
          <w:iCs w:val="0"/>
          <w:szCs w:val="20"/>
        </w:rPr>
        <w:t xml:space="preserve"> sub-options: </w:t>
      </w:r>
      <w:r w:rsidR="006924F2">
        <w:rPr>
          <w:b w:val="0"/>
          <w:iCs w:val="0"/>
          <w:szCs w:val="20"/>
        </w:rPr>
        <w:t>3.1</w:t>
      </w:r>
      <w:r w:rsidRPr="00EF3365">
        <w:rPr>
          <w:b w:val="0"/>
          <w:iCs w:val="0"/>
          <w:szCs w:val="20"/>
        </w:rPr>
        <w:t>a (</w:t>
      </w:r>
      <w:r w:rsidR="005954DB" w:rsidRPr="005954DB">
        <w:rPr>
          <w:b w:val="0"/>
        </w:rPr>
        <w:t>2.55 m wide goods vehicles and trailers</w:t>
      </w:r>
      <w:r w:rsidRPr="00EF3365">
        <w:rPr>
          <w:b w:val="0"/>
          <w:iCs w:val="0"/>
          <w:szCs w:val="20"/>
        </w:rPr>
        <w:t>)</w:t>
      </w:r>
      <w:r w:rsidR="006924F2">
        <w:rPr>
          <w:b w:val="0"/>
          <w:iCs w:val="0"/>
          <w:szCs w:val="20"/>
        </w:rPr>
        <w:t>, 3.1b (</w:t>
      </w:r>
      <w:r w:rsidR="005954DB" w:rsidRPr="005954DB">
        <w:rPr>
          <w:b w:val="0"/>
        </w:rPr>
        <w:t xml:space="preserve">2.55 m wide goods vehicles </w:t>
      </w:r>
      <w:r w:rsidR="005954DB">
        <w:rPr>
          <w:b w:val="0"/>
        </w:rPr>
        <w:t>only</w:t>
      </w:r>
      <w:r w:rsidR="006924F2">
        <w:rPr>
          <w:b w:val="0"/>
          <w:iCs w:val="0"/>
          <w:szCs w:val="20"/>
        </w:rPr>
        <w:t>), 3.2a (</w:t>
      </w:r>
      <w:r w:rsidR="00B9347B">
        <w:rPr>
          <w:b w:val="0"/>
        </w:rPr>
        <w:t>2.60</w:t>
      </w:r>
      <w:r w:rsidR="005954DB" w:rsidRPr="005954DB">
        <w:rPr>
          <w:b w:val="0"/>
        </w:rPr>
        <w:t> m wide goods vehicles and trailers</w:t>
      </w:r>
      <w:r w:rsidR="006924F2">
        <w:rPr>
          <w:b w:val="0"/>
          <w:iCs w:val="0"/>
          <w:szCs w:val="20"/>
        </w:rPr>
        <w:t>),</w:t>
      </w:r>
      <w:r w:rsidRPr="00EF3365">
        <w:rPr>
          <w:b w:val="0"/>
          <w:iCs w:val="0"/>
          <w:szCs w:val="20"/>
        </w:rPr>
        <w:t xml:space="preserve"> and </w:t>
      </w:r>
      <w:r w:rsidR="006924F2">
        <w:rPr>
          <w:b w:val="0"/>
          <w:iCs w:val="0"/>
          <w:szCs w:val="20"/>
        </w:rPr>
        <w:t>3.</w:t>
      </w:r>
      <w:r w:rsidRPr="00EF3365">
        <w:rPr>
          <w:b w:val="0"/>
          <w:iCs w:val="0"/>
          <w:szCs w:val="20"/>
        </w:rPr>
        <w:t>2b (</w:t>
      </w:r>
      <w:r w:rsidR="00B9347B">
        <w:rPr>
          <w:b w:val="0"/>
        </w:rPr>
        <w:t>2.60</w:t>
      </w:r>
      <w:r w:rsidR="005954DB" w:rsidRPr="005954DB">
        <w:rPr>
          <w:b w:val="0"/>
        </w:rPr>
        <w:t xml:space="preserve"> m wide goods vehicles </w:t>
      </w:r>
      <w:r w:rsidR="005954DB">
        <w:rPr>
          <w:b w:val="0"/>
        </w:rPr>
        <w:t>only</w:t>
      </w:r>
      <w:r w:rsidRPr="00EF3365">
        <w:rPr>
          <w:b w:val="0"/>
          <w:iCs w:val="0"/>
          <w:szCs w:val="20"/>
        </w:rPr>
        <w:t xml:space="preserve">). </w:t>
      </w:r>
      <w:r w:rsidR="00726BF0">
        <w:rPr>
          <w:b w:val="0"/>
          <w:iCs w:val="0"/>
          <w:szCs w:val="20"/>
        </w:rPr>
        <w:t xml:space="preserve">Each of these </w:t>
      </w:r>
      <w:r w:rsidR="00373B08">
        <w:rPr>
          <w:b w:val="0"/>
          <w:iCs w:val="0"/>
          <w:szCs w:val="20"/>
        </w:rPr>
        <w:br/>
      </w:r>
      <w:r w:rsidR="00726BF0">
        <w:rPr>
          <w:b w:val="0"/>
          <w:iCs w:val="0"/>
          <w:szCs w:val="20"/>
        </w:rPr>
        <w:t xml:space="preserve">sub-options include </w:t>
      </w:r>
      <w:r w:rsidR="00945CA6">
        <w:rPr>
          <w:b w:val="0"/>
          <w:iCs w:val="0"/>
          <w:szCs w:val="20"/>
        </w:rPr>
        <w:t xml:space="preserve">additional mandatory safety ADRs and exclusions for enhanced devices for indirect vision and </w:t>
      </w:r>
      <w:r w:rsidR="007A631C">
        <w:rPr>
          <w:b w:val="0"/>
          <w:iCs w:val="0"/>
          <w:szCs w:val="20"/>
        </w:rPr>
        <w:t xml:space="preserve">monitoring </w:t>
      </w:r>
      <w:r w:rsidR="00945CA6" w:rsidRPr="00945CA6">
        <w:rPr>
          <w:b w:val="0"/>
          <w:iCs w:val="0"/>
          <w:szCs w:val="20"/>
        </w:rPr>
        <w:t xml:space="preserve">devices to detect other road users </w:t>
      </w:r>
      <w:r w:rsidR="00945CA6">
        <w:rPr>
          <w:b w:val="0"/>
          <w:iCs w:val="0"/>
          <w:szCs w:val="20"/>
        </w:rPr>
        <w:t>from vehicle width and length measurements</w:t>
      </w:r>
      <w:r w:rsidR="007A631C">
        <w:rPr>
          <w:b w:val="0"/>
          <w:iCs w:val="0"/>
          <w:szCs w:val="20"/>
        </w:rPr>
        <w:t xml:space="preserve"> (for further detail see Chapter </w:t>
      </w:r>
      <w:r w:rsidR="00FD3068">
        <w:rPr>
          <w:b w:val="0"/>
          <w:iCs w:val="0"/>
          <w:szCs w:val="20"/>
        </w:rPr>
        <w:t>4</w:t>
      </w:r>
      <w:r w:rsidR="007A631C">
        <w:rPr>
          <w:b w:val="0"/>
          <w:iCs w:val="0"/>
          <w:szCs w:val="20"/>
        </w:rPr>
        <w:t>)</w:t>
      </w:r>
      <w:r w:rsidR="00945CA6">
        <w:rPr>
          <w:b w:val="0"/>
          <w:iCs w:val="0"/>
          <w:szCs w:val="20"/>
        </w:rPr>
        <w:t xml:space="preserve">. </w:t>
      </w:r>
      <w:r w:rsidR="00726BF0">
        <w:rPr>
          <w:b w:val="0"/>
          <w:iCs w:val="0"/>
          <w:szCs w:val="20"/>
        </w:rPr>
        <w:t>The benefits and costs of e</w:t>
      </w:r>
      <w:r w:rsidR="00FE2F57">
        <w:rPr>
          <w:b w:val="0"/>
          <w:iCs w:val="0"/>
          <w:szCs w:val="20"/>
        </w:rPr>
        <w:t>ach of these sub-options w</w:t>
      </w:r>
      <w:r w:rsidR="007A631C">
        <w:rPr>
          <w:b w:val="0"/>
          <w:iCs w:val="0"/>
          <w:szCs w:val="20"/>
        </w:rPr>
        <w:t>ere</w:t>
      </w:r>
      <w:r w:rsidR="00FE2F57">
        <w:rPr>
          <w:b w:val="0"/>
          <w:iCs w:val="0"/>
          <w:szCs w:val="20"/>
        </w:rPr>
        <w:t xml:space="preserve"> analysed relative to Option 2 (business as usual) in a</w:t>
      </w:r>
      <w:r w:rsidR="007A631C">
        <w:rPr>
          <w:b w:val="0"/>
          <w:iCs w:val="0"/>
          <w:szCs w:val="20"/>
        </w:rPr>
        <w:t xml:space="preserve">n </w:t>
      </w:r>
      <w:r w:rsidR="00FE2F57">
        <w:rPr>
          <w:b w:val="0"/>
          <w:iCs w:val="0"/>
          <w:szCs w:val="20"/>
        </w:rPr>
        <w:t xml:space="preserve">analysis by the Australian Road Research Board (ARRB). </w:t>
      </w:r>
      <w:r w:rsidRPr="00EF3365">
        <w:rPr>
          <w:b w:val="0"/>
          <w:iCs w:val="0"/>
          <w:szCs w:val="20"/>
        </w:rPr>
        <w:t>The results of th</w:t>
      </w:r>
      <w:r w:rsidR="007A631C">
        <w:rPr>
          <w:b w:val="0"/>
          <w:iCs w:val="0"/>
          <w:szCs w:val="20"/>
        </w:rPr>
        <w:t>is</w:t>
      </w:r>
      <w:r w:rsidRPr="00EF3365">
        <w:rPr>
          <w:b w:val="0"/>
          <w:iCs w:val="0"/>
          <w:szCs w:val="20"/>
        </w:rPr>
        <w:t xml:space="preserve"> benefit-cost analysis over a </w:t>
      </w:r>
      <w:proofErr w:type="gramStart"/>
      <w:r w:rsidR="006924F2">
        <w:rPr>
          <w:b w:val="0"/>
          <w:iCs w:val="0"/>
          <w:szCs w:val="20"/>
        </w:rPr>
        <w:t>40</w:t>
      </w:r>
      <w:r w:rsidRPr="00EF3365">
        <w:rPr>
          <w:b w:val="0"/>
          <w:iCs w:val="0"/>
          <w:szCs w:val="20"/>
        </w:rPr>
        <w:t xml:space="preserve"> year</w:t>
      </w:r>
      <w:proofErr w:type="gramEnd"/>
      <w:r w:rsidRPr="00EF3365">
        <w:rPr>
          <w:b w:val="0"/>
          <w:iCs w:val="0"/>
          <w:szCs w:val="20"/>
        </w:rPr>
        <w:t xml:space="preserve"> period for each of these options (assuming an intervention period of 15 years) are summarised in </w:t>
      </w:r>
      <w:r w:rsidR="00534814" w:rsidRPr="00534814">
        <w:rPr>
          <w:b w:val="0"/>
        </w:rPr>
        <w:t xml:space="preserve">Table </w:t>
      </w:r>
      <w:r w:rsidR="00534814" w:rsidRPr="00534814">
        <w:rPr>
          <w:b w:val="0"/>
          <w:noProof/>
        </w:rPr>
        <w:t>1</w:t>
      </w:r>
      <w:r w:rsidR="006924F2" w:rsidRPr="006924F2">
        <w:rPr>
          <w:b w:val="0"/>
          <w:iCs w:val="0"/>
          <w:szCs w:val="20"/>
        </w:rPr>
        <w:t xml:space="preserve"> </w:t>
      </w:r>
      <w:r w:rsidRPr="00EF3365">
        <w:rPr>
          <w:b w:val="0"/>
          <w:iCs w:val="0"/>
          <w:szCs w:val="20"/>
        </w:rPr>
        <w:t xml:space="preserve">to </w:t>
      </w:r>
      <w:r w:rsidR="00534814" w:rsidRPr="00534814">
        <w:rPr>
          <w:b w:val="0"/>
        </w:rPr>
        <w:t xml:space="preserve">Table </w:t>
      </w:r>
      <w:r w:rsidR="00534814" w:rsidRPr="00534814">
        <w:rPr>
          <w:b w:val="0"/>
          <w:noProof/>
        </w:rPr>
        <w:t>3</w:t>
      </w:r>
      <w:r w:rsidR="006924F2">
        <w:rPr>
          <w:b w:val="0"/>
          <w:iCs w:val="0"/>
          <w:szCs w:val="20"/>
        </w:rPr>
        <w:t xml:space="preserve"> </w:t>
      </w:r>
      <w:r w:rsidRPr="00EF3365">
        <w:rPr>
          <w:b w:val="0"/>
          <w:iCs w:val="0"/>
          <w:szCs w:val="20"/>
        </w:rPr>
        <w:t>below.</w:t>
      </w:r>
    </w:p>
    <w:p w14:paraId="67E3591D" w14:textId="43E8A9AD" w:rsidR="00542570" w:rsidRDefault="00542570" w:rsidP="00542570">
      <w:pPr>
        <w:pStyle w:val="Caption"/>
        <w:keepNext/>
      </w:pPr>
      <w:bookmarkStart w:id="6" w:name="_Ref117784943"/>
      <w:bookmarkStart w:id="7" w:name="_Ref117784939"/>
      <w:bookmarkStart w:id="8" w:name="_Toc135320126"/>
      <w:r w:rsidRPr="002C1585">
        <w:t xml:space="preserve">Table </w:t>
      </w:r>
      <w:r w:rsidR="00534814">
        <w:rPr>
          <w:noProof/>
        </w:rPr>
        <w:t>1</w:t>
      </w:r>
      <w:bookmarkEnd w:id="6"/>
      <w:r>
        <w:t xml:space="preserve">: </w:t>
      </w:r>
      <w:r w:rsidRPr="002C1585">
        <w:t xml:space="preserve">Summary of the </w:t>
      </w:r>
      <w:r>
        <w:t>benefits for</w:t>
      </w:r>
      <w:r w:rsidRPr="002C1585">
        <w:t xml:space="preserve"> each option</w:t>
      </w:r>
      <w:bookmarkEnd w:id="7"/>
      <w:bookmarkEnd w:id="8"/>
    </w:p>
    <w:tbl>
      <w:tblPr>
        <w:tblStyle w:val="TableGrid"/>
        <w:tblW w:w="9750" w:type="dxa"/>
        <w:tblLook w:val="04A0" w:firstRow="1" w:lastRow="0" w:firstColumn="1" w:lastColumn="0" w:noHBand="0" w:noVBand="1"/>
      </w:tblPr>
      <w:tblGrid>
        <w:gridCol w:w="3402"/>
        <w:gridCol w:w="1587"/>
        <w:gridCol w:w="1587"/>
        <w:gridCol w:w="1587"/>
        <w:gridCol w:w="1587"/>
      </w:tblGrid>
      <w:tr w:rsidR="00872745" w14:paraId="1F725431" w14:textId="77777777" w:rsidTr="00390513">
        <w:trPr>
          <w:trHeight w:val="340"/>
        </w:trPr>
        <w:tc>
          <w:tcPr>
            <w:tcW w:w="3402" w:type="dxa"/>
            <w:shd w:val="clear" w:color="auto" w:fill="081E3E" w:themeFill="text2"/>
            <w:vAlign w:val="center"/>
          </w:tcPr>
          <w:p w14:paraId="17DE8953" w14:textId="77777777" w:rsidR="00872745" w:rsidRPr="00731C0C" w:rsidRDefault="00872745" w:rsidP="00390513">
            <w:pPr>
              <w:pStyle w:val="Table2heading"/>
              <w:jc w:val="left"/>
            </w:pPr>
            <w:r>
              <w:t>Benefits</w:t>
            </w:r>
          </w:p>
        </w:tc>
        <w:tc>
          <w:tcPr>
            <w:tcW w:w="1587" w:type="dxa"/>
            <w:shd w:val="clear" w:color="auto" w:fill="081E3E" w:themeFill="text2"/>
            <w:vAlign w:val="center"/>
          </w:tcPr>
          <w:p w14:paraId="4F46FC2F" w14:textId="77777777" w:rsidR="00872745" w:rsidRPr="00731C0C" w:rsidRDefault="00872745" w:rsidP="00390513">
            <w:pPr>
              <w:pStyle w:val="Table2heading"/>
              <w:keepNext/>
            </w:pPr>
            <w:r w:rsidRPr="00731C0C">
              <w:t>Option 3.1a</w:t>
            </w:r>
          </w:p>
        </w:tc>
        <w:tc>
          <w:tcPr>
            <w:tcW w:w="1587" w:type="dxa"/>
            <w:shd w:val="clear" w:color="auto" w:fill="081E3E" w:themeFill="text2"/>
            <w:vAlign w:val="center"/>
          </w:tcPr>
          <w:p w14:paraId="71457867" w14:textId="77777777" w:rsidR="00872745" w:rsidRPr="00731C0C" w:rsidRDefault="00872745" w:rsidP="00390513">
            <w:pPr>
              <w:pStyle w:val="Table2heading"/>
              <w:keepNext/>
            </w:pPr>
            <w:r w:rsidRPr="00731C0C">
              <w:t>Option 3.1b</w:t>
            </w:r>
          </w:p>
        </w:tc>
        <w:tc>
          <w:tcPr>
            <w:tcW w:w="1587" w:type="dxa"/>
            <w:shd w:val="clear" w:color="auto" w:fill="081E3E" w:themeFill="text2"/>
            <w:vAlign w:val="center"/>
          </w:tcPr>
          <w:p w14:paraId="112905C0" w14:textId="77777777" w:rsidR="00872745" w:rsidRPr="00731C0C" w:rsidRDefault="00872745" w:rsidP="00390513">
            <w:pPr>
              <w:pStyle w:val="Table2heading"/>
              <w:keepNext/>
            </w:pPr>
            <w:r w:rsidRPr="00731C0C">
              <w:t>Option 3.2a</w:t>
            </w:r>
          </w:p>
        </w:tc>
        <w:tc>
          <w:tcPr>
            <w:tcW w:w="1587" w:type="dxa"/>
            <w:shd w:val="clear" w:color="auto" w:fill="081E3E" w:themeFill="text2"/>
            <w:vAlign w:val="center"/>
          </w:tcPr>
          <w:p w14:paraId="6DCE53D0" w14:textId="77777777" w:rsidR="00872745" w:rsidRPr="00731C0C" w:rsidRDefault="00872745" w:rsidP="00390513">
            <w:pPr>
              <w:pStyle w:val="Table2heading"/>
              <w:keepNext/>
            </w:pPr>
            <w:r w:rsidRPr="00731C0C">
              <w:t>Option 3.2b</w:t>
            </w:r>
          </w:p>
        </w:tc>
      </w:tr>
      <w:tr w:rsidR="00872745" w14:paraId="6A766E4F" w14:textId="77777777" w:rsidTr="00390513">
        <w:trPr>
          <w:trHeight w:val="340"/>
        </w:trPr>
        <w:tc>
          <w:tcPr>
            <w:tcW w:w="3402" w:type="dxa"/>
            <w:vAlign w:val="center"/>
          </w:tcPr>
          <w:p w14:paraId="00149892" w14:textId="77777777" w:rsidR="00872745" w:rsidRPr="00E856F5" w:rsidRDefault="00872745" w:rsidP="00390513">
            <w:pPr>
              <w:rPr>
                <w:b/>
              </w:rPr>
            </w:pPr>
            <w:r>
              <w:rPr>
                <w:b/>
              </w:rPr>
              <w:t>Safety</w:t>
            </w:r>
          </w:p>
        </w:tc>
        <w:tc>
          <w:tcPr>
            <w:tcW w:w="1587" w:type="dxa"/>
            <w:vAlign w:val="center"/>
          </w:tcPr>
          <w:p w14:paraId="312DD86E" w14:textId="77777777" w:rsidR="00872745" w:rsidRPr="005D0919" w:rsidRDefault="00872745" w:rsidP="00390513">
            <w:pPr>
              <w:jc w:val="center"/>
              <w:rPr>
                <w:rFonts w:cstheme="minorHAnsi"/>
                <w:color w:val="auto"/>
              </w:rPr>
            </w:pPr>
            <w:r w:rsidRPr="00413784">
              <w:t>$6</w:t>
            </w:r>
            <w:r>
              <w:t>28 m</w:t>
            </w:r>
          </w:p>
        </w:tc>
        <w:tc>
          <w:tcPr>
            <w:tcW w:w="1587" w:type="dxa"/>
            <w:vAlign w:val="center"/>
          </w:tcPr>
          <w:p w14:paraId="46D4C110" w14:textId="77777777" w:rsidR="00872745" w:rsidRPr="005D0919" w:rsidRDefault="00872745" w:rsidP="00390513">
            <w:pPr>
              <w:jc w:val="center"/>
              <w:rPr>
                <w:rFonts w:cstheme="minorHAnsi"/>
                <w:color w:val="auto"/>
              </w:rPr>
            </w:pPr>
            <w:r w:rsidRPr="00413784">
              <w:t>$558</w:t>
            </w:r>
            <w:r>
              <w:t> m</w:t>
            </w:r>
          </w:p>
        </w:tc>
        <w:tc>
          <w:tcPr>
            <w:tcW w:w="1587" w:type="dxa"/>
            <w:vAlign w:val="center"/>
          </w:tcPr>
          <w:p w14:paraId="6AFF66C4" w14:textId="77777777" w:rsidR="00872745" w:rsidRPr="005D0919" w:rsidRDefault="00872745" w:rsidP="00390513">
            <w:pPr>
              <w:jc w:val="center"/>
              <w:rPr>
                <w:rFonts w:cstheme="minorHAnsi"/>
                <w:color w:val="auto"/>
              </w:rPr>
            </w:pPr>
            <w:r w:rsidRPr="00413784">
              <w:t>$6</w:t>
            </w:r>
            <w:r>
              <w:t>89 m</w:t>
            </w:r>
          </w:p>
        </w:tc>
        <w:tc>
          <w:tcPr>
            <w:tcW w:w="1587" w:type="dxa"/>
            <w:vAlign w:val="center"/>
          </w:tcPr>
          <w:p w14:paraId="631652E1" w14:textId="77777777" w:rsidR="00872745" w:rsidRPr="005D0919" w:rsidRDefault="00872745" w:rsidP="00390513">
            <w:pPr>
              <w:jc w:val="center"/>
              <w:rPr>
                <w:rFonts w:cstheme="minorHAnsi"/>
                <w:color w:val="auto"/>
              </w:rPr>
            </w:pPr>
            <w:r w:rsidRPr="00413784">
              <w:t>$61</w:t>
            </w:r>
            <w:r>
              <w:t>2 m</w:t>
            </w:r>
          </w:p>
        </w:tc>
      </w:tr>
      <w:tr w:rsidR="00872745" w14:paraId="71F1E04F" w14:textId="77777777" w:rsidTr="00390513">
        <w:trPr>
          <w:trHeight w:val="340"/>
        </w:trPr>
        <w:tc>
          <w:tcPr>
            <w:tcW w:w="3402" w:type="dxa"/>
            <w:vAlign w:val="center"/>
          </w:tcPr>
          <w:p w14:paraId="5C72AE1B" w14:textId="77777777" w:rsidR="00872745" w:rsidRPr="00E856F5" w:rsidRDefault="00872745" w:rsidP="00390513">
            <w:pPr>
              <w:rPr>
                <w:b/>
              </w:rPr>
            </w:pPr>
            <w:r>
              <w:rPr>
                <w:b/>
              </w:rPr>
              <w:t>Asset Preservation</w:t>
            </w:r>
          </w:p>
        </w:tc>
        <w:tc>
          <w:tcPr>
            <w:tcW w:w="1587" w:type="dxa"/>
            <w:vAlign w:val="center"/>
          </w:tcPr>
          <w:p w14:paraId="368E20BE" w14:textId="77777777" w:rsidR="00872745" w:rsidRPr="007B0B44" w:rsidRDefault="00872745" w:rsidP="00390513">
            <w:pPr>
              <w:jc w:val="center"/>
            </w:pPr>
            <w:r w:rsidRPr="007B0B44">
              <w:t>$2.</w:t>
            </w:r>
            <w:r>
              <w:t>8</w:t>
            </w:r>
            <w:r w:rsidRPr="007B0B44">
              <w:t>0 m</w:t>
            </w:r>
          </w:p>
        </w:tc>
        <w:tc>
          <w:tcPr>
            <w:tcW w:w="1587" w:type="dxa"/>
            <w:vAlign w:val="center"/>
          </w:tcPr>
          <w:p w14:paraId="058AF830" w14:textId="77777777" w:rsidR="00872745" w:rsidRPr="007B0B44" w:rsidRDefault="00872745" w:rsidP="00390513">
            <w:pPr>
              <w:jc w:val="center"/>
            </w:pPr>
            <w:r w:rsidRPr="007B0B44">
              <w:t>$2</w:t>
            </w:r>
            <w:r>
              <w:t>.</w:t>
            </w:r>
            <w:r w:rsidRPr="007B0B44">
              <w:t>42</w:t>
            </w:r>
            <w:r>
              <w:t> m</w:t>
            </w:r>
          </w:p>
        </w:tc>
        <w:tc>
          <w:tcPr>
            <w:tcW w:w="1587" w:type="dxa"/>
            <w:vAlign w:val="center"/>
          </w:tcPr>
          <w:p w14:paraId="3F5FF0C6" w14:textId="77777777" w:rsidR="00872745" w:rsidRPr="007B0B44" w:rsidRDefault="00872745" w:rsidP="00390513">
            <w:pPr>
              <w:jc w:val="center"/>
            </w:pPr>
            <w:r w:rsidRPr="007B0B44">
              <w:t>$5</w:t>
            </w:r>
            <w:r>
              <w:t>.4</w:t>
            </w:r>
            <w:r w:rsidRPr="007B0B44">
              <w:t>6</w:t>
            </w:r>
            <w:r>
              <w:t> m</w:t>
            </w:r>
          </w:p>
        </w:tc>
        <w:tc>
          <w:tcPr>
            <w:tcW w:w="1587" w:type="dxa"/>
            <w:vAlign w:val="center"/>
          </w:tcPr>
          <w:p w14:paraId="5EA4C3A1" w14:textId="77777777" w:rsidR="00872745" w:rsidRPr="007B0B44" w:rsidRDefault="00872745" w:rsidP="00390513">
            <w:pPr>
              <w:jc w:val="center"/>
            </w:pPr>
            <w:r w:rsidRPr="007B0B44">
              <w:t>$4</w:t>
            </w:r>
            <w:r>
              <w:t>.</w:t>
            </w:r>
            <w:r w:rsidRPr="007B0B44">
              <w:t>7</w:t>
            </w:r>
            <w:r>
              <w:t>3 m</w:t>
            </w:r>
          </w:p>
        </w:tc>
      </w:tr>
      <w:tr w:rsidR="00872745" w14:paraId="2CA08714" w14:textId="77777777" w:rsidTr="00390513">
        <w:trPr>
          <w:trHeight w:val="340"/>
        </w:trPr>
        <w:tc>
          <w:tcPr>
            <w:tcW w:w="3402" w:type="dxa"/>
            <w:vAlign w:val="center"/>
          </w:tcPr>
          <w:p w14:paraId="67373B52" w14:textId="77777777" w:rsidR="00872745" w:rsidRPr="00E856F5" w:rsidRDefault="00872745" w:rsidP="00390513">
            <w:pPr>
              <w:rPr>
                <w:b/>
              </w:rPr>
            </w:pPr>
            <w:r>
              <w:rPr>
                <w:b/>
              </w:rPr>
              <w:t>Vehicle Operation</w:t>
            </w:r>
          </w:p>
        </w:tc>
        <w:tc>
          <w:tcPr>
            <w:tcW w:w="1587" w:type="dxa"/>
            <w:vAlign w:val="center"/>
          </w:tcPr>
          <w:p w14:paraId="4CEBA61C" w14:textId="77777777" w:rsidR="00872745" w:rsidRPr="005D0919" w:rsidRDefault="00872745" w:rsidP="00390513">
            <w:pPr>
              <w:jc w:val="center"/>
              <w:rPr>
                <w:rFonts w:cstheme="minorHAnsi"/>
                <w:color w:val="auto"/>
              </w:rPr>
            </w:pPr>
            <w:r w:rsidRPr="00F770B3">
              <w:t>$2</w:t>
            </w:r>
            <w:r>
              <w:t>35 m</w:t>
            </w:r>
          </w:p>
        </w:tc>
        <w:tc>
          <w:tcPr>
            <w:tcW w:w="1587" w:type="dxa"/>
            <w:vAlign w:val="center"/>
          </w:tcPr>
          <w:p w14:paraId="07505A8A" w14:textId="77777777" w:rsidR="00872745" w:rsidRPr="005D0919" w:rsidRDefault="00872745" w:rsidP="00390513">
            <w:pPr>
              <w:jc w:val="center"/>
              <w:rPr>
                <w:rFonts w:cstheme="minorHAnsi"/>
                <w:color w:val="auto"/>
              </w:rPr>
            </w:pPr>
            <w:r w:rsidRPr="00F770B3">
              <w:t>$208</w:t>
            </w:r>
            <w:r>
              <w:t> m</w:t>
            </w:r>
          </w:p>
        </w:tc>
        <w:tc>
          <w:tcPr>
            <w:tcW w:w="1587" w:type="dxa"/>
            <w:vAlign w:val="center"/>
          </w:tcPr>
          <w:p w14:paraId="30AE15DC" w14:textId="77777777" w:rsidR="00872745" w:rsidRPr="005D0919" w:rsidRDefault="00872745" w:rsidP="00390513">
            <w:pPr>
              <w:jc w:val="center"/>
              <w:rPr>
                <w:rFonts w:cstheme="minorHAnsi"/>
                <w:color w:val="auto"/>
              </w:rPr>
            </w:pPr>
            <w:r w:rsidRPr="00F770B3">
              <w:t>$4</w:t>
            </w:r>
            <w:r>
              <w:t>39 m</w:t>
            </w:r>
          </w:p>
        </w:tc>
        <w:tc>
          <w:tcPr>
            <w:tcW w:w="1587" w:type="dxa"/>
            <w:vAlign w:val="center"/>
          </w:tcPr>
          <w:p w14:paraId="21895577" w14:textId="77777777" w:rsidR="00872745" w:rsidRPr="005D0919" w:rsidRDefault="00872745" w:rsidP="00390513">
            <w:pPr>
              <w:jc w:val="center"/>
              <w:rPr>
                <w:rFonts w:cstheme="minorHAnsi"/>
                <w:color w:val="auto"/>
              </w:rPr>
            </w:pPr>
            <w:r w:rsidRPr="00F770B3">
              <w:t>$38</w:t>
            </w:r>
            <w:r>
              <w:t>9 m</w:t>
            </w:r>
          </w:p>
        </w:tc>
      </w:tr>
      <w:tr w:rsidR="00872745" w14:paraId="7C2FA777" w14:textId="77777777" w:rsidTr="00390513">
        <w:trPr>
          <w:trHeight w:val="340"/>
        </w:trPr>
        <w:tc>
          <w:tcPr>
            <w:tcW w:w="3402" w:type="dxa"/>
            <w:vAlign w:val="center"/>
          </w:tcPr>
          <w:p w14:paraId="256AE3BB" w14:textId="77777777" w:rsidR="00872745" w:rsidRPr="00E856F5" w:rsidRDefault="00872745" w:rsidP="00390513">
            <w:pPr>
              <w:rPr>
                <w:b/>
              </w:rPr>
            </w:pPr>
            <w:r>
              <w:rPr>
                <w:b/>
              </w:rPr>
              <w:t>Environment</w:t>
            </w:r>
          </w:p>
        </w:tc>
        <w:tc>
          <w:tcPr>
            <w:tcW w:w="1587" w:type="dxa"/>
            <w:vAlign w:val="center"/>
          </w:tcPr>
          <w:p w14:paraId="10AF5221" w14:textId="77777777" w:rsidR="00872745" w:rsidRPr="005D0919" w:rsidRDefault="00872745" w:rsidP="00390513">
            <w:pPr>
              <w:jc w:val="center"/>
              <w:rPr>
                <w:rFonts w:cstheme="minorHAnsi"/>
                <w:color w:val="auto"/>
              </w:rPr>
            </w:pPr>
            <w:r w:rsidRPr="003633B4">
              <w:t>$1</w:t>
            </w:r>
            <w:r>
              <w:t>22 m</w:t>
            </w:r>
          </w:p>
        </w:tc>
        <w:tc>
          <w:tcPr>
            <w:tcW w:w="1587" w:type="dxa"/>
            <w:vAlign w:val="center"/>
          </w:tcPr>
          <w:p w14:paraId="30EE839F" w14:textId="77777777" w:rsidR="00872745" w:rsidRPr="005D0919" w:rsidRDefault="00872745" w:rsidP="00390513">
            <w:pPr>
              <w:jc w:val="center"/>
              <w:rPr>
                <w:rFonts w:cstheme="minorHAnsi"/>
                <w:color w:val="auto"/>
              </w:rPr>
            </w:pPr>
            <w:r w:rsidRPr="003633B4">
              <w:t>$10</w:t>
            </w:r>
            <w:r>
              <w:t>8 m</w:t>
            </w:r>
          </w:p>
        </w:tc>
        <w:tc>
          <w:tcPr>
            <w:tcW w:w="1587" w:type="dxa"/>
            <w:vAlign w:val="center"/>
          </w:tcPr>
          <w:p w14:paraId="493C371D" w14:textId="77777777" w:rsidR="00872745" w:rsidRPr="005D0919" w:rsidRDefault="00872745" w:rsidP="00390513">
            <w:pPr>
              <w:jc w:val="center"/>
              <w:rPr>
                <w:rFonts w:cstheme="minorHAnsi"/>
                <w:color w:val="auto"/>
              </w:rPr>
            </w:pPr>
            <w:r w:rsidRPr="003633B4">
              <w:t>$2</w:t>
            </w:r>
            <w:r>
              <w:t>27 m</w:t>
            </w:r>
          </w:p>
        </w:tc>
        <w:tc>
          <w:tcPr>
            <w:tcW w:w="1587" w:type="dxa"/>
            <w:vAlign w:val="center"/>
          </w:tcPr>
          <w:p w14:paraId="261B30E6" w14:textId="77777777" w:rsidR="00872745" w:rsidRPr="005D0919" w:rsidRDefault="00872745" w:rsidP="00390513">
            <w:pPr>
              <w:jc w:val="center"/>
              <w:rPr>
                <w:rFonts w:cstheme="minorHAnsi"/>
                <w:color w:val="auto"/>
              </w:rPr>
            </w:pPr>
            <w:r w:rsidRPr="003633B4">
              <w:t>$20</w:t>
            </w:r>
            <w:r>
              <w:t>1 m</w:t>
            </w:r>
          </w:p>
        </w:tc>
      </w:tr>
    </w:tbl>
    <w:p w14:paraId="4B387E1C" w14:textId="1F7C1514" w:rsidR="00542570" w:rsidRPr="002C1585" w:rsidRDefault="00542570" w:rsidP="00D416D7">
      <w:pPr>
        <w:pStyle w:val="Caption"/>
        <w:keepNext/>
        <w:pageBreakBefore/>
      </w:pPr>
      <w:bookmarkStart w:id="9" w:name="_Toc135320127"/>
      <w:r w:rsidRPr="002C1585">
        <w:t xml:space="preserve">Table </w:t>
      </w:r>
      <w:r w:rsidR="00534814">
        <w:rPr>
          <w:noProof/>
        </w:rPr>
        <w:t>2</w:t>
      </w:r>
      <w:r>
        <w:t xml:space="preserve">: </w:t>
      </w:r>
      <w:r w:rsidRPr="002C1585">
        <w:t xml:space="preserve">Summary of the </w:t>
      </w:r>
      <w:r>
        <w:t>costs for</w:t>
      </w:r>
      <w:r w:rsidRPr="002C1585">
        <w:t xml:space="preserve"> each option</w:t>
      </w:r>
      <w:bookmarkEnd w:id="9"/>
    </w:p>
    <w:tbl>
      <w:tblPr>
        <w:tblStyle w:val="TableGrid"/>
        <w:tblW w:w="0" w:type="auto"/>
        <w:tblLook w:val="04A0" w:firstRow="1" w:lastRow="0" w:firstColumn="1" w:lastColumn="0" w:noHBand="0" w:noVBand="1"/>
      </w:tblPr>
      <w:tblGrid>
        <w:gridCol w:w="1838"/>
        <w:gridCol w:w="1564"/>
        <w:gridCol w:w="1588"/>
        <w:gridCol w:w="1588"/>
        <w:gridCol w:w="1588"/>
        <w:gridCol w:w="1588"/>
      </w:tblGrid>
      <w:tr w:rsidR="00872745" w14:paraId="32D97E4C" w14:textId="77777777" w:rsidTr="00390513">
        <w:trPr>
          <w:trHeight w:val="340"/>
        </w:trPr>
        <w:tc>
          <w:tcPr>
            <w:tcW w:w="3402" w:type="dxa"/>
            <w:gridSpan w:val="2"/>
            <w:shd w:val="clear" w:color="auto" w:fill="081E3E" w:themeFill="text2"/>
            <w:vAlign w:val="center"/>
          </w:tcPr>
          <w:p w14:paraId="514AD801" w14:textId="77777777" w:rsidR="00872745" w:rsidRPr="00731C0C" w:rsidRDefault="00872745" w:rsidP="00390513">
            <w:pPr>
              <w:pStyle w:val="Table2heading"/>
              <w:jc w:val="left"/>
            </w:pPr>
            <w:r>
              <w:t>Costs</w:t>
            </w:r>
          </w:p>
        </w:tc>
        <w:tc>
          <w:tcPr>
            <w:tcW w:w="1588" w:type="dxa"/>
            <w:shd w:val="clear" w:color="auto" w:fill="081E3E" w:themeFill="text2"/>
            <w:vAlign w:val="center"/>
          </w:tcPr>
          <w:p w14:paraId="3F4D846A" w14:textId="77777777" w:rsidR="00872745" w:rsidRPr="00731C0C" w:rsidRDefault="00872745" w:rsidP="00390513">
            <w:pPr>
              <w:pStyle w:val="Table2heading"/>
              <w:keepNext/>
            </w:pPr>
            <w:r w:rsidRPr="00731C0C">
              <w:t>Option 3.1a</w:t>
            </w:r>
          </w:p>
        </w:tc>
        <w:tc>
          <w:tcPr>
            <w:tcW w:w="1588" w:type="dxa"/>
            <w:shd w:val="clear" w:color="auto" w:fill="081E3E" w:themeFill="text2"/>
            <w:vAlign w:val="center"/>
          </w:tcPr>
          <w:p w14:paraId="1BDDBF7C" w14:textId="77777777" w:rsidR="00872745" w:rsidRPr="00731C0C" w:rsidRDefault="00872745" w:rsidP="00390513">
            <w:pPr>
              <w:pStyle w:val="Table2heading"/>
              <w:keepNext/>
            </w:pPr>
            <w:r w:rsidRPr="00731C0C">
              <w:t>Option 3.1b</w:t>
            </w:r>
          </w:p>
        </w:tc>
        <w:tc>
          <w:tcPr>
            <w:tcW w:w="1588" w:type="dxa"/>
            <w:shd w:val="clear" w:color="auto" w:fill="081E3E" w:themeFill="text2"/>
            <w:vAlign w:val="center"/>
          </w:tcPr>
          <w:p w14:paraId="2507BDE2" w14:textId="77777777" w:rsidR="00872745" w:rsidRPr="00731C0C" w:rsidRDefault="00872745" w:rsidP="00390513">
            <w:pPr>
              <w:pStyle w:val="Table2heading"/>
              <w:keepNext/>
            </w:pPr>
            <w:r w:rsidRPr="00731C0C">
              <w:t>Option 3.2a</w:t>
            </w:r>
          </w:p>
        </w:tc>
        <w:tc>
          <w:tcPr>
            <w:tcW w:w="1588" w:type="dxa"/>
            <w:shd w:val="clear" w:color="auto" w:fill="081E3E" w:themeFill="text2"/>
            <w:vAlign w:val="center"/>
          </w:tcPr>
          <w:p w14:paraId="350C45AB" w14:textId="77777777" w:rsidR="00872745" w:rsidRPr="00731C0C" w:rsidRDefault="00872745" w:rsidP="00390513">
            <w:pPr>
              <w:pStyle w:val="Table2heading"/>
              <w:keepNext/>
            </w:pPr>
            <w:r w:rsidRPr="00731C0C">
              <w:t>Option 3.2b</w:t>
            </w:r>
          </w:p>
        </w:tc>
      </w:tr>
      <w:tr w:rsidR="00872745" w14:paraId="7B515594" w14:textId="77777777" w:rsidTr="00390513">
        <w:trPr>
          <w:trHeight w:val="483"/>
        </w:trPr>
        <w:tc>
          <w:tcPr>
            <w:tcW w:w="1838" w:type="dxa"/>
            <w:vMerge w:val="restart"/>
            <w:vAlign w:val="center"/>
          </w:tcPr>
          <w:p w14:paraId="5CCF06E5" w14:textId="77777777" w:rsidR="00872745" w:rsidRDefault="00872745" w:rsidP="00390513">
            <w:pPr>
              <w:rPr>
                <w:b/>
              </w:rPr>
            </w:pPr>
            <w:r>
              <w:rPr>
                <w:b/>
              </w:rPr>
              <w:t>Fitment of safety systems or features and modifications for width</w:t>
            </w:r>
            <w:r w:rsidR="00BA041B">
              <w:rPr>
                <w:b/>
              </w:rPr>
              <w:t xml:space="preserve"> (net cost</w:t>
            </w:r>
            <w:r w:rsidR="00B54776">
              <w:rPr>
                <w:b/>
              </w:rPr>
              <w:t>)</w:t>
            </w:r>
          </w:p>
        </w:tc>
        <w:tc>
          <w:tcPr>
            <w:tcW w:w="1564" w:type="dxa"/>
            <w:vAlign w:val="center"/>
          </w:tcPr>
          <w:p w14:paraId="0D485E81" w14:textId="77777777" w:rsidR="00872745" w:rsidRPr="00C2534D" w:rsidRDefault="00872745" w:rsidP="00390513">
            <w:r w:rsidRPr="00C2534D">
              <w:t>Goods vehicles</w:t>
            </w:r>
          </w:p>
        </w:tc>
        <w:tc>
          <w:tcPr>
            <w:tcW w:w="1588" w:type="dxa"/>
            <w:vAlign w:val="center"/>
          </w:tcPr>
          <w:p w14:paraId="2C5E3024" w14:textId="77777777" w:rsidR="00872745" w:rsidRPr="00A67B00" w:rsidRDefault="00872745" w:rsidP="00390513">
            <w:pPr>
              <w:jc w:val="center"/>
              <w:rPr>
                <w:rFonts w:cstheme="minorHAnsi"/>
                <w:highlight w:val="yellow"/>
              </w:rPr>
            </w:pPr>
            <w:r>
              <w:rPr>
                <w:rFonts w:cstheme="minorHAnsi"/>
                <w:color w:val="000000"/>
              </w:rPr>
              <w:t>$236 m</w:t>
            </w:r>
          </w:p>
        </w:tc>
        <w:tc>
          <w:tcPr>
            <w:tcW w:w="1588" w:type="dxa"/>
            <w:vAlign w:val="center"/>
          </w:tcPr>
          <w:p w14:paraId="34698E2D" w14:textId="77777777" w:rsidR="00872745" w:rsidRPr="00A67B00" w:rsidRDefault="00872745" w:rsidP="00390513">
            <w:pPr>
              <w:jc w:val="center"/>
              <w:rPr>
                <w:rFonts w:cstheme="minorHAnsi"/>
                <w:highlight w:val="yellow"/>
              </w:rPr>
            </w:pPr>
            <w:r>
              <w:rPr>
                <w:rFonts w:cstheme="minorHAnsi"/>
                <w:color w:val="000000"/>
              </w:rPr>
              <w:t>$236 m</w:t>
            </w:r>
          </w:p>
        </w:tc>
        <w:tc>
          <w:tcPr>
            <w:tcW w:w="1588" w:type="dxa"/>
            <w:vAlign w:val="center"/>
          </w:tcPr>
          <w:p w14:paraId="5080178F" w14:textId="77777777" w:rsidR="00872745" w:rsidRPr="00A67B00" w:rsidRDefault="00872745" w:rsidP="00390513">
            <w:pPr>
              <w:jc w:val="center"/>
              <w:rPr>
                <w:rFonts w:cstheme="minorHAnsi"/>
                <w:highlight w:val="yellow"/>
              </w:rPr>
            </w:pPr>
            <w:r>
              <w:rPr>
                <w:rFonts w:cstheme="minorHAnsi"/>
                <w:color w:val="000000"/>
              </w:rPr>
              <w:t>$222 m</w:t>
            </w:r>
          </w:p>
        </w:tc>
        <w:tc>
          <w:tcPr>
            <w:tcW w:w="1588" w:type="dxa"/>
            <w:vAlign w:val="center"/>
          </w:tcPr>
          <w:p w14:paraId="5D14A02A" w14:textId="77777777" w:rsidR="00872745" w:rsidRPr="00A67B00" w:rsidRDefault="00872745" w:rsidP="00390513">
            <w:pPr>
              <w:jc w:val="center"/>
              <w:rPr>
                <w:rFonts w:cstheme="minorHAnsi"/>
                <w:highlight w:val="yellow"/>
              </w:rPr>
            </w:pPr>
            <w:r>
              <w:rPr>
                <w:rFonts w:cstheme="minorHAnsi"/>
                <w:color w:val="000000"/>
              </w:rPr>
              <w:t>$222 m</w:t>
            </w:r>
          </w:p>
        </w:tc>
      </w:tr>
      <w:tr w:rsidR="00872745" w14:paraId="359FD7ED" w14:textId="77777777" w:rsidTr="00390513">
        <w:trPr>
          <w:trHeight w:val="484"/>
        </w:trPr>
        <w:tc>
          <w:tcPr>
            <w:tcW w:w="1838" w:type="dxa"/>
            <w:vMerge/>
            <w:vAlign w:val="center"/>
          </w:tcPr>
          <w:p w14:paraId="7A4D054D" w14:textId="77777777" w:rsidR="00872745" w:rsidRDefault="00872745" w:rsidP="00390513">
            <w:pPr>
              <w:rPr>
                <w:b/>
              </w:rPr>
            </w:pPr>
          </w:p>
        </w:tc>
        <w:tc>
          <w:tcPr>
            <w:tcW w:w="1564" w:type="dxa"/>
            <w:vAlign w:val="center"/>
          </w:tcPr>
          <w:p w14:paraId="77D14298" w14:textId="77777777" w:rsidR="00872745" w:rsidRPr="00C2534D" w:rsidRDefault="00872745" w:rsidP="00390513">
            <w:r w:rsidRPr="00C2534D">
              <w:t>Trailers</w:t>
            </w:r>
          </w:p>
        </w:tc>
        <w:tc>
          <w:tcPr>
            <w:tcW w:w="1588" w:type="dxa"/>
            <w:vAlign w:val="center"/>
          </w:tcPr>
          <w:p w14:paraId="31F4C984" w14:textId="77777777" w:rsidR="00872745" w:rsidRPr="00A67B00" w:rsidRDefault="00872745" w:rsidP="00390513">
            <w:pPr>
              <w:jc w:val="center"/>
              <w:rPr>
                <w:rFonts w:cstheme="minorHAnsi"/>
                <w:color w:val="auto"/>
              </w:rPr>
            </w:pPr>
            <w:r>
              <w:rPr>
                <w:rFonts w:cstheme="minorHAnsi"/>
                <w:color w:val="000000"/>
              </w:rPr>
              <w:t>$39.5 m</w:t>
            </w:r>
          </w:p>
        </w:tc>
        <w:tc>
          <w:tcPr>
            <w:tcW w:w="1588" w:type="dxa"/>
            <w:vAlign w:val="center"/>
          </w:tcPr>
          <w:p w14:paraId="16E39004" w14:textId="77777777" w:rsidR="00872745" w:rsidRPr="00A67B00" w:rsidRDefault="00872745" w:rsidP="00390513">
            <w:pPr>
              <w:jc w:val="center"/>
              <w:rPr>
                <w:rFonts w:cstheme="minorHAnsi"/>
                <w:color w:val="auto"/>
              </w:rPr>
            </w:pPr>
            <w:r>
              <w:rPr>
                <w:color w:val="auto"/>
              </w:rPr>
              <w:t>-</w:t>
            </w:r>
          </w:p>
        </w:tc>
        <w:tc>
          <w:tcPr>
            <w:tcW w:w="1588" w:type="dxa"/>
            <w:vAlign w:val="center"/>
          </w:tcPr>
          <w:p w14:paraId="3318B2BC" w14:textId="77777777" w:rsidR="00872745" w:rsidRPr="00A67B00" w:rsidRDefault="00872745" w:rsidP="00390513">
            <w:pPr>
              <w:jc w:val="center"/>
              <w:rPr>
                <w:rFonts w:cstheme="minorHAnsi"/>
                <w:color w:val="auto"/>
              </w:rPr>
            </w:pPr>
            <w:r>
              <w:rPr>
                <w:rFonts w:cstheme="minorHAnsi"/>
                <w:color w:val="000000"/>
              </w:rPr>
              <w:t>$41.0 m</w:t>
            </w:r>
          </w:p>
        </w:tc>
        <w:tc>
          <w:tcPr>
            <w:tcW w:w="1588" w:type="dxa"/>
            <w:vAlign w:val="center"/>
          </w:tcPr>
          <w:p w14:paraId="558DA27F" w14:textId="77777777" w:rsidR="00872745" w:rsidRPr="00A67B00" w:rsidRDefault="00872745" w:rsidP="00390513">
            <w:pPr>
              <w:jc w:val="center"/>
              <w:rPr>
                <w:rFonts w:cstheme="minorHAnsi"/>
                <w:color w:val="auto"/>
              </w:rPr>
            </w:pPr>
            <w:r>
              <w:rPr>
                <w:color w:val="auto"/>
              </w:rPr>
              <w:t>-</w:t>
            </w:r>
          </w:p>
        </w:tc>
      </w:tr>
      <w:tr w:rsidR="00872745" w14:paraId="67457D45" w14:textId="77777777" w:rsidTr="00390513">
        <w:trPr>
          <w:trHeight w:val="340"/>
        </w:trPr>
        <w:tc>
          <w:tcPr>
            <w:tcW w:w="3402" w:type="dxa"/>
            <w:gridSpan w:val="2"/>
            <w:vAlign w:val="center"/>
          </w:tcPr>
          <w:p w14:paraId="502B6741" w14:textId="77777777" w:rsidR="00872745" w:rsidRPr="00E856F5" w:rsidRDefault="00872745" w:rsidP="00390513">
            <w:pPr>
              <w:rPr>
                <w:b/>
              </w:rPr>
            </w:pPr>
            <w:r>
              <w:rPr>
                <w:b/>
              </w:rPr>
              <w:t>Maintenance of safety systems or features</w:t>
            </w:r>
          </w:p>
        </w:tc>
        <w:tc>
          <w:tcPr>
            <w:tcW w:w="1588" w:type="dxa"/>
            <w:vAlign w:val="center"/>
          </w:tcPr>
          <w:p w14:paraId="2C24FF62" w14:textId="77777777" w:rsidR="00872745" w:rsidRPr="00A67B00" w:rsidRDefault="00872745" w:rsidP="00390513">
            <w:pPr>
              <w:jc w:val="center"/>
              <w:rPr>
                <w:rFonts w:cstheme="minorHAnsi"/>
                <w:color w:val="auto"/>
              </w:rPr>
            </w:pPr>
            <w:r>
              <w:rPr>
                <w:rFonts w:cstheme="minorHAnsi"/>
                <w:color w:val="000000"/>
              </w:rPr>
              <w:t>$41.3 m</w:t>
            </w:r>
          </w:p>
        </w:tc>
        <w:tc>
          <w:tcPr>
            <w:tcW w:w="1588" w:type="dxa"/>
            <w:vAlign w:val="center"/>
          </w:tcPr>
          <w:p w14:paraId="2266131E" w14:textId="77777777" w:rsidR="00872745" w:rsidRPr="00A67B00" w:rsidRDefault="00872745" w:rsidP="00390513">
            <w:pPr>
              <w:jc w:val="center"/>
              <w:rPr>
                <w:rFonts w:cstheme="minorHAnsi"/>
                <w:color w:val="auto"/>
              </w:rPr>
            </w:pPr>
            <w:r>
              <w:rPr>
                <w:rFonts w:cstheme="minorHAnsi"/>
                <w:color w:val="000000"/>
              </w:rPr>
              <w:t>$37.2 m</w:t>
            </w:r>
          </w:p>
        </w:tc>
        <w:tc>
          <w:tcPr>
            <w:tcW w:w="1588" w:type="dxa"/>
            <w:vAlign w:val="center"/>
          </w:tcPr>
          <w:p w14:paraId="40F8286F" w14:textId="77777777" w:rsidR="00872745" w:rsidRPr="00A67B00" w:rsidRDefault="00872745" w:rsidP="00390513">
            <w:pPr>
              <w:jc w:val="center"/>
              <w:rPr>
                <w:rFonts w:cstheme="minorHAnsi"/>
                <w:color w:val="auto"/>
              </w:rPr>
            </w:pPr>
            <w:r>
              <w:rPr>
                <w:rFonts w:cstheme="minorHAnsi"/>
              </w:rPr>
              <w:t>$41.3 m</w:t>
            </w:r>
          </w:p>
        </w:tc>
        <w:tc>
          <w:tcPr>
            <w:tcW w:w="1588" w:type="dxa"/>
            <w:vAlign w:val="center"/>
          </w:tcPr>
          <w:p w14:paraId="0B340F8E" w14:textId="77777777" w:rsidR="00872745" w:rsidRPr="00A67B00" w:rsidRDefault="00872745" w:rsidP="00390513">
            <w:pPr>
              <w:jc w:val="center"/>
              <w:rPr>
                <w:rFonts w:cstheme="minorHAnsi"/>
                <w:color w:val="auto"/>
              </w:rPr>
            </w:pPr>
            <w:r>
              <w:rPr>
                <w:rFonts w:cstheme="minorHAnsi"/>
                <w:color w:val="000000"/>
              </w:rPr>
              <w:t>$37.2 m</w:t>
            </w:r>
          </w:p>
        </w:tc>
      </w:tr>
      <w:tr w:rsidR="00872745" w14:paraId="32CC273D" w14:textId="77777777" w:rsidTr="00390513">
        <w:trPr>
          <w:trHeight w:val="340"/>
        </w:trPr>
        <w:tc>
          <w:tcPr>
            <w:tcW w:w="3402" w:type="dxa"/>
            <w:gridSpan w:val="2"/>
            <w:vAlign w:val="center"/>
          </w:tcPr>
          <w:p w14:paraId="6FE3B33B" w14:textId="77777777" w:rsidR="00872745" w:rsidRDefault="00872745" w:rsidP="00390513">
            <w:pPr>
              <w:rPr>
                <w:b/>
              </w:rPr>
            </w:pPr>
            <w:r>
              <w:rPr>
                <w:b/>
              </w:rPr>
              <w:t>Implementation of standards</w:t>
            </w:r>
          </w:p>
        </w:tc>
        <w:tc>
          <w:tcPr>
            <w:tcW w:w="1588" w:type="dxa"/>
            <w:vAlign w:val="center"/>
          </w:tcPr>
          <w:p w14:paraId="0D5FBF3F" w14:textId="77777777" w:rsidR="00872745" w:rsidRPr="006E727B" w:rsidRDefault="00872745" w:rsidP="00390513">
            <w:pPr>
              <w:jc w:val="center"/>
              <w:rPr>
                <w:highlight w:val="yellow"/>
              </w:rPr>
            </w:pPr>
            <w:r w:rsidRPr="00283AB0">
              <w:t>$0.47</w:t>
            </w:r>
            <w:r>
              <w:t> m</w:t>
            </w:r>
          </w:p>
        </w:tc>
        <w:tc>
          <w:tcPr>
            <w:tcW w:w="1588" w:type="dxa"/>
            <w:vAlign w:val="center"/>
          </w:tcPr>
          <w:p w14:paraId="2D387B13" w14:textId="77777777" w:rsidR="00872745" w:rsidRPr="006E727B" w:rsidRDefault="00872745" w:rsidP="00390513">
            <w:pPr>
              <w:jc w:val="center"/>
              <w:rPr>
                <w:highlight w:val="yellow"/>
              </w:rPr>
            </w:pPr>
            <w:r w:rsidRPr="00283AB0">
              <w:t>$0.47</w:t>
            </w:r>
            <w:r>
              <w:t> m</w:t>
            </w:r>
          </w:p>
        </w:tc>
        <w:tc>
          <w:tcPr>
            <w:tcW w:w="1588" w:type="dxa"/>
            <w:vAlign w:val="center"/>
          </w:tcPr>
          <w:p w14:paraId="6AD661AA" w14:textId="77777777" w:rsidR="00872745" w:rsidRPr="006E727B" w:rsidRDefault="00872745" w:rsidP="00390513">
            <w:pPr>
              <w:jc w:val="center"/>
              <w:rPr>
                <w:highlight w:val="yellow"/>
              </w:rPr>
            </w:pPr>
            <w:r w:rsidRPr="00283AB0">
              <w:t>$0.47</w:t>
            </w:r>
            <w:r>
              <w:t> m</w:t>
            </w:r>
          </w:p>
        </w:tc>
        <w:tc>
          <w:tcPr>
            <w:tcW w:w="1588" w:type="dxa"/>
            <w:vAlign w:val="center"/>
          </w:tcPr>
          <w:p w14:paraId="3D6DA7D3" w14:textId="77777777" w:rsidR="00872745" w:rsidRPr="006E727B" w:rsidRDefault="00872745" w:rsidP="00390513">
            <w:pPr>
              <w:jc w:val="center"/>
              <w:rPr>
                <w:highlight w:val="yellow"/>
              </w:rPr>
            </w:pPr>
            <w:r w:rsidRPr="00283AB0">
              <w:t>$0.47</w:t>
            </w:r>
            <w:r>
              <w:t> m</w:t>
            </w:r>
          </w:p>
        </w:tc>
      </w:tr>
      <w:tr w:rsidR="00872745" w14:paraId="611C6745" w14:textId="77777777" w:rsidTr="00390513">
        <w:trPr>
          <w:trHeight w:val="340"/>
        </w:trPr>
        <w:tc>
          <w:tcPr>
            <w:tcW w:w="3402" w:type="dxa"/>
            <w:gridSpan w:val="2"/>
            <w:vAlign w:val="center"/>
          </w:tcPr>
          <w:p w14:paraId="5D0A23FA" w14:textId="77777777" w:rsidR="00872745" w:rsidRDefault="00872745" w:rsidP="00390513">
            <w:pPr>
              <w:rPr>
                <w:b/>
              </w:rPr>
            </w:pPr>
            <w:r>
              <w:rPr>
                <w:b/>
              </w:rPr>
              <w:t>Infrastructure updates</w:t>
            </w:r>
          </w:p>
        </w:tc>
        <w:tc>
          <w:tcPr>
            <w:tcW w:w="1588" w:type="dxa"/>
            <w:vAlign w:val="center"/>
          </w:tcPr>
          <w:p w14:paraId="69131F56" w14:textId="77777777" w:rsidR="00872745" w:rsidRPr="006E727B" w:rsidRDefault="00872745" w:rsidP="00390513">
            <w:pPr>
              <w:jc w:val="center"/>
              <w:rPr>
                <w:highlight w:val="yellow"/>
              </w:rPr>
            </w:pPr>
            <w:r w:rsidRPr="00283AB0">
              <w:t>$16.</w:t>
            </w:r>
            <w:r>
              <w:t>8 m</w:t>
            </w:r>
          </w:p>
        </w:tc>
        <w:tc>
          <w:tcPr>
            <w:tcW w:w="1588" w:type="dxa"/>
            <w:vAlign w:val="center"/>
          </w:tcPr>
          <w:p w14:paraId="1DA60734" w14:textId="77777777" w:rsidR="00872745" w:rsidRPr="006E727B" w:rsidRDefault="00872745" w:rsidP="00390513">
            <w:pPr>
              <w:jc w:val="center"/>
              <w:rPr>
                <w:highlight w:val="yellow"/>
              </w:rPr>
            </w:pPr>
            <w:r w:rsidRPr="00283AB0">
              <w:t>$1</w:t>
            </w:r>
            <w:r>
              <w:t>5.5 m</w:t>
            </w:r>
          </w:p>
        </w:tc>
        <w:tc>
          <w:tcPr>
            <w:tcW w:w="1588" w:type="dxa"/>
            <w:vAlign w:val="center"/>
          </w:tcPr>
          <w:p w14:paraId="056F0B05" w14:textId="77777777" w:rsidR="00872745" w:rsidRPr="006E727B" w:rsidRDefault="00872745" w:rsidP="00390513">
            <w:pPr>
              <w:jc w:val="center"/>
              <w:rPr>
                <w:highlight w:val="yellow"/>
              </w:rPr>
            </w:pPr>
            <w:r w:rsidRPr="00283AB0">
              <w:t>$16.</w:t>
            </w:r>
            <w:r>
              <w:t>8 m</w:t>
            </w:r>
          </w:p>
        </w:tc>
        <w:tc>
          <w:tcPr>
            <w:tcW w:w="1588" w:type="dxa"/>
            <w:vAlign w:val="center"/>
          </w:tcPr>
          <w:p w14:paraId="100669FA" w14:textId="77777777" w:rsidR="00872745" w:rsidRPr="006E727B" w:rsidRDefault="00872745" w:rsidP="00390513">
            <w:pPr>
              <w:jc w:val="center"/>
              <w:rPr>
                <w:highlight w:val="yellow"/>
              </w:rPr>
            </w:pPr>
            <w:r w:rsidRPr="00283AB0">
              <w:t>$1</w:t>
            </w:r>
            <w:r>
              <w:t>5.5 m</w:t>
            </w:r>
          </w:p>
        </w:tc>
      </w:tr>
    </w:tbl>
    <w:p w14:paraId="19B2BEE6" w14:textId="684F4D54" w:rsidR="004934AF" w:rsidRPr="002C1585" w:rsidRDefault="004934AF" w:rsidP="00D416D7">
      <w:pPr>
        <w:pStyle w:val="Caption"/>
        <w:keepNext/>
      </w:pPr>
      <w:bookmarkStart w:id="10" w:name="_Ref117784985"/>
      <w:bookmarkStart w:id="11" w:name="_Toc135320128"/>
      <w:r w:rsidRPr="002C1585">
        <w:t xml:space="preserve">Table </w:t>
      </w:r>
      <w:r w:rsidR="00534814">
        <w:rPr>
          <w:noProof/>
        </w:rPr>
        <w:t>3</w:t>
      </w:r>
      <w:bookmarkEnd w:id="10"/>
      <w:r>
        <w:t xml:space="preserve">: </w:t>
      </w:r>
      <w:r w:rsidRPr="002C1585">
        <w:t xml:space="preserve">Summary of the </w:t>
      </w:r>
      <w:r>
        <w:t>outcomes of the BCA for</w:t>
      </w:r>
      <w:r w:rsidRPr="002C1585">
        <w:t xml:space="preserve"> each option</w:t>
      </w:r>
      <w:bookmarkEnd w:id="11"/>
    </w:p>
    <w:tbl>
      <w:tblPr>
        <w:tblStyle w:val="TableGrid"/>
        <w:tblW w:w="0" w:type="auto"/>
        <w:tblLook w:val="04A0" w:firstRow="1" w:lastRow="0" w:firstColumn="1" w:lastColumn="0" w:noHBand="0" w:noVBand="1"/>
      </w:tblPr>
      <w:tblGrid>
        <w:gridCol w:w="1955"/>
        <w:gridCol w:w="1955"/>
        <w:gridCol w:w="1955"/>
        <w:gridCol w:w="1955"/>
        <w:gridCol w:w="1956"/>
      </w:tblGrid>
      <w:tr w:rsidR="00714D3D" w14:paraId="33534A09" w14:textId="77777777" w:rsidTr="00390513">
        <w:trPr>
          <w:trHeight w:val="340"/>
        </w:trPr>
        <w:tc>
          <w:tcPr>
            <w:tcW w:w="1955" w:type="dxa"/>
            <w:shd w:val="clear" w:color="auto" w:fill="081E3E" w:themeFill="text2"/>
            <w:vAlign w:val="center"/>
          </w:tcPr>
          <w:p w14:paraId="7952488E" w14:textId="77777777" w:rsidR="00714D3D" w:rsidRPr="00731C0C" w:rsidRDefault="00714D3D" w:rsidP="00390513">
            <w:pPr>
              <w:pStyle w:val="Table2heading"/>
              <w:jc w:val="left"/>
            </w:pPr>
            <w:r>
              <w:t>Outcomes</w:t>
            </w:r>
          </w:p>
        </w:tc>
        <w:tc>
          <w:tcPr>
            <w:tcW w:w="1955" w:type="dxa"/>
            <w:shd w:val="clear" w:color="auto" w:fill="081E3E" w:themeFill="text2"/>
            <w:vAlign w:val="center"/>
          </w:tcPr>
          <w:p w14:paraId="64B668F8" w14:textId="77777777" w:rsidR="00714D3D" w:rsidRPr="00731C0C" w:rsidRDefault="00714D3D" w:rsidP="00390513">
            <w:pPr>
              <w:pStyle w:val="Table2heading"/>
              <w:keepNext/>
            </w:pPr>
            <w:r w:rsidRPr="00731C0C">
              <w:t>Option 3.1a</w:t>
            </w:r>
          </w:p>
        </w:tc>
        <w:tc>
          <w:tcPr>
            <w:tcW w:w="1955" w:type="dxa"/>
            <w:shd w:val="clear" w:color="auto" w:fill="081E3E" w:themeFill="text2"/>
            <w:vAlign w:val="center"/>
          </w:tcPr>
          <w:p w14:paraId="44E5D5D3" w14:textId="77777777" w:rsidR="00714D3D" w:rsidRPr="00731C0C" w:rsidRDefault="00714D3D" w:rsidP="00390513">
            <w:pPr>
              <w:pStyle w:val="Table2heading"/>
              <w:keepNext/>
            </w:pPr>
            <w:r w:rsidRPr="00731C0C">
              <w:t>Option 3.1b</w:t>
            </w:r>
          </w:p>
        </w:tc>
        <w:tc>
          <w:tcPr>
            <w:tcW w:w="1955" w:type="dxa"/>
            <w:shd w:val="clear" w:color="auto" w:fill="081E3E" w:themeFill="text2"/>
            <w:vAlign w:val="center"/>
          </w:tcPr>
          <w:p w14:paraId="4048D06D" w14:textId="77777777" w:rsidR="00714D3D" w:rsidRPr="00731C0C" w:rsidRDefault="00714D3D" w:rsidP="00390513">
            <w:pPr>
              <w:pStyle w:val="Table2heading"/>
              <w:keepNext/>
            </w:pPr>
            <w:r w:rsidRPr="00731C0C">
              <w:t>Option 3.2a</w:t>
            </w:r>
          </w:p>
        </w:tc>
        <w:tc>
          <w:tcPr>
            <w:tcW w:w="1956" w:type="dxa"/>
            <w:shd w:val="clear" w:color="auto" w:fill="081E3E" w:themeFill="text2"/>
            <w:vAlign w:val="center"/>
          </w:tcPr>
          <w:p w14:paraId="4470B818" w14:textId="77777777" w:rsidR="00714D3D" w:rsidRPr="00731C0C" w:rsidRDefault="00714D3D" w:rsidP="00390513">
            <w:pPr>
              <w:pStyle w:val="Table2heading"/>
              <w:keepNext/>
            </w:pPr>
            <w:r w:rsidRPr="00731C0C">
              <w:t>Option 3.2b</w:t>
            </w:r>
          </w:p>
        </w:tc>
      </w:tr>
      <w:tr w:rsidR="00714D3D" w14:paraId="2E433F21" w14:textId="77777777" w:rsidTr="00390513">
        <w:trPr>
          <w:trHeight w:val="340"/>
        </w:trPr>
        <w:tc>
          <w:tcPr>
            <w:tcW w:w="1955" w:type="dxa"/>
            <w:vAlign w:val="center"/>
          </w:tcPr>
          <w:p w14:paraId="1D4C0287" w14:textId="77777777" w:rsidR="00714D3D" w:rsidRPr="00E856F5" w:rsidRDefault="00714D3D" w:rsidP="00390513">
            <w:pPr>
              <w:rPr>
                <w:b/>
              </w:rPr>
            </w:pPr>
            <w:r w:rsidRPr="00E856F5">
              <w:rPr>
                <w:b/>
              </w:rPr>
              <w:t>Benefits</w:t>
            </w:r>
          </w:p>
        </w:tc>
        <w:tc>
          <w:tcPr>
            <w:tcW w:w="1955" w:type="dxa"/>
            <w:vAlign w:val="center"/>
          </w:tcPr>
          <w:p w14:paraId="0809C4EC" w14:textId="77777777" w:rsidR="00714D3D" w:rsidRPr="00457C84" w:rsidRDefault="00714D3D" w:rsidP="00390513">
            <w:pPr>
              <w:jc w:val="center"/>
              <w:rPr>
                <w:rFonts w:cstheme="minorHAnsi"/>
                <w:color w:val="auto"/>
              </w:rPr>
            </w:pPr>
            <w:r w:rsidRPr="006770FA">
              <w:t>$9</w:t>
            </w:r>
            <w:r>
              <w:t>88 m</w:t>
            </w:r>
          </w:p>
        </w:tc>
        <w:tc>
          <w:tcPr>
            <w:tcW w:w="1955" w:type="dxa"/>
            <w:vAlign w:val="center"/>
          </w:tcPr>
          <w:p w14:paraId="79D436F8" w14:textId="77777777" w:rsidR="00714D3D" w:rsidRPr="00457C84" w:rsidRDefault="00714D3D" w:rsidP="00390513">
            <w:pPr>
              <w:jc w:val="center"/>
              <w:rPr>
                <w:rFonts w:cstheme="minorHAnsi"/>
                <w:color w:val="auto"/>
              </w:rPr>
            </w:pPr>
            <w:r w:rsidRPr="006770FA">
              <w:t>$877</w:t>
            </w:r>
            <w:r>
              <w:t> m</w:t>
            </w:r>
          </w:p>
        </w:tc>
        <w:tc>
          <w:tcPr>
            <w:tcW w:w="1955" w:type="dxa"/>
            <w:vAlign w:val="center"/>
          </w:tcPr>
          <w:p w14:paraId="5D4DD2DC" w14:textId="77777777" w:rsidR="00714D3D" w:rsidRPr="00457C84" w:rsidRDefault="00714D3D" w:rsidP="00390513">
            <w:pPr>
              <w:jc w:val="center"/>
              <w:rPr>
                <w:rFonts w:cstheme="minorHAnsi"/>
                <w:color w:val="auto"/>
              </w:rPr>
            </w:pPr>
            <w:r w:rsidRPr="006770FA">
              <w:t>$1,3</w:t>
            </w:r>
            <w:r>
              <w:t>60 m</w:t>
            </w:r>
          </w:p>
        </w:tc>
        <w:tc>
          <w:tcPr>
            <w:tcW w:w="1956" w:type="dxa"/>
            <w:vAlign w:val="center"/>
          </w:tcPr>
          <w:p w14:paraId="0D9F2B0D" w14:textId="77777777" w:rsidR="00714D3D" w:rsidRPr="00457C84" w:rsidRDefault="00714D3D" w:rsidP="00390513">
            <w:pPr>
              <w:jc w:val="center"/>
              <w:rPr>
                <w:rFonts w:cstheme="minorHAnsi"/>
                <w:color w:val="auto"/>
              </w:rPr>
            </w:pPr>
            <w:r w:rsidRPr="006770FA">
              <w:t>$1,20</w:t>
            </w:r>
            <w:r>
              <w:t>6 m</w:t>
            </w:r>
          </w:p>
        </w:tc>
      </w:tr>
      <w:tr w:rsidR="00714D3D" w14:paraId="7E8C6DB6" w14:textId="77777777" w:rsidTr="00390513">
        <w:trPr>
          <w:trHeight w:val="340"/>
        </w:trPr>
        <w:tc>
          <w:tcPr>
            <w:tcW w:w="1955" w:type="dxa"/>
            <w:vAlign w:val="center"/>
          </w:tcPr>
          <w:p w14:paraId="64D9B1AC" w14:textId="77777777" w:rsidR="00714D3D" w:rsidRPr="00E856F5" w:rsidRDefault="00714D3D" w:rsidP="00390513">
            <w:pPr>
              <w:rPr>
                <w:b/>
              </w:rPr>
            </w:pPr>
            <w:r w:rsidRPr="00E856F5">
              <w:rPr>
                <w:b/>
              </w:rPr>
              <w:t>Costs</w:t>
            </w:r>
          </w:p>
        </w:tc>
        <w:tc>
          <w:tcPr>
            <w:tcW w:w="1955" w:type="dxa"/>
            <w:vAlign w:val="center"/>
          </w:tcPr>
          <w:p w14:paraId="0E8207C7" w14:textId="77777777" w:rsidR="00714D3D" w:rsidRPr="00457C84" w:rsidRDefault="00714D3D" w:rsidP="00390513">
            <w:pPr>
              <w:jc w:val="center"/>
              <w:rPr>
                <w:rFonts w:cstheme="minorHAnsi"/>
                <w:color w:val="auto"/>
              </w:rPr>
            </w:pPr>
            <w:r w:rsidRPr="00EB3D6F">
              <w:t>$33</w:t>
            </w:r>
            <w:r>
              <w:t>4 m</w:t>
            </w:r>
          </w:p>
        </w:tc>
        <w:tc>
          <w:tcPr>
            <w:tcW w:w="1955" w:type="dxa"/>
            <w:vAlign w:val="center"/>
          </w:tcPr>
          <w:p w14:paraId="2D710D2C" w14:textId="77777777" w:rsidR="00714D3D" w:rsidRPr="00457C84" w:rsidRDefault="00714D3D" w:rsidP="00390513">
            <w:pPr>
              <w:jc w:val="center"/>
              <w:rPr>
                <w:rFonts w:cstheme="minorHAnsi"/>
                <w:color w:val="auto"/>
              </w:rPr>
            </w:pPr>
            <w:r w:rsidRPr="00EB3D6F">
              <w:t>$28</w:t>
            </w:r>
            <w:r>
              <w:t>9 m</w:t>
            </w:r>
          </w:p>
        </w:tc>
        <w:tc>
          <w:tcPr>
            <w:tcW w:w="1955" w:type="dxa"/>
            <w:vAlign w:val="center"/>
          </w:tcPr>
          <w:p w14:paraId="65132D72" w14:textId="77777777" w:rsidR="00714D3D" w:rsidRPr="00457C84" w:rsidRDefault="00714D3D" w:rsidP="00390513">
            <w:pPr>
              <w:jc w:val="center"/>
              <w:rPr>
                <w:rFonts w:cstheme="minorHAnsi"/>
                <w:color w:val="auto"/>
              </w:rPr>
            </w:pPr>
            <w:r w:rsidRPr="00EB3D6F">
              <w:t>$321</w:t>
            </w:r>
            <w:r>
              <w:t> m</w:t>
            </w:r>
          </w:p>
        </w:tc>
        <w:tc>
          <w:tcPr>
            <w:tcW w:w="1956" w:type="dxa"/>
            <w:vAlign w:val="center"/>
          </w:tcPr>
          <w:p w14:paraId="2BC34DCD" w14:textId="77777777" w:rsidR="00714D3D" w:rsidRPr="00457C84" w:rsidRDefault="00714D3D" w:rsidP="00390513">
            <w:pPr>
              <w:jc w:val="center"/>
              <w:rPr>
                <w:rFonts w:cstheme="minorHAnsi"/>
                <w:color w:val="auto"/>
              </w:rPr>
            </w:pPr>
            <w:r w:rsidRPr="00EB3D6F">
              <w:t>$27</w:t>
            </w:r>
            <w:r>
              <w:t>5 m</w:t>
            </w:r>
          </w:p>
        </w:tc>
      </w:tr>
      <w:tr w:rsidR="00714D3D" w14:paraId="7A364D9E" w14:textId="77777777" w:rsidTr="00390513">
        <w:trPr>
          <w:trHeight w:val="340"/>
        </w:trPr>
        <w:tc>
          <w:tcPr>
            <w:tcW w:w="1955" w:type="dxa"/>
            <w:vAlign w:val="center"/>
          </w:tcPr>
          <w:p w14:paraId="6C59E0D1" w14:textId="77777777" w:rsidR="00714D3D" w:rsidRPr="00E856F5" w:rsidRDefault="00714D3D" w:rsidP="00390513">
            <w:pPr>
              <w:rPr>
                <w:b/>
              </w:rPr>
            </w:pPr>
            <w:r w:rsidRPr="00E856F5">
              <w:rPr>
                <w:b/>
              </w:rPr>
              <w:t>Net Benefits</w:t>
            </w:r>
          </w:p>
        </w:tc>
        <w:tc>
          <w:tcPr>
            <w:tcW w:w="1955" w:type="dxa"/>
            <w:vAlign w:val="center"/>
          </w:tcPr>
          <w:p w14:paraId="4F129BF3" w14:textId="77777777" w:rsidR="00714D3D" w:rsidRPr="001103B6" w:rsidRDefault="00714D3D" w:rsidP="00390513">
            <w:pPr>
              <w:jc w:val="center"/>
              <w:rPr>
                <w:rFonts w:cstheme="minorHAnsi"/>
                <w:color w:val="auto"/>
              </w:rPr>
            </w:pPr>
            <w:r w:rsidRPr="0054194A">
              <w:t>$6</w:t>
            </w:r>
            <w:r>
              <w:t>5</w:t>
            </w:r>
            <w:r w:rsidRPr="0054194A">
              <w:t>4</w:t>
            </w:r>
            <w:r>
              <w:t> m</w:t>
            </w:r>
          </w:p>
        </w:tc>
        <w:tc>
          <w:tcPr>
            <w:tcW w:w="1955" w:type="dxa"/>
            <w:vAlign w:val="center"/>
          </w:tcPr>
          <w:p w14:paraId="17F59405" w14:textId="77777777" w:rsidR="00714D3D" w:rsidRPr="001103B6" w:rsidRDefault="00714D3D" w:rsidP="00390513">
            <w:pPr>
              <w:jc w:val="center"/>
              <w:rPr>
                <w:rFonts w:cstheme="minorHAnsi"/>
                <w:color w:val="auto"/>
              </w:rPr>
            </w:pPr>
            <w:r w:rsidRPr="0054194A">
              <w:t>$588</w:t>
            </w:r>
            <w:r>
              <w:t> m</w:t>
            </w:r>
          </w:p>
        </w:tc>
        <w:tc>
          <w:tcPr>
            <w:tcW w:w="1955" w:type="dxa"/>
            <w:vAlign w:val="center"/>
          </w:tcPr>
          <w:p w14:paraId="433C3605" w14:textId="77777777" w:rsidR="00714D3D" w:rsidRPr="001103B6" w:rsidRDefault="00714D3D" w:rsidP="00390513">
            <w:pPr>
              <w:jc w:val="center"/>
              <w:rPr>
                <w:rFonts w:cstheme="minorHAnsi"/>
                <w:color w:val="auto"/>
              </w:rPr>
            </w:pPr>
            <w:r w:rsidRPr="0054194A">
              <w:t>$</w:t>
            </w:r>
            <w:r>
              <w:t>1,038 m</w:t>
            </w:r>
          </w:p>
        </w:tc>
        <w:tc>
          <w:tcPr>
            <w:tcW w:w="1956" w:type="dxa"/>
            <w:vAlign w:val="center"/>
          </w:tcPr>
          <w:p w14:paraId="77F12C1D" w14:textId="77777777" w:rsidR="00714D3D" w:rsidRPr="001103B6" w:rsidRDefault="00714D3D" w:rsidP="00390513">
            <w:pPr>
              <w:jc w:val="center"/>
              <w:rPr>
                <w:rFonts w:cstheme="minorHAnsi"/>
                <w:color w:val="auto"/>
              </w:rPr>
            </w:pPr>
            <w:r w:rsidRPr="0054194A">
              <w:t>$931</w:t>
            </w:r>
            <w:r>
              <w:t> m</w:t>
            </w:r>
          </w:p>
        </w:tc>
      </w:tr>
      <w:tr w:rsidR="00714D3D" w14:paraId="3C196766" w14:textId="77777777" w:rsidTr="00390513">
        <w:trPr>
          <w:trHeight w:val="340"/>
        </w:trPr>
        <w:tc>
          <w:tcPr>
            <w:tcW w:w="1955" w:type="dxa"/>
            <w:vAlign w:val="center"/>
          </w:tcPr>
          <w:p w14:paraId="104C949F" w14:textId="77777777" w:rsidR="00714D3D" w:rsidRPr="00E856F5" w:rsidRDefault="00714D3D" w:rsidP="00390513">
            <w:pPr>
              <w:rPr>
                <w:b/>
              </w:rPr>
            </w:pPr>
            <w:r>
              <w:rPr>
                <w:b/>
              </w:rPr>
              <w:t>BCR</w:t>
            </w:r>
          </w:p>
        </w:tc>
        <w:tc>
          <w:tcPr>
            <w:tcW w:w="1955" w:type="dxa"/>
            <w:vAlign w:val="center"/>
          </w:tcPr>
          <w:p w14:paraId="64EE52BA" w14:textId="77777777" w:rsidR="00714D3D" w:rsidRPr="006666A7" w:rsidRDefault="00714D3D" w:rsidP="00390513">
            <w:pPr>
              <w:jc w:val="center"/>
              <w:rPr>
                <w:rFonts w:cstheme="minorHAnsi"/>
                <w:color w:val="000000"/>
              </w:rPr>
            </w:pPr>
            <w:r>
              <w:rPr>
                <w:rFonts w:cstheme="minorHAnsi"/>
                <w:color w:val="000000"/>
              </w:rPr>
              <w:t>3.0</w:t>
            </w:r>
          </w:p>
        </w:tc>
        <w:tc>
          <w:tcPr>
            <w:tcW w:w="1955" w:type="dxa"/>
            <w:vAlign w:val="center"/>
          </w:tcPr>
          <w:p w14:paraId="25E8A7E7" w14:textId="77777777" w:rsidR="00714D3D" w:rsidRPr="006666A7" w:rsidRDefault="00714D3D" w:rsidP="00390513">
            <w:pPr>
              <w:jc w:val="center"/>
              <w:rPr>
                <w:rFonts w:cstheme="minorHAnsi"/>
                <w:color w:val="000000"/>
              </w:rPr>
            </w:pPr>
            <w:r w:rsidRPr="006666A7">
              <w:rPr>
                <w:rFonts w:cstheme="minorHAnsi"/>
                <w:color w:val="000000"/>
              </w:rPr>
              <w:t>3.0</w:t>
            </w:r>
          </w:p>
        </w:tc>
        <w:tc>
          <w:tcPr>
            <w:tcW w:w="1955" w:type="dxa"/>
            <w:vAlign w:val="center"/>
          </w:tcPr>
          <w:p w14:paraId="697E05D5" w14:textId="77777777" w:rsidR="00714D3D" w:rsidRPr="006666A7" w:rsidRDefault="00714D3D" w:rsidP="00390513">
            <w:pPr>
              <w:jc w:val="center"/>
              <w:rPr>
                <w:rFonts w:cstheme="minorHAnsi"/>
                <w:color w:val="000000"/>
              </w:rPr>
            </w:pPr>
            <w:r w:rsidRPr="006666A7">
              <w:rPr>
                <w:rFonts w:cstheme="minorHAnsi"/>
                <w:color w:val="000000"/>
              </w:rPr>
              <w:t>4.</w:t>
            </w:r>
            <w:r>
              <w:rPr>
                <w:rFonts w:cstheme="minorHAnsi"/>
                <w:color w:val="000000"/>
              </w:rPr>
              <w:t>2</w:t>
            </w:r>
          </w:p>
        </w:tc>
        <w:tc>
          <w:tcPr>
            <w:tcW w:w="1956" w:type="dxa"/>
            <w:vAlign w:val="center"/>
          </w:tcPr>
          <w:p w14:paraId="22B2B012" w14:textId="77777777" w:rsidR="00714D3D" w:rsidRPr="006666A7" w:rsidRDefault="00714D3D" w:rsidP="00390513">
            <w:pPr>
              <w:jc w:val="center"/>
              <w:rPr>
                <w:rFonts w:cstheme="minorHAnsi"/>
                <w:color w:val="000000"/>
              </w:rPr>
            </w:pPr>
            <w:r w:rsidRPr="006666A7">
              <w:rPr>
                <w:rFonts w:cstheme="minorHAnsi"/>
                <w:color w:val="000000"/>
              </w:rPr>
              <w:t>4.4</w:t>
            </w:r>
          </w:p>
        </w:tc>
      </w:tr>
    </w:tbl>
    <w:p w14:paraId="35A08B1F" w14:textId="77777777" w:rsidR="00BA041B" w:rsidRPr="007B6E69" w:rsidRDefault="00BA041B" w:rsidP="00BA041B">
      <w:r w:rsidRPr="007B6E69">
        <w:t xml:space="preserve">Public comment was sought on each of the policy options considered in this </w:t>
      </w:r>
      <w:r w:rsidR="00C45600">
        <w:t>IA</w:t>
      </w:r>
      <w:r w:rsidRPr="007B6E69">
        <w:t>, through the publication of the Safer Freight Vehicles Discussion Paper (</w:t>
      </w:r>
      <w:r>
        <w:t>Commonwealth of Australia</w:t>
      </w:r>
      <w:r w:rsidRPr="007B6E69">
        <w:t>, 2021</w:t>
      </w:r>
      <w:r>
        <w:t>a</w:t>
      </w:r>
      <w:r w:rsidRPr="007B6E69">
        <w:t xml:space="preserve">) and draft ADRs on the </w:t>
      </w:r>
      <w:r w:rsidR="00B9347B">
        <w:t>d</w:t>
      </w:r>
      <w:r w:rsidRPr="007B6E69">
        <w:t xml:space="preserve">epartment’s website, for a </w:t>
      </w:r>
      <w:r w:rsidRPr="007B6E69">
        <w:br/>
        <w:t>10-week public comment period, which closed on 30 June 2021.</w:t>
      </w:r>
      <w:r w:rsidR="008A2068">
        <w:t xml:space="preserve"> The department has since also consulted further with </w:t>
      </w:r>
      <w:r w:rsidR="00FD3068">
        <w:t xml:space="preserve">both </w:t>
      </w:r>
      <w:r w:rsidR="008A2068">
        <w:t>jurisdictions and industry stakeholders through its established ADR consultative forums.</w:t>
      </w:r>
    </w:p>
    <w:p w14:paraId="6B0600A5" w14:textId="77777777" w:rsidR="00BA041B" w:rsidRDefault="00BA041B" w:rsidP="00BA041B">
      <w:pPr>
        <w:rPr>
          <w:rFonts w:cstheme="minorHAnsi"/>
        </w:rPr>
      </w:pPr>
      <w:r>
        <w:t>The states and territories</w:t>
      </w:r>
      <w:r w:rsidRPr="00183C43">
        <w:t xml:space="preserve"> </w:t>
      </w:r>
      <w:r>
        <w:t>are broadly supportive</w:t>
      </w:r>
      <w:r w:rsidRPr="00183C43">
        <w:t xml:space="preserve"> of a width limit of 2.55</w:t>
      </w:r>
      <w:r>
        <w:t> </w:t>
      </w:r>
      <w:r w:rsidRPr="00183C43">
        <w:t>m for</w:t>
      </w:r>
      <w:r>
        <w:t xml:space="preserve"> both goods vehicles and trailers</w:t>
      </w:r>
      <w:r w:rsidRPr="00183C43">
        <w:t xml:space="preserve">, but </w:t>
      </w:r>
      <w:r>
        <w:t>do not support</w:t>
      </w:r>
      <w:r w:rsidRPr="00183C43">
        <w:t xml:space="preserve"> a move to </w:t>
      </w:r>
      <w:r w:rsidR="00B9347B">
        <w:t>2.60</w:t>
      </w:r>
      <w:r>
        <w:t> </w:t>
      </w:r>
      <w:r w:rsidRPr="00183C43">
        <w:t>m</w:t>
      </w:r>
      <w:r>
        <w:t xml:space="preserve"> at this stage</w:t>
      </w:r>
      <w:r w:rsidRPr="00183C43">
        <w:t>.</w:t>
      </w:r>
      <w:r>
        <w:t xml:space="preserve"> The general position among the jurisdictions is that the Commonwealth should implement a 2.55 m limit as supported by Austroads research to date (Austroads, 2019), and work with the NHVR and Austroads to</w:t>
      </w:r>
      <w:r w:rsidRPr="00383BCA">
        <w:rPr>
          <w:rFonts w:cstheme="minorHAnsi"/>
        </w:rPr>
        <w:t xml:space="preserve"> research the suitability of </w:t>
      </w:r>
      <w:r>
        <w:rPr>
          <w:rFonts w:cstheme="minorHAnsi"/>
        </w:rPr>
        <w:t xml:space="preserve">a </w:t>
      </w:r>
      <w:r w:rsidR="00B9347B">
        <w:rPr>
          <w:rFonts w:cstheme="minorHAnsi"/>
        </w:rPr>
        <w:t>2.60</w:t>
      </w:r>
      <w:r>
        <w:rPr>
          <w:rFonts w:cstheme="minorHAnsi"/>
        </w:rPr>
        <w:t> </w:t>
      </w:r>
      <w:r w:rsidRPr="00383BCA">
        <w:rPr>
          <w:rFonts w:cstheme="minorHAnsi"/>
        </w:rPr>
        <w:t xml:space="preserve">m </w:t>
      </w:r>
      <w:r>
        <w:rPr>
          <w:rFonts w:cstheme="minorHAnsi"/>
        </w:rPr>
        <w:t>limit for the future. Jurisdictions generally support all of the additional proposed mandatory safety technologies for wider freight vehicles; with NSW, VIC and QLD all requesting further mandatory national standards (i.e. ADRs) be implemented to better align with the EU.</w:t>
      </w:r>
    </w:p>
    <w:p w14:paraId="6053B8B8" w14:textId="77777777" w:rsidR="00BA041B" w:rsidRDefault="00BA041B" w:rsidP="00BA041B">
      <w:r w:rsidRPr="007066A4">
        <w:t>Most industry stakeholders support</w:t>
      </w:r>
      <w:r>
        <w:t xml:space="preserve"> </w:t>
      </w:r>
      <w:r w:rsidRPr="007066A4">
        <w:t xml:space="preserve">a width limit of </w:t>
      </w:r>
      <w:r w:rsidR="00B9347B">
        <w:t>2.60</w:t>
      </w:r>
      <w:r>
        <w:t> </w:t>
      </w:r>
      <w:r w:rsidRPr="007066A4">
        <w:t>m for trucks</w:t>
      </w:r>
      <w:r>
        <w:t xml:space="preserve"> and trailers</w:t>
      </w:r>
      <w:r w:rsidRPr="007066A4">
        <w:t>, including the Truck Industry Council (TIC), the Commercial Vehicle Industry Association of Australia (CVIAA) and the Australian Trucking Association (ATA).</w:t>
      </w:r>
      <w:r>
        <w:t xml:space="preserve"> These stakeholders argue that this would avoid the need to modify vehicles based on EU and US designs to be narrower for Australia, provide the best access to electric trucks from the world market, and deliver the greatest safety and productivity benefits.</w:t>
      </w:r>
    </w:p>
    <w:p w14:paraId="06E25193" w14:textId="77777777" w:rsidR="00BA041B" w:rsidRDefault="00BA041B" w:rsidP="00BA041B">
      <w:r>
        <w:t xml:space="preserve">However, some industry stakeholders do not support increasing the width limit for trailers, including the Heavy Vehicle Industry Association (HVIA) and </w:t>
      </w:r>
      <w:r w:rsidR="00982580">
        <w:t xml:space="preserve">many </w:t>
      </w:r>
      <w:r>
        <w:t>Australian heavy trailer manufacturer</w:t>
      </w:r>
      <w:r w:rsidR="00131B32">
        <w:t>s</w:t>
      </w:r>
      <w:r w:rsidRPr="007066A4">
        <w:t>.</w:t>
      </w:r>
      <w:r>
        <w:t xml:space="preserve"> They are concerned the proposed changes will favour trailer importers and cost Australian trailer manufacturing jobs. These stakeholders consider that domestic trailer manufacturers would need to re-tool and change manufacturing processes to increase trailer width in order to compete with importers, and that the </w:t>
      </w:r>
      <w:r w:rsidRPr="007000C9">
        <w:rPr>
          <w:rFonts w:cstheme="minorHAnsi"/>
        </w:rPr>
        <w:t>cost of the retooling, transitional costs and potential loss of Australian manufacturing jobs, far exceed any safety or productivity benefits.</w:t>
      </w:r>
    </w:p>
    <w:p w14:paraId="33602901" w14:textId="77777777" w:rsidR="00FD3068" w:rsidRDefault="00FD3068" w:rsidP="00FD3068">
      <w:r>
        <w:t>Industry stakeholders are broadly supportive of mandatory requirements for ESC, AEB and LDWS. Some industry stakeholders have raised concerns about mandatory side underrun protection, particularly for trailer design types mostly used in regional and remote areas. The Truck Industry Council provided in-principle support for the adoption of a more stringent ADR for devices for indirect vision and the future adoption of an ADR for blind spot information systems, while detailing concerns regarding the suitability of the relevant United Nations (UN) regulations for Australia, and recommendations to address these concerns.</w:t>
      </w:r>
    </w:p>
    <w:p w14:paraId="0B11D279" w14:textId="77777777" w:rsidR="00FD3068" w:rsidRDefault="00FD3068" w:rsidP="00FD3068">
      <w:r>
        <w:t xml:space="preserve">There is widespread support for the </w:t>
      </w:r>
      <w:r w:rsidR="0024221C">
        <w:t>d</w:t>
      </w:r>
      <w:r>
        <w:t xml:space="preserve">epartment’s proposed exclusions for </w:t>
      </w:r>
      <w:r w:rsidRPr="000D76EE">
        <w:t>enhanced devices for indirect vision and/or devices to detect other road users</w:t>
      </w:r>
      <w:r>
        <w:t xml:space="preserve"> from vehicle width and length measurements.</w:t>
      </w:r>
    </w:p>
    <w:p w14:paraId="45C42DE5" w14:textId="77777777" w:rsidR="00BA7FBF" w:rsidRDefault="00BA7FBF" w:rsidP="00BA7FBF">
      <w:r>
        <w:t>According to the benefit-cost analysis conducted by the ARRB, Option 3.2a (</w:t>
      </w:r>
      <w:r w:rsidR="00B9347B">
        <w:t>2.60</w:t>
      </w:r>
      <w:r>
        <w:t> m wide goods vehicles and trailers) has</w:t>
      </w:r>
      <w:r w:rsidRPr="00B875F3">
        <w:t xml:space="preserve"> the highest net benefit of the options examined, at $</w:t>
      </w:r>
      <w:r>
        <w:t xml:space="preserve">1,038 m. However, there are some key study limitations relating to productivity benefits </w:t>
      </w:r>
      <w:r w:rsidR="002519AD">
        <w:t xml:space="preserve">(including reductions in trips for wider vehicles) </w:t>
      </w:r>
      <w:r>
        <w:t xml:space="preserve">and infrastructure costs that should be addressed before any decision is taken to increase the width limit to </w:t>
      </w:r>
      <w:r w:rsidR="00B9347B">
        <w:t>2.60</w:t>
      </w:r>
      <w:r>
        <w:t> m for goods vehicles and/or trailers (for further detail see</w:t>
      </w:r>
      <w:r w:rsidR="002519AD">
        <w:t> </w:t>
      </w:r>
      <w:r>
        <w:t>Chapter 7).</w:t>
      </w:r>
    </w:p>
    <w:p w14:paraId="12217E0A" w14:textId="77777777" w:rsidR="00BA7FBF" w:rsidRDefault="00BA7FBF" w:rsidP="0053774D">
      <w:r>
        <w:t xml:space="preserve">As a first step, the </w:t>
      </w:r>
      <w:r w:rsidR="00C45600">
        <w:t>IA</w:t>
      </w:r>
      <w:r w:rsidR="002519AD">
        <w:t xml:space="preserve"> includes a recommendation for the </w:t>
      </w:r>
      <w:r>
        <w:t xml:space="preserve">Australian Government </w:t>
      </w:r>
      <w:r w:rsidR="002519AD">
        <w:t xml:space="preserve">to </w:t>
      </w:r>
      <w:r>
        <w:t>implement Option 3.1b (2.55 m wide goods vehicles only)</w:t>
      </w:r>
      <w:r w:rsidR="00FE2F57">
        <w:t>, which has a net benefit of $588 </w:t>
      </w:r>
      <w:r w:rsidR="00FE2F57" w:rsidRPr="00B875F3">
        <w:t>m</w:t>
      </w:r>
      <w:r w:rsidR="002519AD">
        <w:t xml:space="preserve">. This option is the least sensitive to changes in reductions in trips for increased width, including because the net benefit for this option is mostly derived through an increase in the take-up of safer freight vehicles. Further, the net benefit of allowing 2.55 m wide goods vehicles under this sub-option is a key sub-part of the net benefits for each of the other sub-options. This means whatever option is ultimately identified as the best option, including following further consultation to address the current study limitations, </w:t>
      </w:r>
      <w:r w:rsidR="006C2AB9">
        <w:t>this will</w:t>
      </w:r>
      <w:r w:rsidR="002519AD">
        <w:t xml:space="preserve"> at least include 2.55</w:t>
      </w:r>
      <w:r w:rsidR="00E6489A">
        <w:t> </w:t>
      </w:r>
      <w:r w:rsidR="002519AD">
        <w:t>m wide goods vehicles (i.e. Option 3.1b).</w:t>
      </w:r>
      <w:r w:rsidR="00E14AAA">
        <w:t xml:space="preserve"> The </w:t>
      </w:r>
      <w:r w:rsidR="00C45600">
        <w:t>IA</w:t>
      </w:r>
      <w:r w:rsidR="00E14AAA">
        <w:t xml:space="preserve"> also includes recommendations for both industry and jurisdictions to provide more verifiable data to help the department address current study limitations and update the </w:t>
      </w:r>
      <w:r w:rsidR="00C45600">
        <w:t>IA</w:t>
      </w:r>
      <w:r w:rsidR="00E14AAA">
        <w:t>, including for the purpose of informing any future decision by the Minister on increasing the width limit for trailers, and/or a 2.6 m width limit (for goods vehicles and/or trailers).</w:t>
      </w:r>
    </w:p>
    <w:p w14:paraId="29ED02ED" w14:textId="77777777" w:rsidR="00CD56AB" w:rsidRPr="007B6E69" w:rsidRDefault="00CD56AB" w:rsidP="00FD3068">
      <w:r w:rsidRPr="007B6E69">
        <w:t xml:space="preserve">This </w:t>
      </w:r>
      <w:r w:rsidR="00C45600">
        <w:t>IA</w:t>
      </w:r>
      <w:r w:rsidRPr="007B6E69">
        <w:t xml:space="preserve"> has been written in accordance with Australian Government requirements, addressing the seven assessment questions set out in the</w:t>
      </w:r>
      <w:r w:rsidR="007B310D" w:rsidRPr="007B6E69">
        <w:t xml:space="preserve"> </w:t>
      </w:r>
      <w:r w:rsidR="007B310D" w:rsidRPr="008200FD">
        <w:t>Australian Government Guide to Regulatory Impact Analysis</w:t>
      </w:r>
      <w:r w:rsidR="001B7E3F" w:rsidRPr="008200FD">
        <w:t xml:space="preserve"> </w:t>
      </w:r>
      <w:r w:rsidR="004B1FA1" w:rsidRPr="008200FD">
        <w:t>(</w:t>
      </w:r>
      <w:r w:rsidR="001B7E3F" w:rsidRPr="008200FD">
        <w:t>Second edition 2020)</w:t>
      </w:r>
      <w:r w:rsidR="008200FD">
        <w:t xml:space="preserve"> (Commonwealth of Australia, </w:t>
      </w:r>
      <w:r w:rsidR="008200FD" w:rsidRPr="0025667A">
        <w:t>2020</w:t>
      </w:r>
      <w:r w:rsidR="008200FD">
        <w:t>)</w:t>
      </w:r>
      <w:r w:rsidRPr="007B6E69">
        <w:t>:</w:t>
      </w:r>
    </w:p>
    <w:p w14:paraId="049607E8" w14:textId="77777777" w:rsidR="00CD56AB" w:rsidRPr="007B6E69" w:rsidRDefault="00CD56AB" w:rsidP="00FD3068">
      <w:r w:rsidRPr="007B6E69">
        <w:t>1. What is the problem you are trying to solve?</w:t>
      </w:r>
    </w:p>
    <w:p w14:paraId="0AB9FF8A" w14:textId="77777777" w:rsidR="00CD56AB" w:rsidRPr="007B6E69" w:rsidRDefault="00CD56AB" w:rsidP="006F6683">
      <w:r w:rsidRPr="007B6E69">
        <w:t>2. Why is government action needed?</w:t>
      </w:r>
    </w:p>
    <w:p w14:paraId="1C8D03B6" w14:textId="77777777" w:rsidR="00CD56AB" w:rsidRPr="007B6E69" w:rsidRDefault="00CD56AB" w:rsidP="006F6683">
      <w:r w:rsidRPr="007B6E69">
        <w:t>3. What policy options are you considering?</w:t>
      </w:r>
    </w:p>
    <w:p w14:paraId="68D427E5" w14:textId="77777777" w:rsidR="00CD56AB" w:rsidRPr="007B6E69" w:rsidRDefault="00CD56AB" w:rsidP="006F6683">
      <w:r w:rsidRPr="007B6E69">
        <w:t>4. What is the likely net benefit of each option?</w:t>
      </w:r>
    </w:p>
    <w:p w14:paraId="2E0B60AC" w14:textId="77777777" w:rsidR="00CD56AB" w:rsidRPr="007B6E69" w:rsidRDefault="00CD56AB" w:rsidP="006F6683">
      <w:r w:rsidRPr="007B6E69">
        <w:t>5. Who will you consult about these options and how will you consult them?</w:t>
      </w:r>
    </w:p>
    <w:p w14:paraId="05887038" w14:textId="77777777" w:rsidR="00CD56AB" w:rsidRPr="007B6E69" w:rsidRDefault="00CD56AB" w:rsidP="006F6683">
      <w:r w:rsidRPr="007B6E69">
        <w:t>6. What is the best option from those you have considered?</w:t>
      </w:r>
    </w:p>
    <w:p w14:paraId="5E45BDA1" w14:textId="77777777" w:rsidR="00CD56AB" w:rsidRPr="007B6E69" w:rsidRDefault="00CD56AB" w:rsidP="006F6683">
      <w:r w:rsidRPr="007B6E69">
        <w:t>7. How will you implement and evaluate your chosen option?</w:t>
      </w:r>
    </w:p>
    <w:p w14:paraId="3488A68D" w14:textId="77777777" w:rsidR="00821111" w:rsidRPr="007B6E69" w:rsidRDefault="00CD56AB" w:rsidP="006F6683">
      <w:r w:rsidRPr="007B6E69">
        <w:t xml:space="preserve">In line with the principles for Australian Government policy makers, the regulatory costs </w:t>
      </w:r>
      <w:r w:rsidR="00702250" w:rsidRPr="007B6E69">
        <w:t>for</w:t>
      </w:r>
      <w:r w:rsidRPr="007B6E69">
        <w:t xml:space="preserve"> business, </w:t>
      </w:r>
      <w:r w:rsidR="0045061D">
        <w:t>governments and the community</w:t>
      </w:r>
      <w:r w:rsidRPr="007B6E69">
        <w:t xml:space="preserve"> were quantified</w:t>
      </w:r>
      <w:r w:rsidR="00702250" w:rsidRPr="007B6E69">
        <w:t xml:space="preserve"> for each policy option</w:t>
      </w:r>
      <w:r w:rsidRPr="007B6E69">
        <w:t>.</w:t>
      </w:r>
    </w:p>
    <w:p w14:paraId="796A39A0" w14:textId="77777777" w:rsidR="00702250" w:rsidRPr="007B6E69" w:rsidRDefault="00702250" w:rsidP="006F6683"/>
    <w:p w14:paraId="5437CCED" w14:textId="77777777" w:rsidR="00702250" w:rsidRPr="007B6E69" w:rsidRDefault="00702250" w:rsidP="006F6683">
      <w:pPr>
        <w:sectPr w:rsidR="00702250" w:rsidRPr="007B6E69" w:rsidSect="00CD1797">
          <w:headerReference w:type="default" r:id="rId22"/>
          <w:footerReference w:type="default" r:id="rId23"/>
          <w:headerReference w:type="first" r:id="rId24"/>
          <w:pgSz w:w="11906" w:h="16838" w:code="9"/>
          <w:pgMar w:top="1021" w:right="1021" w:bottom="1021" w:left="1021" w:header="510" w:footer="567" w:gutter="0"/>
          <w:pgNumType w:start="1"/>
          <w:cols w:space="708"/>
          <w:docGrid w:linePitch="360"/>
        </w:sectPr>
      </w:pPr>
    </w:p>
    <w:p w14:paraId="7BBD900A" w14:textId="77777777" w:rsidR="005C72E8" w:rsidRPr="007B6E69" w:rsidRDefault="005C72E8" w:rsidP="00E13D3A">
      <w:pPr>
        <w:pStyle w:val="Heading1"/>
      </w:pPr>
      <w:bookmarkStart w:id="12" w:name="_Toc111576720"/>
      <w:bookmarkStart w:id="13" w:name="_Toc143182120"/>
      <w:r w:rsidRPr="007B6E69">
        <w:t xml:space="preserve">Chapter 1: </w:t>
      </w:r>
      <w:r w:rsidR="00A14A51" w:rsidRPr="007B6E69">
        <w:t>Introduction</w:t>
      </w:r>
      <w:bookmarkEnd w:id="12"/>
      <w:bookmarkEnd w:id="13"/>
    </w:p>
    <w:p w14:paraId="324BB7B6" w14:textId="77777777" w:rsidR="005C72E8" w:rsidRPr="007B6E69" w:rsidRDefault="00A14A51" w:rsidP="00E13D3A">
      <w:pPr>
        <w:pStyle w:val="Heading2"/>
        <w:rPr>
          <w:lang w:val="en-AU"/>
        </w:rPr>
      </w:pPr>
      <w:bookmarkStart w:id="14" w:name="_Toc143182121"/>
      <w:r w:rsidRPr="007B6E69">
        <w:rPr>
          <w:lang w:val="en-AU"/>
        </w:rPr>
        <w:t>Road vehicle regulation in Australia</w:t>
      </w:r>
      <w:bookmarkEnd w:id="14"/>
    </w:p>
    <w:p w14:paraId="1DD38022" w14:textId="77777777" w:rsidR="00A14A51" w:rsidRPr="007B6E69" w:rsidRDefault="00A14A51" w:rsidP="00A14A51">
      <w:r w:rsidRPr="007B6E69">
        <w:t>Responsibility for vehicle regulation is shared between the Australian Government and the states and territories.</w:t>
      </w:r>
    </w:p>
    <w:p w14:paraId="55E768F9" w14:textId="77777777" w:rsidR="00A14A51" w:rsidRPr="007B6E69" w:rsidRDefault="00A14A51" w:rsidP="00A14A51">
      <w:r w:rsidRPr="007B6E69">
        <w:t xml:space="preserve">The Australian Government regulates the first supply of vehicles to the Australian market. Under the </w:t>
      </w:r>
      <w:r w:rsidRPr="007B6E69">
        <w:rPr>
          <w:i/>
        </w:rPr>
        <w:t>Road Vehicle Standards Act 2018</w:t>
      </w:r>
      <w:r w:rsidRPr="007B6E69">
        <w:t xml:space="preserve"> (RVSA) (</w:t>
      </w:r>
      <w:r w:rsidR="00FE21EA">
        <w:t>Commonwealth of Australia</w:t>
      </w:r>
      <w:r w:rsidRPr="007B6E69">
        <w:t>, 2019), new road vehicles are required to comply with national vehicle standards known as the Australian Design Rules (ADRs), before they can be offered to the market for use in transport in Australia.</w:t>
      </w:r>
    </w:p>
    <w:p w14:paraId="29B30362" w14:textId="77777777" w:rsidR="00A14A51" w:rsidRPr="007B6E69" w:rsidRDefault="00A14A51" w:rsidP="00A14A51">
      <w:r w:rsidRPr="007B6E69">
        <w:t xml:space="preserve">The ADRs set requirements for vehicle safety, environmental performance and theft protection in line with community expectations. Through the </w:t>
      </w:r>
      <w:r w:rsidR="00B9347B">
        <w:t>d</w:t>
      </w:r>
      <w:r w:rsidRPr="007B6E69">
        <w:t>epartment’s road vehicle certification system, new vehicle types (models) manufactured in or imported to Australia are assessed and certified as complying with the applicable ADRs. Once the vehicle type has been approved, new vehicles of that type are then permitted to be supplied to the market.</w:t>
      </w:r>
    </w:p>
    <w:p w14:paraId="539581CB" w14:textId="77777777" w:rsidR="005C72E8" w:rsidRPr="007B6E69" w:rsidRDefault="00A14A51" w:rsidP="00A14A51">
      <w:r w:rsidRPr="007B6E69">
        <w:t xml:space="preserve">Once vehicles have been supplied to the market, responsibility for regulation (e.g. vehicle registration, in-service standards and operations) passes to the states and territories. This is principally done through legislation based on the Australian Light Vehicle Standards Rules </w:t>
      </w:r>
      <w:r w:rsidR="00C76DFB">
        <w:t xml:space="preserve">(ALVSRs) </w:t>
      </w:r>
      <w:r w:rsidRPr="007B6E69">
        <w:t>and the Australian Road Rules, which are managed by the National Transport Commission</w:t>
      </w:r>
      <w:r w:rsidR="00473961">
        <w:t xml:space="preserve"> (NTC)</w:t>
      </w:r>
      <w:r w:rsidRPr="007B6E69">
        <w:t xml:space="preserve">, and the Heavy Vehicle National Law </w:t>
      </w:r>
      <w:r w:rsidR="00C76DFB">
        <w:t xml:space="preserve">(HVNL) </w:t>
      </w:r>
      <w:r w:rsidRPr="007B6E69">
        <w:t>(</w:t>
      </w:r>
      <w:r w:rsidR="00A20E11">
        <w:t>State of Queensland, 2021</w:t>
      </w:r>
      <w:r w:rsidRPr="007B6E69">
        <w:t xml:space="preserve">), which is administered by the National Heavy Vehicle Regulator (NHVR). Both the </w:t>
      </w:r>
      <w:r w:rsidR="00C76DFB">
        <w:t>ALVSR</w:t>
      </w:r>
      <w:r w:rsidRPr="007B6E69">
        <w:t xml:space="preserve">s and the </w:t>
      </w:r>
      <w:r w:rsidR="00C76DFB">
        <w:t xml:space="preserve">HVNL </w:t>
      </w:r>
      <w:r w:rsidRPr="007B6E69">
        <w:t>have as a general principle that vehicles will continue to comply with the relevant ADRs.</w:t>
      </w:r>
    </w:p>
    <w:p w14:paraId="29A1359E" w14:textId="77777777" w:rsidR="00B51189" w:rsidRPr="007B6E69" w:rsidRDefault="00B51189" w:rsidP="00E13D3A">
      <w:pPr>
        <w:pStyle w:val="Heading2"/>
        <w:rPr>
          <w:lang w:val="en-AU"/>
        </w:rPr>
      </w:pPr>
      <w:bookmarkStart w:id="15" w:name="_Toc143182122"/>
      <w:r w:rsidRPr="007B6E69">
        <w:rPr>
          <w:lang w:val="en-AU"/>
        </w:rPr>
        <w:t>ADR development and review</w:t>
      </w:r>
      <w:bookmarkEnd w:id="15"/>
    </w:p>
    <w:p w14:paraId="2892C551" w14:textId="77777777" w:rsidR="00B51189" w:rsidRPr="007B6E69" w:rsidRDefault="00B51189" w:rsidP="00B51189">
      <w:r w:rsidRPr="007B6E69">
        <w:t xml:space="preserve">Since the mid-1980s, the ADRs have been progressively harmonised with internationally based United Nations (UN) vehicle regulations, which are developed by the UN World Forum for Harmonization of Vehicle Regulations. Harmonisation is important because Australian vehicle sales represent less than </w:t>
      </w:r>
      <w:r w:rsidR="00006DA4">
        <w:t>2%</w:t>
      </w:r>
      <w:r w:rsidRPr="007B6E69">
        <w:t xml:space="preserve"> of the global vehicle market.  Harmonising with international vehicle regulations provides Australian consumers with access to the safest vehicles from the global market at the lowest possible cost.</w:t>
      </w:r>
    </w:p>
    <w:p w14:paraId="21A882E1" w14:textId="77777777" w:rsidR="00B51189" w:rsidRPr="007B6E69" w:rsidRDefault="00B51189" w:rsidP="00B51189">
      <w:r w:rsidRPr="007B6E69">
        <w:t xml:space="preserve">There is an ongoing program of work to develop, review and revise the ADRs. To ensure the ADRs remain fit for purpose, the </w:t>
      </w:r>
      <w:r w:rsidR="00B9347B">
        <w:t>d</w:t>
      </w:r>
      <w:r w:rsidRPr="007B6E69">
        <w:t>epartment monitors international developments and regularly consults with stakeholders, including to identify any implementation issues or changes in factors affecting existing ADRs, as well as benefits associated with introducing new ADRs.</w:t>
      </w:r>
    </w:p>
    <w:p w14:paraId="58B1AC08" w14:textId="77777777" w:rsidR="00B51189" w:rsidRPr="007B6E69" w:rsidRDefault="00B51189" w:rsidP="00E13D3A">
      <w:pPr>
        <w:pStyle w:val="Heading2"/>
        <w:rPr>
          <w:lang w:val="en-AU"/>
        </w:rPr>
      </w:pPr>
      <w:bookmarkStart w:id="16" w:name="_Toc143182123"/>
      <w:r w:rsidRPr="007B6E69">
        <w:rPr>
          <w:lang w:val="en-AU"/>
        </w:rPr>
        <w:t>Performance Based Standards (PBS) Schemes</w:t>
      </w:r>
      <w:bookmarkEnd w:id="16"/>
    </w:p>
    <w:p w14:paraId="332194E2" w14:textId="77777777" w:rsidR="005C72E8" w:rsidRPr="007B6E69" w:rsidRDefault="00B51189" w:rsidP="00B51189">
      <w:r w:rsidRPr="007B6E69">
        <w:t>Australia also has two voluntary PBS schemes for heavy vehicles, which are administered by the NHVR and the Western Australian Government. Under these schemes, vehicles are tested against 16 additional safety standards and 4 infrastructure standards, and can receive exemptions from meeting specified clauses of the ADRs and in-service vehicle regulations, including standard limits for vehicle width, length, height and rear overhang, as well as various tow coupling related requirements. These PBS schemes give industry the opportunity to innovate with vehicle design to improve productivity and achieve safer performance while minimising impacts on the environment and road infrastructure. PBS vehicles are permitted to operate on defined road networks that are appropriate for their performance (NHVR, 2019).</w:t>
      </w:r>
    </w:p>
    <w:p w14:paraId="2A59841C" w14:textId="77777777" w:rsidR="00B51189" w:rsidRPr="007B6E69" w:rsidRDefault="00B51189" w:rsidP="005C72E8"/>
    <w:p w14:paraId="472DF020" w14:textId="77777777" w:rsidR="005A09F8" w:rsidRPr="007B6E69" w:rsidRDefault="005A09F8" w:rsidP="00E13D3A">
      <w:pPr>
        <w:pStyle w:val="Heading1"/>
        <w:sectPr w:rsidR="005A09F8" w:rsidRPr="007B6E69" w:rsidSect="00BB23F2">
          <w:pgSz w:w="11906" w:h="16838" w:code="9"/>
          <w:pgMar w:top="1021" w:right="1021" w:bottom="1021" w:left="1021" w:header="567" w:footer="567" w:gutter="0"/>
          <w:cols w:space="708"/>
          <w:docGrid w:linePitch="360"/>
        </w:sectPr>
      </w:pPr>
    </w:p>
    <w:p w14:paraId="4861E02E" w14:textId="77777777" w:rsidR="00821111" w:rsidRPr="007B6E69" w:rsidRDefault="00562B18" w:rsidP="00E13D3A">
      <w:pPr>
        <w:pStyle w:val="Heading1"/>
      </w:pPr>
      <w:bookmarkStart w:id="17" w:name="_Toc111576721"/>
      <w:bookmarkStart w:id="18" w:name="_Toc143182124"/>
      <w:r w:rsidRPr="007B6E69">
        <w:t xml:space="preserve">Chapter </w:t>
      </w:r>
      <w:r w:rsidR="005C72E8" w:rsidRPr="007B6E69">
        <w:t>2</w:t>
      </w:r>
      <w:r w:rsidRPr="007B6E69">
        <w:t xml:space="preserve">: </w:t>
      </w:r>
      <w:r w:rsidR="00821111" w:rsidRPr="007B6E69">
        <w:t>Wha</w:t>
      </w:r>
      <w:r w:rsidRPr="007B6E69">
        <w:t>t is the problem?</w:t>
      </w:r>
      <w:bookmarkEnd w:id="17"/>
      <w:bookmarkEnd w:id="18"/>
    </w:p>
    <w:p w14:paraId="6DE21568" w14:textId="77777777" w:rsidR="00033B7E" w:rsidRPr="007B6E69" w:rsidRDefault="00BA1C46" w:rsidP="00A1332D">
      <w:pPr>
        <w:pStyle w:val="Heading2"/>
        <w:ind w:left="0" w:firstLine="0"/>
        <w:rPr>
          <w:lang w:val="en-AU"/>
        </w:rPr>
      </w:pPr>
      <w:bookmarkStart w:id="19" w:name="_Toc143182125"/>
      <w:r w:rsidRPr="007B6E69">
        <w:rPr>
          <w:lang w:val="en-AU"/>
        </w:rPr>
        <w:t>Regulatory i</w:t>
      </w:r>
      <w:r w:rsidR="00033B7E" w:rsidRPr="007B6E69">
        <w:rPr>
          <w:lang w:val="en-AU"/>
        </w:rPr>
        <w:t>mpediments to the supply of safer and cleaner freight</w:t>
      </w:r>
      <w:r w:rsidRPr="007B6E69">
        <w:rPr>
          <w:lang w:val="en-AU"/>
        </w:rPr>
        <w:t> </w:t>
      </w:r>
      <w:r w:rsidR="00033B7E" w:rsidRPr="007B6E69">
        <w:rPr>
          <w:lang w:val="en-AU"/>
        </w:rPr>
        <w:t>vehicles</w:t>
      </w:r>
      <w:bookmarkEnd w:id="19"/>
    </w:p>
    <w:p w14:paraId="155C28AD" w14:textId="77777777" w:rsidR="00CD2C0D" w:rsidRPr="007B6E69" w:rsidRDefault="00CD2C0D" w:rsidP="00CD2C0D">
      <w:pPr>
        <w:pStyle w:val="Heading3"/>
        <w:rPr>
          <w:lang w:val="en-AU"/>
        </w:rPr>
      </w:pPr>
      <w:bookmarkStart w:id="20" w:name="_Toc143182126"/>
      <w:r w:rsidRPr="007B6E69">
        <w:rPr>
          <w:lang w:val="en-AU"/>
        </w:rPr>
        <w:t>The National Road Safety Action Plan 2018-2020</w:t>
      </w:r>
      <w:bookmarkEnd w:id="20"/>
    </w:p>
    <w:p w14:paraId="0B912BEC" w14:textId="77777777" w:rsidR="00CD2C0D" w:rsidRPr="007B6E69" w:rsidRDefault="00CD2C0D" w:rsidP="00CD2C0D">
      <w:r w:rsidRPr="007B6E69">
        <w:t>At the 18 May 2018 meeting of the then Transport and Infrastructure Council, Ministers endorsed the National Road Safety Action Plan (NRSAP) 2018-2020 (</w:t>
      </w:r>
      <w:r w:rsidR="00FE21EA">
        <w:t>Commonwealth of Australia</w:t>
      </w:r>
      <w:r w:rsidRPr="007B6E69">
        <w:t xml:space="preserve">, 2018a), </w:t>
      </w:r>
      <w:r w:rsidR="000D21EE" w:rsidRPr="007B6E69">
        <w:t>including</w:t>
      </w:r>
      <w:r w:rsidRPr="007B6E69">
        <w:t xml:space="preserve"> Other Critical Action L to Investigate the introduction of safer, cleaner heavy freight vehicles by minimising regulatory barriers. The aim of th</w:t>
      </w:r>
      <w:r w:rsidR="000E7EBD" w:rsidRPr="007B6E69">
        <w:t>is</w:t>
      </w:r>
      <w:r w:rsidRPr="007B6E69">
        <w:t xml:space="preserve"> action is to increase take up of safer, cleaner heavy freight vehicles (goods vehicles over 4.5 tonnes Gross Vehicle Mass (GVM) and trailers over 4.5 tonnes Aggregate Trailer Mass (ATM)) in Australia.</w:t>
      </w:r>
    </w:p>
    <w:p w14:paraId="5B4EC39D" w14:textId="77777777" w:rsidR="00CD2C0D" w:rsidRPr="007B6E69" w:rsidRDefault="00CD2C0D" w:rsidP="00033B7E">
      <w:r w:rsidRPr="007B6E69">
        <w:rPr>
          <w:noProof/>
          <w:lang w:eastAsia="en-AU"/>
        </w:rPr>
        <mc:AlternateContent>
          <mc:Choice Requires="wps">
            <w:drawing>
              <wp:inline distT="0" distB="0" distL="0" distR="0" wp14:anchorId="54A79950" wp14:editId="412D8053">
                <wp:extent cx="6217920" cy="3952875"/>
                <wp:effectExtent l="0" t="0" r="1143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952875"/>
                        </a:xfrm>
                        <a:prstGeom prst="rect">
                          <a:avLst/>
                        </a:prstGeom>
                        <a:solidFill>
                          <a:srgbClr val="E8F0FC"/>
                        </a:solidFill>
                        <a:ln w="9525">
                          <a:solidFill>
                            <a:srgbClr val="000000"/>
                          </a:solidFill>
                          <a:miter lim="800000"/>
                          <a:headEnd/>
                          <a:tailEnd/>
                        </a:ln>
                      </wps:spPr>
                      <wps:txbx>
                        <w:txbxContent>
                          <w:p w14:paraId="3AF1C95B" w14:textId="77777777" w:rsidR="00AB344F" w:rsidRPr="007B3F74" w:rsidRDefault="00AB344F" w:rsidP="00634D8C">
                            <w:pPr>
                              <w:rPr>
                                <w:b/>
                                <w:color w:val="081E3E" w:themeColor="text2"/>
                                <w:sz w:val="24"/>
                                <w:szCs w:val="24"/>
                              </w:rPr>
                            </w:pPr>
                            <w:r w:rsidRPr="007B3F74">
                              <w:rPr>
                                <w:b/>
                                <w:color w:val="081E3E" w:themeColor="text2"/>
                                <w:sz w:val="24"/>
                                <w:szCs w:val="24"/>
                              </w:rPr>
                              <w:t>Other Critical Action L (NRSAP 2018-2020):</w:t>
                            </w:r>
                          </w:p>
                          <w:p w14:paraId="68C66FC3" w14:textId="77777777" w:rsidR="00AB344F" w:rsidRPr="007B3F74" w:rsidRDefault="00AB344F" w:rsidP="00634D8C">
                            <w:pPr>
                              <w:rPr>
                                <w:b/>
                                <w:color w:val="081E3E" w:themeColor="text2"/>
                                <w:sz w:val="24"/>
                                <w:szCs w:val="24"/>
                              </w:rPr>
                            </w:pPr>
                            <w:r w:rsidRPr="007B3F74">
                              <w:rPr>
                                <w:b/>
                                <w:color w:val="081E3E" w:themeColor="text2"/>
                                <w:sz w:val="24"/>
                                <w:szCs w:val="24"/>
                              </w:rPr>
                              <w:t>Investigate the introduction of safer, cleaner heavy freight vehicles by minimising regulatory barriers</w:t>
                            </w:r>
                          </w:p>
                          <w:p w14:paraId="1FBA8587" w14:textId="77777777" w:rsidR="00AB344F" w:rsidRDefault="00AB344F" w:rsidP="00634D8C">
                            <w:pPr>
                              <w:spacing w:after="240"/>
                            </w:pPr>
                            <w:r w:rsidRPr="002D7CBA">
                              <w:t>The overall age of the heavy vehicle fleet has an impact on safety as newer vehicles have mo</w:t>
                            </w:r>
                            <w:r>
                              <w:t>r</w:t>
                            </w:r>
                            <w:r w:rsidRPr="002D7CBA">
                              <w:t>e safety features.</w:t>
                            </w:r>
                            <w:r>
                              <w:t xml:space="preserve"> </w:t>
                            </w:r>
                            <w:r w:rsidRPr="002D7CBA">
                              <w:t>It is proposed to investigate ways to encourage the greater uptake of newer, safer, cleaner vehicles into the</w:t>
                            </w:r>
                            <w:r>
                              <w:t xml:space="preserve"> </w:t>
                            </w:r>
                            <w:r w:rsidRPr="002D7CBA">
                              <w:t>Australian fleet, including regulatory requirements and the capacity of the road n</w:t>
                            </w:r>
                            <w:r>
                              <w:t xml:space="preserve">etwork to accommodate different </w:t>
                            </w:r>
                            <w:r w:rsidRPr="002D7CBA">
                              <w:t>s</w:t>
                            </w:r>
                            <w:r>
                              <w:t xml:space="preserve">izes of vehicles. </w:t>
                            </w:r>
                            <w:r w:rsidRPr="002D7CBA">
                              <w:t xml:space="preserve">To meet current Australian regulations, heavy freight </w:t>
                            </w:r>
                            <w:r>
                              <w:t>vehicles must be 50 to 100mm (2-4%) less in width than vehicles i</w:t>
                            </w:r>
                            <w:r w:rsidRPr="002D7CBA">
                              <w:t>n other major markets.</w:t>
                            </w:r>
                            <w:r>
                              <w:t xml:space="preserve"> This costs manufacturers $15-</w:t>
                            </w:r>
                            <w:r w:rsidRPr="002D7CBA">
                              <w:t>30 million per year to redesign their vehicles, and in some</w:t>
                            </w:r>
                            <w:r>
                              <w:t xml:space="preserve"> </w:t>
                            </w:r>
                            <w:r w:rsidRPr="002D7CBA">
                              <w:t>cases reduces the availab</w:t>
                            </w:r>
                            <w:r>
                              <w:t>ility of safer, cleaner models.</w:t>
                            </w:r>
                          </w:p>
                          <w:p w14:paraId="51A13EEB" w14:textId="77777777" w:rsidR="00AB344F" w:rsidRDefault="00AB344F" w:rsidP="00CD2C0D">
                            <w:r w:rsidRPr="002D7CBA">
                              <w:t>Regulatory restrictions exist in Commonwealth and state and territory regulations, an</w:t>
                            </w:r>
                            <w:r>
                              <w:t xml:space="preserve">d include both vehicle size and </w:t>
                            </w:r>
                            <w:r w:rsidRPr="002D7CBA">
                              <w:t>mass. They were originally introduced to protect infrastructure such as roads, building clearances, and bridge loading limits, and to prevent head-on crashes and reduce conflict with oth</w:t>
                            </w:r>
                            <w:r>
                              <w:t>er road users on narrower roads. A</w:t>
                            </w:r>
                            <w:r w:rsidRPr="002D7CBA">
                              <w:t>ll parties will examine current regulatory requirements, as well as network capacity for vehicles of different size and</w:t>
                            </w:r>
                            <w:r>
                              <w:t xml:space="preserve"> </w:t>
                            </w:r>
                            <w:r w:rsidRPr="002D7CBA">
                              <w:t>m</w:t>
                            </w:r>
                            <w:r>
                              <w:t>ass, where the roadway can safel</w:t>
                            </w:r>
                            <w:r w:rsidRPr="002D7CBA">
                              <w:t xml:space="preserve">y </w:t>
                            </w:r>
                            <w:r>
                              <w:t xml:space="preserve">(sic) </w:t>
                            </w:r>
                            <w:r w:rsidRPr="002D7CBA">
                              <w:t>accommodate such vehicles and minimise crashes. Subject to this assessment, the Commonwealth will release a discussion paper, ahead of a regulatory package for any agreed changes to heavy freight vehicle width and any other dimensions, and axle transitional mass, in the Australian Design Rules. The NHVR and the state and territory governments will consider additional changes to heavy freight vehicle size and axle mass limits. The aim is to achieve increased take up of safer, cleaner heavy freight vehicles in Australia from a reported</w:t>
                            </w:r>
                            <w:r>
                              <w:t xml:space="preserve"> </w:t>
                            </w:r>
                            <w:r w:rsidRPr="002D7CBA">
                              <w:t>0.1% to be closer to the global average of 2.0%, also leading to a lower average age of the heavy vehicle fleet</w:t>
                            </w:r>
                            <w:r>
                              <w:t>.</w:t>
                            </w:r>
                          </w:p>
                        </w:txbxContent>
                      </wps:txbx>
                      <wps:bodyPr rot="0" vert="horz" wrap="square" lIns="144000" tIns="144000" rIns="144000" bIns="144000" anchor="t" anchorCtr="0">
                        <a:noAutofit/>
                      </wps:bodyPr>
                    </wps:wsp>
                  </a:graphicData>
                </a:graphic>
              </wp:inline>
            </w:drawing>
          </mc:Choice>
          <mc:Fallback>
            <w:pict>
              <v:shapetype w14:anchorId="54A79950" id="_x0000_t202" coordsize="21600,21600" o:spt="202" path="m,l,21600r21600,l21600,xe">
                <v:stroke joinstyle="miter"/>
                <v:path gradientshapeok="t" o:connecttype="rect"/>
              </v:shapetype>
              <v:shape id="Text Box 2" o:spid="_x0000_s1026" type="#_x0000_t202" style="width:489.6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" fillcolor="#e8f0fc">
                <v:textbox inset="4mm,4mm,4mm,4mm">
                  <w:txbxContent>
                    <w:p w14:paraId="3AF1C95B" w14:textId="77777777" w:rsidR="00AB344F" w:rsidRPr="007B3F74" w:rsidRDefault="00AB344F" w:rsidP="00634D8C">
                      <w:pPr>
                        <w:rPr>
                          <w:b/>
                          <w:color w:val="081E3E" w:themeColor="text2"/>
                          <w:sz w:val="24"/>
                          <w:szCs w:val="24"/>
                        </w:rPr>
                      </w:pPr>
                      <w:r w:rsidRPr="007B3F74">
                        <w:rPr>
                          <w:b/>
                          <w:color w:val="081E3E" w:themeColor="text2"/>
                          <w:sz w:val="24"/>
                          <w:szCs w:val="24"/>
                        </w:rPr>
                        <w:t>Other Critical Action L (NRSAP 2018-2020):</w:t>
                      </w:r>
                    </w:p>
                    <w:p w14:paraId="68C66FC3" w14:textId="77777777" w:rsidR="00AB344F" w:rsidRPr="007B3F74" w:rsidRDefault="00AB344F" w:rsidP="00634D8C">
                      <w:pPr>
                        <w:rPr>
                          <w:b/>
                          <w:color w:val="081E3E" w:themeColor="text2"/>
                          <w:sz w:val="24"/>
                          <w:szCs w:val="24"/>
                        </w:rPr>
                      </w:pPr>
                      <w:r w:rsidRPr="007B3F74">
                        <w:rPr>
                          <w:b/>
                          <w:color w:val="081E3E" w:themeColor="text2"/>
                          <w:sz w:val="24"/>
                          <w:szCs w:val="24"/>
                        </w:rPr>
                        <w:t>Investigate the introduction of safer, cleaner heavy freight vehicles by minimising regulatory barriers</w:t>
                      </w:r>
                    </w:p>
                    <w:p w14:paraId="1FBA8587" w14:textId="77777777" w:rsidR="00AB344F" w:rsidRDefault="00AB344F" w:rsidP="00634D8C">
                      <w:pPr>
                        <w:spacing w:after="240"/>
                      </w:pPr>
                      <w:r w:rsidRPr="002D7CBA">
                        <w:t>The overall age of the heavy vehicle fleet has an impact on safety as newer vehicles have mo</w:t>
                      </w:r>
                      <w:r>
                        <w:t>r</w:t>
                      </w:r>
                      <w:r w:rsidRPr="002D7CBA">
                        <w:t>e safety features.</w:t>
                      </w:r>
                      <w:r>
                        <w:t xml:space="preserve"> </w:t>
                      </w:r>
                      <w:r w:rsidRPr="002D7CBA">
                        <w:t>It is proposed to investigate ways to encourage the greater uptake of newer, safer, cleaner vehicles into the</w:t>
                      </w:r>
                      <w:r>
                        <w:t xml:space="preserve"> </w:t>
                      </w:r>
                      <w:r w:rsidRPr="002D7CBA">
                        <w:t>Australian fleet, including regulatory requirements and the capacity of the road n</w:t>
                      </w:r>
                      <w:r>
                        <w:t xml:space="preserve">etwork to accommodate different </w:t>
                      </w:r>
                      <w:r w:rsidRPr="002D7CBA">
                        <w:t>s</w:t>
                      </w:r>
                      <w:r>
                        <w:t xml:space="preserve">izes of vehicles. </w:t>
                      </w:r>
                      <w:r w:rsidRPr="002D7CBA">
                        <w:t xml:space="preserve">To meet current Australian regulations, heavy freight </w:t>
                      </w:r>
                      <w:r>
                        <w:t>vehicles must be 50 to 100mm (2-4%) less in width than vehicles i</w:t>
                      </w:r>
                      <w:r w:rsidRPr="002D7CBA">
                        <w:t>n other major markets.</w:t>
                      </w:r>
                      <w:r>
                        <w:t xml:space="preserve"> This costs manufacturers $15-</w:t>
                      </w:r>
                      <w:r w:rsidRPr="002D7CBA">
                        <w:t>30 million per year to redesign their vehicles, and in some</w:t>
                      </w:r>
                      <w:r>
                        <w:t xml:space="preserve"> </w:t>
                      </w:r>
                      <w:r w:rsidRPr="002D7CBA">
                        <w:t>cases reduces the availab</w:t>
                      </w:r>
                      <w:r>
                        <w:t>ility of safer, cleaner models.</w:t>
                      </w:r>
                    </w:p>
                    <w:p w14:paraId="51A13EEB" w14:textId="77777777" w:rsidR="00AB344F" w:rsidRDefault="00AB344F" w:rsidP="00CD2C0D">
                      <w:r w:rsidRPr="002D7CBA">
                        <w:t>Regulatory restrictions exist in Commonwealth and state and territory regulations, an</w:t>
                      </w:r>
                      <w:r>
                        <w:t xml:space="preserve">d include both vehicle size and </w:t>
                      </w:r>
                      <w:r w:rsidRPr="002D7CBA">
                        <w:t>mass. They were originally introduced to protect infrastructure such as roads, building clearances, and bridge loading limits, and to prevent head-on crashes and reduce conflict with oth</w:t>
                      </w:r>
                      <w:r>
                        <w:t>er road users on narrower roads. A</w:t>
                      </w:r>
                      <w:r w:rsidRPr="002D7CBA">
                        <w:t>ll parties will examine current regulatory requirements, as well as network capacity for vehicles of different size and</w:t>
                      </w:r>
                      <w:r>
                        <w:t xml:space="preserve"> </w:t>
                      </w:r>
                      <w:r w:rsidRPr="002D7CBA">
                        <w:t>m</w:t>
                      </w:r>
                      <w:r>
                        <w:t>ass, where the roadway can safel</w:t>
                      </w:r>
                      <w:r w:rsidRPr="002D7CBA">
                        <w:t xml:space="preserve">y </w:t>
                      </w:r>
                      <w:r>
                        <w:t xml:space="preserve">(sic) </w:t>
                      </w:r>
                      <w:r w:rsidRPr="002D7CBA">
                        <w:t>accommodate such vehicles and minimise crashes. Subject to this assessment, the Commonwealth will release a discussion paper, ahead of a regulatory package for any agreed changes to heavy freight vehicle width and any other dimensions, and axle transitional mass, in the Australian Design Rules. The NHVR and the state and territory governments will consider additional changes to heavy freight vehicle size and axle mass limits. The aim is to achieve increased take up of safer, cleaner heavy freight vehicles in Australia from a reported</w:t>
                      </w:r>
                      <w:r>
                        <w:t xml:space="preserve"> </w:t>
                      </w:r>
                      <w:r w:rsidRPr="002D7CBA">
                        <w:t>0.1% to be closer to the global average of 2.0%, also leading to a lower average age of the heavy vehicle fleet</w:t>
                      </w:r>
                      <w:r>
                        <w:t>.</w:t>
                      </w:r>
                    </w:p>
                  </w:txbxContent>
                </v:textbox>
                <w10:anchorlock/>
              </v:shape>
            </w:pict>
          </mc:Fallback>
        </mc:AlternateContent>
      </w:r>
    </w:p>
    <w:p w14:paraId="31F7A406" w14:textId="77777777" w:rsidR="00BA1C46" w:rsidRPr="007B6E69" w:rsidRDefault="00BA1C46" w:rsidP="00BA1C46">
      <w:pPr>
        <w:pStyle w:val="Heading3"/>
        <w:rPr>
          <w:lang w:val="en-AU"/>
        </w:rPr>
      </w:pPr>
      <w:bookmarkStart w:id="21" w:name="_Toc143182127"/>
      <w:r w:rsidRPr="007B6E69">
        <w:rPr>
          <w:lang w:val="en-AU"/>
        </w:rPr>
        <w:t>The Safer Freight Vehicles Discussion Paper</w:t>
      </w:r>
      <w:bookmarkEnd w:id="21"/>
    </w:p>
    <w:p w14:paraId="045C4E2E" w14:textId="77777777" w:rsidR="00540148" w:rsidRPr="007B6E69" w:rsidRDefault="006878D5" w:rsidP="00033B7E">
      <w:r w:rsidRPr="007B6E69">
        <w:t xml:space="preserve">In April 2021, the </w:t>
      </w:r>
      <w:r w:rsidR="00B9347B">
        <w:t>d</w:t>
      </w:r>
      <w:r w:rsidRPr="007B6E69">
        <w:t>epartment released a Safer Freight Vehicles Discussion Paper (</w:t>
      </w:r>
      <w:r w:rsidR="00FE21EA">
        <w:t>Commonwealth of Australia</w:t>
      </w:r>
      <w:r w:rsidRPr="007B6E69">
        <w:t>, 2021</w:t>
      </w:r>
      <w:r w:rsidR="006D7376">
        <w:t>a</w:t>
      </w:r>
      <w:r w:rsidRPr="007B6E69">
        <w:t>) on its website for a 10-week public comment period.</w:t>
      </w:r>
      <w:r w:rsidR="00540148" w:rsidRPr="007B6E69">
        <w:t xml:space="preserve"> This paper sought stakeholder feedback on possible changes to </w:t>
      </w:r>
      <w:r w:rsidR="00576AEE" w:rsidRPr="007B6E69">
        <w:t xml:space="preserve">the ADRs to </w:t>
      </w:r>
      <w:r w:rsidR="00540148" w:rsidRPr="007B6E69">
        <w:t>facilitate an increased take</w:t>
      </w:r>
      <w:r w:rsidR="0077120E">
        <w:t>-</w:t>
      </w:r>
      <w:r w:rsidR="00540148" w:rsidRPr="007B6E69">
        <w:t>up of safer and cleaner heavy freight vehicles in Australia.</w:t>
      </w:r>
    </w:p>
    <w:p w14:paraId="642FDF93" w14:textId="77777777" w:rsidR="00033B7E" w:rsidRPr="007B6E69" w:rsidRDefault="00033B7E" w:rsidP="000248F9">
      <w:r w:rsidRPr="007B6E69">
        <w:t>In preparing</w:t>
      </w:r>
      <w:r w:rsidR="00AB7A94" w:rsidRPr="007B6E69">
        <w:t xml:space="preserve"> </w:t>
      </w:r>
      <w:r w:rsidR="00540148" w:rsidRPr="007B6E69">
        <w:t>the Safer Freight Vehicles Discussion Paper (</w:t>
      </w:r>
      <w:r w:rsidR="00FE21EA">
        <w:t>Commonwealth of Australia</w:t>
      </w:r>
      <w:r w:rsidR="00540148" w:rsidRPr="007B6E69">
        <w:t>, 2021</w:t>
      </w:r>
      <w:r w:rsidR="006D7376">
        <w:t>a</w:t>
      </w:r>
      <w:r w:rsidR="00540148" w:rsidRPr="007B6E69">
        <w:t>)</w:t>
      </w:r>
      <w:r w:rsidRPr="007B6E69">
        <w:t xml:space="preserve">, the </w:t>
      </w:r>
      <w:r w:rsidR="00B9347B">
        <w:t>d</w:t>
      </w:r>
      <w:r w:rsidRPr="007B6E69">
        <w:t xml:space="preserve">epartment considered information from a range of sources to identify any potential barriers or impediments in the ADRs to the supply of safer and cleaner heavy freight vehicles. Importantly, the </w:t>
      </w:r>
      <w:r w:rsidR="00B9347B">
        <w:t>d</w:t>
      </w:r>
      <w:r w:rsidRPr="007B6E69">
        <w:t xml:space="preserve">epartment’s review revealed that the ADRs do not prohibit safer and cleaner heavy freight vehicles from being supplied to the Australian market. Nevertheless, there are some requirements in the ADRs that can make it more difficult and </w:t>
      </w:r>
      <w:r w:rsidR="007B6E69" w:rsidRPr="007B6E69">
        <w:t>costlier</w:t>
      </w:r>
      <w:r w:rsidRPr="007B6E69">
        <w:t xml:space="preserve"> for manufacturers to supply vehicles fitted with advanced safety </w:t>
      </w:r>
      <w:r w:rsidR="008C56E5">
        <w:t>systems</w:t>
      </w:r>
      <w:r w:rsidRPr="007B6E69">
        <w:t>, cleaner engines, and/or more productive design features. Further, the relatively small size of the Australian market limits the number of vehicles across which manufacturers can amortise any additional development costs to meet Australian specific requirements.</w:t>
      </w:r>
    </w:p>
    <w:p w14:paraId="1BA0F255" w14:textId="77777777" w:rsidR="00033B7E" w:rsidRPr="007B6E69" w:rsidRDefault="00033B7E" w:rsidP="009A1CD9">
      <w:r w:rsidRPr="007B6E69">
        <w:t xml:space="preserve">The main ADR requirement raised by heavy vehicle industry groups as limiting the supply of safer and cleaner heavy freight vehicles is the vehicle width limit. </w:t>
      </w:r>
      <w:r w:rsidR="00A1332D" w:rsidRPr="007B6E69">
        <w:t>T</w:t>
      </w:r>
      <w:r w:rsidR="00E1642E" w:rsidRPr="007B6E69">
        <w:t xml:space="preserve">he supply of safer heavy goods vehicles is </w:t>
      </w:r>
      <w:r w:rsidR="00976F3E" w:rsidRPr="007B6E69">
        <w:t>further</w:t>
      </w:r>
      <w:r w:rsidR="00E1642E" w:rsidRPr="007B6E69">
        <w:t xml:space="preserve"> </w:t>
      </w:r>
      <w:r w:rsidR="00A1332D" w:rsidRPr="007B6E69">
        <w:t>restricted</w:t>
      </w:r>
      <w:r w:rsidR="00E1642E" w:rsidRPr="007B6E69">
        <w:t xml:space="preserve"> </w:t>
      </w:r>
      <w:r w:rsidR="000860C4" w:rsidRPr="007B6E69">
        <w:t>by t</w:t>
      </w:r>
      <w:r w:rsidRPr="007B6E69">
        <w:t xml:space="preserve">he absence </w:t>
      </w:r>
      <w:r w:rsidR="00B364B9">
        <w:t xml:space="preserve">in the ADRs </w:t>
      </w:r>
      <w:r w:rsidRPr="007B6E69">
        <w:t>of exclusions for various types of devices for indirect vision (i.e. mirrors and cameras) and blind spot information systems (e.g. for the detection of vehicles, bicyclists and/or pedestrians) from the measurement of vehicle</w:t>
      </w:r>
      <w:r w:rsidR="00B364B9">
        <w:t> </w:t>
      </w:r>
      <w:r w:rsidRPr="007B6E69">
        <w:t>width and/or length.</w:t>
      </w:r>
      <w:r w:rsidR="00540148" w:rsidRPr="007B6E69">
        <w:t xml:space="preserve"> This </w:t>
      </w:r>
      <w:r w:rsidR="00C45600">
        <w:t>IA</w:t>
      </w:r>
      <w:r w:rsidR="00540148" w:rsidRPr="007B6E69">
        <w:t xml:space="preserve"> focusses on policy options to </w:t>
      </w:r>
      <w:r w:rsidR="00F43BE6" w:rsidRPr="007B6E69">
        <w:t>better regulate these aspects of vehicle design</w:t>
      </w:r>
      <w:r w:rsidR="00540148" w:rsidRPr="007B6E69">
        <w:t>.</w:t>
      </w:r>
    </w:p>
    <w:p w14:paraId="087D57E3" w14:textId="77777777" w:rsidR="008341A2" w:rsidRPr="007B6E69" w:rsidRDefault="00AF1EED" w:rsidP="009A1CD9">
      <w:r w:rsidRPr="007B6E69">
        <w:t xml:space="preserve">There are also </w:t>
      </w:r>
      <w:r w:rsidR="002D7DAD" w:rsidRPr="007B6E69">
        <w:t>limits in the ADRs on axle spacing, axle transition mass (the maximum permissible mass placed on the road by an axle or axle group before any retracted/lifted axle must automatically lower), rear overhang (the distance between the centre of the rear axle or axle group of a vehicle and the rearmost point on the vehicle), and the number of axles in an axle group, which can be barriers to the supply of vehicles with more productive, fuel-efficient and/or environmentally friendly axle configurations.</w:t>
      </w:r>
      <w:r w:rsidR="00F43BE6" w:rsidRPr="007B6E69">
        <w:t xml:space="preserve"> While </w:t>
      </w:r>
      <w:r w:rsidR="000039EC" w:rsidRPr="007B6E69">
        <w:t xml:space="preserve">policy options to address these issues are not considered in this </w:t>
      </w:r>
      <w:r w:rsidR="00C45600">
        <w:t>IA</w:t>
      </w:r>
      <w:r w:rsidR="000039EC" w:rsidRPr="007B6E69">
        <w:t xml:space="preserve">, this may follow as a subsequent </w:t>
      </w:r>
      <w:r w:rsidR="00C45600">
        <w:t>IA</w:t>
      </w:r>
      <w:r w:rsidR="000039EC" w:rsidRPr="007B6E69">
        <w:t xml:space="preserve"> proposal. In this respect it is important to highlight that </w:t>
      </w:r>
      <w:r w:rsidR="00971E51" w:rsidRPr="007B6E69">
        <w:t xml:space="preserve">the impacts of </w:t>
      </w:r>
      <w:r w:rsidR="00FD2CC3" w:rsidRPr="007B6E69">
        <w:t>any future changes to</w:t>
      </w:r>
      <w:r w:rsidR="00971E51" w:rsidRPr="007B6E69">
        <w:t xml:space="preserve"> </w:t>
      </w:r>
      <w:r w:rsidR="00346C53" w:rsidRPr="007B6E69">
        <w:t xml:space="preserve">vehicle </w:t>
      </w:r>
      <w:r w:rsidR="0016406E" w:rsidRPr="007B6E69">
        <w:t xml:space="preserve">axle requirements </w:t>
      </w:r>
      <w:r w:rsidR="00FD2CC3" w:rsidRPr="007B6E69">
        <w:t>would be</w:t>
      </w:r>
      <w:r w:rsidR="00346C53" w:rsidRPr="007B6E69">
        <w:t xml:space="preserve"> largely separate and distinct from </w:t>
      </w:r>
      <w:r w:rsidR="00FD2CC3" w:rsidRPr="007B6E69">
        <w:t xml:space="preserve">the changes considered for overall vehicle width </w:t>
      </w:r>
      <w:r w:rsidR="00B6485F">
        <w:t>(</w:t>
      </w:r>
      <w:r w:rsidR="00FD75A0">
        <w:t>as well as</w:t>
      </w:r>
      <w:r w:rsidR="00FD2CC3" w:rsidRPr="007B6E69">
        <w:t xml:space="preserve"> </w:t>
      </w:r>
      <w:r w:rsidR="00FA0D3E">
        <w:t xml:space="preserve">exclusions from vehicle width and </w:t>
      </w:r>
      <w:r w:rsidR="00FD2CC3" w:rsidRPr="007B6E69">
        <w:t xml:space="preserve">length </w:t>
      </w:r>
      <w:r w:rsidR="00B6485F">
        <w:t>measurements) in</w:t>
      </w:r>
      <w:r w:rsidR="00FD2CC3" w:rsidRPr="007B6E69">
        <w:t xml:space="preserve"> this </w:t>
      </w:r>
      <w:r w:rsidR="00C45600">
        <w:t>IA</w:t>
      </w:r>
      <w:r w:rsidR="00346C53" w:rsidRPr="007B6E69">
        <w:t xml:space="preserve">, so would not significantly impact </w:t>
      </w:r>
      <w:r w:rsidR="00FD2CC3" w:rsidRPr="007B6E69">
        <w:t>the outcome of the benefit-cost analysis</w:t>
      </w:r>
      <w:r w:rsidR="003655B7" w:rsidRPr="007B6E69">
        <w:t xml:space="preserve"> for this </w:t>
      </w:r>
      <w:r w:rsidR="00C45600">
        <w:t>IA</w:t>
      </w:r>
      <w:r w:rsidR="00346C53" w:rsidRPr="007B6E69">
        <w:t>.</w:t>
      </w:r>
    </w:p>
    <w:p w14:paraId="4BA14AFF" w14:textId="77777777" w:rsidR="00033B7E" w:rsidRPr="007B6E69" w:rsidRDefault="00033B7E" w:rsidP="00A738BE">
      <w:pPr>
        <w:pStyle w:val="Heading3"/>
        <w:rPr>
          <w:lang w:val="en-AU"/>
        </w:rPr>
      </w:pPr>
      <w:bookmarkStart w:id="22" w:name="_Toc143182128"/>
      <w:r w:rsidRPr="007B6E69">
        <w:rPr>
          <w:lang w:val="en-AU"/>
        </w:rPr>
        <w:t>Vehicle width</w:t>
      </w:r>
      <w:bookmarkEnd w:id="22"/>
    </w:p>
    <w:p w14:paraId="05C706EF" w14:textId="77777777" w:rsidR="00033B7E" w:rsidRPr="007B6E69" w:rsidRDefault="00033B7E" w:rsidP="00033B7E">
      <w:r w:rsidRPr="007B6E69">
        <w:t>There is no one globally accepted vehicle width limit, nor any international (UN) vehicle regulation covering vehicle width. Instead, there are various (and differing) regional and national requirements that apply for vehicle width, including in Australia and in other countries from which Australia imports heavy freight vehicles. The reason for a vehicle width limit is to ensure vehicles can travel safely on the road network, without colliding with other vehicles (including vehicles travelling in the same or opposite directions), vulnerable road users (e.g. pedestrians, bicyclists etc.) in close-proximity to the vehicle, or roadside infrastructure.</w:t>
      </w:r>
    </w:p>
    <w:p w14:paraId="3F61C0B0" w14:textId="77777777" w:rsidR="00033B7E" w:rsidRPr="007B6E69" w:rsidRDefault="00033B7E" w:rsidP="00033B7E">
      <w:r w:rsidRPr="007B6E69">
        <w:t xml:space="preserve">In Japan, vehicle width is limited to </w:t>
      </w:r>
      <w:r w:rsidR="00B9347B">
        <w:t>2.50</w:t>
      </w:r>
      <w:r w:rsidR="008E4C72">
        <w:t> </w:t>
      </w:r>
      <w:r w:rsidRPr="007B6E69">
        <w:t>m. In the European Union (EU) vehicle width is allowed to be up to 2.55</w:t>
      </w:r>
      <w:r w:rsidR="008E4C72">
        <w:t> </w:t>
      </w:r>
      <w:r w:rsidRPr="007B6E69">
        <w:t xml:space="preserve">m for all vehicles, and up to </w:t>
      </w:r>
      <w:r w:rsidR="00B9347B">
        <w:t>2.60</w:t>
      </w:r>
      <w:r w:rsidRPr="007B6E69">
        <w:t xml:space="preserve"> m for goods vehicles </w:t>
      </w:r>
      <w:r w:rsidR="00F70CA8" w:rsidRPr="007B6E69">
        <w:t xml:space="preserve">and trailers </w:t>
      </w:r>
      <w:r w:rsidRPr="007B6E69">
        <w:t>with refrigerated bodywork (with insulated walls of at least 45</w:t>
      </w:r>
      <w:r w:rsidR="00F70CA8" w:rsidRPr="007B6E69">
        <w:t> </w:t>
      </w:r>
      <w:r w:rsidRPr="007B6E69">
        <w:t xml:space="preserve">mm thick) (EU, 2019). This was increased from a </w:t>
      </w:r>
      <w:r w:rsidR="00B9347B">
        <w:t>2.50</w:t>
      </w:r>
      <w:r w:rsidR="008E4C72">
        <w:t> </w:t>
      </w:r>
      <w:r w:rsidRPr="007B6E69">
        <w:t xml:space="preserve">m limit for all vehicles in </w:t>
      </w:r>
      <w:r w:rsidR="008C26B6">
        <w:t>1996/97</w:t>
      </w:r>
      <w:r w:rsidRPr="007B6E69">
        <w:t xml:space="preserve">. In the United States (US), vehicles are allowed to be up to </w:t>
      </w:r>
      <w:r w:rsidR="00B9347B">
        <w:t>2.60</w:t>
      </w:r>
      <w:r w:rsidR="008E4C72">
        <w:t> </w:t>
      </w:r>
      <w:r w:rsidRPr="007B6E69">
        <w:t>m wide (US Government, 2020).</w:t>
      </w:r>
    </w:p>
    <w:p w14:paraId="2429ECD1" w14:textId="77777777" w:rsidR="00033B7E" w:rsidRPr="007B6E69" w:rsidRDefault="00033B7E" w:rsidP="00033B7E">
      <w:r w:rsidRPr="007B6E69">
        <w:t xml:space="preserve">In Australia, vehicle width is limited within the ADRs (and through in-service vehicle regulations) to </w:t>
      </w:r>
      <w:r w:rsidR="00B9347B">
        <w:t>2.50</w:t>
      </w:r>
      <w:r w:rsidR="008E4C72">
        <w:t> </w:t>
      </w:r>
      <w:r w:rsidRPr="007B6E69">
        <w:t>m (</w:t>
      </w:r>
      <w:r w:rsidR="00FE21EA">
        <w:t>Commonwealth of Australia</w:t>
      </w:r>
      <w:r w:rsidRPr="007B6E69">
        <w:t>, 2016a), except for non-standard vehicles, subject to conditions including limited network access under permit and/or notice arrangements. This means that vehicles (including components such as axles) and plant equipment (such as cranes) mounted on heavy vehicles have to be made slightly (2-4</w:t>
      </w:r>
      <w:r w:rsidR="00803A6C">
        <w:t>%</w:t>
      </w:r>
      <w:r w:rsidRPr="007B6E69">
        <w:t xml:space="preserve">) narrower than for vehicles designed to EU and/or US requirements. This adds costs and slows the development of </w:t>
      </w:r>
      <w:r w:rsidR="00F70CA8" w:rsidRPr="007B6E69">
        <w:t xml:space="preserve">some </w:t>
      </w:r>
      <w:r w:rsidRPr="007B6E69">
        <w:t xml:space="preserve">new models for the Australian market. Further, it restricts the space available for manufacturers to fit safety and/or emissions control systems, which can make it more difficult and </w:t>
      </w:r>
      <w:r w:rsidR="00F82C1C">
        <w:t xml:space="preserve">costlier </w:t>
      </w:r>
      <w:r w:rsidRPr="007B6E69">
        <w:t xml:space="preserve">to supply </w:t>
      </w:r>
      <w:r w:rsidR="000248F9">
        <w:t xml:space="preserve">some </w:t>
      </w:r>
      <w:r w:rsidRPr="007B6E69">
        <w:t>safer and cleaner models in Australia.</w:t>
      </w:r>
      <w:r w:rsidR="00044A90">
        <w:t xml:space="preserve"> These added costs increase freight costs for Australian businesses and the end consumers of the products transported by these vehicles.</w:t>
      </w:r>
    </w:p>
    <w:p w14:paraId="776ECF56" w14:textId="77777777" w:rsidR="00033B7E" w:rsidRPr="007B6E69" w:rsidRDefault="00033B7E" w:rsidP="000248F9">
      <w:r w:rsidRPr="007B6E69">
        <w:t>Vehicles based on EU or US market designs (including Australian made trucks) currently make up around 60</w:t>
      </w:r>
      <w:r w:rsidR="00803A6C">
        <w:t xml:space="preserve">% </w:t>
      </w:r>
      <w:r w:rsidRPr="007B6E69">
        <w:t>of new heavy trucks (over 12 tonnes GVM) sold in Australia</w:t>
      </w:r>
      <w:r w:rsidR="00F82C1C">
        <w:t>,</w:t>
      </w:r>
      <w:r w:rsidRPr="007B6E69">
        <w:t xml:space="preserve"> and the cost to redesign vehicles for the Australian market has been estimated at $15-30 million per year (</w:t>
      </w:r>
      <w:r w:rsidR="00FE21EA">
        <w:t>Commonwealth of Australia</w:t>
      </w:r>
      <w:r w:rsidRPr="007B6E69">
        <w:t>, 2018a). There are further costs in lost productivity through non-standardised load sizes and the necessary reduction of wall thickness (and so reduced thermal efficiency) of refrigerated bodywork</w:t>
      </w:r>
      <w:r w:rsidR="00EA1E17">
        <w:t xml:space="preserve">. </w:t>
      </w:r>
      <w:r w:rsidR="005300CF">
        <w:t xml:space="preserve">A narrower width limit reduces the space available to fit the standard EU and US size pallets, which can result in some imported products being transferred from these pallets to Australian standard size pallets, which adds costs, including through distribution delays. </w:t>
      </w:r>
      <w:r w:rsidR="00EA1E17">
        <w:t>The thinner insulation used on refrigerated vehicles increases fuel consumption and environmental impacts, including carbon dioxide emissions</w:t>
      </w:r>
      <w:r w:rsidRPr="007B6E69">
        <w:t>.</w:t>
      </w:r>
      <w:r w:rsidR="000248F9">
        <w:t xml:space="preserve"> Costs to transfer products between different size pallets and increased refrigeration costs for refrigerated freight</w:t>
      </w:r>
      <w:r w:rsidR="008F6126">
        <w:t>,</w:t>
      </w:r>
      <w:r w:rsidR="000248F9">
        <w:t xml:space="preserve"> are likely transferred to the end consumers of these products, while environmental costs are </w:t>
      </w:r>
      <w:r w:rsidR="00617C93">
        <w:t>absorbed</w:t>
      </w:r>
      <w:r w:rsidR="000248F9">
        <w:t xml:space="preserve"> by society as a whole.</w:t>
      </w:r>
    </w:p>
    <w:p w14:paraId="71150608" w14:textId="77777777" w:rsidR="00033B7E" w:rsidRPr="007B6E69" w:rsidRDefault="00033B7E" w:rsidP="000248F9">
      <w:pPr>
        <w:keepLines/>
      </w:pPr>
      <w:r w:rsidRPr="007B6E69">
        <w:t xml:space="preserve">In future there are likely to be a number of design changes made to trucks for the EU and US markets which manufacturers will find increasingly difficult (or at least not economically worthwhile) to adapt to fit within the </w:t>
      </w:r>
      <w:r w:rsidR="00B9347B">
        <w:t>2.50</w:t>
      </w:r>
      <w:r w:rsidR="00E35A93">
        <w:t> </w:t>
      </w:r>
      <w:r w:rsidRPr="007B6E69">
        <w:t>m vehicle width limit for the relatively small Australian market. These include the re-design of truck cabs to provide an improved direct field of view for the driver (including to meet upcoming regulatory requirements proposed by the EU) and batteries and/or hydrogen storage systems for electric trucks made to fit a 2.55</w:t>
      </w:r>
      <w:r w:rsidR="00E35A93">
        <w:t> </w:t>
      </w:r>
      <w:r w:rsidRPr="007B6E69">
        <w:t>m (or wider) width limit.</w:t>
      </w:r>
    </w:p>
    <w:p w14:paraId="4E956168" w14:textId="77777777" w:rsidR="00033B7E" w:rsidRPr="007B6E69" w:rsidRDefault="00033B7E" w:rsidP="00033B7E">
      <w:r w:rsidRPr="007B6E69">
        <w:t xml:space="preserve">Appendix </w:t>
      </w:r>
      <w:r w:rsidR="003D06DB">
        <w:t>4</w:t>
      </w:r>
      <w:r w:rsidRPr="007B6E69">
        <w:t xml:space="preserve"> includes a detailed summary of the current vehicle width</w:t>
      </w:r>
      <w:r w:rsidR="005D587A">
        <w:t xml:space="preserve"> limits, including </w:t>
      </w:r>
      <w:r w:rsidRPr="007B6E69">
        <w:t>exclusions</w:t>
      </w:r>
      <w:r w:rsidR="005D587A">
        <w:t xml:space="preserve"> and conditions,</w:t>
      </w:r>
      <w:r w:rsidRPr="007B6E69">
        <w:t xml:space="preserve"> in Australia, the EU, Japan, New Zealand, and the US.</w:t>
      </w:r>
    </w:p>
    <w:p w14:paraId="53C6C067" w14:textId="77777777" w:rsidR="00033B7E" w:rsidRPr="007B6E69" w:rsidRDefault="00033B7E" w:rsidP="00A738BE">
      <w:pPr>
        <w:pStyle w:val="Heading3"/>
        <w:rPr>
          <w:lang w:val="en-AU"/>
        </w:rPr>
      </w:pPr>
      <w:bookmarkStart w:id="23" w:name="_Toc143182129"/>
      <w:r w:rsidRPr="007B6E69">
        <w:rPr>
          <w:lang w:val="en-AU"/>
        </w:rPr>
        <w:t>Devices for indirect vision and monitoring devices to detect other road users</w:t>
      </w:r>
      <w:bookmarkEnd w:id="23"/>
    </w:p>
    <w:p w14:paraId="0ACFFF4C" w14:textId="77777777" w:rsidR="00033B7E" w:rsidRPr="007B6E69" w:rsidRDefault="00033B7E" w:rsidP="00B564D9">
      <w:r w:rsidRPr="007B6E69">
        <w:t>Similar to the vehicle overall width, there is no one globally accepted set of exclusions from vehicle width and length measurements, including for devices for indirect vision and monitoring devices to detect other road users (e.g. blind spot information systems for the detection of vehicles, bicycles and/or pedestrians). Instead, there are various regional and national requirements that apply throughout the world, including a differing set of exclusions in Australia, the EU, Japan, New Zealand, and the US.</w:t>
      </w:r>
    </w:p>
    <w:p w14:paraId="6881ABD9" w14:textId="7D49BBD4" w:rsidR="00033B7E" w:rsidRPr="007B6E69" w:rsidRDefault="00033B7E" w:rsidP="00033B7E">
      <w:r w:rsidRPr="007B6E69">
        <w:t xml:space="preserve">In the EU, all devices for indirect vision (as defined in the UN Regulation No. 46 (UN R46)) are excluded from the measurement of both vehicle width and length (EU, 2019). These include rear view, close-proximity view and front-view classes of devices for indirect vision, which can be conventional mirrors or camera-monitor systems. All devices for indirect vision and the vehicles to which they are fitted must be approved to UN R46, which includes a minimum defined field of view requirement for each class of device (e.g. rear-view, close-proximity view, front-view etc.), together with pendulum impact test requirements for devices mounted less than 2 m from the ground (i.e. those which would be more likely to impact a pedestrian or light vehicle) and protruding more than 100 mm from the side bodywork. </w:t>
      </w:r>
      <w:r w:rsidR="00534814" w:rsidRPr="007B6E69">
        <w:t xml:space="preserve">Figure </w:t>
      </w:r>
      <w:r w:rsidR="00534814">
        <w:rPr>
          <w:noProof/>
        </w:rPr>
        <w:t>1</w:t>
      </w:r>
      <w:r w:rsidRPr="007B6E69">
        <w:t xml:space="preserve"> shows an example of a camera-monitor system for indirect vision. The external camera is much smaller and lighter than a conventional mirror, which helps reduce aerodynamic drag and makes it less likely to impact with or obscure the driver’s view of other vehicles or pedestrians.</w:t>
      </w:r>
    </w:p>
    <w:p w14:paraId="51AA883C" w14:textId="77777777" w:rsidR="00033B7E" w:rsidRPr="007B6E69" w:rsidRDefault="00A30083" w:rsidP="00BA1C46">
      <w:pPr>
        <w:keepNext/>
      </w:pPr>
      <w:r w:rsidRPr="007B6E69">
        <w:rPr>
          <w:noProof/>
          <w:lang w:eastAsia="en-AU"/>
        </w:rPr>
        <w:drawing>
          <wp:inline distT="0" distB="0" distL="0" distR="0" wp14:anchorId="436EC25B" wp14:editId="28041F58">
            <wp:extent cx="6228000" cy="2345610"/>
            <wp:effectExtent l="0" t="0" r="1905" b="0"/>
            <wp:docPr id="14" name="Picture 14" descr="Figure 1&#10;&#10;Images of an internal monitor (left) and external camera (right) of a camera-monitor system for indirec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uck with Enhanced Devices for Indirect Vision.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228000" cy="2345610"/>
                    </a:xfrm>
                    <a:prstGeom prst="rect">
                      <a:avLst/>
                    </a:prstGeom>
                    <a:ln>
                      <a:noFill/>
                    </a:ln>
                    <a:extLst>
                      <a:ext uri="{53640926-AAD7-44D8-BBD7-CCE9431645EC}">
                        <a14:shadowObscured xmlns:a14="http://schemas.microsoft.com/office/drawing/2010/main"/>
                      </a:ext>
                    </a:extLst>
                  </pic:spPr>
                </pic:pic>
              </a:graphicData>
            </a:graphic>
          </wp:inline>
        </w:drawing>
      </w:r>
    </w:p>
    <w:p w14:paraId="16394EED" w14:textId="3BAB3510" w:rsidR="00033B7E" w:rsidRPr="007B6E69" w:rsidRDefault="00A30083" w:rsidP="00A30083">
      <w:pPr>
        <w:pStyle w:val="Caption"/>
      </w:pPr>
      <w:bookmarkStart w:id="24" w:name="_Ref109657179"/>
      <w:bookmarkStart w:id="25" w:name="_Toc135321391"/>
      <w:r w:rsidRPr="007B6E69">
        <w:t xml:space="preserve">Figure </w:t>
      </w:r>
      <w:r w:rsidR="00534814">
        <w:rPr>
          <w:noProof/>
        </w:rPr>
        <w:t>1</w:t>
      </w:r>
      <w:bookmarkEnd w:id="24"/>
      <w:r w:rsidRPr="007B6E69">
        <w:t>:</w:t>
      </w:r>
      <w:r w:rsidR="00033B7E" w:rsidRPr="007B6E69">
        <w:t xml:space="preserve"> An internal monitor (left) and external camera (right) of a camera-monitor system for indirect vision</w:t>
      </w:r>
      <w:r w:rsidR="00033B7E" w:rsidRPr="007B6E69">
        <w:rPr>
          <w:b w:val="0"/>
        </w:rPr>
        <w:t xml:space="preserve"> </w:t>
      </w:r>
      <w:r w:rsidR="00444A2D" w:rsidRPr="007B6E69">
        <w:br/>
      </w:r>
      <w:r w:rsidR="00033B7E" w:rsidRPr="007B6E69">
        <w:t>(source:</w:t>
      </w:r>
      <w:r w:rsidR="00444A2D" w:rsidRPr="007B6E69">
        <w:t xml:space="preserve"> </w:t>
      </w:r>
      <w:r w:rsidR="00033B7E" w:rsidRPr="007B6E69">
        <w:t>supplied by Daimler Truck and Bus Australia Pacific)</w:t>
      </w:r>
      <w:bookmarkEnd w:id="25"/>
    </w:p>
    <w:p w14:paraId="2F958781" w14:textId="77777777" w:rsidR="00033B7E" w:rsidRPr="007B6E69" w:rsidRDefault="00033B7E" w:rsidP="00033B7E">
      <w:r w:rsidRPr="007B6E69">
        <w:t>The EU also allows watching and detection aids (including external elements of blind spot information systems and sensors for automated driving systems) to be excluded from the measurement of the vehicle width and length (EU, 2019), provided:</w:t>
      </w:r>
    </w:p>
    <w:p w14:paraId="167C3C8D" w14:textId="77777777" w:rsidR="00033B7E" w:rsidRPr="007B6E69" w:rsidRDefault="00033B7E" w:rsidP="000F530A">
      <w:pPr>
        <w:pStyle w:val="Bulletdot"/>
      </w:pPr>
      <w:r w:rsidRPr="007B6E69">
        <w:t>•</w:t>
      </w:r>
      <w:r w:rsidRPr="007B6E69">
        <w:tab/>
        <w:t>the total protrusion of the devices added to the width of the vehicle does not exceed 100 mm; and</w:t>
      </w:r>
    </w:p>
    <w:p w14:paraId="372BBB26" w14:textId="77777777" w:rsidR="00033B7E" w:rsidRPr="007B6E69" w:rsidRDefault="00033B7E" w:rsidP="000F530A">
      <w:pPr>
        <w:pStyle w:val="Bulletdot"/>
      </w:pPr>
      <w:r w:rsidRPr="007B6E69">
        <w:t>•</w:t>
      </w:r>
      <w:r w:rsidRPr="007B6E69">
        <w:tab/>
        <w:t>the total protrusion of the devices added to the length of the vehicle does not exceed 250 mm at the front, and 750 mm in total.</w:t>
      </w:r>
    </w:p>
    <w:p w14:paraId="23B7770D" w14:textId="77777777" w:rsidR="00432692" w:rsidRPr="007B6E69" w:rsidRDefault="00432692" w:rsidP="00432692">
      <w:r w:rsidRPr="007B6E69">
        <w:t>In the US, rear view mirrors are excluded from the measurement of vehicle width and length. Cameras for indirect vision, other devices for indirect vision, and blind spot information systems can also be excluded (as non-property carrying devices) from the measurement of vehicle width and length, provided these do not extend more than 3 inches (76 mm) beyond each side or the rear of the vehicle (US Government, 2020).</w:t>
      </w:r>
    </w:p>
    <w:p w14:paraId="505EE3D2" w14:textId="1C2879CF" w:rsidR="00033B7E" w:rsidRPr="007B6E69" w:rsidRDefault="00033B7E" w:rsidP="00432692">
      <w:r w:rsidRPr="007B6E69">
        <w:t xml:space="preserve">In Australia, under the ADR for vehicle configuration and dimensions (ADR 43 / </w:t>
      </w:r>
      <w:r w:rsidR="00FE21EA">
        <w:t>Commonwealth of Australia</w:t>
      </w:r>
      <w:r w:rsidRPr="007B6E69">
        <w:t>, 2016) and the ADR definitions (</w:t>
      </w:r>
      <w:r w:rsidR="00FE21EA">
        <w:t>Commonwealth of Australia</w:t>
      </w:r>
      <w:r w:rsidRPr="007B6E69">
        <w:t>, 202</w:t>
      </w:r>
      <w:r w:rsidR="00FB35E5">
        <w:t>1</w:t>
      </w:r>
      <w:r w:rsidR="001073A1">
        <w:t>b</w:t>
      </w:r>
      <w:r w:rsidRPr="007B6E69">
        <w:t xml:space="preserve">), rear vision mirrors (also referred to in the ADRs as rear-view mirrors) are excluded from the measurement of the vehicle width, but not the length. There are no exclusions for other classes of mirrors for indirect vision (e.g. close proximity and front-view mirrors), cameras for indirect vision, or monitoring devices to detect other road users (i.e. detection aids such as blind spot information systems), from the measurement of vehicle width or length. To fit these devices/systems, manufacturers need to make them fit into the already narrower </w:t>
      </w:r>
      <w:r w:rsidR="00B9347B">
        <w:t>2.50</w:t>
      </w:r>
      <w:r w:rsidR="00E35A93">
        <w:t> </w:t>
      </w:r>
      <w:r w:rsidRPr="007B6E69">
        <w:t xml:space="preserve">m vehicle width envelope for Australia, and/or make the cab or load carrying area of some vehicles shorter than would otherwise be permitted. However, as fitment of blind spot information systems, and close proximity and front-view devices for indirect vision is optional under the ADRs, it can be easier for manufacturers not to fit these, including for many vehicles imported from the EU (where they are standard fitment). </w:t>
      </w:r>
      <w:r w:rsidR="00534814" w:rsidRPr="007B6E69">
        <w:t xml:space="preserve">Figure </w:t>
      </w:r>
      <w:r w:rsidR="00534814">
        <w:rPr>
          <w:noProof/>
        </w:rPr>
        <w:t>2</w:t>
      </w:r>
      <w:r w:rsidRPr="007B6E69">
        <w:t xml:space="preserve"> and </w:t>
      </w:r>
      <w:r w:rsidR="00534814" w:rsidRPr="007B6E69">
        <w:t xml:space="preserve">Figure </w:t>
      </w:r>
      <w:r w:rsidR="00534814">
        <w:rPr>
          <w:noProof/>
        </w:rPr>
        <w:t>3</w:t>
      </w:r>
      <w:r w:rsidR="00F82C1C">
        <w:t xml:space="preserve"> </w:t>
      </w:r>
      <w:r w:rsidRPr="007B6E69">
        <w:t>show the minimum additional field of view provided by close proximity (UN Class V) and front-view (UN Class VI) devices for indirect vision, respectively.</w:t>
      </w:r>
      <w:r w:rsidR="00F52AF4">
        <w:t xml:space="preserve"> </w:t>
      </w:r>
      <w:r w:rsidR="00A92263">
        <w:t xml:space="preserve">Lower fitment of </w:t>
      </w:r>
      <w:r w:rsidR="00A92263" w:rsidRPr="007B6E69">
        <w:t>blind spot information systems, and close proximity and front-view devices for indirect vision</w:t>
      </w:r>
      <w:r w:rsidR="00A268F5">
        <w:t>,</w:t>
      </w:r>
      <w:r w:rsidR="00A92263">
        <w:t xml:space="preserve"> increases the risk of death and injury for other road users, especially bicyclists and pedestrians.</w:t>
      </w:r>
    </w:p>
    <w:p w14:paraId="6356CEAC" w14:textId="77777777" w:rsidR="00033B7E" w:rsidRPr="007B6E69" w:rsidRDefault="003D112A" w:rsidP="00BA1C46">
      <w:pPr>
        <w:keepNext/>
      </w:pPr>
      <w:r w:rsidRPr="007B6E69">
        <w:rPr>
          <w:noProof/>
          <w:lang w:eastAsia="en-AU"/>
        </w:rPr>
        <w:drawing>
          <wp:inline distT="0" distB="0" distL="0" distR="0" wp14:anchorId="4EDBE8F0" wp14:editId="2FD694C5">
            <wp:extent cx="6190976" cy="2235835"/>
            <wp:effectExtent l="0" t="0" r="635" b="0"/>
            <wp:docPr id="2741" name="Picture 2741" descr="Figure 2&#10;&#10;Illustration of the minimum required field of view under UN R46 for a close-proximity view device for indirect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a:stretch/>
                  </pic:blipFill>
                  <pic:spPr bwMode="auto">
                    <a:xfrm>
                      <a:off x="0" y="0"/>
                      <a:ext cx="6192000" cy="2236205"/>
                    </a:xfrm>
                    <a:prstGeom prst="rect">
                      <a:avLst/>
                    </a:prstGeom>
                    <a:noFill/>
                    <a:ln>
                      <a:noFill/>
                    </a:ln>
                    <a:extLst>
                      <a:ext uri="{53640926-AAD7-44D8-BBD7-CCE9431645EC}">
                        <a14:shadowObscured xmlns:a14="http://schemas.microsoft.com/office/drawing/2010/main"/>
                      </a:ext>
                    </a:extLst>
                  </pic:spPr>
                </pic:pic>
              </a:graphicData>
            </a:graphic>
          </wp:inline>
        </w:drawing>
      </w:r>
    </w:p>
    <w:p w14:paraId="14437F18" w14:textId="67F81D84" w:rsidR="00033B7E" w:rsidRPr="007B6E69" w:rsidRDefault="00444A2D" w:rsidP="00444A2D">
      <w:pPr>
        <w:pStyle w:val="Caption"/>
      </w:pPr>
      <w:bookmarkStart w:id="26" w:name="_Ref109657125"/>
      <w:bookmarkStart w:id="27" w:name="_Toc135321392"/>
      <w:r w:rsidRPr="007B6E69">
        <w:t xml:space="preserve">Figure </w:t>
      </w:r>
      <w:r w:rsidR="00534814">
        <w:rPr>
          <w:noProof/>
        </w:rPr>
        <w:t>2</w:t>
      </w:r>
      <w:bookmarkEnd w:id="26"/>
      <w:r w:rsidRPr="007B6E69">
        <w:t xml:space="preserve">: </w:t>
      </w:r>
      <w:r w:rsidR="00033B7E" w:rsidRPr="007B6E69">
        <w:t>Minimum required field of view under UN R46 for a close-proximity view (Class V) device for indirect vision</w:t>
      </w:r>
      <w:r w:rsidRPr="007B6E69">
        <w:br/>
      </w:r>
      <w:r w:rsidR="00033B7E" w:rsidRPr="007B6E69">
        <w:t>(source: adapted (for right-hand-drive) from UN R46)</w:t>
      </w:r>
      <w:bookmarkEnd w:id="27"/>
    </w:p>
    <w:p w14:paraId="7C6F70B1" w14:textId="77777777" w:rsidR="00033B7E" w:rsidRPr="007B6E69" w:rsidRDefault="003D112A" w:rsidP="00BA1C46">
      <w:pPr>
        <w:keepNext/>
      </w:pPr>
      <w:r w:rsidRPr="007B6E69">
        <w:rPr>
          <w:noProof/>
          <w:lang w:eastAsia="en-AU"/>
        </w:rPr>
        <w:drawing>
          <wp:inline distT="0" distB="0" distL="0" distR="0" wp14:anchorId="52E531B5" wp14:editId="0787984E">
            <wp:extent cx="6188710" cy="1971675"/>
            <wp:effectExtent l="0" t="0" r="2540" b="9525"/>
            <wp:docPr id="2740" name="Picture 2740" descr="Figure 3&#10;&#10;Illustration of minimum required field of view under UN R46 for a front-view device for indirec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a:stretch/>
                  </pic:blipFill>
                  <pic:spPr bwMode="auto">
                    <a:xfrm>
                      <a:off x="0" y="0"/>
                      <a:ext cx="6192000" cy="1972723"/>
                    </a:xfrm>
                    <a:prstGeom prst="rect">
                      <a:avLst/>
                    </a:prstGeom>
                    <a:noFill/>
                    <a:ln>
                      <a:noFill/>
                    </a:ln>
                    <a:extLst>
                      <a:ext uri="{53640926-AAD7-44D8-BBD7-CCE9431645EC}">
                        <a14:shadowObscured xmlns:a14="http://schemas.microsoft.com/office/drawing/2010/main"/>
                      </a:ext>
                    </a:extLst>
                  </pic:spPr>
                </pic:pic>
              </a:graphicData>
            </a:graphic>
          </wp:inline>
        </w:drawing>
      </w:r>
    </w:p>
    <w:p w14:paraId="5A432040" w14:textId="72EA1089" w:rsidR="00033B7E" w:rsidRPr="007B6E69" w:rsidRDefault="003D112A" w:rsidP="003D112A">
      <w:pPr>
        <w:pStyle w:val="Caption"/>
        <w:rPr>
          <w:b w:val="0"/>
        </w:rPr>
      </w:pPr>
      <w:bookmarkStart w:id="28" w:name="_Ref109657133"/>
      <w:bookmarkStart w:id="29" w:name="_Toc135321393"/>
      <w:r w:rsidRPr="007B6E69">
        <w:t xml:space="preserve">Figure </w:t>
      </w:r>
      <w:r w:rsidR="00534814">
        <w:rPr>
          <w:noProof/>
        </w:rPr>
        <w:t>3</w:t>
      </w:r>
      <w:bookmarkEnd w:id="28"/>
      <w:r w:rsidRPr="007B6E69">
        <w:t xml:space="preserve">: </w:t>
      </w:r>
      <w:r w:rsidR="00033B7E" w:rsidRPr="007B6E69">
        <w:t xml:space="preserve">Minimum required field of view under UN R46 for a front-view (Class VI) device for indirect vision </w:t>
      </w:r>
      <w:r w:rsidRPr="007B6E69">
        <w:br/>
      </w:r>
      <w:r w:rsidR="00033B7E" w:rsidRPr="007B6E69">
        <w:t>(source: adapted (for right-hand-drive) from UN R46)</w:t>
      </w:r>
      <w:bookmarkEnd w:id="29"/>
    </w:p>
    <w:p w14:paraId="5C390B18" w14:textId="77777777" w:rsidR="00B31B57" w:rsidRPr="007B6E69" w:rsidRDefault="002E23ED" w:rsidP="00B31B57">
      <w:pPr>
        <w:pStyle w:val="Heading2"/>
        <w:ind w:left="0" w:firstLine="0"/>
        <w:rPr>
          <w:lang w:val="en-AU"/>
        </w:rPr>
      </w:pPr>
      <w:bookmarkStart w:id="30" w:name="_Toc143182130"/>
      <w:r>
        <w:rPr>
          <w:lang w:val="en-AU"/>
        </w:rPr>
        <w:t xml:space="preserve">Slow </w:t>
      </w:r>
      <w:r w:rsidR="00732533">
        <w:rPr>
          <w:lang w:val="en-AU"/>
        </w:rPr>
        <w:t>introduction</w:t>
      </w:r>
      <w:r w:rsidR="00B31B57">
        <w:rPr>
          <w:lang w:val="en-AU"/>
        </w:rPr>
        <w:t xml:space="preserve"> of safety systems for </w:t>
      </w:r>
      <w:r w:rsidR="008C56E5">
        <w:rPr>
          <w:lang w:val="en-AU"/>
        </w:rPr>
        <w:t xml:space="preserve">heavy </w:t>
      </w:r>
      <w:r w:rsidR="00B31B57">
        <w:rPr>
          <w:lang w:val="en-AU"/>
        </w:rPr>
        <w:t>freight vehicles</w:t>
      </w:r>
      <w:bookmarkEnd w:id="30"/>
    </w:p>
    <w:p w14:paraId="136B7B60" w14:textId="77777777" w:rsidR="00B31B57" w:rsidRDefault="00B31B57" w:rsidP="00B31B57">
      <w:r>
        <w:t xml:space="preserve">In Australia, the introduction of safety systems or features through </w:t>
      </w:r>
      <w:r w:rsidR="002F3BF4">
        <w:t xml:space="preserve">the </w:t>
      </w:r>
      <w:r>
        <w:t xml:space="preserve">market alone is significantly slower for heavy </w:t>
      </w:r>
      <w:r w:rsidR="001D08B7">
        <w:t xml:space="preserve">goods </w:t>
      </w:r>
      <w:r>
        <w:t xml:space="preserve">vehicles </w:t>
      </w:r>
      <w:r w:rsidR="001D08B7">
        <w:t xml:space="preserve">and trailers, </w:t>
      </w:r>
      <w:r>
        <w:t xml:space="preserve">than it is for light vehicles. A major reason for this is the nature of construction of heavy vehicles. In comparison to light vehicles (for example cars and Sports Utility Vehicles), heavy vehicles are </w:t>
      </w:r>
      <w:r w:rsidR="00AE7680">
        <w:t xml:space="preserve">much </w:t>
      </w:r>
      <w:r>
        <w:t>more likely to be built to order, with engines, drivetrains, suspensions, brakes, axles and safety systems individually specified by the purchasing business. Heavy vehicles constitute a substantial financial investment and are generally configured for business use. Purchasers may in some instances focus primarily on maximising economic productivity rather than on the safety of other road users.</w:t>
      </w:r>
    </w:p>
    <w:p w14:paraId="1D68DBAF" w14:textId="14EBF18E" w:rsidR="00B31B57" w:rsidRDefault="00B31B57" w:rsidP="00B31B57">
      <w:r>
        <w:t xml:space="preserve">A significant number of heavy vehicles are </w:t>
      </w:r>
      <w:r w:rsidR="00AE7680">
        <w:t xml:space="preserve">also </w:t>
      </w:r>
      <w:r>
        <w:t xml:space="preserve">built in Australia </w:t>
      </w:r>
      <w:r w:rsidR="001D08B7">
        <w:t xml:space="preserve">and/or </w:t>
      </w:r>
      <w:r>
        <w:t xml:space="preserve">specifically for the Australian market. </w:t>
      </w:r>
      <w:r w:rsidRPr="00634656">
        <w:t xml:space="preserve">For example, </w:t>
      </w:r>
      <w:r w:rsidR="00694A84">
        <w:t xml:space="preserve">35.1% </w:t>
      </w:r>
      <w:r>
        <w:t xml:space="preserve">of </w:t>
      </w:r>
      <w:r w:rsidR="00694A84">
        <w:t xml:space="preserve">all </w:t>
      </w:r>
      <w:r>
        <w:t xml:space="preserve">heavy trucks </w:t>
      </w:r>
      <w:r w:rsidR="00694A84">
        <w:t xml:space="preserve">sold in Australia in 2020 were </w:t>
      </w:r>
      <w:r>
        <w:t>made locally</w:t>
      </w:r>
      <w:r w:rsidRPr="00634656">
        <w:t xml:space="preserve"> (see </w:t>
      </w:r>
      <w:r w:rsidR="00534814">
        <w:t xml:space="preserve">Figure </w:t>
      </w:r>
      <w:r w:rsidR="00534814">
        <w:rPr>
          <w:noProof/>
        </w:rPr>
        <w:t>4</w:t>
      </w:r>
      <w:r>
        <w:t xml:space="preserve"> below). </w:t>
      </w:r>
      <w:r w:rsidR="00694A84">
        <w:t>Further, many heavy vehicles (including imported vehicles) are supplied as cab-chassis vehicles to be fitted with bodywork (e.g. trays</w:t>
      </w:r>
      <w:r w:rsidR="001D08B7">
        <w:t>, plant, equipment etc.</w:t>
      </w:r>
      <w:r w:rsidR="00694A84">
        <w:t xml:space="preserve">) by domestic body makers/builders. </w:t>
      </w:r>
      <w:r w:rsidRPr="00634656">
        <w:t xml:space="preserve">This means that the regulations of other countries will have a lesser influence on the makeup of the Australian heavy vehicle fleet. In the case of heavy trailers, </w:t>
      </w:r>
      <w:r>
        <w:t xml:space="preserve">of which 90-95% are </w:t>
      </w:r>
      <w:r w:rsidRPr="00634656">
        <w:t xml:space="preserve">designed and built in Australia, </w:t>
      </w:r>
      <w:r w:rsidR="00694A84">
        <w:t>regulations of other countries have</w:t>
      </w:r>
      <w:r w:rsidRPr="00634656">
        <w:t xml:space="preserve"> even less influence on the vehi</w:t>
      </w:r>
      <w:r w:rsidR="0016354D">
        <w:t>cles that end up in the fleet.</w:t>
      </w:r>
    </w:p>
    <w:p w14:paraId="5AC078D4" w14:textId="77777777" w:rsidR="00B31B57" w:rsidRDefault="00B31B57" w:rsidP="00B31B57">
      <w:pPr>
        <w:keepNext/>
      </w:pPr>
      <w:r>
        <w:rPr>
          <w:noProof/>
          <w:lang w:eastAsia="en-AU"/>
        </w:rPr>
        <w:drawing>
          <wp:inline distT="0" distB="0" distL="0" distR="0" wp14:anchorId="579B7E9F" wp14:editId="4B0E69CC">
            <wp:extent cx="6228000" cy="2362169"/>
            <wp:effectExtent l="0" t="0" r="1905" b="635"/>
            <wp:docPr id="6" name="Picture 6" descr="Figure 4&#10;&#10;Pie charts of medium and heavy truck sales by country/region of 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vy Truck Sales in Australia by Origin.jpg"/>
                    <pic:cNvPicPr/>
                  </pic:nvPicPr>
                  <pic:blipFill>
                    <a:blip r:embed="rId28">
                      <a:extLst>
                        <a:ext uri="{28A0092B-C50C-407E-A947-70E740481C1C}">
                          <a14:useLocalDpi xmlns:a14="http://schemas.microsoft.com/office/drawing/2010/main" val="0"/>
                        </a:ext>
                      </a:extLst>
                    </a:blip>
                    <a:stretch>
                      <a:fillRect/>
                    </a:stretch>
                  </pic:blipFill>
                  <pic:spPr>
                    <a:xfrm>
                      <a:off x="0" y="0"/>
                      <a:ext cx="6228000" cy="2362169"/>
                    </a:xfrm>
                    <a:prstGeom prst="rect">
                      <a:avLst/>
                    </a:prstGeom>
                  </pic:spPr>
                </pic:pic>
              </a:graphicData>
            </a:graphic>
          </wp:inline>
        </w:drawing>
      </w:r>
    </w:p>
    <w:p w14:paraId="24E835F5" w14:textId="70E04F03" w:rsidR="00B31B57" w:rsidRDefault="00B31B57" w:rsidP="00B31B57">
      <w:pPr>
        <w:pStyle w:val="Caption"/>
      </w:pPr>
      <w:bookmarkStart w:id="31" w:name="_Ref56613593"/>
      <w:bookmarkStart w:id="32" w:name="_Toc135321394"/>
      <w:r>
        <w:t xml:space="preserve">Figure </w:t>
      </w:r>
      <w:r w:rsidR="00534814">
        <w:rPr>
          <w:noProof/>
        </w:rPr>
        <w:t>4</w:t>
      </w:r>
      <w:bookmarkEnd w:id="31"/>
      <w:r>
        <w:t>: Truck sales in Australia (2020) by c</w:t>
      </w:r>
      <w:r w:rsidRPr="003A72A1">
        <w:t>ountry/</w:t>
      </w:r>
      <w:r>
        <w:t>region of m</w:t>
      </w:r>
      <w:r w:rsidRPr="003A72A1">
        <w:t xml:space="preserve">anufacture (source: </w:t>
      </w:r>
      <w:r>
        <w:t xml:space="preserve">supplied by the </w:t>
      </w:r>
      <w:r w:rsidRPr="003A72A1">
        <w:t>T</w:t>
      </w:r>
      <w:r>
        <w:t>ruck Industry Council</w:t>
      </w:r>
      <w:r w:rsidRPr="003A72A1">
        <w:t>)</w:t>
      </w:r>
      <w:bookmarkEnd w:id="32"/>
    </w:p>
    <w:p w14:paraId="7B6AC2C7" w14:textId="77777777" w:rsidR="005149E2" w:rsidRPr="005149E2" w:rsidRDefault="005149E2" w:rsidP="005149E2"/>
    <w:p w14:paraId="49BF5723" w14:textId="77777777" w:rsidR="00B31B57" w:rsidRPr="00B31B57" w:rsidRDefault="00B31B57" w:rsidP="00B31B57">
      <w:pPr>
        <w:sectPr w:rsidR="00B31B57" w:rsidRPr="00B31B57" w:rsidSect="00D87AD8">
          <w:pgSz w:w="11906" w:h="16838" w:code="9"/>
          <w:pgMar w:top="1021" w:right="1021" w:bottom="1021" w:left="1021" w:header="510" w:footer="567" w:gutter="0"/>
          <w:cols w:space="708"/>
          <w:docGrid w:linePitch="360"/>
        </w:sectPr>
      </w:pPr>
    </w:p>
    <w:p w14:paraId="4C7EA385" w14:textId="77777777" w:rsidR="00044540" w:rsidRPr="007B6E69" w:rsidRDefault="00044540" w:rsidP="00E13D3A">
      <w:pPr>
        <w:pStyle w:val="Heading1"/>
      </w:pPr>
      <w:bookmarkStart w:id="33" w:name="_Toc111576722"/>
      <w:bookmarkStart w:id="34" w:name="_Toc143182131"/>
      <w:r w:rsidRPr="007B6E69">
        <w:t xml:space="preserve">Chapter </w:t>
      </w:r>
      <w:r w:rsidR="005C72E8" w:rsidRPr="007B6E69">
        <w:t>3</w:t>
      </w:r>
      <w:r w:rsidRPr="007B6E69">
        <w:t>: Why is government action needed?</w:t>
      </w:r>
      <w:bookmarkEnd w:id="33"/>
      <w:bookmarkEnd w:id="34"/>
    </w:p>
    <w:p w14:paraId="3153FBEF" w14:textId="77777777" w:rsidR="0016354D" w:rsidRDefault="004E115A" w:rsidP="00732533">
      <w:r w:rsidRPr="007B6E69">
        <w:t xml:space="preserve">Government action may be needed where </w:t>
      </w:r>
      <w:r w:rsidR="00D93806" w:rsidRPr="007B6E69">
        <w:t xml:space="preserve">the market </w:t>
      </w:r>
      <w:r w:rsidR="00D93806">
        <w:t xml:space="preserve">and/or </w:t>
      </w:r>
      <w:r w:rsidR="00FD7E11" w:rsidRPr="007B6E69">
        <w:t>existing government policies</w:t>
      </w:r>
      <w:r w:rsidR="002F3806">
        <w:t xml:space="preserve"> or </w:t>
      </w:r>
      <w:r w:rsidR="00FD7E11" w:rsidRPr="007B6E69">
        <w:t>regulations</w:t>
      </w:r>
      <w:r w:rsidR="00D93806">
        <w:t xml:space="preserve"> </w:t>
      </w:r>
      <w:r w:rsidRPr="007B6E69">
        <w:t xml:space="preserve">fail to </w:t>
      </w:r>
      <w:r w:rsidR="00F268D1" w:rsidRPr="007B6E69">
        <w:t>deliver</w:t>
      </w:r>
      <w:r w:rsidRPr="007B6E69">
        <w:t xml:space="preserve"> the most efficient and effective outcome(s).</w:t>
      </w:r>
      <w:r w:rsidR="00AF21C4" w:rsidRPr="007B6E69">
        <w:t xml:space="preserve"> </w:t>
      </w:r>
      <w:r w:rsidR="00D93806">
        <w:t xml:space="preserve">This </w:t>
      </w:r>
      <w:r w:rsidR="00C45600">
        <w:t>IA</w:t>
      </w:r>
      <w:r w:rsidR="00D93806">
        <w:t xml:space="preserve"> focusses on addressing two problems identified as limiting the </w:t>
      </w:r>
      <w:r w:rsidR="002F3806">
        <w:br/>
      </w:r>
      <w:r w:rsidR="00D93806">
        <w:t xml:space="preserve">take-up of safer heavy vehicles in the Australian market. The first problem is that there are </w:t>
      </w:r>
      <w:r w:rsidR="00E3235F" w:rsidRPr="007B6E69">
        <w:t xml:space="preserve">some requirements in the </w:t>
      </w:r>
      <w:r w:rsidR="00C10B15">
        <w:t xml:space="preserve">current </w:t>
      </w:r>
      <w:r w:rsidR="00E3235F" w:rsidRPr="007B6E69">
        <w:t>ADRs</w:t>
      </w:r>
      <w:r w:rsidR="00667FE5" w:rsidRPr="007B6E69">
        <w:t xml:space="preserve"> </w:t>
      </w:r>
      <w:r w:rsidR="00D93806">
        <w:t xml:space="preserve">that </w:t>
      </w:r>
      <w:r w:rsidR="00667FE5" w:rsidRPr="007B6E69">
        <w:t xml:space="preserve">can make it more difficult and </w:t>
      </w:r>
      <w:r w:rsidR="00800B2A" w:rsidRPr="007B6E69">
        <w:t>costlier</w:t>
      </w:r>
      <w:r w:rsidR="00667FE5" w:rsidRPr="007B6E69">
        <w:t xml:space="preserve"> for manufacturers to supply </w:t>
      </w:r>
      <w:r w:rsidR="00E3235F" w:rsidRPr="007B6E69">
        <w:t xml:space="preserve">heavy </w:t>
      </w:r>
      <w:r w:rsidR="00667FE5" w:rsidRPr="007B6E69">
        <w:t xml:space="preserve">vehicles fitted with </w:t>
      </w:r>
      <w:r w:rsidR="00732533">
        <w:t>the latest</w:t>
      </w:r>
      <w:r w:rsidR="00667FE5" w:rsidRPr="007B6E69">
        <w:t xml:space="preserve"> safety </w:t>
      </w:r>
      <w:r w:rsidR="002F3806">
        <w:t>systems or</w:t>
      </w:r>
      <w:r w:rsidR="00732533">
        <w:t xml:space="preserve"> </w:t>
      </w:r>
      <w:r w:rsidR="008C56E5">
        <w:t>features</w:t>
      </w:r>
      <w:r w:rsidR="00732533">
        <w:t xml:space="preserve"> (as well as </w:t>
      </w:r>
      <w:r w:rsidR="00667FE5" w:rsidRPr="007B6E69">
        <w:t>cleaner engines</w:t>
      </w:r>
      <w:r w:rsidR="00E3235F" w:rsidRPr="007B6E69">
        <w:t xml:space="preserve"> and/or more productive design features</w:t>
      </w:r>
      <w:r w:rsidR="00732533">
        <w:t>)</w:t>
      </w:r>
      <w:r w:rsidR="00E3235F" w:rsidRPr="007B6E69">
        <w:t>.</w:t>
      </w:r>
      <w:r w:rsidR="00762872" w:rsidRPr="007B6E69">
        <w:t xml:space="preserve"> </w:t>
      </w:r>
      <w:r w:rsidR="00CE6DB9" w:rsidRPr="007B6E69">
        <w:t>The most significant of these is</w:t>
      </w:r>
      <w:r w:rsidR="007C7262" w:rsidRPr="007B6E69">
        <w:t xml:space="preserve"> t</w:t>
      </w:r>
      <w:r w:rsidR="00762872" w:rsidRPr="007B6E69">
        <w:t xml:space="preserve">he current vehicle width limit of </w:t>
      </w:r>
      <w:r w:rsidR="00B9347B">
        <w:t>2.50</w:t>
      </w:r>
      <w:r w:rsidR="009F70C3">
        <w:t xml:space="preserve"> </w:t>
      </w:r>
      <w:r w:rsidR="00762872" w:rsidRPr="007B6E69">
        <w:t>m</w:t>
      </w:r>
      <w:r w:rsidR="00CE6DB9" w:rsidRPr="007B6E69">
        <w:t>, which</w:t>
      </w:r>
      <w:r w:rsidR="00762872" w:rsidRPr="007B6E69">
        <w:t xml:space="preserve"> adds costs and slows development of </w:t>
      </w:r>
      <w:r w:rsidR="00F70CA8" w:rsidRPr="007B6E69">
        <w:t xml:space="preserve">some models of heavy </w:t>
      </w:r>
      <w:r w:rsidR="00CE6DB9" w:rsidRPr="007B6E69">
        <w:t>vehicles</w:t>
      </w:r>
      <w:r w:rsidR="00F70CA8" w:rsidRPr="007B6E69">
        <w:t xml:space="preserve"> for the Australian market</w:t>
      </w:r>
      <w:r w:rsidR="00800B2A" w:rsidRPr="007B6E69">
        <w:t xml:space="preserve">, </w:t>
      </w:r>
      <w:r w:rsidR="003176CC" w:rsidRPr="007B6E69">
        <w:t>while also</w:t>
      </w:r>
      <w:r w:rsidR="00800B2A" w:rsidRPr="007B6E69">
        <w:t xml:space="preserve"> </w:t>
      </w:r>
      <w:r w:rsidR="00CE6DB9" w:rsidRPr="007B6E69">
        <w:t>limit</w:t>
      </w:r>
      <w:r w:rsidR="003176CC" w:rsidRPr="007B6E69">
        <w:t xml:space="preserve">ing </w:t>
      </w:r>
      <w:r w:rsidR="007C7262" w:rsidRPr="007B6E69">
        <w:t xml:space="preserve">productivity </w:t>
      </w:r>
      <w:r w:rsidR="00800B2A" w:rsidRPr="007B6E69">
        <w:t xml:space="preserve">for some sectors of the </w:t>
      </w:r>
      <w:r w:rsidR="004C40D8">
        <w:t xml:space="preserve">road </w:t>
      </w:r>
      <w:r w:rsidR="00B94B4E">
        <w:t>freight</w:t>
      </w:r>
      <w:r w:rsidR="00800B2A" w:rsidRPr="007B6E69">
        <w:t xml:space="preserve"> industry </w:t>
      </w:r>
      <w:r w:rsidR="00704593">
        <w:br/>
      </w:r>
      <w:r w:rsidR="00CE6DB9" w:rsidRPr="007B6E69">
        <w:t xml:space="preserve">(e.g. </w:t>
      </w:r>
      <w:r w:rsidR="007C7262" w:rsidRPr="007B6E69">
        <w:t>through non-standardised load sizes, reduced thermal efficiency of refrigerated bodywork</w:t>
      </w:r>
      <w:r w:rsidR="00D27C4C">
        <w:t xml:space="preserve"> etc.</w:t>
      </w:r>
      <w:r w:rsidR="00CE6DB9" w:rsidRPr="007B6E69">
        <w:t>)</w:t>
      </w:r>
      <w:r w:rsidR="007C7262" w:rsidRPr="007B6E69">
        <w:t>.</w:t>
      </w:r>
      <w:r w:rsidR="00B364B9">
        <w:t xml:space="preserve"> </w:t>
      </w:r>
      <w:r w:rsidR="00B364B9" w:rsidRPr="007B6E69">
        <w:t xml:space="preserve">The supply of safer heavy vehicles is further restricted by the absence </w:t>
      </w:r>
      <w:r w:rsidR="00B364B9">
        <w:t xml:space="preserve">in the ADRs </w:t>
      </w:r>
      <w:r w:rsidR="00B364B9" w:rsidRPr="007B6E69">
        <w:t>of exclusions for various types of devices for indirect vision (i.e. mirrors and cameras) and blind spot information systems (e.g. for the detection of vehicles, bicyclists and/or pedestrians) from the measurement of vehicle width and/or length.</w:t>
      </w:r>
      <w:r w:rsidR="0016354D">
        <w:t xml:space="preserve"> </w:t>
      </w:r>
      <w:r w:rsidR="00D93806">
        <w:t xml:space="preserve">The second problem is </w:t>
      </w:r>
      <w:r w:rsidR="002F3806">
        <w:t>the</w:t>
      </w:r>
      <w:r w:rsidR="00732533">
        <w:t xml:space="preserve"> </w:t>
      </w:r>
      <w:r w:rsidR="002F3806">
        <w:t xml:space="preserve">relatively </w:t>
      </w:r>
      <w:r w:rsidR="00732533">
        <w:t xml:space="preserve">slow introduction of safety systems </w:t>
      </w:r>
      <w:r w:rsidR="002F3806">
        <w:t xml:space="preserve">or </w:t>
      </w:r>
      <w:r w:rsidR="008C56E5">
        <w:t>features</w:t>
      </w:r>
      <w:r w:rsidR="002F3806">
        <w:t xml:space="preserve"> </w:t>
      </w:r>
      <w:r w:rsidR="00732533">
        <w:t xml:space="preserve">for heavy </w:t>
      </w:r>
      <w:r w:rsidR="00712F5A">
        <w:t>goods</w:t>
      </w:r>
      <w:r w:rsidR="00732533">
        <w:t xml:space="preserve"> vehicles</w:t>
      </w:r>
      <w:r w:rsidR="002F3806">
        <w:t xml:space="preserve"> </w:t>
      </w:r>
      <w:r w:rsidR="00712F5A">
        <w:t xml:space="preserve">and trailers </w:t>
      </w:r>
      <w:r w:rsidR="002F3806">
        <w:t>in Australia</w:t>
      </w:r>
      <w:r w:rsidR="00694A84">
        <w:t>, which</w:t>
      </w:r>
      <w:r w:rsidR="00030207">
        <w:t xml:space="preserve"> </w:t>
      </w:r>
      <w:r w:rsidR="0016354D">
        <w:t xml:space="preserve">cannot be </w:t>
      </w:r>
      <w:r w:rsidR="00050051">
        <w:t xml:space="preserve">fully </w:t>
      </w:r>
      <w:r w:rsidR="0016354D">
        <w:t xml:space="preserve">addressed through the removal of regulatory barriers alone, and </w:t>
      </w:r>
      <w:r w:rsidR="0016354D" w:rsidRPr="00634656">
        <w:t xml:space="preserve">will </w:t>
      </w:r>
      <w:r w:rsidR="006D4F83">
        <w:t>persist</w:t>
      </w:r>
      <w:r w:rsidR="0016354D" w:rsidRPr="00634656">
        <w:t xml:space="preserve"> without some sort of market intervention.</w:t>
      </w:r>
      <w:r w:rsidR="00AC0FB3">
        <w:t xml:space="preserve"> </w:t>
      </w:r>
      <w:r w:rsidR="00C22FCA">
        <w:t xml:space="preserve">The overall objective of the government actions considered in this IA is to </w:t>
      </w:r>
      <w:r w:rsidR="006A4731">
        <w:t xml:space="preserve">achieve a better outcome, by </w:t>
      </w:r>
      <w:r w:rsidR="00C22FCA">
        <w:t>increas</w:t>
      </w:r>
      <w:r w:rsidR="006A4731">
        <w:t>ing</w:t>
      </w:r>
      <w:r w:rsidR="00C22FCA">
        <w:t xml:space="preserve"> the take-up of safer freight vehicles through the implementation of policies to address both the problems identified above.</w:t>
      </w:r>
    </w:p>
    <w:p w14:paraId="7DF4D8C3" w14:textId="77777777" w:rsidR="00C10B15" w:rsidRPr="00A67BEA" w:rsidRDefault="00C10B15" w:rsidP="00B31B57">
      <w:r w:rsidRPr="00C10B15">
        <w:t xml:space="preserve">Vehicle </w:t>
      </w:r>
      <w:r>
        <w:t>dimension</w:t>
      </w:r>
      <w:r w:rsidR="00662BAD">
        <w:t xml:space="preserve">s are regulated in Australia and other countries to </w:t>
      </w:r>
      <w:r w:rsidRPr="00C10B15">
        <w:t xml:space="preserve">ensure vehicles can travel safely on </w:t>
      </w:r>
      <w:r w:rsidR="006E2E0E">
        <w:t xml:space="preserve">the </w:t>
      </w:r>
      <w:r w:rsidRPr="00C10B15">
        <w:t xml:space="preserve">road network, without colliding with other vehicles, vulnerable road users, or roadside infrastructure. Other dimensional and vehicle mass limits exist to manage wear and tear on roads and bridges. </w:t>
      </w:r>
      <w:r w:rsidR="00662BAD">
        <w:t>However, the c</w:t>
      </w:r>
      <w:r w:rsidRPr="00C10B15">
        <w:t xml:space="preserve">urrent vehicle </w:t>
      </w:r>
      <w:r w:rsidR="00662BAD">
        <w:t xml:space="preserve">width limit of </w:t>
      </w:r>
      <w:r w:rsidR="00B9347B">
        <w:t>2.50</w:t>
      </w:r>
      <w:r w:rsidR="00173E70">
        <w:t> </w:t>
      </w:r>
      <w:r w:rsidR="00DB7552">
        <w:t xml:space="preserve">m </w:t>
      </w:r>
      <w:r w:rsidR="00662BAD">
        <w:t>in Australia</w:t>
      </w:r>
      <w:r w:rsidR="00A67BEA">
        <w:t>, which is narrower than both the EU and the US,</w:t>
      </w:r>
      <w:r w:rsidR="00662BAD">
        <w:t xml:space="preserve"> </w:t>
      </w:r>
      <w:r w:rsidR="00A67BEA">
        <w:t>wa</w:t>
      </w:r>
      <w:r w:rsidR="00662BAD">
        <w:t xml:space="preserve">s </w:t>
      </w:r>
      <w:r w:rsidRPr="00C10B15">
        <w:t xml:space="preserve">established when safety technologies and road infrastructure were </w:t>
      </w:r>
      <w:r w:rsidR="00A67BEA">
        <w:t xml:space="preserve">much </w:t>
      </w:r>
      <w:r w:rsidRPr="00C10B15">
        <w:t>less developed.</w:t>
      </w:r>
      <w:r w:rsidR="00A67BEA">
        <w:t xml:space="preserve"> Other overall vehicle dimensional limits and combination limits in Australia, including height and length, are </w:t>
      </w:r>
      <w:r w:rsidR="006E2E0E">
        <w:t xml:space="preserve">generally </w:t>
      </w:r>
      <w:r w:rsidR="00A67BEA">
        <w:t xml:space="preserve">much more favourable for heavy vehicle manufacturers </w:t>
      </w:r>
      <w:r w:rsidR="00DB7552">
        <w:t xml:space="preserve">and operators than those in </w:t>
      </w:r>
      <w:r w:rsidR="006E2E0E">
        <w:t>overseas</w:t>
      </w:r>
      <w:r w:rsidR="00DB7552">
        <w:t xml:space="preserve"> markets.</w:t>
      </w:r>
    </w:p>
    <w:p w14:paraId="352CA1FC" w14:textId="77777777" w:rsidR="00400C38" w:rsidRPr="007B6E69" w:rsidRDefault="00400C38" w:rsidP="00D96A35"/>
    <w:p w14:paraId="0C4EFED1" w14:textId="77777777" w:rsidR="00D66300" w:rsidRPr="007B6E69" w:rsidRDefault="00D66300" w:rsidP="00D96A35">
      <w:pPr>
        <w:sectPr w:rsidR="00D66300" w:rsidRPr="007B6E69" w:rsidSect="00D87AD8">
          <w:pgSz w:w="11906" w:h="16838" w:code="9"/>
          <w:pgMar w:top="1021" w:right="1021" w:bottom="1021" w:left="1021" w:header="510" w:footer="567" w:gutter="0"/>
          <w:cols w:space="708"/>
          <w:docGrid w:linePitch="360"/>
        </w:sectPr>
      </w:pPr>
    </w:p>
    <w:p w14:paraId="4D92493A" w14:textId="77777777" w:rsidR="00044540" w:rsidRPr="007B6E69" w:rsidRDefault="00044540" w:rsidP="00E13D3A">
      <w:pPr>
        <w:pStyle w:val="Heading1"/>
      </w:pPr>
      <w:bookmarkStart w:id="35" w:name="_Toc111576723"/>
      <w:bookmarkStart w:id="36" w:name="_Toc143182132"/>
      <w:r w:rsidRPr="007B6E69">
        <w:t xml:space="preserve">Chapter </w:t>
      </w:r>
      <w:r w:rsidR="005C72E8" w:rsidRPr="007B6E69">
        <w:t>4</w:t>
      </w:r>
      <w:r w:rsidRPr="007B6E69">
        <w:t xml:space="preserve">: </w:t>
      </w:r>
      <w:r w:rsidR="002218D5" w:rsidRPr="007B6E69">
        <w:t>P</w:t>
      </w:r>
      <w:r w:rsidRPr="007B6E69">
        <w:t>olicy options considered</w:t>
      </w:r>
      <w:bookmarkEnd w:id="35"/>
      <w:bookmarkEnd w:id="36"/>
    </w:p>
    <w:p w14:paraId="001023D8" w14:textId="77777777" w:rsidR="00B14405" w:rsidRDefault="00BC70A9" w:rsidP="005B758B">
      <w:r>
        <w:t xml:space="preserve">In preparing this </w:t>
      </w:r>
      <w:r w:rsidR="00C45600">
        <w:t>IA</w:t>
      </w:r>
      <w:r>
        <w:t xml:space="preserve">, the </w:t>
      </w:r>
      <w:r w:rsidR="00B9347B">
        <w:t>d</w:t>
      </w:r>
      <w:r>
        <w:t xml:space="preserve">epartment considered </w:t>
      </w:r>
      <w:r w:rsidR="003F554A">
        <w:t xml:space="preserve">several </w:t>
      </w:r>
      <w:r w:rsidR="00B14405">
        <w:t>policy</w:t>
      </w:r>
      <w:r w:rsidR="00B14405" w:rsidRPr="00B14405">
        <w:t xml:space="preserve"> options </w:t>
      </w:r>
      <w:r w:rsidR="007A3FD2">
        <w:t>to increase the take up of safer heavy</w:t>
      </w:r>
      <w:r w:rsidR="00B14405">
        <w:t xml:space="preserve"> freight vehicles</w:t>
      </w:r>
      <w:r w:rsidR="007A3FD2">
        <w:t xml:space="preserve"> in Australia, including </w:t>
      </w:r>
      <w:r w:rsidR="005B758B">
        <w:t>vehicles with enhanced devices for indirect vision and/or monitoring devices to detect other road users, and safer wider vehicles</w:t>
      </w:r>
      <w:r w:rsidR="00950E38">
        <w:t xml:space="preserve">. </w:t>
      </w:r>
      <w:r w:rsidR="00B14405" w:rsidRPr="00B14405">
        <w:t>These include</w:t>
      </w:r>
      <w:r>
        <w:t xml:space="preserve"> a</w:t>
      </w:r>
      <w:r w:rsidR="00B14405" w:rsidRPr="00B14405">
        <w:t xml:space="preserve"> non-regulatory </w:t>
      </w:r>
      <w:r>
        <w:t>option</w:t>
      </w:r>
      <w:r w:rsidR="00B14405" w:rsidRPr="00B14405">
        <w:t xml:space="preserve">, </w:t>
      </w:r>
      <w:r w:rsidR="00950E38">
        <w:t>as</w:t>
      </w:r>
      <w:r w:rsidR="00B14405" w:rsidRPr="00B14405">
        <w:t xml:space="preserve"> well as regulation through the ADRs under the RVSA.</w:t>
      </w:r>
    </w:p>
    <w:p w14:paraId="063BCCEB" w14:textId="77777777" w:rsidR="00AF3413" w:rsidRPr="007B6E69" w:rsidRDefault="00AF3413" w:rsidP="00E13D3A">
      <w:pPr>
        <w:pStyle w:val="Heading2"/>
        <w:rPr>
          <w:lang w:val="en-AU"/>
        </w:rPr>
      </w:pPr>
      <w:bookmarkStart w:id="37" w:name="_Toc143182133"/>
      <w:r w:rsidRPr="007B6E69">
        <w:rPr>
          <w:lang w:val="en-AU"/>
        </w:rPr>
        <w:t>Summary of options</w:t>
      </w:r>
      <w:bookmarkEnd w:id="37"/>
    </w:p>
    <w:p w14:paraId="3F3116BC" w14:textId="77777777" w:rsidR="00AF3413" w:rsidRPr="00C97821" w:rsidRDefault="000910B7" w:rsidP="00C97821">
      <w:pPr>
        <w:spacing w:before="240" w:after="160"/>
        <w:rPr>
          <w:b/>
          <w:sz w:val="22"/>
        </w:rPr>
      </w:pPr>
      <w:r w:rsidRPr="00C97821">
        <w:rPr>
          <w:b/>
          <w:sz w:val="22"/>
        </w:rPr>
        <w:t xml:space="preserve">Non-regulatory </w:t>
      </w:r>
      <w:r w:rsidR="00FB0A25" w:rsidRPr="00C97821">
        <w:rPr>
          <w:b/>
          <w:sz w:val="22"/>
        </w:rPr>
        <w:t>o</w:t>
      </w:r>
      <w:r w:rsidRPr="00C97821">
        <w:rPr>
          <w:b/>
          <w:sz w:val="22"/>
        </w:rPr>
        <w:t>ptions</w:t>
      </w:r>
    </w:p>
    <w:p w14:paraId="5941F6BE" w14:textId="77777777" w:rsidR="000910B7" w:rsidRPr="007B6E69" w:rsidRDefault="000910B7" w:rsidP="00B3083D">
      <w:pPr>
        <w:ind w:left="5040" w:hanging="5040"/>
      </w:pPr>
      <w:r w:rsidRPr="007B6E69">
        <w:t xml:space="preserve">Option 1: </w:t>
      </w:r>
      <w:r w:rsidR="00F70728">
        <w:t>N</w:t>
      </w:r>
      <w:r w:rsidRPr="007B6E69">
        <w:t xml:space="preserve">o </w:t>
      </w:r>
      <w:r w:rsidR="00FB0A25">
        <w:t>i</w:t>
      </w:r>
      <w:r w:rsidRPr="007B6E69">
        <w:t>ntervention</w:t>
      </w:r>
      <w:r w:rsidRPr="007B6E69">
        <w:tab/>
      </w:r>
      <w:r w:rsidR="00323DD4">
        <w:t xml:space="preserve">Repeal the current requirements for vehicle dimensions (i.e. width, length, </w:t>
      </w:r>
      <w:r w:rsidR="00950E38">
        <w:t xml:space="preserve">and </w:t>
      </w:r>
      <w:r w:rsidR="00323DD4">
        <w:t xml:space="preserve">height) and </w:t>
      </w:r>
      <w:r w:rsidR="004E10E4">
        <w:t>allow vehicle manufacturers to provide solutions to meet market</w:t>
      </w:r>
      <w:r w:rsidR="00C15309">
        <w:t xml:space="preserve"> demand</w:t>
      </w:r>
      <w:r w:rsidRPr="007B6E69">
        <w:t>.</w:t>
      </w:r>
    </w:p>
    <w:p w14:paraId="52A3B37C" w14:textId="77777777" w:rsidR="006A7209" w:rsidRPr="00C97821" w:rsidRDefault="00812B5E" w:rsidP="00C97821">
      <w:pPr>
        <w:spacing w:before="240" w:after="160"/>
        <w:rPr>
          <w:b/>
          <w:sz w:val="22"/>
        </w:rPr>
      </w:pPr>
      <w:r w:rsidRPr="00C97821">
        <w:rPr>
          <w:b/>
          <w:sz w:val="22"/>
        </w:rPr>
        <w:t xml:space="preserve">Regulatory </w:t>
      </w:r>
      <w:r w:rsidR="00FB0A25" w:rsidRPr="00C97821">
        <w:rPr>
          <w:b/>
          <w:sz w:val="22"/>
        </w:rPr>
        <w:t>o</w:t>
      </w:r>
      <w:r w:rsidRPr="00C97821">
        <w:rPr>
          <w:b/>
          <w:sz w:val="22"/>
        </w:rPr>
        <w:t>ptions</w:t>
      </w:r>
    </w:p>
    <w:p w14:paraId="6D297B6E" w14:textId="77777777" w:rsidR="00F70728" w:rsidRDefault="00F70728" w:rsidP="004363D2">
      <w:pPr>
        <w:ind w:left="5040" w:hanging="5040"/>
      </w:pPr>
      <w:r w:rsidRPr="007B6E69">
        <w:t xml:space="preserve">Option </w:t>
      </w:r>
      <w:r>
        <w:t>2</w:t>
      </w:r>
      <w:r w:rsidRPr="007B6E69">
        <w:t xml:space="preserve">: </w:t>
      </w:r>
      <w:r w:rsidRPr="00F70728">
        <w:t xml:space="preserve">Retain </w:t>
      </w:r>
      <w:r w:rsidR="00FB0A25">
        <w:t>e</w:t>
      </w:r>
      <w:r w:rsidRPr="00F70728">
        <w:t xml:space="preserve">xisting </w:t>
      </w:r>
      <w:r w:rsidR="00FB0A25">
        <w:t>s</w:t>
      </w:r>
      <w:r w:rsidRPr="00F70728">
        <w:t>tandards</w:t>
      </w:r>
      <w:r w:rsidRPr="007B6E69">
        <w:t xml:space="preserve"> (</w:t>
      </w:r>
      <w:r w:rsidR="00FB0A25">
        <w:t>b</w:t>
      </w:r>
      <w:r w:rsidR="003D39A1">
        <w:t xml:space="preserve">usiness as </w:t>
      </w:r>
      <w:r w:rsidR="00FB0A25">
        <w:t>u</w:t>
      </w:r>
      <w:r w:rsidR="003D39A1">
        <w:t>sual</w:t>
      </w:r>
      <w:r w:rsidRPr="007B6E69">
        <w:t>)</w:t>
      </w:r>
      <w:r w:rsidRPr="007B6E69">
        <w:tab/>
      </w:r>
      <w:r>
        <w:t>Retain the existing requirements for vehicle dimensions through the ADRs under the RVSA</w:t>
      </w:r>
    </w:p>
    <w:p w14:paraId="6B710D90" w14:textId="77777777" w:rsidR="00337B6B" w:rsidRPr="007B6E69" w:rsidRDefault="00337B6B" w:rsidP="004363D2">
      <w:pPr>
        <w:ind w:left="5040" w:hanging="5040"/>
      </w:pPr>
      <w:r w:rsidRPr="007B6E69">
        <w:t xml:space="preserve">Option </w:t>
      </w:r>
      <w:r w:rsidR="00F70728">
        <w:t>3</w:t>
      </w:r>
      <w:r w:rsidRPr="007B6E69">
        <w:t xml:space="preserve">: </w:t>
      </w:r>
      <w:r w:rsidR="00877803">
        <w:t xml:space="preserve">Implement </w:t>
      </w:r>
      <w:r w:rsidR="00FB0A25">
        <w:t>u</w:t>
      </w:r>
      <w:r w:rsidR="00F70728" w:rsidRPr="00F70728">
        <w:t>pdate</w:t>
      </w:r>
      <w:r w:rsidR="00877803">
        <w:t>d</w:t>
      </w:r>
      <w:r w:rsidR="00F70728" w:rsidRPr="00F70728">
        <w:t xml:space="preserve"> </w:t>
      </w:r>
      <w:r w:rsidR="00FB0A25">
        <w:t>s</w:t>
      </w:r>
      <w:r w:rsidR="00F70728" w:rsidRPr="00F70728">
        <w:t>tandards</w:t>
      </w:r>
      <w:r w:rsidRPr="007B6E69">
        <w:tab/>
      </w:r>
      <w:r w:rsidR="0026262B">
        <w:t xml:space="preserve">Implement </w:t>
      </w:r>
      <w:r w:rsidR="00F70728">
        <w:t xml:space="preserve">updated </w:t>
      </w:r>
      <w:r w:rsidR="00BC70A9">
        <w:t xml:space="preserve">requirements for vehicle dimensions through the ADRs under the RVSA </w:t>
      </w:r>
    </w:p>
    <w:p w14:paraId="6B224F03" w14:textId="77777777" w:rsidR="00AF3413" w:rsidRPr="007B6E69" w:rsidRDefault="00AF3413" w:rsidP="00E13D3A">
      <w:pPr>
        <w:pStyle w:val="Heading2"/>
        <w:rPr>
          <w:lang w:val="en-AU"/>
        </w:rPr>
      </w:pPr>
      <w:bookmarkStart w:id="38" w:name="_Toc143182134"/>
      <w:r w:rsidRPr="007B6E69">
        <w:rPr>
          <w:lang w:val="en-AU"/>
        </w:rPr>
        <w:t>Discussion of options</w:t>
      </w:r>
      <w:bookmarkEnd w:id="38"/>
    </w:p>
    <w:p w14:paraId="1E3E101E" w14:textId="77777777" w:rsidR="00CC25F1" w:rsidRPr="007B6E69" w:rsidRDefault="00CC25F1" w:rsidP="008D49EE">
      <w:pPr>
        <w:pStyle w:val="Heading3"/>
      </w:pPr>
      <w:bookmarkStart w:id="39" w:name="_Toc143182135"/>
      <w:r w:rsidRPr="007B6E69">
        <w:t xml:space="preserve">Option 1: </w:t>
      </w:r>
      <w:r w:rsidR="00DB7D0C">
        <w:t>De-regulation</w:t>
      </w:r>
      <w:r w:rsidRPr="007B6E69">
        <w:t xml:space="preserve"> (</w:t>
      </w:r>
      <w:r w:rsidR="00FB0A25">
        <w:t>r</w:t>
      </w:r>
      <w:r w:rsidR="00BC70A9">
        <w:t>epeal the current requirements</w:t>
      </w:r>
      <w:r w:rsidRPr="007B6E69">
        <w:t>)</w:t>
      </w:r>
      <w:bookmarkEnd w:id="39"/>
    </w:p>
    <w:p w14:paraId="4DFD0346" w14:textId="77777777" w:rsidR="00F70D23" w:rsidRDefault="004E10E4" w:rsidP="00C15309">
      <w:pPr>
        <w:widowControl w:val="0"/>
      </w:pPr>
      <w:r>
        <w:t xml:space="preserve">Under </w:t>
      </w:r>
      <w:r w:rsidR="00AE55BF">
        <w:t>Option 1</w:t>
      </w:r>
      <w:r>
        <w:t xml:space="preserve"> the Australian Government would repeal the current ADR requirements for vehicle dimensions </w:t>
      </w:r>
      <w:r w:rsidR="00FA00AC">
        <w:br/>
      </w:r>
      <w:r>
        <w:t>(i.e. width, length, and height) and allow vehicle manufacturers to provide solutions to meet market</w:t>
      </w:r>
      <w:r w:rsidR="00C15309">
        <w:t xml:space="preserve"> demand</w:t>
      </w:r>
      <w:r w:rsidRPr="007B6E69">
        <w:t>.</w:t>
      </w:r>
    </w:p>
    <w:p w14:paraId="7E736CFE" w14:textId="77777777" w:rsidR="00F70D23" w:rsidRDefault="00F70D23" w:rsidP="00F70D23">
      <w:r>
        <w:t>If there were deregulation by the Australian Government of vehicle dimensions at supply to market, the states and territories would likely endeavour to continue to limit the overall dimensions of vehicles in-service. However, in the absence of any ADR requirements, this would likely conflict with section 78 of the RVSA, which prevents state and territory laws from being used to impose more stringent vehicle standards than the ADRs (</w:t>
      </w:r>
      <w:r w:rsidR="00D7633A">
        <w:t>Commonwealth of Australia, 2018b</w:t>
      </w:r>
      <w:r>
        <w:t xml:space="preserve">). In the absence of any vehicle dimensional limits, </w:t>
      </w:r>
      <w:r w:rsidR="006759EE">
        <w:t>some</w:t>
      </w:r>
      <w:r>
        <w:t xml:space="preserve"> truck operators </w:t>
      </w:r>
      <w:r w:rsidR="006759EE">
        <w:t xml:space="preserve">would </w:t>
      </w:r>
      <w:r>
        <w:t xml:space="preserve">choose considerably larger and more productive vehicles. </w:t>
      </w:r>
      <w:r w:rsidR="006759EE">
        <w:t xml:space="preserve">For example, a domestic firm could fit extra wide bodies and/or bodywork (of </w:t>
      </w:r>
      <w:r w:rsidR="00531382">
        <w:t xml:space="preserve">any width, including </w:t>
      </w:r>
      <w:r w:rsidR="006759EE">
        <w:t xml:space="preserve">over </w:t>
      </w:r>
      <w:r w:rsidR="00B9347B">
        <w:t>2.60</w:t>
      </w:r>
      <w:r w:rsidR="006759EE">
        <w:t xml:space="preserve"> m) to cab-chassis vehicles originally made to comply with the width limit in another market (e.g. the EU, the US, Japan etc.). This would be expected to increase productivity for the trucking firms that then operate these vehicles, but would also likely </w:t>
      </w:r>
      <w:r>
        <w:t>impose significant risks and costs for other road users, insurers and governments, with no control over these costs</w:t>
      </w:r>
      <w:r w:rsidR="006759EE">
        <w:t xml:space="preserve"> (i.e. externalities).</w:t>
      </w:r>
      <w:r w:rsidR="003648C1">
        <w:t xml:space="preserve"> </w:t>
      </w:r>
      <w:r w:rsidR="0016177C">
        <w:t>The l</w:t>
      </w:r>
      <w:r w:rsidR="003648C1">
        <w:t xml:space="preserve">ikely costs for </w:t>
      </w:r>
      <w:r w:rsidR="0016177C">
        <w:t>these affected stakeholders</w:t>
      </w:r>
      <w:r w:rsidR="003648C1">
        <w:t xml:space="preserve"> include loss of life, </w:t>
      </w:r>
      <w:r w:rsidR="0016177C">
        <w:t xml:space="preserve">loss of income, </w:t>
      </w:r>
      <w:r w:rsidR="003648C1">
        <w:t xml:space="preserve">permanent </w:t>
      </w:r>
      <w:r w:rsidR="0016177C">
        <w:t>injury/disability costs, hospital admission and other medical costs, road crash delays, and infrastructure and property damage.</w:t>
      </w:r>
    </w:p>
    <w:p w14:paraId="2D2940F0" w14:textId="77777777" w:rsidR="00C15309" w:rsidRDefault="00C15309" w:rsidP="00C15309">
      <w:pPr>
        <w:widowControl w:val="0"/>
      </w:pPr>
      <w:r>
        <w:t>For the above reasons, t</w:t>
      </w:r>
      <w:r w:rsidRPr="00820236">
        <w:t>his option</w:t>
      </w:r>
      <w:r w:rsidR="00531382">
        <w:t xml:space="preserve"> </w:t>
      </w:r>
      <w:r w:rsidR="007C64C0">
        <w:t>is not supported by jurisdictions, is not generally sought by</w:t>
      </w:r>
      <w:r w:rsidR="00531382">
        <w:t xml:space="preserve"> </w:t>
      </w:r>
      <w:r w:rsidR="00A32057">
        <w:t xml:space="preserve">peak </w:t>
      </w:r>
      <w:r w:rsidR="00531382">
        <w:t>industry bodies,</w:t>
      </w:r>
      <w:r w:rsidRPr="00820236">
        <w:t xml:space="preserve"> </w:t>
      </w:r>
      <w:r w:rsidR="00F1337E">
        <w:t>is</w:t>
      </w:r>
      <w:r w:rsidRPr="00820236">
        <w:t xml:space="preserve"> not considered </w:t>
      </w:r>
      <w:r>
        <w:t>viable</w:t>
      </w:r>
      <w:r w:rsidR="00531382">
        <w:t xml:space="preserve"> by the </w:t>
      </w:r>
      <w:r w:rsidR="00B9347B">
        <w:t>d</w:t>
      </w:r>
      <w:r w:rsidR="00531382">
        <w:t>epartment</w:t>
      </w:r>
      <w:r>
        <w:t xml:space="preserve">, and </w:t>
      </w:r>
      <w:r w:rsidR="00F1337E">
        <w:t xml:space="preserve">has </w:t>
      </w:r>
      <w:r>
        <w:t xml:space="preserve">not </w:t>
      </w:r>
      <w:r w:rsidR="00F1337E">
        <w:t xml:space="preserve">been </w:t>
      </w:r>
      <w:r>
        <w:t xml:space="preserve">analysed in any </w:t>
      </w:r>
      <w:r w:rsidRPr="00820236">
        <w:t>further</w:t>
      </w:r>
      <w:r>
        <w:t xml:space="preserve"> detail</w:t>
      </w:r>
      <w:r w:rsidRPr="00820236">
        <w:t>.</w:t>
      </w:r>
    </w:p>
    <w:p w14:paraId="22AD09FC" w14:textId="77777777" w:rsidR="00B02D64" w:rsidRPr="005E1FA1" w:rsidRDefault="00B02D64" w:rsidP="008D49EE">
      <w:pPr>
        <w:pStyle w:val="Heading3"/>
      </w:pPr>
      <w:bookmarkStart w:id="40" w:name="_Toc143182136"/>
      <w:r w:rsidRPr="005E1FA1">
        <w:t xml:space="preserve">Option </w:t>
      </w:r>
      <w:r>
        <w:t>2</w:t>
      </w:r>
      <w:r w:rsidRPr="005E1FA1">
        <w:t xml:space="preserve">: </w:t>
      </w:r>
      <w:r>
        <w:t xml:space="preserve">Retain </w:t>
      </w:r>
      <w:r w:rsidR="00FB0A25">
        <w:t>e</w:t>
      </w:r>
      <w:r>
        <w:t xml:space="preserve">xisting </w:t>
      </w:r>
      <w:r w:rsidR="00FB0A25">
        <w:t>s</w:t>
      </w:r>
      <w:r>
        <w:t>tandards under the RVSA (</w:t>
      </w:r>
      <w:r w:rsidR="00FB0A25">
        <w:t>b</w:t>
      </w:r>
      <w:r w:rsidR="006D610D">
        <w:t xml:space="preserve">usiness as </w:t>
      </w:r>
      <w:r w:rsidR="00FB0A25">
        <w:t>u</w:t>
      </w:r>
      <w:r w:rsidR="006D610D">
        <w:t>sual</w:t>
      </w:r>
      <w:r>
        <w:t>)</w:t>
      </w:r>
      <w:bookmarkEnd w:id="40"/>
    </w:p>
    <w:p w14:paraId="6364D75F" w14:textId="77777777" w:rsidR="00B02D64" w:rsidRPr="00820236" w:rsidRDefault="00B02D64" w:rsidP="00B02D64">
      <w:pPr>
        <w:widowControl w:val="0"/>
      </w:pPr>
      <w:r w:rsidRPr="005E1FA1">
        <w:t xml:space="preserve">Under Option </w:t>
      </w:r>
      <w:r w:rsidR="006D610D">
        <w:t>2</w:t>
      </w:r>
      <w:r w:rsidRPr="005E1FA1">
        <w:t xml:space="preserve"> the Australian Government would</w:t>
      </w:r>
      <w:r>
        <w:t xml:space="preserve"> </w:t>
      </w:r>
      <w:r w:rsidR="00F1337E">
        <w:t xml:space="preserve">retain the existing requirements for vehicle dimensions through the ADRs under the RVSA. </w:t>
      </w:r>
      <w:r w:rsidR="00F1337E" w:rsidRPr="00F1337E">
        <w:t>T</w:t>
      </w:r>
      <w:r w:rsidR="00F1337E">
        <w:t xml:space="preserve">his is the </w:t>
      </w:r>
      <w:r w:rsidR="00FB0A25">
        <w:t>b</w:t>
      </w:r>
      <w:r w:rsidR="00F1337E">
        <w:t xml:space="preserve">usiness as </w:t>
      </w:r>
      <w:r w:rsidR="00FB0A25">
        <w:t>u</w:t>
      </w:r>
      <w:r w:rsidR="00F1337E">
        <w:t>sual (BAU)</w:t>
      </w:r>
      <w:r w:rsidR="00F1337E" w:rsidRPr="00F1337E">
        <w:t xml:space="preserve"> option</w:t>
      </w:r>
      <w:r w:rsidR="00F1337E">
        <w:t xml:space="preserve">, which is considered viable, and has been </w:t>
      </w:r>
      <w:r w:rsidR="00F1337E" w:rsidRPr="00F1337E">
        <w:t xml:space="preserve">analysed in detail </w:t>
      </w:r>
      <w:r w:rsidR="00F1337E">
        <w:t>as the</w:t>
      </w:r>
      <w:r w:rsidR="00F1337E" w:rsidRPr="00F1337E">
        <w:t xml:space="preserve"> baseline for comparison with other options.</w:t>
      </w:r>
    </w:p>
    <w:p w14:paraId="2EA734A6" w14:textId="77777777" w:rsidR="006507A1" w:rsidRPr="005E1FA1" w:rsidRDefault="006507A1" w:rsidP="00FB0A25">
      <w:pPr>
        <w:pStyle w:val="Heading3"/>
        <w:pageBreakBefore/>
      </w:pPr>
      <w:bookmarkStart w:id="41" w:name="_Toc143182137"/>
      <w:r w:rsidRPr="005E1FA1">
        <w:t xml:space="preserve">Option </w:t>
      </w:r>
      <w:r w:rsidR="00197A56">
        <w:t>3</w:t>
      </w:r>
      <w:r w:rsidRPr="005E1FA1">
        <w:t xml:space="preserve">: </w:t>
      </w:r>
      <w:r w:rsidR="003C5F16">
        <w:t xml:space="preserve">Implement </w:t>
      </w:r>
      <w:r w:rsidR="00FB0A25">
        <w:t>u</w:t>
      </w:r>
      <w:r w:rsidR="003C5F16">
        <w:t xml:space="preserve">pdated </w:t>
      </w:r>
      <w:r w:rsidR="00FB0A25">
        <w:t>s</w:t>
      </w:r>
      <w:r w:rsidR="003C5F16">
        <w:t>tandards under the RVSA</w:t>
      </w:r>
      <w:bookmarkEnd w:id="41"/>
    </w:p>
    <w:p w14:paraId="5F9B95AD" w14:textId="77777777" w:rsidR="00FE3E22" w:rsidRDefault="006507A1" w:rsidP="00A9632E">
      <w:pPr>
        <w:widowControl w:val="0"/>
      </w:pPr>
      <w:r w:rsidRPr="005E1FA1">
        <w:t xml:space="preserve">Under Option </w:t>
      </w:r>
      <w:r w:rsidR="00A8357C">
        <w:t>3</w:t>
      </w:r>
      <w:r w:rsidRPr="005E1FA1">
        <w:t xml:space="preserve"> the Australian Government would</w:t>
      </w:r>
      <w:r w:rsidR="00A21426">
        <w:t xml:space="preserve"> </w:t>
      </w:r>
      <w:r w:rsidR="00AB58C2">
        <w:t xml:space="preserve">implement updated requirements for vehicle dimensions through the ADRs under the RVSA, to </w:t>
      </w:r>
      <w:r w:rsidR="00AB58C2" w:rsidRPr="00AB58C2">
        <w:t>facilitate an increased take up of safer and/or more efficient heavy freight vehicles in Australia</w:t>
      </w:r>
      <w:r w:rsidR="00AB58C2">
        <w:t>.</w:t>
      </w:r>
      <w:r w:rsidR="00A9632E">
        <w:t xml:space="preserve"> </w:t>
      </w:r>
      <w:r w:rsidR="0013026D">
        <w:t>M</w:t>
      </w:r>
      <w:r w:rsidR="000B6B0F" w:rsidRPr="000B6B0F">
        <w:t xml:space="preserve">andatory </w:t>
      </w:r>
      <w:r w:rsidR="0013026D">
        <w:t xml:space="preserve">requirements for vehicle dimensions have been </w:t>
      </w:r>
      <w:r w:rsidR="000B6B0F" w:rsidRPr="000B6B0F">
        <w:t>adopted in other markets</w:t>
      </w:r>
      <w:r w:rsidR="00EB1507">
        <w:t xml:space="preserve">, </w:t>
      </w:r>
      <w:r w:rsidR="000B6B0F" w:rsidRPr="000B6B0F">
        <w:t xml:space="preserve">including </w:t>
      </w:r>
      <w:r w:rsidR="0013026D">
        <w:t>the</w:t>
      </w:r>
      <w:r w:rsidR="00EB1507">
        <w:t xml:space="preserve"> major </w:t>
      </w:r>
      <w:r w:rsidR="00D75986">
        <w:t xml:space="preserve">source </w:t>
      </w:r>
      <w:r w:rsidR="00EB1507">
        <w:t>markets of the </w:t>
      </w:r>
      <w:r w:rsidR="0013026D">
        <w:t>EU</w:t>
      </w:r>
      <w:r w:rsidR="000B6B0F" w:rsidRPr="000B6B0F">
        <w:t xml:space="preserve">, </w:t>
      </w:r>
      <w:r w:rsidR="00416244">
        <w:t xml:space="preserve">Japan, and </w:t>
      </w:r>
      <w:r w:rsidR="000B6B0F" w:rsidRPr="000B6B0F">
        <w:t>the US</w:t>
      </w:r>
      <w:r w:rsidR="00A9632E">
        <w:t>.</w:t>
      </w:r>
      <w:r w:rsidR="004A6799">
        <w:t xml:space="preserve"> </w:t>
      </w:r>
      <w:r w:rsidR="000B6B0F" w:rsidRPr="000B6B0F">
        <w:t xml:space="preserve">This option was therefore </w:t>
      </w:r>
      <w:r w:rsidR="0013026D">
        <w:t xml:space="preserve">considered viable, and </w:t>
      </w:r>
      <w:r w:rsidR="000B6B0F" w:rsidRPr="000B6B0F">
        <w:t xml:space="preserve">analysed further in terms of expected benefits </w:t>
      </w:r>
      <w:r w:rsidR="0014298E">
        <w:t xml:space="preserve">and costs </w:t>
      </w:r>
      <w:r w:rsidR="000B6B0F" w:rsidRPr="000B6B0F">
        <w:t>to the community.</w:t>
      </w:r>
    </w:p>
    <w:p w14:paraId="6EC9F1B9" w14:textId="77777777" w:rsidR="00FB0A25" w:rsidRPr="00907208" w:rsidRDefault="00416244" w:rsidP="00907208">
      <w:pPr>
        <w:pStyle w:val="Heading4"/>
      </w:pPr>
      <w:r w:rsidRPr="00907208">
        <w:t>O</w:t>
      </w:r>
      <w:r w:rsidR="00CD64CC" w:rsidRPr="00907208">
        <w:t>ptions for safer wider heavy freight vehicles</w:t>
      </w:r>
    </w:p>
    <w:p w14:paraId="544B4B47" w14:textId="77777777" w:rsidR="00426895" w:rsidRDefault="00183585" w:rsidP="00416244">
      <w:pPr>
        <w:widowControl w:val="0"/>
      </w:pPr>
      <w:r w:rsidRPr="00183585">
        <w:t>Allowing wider vehicles would reduce the costs of modification of vehicles for the Australian market as well as provide the necessary space to better fit EU mandated safety technologies (such as blind spot information systems) and EU and US mandated environmental technologies (such as Euro VI or equivalent emission control systems) to reduce noxious emissions.</w:t>
      </w:r>
      <w:r>
        <w:t xml:space="preserve"> </w:t>
      </w:r>
      <w:r w:rsidRPr="007C205D">
        <w:t xml:space="preserve">Further, </w:t>
      </w:r>
      <w:r>
        <w:t>some sectors of the road freight industry would be</w:t>
      </w:r>
      <w:r w:rsidRPr="007C205D">
        <w:t xml:space="preserve"> able to complete the same freight task in fewer trips, which reduces both transport costs and exposure related crash risks.</w:t>
      </w:r>
    </w:p>
    <w:p w14:paraId="6793D368" w14:textId="77777777" w:rsidR="00404B97" w:rsidRDefault="00416244" w:rsidP="00416244">
      <w:pPr>
        <w:widowControl w:val="0"/>
      </w:pPr>
      <w:r>
        <w:t>To account for differen</w:t>
      </w:r>
      <w:r w:rsidR="00E07B26">
        <w:t xml:space="preserve">t </w:t>
      </w:r>
      <w:r w:rsidR="00A04B46">
        <w:t>sources</w:t>
      </w:r>
      <w:r w:rsidR="00604D9C">
        <w:t xml:space="preserve"> and </w:t>
      </w:r>
      <w:r w:rsidR="00A04B46">
        <w:t>extent</w:t>
      </w:r>
      <w:r w:rsidR="00604D9C">
        <w:t xml:space="preserve"> of </w:t>
      </w:r>
      <w:r>
        <w:t xml:space="preserve">benefits expected </w:t>
      </w:r>
      <w:r w:rsidR="00137B66">
        <w:t xml:space="preserve">for </w:t>
      </w:r>
      <w:r w:rsidR="00E07B26">
        <w:t xml:space="preserve">various </w:t>
      </w:r>
      <w:r w:rsidR="00137B66">
        <w:t xml:space="preserve">categories of </w:t>
      </w:r>
      <w:r>
        <w:t xml:space="preserve">heavy </w:t>
      </w:r>
      <w:r w:rsidR="00137B66">
        <w:t xml:space="preserve">freight vehicles, </w:t>
      </w:r>
      <w:r w:rsidR="00604D9C">
        <w:t xml:space="preserve">as well as </w:t>
      </w:r>
      <w:r w:rsidR="00CD64CC">
        <w:t xml:space="preserve">the </w:t>
      </w:r>
      <w:r>
        <w:t>different width limits</w:t>
      </w:r>
      <w:r w:rsidR="00CD64CC">
        <w:t xml:space="preserve"> for vehicle</w:t>
      </w:r>
      <w:r>
        <w:t xml:space="preserve">s in the EU and the US, </w:t>
      </w:r>
      <w:r w:rsidR="00137B66">
        <w:t xml:space="preserve">the </w:t>
      </w:r>
      <w:r w:rsidR="00B9347B">
        <w:t>d</w:t>
      </w:r>
      <w:r w:rsidR="00137B66">
        <w:t xml:space="preserve">epartment decided to analyse </w:t>
      </w:r>
      <w:r w:rsidR="006C5F12">
        <w:t>four</w:t>
      </w:r>
      <w:r w:rsidR="00137B66">
        <w:t xml:space="preserve"> sub-options</w:t>
      </w:r>
      <w:r w:rsidR="00137B66" w:rsidRPr="00137B66">
        <w:t xml:space="preserve"> to allow for safer (and cleaner) wider heavy freight vehicles to be supplied in Australia</w:t>
      </w:r>
      <w:r w:rsidR="00CD64CC" w:rsidRPr="00CD64CC">
        <w:t xml:space="preserve">. Each of these includes a package of new safety ADRs to be mandated for the wider vehicles (those exceeding the current </w:t>
      </w:r>
      <w:r w:rsidR="00B9347B">
        <w:t>2.50</w:t>
      </w:r>
      <w:r w:rsidR="00E35A93">
        <w:t> </w:t>
      </w:r>
      <w:r w:rsidR="00CD64CC" w:rsidRPr="00CD64CC">
        <w:t>m limit). The systems</w:t>
      </w:r>
      <w:r w:rsidR="008C56E5">
        <w:t>/features</w:t>
      </w:r>
      <w:r w:rsidR="00CD64CC" w:rsidRPr="00CD64CC">
        <w:t xml:space="preserve"> </w:t>
      </w:r>
      <w:r w:rsidR="00E05D56">
        <w:t xml:space="preserve">included in </w:t>
      </w:r>
      <w:r w:rsidR="00CD64CC" w:rsidRPr="00CD64CC">
        <w:t>the safety packages</w:t>
      </w:r>
      <w:r w:rsidR="00E05D56">
        <w:t xml:space="preserve"> were selected following initial consultation with the Strategic Vehicle Safety and Environment Group,</w:t>
      </w:r>
      <w:r w:rsidR="00CD64CC" w:rsidRPr="00CD64CC">
        <w:t xml:space="preserve"> are all covered by international (UN) vehicle regulations, and include ADR development priorities for heavy vehicles under the National Road Safety Action Plan 2018-2020 (</w:t>
      </w:r>
      <w:r w:rsidR="00315909">
        <w:t xml:space="preserve">Commonwealth of </w:t>
      </w:r>
      <w:r w:rsidR="00CD64CC" w:rsidRPr="00CD64CC">
        <w:t xml:space="preserve">Australia, 2018a), as well as technologies targeted at reducing collisions between heavy vehicles and other road users in close-proximity to these vehicles. For goods vehicles over 4.5 tonnes GVM, these include </w:t>
      </w:r>
      <w:r w:rsidR="00137B66">
        <w:t xml:space="preserve">enhanced </w:t>
      </w:r>
      <w:r w:rsidR="00CD64CC" w:rsidRPr="00CD64CC">
        <w:t xml:space="preserve">devices for indirect vision, Electronic Stability Control (ESC), Advanced Emergency Braking (AEB), Lane Departure Warning Systems (LDWS), Blind Spot Information Systems, Lateral Protection Devices for side underrun protection, and </w:t>
      </w:r>
      <w:proofErr w:type="spellStart"/>
      <w:r w:rsidR="00CD64CC" w:rsidRPr="00CD64CC">
        <w:t>conspicu</w:t>
      </w:r>
      <w:r w:rsidR="00A76F1D">
        <w:t>ity</w:t>
      </w:r>
      <w:proofErr w:type="spellEnd"/>
      <w:r w:rsidR="00A76F1D">
        <w:t xml:space="preserve"> markings. For trailers over </w:t>
      </w:r>
      <w:r w:rsidR="00CD64CC" w:rsidRPr="00CD64CC">
        <w:t xml:space="preserve">4.5 tonnes, these include </w:t>
      </w:r>
      <w:r w:rsidR="00F67C96">
        <w:t xml:space="preserve">Roll Stability Control (RSC), </w:t>
      </w:r>
      <w:r w:rsidR="00CD64CC" w:rsidRPr="00CD64CC">
        <w:t>Lateral Protection Devices</w:t>
      </w:r>
      <w:r w:rsidR="00F67C96">
        <w:t xml:space="preserve"> (LPDs)</w:t>
      </w:r>
      <w:r w:rsidR="00CD64CC" w:rsidRPr="00CD64CC">
        <w:t xml:space="preserve"> for side underrun protection</w:t>
      </w:r>
      <w:r w:rsidR="00F67C96">
        <w:t>,</w:t>
      </w:r>
      <w:r w:rsidR="00CD64CC" w:rsidRPr="00CD64CC">
        <w:t xml:space="preserve"> </w:t>
      </w:r>
      <w:r w:rsidR="00C7561E">
        <w:t xml:space="preserve">and </w:t>
      </w:r>
      <w:proofErr w:type="spellStart"/>
      <w:r w:rsidR="00CD64CC" w:rsidRPr="00CD64CC">
        <w:t>conspicuity</w:t>
      </w:r>
      <w:proofErr w:type="spellEnd"/>
      <w:r w:rsidR="00CD64CC" w:rsidRPr="00CD64CC">
        <w:t xml:space="preserve"> markings.</w:t>
      </w:r>
    </w:p>
    <w:p w14:paraId="2D223D36" w14:textId="77777777" w:rsidR="00CD64CC" w:rsidRDefault="002452D8" w:rsidP="00416244">
      <w:pPr>
        <w:widowControl w:val="0"/>
      </w:pPr>
      <w:r>
        <w:t xml:space="preserve">A summary of the ADR vehicle categories </w:t>
      </w:r>
      <w:r w:rsidR="00404B97">
        <w:t xml:space="preserve">for heavy goods vehicles and trailers is provided in Appendix </w:t>
      </w:r>
      <w:r w:rsidR="00147E6E">
        <w:t>3</w:t>
      </w:r>
      <w:r w:rsidR="00404B97">
        <w:t xml:space="preserve">. </w:t>
      </w:r>
      <w:r w:rsidR="00CD64CC" w:rsidRPr="00CD64CC">
        <w:t>More information on the safety systems</w:t>
      </w:r>
      <w:r w:rsidR="008C56E5">
        <w:t>/features</w:t>
      </w:r>
      <w:r w:rsidR="00CD64CC" w:rsidRPr="00CD64CC">
        <w:t xml:space="preserve"> proposed to be included as part of a package of new safety ADRs (for wider vehicles) is provided in Appendices </w:t>
      </w:r>
      <w:r w:rsidR="003D06DB">
        <w:t>5</w:t>
      </w:r>
      <w:r w:rsidR="00CD64CC" w:rsidRPr="00CD64CC">
        <w:t xml:space="preserve"> to </w:t>
      </w:r>
      <w:r w:rsidR="00A40480">
        <w:t>1</w:t>
      </w:r>
      <w:r w:rsidR="003D06DB">
        <w:t>1</w:t>
      </w:r>
      <w:r w:rsidR="00CD64CC" w:rsidRPr="00CD64CC">
        <w:t>.</w:t>
      </w:r>
    </w:p>
    <w:p w14:paraId="159300D5" w14:textId="77777777" w:rsidR="00240432" w:rsidRPr="00907208" w:rsidRDefault="00240432" w:rsidP="00907208">
      <w:pPr>
        <w:pStyle w:val="Heading5"/>
      </w:pPr>
      <w:r w:rsidRPr="00907208">
        <w:t xml:space="preserve">Option </w:t>
      </w:r>
      <w:r w:rsidR="002D7457">
        <w:t>3.</w:t>
      </w:r>
      <w:r w:rsidRPr="00907208">
        <w:t>1a – Increase the width limit to 2.55</w:t>
      </w:r>
      <w:r w:rsidR="00234529">
        <w:t> </w:t>
      </w:r>
      <w:r w:rsidRPr="00907208">
        <w:t xml:space="preserve">m for goods vehicles and trailers over 4.5 </w:t>
      </w:r>
      <w:proofErr w:type="spellStart"/>
      <w:r w:rsidRPr="00907208">
        <w:t>tonnes</w:t>
      </w:r>
      <w:proofErr w:type="spellEnd"/>
    </w:p>
    <w:p w14:paraId="4393B868" w14:textId="77777777" w:rsidR="00240432" w:rsidRDefault="00240432" w:rsidP="00240432">
      <w:r>
        <w:t>Under this option:</w:t>
      </w:r>
    </w:p>
    <w:p w14:paraId="15163D22"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and trailers over 4.5</w:t>
      </w:r>
      <w:r w:rsidRPr="00D3537D">
        <w:t xml:space="preserve"> tonnes</w:t>
      </w:r>
      <w:r>
        <w:t xml:space="preserve"> ATM (ADR category NB2, NC, TC (over 4.5 tonnes) and TD vehicles), would be increased from </w:t>
      </w:r>
      <w:r w:rsidR="00B9347B">
        <w:t>2.50</w:t>
      </w:r>
      <w:r w:rsidR="00E35A93">
        <w:t> </w:t>
      </w:r>
      <w:r>
        <w:t>m</w:t>
      </w:r>
      <w:r w:rsidRPr="0050539E">
        <w:t xml:space="preserve"> to </w:t>
      </w:r>
      <w:r>
        <w:t>2.55</w:t>
      </w:r>
      <w:r w:rsidR="00E35A93">
        <w:t> </w:t>
      </w:r>
      <w:r>
        <w:t>m.</w:t>
      </w:r>
    </w:p>
    <w:p w14:paraId="1134028B"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w:t>
      </w:r>
      <w:r w:rsidR="0032380B">
        <w:t xml:space="preserve">continue to </w:t>
      </w:r>
      <w:r>
        <w:t xml:space="preserve">be excluded from the measurement of the vehicle width, </w:t>
      </w:r>
      <w:r w:rsidRPr="00E25EA5">
        <w:t>provided the maximum distance across the body of the vehicle, including any part of the devices, is not more than 2.</w:t>
      </w:r>
      <w:r w:rsidR="0022064A">
        <w:t>55</w:t>
      </w:r>
      <w:r w:rsidR="00E35A93">
        <w:t> </w:t>
      </w:r>
      <w:r>
        <w:t>m.</w:t>
      </w:r>
    </w:p>
    <w:p w14:paraId="13524306" w14:textId="77777777"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55E1FD51" w14:textId="77777777" w:rsidR="00240432" w:rsidRDefault="00240432" w:rsidP="00E248BF">
      <w:pPr>
        <w:pStyle w:val="ListParagraph"/>
        <w:keepNext/>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m limit) would be required to:</w:t>
      </w:r>
    </w:p>
    <w:p w14:paraId="59BFF8D9"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 14/03 – Devices for indirect v</w:t>
      </w:r>
      <w:r w:rsidRPr="00E25EA5">
        <w:t>ision</w:t>
      </w:r>
      <w:r>
        <w:t xml:space="preserve"> (refer Appendix </w:t>
      </w:r>
      <w:r w:rsidR="003D06DB">
        <w:t>5</w:t>
      </w:r>
      <w:r>
        <w:t xml:space="preserve">), incorporating the technical requirements of the latest version of the relevant international standard (UN R46/04), </w:t>
      </w:r>
      <w:r w:rsidR="000F1B96">
        <w:t xml:space="preserve">but </w:t>
      </w:r>
      <w:r>
        <w:t xml:space="preserve">with additional provisions to allow for </w:t>
      </w:r>
      <w:r w:rsidR="000F1B96">
        <w:t xml:space="preserve">some alternative styles of mirrors used on trucks in Australia, for example </w:t>
      </w:r>
      <w:r w:rsidRPr="007C3339">
        <w:t>US</w:t>
      </w:r>
      <w:r>
        <w:t xml:space="preserve"> style </w:t>
      </w:r>
      <w:r w:rsidR="000F1B96">
        <w:t>cross-view</w:t>
      </w:r>
      <w:r>
        <w:t xml:space="preserve"> mirrors (refer Glossary in Appendix </w:t>
      </w:r>
      <w:r w:rsidR="00346A4A">
        <w:t>2</w:t>
      </w:r>
      <w:r>
        <w:t>) to be used on bonneted trucks in place of UN style front-view mirrors, provided these allow the driver to see at least 900</w:t>
      </w:r>
      <w:r w:rsidR="00E35A93">
        <w:t> </w:t>
      </w:r>
      <w:r>
        <w:t>mm past the extreme outer edge of the left-hand (near) side of the vehicle;</w:t>
      </w:r>
    </w:p>
    <w:p w14:paraId="34BA704E"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meet ADR 35/07 – Commercial Vehicle Brake Systems, which </w:t>
      </w:r>
      <w:r w:rsidR="00555B18">
        <w:t>includes</w:t>
      </w:r>
      <w:r>
        <w:t xml:space="preserve"> mandatory ESC requirements (referred to in the ADR as a Vehicle Stability Function) – note: this would </w:t>
      </w:r>
      <w:r w:rsidR="00555B18">
        <w:t xml:space="preserve">continue to </w:t>
      </w:r>
      <w:r>
        <w:t>include exemptions from fitting ESC to trucks with four or more axles and trucks designed for off-road use, as per ADR 35/0</w:t>
      </w:r>
      <w:r w:rsidR="00E07B26">
        <w:t>7 and UN R13</w:t>
      </w:r>
      <w:r>
        <w:t>;</w:t>
      </w:r>
    </w:p>
    <w:p w14:paraId="6F732125"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meet ADR 97/00 – Advanced Emergency Braking (refer Appendix </w:t>
      </w:r>
      <w:r w:rsidR="003D06DB">
        <w:t>7</w:t>
      </w:r>
      <w:r>
        <w:t xml:space="preserve">) for Omnibuses, and Medium and Heavy Goods Vehicles, </w:t>
      </w:r>
      <w:r w:rsidR="002D7457">
        <w:t xml:space="preserve">which </w:t>
      </w:r>
      <w:r>
        <w:t>incorpora</w:t>
      </w:r>
      <w:r w:rsidR="002D7457">
        <w:t>tes</w:t>
      </w:r>
      <w:r>
        <w:t xml:space="preserve"> the technical requirements of the latest version of the relevant international standard (UN R131/01) – note: this would </w:t>
      </w:r>
      <w:r w:rsidR="002D7457">
        <w:t xml:space="preserve">continue to </w:t>
      </w:r>
      <w:r>
        <w:t xml:space="preserve">include exemptions for trucks with four or more axles and trucks designed for off-road use, as per </w:t>
      </w:r>
      <w:r w:rsidR="00E07B26">
        <w:t xml:space="preserve">ADR 97/00, </w:t>
      </w:r>
      <w:r>
        <w:t>the EU requirements and as recommended in UN R131;</w:t>
      </w:r>
    </w:p>
    <w:p w14:paraId="2ECB8D37"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99/00</w:t>
      </w:r>
      <w:r w:rsidRPr="00E25EA5">
        <w:t xml:space="preserve"> </w:t>
      </w:r>
      <w:r>
        <w:t xml:space="preserve">– Lane Departure Warning Systems (refer Appendix </w:t>
      </w:r>
      <w:r w:rsidR="003D06DB">
        <w:t>8</w:t>
      </w:r>
      <w:r>
        <w:t>), incorporating the technical requirements of the relevant international standard (UN R130) – note: this would include exemptions for trucks with four or more axles and trucks designed for off-road use, as per the EU requirements and as recommended in UN R130;</w:t>
      </w:r>
    </w:p>
    <w:p w14:paraId="51F54BB9"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105/00</w:t>
      </w:r>
      <w:r w:rsidRPr="00E25EA5">
        <w:t xml:space="preserve"> </w:t>
      </w:r>
      <w:r>
        <w:t>–</w:t>
      </w:r>
      <w:r w:rsidRPr="00A75A71">
        <w:t xml:space="preserve"> Blind Spot Information Systems</w:t>
      </w:r>
      <w:r>
        <w:t xml:space="preserve"> (refer Appendix </w:t>
      </w:r>
      <w:r w:rsidR="003D06DB">
        <w:t>9</w:t>
      </w:r>
      <w:r>
        <w:t>), incorporating the technical requirements of the relevant international standard (UN R151) – note: this ADR would only apply to goods vehicles over 8</w:t>
      </w:r>
      <w:r w:rsidRPr="00D3537D">
        <w:t xml:space="preserve"> tonnes</w:t>
      </w:r>
      <w:r>
        <w:t xml:space="preserve"> GVM, as per UN R151 (and from a later date than the other proposed new ADRs – see below);</w:t>
      </w:r>
    </w:p>
    <w:p w14:paraId="4A66E2C1"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106/00</w:t>
      </w:r>
      <w:r w:rsidRPr="00E25EA5">
        <w:t xml:space="preserve"> </w:t>
      </w:r>
      <w:r>
        <w:t>–</w:t>
      </w:r>
      <w:r w:rsidRPr="00A75A71">
        <w:t xml:space="preserve"> </w:t>
      </w:r>
      <w:r>
        <w:t xml:space="preserve">Side Underrun Protection (refer Appendix </w:t>
      </w:r>
      <w:r w:rsidR="003D06DB">
        <w:t>10</w:t>
      </w:r>
      <w:r>
        <w:t>), incorporating the technical requirements of the latest version of the relevant international standard (UN R73/01) – note: this ADR would not apply to prime movers, as per UN R73; and</w:t>
      </w:r>
    </w:p>
    <w:p w14:paraId="6815EB30"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if over 7.5</w:t>
      </w:r>
      <w:r w:rsidRPr="00D3537D">
        <w:t xml:space="preserve"> tonnes</w:t>
      </w:r>
      <w:r>
        <w:t xml:space="preserve"> GVM (and excluding prime movers), be fitted with </w:t>
      </w:r>
      <w:proofErr w:type="spellStart"/>
      <w:r>
        <w:t>conspicuity</w:t>
      </w:r>
      <w:proofErr w:type="spellEnd"/>
      <w:r>
        <w:t xml:space="preserve"> markings (refer</w:t>
      </w:r>
      <w:r w:rsidR="002D7457">
        <w:t> </w:t>
      </w:r>
      <w:r>
        <w:t xml:space="preserve">Appendix </w:t>
      </w:r>
      <w:r w:rsidR="00346A4A">
        <w:t>1</w:t>
      </w:r>
      <w:r w:rsidR="003D06DB">
        <w:t>1</w:t>
      </w:r>
      <w:r>
        <w:t>) in accordance with ADR 13/00 (or any later version of this ADR).</w:t>
      </w:r>
    </w:p>
    <w:p w14:paraId="2BEC91EA"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trailers (those exceeding the current </w:t>
      </w:r>
      <w:r w:rsidR="00B9347B">
        <w:t>2.50</w:t>
      </w:r>
      <w:r w:rsidR="00E35A93">
        <w:t> </w:t>
      </w:r>
      <w:r>
        <w:t>m limit) would be required to:</w:t>
      </w:r>
    </w:p>
    <w:p w14:paraId="2DA6930E" w14:textId="77777777" w:rsidR="002769B2" w:rsidRDefault="002769B2" w:rsidP="00E248BF">
      <w:pPr>
        <w:pStyle w:val="ListParagraph"/>
        <w:keepLines/>
        <w:numPr>
          <w:ilvl w:val="1"/>
          <w:numId w:val="71"/>
        </w:numPr>
        <w:suppressAutoHyphens w:val="0"/>
        <w:autoSpaceDE/>
        <w:autoSpaceDN/>
        <w:adjustRightInd/>
        <w:ind w:left="1020" w:right="567" w:hanging="340"/>
        <w:textAlignment w:val="auto"/>
      </w:pPr>
      <w:r>
        <w:t xml:space="preserve">meet ADR 38/05 – </w:t>
      </w:r>
      <w:r w:rsidR="00A36EE5">
        <w:t xml:space="preserve">Trailer </w:t>
      </w:r>
      <w:r>
        <w:t>Brake Systems, which includes mandatory RSC requirements (referred to in the ADR as a Vehicle Stability Function) – note: this would continue to include exemptions from fitting RSC to tr</w:t>
      </w:r>
      <w:r w:rsidR="00A36EE5">
        <w:t>ailers</w:t>
      </w:r>
      <w:r>
        <w:t xml:space="preserve"> with four or more axles </w:t>
      </w:r>
      <w:r w:rsidR="00A36EE5">
        <w:t>in a group and/or four or more tyres in a row of axles</w:t>
      </w:r>
      <w:r>
        <w:t>, as per ADR 38/05;</w:t>
      </w:r>
    </w:p>
    <w:p w14:paraId="6A6439C7"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106/00</w:t>
      </w:r>
      <w:r w:rsidRPr="00E25EA5">
        <w:t xml:space="preserve"> </w:t>
      </w:r>
      <w:r>
        <w:t>–</w:t>
      </w:r>
      <w:r w:rsidRPr="00A75A71">
        <w:t xml:space="preserve"> </w:t>
      </w:r>
      <w:r>
        <w:t xml:space="preserve">Side Underrun Protection (refer Appendix </w:t>
      </w:r>
      <w:r w:rsidR="003D06DB">
        <w:t>10</w:t>
      </w:r>
      <w:r>
        <w:t>), incorporating the technical requirements of the latest version of the relevant international standard (UN R73/01); and</w:t>
      </w:r>
    </w:p>
    <w:p w14:paraId="22098241" w14:textId="77777777"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be fitted with </w:t>
      </w:r>
      <w:proofErr w:type="spellStart"/>
      <w:r>
        <w:t>conspicuity</w:t>
      </w:r>
      <w:proofErr w:type="spellEnd"/>
      <w:r>
        <w:t xml:space="preserve"> markings (refer Appendix </w:t>
      </w:r>
      <w:r w:rsidR="00346A4A">
        <w:t>1</w:t>
      </w:r>
      <w:r w:rsidR="003D06DB">
        <w:t>1</w:t>
      </w:r>
      <w:r>
        <w:t>) in accordance with ADR</w:t>
      </w:r>
      <w:r w:rsidR="002D7457">
        <w:t> </w:t>
      </w:r>
      <w:r>
        <w:t>13/00 (or any later version of this ADR).</w:t>
      </w:r>
    </w:p>
    <w:p w14:paraId="61D6ADDC" w14:textId="77777777" w:rsidR="00240432" w:rsidRDefault="00240432" w:rsidP="0056796D">
      <w:pPr>
        <w:keepLines/>
        <w:ind w:right="567"/>
      </w:pPr>
      <w:r>
        <w:t xml:space="preserve">The </w:t>
      </w:r>
      <w:r w:rsidR="00B45149">
        <w:t>ADRs</w:t>
      </w:r>
      <w:r>
        <w:t xml:space="preserve"> for devices for indirect vision, AEB, ESC, LDWS, and side underrun protection, would be mandatory for goods vehicles exceeding the current </w:t>
      </w:r>
      <w:r w:rsidR="00B9347B">
        <w:t>2.50</w:t>
      </w:r>
      <w:r w:rsidR="00E07B26">
        <w:t> </w:t>
      </w:r>
      <w:r>
        <w:t xml:space="preserve">m width limit (with some limited exemptions – as noted above), from the same date the ADR amendment to allow wider vehicles (under standard approval processes) commences.  These ADRs would all be optional for vehicles not exceeding the current </w:t>
      </w:r>
      <w:r w:rsidR="00B9347B">
        <w:t>2.50</w:t>
      </w:r>
      <w:r w:rsidR="00E07B26">
        <w:t> </w:t>
      </w:r>
      <w:r>
        <w:t xml:space="preserve">m width limit, unless mandated through a separate ADR development process to this proposal </w:t>
      </w:r>
      <w:r w:rsidR="00B45149">
        <w:t xml:space="preserve">(e.g. as is currently being considered for LDWS for heavy vehicles) </w:t>
      </w:r>
      <w:r>
        <w:t xml:space="preserve">or where already </w:t>
      </w:r>
      <w:r w:rsidR="002769B2">
        <w:t>mandated, including from a future date</w:t>
      </w:r>
      <w:r>
        <w:t xml:space="preserve"> (e.g. </w:t>
      </w:r>
      <w:r w:rsidR="002769B2">
        <w:t xml:space="preserve">AEB and </w:t>
      </w:r>
      <w:r>
        <w:t xml:space="preserve">ESC for </w:t>
      </w:r>
      <w:r w:rsidR="002769B2">
        <w:t>heavy vehicles</w:t>
      </w:r>
      <w:r>
        <w:t xml:space="preserve">). The same principles would be applied in regard to the applicability of the new ADRs for wider trailers – these would be mandatory for trailers exceeding the current </w:t>
      </w:r>
      <w:r w:rsidR="00B9347B">
        <w:t>2.50</w:t>
      </w:r>
      <w:r w:rsidR="00E07B26">
        <w:t> </w:t>
      </w:r>
      <w:r>
        <w:t>m width limit, and optional for trailers within the current limit (unless mandated through a separate ADR development process to this proposal</w:t>
      </w:r>
      <w:r w:rsidR="002769B2">
        <w:t xml:space="preserve"> or already mandatory</w:t>
      </w:r>
      <w:r>
        <w:t>).</w:t>
      </w:r>
    </w:p>
    <w:p w14:paraId="03D8BE3F" w14:textId="77777777" w:rsidR="00240432" w:rsidRDefault="002769B2" w:rsidP="00525810">
      <w:r>
        <w:t>T</w:t>
      </w:r>
      <w:r w:rsidR="00240432">
        <w:t xml:space="preserve">he new ADR for blind spot information systems (for detection of bicycles) would be mandatory for new heavy goods vehicles over 8 tonnes GVM and exceeding the current </w:t>
      </w:r>
      <w:r w:rsidR="00B9347B">
        <w:t>2.50</w:t>
      </w:r>
      <w:r w:rsidR="00E35A93">
        <w:t> </w:t>
      </w:r>
      <w:r w:rsidR="00240432">
        <w:t xml:space="preserve">m width limit, from 1 </w:t>
      </w:r>
      <w:r w:rsidR="002D7457">
        <w:t>November 2024</w:t>
      </w:r>
      <w:r w:rsidR="00240432">
        <w:t xml:space="preserve"> for new models and 1</w:t>
      </w:r>
      <w:r>
        <w:t> </w:t>
      </w:r>
      <w:r w:rsidR="002D7457">
        <w:t>February</w:t>
      </w:r>
      <w:r w:rsidR="00240432">
        <w:t xml:space="preserve"> 202</w:t>
      </w:r>
      <w:r w:rsidR="002D7457">
        <w:t>7</w:t>
      </w:r>
      <w:r w:rsidR="00240432">
        <w:t xml:space="preserve"> for those models existing in the market prior to the new model date (1 </w:t>
      </w:r>
      <w:r>
        <w:t>November 2024</w:t>
      </w:r>
      <w:r w:rsidR="00240432">
        <w:t xml:space="preserve">). This is because this is a relatively new UN regulation, which will not be mandatory for all new heavy goods vehicles </w:t>
      </w:r>
      <w:r w:rsidR="002D7457">
        <w:br/>
      </w:r>
      <w:r w:rsidR="00240432">
        <w:t>(over 8 tonnes maximum permissible mass) in the EU until July 2024.</w:t>
      </w:r>
    </w:p>
    <w:p w14:paraId="2D072AE3" w14:textId="77777777" w:rsidR="00525810" w:rsidRDefault="002F497E" w:rsidP="00525810">
      <w:r>
        <w:t>Where operators (including in particular sectors</w:t>
      </w:r>
      <w:r w:rsidR="00A213F2">
        <w:t>, such as refrigerated transport</w:t>
      </w:r>
      <w:r>
        <w:t xml:space="preserve">) see opportunities to increase productivity through wider goods vehicles and/or trailers, this option would encourage </w:t>
      </w:r>
      <w:r w:rsidR="00A213F2">
        <w:t xml:space="preserve">increased </w:t>
      </w:r>
      <w:r>
        <w:t>take-up of both newer trucks and trailers with more advanced safety systems/features</w:t>
      </w:r>
      <w:r w:rsidR="00A213F2">
        <w:t xml:space="preserve">, including but not limited to those prescribed as part of the safety package. It would </w:t>
      </w:r>
      <w:r w:rsidR="00C4128C">
        <w:t xml:space="preserve">also </w:t>
      </w:r>
      <w:r w:rsidR="00A213F2">
        <w:t xml:space="preserve">substantially reduce width related modification costs for new trucks and trailers sourced from or based on designs for markets with </w:t>
      </w:r>
      <w:r w:rsidR="007908F8">
        <w:t>an increased width limit</w:t>
      </w:r>
      <w:r w:rsidR="00A213F2">
        <w:t xml:space="preserve">. There would still be </w:t>
      </w:r>
      <w:r w:rsidR="007908F8">
        <w:t xml:space="preserve">some </w:t>
      </w:r>
      <w:r w:rsidR="00A213F2">
        <w:t xml:space="preserve">width related modification costs for new trucks and trailers sourced from or based on designs for markets with a 2.60 m width limit, but these </w:t>
      </w:r>
      <w:r w:rsidR="003B3F53">
        <w:t>sh</w:t>
      </w:r>
      <w:r w:rsidR="00A213F2">
        <w:t>ould be much reduced compared to the current 2.50 m width limit.</w:t>
      </w:r>
    </w:p>
    <w:p w14:paraId="0705228E" w14:textId="77777777" w:rsidR="00240432" w:rsidRPr="0027412B" w:rsidRDefault="00240432" w:rsidP="005A5EA4">
      <w:pPr>
        <w:pStyle w:val="Heading5"/>
      </w:pPr>
      <w:r>
        <w:t xml:space="preserve">Option </w:t>
      </w:r>
      <w:r w:rsidR="007657A6">
        <w:t>3.</w:t>
      </w:r>
      <w:r>
        <w:t>1b – Increase the width limit to 2.55</w:t>
      </w:r>
      <w:r w:rsidR="00267F80">
        <w:t> </w:t>
      </w:r>
      <w:r>
        <w:t>m for goods vehicles over 4.5</w:t>
      </w:r>
      <w:r w:rsidRPr="00D3537D">
        <w:rPr>
          <w:lang w:val="en-AU"/>
        </w:rPr>
        <w:t xml:space="preserve"> tonnes</w:t>
      </w:r>
      <w:r>
        <w:t xml:space="preserve"> only</w:t>
      </w:r>
    </w:p>
    <w:p w14:paraId="6B0B5E20" w14:textId="77777777" w:rsidR="00240432" w:rsidRDefault="00240432" w:rsidP="00240432">
      <w:r>
        <w:t>Under this option:</w:t>
      </w:r>
    </w:p>
    <w:p w14:paraId="2E26E8D6"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(ADR category NB2 and NC vehicles), would be increased from </w:t>
      </w:r>
      <w:r w:rsidR="00B9347B">
        <w:t>2.50</w:t>
      </w:r>
      <w:r w:rsidR="00E35A93">
        <w:t> </w:t>
      </w:r>
      <w:r>
        <w:t>m</w:t>
      </w:r>
      <w:r w:rsidRPr="0050539E">
        <w:t xml:space="preserve"> to </w:t>
      </w:r>
      <w:r>
        <w:t>2.55</w:t>
      </w:r>
      <w:r w:rsidR="00E35A93">
        <w:t> </w:t>
      </w:r>
      <w:r>
        <w:t>m.</w:t>
      </w:r>
    </w:p>
    <w:p w14:paraId="25BF3349"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w:t>
      </w:r>
      <w:r w:rsidR="0032380B">
        <w:t xml:space="preserve">continue to </w:t>
      </w:r>
      <w:r>
        <w:t xml:space="preserve">be excluded from the measurement of the vehicle width, </w:t>
      </w:r>
      <w:r w:rsidRPr="00E25EA5">
        <w:t>provided the maximum distance across the body of the vehicle, including any part of the devices, is not more than 2.</w:t>
      </w:r>
      <w:r w:rsidR="0022064A">
        <w:t>55</w:t>
      </w:r>
      <w:r w:rsidR="00E35A93">
        <w:t> </w:t>
      </w:r>
      <w:r>
        <w:t>m.</w:t>
      </w:r>
    </w:p>
    <w:p w14:paraId="331F2D52" w14:textId="77777777"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4E1A664D"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 xml:space="preserve">m limit) would be required to meet each of the proposed new ADRs / ADR requirements listed for goods vehicles under Option </w:t>
      </w:r>
      <w:r w:rsidR="007657A6">
        <w:t>3.</w:t>
      </w:r>
      <w:r>
        <w:t>1a above.</w:t>
      </w:r>
    </w:p>
    <w:p w14:paraId="65D364B2" w14:textId="77777777" w:rsidR="008509AA" w:rsidRDefault="008509AA" w:rsidP="008509AA">
      <w:r>
        <w:t xml:space="preserve">Where operators (including in particular sectors, such as refrigerated transport) see opportunities to increase productivity through wider goods vehicles, this option would encourage increased take-up of newer trucks with more advanced safety systems/features, including but not limited to those prescribed as part of the safety package. It would </w:t>
      </w:r>
      <w:r w:rsidR="00C4128C">
        <w:t xml:space="preserve">also </w:t>
      </w:r>
      <w:r>
        <w:t xml:space="preserve">substantially reduce width related modification costs for new trucks sourced from or based on designs for markets with </w:t>
      </w:r>
      <w:r w:rsidR="00FA44C5">
        <w:t xml:space="preserve">an increased </w:t>
      </w:r>
      <w:r>
        <w:t xml:space="preserve">width limit. There would still be </w:t>
      </w:r>
      <w:r w:rsidR="007908F8">
        <w:t xml:space="preserve">some </w:t>
      </w:r>
      <w:r>
        <w:t>width related modification costs for new trucks sourced from or based on designs for markets with a 2.60 m width limit, but these should be much reduced compared to the current 2.50 m width limit.</w:t>
      </w:r>
      <w:r w:rsidR="007908F8">
        <w:t xml:space="preserve"> This option would not encourage any increased take-up (relative to business as usual) of newer/safer trailers, and would not reduce width related modification costs for trailers sourced from or based on designs for markets with either a 2.55 m or a 2.60 m width limit.</w:t>
      </w:r>
    </w:p>
    <w:p w14:paraId="79CB00DD" w14:textId="77777777" w:rsidR="00240432" w:rsidRPr="0027412B" w:rsidRDefault="00240432" w:rsidP="0062067E">
      <w:pPr>
        <w:pStyle w:val="Heading5"/>
        <w:pageBreakBefore/>
      </w:pPr>
      <w:r>
        <w:t xml:space="preserve">Option </w:t>
      </w:r>
      <w:r w:rsidR="007657A6">
        <w:t>3.</w:t>
      </w:r>
      <w:r>
        <w:t xml:space="preserve">2a – Increase the width limit to </w:t>
      </w:r>
      <w:r w:rsidR="00B9347B">
        <w:t>2.60</w:t>
      </w:r>
      <w:r w:rsidR="00267F80">
        <w:t> </w:t>
      </w:r>
      <w:r>
        <w:t>m for goods vehicles and trailers over 4.5</w:t>
      </w:r>
      <w:r w:rsidRPr="00D3537D">
        <w:rPr>
          <w:lang w:val="en-AU"/>
        </w:rPr>
        <w:t xml:space="preserve"> tonnes</w:t>
      </w:r>
    </w:p>
    <w:p w14:paraId="7BED1651" w14:textId="77777777" w:rsidR="00240432" w:rsidRDefault="00240432" w:rsidP="00240432">
      <w:r>
        <w:t>Under this option:</w:t>
      </w:r>
    </w:p>
    <w:p w14:paraId="517E2154"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and trailers over 4.5</w:t>
      </w:r>
      <w:r w:rsidR="00E35A93">
        <w:t xml:space="preserve"> </w:t>
      </w:r>
      <w:r w:rsidRPr="00D3537D">
        <w:t>tonnes</w:t>
      </w:r>
      <w:r>
        <w:t xml:space="preserve"> ATM (ADR category NB2, NC, TC (over 4.5 tonnes) and TD vehicles), would be increased from </w:t>
      </w:r>
      <w:r w:rsidR="00B9347B">
        <w:t>2.50</w:t>
      </w:r>
      <w:r w:rsidR="00E35A93">
        <w:t> </w:t>
      </w:r>
      <w:r>
        <w:t>m</w:t>
      </w:r>
      <w:r w:rsidRPr="0050539E">
        <w:t xml:space="preserve"> to </w:t>
      </w:r>
      <w:r w:rsidR="00B9347B">
        <w:t>2.60</w:t>
      </w:r>
      <w:r w:rsidR="00E35A93">
        <w:t> </w:t>
      </w:r>
      <w:r>
        <w:t>m.</w:t>
      </w:r>
    </w:p>
    <w:p w14:paraId="6ED16FC0"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be excluded from the measurement of the vehicle width, </w:t>
      </w:r>
      <w:r w:rsidRPr="00E25EA5">
        <w:t xml:space="preserve">provided the maximum distance across the body of the vehicle, including any part of the devices, is not more than </w:t>
      </w:r>
      <w:r w:rsidR="00B9347B">
        <w:t>2.60</w:t>
      </w:r>
      <w:r w:rsidR="00E35A93">
        <w:t> </w:t>
      </w:r>
      <w:r>
        <w:t>m.</w:t>
      </w:r>
    </w:p>
    <w:p w14:paraId="73B90997" w14:textId="77777777"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1CB1D4FA"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t xml:space="preserve"> m limit) would be required to meet each of the proposed new ADRs listed for goods vehicles under Option </w:t>
      </w:r>
      <w:r w:rsidR="006F3778">
        <w:t>3.</w:t>
      </w:r>
      <w:r>
        <w:t>1a above.</w:t>
      </w:r>
    </w:p>
    <w:p w14:paraId="6D443CAE"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trailers (those exceeding the current </w:t>
      </w:r>
      <w:r w:rsidR="00B9347B">
        <w:t>2.50</w:t>
      </w:r>
      <w:r>
        <w:t xml:space="preserve"> m limit) would be required to meet each of the proposed new ADRs / ADR requirements listed for trailers under Option </w:t>
      </w:r>
      <w:r w:rsidR="002769B2">
        <w:t>3.</w:t>
      </w:r>
      <w:r>
        <w:t>1a above.</w:t>
      </w:r>
    </w:p>
    <w:p w14:paraId="6DD8D273" w14:textId="77777777" w:rsidR="00E3654F" w:rsidRDefault="00E3654F" w:rsidP="00E3654F">
      <w:r>
        <w:t>Where operators (including in particular sectors, such as refrigerated transport) see opportunities to increase productivity through wider goods vehicles and/or trailers, this option would encourage increased take-up of both newer trucks and trailers with more advanced safety systems/features, including but not limited to those prescribed as part of the safety package. It would</w:t>
      </w:r>
      <w:r w:rsidR="00C4128C">
        <w:t xml:space="preserve"> also</w:t>
      </w:r>
      <w:r>
        <w:t xml:space="preserve"> eliminate width related modification costs for new trucks and trailers sourced from or based on designs for markets with an increased width limit.</w:t>
      </w:r>
    </w:p>
    <w:p w14:paraId="320E6DB4" w14:textId="77777777" w:rsidR="00240432" w:rsidRPr="0027412B" w:rsidRDefault="00240432" w:rsidP="005A5EA4">
      <w:pPr>
        <w:pStyle w:val="Heading5"/>
      </w:pPr>
      <w:r w:rsidRPr="0027412B">
        <w:t xml:space="preserve">Option </w:t>
      </w:r>
      <w:r w:rsidR="007657A6">
        <w:t>3.</w:t>
      </w:r>
      <w:r>
        <w:t xml:space="preserve">2b – Increase the width limit to </w:t>
      </w:r>
      <w:r w:rsidR="00B9347B">
        <w:t>2.60</w:t>
      </w:r>
      <w:r w:rsidR="00267F80">
        <w:t> </w:t>
      </w:r>
      <w:r>
        <w:t>m for goods vehicles over 4.5</w:t>
      </w:r>
      <w:r w:rsidRPr="00D3537D">
        <w:rPr>
          <w:lang w:val="en-AU"/>
        </w:rPr>
        <w:t xml:space="preserve"> tonnes</w:t>
      </w:r>
      <w:r>
        <w:t xml:space="preserve"> only</w:t>
      </w:r>
    </w:p>
    <w:p w14:paraId="6E9369D4" w14:textId="77777777" w:rsidR="00240432" w:rsidRDefault="00240432" w:rsidP="00240432">
      <w:r>
        <w:t>Under this option:</w:t>
      </w:r>
    </w:p>
    <w:p w14:paraId="284FE93F"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in the ADRs for goods vehicles (i.e. trucks) over 4.5</w:t>
      </w:r>
      <w:r w:rsidRPr="00D3537D">
        <w:t xml:space="preserve"> tonnes</w:t>
      </w:r>
      <w:r>
        <w:t xml:space="preserve"> GVM (ADR category NB2 and NC vehicles),</w:t>
      </w:r>
      <w:r w:rsidRPr="0050539E">
        <w:t xml:space="preserve"> </w:t>
      </w:r>
      <w:r>
        <w:t xml:space="preserve">would be increased from </w:t>
      </w:r>
      <w:r w:rsidR="00B9347B">
        <w:t>2.50</w:t>
      </w:r>
      <w:r w:rsidR="00E35A93">
        <w:t> </w:t>
      </w:r>
      <w:r>
        <w:t>m</w:t>
      </w:r>
      <w:r w:rsidRPr="0050539E">
        <w:t xml:space="preserve"> to </w:t>
      </w:r>
      <w:r w:rsidR="00B9347B">
        <w:t>2.60</w:t>
      </w:r>
      <w:r w:rsidR="00E35A93">
        <w:t> </w:t>
      </w:r>
      <w:r>
        <w:t>m.</w:t>
      </w:r>
    </w:p>
    <w:p w14:paraId="1CB3D9D9"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be excluded from the measurement of the vehicle width, </w:t>
      </w:r>
      <w:r w:rsidRPr="00E25EA5">
        <w:t xml:space="preserve">provided the maximum distance across the body of the vehicle, including any part of the devices, is not more than </w:t>
      </w:r>
      <w:r w:rsidR="00B9347B">
        <w:t>2.60</w:t>
      </w:r>
      <w:r w:rsidR="00E35A93">
        <w:t> </w:t>
      </w:r>
      <w:r>
        <w:t>m.</w:t>
      </w:r>
    </w:p>
    <w:p w14:paraId="3AB92A02" w14:textId="77777777" w:rsidR="00B81D76" w:rsidRDefault="00B81D76"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rsidR="00930B20">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14:paraId="6C8D4FD6" w14:textId="77777777"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 xml:space="preserve">m limit) would be required to meet each of the proposed new ADRs / ADR requirements listed for goods vehicles under Option </w:t>
      </w:r>
      <w:r w:rsidR="002769B2">
        <w:t>3.</w:t>
      </w:r>
      <w:r>
        <w:t>1a above.</w:t>
      </w:r>
    </w:p>
    <w:p w14:paraId="043CBF07" w14:textId="77777777" w:rsidR="00FA44C5" w:rsidRDefault="00FA44C5" w:rsidP="00FA44C5">
      <w:r>
        <w:t xml:space="preserve">Where operators (including in particular sectors, such as refrigerated transport) see opportunities to increase productivity through wider goods vehicles, this option would encourage increased take-up of newer trucks with more advanced safety systems/features, including but not limited to those prescribed as part of the safety package. It would </w:t>
      </w:r>
      <w:r w:rsidR="00C4128C">
        <w:t xml:space="preserve">also </w:t>
      </w:r>
      <w:r>
        <w:t>eliminate width related modification costs for new trucks sourced from or based on designs for markets with an increased width limit. This option would not encourage any increased take-up (relative to business as usual) of newer/safer trailers, and would not reduce width related modification costs for trailers sourced from or based on designs for markets with either a 2.55 m or a 2.60 m width limit.</w:t>
      </w:r>
    </w:p>
    <w:p w14:paraId="297933CE" w14:textId="77777777" w:rsidR="00BF6FCB" w:rsidRPr="00367240" w:rsidRDefault="00E54146" w:rsidP="005A5EA4">
      <w:pPr>
        <w:pStyle w:val="Heading4"/>
      </w:pPr>
      <w:bookmarkStart w:id="42" w:name="_Toc67060908"/>
      <w:r>
        <w:t xml:space="preserve">Proposed changes </w:t>
      </w:r>
      <w:r w:rsidR="00BF6FCB">
        <w:t>for vehicles with e</w:t>
      </w:r>
      <w:r w:rsidR="00BF6FCB" w:rsidRPr="00367240">
        <w:t>nhanced device</w:t>
      </w:r>
      <w:r w:rsidR="00BF6FCB">
        <w:t>s for indirect vision and/or monitoring devices to detect other road users</w:t>
      </w:r>
      <w:bookmarkEnd w:id="42"/>
    </w:p>
    <w:p w14:paraId="29C52B85" w14:textId="77777777" w:rsidR="00BF6FCB" w:rsidRDefault="00BF6FCB" w:rsidP="00BF6FCB">
      <w:r>
        <w:t xml:space="preserve">To </w:t>
      </w:r>
      <w:r w:rsidR="00E54146">
        <w:t xml:space="preserve">complement each of the options considered for safer wider freight vehicles and to </w:t>
      </w:r>
      <w:r>
        <w:t>facilitate</w:t>
      </w:r>
      <w:r w:rsidRPr="005F7702">
        <w:t xml:space="preserve"> </w:t>
      </w:r>
      <w:r>
        <w:t>a greater</w:t>
      </w:r>
      <w:r w:rsidRPr="005F7702">
        <w:t xml:space="preserve"> supply </w:t>
      </w:r>
      <w:r>
        <w:t>and take</w:t>
      </w:r>
      <w:r w:rsidR="00792BC5">
        <w:t> </w:t>
      </w:r>
      <w:r>
        <w:t xml:space="preserve">up </w:t>
      </w:r>
      <w:r w:rsidRPr="005F7702">
        <w:t xml:space="preserve">of </w:t>
      </w:r>
      <w:r>
        <w:t>vehicles with devices and systems to help the drivers of these vehicles to see and/or be aware of the presence of other road users, including cyclists and pedestrians, the ADRs</w:t>
      </w:r>
      <w:r w:rsidR="00E54146">
        <w:t xml:space="preserve"> would be amended</w:t>
      </w:r>
      <w:r>
        <w:t xml:space="preserve"> to:</w:t>
      </w:r>
    </w:p>
    <w:p w14:paraId="0C236450" w14:textId="77777777" w:rsidR="00BF6FCB" w:rsidRPr="00972249" w:rsidRDefault="00BF6FCB" w:rsidP="00E248BF">
      <w:pPr>
        <w:pStyle w:val="ListParagraph"/>
        <w:keepLines/>
        <w:numPr>
          <w:ilvl w:val="0"/>
          <w:numId w:val="71"/>
        </w:numPr>
        <w:suppressAutoHyphens w:val="0"/>
        <w:autoSpaceDE/>
        <w:autoSpaceDN/>
        <w:adjustRightInd/>
        <w:ind w:left="680" w:right="170" w:hanging="340"/>
        <w:textAlignment w:val="auto"/>
      </w:pPr>
      <w:r>
        <w:t xml:space="preserve">Exclude </w:t>
      </w:r>
      <w:r w:rsidRPr="00972249">
        <w:t xml:space="preserve">all of the following </w:t>
      </w:r>
      <w:r>
        <w:t xml:space="preserve">devices and systems </w:t>
      </w:r>
      <w:r w:rsidRPr="00972249">
        <w:t>from the measurement of the vehicle width:</w:t>
      </w:r>
    </w:p>
    <w:p w14:paraId="44CC001E"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rear vision mirrors</w:t>
      </w:r>
      <w:r>
        <w:rPr>
          <w:rStyle w:val="FootnoteReference"/>
        </w:rPr>
        <w:footnoteReference w:id="1"/>
      </w:r>
      <w:r w:rsidRPr="00E25EA5">
        <w:t xml:space="preserve"> (also referred to in the ADRs as rear-view mirrors);</w:t>
      </w:r>
    </w:p>
    <w:p w14:paraId="04DCA656"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devices for indirect vision</w:t>
      </w:r>
      <w:r>
        <w:t>,</w:t>
      </w:r>
      <w:r w:rsidRPr="00E25EA5">
        <w:t xml:space="preserve"> fitted in accordance with </w:t>
      </w:r>
      <w:r>
        <w:t>a new</w:t>
      </w:r>
      <w:r w:rsidRPr="00E25EA5">
        <w:t xml:space="preserve"> </w:t>
      </w:r>
      <w:r>
        <w:t>ADR</w:t>
      </w:r>
      <w:r w:rsidRPr="00E25EA5">
        <w:t xml:space="preserve"> 14/03 </w:t>
      </w:r>
      <w:r>
        <w:t>–</w:t>
      </w:r>
      <w:r w:rsidRPr="00E25EA5">
        <w:t xml:space="preserve"> Devices for Indirect Vision</w:t>
      </w:r>
      <w:r>
        <w:t xml:space="preserve"> (or any later version of this ADR)</w:t>
      </w:r>
      <w:r w:rsidRPr="00E25EA5">
        <w:t>;</w:t>
      </w:r>
    </w:p>
    <w:p w14:paraId="1FE5E698"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t>any other devices that help the driver to see objects in an area adjacent to the vehicle, including cross</w:t>
      </w:r>
      <w:r w:rsidR="00BF489A">
        <w:t>-view</w:t>
      </w:r>
      <w:r>
        <w:t xml:space="preserve"> mirrors (subject to a total protrusion limit below); and</w:t>
      </w:r>
    </w:p>
    <w:p w14:paraId="51CC1548" w14:textId="77777777" w:rsidR="00BF6FCB" w:rsidRPr="00A75A71" w:rsidRDefault="00BF6FCB" w:rsidP="00E248BF">
      <w:pPr>
        <w:pStyle w:val="ListParagraph"/>
        <w:keepLines/>
        <w:numPr>
          <w:ilvl w:val="1"/>
          <w:numId w:val="71"/>
        </w:numPr>
        <w:suppressAutoHyphens w:val="0"/>
        <w:autoSpaceDE/>
        <w:autoSpaceDN/>
        <w:adjustRightInd/>
        <w:ind w:left="1020" w:right="567" w:hanging="340"/>
        <w:textAlignment w:val="auto"/>
      </w:pPr>
      <w:r>
        <w:t>monitoring devices fitted as part of an automated driving system and/or a system to inform the driver of the presence of other road users (</w:t>
      </w:r>
      <w:r w:rsidRPr="008679B2">
        <w:t>e.g. vehicles, bicyclists, pedestrians)</w:t>
      </w:r>
      <w:r>
        <w:t xml:space="preserve"> in an area in close-proximity (within 2 m) to the vehicle body (subject to a total protrusion limit below).</w:t>
      </w:r>
    </w:p>
    <w:p w14:paraId="1D59509D" w14:textId="77777777" w:rsidR="00BF6FCB" w:rsidRDefault="00BF6FCB" w:rsidP="00E248BF">
      <w:pPr>
        <w:pStyle w:val="ListParagraph"/>
        <w:keepLines/>
        <w:numPr>
          <w:ilvl w:val="0"/>
          <w:numId w:val="71"/>
        </w:numPr>
        <w:suppressAutoHyphens w:val="0"/>
        <w:autoSpaceDE/>
        <w:autoSpaceDN/>
        <w:adjustRightInd/>
        <w:ind w:left="680" w:right="170" w:hanging="340"/>
        <w:textAlignment w:val="auto"/>
      </w:pPr>
      <w:r>
        <w:t>Limit the total (left + right side) protrusion of all</w:t>
      </w:r>
      <w:r w:rsidRPr="0035549F">
        <w:t xml:space="preserve"> </w:t>
      </w:r>
      <w:r>
        <w:t xml:space="preserve">devices except for rear vision mirrors, </w:t>
      </w:r>
      <w:r w:rsidR="00784BB9" w:rsidRPr="00784BB9">
        <w:t>signalling devices, side-mounted lamps and reflectors,</w:t>
      </w:r>
      <w:r w:rsidR="00784BB9">
        <w:t xml:space="preserve"> </w:t>
      </w:r>
      <w:r>
        <w:t>devices for indirect vision, and central</w:t>
      </w:r>
      <w:r w:rsidRPr="005D2716">
        <w:t xml:space="preserve"> tyre</w:t>
      </w:r>
      <w:r>
        <w:t xml:space="preserve"> inflation systems, excluded from the width of the vehicle, to a maximum of 100 mm (to align with the total protrusion allowed by the EU).</w:t>
      </w:r>
    </w:p>
    <w:p w14:paraId="06764844" w14:textId="77777777" w:rsidR="00BF6FCB" w:rsidRDefault="00BF6FCB" w:rsidP="00E248BF">
      <w:pPr>
        <w:pStyle w:val="ListParagraph"/>
        <w:numPr>
          <w:ilvl w:val="0"/>
          <w:numId w:val="71"/>
        </w:numPr>
        <w:suppressAutoHyphens w:val="0"/>
        <w:autoSpaceDE/>
        <w:autoSpaceDN/>
        <w:adjustRightInd/>
        <w:ind w:left="680" w:right="170" w:hanging="340"/>
        <w:textAlignment w:val="auto"/>
      </w:pPr>
      <w:r>
        <w:t>Exclude all of the following devices and systems, where fitted at the front end of the vehicle, from the measurement of vehicle length:</w:t>
      </w:r>
    </w:p>
    <w:p w14:paraId="02BF1925"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devices for indirect vision</w:t>
      </w:r>
      <w:r>
        <w:t>,</w:t>
      </w:r>
      <w:r w:rsidRPr="00E25EA5">
        <w:t xml:space="preserve"> fitted in accordance with </w:t>
      </w:r>
      <w:r>
        <w:t>a new</w:t>
      </w:r>
      <w:r w:rsidRPr="00E25EA5">
        <w:t xml:space="preserve"> </w:t>
      </w:r>
      <w:r>
        <w:t>ADR</w:t>
      </w:r>
      <w:r w:rsidRPr="00E25EA5">
        <w:t xml:space="preserve"> 14/0</w:t>
      </w:r>
      <w:r>
        <w:t>3 - Devices for Indirect Vision (or any later version of this ADR)</w:t>
      </w:r>
      <w:r w:rsidRPr="00E25EA5">
        <w:t>;</w:t>
      </w:r>
    </w:p>
    <w:p w14:paraId="78345C02" w14:textId="77777777" w:rsidR="00BF6FCB" w:rsidRDefault="00BF6FCB" w:rsidP="00E248BF">
      <w:pPr>
        <w:pStyle w:val="ListParagraph"/>
        <w:keepLines/>
        <w:numPr>
          <w:ilvl w:val="1"/>
          <w:numId w:val="71"/>
        </w:numPr>
        <w:suppressAutoHyphens w:val="0"/>
        <w:autoSpaceDE/>
        <w:autoSpaceDN/>
        <w:adjustRightInd/>
        <w:ind w:left="1020" w:right="567" w:hanging="340"/>
        <w:textAlignment w:val="auto"/>
      </w:pPr>
      <w:r>
        <w:t>any other devices that help the driver to see objects in an area adjacent to the vehicle, including cross</w:t>
      </w:r>
      <w:r w:rsidR="00BF489A">
        <w:t>-view</w:t>
      </w:r>
      <w:r>
        <w:t xml:space="preserve"> mirrors (subject to a protrusion limit below); and</w:t>
      </w:r>
    </w:p>
    <w:p w14:paraId="0BBAA215" w14:textId="77777777" w:rsidR="00BF6FCB" w:rsidRPr="00A75A71" w:rsidRDefault="00BF6FCB" w:rsidP="00E248BF">
      <w:pPr>
        <w:pStyle w:val="ListParagraph"/>
        <w:keepLines/>
        <w:numPr>
          <w:ilvl w:val="1"/>
          <w:numId w:val="71"/>
        </w:numPr>
        <w:suppressAutoHyphens w:val="0"/>
        <w:autoSpaceDE/>
        <w:autoSpaceDN/>
        <w:adjustRightInd/>
        <w:ind w:left="1020" w:right="567" w:hanging="340"/>
        <w:textAlignment w:val="auto"/>
      </w:pPr>
      <w:r>
        <w:t>monitoring devices fitted as part of an automated driving system and/or a system to inform the driver of the presence of other road users in an area in close-proximity (within 2 m) to the vehicle body (subject to a total protrusion limit below).</w:t>
      </w:r>
    </w:p>
    <w:p w14:paraId="11E8B2A9" w14:textId="77777777" w:rsidR="00BF6FCB" w:rsidRDefault="00BF6FCB" w:rsidP="00E248BF">
      <w:pPr>
        <w:pStyle w:val="ListParagraph"/>
        <w:keepLines/>
        <w:numPr>
          <w:ilvl w:val="0"/>
          <w:numId w:val="71"/>
        </w:numPr>
        <w:suppressAutoHyphens w:val="0"/>
        <w:autoSpaceDE/>
        <w:autoSpaceDN/>
        <w:adjustRightInd/>
        <w:ind w:left="680" w:right="170" w:hanging="340"/>
        <w:textAlignment w:val="auto"/>
      </w:pPr>
      <w:r>
        <w:t xml:space="preserve">Limit the </w:t>
      </w:r>
      <w:r w:rsidRPr="0035549F">
        <w:t xml:space="preserve">protrusion of </w:t>
      </w:r>
      <w:r>
        <w:t>all</w:t>
      </w:r>
      <w:r w:rsidRPr="0035549F">
        <w:t xml:space="preserve"> </w:t>
      </w:r>
      <w:r>
        <w:t>devices except for devices for indirect vision, excluded to the front</w:t>
      </w:r>
      <w:r w:rsidRPr="0035549F">
        <w:t xml:space="preserve"> of the foremost point from which vehicle length is measured</w:t>
      </w:r>
      <w:r>
        <w:t xml:space="preserve"> (the vehicle ‘front end’ – see </w:t>
      </w:r>
      <w:r w:rsidR="0034596F">
        <w:t>G</w:t>
      </w:r>
      <w:r>
        <w:t>lossary</w:t>
      </w:r>
      <w:r w:rsidR="0034596F">
        <w:t xml:space="preserve"> in Appendix 2</w:t>
      </w:r>
      <w:r>
        <w:t>)</w:t>
      </w:r>
      <w:r w:rsidRPr="0035549F">
        <w:t xml:space="preserve">, </w:t>
      </w:r>
      <w:r>
        <w:t xml:space="preserve">to a maximum </w:t>
      </w:r>
      <w:r w:rsidRPr="008B6B03">
        <w:t>of 250</w:t>
      </w:r>
      <w:r w:rsidR="00E35A93">
        <w:t> </w:t>
      </w:r>
      <w:r w:rsidRPr="0035549F">
        <w:t>mm</w:t>
      </w:r>
      <w:r>
        <w:t xml:space="preserve"> (to align with the forward protrusion allowed by the EU).</w:t>
      </w:r>
    </w:p>
    <w:p w14:paraId="271AA542" w14:textId="77777777" w:rsidR="00BF6FCB" w:rsidRDefault="00BF6FCB" w:rsidP="00E54146">
      <w:pPr>
        <w:keepLines/>
        <w:rPr>
          <w:lang w:val="en-US"/>
        </w:rPr>
      </w:pPr>
      <w:r w:rsidRPr="00A75A71">
        <w:rPr>
          <w:lang w:val="en-US"/>
        </w:rPr>
        <w:t xml:space="preserve">The new ADR 14/03 </w:t>
      </w:r>
      <w:r>
        <w:rPr>
          <w:lang w:val="en-US"/>
        </w:rPr>
        <w:t>would incorporate the technical requirements of the latest version of the relevant international standard for devices for indirect vision (UN R46/04), with additional provisions to allow for US style cross</w:t>
      </w:r>
      <w:r w:rsidR="00BF489A">
        <w:rPr>
          <w:lang w:val="en-US"/>
        </w:rPr>
        <w:t>-view</w:t>
      </w:r>
      <w:r>
        <w:rPr>
          <w:lang w:val="en-US"/>
        </w:rPr>
        <w:t xml:space="preserve"> mirrors (refer Glossary in Appendix </w:t>
      </w:r>
      <w:r w:rsidR="00346A4A">
        <w:rPr>
          <w:lang w:val="en-US"/>
        </w:rPr>
        <w:t>2</w:t>
      </w:r>
      <w:r>
        <w:rPr>
          <w:lang w:val="en-US"/>
        </w:rPr>
        <w:t>) to be used on bonneted trucks in place of UN style front-view devices for indirect vision. As</w:t>
      </w:r>
      <w:r w:rsidR="004B776C">
        <w:rPr>
          <w:lang w:val="en-US"/>
        </w:rPr>
        <w:t> </w:t>
      </w:r>
      <w:r>
        <w:rPr>
          <w:lang w:val="en-US"/>
        </w:rPr>
        <w:t>per UN R46, devices for indirect vision would need to meet pendulum impact test requirements, where fitted less than 2</w:t>
      </w:r>
      <w:r w:rsidR="006A185E">
        <w:rPr>
          <w:lang w:val="en-US"/>
        </w:rPr>
        <w:t> </w:t>
      </w:r>
      <w:r>
        <w:rPr>
          <w:lang w:val="en-US"/>
        </w:rPr>
        <w:t xml:space="preserve">m from the ground, and protruding more than 100 mm from the vehicle bodywork. For a mirror and/or </w:t>
      </w:r>
      <w:r w:rsidR="006A185E">
        <w:rPr>
          <w:lang w:val="en-US"/>
        </w:rPr>
        <w:br/>
      </w:r>
      <w:r>
        <w:rPr>
          <w:lang w:val="en-US"/>
        </w:rPr>
        <w:t>camera-monitor system to be classified as a device for indirect vision it would need to meet the prescribed field of view requirements in the new ADR for the applicable class of device (e.g. front-view device, close-proximity view device etc.) when fitted to the vehicle.</w:t>
      </w:r>
    </w:p>
    <w:p w14:paraId="4442A0BB" w14:textId="77777777" w:rsidR="00BF6FCB" w:rsidRPr="009776A0" w:rsidRDefault="00BF6FCB" w:rsidP="001A3703">
      <w:pPr>
        <w:keepLines/>
        <w:rPr>
          <w:lang w:val="en-US"/>
        </w:rPr>
      </w:pPr>
      <w:r>
        <w:rPr>
          <w:lang w:val="en-US"/>
        </w:rPr>
        <w:t>Allowing other devices for a driver to see objects in an area adjacent to the vehicle and monitoring devices to detect other road users in close proximity to the vehicle to protrude up to 100 mm in total (left + right side) beyond the measured width of the vehicle is unlikely to significantly increase the risk of sideswipe collisions with other vehicles or roadside infrastructure. This is because the ADR for rear vision mirrors already allows such mirrors to project up to 230</w:t>
      </w:r>
      <w:r w:rsidR="00E54146">
        <w:rPr>
          <w:lang w:val="en-US"/>
        </w:rPr>
        <w:t> </w:t>
      </w:r>
      <w:r>
        <w:rPr>
          <w:lang w:val="en-US"/>
        </w:rPr>
        <w:t xml:space="preserve">mm on each side beyond the point from which the vehicle width is measured, provided the mirrors are capable of collapsing to within </w:t>
      </w:r>
      <w:r w:rsidRPr="00E35A93">
        <w:t>150</w:t>
      </w:r>
      <w:r w:rsidR="00E35A93">
        <w:t> </w:t>
      </w:r>
      <w:r w:rsidRPr="00E35A93">
        <w:t>mm</w:t>
      </w:r>
      <w:r>
        <w:rPr>
          <w:lang w:val="en-US"/>
        </w:rPr>
        <w:t xml:space="preserve">. This means the distance measured across rigid parts to which rear vision mirrors are attached (e.g. metal attachment plates, arms, swivel joints etc.) can already be up to 2.8 m (i.e. 150 mm on either side of a </w:t>
      </w:r>
      <w:r w:rsidR="00B9347B">
        <w:rPr>
          <w:lang w:val="en-US"/>
        </w:rPr>
        <w:t>2.50</w:t>
      </w:r>
      <w:r w:rsidR="00E35A93">
        <w:rPr>
          <w:lang w:val="en-US"/>
        </w:rPr>
        <w:t> </w:t>
      </w:r>
      <w:r>
        <w:rPr>
          <w:lang w:val="en-US"/>
        </w:rPr>
        <w:t>m wide vehicle). Further, rear vision mirrors meeting the requirements of the UN Regulation in Appendix A (UN R46) of this ADR, are allowed to protrude up to 250 mm beyond the measured vehicle width (if necessary to comply with field of vision requirements), and are only subject to pendulum impact test requirements where the protrusion beyond the vehicle bodywork exceeds 100 mm.</w:t>
      </w:r>
    </w:p>
    <w:p w14:paraId="4B1CF1E9" w14:textId="77777777" w:rsidR="00BF6FCB" w:rsidRDefault="00BF6FCB" w:rsidP="00BF6FCB">
      <w:pPr>
        <w:rPr>
          <w:lang w:val="en-US"/>
        </w:rPr>
      </w:pPr>
      <w:r>
        <w:rPr>
          <w:lang w:val="en-US"/>
        </w:rPr>
        <w:t>All the devices and systems that are proposed to be excluded from vehicle width and length measurements would continue to be subject to the existing ADR requirements for external projections. These require exterior objects such as these to be designed and fitted in such a way as to</w:t>
      </w:r>
      <w:r w:rsidRPr="00526043">
        <w:t xml:space="preserve"> minimise</w:t>
      </w:r>
      <w:r>
        <w:rPr>
          <w:lang w:val="en-US"/>
        </w:rPr>
        <w:t xml:space="preserve"> the risk of bodily injury to a person hit by or brushing against the bodywork of a vehicle in the event of a collision. These existing ADR requirements will therefore also serve to limit any risks associated with excluding each of the additional devices/systems as outlined in this proposal (above), from vehicle width and length measurements.</w:t>
      </w:r>
    </w:p>
    <w:p w14:paraId="30795887" w14:textId="77777777" w:rsidR="00BF6FCB" w:rsidRDefault="00BF6FCB" w:rsidP="00BF6FCB">
      <w:r>
        <w:rPr>
          <w:lang w:val="en-US"/>
        </w:rPr>
        <w:t xml:space="preserve">If this package of changes is implemented, further exclusions from vehicle width and/or length measurements </w:t>
      </w:r>
      <w:r>
        <w:t>could still be considered at a later stage as part of the ongoing ADR review process.</w:t>
      </w:r>
    </w:p>
    <w:p w14:paraId="3A460790" w14:textId="77777777" w:rsidR="003673ED" w:rsidRPr="007B6E69" w:rsidRDefault="003673ED" w:rsidP="00321C88">
      <w:pPr>
        <w:tabs>
          <w:tab w:val="left" w:pos="1290"/>
        </w:tabs>
      </w:pPr>
    </w:p>
    <w:p w14:paraId="2B9CF4F5" w14:textId="77777777" w:rsidR="009E7FD5" w:rsidRPr="007B6E69" w:rsidRDefault="009E7FD5" w:rsidP="00E13D3A">
      <w:pPr>
        <w:pStyle w:val="Heading1"/>
        <w:sectPr w:rsidR="009E7FD5" w:rsidRPr="007B6E69" w:rsidSect="00D87AD8">
          <w:pgSz w:w="11906" w:h="16838" w:code="9"/>
          <w:pgMar w:top="1021" w:right="1021" w:bottom="1021" w:left="1021" w:header="510" w:footer="567" w:gutter="0"/>
          <w:cols w:space="708"/>
          <w:docGrid w:linePitch="360"/>
        </w:sectPr>
      </w:pPr>
    </w:p>
    <w:p w14:paraId="3F6E2615" w14:textId="77777777" w:rsidR="00044540" w:rsidRPr="007B6E69" w:rsidRDefault="00044540" w:rsidP="00E13D3A">
      <w:pPr>
        <w:pStyle w:val="Heading1"/>
      </w:pPr>
      <w:bookmarkStart w:id="43" w:name="_Toc111576724"/>
      <w:bookmarkStart w:id="44" w:name="_Toc143182138"/>
      <w:r w:rsidRPr="007B6E69">
        <w:t xml:space="preserve">Chapter </w:t>
      </w:r>
      <w:r w:rsidR="005C72E8" w:rsidRPr="007B6E69">
        <w:t>5</w:t>
      </w:r>
      <w:r w:rsidRPr="007B6E69">
        <w:t xml:space="preserve">: </w:t>
      </w:r>
      <w:r w:rsidR="008A2546" w:rsidRPr="007B6E69">
        <w:t>L</w:t>
      </w:r>
      <w:r w:rsidRPr="007B6E69">
        <w:t>ikely net benefit of each option</w:t>
      </w:r>
      <w:bookmarkEnd w:id="43"/>
      <w:bookmarkEnd w:id="44"/>
    </w:p>
    <w:p w14:paraId="7FB7CD9D" w14:textId="77777777" w:rsidR="00E74785" w:rsidRPr="007B6E69" w:rsidRDefault="00E74785" w:rsidP="00E13D3A">
      <w:pPr>
        <w:pStyle w:val="Heading2"/>
        <w:rPr>
          <w:lang w:val="en-AU"/>
        </w:rPr>
      </w:pPr>
      <w:bookmarkStart w:id="45" w:name="_Toc143182139"/>
      <w:r w:rsidRPr="007B6E69">
        <w:rPr>
          <w:lang w:val="en-AU"/>
        </w:rPr>
        <w:t>Benefit-cost analysis</w:t>
      </w:r>
      <w:bookmarkEnd w:id="45"/>
    </w:p>
    <w:p w14:paraId="49580602" w14:textId="77777777" w:rsidR="006E38C3" w:rsidRDefault="006E38C3" w:rsidP="00041AED">
      <w:r>
        <w:t xml:space="preserve">The benefit-cost analysis for this </w:t>
      </w:r>
      <w:r w:rsidR="00C45600">
        <w:t>IA</w:t>
      </w:r>
      <w:r>
        <w:t xml:space="preserve"> was conducted by the Australian Road Research Board (ARRB) and </w:t>
      </w:r>
      <w:r w:rsidR="00FA68F2">
        <w:t xml:space="preserve">is </w:t>
      </w:r>
      <w:r>
        <w:t xml:space="preserve">summarised by the </w:t>
      </w:r>
      <w:r w:rsidR="00B9347B">
        <w:t>d</w:t>
      </w:r>
      <w:r>
        <w:t xml:space="preserve">epartment in this chapter. The full </w:t>
      </w:r>
      <w:r w:rsidR="00E81F59">
        <w:t xml:space="preserve">report for this </w:t>
      </w:r>
      <w:r>
        <w:t xml:space="preserve">ARRB analysis is included in </w:t>
      </w:r>
      <w:r w:rsidR="001B495C">
        <w:t>the Annex</w:t>
      </w:r>
      <w:r>
        <w:t xml:space="preserve"> to this </w:t>
      </w:r>
      <w:r w:rsidR="00C45600">
        <w:t>IA</w:t>
      </w:r>
      <w:r>
        <w:t>.</w:t>
      </w:r>
    </w:p>
    <w:p w14:paraId="50EB4BE0" w14:textId="77777777" w:rsidR="00060498" w:rsidRPr="00060498" w:rsidRDefault="00060498" w:rsidP="00041AED">
      <w:r w:rsidRPr="00060498">
        <w:t>The benefit-cost me</w:t>
      </w:r>
      <w:r w:rsidR="006E38C3">
        <w:t>thodology used in the ARRB</w:t>
      </w:r>
      <w:r w:rsidRPr="00060498">
        <w:t xml:space="preserve"> 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w:t>
      </w:r>
      <w:r w:rsidR="00AE1895">
        <w:t>policy option</w:t>
      </w:r>
      <w:r w:rsidRPr="00060498">
        <w:t xml:space="preserve"> outweigh the resources outlaid (costs) and indicate what, if any, this difference is. Benefit-cost ratios (BCRs) are a measure of efficiency of the </w:t>
      </w:r>
      <w:r w:rsidR="00AE1895">
        <w:t>policy option</w:t>
      </w:r>
      <w:r w:rsidRPr="00060498">
        <w:t xml:space="preserve">. For net benefits to be positive, this ratio must be greater than one. A higher BCR in turn means that for a given cost, the benefits </w:t>
      </w:r>
      <w:r w:rsidR="00A430AC">
        <w:t xml:space="preserve">pay this </w:t>
      </w:r>
      <w:r w:rsidRPr="00060498">
        <w:t>back many times over (the cost is multiplied by the BCR). For example, if a project costs $1 million but results in benefits of $3 million, the net benefit would be 3-1 = $2 million while the BCR would be 3/1 = 3.</w:t>
      </w:r>
    </w:p>
    <w:p w14:paraId="6DCA9F59" w14:textId="77777777" w:rsidR="00060498" w:rsidRPr="00060498" w:rsidRDefault="00060498" w:rsidP="00041AED">
      <w:r>
        <w:t>Two</w:t>
      </w:r>
      <w:r w:rsidRPr="00060498">
        <w:t xml:space="preserve"> of the policy options outlined in Section </w:t>
      </w:r>
      <w:r w:rsidR="000A1DF8">
        <w:t>4</w:t>
      </w:r>
      <w:r w:rsidRPr="00060498">
        <w:t xml:space="preserve"> of this </w:t>
      </w:r>
      <w:r w:rsidR="00C45600">
        <w:t>IA</w:t>
      </w:r>
      <w:r w:rsidRPr="00060498">
        <w:t xml:space="preserve"> (Option </w:t>
      </w:r>
      <w:r>
        <w:t>2</w:t>
      </w:r>
      <w:r w:rsidRPr="00060498">
        <w:t xml:space="preserve">: </w:t>
      </w:r>
      <w:r w:rsidR="000A1DF8">
        <w:t>retain existing standards</w:t>
      </w:r>
      <w:r>
        <w:t xml:space="preserve"> </w:t>
      </w:r>
      <w:r w:rsidR="00786674">
        <w:t xml:space="preserve">under the RVSA </w:t>
      </w:r>
      <w:r w:rsidR="000A1DF8">
        <w:t xml:space="preserve">(BAU) </w:t>
      </w:r>
      <w:r w:rsidRPr="00060498">
        <w:t xml:space="preserve">and Option </w:t>
      </w:r>
      <w:r>
        <w:t>3</w:t>
      </w:r>
      <w:r w:rsidRPr="00060498">
        <w:t xml:space="preserve">: </w:t>
      </w:r>
      <w:r w:rsidR="000A1DF8">
        <w:t>implement updated</w:t>
      </w:r>
      <w:r w:rsidRPr="00060498">
        <w:t xml:space="preserve"> standards</w:t>
      </w:r>
      <w:r w:rsidR="00786674">
        <w:t xml:space="preserve"> under the RVSA</w:t>
      </w:r>
      <w:r w:rsidR="00085462">
        <w:t>)</w:t>
      </w:r>
      <w:r w:rsidRPr="00060498">
        <w:t xml:space="preserve">, were considered viable to analyse further. The results </w:t>
      </w:r>
      <w:r w:rsidR="000A1DF8">
        <w:t>for</w:t>
      </w:r>
      <w:r w:rsidRPr="00060498">
        <w:t xml:space="preserve"> </w:t>
      </w:r>
      <w:r w:rsidR="000A1DF8">
        <w:t>Option 3</w:t>
      </w:r>
      <w:r w:rsidRPr="00060498">
        <w:t xml:space="preserve"> were compared with what would happen if there was no </w:t>
      </w:r>
      <w:r w:rsidR="000A1DF8">
        <w:t>change to current requirements</w:t>
      </w:r>
      <w:r w:rsidR="00786674">
        <w:t xml:space="preserve"> (</w:t>
      </w:r>
      <w:r w:rsidRPr="00060498">
        <w:t xml:space="preserve">Option </w:t>
      </w:r>
      <w:r>
        <w:t>2</w:t>
      </w:r>
      <w:r w:rsidR="00786674">
        <w:t xml:space="preserve"> (BAU))</w:t>
      </w:r>
      <w:r w:rsidRPr="00060498">
        <w:t>.</w:t>
      </w:r>
    </w:p>
    <w:p w14:paraId="11500468" w14:textId="77777777" w:rsidR="00BF5447" w:rsidRDefault="00060498" w:rsidP="00BF5447">
      <w:r w:rsidRPr="00060498">
        <w:t>The period of analysis is 4</w:t>
      </w:r>
      <w:r>
        <w:t>0</w:t>
      </w:r>
      <w:r w:rsidRPr="00060498">
        <w:t xml:space="preserve"> years. This covers the expected life of the policy option (15 years of intervention) plus the time it takes for benefits to work their way through the fleet (around </w:t>
      </w:r>
      <w:r>
        <w:t>25</w:t>
      </w:r>
      <w:r w:rsidRPr="00060498">
        <w:t xml:space="preserve"> years, the </w:t>
      </w:r>
      <w:r w:rsidR="00301BBC">
        <w:t xml:space="preserve">maximum </w:t>
      </w:r>
      <w:r w:rsidRPr="00060498">
        <w:t xml:space="preserve">lifespan </w:t>
      </w:r>
      <w:r w:rsidR="001C3CA6">
        <w:t>used for</w:t>
      </w:r>
      <w:r w:rsidRPr="00060498">
        <w:t xml:space="preserve"> heavy vehicle</w:t>
      </w:r>
      <w:r w:rsidR="001C3CA6">
        <w:t xml:space="preserve">s </w:t>
      </w:r>
      <w:r w:rsidR="009C1D0E">
        <w:t>in this analysis</w:t>
      </w:r>
      <w:r w:rsidRPr="00060498">
        <w:t>).</w:t>
      </w:r>
      <w:r w:rsidR="00BF5447">
        <w:t xml:space="preserve"> All benefits and costs reported in this </w:t>
      </w:r>
      <w:r w:rsidR="00C45600">
        <w:t>IA</w:t>
      </w:r>
      <w:r w:rsidR="00BF5447">
        <w:t xml:space="preserve"> are present values as of 1 July 2023, which corresponds to the assumed policy commencement date for Option 3, including each sub-option.</w:t>
      </w:r>
    </w:p>
    <w:p w14:paraId="45C5D2FC" w14:textId="77777777" w:rsidR="002A6D71" w:rsidRPr="0084287E" w:rsidRDefault="002A6D71" w:rsidP="002A6D71">
      <w:pPr>
        <w:pStyle w:val="Heading3"/>
        <w:rPr>
          <w:lang w:val="en-AU"/>
        </w:rPr>
      </w:pPr>
      <w:bookmarkStart w:id="46" w:name="_Toc143182140"/>
      <w:r>
        <w:rPr>
          <w:lang w:val="en-AU"/>
        </w:rPr>
        <w:t xml:space="preserve">Demand </w:t>
      </w:r>
      <w:r w:rsidR="00422B9A">
        <w:rPr>
          <w:lang w:val="en-AU"/>
        </w:rPr>
        <w:t>f</w:t>
      </w:r>
      <w:r>
        <w:rPr>
          <w:lang w:val="en-AU"/>
        </w:rPr>
        <w:t>orecasts</w:t>
      </w:r>
      <w:bookmarkEnd w:id="46"/>
    </w:p>
    <w:p w14:paraId="513BF925" w14:textId="77777777" w:rsidR="002A6D71" w:rsidRDefault="00262774" w:rsidP="00041AED">
      <w:r>
        <w:t>To determine benefits and costs for Option 3</w:t>
      </w:r>
      <w:r w:rsidR="00397727">
        <w:t xml:space="preserve"> relative to BAU (Option 2)</w:t>
      </w:r>
      <w:r>
        <w:t>, the ARRB first needed to establish projections for the nu</w:t>
      </w:r>
      <w:r w:rsidR="00083E4F">
        <w:t xml:space="preserve">mber of goods vehicles and trailers over 4.5 tonnes that enter the fleet, as well as the likely uptake of wider vehicles, for each year </w:t>
      </w:r>
      <w:r w:rsidR="00397727">
        <w:t>during the expected 15-</w:t>
      </w:r>
      <w:r w:rsidR="00083E4F">
        <w:t>year life of this policy option.</w:t>
      </w:r>
    </w:p>
    <w:p w14:paraId="04D1D3FE" w14:textId="77777777" w:rsidR="00AC6075" w:rsidRDefault="00AC6075" w:rsidP="00AC6075">
      <w:pPr>
        <w:pStyle w:val="Heading4"/>
      </w:pPr>
      <w:r>
        <w:t xml:space="preserve">Projected </w:t>
      </w:r>
      <w:r w:rsidR="00422B9A">
        <w:t>f</w:t>
      </w:r>
      <w:r>
        <w:t xml:space="preserve">leet </w:t>
      </w:r>
      <w:r w:rsidR="00E72116">
        <w:t>size</w:t>
      </w:r>
    </w:p>
    <w:p w14:paraId="00BE58B2" w14:textId="77777777" w:rsidR="00AC6075" w:rsidRDefault="00B70F41" w:rsidP="00AC6075">
      <w:pPr>
        <w:rPr>
          <w:lang w:val="en-US"/>
        </w:rPr>
      </w:pPr>
      <w:r>
        <w:rPr>
          <w:lang w:val="en-US"/>
        </w:rPr>
        <w:t>Based on histo</w:t>
      </w:r>
      <w:r w:rsidR="00E72116">
        <w:rPr>
          <w:lang w:val="en-US"/>
        </w:rPr>
        <w:t xml:space="preserve">rical truck sales data provided directly by the Truck Industry Council and historical goods vehicle and trailer registration data published by the Australian Bureau of Statistics, the </w:t>
      </w:r>
      <w:r w:rsidR="00262774">
        <w:rPr>
          <w:lang w:val="en-US"/>
        </w:rPr>
        <w:t>ARRB estimated the number of new goods vehicles over 4.5</w:t>
      </w:r>
      <w:r w:rsidR="00262774" w:rsidRPr="00083E4F">
        <w:t xml:space="preserve"> tonnes</w:t>
      </w:r>
      <w:r w:rsidR="00262774">
        <w:rPr>
          <w:lang w:val="en-US"/>
        </w:rPr>
        <w:t xml:space="preserve"> that enter the fleet each year would increase by 2% per annum and the number of trailers over 4.5</w:t>
      </w:r>
      <w:r w:rsidR="00E72116">
        <w:t> </w:t>
      </w:r>
      <w:r w:rsidR="00262774" w:rsidRPr="00083E4F">
        <w:t>tonnes</w:t>
      </w:r>
      <w:r w:rsidR="00262774">
        <w:rPr>
          <w:lang w:val="en-US"/>
        </w:rPr>
        <w:t xml:space="preserve"> that enter the fleet each year would increase by 3.3% per annum.</w:t>
      </w:r>
    </w:p>
    <w:p w14:paraId="215D5897" w14:textId="77777777" w:rsidR="00262774" w:rsidRPr="00CC3596" w:rsidRDefault="00262774" w:rsidP="00AC6075">
      <w:pPr>
        <w:rPr>
          <w:lang w:val="en-US"/>
        </w:rPr>
      </w:pPr>
      <w:r>
        <w:rPr>
          <w:lang w:val="en-US"/>
        </w:rPr>
        <w:t>ARRB assumed the total fleet size for</w:t>
      </w:r>
      <w:r w:rsidR="00083E4F">
        <w:rPr>
          <w:lang w:val="en-US"/>
        </w:rPr>
        <w:t xml:space="preserve"> Option 3 would </w:t>
      </w:r>
      <w:r w:rsidR="00442574">
        <w:rPr>
          <w:lang w:val="en-US"/>
        </w:rPr>
        <w:t>be the same as for Option 2</w:t>
      </w:r>
      <w:r w:rsidR="00083E4F">
        <w:rPr>
          <w:lang w:val="en-US"/>
        </w:rPr>
        <w:t>.</w:t>
      </w:r>
    </w:p>
    <w:p w14:paraId="151C6DFA" w14:textId="77777777" w:rsidR="00AC6075" w:rsidRDefault="00AC6075" w:rsidP="00AC6075">
      <w:pPr>
        <w:pStyle w:val="Heading4"/>
      </w:pPr>
      <w:r>
        <w:t>Projected take</w:t>
      </w:r>
      <w:r w:rsidR="003D3D12">
        <w:t>-up</w:t>
      </w:r>
      <w:r>
        <w:t xml:space="preserve"> of </w:t>
      </w:r>
      <w:r w:rsidR="00422B9A">
        <w:t>w</w:t>
      </w:r>
      <w:r>
        <w:t xml:space="preserve">ider </w:t>
      </w:r>
      <w:r w:rsidR="00422B9A">
        <w:t>v</w:t>
      </w:r>
      <w:r>
        <w:t>ehicles</w:t>
      </w:r>
    </w:p>
    <w:p w14:paraId="7EB3DBFB" w14:textId="5130B2A0" w:rsidR="00AC6075" w:rsidRDefault="00D14966" w:rsidP="00AC6075">
      <w:r>
        <w:rPr>
          <w:lang w:val="en-US"/>
        </w:rPr>
        <w:t xml:space="preserve">Under Options </w:t>
      </w:r>
      <w:r>
        <w:t xml:space="preserve">3.1a, 3.1b, 3.2a, and 3.2b, the ARRB assumed the rate of take-up of wider freight vehicles would vary by country of origin/manufacture. </w:t>
      </w:r>
      <w:r w:rsidR="006B0EA5">
        <w:t xml:space="preserve">These assumptions are summarised in </w:t>
      </w:r>
      <w:r w:rsidR="00534814">
        <w:t xml:space="preserve">Table </w:t>
      </w:r>
      <w:r w:rsidR="00534814">
        <w:rPr>
          <w:noProof/>
        </w:rPr>
        <w:t>4</w:t>
      </w:r>
      <w:r w:rsidR="007E267D">
        <w:t>.</w:t>
      </w:r>
    </w:p>
    <w:p w14:paraId="550B31AB" w14:textId="7168404C" w:rsidR="006B0EA5" w:rsidRDefault="006B0EA5" w:rsidP="0059035C">
      <w:pPr>
        <w:pStyle w:val="Caption"/>
        <w:pageBreakBefore/>
      </w:pPr>
      <w:bookmarkStart w:id="47" w:name="_Ref111485024"/>
      <w:bookmarkStart w:id="48" w:name="_Toc135320129"/>
      <w:r>
        <w:t xml:space="preserve">Table </w:t>
      </w:r>
      <w:r w:rsidR="00534814">
        <w:rPr>
          <w:noProof/>
        </w:rPr>
        <w:t>4</w:t>
      </w:r>
      <w:bookmarkEnd w:id="47"/>
      <w:r>
        <w:t>: Assumed take-up of wider vehicles used in the analysis</w:t>
      </w:r>
      <w:bookmarkEnd w:id="48"/>
    </w:p>
    <w:tbl>
      <w:tblPr>
        <w:tblStyle w:val="TableGrid"/>
        <w:tblW w:w="0" w:type="auto"/>
        <w:tblLook w:val="04A0" w:firstRow="1" w:lastRow="0" w:firstColumn="1" w:lastColumn="0" w:noHBand="0" w:noVBand="1"/>
      </w:tblPr>
      <w:tblGrid>
        <w:gridCol w:w="2263"/>
        <w:gridCol w:w="7371"/>
      </w:tblGrid>
      <w:tr w:rsidR="007E267D" w14:paraId="5352BCC6" w14:textId="77777777" w:rsidTr="007E267D">
        <w:tc>
          <w:tcPr>
            <w:tcW w:w="2263" w:type="dxa"/>
            <w:shd w:val="clear" w:color="auto" w:fill="081E3E" w:themeFill="text2"/>
            <w:vAlign w:val="center"/>
          </w:tcPr>
          <w:p w14:paraId="297D4A8F" w14:textId="77777777" w:rsidR="007E267D" w:rsidRPr="00731C0C" w:rsidRDefault="007E267D" w:rsidP="007E267D">
            <w:pPr>
              <w:pStyle w:val="Table2heading"/>
              <w:jc w:val="left"/>
            </w:pPr>
            <w:r>
              <w:t>Country of origin</w:t>
            </w:r>
          </w:p>
        </w:tc>
        <w:tc>
          <w:tcPr>
            <w:tcW w:w="7371" w:type="dxa"/>
            <w:shd w:val="clear" w:color="auto" w:fill="081E3E" w:themeFill="text2"/>
            <w:vAlign w:val="center"/>
          </w:tcPr>
          <w:p w14:paraId="46A216D5" w14:textId="77777777" w:rsidR="007E267D" w:rsidRPr="00731C0C" w:rsidRDefault="007E267D" w:rsidP="007E267D">
            <w:pPr>
              <w:pStyle w:val="Table2heading"/>
              <w:keepNext/>
              <w:jc w:val="left"/>
            </w:pPr>
            <w:r>
              <w:t>Assumed take-up of wider freight vehicles (2.55 m or 2.6 m width by option)</w:t>
            </w:r>
          </w:p>
        </w:tc>
      </w:tr>
      <w:tr w:rsidR="00663F9E" w14:paraId="0AD3DA42" w14:textId="77777777" w:rsidTr="00663F9E">
        <w:trPr>
          <w:trHeight w:val="368"/>
        </w:trPr>
        <w:tc>
          <w:tcPr>
            <w:tcW w:w="2263" w:type="dxa"/>
            <w:vMerge w:val="restart"/>
            <w:vAlign w:val="center"/>
          </w:tcPr>
          <w:p w14:paraId="2820D824" w14:textId="77777777" w:rsidR="00663F9E" w:rsidRPr="00E856F5" w:rsidRDefault="00663F9E" w:rsidP="007E267D">
            <w:pPr>
              <w:rPr>
                <w:b/>
              </w:rPr>
            </w:pPr>
            <w:r>
              <w:rPr>
                <w:b/>
              </w:rPr>
              <w:t>Goods vehicles made in the EU or US</w:t>
            </w:r>
          </w:p>
        </w:tc>
        <w:tc>
          <w:tcPr>
            <w:tcW w:w="7371" w:type="dxa"/>
            <w:vAlign w:val="center"/>
          </w:tcPr>
          <w:p w14:paraId="0F109940" w14:textId="77777777" w:rsidR="00663F9E" w:rsidRDefault="00663F9E" w:rsidP="008916CF">
            <w:r>
              <w:t xml:space="preserve">Linear </w:t>
            </w:r>
            <w:r w:rsidR="008916CF">
              <w:t>increase</w:t>
            </w:r>
            <w:r>
              <w:t xml:space="preserve"> to 100% at 2.55 m wide in the 2 years from commencement of </w:t>
            </w:r>
            <w:r>
              <w:br/>
              <w:t>Options 3.1a or 3.1b.</w:t>
            </w:r>
          </w:p>
        </w:tc>
      </w:tr>
      <w:tr w:rsidR="00663F9E" w14:paraId="40A50B6E" w14:textId="77777777" w:rsidTr="007E267D">
        <w:trPr>
          <w:trHeight w:val="367"/>
        </w:trPr>
        <w:tc>
          <w:tcPr>
            <w:tcW w:w="2263" w:type="dxa"/>
            <w:vMerge/>
            <w:vAlign w:val="center"/>
          </w:tcPr>
          <w:p w14:paraId="7C68DDAE" w14:textId="77777777" w:rsidR="00663F9E" w:rsidRDefault="00663F9E" w:rsidP="007E267D">
            <w:pPr>
              <w:rPr>
                <w:b/>
              </w:rPr>
            </w:pPr>
          </w:p>
        </w:tc>
        <w:tc>
          <w:tcPr>
            <w:tcW w:w="7371" w:type="dxa"/>
            <w:vAlign w:val="center"/>
          </w:tcPr>
          <w:p w14:paraId="5E0D55E5" w14:textId="77777777" w:rsidR="00663F9E" w:rsidRDefault="008916CF" w:rsidP="00663F9E">
            <w:r>
              <w:t xml:space="preserve">Linear increase to </w:t>
            </w:r>
            <w:r w:rsidR="00663F9E">
              <w:t xml:space="preserve">100% at </w:t>
            </w:r>
            <w:r w:rsidR="00B9347B">
              <w:t>2.60</w:t>
            </w:r>
            <w:r w:rsidR="00663F9E">
              <w:t xml:space="preserve"> m wide in the 2 years from commencement of </w:t>
            </w:r>
            <w:r w:rsidR="00663F9E">
              <w:br/>
              <w:t>Options 3.2a or 3.2b.</w:t>
            </w:r>
          </w:p>
        </w:tc>
      </w:tr>
      <w:tr w:rsidR="00663F9E" w14:paraId="3B023623" w14:textId="77777777" w:rsidTr="00663F9E">
        <w:trPr>
          <w:trHeight w:val="248"/>
        </w:trPr>
        <w:tc>
          <w:tcPr>
            <w:tcW w:w="2263" w:type="dxa"/>
            <w:vMerge w:val="restart"/>
            <w:vAlign w:val="center"/>
          </w:tcPr>
          <w:p w14:paraId="16B4619E" w14:textId="77777777" w:rsidR="00663F9E" w:rsidRDefault="00663F9E" w:rsidP="00663F9E">
            <w:pPr>
              <w:rPr>
                <w:b/>
              </w:rPr>
            </w:pPr>
            <w:r>
              <w:rPr>
                <w:b/>
              </w:rPr>
              <w:t>Goods vehicles made in Australia</w:t>
            </w:r>
          </w:p>
        </w:tc>
        <w:tc>
          <w:tcPr>
            <w:tcW w:w="7371" w:type="dxa"/>
            <w:vAlign w:val="center"/>
          </w:tcPr>
          <w:p w14:paraId="21119808" w14:textId="77777777" w:rsidR="00663F9E" w:rsidRDefault="008916CF" w:rsidP="008916CF">
            <w:r>
              <w:t xml:space="preserve">Linear increase to </w:t>
            </w:r>
            <w:r w:rsidR="00663F9E">
              <w:t xml:space="preserve">100% at 2.55 m wide in the 15 years from commencement of </w:t>
            </w:r>
            <w:r w:rsidR="00663F9E">
              <w:br/>
              <w:t>Options 3.1a or 3.1b.</w:t>
            </w:r>
          </w:p>
        </w:tc>
      </w:tr>
      <w:tr w:rsidR="00663F9E" w14:paraId="5D39B3CA" w14:textId="77777777" w:rsidTr="007E267D">
        <w:trPr>
          <w:trHeight w:val="247"/>
        </w:trPr>
        <w:tc>
          <w:tcPr>
            <w:tcW w:w="2263" w:type="dxa"/>
            <w:vMerge/>
            <w:vAlign w:val="center"/>
          </w:tcPr>
          <w:p w14:paraId="5EE39E47" w14:textId="77777777" w:rsidR="00663F9E" w:rsidRDefault="00663F9E" w:rsidP="00663F9E">
            <w:pPr>
              <w:rPr>
                <w:b/>
              </w:rPr>
            </w:pPr>
          </w:p>
        </w:tc>
        <w:tc>
          <w:tcPr>
            <w:tcW w:w="7371" w:type="dxa"/>
            <w:vAlign w:val="center"/>
          </w:tcPr>
          <w:p w14:paraId="5D3BE128" w14:textId="77777777" w:rsidR="00663F9E" w:rsidRDefault="008916CF" w:rsidP="00663F9E">
            <w:r>
              <w:t xml:space="preserve">Linear increase to </w:t>
            </w:r>
            <w:r w:rsidR="00663F9E">
              <w:t xml:space="preserve">100% at </w:t>
            </w:r>
            <w:r w:rsidR="00B9347B">
              <w:t>2.60</w:t>
            </w:r>
            <w:r w:rsidR="00663F9E">
              <w:t xml:space="preserve"> m wide in the 15 years from commencement of </w:t>
            </w:r>
            <w:r w:rsidR="00663F9E">
              <w:br/>
              <w:t>Options 3.2a or 3.2b.</w:t>
            </w:r>
          </w:p>
        </w:tc>
      </w:tr>
      <w:tr w:rsidR="00663F9E" w14:paraId="715390C7" w14:textId="77777777" w:rsidTr="00663F9E">
        <w:trPr>
          <w:trHeight w:val="248"/>
        </w:trPr>
        <w:tc>
          <w:tcPr>
            <w:tcW w:w="2263" w:type="dxa"/>
            <w:vMerge w:val="restart"/>
            <w:vAlign w:val="center"/>
          </w:tcPr>
          <w:p w14:paraId="09B33AAE" w14:textId="77777777" w:rsidR="00663F9E" w:rsidRPr="00E856F5" w:rsidRDefault="00663F9E" w:rsidP="00663F9E">
            <w:pPr>
              <w:rPr>
                <w:b/>
              </w:rPr>
            </w:pPr>
            <w:r>
              <w:rPr>
                <w:b/>
              </w:rPr>
              <w:t>Goods vehicles made in Japan or Korea</w:t>
            </w:r>
          </w:p>
        </w:tc>
        <w:tc>
          <w:tcPr>
            <w:tcW w:w="7371" w:type="dxa"/>
            <w:vAlign w:val="center"/>
          </w:tcPr>
          <w:p w14:paraId="3BDEE713" w14:textId="77777777" w:rsidR="00663F9E" w:rsidRDefault="008916CF" w:rsidP="00663F9E">
            <w:r>
              <w:t>Linear increase</w:t>
            </w:r>
            <w:r w:rsidR="00663F9E">
              <w:t xml:space="preserve"> to 60% at 2.55 m wide in the 15 years from commencement of </w:t>
            </w:r>
            <w:r w:rsidR="00663F9E">
              <w:br/>
              <w:t>Options 3.1a or 3.1b.</w:t>
            </w:r>
          </w:p>
        </w:tc>
      </w:tr>
      <w:tr w:rsidR="00663F9E" w14:paraId="11166D1B" w14:textId="77777777" w:rsidTr="007E267D">
        <w:trPr>
          <w:trHeight w:val="247"/>
        </w:trPr>
        <w:tc>
          <w:tcPr>
            <w:tcW w:w="2263" w:type="dxa"/>
            <w:vMerge/>
            <w:vAlign w:val="center"/>
          </w:tcPr>
          <w:p w14:paraId="2DE60A12" w14:textId="77777777" w:rsidR="00663F9E" w:rsidRDefault="00663F9E" w:rsidP="00663F9E">
            <w:pPr>
              <w:rPr>
                <w:b/>
              </w:rPr>
            </w:pPr>
          </w:p>
        </w:tc>
        <w:tc>
          <w:tcPr>
            <w:tcW w:w="7371" w:type="dxa"/>
            <w:vAlign w:val="center"/>
          </w:tcPr>
          <w:p w14:paraId="6D1D1E0B" w14:textId="77777777" w:rsidR="00663F9E" w:rsidRDefault="008916CF" w:rsidP="00663F9E">
            <w:r>
              <w:t>Linear increase to</w:t>
            </w:r>
            <w:r w:rsidR="00663F9E">
              <w:t xml:space="preserve"> 60% at </w:t>
            </w:r>
            <w:r w:rsidR="00B9347B">
              <w:t>2.60</w:t>
            </w:r>
            <w:r w:rsidR="00663F9E">
              <w:t xml:space="preserve"> m wide in the 15 years from commencement of </w:t>
            </w:r>
            <w:r w:rsidR="00663F9E">
              <w:br/>
              <w:t>Options 3.2a or 3.2b.</w:t>
            </w:r>
          </w:p>
        </w:tc>
      </w:tr>
      <w:tr w:rsidR="00663F9E" w14:paraId="6278CC72" w14:textId="77777777" w:rsidTr="00663F9E">
        <w:trPr>
          <w:trHeight w:val="248"/>
        </w:trPr>
        <w:tc>
          <w:tcPr>
            <w:tcW w:w="2263" w:type="dxa"/>
            <w:vMerge w:val="restart"/>
            <w:vAlign w:val="center"/>
          </w:tcPr>
          <w:p w14:paraId="246467DF" w14:textId="77777777" w:rsidR="00663F9E" w:rsidRPr="00E856F5" w:rsidRDefault="00663F9E" w:rsidP="00663F9E">
            <w:pPr>
              <w:rPr>
                <w:b/>
              </w:rPr>
            </w:pPr>
            <w:r>
              <w:rPr>
                <w:b/>
              </w:rPr>
              <w:t>Trailers made in Australia</w:t>
            </w:r>
          </w:p>
        </w:tc>
        <w:tc>
          <w:tcPr>
            <w:tcW w:w="7371" w:type="dxa"/>
            <w:vAlign w:val="center"/>
          </w:tcPr>
          <w:p w14:paraId="3AF19F4B" w14:textId="77777777" w:rsidR="00663F9E" w:rsidRPr="009D3395" w:rsidRDefault="008916CF" w:rsidP="00E81F59">
            <w:r>
              <w:t xml:space="preserve">Linear increase to </w:t>
            </w:r>
            <w:r w:rsidR="00663F9E">
              <w:t>38% at 2.55 m wide in the 15 years from comme</w:t>
            </w:r>
            <w:r w:rsidR="00E81F59">
              <w:t xml:space="preserve">ncement of </w:t>
            </w:r>
            <w:r w:rsidR="00E81F59">
              <w:br/>
              <w:t>Option 3.1a</w:t>
            </w:r>
            <w:r w:rsidR="00663F9E">
              <w:t>.</w:t>
            </w:r>
          </w:p>
        </w:tc>
      </w:tr>
      <w:tr w:rsidR="00663F9E" w14:paraId="1CCBA921" w14:textId="77777777" w:rsidTr="007E267D">
        <w:trPr>
          <w:trHeight w:val="247"/>
        </w:trPr>
        <w:tc>
          <w:tcPr>
            <w:tcW w:w="2263" w:type="dxa"/>
            <w:vMerge/>
            <w:vAlign w:val="center"/>
          </w:tcPr>
          <w:p w14:paraId="4F482733" w14:textId="77777777" w:rsidR="00663F9E" w:rsidRDefault="00663F9E" w:rsidP="00663F9E">
            <w:pPr>
              <w:rPr>
                <w:b/>
              </w:rPr>
            </w:pPr>
          </w:p>
        </w:tc>
        <w:tc>
          <w:tcPr>
            <w:tcW w:w="7371" w:type="dxa"/>
            <w:vAlign w:val="center"/>
          </w:tcPr>
          <w:p w14:paraId="1E14BE0D" w14:textId="77777777" w:rsidR="00663F9E" w:rsidRPr="009D3395" w:rsidRDefault="008916CF" w:rsidP="00E81F59">
            <w:r>
              <w:t xml:space="preserve">Linear increase to </w:t>
            </w:r>
            <w:r w:rsidR="00663F9E">
              <w:t xml:space="preserve">38% at </w:t>
            </w:r>
            <w:r w:rsidR="00B9347B">
              <w:t>2.60</w:t>
            </w:r>
            <w:r w:rsidR="00663F9E">
              <w:t xml:space="preserve"> m wide in the 15 years from comme</w:t>
            </w:r>
            <w:r w:rsidR="00E81F59">
              <w:t xml:space="preserve">ncement of </w:t>
            </w:r>
            <w:r w:rsidR="00E81F59">
              <w:br/>
              <w:t>Option 3.2a</w:t>
            </w:r>
            <w:r w:rsidR="00663F9E">
              <w:t>.</w:t>
            </w:r>
          </w:p>
        </w:tc>
      </w:tr>
      <w:tr w:rsidR="00663F9E" w14:paraId="4F7F9848" w14:textId="77777777" w:rsidTr="007E267D">
        <w:tc>
          <w:tcPr>
            <w:tcW w:w="2263" w:type="dxa"/>
            <w:vMerge w:val="restart"/>
            <w:vAlign w:val="center"/>
          </w:tcPr>
          <w:p w14:paraId="4C241780" w14:textId="77777777" w:rsidR="00663F9E" w:rsidRPr="00E856F5" w:rsidRDefault="00663F9E" w:rsidP="00663F9E">
            <w:pPr>
              <w:rPr>
                <w:b/>
              </w:rPr>
            </w:pPr>
            <w:r>
              <w:rPr>
                <w:b/>
              </w:rPr>
              <w:t>Imported trailers</w:t>
            </w:r>
          </w:p>
        </w:tc>
        <w:tc>
          <w:tcPr>
            <w:tcW w:w="7371" w:type="dxa"/>
            <w:vAlign w:val="center"/>
          </w:tcPr>
          <w:p w14:paraId="1FA67267" w14:textId="77777777" w:rsidR="00663F9E" w:rsidRDefault="008916CF" w:rsidP="00E81F59">
            <w:r>
              <w:t xml:space="preserve">Linear increase to </w:t>
            </w:r>
            <w:r w:rsidR="00663F9E">
              <w:t>100% at 2.55 m wide in the 2 years from comme</w:t>
            </w:r>
            <w:r w:rsidR="00E81F59">
              <w:t xml:space="preserve">ncement of </w:t>
            </w:r>
            <w:r w:rsidR="00E81F59">
              <w:br/>
              <w:t>Option 3.1a</w:t>
            </w:r>
            <w:r w:rsidR="00663F9E">
              <w:t>.</w:t>
            </w:r>
          </w:p>
        </w:tc>
      </w:tr>
      <w:tr w:rsidR="00663F9E" w14:paraId="5BCC82F8" w14:textId="77777777" w:rsidTr="007E267D">
        <w:tc>
          <w:tcPr>
            <w:tcW w:w="2263" w:type="dxa"/>
            <w:vMerge/>
            <w:vAlign w:val="center"/>
          </w:tcPr>
          <w:p w14:paraId="6D01EB34" w14:textId="77777777" w:rsidR="00663F9E" w:rsidRDefault="00663F9E" w:rsidP="00663F9E">
            <w:pPr>
              <w:rPr>
                <w:b/>
              </w:rPr>
            </w:pPr>
          </w:p>
        </w:tc>
        <w:tc>
          <w:tcPr>
            <w:tcW w:w="7371" w:type="dxa"/>
            <w:vAlign w:val="center"/>
          </w:tcPr>
          <w:p w14:paraId="7DA91D0D" w14:textId="77777777" w:rsidR="00663F9E" w:rsidRDefault="008916CF" w:rsidP="00E81F59">
            <w:r>
              <w:t>Linear increase to</w:t>
            </w:r>
            <w:r w:rsidR="00663F9E">
              <w:t xml:space="preserve"> 100% at </w:t>
            </w:r>
            <w:r w:rsidR="00B9347B">
              <w:t>2.60</w:t>
            </w:r>
            <w:r w:rsidR="00663F9E">
              <w:t xml:space="preserve"> m wide in the 2 years from comme</w:t>
            </w:r>
            <w:r w:rsidR="00E81F59">
              <w:t xml:space="preserve">ncement of </w:t>
            </w:r>
            <w:r w:rsidR="00E81F59">
              <w:br/>
              <w:t>Option 3.2a</w:t>
            </w:r>
            <w:r w:rsidR="00663F9E">
              <w:t>.</w:t>
            </w:r>
          </w:p>
        </w:tc>
      </w:tr>
    </w:tbl>
    <w:p w14:paraId="4FC938B0" w14:textId="072E1593" w:rsidR="008621AD" w:rsidRDefault="00534814" w:rsidP="008621AD">
      <w:r>
        <w:t xml:space="preserve">Figure </w:t>
      </w:r>
      <w:r>
        <w:rPr>
          <w:noProof/>
        </w:rPr>
        <w:t>5</w:t>
      </w:r>
      <w:r w:rsidR="0087542A">
        <w:t xml:space="preserve"> and </w:t>
      </w:r>
      <w:r>
        <w:t xml:space="preserve">Figure </w:t>
      </w:r>
      <w:r>
        <w:rPr>
          <w:noProof/>
        </w:rPr>
        <w:t>6</w:t>
      </w:r>
      <w:r w:rsidR="0087542A">
        <w:t xml:space="preserve"> show the resulting modelled take-up of safer wider goods vehicles and trailers </w:t>
      </w:r>
      <w:r w:rsidR="00156B43">
        <w:t xml:space="preserve">(in total volume and percentage terms) </w:t>
      </w:r>
      <w:r w:rsidR="00CA7487">
        <w:t xml:space="preserve">for each year during the expected 15-year </w:t>
      </w:r>
      <w:r w:rsidR="002250AB">
        <w:t xml:space="preserve">policy </w:t>
      </w:r>
      <w:r w:rsidR="00CA7487">
        <w:t xml:space="preserve">life </w:t>
      </w:r>
      <w:r w:rsidR="0087542A">
        <w:t>under each of the options.</w:t>
      </w:r>
    </w:p>
    <w:p w14:paraId="7590948C" w14:textId="77777777" w:rsidR="00E03716" w:rsidRDefault="00495887" w:rsidP="008621AD">
      <w:r w:rsidRPr="00495887">
        <w:rPr>
          <w:noProof/>
        </w:rPr>
        <w:drawing>
          <wp:inline distT="0" distB="0" distL="0" distR="0" wp14:anchorId="07F8BF97" wp14:editId="25F57B52">
            <wp:extent cx="6263640" cy="3622675"/>
            <wp:effectExtent l="0" t="0" r="3810" b="0"/>
            <wp:docPr id="13" name="Picture 13" descr="Figure 5 graph showing the modelled take-up of wider goods vehicles under Options 3.1a, 3.1b, 3.2a, and 3.2b for 2023 to 2038, including the total goods vehicles added to the fleet from 2023 onwards, the number of safer goods vehicles in the fleet from 2023 onwards, and the percentage of safer wider goo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3622675"/>
                    </a:xfrm>
                    <a:prstGeom prst="rect">
                      <a:avLst/>
                    </a:prstGeom>
                  </pic:spPr>
                </pic:pic>
              </a:graphicData>
            </a:graphic>
          </wp:inline>
        </w:drawing>
      </w:r>
    </w:p>
    <w:p w14:paraId="469FAC2E" w14:textId="2AC2318A" w:rsidR="0087542A" w:rsidRDefault="0087542A" w:rsidP="0087542A">
      <w:pPr>
        <w:pStyle w:val="Caption"/>
        <w:spacing w:before="120"/>
      </w:pPr>
      <w:bookmarkStart w:id="49" w:name="_Ref135238703"/>
      <w:bookmarkStart w:id="50" w:name="_Toc135321395"/>
      <w:r>
        <w:t xml:space="preserve">Figure </w:t>
      </w:r>
      <w:r w:rsidR="00534814">
        <w:rPr>
          <w:noProof/>
        </w:rPr>
        <w:t>5</w:t>
      </w:r>
      <w:bookmarkEnd w:id="49"/>
      <w:r>
        <w:t xml:space="preserve">: </w:t>
      </w:r>
      <w:r w:rsidR="009C2CCC">
        <w:t>Modelled</w:t>
      </w:r>
      <w:r>
        <w:t xml:space="preserve"> take-up of </w:t>
      </w:r>
      <w:r w:rsidR="009C2CCC">
        <w:t>wider goods vehicles under Options 3.1a, 3.1b, 3.2a, and 3.2b</w:t>
      </w:r>
      <w:bookmarkEnd w:id="50"/>
    </w:p>
    <w:p w14:paraId="769D3B25" w14:textId="77777777" w:rsidR="0087542A" w:rsidRDefault="00495887" w:rsidP="008621AD">
      <w:r w:rsidRPr="00495887">
        <w:rPr>
          <w:noProof/>
        </w:rPr>
        <w:drawing>
          <wp:inline distT="0" distB="0" distL="0" distR="0" wp14:anchorId="07C0F0D9" wp14:editId="558C8797">
            <wp:extent cx="6263640" cy="3644265"/>
            <wp:effectExtent l="0" t="0" r="3810" b="0"/>
            <wp:docPr id="22" name="Picture 22" descr="Figure 6 graph showing the modelled take-up of wider trailers under Options 3.1a and 3.2a, for 2023 to 2038, including the total trailers added to the fleet from 2023 onwards, the number of safer trailers in the fleet from 2023 onwards, and the percentage of safer wider tr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3644265"/>
                    </a:xfrm>
                    <a:prstGeom prst="rect">
                      <a:avLst/>
                    </a:prstGeom>
                  </pic:spPr>
                </pic:pic>
              </a:graphicData>
            </a:graphic>
          </wp:inline>
        </w:drawing>
      </w:r>
    </w:p>
    <w:p w14:paraId="08F303DD" w14:textId="301C4F36" w:rsidR="0087542A" w:rsidRDefault="0087542A" w:rsidP="0087542A">
      <w:pPr>
        <w:pStyle w:val="Caption"/>
        <w:spacing w:before="120"/>
      </w:pPr>
      <w:bookmarkStart w:id="51" w:name="_Ref135238710"/>
      <w:bookmarkStart w:id="52" w:name="_Toc135321396"/>
      <w:r>
        <w:t xml:space="preserve">Figure </w:t>
      </w:r>
      <w:r w:rsidR="00534814">
        <w:rPr>
          <w:noProof/>
        </w:rPr>
        <w:t>6</w:t>
      </w:r>
      <w:bookmarkEnd w:id="51"/>
      <w:r>
        <w:t xml:space="preserve">: </w:t>
      </w:r>
      <w:r w:rsidR="009C2CCC">
        <w:t>Modelled take-up of wider trailers under Options 3.1a and 3.2a</w:t>
      </w:r>
      <w:bookmarkEnd w:id="52"/>
    </w:p>
    <w:p w14:paraId="6DE7EDDB" w14:textId="77777777" w:rsidR="00C50BD4" w:rsidRPr="0084287E" w:rsidRDefault="0084287E" w:rsidP="00060498">
      <w:pPr>
        <w:pStyle w:val="Heading3"/>
        <w:rPr>
          <w:lang w:val="en-AU"/>
        </w:rPr>
      </w:pPr>
      <w:bookmarkStart w:id="53" w:name="_Toc143182141"/>
      <w:r w:rsidRPr="0084287E">
        <w:rPr>
          <w:lang w:val="en-AU"/>
        </w:rPr>
        <w:t>Benefits</w:t>
      </w:r>
      <w:bookmarkEnd w:id="53"/>
    </w:p>
    <w:p w14:paraId="759CC9B7" w14:textId="77777777" w:rsidR="00163D15" w:rsidRDefault="00163D15" w:rsidP="00A65C10">
      <w:r w:rsidRPr="00163D15">
        <w:t xml:space="preserve">For Option </w:t>
      </w:r>
      <w:r>
        <w:t>2</w:t>
      </w:r>
      <w:r w:rsidRPr="00163D15">
        <w:t>, there are no intervention benefits (or costs) as this is the BAU case.</w:t>
      </w:r>
    </w:p>
    <w:p w14:paraId="1AF365B2" w14:textId="77777777" w:rsidR="0093529C" w:rsidRDefault="00163D15" w:rsidP="0093529C">
      <w:r>
        <w:t>For Option 3</w:t>
      </w:r>
      <w:r w:rsidR="00346147">
        <w:t>,</w:t>
      </w:r>
      <w:r w:rsidR="0093529C">
        <w:t xml:space="preserve"> there are benefits through reductions in trips and </w:t>
      </w:r>
      <w:r w:rsidR="004E0323">
        <w:t xml:space="preserve">the </w:t>
      </w:r>
      <w:r w:rsidR="0093529C">
        <w:t xml:space="preserve">associated reductions in crash exposure risk and vehicle operating and environmental costs, as well as </w:t>
      </w:r>
      <w:r w:rsidR="000A7F9C">
        <w:t xml:space="preserve">asset preservation benefits and </w:t>
      </w:r>
      <w:r w:rsidR="0093529C">
        <w:t>benefits from</w:t>
      </w:r>
      <w:r w:rsidR="000A7F9C">
        <w:t xml:space="preserve"> </w:t>
      </w:r>
      <w:r w:rsidR="004E0323">
        <w:t>the</w:t>
      </w:r>
      <w:r w:rsidR="0093529C">
        <w:t xml:space="preserve"> safety </w:t>
      </w:r>
      <w:r w:rsidR="008C56E5">
        <w:t>systems or devices</w:t>
      </w:r>
      <w:r w:rsidR="0093529C">
        <w:t xml:space="preserve"> required for wider vehicles.</w:t>
      </w:r>
    </w:p>
    <w:p w14:paraId="06912D04" w14:textId="77777777" w:rsidR="00D64ED5" w:rsidRDefault="000E780F" w:rsidP="0095005E">
      <w:pPr>
        <w:pStyle w:val="Heading4"/>
      </w:pPr>
      <w:r>
        <w:t>Reduction in trips</w:t>
      </w:r>
    </w:p>
    <w:p w14:paraId="0A78B3A5" w14:textId="77777777" w:rsidR="008D0786" w:rsidRDefault="004F41A5" w:rsidP="000D1D80">
      <w:pPr>
        <w:rPr>
          <w:lang w:val="en-US"/>
        </w:rPr>
      </w:pPr>
      <w:r>
        <w:rPr>
          <w:lang w:val="en-US"/>
        </w:rPr>
        <w:t xml:space="preserve">Increasing the heavy freight vehicle width limit to either 2.55 m or </w:t>
      </w:r>
      <w:r w:rsidR="00B9347B">
        <w:rPr>
          <w:lang w:val="en-US"/>
        </w:rPr>
        <w:t>2.60</w:t>
      </w:r>
      <w:r>
        <w:rPr>
          <w:lang w:val="en-US"/>
        </w:rPr>
        <w:t xml:space="preserve"> m </w:t>
      </w:r>
      <w:r w:rsidR="009B41FB">
        <w:rPr>
          <w:lang w:val="en-US"/>
        </w:rPr>
        <w:t xml:space="preserve">would allow </w:t>
      </w:r>
      <w:r w:rsidR="009B41FB">
        <w:t xml:space="preserve">some sectors of the road freight industry </w:t>
      </w:r>
      <w:r w:rsidR="009B41FB" w:rsidRPr="007C205D">
        <w:t>to complete the same fr</w:t>
      </w:r>
      <w:r w:rsidR="008D0786">
        <w:t>eight task in fewer trips. This</w:t>
      </w:r>
      <w:r w:rsidR="009B41FB" w:rsidRPr="007C205D">
        <w:t xml:space="preserve"> </w:t>
      </w:r>
      <w:r w:rsidR="009B41FB">
        <w:t>would reduce</w:t>
      </w:r>
      <w:r w:rsidR="009B41FB" w:rsidRPr="007C205D">
        <w:t xml:space="preserve"> exposure related crash risks</w:t>
      </w:r>
      <w:r w:rsidR="009B41FB">
        <w:t xml:space="preserve"> as well as vehicle operating and environmental costs</w:t>
      </w:r>
      <w:r w:rsidR="009B41FB" w:rsidRPr="007C205D">
        <w:t>.</w:t>
      </w:r>
    </w:p>
    <w:p w14:paraId="53907577" w14:textId="77777777" w:rsidR="000D1D80" w:rsidRPr="000D1D80" w:rsidRDefault="000D1D80" w:rsidP="000D1D80">
      <w:pPr>
        <w:rPr>
          <w:lang w:val="en-US"/>
        </w:rPr>
      </w:pPr>
      <w:r>
        <w:rPr>
          <w:lang w:val="en-US"/>
        </w:rPr>
        <w:t>The ARRB used road freight movement data from the A</w:t>
      </w:r>
      <w:r w:rsidR="009B41FB">
        <w:rPr>
          <w:lang w:val="en-US"/>
        </w:rPr>
        <w:t>ustralian Bureau of Statistics</w:t>
      </w:r>
      <w:r w:rsidR="003F4540">
        <w:rPr>
          <w:lang w:val="en-US"/>
        </w:rPr>
        <w:t xml:space="preserve"> </w:t>
      </w:r>
      <w:r>
        <w:rPr>
          <w:lang w:val="en-US"/>
        </w:rPr>
        <w:t xml:space="preserve">to estimate the possible reduction in </w:t>
      </w:r>
      <w:r w:rsidR="000D1315">
        <w:rPr>
          <w:lang w:val="en-US"/>
        </w:rPr>
        <w:t>trips</w:t>
      </w:r>
      <w:r>
        <w:rPr>
          <w:lang w:val="en-US"/>
        </w:rPr>
        <w:t xml:space="preserve"> for 2.55 m and </w:t>
      </w:r>
      <w:r w:rsidR="00B9347B">
        <w:rPr>
          <w:lang w:val="en-US"/>
        </w:rPr>
        <w:t>2.60</w:t>
      </w:r>
      <w:r>
        <w:rPr>
          <w:lang w:val="en-US"/>
        </w:rPr>
        <w:t xml:space="preserve"> m wide heavy freight vehicles. </w:t>
      </w:r>
      <w:r w:rsidR="004F41A5">
        <w:rPr>
          <w:lang w:val="en-US"/>
        </w:rPr>
        <w:t>In this analysis</w:t>
      </w:r>
      <w:r>
        <w:rPr>
          <w:lang w:val="en-US"/>
        </w:rPr>
        <w:t xml:space="preserve"> the ARRB considered that</w:t>
      </w:r>
      <w:r w:rsidRPr="003F4540">
        <w:t xml:space="preserve"> </w:t>
      </w:r>
      <w:r w:rsidR="002E117B">
        <w:t xml:space="preserve">payloads for </w:t>
      </w:r>
      <w:r w:rsidR="003F4540" w:rsidRPr="003F4540">
        <w:t>containerised</w:t>
      </w:r>
      <w:r w:rsidR="003F4540">
        <w:rPr>
          <w:lang w:val="en-US"/>
        </w:rPr>
        <w:t xml:space="preserve">, and </w:t>
      </w:r>
      <w:r w:rsidR="004F41A5">
        <w:t>solid</w:t>
      </w:r>
      <w:r>
        <w:t xml:space="preserve"> and liquid bulk freight</w:t>
      </w:r>
      <w:r w:rsidR="008D0786">
        <w:t xml:space="preserve"> (58% of total tonnes carried)</w:t>
      </w:r>
      <w:r w:rsidR="002054F1">
        <w:t>,</w:t>
      </w:r>
      <w:r>
        <w:t xml:space="preserve"> </w:t>
      </w:r>
      <w:r w:rsidR="003F4540">
        <w:t xml:space="preserve">are </w:t>
      </w:r>
      <w:r w:rsidR="002054F1">
        <w:t xml:space="preserve">currently limited by </w:t>
      </w:r>
      <w:r>
        <w:t>in-service axle mass limits</w:t>
      </w:r>
      <w:r w:rsidR="002054F1">
        <w:t xml:space="preserve">, and so would not increase </w:t>
      </w:r>
      <w:r w:rsidR="008D0786">
        <w:t>due to</w:t>
      </w:r>
      <w:r w:rsidR="002054F1">
        <w:t xml:space="preserve"> any increase in the width limit.</w:t>
      </w:r>
      <w:r w:rsidR="008D0786">
        <w:t xml:space="preserve"> T</w:t>
      </w:r>
      <w:r w:rsidR="00292035">
        <w:t>his leaves the remaining</w:t>
      </w:r>
      <w:r w:rsidR="008D0786">
        <w:t xml:space="preserve"> 42% of </w:t>
      </w:r>
      <w:r w:rsidR="00292035">
        <w:t xml:space="preserve">freight movements by mass, some of which </w:t>
      </w:r>
      <w:r w:rsidR="008D0786">
        <w:t>may be able to be</w:t>
      </w:r>
      <w:r w:rsidR="000D1315">
        <w:t xml:space="preserve"> moved in fewer trips. From this data,</w:t>
      </w:r>
      <w:r w:rsidR="008D0786">
        <w:t xml:space="preserve"> the ARRB estimated a 0.83%</w:t>
      </w:r>
      <w:r w:rsidR="00896C25">
        <w:t xml:space="preserve"> overall</w:t>
      </w:r>
      <w:r w:rsidR="008D0786">
        <w:t xml:space="preserve"> reduction in trips for 2.55 m wide freight vehicles, and a 1.</w:t>
      </w:r>
      <w:r w:rsidR="00896C25">
        <w:t>63% overall reduction</w:t>
      </w:r>
      <w:r w:rsidR="000D1315">
        <w:t xml:space="preserve"> </w:t>
      </w:r>
      <w:r w:rsidR="00896C25">
        <w:t xml:space="preserve">in trips for </w:t>
      </w:r>
      <w:r w:rsidR="00B9347B">
        <w:t>2.60</w:t>
      </w:r>
      <w:r w:rsidR="00896C25">
        <w:t xml:space="preserve"> m wide freight vehicles</w:t>
      </w:r>
      <w:r w:rsidR="00414A2F">
        <w:t xml:space="preserve"> (for all types of freight)</w:t>
      </w:r>
      <w:r w:rsidR="00896C25">
        <w:t>.</w:t>
      </w:r>
    </w:p>
    <w:p w14:paraId="67F73CBB" w14:textId="77777777" w:rsidR="00D64ED5" w:rsidRPr="00D64ED5" w:rsidRDefault="008D0786" w:rsidP="00D64ED5">
      <w:pPr>
        <w:rPr>
          <w:lang w:val="en-US"/>
        </w:rPr>
      </w:pPr>
      <w:r>
        <w:t>For refrigerated vehicles, the ARRB assumed any increase in the width limit would be used to fit thicker insulation, and so would not result in any increase in payload</w:t>
      </w:r>
      <w:r w:rsidR="00896C25">
        <w:t xml:space="preserve"> or</w:t>
      </w:r>
      <w:r w:rsidR="00FD2B38">
        <w:t xml:space="preserve"> any</w:t>
      </w:r>
      <w:r w:rsidR="00896C25">
        <w:t xml:space="preserve"> associated reduction in trips.</w:t>
      </w:r>
    </w:p>
    <w:p w14:paraId="12E1BE5C" w14:textId="77777777" w:rsidR="0095005E" w:rsidRDefault="00164075" w:rsidP="0095005E">
      <w:pPr>
        <w:pStyle w:val="Heading4"/>
      </w:pPr>
      <w:r>
        <w:t>Safety</w:t>
      </w:r>
    </w:p>
    <w:p w14:paraId="79507C87" w14:textId="33F86B3B" w:rsidR="00164075" w:rsidRDefault="00811478" w:rsidP="00C76566">
      <w:pPr>
        <w:keepLines/>
        <w:rPr>
          <w:lang w:val="en-US"/>
        </w:rPr>
      </w:pPr>
      <w:r>
        <w:rPr>
          <w:lang w:val="en-US"/>
        </w:rPr>
        <w:t xml:space="preserve">Under Options </w:t>
      </w:r>
      <w:r>
        <w:t>3.1a, 3.1b, 3.2a, and 3.2b</w:t>
      </w:r>
      <w:r w:rsidR="000D20B9">
        <w:t>,</w:t>
      </w:r>
      <w:r>
        <w:t xml:space="preserve"> safety benefits are expected to be achieved through reductions in crash risk due to both a decrease in the overall number of trips required to move the same freight, and the effectiveness of the required safety </w:t>
      </w:r>
      <w:r w:rsidR="000D20B9">
        <w:t>systems/</w:t>
      </w:r>
      <w:r w:rsidR="008C56E5">
        <w:t>features</w:t>
      </w:r>
      <w:r w:rsidR="000D20B9">
        <w:t xml:space="preserve">. The relative fatal and serious injury crash risk used by the ARRB in the benefit-cost analysis are summarised in </w:t>
      </w:r>
      <w:r w:rsidR="00534814" w:rsidRPr="002C1585">
        <w:t xml:space="preserve">Table </w:t>
      </w:r>
      <w:r w:rsidR="00534814">
        <w:rPr>
          <w:noProof/>
        </w:rPr>
        <w:t>5</w:t>
      </w:r>
      <w:r w:rsidR="000D20B9">
        <w:t xml:space="preserve"> below.</w:t>
      </w:r>
      <w:r w:rsidR="002C28C3">
        <w:t xml:space="preserve"> These values represent the difference in overall fatal or serious injury crash risk for a vehicle with the safety system/feature</w:t>
      </w:r>
      <w:r w:rsidR="00292035">
        <w:t>,</w:t>
      </w:r>
      <w:r w:rsidR="002C28C3">
        <w:t xml:space="preserve"> relative to a vehicle without the safety system/feature. For example, the 93.6% risk for Advanced Emergency Braking (AEB) indicates that this safety system has been estimated to reduce the risk that a heavy truck will be involved in a fatal or serious injury crash by 6.4% (i.e. 100</w:t>
      </w:r>
      <w:r w:rsidR="00FB1EEE">
        <w:t>%</w:t>
      </w:r>
      <w:r w:rsidR="002C28C3">
        <w:t xml:space="preserve"> – 93.6%).</w:t>
      </w:r>
    </w:p>
    <w:p w14:paraId="1FC62E39" w14:textId="35CB13CA" w:rsidR="00277958" w:rsidRPr="002C1585" w:rsidRDefault="00277958" w:rsidP="00277958">
      <w:pPr>
        <w:pStyle w:val="Caption"/>
      </w:pPr>
      <w:bookmarkStart w:id="54" w:name="_Ref111472534"/>
      <w:bookmarkStart w:id="55" w:name="_Toc135320130"/>
      <w:r w:rsidRPr="002C1585">
        <w:t xml:space="preserve">Table </w:t>
      </w:r>
      <w:r w:rsidR="00534814">
        <w:rPr>
          <w:noProof/>
        </w:rPr>
        <w:t>5</w:t>
      </w:r>
      <w:bookmarkEnd w:id="54"/>
      <w:r>
        <w:t xml:space="preserve">: </w:t>
      </w:r>
      <w:r w:rsidR="00395CFD">
        <w:t>Relative c</w:t>
      </w:r>
      <w:r>
        <w:t>rash risk</w:t>
      </w:r>
      <w:r w:rsidR="00395CFD">
        <w:t>s</w:t>
      </w:r>
      <w:r>
        <w:t xml:space="preserve"> </w:t>
      </w:r>
      <w:r w:rsidR="000D20B9">
        <w:t xml:space="preserve">used in the analysis </w:t>
      </w:r>
      <w:r>
        <w:t xml:space="preserve">for </w:t>
      </w:r>
      <w:r w:rsidR="000D20B9">
        <w:t>vehicle</w:t>
      </w:r>
      <w:r w:rsidR="000676D1">
        <w:t xml:space="preserve"> </w:t>
      </w:r>
      <w:r>
        <w:t xml:space="preserve">safety </w:t>
      </w:r>
      <w:r w:rsidR="000D20B9">
        <w:t xml:space="preserve">systems or </w:t>
      </w:r>
      <w:r w:rsidR="008C56E5">
        <w:t>features</w:t>
      </w:r>
      <w:bookmarkEnd w:id="55"/>
    </w:p>
    <w:tbl>
      <w:tblPr>
        <w:tblStyle w:val="TableGrid"/>
        <w:tblW w:w="0" w:type="auto"/>
        <w:tblLook w:val="04A0" w:firstRow="1" w:lastRow="0" w:firstColumn="1" w:lastColumn="0" w:noHBand="0" w:noVBand="1"/>
      </w:tblPr>
      <w:tblGrid>
        <w:gridCol w:w="3397"/>
        <w:gridCol w:w="3397"/>
        <w:gridCol w:w="1420"/>
        <w:gridCol w:w="1420"/>
      </w:tblGrid>
      <w:tr w:rsidR="00277958" w14:paraId="6145BAF2" w14:textId="77777777" w:rsidTr="00FA7005">
        <w:tc>
          <w:tcPr>
            <w:tcW w:w="3397" w:type="dxa"/>
            <w:shd w:val="clear" w:color="auto" w:fill="081E3E" w:themeFill="text2"/>
            <w:vAlign w:val="center"/>
          </w:tcPr>
          <w:p w14:paraId="10E7F8D5" w14:textId="77777777" w:rsidR="00277958" w:rsidRPr="005B7FCC" w:rsidRDefault="00277958" w:rsidP="00390513">
            <w:pPr>
              <w:rPr>
                <w:b/>
                <w:color w:val="FFFFFF" w:themeColor="background1"/>
                <w:lang w:val="en-US"/>
              </w:rPr>
            </w:pPr>
            <w:r>
              <w:rPr>
                <w:b/>
                <w:color w:val="FFFFFF" w:themeColor="background1"/>
                <w:lang w:val="en-US"/>
              </w:rPr>
              <w:t>Category</w:t>
            </w:r>
          </w:p>
        </w:tc>
        <w:tc>
          <w:tcPr>
            <w:tcW w:w="3397" w:type="dxa"/>
            <w:shd w:val="clear" w:color="auto" w:fill="081E3E" w:themeFill="text2"/>
            <w:vAlign w:val="center"/>
          </w:tcPr>
          <w:p w14:paraId="2E41B8BB" w14:textId="77777777" w:rsidR="00277958" w:rsidRPr="005B7FCC" w:rsidRDefault="00277958" w:rsidP="00FA7005">
            <w:pPr>
              <w:rPr>
                <w:b/>
                <w:color w:val="FFFFFF" w:themeColor="background1"/>
                <w:lang w:val="en-US"/>
              </w:rPr>
            </w:pPr>
            <w:r w:rsidRPr="005B7FCC">
              <w:rPr>
                <w:b/>
                <w:color w:val="FFFFFF" w:themeColor="background1"/>
                <w:lang w:val="en-US"/>
              </w:rPr>
              <w:t xml:space="preserve">Safety </w:t>
            </w:r>
            <w:r w:rsidR="000D20B9">
              <w:rPr>
                <w:b/>
                <w:color w:val="FFFFFF" w:themeColor="background1"/>
                <w:lang w:val="en-US"/>
              </w:rPr>
              <w:t xml:space="preserve">system or </w:t>
            </w:r>
            <w:r w:rsidRPr="005B7FCC">
              <w:rPr>
                <w:b/>
                <w:color w:val="FFFFFF" w:themeColor="background1"/>
                <w:lang w:val="en-US"/>
              </w:rPr>
              <w:t>feature</w:t>
            </w:r>
          </w:p>
        </w:tc>
        <w:tc>
          <w:tcPr>
            <w:tcW w:w="1420" w:type="dxa"/>
            <w:shd w:val="clear" w:color="auto" w:fill="081E3E" w:themeFill="text2"/>
            <w:vAlign w:val="center"/>
          </w:tcPr>
          <w:p w14:paraId="2A589E00" w14:textId="77777777" w:rsidR="00277958" w:rsidRPr="005B7FCC" w:rsidRDefault="00277958" w:rsidP="00390513">
            <w:pPr>
              <w:jc w:val="center"/>
              <w:rPr>
                <w:b/>
                <w:color w:val="FFFFFF" w:themeColor="background1"/>
                <w:lang w:val="en-US"/>
              </w:rPr>
            </w:pPr>
            <w:r>
              <w:rPr>
                <w:b/>
                <w:color w:val="FFFFFF" w:themeColor="background1"/>
                <w:lang w:val="en-US"/>
              </w:rPr>
              <w:t>Fatality</w:t>
            </w:r>
          </w:p>
        </w:tc>
        <w:tc>
          <w:tcPr>
            <w:tcW w:w="1420" w:type="dxa"/>
            <w:shd w:val="clear" w:color="auto" w:fill="081E3E" w:themeFill="text2"/>
            <w:vAlign w:val="center"/>
          </w:tcPr>
          <w:p w14:paraId="24B22517" w14:textId="77777777" w:rsidR="00277958" w:rsidRDefault="00277958" w:rsidP="00390513">
            <w:pPr>
              <w:jc w:val="center"/>
              <w:rPr>
                <w:b/>
                <w:color w:val="FFFFFF" w:themeColor="background1"/>
                <w:lang w:val="en-US"/>
              </w:rPr>
            </w:pPr>
            <w:r>
              <w:rPr>
                <w:b/>
                <w:color w:val="FFFFFF" w:themeColor="background1"/>
                <w:lang w:val="en-US"/>
              </w:rPr>
              <w:t>Serious Injury</w:t>
            </w:r>
          </w:p>
        </w:tc>
      </w:tr>
      <w:tr w:rsidR="00277958" w14:paraId="6FDCFD19" w14:textId="77777777" w:rsidTr="007041C3">
        <w:trPr>
          <w:trHeight w:val="284"/>
        </w:trPr>
        <w:tc>
          <w:tcPr>
            <w:tcW w:w="3397" w:type="dxa"/>
            <w:vMerge w:val="restart"/>
          </w:tcPr>
          <w:p w14:paraId="4B21BCB7" w14:textId="77777777" w:rsidR="00277958" w:rsidRDefault="00277958" w:rsidP="00277958">
            <w:pPr>
              <w:rPr>
                <w:lang w:val="en-US"/>
              </w:rPr>
            </w:pPr>
            <w:r>
              <w:rPr>
                <w:lang w:val="en-US"/>
              </w:rPr>
              <w:t>Trucks (fleet average for sub-category NB2 and category NC)</w:t>
            </w:r>
          </w:p>
        </w:tc>
        <w:tc>
          <w:tcPr>
            <w:tcW w:w="3397" w:type="dxa"/>
          </w:tcPr>
          <w:p w14:paraId="68519A69" w14:textId="77777777" w:rsidR="00277958" w:rsidRDefault="00277958" w:rsidP="00277958">
            <w:pPr>
              <w:rPr>
                <w:lang w:val="en-US"/>
              </w:rPr>
            </w:pPr>
            <w:r>
              <w:rPr>
                <w:lang w:val="en-US"/>
              </w:rPr>
              <w:t>Enhanced devices for indirect vision</w:t>
            </w:r>
          </w:p>
        </w:tc>
        <w:tc>
          <w:tcPr>
            <w:tcW w:w="1420" w:type="dxa"/>
            <w:vAlign w:val="center"/>
          </w:tcPr>
          <w:p w14:paraId="1D9D977F" w14:textId="77777777" w:rsidR="00277958" w:rsidRDefault="00277958" w:rsidP="002B43B2">
            <w:pPr>
              <w:jc w:val="center"/>
              <w:rPr>
                <w:lang w:val="en-US"/>
              </w:rPr>
            </w:pPr>
            <w:r w:rsidRPr="005C3AB5">
              <w:t>99.4%</w:t>
            </w:r>
          </w:p>
        </w:tc>
        <w:tc>
          <w:tcPr>
            <w:tcW w:w="1420" w:type="dxa"/>
            <w:vAlign w:val="center"/>
          </w:tcPr>
          <w:p w14:paraId="41C9A573" w14:textId="77777777" w:rsidR="00277958" w:rsidRPr="00257C83" w:rsidRDefault="00277958" w:rsidP="002B43B2">
            <w:pPr>
              <w:jc w:val="center"/>
            </w:pPr>
            <w:r w:rsidRPr="005C3AB5">
              <w:t>99.4%</w:t>
            </w:r>
          </w:p>
        </w:tc>
      </w:tr>
      <w:tr w:rsidR="00277958" w14:paraId="73CC3C6F" w14:textId="77777777" w:rsidTr="007041C3">
        <w:trPr>
          <w:trHeight w:val="284"/>
        </w:trPr>
        <w:tc>
          <w:tcPr>
            <w:tcW w:w="3397" w:type="dxa"/>
            <w:vMerge/>
          </w:tcPr>
          <w:p w14:paraId="0BE69D80" w14:textId="77777777" w:rsidR="00277958" w:rsidRDefault="00277958" w:rsidP="00277958">
            <w:pPr>
              <w:rPr>
                <w:lang w:val="en-US"/>
              </w:rPr>
            </w:pPr>
          </w:p>
        </w:tc>
        <w:tc>
          <w:tcPr>
            <w:tcW w:w="3397" w:type="dxa"/>
          </w:tcPr>
          <w:p w14:paraId="2934DCE4" w14:textId="77777777" w:rsidR="00277958" w:rsidRDefault="00277958" w:rsidP="00277958">
            <w:pPr>
              <w:rPr>
                <w:lang w:val="en-US"/>
              </w:rPr>
            </w:pPr>
            <w:r>
              <w:rPr>
                <w:lang w:val="en-US"/>
              </w:rPr>
              <w:t>Electronic Stability Control</w:t>
            </w:r>
          </w:p>
        </w:tc>
        <w:tc>
          <w:tcPr>
            <w:tcW w:w="1420" w:type="dxa"/>
            <w:vAlign w:val="center"/>
          </w:tcPr>
          <w:p w14:paraId="6C0AE2CE" w14:textId="77777777" w:rsidR="00277958" w:rsidRDefault="00277958" w:rsidP="002B43B2">
            <w:pPr>
              <w:jc w:val="center"/>
              <w:rPr>
                <w:lang w:val="en-US"/>
              </w:rPr>
            </w:pPr>
            <w:r w:rsidRPr="005C3AB5">
              <w:t>93.6%</w:t>
            </w:r>
          </w:p>
        </w:tc>
        <w:tc>
          <w:tcPr>
            <w:tcW w:w="1420" w:type="dxa"/>
            <w:vAlign w:val="center"/>
          </w:tcPr>
          <w:p w14:paraId="78ABD9B7" w14:textId="77777777" w:rsidR="00277958" w:rsidRDefault="00277958" w:rsidP="002B43B2">
            <w:pPr>
              <w:jc w:val="center"/>
            </w:pPr>
            <w:r w:rsidRPr="005C3AB5">
              <w:t>93.6%</w:t>
            </w:r>
          </w:p>
        </w:tc>
      </w:tr>
      <w:tr w:rsidR="00277958" w14:paraId="51E08E07" w14:textId="77777777" w:rsidTr="007041C3">
        <w:trPr>
          <w:trHeight w:val="284"/>
        </w:trPr>
        <w:tc>
          <w:tcPr>
            <w:tcW w:w="3397" w:type="dxa"/>
            <w:vMerge/>
          </w:tcPr>
          <w:p w14:paraId="7D37715F" w14:textId="77777777" w:rsidR="00277958" w:rsidRDefault="00277958" w:rsidP="00277958">
            <w:pPr>
              <w:rPr>
                <w:lang w:val="en-US"/>
              </w:rPr>
            </w:pPr>
          </w:p>
        </w:tc>
        <w:tc>
          <w:tcPr>
            <w:tcW w:w="3397" w:type="dxa"/>
          </w:tcPr>
          <w:p w14:paraId="53053DE0" w14:textId="77777777" w:rsidR="00277958" w:rsidRDefault="00277958" w:rsidP="00277958">
            <w:pPr>
              <w:rPr>
                <w:lang w:val="en-US"/>
              </w:rPr>
            </w:pPr>
            <w:r>
              <w:rPr>
                <w:lang w:val="en-US"/>
              </w:rPr>
              <w:t>Advanced Emergency Braking</w:t>
            </w:r>
          </w:p>
        </w:tc>
        <w:tc>
          <w:tcPr>
            <w:tcW w:w="1420" w:type="dxa"/>
            <w:vAlign w:val="center"/>
          </w:tcPr>
          <w:p w14:paraId="0B2397AA" w14:textId="77777777" w:rsidR="00277958" w:rsidRDefault="00277958" w:rsidP="002B43B2">
            <w:pPr>
              <w:jc w:val="center"/>
              <w:rPr>
                <w:lang w:val="en-US"/>
              </w:rPr>
            </w:pPr>
            <w:r w:rsidRPr="005C3AB5">
              <w:t>93.6%</w:t>
            </w:r>
          </w:p>
        </w:tc>
        <w:tc>
          <w:tcPr>
            <w:tcW w:w="1420" w:type="dxa"/>
            <w:vAlign w:val="center"/>
          </w:tcPr>
          <w:p w14:paraId="6F7E0DB3" w14:textId="77777777" w:rsidR="00277958" w:rsidRPr="00257C83" w:rsidRDefault="00277958" w:rsidP="002B43B2">
            <w:pPr>
              <w:jc w:val="center"/>
            </w:pPr>
            <w:r w:rsidRPr="005C3AB5">
              <w:t>93.6%</w:t>
            </w:r>
          </w:p>
        </w:tc>
      </w:tr>
      <w:tr w:rsidR="00277958" w14:paraId="2C8A38C0" w14:textId="77777777" w:rsidTr="007041C3">
        <w:trPr>
          <w:trHeight w:val="284"/>
        </w:trPr>
        <w:tc>
          <w:tcPr>
            <w:tcW w:w="3397" w:type="dxa"/>
            <w:vMerge/>
          </w:tcPr>
          <w:p w14:paraId="2EB58214" w14:textId="77777777" w:rsidR="00277958" w:rsidRDefault="00277958" w:rsidP="00277958">
            <w:pPr>
              <w:rPr>
                <w:lang w:val="en-US"/>
              </w:rPr>
            </w:pPr>
          </w:p>
        </w:tc>
        <w:tc>
          <w:tcPr>
            <w:tcW w:w="3397" w:type="dxa"/>
          </w:tcPr>
          <w:p w14:paraId="044C0373" w14:textId="77777777" w:rsidR="00277958" w:rsidRDefault="00277958" w:rsidP="00277958">
            <w:pPr>
              <w:rPr>
                <w:lang w:val="en-US"/>
              </w:rPr>
            </w:pPr>
            <w:r>
              <w:rPr>
                <w:lang w:val="en-US"/>
              </w:rPr>
              <w:t>Lane Departure Warning</w:t>
            </w:r>
          </w:p>
        </w:tc>
        <w:tc>
          <w:tcPr>
            <w:tcW w:w="1420" w:type="dxa"/>
            <w:vAlign w:val="center"/>
          </w:tcPr>
          <w:p w14:paraId="732CFF82" w14:textId="77777777" w:rsidR="00277958" w:rsidRDefault="00277958" w:rsidP="002B43B2">
            <w:pPr>
              <w:jc w:val="center"/>
              <w:rPr>
                <w:lang w:val="en-US"/>
              </w:rPr>
            </w:pPr>
            <w:r w:rsidRPr="005C3AB5">
              <w:t>95.6%</w:t>
            </w:r>
          </w:p>
        </w:tc>
        <w:tc>
          <w:tcPr>
            <w:tcW w:w="1420" w:type="dxa"/>
            <w:vAlign w:val="center"/>
          </w:tcPr>
          <w:p w14:paraId="205308ED" w14:textId="77777777" w:rsidR="00277958" w:rsidRPr="00257C83" w:rsidRDefault="00277958" w:rsidP="002B43B2">
            <w:pPr>
              <w:jc w:val="center"/>
            </w:pPr>
            <w:r w:rsidRPr="005C3AB5">
              <w:t>95.6%</w:t>
            </w:r>
          </w:p>
        </w:tc>
      </w:tr>
      <w:tr w:rsidR="00277958" w14:paraId="578CF4A8" w14:textId="77777777" w:rsidTr="007041C3">
        <w:trPr>
          <w:trHeight w:val="284"/>
        </w:trPr>
        <w:tc>
          <w:tcPr>
            <w:tcW w:w="3397" w:type="dxa"/>
            <w:vMerge/>
          </w:tcPr>
          <w:p w14:paraId="4DAFF09F" w14:textId="77777777" w:rsidR="00277958" w:rsidRDefault="00277958" w:rsidP="00277958">
            <w:pPr>
              <w:rPr>
                <w:lang w:val="en-US"/>
              </w:rPr>
            </w:pPr>
          </w:p>
        </w:tc>
        <w:tc>
          <w:tcPr>
            <w:tcW w:w="3397" w:type="dxa"/>
          </w:tcPr>
          <w:p w14:paraId="71AED98D" w14:textId="77777777" w:rsidR="00277958" w:rsidRDefault="00277958" w:rsidP="00277958">
            <w:pPr>
              <w:rPr>
                <w:lang w:val="en-US"/>
              </w:rPr>
            </w:pPr>
            <w:r>
              <w:rPr>
                <w:lang w:val="en-US"/>
              </w:rPr>
              <w:t>Blind Spot Information</w:t>
            </w:r>
          </w:p>
        </w:tc>
        <w:tc>
          <w:tcPr>
            <w:tcW w:w="1420" w:type="dxa"/>
            <w:vAlign w:val="center"/>
          </w:tcPr>
          <w:p w14:paraId="5BDCF599" w14:textId="77777777" w:rsidR="00277958" w:rsidRDefault="00277958" w:rsidP="002B43B2">
            <w:pPr>
              <w:jc w:val="center"/>
              <w:rPr>
                <w:lang w:val="en-US"/>
              </w:rPr>
            </w:pPr>
            <w:r w:rsidRPr="005C3AB5">
              <w:t>99.4%</w:t>
            </w:r>
          </w:p>
        </w:tc>
        <w:tc>
          <w:tcPr>
            <w:tcW w:w="1420" w:type="dxa"/>
            <w:vAlign w:val="center"/>
          </w:tcPr>
          <w:p w14:paraId="46C6E6B1" w14:textId="77777777" w:rsidR="00277958" w:rsidRPr="00257C83" w:rsidRDefault="00277958" w:rsidP="002B43B2">
            <w:pPr>
              <w:jc w:val="center"/>
            </w:pPr>
            <w:r w:rsidRPr="005C3AB5">
              <w:t>99.4%</w:t>
            </w:r>
          </w:p>
        </w:tc>
      </w:tr>
      <w:tr w:rsidR="00277958" w14:paraId="04F27911" w14:textId="77777777" w:rsidTr="007041C3">
        <w:trPr>
          <w:trHeight w:val="284"/>
        </w:trPr>
        <w:tc>
          <w:tcPr>
            <w:tcW w:w="3397" w:type="dxa"/>
            <w:vMerge/>
          </w:tcPr>
          <w:p w14:paraId="5592C17F" w14:textId="77777777" w:rsidR="00277958" w:rsidRDefault="00277958" w:rsidP="00277958">
            <w:pPr>
              <w:rPr>
                <w:lang w:val="en-US"/>
              </w:rPr>
            </w:pPr>
          </w:p>
        </w:tc>
        <w:tc>
          <w:tcPr>
            <w:tcW w:w="3397" w:type="dxa"/>
          </w:tcPr>
          <w:p w14:paraId="7A1617A0" w14:textId="77777777" w:rsidR="00277958" w:rsidRDefault="00277958" w:rsidP="00277958">
            <w:pPr>
              <w:rPr>
                <w:lang w:val="en-US"/>
              </w:rPr>
            </w:pPr>
            <w:r>
              <w:rPr>
                <w:lang w:val="en-US"/>
              </w:rPr>
              <w:t>Side Underrun Protection</w:t>
            </w:r>
          </w:p>
        </w:tc>
        <w:tc>
          <w:tcPr>
            <w:tcW w:w="1420" w:type="dxa"/>
            <w:vAlign w:val="center"/>
          </w:tcPr>
          <w:p w14:paraId="3C9543F2" w14:textId="77777777" w:rsidR="00277958" w:rsidRDefault="00277958" w:rsidP="002B43B2">
            <w:pPr>
              <w:jc w:val="center"/>
              <w:rPr>
                <w:lang w:val="en-US"/>
              </w:rPr>
            </w:pPr>
            <w:r w:rsidRPr="005C3AB5">
              <w:rPr>
                <w:color w:val="auto"/>
                <w:szCs w:val="18"/>
              </w:rPr>
              <w:t>98.</w:t>
            </w:r>
            <w:r w:rsidR="004A69AD">
              <w:rPr>
                <w:color w:val="auto"/>
                <w:szCs w:val="18"/>
              </w:rPr>
              <w:t>6</w:t>
            </w:r>
            <w:r w:rsidRPr="005C3AB5">
              <w:rPr>
                <w:color w:val="auto"/>
                <w:szCs w:val="18"/>
              </w:rPr>
              <w:t>%</w:t>
            </w:r>
          </w:p>
        </w:tc>
        <w:tc>
          <w:tcPr>
            <w:tcW w:w="1420" w:type="dxa"/>
            <w:vAlign w:val="center"/>
          </w:tcPr>
          <w:p w14:paraId="455C6744" w14:textId="77777777" w:rsidR="00277958" w:rsidRPr="00257C83" w:rsidRDefault="00277958" w:rsidP="002B43B2">
            <w:pPr>
              <w:jc w:val="center"/>
            </w:pPr>
            <w:r w:rsidRPr="005C3AB5">
              <w:rPr>
                <w:color w:val="auto"/>
                <w:szCs w:val="18"/>
              </w:rPr>
              <w:t>99.9%</w:t>
            </w:r>
          </w:p>
        </w:tc>
      </w:tr>
      <w:tr w:rsidR="00277958" w14:paraId="7A65234A" w14:textId="77777777" w:rsidTr="007041C3">
        <w:trPr>
          <w:trHeight w:val="284"/>
        </w:trPr>
        <w:tc>
          <w:tcPr>
            <w:tcW w:w="3397" w:type="dxa"/>
            <w:vMerge/>
          </w:tcPr>
          <w:p w14:paraId="651B4116" w14:textId="77777777" w:rsidR="00277958" w:rsidRDefault="00277958" w:rsidP="00277958">
            <w:pPr>
              <w:rPr>
                <w:lang w:val="en-US"/>
              </w:rPr>
            </w:pPr>
          </w:p>
        </w:tc>
        <w:tc>
          <w:tcPr>
            <w:tcW w:w="3397" w:type="dxa"/>
          </w:tcPr>
          <w:p w14:paraId="619CE6DF" w14:textId="77777777" w:rsidR="00277958" w:rsidRDefault="00277958" w:rsidP="00277958">
            <w:pPr>
              <w:rPr>
                <w:lang w:val="en-US"/>
              </w:rPr>
            </w:pPr>
            <w:r>
              <w:rPr>
                <w:lang w:val="en-US"/>
              </w:rPr>
              <w:t>Conspicuity markings</w:t>
            </w:r>
          </w:p>
        </w:tc>
        <w:tc>
          <w:tcPr>
            <w:tcW w:w="1420" w:type="dxa"/>
            <w:vAlign w:val="center"/>
          </w:tcPr>
          <w:p w14:paraId="5B51D8D8" w14:textId="77777777" w:rsidR="00277958" w:rsidRDefault="00277958" w:rsidP="002B43B2">
            <w:pPr>
              <w:jc w:val="center"/>
              <w:rPr>
                <w:lang w:val="en-US"/>
              </w:rPr>
            </w:pPr>
            <w:r w:rsidRPr="005C3AB5">
              <w:rPr>
                <w:color w:val="auto"/>
                <w:szCs w:val="18"/>
              </w:rPr>
              <w:t>97.8%</w:t>
            </w:r>
          </w:p>
        </w:tc>
        <w:tc>
          <w:tcPr>
            <w:tcW w:w="1420" w:type="dxa"/>
            <w:vAlign w:val="center"/>
          </w:tcPr>
          <w:p w14:paraId="6DF8BC85" w14:textId="77777777" w:rsidR="00277958" w:rsidRPr="00257C83" w:rsidRDefault="00277958" w:rsidP="002B43B2">
            <w:pPr>
              <w:jc w:val="center"/>
            </w:pPr>
            <w:r w:rsidRPr="005C3AB5">
              <w:rPr>
                <w:color w:val="auto"/>
                <w:szCs w:val="18"/>
              </w:rPr>
              <w:t>97.8%</w:t>
            </w:r>
          </w:p>
        </w:tc>
      </w:tr>
      <w:tr w:rsidR="00277958" w14:paraId="6D8AF0B5" w14:textId="77777777" w:rsidTr="007041C3">
        <w:trPr>
          <w:trHeight w:val="284"/>
        </w:trPr>
        <w:tc>
          <w:tcPr>
            <w:tcW w:w="3397" w:type="dxa"/>
            <w:vMerge w:val="restart"/>
          </w:tcPr>
          <w:p w14:paraId="1507BA28" w14:textId="77777777" w:rsidR="00277958" w:rsidRDefault="00277958" w:rsidP="00277958">
            <w:pPr>
              <w:rPr>
                <w:lang w:val="en-US"/>
              </w:rPr>
            </w:pPr>
            <w:r>
              <w:rPr>
                <w:lang w:val="en-US"/>
              </w:rPr>
              <w:t xml:space="preserve">Trailers (fleet average for category TC over 4.5 </w:t>
            </w:r>
            <w:proofErr w:type="spellStart"/>
            <w:r>
              <w:rPr>
                <w:lang w:val="en-US"/>
              </w:rPr>
              <w:t>tonnes</w:t>
            </w:r>
            <w:proofErr w:type="spellEnd"/>
            <w:r>
              <w:rPr>
                <w:lang w:val="en-US"/>
              </w:rPr>
              <w:t xml:space="preserve"> GTM and category TD)</w:t>
            </w:r>
          </w:p>
        </w:tc>
        <w:tc>
          <w:tcPr>
            <w:tcW w:w="3397" w:type="dxa"/>
          </w:tcPr>
          <w:p w14:paraId="647D5623" w14:textId="77777777" w:rsidR="00277958" w:rsidRDefault="00277958" w:rsidP="00277958">
            <w:pPr>
              <w:rPr>
                <w:lang w:val="en-US"/>
              </w:rPr>
            </w:pPr>
            <w:r>
              <w:rPr>
                <w:lang w:val="en-US"/>
              </w:rPr>
              <w:t>Side Underrun Protection</w:t>
            </w:r>
          </w:p>
        </w:tc>
        <w:tc>
          <w:tcPr>
            <w:tcW w:w="1420" w:type="dxa"/>
            <w:vAlign w:val="center"/>
          </w:tcPr>
          <w:p w14:paraId="375E731A" w14:textId="77777777" w:rsidR="00277958" w:rsidRPr="00257C83" w:rsidRDefault="00277958" w:rsidP="002B43B2">
            <w:pPr>
              <w:jc w:val="center"/>
            </w:pPr>
            <w:r w:rsidRPr="005C3AB5">
              <w:rPr>
                <w:color w:val="auto"/>
                <w:szCs w:val="18"/>
              </w:rPr>
              <w:t>98.</w:t>
            </w:r>
            <w:r w:rsidR="00583F01">
              <w:rPr>
                <w:color w:val="auto"/>
                <w:szCs w:val="18"/>
              </w:rPr>
              <w:t>6</w:t>
            </w:r>
            <w:r w:rsidRPr="005C3AB5">
              <w:rPr>
                <w:color w:val="auto"/>
                <w:szCs w:val="18"/>
              </w:rPr>
              <w:t>%</w:t>
            </w:r>
          </w:p>
        </w:tc>
        <w:tc>
          <w:tcPr>
            <w:tcW w:w="1420" w:type="dxa"/>
            <w:vAlign w:val="center"/>
          </w:tcPr>
          <w:p w14:paraId="3D7285FC" w14:textId="77777777" w:rsidR="00277958" w:rsidRDefault="00277958" w:rsidP="002B43B2">
            <w:pPr>
              <w:jc w:val="center"/>
            </w:pPr>
            <w:r w:rsidRPr="005C3AB5">
              <w:rPr>
                <w:color w:val="auto"/>
                <w:szCs w:val="18"/>
              </w:rPr>
              <w:t>99.9%</w:t>
            </w:r>
          </w:p>
        </w:tc>
      </w:tr>
      <w:tr w:rsidR="00277958" w14:paraId="4003C4F6" w14:textId="77777777" w:rsidTr="007041C3">
        <w:trPr>
          <w:trHeight w:val="284"/>
        </w:trPr>
        <w:tc>
          <w:tcPr>
            <w:tcW w:w="3397" w:type="dxa"/>
            <w:vMerge/>
          </w:tcPr>
          <w:p w14:paraId="064139A2" w14:textId="77777777" w:rsidR="00277958" w:rsidRDefault="00277958" w:rsidP="00277958">
            <w:pPr>
              <w:rPr>
                <w:lang w:val="en-US"/>
              </w:rPr>
            </w:pPr>
          </w:p>
        </w:tc>
        <w:tc>
          <w:tcPr>
            <w:tcW w:w="3397" w:type="dxa"/>
          </w:tcPr>
          <w:p w14:paraId="0F4CA24B" w14:textId="77777777" w:rsidR="00277958" w:rsidRDefault="00277958" w:rsidP="00277958">
            <w:pPr>
              <w:rPr>
                <w:lang w:val="en-US"/>
              </w:rPr>
            </w:pPr>
            <w:r>
              <w:rPr>
                <w:lang w:val="en-US"/>
              </w:rPr>
              <w:t>Conspicuity markings</w:t>
            </w:r>
          </w:p>
        </w:tc>
        <w:tc>
          <w:tcPr>
            <w:tcW w:w="1420" w:type="dxa"/>
            <w:vAlign w:val="center"/>
          </w:tcPr>
          <w:p w14:paraId="09FAD1B2" w14:textId="77777777" w:rsidR="00277958" w:rsidRPr="00257C83" w:rsidRDefault="00277958" w:rsidP="002B43B2">
            <w:pPr>
              <w:jc w:val="center"/>
            </w:pPr>
            <w:r w:rsidRPr="005C3AB5">
              <w:rPr>
                <w:color w:val="auto"/>
                <w:szCs w:val="18"/>
              </w:rPr>
              <w:t>97.8%</w:t>
            </w:r>
          </w:p>
        </w:tc>
        <w:tc>
          <w:tcPr>
            <w:tcW w:w="1420" w:type="dxa"/>
            <w:vAlign w:val="center"/>
          </w:tcPr>
          <w:p w14:paraId="764B40D9" w14:textId="77777777" w:rsidR="00277958" w:rsidRDefault="00277958" w:rsidP="002B43B2">
            <w:pPr>
              <w:jc w:val="center"/>
            </w:pPr>
            <w:r w:rsidRPr="005C3AB5">
              <w:rPr>
                <w:color w:val="auto"/>
                <w:szCs w:val="18"/>
              </w:rPr>
              <w:t>97.8%</w:t>
            </w:r>
          </w:p>
        </w:tc>
      </w:tr>
    </w:tbl>
    <w:p w14:paraId="6BA7DC38" w14:textId="4B29C7E0" w:rsidR="002D623F" w:rsidRDefault="002D623F" w:rsidP="009275E7">
      <w:pPr>
        <w:rPr>
          <w:lang w:val="en-US"/>
        </w:rPr>
      </w:pPr>
      <w:r>
        <w:rPr>
          <w:lang w:val="en-US"/>
        </w:rPr>
        <w:t xml:space="preserve">To determine </w:t>
      </w:r>
      <w:r w:rsidR="002C28C3">
        <w:rPr>
          <w:lang w:val="en-US"/>
        </w:rPr>
        <w:t xml:space="preserve">the benefits from mandatory fitment of safety systems or </w:t>
      </w:r>
      <w:r w:rsidR="008C56E5">
        <w:rPr>
          <w:lang w:val="en-US"/>
        </w:rPr>
        <w:t>features</w:t>
      </w:r>
      <w:r w:rsidR="00FF4665">
        <w:rPr>
          <w:lang w:val="en-US"/>
        </w:rPr>
        <w:t>,</w:t>
      </w:r>
      <w:r w:rsidR="002C28C3">
        <w:rPr>
          <w:lang w:val="en-US"/>
        </w:rPr>
        <w:t xml:space="preserve"> </w:t>
      </w:r>
      <w:r w:rsidR="00FF4665">
        <w:rPr>
          <w:lang w:val="en-US"/>
        </w:rPr>
        <w:t xml:space="preserve">the ARRB also needed to determine the difference in the number of vehicles fitted with the applicable safety systems or </w:t>
      </w:r>
      <w:r w:rsidR="008C56E5">
        <w:rPr>
          <w:lang w:val="en-US"/>
        </w:rPr>
        <w:t>features</w:t>
      </w:r>
      <w:r w:rsidR="00FF4665">
        <w:rPr>
          <w:lang w:val="en-US"/>
        </w:rPr>
        <w:t xml:space="preserve"> </w:t>
      </w:r>
      <w:r w:rsidR="007D00B0">
        <w:rPr>
          <w:lang w:val="en-US"/>
        </w:rPr>
        <w:t xml:space="preserve">under Options </w:t>
      </w:r>
      <w:r w:rsidR="007D00B0">
        <w:t>3.1a, 3.1b, 3.2a, and 3.2b.</w:t>
      </w:r>
      <w:r w:rsidR="002358FE">
        <w:t xml:space="preserve"> </w:t>
      </w:r>
      <w:r w:rsidR="00534814">
        <w:t xml:space="preserve">Figure </w:t>
      </w:r>
      <w:r w:rsidR="00534814">
        <w:rPr>
          <w:noProof/>
        </w:rPr>
        <w:t>7</w:t>
      </w:r>
      <w:r w:rsidR="000A7DD7">
        <w:t xml:space="preserve"> </w:t>
      </w:r>
      <w:r w:rsidR="002358FE">
        <w:t xml:space="preserve">shows the BAU take-up of safety systems or </w:t>
      </w:r>
      <w:r w:rsidR="008C56E5">
        <w:t>features</w:t>
      </w:r>
      <w:r w:rsidR="002358FE">
        <w:t xml:space="preserve"> used </w:t>
      </w:r>
      <w:r w:rsidR="00064E5D">
        <w:t xml:space="preserve">by </w:t>
      </w:r>
      <w:r w:rsidR="0071351B">
        <w:t xml:space="preserve">the </w:t>
      </w:r>
      <w:r w:rsidR="00064E5D">
        <w:t xml:space="preserve">ARRB </w:t>
      </w:r>
      <w:r w:rsidR="002358FE">
        <w:t xml:space="preserve">in the </w:t>
      </w:r>
      <w:r w:rsidR="00064E5D">
        <w:t xml:space="preserve">benefit-cost </w:t>
      </w:r>
      <w:r w:rsidR="002358FE">
        <w:t>analysis</w:t>
      </w:r>
      <w:r w:rsidR="0071351B">
        <w:t>. The </w:t>
      </w:r>
      <w:r w:rsidR="002358FE">
        <w:t xml:space="preserve">ARRB assumed the </w:t>
      </w:r>
      <w:r w:rsidR="00BE08E1">
        <w:t xml:space="preserve">additional </w:t>
      </w:r>
      <w:r w:rsidR="002358FE">
        <w:t xml:space="preserve">take-up of </w:t>
      </w:r>
      <w:r w:rsidR="00BE08E1">
        <w:t xml:space="preserve">these </w:t>
      </w:r>
      <w:r w:rsidR="0089093D">
        <w:t xml:space="preserve">safety systems or </w:t>
      </w:r>
      <w:r w:rsidR="008C56E5">
        <w:t>features</w:t>
      </w:r>
      <w:r w:rsidR="0077201D">
        <w:t xml:space="preserve"> relative to BAU</w:t>
      </w:r>
      <w:r w:rsidR="0089093D">
        <w:t xml:space="preserve"> would </w:t>
      </w:r>
      <w:r w:rsidR="00BE08E1">
        <w:t xml:space="preserve">mirror the take-up of wider freight vehicles (see </w:t>
      </w:r>
      <w:r w:rsidR="002864E8">
        <w:t xml:space="preserve">projected uptake of wider vehicles </w:t>
      </w:r>
      <w:r w:rsidR="000021CF">
        <w:t>above).</w:t>
      </w:r>
    </w:p>
    <w:p w14:paraId="21B83BCB" w14:textId="77777777" w:rsidR="000606B3" w:rsidRDefault="008102BA" w:rsidP="000606B3">
      <w:pPr>
        <w:keepNext/>
        <w:rPr>
          <w:lang w:val="en-US"/>
        </w:rPr>
      </w:pPr>
      <w:r w:rsidRPr="008102BA">
        <w:rPr>
          <w:noProof/>
        </w:rPr>
        <w:drawing>
          <wp:inline distT="0" distB="0" distL="0" distR="0" wp14:anchorId="56952D1F" wp14:editId="188277DD">
            <wp:extent cx="6263640" cy="3227070"/>
            <wp:effectExtent l="0" t="0" r="3810" b="0"/>
            <wp:docPr id="7" name="Picture 7" descr="Figure 7 graph showing the business as usual take-up of each of the safety systems or features used in the analysis for heavy freight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3227070"/>
                    </a:xfrm>
                    <a:prstGeom prst="rect">
                      <a:avLst/>
                    </a:prstGeom>
                  </pic:spPr>
                </pic:pic>
              </a:graphicData>
            </a:graphic>
          </wp:inline>
        </w:drawing>
      </w:r>
    </w:p>
    <w:p w14:paraId="33DAA081" w14:textId="3F568080" w:rsidR="000606B3" w:rsidRDefault="000606B3" w:rsidP="00787698">
      <w:pPr>
        <w:pStyle w:val="Caption"/>
        <w:spacing w:before="120"/>
      </w:pPr>
      <w:bookmarkStart w:id="56" w:name="_Ref118801620"/>
      <w:bookmarkStart w:id="57" w:name="_Toc135321397"/>
      <w:r>
        <w:t xml:space="preserve">Figure </w:t>
      </w:r>
      <w:r w:rsidR="00534814">
        <w:rPr>
          <w:noProof/>
        </w:rPr>
        <w:t>7</w:t>
      </w:r>
      <w:bookmarkEnd w:id="56"/>
      <w:r>
        <w:t xml:space="preserve">: </w:t>
      </w:r>
      <w:r w:rsidR="00281135">
        <w:t xml:space="preserve">BAU take-up of safety systems or </w:t>
      </w:r>
      <w:r w:rsidR="008C56E5">
        <w:t>features</w:t>
      </w:r>
      <w:r w:rsidR="00281135">
        <w:t xml:space="preserve"> used in the analysis for heavy freight vehicles</w:t>
      </w:r>
      <w:bookmarkEnd w:id="57"/>
    </w:p>
    <w:p w14:paraId="654C52D2" w14:textId="77777777" w:rsidR="009275E7" w:rsidRDefault="00D5008D" w:rsidP="00024D04">
      <w:pPr>
        <w:keepLines/>
      </w:pPr>
      <w:r>
        <w:rPr>
          <w:lang w:val="en-US"/>
        </w:rPr>
        <w:t xml:space="preserve">The </w:t>
      </w:r>
      <w:r w:rsidR="00763AAE">
        <w:rPr>
          <w:lang w:val="en-US"/>
        </w:rPr>
        <w:t xml:space="preserve">ARRB </w:t>
      </w:r>
      <w:r w:rsidR="00FA6868">
        <w:rPr>
          <w:lang w:val="en-US"/>
        </w:rPr>
        <w:t xml:space="preserve">also </w:t>
      </w:r>
      <w:r w:rsidR="00763AAE">
        <w:rPr>
          <w:lang w:val="en-US"/>
        </w:rPr>
        <w:t xml:space="preserve">considered </w:t>
      </w:r>
      <w:r>
        <w:rPr>
          <w:lang w:val="en-US"/>
        </w:rPr>
        <w:t>there could be an increased risk of frontal impact and side swipe crashes for wider freight vehicles</w:t>
      </w:r>
      <w:r w:rsidR="005D22FA">
        <w:rPr>
          <w:lang w:val="en-US"/>
        </w:rPr>
        <w:t>, while also noting this has not been reported in New Zealand where the width limit was increased to 2.55 m in 2017</w:t>
      </w:r>
      <w:r>
        <w:rPr>
          <w:lang w:val="en-US"/>
        </w:rPr>
        <w:t xml:space="preserve">. </w:t>
      </w:r>
      <w:r w:rsidR="00FA6868">
        <w:rPr>
          <w:lang w:val="en-US"/>
        </w:rPr>
        <w:t>Conversely</w:t>
      </w:r>
      <w:r>
        <w:rPr>
          <w:lang w:val="en-US"/>
        </w:rPr>
        <w:t>, the ARRB also considered there m</w:t>
      </w:r>
      <w:r w:rsidR="00763AAE">
        <w:rPr>
          <w:lang w:val="en-US"/>
        </w:rPr>
        <w:t>ay be a decrease in rollover crashes if manufacturers use the additional width to improve stability by lowering the height of the vehicle</w:t>
      </w:r>
      <w:r w:rsidR="00763AAE" w:rsidRPr="00D5008D">
        <w:t xml:space="preserve"> centre</w:t>
      </w:r>
      <w:r>
        <w:rPr>
          <w:lang w:val="en-US"/>
        </w:rPr>
        <w:t>-of-</w:t>
      </w:r>
      <w:r w:rsidR="00763AAE">
        <w:rPr>
          <w:lang w:val="en-US"/>
        </w:rPr>
        <w:t>gravity.</w:t>
      </w:r>
      <w:r>
        <w:rPr>
          <w:lang w:val="en-US"/>
        </w:rPr>
        <w:t xml:space="preserve"> </w:t>
      </w:r>
      <w:r w:rsidR="00477222">
        <w:t>As</w:t>
      </w:r>
      <w:r w:rsidR="00FA6868">
        <w:t xml:space="preserve"> both of these possibilities lack firm data to accurately </w:t>
      </w:r>
      <w:r w:rsidR="00477222">
        <w:t>quantify</w:t>
      </w:r>
      <w:r w:rsidR="0011579B">
        <w:t xml:space="preserve"> in the Australian context</w:t>
      </w:r>
      <w:r w:rsidR="00FA6868">
        <w:t>, and if</w:t>
      </w:r>
      <w:r w:rsidR="00022247">
        <w:t>/where</w:t>
      </w:r>
      <w:r w:rsidR="00FA6868">
        <w:t xml:space="preserve"> they </w:t>
      </w:r>
      <w:r w:rsidR="009A5D89">
        <w:t>have an effect</w:t>
      </w:r>
      <w:r w:rsidR="00FA6868">
        <w:t xml:space="preserve"> may </w:t>
      </w:r>
      <w:r w:rsidR="002D7F41">
        <w:t xml:space="preserve">actually </w:t>
      </w:r>
      <w:r w:rsidR="00FA6868">
        <w:t xml:space="preserve">cancel each other out, neither have been included in the main benefit-cost analysis, but </w:t>
      </w:r>
      <w:r w:rsidR="00477222">
        <w:t>are nevertheless</w:t>
      </w:r>
      <w:r w:rsidR="002D7F41">
        <w:t xml:space="preserve"> </w:t>
      </w:r>
      <w:r w:rsidR="002358FE">
        <w:t>investigated</w:t>
      </w:r>
      <w:r w:rsidR="00477222">
        <w:t xml:space="preserve"> in the</w:t>
      </w:r>
      <w:r w:rsidR="00FA6868">
        <w:t xml:space="preserve"> sensitivity analysis.</w:t>
      </w:r>
      <w:r w:rsidR="00DC503C">
        <w:t xml:space="preserve"> The lack of firm data to quantify these possible impacts </w:t>
      </w:r>
      <w:r w:rsidR="009873B9">
        <w:t xml:space="preserve">in the Australian context </w:t>
      </w:r>
      <w:r w:rsidR="00DC503C">
        <w:t xml:space="preserve">is due to </w:t>
      </w:r>
      <w:r w:rsidR="00540F95">
        <w:t xml:space="preserve">a lack of reliable </w:t>
      </w:r>
      <w:r w:rsidR="00DC503C">
        <w:t xml:space="preserve">lane width data </w:t>
      </w:r>
      <w:r w:rsidR="00D27B8E">
        <w:t>for much of the network</w:t>
      </w:r>
      <w:r w:rsidR="00DC503C">
        <w:t xml:space="preserve">, </w:t>
      </w:r>
      <w:r w:rsidR="00540F95">
        <w:t>general network access not previously being granted for 2.55 m or 2.6</w:t>
      </w:r>
      <w:r w:rsidR="00942DB1">
        <w:t> </w:t>
      </w:r>
      <w:r w:rsidR="00540F95">
        <w:t xml:space="preserve">m wide vehicles (which means wider vehicles have not been driven </w:t>
      </w:r>
      <w:r w:rsidR="00942DB1">
        <w:t xml:space="preserve">in numbers </w:t>
      </w:r>
      <w:r w:rsidR="00540F95">
        <w:t xml:space="preserve">without any special access conditions on narrower </w:t>
      </w:r>
      <w:r w:rsidR="00D27B8E">
        <w:t>roads in</w:t>
      </w:r>
      <w:r w:rsidR="00540F95">
        <w:t xml:space="preserve"> the network), </w:t>
      </w:r>
      <w:r w:rsidR="00942DB1">
        <w:t>and uncertainty in regard to the extent to which any extra width will be used to lower the centre of gravity of vehicles.</w:t>
      </w:r>
    </w:p>
    <w:p w14:paraId="3C1239F3" w14:textId="177CEB82" w:rsidR="009720EB" w:rsidRDefault="009720EB" w:rsidP="009720EB">
      <w:r>
        <w:rPr>
          <w:lang w:val="en-US"/>
        </w:rPr>
        <w:t xml:space="preserve">The average willingness to pay based crash costs used by the ARRB </w:t>
      </w:r>
      <w:r w:rsidR="009A5D89">
        <w:rPr>
          <w:lang w:val="en-US"/>
        </w:rPr>
        <w:t>for</w:t>
      </w:r>
      <w:r w:rsidR="0002330A">
        <w:rPr>
          <w:lang w:val="en-US"/>
        </w:rPr>
        <w:t xml:space="preserve"> fatal and serious injury crashes</w:t>
      </w:r>
      <w:r>
        <w:rPr>
          <w:lang w:val="en-US"/>
        </w:rPr>
        <w:t xml:space="preserve"> avoided under </w:t>
      </w:r>
      <w:r>
        <w:t>Options 3.1a, 3.1b, 3.2a and 3.2b are shown in</w:t>
      </w:r>
      <w:r w:rsidR="0069133D">
        <w:t xml:space="preserve"> </w:t>
      </w:r>
      <w:r w:rsidR="00534814" w:rsidRPr="002C1585">
        <w:t xml:space="preserve">Table </w:t>
      </w:r>
      <w:r w:rsidR="00534814">
        <w:rPr>
          <w:noProof/>
        </w:rPr>
        <w:t>6</w:t>
      </w:r>
      <w:r>
        <w:t xml:space="preserve"> below.</w:t>
      </w:r>
    </w:p>
    <w:p w14:paraId="2245FC31" w14:textId="7A62C2B2" w:rsidR="009275E7" w:rsidRPr="002C1585" w:rsidRDefault="009275E7" w:rsidP="009275E7">
      <w:pPr>
        <w:pStyle w:val="Caption"/>
      </w:pPr>
      <w:bookmarkStart w:id="58" w:name="_Ref111479439"/>
      <w:bookmarkStart w:id="59" w:name="_Toc135320131"/>
      <w:r w:rsidRPr="002C1585">
        <w:t xml:space="preserve">Table </w:t>
      </w:r>
      <w:r w:rsidR="00534814">
        <w:rPr>
          <w:noProof/>
        </w:rPr>
        <w:t>6</w:t>
      </w:r>
      <w:bookmarkEnd w:id="58"/>
      <w:r>
        <w:t>: Average willingness to pay based crash costs</w:t>
      </w:r>
      <w:r w:rsidR="00281135">
        <w:t xml:space="preserve"> used in the analysis</w:t>
      </w:r>
      <w:bookmarkEnd w:id="59"/>
    </w:p>
    <w:tbl>
      <w:tblPr>
        <w:tblStyle w:val="TableGrid"/>
        <w:tblW w:w="0" w:type="auto"/>
        <w:tblLook w:val="04A0" w:firstRow="1" w:lastRow="0" w:firstColumn="1" w:lastColumn="0" w:noHBand="0" w:noVBand="1"/>
      </w:tblPr>
      <w:tblGrid>
        <w:gridCol w:w="3045"/>
        <w:gridCol w:w="3046"/>
      </w:tblGrid>
      <w:tr w:rsidR="009275E7" w14:paraId="6F1D61A6" w14:textId="77777777" w:rsidTr="007041C3">
        <w:trPr>
          <w:trHeight w:val="284"/>
        </w:trPr>
        <w:tc>
          <w:tcPr>
            <w:tcW w:w="3045" w:type="dxa"/>
            <w:shd w:val="clear" w:color="auto" w:fill="081E3E" w:themeFill="text2"/>
          </w:tcPr>
          <w:p w14:paraId="71E8A044" w14:textId="77777777" w:rsidR="009275E7" w:rsidRPr="009275E7" w:rsidRDefault="009275E7" w:rsidP="009275E7">
            <w:pPr>
              <w:rPr>
                <w:b/>
                <w:color w:val="FFFFFF" w:themeColor="background1"/>
                <w:lang w:val="en-US"/>
              </w:rPr>
            </w:pPr>
            <w:r w:rsidRPr="009275E7">
              <w:rPr>
                <w:b/>
                <w:color w:val="FFFFFF" w:themeColor="background1"/>
                <w:lang w:val="en-US"/>
              </w:rPr>
              <w:t>Fatal crashes</w:t>
            </w:r>
          </w:p>
        </w:tc>
        <w:tc>
          <w:tcPr>
            <w:tcW w:w="3046" w:type="dxa"/>
            <w:shd w:val="clear" w:color="auto" w:fill="081E3E" w:themeFill="text2"/>
          </w:tcPr>
          <w:p w14:paraId="045940F3" w14:textId="77777777" w:rsidR="009275E7" w:rsidRPr="009275E7" w:rsidRDefault="009275E7" w:rsidP="009275E7">
            <w:pPr>
              <w:rPr>
                <w:b/>
                <w:color w:val="FFFFFF" w:themeColor="background1"/>
                <w:lang w:val="en-US"/>
              </w:rPr>
            </w:pPr>
            <w:r w:rsidRPr="009275E7">
              <w:rPr>
                <w:b/>
                <w:color w:val="FFFFFF" w:themeColor="background1"/>
                <w:lang w:val="en-US"/>
              </w:rPr>
              <w:t>Serious injury crashes</w:t>
            </w:r>
          </w:p>
        </w:tc>
      </w:tr>
      <w:tr w:rsidR="009275E7" w14:paraId="7097E2A7" w14:textId="77777777" w:rsidTr="007041C3">
        <w:trPr>
          <w:trHeight w:val="284"/>
        </w:trPr>
        <w:tc>
          <w:tcPr>
            <w:tcW w:w="3045" w:type="dxa"/>
          </w:tcPr>
          <w:p w14:paraId="5538000F" w14:textId="77777777" w:rsidR="009275E7" w:rsidRDefault="009275E7" w:rsidP="009275E7">
            <w:pPr>
              <w:rPr>
                <w:lang w:val="en-US"/>
              </w:rPr>
            </w:pPr>
            <w:r w:rsidRPr="005C3AB5">
              <w:t>$8,978,147</w:t>
            </w:r>
          </w:p>
        </w:tc>
        <w:tc>
          <w:tcPr>
            <w:tcW w:w="3046" w:type="dxa"/>
          </w:tcPr>
          <w:p w14:paraId="606728DF" w14:textId="77777777" w:rsidR="009275E7" w:rsidRDefault="009275E7" w:rsidP="009275E7">
            <w:pPr>
              <w:rPr>
                <w:lang w:val="en-US"/>
              </w:rPr>
            </w:pPr>
            <w:r w:rsidRPr="005C3AB5">
              <w:t>$333,144</w:t>
            </w:r>
          </w:p>
        </w:tc>
      </w:tr>
    </w:tbl>
    <w:p w14:paraId="0DDF133D" w14:textId="77777777" w:rsidR="00164075" w:rsidRDefault="00164075" w:rsidP="00164075">
      <w:pPr>
        <w:pStyle w:val="Heading4"/>
      </w:pPr>
      <w:r>
        <w:t xml:space="preserve">Asset </w:t>
      </w:r>
      <w:r w:rsidR="00422B9A">
        <w:t>p</w:t>
      </w:r>
      <w:r>
        <w:t>reservation</w:t>
      </w:r>
    </w:p>
    <w:p w14:paraId="41F1B44C" w14:textId="77777777" w:rsidR="00C62BD2" w:rsidRDefault="00C62BD2" w:rsidP="00AE33A0">
      <w:pPr>
        <w:pStyle w:val="Heading4"/>
        <w:spacing w:before="0"/>
        <w:rPr>
          <w:rFonts w:asciiTheme="minorHAnsi" w:eastAsiaTheme="minorHAnsi" w:hAnsiTheme="minorHAnsi" w:cstheme="minorBidi"/>
          <w:color w:val="000000" w:themeColor="text1"/>
          <w:sz w:val="20"/>
          <w:szCs w:val="20"/>
        </w:rPr>
      </w:pPr>
      <w:r w:rsidRPr="00C62BD2">
        <w:rPr>
          <w:rFonts w:asciiTheme="minorHAnsi" w:eastAsiaTheme="minorHAnsi" w:hAnsiTheme="minorHAnsi" w:cstheme="minorBidi"/>
          <w:color w:val="000000" w:themeColor="text1"/>
          <w:sz w:val="20"/>
          <w:szCs w:val="20"/>
        </w:rPr>
        <w:t xml:space="preserve">Asset preservation benefits </w:t>
      </w:r>
      <w:r>
        <w:rPr>
          <w:rFonts w:asciiTheme="minorHAnsi" w:eastAsiaTheme="minorHAnsi" w:hAnsiTheme="minorHAnsi" w:cstheme="minorBidi"/>
          <w:color w:val="000000" w:themeColor="text1"/>
          <w:sz w:val="20"/>
          <w:szCs w:val="20"/>
        </w:rPr>
        <w:t xml:space="preserve">arise </w:t>
      </w:r>
      <w:r w:rsidR="00DD1AF6">
        <w:rPr>
          <w:rFonts w:asciiTheme="minorHAnsi" w:eastAsiaTheme="minorHAnsi" w:hAnsiTheme="minorHAnsi" w:cstheme="minorBidi"/>
          <w:color w:val="000000" w:themeColor="text1"/>
          <w:sz w:val="20"/>
          <w:szCs w:val="20"/>
        </w:rPr>
        <w:t>where wider vehicles are able to move the same freight in fewer trips</w:t>
      </w:r>
      <w:r w:rsidRPr="00C62BD2">
        <w:rPr>
          <w:rFonts w:asciiTheme="minorHAnsi" w:eastAsiaTheme="minorHAnsi" w:hAnsiTheme="minorHAnsi" w:cstheme="minorBidi"/>
          <w:color w:val="000000" w:themeColor="text1"/>
          <w:sz w:val="20"/>
          <w:szCs w:val="20"/>
        </w:rPr>
        <w:t xml:space="preserve">. </w:t>
      </w:r>
      <w:r w:rsidR="00321DEA">
        <w:rPr>
          <w:rFonts w:asciiTheme="minorHAnsi" w:eastAsiaTheme="minorHAnsi" w:hAnsiTheme="minorHAnsi" w:cstheme="minorBidi"/>
          <w:color w:val="000000" w:themeColor="text1"/>
          <w:sz w:val="20"/>
          <w:szCs w:val="20"/>
        </w:rPr>
        <w:t>For Options 3.1a, 3.1b, 3.2a, and 3.2b; t</w:t>
      </w:r>
      <w:r w:rsidRPr="00C62BD2">
        <w:rPr>
          <w:rFonts w:asciiTheme="minorHAnsi" w:eastAsiaTheme="minorHAnsi" w:hAnsiTheme="minorHAnsi" w:cstheme="minorBidi"/>
          <w:color w:val="000000" w:themeColor="text1"/>
          <w:sz w:val="20"/>
          <w:szCs w:val="20"/>
        </w:rPr>
        <w:t xml:space="preserve">he unit asset preservation </w:t>
      </w:r>
      <w:r w:rsidR="002D3A3C">
        <w:rPr>
          <w:rFonts w:asciiTheme="minorHAnsi" w:eastAsiaTheme="minorHAnsi" w:hAnsiTheme="minorHAnsi" w:cstheme="minorBidi"/>
          <w:color w:val="000000" w:themeColor="text1"/>
          <w:sz w:val="20"/>
          <w:szCs w:val="20"/>
        </w:rPr>
        <w:t>benefit was estimated by the ARRB</w:t>
      </w:r>
      <w:r w:rsidR="00245DEB">
        <w:rPr>
          <w:rFonts w:asciiTheme="minorHAnsi" w:eastAsiaTheme="minorHAnsi" w:hAnsiTheme="minorHAnsi" w:cstheme="minorBidi"/>
          <w:color w:val="000000" w:themeColor="text1"/>
          <w:sz w:val="20"/>
          <w:szCs w:val="20"/>
        </w:rPr>
        <w:t xml:space="preserve"> at</w:t>
      </w:r>
      <w:r w:rsidRPr="00C62BD2">
        <w:rPr>
          <w:rFonts w:asciiTheme="minorHAnsi" w:eastAsiaTheme="minorHAnsi" w:hAnsiTheme="minorHAnsi" w:cstheme="minorBidi"/>
          <w:color w:val="000000" w:themeColor="text1"/>
          <w:sz w:val="20"/>
          <w:szCs w:val="20"/>
        </w:rPr>
        <w:t xml:space="preserve"> $0.004 </w:t>
      </w:r>
      <w:r w:rsidR="00321DEA">
        <w:rPr>
          <w:rFonts w:asciiTheme="minorHAnsi" w:eastAsiaTheme="minorHAnsi" w:hAnsiTheme="minorHAnsi" w:cstheme="minorBidi"/>
          <w:color w:val="000000" w:themeColor="text1"/>
          <w:sz w:val="20"/>
          <w:szCs w:val="20"/>
        </w:rPr>
        <w:t>per</w:t>
      </w:r>
      <w:r w:rsidRPr="00226D06">
        <w:rPr>
          <w:rFonts w:asciiTheme="minorHAnsi" w:eastAsiaTheme="minorHAnsi" w:hAnsiTheme="minorHAnsi" w:cstheme="minorBidi"/>
          <w:color w:val="000000" w:themeColor="text1"/>
          <w:sz w:val="20"/>
          <w:szCs w:val="20"/>
          <w:lang w:val="en-AU"/>
        </w:rPr>
        <w:t xml:space="preserve"> </w:t>
      </w:r>
      <w:r w:rsidR="00226D06" w:rsidRPr="00226D06">
        <w:rPr>
          <w:rFonts w:asciiTheme="minorHAnsi" w:eastAsiaTheme="minorHAnsi" w:hAnsiTheme="minorHAnsi" w:cstheme="minorBidi"/>
          <w:color w:val="000000" w:themeColor="text1"/>
          <w:sz w:val="20"/>
          <w:szCs w:val="20"/>
          <w:lang w:val="en-AU"/>
        </w:rPr>
        <w:t>kilometre</w:t>
      </w:r>
      <w:r w:rsidRPr="00C62BD2">
        <w:rPr>
          <w:rFonts w:asciiTheme="minorHAnsi" w:eastAsiaTheme="minorHAnsi" w:hAnsiTheme="minorHAnsi" w:cstheme="minorBidi"/>
          <w:color w:val="000000" w:themeColor="text1"/>
          <w:sz w:val="20"/>
          <w:szCs w:val="20"/>
        </w:rPr>
        <w:t xml:space="preserve"> </w:t>
      </w:r>
      <w:r w:rsidR="00321DEA">
        <w:rPr>
          <w:rFonts w:asciiTheme="minorHAnsi" w:eastAsiaTheme="minorHAnsi" w:hAnsiTheme="minorHAnsi" w:cstheme="minorBidi"/>
          <w:color w:val="000000" w:themeColor="text1"/>
          <w:sz w:val="20"/>
          <w:szCs w:val="20"/>
        </w:rPr>
        <w:t xml:space="preserve">reduction in </w:t>
      </w:r>
      <w:r w:rsidR="00226D06">
        <w:rPr>
          <w:rFonts w:asciiTheme="minorHAnsi" w:eastAsiaTheme="minorHAnsi" w:hAnsiTheme="minorHAnsi" w:cstheme="minorBidi"/>
          <w:color w:val="000000" w:themeColor="text1"/>
          <w:sz w:val="20"/>
          <w:szCs w:val="20"/>
        </w:rPr>
        <w:t xml:space="preserve">vehicle </w:t>
      </w:r>
      <w:r w:rsidR="00321DEA">
        <w:rPr>
          <w:rFonts w:asciiTheme="minorHAnsi" w:eastAsiaTheme="minorHAnsi" w:hAnsiTheme="minorHAnsi" w:cstheme="minorBidi"/>
          <w:color w:val="000000" w:themeColor="text1"/>
          <w:sz w:val="20"/>
          <w:szCs w:val="20"/>
        </w:rPr>
        <w:t>travel</w:t>
      </w:r>
      <w:r w:rsidR="002D3A3C">
        <w:rPr>
          <w:rFonts w:asciiTheme="minorHAnsi" w:eastAsiaTheme="minorHAnsi" w:hAnsiTheme="minorHAnsi" w:cstheme="minorBidi"/>
          <w:color w:val="000000" w:themeColor="text1"/>
          <w:sz w:val="20"/>
          <w:szCs w:val="20"/>
        </w:rPr>
        <w:t xml:space="preserve"> </w:t>
      </w:r>
      <w:r w:rsidR="00245DEB">
        <w:rPr>
          <w:rFonts w:asciiTheme="minorHAnsi" w:eastAsiaTheme="minorHAnsi" w:hAnsiTheme="minorHAnsi" w:cstheme="minorBidi"/>
          <w:color w:val="000000" w:themeColor="text1"/>
          <w:sz w:val="20"/>
          <w:szCs w:val="20"/>
        </w:rPr>
        <w:t xml:space="preserve">relative to </w:t>
      </w:r>
      <w:r w:rsidR="002D3A3C">
        <w:rPr>
          <w:rFonts w:asciiTheme="minorHAnsi" w:eastAsiaTheme="minorHAnsi" w:hAnsiTheme="minorHAnsi" w:cstheme="minorBidi"/>
          <w:color w:val="000000" w:themeColor="text1"/>
          <w:sz w:val="20"/>
          <w:szCs w:val="20"/>
        </w:rPr>
        <w:t>BAU</w:t>
      </w:r>
      <w:r w:rsidR="00AE33A0">
        <w:rPr>
          <w:rFonts w:asciiTheme="minorHAnsi" w:eastAsiaTheme="minorHAnsi" w:hAnsiTheme="minorHAnsi" w:cstheme="minorBidi"/>
          <w:color w:val="000000" w:themeColor="text1"/>
          <w:sz w:val="20"/>
          <w:szCs w:val="20"/>
        </w:rPr>
        <w:t xml:space="preserve"> (Option 2)</w:t>
      </w:r>
      <w:r w:rsidR="00321DEA">
        <w:rPr>
          <w:rFonts w:asciiTheme="minorHAnsi" w:eastAsiaTheme="minorHAnsi" w:hAnsiTheme="minorHAnsi" w:cstheme="minorBidi"/>
          <w:color w:val="000000" w:themeColor="text1"/>
          <w:sz w:val="20"/>
          <w:szCs w:val="20"/>
        </w:rPr>
        <w:t>.</w:t>
      </w:r>
    </w:p>
    <w:p w14:paraId="709E96BB" w14:textId="77777777" w:rsidR="00164075" w:rsidRDefault="00164075" w:rsidP="00C62BD2">
      <w:pPr>
        <w:pStyle w:val="Heading4"/>
      </w:pPr>
      <w:r>
        <w:t>Vehicle</w:t>
      </w:r>
      <w:r w:rsidR="00422B9A">
        <w:t xml:space="preserve"> o</w:t>
      </w:r>
      <w:r>
        <w:t>perati</w:t>
      </w:r>
      <w:r w:rsidR="00A93839">
        <w:t>on</w:t>
      </w:r>
    </w:p>
    <w:p w14:paraId="0F097CF2" w14:textId="43B62C60" w:rsidR="00226D06" w:rsidRDefault="00226D06" w:rsidP="00226D06">
      <w:r>
        <w:rPr>
          <w:lang w:val="en-GB"/>
        </w:rPr>
        <w:t xml:space="preserve">The ARRB established average heavy vehicle and trailer operating costs based on </w:t>
      </w:r>
      <w:r w:rsidRPr="002143AB">
        <w:rPr>
          <w:lang w:val="en-GB"/>
        </w:rPr>
        <w:t>parameter values published by</w:t>
      </w:r>
      <w:r>
        <w:rPr>
          <w:lang w:val="en-GB"/>
        </w:rPr>
        <w:t xml:space="preserve"> the Australian Transport Assessment and Planning Steering Committee. These vehicle operating costs are based on the underlying consumption of fuel, oil, and tyres, and maintenance and repair costs; expressed in $ per vehicle kilometre travelled</w:t>
      </w:r>
      <w:r w:rsidR="00085CC9">
        <w:rPr>
          <w:lang w:val="en-GB"/>
        </w:rPr>
        <w:t xml:space="preserve"> (VKT)</w:t>
      </w:r>
      <w:r>
        <w:rPr>
          <w:lang w:val="en-GB"/>
        </w:rPr>
        <w:t>.</w:t>
      </w:r>
      <w:r w:rsidR="00DF75B1">
        <w:rPr>
          <w:lang w:val="en-GB"/>
        </w:rPr>
        <w:t xml:space="preserve"> </w:t>
      </w:r>
      <w:r w:rsidR="00DF75B1">
        <w:t xml:space="preserve">The average vehicle operating costs per </w:t>
      </w:r>
      <w:r w:rsidR="00085CC9">
        <w:t>VKT</w:t>
      </w:r>
      <w:r w:rsidR="00DF75B1">
        <w:t xml:space="preserve"> used by the ARRB for Option</w:t>
      </w:r>
      <w:r w:rsidR="00C451A3">
        <w:t xml:space="preserve">s 3.1a, 3.1b, 3.2a and 3.2b are </w:t>
      </w:r>
      <w:r w:rsidR="009720EB">
        <w:t>shown</w:t>
      </w:r>
      <w:r w:rsidR="00DF75B1">
        <w:t xml:space="preserve"> in </w:t>
      </w:r>
      <w:r w:rsidR="00534814" w:rsidRPr="002C1585">
        <w:t xml:space="preserve">Table </w:t>
      </w:r>
      <w:r w:rsidR="00534814">
        <w:rPr>
          <w:noProof/>
        </w:rPr>
        <w:t>7</w:t>
      </w:r>
      <w:r w:rsidR="00DF75B1">
        <w:t xml:space="preserve"> below.</w:t>
      </w:r>
    </w:p>
    <w:p w14:paraId="7A0B10E0" w14:textId="283C704A" w:rsidR="00DF75B1" w:rsidRPr="002C1585" w:rsidRDefault="00DF75B1" w:rsidP="00DF75B1">
      <w:pPr>
        <w:pStyle w:val="Caption"/>
      </w:pPr>
      <w:bookmarkStart w:id="60" w:name="_Ref111463302"/>
      <w:bookmarkStart w:id="61" w:name="_Toc135320132"/>
      <w:r w:rsidRPr="002C1585">
        <w:t xml:space="preserve">Table </w:t>
      </w:r>
      <w:r w:rsidR="00534814">
        <w:rPr>
          <w:noProof/>
        </w:rPr>
        <w:t>7</w:t>
      </w:r>
      <w:bookmarkEnd w:id="60"/>
      <w:r>
        <w:t xml:space="preserve">: Average vehicle operating costs per </w:t>
      </w:r>
      <w:r w:rsidR="00C64F8C">
        <w:t>VKT</w:t>
      </w:r>
      <w:r>
        <w:t xml:space="preserve"> used in</w:t>
      </w:r>
      <w:r w:rsidR="00822448">
        <w:t xml:space="preserve"> the</w:t>
      </w:r>
      <w:r>
        <w:t xml:space="preserve"> analysis</w:t>
      </w:r>
      <w:bookmarkEnd w:id="61"/>
    </w:p>
    <w:tbl>
      <w:tblPr>
        <w:tblStyle w:val="TableGrid"/>
        <w:tblW w:w="0" w:type="auto"/>
        <w:tblLook w:val="04A0" w:firstRow="1" w:lastRow="0" w:firstColumn="1" w:lastColumn="0" w:noHBand="0" w:noVBand="1"/>
      </w:tblPr>
      <w:tblGrid>
        <w:gridCol w:w="2547"/>
        <w:gridCol w:w="2976"/>
        <w:gridCol w:w="2977"/>
      </w:tblGrid>
      <w:tr w:rsidR="00DF75B1" w14:paraId="35D3918A" w14:textId="77777777" w:rsidTr="007041C3">
        <w:trPr>
          <w:trHeight w:val="284"/>
        </w:trPr>
        <w:tc>
          <w:tcPr>
            <w:tcW w:w="2547" w:type="dxa"/>
            <w:shd w:val="clear" w:color="auto" w:fill="081E3E" w:themeFill="text2"/>
          </w:tcPr>
          <w:p w14:paraId="15934DB9" w14:textId="77777777" w:rsidR="00DF75B1" w:rsidRPr="00DF75B1" w:rsidRDefault="00DF75B1" w:rsidP="007041C3">
            <w:pPr>
              <w:rPr>
                <w:b/>
                <w:color w:val="FFFFFF" w:themeColor="background1"/>
                <w:lang w:val="en-GB"/>
              </w:rPr>
            </w:pPr>
            <w:r w:rsidRPr="00DF75B1">
              <w:rPr>
                <w:b/>
                <w:color w:val="FFFFFF" w:themeColor="background1"/>
              </w:rPr>
              <w:t>Freight task</w:t>
            </w:r>
          </w:p>
        </w:tc>
        <w:tc>
          <w:tcPr>
            <w:tcW w:w="2976" w:type="dxa"/>
            <w:shd w:val="clear" w:color="auto" w:fill="081E3E" w:themeFill="text2"/>
          </w:tcPr>
          <w:p w14:paraId="4F197EDC" w14:textId="77777777" w:rsidR="00DF75B1" w:rsidRPr="00DF75B1" w:rsidRDefault="00DF75B1" w:rsidP="007041C3">
            <w:pPr>
              <w:rPr>
                <w:b/>
                <w:color w:val="FFFFFF" w:themeColor="background1"/>
                <w:lang w:val="en-GB"/>
              </w:rPr>
            </w:pPr>
            <w:r>
              <w:rPr>
                <w:b/>
                <w:color w:val="FFFFFF" w:themeColor="background1"/>
              </w:rPr>
              <w:t>Goods vehicles</w:t>
            </w:r>
            <w:r w:rsidRPr="00DF75B1">
              <w:rPr>
                <w:b/>
                <w:color w:val="FFFFFF" w:themeColor="background1"/>
              </w:rPr>
              <w:t xml:space="preserve"> </w:t>
            </w:r>
            <w:r w:rsidR="00C02289">
              <w:rPr>
                <w:b/>
                <w:color w:val="FFFFFF" w:themeColor="background1"/>
              </w:rPr>
              <w:t>over 4.5 tonnes</w:t>
            </w:r>
          </w:p>
        </w:tc>
        <w:tc>
          <w:tcPr>
            <w:tcW w:w="2977" w:type="dxa"/>
            <w:shd w:val="clear" w:color="auto" w:fill="081E3E" w:themeFill="text2"/>
          </w:tcPr>
          <w:p w14:paraId="202490CB" w14:textId="77777777" w:rsidR="00DF75B1" w:rsidRPr="00DF75B1" w:rsidRDefault="00DF75B1" w:rsidP="007041C3">
            <w:pPr>
              <w:rPr>
                <w:b/>
                <w:color w:val="FFFFFF" w:themeColor="background1"/>
                <w:lang w:val="en-GB"/>
              </w:rPr>
            </w:pPr>
            <w:r w:rsidRPr="00DF75B1">
              <w:rPr>
                <w:b/>
                <w:color w:val="FFFFFF" w:themeColor="background1"/>
              </w:rPr>
              <w:t>Trailer</w:t>
            </w:r>
            <w:r>
              <w:rPr>
                <w:b/>
                <w:color w:val="FFFFFF" w:themeColor="background1"/>
              </w:rPr>
              <w:t>s</w:t>
            </w:r>
            <w:r w:rsidR="00B97317">
              <w:rPr>
                <w:b/>
                <w:color w:val="FFFFFF" w:themeColor="background1"/>
              </w:rPr>
              <w:t xml:space="preserve"> </w:t>
            </w:r>
            <w:r w:rsidR="00B16414">
              <w:rPr>
                <w:b/>
                <w:color w:val="FFFFFF" w:themeColor="background1"/>
              </w:rPr>
              <w:t>over 4.5 tonnes</w:t>
            </w:r>
          </w:p>
        </w:tc>
      </w:tr>
      <w:tr w:rsidR="00257D17" w14:paraId="5B135A3B" w14:textId="77777777" w:rsidTr="007041C3">
        <w:trPr>
          <w:trHeight w:val="284"/>
        </w:trPr>
        <w:tc>
          <w:tcPr>
            <w:tcW w:w="2547" w:type="dxa"/>
          </w:tcPr>
          <w:p w14:paraId="10833427" w14:textId="77777777" w:rsidR="00257D17" w:rsidRDefault="00257D17" w:rsidP="007041C3">
            <w:pPr>
              <w:rPr>
                <w:lang w:val="en-GB"/>
              </w:rPr>
            </w:pPr>
            <w:r>
              <w:t>2.50 m non-refrigerated</w:t>
            </w:r>
          </w:p>
        </w:tc>
        <w:tc>
          <w:tcPr>
            <w:tcW w:w="2976" w:type="dxa"/>
          </w:tcPr>
          <w:p w14:paraId="1474678E" w14:textId="77777777" w:rsidR="00257D17" w:rsidRPr="00B13D57" w:rsidRDefault="00257D17" w:rsidP="007041C3">
            <w:pPr>
              <w:rPr>
                <w:rFonts w:cstheme="minorHAnsi"/>
              </w:rPr>
            </w:pPr>
            <w:r w:rsidRPr="00A52D2D">
              <w:t>$0.744</w:t>
            </w:r>
          </w:p>
        </w:tc>
        <w:tc>
          <w:tcPr>
            <w:tcW w:w="2977" w:type="dxa"/>
          </w:tcPr>
          <w:p w14:paraId="50B56C94" w14:textId="77777777" w:rsidR="00257D17" w:rsidRPr="00B13D57" w:rsidRDefault="00257D17" w:rsidP="007041C3">
            <w:pPr>
              <w:rPr>
                <w:rFonts w:cstheme="minorHAnsi"/>
              </w:rPr>
            </w:pPr>
            <w:r w:rsidRPr="00A52D2D">
              <w:t>$0.599</w:t>
            </w:r>
          </w:p>
        </w:tc>
      </w:tr>
      <w:tr w:rsidR="00257D17" w14:paraId="55DFEEAD" w14:textId="77777777" w:rsidTr="007041C3">
        <w:trPr>
          <w:trHeight w:val="284"/>
        </w:trPr>
        <w:tc>
          <w:tcPr>
            <w:tcW w:w="2547" w:type="dxa"/>
          </w:tcPr>
          <w:p w14:paraId="10797BED" w14:textId="77777777" w:rsidR="00257D17" w:rsidRDefault="00257D17" w:rsidP="007041C3">
            <w:pPr>
              <w:rPr>
                <w:lang w:val="en-GB"/>
              </w:rPr>
            </w:pPr>
            <w:r>
              <w:t>2.55 m non-refrigerated</w:t>
            </w:r>
          </w:p>
        </w:tc>
        <w:tc>
          <w:tcPr>
            <w:tcW w:w="2976" w:type="dxa"/>
          </w:tcPr>
          <w:p w14:paraId="1F93FB8E" w14:textId="77777777" w:rsidR="00257D17" w:rsidRPr="00B13D57" w:rsidRDefault="00257D17" w:rsidP="007041C3">
            <w:pPr>
              <w:rPr>
                <w:rFonts w:cstheme="minorHAnsi"/>
              </w:rPr>
            </w:pPr>
            <w:r w:rsidRPr="00A52D2D">
              <w:t>$0.748</w:t>
            </w:r>
          </w:p>
        </w:tc>
        <w:tc>
          <w:tcPr>
            <w:tcW w:w="2977" w:type="dxa"/>
          </w:tcPr>
          <w:p w14:paraId="0B2642DE" w14:textId="77777777" w:rsidR="00257D17" w:rsidRPr="00B13D57" w:rsidRDefault="00257D17" w:rsidP="007041C3">
            <w:pPr>
              <w:rPr>
                <w:rFonts w:cstheme="minorHAnsi"/>
              </w:rPr>
            </w:pPr>
            <w:r w:rsidRPr="00A52D2D">
              <w:t>$0.602</w:t>
            </w:r>
          </w:p>
        </w:tc>
      </w:tr>
      <w:tr w:rsidR="00257D17" w14:paraId="79AD27D9" w14:textId="77777777" w:rsidTr="007041C3">
        <w:trPr>
          <w:trHeight w:val="284"/>
        </w:trPr>
        <w:tc>
          <w:tcPr>
            <w:tcW w:w="2547" w:type="dxa"/>
          </w:tcPr>
          <w:p w14:paraId="0AD44D40" w14:textId="77777777" w:rsidR="00257D17" w:rsidRDefault="00257D17" w:rsidP="007041C3">
            <w:pPr>
              <w:rPr>
                <w:lang w:val="en-GB"/>
              </w:rPr>
            </w:pPr>
            <w:r>
              <w:t>2.60 m non-refrigerated</w:t>
            </w:r>
          </w:p>
        </w:tc>
        <w:tc>
          <w:tcPr>
            <w:tcW w:w="2976" w:type="dxa"/>
          </w:tcPr>
          <w:p w14:paraId="0DA44108" w14:textId="77777777" w:rsidR="00257D17" w:rsidRPr="00B13D57" w:rsidRDefault="00257D17" w:rsidP="007041C3">
            <w:pPr>
              <w:rPr>
                <w:rFonts w:cstheme="minorHAnsi"/>
              </w:rPr>
            </w:pPr>
            <w:r w:rsidRPr="00A52D2D">
              <w:t>$0.752</w:t>
            </w:r>
          </w:p>
        </w:tc>
        <w:tc>
          <w:tcPr>
            <w:tcW w:w="2977" w:type="dxa"/>
          </w:tcPr>
          <w:p w14:paraId="715F8CE5" w14:textId="77777777" w:rsidR="00257D17" w:rsidRPr="00B13D57" w:rsidRDefault="00257D17" w:rsidP="007041C3">
            <w:pPr>
              <w:rPr>
                <w:rFonts w:cstheme="minorHAnsi"/>
              </w:rPr>
            </w:pPr>
            <w:r w:rsidRPr="00A52D2D">
              <w:t>$0.605</w:t>
            </w:r>
          </w:p>
        </w:tc>
      </w:tr>
      <w:tr w:rsidR="00257D17" w14:paraId="022E90F3" w14:textId="77777777" w:rsidTr="007041C3">
        <w:trPr>
          <w:trHeight w:val="284"/>
        </w:trPr>
        <w:tc>
          <w:tcPr>
            <w:tcW w:w="2547" w:type="dxa"/>
          </w:tcPr>
          <w:p w14:paraId="02DE9703" w14:textId="77777777" w:rsidR="00257D17" w:rsidRDefault="00257D17" w:rsidP="007041C3">
            <w:pPr>
              <w:rPr>
                <w:lang w:val="en-GB"/>
              </w:rPr>
            </w:pPr>
            <w:r>
              <w:t>2.50 m refrigerated</w:t>
            </w:r>
          </w:p>
        </w:tc>
        <w:tc>
          <w:tcPr>
            <w:tcW w:w="2976" w:type="dxa"/>
          </w:tcPr>
          <w:p w14:paraId="30540636" w14:textId="77777777" w:rsidR="00257D17" w:rsidRPr="00B13D57" w:rsidRDefault="00257D17" w:rsidP="007041C3">
            <w:pPr>
              <w:rPr>
                <w:rFonts w:cstheme="minorHAnsi"/>
              </w:rPr>
            </w:pPr>
            <w:r w:rsidRPr="00A52D2D">
              <w:t>$0.856</w:t>
            </w:r>
          </w:p>
        </w:tc>
        <w:tc>
          <w:tcPr>
            <w:tcW w:w="2977" w:type="dxa"/>
          </w:tcPr>
          <w:p w14:paraId="227F2155" w14:textId="77777777" w:rsidR="00257D17" w:rsidRPr="00B13D57" w:rsidRDefault="00257D17" w:rsidP="007041C3">
            <w:pPr>
              <w:rPr>
                <w:rFonts w:cstheme="minorHAnsi"/>
              </w:rPr>
            </w:pPr>
            <w:r w:rsidRPr="00A52D2D">
              <w:t>$0.711</w:t>
            </w:r>
          </w:p>
        </w:tc>
      </w:tr>
      <w:tr w:rsidR="00257D17" w14:paraId="46FD4790" w14:textId="77777777" w:rsidTr="007041C3">
        <w:trPr>
          <w:trHeight w:val="284"/>
        </w:trPr>
        <w:tc>
          <w:tcPr>
            <w:tcW w:w="2547" w:type="dxa"/>
          </w:tcPr>
          <w:p w14:paraId="4F7B704D" w14:textId="77777777" w:rsidR="00257D17" w:rsidRDefault="00257D17" w:rsidP="007041C3">
            <w:pPr>
              <w:rPr>
                <w:lang w:val="en-GB"/>
              </w:rPr>
            </w:pPr>
            <w:r>
              <w:t>2.55 m refrigerated</w:t>
            </w:r>
          </w:p>
        </w:tc>
        <w:tc>
          <w:tcPr>
            <w:tcW w:w="2976" w:type="dxa"/>
          </w:tcPr>
          <w:p w14:paraId="4D901264" w14:textId="77777777" w:rsidR="00257D17" w:rsidRPr="00B13D57" w:rsidRDefault="00257D17" w:rsidP="007041C3">
            <w:pPr>
              <w:rPr>
                <w:rFonts w:cstheme="minorHAnsi"/>
              </w:rPr>
            </w:pPr>
            <w:r w:rsidRPr="00A52D2D">
              <w:t>$0.838</w:t>
            </w:r>
          </w:p>
        </w:tc>
        <w:tc>
          <w:tcPr>
            <w:tcW w:w="2977" w:type="dxa"/>
          </w:tcPr>
          <w:p w14:paraId="2B1E5DB2" w14:textId="77777777" w:rsidR="00257D17" w:rsidRPr="00B13D57" w:rsidRDefault="00257D17" w:rsidP="007041C3">
            <w:pPr>
              <w:rPr>
                <w:rFonts w:cstheme="minorHAnsi"/>
              </w:rPr>
            </w:pPr>
            <w:r w:rsidRPr="00A52D2D">
              <w:t>$0.692</w:t>
            </w:r>
          </w:p>
        </w:tc>
      </w:tr>
      <w:tr w:rsidR="00257D17" w14:paraId="0A28D0C6" w14:textId="77777777" w:rsidTr="007041C3">
        <w:trPr>
          <w:trHeight w:val="284"/>
        </w:trPr>
        <w:tc>
          <w:tcPr>
            <w:tcW w:w="2547" w:type="dxa"/>
          </w:tcPr>
          <w:p w14:paraId="7DAF273D" w14:textId="77777777" w:rsidR="00257D17" w:rsidRDefault="00257D17" w:rsidP="007041C3">
            <w:pPr>
              <w:rPr>
                <w:lang w:val="en-GB"/>
              </w:rPr>
            </w:pPr>
            <w:r>
              <w:t>2.60 m refrigerated</w:t>
            </w:r>
          </w:p>
        </w:tc>
        <w:tc>
          <w:tcPr>
            <w:tcW w:w="2976" w:type="dxa"/>
          </w:tcPr>
          <w:p w14:paraId="43815DC0" w14:textId="77777777" w:rsidR="00257D17" w:rsidRPr="00B13D57" w:rsidRDefault="00257D17" w:rsidP="007041C3">
            <w:pPr>
              <w:rPr>
                <w:rFonts w:cstheme="minorHAnsi"/>
              </w:rPr>
            </w:pPr>
            <w:r w:rsidRPr="00A52D2D">
              <w:t>$0.827</w:t>
            </w:r>
          </w:p>
        </w:tc>
        <w:tc>
          <w:tcPr>
            <w:tcW w:w="2977" w:type="dxa"/>
          </w:tcPr>
          <w:p w14:paraId="54F65BB3" w14:textId="77777777" w:rsidR="00257D17" w:rsidRPr="00B13D57" w:rsidRDefault="00257D17" w:rsidP="007041C3">
            <w:pPr>
              <w:rPr>
                <w:rFonts w:cstheme="minorHAnsi"/>
              </w:rPr>
            </w:pPr>
            <w:r w:rsidRPr="00A52D2D">
              <w:t>$0.680</w:t>
            </w:r>
          </w:p>
        </w:tc>
      </w:tr>
    </w:tbl>
    <w:p w14:paraId="5ADE013D" w14:textId="77777777" w:rsidR="00164075" w:rsidRDefault="00B97317" w:rsidP="00164075">
      <w:pPr>
        <w:rPr>
          <w:lang w:val="en-US"/>
        </w:rPr>
      </w:pPr>
      <w:r>
        <w:rPr>
          <w:lang w:val="en-US"/>
        </w:rPr>
        <w:t xml:space="preserve">Reductions in overall vehicle operating </w:t>
      </w:r>
      <w:r w:rsidR="00B677E8">
        <w:rPr>
          <w:lang w:val="en-US"/>
        </w:rPr>
        <w:t xml:space="preserve">costs arise </w:t>
      </w:r>
      <w:r w:rsidR="004D110C">
        <w:rPr>
          <w:lang w:val="en-US"/>
        </w:rPr>
        <w:t xml:space="preserve">under </w:t>
      </w:r>
      <w:r w:rsidR="00B677E8">
        <w:t>Options 3.1a, 3.1b, 3.2a and 3.2b,</w:t>
      </w:r>
      <w:r>
        <w:rPr>
          <w:lang w:val="en-US"/>
        </w:rPr>
        <w:t xml:space="preserve"> due to a combination of the overall reduction in trips required to move the </w:t>
      </w:r>
      <w:r w:rsidR="00B677E8">
        <w:rPr>
          <w:lang w:val="en-US"/>
        </w:rPr>
        <w:t>same</w:t>
      </w:r>
      <w:r>
        <w:rPr>
          <w:lang w:val="en-US"/>
        </w:rPr>
        <w:t xml:space="preserve"> freight, together </w:t>
      </w:r>
      <w:r w:rsidR="00B677E8">
        <w:rPr>
          <w:lang w:val="en-US"/>
        </w:rPr>
        <w:t>with</w:t>
      </w:r>
      <w:r>
        <w:rPr>
          <w:lang w:val="en-US"/>
        </w:rPr>
        <w:t xml:space="preserve"> the reduction in operating costs per VKT for </w:t>
      </w:r>
      <w:r w:rsidR="00B677E8">
        <w:rPr>
          <w:lang w:val="en-US"/>
        </w:rPr>
        <w:t xml:space="preserve">wider </w:t>
      </w:r>
      <w:r>
        <w:rPr>
          <w:lang w:val="en-US"/>
        </w:rPr>
        <w:t>refrigerated goods vehicles and trailers</w:t>
      </w:r>
      <w:r w:rsidR="00C64F8C">
        <w:rPr>
          <w:lang w:val="en-US"/>
        </w:rPr>
        <w:t xml:space="preserve"> (</w:t>
      </w:r>
      <w:r w:rsidR="004D110C">
        <w:rPr>
          <w:lang w:val="en-US"/>
        </w:rPr>
        <w:t>with</w:t>
      </w:r>
      <w:r w:rsidR="00C64F8C">
        <w:rPr>
          <w:lang w:val="en-US"/>
        </w:rPr>
        <w:t xml:space="preserve"> thicker insulation)</w:t>
      </w:r>
      <w:r>
        <w:rPr>
          <w:lang w:val="en-US"/>
        </w:rPr>
        <w:t>.</w:t>
      </w:r>
    </w:p>
    <w:p w14:paraId="11E25BAD" w14:textId="77777777" w:rsidR="00740D47" w:rsidRDefault="00740D47" w:rsidP="00740D47">
      <w:pPr>
        <w:pStyle w:val="Heading4"/>
      </w:pPr>
      <w:r>
        <w:t>Environment</w:t>
      </w:r>
    </w:p>
    <w:p w14:paraId="33E3BF82" w14:textId="4F12BD11" w:rsidR="00C64F8C" w:rsidRDefault="00C64F8C" w:rsidP="00C64F8C">
      <w:r>
        <w:rPr>
          <w:lang w:val="en-GB"/>
        </w:rPr>
        <w:t xml:space="preserve">The ARRB also established average heavy goods vehicle and trailer environmental costs based on </w:t>
      </w:r>
      <w:r w:rsidRPr="002143AB">
        <w:rPr>
          <w:lang w:val="en-GB"/>
        </w:rPr>
        <w:t>parameter values published by</w:t>
      </w:r>
      <w:r>
        <w:rPr>
          <w:lang w:val="en-GB"/>
        </w:rPr>
        <w:t xml:space="preserve"> the Australian Transport Assessment and Planning Steering Committee. </w:t>
      </w:r>
      <w:r>
        <w:t xml:space="preserve">The average environmental costs per VKT used by the ARRB for Options 3.1a, 3.1b, 3.2a and 3.2b are </w:t>
      </w:r>
      <w:r w:rsidR="009720EB">
        <w:t>shown</w:t>
      </w:r>
      <w:r>
        <w:t xml:space="preserve"> in </w:t>
      </w:r>
      <w:r w:rsidR="00534814" w:rsidRPr="002C1585">
        <w:t xml:space="preserve">Table </w:t>
      </w:r>
      <w:r w:rsidR="00534814">
        <w:rPr>
          <w:noProof/>
        </w:rPr>
        <w:t>8</w:t>
      </w:r>
      <w:r>
        <w:t xml:space="preserve"> below.</w:t>
      </w:r>
    </w:p>
    <w:p w14:paraId="4336B8E4" w14:textId="14AEBA2B" w:rsidR="00C64F8C" w:rsidRPr="002C1585" w:rsidRDefault="00C64F8C" w:rsidP="00024D04">
      <w:pPr>
        <w:pStyle w:val="Caption"/>
        <w:pageBreakBefore/>
      </w:pPr>
      <w:bookmarkStart w:id="62" w:name="_Ref111464089"/>
      <w:bookmarkStart w:id="63" w:name="_Toc135320133"/>
      <w:r w:rsidRPr="002C1585">
        <w:t xml:space="preserve">Table </w:t>
      </w:r>
      <w:r w:rsidR="00534814">
        <w:rPr>
          <w:noProof/>
        </w:rPr>
        <w:t>8</w:t>
      </w:r>
      <w:bookmarkEnd w:id="62"/>
      <w:r>
        <w:t xml:space="preserve">: Average environmental costs per VKT used in </w:t>
      </w:r>
      <w:r w:rsidR="00822448">
        <w:t xml:space="preserve">the </w:t>
      </w:r>
      <w:r>
        <w:t>analysis</w:t>
      </w:r>
      <w:bookmarkEnd w:id="63"/>
    </w:p>
    <w:tbl>
      <w:tblPr>
        <w:tblStyle w:val="TableGrid"/>
        <w:tblW w:w="0" w:type="auto"/>
        <w:tblLook w:val="04A0" w:firstRow="1" w:lastRow="0" w:firstColumn="1" w:lastColumn="0" w:noHBand="0" w:noVBand="1"/>
      </w:tblPr>
      <w:tblGrid>
        <w:gridCol w:w="2547"/>
        <w:gridCol w:w="2976"/>
        <w:gridCol w:w="2977"/>
      </w:tblGrid>
      <w:tr w:rsidR="00C02289" w14:paraId="6F98ACA2" w14:textId="77777777" w:rsidTr="007041C3">
        <w:trPr>
          <w:trHeight w:val="284"/>
        </w:trPr>
        <w:tc>
          <w:tcPr>
            <w:tcW w:w="2547" w:type="dxa"/>
            <w:shd w:val="clear" w:color="auto" w:fill="081E3E" w:themeFill="text2"/>
          </w:tcPr>
          <w:p w14:paraId="255FD46D" w14:textId="77777777" w:rsidR="00C02289" w:rsidRPr="00DF75B1" w:rsidRDefault="00C02289" w:rsidP="00C02289">
            <w:pPr>
              <w:rPr>
                <w:b/>
                <w:color w:val="FFFFFF" w:themeColor="background1"/>
                <w:lang w:val="en-GB"/>
              </w:rPr>
            </w:pPr>
            <w:r w:rsidRPr="00DF75B1">
              <w:rPr>
                <w:b/>
                <w:color w:val="FFFFFF" w:themeColor="background1"/>
              </w:rPr>
              <w:t>Freight task</w:t>
            </w:r>
          </w:p>
        </w:tc>
        <w:tc>
          <w:tcPr>
            <w:tcW w:w="2976" w:type="dxa"/>
            <w:shd w:val="clear" w:color="auto" w:fill="081E3E" w:themeFill="text2"/>
          </w:tcPr>
          <w:p w14:paraId="68652C04" w14:textId="77777777" w:rsidR="00C02289" w:rsidRPr="00DF75B1" w:rsidRDefault="00C02289" w:rsidP="00B16414">
            <w:pPr>
              <w:rPr>
                <w:b/>
                <w:color w:val="FFFFFF" w:themeColor="background1"/>
                <w:lang w:val="en-GB"/>
              </w:rPr>
            </w:pPr>
            <w:r>
              <w:rPr>
                <w:b/>
                <w:color w:val="FFFFFF" w:themeColor="background1"/>
              </w:rPr>
              <w:t>Goods vehicles</w:t>
            </w:r>
            <w:r w:rsidRPr="00DF75B1">
              <w:rPr>
                <w:b/>
                <w:color w:val="FFFFFF" w:themeColor="background1"/>
              </w:rPr>
              <w:t xml:space="preserve"> </w:t>
            </w:r>
            <w:r w:rsidR="00B16414">
              <w:rPr>
                <w:b/>
                <w:color w:val="FFFFFF" w:themeColor="background1"/>
              </w:rPr>
              <w:t>over 4.5 tonnes</w:t>
            </w:r>
          </w:p>
        </w:tc>
        <w:tc>
          <w:tcPr>
            <w:tcW w:w="2977" w:type="dxa"/>
            <w:shd w:val="clear" w:color="auto" w:fill="081E3E" w:themeFill="text2"/>
          </w:tcPr>
          <w:p w14:paraId="0C568E2B" w14:textId="77777777" w:rsidR="00C02289" w:rsidRPr="00DF75B1" w:rsidRDefault="00C02289" w:rsidP="00B16414">
            <w:pPr>
              <w:rPr>
                <w:b/>
                <w:color w:val="FFFFFF" w:themeColor="background1"/>
                <w:lang w:val="en-GB"/>
              </w:rPr>
            </w:pPr>
            <w:r w:rsidRPr="00DF75B1">
              <w:rPr>
                <w:b/>
                <w:color w:val="FFFFFF" w:themeColor="background1"/>
              </w:rPr>
              <w:t>Trailer</w:t>
            </w:r>
            <w:r w:rsidR="00B16414">
              <w:rPr>
                <w:b/>
                <w:color w:val="FFFFFF" w:themeColor="background1"/>
              </w:rPr>
              <w:t>s over 4.5 tonnes</w:t>
            </w:r>
          </w:p>
        </w:tc>
      </w:tr>
      <w:tr w:rsidR="00257D17" w14:paraId="65F028C8" w14:textId="77777777" w:rsidTr="007041C3">
        <w:trPr>
          <w:trHeight w:val="284"/>
        </w:trPr>
        <w:tc>
          <w:tcPr>
            <w:tcW w:w="2547" w:type="dxa"/>
          </w:tcPr>
          <w:p w14:paraId="4F23B8B7" w14:textId="77777777" w:rsidR="00257D17" w:rsidRDefault="00257D17" w:rsidP="00257D17">
            <w:pPr>
              <w:rPr>
                <w:lang w:val="en-GB"/>
              </w:rPr>
            </w:pPr>
            <w:r>
              <w:t>2.50 m non-refrigerated</w:t>
            </w:r>
          </w:p>
        </w:tc>
        <w:tc>
          <w:tcPr>
            <w:tcW w:w="2976" w:type="dxa"/>
          </w:tcPr>
          <w:p w14:paraId="287213AE" w14:textId="77777777" w:rsidR="00257D17" w:rsidRPr="00430252" w:rsidRDefault="00257D17" w:rsidP="00257D17">
            <w:pPr>
              <w:rPr>
                <w:rFonts w:cstheme="minorHAnsi"/>
              </w:rPr>
            </w:pPr>
            <w:r w:rsidRPr="00091C2F">
              <w:t>$0.385</w:t>
            </w:r>
          </w:p>
        </w:tc>
        <w:tc>
          <w:tcPr>
            <w:tcW w:w="2977" w:type="dxa"/>
          </w:tcPr>
          <w:p w14:paraId="3B69D3D3" w14:textId="77777777" w:rsidR="00257D17" w:rsidRPr="00430252" w:rsidRDefault="00257D17" w:rsidP="00257D17">
            <w:pPr>
              <w:rPr>
                <w:rFonts w:cstheme="minorHAnsi"/>
              </w:rPr>
            </w:pPr>
            <w:r w:rsidRPr="00091C2F">
              <w:t>$0.310</w:t>
            </w:r>
          </w:p>
        </w:tc>
      </w:tr>
      <w:tr w:rsidR="00257D17" w14:paraId="2AB20852" w14:textId="77777777" w:rsidTr="007041C3">
        <w:trPr>
          <w:trHeight w:val="284"/>
        </w:trPr>
        <w:tc>
          <w:tcPr>
            <w:tcW w:w="2547" w:type="dxa"/>
          </w:tcPr>
          <w:p w14:paraId="49596669" w14:textId="77777777" w:rsidR="00257D17" w:rsidRDefault="00257D17" w:rsidP="00257D17">
            <w:pPr>
              <w:rPr>
                <w:lang w:val="en-GB"/>
              </w:rPr>
            </w:pPr>
            <w:r>
              <w:t>2.55 m non-refrigerated</w:t>
            </w:r>
          </w:p>
        </w:tc>
        <w:tc>
          <w:tcPr>
            <w:tcW w:w="2976" w:type="dxa"/>
          </w:tcPr>
          <w:p w14:paraId="05BA9740" w14:textId="77777777" w:rsidR="00257D17" w:rsidRPr="00430252" w:rsidRDefault="00257D17" w:rsidP="00257D17">
            <w:pPr>
              <w:rPr>
                <w:rFonts w:cstheme="minorHAnsi"/>
              </w:rPr>
            </w:pPr>
            <w:r w:rsidRPr="00091C2F">
              <w:t>$0.387</w:t>
            </w:r>
          </w:p>
        </w:tc>
        <w:tc>
          <w:tcPr>
            <w:tcW w:w="2977" w:type="dxa"/>
          </w:tcPr>
          <w:p w14:paraId="62492234" w14:textId="77777777" w:rsidR="00257D17" w:rsidRPr="00430252" w:rsidRDefault="00257D17" w:rsidP="00257D17">
            <w:pPr>
              <w:rPr>
                <w:rFonts w:cstheme="minorHAnsi"/>
              </w:rPr>
            </w:pPr>
            <w:r w:rsidRPr="00091C2F">
              <w:t>$0.311</w:t>
            </w:r>
          </w:p>
        </w:tc>
      </w:tr>
      <w:tr w:rsidR="00257D17" w14:paraId="266E3199" w14:textId="77777777" w:rsidTr="007041C3">
        <w:trPr>
          <w:trHeight w:val="284"/>
        </w:trPr>
        <w:tc>
          <w:tcPr>
            <w:tcW w:w="2547" w:type="dxa"/>
          </w:tcPr>
          <w:p w14:paraId="0AF60D0E" w14:textId="77777777" w:rsidR="00257D17" w:rsidRDefault="00257D17" w:rsidP="00257D17">
            <w:pPr>
              <w:rPr>
                <w:lang w:val="en-GB"/>
              </w:rPr>
            </w:pPr>
            <w:r>
              <w:t>2.60 m non-refrigerated</w:t>
            </w:r>
          </w:p>
        </w:tc>
        <w:tc>
          <w:tcPr>
            <w:tcW w:w="2976" w:type="dxa"/>
          </w:tcPr>
          <w:p w14:paraId="1C5F8EB5" w14:textId="77777777" w:rsidR="00257D17" w:rsidRPr="00430252" w:rsidRDefault="00257D17" w:rsidP="00257D17">
            <w:pPr>
              <w:rPr>
                <w:rFonts w:cstheme="minorHAnsi"/>
              </w:rPr>
            </w:pPr>
            <w:r w:rsidRPr="00091C2F">
              <w:t>$0.389</w:t>
            </w:r>
          </w:p>
        </w:tc>
        <w:tc>
          <w:tcPr>
            <w:tcW w:w="2977" w:type="dxa"/>
          </w:tcPr>
          <w:p w14:paraId="18F26736" w14:textId="77777777" w:rsidR="00257D17" w:rsidRPr="00430252" w:rsidRDefault="00257D17" w:rsidP="00257D17">
            <w:pPr>
              <w:rPr>
                <w:rFonts w:cstheme="minorHAnsi"/>
              </w:rPr>
            </w:pPr>
            <w:r w:rsidRPr="00091C2F">
              <w:t>$0.313</w:t>
            </w:r>
          </w:p>
        </w:tc>
      </w:tr>
      <w:tr w:rsidR="00257D17" w14:paraId="59628605" w14:textId="77777777" w:rsidTr="007041C3">
        <w:trPr>
          <w:trHeight w:val="284"/>
        </w:trPr>
        <w:tc>
          <w:tcPr>
            <w:tcW w:w="2547" w:type="dxa"/>
          </w:tcPr>
          <w:p w14:paraId="6C719026" w14:textId="77777777" w:rsidR="00257D17" w:rsidRDefault="00257D17" w:rsidP="00257D17">
            <w:pPr>
              <w:rPr>
                <w:lang w:val="en-GB"/>
              </w:rPr>
            </w:pPr>
            <w:r>
              <w:t>2.50 m refrigerated</w:t>
            </w:r>
          </w:p>
        </w:tc>
        <w:tc>
          <w:tcPr>
            <w:tcW w:w="2976" w:type="dxa"/>
          </w:tcPr>
          <w:p w14:paraId="5BB3EC47" w14:textId="77777777" w:rsidR="00257D17" w:rsidRPr="00430252" w:rsidRDefault="00257D17" w:rsidP="00257D17">
            <w:pPr>
              <w:rPr>
                <w:rFonts w:cstheme="minorHAnsi"/>
              </w:rPr>
            </w:pPr>
            <w:r w:rsidRPr="00091C2F">
              <w:t>$0.443</w:t>
            </w:r>
          </w:p>
        </w:tc>
        <w:tc>
          <w:tcPr>
            <w:tcW w:w="2977" w:type="dxa"/>
          </w:tcPr>
          <w:p w14:paraId="207C3DFB" w14:textId="77777777" w:rsidR="00257D17" w:rsidRPr="00430252" w:rsidRDefault="00257D17" w:rsidP="00257D17">
            <w:pPr>
              <w:rPr>
                <w:rFonts w:cstheme="minorHAnsi"/>
              </w:rPr>
            </w:pPr>
            <w:r w:rsidRPr="00091C2F">
              <w:t>$0.356</w:t>
            </w:r>
          </w:p>
        </w:tc>
      </w:tr>
      <w:tr w:rsidR="00257D17" w14:paraId="5FF7708E" w14:textId="77777777" w:rsidTr="007041C3">
        <w:trPr>
          <w:trHeight w:val="284"/>
        </w:trPr>
        <w:tc>
          <w:tcPr>
            <w:tcW w:w="2547" w:type="dxa"/>
          </w:tcPr>
          <w:p w14:paraId="33BC64BB" w14:textId="77777777" w:rsidR="00257D17" w:rsidRDefault="00257D17" w:rsidP="00257D17">
            <w:pPr>
              <w:rPr>
                <w:lang w:val="en-GB"/>
              </w:rPr>
            </w:pPr>
            <w:r>
              <w:t>2.55 m refrigerated</w:t>
            </w:r>
          </w:p>
        </w:tc>
        <w:tc>
          <w:tcPr>
            <w:tcW w:w="2976" w:type="dxa"/>
          </w:tcPr>
          <w:p w14:paraId="5D711786" w14:textId="77777777" w:rsidR="00257D17" w:rsidRPr="00430252" w:rsidRDefault="00257D17" w:rsidP="00257D17">
            <w:pPr>
              <w:rPr>
                <w:rFonts w:cstheme="minorHAnsi"/>
              </w:rPr>
            </w:pPr>
            <w:r w:rsidRPr="00091C2F">
              <w:t>$0.433</w:t>
            </w:r>
          </w:p>
        </w:tc>
        <w:tc>
          <w:tcPr>
            <w:tcW w:w="2977" w:type="dxa"/>
          </w:tcPr>
          <w:p w14:paraId="56A0555B" w14:textId="77777777" w:rsidR="00257D17" w:rsidRPr="00430252" w:rsidRDefault="00257D17" w:rsidP="00257D17">
            <w:pPr>
              <w:rPr>
                <w:rFonts w:cstheme="minorHAnsi"/>
              </w:rPr>
            </w:pPr>
            <w:r w:rsidRPr="00091C2F">
              <w:t>$0.347</w:t>
            </w:r>
          </w:p>
        </w:tc>
      </w:tr>
      <w:tr w:rsidR="00257D17" w14:paraId="3240FC5A" w14:textId="77777777" w:rsidTr="007041C3">
        <w:trPr>
          <w:trHeight w:val="284"/>
        </w:trPr>
        <w:tc>
          <w:tcPr>
            <w:tcW w:w="2547" w:type="dxa"/>
          </w:tcPr>
          <w:p w14:paraId="32A5D207" w14:textId="77777777" w:rsidR="00257D17" w:rsidRDefault="00257D17" w:rsidP="00257D17">
            <w:pPr>
              <w:rPr>
                <w:lang w:val="en-GB"/>
              </w:rPr>
            </w:pPr>
            <w:r>
              <w:t>2.60 m refrigerated</w:t>
            </w:r>
          </w:p>
        </w:tc>
        <w:tc>
          <w:tcPr>
            <w:tcW w:w="2976" w:type="dxa"/>
          </w:tcPr>
          <w:p w14:paraId="1E77133D" w14:textId="77777777" w:rsidR="00257D17" w:rsidRPr="00430252" w:rsidRDefault="00257D17" w:rsidP="00257D17">
            <w:pPr>
              <w:rPr>
                <w:rFonts w:cstheme="minorHAnsi"/>
              </w:rPr>
            </w:pPr>
            <w:r w:rsidRPr="00091C2F">
              <w:t>$0.428</w:t>
            </w:r>
          </w:p>
        </w:tc>
        <w:tc>
          <w:tcPr>
            <w:tcW w:w="2977" w:type="dxa"/>
          </w:tcPr>
          <w:p w14:paraId="5929C394" w14:textId="77777777" w:rsidR="00257D17" w:rsidRPr="00430252" w:rsidRDefault="00257D17" w:rsidP="00257D17">
            <w:pPr>
              <w:rPr>
                <w:rFonts w:cstheme="minorHAnsi"/>
              </w:rPr>
            </w:pPr>
            <w:r w:rsidRPr="00091C2F">
              <w:t>$0.341</w:t>
            </w:r>
          </w:p>
        </w:tc>
      </w:tr>
    </w:tbl>
    <w:p w14:paraId="021DDEA4" w14:textId="77777777" w:rsidR="00C64F8C" w:rsidRDefault="00C64F8C" w:rsidP="00C64F8C">
      <w:pPr>
        <w:rPr>
          <w:lang w:val="en-US"/>
        </w:rPr>
      </w:pPr>
      <w:r>
        <w:rPr>
          <w:lang w:val="en-US"/>
        </w:rPr>
        <w:t xml:space="preserve">Reductions in environmental costs arise under </w:t>
      </w:r>
      <w:r>
        <w:t>Options 3.1a, 3.1b, 3.2a and 3.2b,</w:t>
      </w:r>
      <w:r>
        <w:rPr>
          <w:lang w:val="en-US"/>
        </w:rPr>
        <w:t xml:space="preserve"> due to a combination of the overall reduction in trips required to move the same freight, together with lower energy needs per VKT for wider refrigerated goods vehicles and tr</w:t>
      </w:r>
      <w:r w:rsidR="00BD7FD9">
        <w:rPr>
          <w:lang w:val="en-US"/>
        </w:rPr>
        <w:t xml:space="preserve">ailers </w:t>
      </w:r>
      <w:r w:rsidR="0066695E">
        <w:rPr>
          <w:lang w:val="en-US"/>
        </w:rPr>
        <w:t>(</w:t>
      </w:r>
      <w:r w:rsidR="004D110C">
        <w:rPr>
          <w:lang w:val="en-US"/>
        </w:rPr>
        <w:t>with</w:t>
      </w:r>
      <w:r w:rsidR="00BD7FD9">
        <w:rPr>
          <w:lang w:val="en-US"/>
        </w:rPr>
        <w:t xml:space="preserve"> thicker insulation</w:t>
      </w:r>
      <w:r w:rsidR="0066695E">
        <w:rPr>
          <w:lang w:val="en-US"/>
        </w:rPr>
        <w:t>)</w:t>
      </w:r>
      <w:r>
        <w:rPr>
          <w:lang w:val="en-US"/>
        </w:rPr>
        <w:t>.</w:t>
      </w:r>
    </w:p>
    <w:p w14:paraId="4EF2FA2A" w14:textId="77777777" w:rsidR="0084287E" w:rsidRPr="0084287E" w:rsidRDefault="0084287E" w:rsidP="0084287E">
      <w:pPr>
        <w:pStyle w:val="Heading3"/>
        <w:rPr>
          <w:lang w:val="en-AU"/>
        </w:rPr>
      </w:pPr>
      <w:bookmarkStart w:id="64" w:name="_Toc143182142"/>
      <w:r w:rsidRPr="0084287E">
        <w:rPr>
          <w:lang w:val="en-AU"/>
        </w:rPr>
        <w:t>Costs</w:t>
      </w:r>
      <w:bookmarkEnd w:id="64"/>
    </w:p>
    <w:p w14:paraId="5A740D20" w14:textId="77777777" w:rsidR="00B62F87" w:rsidRDefault="00B62F87" w:rsidP="00B62F87">
      <w:r w:rsidRPr="00163D15">
        <w:t xml:space="preserve">For Option </w:t>
      </w:r>
      <w:r>
        <w:t>2</w:t>
      </w:r>
      <w:r w:rsidRPr="00163D15">
        <w:t xml:space="preserve">, there are no intervention </w:t>
      </w:r>
      <w:r>
        <w:t>costs</w:t>
      </w:r>
      <w:r w:rsidRPr="00163D15">
        <w:t xml:space="preserve"> (or </w:t>
      </w:r>
      <w:r>
        <w:t>benefits</w:t>
      </w:r>
      <w:r w:rsidRPr="00163D15">
        <w:t>) as this is the BAU case.</w:t>
      </w:r>
    </w:p>
    <w:p w14:paraId="31287CBC" w14:textId="77777777" w:rsidR="00B62F87" w:rsidRDefault="00FD0587" w:rsidP="00B62F87">
      <w:r>
        <w:t xml:space="preserve">For Option 3, there are costs to government to implement and maintain updated regulations, costs (and savings) for manufacturers to modify vehicles for changes in the width limit, costs for manufacturers to fit additional required safety </w:t>
      </w:r>
      <w:r w:rsidR="008C56E5">
        <w:t>systems or features</w:t>
      </w:r>
      <w:r>
        <w:t xml:space="preserve">, costs for heavy vehicle operators to maintain and repair safety </w:t>
      </w:r>
      <w:r w:rsidR="008C56E5">
        <w:t>systems/</w:t>
      </w:r>
      <w:r>
        <w:t>features, and infrastructure upgrade costs.</w:t>
      </w:r>
    </w:p>
    <w:p w14:paraId="794618A7" w14:textId="77777777" w:rsidR="000B3DF0" w:rsidRDefault="00D2346F" w:rsidP="000B3DF0">
      <w:pPr>
        <w:pStyle w:val="Heading4"/>
      </w:pPr>
      <w:r>
        <w:t>Government</w:t>
      </w:r>
    </w:p>
    <w:p w14:paraId="112CAF23" w14:textId="77777777" w:rsidR="000B3DF0" w:rsidRPr="000B3DF0" w:rsidRDefault="000B3DF0" w:rsidP="000B3DF0">
      <w:pPr>
        <w:pStyle w:val="Heading4"/>
        <w:rPr>
          <w:rFonts w:asciiTheme="minorHAnsi" w:eastAsiaTheme="minorHAnsi" w:hAnsiTheme="minorHAnsi" w:cstheme="minorBidi"/>
          <w:color w:val="000000" w:themeColor="text1"/>
          <w:sz w:val="20"/>
          <w:szCs w:val="20"/>
          <w:lang w:val="en-AU"/>
        </w:rPr>
      </w:pPr>
      <w:r>
        <w:rPr>
          <w:rFonts w:asciiTheme="minorHAnsi" w:eastAsiaTheme="minorHAnsi" w:hAnsiTheme="minorHAnsi" w:cstheme="minorBidi"/>
          <w:color w:val="000000" w:themeColor="text1"/>
          <w:sz w:val="20"/>
          <w:szCs w:val="20"/>
          <w:lang w:val="en-AU"/>
        </w:rPr>
        <w:t xml:space="preserve">The ARRB assumed there would be an estimated </w:t>
      </w:r>
      <w:r w:rsidRPr="000B3DF0">
        <w:rPr>
          <w:rFonts w:asciiTheme="minorHAnsi" w:eastAsiaTheme="minorHAnsi" w:hAnsiTheme="minorHAnsi" w:cstheme="minorBidi"/>
          <w:color w:val="000000" w:themeColor="text1"/>
          <w:sz w:val="20"/>
          <w:szCs w:val="20"/>
          <w:lang w:val="en-AU"/>
        </w:rPr>
        <w:t>cost of $50,000 per annum for the department to create, implement and maintain the proposed changes</w:t>
      </w:r>
      <w:r>
        <w:rPr>
          <w:rFonts w:asciiTheme="minorHAnsi" w:eastAsiaTheme="minorHAnsi" w:hAnsiTheme="minorHAnsi" w:cstheme="minorBidi"/>
          <w:color w:val="000000" w:themeColor="text1"/>
          <w:sz w:val="20"/>
          <w:szCs w:val="20"/>
          <w:lang w:val="en-AU"/>
        </w:rPr>
        <w:t xml:space="preserve"> </w:t>
      </w:r>
      <w:r w:rsidR="00955CFD">
        <w:rPr>
          <w:rFonts w:asciiTheme="minorHAnsi" w:eastAsiaTheme="minorHAnsi" w:hAnsiTheme="minorHAnsi" w:cstheme="minorBidi"/>
          <w:color w:val="000000" w:themeColor="text1"/>
          <w:sz w:val="20"/>
          <w:szCs w:val="20"/>
          <w:lang w:val="en-AU"/>
        </w:rPr>
        <w:t xml:space="preserve">to regulation </w:t>
      </w:r>
      <w:r>
        <w:rPr>
          <w:rFonts w:asciiTheme="minorHAnsi" w:eastAsiaTheme="minorHAnsi" w:hAnsiTheme="minorHAnsi" w:cstheme="minorBidi"/>
          <w:color w:val="000000" w:themeColor="text1"/>
          <w:sz w:val="20"/>
          <w:szCs w:val="20"/>
          <w:lang w:val="en-AU"/>
        </w:rPr>
        <w:t>under Options 3.1a, 3.1b, 3.2a and 3.2b</w:t>
      </w:r>
      <w:r w:rsidRPr="000B3DF0">
        <w:rPr>
          <w:rFonts w:asciiTheme="minorHAnsi" w:eastAsiaTheme="minorHAnsi" w:hAnsiTheme="minorHAnsi" w:cstheme="minorBidi"/>
          <w:color w:val="000000" w:themeColor="text1"/>
          <w:sz w:val="20"/>
          <w:szCs w:val="20"/>
          <w:lang w:val="en-AU"/>
        </w:rPr>
        <w:t>.</w:t>
      </w:r>
      <w:r w:rsidR="001E156C">
        <w:rPr>
          <w:rFonts w:asciiTheme="minorHAnsi" w:eastAsiaTheme="minorHAnsi" w:hAnsiTheme="minorHAnsi" w:cstheme="minorBidi"/>
          <w:color w:val="000000" w:themeColor="text1"/>
          <w:sz w:val="20"/>
          <w:szCs w:val="20"/>
          <w:lang w:val="en-AU"/>
        </w:rPr>
        <w:t xml:space="preserve"> This cost was taken from previous Regulation Impact Statements by the department for </w:t>
      </w:r>
      <w:r w:rsidR="00AE2A8D">
        <w:rPr>
          <w:rFonts w:asciiTheme="minorHAnsi" w:eastAsiaTheme="minorHAnsi" w:hAnsiTheme="minorHAnsi" w:cstheme="minorBidi"/>
          <w:color w:val="000000" w:themeColor="text1"/>
          <w:sz w:val="20"/>
          <w:szCs w:val="20"/>
          <w:lang w:val="en-AU"/>
        </w:rPr>
        <w:t>new ADRs, and is based on the department’s past experience in implementing and maintaining the ADRs.</w:t>
      </w:r>
    </w:p>
    <w:p w14:paraId="7A479DEA" w14:textId="77777777" w:rsidR="00F84948" w:rsidRDefault="00F73629" w:rsidP="00F84948">
      <w:pPr>
        <w:pStyle w:val="Heading4"/>
      </w:pPr>
      <w:r>
        <w:t>Vehicle</w:t>
      </w:r>
      <w:r w:rsidR="00F84948">
        <w:t xml:space="preserve"> </w:t>
      </w:r>
      <w:r w:rsidR="00422B9A">
        <w:t>m</w:t>
      </w:r>
      <w:r w:rsidR="00F84948">
        <w:t>odification</w:t>
      </w:r>
      <w:r w:rsidR="00FD0587">
        <w:t xml:space="preserve"> for width</w:t>
      </w:r>
    </w:p>
    <w:p w14:paraId="28820FCC" w14:textId="77777777" w:rsidR="00B5134B" w:rsidRDefault="00B5134B" w:rsidP="00F84948">
      <w:pPr>
        <w:rPr>
          <w:lang w:val="en-US"/>
        </w:rPr>
      </w:pPr>
      <w:r>
        <w:rPr>
          <w:lang w:val="en-US"/>
        </w:rPr>
        <w:t xml:space="preserve">Increasing the width limit to 2.55 m would substantially reduce the need for truck manufacturers to modify models based on overseas designs, to make them narrower for Australia. Increasing the width limit to </w:t>
      </w:r>
      <w:r w:rsidR="00B9347B">
        <w:rPr>
          <w:lang w:val="en-US"/>
        </w:rPr>
        <w:t>2.60</w:t>
      </w:r>
      <w:r>
        <w:rPr>
          <w:lang w:val="en-US"/>
        </w:rPr>
        <w:t xml:space="preserve"> m would </w:t>
      </w:r>
      <w:r w:rsidR="00443830">
        <w:rPr>
          <w:lang w:val="en-US"/>
        </w:rPr>
        <w:t xml:space="preserve">essentially </w:t>
      </w:r>
      <w:r>
        <w:rPr>
          <w:lang w:val="en-US"/>
        </w:rPr>
        <w:t xml:space="preserve">eliminate the need </w:t>
      </w:r>
      <w:r w:rsidR="00BA7387">
        <w:rPr>
          <w:lang w:val="en-US"/>
        </w:rPr>
        <w:t>for</w:t>
      </w:r>
      <w:r w:rsidR="00A165C7">
        <w:rPr>
          <w:lang w:val="en-US"/>
        </w:rPr>
        <w:t xml:space="preserve"> trucks</w:t>
      </w:r>
      <w:r>
        <w:rPr>
          <w:lang w:val="en-US"/>
        </w:rPr>
        <w:t xml:space="preserve"> </w:t>
      </w:r>
      <w:r w:rsidR="00BA7387">
        <w:rPr>
          <w:lang w:val="en-US"/>
        </w:rPr>
        <w:t xml:space="preserve">to be made </w:t>
      </w:r>
      <w:r>
        <w:rPr>
          <w:lang w:val="en-US"/>
        </w:rPr>
        <w:t>narrower for Australia.</w:t>
      </w:r>
    </w:p>
    <w:p w14:paraId="20A4CD44" w14:textId="77777777" w:rsidR="00F84948" w:rsidRDefault="00FA68F2" w:rsidP="00F84948">
      <w:pPr>
        <w:rPr>
          <w:lang w:val="en-US"/>
        </w:rPr>
      </w:pPr>
      <w:r>
        <w:rPr>
          <w:lang w:val="en-US"/>
        </w:rPr>
        <w:t xml:space="preserve">The ARRB assumed based on estimates previously provided by the TIC to the </w:t>
      </w:r>
      <w:r w:rsidR="00B9347B">
        <w:rPr>
          <w:lang w:val="en-US"/>
        </w:rPr>
        <w:t>d</w:t>
      </w:r>
      <w:r>
        <w:rPr>
          <w:lang w:val="en-US"/>
        </w:rPr>
        <w:t xml:space="preserve">epartment, that increasing the width limit would reduce modification costs for heavy truck models by $21.375 m </w:t>
      </w:r>
      <w:r w:rsidR="00F460F0">
        <w:rPr>
          <w:lang w:val="en-US"/>
        </w:rPr>
        <w:t xml:space="preserve">per annum </w:t>
      </w:r>
      <w:r>
        <w:rPr>
          <w:lang w:val="en-US"/>
        </w:rPr>
        <w:t>for a 2.55 m limit</w:t>
      </w:r>
      <w:r w:rsidR="009576F6">
        <w:rPr>
          <w:lang w:val="en-US"/>
        </w:rPr>
        <w:t xml:space="preserve"> (Options 3.1a and 3.1b)</w:t>
      </w:r>
      <w:r w:rsidR="00A165C7">
        <w:rPr>
          <w:lang w:val="en-US"/>
        </w:rPr>
        <w:t>,</w:t>
      </w:r>
      <w:r>
        <w:rPr>
          <w:lang w:val="en-US"/>
        </w:rPr>
        <w:t xml:space="preserve"> and </w:t>
      </w:r>
      <w:r w:rsidR="00A165C7">
        <w:rPr>
          <w:lang w:val="en-US"/>
        </w:rPr>
        <w:t>$26.125 m per</w:t>
      </w:r>
      <w:r w:rsidR="00AE03CB">
        <w:rPr>
          <w:lang w:val="en-US"/>
        </w:rPr>
        <w:t xml:space="preserve"> </w:t>
      </w:r>
      <w:r w:rsidR="00F460F0">
        <w:rPr>
          <w:lang w:val="en-US"/>
        </w:rPr>
        <w:t xml:space="preserve">annum for a </w:t>
      </w:r>
      <w:r w:rsidR="00B9347B">
        <w:rPr>
          <w:lang w:val="en-US"/>
        </w:rPr>
        <w:t>2.60</w:t>
      </w:r>
      <w:r w:rsidR="00F460F0">
        <w:rPr>
          <w:lang w:val="en-US"/>
        </w:rPr>
        <w:t xml:space="preserve"> m limit</w:t>
      </w:r>
      <w:r w:rsidR="009576F6">
        <w:rPr>
          <w:lang w:val="en-US"/>
        </w:rPr>
        <w:t xml:space="preserve"> (Options 3.2a and 3.2b)</w:t>
      </w:r>
      <w:r w:rsidR="00F460F0">
        <w:rPr>
          <w:lang w:val="en-US"/>
        </w:rPr>
        <w:t>.</w:t>
      </w:r>
      <w:r w:rsidR="00443830">
        <w:rPr>
          <w:lang w:val="en-US"/>
        </w:rPr>
        <w:t xml:space="preserve"> </w:t>
      </w:r>
      <w:r w:rsidR="003940FC">
        <w:rPr>
          <w:lang w:val="en-US"/>
        </w:rPr>
        <w:t>As not all width related</w:t>
      </w:r>
      <w:r w:rsidR="00443830">
        <w:rPr>
          <w:lang w:val="en-US"/>
        </w:rPr>
        <w:t xml:space="preserve"> modifications </w:t>
      </w:r>
      <w:r w:rsidR="003940FC">
        <w:rPr>
          <w:lang w:val="en-US"/>
        </w:rPr>
        <w:t xml:space="preserve">for trucks </w:t>
      </w:r>
      <w:r w:rsidR="00443830">
        <w:rPr>
          <w:lang w:val="en-US"/>
        </w:rPr>
        <w:t xml:space="preserve">would cease immediately these cost savings were increased each year in proportion to the increase in </w:t>
      </w:r>
      <w:r w:rsidR="009576F6">
        <w:rPr>
          <w:lang w:val="en-US"/>
        </w:rPr>
        <w:t xml:space="preserve">the </w:t>
      </w:r>
      <w:r w:rsidR="00443830">
        <w:rPr>
          <w:lang w:val="en-US"/>
        </w:rPr>
        <w:t>take-up of wider trucks entering the fleet</w:t>
      </w:r>
      <w:r w:rsidR="00B205BB">
        <w:rPr>
          <w:lang w:val="en-US"/>
        </w:rPr>
        <w:t xml:space="preserve"> </w:t>
      </w:r>
      <w:r w:rsidR="0034594D">
        <w:rPr>
          <w:lang w:val="en-US"/>
        </w:rPr>
        <w:t>as a p</w:t>
      </w:r>
      <w:r w:rsidR="00665A36">
        <w:rPr>
          <w:lang w:val="en-US"/>
        </w:rPr>
        <w:t>ercentage</w:t>
      </w:r>
      <w:r w:rsidR="0034594D">
        <w:rPr>
          <w:lang w:val="en-US"/>
        </w:rPr>
        <w:t xml:space="preserve"> of all new truck sales </w:t>
      </w:r>
      <w:r w:rsidR="00B205BB">
        <w:rPr>
          <w:lang w:val="en-US"/>
        </w:rPr>
        <w:t>(</w:t>
      </w:r>
      <w:r w:rsidR="009830D8">
        <w:rPr>
          <w:lang w:val="en-US"/>
        </w:rPr>
        <w:t>i.e.</w:t>
      </w:r>
      <w:r w:rsidR="00C616F3">
        <w:rPr>
          <w:lang w:val="en-US"/>
        </w:rPr>
        <w:t xml:space="preserve"> </w:t>
      </w:r>
      <w:r w:rsidR="00B205BB">
        <w:rPr>
          <w:lang w:val="en-US"/>
        </w:rPr>
        <w:t>$</w:t>
      </w:r>
      <w:r w:rsidR="005127FB">
        <w:rPr>
          <w:lang w:val="en-US"/>
        </w:rPr>
        <w:t xml:space="preserve">213,750 for </w:t>
      </w:r>
      <w:r w:rsidR="009830D8">
        <w:rPr>
          <w:lang w:val="en-US"/>
        </w:rPr>
        <w:t>each</w:t>
      </w:r>
      <w:r w:rsidR="005127FB">
        <w:rPr>
          <w:lang w:val="en-US"/>
        </w:rPr>
        <w:t xml:space="preserve"> 1% </w:t>
      </w:r>
      <w:r w:rsidR="009830D8">
        <w:rPr>
          <w:lang w:val="en-US"/>
        </w:rPr>
        <w:t xml:space="preserve">take-up of 2.55 m wide trucks </w:t>
      </w:r>
      <w:r w:rsidR="006D34B1">
        <w:rPr>
          <w:lang w:val="en-US"/>
        </w:rPr>
        <w:t>each year</w:t>
      </w:r>
      <w:r w:rsidR="005127FB">
        <w:rPr>
          <w:lang w:val="en-US"/>
        </w:rPr>
        <w:t xml:space="preserve">, and $261,250 </w:t>
      </w:r>
      <w:r w:rsidR="00753F9D">
        <w:rPr>
          <w:lang w:val="en-US"/>
        </w:rPr>
        <w:t xml:space="preserve">for each 1% </w:t>
      </w:r>
      <w:r w:rsidR="009830D8">
        <w:rPr>
          <w:lang w:val="en-US"/>
        </w:rPr>
        <w:t>take-up of 2.60 m wide trucks each year</w:t>
      </w:r>
      <w:r w:rsidR="00753F9D">
        <w:rPr>
          <w:lang w:val="en-US"/>
        </w:rPr>
        <w:t>)</w:t>
      </w:r>
      <w:r w:rsidR="00443830">
        <w:rPr>
          <w:lang w:val="en-US"/>
        </w:rPr>
        <w:t>.</w:t>
      </w:r>
      <w:r w:rsidR="006A0795">
        <w:rPr>
          <w:lang w:val="en-US"/>
        </w:rPr>
        <w:t xml:space="preserve"> As these are savings they were modelled as negative costs.</w:t>
      </w:r>
      <w:r w:rsidR="00992F55">
        <w:rPr>
          <w:lang w:val="en-US"/>
        </w:rPr>
        <w:t xml:space="preserve"> </w:t>
      </w:r>
      <w:r w:rsidR="00D331A6">
        <w:rPr>
          <w:lang w:val="en-US"/>
        </w:rPr>
        <w:t xml:space="preserve">The difference in the reduction in modification costs for a 2.55 m and a 2.60 m width limit were chosen by the ARRB to </w:t>
      </w:r>
      <w:r w:rsidR="00665A36">
        <w:rPr>
          <w:lang w:val="en-US"/>
        </w:rPr>
        <w:t xml:space="preserve">account for </w:t>
      </w:r>
      <w:r w:rsidR="003A7899" w:rsidRPr="00004D82">
        <w:rPr>
          <w:lang w:val="en-US"/>
        </w:rPr>
        <w:t xml:space="preserve">around </w:t>
      </w:r>
      <w:r w:rsidR="00004D82" w:rsidRPr="00004D82">
        <w:rPr>
          <w:lang w:val="en-US"/>
        </w:rPr>
        <w:t xml:space="preserve">20-30% of heavy trucks </w:t>
      </w:r>
      <w:r w:rsidR="003E462C">
        <w:rPr>
          <w:lang w:val="en-US"/>
        </w:rPr>
        <w:t>continuing to be</w:t>
      </w:r>
      <w:r w:rsidR="00004D82" w:rsidRPr="00004D82">
        <w:rPr>
          <w:lang w:val="en-US"/>
        </w:rPr>
        <w:t xml:space="preserve"> sourced from or based on designs for the US market, where trucks up to 2.6 m wide are allowed. Some, but not all of these models, </w:t>
      </w:r>
      <w:r w:rsidR="009D0EE2">
        <w:rPr>
          <w:lang w:val="en-US"/>
        </w:rPr>
        <w:t>may</w:t>
      </w:r>
      <w:r w:rsidR="00004D82" w:rsidRPr="00004D82">
        <w:rPr>
          <w:lang w:val="en-US"/>
        </w:rPr>
        <w:t xml:space="preserve"> still require modifications to fit within a 2.55 m width limit, but these </w:t>
      </w:r>
      <w:r w:rsidR="00591360">
        <w:rPr>
          <w:lang w:val="en-US"/>
        </w:rPr>
        <w:t>sh</w:t>
      </w:r>
      <w:r w:rsidR="00004D82" w:rsidRPr="00004D82">
        <w:rPr>
          <w:lang w:val="en-US"/>
        </w:rPr>
        <w:t>ould be much reduced compared to the current 2.5 m limit.</w:t>
      </w:r>
    </w:p>
    <w:p w14:paraId="6D638078" w14:textId="77777777" w:rsidR="00A165C7" w:rsidRPr="00CC3596" w:rsidRDefault="0076081E" w:rsidP="00F64C22">
      <w:pPr>
        <w:keepLines/>
        <w:rPr>
          <w:lang w:val="en-US"/>
        </w:rPr>
      </w:pPr>
      <w:r>
        <w:rPr>
          <w:lang w:val="en-US"/>
        </w:rPr>
        <w:t xml:space="preserve">If the width limit were increased to either 2.55 m or </w:t>
      </w:r>
      <w:r w:rsidR="00B9347B">
        <w:rPr>
          <w:lang w:val="en-US"/>
        </w:rPr>
        <w:t>2.60</w:t>
      </w:r>
      <w:r>
        <w:rPr>
          <w:lang w:val="en-US"/>
        </w:rPr>
        <w:t xml:space="preserve"> m, </w:t>
      </w:r>
      <w:r w:rsidR="009576F6">
        <w:rPr>
          <w:lang w:val="en-US"/>
        </w:rPr>
        <w:t xml:space="preserve">many </w:t>
      </w:r>
      <w:r>
        <w:rPr>
          <w:lang w:val="en-US"/>
        </w:rPr>
        <w:t xml:space="preserve">domestic trailer manufacturers would likely decide to re-tool </w:t>
      </w:r>
      <w:r w:rsidR="0091594E">
        <w:rPr>
          <w:lang w:val="en-US"/>
        </w:rPr>
        <w:t xml:space="preserve">within </w:t>
      </w:r>
      <w:r w:rsidR="00E3797C">
        <w:rPr>
          <w:lang w:val="en-US"/>
        </w:rPr>
        <w:t xml:space="preserve">a shorter timeframe than </w:t>
      </w:r>
      <w:r w:rsidR="000F18E0">
        <w:rPr>
          <w:lang w:val="en-US"/>
        </w:rPr>
        <w:t xml:space="preserve">normal model/variant replacement cycles </w:t>
      </w:r>
      <w:r>
        <w:rPr>
          <w:lang w:val="en-US"/>
        </w:rPr>
        <w:t xml:space="preserve">to </w:t>
      </w:r>
      <w:r w:rsidR="00D9738E">
        <w:rPr>
          <w:lang w:val="en-US"/>
        </w:rPr>
        <w:t>meet market demand</w:t>
      </w:r>
      <w:r>
        <w:rPr>
          <w:lang w:val="en-US"/>
        </w:rPr>
        <w:t xml:space="preserve"> from heavy vehicle operators for wider trailers. The ARRB assumed based on an estimate from the HVIA that this would cost domestic trailer manu</w:t>
      </w:r>
      <w:r w:rsidR="001A3B39">
        <w:rPr>
          <w:lang w:val="en-US"/>
        </w:rPr>
        <w:t xml:space="preserve">facturers a total of $31 m for 2.55 m and $33 m for </w:t>
      </w:r>
      <w:r w:rsidR="00B9347B">
        <w:rPr>
          <w:lang w:val="en-US"/>
        </w:rPr>
        <w:t>2.60</w:t>
      </w:r>
      <w:r w:rsidR="001A3B39">
        <w:rPr>
          <w:lang w:val="en-US"/>
        </w:rPr>
        <w:t xml:space="preserve"> m</w:t>
      </w:r>
      <w:r>
        <w:rPr>
          <w:lang w:val="en-US"/>
        </w:rPr>
        <w:t>, which would then be spread over a 40-y</w:t>
      </w:r>
      <w:r w:rsidR="00D9738E">
        <w:rPr>
          <w:lang w:val="en-US"/>
        </w:rPr>
        <w:t>ear transition period. From this the ARRB estimated the cost for trailer manufacturers to re-tool to be $</w:t>
      </w:r>
      <w:r w:rsidR="005C5A6E">
        <w:rPr>
          <w:lang w:val="en-US"/>
        </w:rPr>
        <w:t>0.</w:t>
      </w:r>
      <w:r w:rsidR="00BC3DC9">
        <w:rPr>
          <w:lang w:val="en-US"/>
        </w:rPr>
        <w:t>698</w:t>
      </w:r>
      <w:r w:rsidR="005C5A6E">
        <w:rPr>
          <w:lang w:val="en-US"/>
        </w:rPr>
        <w:t xml:space="preserve"> m</w:t>
      </w:r>
      <w:r w:rsidR="00D9738E">
        <w:rPr>
          <w:lang w:val="en-US"/>
        </w:rPr>
        <w:t xml:space="preserve"> per annum</w:t>
      </w:r>
      <w:r w:rsidR="000852D1">
        <w:rPr>
          <w:lang w:val="en-US"/>
        </w:rPr>
        <w:t xml:space="preserve"> for each ye</w:t>
      </w:r>
      <w:r w:rsidR="001A3B39">
        <w:rPr>
          <w:lang w:val="en-US"/>
        </w:rPr>
        <w:t>ar of the analysis under Option</w:t>
      </w:r>
      <w:r w:rsidR="000852D1">
        <w:rPr>
          <w:lang w:val="en-US"/>
        </w:rPr>
        <w:t xml:space="preserve"> 3.1a and </w:t>
      </w:r>
      <w:r w:rsidR="001A3B39">
        <w:rPr>
          <w:lang w:val="en-US"/>
        </w:rPr>
        <w:t>$</w:t>
      </w:r>
      <w:r w:rsidR="005C5A6E">
        <w:rPr>
          <w:lang w:val="en-US"/>
        </w:rPr>
        <w:t>0.8</w:t>
      </w:r>
      <w:r w:rsidR="00125654">
        <w:rPr>
          <w:lang w:val="en-US"/>
        </w:rPr>
        <w:t>53</w:t>
      </w:r>
      <w:r w:rsidR="005C5A6E">
        <w:rPr>
          <w:lang w:val="en-US"/>
        </w:rPr>
        <w:t xml:space="preserve"> m</w:t>
      </w:r>
      <w:r w:rsidR="001A3B39">
        <w:rPr>
          <w:lang w:val="en-US"/>
        </w:rPr>
        <w:t xml:space="preserve"> per annum for each year of the analysis under Option </w:t>
      </w:r>
      <w:r w:rsidR="000852D1">
        <w:rPr>
          <w:lang w:val="en-US"/>
        </w:rPr>
        <w:t>3.2a.</w:t>
      </w:r>
      <w:r w:rsidR="001E6050">
        <w:rPr>
          <w:lang w:val="en-US"/>
        </w:rPr>
        <w:t xml:space="preserve"> For trailers</w:t>
      </w:r>
      <w:r w:rsidR="00D40216">
        <w:rPr>
          <w:lang w:val="en-US"/>
        </w:rPr>
        <w:t>,</w:t>
      </w:r>
      <w:r w:rsidR="001E6050">
        <w:rPr>
          <w:lang w:val="en-US"/>
        </w:rPr>
        <w:t xml:space="preserve"> </w:t>
      </w:r>
      <w:r w:rsidR="00D40216">
        <w:rPr>
          <w:lang w:val="en-US"/>
        </w:rPr>
        <w:t xml:space="preserve">the ARRB applied the same percentage variation in modifications costs between the 2.55 m and 2.6 m options for width, as </w:t>
      </w:r>
      <w:r w:rsidR="00D86806">
        <w:rPr>
          <w:lang w:val="en-US"/>
        </w:rPr>
        <w:t xml:space="preserve">was applied for </w:t>
      </w:r>
      <w:r w:rsidR="00D40216">
        <w:rPr>
          <w:lang w:val="en-US"/>
        </w:rPr>
        <w:t>trucks.</w:t>
      </w:r>
    </w:p>
    <w:p w14:paraId="1D446279" w14:textId="77777777" w:rsidR="00F84948" w:rsidRDefault="00F84948" w:rsidP="00F84948">
      <w:pPr>
        <w:pStyle w:val="Heading4"/>
      </w:pPr>
      <w:r>
        <w:t>Fitment</w:t>
      </w:r>
      <w:r w:rsidR="00422B9A">
        <w:t xml:space="preserve"> of safety </w:t>
      </w:r>
      <w:r w:rsidR="00793A1E">
        <w:t xml:space="preserve">systems or </w:t>
      </w:r>
      <w:r w:rsidR="00422B9A">
        <w:t>features</w:t>
      </w:r>
    </w:p>
    <w:p w14:paraId="63827E91" w14:textId="77777777" w:rsidR="000A1C98" w:rsidRDefault="000A1C98" w:rsidP="000A1C98">
      <w:r w:rsidRPr="00060498">
        <w:t xml:space="preserve">In the case of adding particular safety </w:t>
      </w:r>
      <w:r w:rsidR="00793A1E">
        <w:t xml:space="preserve">systems or </w:t>
      </w:r>
      <w:r w:rsidRPr="00060498">
        <w:t>features to vehicles, there will be an upfront cost (by the veh</w:t>
      </w:r>
      <w:r>
        <w:t xml:space="preserve">icle manufacturers) under Options 3.1a, 3.1b, 3.2a and 3.2b to fit safety </w:t>
      </w:r>
      <w:r w:rsidR="00793A1E">
        <w:t>systems/features</w:t>
      </w:r>
      <w:r>
        <w:t xml:space="preserve"> that would not otherwise </w:t>
      </w:r>
      <w:r w:rsidR="00091022">
        <w:t>have</w:t>
      </w:r>
      <w:r>
        <w:t xml:space="preserve"> been fitted under Option 2 (BAU).</w:t>
      </w:r>
    </w:p>
    <w:p w14:paraId="203E6CE0" w14:textId="7BE2D15C" w:rsidR="008A4932" w:rsidRPr="00060498" w:rsidRDefault="008A4932" w:rsidP="00C02289">
      <w:pPr>
        <w:keepLines/>
      </w:pPr>
      <w:r>
        <w:t xml:space="preserve">The </w:t>
      </w:r>
      <w:r w:rsidR="002A6ABD">
        <w:t xml:space="preserve">wholesale </w:t>
      </w:r>
      <w:r>
        <w:t>unit fitment costs used by the ARRB for each additional vehicle re</w:t>
      </w:r>
      <w:r w:rsidR="00E82218">
        <w:t xml:space="preserve">quired to be fitted with the applicable safety </w:t>
      </w:r>
      <w:r w:rsidR="0028375E">
        <w:t xml:space="preserve">systems or </w:t>
      </w:r>
      <w:r w:rsidR="00E82218">
        <w:t xml:space="preserve">features under Options 3.1a, 3.1b, 3.2a and 3.2b are </w:t>
      </w:r>
      <w:r w:rsidR="009720EB">
        <w:t>shown</w:t>
      </w:r>
      <w:r w:rsidR="00E82218">
        <w:t xml:space="preserve"> in </w:t>
      </w:r>
      <w:r w:rsidR="00534814" w:rsidRPr="002C1585">
        <w:t xml:space="preserve">Table </w:t>
      </w:r>
      <w:r w:rsidR="00534814">
        <w:rPr>
          <w:noProof/>
        </w:rPr>
        <w:t>9</w:t>
      </w:r>
      <w:r w:rsidR="00E82218">
        <w:t>.</w:t>
      </w:r>
      <w:r w:rsidR="002A6ABD">
        <w:t xml:space="preserve"> </w:t>
      </w:r>
      <w:r w:rsidR="002F6F94">
        <w:t>For each of these options, t</w:t>
      </w:r>
      <w:r w:rsidR="002A6ABD">
        <w:t>he</w:t>
      </w:r>
      <w:r w:rsidR="002F6F94">
        <w:t xml:space="preserve"> ARRB used these wholesale costs, </w:t>
      </w:r>
      <w:r w:rsidR="009E00FA">
        <w:t xml:space="preserve">together with market demand forecasts for fleet growth and the </w:t>
      </w:r>
      <w:r w:rsidR="000D32B5">
        <w:t xml:space="preserve">BAU </w:t>
      </w:r>
      <w:r w:rsidR="009E00FA">
        <w:t xml:space="preserve">take-up of </w:t>
      </w:r>
      <w:r w:rsidR="00A504C9">
        <w:t xml:space="preserve">each of the particular </w:t>
      </w:r>
      <w:r w:rsidR="009E00FA">
        <w:t>safety features (summarised above)</w:t>
      </w:r>
      <w:r w:rsidR="002F6F94">
        <w:t>,</w:t>
      </w:r>
      <w:r w:rsidR="009E00FA">
        <w:t xml:space="preserve"> to determine the overall increase in </w:t>
      </w:r>
      <w:r w:rsidR="00BA693D">
        <w:t>fitment</w:t>
      </w:r>
      <w:r w:rsidR="007C7524">
        <w:t xml:space="preserve"> for each year of regulation within the overall analysis period, </w:t>
      </w:r>
      <w:r w:rsidR="009E00FA">
        <w:t>relative to BAU.</w:t>
      </w:r>
    </w:p>
    <w:p w14:paraId="15E38BF1" w14:textId="06DAA17B" w:rsidR="005B7FCC" w:rsidRPr="002C1585" w:rsidRDefault="005B7FCC" w:rsidP="005B7FCC">
      <w:pPr>
        <w:pStyle w:val="Caption"/>
      </w:pPr>
      <w:bookmarkStart w:id="65" w:name="_Ref111202010"/>
      <w:bookmarkStart w:id="66" w:name="_Toc135320134"/>
      <w:r w:rsidRPr="002C1585">
        <w:t xml:space="preserve">Table </w:t>
      </w:r>
      <w:r w:rsidR="00534814">
        <w:rPr>
          <w:noProof/>
        </w:rPr>
        <w:t>9</w:t>
      </w:r>
      <w:bookmarkEnd w:id="65"/>
      <w:r>
        <w:t xml:space="preserve">: Unit fitment costs for safety </w:t>
      </w:r>
      <w:r w:rsidR="003B6A5B">
        <w:t xml:space="preserve">systems or </w:t>
      </w:r>
      <w:r>
        <w:t>features</w:t>
      </w:r>
      <w:r w:rsidR="00822448">
        <w:t xml:space="preserve"> used in the analysis</w:t>
      </w:r>
      <w:bookmarkEnd w:id="66"/>
    </w:p>
    <w:tbl>
      <w:tblPr>
        <w:tblStyle w:val="TableGrid"/>
        <w:tblW w:w="0" w:type="auto"/>
        <w:tblLook w:val="04A0" w:firstRow="1" w:lastRow="0" w:firstColumn="1" w:lastColumn="0" w:noHBand="0" w:noVBand="1"/>
      </w:tblPr>
      <w:tblGrid>
        <w:gridCol w:w="3397"/>
        <w:gridCol w:w="3397"/>
        <w:gridCol w:w="1134"/>
      </w:tblGrid>
      <w:tr w:rsidR="00767B11" w14:paraId="5524B949" w14:textId="77777777" w:rsidTr="007041C3">
        <w:trPr>
          <w:trHeight w:val="284"/>
        </w:trPr>
        <w:tc>
          <w:tcPr>
            <w:tcW w:w="3397" w:type="dxa"/>
            <w:shd w:val="clear" w:color="auto" w:fill="081E3E" w:themeFill="text2"/>
          </w:tcPr>
          <w:p w14:paraId="557C69BA" w14:textId="77777777" w:rsidR="00767B11" w:rsidRPr="005B7FCC" w:rsidRDefault="00767B11" w:rsidP="00767B11">
            <w:pPr>
              <w:rPr>
                <w:b/>
                <w:color w:val="FFFFFF" w:themeColor="background1"/>
                <w:lang w:val="en-US"/>
              </w:rPr>
            </w:pPr>
            <w:r>
              <w:rPr>
                <w:b/>
                <w:color w:val="FFFFFF" w:themeColor="background1"/>
                <w:lang w:val="en-US"/>
              </w:rPr>
              <w:t>Category</w:t>
            </w:r>
          </w:p>
        </w:tc>
        <w:tc>
          <w:tcPr>
            <w:tcW w:w="3397" w:type="dxa"/>
            <w:shd w:val="clear" w:color="auto" w:fill="081E3E" w:themeFill="text2"/>
          </w:tcPr>
          <w:p w14:paraId="20F0E1DC" w14:textId="77777777" w:rsidR="00767B11" w:rsidRPr="005B7FCC" w:rsidRDefault="00767B11" w:rsidP="00F84948">
            <w:pPr>
              <w:rPr>
                <w:b/>
                <w:color w:val="FFFFFF" w:themeColor="background1"/>
                <w:lang w:val="en-US"/>
              </w:rPr>
            </w:pPr>
            <w:r w:rsidRPr="005B7FCC">
              <w:rPr>
                <w:b/>
                <w:color w:val="FFFFFF" w:themeColor="background1"/>
                <w:lang w:val="en-US"/>
              </w:rPr>
              <w:t xml:space="preserve">Safety </w:t>
            </w:r>
            <w:r w:rsidR="005F1C91">
              <w:rPr>
                <w:b/>
                <w:color w:val="FFFFFF" w:themeColor="background1"/>
                <w:lang w:val="en-US"/>
              </w:rPr>
              <w:t xml:space="preserve">system or </w:t>
            </w:r>
            <w:r w:rsidRPr="005B7FCC">
              <w:rPr>
                <w:b/>
                <w:color w:val="FFFFFF" w:themeColor="background1"/>
                <w:lang w:val="en-US"/>
              </w:rPr>
              <w:t>feature</w:t>
            </w:r>
          </w:p>
        </w:tc>
        <w:tc>
          <w:tcPr>
            <w:tcW w:w="1134" w:type="dxa"/>
            <w:shd w:val="clear" w:color="auto" w:fill="081E3E" w:themeFill="text2"/>
          </w:tcPr>
          <w:p w14:paraId="54156DDE" w14:textId="77777777" w:rsidR="00767B11" w:rsidRPr="005B7FCC" w:rsidRDefault="00767B11" w:rsidP="00690EBC">
            <w:pPr>
              <w:jc w:val="center"/>
              <w:rPr>
                <w:b/>
                <w:color w:val="FFFFFF" w:themeColor="background1"/>
                <w:lang w:val="en-US"/>
              </w:rPr>
            </w:pPr>
            <w:r>
              <w:rPr>
                <w:b/>
                <w:color w:val="FFFFFF" w:themeColor="background1"/>
                <w:lang w:val="en-US"/>
              </w:rPr>
              <w:t>Unit c</w:t>
            </w:r>
            <w:r w:rsidRPr="005B7FCC">
              <w:rPr>
                <w:b/>
                <w:color w:val="FFFFFF" w:themeColor="background1"/>
                <w:lang w:val="en-US"/>
              </w:rPr>
              <w:t>ost</w:t>
            </w:r>
          </w:p>
        </w:tc>
      </w:tr>
      <w:tr w:rsidR="00767B11" w14:paraId="6E58778C" w14:textId="77777777" w:rsidTr="007041C3">
        <w:trPr>
          <w:trHeight w:val="284"/>
        </w:trPr>
        <w:tc>
          <w:tcPr>
            <w:tcW w:w="3397" w:type="dxa"/>
            <w:vMerge w:val="restart"/>
          </w:tcPr>
          <w:p w14:paraId="7CE504FA" w14:textId="77777777" w:rsidR="00767B11" w:rsidRDefault="00767B11" w:rsidP="00767B11">
            <w:pPr>
              <w:rPr>
                <w:lang w:val="en-US"/>
              </w:rPr>
            </w:pPr>
            <w:r>
              <w:rPr>
                <w:lang w:val="en-US"/>
              </w:rPr>
              <w:t>Trucks (fleet average for sub-category NB2 and category NC)</w:t>
            </w:r>
          </w:p>
        </w:tc>
        <w:tc>
          <w:tcPr>
            <w:tcW w:w="3397" w:type="dxa"/>
          </w:tcPr>
          <w:p w14:paraId="78FCD464" w14:textId="77777777" w:rsidR="00767B11" w:rsidRDefault="00767B11" w:rsidP="005B7FCC">
            <w:pPr>
              <w:rPr>
                <w:lang w:val="en-US"/>
              </w:rPr>
            </w:pPr>
            <w:r>
              <w:rPr>
                <w:lang w:val="en-US"/>
              </w:rPr>
              <w:t>Enhanced devices for indirect vision</w:t>
            </w:r>
          </w:p>
        </w:tc>
        <w:tc>
          <w:tcPr>
            <w:tcW w:w="1134" w:type="dxa"/>
          </w:tcPr>
          <w:p w14:paraId="166CFDFC" w14:textId="77777777" w:rsidR="00767B11" w:rsidRDefault="00767B11" w:rsidP="00690EBC">
            <w:pPr>
              <w:jc w:val="center"/>
              <w:rPr>
                <w:lang w:val="en-US"/>
              </w:rPr>
            </w:pPr>
            <w:r w:rsidRPr="00257C83">
              <w:t>$1</w:t>
            </w:r>
            <w:r>
              <w:t>,300</w:t>
            </w:r>
          </w:p>
        </w:tc>
      </w:tr>
      <w:tr w:rsidR="00767B11" w14:paraId="7A254775" w14:textId="77777777" w:rsidTr="007041C3">
        <w:trPr>
          <w:trHeight w:val="284"/>
        </w:trPr>
        <w:tc>
          <w:tcPr>
            <w:tcW w:w="3397" w:type="dxa"/>
            <w:vMerge/>
          </w:tcPr>
          <w:p w14:paraId="52EF2F3E" w14:textId="77777777" w:rsidR="00767B11" w:rsidRDefault="00767B11" w:rsidP="005B7FCC">
            <w:pPr>
              <w:rPr>
                <w:lang w:val="en-US"/>
              </w:rPr>
            </w:pPr>
          </w:p>
        </w:tc>
        <w:tc>
          <w:tcPr>
            <w:tcW w:w="3397" w:type="dxa"/>
          </w:tcPr>
          <w:p w14:paraId="3CF44141" w14:textId="77777777" w:rsidR="00767B11" w:rsidRDefault="00767B11" w:rsidP="005B7FCC">
            <w:pPr>
              <w:rPr>
                <w:lang w:val="en-US"/>
              </w:rPr>
            </w:pPr>
            <w:r>
              <w:rPr>
                <w:lang w:val="en-US"/>
              </w:rPr>
              <w:t>Electronic Stability Control</w:t>
            </w:r>
          </w:p>
        </w:tc>
        <w:tc>
          <w:tcPr>
            <w:tcW w:w="1134" w:type="dxa"/>
          </w:tcPr>
          <w:p w14:paraId="01782B64" w14:textId="77777777" w:rsidR="00767B11" w:rsidRDefault="00767B11" w:rsidP="00690EBC">
            <w:pPr>
              <w:jc w:val="center"/>
              <w:rPr>
                <w:lang w:val="en-US"/>
              </w:rPr>
            </w:pPr>
            <w:r>
              <w:t>$1,444</w:t>
            </w:r>
          </w:p>
        </w:tc>
      </w:tr>
      <w:tr w:rsidR="00767B11" w14:paraId="3907DEE2" w14:textId="77777777" w:rsidTr="007041C3">
        <w:trPr>
          <w:trHeight w:val="284"/>
        </w:trPr>
        <w:tc>
          <w:tcPr>
            <w:tcW w:w="3397" w:type="dxa"/>
            <w:vMerge/>
          </w:tcPr>
          <w:p w14:paraId="03335330" w14:textId="77777777" w:rsidR="00767B11" w:rsidRDefault="00767B11" w:rsidP="005B7FCC">
            <w:pPr>
              <w:rPr>
                <w:lang w:val="en-US"/>
              </w:rPr>
            </w:pPr>
          </w:p>
        </w:tc>
        <w:tc>
          <w:tcPr>
            <w:tcW w:w="3397" w:type="dxa"/>
          </w:tcPr>
          <w:p w14:paraId="630B04DE" w14:textId="77777777" w:rsidR="00767B11" w:rsidRDefault="00767B11" w:rsidP="005B7FCC">
            <w:pPr>
              <w:rPr>
                <w:lang w:val="en-US"/>
              </w:rPr>
            </w:pPr>
            <w:r>
              <w:rPr>
                <w:lang w:val="en-US"/>
              </w:rPr>
              <w:t>Advanced Emergency Braking</w:t>
            </w:r>
          </w:p>
        </w:tc>
        <w:tc>
          <w:tcPr>
            <w:tcW w:w="1134" w:type="dxa"/>
          </w:tcPr>
          <w:p w14:paraId="38C6ADD7" w14:textId="77777777" w:rsidR="00767B11" w:rsidRDefault="00767B11" w:rsidP="00690EBC">
            <w:pPr>
              <w:jc w:val="center"/>
              <w:rPr>
                <w:lang w:val="en-US"/>
              </w:rPr>
            </w:pPr>
            <w:r w:rsidRPr="00257C83">
              <w:t>$1</w:t>
            </w:r>
            <w:r>
              <w:t>,804</w:t>
            </w:r>
          </w:p>
        </w:tc>
      </w:tr>
      <w:tr w:rsidR="00767B11" w14:paraId="3B6B09DC" w14:textId="77777777" w:rsidTr="007041C3">
        <w:trPr>
          <w:trHeight w:val="284"/>
        </w:trPr>
        <w:tc>
          <w:tcPr>
            <w:tcW w:w="3397" w:type="dxa"/>
            <w:vMerge/>
          </w:tcPr>
          <w:p w14:paraId="7DFE4C67" w14:textId="77777777" w:rsidR="00767B11" w:rsidRDefault="00767B11" w:rsidP="005B7FCC">
            <w:pPr>
              <w:rPr>
                <w:lang w:val="en-US"/>
              </w:rPr>
            </w:pPr>
          </w:p>
        </w:tc>
        <w:tc>
          <w:tcPr>
            <w:tcW w:w="3397" w:type="dxa"/>
          </w:tcPr>
          <w:p w14:paraId="1FC6167D" w14:textId="77777777" w:rsidR="00767B11" w:rsidRDefault="00767B11" w:rsidP="005B7FCC">
            <w:pPr>
              <w:rPr>
                <w:lang w:val="en-US"/>
              </w:rPr>
            </w:pPr>
            <w:r>
              <w:rPr>
                <w:lang w:val="en-US"/>
              </w:rPr>
              <w:t>Lane Departure Warning</w:t>
            </w:r>
          </w:p>
        </w:tc>
        <w:tc>
          <w:tcPr>
            <w:tcW w:w="1134" w:type="dxa"/>
          </w:tcPr>
          <w:p w14:paraId="0D5971AF" w14:textId="77777777" w:rsidR="00767B11" w:rsidRDefault="00767B11" w:rsidP="00690EBC">
            <w:pPr>
              <w:jc w:val="center"/>
              <w:rPr>
                <w:lang w:val="en-US"/>
              </w:rPr>
            </w:pPr>
            <w:r w:rsidRPr="00257C83">
              <w:t>$2</w:t>
            </w:r>
            <w:r>
              <w:t>,560</w:t>
            </w:r>
          </w:p>
        </w:tc>
      </w:tr>
      <w:tr w:rsidR="00767B11" w14:paraId="23F7312C" w14:textId="77777777" w:rsidTr="007041C3">
        <w:trPr>
          <w:trHeight w:val="284"/>
        </w:trPr>
        <w:tc>
          <w:tcPr>
            <w:tcW w:w="3397" w:type="dxa"/>
            <w:vMerge/>
          </w:tcPr>
          <w:p w14:paraId="14661B1C" w14:textId="77777777" w:rsidR="00767B11" w:rsidRDefault="00767B11" w:rsidP="005B7FCC">
            <w:pPr>
              <w:rPr>
                <w:lang w:val="en-US"/>
              </w:rPr>
            </w:pPr>
          </w:p>
        </w:tc>
        <w:tc>
          <w:tcPr>
            <w:tcW w:w="3397" w:type="dxa"/>
          </w:tcPr>
          <w:p w14:paraId="2C2AC103" w14:textId="77777777" w:rsidR="00767B11" w:rsidRDefault="00767B11" w:rsidP="005B7FCC">
            <w:pPr>
              <w:rPr>
                <w:lang w:val="en-US"/>
              </w:rPr>
            </w:pPr>
            <w:r>
              <w:rPr>
                <w:lang w:val="en-US"/>
              </w:rPr>
              <w:t>Blind Spot Information</w:t>
            </w:r>
          </w:p>
        </w:tc>
        <w:tc>
          <w:tcPr>
            <w:tcW w:w="1134" w:type="dxa"/>
          </w:tcPr>
          <w:p w14:paraId="7F3B60A2" w14:textId="77777777" w:rsidR="00767B11" w:rsidRDefault="00767B11" w:rsidP="00690EBC">
            <w:pPr>
              <w:jc w:val="center"/>
              <w:rPr>
                <w:lang w:val="en-US"/>
              </w:rPr>
            </w:pPr>
            <w:r w:rsidRPr="00257C83">
              <w:t>$500</w:t>
            </w:r>
          </w:p>
        </w:tc>
      </w:tr>
      <w:tr w:rsidR="00767B11" w14:paraId="2BFC0659" w14:textId="77777777" w:rsidTr="007041C3">
        <w:trPr>
          <w:trHeight w:val="284"/>
        </w:trPr>
        <w:tc>
          <w:tcPr>
            <w:tcW w:w="3397" w:type="dxa"/>
            <w:vMerge/>
          </w:tcPr>
          <w:p w14:paraId="5D262472" w14:textId="77777777" w:rsidR="00767B11" w:rsidRDefault="00767B11" w:rsidP="005B7FCC">
            <w:pPr>
              <w:rPr>
                <w:lang w:val="en-US"/>
              </w:rPr>
            </w:pPr>
          </w:p>
        </w:tc>
        <w:tc>
          <w:tcPr>
            <w:tcW w:w="3397" w:type="dxa"/>
          </w:tcPr>
          <w:p w14:paraId="1B5123D9" w14:textId="77777777" w:rsidR="00767B11" w:rsidRDefault="00767B11" w:rsidP="005B7FCC">
            <w:pPr>
              <w:rPr>
                <w:lang w:val="en-US"/>
              </w:rPr>
            </w:pPr>
            <w:r>
              <w:rPr>
                <w:lang w:val="en-US"/>
              </w:rPr>
              <w:t xml:space="preserve">Side </w:t>
            </w:r>
            <w:r w:rsidR="00EB2934">
              <w:rPr>
                <w:lang w:val="en-US"/>
              </w:rPr>
              <w:t>u</w:t>
            </w:r>
            <w:r>
              <w:rPr>
                <w:lang w:val="en-US"/>
              </w:rPr>
              <w:t xml:space="preserve">nderrun </w:t>
            </w:r>
            <w:r w:rsidR="00EB2934">
              <w:rPr>
                <w:lang w:val="en-US"/>
              </w:rPr>
              <w:t>p</w:t>
            </w:r>
            <w:r>
              <w:rPr>
                <w:lang w:val="en-US"/>
              </w:rPr>
              <w:t>rotection</w:t>
            </w:r>
          </w:p>
        </w:tc>
        <w:tc>
          <w:tcPr>
            <w:tcW w:w="1134" w:type="dxa"/>
          </w:tcPr>
          <w:p w14:paraId="12D90E08" w14:textId="77777777" w:rsidR="00767B11" w:rsidRDefault="00767B11" w:rsidP="00690EBC">
            <w:pPr>
              <w:jc w:val="center"/>
              <w:rPr>
                <w:lang w:val="en-US"/>
              </w:rPr>
            </w:pPr>
            <w:r w:rsidRPr="00257C83">
              <w:t>$</w:t>
            </w:r>
            <w:r w:rsidR="00D213F2">
              <w:t>1,000</w:t>
            </w:r>
          </w:p>
        </w:tc>
      </w:tr>
      <w:tr w:rsidR="00767B11" w14:paraId="4A6E6C86" w14:textId="77777777" w:rsidTr="007041C3">
        <w:trPr>
          <w:trHeight w:val="284"/>
        </w:trPr>
        <w:tc>
          <w:tcPr>
            <w:tcW w:w="3397" w:type="dxa"/>
            <w:vMerge/>
          </w:tcPr>
          <w:p w14:paraId="7E8C5C12" w14:textId="77777777" w:rsidR="00767B11" w:rsidRDefault="00767B11" w:rsidP="005B7FCC">
            <w:pPr>
              <w:rPr>
                <w:lang w:val="en-US"/>
              </w:rPr>
            </w:pPr>
          </w:p>
        </w:tc>
        <w:tc>
          <w:tcPr>
            <w:tcW w:w="3397" w:type="dxa"/>
          </w:tcPr>
          <w:p w14:paraId="69B51346" w14:textId="77777777" w:rsidR="00767B11" w:rsidRDefault="00767B11" w:rsidP="005B7FCC">
            <w:pPr>
              <w:rPr>
                <w:lang w:val="en-US"/>
              </w:rPr>
            </w:pPr>
            <w:r>
              <w:rPr>
                <w:lang w:val="en-US"/>
              </w:rPr>
              <w:t>Conspicuity markings</w:t>
            </w:r>
          </w:p>
        </w:tc>
        <w:tc>
          <w:tcPr>
            <w:tcW w:w="1134" w:type="dxa"/>
          </w:tcPr>
          <w:p w14:paraId="62B164A1" w14:textId="77777777" w:rsidR="00767B11" w:rsidRDefault="00767B11" w:rsidP="00690EBC">
            <w:pPr>
              <w:jc w:val="center"/>
              <w:rPr>
                <w:lang w:val="en-US"/>
              </w:rPr>
            </w:pPr>
            <w:r w:rsidRPr="00257C83">
              <w:t>$700</w:t>
            </w:r>
          </w:p>
        </w:tc>
      </w:tr>
      <w:tr w:rsidR="00767B11" w14:paraId="099916FC" w14:textId="77777777" w:rsidTr="007041C3">
        <w:trPr>
          <w:trHeight w:val="284"/>
        </w:trPr>
        <w:tc>
          <w:tcPr>
            <w:tcW w:w="3397" w:type="dxa"/>
            <w:vMerge w:val="restart"/>
          </w:tcPr>
          <w:p w14:paraId="09462A13" w14:textId="77777777" w:rsidR="00767B11" w:rsidRDefault="00767B11" w:rsidP="00767B11">
            <w:pPr>
              <w:rPr>
                <w:lang w:val="en-US"/>
              </w:rPr>
            </w:pPr>
            <w:r>
              <w:rPr>
                <w:lang w:val="en-US"/>
              </w:rPr>
              <w:t xml:space="preserve">Trailers (fleet average for category TC over 4.5 </w:t>
            </w:r>
            <w:proofErr w:type="spellStart"/>
            <w:r>
              <w:rPr>
                <w:lang w:val="en-US"/>
              </w:rPr>
              <w:t>tonnes</w:t>
            </w:r>
            <w:proofErr w:type="spellEnd"/>
            <w:r>
              <w:rPr>
                <w:lang w:val="en-US"/>
              </w:rPr>
              <w:t xml:space="preserve"> GTM and category TD)</w:t>
            </w:r>
          </w:p>
        </w:tc>
        <w:tc>
          <w:tcPr>
            <w:tcW w:w="3397" w:type="dxa"/>
          </w:tcPr>
          <w:p w14:paraId="63C8C2C3" w14:textId="77777777" w:rsidR="00767B11" w:rsidRDefault="00767B11" w:rsidP="00767B11">
            <w:pPr>
              <w:rPr>
                <w:lang w:val="en-US"/>
              </w:rPr>
            </w:pPr>
            <w:r>
              <w:rPr>
                <w:lang w:val="en-US"/>
              </w:rPr>
              <w:t xml:space="preserve">Side </w:t>
            </w:r>
            <w:r w:rsidR="00EB2934">
              <w:rPr>
                <w:lang w:val="en-US"/>
              </w:rPr>
              <w:t>u</w:t>
            </w:r>
            <w:r>
              <w:rPr>
                <w:lang w:val="en-US"/>
              </w:rPr>
              <w:t xml:space="preserve">nderrun </w:t>
            </w:r>
            <w:r w:rsidR="00EB2934">
              <w:rPr>
                <w:lang w:val="en-US"/>
              </w:rPr>
              <w:t>p</w:t>
            </w:r>
            <w:r>
              <w:rPr>
                <w:lang w:val="en-US"/>
              </w:rPr>
              <w:t>rotection</w:t>
            </w:r>
          </w:p>
        </w:tc>
        <w:tc>
          <w:tcPr>
            <w:tcW w:w="1134" w:type="dxa"/>
            <w:shd w:val="clear" w:color="auto" w:fill="auto"/>
          </w:tcPr>
          <w:p w14:paraId="27E4A4F5" w14:textId="77777777" w:rsidR="00767B11" w:rsidRPr="00CA04BF" w:rsidRDefault="004C17A2" w:rsidP="00690EBC">
            <w:pPr>
              <w:jc w:val="center"/>
            </w:pPr>
            <w:r w:rsidRPr="00CA04BF">
              <w:t>$</w:t>
            </w:r>
            <w:r w:rsidR="00D213F2">
              <w:t>2,0</w:t>
            </w:r>
            <w:r w:rsidR="00767B11" w:rsidRPr="00CA04BF">
              <w:t>00</w:t>
            </w:r>
          </w:p>
        </w:tc>
      </w:tr>
      <w:tr w:rsidR="00767B11" w14:paraId="10F2A7DB" w14:textId="77777777" w:rsidTr="007041C3">
        <w:trPr>
          <w:trHeight w:val="284"/>
        </w:trPr>
        <w:tc>
          <w:tcPr>
            <w:tcW w:w="3397" w:type="dxa"/>
            <w:vMerge/>
          </w:tcPr>
          <w:p w14:paraId="51137C11" w14:textId="77777777" w:rsidR="00767B11" w:rsidRDefault="00767B11" w:rsidP="00767B11">
            <w:pPr>
              <w:rPr>
                <w:lang w:val="en-US"/>
              </w:rPr>
            </w:pPr>
          </w:p>
        </w:tc>
        <w:tc>
          <w:tcPr>
            <w:tcW w:w="3397" w:type="dxa"/>
          </w:tcPr>
          <w:p w14:paraId="738B6CB1" w14:textId="77777777" w:rsidR="00767B11" w:rsidRDefault="00767B11" w:rsidP="00767B11">
            <w:pPr>
              <w:rPr>
                <w:lang w:val="en-US"/>
              </w:rPr>
            </w:pPr>
            <w:r>
              <w:rPr>
                <w:lang w:val="en-US"/>
              </w:rPr>
              <w:t>Conspicuity markings</w:t>
            </w:r>
          </w:p>
        </w:tc>
        <w:tc>
          <w:tcPr>
            <w:tcW w:w="1134" w:type="dxa"/>
          </w:tcPr>
          <w:p w14:paraId="46D5BE4F" w14:textId="77777777" w:rsidR="00767B11" w:rsidRPr="00257C83" w:rsidRDefault="00767B11" w:rsidP="00690EBC">
            <w:pPr>
              <w:jc w:val="center"/>
            </w:pPr>
            <w:r>
              <w:t>$1</w:t>
            </w:r>
            <w:r w:rsidR="007746E4">
              <w:t>,</w:t>
            </w:r>
            <w:r>
              <w:t>0</w:t>
            </w:r>
            <w:r w:rsidRPr="00257C83">
              <w:t>00</w:t>
            </w:r>
          </w:p>
        </w:tc>
      </w:tr>
    </w:tbl>
    <w:p w14:paraId="481E3727" w14:textId="77777777" w:rsidR="009A0137" w:rsidRDefault="009A0137" w:rsidP="009A0137">
      <w:pPr>
        <w:pStyle w:val="Heading4"/>
      </w:pPr>
      <w:r>
        <w:t xml:space="preserve">Maintenance and repair of safety </w:t>
      </w:r>
      <w:r w:rsidR="003B6A5B">
        <w:t xml:space="preserve">systems or </w:t>
      </w:r>
      <w:r>
        <w:t>features</w:t>
      </w:r>
    </w:p>
    <w:p w14:paraId="4A36AEA8" w14:textId="77777777" w:rsidR="00485573" w:rsidRDefault="00485573" w:rsidP="00F84948">
      <w:pPr>
        <w:pStyle w:val="Heading4"/>
        <w:rPr>
          <w:rFonts w:asciiTheme="minorHAnsi" w:eastAsiaTheme="minorHAnsi" w:hAnsiTheme="minorHAnsi" w:cstheme="minorBidi"/>
          <w:color w:val="000000" w:themeColor="text1"/>
          <w:sz w:val="20"/>
          <w:szCs w:val="20"/>
        </w:rPr>
      </w:pPr>
      <w:r w:rsidRPr="00485573">
        <w:rPr>
          <w:rFonts w:asciiTheme="minorHAnsi" w:eastAsiaTheme="minorHAnsi" w:hAnsiTheme="minorHAnsi" w:cstheme="minorBidi"/>
          <w:color w:val="000000" w:themeColor="text1"/>
          <w:sz w:val="20"/>
          <w:szCs w:val="20"/>
        </w:rPr>
        <w:t xml:space="preserve">Once safety </w:t>
      </w:r>
      <w:r w:rsidR="003B6A5B">
        <w:rPr>
          <w:rFonts w:asciiTheme="minorHAnsi" w:eastAsiaTheme="minorHAnsi" w:hAnsiTheme="minorHAnsi" w:cstheme="minorBidi"/>
          <w:color w:val="000000" w:themeColor="text1"/>
          <w:sz w:val="20"/>
          <w:szCs w:val="20"/>
        </w:rPr>
        <w:t xml:space="preserve">systems or </w:t>
      </w:r>
      <w:r w:rsidRPr="00485573">
        <w:rPr>
          <w:rFonts w:asciiTheme="minorHAnsi" w:eastAsiaTheme="minorHAnsi" w:hAnsiTheme="minorHAnsi" w:cstheme="minorBidi"/>
          <w:color w:val="000000" w:themeColor="text1"/>
          <w:sz w:val="20"/>
          <w:szCs w:val="20"/>
        </w:rPr>
        <w:t>features are fitte</w:t>
      </w:r>
      <w:r>
        <w:rPr>
          <w:rFonts w:asciiTheme="minorHAnsi" w:eastAsiaTheme="minorHAnsi" w:hAnsiTheme="minorHAnsi" w:cstheme="minorBidi"/>
          <w:color w:val="000000" w:themeColor="text1"/>
          <w:sz w:val="20"/>
          <w:szCs w:val="20"/>
        </w:rPr>
        <w:t>d to a heavy vehicle or trailer</w:t>
      </w:r>
      <w:r w:rsidRPr="00485573">
        <w:rPr>
          <w:rFonts w:asciiTheme="minorHAnsi" w:eastAsiaTheme="minorHAnsi" w:hAnsiTheme="minorHAnsi" w:cstheme="minorBidi"/>
          <w:color w:val="000000" w:themeColor="text1"/>
          <w:sz w:val="20"/>
          <w:szCs w:val="20"/>
        </w:rPr>
        <w:t xml:space="preserve">, there </w:t>
      </w:r>
      <w:r>
        <w:rPr>
          <w:rFonts w:asciiTheme="minorHAnsi" w:eastAsiaTheme="minorHAnsi" w:hAnsiTheme="minorHAnsi" w:cstheme="minorBidi"/>
          <w:color w:val="000000" w:themeColor="text1"/>
          <w:sz w:val="20"/>
          <w:szCs w:val="20"/>
        </w:rPr>
        <w:t xml:space="preserve">can be </w:t>
      </w:r>
      <w:r w:rsidRPr="00485573">
        <w:rPr>
          <w:rFonts w:asciiTheme="minorHAnsi" w:eastAsiaTheme="minorHAnsi" w:hAnsiTheme="minorHAnsi" w:cstheme="minorBidi"/>
          <w:color w:val="000000" w:themeColor="text1"/>
          <w:sz w:val="20"/>
          <w:szCs w:val="20"/>
        </w:rPr>
        <w:t>additional cost</w:t>
      </w:r>
      <w:r w:rsidR="00A93EBD">
        <w:rPr>
          <w:rFonts w:asciiTheme="minorHAnsi" w:eastAsiaTheme="minorHAnsi" w:hAnsiTheme="minorHAnsi" w:cstheme="minorBidi"/>
          <w:color w:val="000000" w:themeColor="text1"/>
          <w:sz w:val="20"/>
          <w:szCs w:val="20"/>
        </w:rPr>
        <w:t>s</w:t>
      </w:r>
      <w:r w:rsidRPr="00485573">
        <w:rPr>
          <w:rFonts w:asciiTheme="minorHAnsi" w:eastAsiaTheme="minorHAnsi" w:hAnsiTheme="minorHAnsi" w:cstheme="minorBidi"/>
          <w:color w:val="000000" w:themeColor="text1"/>
          <w:sz w:val="20"/>
          <w:szCs w:val="20"/>
        </w:rPr>
        <w:t xml:space="preserve"> associated with maintenance</w:t>
      </w:r>
      <w:r w:rsidR="00A93EBD">
        <w:rPr>
          <w:rFonts w:asciiTheme="minorHAnsi" w:eastAsiaTheme="minorHAnsi" w:hAnsiTheme="minorHAnsi" w:cstheme="minorBidi"/>
          <w:color w:val="000000" w:themeColor="text1"/>
          <w:sz w:val="20"/>
          <w:szCs w:val="20"/>
        </w:rPr>
        <w:t>,</w:t>
      </w:r>
      <w:r w:rsidRPr="00485573">
        <w:rPr>
          <w:rFonts w:asciiTheme="minorHAnsi" w:eastAsiaTheme="minorHAnsi" w:hAnsiTheme="minorHAnsi" w:cstheme="minorBidi"/>
          <w:color w:val="000000" w:themeColor="text1"/>
          <w:sz w:val="20"/>
          <w:szCs w:val="20"/>
        </w:rPr>
        <w:t xml:space="preserve"> such as replac</w:t>
      </w:r>
      <w:r w:rsidR="00012ABC">
        <w:rPr>
          <w:rFonts w:asciiTheme="minorHAnsi" w:eastAsiaTheme="minorHAnsi" w:hAnsiTheme="minorHAnsi" w:cstheme="minorBidi"/>
          <w:color w:val="000000" w:themeColor="text1"/>
          <w:sz w:val="20"/>
          <w:szCs w:val="20"/>
        </w:rPr>
        <w:t>ement and repairs to ensure these</w:t>
      </w:r>
      <w:r w:rsidRPr="00485573">
        <w:rPr>
          <w:rFonts w:asciiTheme="minorHAnsi" w:eastAsiaTheme="minorHAnsi" w:hAnsiTheme="minorHAnsi" w:cstheme="minorBidi"/>
          <w:color w:val="000000" w:themeColor="text1"/>
          <w:sz w:val="20"/>
          <w:szCs w:val="20"/>
        </w:rPr>
        <w:t xml:space="preserve"> </w:t>
      </w:r>
      <w:r>
        <w:rPr>
          <w:rFonts w:asciiTheme="minorHAnsi" w:eastAsiaTheme="minorHAnsi" w:hAnsiTheme="minorHAnsi" w:cstheme="minorBidi"/>
          <w:color w:val="000000" w:themeColor="text1"/>
          <w:sz w:val="20"/>
          <w:szCs w:val="20"/>
        </w:rPr>
        <w:t>continue to operate as intend</w:t>
      </w:r>
      <w:r w:rsidRPr="00485573">
        <w:rPr>
          <w:rFonts w:asciiTheme="minorHAnsi" w:eastAsiaTheme="minorHAnsi" w:hAnsiTheme="minorHAnsi" w:cstheme="minorBidi"/>
          <w:color w:val="000000" w:themeColor="text1"/>
          <w:sz w:val="20"/>
          <w:szCs w:val="20"/>
        </w:rPr>
        <w:t xml:space="preserve">ed. The </w:t>
      </w:r>
      <w:r>
        <w:rPr>
          <w:rFonts w:asciiTheme="minorHAnsi" w:eastAsiaTheme="minorHAnsi" w:hAnsiTheme="minorHAnsi" w:cstheme="minorBidi"/>
          <w:color w:val="000000" w:themeColor="text1"/>
          <w:sz w:val="20"/>
          <w:szCs w:val="20"/>
        </w:rPr>
        <w:t>ARRB assumed maintenance and repair cost</w:t>
      </w:r>
      <w:r w:rsidR="00012ABC">
        <w:rPr>
          <w:rFonts w:asciiTheme="minorHAnsi" w:eastAsiaTheme="minorHAnsi" w:hAnsiTheme="minorHAnsi" w:cstheme="minorBidi"/>
          <w:color w:val="000000" w:themeColor="text1"/>
          <w:sz w:val="20"/>
          <w:szCs w:val="20"/>
        </w:rPr>
        <w:t>s</w:t>
      </w:r>
      <w:r>
        <w:rPr>
          <w:rFonts w:asciiTheme="minorHAnsi" w:eastAsiaTheme="minorHAnsi" w:hAnsiTheme="minorHAnsi" w:cstheme="minorBidi"/>
          <w:color w:val="000000" w:themeColor="text1"/>
          <w:sz w:val="20"/>
          <w:szCs w:val="20"/>
        </w:rPr>
        <w:t xml:space="preserve"> would be incurred</w:t>
      </w:r>
      <w:r w:rsidRPr="00485573">
        <w:rPr>
          <w:rFonts w:asciiTheme="minorHAnsi" w:eastAsiaTheme="minorHAnsi" w:hAnsiTheme="minorHAnsi" w:cstheme="minorBidi"/>
          <w:color w:val="000000" w:themeColor="text1"/>
          <w:sz w:val="20"/>
          <w:szCs w:val="20"/>
        </w:rPr>
        <w:t xml:space="preserve"> </w:t>
      </w:r>
      <w:r w:rsidR="00006DA4">
        <w:rPr>
          <w:rFonts w:asciiTheme="minorHAnsi" w:eastAsiaTheme="minorHAnsi" w:hAnsiTheme="minorHAnsi" w:cstheme="minorBidi"/>
          <w:color w:val="000000" w:themeColor="text1"/>
          <w:sz w:val="20"/>
          <w:szCs w:val="20"/>
        </w:rPr>
        <w:t>at a rate of 1</w:t>
      </w:r>
      <w:r w:rsidR="00C72DAA">
        <w:rPr>
          <w:rFonts w:asciiTheme="minorHAnsi" w:eastAsiaTheme="minorHAnsi" w:hAnsiTheme="minorHAnsi" w:cstheme="minorBidi"/>
          <w:color w:val="000000" w:themeColor="text1"/>
          <w:sz w:val="20"/>
          <w:szCs w:val="20"/>
        </w:rPr>
        <w:t>%</w:t>
      </w:r>
      <w:r w:rsidRPr="00485573">
        <w:rPr>
          <w:rFonts w:asciiTheme="minorHAnsi" w:eastAsiaTheme="minorHAnsi" w:hAnsiTheme="minorHAnsi" w:cstheme="minorBidi"/>
          <w:color w:val="000000" w:themeColor="text1"/>
          <w:sz w:val="20"/>
          <w:szCs w:val="20"/>
        </w:rPr>
        <w:t xml:space="preserve"> of </w:t>
      </w:r>
      <w:r w:rsidR="00012ABC">
        <w:rPr>
          <w:rFonts w:asciiTheme="minorHAnsi" w:eastAsiaTheme="minorHAnsi" w:hAnsiTheme="minorHAnsi" w:cstheme="minorBidi"/>
          <w:color w:val="000000" w:themeColor="text1"/>
          <w:sz w:val="20"/>
          <w:szCs w:val="20"/>
        </w:rPr>
        <w:t xml:space="preserve">the </w:t>
      </w:r>
      <w:r w:rsidRPr="00485573">
        <w:rPr>
          <w:rFonts w:asciiTheme="minorHAnsi" w:eastAsiaTheme="minorHAnsi" w:hAnsiTheme="minorHAnsi" w:cstheme="minorBidi"/>
          <w:color w:val="000000" w:themeColor="text1"/>
          <w:sz w:val="20"/>
          <w:szCs w:val="20"/>
        </w:rPr>
        <w:t>initial fitment cost</w:t>
      </w:r>
      <w:r w:rsidR="00012ABC">
        <w:rPr>
          <w:rFonts w:asciiTheme="minorHAnsi" w:eastAsiaTheme="minorHAnsi" w:hAnsiTheme="minorHAnsi" w:cstheme="minorBidi"/>
          <w:color w:val="000000" w:themeColor="text1"/>
          <w:sz w:val="20"/>
          <w:szCs w:val="20"/>
        </w:rPr>
        <w:t>,</w:t>
      </w:r>
      <w:r>
        <w:rPr>
          <w:rFonts w:asciiTheme="minorHAnsi" w:eastAsiaTheme="minorHAnsi" w:hAnsiTheme="minorHAnsi" w:cstheme="minorBidi"/>
          <w:color w:val="000000" w:themeColor="text1"/>
          <w:sz w:val="20"/>
          <w:szCs w:val="20"/>
        </w:rPr>
        <w:t xml:space="preserve"> </w:t>
      </w:r>
      <w:r w:rsidRPr="00485573">
        <w:rPr>
          <w:rFonts w:asciiTheme="minorHAnsi" w:eastAsiaTheme="minorHAnsi" w:hAnsiTheme="minorHAnsi" w:cstheme="minorBidi"/>
          <w:color w:val="000000" w:themeColor="text1"/>
          <w:sz w:val="20"/>
          <w:szCs w:val="20"/>
        </w:rPr>
        <w:t xml:space="preserve">for each year of </w:t>
      </w:r>
      <w:r>
        <w:rPr>
          <w:rFonts w:asciiTheme="minorHAnsi" w:eastAsiaTheme="minorHAnsi" w:hAnsiTheme="minorHAnsi" w:cstheme="minorBidi"/>
          <w:color w:val="000000" w:themeColor="text1"/>
          <w:sz w:val="20"/>
          <w:szCs w:val="20"/>
        </w:rPr>
        <w:t xml:space="preserve">vehicle service life in </w:t>
      </w:r>
      <w:r w:rsidRPr="00485573">
        <w:rPr>
          <w:rFonts w:asciiTheme="minorHAnsi" w:eastAsiaTheme="minorHAnsi" w:hAnsiTheme="minorHAnsi" w:cstheme="minorBidi"/>
          <w:color w:val="000000" w:themeColor="text1"/>
          <w:sz w:val="20"/>
          <w:szCs w:val="20"/>
        </w:rPr>
        <w:t>the analysis under Options 3.1a</w:t>
      </w:r>
      <w:r>
        <w:rPr>
          <w:rFonts w:asciiTheme="minorHAnsi" w:eastAsiaTheme="minorHAnsi" w:hAnsiTheme="minorHAnsi" w:cstheme="minorBidi"/>
          <w:color w:val="000000" w:themeColor="text1"/>
          <w:sz w:val="20"/>
          <w:szCs w:val="20"/>
        </w:rPr>
        <w:t>, 3.1b, 3.2a</w:t>
      </w:r>
      <w:r w:rsidRPr="00485573">
        <w:rPr>
          <w:rFonts w:asciiTheme="minorHAnsi" w:eastAsiaTheme="minorHAnsi" w:hAnsiTheme="minorHAnsi" w:cstheme="minorBidi"/>
          <w:color w:val="000000" w:themeColor="text1"/>
          <w:sz w:val="20"/>
          <w:szCs w:val="20"/>
        </w:rPr>
        <w:t xml:space="preserve"> and 3.2</w:t>
      </w:r>
      <w:r>
        <w:rPr>
          <w:rFonts w:asciiTheme="minorHAnsi" w:eastAsiaTheme="minorHAnsi" w:hAnsiTheme="minorHAnsi" w:cstheme="minorBidi"/>
          <w:color w:val="000000" w:themeColor="text1"/>
          <w:sz w:val="20"/>
          <w:szCs w:val="20"/>
        </w:rPr>
        <w:t>b</w:t>
      </w:r>
      <w:r w:rsidRPr="00485573">
        <w:rPr>
          <w:rFonts w:asciiTheme="minorHAnsi" w:eastAsiaTheme="minorHAnsi" w:hAnsiTheme="minorHAnsi" w:cstheme="minorBidi"/>
          <w:color w:val="000000" w:themeColor="text1"/>
          <w:sz w:val="20"/>
          <w:szCs w:val="20"/>
        </w:rPr>
        <w:t>.</w:t>
      </w:r>
    </w:p>
    <w:p w14:paraId="2ED7348E" w14:textId="77777777" w:rsidR="00F84948" w:rsidRDefault="00F84948" w:rsidP="00F84948">
      <w:pPr>
        <w:pStyle w:val="Heading4"/>
      </w:pPr>
      <w:r>
        <w:t xml:space="preserve">Infrastructure </w:t>
      </w:r>
      <w:r w:rsidR="00422B9A">
        <w:t>u</w:t>
      </w:r>
      <w:r>
        <w:t>pdates</w:t>
      </w:r>
    </w:p>
    <w:p w14:paraId="1107F70B" w14:textId="77777777" w:rsidR="00442FC7" w:rsidRDefault="003B1B00" w:rsidP="00442FC7">
      <w:r>
        <w:rPr>
          <w:lang w:val="en-US"/>
        </w:rPr>
        <w:t xml:space="preserve">It is possible that some roads would need to be made wider to maintain </w:t>
      </w:r>
      <w:r w:rsidR="001047DD">
        <w:rPr>
          <w:lang w:val="en-US"/>
        </w:rPr>
        <w:t xml:space="preserve">existing </w:t>
      </w:r>
      <w:r>
        <w:rPr>
          <w:lang w:val="en-US"/>
        </w:rPr>
        <w:t xml:space="preserve">safety margins for </w:t>
      </w:r>
      <w:r w:rsidR="003204BB">
        <w:rPr>
          <w:lang w:val="en-US"/>
        </w:rPr>
        <w:t xml:space="preserve">use by </w:t>
      </w:r>
      <w:r>
        <w:rPr>
          <w:lang w:val="en-US"/>
        </w:rPr>
        <w:t>wider freight vehicles</w:t>
      </w:r>
      <w:r w:rsidR="00824610">
        <w:rPr>
          <w:lang w:val="en-US"/>
        </w:rPr>
        <w:t xml:space="preserve"> (i.e. maintain clearance between trucks and other vehicles, and between trucks and roadside infrastructure)</w:t>
      </w:r>
      <w:r>
        <w:rPr>
          <w:lang w:val="en-US"/>
        </w:rPr>
        <w:t xml:space="preserve">. However, the ARRB considered that this would only be an issue for roads with </w:t>
      </w:r>
      <w:r w:rsidR="00442FC7">
        <w:rPr>
          <w:lang w:val="en-US"/>
        </w:rPr>
        <w:t xml:space="preserve">lane widths </w:t>
      </w:r>
      <w:r w:rsidR="00442FC7" w:rsidRPr="00F26B85">
        <w:t>well below the recommended 3.5</w:t>
      </w:r>
      <w:r w:rsidR="00B436FD">
        <w:t> </w:t>
      </w:r>
      <w:r w:rsidR="00442FC7" w:rsidRPr="00F26B85">
        <w:t>m lane widths in Australia</w:t>
      </w:r>
      <w:r w:rsidR="00442FC7">
        <w:t xml:space="preserve">, which are also less likely to be significant freight routes. Further, ARRB considered that </w:t>
      </w:r>
      <w:r w:rsidR="00442FC7" w:rsidRPr="00F26B85">
        <w:t>any issues arising from wider vehicles on specific routes would be managed by</w:t>
      </w:r>
      <w:r w:rsidR="003204BB">
        <w:t xml:space="preserve"> local</w:t>
      </w:r>
      <w:r w:rsidR="00442FC7" w:rsidRPr="00F26B85">
        <w:t xml:space="preserve"> road managers </w:t>
      </w:r>
      <w:r w:rsidR="00442FC7">
        <w:t>through means such as r</w:t>
      </w:r>
      <w:r w:rsidR="00442FC7" w:rsidRPr="00F26B85">
        <w:t>estricting access</w:t>
      </w:r>
      <w:r w:rsidR="00442FC7">
        <w:t xml:space="preserve"> for wider vehicles</w:t>
      </w:r>
      <w:r w:rsidR="00442FC7" w:rsidRPr="00F26B85">
        <w:t>; or</w:t>
      </w:r>
      <w:r w:rsidR="00442FC7">
        <w:t xml:space="preserve"> r</w:t>
      </w:r>
      <w:r w:rsidR="00442FC7" w:rsidRPr="00F26B85">
        <w:t>epainting line markings (where room is available in shoulders or painted out traffic islands).</w:t>
      </w:r>
    </w:p>
    <w:p w14:paraId="799D1119" w14:textId="77777777" w:rsidR="004549C2" w:rsidRDefault="00B87B09" w:rsidP="00F64C22">
      <w:pPr>
        <w:keepLines/>
      </w:pPr>
      <w:r>
        <w:rPr>
          <w:lang w:val="en-US"/>
        </w:rPr>
        <w:t xml:space="preserve">Increasing the maximum width limit for heavy trucks and trailers could </w:t>
      </w:r>
      <w:r w:rsidR="002A6769">
        <w:rPr>
          <w:lang w:val="en-US"/>
        </w:rPr>
        <w:t>also add infrastructure costs</w:t>
      </w:r>
      <w:r w:rsidR="00442FC7">
        <w:rPr>
          <w:lang w:val="en-US"/>
        </w:rPr>
        <w:t xml:space="preserve"> through </w:t>
      </w:r>
      <w:r>
        <w:rPr>
          <w:lang w:val="en-US"/>
        </w:rPr>
        <w:t>increase</w:t>
      </w:r>
      <w:r w:rsidR="00442FC7">
        <w:rPr>
          <w:lang w:val="en-US"/>
        </w:rPr>
        <w:t>d</w:t>
      </w:r>
      <w:r>
        <w:rPr>
          <w:lang w:val="en-US"/>
        </w:rPr>
        <w:t xml:space="preserve"> </w:t>
      </w:r>
      <w:r w:rsidR="003B1B00">
        <w:rPr>
          <w:lang w:val="en-US"/>
        </w:rPr>
        <w:t>road</w:t>
      </w:r>
      <w:r>
        <w:rPr>
          <w:lang w:val="en-US"/>
        </w:rPr>
        <w:t xml:space="preserve"> wear and/or </w:t>
      </w:r>
      <w:r w:rsidR="006126DF">
        <w:rPr>
          <w:lang w:val="en-US"/>
        </w:rPr>
        <w:t xml:space="preserve">increased </w:t>
      </w:r>
      <w:r>
        <w:rPr>
          <w:lang w:val="en-US"/>
        </w:rPr>
        <w:t>collisions between heavy vehicles and roadside infrastructure.</w:t>
      </w:r>
      <w:r w:rsidR="00442FC7">
        <w:rPr>
          <w:lang w:val="en-US"/>
        </w:rPr>
        <w:t xml:space="preserve"> However, </w:t>
      </w:r>
      <w:r w:rsidR="003204BB">
        <w:rPr>
          <w:lang w:val="en-US"/>
        </w:rPr>
        <w:t>t</w:t>
      </w:r>
      <w:r w:rsidR="003B1B00">
        <w:rPr>
          <w:lang w:val="en-US"/>
        </w:rPr>
        <w:t xml:space="preserve">he ARRB considered that a 50-100 mm increase in vehicle width </w:t>
      </w:r>
      <w:r w:rsidR="00E005A2">
        <w:rPr>
          <w:lang w:val="en-US"/>
        </w:rPr>
        <w:t xml:space="preserve">would </w:t>
      </w:r>
      <w:r w:rsidR="00E005A2">
        <w:t>have no significant effect on pavement performance unless the payload and gross mass of the vehicle were dramatically increased (which is not part of this proposal).</w:t>
      </w:r>
      <w:r w:rsidR="002A6769">
        <w:t xml:space="preserve"> </w:t>
      </w:r>
      <w:r w:rsidR="003204BB">
        <w:t>W</w:t>
      </w:r>
      <w:r w:rsidR="002A6769">
        <w:t xml:space="preserve">ider vehicles would have less scope to wander within a lane than narrower vehicles, which would over time lead to a narrower lateral distribution of tyre loadings within lanes. </w:t>
      </w:r>
      <w:r w:rsidR="003204BB">
        <w:t xml:space="preserve">In relation to this ARRB noted that large scale narrowing of the loading distribution (e.g., narrowing of the distribution edge-to-edge of the order of 500 mm) is known to increase pavement deterioration, but considered </w:t>
      </w:r>
      <w:r w:rsidR="00861252">
        <w:t>a</w:t>
      </w:r>
      <w:r w:rsidR="003204BB">
        <w:t xml:space="preserve"> narrowing in the distribution of tyre loadings due to a 50-100 mm increase in vehicle width would be an ord</w:t>
      </w:r>
      <w:r w:rsidR="006126DF">
        <w:t xml:space="preserve">er of magnitude less than this. </w:t>
      </w:r>
      <w:r w:rsidR="00E71B86">
        <w:t>Similarly, ARRB considered th</w:t>
      </w:r>
      <w:r w:rsidR="00174BF2">
        <w:t>e</w:t>
      </w:r>
      <w:r w:rsidR="00E71B86">
        <w:t xml:space="preserve"> likelihood of wider vehicles colliding with roadside infrastructure would be low, </w:t>
      </w:r>
      <w:r w:rsidR="00BB3464">
        <w:t>but would present a cost. This</w:t>
      </w:r>
      <w:r w:rsidR="00E71B86">
        <w:t xml:space="preserve"> could partly be managed by </w:t>
      </w:r>
      <w:r w:rsidR="00992268">
        <w:t xml:space="preserve">local </w:t>
      </w:r>
      <w:r w:rsidR="00E71B86">
        <w:t xml:space="preserve">road managers restricting access to wider vehicles where there are obvious risks (e.g. power poles at </w:t>
      </w:r>
      <w:r w:rsidR="00BB3464">
        <w:t xml:space="preserve">the </w:t>
      </w:r>
      <w:r w:rsidR="00E71B86">
        <w:t>immediate roadside)</w:t>
      </w:r>
      <w:r w:rsidR="001047DD">
        <w:t xml:space="preserve"> and upgrades at some intersections</w:t>
      </w:r>
      <w:r w:rsidR="00E71B86">
        <w:t>.</w:t>
      </w:r>
    </w:p>
    <w:p w14:paraId="19A5DD74" w14:textId="77777777" w:rsidR="00E71B86" w:rsidRDefault="00992268" w:rsidP="00F84948">
      <w:pPr>
        <w:rPr>
          <w:lang w:val="en-US"/>
        </w:rPr>
      </w:pPr>
      <w:r>
        <w:t>T</w:t>
      </w:r>
      <w:r w:rsidR="00905563">
        <w:t xml:space="preserve">o account </w:t>
      </w:r>
      <w:r>
        <w:t>for infrastructure update costs</w:t>
      </w:r>
      <w:r w:rsidR="00861252">
        <w:t xml:space="preserve"> for wider freight vehicles</w:t>
      </w:r>
      <w:r>
        <w:t xml:space="preserve">, including actions by local road managers to restrict access for wider vehicles on specific routes and upgrades at </w:t>
      </w:r>
      <w:r w:rsidR="004448A9">
        <w:t>some</w:t>
      </w:r>
      <w:r>
        <w:t xml:space="preserve"> intersections, the ARRB added </w:t>
      </w:r>
      <w:r w:rsidR="00F9302F">
        <w:t>an annual infrastructure update cost</w:t>
      </w:r>
      <w:r>
        <w:t xml:space="preserve"> of $10 per wider heavy freight vehicle entering the network under o</w:t>
      </w:r>
      <w:r w:rsidR="001B1236">
        <w:t>ptions 3.1a, 3.1b, 3.2a and 3.2b</w:t>
      </w:r>
      <w:r>
        <w:t>.</w:t>
      </w:r>
    </w:p>
    <w:p w14:paraId="0B2D57E0" w14:textId="77777777" w:rsidR="00422B9A" w:rsidRPr="0084287E" w:rsidRDefault="00422B9A" w:rsidP="00F64C22">
      <w:pPr>
        <w:pStyle w:val="Heading3"/>
        <w:rPr>
          <w:lang w:val="en-AU"/>
        </w:rPr>
      </w:pPr>
      <w:bookmarkStart w:id="67" w:name="_Toc143182143"/>
      <w:r>
        <w:rPr>
          <w:lang w:val="en-AU"/>
        </w:rPr>
        <w:t>Benefit-c</w:t>
      </w:r>
      <w:r w:rsidRPr="0084287E">
        <w:rPr>
          <w:lang w:val="en-AU"/>
        </w:rPr>
        <w:t>ost</w:t>
      </w:r>
      <w:r>
        <w:rPr>
          <w:lang w:val="en-AU"/>
        </w:rPr>
        <w:t xml:space="preserve"> analysis results</w:t>
      </w:r>
      <w:bookmarkEnd w:id="67"/>
    </w:p>
    <w:p w14:paraId="6590F0B5" w14:textId="513AAE65" w:rsidR="00923E06" w:rsidRDefault="00923E06" w:rsidP="002C1585">
      <w:r w:rsidRPr="00923E06">
        <w:t xml:space="preserve">A summary of the results </w:t>
      </w:r>
      <w:r w:rsidR="00AB2FDD">
        <w:t xml:space="preserve">of the BCA by the ARRB </w:t>
      </w:r>
      <w:r w:rsidRPr="00923E06">
        <w:t xml:space="preserve">is provided </w:t>
      </w:r>
      <w:r w:rsidR="00682405">
        <w:t xml:space="preserve">in </w:t>
      </w:r>
      <w:r w:rsidR="00534814" w:rsidRPr="002C1585">
        <w:t xml:space="preserve">Table </w:t>
      </w:r>
      <w:r w:rsidR="00534814">
        <w:rPr>
          <w:noProof/>
        </w:rPr>
        <w:t>10</w:t>
      </w:r>
      <w:r w:rsidR="002C1585">
        <w:t xml:space="preserve"> </w:t>
      </w:r>
      <w:r w:rsidR="00682405">
        <w:t>below</w:t>
      </w:r>
      <w:r w:rsidR="00006DA4">
        <w:t>. A 7</w:t>
      </w:r>
      <w:r w:rsidR="00C72DAA">
        <w:t xml:space="preserve">% </w:t>
      </w:r>
      <w:r w:rsidRPr="00923E06">
        <w:t xml:space="preserve">discount rate was used </w:t>
      </w:r>
      <w:r w:rsidR="00E66CB6">
        <w:t xml:space="preserve">to determine present values </w:t>
      </w:r>
      <w:r w:rsidRPr="00923E06">
        <w:t>for all options.</w:t>
      </w:r>
    </w:p>
    <w:p w14:paraId="046F42C6" w14:textId="4BBC50BF" w:rsidR="00E856F5" w:rsidRPr="002C1585" w:rsidRDefault="00E856F5" w:rsidP="00CF267B">
      <w:pPr>
        <w:pStyle w:val="Caption"/>
        <w:keepNext/>
      </w:pPr>
      <w:bookmarkStart w:id="68" w:name="_Ref111038814"/>
      <w:bookmarkStart w:id="69" w:name="_Toc135320135"/>
      <w:r w:rsidRPr="002C1585">
        <w:t xml:space="preserve">Table </w:t>
      </w:r>
      <w:r w:rsidR="00534814">
        <w:rPr>
          <w:noProof/>
        </w:rPr>
        <w:t>10</w:t>
      </w:r>
      <w:bookmarkEnd w:id="68"/>
      <w:r w:rsidR="00920065">
        <w:t xml:space="preserve">: </w:t>
      </w:r>
      <w:r w:rsidRPr="002C1585">
        <w:t xml:space="preserve">Summary of the </w:t>
      </w:r>
      <w:r w:rsidR="00BB0F52">
        <w:t>outcomes of the BCA for</w:t>
      </w:r>
      <w:r w:rsidRPr="002C1585">
        <w:t xml:space="preserve"> each option</w:t>
      </w:r>
      <w:bookmarkEnd w:id="69"/>
    </w:p>
    <w:tbl>
      <w:tblPr>
        <w:tblStyle w:val="TableGrid"/>
        <w:tblW w:w="0" w:type="auto"/>
        <w:tblLook w:val="04A0" w:firstRow="1" w:lastRow="0" w:firstColumn="1" w:lastColumn="0" w:noHBand="0" w:noVBand="1"/>
      </w:tblPr>
      <w:tblGrid>
        <w:gridCol w:w="1955"/>
        <w:gridCol w:w="1955"/>
        <w:gridCol w:w="1955"/>
        <w:gridCol w:w="1955"/>
        <w:gridCol w:w="1956"/>
      </w:tblGrid>
      <w:tr w:rsidR="00AB2FDD" w14:paraId="33ADD787" w14:textId="77777777" w:rsidTr="00666342">
        <w:trPr>
          <w:trHeight w:val="340"/>
        </w:trPr>
        <w:tc>
          <w:tcPr>
            <w:tcW w:w="1955" w:type="dxa"/>
            <w:shd w:val="clear" w:color="auto" w:fill="081E3E" w:themeFill="text2"/>
            <w:vAlign w:val="center"/>
          </w:tcPr>
          <w:p w14:paraId="3B615270" w14:textId="77777777" w:rsidR="00AB2FDD" w:rsidRPr="00731C0C" w:rsidRDefault="00BB0F52" w:rsidP="00666342">
            <w:pPr>
              <w:pStyle w:val="Table2heading"/>
              <w:jc w:val="left"/>
            </w:pPr>
            <w:r>
              <w:t>Outcomes</w:t>
            </w:r>
          </w:p>
        </w:tc>
        <w:tc>
          <w:tcPr>
            <w:tcW w:w="1955" w:type="dxa"/>
            <w:shd w:val="clear" w:color="auto" w:fill="081E3E" w:themeFill="text2"/>
            <w:vAlign w:val="center"/>
          </w:tcPr>
          <w:p w14:paraId="1FA4687C" w14:textId="77777777" w:rsidR="00AB2FDD" w:rsidRPr="00731C0C" w:rsidRDefault="00AB2FDD" w:rsidP="00666342">
            <w:pPr>
              <w:pStyle w:val="Table2heading"/>
              <w:keepNext/>
            </w:pPr>
            <w:r w:rsidRPr="00731C0C">
              <w:t>Option 3.1a</w:t>
            </w:r>
          </w:p>
        </w:tc>
        <w:tc>
          <w:tcPr>
            <w:tcW w:w="1955" w:type="dxa"/>
            <w:shd w:val="clear" w:color="auto" w:fill="081E3E" w:themeFill="text2"/>
            <w:vAlign w:val="center"/>
          </w:tcPr>
          <w:p w14:paraId="01490FB4" w14:textId="77777777" w:rsidR="00AB2FDD" w:rsidRPr="00731C0C" w:rsidRDefault="00AB2FDD" w:rsidP="00666342">
            <w:pPr>
              <w:pStyle w:val="Table2heading"/>
              <w:keepNext/>
            </w:pPr>
            <w:r w:rsidRPr="00731C0C">
              <w:t>Option 3.1b</w:t>
            </w:r>
          </w:p>
        </w:tc>
        <w:tc>
          <w:tcPr>
            <w:tcW w:w="1955" w:type="dxa"/>
            <w:shd w:val="clear" w:color="auto" w:fill="081E3E" w:themeFill="text2"/>
            <w:vAlign w:val="center"/>
          </w:tcPr>
          <w:p w14:paraId="6AEC17C6" w14:textId="77777777" w:rsidR="00AB2FDD" w:rsidRPr="00731C0C" w:rsidRDefault="00AB2FDD" w:rsidP="00666342">
            <w:pPr>
              <w:pStyle w:val="Table2heading"/>
              <w:keepNext/>
            </w:pPr>
            <w:r w:rsidRPr="00731C0C">
              <w:t>Option 3.2a</w:t>
            </w:r>
          </w:p>
        </w:tc>
        <w:tc>
          <w:tcPr>
            <w:tcW w:w="1956" w:type="dxa"/>
            <w:shd w:val="clear" w:color="auto" w:fill="081E3E" w:themeFill="text2"/>
            <w:vAlign w:val="center"/>
          </w:tcPr>
          <w:p w14:paraId="7E58E749" w14:textId="77777777" w:rsidR="00AB2FDD" w:rsidRPr="00731C0C" w:rsidRDefault="00AB2FDD" w:rsidP="00666342">
            <w:pPr>
              <w:pStyle w:val="Table2heading"/>
              <w:keepNext/>
            </w:pPr>
            <w:r w:rsidRPr="00731C0C">
              <w:t>Option 3.2b</w:t>
            </w:r>
          </w:p>
        </w:tc>
      </w:tr>
      <w:tr w:rsidR="006666A7" w14:paraId="694D0791" w14:textId="77777777" w:rsidTr="00666342">
        <w:trPr>
          <w:trHeight w:val="340"/>
        </w:trPr>
        <w:tc>
          <w:tcPr>
            <w:tcW w:w="1955" w:type="dxa"/>
            <w:vAlign w:val="center"/>
          </w:tcPr>
          <w:p w14:paraId="2F322133" w14:textId="77777777" w:rsidR="006666A7" w:rsidRPr="00E856F5" w:rsidRDefault="006666A7" w:rsidP="00666342">
            <w:pPr>
              <w:rPr>
                <w:b/>
              </w:rPr>
            </w:pPr>
            <w:r w:rsidRPr="00E856F5">
              <w:rPr>
                <w:b/>
              </w:rPr>
              <w:t>Benefits</w:t>
            </w:r>
          </w:p>
        </w:tc>
        <w:tc>
          <w:tcPr>
            <w:tcW w:w="1955" w:type="dxa"/>
            <w:vAlign w:val="center"/>
          </w:tcPr>
          <w:p w14:paraId="31305C1F" w14:textId="77777777" w:rsidR="006666A7" w:rsidRPr="00457C84" w:rsidRDefault="006666A7" w:rsidP="00666342">
            <w:pPr>
              <w:jc w:val="center"/>
              <w:rPr>
                <w:rFonts w:cstheme="minorHAnsi"/>
                <w:color w:val="auto"/>
              </w:rPr>
            </w:pPr>
            <w:r w:rsidRPr="006770FA">
              <w:t>$9</w:t>
            </w:r>
            <w:r w:rsidR="00EB40B5">
              <w:t>8</w:t>
            </w:r>
            <w:r>
              <w:t>8 m</w:t>
            </w:r>
          </w:p>
        </w:tc>
        <w:tc>
          <w:tcPr>
            <w:tcW w:w="1955" w:type="dxa"/>
            <w:vAlign w:val="center"/>
          </w:tcPr>
          <w:p w14:paraId="274AECC0" w14:textId="77777777" w:rsidR="006666A7" w:rsidRPr="00457C84" w:rsidRDefault="006666A7" w:rsidP="00666342">
            <w:pPr>
              <w:jc w:val="center"/>
              <w:rPr>
                <w:rFonts w:cstheme="minorHAnsi"/>
                <w:color w:val="auto"/>
              </w:rPr>
            </w:pPr>
            <w:r w:rsidRPr="006770FA">
              <w:t>$877</w:t>
            </w:r>
            <w:r>
              <w:t> m</w:t>
            </w:r>
          </w:p>
        </w:tc>
        <w:tc>
          <w:tcPr>
            <w:tcW w:w="1955" w:type="dxa"/>
            <w:vAlign w:val="center"/>
          </w:tcPr>
          <w:p w14:paraId="00695347" w14:textId="77777777" w:rsidR="006666A7" w:rsidRPr="00457C84" w:rsidRDefault="006666A7" w:rsidP="00666342">
            <w:pPr>
              <w:jc w:val="center"/>
              <w:rPr>
                <w:rFonts w:cstheme="minorHAnsi"/>
                <w:color w:val="auto"/>
              </w:rPr>
            </w:pPr>
            <w:r w:rsidRPr="006770FA">
              <w:t>$1,3</w:t>
            </w:r>
            <w:r w:rsidR="00EB40B5">
              <w:t>60</w:t>
            </w:r>
            <w:r>
              <w:t> m</w:t>
            </w:r>
          </w:p>
        </w:tc>
        <w:tc>
          <w:tcPr>
            <w:tcW w:w="1956" w:type="dxa"/>
            <w:vAlign w:val="center"/>
          </w:tcPr>
          <w:p w14:paraId="63AC6FE1" w14:textId="77777777" w:rsidR="006666A7" w:rsidRPr="00457C84" w:rsidRDefault="006666A7" w:rsidP="00666342">
            <w:pPr>
              <w:jc w:val="center"/>
              <w:rPr>
                <w:rFonts w:cstheme="minorHAnsi"/>
                <w:color w:val="auto"/>
              </w:rPr>
            </w:pPr>
            <w:r w:rsidRPr="006770FA">
              <w:t>$1,20</w:t>
            </w:r>
            <w:r>
              <w:t>6 m</w:t>
            </w:r>
          </w:p>
        </w:tc>
      </w:tr>
      <w:tr w:rsidR="00150EAF" w14:paraId="727E50DD" w14:textId="77777777" w:rsidTr="00666342">
        <w:trPr>
          <w:trHeight w:val="340"/>
        </w:trPr>
        <w:tc>
          <w:tcPr>
            <w:tcW w:w="1955" w:type="dxa"/>
            <w:vAlign w:val="center"/>
          </w:tcPr>
          <w:p w14:paraId="4B28456E" w14:textId="77777777" w:rsidR="00150EAF" w:rsidRPr="00E856F5" w:rsidRDefault="00150EAF" w:rsidP="00666342">
            <w:pPr>
              <w:rPr>
                <w:b/>
              </w:rPr>
            </w:pPr>
            <w:r w:rsidRPr="00E856F5">
              <w:rPr>
                <w:b/>
              </w:rPr>
              <w:t>Costs</w:t>
            </w:r>
          </w:p>
        </w:tc>
        <w:tc>
          <w:tcPr>
            <w:tcW w:w="1955" w:type="dxa"/>
            <w:vAlign w:val="center"/>
          </w:tcPr>
          <w:p w14:paraId="62FC5B2F" w14:textId="77777777" w:rsidR="00150EAF" w:rsidRPr="00457C84" w:rsidRDefault="00150EAF" w:rsidP="00666342">
            <w:pPr>
              <w:jc w:val="center"/>
              <w:rPr>
                <w:rFonts w:cstheme="minorHAnsi"/>
                <w:color w:val="auto"/>
              </w:rPr>
            </w:pPr>
            <w:r w:rsidRPr="00EB3D6F">
              <w:t>$33</w:t>
            </w:r>
            <w:r>
              <w:t>4 m</w:t>
            </w:r>
          </w:p>
        </w:tc>
        <w:tc>
          <w:tcPr>
            <w:tcW w:w="1955" w:type="dxa"/>
            <w:vAlign w:val="center"/>
          </w:tcPr>
          <w:p w14:paraId="06430C32" w14:textId="77777777" w:rsidR="00150EAF" w:rsidRPr="00457C84" w:rsidRDefault="00150EAF" w:rsidP="00666342">
            <w:pPr>
              <w:jc w:val="center"/>
              <w:rPr>
                <w:rFonts w:cstheme="minorHAnsi"/>
                <w:color w:val="auto"/>
              </w:rPr>
            </w:pPr>
            <w:r w:rsidRPr="00EB3D6F">
              <w:t>$28</w:t>
            </w:r>
            <w:r>
              <w:t>9 m</w:t>
            </w:r>
          </w:p>
        </w:tc>
        <w:tc>
          <w:tcPr>
            <w:tcW w:w="1955" w:type="dxa"/>
            <w:vAlign w:val="center"/>
          </w:tcPr>
          <w:p w14:paraId="55377FC7" w14:textId="77777777" w:rsidR="00150EAF" w:rsidRPr="00457C84" w:rsidRDefault="00150EAF" w:rsidP="00666342">
            <w:pPr>
              <w:jc w:val="center"/>
              <w:rPr>
                <w:rFonts w:cstheme="minorHAnsi"/>
                <w:color w:val="auto"/>
              </w:rPr>
            </w:pPr>
            <w:r w:rsidRPr="00EB3D6F">
              <w:t>$321</w:t>
            </w:r>
            <w:r>
              <w:t> m</w:t>
            </w:r>
          </w:p>
        </w:tc>
        <w:tc>
          <w:tcPr>
            <w:tcW w:w="1956" w:type="dxa"/>
            <w:vAlign w:val="center"/>
          </w:tcPr>
          <w:p w14:paraId="4D2DD62D" w14:textId="77777777" w:rsidR="00150EAF" w:rsidRPr="00457C84" w:rsidRDefault="00150EAF" w:rsidP="00666342">
            <w:pPr>
              <w:jc w:val="center"/>
              <w:rPr>
                <w:rFonts w:cstheme="minorHAnsi"/>
                <w:color w:val="auto"/>
              </w:rPr>
            </w:pPr>
            <w:r w:rsidRPr="00EB3D6F">
              <w:t>$27</w:t>
            </w:r>
            <w:r>
              <w:t>5 m</w:t>
            </w:r>
          </w:p>
        </w:tc>
      </w:tr>
      <w:tr w:rsidR="006666A7" w14:paraId="6E4C4F89" w14:textId="77777777" w:rsidTr="00666342">
        <w:trPr>
          <w:trHeight w:val="340"/>
        </w:trPr>
        <w:tc>
          <w:tcPr>
            <w:tcW w:w="1955" w:type="dxa"/>
            <w:vAlign w:val="center"/>
          </w:tcPr>
          <w:p w14:paraId="72F12A4A" w14:textId="77777777" w:rsidR="006666A7" w:rsidRPr="00E856F5" w:rsidRDefault="006666A7" w:rsidP="00666342">
            <w:pPr>
              <w:rPr>
                <w:b/>
              </w:rPr>
            </w:pPr>
            <w:r w:rsidRPr="00E856F5">
              <w:rPr>
                <w:b/>
              </w:rPr>
              <w:t>Net Benefits</w:t>
            </w:r>
          </w:p>
        </w:tc>
        <w:tc>
          <w:tcPr>
            <w:tcW w:w="1955" w:type="dxa"/>
            <w:vAlign w:val="center"/>
          </w:tcPr>
          <w:p w14:paraId="28F04A67" w14:textId="77777777" w:rsidR="006666A7" w:rsidRPr="001103B6" w:rsidRDefault="006666A7" w:rsidP="00666342">
            <w:pPr>
              <w:jc w:val="center"/>
              <w:rPr>
                <w:rFonts w:cstheme="minorHAnsi"/>
                <w:color w:val="auto"/>
              </w:rPr>
            </w:pPr>
            <w:r w:rsidRPr="0054194A">
              <w:t>$6</w:t>
            </w:r>
            <w:r w:rsidR="00552BD7">
              <w:t>5</w:t>
            </w:r>
            <w:r w:rsidRPr="0054194A">
              <w:t>4</w:t>
            </w:r>
            <w:r>
              <w:t> m</w:t>
            </w:r>
          </w:p>
        </w:tc>
        <w:tc>
          <w:tcPr>
            <w:tcW w:w="1955" w:type="dxa"/>
            <w:vAlign w:val="center"/>
          </w:tcPr>
          <w:p w14:paraId="25630C17" w14:textId="77777777" w:rsidR="006666A7" w:rsidRPr="001103B6" w:rsidRDefault="006666A7" w:rsidP="00666342">
            <w:pPr>
              <w:jc w:val="center"/>
              <w:rPr>
                <w:rFonts w:cstheme="minorHAnsi"/>
                <w:color w:val="auto"/>
              </w:rPr>
            </w:pPr>
            <w:r w:rsidRPr="0054194A">
              <w:t>$588</w:t>
            </w:r>
            <w:r>
              <w:t> m</w:t>
            </w:r>
          </w:p>
        </w:tc>
        <w:tc>
          <w:tcPr>
            <w:tcW w:w="1955" w:type="dxa"/>
            <w:vAlign w:val="center"/>
          </w:tcPr>
          <w:p w14:paraId="63D38A72" w14:textId="77777777" w:rsidR="006666A7" w:rsidRPr="001103B6" w:rsidRDefault="006666A7" w:rsidP="00666342">
            <w:pPr>
              <w:jc w:val="center"/>
              <w:rPr>
                <w:rFonts w:cstheme="minorHAnsi"/>
                <w:color w:val="auto"/>
              </w:rPr>
            </w:pPr>
            <w:r w:rsidRPr="0054194A">
              <w:t>$</w:t>
            </w:r>
            <w:r w:rsidR="00EB40B5">
              <w:t>1,038</w:t>
            </w:r>
            <w:r>
              <w:t> m</w:t>
            </w:r>
          </w:p>
        </w:tc>
        <w:tc>
          <w:tcPr>
            <w:tcW w:w="1956" w:type="dxa"/>
            <w:vAlign w:val="center"/>
          </w:tcPr>
          <w:p w14:paraId="45732B2E" w14:textId="77777777" w:rsidR="006666A7" w:rsidRPr="001103B6" w:rsidRDefault="006666A7" w:rsidP="00666342">
            <w:pPr>
              <w:jc w:val="center"/>
              <w:rPr>
                <w:rFonts w:cstheme="minorHAnsi"/>
                <w:color w:val="auto"/>
              </w:rPr>
            </w:pPr>
            <w:r w:rsidRPr="0054194A">
              <w:t>$931</w:t>
            </w:r>
            <w:r>
              <w:t> m</w:t>
            </w:r>
          </w:p>
        </w:tc>
      </w:tr>
      <w:tr w:rsidR="006666A7" w14:paraId="7A1F3E83" w14:textId="77777777" w:rsidTr="00666342">
        <w:trPr>
          <w:trHeight w:val="340"/>
        </w:trPr>
        <w:tc>
          <w:tcPr>
            <w:tcW w:w="1955" w:type="dxa"/>
            <w:vAlign w:val="center"/>
          </w:tcPr>
          <w:p w14:paraId="00943415" w14:textId="77777777" w:rsidR="006666A7" w:rsidRPr="00E856F5" w:rsidRDefault="006666A7" w:rsidP="00666342">
            <w:pPr>
              <w:rPr>
                <w:b/>
              </w:rPr>
            </w:pPr>
            <w:r>
              <w:rPr>
                <w:b/>
              </w:rPr>
              <w:t>BCR</w:t>
            </w:r>
          </w:p>
        </w:tc>
        <w:tc>
          <w:tcPr>
            <w:tcW w:w="1955" w:type="dxa"/>
            <w:vAlign w:val="center"/>
          </w:tcPr>
          <w:p w14:paraId="509EC01A" w14:textId="77777777" w:rsidR="006666A7" w:rsidRPr="006666A7" w:rsidRDefault="00EB40B5" w:rsidP="00666342">
            <w:pPr>
              <w:jc w:val="center"/>
              <w:rPr>
                <w:rFonts w:cstheme="minorHAnsi"/>
                <w:color w:val="000000"/>
              </w:rPr>
            </w:pPr>
            <w:r>
              <w:rPr>
                <w:rFonts w:cstheme="minorHAnsi"/>
                <w:color w:val="000000"/>
              </w:rPr>
              <w:t>3.0</w:t>
            </w:r>
          </w:p>
        </w:tc>
        <w:tc>
          <w:tcPr>
            <w:tcW w:w="1955" w:type="dxa"/>
            <w:vAlign w:val="center"/>
          </w:tcPr>
          <w:p w14:paraId="753C814E" w14:textId="77777777" w:rsidR="006666A7" w:rsidRPr="006666A7" w:rsidRDefault="006666A7" w:rsidP="00666342">
            <w:pPr>
              <w:jc w:val="center"/>
              <w:rPr>
                <w:rFonts w:cstheme="minorHAnsi"/>
                <w:color w:val="000000"/>
              </w:rPr>
            </w:pPr>
            <w:r w:rsidRPr="006666A7">
              <w:rPr>
                <w:rFonts w:cstheme="minorHAnsi"/>
                <w:color w:val="000000"/>
              </w:rPr>
              <w:t>3.0</w:t>
            </w:r>
          </w:p>
        </w:tc>
        <w:tc>
          <w:tcPr>
            <w:tcW w:w="1955" w:type="dxa"/>
            <w:vAlign w:val="center"/>
          </w:tcPr>
          <w:p w14:paraId="2D398D2A" w14:textId="77777777" w:rsidR="006666A7" w:rsidRPr="006666A7" w:rsidRDefault="006666A7" w:rsidP="00666342">
            <w:pPr>
              <w:jc w:val="center"/>
              <w:rPr>
                <w:rFonts w:cstheme="minorHAnsi"/>
                <w:color w:val="000000"/>
              </w:rPr>
            </w:pPr>
            <w:r w:rsidRPr="006666A7">
              <w:rPr>
                <w:rFonts w:cstheme="minorHAnsi"/>
                <w:color w:val="000000"/>
              </w:rPr>
              <w:t>4.</w:t>
            </w:r>
            <w:r w:rsidR="00EB40B5">
              <w:rPr>
                <w:rFonts w:cstheme="minorHAnsi"/>
                <w:color w:val="000000"/>
              </w:rPr>
              <w:t>2</w:t>
            </w:r>
          </w:p>
        </w:tc>
        <w:tc>
          <w:tcPr>
            <w:tcW w:w="1956" w:type="dxa"/>
            <w:vAlign w:val="center"/>
          </w:tcPr>
          <w:p w14:paraId="13E9599B" w14:textId="77777777" w:rsidR="006666A7" w:rsidRPr="006666A7" w:rsidRDefault="006666A7" w:rsidP="00666342">
            <w:pPr>
              <w:jc w:val="center"/>
              <w:rPr>
                <w:rFonts w:cstheme="minorHAnsi"/>
                <w:color w:val="000000"/>
              </w:rPr>
            </w:pPr>
            <w:r w:rsidRPr="006666A7">
              <w:rPr>
                <w:rFonts w:cstheme="minorHAnsi"/>
                <w:color w:val="000000"/>
              </w:rPr>
              <w:t>4.4</w:t>
            </w:r>
          </w:p>
        </w:tc>
      </w:tr>
    </w:tbl>
    <w:p w14:paraId="1BAE1211" w14:textId="77777777" w:rsidR="00C240FD" w:rsidRDefault="00C240FD" w:rsidP="000851AF">
      <w:r>
        <w:t xml:space="preserve">From </w:t>
      </w:r>
      <w:r w:rsidR="0078330E">
        <w:t>model</w:t>
      </w:r>
      <w:r>
        <w:t xml:space="preserve"> for the BCA by the ARRB, the </w:t>
      </w:r>
      <w:r w:rsidR="00B9347B">
        <w:t>d</w:t>
      </w:r>
      <w:r>
        <w:t xml:space="preserve">epartment is also able to estimate the likely net benefits and BCR for </w:t>
      </w:r>
      <w:r w:rsidR="000851AF">
        <w:t>varying Option 3.1a</w:t>
      </w:r>
      <w:r>
        <w:t xml:space="preserve"> </w:t>
      </w:r>
      <w:r w:rsidR="000851AF">
        <w:t xml:space="preserve">to allow refrigerated goods </w:t>
      </w:r>
      <w:r w:rsidR="000851AF" w:rsidRPr="007B6E69">
        <w:t xml:space="preserve">vehicles </w:t>
      </w:r>
      <w:r w:rsidR="000851AF">
        <w:t xml:space="preserve">and trailers </w:t>
      </w:r>
      <w:r w:rsidR="000851AF" w:rsidRPr="007B6E69">
        <w:t>with insul</w:t>
      </w:r>
      <w:r w:rsidR="000851AF">
        <w:t xml:space="preserve">ated walls at least </w:t>
      </w:r>
      <w:r w:rsidR="00BB21FF">
        <w:t>90</w:t>
      </w:r>
      <w:r w:rsidR="0059636B">
        <w:t> </w:t>
      </w:r>
      <w:r w:rsidR="000851AF">
        <w:t xml:space="preserve">mm thick </w:t>
      </w:r>
      <w:r w:rsidR="00747117">
        <w:t xml:space="preserve">(on each side) </w:t>
      </w:r>
      <w:r w:rsidR="000851AF">
        <w:t xml:space="preserve">to be up to </w:t>
      </w:r>
      <w:r w:rsidR="00B9347B">
        <w:t>2.60</w:t>
      </w:r>
      <w:r w:rsidR="000851AF">
        <w:t> m in width. This variation to Option 3.1a is estimated to provide a net benefit of $</w:t>
      </w:r>
      <w:r w:rsidR="000D4DA2">
        <w:t>6</w:t>
      </w:r>
      <w:r w:rsidR="00EB40B5">
        <w:t>82</w:t>
      </w:r>
      <w:r w:rsidR="0059636B">
        <w:t> </w:t>
      </w:r>
      <w:r w:rsidR="000851AF">
        <w:t xml:space="preserve">m with a BCR of </w:t>
      </w:r>
      <w:r w:rsidR="007B0B44">
        <w:t>3.0</w:t>
      </w:r>
      <w:r w:rsidR="000851AF">
        <w:t>.</w:t>
      </w:r>
    </w:p>
    <w:p w14:paraId="7FF7CDFE" w14:textId="77777777" w:rsidR="00422B9A" w:rsidRPr="0084287E" w:rsidRDefault="00422B9A" w:rsidP="00422B9A">
      <w:pPr>
        <w:pStyle w:val="Heading3"/>
        <w:rPr>
          <w:lang w:val="en-AU"/>
        </w:rPr>
      </w:pPr>
      <w:bookmarkStart w:id="70" w:name="_Toc143182144"/>
      <w:r>
        <w:rPr>
          <w:lang w:val="en-AU"/>
        </w:rPr>
        <w:t>Sensitivity analysis</w:t>
      </w:r>
      <w:bookmarkEnd w:id="70"/>
    </w:p>
    <w:p w14:paraId="60A695D6" w14:textId="77777777" w:rsidR="004041C6" w:rsidRPr="001F0CA5" w:rsidRDefault="004041C6" w:rsidP="004041C6">
      <w:r w:rsidRPr="001F0CA5">
        <w:t>A sensitivity analysis was carried out</w:t>
      </w:r>
      <w:r>
        <w:t xml:space="preserve"> by the ARRB</w:t>
      </w:r>
      <w:r w:rsidRPr="001F0CA5">
        <w:t xml:space="preserve"> </w:t>
      </w:r>
      <w:r>
        <w:t xml:space="preserve">for each of the viable options, </w:t>
      </w:r>
      <w:r w:rsidRPr="001F0CA5">
        <w:t xml:space="preserve">to determine the </w:t>
      </w:r>
      <w:r w:rsidR="001F7E8D">
        <w:t xml:space="preserve">possible </w:t>
      </w:r>
      <w:r w:rsidRPr="001F0CA5">
        <w:t xml:space="preserve">effect of </w:t>
      </w:r>
      <w:r w:rsidR="008B1F32">
        <w:t>uncertain</w:t>
      </w:r>
      <w:r w:rsidRPr="001F0CA5">
        <w:t xml:space="preserve"> </w:t>
      </w:r>
      <w:r>
        <w:t>variables</w:t>
      </w:r>
      <w:r w:rsidRPr="001F0CA5">
        <w:t xml:space="preserve"> on the outcome</w:t>
      </w:r>
      <w:r w:rsidRPr="001F0CA5" w:rsidDel="00B11EB2">
        <w:t xml:space="preserve"> </w:t>
      </w:r>
      <w:r>
        <w:t xml:space="preserve">of </w:t>
      </w:r>
      <w:r w:rsidRPr="001F0CA5">
        <w:t>the benefi</w:t>
      </w:r>
      <w:r w:rsidR="001F7E8D">
        <w:t>t-cost analysis.</w:t>
      </w:r>
    </w:p>
    <w:p w14:paraId="71CF29A7" w14:textId="11421D85" w:rsidR="004041C6" w:rsidRPr="00164CDB" w:rsidRDefault="005D50A8" w:rsidP="004041C6">
      <w:r>
        <w:t>Firstly</w:t>
      </w:r>
      <w:r w:rsidR="004041C6">
        <w:t>, while a</w:t>
      </w:r>
      <w:r w:rsidR="004041C6" w:rsidRPr="001F0CA5">
        <w:t xml:space="preserve"> </w:t>
      </w:r>
      <w:r w:rsidR="004041C6">
        <w:t>7</w:t>
      </w:r>
      <w:r w:rsidR="009E34C2">
        <w:t>%</w:t>
      </w:r>
      <w:r w:rsidR="004041C6" w:rsidRPr="001F0CA5">
        <w:t xml:space="preserve"> </w:t>
      </w:r>
      <w:r w:rsidR="004041C6">
        <w:t xml:space="preserve">(per annum) real </w:t>
      </w:r>
      <w:r w:rsidR="004041C6" w:rsidRPr="001F0CA5">
        <w:t>discount rate was used for all option</w:t>
      </w:r>
      <w:r w:rsidR="004041C6">
        <w:t>s, the benefit</w:t>
      </w:r>
      <w:r w:rsidR="004041C6">
        <w:noBreakHyphen/>
      </w:r>
      <w:r w:rsidR="004041C6" w:rsidRPr="001F0CA5">
        <w:t xml:space="preserve">cost analysis </w:t>
      </w:r>
      <w:r w:rsidR="004041C6">
        <w:t xml:space="preserve">for </w:t>
      </w:r>
      <w:r w:rsidR="002C1585">
        <w:t>each viable option</w:t>
      </w:r>
      <w:r w:rsidR="004041C6" w:rsidRPr="001F0CA5">
        <w:t xml:space="preserve"> was </w:t>
      </w:r>
      <w:r w:rsidR="00081AA4">
        <w:t xml:space="preserve">also run with </w:t>
      </w:r>
      <w:r w:rsidR="004041C6" w:rsidRPr="001F0CA5">
        <w:t>rate</w:t>
      </w:r>
      <w:r w:rsidR="00081AA4">
        <w:t>s</w:t>
      </w:r>
      <w:r w:rsidR="004041C6" w:rsidRPr="001F0CA5">
        <w:t xml:space="preserve"> of </w:t>
      </w:r>
      <w:r w:rsidR="004041C6">
        <w:t>3</w:t>
      </w:r>
      <w:r w:rsidR="009E34C2">
        <w:t>%</w:t>
      </w:r>
      <w:r w:rsidR="004041C6" w:rsidRPr="001F0CA5">
        <w:t xml:space="preserve"> and</w:t>
      </w:r>
      <w:r w:rsidR="004041C6">
        <w:t xml:space="preserve"> 10</w:t>
      </w:r>
      <w:r w:rsidR="009E34C2">
        <w:t>%</w:t>
      </w:r>
      <w:r w:rsidR="004041C6" w:rsidRPr="001F0CA5">
        <w:t>.</w:t>
      </w:r>
      <w:r w:rsidR="004041C6">
        <w:t xml:space="preserve"> </w:t>
      </w:r>
      <w:r w:rsidR="00534814">
        <w:t xml:space="preserve">Table </w:t>
      </w:r>
      <w:r w:rsidR="00534814">
        <w:rPr>
          <w:noProof/>
        </w:rPr>
        <w:t>11</w:t>
      </w:r>
      <w:r w:rsidR="004041C6">
        <w:t xml:space="preserve"> </w:t>
      </w:r>
      <w:r w:rsidR="004041C6" w:rsidRPr="0009474C">
        <w:t xml:space="preserve">shows that the net benefits are positive </w:t>
      </w:r>
      <w:r w:rsidR="00AE0B65">
        <w:t xml:space="preserve">for each option </w:t>
      </w:r>
      <w:r w:rsidR="004041C6" w:rsidRPr="0009474C">
        <w:t>under all three discount rates.</w:t>
      </w:r>
    </w:p>
    <w:p w14:paraId="337DCFA0" w14:textId="00AC81A1" w:rsidR="006C0BD8" w:rsidRDefault="006C0BD8" w:rsidP="006C0BD8">
      <w:pPr>
        <w:pStyle w:val="Caption"/>
        <w:keepNext/>
      </w:pPr>
      <w:bookmarkStart w:id="71" w:name="_Ref111037962"/>
      <w:bookmarkStart w:id="72" w:name="_Toc135320136"/>
      <w:r>
        <w:t xml:space="preserve">Table </w:t>
      </w:r>
      <w:r w:rsidR="00534814">
        <w:rPr>
          <w:noProof/>
        </w:rPr>
        <w:t>11</w:t>
      </w:r>
      <w:bookmarkEnd w:id="71"/>
      <w:r w:rsidR="001C5C07">
        <w:t xml:space="preserve">: </w:t>
      </w:r>
      <w:r w:rsidR="00AB2FDD">
        <w:t>Impact of changes to the discount rate</w:t>
      </w:r>
      <w:r w:rsidR="006E727B">
        <w:t xml:space="preserve"> on net benefits</w:t>
      </w:r>
      <w:bookmarkEnd w:id="72"/>
    </w:p>
    <w:tbl>
      <w:tblPr>
        <w:tblStyle w:val="TableGrid"/>
        <w:tblW w:w="0" w:type="auto"/>
        <w:tblLook w:val="04A0" w:firstRow="1" w:lastRow="0" w:firstColumn="1" w:lastColumn="0" w:noHBand="0" w:noVBand="1"/>
      </w:tblPr>
      <w:tblGrid>
        <w:gridCol w:w="1955"/>
        <w:gridCol w:w="1955"/>
        <w:gridCol w:w="1955"/>
        <w:gridCol w:w="1955"/>
        <w:gridCol w:w="1956"/>
      </w:tblGrid>
      <w:tr w:rsidR="00A46193" w14:paraId="17756D17" w14:textId="77777777" w:rsidTr="00680230">
        <w:trPr>
          <w:trHeight w:val="340"/>
        </w:trPr>
        <w:tc>
          <w:tcPr>
            <w:tcW w:w="1955" w:type="dxa"/>
            <w:shd w:val="clear" w:color="auto" w:fill="081E3E" w:themeFill="text2"/>
            <w:vAlign w:val="center"/>
          </w:tcPr>
          <w:p w14:paraId="7C92EC96" w14:textId="77777777" w:rsidR="00A46193" w:rsidRPr="00731C0C" w:rsidRDefault="00BB0F52" w:rsidP="00680230">
            <w:pPr>
              <w:pStyle w:val="Table2heading"/>
              <w:jc w:val="left"/>
            </w:pPr>
            <w:r>
              <w:t>Net Benefits</w:t>
            </w:r>
          </w:p>
        </w:tc>
        <w:tc>
          <w:tcPr>
            <w:tcW w:w="1955" w:type="dxa"/>
            <w:shd w:val="clear" w:color="auto" w:fill="081E3E" w:themeFill="text2"/>
            <w:vAlign w:val="center"/>
          </w:tcPr>
          <w:p w14:paraId="2B8B30ED" w14:textId="77777777" w:rsidR="00A46193" w:rsidRPr="00731C0C" w:rsidRDefault="00A46193" w:rsidP="00680230">
            <w:pPr>
              <w:pStyle w:val="Table2heading"/>
              <w:keepNext/>
            </w:pPr>
            <w:r w:rsidRPr="00731C0C">
              <w:t>Option 3.1a</w:t>
            </w:r>
          </w:p>
        </w:tc>
        <w:tc>
          <w:tcPr>
            <w:tcW w:w="1955" w:type="dxa"/>
            <w:shd w:val="clear" w:color="auto" w:fill="081E3E" w:themeFill="text2"/>
            <w:vAlign w:val="center"/>
          </w:tcPr>
          <w:p w14:paraId="15E0C672" w14:textId="77777777" w:rsidR="00A46193" w:rsidRPr="00731C0C" w:rsidRDefault="00A46193" w:rsidP="00680230">
            <w:pPr>
              <w:pStyle w:val="Table2heading"/>
              <w:keepNext/>
            </w:pPr>
            <w:r w:rsidRPr="00731C0C">
              <w:t>Option 3.1b</w:t>
            </w:r>
          </w:p>
        </w:tc>
        <w:tc>
          <w:tcPr>
            <w:tcW w:w="1955" w:type="dxa"/>
            <w:shd w:val="clear" w:color="auto" w:fill="081E3E" w:themeFill="text2"/>
            <w:vAlign w:val="center"/>
          </w:tcPr>
          <w:p w14:paraId="6B29CECA" w14:textId="77777777" w:rsidR="00A46193" w:rsidRPr="00731C0C" w:rsidRDefault="00A46193" w:rsidP="00680230">
            <w:pPr>
              <w:pStyle w:val="Table2heading"/>
              <w:keepNext/>
            </w:pPr>
            <w:r w:rsidRPr="00731C0C">
              <w:t>Option 3.2a</w:t>
            </w:r>
          </w:p>
        </w:tc>
        <w:tc>
          <w:tcPr>
            <w:tcW w:w="1956" w:type="dxa"/>
            <w:shd w:val="clear" w:color="auto" w:fill="081E3E" w:themeFill="text2"/>
            <w:vAlign w:val="center"/>
          </w:tcPr>
          <w:p w14:paraId="3DEF113F" w14:textId="77777777" w:rsidR="00A46193" w:rsidRPr="00731C0C" w:rsidRDefault="00A46193" w:rsidP="00680230">
            <w:pPr>
              <w:pStyle w:val="Table2heading"/>
              <w:keepNext/>
            </w:pPr>
            <w:r w:rsidRPr="00731C0C">
              <w:t>Option 3.2b</w:t>
            </w:r>
          </w:p>
        </w:tc>
      </w:tr>
      <w:tr w:rsidR="0066049C" w14:paraId="0DB2437B" w14:textId="77777777" w:rsidTr="00680230">
        <w:trPr>
          <w:trHeight w:val="340"/>
        </w:trPr>
        <w:tc>
          <w:tcPr>
            <w:tcW w:w="1955" w:type="dxa"/>
            <w:vAlign w:val="center"/>
          </w:tcPr>
          <w:p w14:paraId="0EE6BE9C" w14:textId="77777777" w:rsidR="0066049C" w:rsidRPr="00E856F5" w:rsidRDefault="0066049C" w:rsidP="00680230">
            <w:pPr>
              <w:rPr>
                <w:b/>
              </w:rPr>
            </w:pPr>
            <w:r>
              <w:rPr>
                <w:b/>
              </w:rPr>
              <w:t>Worst Case (10%)</w:t>
            </w:r>
          </w:p>
        </w:tc>
        <w:tc>
          <w:tcPr>
            <w:tcW w:w="1955" w:type="dxa"/>
            <w:vAlign w:val="center"/>
          </w:tcPr>
          <w:p w14:paraId="452B2370" w14:textId="77777777" w:rsidR="0066049C" w:rsidRPr="00244A67" w:rsidRDefault="0066049C" w:rsidP="00680230">
            <w:pPr>
              <w:jc w:val="center"/>
            </w:pPr>
            <w:r w:rsidRPr="0066049C">
              <w:t>$372 m</w:t>
            </w:r>
          </w:p>
        </w:tc>
        <w:tc>
          <w:tcPr>
            <w:tcW w:w="1955" w:type="dxa"/>
            <w:vAlign w:val="center"/>
          </w:tcPr>
          <w:p w14:paraId="22FB6571" w14:textId="77777777" w:rsidR="0066049C" w:rsidRPr="00244A67" w:rsidRDefault="0066049C" w:rsidP="00680230">
            <w:pPr>
              <w:jc w:val="center"/>
            </w:pPr>
            <w:r w:rsidRPr="0066049C">
              <w:t>$338 m</w:t>
            </w:r>
          </w:p>
        </w:tc>
        <w:tc>
          <w:tcPr>
            <w:tcW w:w="1955" w:type="dxa"/>
            <w:vAlign w:val="center"/>
          </w:tcPr>
          <w:p w14:paraId="216F6D27" w14:textId="77777777" w:rsidR="0066049C" w:rsidRPr="00244A67" w:rsidRDefault="0066049C" w:rsidP="00680230">
            <w:pPr>
              <w:jc w:val="center"/>
            </w:pPr>
            <w:r w:rsidRPr="0066049C">
              <w:t>$611 m</w:t>
            </w:r>
          </w:p>
        </w:tc>
        <w:tc>
          <w:tcPr>
            <w:tcW w:w="1956" w:type="dxa"/>
            <w:vAlign w:val="center"/>
          </w:tcPr>
          <w:p w14:paraId="4ABB477C" w14:textId="77777777" w:rsidR="0066049C" w:rsidRPr="00244A67" w:rsidRDefault="0066049C" w:rsidP="00680230">
            <w:pPr>
              <w:jc w:val="center"/>
            </w:pPr>
            <w:r w:rsidRPr="0066049C">
              <w:t>$553 m</w:t>
            </w:r>
          </w:p>
        </w:tc>
      </w:tr>
      <w:tr w:rsidR="0066049C" w14:paraId="5292332F" w14:textId="77777777" w:rsidTr="00680230">
        <w:trPr>
          <w:trHeight w:val="340"/>
        </w:trPr>
        <w:tc>
          <w:tcPr>
            <w:tcW w:w="1955" w:type="dxa"/>
            <w:vAlign w:val="center"/>
          </w:tcPr>
          <w:p w14:paraId="0AD37A96" w14:textId="77777777" w:rsidR="0066049C" w:rsidRPr="00E856F5" w:rsidRDefault="0066049C" w:rsidP="00680230">
            <w:pPr>
              <w:rPr>
                <w:b/>
              </w:rPr>
            </w:pPr>
            <w:r>
              <w:rPr>
                <w:b/>
              </w:rPr>
              <w:t>Main Analysis (7%)</w:t>
            </w:r>
          </w:p>
        </w:tc>
        <w:tc>
          <w:tcPr>
            <w:tcW w:w="1955" w:type="dxa"/>
            <w:vAlign w:val="center"/>
          </w:tcPr>
          <w:p w14:paraId="6E12891B" w14:textId="77777777" w:rsidR="0066049C" w:rsidRDefault="0066049C" w:rsidP="00680230">
            <w:pPr>
              <w:jc w:val="center"/>
            </w:pPr>
            <w:r w:rsidRPr="0054194A">
              <w:t>$6</w:t>
            </w:r>
            <w:r>
              <w:t>5</w:t>
            </w:r>
            <w:r w:rsidRPr="0054194A">
              <w:t>4</w:t>
            </w:r>
            <w:r>
              <w:t> m</w:t>
            </w:r>
          </w:p>
        </w:tc>
        <w:tc>
          <w:tcPr>
            <w:tcW w:w="1955" w:type="dxa"/>
            <w:vAlign w:val="center"/>
          </w:tcPr>
          <w:p w14:paraId="5822CEFD" w14:textId="77777777" w:rsidR="0066049C" w:rsidRDefault="0066049C" w:rsidP="00680230">
            <w:pPr>
              <w:jc w:val="center"/>
            </w:pPr>
            <w:r w:rsidRPr="0054194A">
              <w:t>$588</w:t>
            </w:r>
            <w:r>
              <w:t> m</w:t>
            </w:r>
          </w:p>
        </w:tc>
        <w:tc>
          <w:tcPr>
            <w:tcW w:w="1955" w:type="dxa"/>
            <w:vAlign w:val="center"/>
          </w:tcPr>
          <w:p w14:paraId="4A6B9541" w14:textId="77777777" w:rsidR="0066049C" w:rsidRDefault="0066049C" w:rsidP="00680230">
            <w:pPr>
              <w:jc w:val="center"/>
            </w:pPr>
            <w:r w:rsidRPr="0054194A">
              <w:t>$</w:t>
            </w:r>
            <w:r>
              <w:t>1,038 m</w:t>
            </w:r>
          </w:p>
        </w:tc>
        <w:tc>
          <w:tcPr>
            <w:tcW w:w="1956" w:type="dxa"/>
            <w:vAlign w:val="center"/>
          </w:tcPr>
          <w:p w14:paraId="1C49B42F" w14:textId="77777777" w:rsidR="0066049C" w:rsidRDefault="0066049C" w:rsidP="00680230">
            <w:pPr>
              <w:jc w:val="center"/>
            </w:pPr>
            <w:r w:rsidRPr="0054194A">
              <w:t>$931</w:t>
            </w:r>
            <w:r>
              <w:t> m</w:t>
            </w:r>
          </w:p>
        </w:tc>
      </w:tr>
      <w:tr w:rsidR="0066049C" w14:paraId="036A9A4F" w14:textId="77777777" w:rsidTr="00680230">
        <w:trPr>
          <w:trHeight w:val="340"/>
        </w:trPr>
        <w:tc>
          <w:tcPr>
            <w:tcW w:w="1955" w:type="dxa"/>
            <w:vAlign w:val="center"/>
          </w:tcPr>
          <w:p w14:paraId="4DC2702F" w14:textId="77777777" w:rsidR="0066049C" w:rsidRPr="00E856F5" w:rsidRDefault="0066049C" w:rsidP="00680230">
            <w:pPr>
              <w:rPr>
                <w:b/>
              </w:rPr>
            </w:pPr>
            <w:r>
              <w:rPr>
                <w:b/>
              </w:rPr>
              <w:t>Best Case (3%)</w:t>
            </w:r>
          </w:p>
        </w:tc>
        <w:tc>
          <w:tcPr>
            <w:tcW w:w="1955" w:type="dxa"/>
            <w:vAlign w:val="center"/>
          </w:tcPr>
          <w:p w14:paraId="37569A4F" w14:textId="77777777" w:rsidR="0066049C" w:rsidRPr="003568E3" w:rsidRDefault="0066049C" w:rsidP="00680230">
            <w:pPr>
              <w:jc w:val="center"/>
            </w:pPr>
            <w:r w:rsidRPr="0066049C">
              <w:t>$1,497</w:t>
            </w:r>
            <w:r>
              <w:t> m</w:t>
            </w:r>
          </w:p>
        </w:tc>
        <w:tc>
          <w:tcPr>
            <w:tcW w:w="1955" w:type="dxa"/>
            <w:vAlign w:val="center"/>
          </w:tcPr>
          <w:p w14:paraId="106A9D5F" w14:textId="77777777" w:rsidR="0066049C" w:rsidRPr="003568E3" w:rsidRDefault="0066049C" w:rsidP="00680230">
            <w:pPr>
              <w:jc w:val="center"/>
            </w:pPr>
            <w:r w:rsidRPr="0066049C">
              <w:t>$1,330</w:t>
            </w:r>
            <w:r>
              <w:t> m</w:t>
            </w:r>
          </w:p>
        </w:tc>
        <w:tc>
          <w:tcPr>
            <w:tcW w:w="1955" w:type="dxa"/>
            <w:vAlign w:val="center"/>
          </w:tcPr>
          <w:p w14:paraId="652402BA" w14:textId="77777777" w:rsidR="0066049C" w:rsidRPr="003568E3" w:rsidRDefault="0066049C" w:rsidP="00680230">
            <w:pPr>
              <w:jc w:val="center"/>
            </w:pPr>
            <w:r w:rsidRPr="0066049C">
              <w:t>$2,298</w:t>
            </w:r>
            <w:r>
              <w:t> m</w:t>
            </w:r>
          </w:p>
        </w:tc>
        <w:tc>
          <w:tcPr>
            <w:tcW w:w="1956" w:type="dxa"/>
            <w:vAlign w:val="center"/>
          </w:tcPr>
          <w:p w14:paraId="318982C5" w14:textId="77777777" w:rsidR="0066049C" w:rsidRPr="003568E3" w:rsidRDefault="0066049C" w:rsidP="00680230">
            <w:pPr>
              <w:jc w:val="center"/>
            </w:pPr>
            <w:r w:rsidRPr="0066049C">
              <w:t>$2,039</w:t>
            </w:r>
            <w:r>
              <w:t> m</w:t>
            </w:r>
          </w:p>
        </w:tc>
      </w:tr>
    </w:tbl>
    <w:p w14:paraId="2BAE7AE7" w14:textId="77777777" w:rsidR="00E24BD9" w:rsidRDefault="005D50A8" w:rsidP="00F64C22">
      <w:pPr>
        <w:keepLines/>
      </w:pPr>
      <w:r>
        <w:t>The possible effect</w:t>
      </w:r>
      <w:r w:rsidR="00BD72C8">
        <w:t>s</w:t>
      </w:r>
      <w:r>
        <w:t xml:space="preserve"> of changes in infrastructure update costs</w:t>
      </w:r>
      <w:r w:rsidR="00BD72C8">
        <w:t xml:space="preserve">, </w:t>
      </w:r>
      <w:r w:rsidR="00BB0F52">
        <w:t xml:space="preserve">fleet growth, </w:t>
      </w:r>
      <w:r w:rsidR="00BD72C8">
        <w:t xml:space="preserve">safety feature costs, </w:t>
      </w:r>
      <w:r w:rsidR="00BB0F52">
        <w:t xml:space="preserve">safety feature effectiveness, frontal and rollover crash risk for wider vehicles, </w:t>
      </w:r>
      <w:r w:rsidR="00197DAC">
        <w:t xml:space="preserve">and </w:t>
      </w:r>
      <w:r w:rsidR="00DA5226">
        <w:t>trip reductions</w:t>
      </w:r>
      <w:r>
        <w:t xml:space="preserve">, including both </w:t>
      </w:r>
      <w:r w:rsidR="00BD72C8">
        <w:t>worst</w:t>
      </w:r>
      <w:r w:rsidR="00E55928">
        <w:t>-</w:t>
      </w:r>
      <w:r w:rsidR="00965007">
        <w:t xml:space="preserve">case </w:t>
      </w:r>
      <w:r w:rsidR="00BD72C8">
        <w:t xml:space="preserve">and </w:t>
      </w:r>
      <w:r w:rsidR="00E87E48">
        <w:br/>
      </w:r>
      <w:r w:rsidR="00BD72C8">
        <w:t>best</w:t>
      </w:r>
      <w:r w:rsidR="00E87E48">
        <w:t>-</w:t>
      </w:r>
      <w:r w:rsidR="00BD72C8">
        <w:t>case scenarios</w:t>
      </w:r>
      <w:r w:rsidR="00BB0F52">
        <w:t xml:space="preserve">, were </w:t>
      </w:r>
      <w:r w:rsidR="00E642C9">
        <w:t xml:space="preserve">all </w:t>
      </w:r>
      <w:r w:rsidR="00BB0F52">
        <w:t>also considered in the sensitivity analysis</w:t>
      </w:r>
      <w:r w:rsidR="00E24BD9">
        <w:t>.</w:t>
      </w:r>
      <w:r w:rsidR="00BB0F52">
        <w:t xml:space="preserve"> The outcomes of</w:t>
      </w:r>
      <w:r w:rsidR="00965007">
        <w:t xml:space="preserve"> these sensitivity tests are </w:t>
      </w:r>
      <w:r w:rsidR="009720EB">
        <w:t>shown</w:t>
      </w:r>
      <w:r w:rsidR="00965007">
        <w:t xml:space="preserve"> in </w:t>
      </w:r>
      <w:r w:rsidR="00553750">
        <w:t xml:space="preserve">Tables </w:t>
      </w:r>
      <w:r w:rsidR="006B0EA5">
        <w:t>12</w:t>
      </w:r>
      <w:r w:rsidR="002C5726">
        <w:t xml:space="preserve"> </w:t>
      </w:r>
      <w:r w:rsidR="00553750">
        <w:rPr>
          <w:noProof/>
        </w:rPr>
        <w:t xml:space="preserve">to </w:t>
      </w:r>
      <w:r w:rsidR="006B0EA5">
        <w:t>1</w:t>
      </w:r>
      <w:r w:rsidR="00453E08">
        <w:t>7</w:t>
      </w:r>
      <w:r w:rsidR="00553750">
        <w:rPr>
          <w:noProof/>
        </w:rPr>
        <w:t xml:space="preserve"> </w:t>
      </w:r>
      <w:r w:rsidR="00965007">
        <w:t>below.</w:t>
      </w:r>
      <w:r w:rsidR="00C12642">
        <w:t xml:space="preserve"> </w:t>
      </w:r>
      <w:r w:rsidR="00121C62">
        <w:t xml:space="preserve">The net benefits </w:t>
      </w:r>
      <w:r w:rsidR="00E87E48">
        <w:t xml:space="preserve">for each option are positive under all </w:t>
      </w:r>
      <w:r w:rsidR="00863F34">
        <w:t xml:space="preserve">these </w:t>
      </w:r>
      <w:r w:rsidR="00E87E48">
        <w:t>scenarios</w:t>
      </w:r>
      <w:r w:rsidR="00C12642">
        <w:t>.</w:t>
      </w:r>
      <w:r w:rsidR="00E87E48">
        <w:t xml:space="preserve"> The largest impact on net benefits occurs for changes in trip reductions for wider vehicles, followed by changes in the effectiveness and cost of the </w:t>
      </w:r>
      <w:r w:rsidR="00863F34">
        <w:t xml:space="preserve">mandatory </w:t>
      </w:r>
      <w:r w:rsidR="00E87E48">
        <w:t>safety systems or features.</w:t>
      </w:r>
    </w:p>
    <w:p w14:paraId="5FADBE37" w14:textId="05330A84" w:rsidR="00E24BD9" w:rsidRDefault="00E24BD9" w:rsidP="00E24BD9">
      <w:pPr>
        <w:pStyle w:val="Caption"/>
        <w:keepNext/>
      </w:pPr>
      <w:bookmarkStart w:id="73" w:name="_Ref111041592"/>
      <w:bookmarkStart w:id="74" w:name="_Toc135320137"/>
      <w:r>
        <w:t xml:space="preserve">Table </w:t>
      </w:r>
      <w:r w:rsidR="00534814">
        <w:rPr>
          <w:noProof/>
        </w:rPr>
        <w:t>12</w:t>
      </w:r>
      <w:bookmarkEnd w:id="73"/>
      <w:r w:rsidR="001C5C07">
        <w:t xml:space="preserve">: </w:t>
      </w:r>
      <w:r>
        <w:t>Impact of changes in infrastructure update costs</w:t>
      </w:r>
      <w:r w:rsidR="006E727B" w:rsidRPr="006E727B">
        <w:t xml:space="preserve"> </w:t>
      </w:r>
      <w:r w:rsidR="006E727B">
        <w:t>on net benefits</w:t>
      </w:r>
      <w:bookmarkEnd w:id="74"/>
    </w:p>
    <w:tbl>
      <w:tblPr>
        <w:tblStyle w:val="TableGrid"/>
        <w:tblW w:w="0" w:type="auto"/>
        <w:tblLook w:val="04A0" w:firstRow="1" w:lastRow="0" w:firstColumn="1" w:lastColumn="0" w:noHBand="0" w:noVBand="1"/>
      </w:tblPr>
      <w:tblGrid>
        <w:gridCol w:w="2263"/>
        <w:gridCol w:w="1842"/>
        <w:gridCol w:w="1843"/>
        <w:gridCol w:w="1843"/>
        <w:gridCol w:w="1985"/>
      </w:tblGrid>
      <w:tr w:rsidR="00965007" w14:paraId="1707C468" w14:textId="77777777" w:rsidTr="00680230">
        <w:trPr>
          <w:trHeight w:val="340"/>
        </w:trPr>
        <w:tc>
          <w:tcPr>
            <w:tcW w:w="2263" w:type="dxa"/>
            <w:shd w:val="clear" w:color="auto" w:fill="081E3E" w:themeFill="text2"/>
            <w:vAlign w:val="center"/>
          </w:tcPr>
          <w:p w14:paraId="27673D11" w14:textId="77777777" w:rsidR="00965007" w:rsidRPr="00731C0C" w:rsidRDefault="00965007" w:rsidP="00680230">
            <w:pPr>
              <w:pStyle w:val="Table2heading"/>
              <w:jc w:val="left"/>
            </w:pPr>
            <w:r>
              <w:t>Net Benefits</w:t>
            </w:r>
          </w:p>
        </w:tc>
        <w:tc>
          <w:tcPr>
            <w:tcW w:w="1842" w:type="dxa"/>
            <w:shd w:val="clear" w:color="auto" w:fill="081E3E" w:themeFill="text2"/>
            <w:vAlign w:val="center"/>
          </w:tcPr>
          <w:p w14:paraId="3E9E7D08" w14:textId="77777777" w:rsidR="00965007" w:rsidRPr="00731C0C" w:rsidRDefault="00965007" w:rsidP="00680230">
            <w:pPr>
              <w:pStyle w:val="Table2heading"/>
              <w:keepNext/>
            </w:pPr>
            <w:r w:rsidRPr="00731C0C">
              <w:t>Option 3.1a</w:t>
            </w:r>
          </w:p>
        </w:tc>
        <w:tc>
          <w:tcPr>
            <w:tcW w:w="1843" w:type="dxa"/>
            <w:shd w:val="clear" w:color="auto" w:fill="081E3E" w:themeFill="text2"/>
            <w:vAlign w:val="center"/>
          </w:tcPr>
          <w:p w14:paraId="612F7D29" w14:textId="77777777" w:rsidR="00965007" w:rsidRPr="00731C0C" w:rsidRDefault="00965007" w:rsidP="00680230">
            <w:pPr>
              <w:pStyle w:val="Table2heading"/>
              <w:keepNext/>
            </w:pPr>
            <w:r w:rsidRPr="00731C0C">
              <w:t>Option 3.1b</w:t>
            </w:r>
          </w:p>
        </w:tc>
        <w:tc>
          <w:tcPr>
            <w:tcW w:w="1843" w:type="dxa"/>
            <w:shd w:val="clear" w:color="auto" w:fill="081E3E" w:themeFill="text2"/>
            <w:vAlign w:val="center"/>
          </w:tcPr>
          <w:p w14:paraId="75E18541" w14:textId="77777777" w:rsidR="00965007" w:rsidRPr="00731C0C" w:rsidRDefault="00965007" w:rsidP="00680230">
            <w:pPr>
              <w:pStyle w:val="Table2heading"/>
              <w:keepNext/>
            </w:pPr>
            <w:r w:rsidRPr="00731C0C">
              <w:t>Option 3.2a</w:t>
            </w:r>
          </w:p>
        </w:tc>
        <w:tc>
          <w:tcPr>
            <w:tcW w:w="1985" w:type="dxa"/>
            <w:shd w:val="clear" w:color="auto" w:fill="081E3E" w:themeFill="text2"/>
            <w:vAlign w:val="center"/>
          </w:tcPr>
          <w:p w14:paraId="67C1F603" w14:textId="77777777" w:rsidR="00965007" w:rsidRPr="00731C0C" w:rsidRDefault="00965007" w:rsidP="00680230">
            <w:pPr>
              <w:pStyle w:val="Table2heading"/>
              <w:keepNext/>
            </w:pPr>
            <w:r w:rsidRPr="00731C0C">
              <w:t>Option 3.2b</w:t>
            </w:r>
          </w:p>
        </w:tc>
      </w:tr>
      <w:tr w:rsidR="0066049C" w14:paraId="13A94E28" w14:textId="77777777" w:rsidTr="00680230">
        <w:trPr>
          <w:trHeight w:val="340"/>
        </w:trPr>
        <w:tc>
          <w:tcPr>
            <w:tcW w:w="2263" w:type="dxa"/>
            <w:vAlign w:val="center"/>
          </w:tcPr>
          <w:p w14:paraId="2006922A" w14:textId="77777777" w:rsidR="0066049C" w:rsidRPr="00E856F5" w:rsidRDefault="0066049C" w:rsidP="00680230">
            <w:pPr>
              <w:rPr>
                <w:b/>
              </w:rPr>
            </w:pPr>
            <w:r>
              <w:rPr>
                <w:b/>
              </w:rPr>
              <w:t>Worst Case (+20%)</w:t>
            </w:r>
          </w:p>
        </w:tc>
        <w:tc>
          <w:tcPr>
            <w:tcW w:w="1842" w:type="dxa"/>
            <w:vAlign w:val="center"/>
          </w:tcPr>
          <w:p w14:paraId="37221A91" w14:textId="77777777" w:rsidR="0066049C" w:rsidRDefault="0066049C" w:rsidP="00680230">
            <w:pPr>
              <w:jc w:val="center"/>
            </w:pPr>
            <w:r w:rsidRPr="009C59E0">
              <w:t>$650</w:t>
            </w:r>
            <w:r>
              <w:t> m</w:t>
            </w:r>
          </w:p>
        </w:tc>
        <w:tc>
          <w:tcPr>
            <w:tcW w:w="1843" w:type="dxa"/>
            <w:vAlign w:val="center"/>
          </w:tcPr>
          <w:p w14:paraId="32620731" w14:textId="77777777" w:rsidR="0066049C" w:rsidRDefault="0066049C" w:rsidP="00680230">
            <w:pPr>
              <w:jc w:val="center"/>
            </w:pPr>
            <w:r w:rsidRPr="009C59E0">
              <w:t>$585</w:t>
            </w:r>
            <w:r>
              <w:t> m</w:t>
            </w:r>
          </w:p>
        </w:tc>
        <w:tc>
          <w:tcPr>
            <w:tcW w:w="1843" w:type="dxa"/>
            <w:vAlign w:val="center"/>
          </w:tcPr>
          <w:p w14:paraId="75BAA675" w14:textId="77777777" w:rsidR="0066049C" w:rsidRDefault="0066049C" w:rsidP="00680230">
            <w:pPr>
              <w:jc w:val="center"/>
            </w:pPr>
            <w:r w:rsidRPr="009C59E0">
              <w:t>$1,035</w:t>
            </w:r>
            <w:r>
              <w:t> m</w:t>
            </w:r>
          </w:p>
        </w:tc>
        <w:tc>
          <w:tcPr>
            <w:tcW w:w="1985" w:type="dxa"/>
            <w:vAlign w:val="center"/>
          </w:tcPr>
          <w:p w14:paraId="1490D789" w14:textId="77777777" w:rsidR="0066049C" w:rsidRDefault="0066049C" w:rsidP="00680230">
            <w:pPr>
              <w:jc w:val="center"/>
            </w:pPr>
            <w:r w:rsidRPr="009C59E0">
              <w:t>$928</w:t>
            </w:r>
            <w:r>
              <w:t> m</w:t>
            </w:r>
          </w:p>
        </w:tc>
      </w:tr>
      <w:tr w:rsidR="0066049C" w14:paraId="436993B7" w14:textId="77777777" w:rsidTr="00680230">
        <w:trPr>
          <w:trHeight w:val="340"/>
        </w:trPr>
        <w:tc>
          <w:tcPr>
            <w:tcW w:w="2263" w:type="dxa"/>
            <w:vAlign w:val="center"/>
          </w:tcPr>
          <w:p w14:paraId="61280E86" w14:textId="77777777" w:rsidR="0066049C" w:rsidRPr="00E856F5" w:rsidRDefault="0066049C" w:rsidP="00680230">
            <w:pPr>
              <w:rPr>
                <w:b/>
              </w:rPr>
            </w:pPr>
            <w:r>
              <w:rPr>
                <w:b/>
              </w:rPr>
              <w:t>Main Analysis</w:t>
            </w:r>
          </w:p>
        </w:tc>
        <w:tc>
          <w:tcPr>
            <w:tcW w:w="1842" w:type="dxa"/>
            <w:vAlign w:val="center"/>
          </w:tcPr>
          <w:p w14:paraId="58C21B25" w14:textId="77777777" w:rsidR="0066049C" w:rsidRDefault="0066049C" w:rsidP="00680230">
            <w:pPr>
              <w:jc w:val="center"/>
            </w:pPr>
            <w:r w:rsidRPr="0054194A">
              <w:t>$6</w:t>
            </w:r>
            <w:r>
              <w:t>5</w:t>
            </w:r>
            <w:r w:rsidRPr="0054194A">
              <w:t>4</w:t>
            </w:r>
            <w:r>
              <w:t> m</w:t>
            </w:r>
          </w:p>
        </w:tc>
        <w:tc>
          <w:tcPr>
            <w:tcW w:w="1843" w:type="dxa"/>
            <w:vAlign w:val="center"/>
          </w:tcPr>
          <w:p w14:paraId="29984CEF" w14:textId="77777777" w:rsidR="0066049C" w:rsidRDefault="0066049C" w:rsidP="00680230">
            <w:pPr>
              <w:jc w:val="center"/>
            </w:pPr>
            <w:r w:rsidRPr="0054194A">
              <w:t>$588</w:t>
            </w:r>
            <w:r>
              <w:t> m</w:t>
            </w:r>
          </w:p>
        </w:tc>
        <w:tc>
          <w:tcPr>
            <w:tcW w:w="1843" w:type="dxa"/>
            <w:vAlign w:val="center"/>
          </w:tcPr>
          <w:p w14:paraId="52CC3547" w14:textId="77777777" w:rsidR="0066049C" w:rsidRDefault="0066049C" w:rsidP="00680230">
            <w:pPr>
              <w:jc w:val="center"/>
            </w:pPr>
            <w:r w:rsidRPr="0054194A">
              <w:t>$</w:t>
            </w:r>
            <w:r>
              <w:t>1,038 m</w:t>
            </w:r>
          </w:p>
        </w:tc>
        <w:tc>
          <w:tcPr>
            <w:tcW w:w="1985" w:type="dxa"/>
            <w:vAlign w:val="center"/>
          </w:tcPr>
          <w:p w14:paraId="7F24D76E" w14:textId="77777777" w:rsidR="0066049C" w:rsidRDefault="0066049C" w:rsidP="00680230">
            <w:pPr>
              <w:jc w:val="center"/>
            </w:pPr>
            <w:r w:rsidRPr="0054194A">
              <w:t>$931</w:t>
            </w:r>
            <w:r>
              <w:t> m</w:t>
            </w:r>
          </w:p>
        </w:tc>
      </w:tr>
      <w:tr w:rsidR="0066049C" w14:paraId="3AE4C36F" w14:textId="77777777" w:rsidTr="00680230">
        <w:trPr>
          <w:trHeight w:val="340"/>
        </w:trPr>
        <w:tc>
          <w:tcPr>
            <w:tcW w:w="2263" w:type="dxa"/>
            <w:vAlign w:val="center"/>
          </w:tcPr>
          <w:p w14:paraId="4454BDF4" w14:textId="77777777" w:rsidR="0066049C" w:rsidRPr="00E856F5" w:rsidRDefault="0066049C" w:rsidP="00680230">
            <w:pPr>
              <w:rPr>
                <w:b/>
              </w:rPr>
            </w:pPr>
            <w:r>
              <w:rPr>
                <w:b/>
              </w:rPr>
              <w:t>Best Case (-20%)</w:t>
            </w:r>
          </w:p>
        </w:tc>
        <w:tc>
          <w:tcPr>
            <w:tcW w:w="1842" w:type="dxa"/>
            <w:vAlign w:val="center"/>
          </w:tcPr>
          <w:p w14:paraId="020817C1" w14:textId="77777777" w:rsidR="0066049C" w:rsidRDefault="0066049C" w:rsidP="00680230">
            <w:pPr>
              <w:jc w:val="center"/>
            </w:pPr>
            <w:r w:rsidRPr="0066049C">
              <w:t>$657 m</w:t>
            </w:r>
          </w:p>
        </w:tc>
        <w:tc>
          <w:tcPr>
            <w:tcW w:w="1843" w:type="dxa"/>
            <w:vAlign w:val="center"/>
          </w:tcPr>
          <w:p w14:paraId="0B83FFFD" w14:textId="77777777" w:rsidR="0066049C" w:rsidRDefault="0066049C" w:rsidP="00680230">
            <w:pPr>
              <w:jc w:val="center"/>
            </w:pPr>
            <w:r w:rsidRPr="0066049C">
              <w:t>$591 m</w:t>
            </w:r>
          </w:p>
        </w:tc>
        <w:tc>
          <w:tcPr>
            <w:tcW w:w="1843" w:type="dxa"/>
            <w:vAlign w:val="center"/>
          </w:tcPr>
          <w:p w14:paraId="62003B37" w14:textId="77777777" w:rsidR="0066049C" w:rsidRDefault="0066049C" w:rsidP="00680230">
            <w:pPr>
              <w:jc w:val="center"/>
            </w:pPr>
            <w:r w:rsidRPr="0066049C">
              <w:t>$1,042 m</w:t>
            </w:r>
          </w:p>
        </w:tc>
        <w:tc>
          <w:tcPr>
            <w:tcW w:w="1985" w:type="dxa"/>
            <w:vAlign w:val="center"/>
          </w:tcPr>
          <w:p w14:paraId="3DECA78E" w14:textId="77777777" w:rsidR="0066049C" w:rsidRDefault="0066049C" w:rsidP="00680230">
            <w:pPr>
              <w:jc w:val="center"/>
            </w:pPr>
            <w:r w:rsidRPr="0066049C">
              <w:t>$934 m</w:t>
            </w:r>
          </w:p>
        </w:tc>
      </w:tr>
    </w:tbl>
    <w:p w14:paraId="752A52C9" w14:textId="22425460" w:rsidR="00A8498D" w:rsidRDefault="00A8498D" w:rsidP="00F64C22">
      <w:pPr>
        <w:pStyle w:val="Caption"/>
        <w:keepNext/>
      </w:pPr>
      <w:bookmarkStart w:id="75" w:name="_Toc135320138"/>
      <w:r>
        <w:t xml:space="preserve">Table </w:t>
      </w:r>
      <w:r w:rsidR="00534814">
        <w:rPr>
          <w:noProof/>
        </w:rPr>
        <w:t>13</w:t>
      </w:r>
      <w:r w:rsidR="001C5C07">
        <w:t xml:space="preserve">: </w:t>
      </w:r>
      <w:r>
        <w:t>Impact of changes in fleet growth for heavy freight vehicles</w:t>
      </w:r>
      <w:r w:rsidR="006E727B" w:rsidRPr="006E727B">
        <w:t xml:space="preserve"> </w:t>
      </w:r>
      <w:r w:rsidR="006E727B">
        <w:t>on net benefits</w:t>
      </w:r>
      <w:bookmarkEnd w:id="75"/>
    </w:p>
    <w:tbl>
      <w:tblPr>
        <w:tblStyle w:val="TableGrid"/>
        <w:tblW w:w="0" w:type="auto"/>
        <w:tblLook w:val="04A0" w:firstRow="1" w:lastRow="0" w:firstColumn="1" w:lastColumn="0" w:noHBand="0" w:noVBand="1"/>
      </w:tblPr>
      <w:tblGrid>
        <w:gridCol w:w="1955"/>
        <w:gridCol w:w="1955"/>
        <w:gridCol w:w="1955"/>
        <w:gridCol w:w="1955"/>
        <w:gridCol w:w="1956"/>
      </w:tblGrid>
      <w:tr w:rsidR="00A8498D" w14:paraId="4FDEAE25" w14:textId="77777777" w:rsidTr="00680230">
        <w:trPr>
          <w:trHeight w:val="340"/>
        </w:trPr>
        <w:tc>
          <w:tcPr>
            <w:tcW w:w="1955" w:type="dxa"/>
            <w:shd w:val="clear" w:color="auto" w:fill="081E3E" w:themeFill="text2"/>
          </w:tcPr>
          <w:p w14:paraId="73B6E493" w14:textId="77777777" w:rsidR="00A8498D" w:rsidRPr="00731C0C" w:rsidRDefault="00A8498D" w:rsidP="009A7B0F">
            <w:pPr>
              <w:pStyle w:val="Table2heading"/>
              <w:jc w:val="left"/>
            </w:pPr>
            <w:r>
              <w:t>Net Benefits</w:t>
            </w:r>
          </w:p>
        </w:tc>
        <w:tc>
          <w:tcPr>
            <w:tcW w:w="1955" w:type="dxa"/>
            <w:shd w:val="clear" w:color="auto" w:fill="081E3E" w:themeFill="text2"/>
          </w:tcPr>
          <w:p w14:paraId="4A6BC979" w14:textId="77777777" w:rsidR="00A8498D" w:rsidRPr="00731C0C" w:rsidRDefault="00A8498D" w:rsidP="009A7B0F">
            <w:pPr>
              <w:pStyle w:val="Table2heading"/>
              <w:keepNext/>
            </w:pPr>
            <w:r w:rsidRPr="00731C0C">
              <w:t>Option 3.1a</w:t>
            </w:r>
          </w:p>
        </w:tc>
        <w:tc>
          <w:tcPr>
            <w:tcW w:w="1955" w:type="dxa"/>
            <w:shd w:val="clear" w:color="auto" w:fill="081E3E" w:themeFill="text2"/>
          </w:tcPr>
          <w:p w14:paraId="241CFA5B" w14:textId="77777777" w:rsidR="00A8498D" w:rsidRPr="00731C0C" w:rsidRDefault="00A8498D" w:rsidP="009A7B0F">
            <w:pPr>
              <w:pStyle w:val="Table2heading"/>
              <w:keepNext/>
            </w:pPr>
            <w:r w:rsidRPr="00731C0C">
              <w:t>Option 3.1b</w:t>
            </w:r>
          </w:p>
        </w:tc>
        <w:tc>
          <w:tcPr>
            <w:tcW w:w="1955" w:type="dxa"/>
            <w:shd w:val="clear" w:color="auto" w:fill="081E3E" w:themeFill="text2"/>
          </w:tcPr>
          <w:p w14:paraId="06BD2EE8" w14:textId="77777777" w:rsidR="00A8498D" w:rsidRPr="00731C0C" w:rsidRDefault="00A8498D" w:rsidP="009A7B0F">
            <w:pPr>
              <w:pStyle w:val="Table2heading"/>
              <w:keepNext/>
            </w:pPr>
            <w:r w:rsidRPr="00731C0C">
              <w:t>Option 3.2a</w:t>
            </w:r>
          </w:p>
        </w:tc>
        <w:tc>
          <w:tcPr>
            <w:tcW w:w="1956" w:type="dxa"/>
            <w:shd w:val="clear" w:color="auto" w:fill="081E3E" w:themeFill="text2"/>
          </w:tcPr>
          <w:p w14:paraId="22BD3673" w14:textId="77777777" w:rsidR="00A8498D" w:rsidRPr="00731C0C" w:rsidRDefault="00A8498D" w:rsidP="009A7B0F">
            <w:pPr>
              <w:pStyle w:val="Table2heading"/>
              <w:keepNext/>
            </w:pPr>
            <w:r w:rsidRPr="00731C0C">
              <w:t>Option 3.2b</w:t>
            </w:r>
          </w:p>
        </w:tc>
      </w:tr>
      <w:tr w:rsidR="00E46178" w14:paraId="0AAE2767" w14:textId="77777777" w:rsidTr="00714D3D">
        <w:trPr>
          <w:trHeight w:val="340"/>
        </w:trPr>
        <w:tc>
          <w:tcPr>
            <w:tcW w:w="1955" w:type="dxa"/>
            <w:vAlign w:val="center"/>
          </w:tcPr>
          <w:p w14:paraId="2CCBAF83" w14:textId="77777777" w:rsidR="00E46178" w:rsidRPr="00E856F5" w:rsidRDefault="00E46178" w:rsidP="00714D3D">
            <w:pPr>
              <w:rPr>
                <w:b/>
              </w:rPr>
            </w:pPr>
            <w:r>
              <w:rPr>
                <w:b/>
              </w:rPr>
              <w:t>Worst Case</w:t>
            </w:r>
          </w:p>
        </w:tc>
        <w:tc>
          <w:tcPr>
            <w:tcW w:w="1955" w:type="dxa"/>
            <w:vAlign w:val="center"/>
          </w:tcPr>
          <w:p w14:paraId="1D1907EA" w14:textId="77777777" w:rsidR="00E46178" w:rsidRDefault="00E46178" w:rsidP="00714D3D">
            <w:pPr>
              <w:jc w:val="center"/>
            </w:pPr>
            <w:r w:rsidRPr="0013553F">
              <w:t>$605</w:t>
            </w:r>
            <w:r>
              <w:t> m</w:t>
            </w:r>
          </w:p>
        </w:tc>
        <w:tc>
          <w:tcPr>
            <w:tcW w:w="1955" w:type="dxa"/>
            <w:vAlign w:val="center"/>
          </w:tcPr>
          <w:p w14:paraId="64514EE2" w14:textId="77777777" w:rsidR="00E46178" w:rsidRDefault="00E46178" w:rsidP="00714D3D">
            <w:pPr>
              <w:jc w:val="center"/>
            </w:pPr>
            <w:r w:rsidRPr="0013553F">
              <w:t>$544</w:t>
            </w:r>
            <w:r>
              <w:t> m</w:t>
            </w:r>
          </w:p>
        </w:tc>
        <w:tc>
          <w:tcPr>
            <w:tcW w:w="1955" w:type="dxa"/>
            <w:vAlign w:val="center"/>
          </w:tcPr>
          <w:p w14:paraId="1E4C1AC1" w14:textId="77777777" w:rsidR="00E46178" w:rsidRDefault="00E46178" w:rsidP="00714D3D">
            <w:pPr>
              <w:jc w:val="center"/>
            </w:pPr>
            <w:r w:rsidRPr="0013553F">
              <w:t>$955</w:t>
            </w:r>
            <w:r>
              <w:t> m</w:t>
            </w:r>
          </w:p>
        </w:tc>
        <w:tc>
          <w:tcPr>
            <w:tcW w:w="1956" w:type="dxa"/>
            <w:vAlign w:val="center"/>
          </w:tcPr>
          <w:p w14:paraId="68AB321B" w14:textId="77777777" w:rsidR="00E46178" w:rsidRDefault="00E46178" w:rsidP="00714D3D">
            <w:pPr>
              <w:jc w:val="center"/>
            </w:pPr>
            <w:r w:rsidRPr="0013553F">
              <w:t>$854</w:t>
            </w:r>
            <w:r>
              <w:t> m</w:t>
            </w:r>
          </w:p>
        </w:tc>
      </w:tr>
      <w:tr w:rsidR="0066049C" w14:paraId="7579607E" w14:textId="77777777" w:rsidTr="00714D3D">
        <w:trPr>
          <w:trHeight w:val="340"/>
        </w:trPr>
        <w:tc>
          <w:tcPr>
            <w:tcW w:w="1955" w:type="dxa"/>
            <w:vAlign w:val="center"/>
          </w:tcPr>
          <w:p w14:paraId="562A5BFB" w14:textId="77777777" w:rsidR="0066049C" w:rsidRPr="00E856F5" w:rsidRDefault="0066049C" w:rsidP="00714D3D">
            <w:pPr>
              <w:rPr>
                <w:b/>
              </w:rPr>
            </w:pPr>
            <w:r>
              <w:rPr>
                <w:b/>
              </w:rPr>
              <w:t>Main Analysis</w:t>
            </w:r>
          </w:p>
        </w:tc>
        <w:tc>
          <w:tcPr>
            <w:tcW w:w="1955" w:type="dxa"/>
            <w:vAlign w:val="center"/>
          </w:tcPr>
          <w:p w14:paraId="3217838D" w14:textId="77777777" w:rsidR="0066049C" w:rsidRDefault="0066049C" w:rsidP="00714D3D">
            <w:pPr>
              <w:jc w:val="center"/>
            </w:pPr>
            <w:r w:rsidRPr="0054194A">
              <w:t>$6</w:t>
            </w:r>
            <w:r>
              <w:t>5</w:t>
            </w:r>
            <w:r w:rsidRPr="0054194A">
              <w:t>4</w:t>
            </w:r>
            <w:r>
              <w:t> m</w:t>
            </w:r>
          </w:p>
        </w:tc>
        <w:tc>
          <w:tcPr>
            <w:tcW w:w="1955" w:type="dxa"/>
            <w:vAlign w:val="center"/>
          </w:tcPr>
          <w:p w14:paraId="4B1E8A1E" w14:textId="77777777" w:rsidR="0066049C" w:rsidRDefault="0066049C" w:rsidP="00714D3D">
            <w:pPr>
              <w:jc w:val="center"/>
            </w:pPr>
            <w:r w:rsidRPr="0054194A">
              <w:t>$588</w:t>
            </w:r>
            <w:r>
              <w:t> m</w:t>
            </w:r>
          </w:p>
        </w:tc>
        <w:tc>
          <w:tcPr>
            <w:tcW w:w="1955" w:type="dxa"/>
            <w:vAlign w:val="center"/>
          </w:tcPr>
          <w:p w14:paraId="6DA58F31" w14:textId="77777777" w:rsidR="0066049C" w:rsidRDefault="0066049C" w:rsidP="00714D3D">
            <w:pPr>
              <w:jc w:val="center"/>
            </w:pPr>
            <w:r w:rsidRPr="0054194A">
              <w:t>$</w:t>
            </w:r>
            <w:r>
              <w:t>1,038 m</w:t>
            </w:r>
          </w:p>
        </w:tc>
        <w:tc>
          <w:tcPr>
            <w:tcW w:w="1956" w:type="dxa"/>
            <w:vAlign w:val="center"/>
          </w:tcPr>
          <w:p w14:paraId="03733308" w14:textId="77777777" w:rsidR="0066049C" w:rsidRDefault="0066049C" w:rsidP="00714D3D">
            <w:pPr>
              <w:jc w:val="center"/>
            </w:pPr>
            <w:r w:rsidRPr="0054194A">
              <w:t>$931</w:t>
            </w:r>
            <w:r>
              <w:t> m</w:t>
            </w:r>
          </w:p>
        </w:tc>
      </w:tr>
      <w:tr w:rsidR="00653EE5" w14:paraId="14C8EAFD" w14:textId="77777777" w:rsidTr="00714D3D">
        <w:trPr>
          <w:trHeight w:val="340"/>
        </w:trPr>
        <w:tc>
          <w:tcPr>
            <w:tcW w:w="1955" w:type="dxa"/>
            <w:vAlign w:val="center"/>
          </w:tcPr>
          <w:p w14:paraId="4C77B084" w14:textId="77777777" w:rsidR="00653EE5" w:rsidRPr="00E856F5" w:rsidRDefault="00653EE5" w:rsidP="00714D3D">
            <w:pPr>
              <w:rPr>
                <w:b/>
              </w:rPr>
            </w:pPr>
            <w:r>
              <w:rPr>
                <w:b/>
              </w:rPr>
              <w:t>Best Case</w:t>
            </w:r>
          </w:p>
        </w:tc>
        <w:tc>
          <w:tcPr>
            <w:tcW w:w="1955" w:type="dxa"/>
            <w:vAlign w:val="center"/>
          </w:tcPr>
          <w:p w14:paraId="26BBA3C7" w14:textId="77777777" w:rsidR="00653EE5" w:rsidRDefault="00653EE5" w:rsidP="00714D3D">
            <w:pPr>
              <w:jc w:val="center"/>
            </w:pPr>
            <w:r w:rsidRPr="00851959">
              <w:t>$708</w:t>
            </w:r>
            <w:r>
              <w:t> m</w:t>
            </w:r>
          </w:p>
        </w:tc>
        <w:tc>
          <w:tcPr>
            <w:tcW w:w="1955" w:type="dxa"/>
            <w:vAlign w:val="center"/>
          </w:tcPr>
          <w:p w14:paraId="0786CB62" w14:textId="77777777" w:rsidR="00653EE5" w:rsidRDefault="00653EE5" w:rsidP="00714D3D">
            <w:pPr>
              <w:jc w:val="center"/>
            </w:pPr>
            <w:r w:rsidRPr="00851959">
              <w:t>$638</w:t>
            </w:r>
            <w:r>
              <w:t> m</w:t>
            </w:r>
          </w:p>
        </w:tc>
        <w:tc>
          <w:tcPr>
            <w:tcW w:w="1955" w:type="dxa"/>
            <w:vAlign w:val="center"/>
          </w:tcPr>
          <w:p w14:paraId="59352A05" w14:textId="77777777" w:rsidR="00653EE5" w:rsidRDefault="00653EE5" w:rsidP="00714D3D">
            <w:pPr>
              <w:jc w:val="center"/>
            </w:pPr>
            <w:r w:rsidRPr="00851959">
              <w:t>$1,131</w:t>
            </w:r>
            <w:r>
              <w:t> m</w:t>
            </w:r>
          </w:p>
        </w:tc>
        <w:tc>
          <w:tcPr>
            <w:tcW w:w="1956" w:type="dxa"/>
            <w:vAlign w:val="center"/>
          </w:tcPr>
          <w:p w14:paraId="6799DD3A" w14:textId="77777777" w:rsidR="00653EE5" w:rsidRDefault="00653EE5" w:rsidP="00714D3D">
            <w:pPr>
              <w:jc w:val="center"/>
            </w:pPr>
            <w:r w:rsidRPr="00851959">
              <w:t>$1,016</w:t>
            </w:r>
            <w:r>
              <w:t> m</w:t>
            </w:r>
          </w:p>
        </w:tc>
      </w:tr>
    </w:tbl>
    <w:p w14:paraId="7AEBBB7B" w14:textId="2DB168AC" w:rsidR="00D479B4" w:rsidRDefault="00D479B4" w:rsidP="00680230">
      <w:pPr>
        <w:pStyle w:val="Caption"/>
        <w:keepNext/>
      </w:pPr>
      <w:bookmarkStart w:id="76" w:name="_Toc135320139"/>
      <w:r>
        <w:t xml:space="preserve">Table </w:t>
      </w:r>
      <w:r w:rsidR="00534814">
        <w:rPr>
          <w:noProof/>
        </w:rPr>
        <w:t>14</w:t>
      </w:r>
      <w:r w:rsidR="00920065">
        <w:t xml:space="preserve">: </w:t>
      </w:r>
      <w:r>
        <w:t>Impact of changes in the cost of safety</w:t>
      </w:r>
      <w:r w:rsidR="008C56E5">
        <w:t xml:space="preserve"> systems or</w:t>
      </w:r>
      <w:r>
        <w:t xml:space="preserve"> features</w:t>
      </w:r>
      <w:r w:rsidR="006E727B" w:rsidRPr="006E727B">
        <w:t xml:space="preserve"> </w:t>
      </w:r>
      <w:r w:rsidR="006E727B">
        <w:t>on net benefits</w:t>
      </w:r>
      <w:bookmarkEnd w:id="76"/>
    </w:p>
    <w:tbl>
      <w:tblPr>
        <w:tblStyle w:val="TableGrid"/>
        <w:tblW w:w="0" w:type="auto"/>
        <w:tblLook w:val="04A0" w:firstRow="1" w:lastRow="0" w:firstColumn="1" w:lastColumn="0" w:noHBand="0" w:noVBand="1"/>
      </w:tblPr>
      <w:tblGrid>
        <w:gridCol w:w="1955"/>
        <w:gridCol w:w="1955"/>
        <w:gridCol w:w="1955"/>
        <w:gridCol w:w="1955"/>
        <w:gridCol w:w="1956"/>
      </w:tblGrid>
      <w:tr w:rsidR="00965007" w14:paraId="22CB5A35" w14:textId="77777777" w:rsidTr="00680230">
        <w:trPr>
          <w:trHeight w:val="340"/>
        </w:trPr>
        <w:tc>
          <w:tcPr>
            <w:tcW w:w="1955" w:type="dxa"/>
            <w:shd w:val="clear" w:color="auto" w:fill="081E3E" w:themeFill="text2"/>
            <w:vAlign w:val="center"/>
          </w:tcPr>
          <w:p w14:paraId="40845A24" w14:textId="77777777" w:rsidR="00965007" w:rsidRPr="00731C0C" w:rsidRDefault="00965007" w:rsidP="00680230">
            <w:pPr>
              <w:pStyle w:val="Table2heading"/>
              <w:jc w:val="left"/>
            </w:pPr>
            <w:r>
              <w:t>Net Benefits</w:t>
            </w:r>
          </w:p>
        </w:tc>
        <w:tc>
          <w:tcPr>
            <w:tcW w:w="1955" w:type="dxa"/>
            <w:shd w:val="clear" w:color="auto" w:fill="081E3E" w:themeFill="text2"/>
            <w:vAlign w:val="center"/>
          </w:tcPr>
          <w:p w14:paraId="3082E5AE" w14:textId="77777777" w:rsidR="00965007" w:rsidRPr="00731C0C" w:rsidRDefault="00965007" w:rsidP="00680230">
            <w:pPr>
              <w:pStyle w:val="Table2heading"/>
              <w:keepNext/>
            </w:pPr>
            <w:r w:rsidRPr="00731C0C">
              <w:t>Option 3.1a</w:t>
            </w:r>
          </w:p>
        </w:tc>
        <w:tc>
          <w:tcPr>
            <w:tcW w:w="1955" w:type="dxa"/>
            <w:shd w:val="clear" w:color="auto" w:fill="081E3E" w:themeFill="text2"/>
            <w:vAlign w:val="center"/>
          </w:tcPr>
          <w:p w14:paraId="28B20C72" w14:textId="77777777" w:rsidR="00965007" w:rsidRPr="00731C0C" w:rsidRDefault="00965007" w:rsidP="00680230">
            <w:pPr>
              <w:pStyle w:val="Table2heading"/>
              <w:keepNext/>
            </w:pPr>
            <w:r w:rsidRPr="00731C0C">
              <w:t>Option 3.1b</w:t>
            </w:r>
          </w:p>
        </w:tc>
        <w:tc>
          <w:tcPr>
            <w:tcW w:w="1955" w:type="dxa"/>
            <w:shd w:val="clear" w:color="auto" w:fill="081E3E" w:themeFill="text2"/>
            <w:vAlign w:val="center"/>
          </w:tcPr>
          <w:p w14:paraId="519428C9" w14:textId="77777777" w:rsidR="00965007" w:rsidRPr="00731C0C" w:rsidRDefault="00965007" w:rsidP="00680230">
            <w:pPr>
              <w:pStyle w:val="Table2heading"/>
              <w:keepNext/>
            </w:pPr>
            <w:r w:rsidRPr="00731C0C">
              <w:t>Option 3.2a</w:t>
            </w:r>
          </w:p>
        </w:tc>
        <w:tc>
          <w:tcPr>
            <w:tcW w:w="1956" w:type="dxa"/>
            <w:shd w:val="clear" w:color="auto" w:fill="081E3E" w:themeFill="text2"/>
            <w:vAlign w:val="center"/>
          </w:tcPr>
          <w:p w14:paraId="3BED89C7" w14:textId="77777777" w:rsidR="00965007" w:rsidRPr="00731C0C" w:rsidRDefault="00965007" w:rsidP="00680230">
            <w:pPr>
              <w:pStyle w:val="Table2heading"/>
              <w:keepNext/>
            </w:pPr>
            <w:r w:rsidRPr="00731C0C">
              <w:t>Option 3.2b</w:t>
            </w:r>
          </w:p>
        </w:tc>
      </w:tr>
      <w:tr w:rsidR="00654C75" w14:paraId="20C55582" w14:textId="77777777" w:rsidTr="00680230">
        <w:trPr>
          <w:trHeight w:val="340"/>
        </w:trPr>
        <w:tc>
          <w:tcPr>
            <w:tcW w:w="1955" w:type="dxa"/>
            <w:vAlign w:val="center"/>
          </w:tcPr>
          <w:p w14:paraId="6E505E98" w14:textId="77777777" w:rsidR="00654C75" w:rsidRPr="00E856F5" w:rsidRDefault="00654C75" w:rsidP="00680230">
            <w:pPr>
              <w:rPr>
                <w:b/>
              </w:rPr>
            </w:pPr>
            <w:r>
              <w:rPr>
                <w:b/>
              </w:rPr>
              <w:t>Worst Case (+20%)</w:t>
            </w:r>
          </w:p>
        </w:tc>
        <w:tc>
          <w:tcPr>
            <w:tcW w:w="1955" w:type="dxa"/>
            <w:vAlign w:val="center"/>
          </w:tcPr>
          <w:p w14:paraId="1C49E807" w14:textId="77777777" w:rsidR="00654C75" w:rsidRDefault="00654C75" w:rsidP="00680230">
            <w:pPr>
              <w:jc w:val="center"/>
            </w:pPr>
            <w:r w:rsidRPr="002B44A7">
              <w:t>$579 m</w:t>
            </w:r>
          </w:p>
        </w:tc>
        <w:tc>
          <w:tcPr>
            <w:tcW w:w="1955" w:type="dxa"/>
            <w:vAlign w:val="center"/>
          </w:tcPr>
          <w:p w14:paraId="5A57234B" w14:textId="77777777" w:rsidR="00654C75" w:rsidRDefault="00654C75" w:rsidP="00680230">
            <w:pPr>
              <w:jc w:val="center"/>
            </w:pPr>
            <w:r w:rsidRPr="002B44A7">
              <w:t>$521 m</w:t>
            </w:r>
          </w:p>
        </w:tc>
        <w:tc>
          <w:tcPr>
            <w:tcW w:w="1955" w:type="dxa"/>
            <w:vAlign w:val="center"/>
          </w:tcPr>
          <w:p w14:paraId="5BF1CA6A" w14:textId="77777777" w:rsidR="00654C75" w:rsidRDefault="00654C75" w:rsidP="00680230">
            <w:pPr>
              <w:jc w:val="center"/>
            </w:pPr>
            <w:r w:rsidRPr="002B44A7">
              <w:t>$964 m</w:t>
            </w:r>
          </w:p>
        </w:tc>
        <w:tc>
          <w:tcPr>
            <w:tcW w:w="1956" w:type="dxa"/>
            <w:vAlign w:val="center"/>
          </w:tcPr>
          <w:p w14:paraId="65EF1A00" w14:textId="77777777" w:rsidR="00654C75" w:rsidRDefault="00654C75" w:rsidP="00680230">
            <w:pPr>
              <w:jc w:val="center"/>
            </w:pPr>
            <w:r w:rsidRPr="002B44A7">
              <w:t>$864 m</w:t>
            </w:r>
          </w:p>
        </w:tc>
      </w:tr>
      <w:tr w:rsidR="0066049C" w14:paraId="6CDDF42A" w14:textId="77777777" w:rsidTr="00680230">
        <w:trPr>
          <w:trHeight w:val="340"/>
        </w:trPr>
        <w:tc>
          <w:tcPr>
            <w:tcW w:w="1955" w:type="dxa"/>
            <w:vAlign w:val="center"/>
          </w:tcPr>
          <w:p w14:paraId="4D6E1818" w14:textId="77777777" w:rsidR="0066049C" w:rsidRPr="00E856F5" w:rsidRDefault="0066049C" w:rsidP="00680230">
            <w:pPr>
              <w:rPr>
                <w:b/>
              </w:rPr>
            </w:pPr>
            <w:r>
              <w:rPr>
                <w:b/>
              </w:rPr>
              <w:t>Main Analysis</w:t>
            </w:r>
          </w:p>
        </w:tc>
        <w:tc>
          <w:tcPr>
            <w:tcW w:w="1955" w:type="dxa"/>
            <w:vAlign w:val="center"/>
          </w:tcPr>
          <w:p w14:paraId="139F2F95" w14:textId="77777777" w:rsidR="0066049C" w:rsidRDefault="0066049C" w:rsidP="00680230">
            <w:pPr>
              <w:jc w:val="center"/>
            </w:pPr>
            <w:r w:rsidRPr="0054194A">
              <w:t>$6</w:t>
            </w:r>
            <w:r>
              <w:t>5</w:t>
            </w:r>
            <w:r w:rsidRPr="0054194A">
              <w:t>4</w:t>
            </w:r>
            <w:r>
              <w:t> m</w:t>
            </w:r>
          </w:p>
        </w:tc>
        <w:tc>
          <w:tcPr>
            <w:tcW w:w="1955" w:type="dxa"/>
            <w:vAlign w:val="center"/>
          </w:tcPr>
          <w:p w14:paraId="5CF118F4" w14:textId="77777777" w:rsidR="0066049C" w:rsidRPr="00283BF1" w:rsidRDefault="0066049C" w:rsidP="00680230">
            <w:pPr>
              <w:jc w:val="center"/>
            </w:pPr>
            <w:r w:rsidRPr="0054194A">
              <w:t>$588</w:t>
            </w:r>
            <w:r>
              <w:t> m</w:t>
            </w:r>
          </w:p>
        </w:tc>
        <w:tc>
          <w:tcPr>
            <w:tcW w:w="1955" w:type="dxa"/>
            <w:vAlign w:val="center"/>
          </w:tcPr>
          <w:p w14:paraId="285740D4" w14:textId="77777777" w:rsidR="0066049C" w:rsidRPr="00283BF1" w:rsidRDefault="0066049C" w:rsidP="00680230">
            <w:pPr>
              <w:jc w:val="center"/>
            </w:pPr>
            <w:r w:rsidRPr="0054194A">
              <w:t>$</w:t>
            </w:r>
            <w:r>
              <w:t>1,038 m</w:t>
            </w:r>
          </w:p>
        </w:tc>
        <w:tc>
          <w:tcPr>
            <w:tcW w:w="1956" w:type="dxa"/>
            <w:vAlign w:val="center"/>
          </w:tcPr>
          <w:p w14:paraId="365EC5FB" w14:textId="77777777" w:rsidR="0066049C" w:rsidRPr="00283BF1" w:rsidRDefault="0066049C" w:rsidP="00680230">
            <w:pPr>
              <w:jc w:val="center"/>
            </w:pPr>
            <w:r w:rsidRPr="0054194A">
              <w:t>$931</w:t>
            </w:r>
            <w:r>
              <w:t> m</w:t>
            </w:r>
          </w:p>
        </w:tc>
      </w:tr>
      <w:tr w:rsidR="00654C75" w14:paraId="454A9F6B" w14:textId="77777777" w:rsidTr="00680230">
        <w:trPr>
          <w:trHeight w:val="340"/>
        </w:trPr>
        <w:tc>
          <w:tcPr>
            <w:tcW w:w="1955" w:type="dxa"/>
            <w:vAlign w:val="center"/>
          </w:tcPr>
          <w:p w14:paraId="19ECE220" w14:textId="77777777" w:rsidR="00654C75" w:rsidRPr="00E856F5" w:rsidRDefault="00654C75" w:rsidP="00680230">
            <w:pPr>
              <w:rPr>
                <w:b/>
              </w:rPr>
            </w:pPr>
            <w:r>
              <w:rPr>
                <w:b/>
              </w:rPr>
              <w:t>Best Case (-20%)</w:t>
            </w:r>
          </w:p>
        </w:tc>
        <w:tc>
          <w:tcPr>
            <w:tcW w:w="1955" w:type="dxa"/>
            <w:vAlign w:val="center"/>
          </w:tcPr>
          <w:p w14:paraId="2FABAAA3" w14:textId="77777777" w:rsidR="00654C75" w:rsidRDefault="00654C75" w:rsidP="00680230">
            <w:pPr>
              <w:jc w:val="center"/>
            </w:pPr>
            <w:r w:rsidRPr="002B44A7">
              <w:t>$728 m</w:t>
            </w:r>
          </w:p>
        </w:tc>
        <w:tc>
          <w:tcPr>
            <w:tcW w:w="1955" w:type="dxa"/>
            <w:vAlign w:val="center"/>
          </w:tcPr>
          <w:p w14:paraId="67BDEDDA" w14:textId="77777777" w:rsidR="00654C75" w:rsidRPr="00283BF1" w:rsidRDefault="00654C75" w:rsidP="00680230">
            <w:pPr>
              <w:jc w:val="center"/>
            </w:pPr>
            <w:r w:rsidRPr="002B44A7">
              <w:t>$655 m</w:t>
            </w:r>
          </w:p>
        </w:tc>
        <w:tc>
          <w:tcPr>
            <w:tcW w:w="1955" w:type="dxa"/>
            <w:vAlign w:val="center"/>
          </w:tcPr>
          <w:p w14:paraId="7C5ABEB3" w14:textId="77777777" w:rsidR="00654C75" w:rsidRPr="00283BF1" w:rsidRDefault="00654C75" w:rsidP="00680230">
            <w:pPr>
              <w:jc w:val="center"/>
            </w:pPr>
            <w:r w:rsidRPr="002B44A7">
              <w:t>$1,113 m</w:t>
            </w:r>
          </w:p>
        </w:tc>
        <w:tc>
          <w:tcPr>
            <w:tcW w:w="1956" w:type="dxa"/>
            <w:vAlign w:val="center"/>
          </w:tcPr>
          <w:p w14:paraId="4052D88E" w14:textId="77777777" w:rsidR="00654C75" w:rsidRPr="00283BF1" w:rsidRDefault="00654C75" w:rsidP="00680230">
            <w:pPr>
              <w:jc w:val="center"/>
            </w:pPr>
            <w:r w:rsidRPr="002B44A7">
              <w:t>$998 m</w:t>
            </w:r>
          </w:p>
        </w:tc>
      </w:tr>
    </w:tbl>
    <w:p w14:paraId="5AD2B1EC" w14:textId="7511CD0E" w:rsidR="00965007" w:rsidRDefault="00965007" w:rsidP="000B5EFA">
      <w:pPr>
        <w:pStyle w:val="Caption"/>
        <w:keepNext/>
      </w:pPr>
      <w:bookmarkStart w:id="77" w:name="_Toc135320140"/>
      <w:r>
        <w:t xml:space="preserve">Table </w:t>
      </w:r>
      <w:r w:rsidR="00534814">
        <w:rPr>
          <w:noProof/>
        </w:rPr>
        <w:t>15</w:t>
      </w:r>
      <w:r>
        <w:t>:</w:t>
      </w:r>
      <w:r w:rsidR="001C5C07">
        <w:t xml:space="preserve"> </w:t>
      </w:r>
      <w:r>
        <w:t xml:space="preserve">Impact of changes in the effectiveness of safety </w:t>
      </w:r>
      <w:r w:rsidR="008C56E5">
        <w:t xml:space="preserve">systems or </w:t>
      </w:r>
      <w:r>
        <w:t>features</w:t>
      </w:r>
      <w:r w:rsidR="006E727B" w:rsidRPr="006E727B">
        <w:t xml:space="preserve"> </w:t>
      </w:r>
      <w:r w:rsidR="006E727B">
        <w:t>on net benefits</w:t>
      </w:r>
      <w:bookmarkEnd w:id="77"/>
    </w:p>
    <w:tbl>
      <w:tblPr>
        <w:tblStyle w:val="TableGrid"/>
        <w:tblW w:w="0" w:type="auto"/>
        <w:tblLook w:val="04A0" w:firstRow="1" w:lastRow="0" w:firstColumn="1" w:lastColumn="0" w:noHBand="0" w:noVBand="1"/>
      </w:tblPr>
      <w:tblGrid>
        <w:gridCol w:w="1955"/>
        <w:gridCol w:w="1955"/>
        <w:gridCol w:w="1955"/>
        <w:gridCol w:w="1955"/>
        <w:gridCol w:w="1956"/>
      </w:tblGrid>
      <w:tr w:rsidR="00965007" w14:paraId="2ECD7032" w14:textId="77777777" w:rsidTr="00680230">
        <w:trPr>
          <w:trHeight w:val="340"/>
        </w:trPr>
        <w:tc>
          <w:tcPr>
            <w:tcW w:w="1955" w:type="dxa"/>
            <w:shd w:val="clear" w:color="auto" w:fill="081E3E" w:themeFill="text2"/>
            <w:vAlign w:val="center"/>
          </w:tcPr>
          <w:p w14:paraId="600093B5" w14:textId="77777777" w:rsidR="00965007" w:rsidRPr="00731C0C" w:rsidRDefault="00965007" w:rsidP="00680230">
            <w:pPr>
              <w:pStyle w:val="Table2heading"/>
              <w:jc w:val="left"/>
            </w:pPr>
            <w:r>
              <w:t>Net Benefits</w:t>
            </w:r>
          </w:p>
        </w:tc>
        <w:tc>
          <w:tcPr>
            <w:tcW w:w="1955" w:type="dxa"/>
            <w:shd w:val="clear" w:color="auto" w:fill="081E3E" w:themeFill="text2"/>
            <w:vAlign w:val="center"/>
          </w:tcPr>
          <w:p w14:paraId="112F72F4" w14:textId="77777777" w:rsidR="00965007" w:rsidRPr="00731C0C" w:rsidRDefault="00965007" w:rsidP="00680230">
            <w:pPr>
              <w:pStyle w:val="Table2heading"/>
              <w:keepNext/>
            </w:pPr>
            <w:r w:rsidRPr="00731C0C">
              <w:t>Option 3.1a</w:t>
            </w:r>
          </w:p>
        </w:tc>
        <w:tc>
          <w:tcPr>
            <w:tcW w:w="1955" w:type="dxa"/>
            <w:shd w:val="clear" w:color="auto" w:fill="081E3E" w:themeFill="text2"/>
            <w:vAlign w:val="center"/>
          </w:tcPr>
          <w:p w14:paraId="6459B934" w14:textId="77777777" w:rsidR="00965007" w:rsidRPr="00731C0C" w:rsidRDefault="00965007" w:rsidP="00680230">
            <w:pPr>
              <w:pStyle w:val="Table2heading"/>
              <w:keepNext/>
            </w:pPr>
            <w:r w:rsidRPr="00731C0C">
              <w:t>Option 3.1b</w:t>
            </w:r>
          </w:p>
        </w:tc>
        <w:tc>
          <w:tcPr>
            <w:tcW w:w="1955" w:type="dxa"/>
            <w:shd w:val="clear" w:color="auto" w:fill="081E3E" w:themeFill="text2"/>
            <w:vAlign w:val="center"/>
          </w:tcPr>
          <w:p w14:paraId="6122F36E" w14:textId="77777777" w:rsidR="00965007" w:rsidRPr="00731C0C" w:rsidRDefault="00965007" w:rsidP="00680230">
            <w:pPr>
              <w:pStyle w:val="Table2heading"/>
              <w:keepNext/>
            </w:pPr>
            <w:r w:rsidRPr="00731C0C">
              <w:t>Option 3.2a</w:t>
            </w:r>
          </w:p>
        </w:tc>
        <w:tc>
          <w:tcPr>
            <w:tcW w:w="1956" w:type="dxa"/>
            <w:shd w:val="clear" w:color="auto" w:fill="081E3E" w:themeFill="text2"/>
            <w:vAlign w:val="center"/>
          </w:tcPr>
          <w:p w14:paraId="14E1A040" w14:textId="77777777" w:rsidR="00965007" w:rsidRPr="00731C0C" w:rsidRDefault="00965007" w:rsidP="00680230">
            <w:pPr>
              <w:pStyle w:val="Table2heading"/>
              <w:keepNext/>
            </w:pPr>
            <w:r w:rsidRPr="00731C0C">
              <w:t>Option 3.2b</w:t>
            </w:r>
          </w:p>
        </w:tc>
      </w:tr>
      <w:tr w:rsidR="002B44A7" w14:paraId="566CC993" w14:textId="77777777" w:rsidTr="00680230">
        <w:trPr>
          <w:trHeight w:val="340"/>
        </w:trPr>
        <w:tc>
          <w:tcPr>
            <w:tcW w:w="1955" w:type="dxa"/>
            <w:vAlign w:val="center"/>
          </w:tcPr>
          <w:p w14:paraId="1A5609CE" w14:textId="77777777" w:rsidR="002B44A7" w:rsidRPr="00E856F5" w:rsidRDefault="002B44A7" w:rsidP="00680230">
            <w:pPr>
              <w:rPr>
                <w:b/>
              </w:rPr>
            </w:pPr>
            <w:r>
              <w:rPr>
                <w:b/>
              </w:rPr>
              <w:t>Worst Case (-20%)</w:t>
            </w:r>
          </w:p>
        </w:tc>
        <w:tc>
          <w:tcPr>
            <w:tcW w:w="1955" w:type="dxa"/>
            <w:vAlign w:val="center"/>
          </w:tcPr>
          <w:p w14:paraId="71C2DCEE" w14:textId="77777777" w:rsidR="002B44A7" w:rsidRDefault="002B44A7" w:rsidP="00680230">
            <w:pPr>
              <w:jc w:val="center"/>
            </w:pPr>
            <w:r w:rsidRPr="002B44A7">
              <w:t>$545 m</w:t>
            </w:r>
          </w:p>
        </w:tc>
        <w:tc>
          <w:tcPr>
            <w:tcW w:w="1955" w:type="dxa"/>
            <w:vAlign w:val="center"/>
          </w:tcPr>
          <w:p w14:paraId="5BA28009" w14:textId="77777777" w:rsidR="002B44A7" w:rsidRDefault="002B44A7" w:rsidP="00680230">
            <w:pPr>
              <w:jc w:val="center"/>
            </w:pPr>
            <w:r w:rsidRPr="002B44A7">
              <w:t>$491 m</w:t>
            </w:r>
          </w:p>
        </w:tc>
        <w:tc>
          <w:tcPr>
            <w:tcW w:w="1955" w:type="dxa"/>
            <w:vAlign w:val="center"/>
          </w:tcPr>
          <w:p w14:paraId="0416B091" w14:textId="77777777" w:rsidR="002B44A7" w:rsidRDefault="002B44A7" w:rsidP="00680230">
            <w:pPr>
              <w:jc w:val="center"/>
            </w:pPr>
            <w:r w:rsidRPr="002B44A7">
              <w:t>$933 m</w:t>
            </w:r>
          </w:p>
        </w:tc>
        <w:tc>
          <w:tcPr>
            <w:tcW w:w="1956" w:type="dxa"/>
            <w:vAlign w:val="center"/>
          </w:tcPr>
          <w:p w14:paraId="75804F3D" w14:textId="77777777" w:rsidR="002B44A7" w:rsidRDefault="002B44A7" w:rsidP="00680230">
            <w:pPr>
              <w:jc w:val="center"/>
            </w:pPr>
            <w:r w:rsidRPr="002B44A7">
              <w:t>$836 m</w:t>
            </w:r>
          </w:p>
        </w:tc>
      </w:tr>
      <w:tr w:rsidR="0066049C" w14:paraId="5C3CC6D0" w14:textId="77777777" w:rsidTr="00680230">
        <w:trPr>
          <w:trHeight w:val="340"/>
        </w:trPr>
        <w:tc>
          <w:tcPr>
            <w:tcW w:w="1955" w:type="dxa"/>
            <w:vAlign w:val="center"/>
          </w:tcPr>
          <w:p w14:paraId="267DF454" w14:textId="77777777" w:rsidR="0066049C" w:rsidRPr="00E856F5" w:rsidRDefault="0066049C" w:rsidP="00680230">
            <w:pPr>
              <w:rPr>
                <w:b/>
              </w:rPr>
            </w:pPr>
            <w:r>
              <w:rPr>
                <w:b/>
              </w:rPr>
              <w:t>Main Analysis</w:t>
            </w:r>
          </w:p>
        </w:tc>
        <w:tc>
          <w:tcPr>
            <w:tcW w:w="1955" w:type="dxa"/>
            <w:vAlign w:val="center"/>
          </w:tcPr>
          <w:p w14:paraId="491311E2" w14:textId="77777777" w:rsidR="0066049C" w:rsidRDefault="0066049C" w:rsidP="00680230">
            <w:pPr>
              <w:jc w:val="center"/>
            </w:pPr>
            <w:r w:rsidRPr="0054194A">
              <w:t>$6</w:t>
            </w:r>
            <w:r>
              <w:t>5</w:t>
            </w:r>
            <w:r w:rsidRPr="0054194A">
              <w:t>4</w:t>
            </w:r>
            <w:r>
              <w:t> m</w:t>
            </w:r>
          </w:p>
        </w:tc>
        <w:tc>
          <w:tcPr>
            <w:tcW w:w="1955" w:type="dxa"/>
            <w:vAlign w:val="center"/>
          </w:tcPr>
          <w:p w14:paraId="7BA1DCFF" w14:textId="77777777" w:rsidR="0066049C" w:rsidRDefault="0066049C" w:rsidP="00680230">
            <w:pPr>
              <w:jc w:val="center"/>
            </w:pPr>
            <w:r w:rsidRPr="0054194A">
              <w:t>$588</w:t>
            </w:r>
            <w:r>
              <w:t> m</w:t>
            </w:r>
          </w:p>
        </w:tc>
        <w:tc>
          <w:tcPr>
            <w:tcW w:w="1955" w:type="dxa"/>
            <w:vAlign w:val="center"/>
          </w:tcPr>
          <w:p w14:paraId="0BA810EF" w14:textId="77777777" w:rsidR="0066049C" w:rsidRDefault="0066049C" w:rsidP="00680230">
            <w:pPr>
              <w:jc w:val="center"/>
            </w:pPr>
            <w:r w:rsidRPr="0054194A">
              <w:t>$</w:t>
            </w:r>
            <w:r>
              <w:t>1,038 m</w:t>
            </w:r>
          </w:p>
        </w:tc>
        <w:tc>
          <w:tcPr>
            <w:tcW w:w="1956" w:type="dxa"/>
            <w:vAlign w:val="center"/>
          </w:tcPr>
          <w:p w14:paraId="499E62B0" w14:textId="77777777" w:rsidR="0066049C" w:rsidRDefault="0066049C" w:rsidP="00680230">
            <w:pPr>
              <w:jc w:val="center"/>
            </w:pPr>
            <w:r w:rsidRPr="0054194A">
              <w:t>$931</w:t>
            </w:r>
            <w:r>
              <w:t> m</w:t>
            </w:r>
          </w:p>
        </w:tc>
      </w:tr>
      <w:tr w:rsidR="002B44A7" w14:paraId="07328C09" w14:textId="77777777" w:rsidTr="00680230">
        <w:trPr>
          <w:trHeight w:val="340"/>
        </w:trPr>
        <w:tc>
          <w:tcPr>
            <w:tcW w:w="1955" w:type="dxa"/>
            <w:vAlign w:val="center"/>
          </w:tcPr>
          <w:p w14:paraId="22A40157" w14:textId="77777777" w:rsidR="002B44A7" w:rsidRPr="00E856F5" w:rsidRDefault="002B44A7" w:rsidP="00680230">
            <w:pPr>
              <w:rPr>
                <w:b/>
              </w:rPr>
            </w:pPr>
            <w:r>
              <w:rPr>
                <w:b/>
              </w:rPr>
              <w:t>Best Case (+20%)</w:t>
            </w:r>
          </w:p>
        </w:tc>
        <w:tc>
          <w:tcPr>
            <w:tcW w:w="1955" w:type="dxa"/>
            <w:vAlign w:val="center"/>
          </w:tcPr>
          <w:p w14:paraId="08D4300A" w14:textId="77777777" w:rsidR="002B44A7" w:rsidRDefault="002B44A7" w:rsidP="00680230">
            <w:pPr>
              <w:jc w:val="center"/>
            </w:pPr>
            <w:r w:rsidRPr="002B44A7">
              <w:t>$762 m</w:t>
            </w:r>
          </w:p>
        </w:tc>
        <w:tc>
          <w:tcPr>
            <w:tcW w:w="1955" w:type="dxa"/>
            <w:vAlign w:val="center"/>
          </w:tcPr>
          <w:p w14:paraId="4F43A368" w14:textId="77777777" w:rsidR="002B44A7" w:rsidRDefault="002B44A7" w:rsidP="00680230">
            <w:pPr>
              <w:jc w:val="center"/>
            </w:pPr>
            <w:r w:rsidRPr="002B44A7">
              <w:t>$686 m</w:t>
            </w:r>
          </w:p>
        </w:tc>
        <w:tc>
          <w:tcPr>
            <w:tcW w:w="1955" w:type="dxa"/>
            <w:vAlign w:val="center"/>
          </w:tcPr>
          <w:p w14:paraId="70E0BA53" w14:textId="77777777" w:rsidR="002B44A7" w:rsidRDefault="002B44A7" w:rsidP="00680230">
            <w:pPr>
              <w:jc w:val="center"/>
            </w:pPr>
            <w:r w:rsidRPr="002B44A7">
              <w:t>$1,144 m</w:t>
            </w:r>
          </w:p>
        </w:tc>
        <w:tc>
          <w:tcPr>
            <w:tcW w:w="1956" w:type="dxa"/>
            <w:vAlign w:val="center"/>
          </w:tcPr>
          <w:p w14:paraId="7858F16B" w14:textId="77777777" w:rsidR="002B44A7" w:rsidRDefault="002B44A7" w:rsidP="00680230">
            <w:pPr>
              <w:jc w:val="center"/>
            </w:pPr>
            <w:r w:rsidRPr="002B44A7">
              <w:t>$1,026 m</w:t>
            </w:r>
          </w:p>
        </w:tc>
      </w:tr>
    </w:tbl>
    <w:p w14:paraId="3932F9FB" w14:textId="03492E09" w:rsidR="00744DB3" w:rsidRDefault="00744DB3" w:rsidP="00744DB3">
      <w:pPr>
        <w:pStyle w:val="Caption"/>
        <w:keepNext/>
      </w:pPr>
      <w:bookmarkStart w:id="78" w:name="_Toc135320141"/>
      <w:r>
        <w:t xml:space="preserve">Table </w:t>
      </w:r>
      <w:r w:rsidR="00534814">
        <w:rPr>
          <w:noProof/>
        </w:rPr>
        <w:t>16</w:t>
      </w:r>
      <w:r>
        <w:t>:</w:t>
      </w:r>
      <w:r w:rsidR="001C5C07">
        <w:t xml:space="preserve"> </w:t>
      </w:r>
      <w:r>
        <w:t xml:space="preserve">Impact of changes in </w:t>
      </w:r>
      <w:r w:rsidR="00236D0A">
        <w:t>frontal impact and rollover crash risk for wider vehicles</w:t>
      </w:r>
      <w:r w:rsidR="006E727B" w:rsidRPr="006E727B">
        <w:t xml:space="preserve"> </w:t>
      </w:r>
      <w:r w:rsidR="006E727B">
        <w:t>on net benefits</w:t>
      </w:r>
      <w:bookmarkEnd w:id="78"/>
    </w:p>
    <w:tbl>
      <w:tblPr>
        <w:tblStyle w:val="TableGrid"/>
        <w:tblW w:w="0" w:type="auto"/>
        <w:tblLook w:val="04A0" w:firstRow="1" w:lastRow="0" w:firstColumn="1" w:lastColumn="0" w:noHBand="0" w:noVBand="1"/>
      </w:tblPr>
      <w:tblGrid>
        <w:gridCol w:w="1955"/>
        <w:gridCol w:w="1955"/>
        <w:gridCol w:w="1955"/>
        <w:gridCol w:w="1955"/>
        <w:gridCol w:w="1956"/>
      </w:tblGrid>
      <w:tr w:rsidR="00965007" w14:paraId="5618A65E" w14:textId="77777777" w:rsidTr="00680230">
        <w:trPr>
          <w:trHeight w:val="340"/>
        </w:trPr>
        <w:tc>
          <w:tcPr>
            <w:tcW w:w="1955" w:type="dxa"/>
            <w:shd w:val="clear" w:color="auto" w:fill="081E3E" w:themeFill="text2"/>
            <w:vAlign w:val="center"/>
          </w:tcPr>
          <w:p w14:paraId="73ACDB50" w14:textId="77777777" w:rsidR="00965007" w:rsidRPr="00731C0C" w:rsidRDefault="00965007" w:rsidP="00680230">
            <w:pPr>
              <w:pStyle w:val="Table2heading"/>
              <w:jc w:val="left"/>
            </w:pPr>
            <w:r>
              <w:t>Net Benefits</w:t>
            </w:r>
          </w:p>
        </w:tc>
        <w:tc>
          <w:tcPr>
            <w:tcW w:w="1955" w:type="dxa"/>
            <w:shd w:val="clear" w:color="auto" w:fill="081E3E" w:themeFill="text2"/>
            <w:vAlign w:val="center"/>
          </w:tcPr>
          <w:p w14:paraId="496670B1" w14:textId="77777777" w:rsidR="00965007" w:rsidRPr="00731C0C" w:rsidRDefault="00965007" w:rsidP="00680230">
            <w:pPr>
              <w:pStyle w:val="Table2heading"/>
              <w:keepNext/>
            </w:pPr>
            <w:r w:rsidRPr="00731C0C">
              <w:t>Option 3.1a</w:t>
            </w:r>
          </w:p>
        </w:tc>
        <w:tc>
          <w:tcPr>
            <w:tcW w:w="1955" w:type="dxa"/>
            <w:shd w:val="clear" w:color="auto" w:fill="081E3E" w:themeFill="text2"/>
            <w:vAlign w:val="center"/>
          </w:tcPr>
          <w:p w14:paraId="79FE0E0A" w14:textId="77777777" w:rsidR="00965007" w:rsidRPr="00731C0C" w:rsidRDefault="00965007" w:rsidP="00680230">
            <w:pPr>
              <w:pStyle w:val="Table2heading"/>
              <w:keepNext/>
            </w:pPr>
            <w:r w:rsidRPr="00731C0C">
              <w:t>Option 3.1b</w:t>
            </w:r>
          </w:p>
        </w:tc>
        <w:tc>
          <w:tcPr>
            <w:tcW w:w="1955" w:type="dxa"/>
            <w:shd w:val="clear" w:color="auto" w:fill="081E3E" w:themeFill="text2"/>
            <w:vAlign w:val="center"/>
          </w:tcPr>
          <w:p w14:paraId="226D8A60" w14:textId="77777777" w:rsidR="00965007" w:rsidRPr="00731C0C" w:rsidRDefault="00965007" w:rsidP="00680230">
            <w:pPr>
              <w:pStyle w:val="Table2heading"/>
              <w:keepNext/>
            </w:pPr>
            <w:r w:rsidRPr="00731C0C">
              <w:t>Option 3.2a</w:t>
            </w:r>
          </w:p>
        </w:tc>
        <w:tc>
          <w:tcPr>
            <w:tcW w:w="1956" w:type="dxa"/>
            <w:shd w:val="clear" w:color="auto" w:fill="081E3E" w:themeFill="text2"/>
            <w:vAlign w:val="center"/>
          </w:tcPr>
          <w:p w14:paraId="5F623859" w14:textId="77777777" w:rsidR="00965007" w:rsidRPr="00731C0C" w:rsidRDefault="00965007" w:rsidP="00680230">
            <w:pPr>
              <w:pStyle w:val="Table2heading"/>
              <w:keepNext/>
            </w:pPr>
            <w:r w:rsidRPr="00731C0C">
              <w:t>Option 3.2b</w:t>
            </w:r>
          </w:p>
        </w:tc>
      </w:tr>
      <w:tr w:rsidR="0070501A" w14:paraId="136292DE" w14:textId="77777777" w:rsidTr="00680230">
        <w:trPr>
          <w:trHeight w:val="340"/>
        </w:trPr>
        <w:tc>
          <w:tcPr>
            <w:tcW w:w="1955" w:type="dxa"/>
            <w:vAlign w:val="center"/>
          </w:tcPr>
          <w:p w14:paraId="0AB33D8B" w14:textId="77777777" w:rsidR="0070501A" w:rsidRPr="00E856F5" w:rsidRDefault="0070501A" w:rsidP="00680230">
            <w:pPr>
              <w:rPr>
                <w:b/>
              </w:rPr>
            </w:pPr>
            <w:r>
              <w:rPr>
                <w:b/>
              </w:rPr>
              <w:t>Worst Case (+0.5%)</w:t>
            </w:r>
          </w:p>
        </w:tc>
        <w:tc>
          <w:tcPr>
            <w:tcW w:w="1955" w:type="dxa"/>
            <w:vAlign w:val="center"/>
          </w:tcPr>
          <w:p w14:paraId="194CA55C" w14:textId="77777777" w:rsidR="0070501A" w:rsidRDefault="0070501A" w:rsidP="00680230">
            <w:pPr>
              <w:jc w:val="center"/>
            </w:pPr>
            <w:r w:rsidRPr="0064746B">
              <w:t>$</w:t>
            </w:r>
            <w:r w:rsidR="00831745">
              <w:t>586</w:t>
            </w:r>
            <w:r>
              <w:t> m</w:t>
            </w:r>
          </w:p>
        </w:tc>
        <w:tc>
          <w:tcPr>
            <w:tcW w:w="1955" w:type="dxa"/>
            <w:vAlign w:val="center"/>
          </w:tcPr>
          <w:p w14:paraId="2C70862D" w14:textId="77777777" w:rsidR="0070501A" w:rsidRDefault="0070501A" w:rsidP="00680230">
            <w:pPr>
              <w:jc w:val="center"/>
            </w:pPr>
            <w:r w:rsidRPr="0064746B">
              <w:t>$5</w:t>
            </w:r>
            <w:r w:rsidR="00831745">
              <w:t>30</w:t>
            </w:r>
            <w:r w:rsidR="00677646">
              <w:t> m</w:t>
            </w:r>
          </w:p>
        </w:tc>
        <w:tc>
          <w:tcPr>
            <w:tcW w:w="1955" w:type="dxa"/>
            <w:vAlign w:val="center"/>
          </w:tcPr>
          <w:p w14:paraId="73D83852" w14:textId="77777777" w:rsidR="0070501A" w:rsidRDefault="0070501A" w:rsidP="00680230">
            <w:pPr>
              <w:jc w:val="center"/>
            </w:pPr>
            <w:r w:rsidRPr="0064746B">
              <w:t>$</w:t>
            </w:r>
            <w:r w:rsidR="00831745">
              <w:t>971</w:t>
            </w:r>
            <w:r w:rsidR="00677646">
              <w:t> m</w:t>
            </w:r>
          </w:p>
        </w:tc>
        <w:tc>
          <w:tcPr>
            <w:tcW w:w="1956" w:type="dxa"/>
            <w:vAlign w:val="center"/>
          </w:tcPr>
          <w:p w14:paraId="48F5A909" w14:textId="77777777" w:rsidR="0070501A" w:rsidRDefault="0070501A" w:rsidP="00680230">
            <w:pPr>
              <w:jc w:val="center"/>
            </w:pPr>
            <w:r w:rsidRPr="0064746B">
              <w:t>$</w:t>
            </w:r>
            <w:r w:rsidR="00831745">
              <w:t>873</w:t>
            </w:r>
            <w:r w:rsidR="00677646">
              <w:t> m</w:t>
            </w:r>
          </w:p>
        </w:tc>
      </w:tr>
      <w:tr w:rsidR="0066049C" w14:paraId="5AEA182B" w14:textId="77777777" w:rsidTr="00680230">
        <w:trPr>
          <w:trHeight w:val="340"/>
        </w:trPr>
        <w:tc>
          <w:tcPr>
            <w:tcW w:w="1955" w:type="dxa"/>
            <w:vAlign w:val="center"/>
          </w:tcPr>
          <w:p w14:paraId="47A904E5" w14:textId="77777777" w:rsidR="0066049C" w:rsidRPr="00E856F5" w:rsidRDefault="0066049C" w:rsidP="00680230">
            <w:pPr>
              <w:rPr>
                <w:b/>
              </w:rPr>
            </w:pPr>
            <w:r>
              <w:rPr>
                <w:b/>
              </w:rPr>
              <w:t>Main Analysis</w:t>
            </w:r>
          </w:p>
        </w:tc>
        <w:tc>
          <w:tcPr>
            <w:tcW w:w="1955" w:type="dxa"/>
            <w:vAlign w:val="center"/>
          </w:tcPr>
          <w:p w14:paraId="3A2DB283" w14:textId="77777777" w:rsidR="0066049C" w:rsidRDefault="0066049C" w:rsidP="00680230">
            <w:pPr>
              <w:jc w:val="center"/>
            </w:pPr>
            <w:r w:rsidRPr="0054194A">
              <w:t>$6</w:t>
            </w:r>
            <w:r>
              <w:t>5</w:t>
            </w:r>
            <w:r w:rsidRPr="0054194A">
              <w:t>4</w:t>
            </w:r>
            <w:r>
              <w:t> m</w:t>
            </w:r>
          </w:p>
        </w:tc>
        <w:tc>
          <w:tcPr>
            <w:tcW w:w="1955" w:type="dxa"/>
            <w:vAlign w:val="center"/>
          </w:tcPr>
          <w:p w14:paraId="062625F5" w14:textId="77777777" w:rsidR="0066049C" w:rsidRDefault="0066049C" w:rsidP="00680230">
            <w:pPr>
              <w:jc w:val="center"/>
            </w:pPr>
            <w:r w:rsidRPr="0054194A">
              <w:t>$588</w:t>
            </w:r>
            <w:r>
              <w:t> m</w:t>
            </w:r>
          </w:p>
        </w:tc>
        <w:tc>
          <w:tcPr>
            <w:tcW w:w="1955" w:type="dxa"/>
            <w:vAlign w:val="center"/>
          </w:tcPr>
          <w:p w14:paraId="008ADDBB" w14:textId="77777777" w:rsidR="0066049C" w:rsidRDefault="0066049C" w:rsidP="00680230">
            <w:pPr>
              <w:jc w:val="center"/>
            </w:pPr>
            <w:r w:rsidRPr="0054194A">
              <w:t>$</w:t>
            </w:r>
            <w:r>
              <w:t>1,038 m</w:t>
            </w:r>
          </w:p>
        </w:tc>
        <w:tc>
          <w:tcPr>
            <w:tcW w:w="1956" w:type="dxa"/>
            <w:vAlign w:val="center"/>
          </w:tcPr>
          <w:p w14:paraId="6A690B79" w14:textId="77777777" w:rsidR="0066049C" w:rsidRDefault="0066049C" w:rsidP="00680230">
            <w:pPr>
              <w:jc w:val="center"/>
            </w:pPr>
            <w:r w:rsidRPr="0054194A">
              <w:t>$931</w:t>
            </w:r>
            <w:r>
              <w:t> m</w:t>
            </w:r>
          </w:p>
        </w:tc>
      </w:tr>
      <w:tr w:rsidR="00677646" w14:paraId="2F98E94B" w14:textId="77777777" w:rsidTr="00680230">
        <w:trPr>
          <w:trHeight w:val="340"/>
        </w:trPr>
        <w:tc>
          <w:tcPr>
            <w:tcW w:w="1955" w:type="dxa"/>
            <w:vAlign w:val="center"/>
          </w:tcPr>
          <w:p w14:paraId="61AE0E8C" w14:textId="77777777" w:rsidR="00677646" w:rsidRPr="00E856F5" w:rsidRDefault="00677646" w:rsidP="00680230">
            <w:pPr>
              <w:rPr>
                <w:b/>
              </w:rPr>
            </w:pPr>
            <w:r>
              <w:rPr>
                <w:b/>
              </w:rPr>
              <w:t>Best Case (-0.5%)</w:t>
            </w:r>
          </w:p>
        </w:tc>
        <w:tc>
          <w:tcPr>
            <w:tcW w:w="1955" w:type="dxa"/>
            <w:vAlign w:val="center"/>
          </w:tcPr>
          <w:p w14:paraId="6D710465" w14:textId="77777777" w:rsidR="00677646" w:rsidRDefault="00677646" w:rsidP="00680230">
            <w:pPr>
              <w:jc w:val="center"/>
            </w:pPr>
            <w:r w:rsidRPr="001702A1">
              <w:t>$</w:t>
            </w:r>
            <w:r w:rsidR="00831745">
              <w:t>721</w:t>
            </w:r>
            <w:r>
              <w:t> m</w:t>
            </w:r>
          </w:p>
        </w:tc>
        <w:tc>
          <w:tcPr>
            <w:tcW w:w="1955" w:type="dxa"/>
            <w:vAlign w:val="center"/>
          </w:tcPr>
          <w:p w14:paraId="23C29A58" w14:textId="77777777" w:rsidR="00677646" w:rsidRDefault="00677646" w:rsidP="00680230">
            <w:pPr>
              <w:jc w:val="center"/>
            </w:pPr>
            <w:r w:rsidRPr="001702A1">
              <w:t>$</w:t>
            </w:r>
            <w:r w:rsidR="00831745">
              <w:t>647</w:t>
            </w:r>
            <w:r>
              <w:t> m</w:t>
            </w:r>
          </w:p>
        </w:tc>
        <w:tc>
          <w:tcPr>
            <w:tcW w:w="1955" w:type="dxa"/>
            <w:vAlign w:val="center"/>
          </w:tcPr>
          <w:p w14:paraId="7BA7DAFC" w14:textId="77777777" w:rsidR="00677646" w:rsidRDefault="00677646" w:rsidP="00680230">
            <w:pPr>
              <w:jc w:val="center"/>
            </w:pPr>
            <w:r w:rsidRPr="001702A1">
              <w:t>$1,</w:t>
            </w:r>
            <w:r w:rsidR="00831745">
              <w:t>106</w:t>
            </w:r>
            <w:r>
              <w:t> m</w:t>
            </w:r>
          </w:p>
        </w:tc>
        <w:tc>
          <w:tcPr>
            <w:tcW w:w="1956" w:type="dxa"/>
            <w:vAlign w:val="center"/>
          </w:tcPr>
          <w:p w14:paraId="7188FE83" w14:textId="77777777" w:rsidR="00677646" w:rsidRDefault="00677646" w:rsidP="00680230">
            <w:pPr>
              <w:jc w:val="center"/>
            </w:pPr>
            <w:r w:rsidRPr="001702A1">
              <w:t>$9</w:t>
            </w:r>
            <w:r w:rsidR="00831745">
              <w:t>89</w:t>
            </w:r>
            <w:r>
              <w:t> m</w:t>
            </w:r>
          </w:p>
        </w:tc>
      </w:tr>
    </w:tbl>
    <w:p w14:paraId="183AA5E9" w14:textId="553FE5A5" w:rsidR="00337E48" w:rsidRDefault="00337E48" w:rsidP="00F64C22">
      <w:pPr>
        <w:pStyle w:val="Caption"/>
        <w:keepNext/>
        <w:pageBreakBefore/>
      </w:pPr>
      <w:bookmarkStart w:id="79" w:name="_Toc135320142"/>
      <w:r>
        <w:t xml:space="preserve">Table </w:t>
      </w:r>
      <w:r w:rsidR="00534814">
        <w:rPr>
          <w:noProof/>
        </w:rPr>
        <w:t>17</w:t>
      </w:r>
      <w:r>
        <w:t>: Impact of changes in trip reductions achieved by wider freight vehicles</w:t>
      </w:r>
      <w:r w:rsidR="006E727B" w:rsidRPr="006E727B">
        <w:t xml:space="preserve"> </w:t>
      </w:r>
      <w:r w:rsidR="006E727B">
        <w:t>on net benefits</w:t>
      </w:r>
      <w:bookmarkEnd w:id="79"/>
    </w:p>
    <w:tbl>
      <w:tblPr>
        <w:tblStyle w:val="TableGrid"/>
        <w:tblW w:w="0" w:type="auto"/>
        <w:tblLook w:val="04A0" w:firstRow="1" w:lastRow="0" w:firstColumn="1" w:lastColumn="0" w:noHBand="0" w:noVBand="1"/>
      </w:tblPr>
      <w:tblGrid>
        <w:gridCol w:w="1955"/>
        <w:gridCol w:w="1955"/>
        <w:gridCol w:w="1955"/>
        <w:gridCol w:w="1955"/>
        <w:gridCol w:w="1956"/>
      </w:tblGrid>
      <w:tr w:rsidR="00337E48" w14:paraId="31D3F89F" w14:textId="77777777" w:rsidTr="00680230">
        <w:trPr>
          <w:trHeight w:val="340"/>
        </w:trPr>
        <w:tc>
          <w:tcPr>
            <w:tcW w:w="1955" w:type="dxa"/>
            <w:shd w:val="clear" w:color="auto" w:fill="081E3E" w:themeFill="text2"/>
            <w:vAlign w:val="center"/>
          </w:tcPr>
          <w:p w14:paraId="1CFB8FF2" w14:textId="77777777" w:rsidR="00337E48" w:rsidRPr="00731C0C" w:rsidRDefault="00337E48" w:rsidP="00680230">
            <w:pPr>
              <w:pStyle w:val="Table2heading"/>
              <w:jc w:val="left"/>
            </w:pPr>
            <w:r>
              <w:t>Net Benefits</w:t>
            </w:r>
          </w:p>
        </w:tc>
        <w:tc>
          <w:tcPr>
            <w:tcW w:w="1955" w:type="dxa"/>
            <w:shd w:val="clear" w:color="auto" w:fill="081E3E" w:themeFill="text2"/>
            <w:vAlign w:val="center"/>
          </w:tcPr>
          <w:p w14:paraId="79CE0882" w14:textId="77777777" w:rsidR="00337E48" w:rsidRPr="00731C0C" w:rsidRDefault="00337E48" w:rsidP="00680230">
            <w:pPr>
              <w:pStyle w:val="Table2heading"/>
              <w:keepNext/>
            </w:pPr>
            <w:r w:rsidRPr="00731C0C">
              <w:t>Option 3.1a</w:t>
            </w:r>
          </w:p>
        </w:tc>
        <w:tc>
          <w:tcPr>
            <w:tcW w:w="1955" w:type="dxa"/>
            <w:shd w:val="clear" w:color="auto" w:fill="081E3E" w:themeFill="text2"/>
            <w:vAlign w:val="center"/>
          </w:tcPr>
          <w:p w14:paraId="70295C02" w14:textId="77777777" w:rsidR="00337E48" w:rsidRPr="00731C0C" w:rsidRDefault="00337E48" w:rsidP="00680230">
            <w:pPr>
              <w:pStyle w:val="Table2heading"/>
              <w:keepNext/>
            </w:pPr>
            <w:r w:rsidRPr="00731C0C">
              <w:t>Option 3.1b</w:t>
            </w:r>
          </w:p>
        </w:tc>
        <w:tc>
          <w:tcPr>
            <w:tcW w:w="1955" w:type="dxa"/>
            <w:shd w:val="clear" w:color="auto" w:fill="081E3E" w:themeFill="text2"/>
            <w:vAlign w:val="center"/>
          </w:tcPr>
          <w:p w14:paraId="7DBBB16F" w14:textId="77777777" w:rsidR="00337E48" w:rsidRPr="00731C0C" w:rsidRDefault="00337E48" w:rsidP="00680230">
            <w:pPr>
              <w:pStyle w:val="Table2heading"/>
              <w:keepNext/>
            </w:pPr>
            <w:r w:rsidRPr="00731C0C">
              <w:t>Option 3.2a</w:t>
            </w:r>
          </w:p>
        </w:tc>
        <w:tc>
          <w:tcPr>
            <w:tcW w:w="1956" w:type="dxa"/>
            <w:shd w:val="clear" w:color="auto" w:fill="081E3E" w:themeFill="text2"/>
            <w:vAlign w:val="center"/>
          </w:tcPr>
          <w:p w14:paraId="2492E124" w14:textId="77777777" w:rsidR="00337E48" w:rsidRPr="00731C0C" w:rsidRDefault="00337E48" w:rsidP="00680230">
            <w:pPr>
              <w:pStyle w:val="Table2heading"/>
              <w:keepNext/>
            </w:pPr>
            <w:r w:rsidRPr="00731C0C">
              <w:t>Option 3.2b</w:t>
            </w:r>
          </w:p>
        </w:tc>
      </w:tr>
      <w:tr w:rsidR="00D00FAD" w14:paraId="43BBA27A" w14:textId="77777777" w:rsidTr="00680230">
        <w:trPr>
          <w:trHeight w:val="340"/>
        </w:trPr>
        <w:tc>
          <w:tcPr>
            <w:tcW w:w="1955" w:type="dxa"/>
            <w:vAlign w:val="center"/>
          </w:tcPr>
          <w:p w14:paraId="2BF5BDBC" w14:textId="77777777" w:rsidR="00D00FAD" w:rsidRPr="00E856F5" w:rsidRDefault="00D00FAD" w:rsidP="00680230">
            <w:pPr>
              <w:rPr>
                <w:b/>
              </w:rPr>
            </w:pPr>
            <w:r>
              <w:rPr>
                <w:b/>
              </w:rPr>
              <w:t>Worst Case (-20%)</w:t>
            </w:r>
          </w:p>
        </w:tc>
        <w:tc>
          <w:tcPr>
            <w:tcW w:w="1955" w:type="dxa"/>
            <w:vAlign w:val="center"/>
          </w:tcPr>
          <w:p w14:paraId="0D7CA433" w14:textId="77777777" w:rsidR="00D00FAD" w:rsidRDefault="00D00FAD" w:rsidP="00680230">
            <w:pPr>
              <w:jc w:val="center"/>
            </w:pPr>
            <w:r w:rsidRPr="005755BC">
              <w:t>$485</w:t>
            </w:r>
            <w:r>
              <w:t> m</w:t>
            </w:r>
          </w:p>
        </w:tc>
        <w:tc>
          <w:tcPr>
            <w:tcW w:w="1955" w:type="dxa"/>
            <w:vAlign w:val="center"/>
          </w:tcPr>
          <w:p w14:paraId="01B3F646" w14:textId="77777777" w:rsidR="00D00FAD" w:rsidRDefault="00D00FAD" w:rsidP="00680230">
            <w:pPr>
              <w:jc w:val="center"/>
            </w:pPr>
            <w:r w:rsidRPr="005755BC">
              <w:t>$439</w:t>
            </w:r>
            <w:r>
              <w:t> m</w:t>
            </w:r>
          </w:p>
        </w:tc>
        <w:tc>
          <w:tcPr>
            <w:tcW w:w="1955" w:type="dxa"/>
            <w:vAlign w:val="center"/>
          </w:tcPr>
          <w:p w14:paraId="6FFB8251" w14:textId="77777777" w:rsidR="00D00FAD" w:rsidRPr="00235B1D" w:rsidRDefault="00D00FAD" w:rsidP="00680230">
            <w:pPr>
              <w:jc w:val="center"/>
            </w:pPr>
            <w:r w:rsidRPr="005755BC">
              <w:t>$708</w:t>
            </w:r>
            <w:r>
              <w:t> m</w:t>
            </w:r>
          </w:p>
        </w:tc>
        <w:tc>
          <w:tcPr>
            <w:tcW w:w="1956" w:type="dxa"/>
            <w:vAlign w:val="center"/>
          </w:tcPr>
          <w:p w14:paraId="1EC341AF" w14:textId="77777777" w:rsidR="00D00FAD" w:rsidRPr="00235B1D" w:rsidRDefault="00D00FAD" w:rsidP="00680230">
            <w:pPr>
              <w:jc w:val="center"/>
            </w:pPr>
            <w:r w:rsidRPr="005755BC">
              <w:t>$639</w:t>
            </w:r>
            <w:r>
              <w:t> m</w:t>
            </w:r>
          </w:p>
        </w:tc>
      </w:tr>
      <w:tr w:rsidR="0066049C" w14:paraId="7A7BC5DD" w14:textId="77777777" w:rsidTr="00680230">
        <w:trPr>
          <w:trHeight w:val="340"/>
        </w:trPr>
        <w:tc>
          <w:tcPr>
            <w:tcW w:w="1955" w:type="dxa"/>
            <w:vAlign w:val="center"/>
          </w:tcPr>
          <w:p w14:paraId="1054FC3D" w14:textId="77777777" w:rsidR="0066049C" w:rsidRPr="00E856F5" w:rsidRDefault="0066049C" w:rsidP="00680230">
            <w:pPr>
              <w:rPr>
                <w:b/>
              </w:rPr>
            </w:pPr>
            <w:r>
              <w:rPr>
                <w:b/>
              </w:rPr>
              <w:t>Main Analysis</w:t>
            </w:r>
          </w:p>
        </w:tc>
        <w:tc>
          <w:tcPr>
            <w:tcW w:w="1955" w:type="dxa"/>
            <w:vAlign w:val="center"/>
          </w:tcPr>
          <w:p w14:paraId="275D6270" w14:textId="77777777" w:rsidR="0066049C" w:rsidRDefault="0066049C" w:rsidP="00680230">
            <w:pPr>
              <w:jc w:val="center"/>
            </w:pPr>
            <w:r w:rsidRPr="0054194A">
              <w:t>$6</w:t>
            </w:r>
            <w:r>
              <w:t>5</w:t>
            </w:r>
            <w:r w:rsidRPr="0054194A">
              <w:t>4</w:t>
            </w:r>
            <w:r>
              <w:t> m</w:t>
            </w:r>
          </w:p>
        </w:tc>
        <w:tc>
          <w:tcPr>
            <w:tcW w:w="1955" w:type="dxa"/>
            <w:vAlign w:val="center"/>
          </w:tcPr>
          <w:p w14:paraId="449637F5" w14:textId="77777777" w:rsidR="0066049C" w:rsidRDefault="0066049C" w:rsidP="00680230">
            <w:pPr>
              <w:jc w:val="center"/>
            </w:pPr>
            <w:r w:rsidRPr="0054194A">
              <w:t>$588</w:t>
            </w:r>
            <w:r>
              <w:t> m</w:t>
            </w:r>
          </w:p>
        </w:tc>
        <w:tc>
          <w:tcPr>
            <w:tcW w:w="1955" w:type="dxa"/>
            <w:vAlign w:val="center"/>
          </w:tcPr>
          <w:p w14:paraId="51ED809A" w14:textId="77777777" w:rsidR="0066049C" w:rsidRDefault="0066049C" w:rsidP="00680230">
            <w:pPr>
              <w:jc w:val="center"/>
            </w:pPr>
            <w:r w:rsidRPr="0054194A">
              <w:t>$</w:t>
            </w:r>
            <w:r>
              <w:t>1,038 m</w:t>
            </w:r>
          </w:p>
        </w:tc>
        <w:tc>
          <w:tcPr>
            <w:tcW w:w="1956" w:type="dxa"/>
            <w:vAlign w:val="center"/>
          </w:tcPr>
          <w:p w14:paraId="1F6B828B" w14:textId="77777777" w:rsidR="0066049C" w:rsidRDefault="0066049C" w:rsidP="00680230">
            <w:pPr>
              <w:jc w:val="center"/>
            </w:pPr>
            <w:r w:rsidRPr="0054194A">
              <w:t>$931</w:t>
            </w:r>
            <w:r>
              <w:t> m</w:t>
            </w:r>
          </w:p>
        </w:tc>
      </w:tr>
      <w:tr w:rsidR="00D00FAD" w14:paraId="72A55088" w14:textId="77777777" w:rsidTr="00680230">
        <w:trPr>
          <w:trHeight w:val="340"/>
        </w:trPr>
        <w:tc>
          <w:tcPr>
            <w:tcW w:w="1955" w:type="dxa"/>
            <w:vAlign w:val="center"/>
          </w:tcPr>
          <w:p w14:paraId="7962B867" w14:textId="77777777" w:rsidR="00D00FAD" w:rsidRPr="00E856F5" w:rsidRDefault="00D00FAD" w:rsidP="00680230">
            <w:pPr>
              <w:rPr>
                <w:b/>
              </w:rPr>
            </w:pPr>
            <w:r>
              <w:rPr>
                <w:b/>
              </w:rPr>
              <w:t>Best Case (+20%)</w:t>
            </w:r>
          </w:p>
        </w:tc>
        <w:tc>
          <w:tcPr>
            <w:tcW w:w="1955" w:type="dxa"/>
            <w:vAlign w:val="center"/>
          </w:tcPr>
          <w:p w14:paraId="5B4930D7" w14:textId="77777777" w:rsidR="00D00FAD" w:rsidRDefault="00D00FAD" w:rsidP="00680230">
            <w:pPr>
              <w:jc w:val="center"/>
            </w:pPr>
            <w:r w:rsidRPr="00D00FAD">
              <w:t>$823</w:t>
            </w:r>
            <w:r>
              <w:t> m</w:t>
            </w:r>
          </w:p>
        </w:tc>
        <w:tc>
          <w:tcPr>
            <w:tcW w:w="1955" w:type="dxa"/>
            <w:vAlign w:val="center"/>
          </w:tcPr>
          <w:p w14:paraId="21E397D3" w14:textId="77777777" w:rsidR="00D00FAD" w:rsidRDefault="00D00FAD" w:rsidP="00680230">
            <w:pPr>
              <w:jc w:val="center"/>
            </w:pPr>
            <w:r w:rsidRPr="00D00FAD">
              <w:t>$737</w:t>
            </w:r>
            <w:r>
              <w:t> m</w:t>
            </w:r>
          </w:p>
        </w:tc>
        <w:tc>
          <w:tcPr>
            <w:tcW w:w="1955" w:type="dxa"/>
            <w:vAlign w:val="center"/>
          </w:tcPr>
          <w:p w14:paraId="33444CD3" w14:textId="77777777" w:rsidR="00D00FAD" w:rsidRDefault="00D00FAD" w:rsidP="00680230">
            <w:pPr>
              <w:jc w:val="center"/>
            </w:pPr>
            <w:r w:rsidRPr="00D00FAD">
              <w:t>$1,369</w:t>
            </w:r>
            <w:r>
              <w:t> m</w:t>
            </w:r>
          </w:p>
        </w:tc>
        <w:tc>
          <w:tcPr>
            <w:tcW w:w="1956" w:type="dxa"/>
            <w:vAlign w:val="center"/>
          </w:tcPr>
          <w:p w14:paraId="5E4405F4" w14:textId="77777777" w:rsidR="00D00FAD" w:rsidRDefault="00D00FAD" w:rsidP="00680230">
            <w:pPr>
              <w:jc w:val="center"/>
            </w:pPr>
            <w:r w:rsidRPr="00D00FAD">
              <w:t>$1,223</w:t>
            </w:r>
            <w:r>
              <w:t> m</w:t>
            </w:r>
          </w:p>
        </w:tc>
      </w:tr>
    </w:tbl>
    <w:p w14:paraId="4B0F6B04" w14:textId="77777777" w:rsidR="009F1F6C" w:rsidRDefault="008A52A2" w:rsidP="009F1F6C">
      <w:r>
        <w:t>Furt</w:t>
      </w:r>
      <w:r w:rsidR="00DC691C">
        <w:t>her sensitivity tests were also undertaken for changes in the take up of wider freight vehicles by market of origin</w:t>
      </w:r>
      <w:r w:rsidR="00A960E9">
        <w:t>, and changes in the size of the refrigerated fleet as a proportion of the entire heavy freight vehicle fleet</w:t>
      </w:r>
      <w:r w:rsidR="009F1F6C">
        <w:t>.</w:t>
      </w:r>
      <w:r w:rsidR="00092874">
        <w:t xml:space="preserve"> </w:t>
      </w:r>
      <w:r w:rsidR="001B495C">
        <w:t>The</w:t>
      </w:r>
      <w:r w:rsidR="007C035A">
        <w:t xml:space="preserve"> full ARRB report in the </w:t>
      </w:r>
      <w:r w:rsidR="001B495C">
        <w:t xml:space="preserve">Annex to this </w:t>
      </w:r>
      <w:r w:rsidR="00C45600">
        <w:t>IA</w:t>
      </w:r>
      <w:r w:rsidR="00286E85">
        <w:t xml:space="preserve"> includes further details of these sensitivity tests.</w:t>
      </w:r>
      <w:r w:rsidR="00AB097A">
        <w:t xml:space="preserve"> T</w:t>
      </w:r>
      <w:r w:rsidR="00AB097A" w:rsidRPr="0009474C">
        <w:t xml:space="preserve">he net benefits </w:t>
      </w:r>
      <w:r w:rsidR="00E87E48">
        <w:t xml:space="preserve">for each option </w:t>
      </w:r>
      <w:r w:rsidR="00AB097A">
        <w:t>remained</w:t>
      </w:r>
      <w:r w:rsidR="00AB097A" w:rsidRPr="0009474C">
        <w:t xml:space="preserve"> positive</w:t>
      </w:r>
      <w:r w:rsidR="00AB097A">
        <w:t>, without much variation,</w:t>
      </w:r>
      <w:r w:rsidR="00AB097A" w:rsidRPr="0009474C">
        <w:t xml:space="preserve"> under all </w:t>
      </w:r>
      <w:r w:rsidR="00AB097A">
        <w:t xml:space="preserve">these </w:t>
      </w:r>
      <w:r w:rsidR="00B7049A">
        <w:t>further</w:t>
      </w:r>
      <w:r w:rsidR="005A5872">
        <w:t xml:space="preserve"> </w:t>
      </w:r>
      <w:r w:rsidR="00AB097A">
        <w:t>scenarios</w:t>
      </w:r>
      <w:r w:rsidR="00AB097A" w:rsidRPr="0009474C">
        <w:t>.</w:t>
      </w:r>
    </w:p>
    <w:p w14:paraId="29894ACD" w14:textId="77777777" w:rsidR="007809EA" w:rsidRPr="007B6E69" w:rsidRDefault="00D5520C" w:rsidP="00F64C22">
      <w:pPr>
        <w:pStyle w:val="Heading2"/>
        <w:rPr>
          <w:lang w:val="en-AU"/>
        </w:rPr>
      </w:pPr>
      <w:bookmarkStart w:id="80" w:name="_Toc143182145"/>
      <w:r>
        <w:rPr>
          <w:lang w:val="en-AU"/>
        </w:rPr>
        <w:t>Distribution of the benefits and costs</w:t>
      </w:r>
      <w:bookmarkEnd w:id="80"/>
    </w:p>
    <w:p w14:paraId="130765DB" w14:textId="77777777" w:rsidR="00E74785" w:rsidRPr="007B6E69" w:rsidRDefault="00973040" w:rsidP="00E74785">
      <w:r w:rsidRPr="007B6E69">
        <w:t xml:space="preserve">In the case of </w:t>
      </w:r>
      <w:r w:rsidR="008D0DA1" w:rsidRPr="00813B92">
        <w:t>this analysis</w:t>
      </w:r>
      <w:r w:rsidRPr="007B6E69">
        <w:t xml:space="preserve"> for </w:t>
      </w:r>
      <w:r w:rsidR="007809EA" w:rsidRPr="007B6E69">
        <w:t>heavy</w:t>
      </w:r>
      <w:r w:rsidRPr="007B6E69">
        <w:t xml:space="preserve"> </w:t>
      </w:r>
      <w:r w:rsidR="00813B92">
        <w:t xml:space="preserve">freight </w:t>
      </w:r>
      <w:r w:rsidRPr="007B6E69">
        <w:t>vehicles, the parties affected by the options are:</w:t>
      </w:r>
    </w:p>
    <w:p w14:paraId="1DDB2BB2" w14:textId="77777777" w:rsidR="00973040" w:rsidRPr="00C97821" w:rsidRDefault="00973040" w:rsidP="00C97821">
      <w:pPr>
        <w:pStyle w:val="Heading4"/>
      </w:pPr>
      <w:r w:rsidRPr="00C97821">
        <w:t>Business</w:t>
      </w:r>
    </w:p>
    <w:p w14:paraId="7C281AC9" w14:textId="77777777" w:rsidR="00AF35BB" w:rsidRPr="00AF35BB" w:rsidRDefault="005C0744" w:rsidP="00AF35BB">
      <w:r>
        <w:t>Affected businesses include:</w:t>
      </w:r>
    </w:p>
    <w:p w14:paraId="29988A08" w14:textId="77777777" w:rsidR="00973040" w:rsidRPr="007B6E69" w:rsidRDefault="00973040" w:rsidP="006D7157">
      <w:pPr>
        <w:pStyle w:val="ListParagraph"/>
        <w:numPr>
          <w:ilvl w:val="0"/>
          <w:numId w:val="9"/>
        </w:numPr>
      </w:pPr>
      <w:r w:rsidRPr="007B6E69">
        <w:t>Vehicle manufacturers and importers;</w:t>
      </w:r>
    </w:p>
    <w:p w14:paraId="5BF415DE" w14:textId="77777777" w:rsidR="00973040" w:rsidRPr="007B6E69" w:rsidRDefault="00973040" w:rsidP="006D7157">
      <w:pPr>
        <w:pStyle w:val="ListParagraph"/>
        <w:numPr>
          <w:ilvl w:val="0"/>
          <w:numId w:val="9"/>
        </w:numPr>
      </w:pPr>
      <w:r w:rsidRPr="007B6E69">
        <w:t>Component manufacturers and suppliers</w:t>
      </w:r>
      <w:r w:rsidR="000B5EFA">
        <w:t>; and</w:t>
      </w:r>
    </w:p>
    <w:p w14:paraId="3DF7D1FF" w14:textId="77777777" w:rsidR="00973040" w:rsidRPr="007B6E69" w:rsidRDefault="000B5EFA" w:rsidP="0016354D">
      <w:pPr>
        <w:pStyle w:val="ListParagraph"/>
        <w:numPr>
          <w:ilvl w:val="0"/>
          <w:numId w:val="9"/>
        </w:numPr>
      </w:pPr>
      <w:r>
        <w:t xml:space="preserve">Vehicle owners </w:t>
      </w:r>
      <w:r w:rsidR="00973040" w:rsidRPr="007B6E69">
        <w:t>and operators.</w:t>
      </w:r>
    </w:p>
    <w:p w14:paraId="673FF023" w14:textId="77777777" w:rsidR="00973040" w:rsidRPr="007B6E69" w:rsidRDefault="00973040" w:rsidP="00680230">
      <w:pPr>
        <w:keepNext/>
      </w:pPr>
      <w:r w:rsidRPr="007B6E69">
        <w:t xml:space="preserve">There is an overlap between businesses and consumers when considering heavy vehicles. Unlike light vehicles, heavy </w:t>
      </w:r>
      <w:r w:rsidR="000E5B1A">
        <w:t xml:space="preserve">freight </w:t>
      </w:r>
      <w:r w:rsidRPr="007B6E69">
        <w:t>vehicle owners and operators, in general, are purchasing and operating these vehicles as part of a business. This is distinct to businesses that manufacture the vehicles or supply the components. The affected businesses are represented by a number of peak bodies, including:</w:t>
      </w:r>
    </w:p>
    <w:p w14:paraId="1AEC5A04" w14:textId="77777777" w:rsidR="00973040" w:rsidRPr="007B6E69" w:rsidRDefault="000E5B1A" w:rsidP="006D7157">
      <w:pPr>
        <w:pStyle w:val="ListParagraph"/>
        <w:numPr>
          <w:ilvl w:val="0"/>
          <w:numId w:val="9"/>
        </w:numPr>
      </w:pPr>
      <w:r>
        <w:t xml:space="preserve">the </w:t>
      </w:r>
      <w:r w:rsidR="00973040" w:rsidRPr="007B6E69">
        <w:t>Australian Trucking Association (ATA), that represents trucking operators, including major logistics companies and transport industry associations;</w:t>
      </w:r>
    </w:p>
    <w:p w14:paraId="7846031F" w14:textId="77777777" w:rsidR="00973040" w:rsidRPr="007B6E69" w:rsidRDefault="000E5B1A" w:rsidP="006D7157">
      <w:pPr>
        <w:pStyle w:val="ListParagraph"/>
        <w:numPr>
          <w:ilvl w:val="0"/>
          <w:numId w:val="9"/>
        </w:numPr>
      </w:pPr>
      <w:r>
        <w:t xml:space="preserve">the </w:t>
      </w:r>
      <w:r w:rsidR="00973040" w:rsidRPr="007B6E69">
        <w:t xml:space="preserve">Commercial Vehicle Industry Association </w:t>
      </w:r>
      <w:r w:rsidR="005464F7">
        <w:t xml:space="preserve">of </w:t>
      </w:r>
      <w:r w:rsidR="00973040" w:rsidRPr="007B6E69">
        <w:t>Australia (CVIAA)</w:t>
      </w:r>
      <w:r w:rsidR="008A2546" w:rsidRPr="007B6E69">
        <w:t>,</w:t>
      </w:r>
      <w:r w:rsidR="00973040" w:rsidRPr="007B6E69">
        <w:t xml:space="preserve"> that represents members in the commercial vehicle industry;</w:t>
      </w:r>
    </w:p>
    <w:p w14:paraId="30F2BAE4" w14:textId="77777777" w:rsidR="00973040" w:rsidRPr="007B6E69" w:rsidRDefault="000E5B1A" w:rsidP="006D7157">
      <w:pPr>
        <w:pStyle w:val="ListParagraph"/>
        <w:numPr>
          <w:ilvl w:val="0"/>
          <w:numId w:val="9"/>
        </w:numPr>
      </w:pPr>
      <w:r>
        <w:t xml:space="preserve">the </w:t>
      </w:r>
      <w:r w:rsidR="00973040" w:rsidRPr="007B6E69">
        <w:t>Heavy Vehicle Industry Australia (HVIA), that represents manufacturers and suppliers of heavy vehicles and their components, equipment and technology;</w:t>
      </w:r>
      <w:r w:rsidR="00EB5229">
        <w:t xml:space="preserve"> and</w:t>
      </w:r>
    </w:p>
    <w:p w14:paraId="6AF895C4" w14:textId="77777777" w:rsidR="00973040" w:rsidRPr="007B6E69" w:rsidRDefault="000E5B1A" w:rsidP="006D7157">
      <w:pPr>
        <w:pStyle w:val="ListParagraph"/>
        <w:numPr>
          <w:ilvl w:val="0"/>
          <w:numId w:val="9"/>
        </w:numPr>
      </w:pPr>
      <w:r>
        <w:t xml:space="preserve">the </w:t>
      </w:r>
      <w:r w:rsidR="00973040" w:rsidRPr="007B6E69">
        <w:t>Truck Industry Council (TIC), that represents truck manufacturers and importers, diesel engine companies and major truck component suppliers</w:t>
      </w:r>
      <w:r w:rsidR="00EB5229">
        <w:t>.</w:t>
      </w:r>
    </w:p>
    <w:p w14:paraId="5D967158" w14:textId="77777777" w:rsidR="00973040" w:rsidRPr="007B6E69" w:rsidRDefault="004725A9" w:rsidP="003F3954">
      <w:pPr>
        <w:pStyle w:val="Heading4"/>
      </w:pPr>
      <w:r w:rsidRPr="007B6E69">
        <w:t>Governments</w:t>
      </w:r>
      <w:r w:rsidR="00921F58">
        <w:t xml:space="preserve"> and represented communities</w:t>
      </w:r>
    </w:p>
    <w:p w14:paraId="6F872198" w14:textId="77777777" w:rsidR="004725A9" w:rsidRPr="007B6E69" w:rsidRDefault="009F0300" w:rsidP="00973040">
      <w:r>
        <w:t xml:space="preserve">This includes </w:t>
      </w:r>
      <w:r w:rsidR="004725A9" w:rsidRPr="007B6E69">
        <w:t>Australian state</w:t>
      </w:r>
      <w:r w:rsidR="000E5B1A">
        <w:t xml:space="preserve">, </w:t>
      </w:r>
      <w:r w:rsidR="004725A9" w:rsidRPr="007B6E69">
        <w:t>territory</w:t>
      </w:r>
      <w:r w:rsidR="000E5B1A">
        <w:t xml:space="preserve">, and local </w:t>
      </w:r>
      <w:r w:rsidR="004725A9" w:rsidRPr="007B6E69">
        <w:t>governments</w:t>
      </w:r>
      <w:r w:rsidR="000E5B1A">
        <w:t>,</w:t>
      </w:r>
      <w:r w:rsidR="004725A9" w:rsidRPr="007B6E69">
        <w:t xml:space="preserve"> and their represented communities.</w:t>
      </w:r>
    </w:p>
    <w:p w14:paraId="2E20C240" w14:textId="77777777" w:rsidR="00BE6F5C" w:rsidRPr="007B6E69" w:rsidRDefault="00BE6F5C" w:rsidP="00A738BE">
      <w:pPr>
        <w:pStyle w:val="Heading3"/>
        <w:rPr>
          <w:lang w:val="en-AU"/>
        </w:rPr>
      </w:pPr>
      <w:bookmarkStart w:id="81" w:name="_Toc143182146"/>
      <w:r w:rsidRPr="007B6E69">
        <w:rPr>
          <w:lang w:val="en-AU"/>
        </w:rPr>
        <w:t>Impact of viable options</w:t>
      </w:r>
      <w:bookmarkEnd w:id="81"/>
    </w:p>
    <w:p w14:paraId="39C8D8CF" w14:textId="77777777" w:rsidR="00CF4FE2" w:rsidRDefault="00CF4FE2" w:rsidP="00CF4FE2">
      <w:r>
        <w:t xml:space="preserve">There were </w:t>
      </w:r>
      <w:r w:rsidR="00E926D8">
        <w:t>two</w:t>
      </w:r>
      <w:r>
        <w:t xml:space="preserve"> options that were considered viable for further examination</w:t>
      </w:r>
      <w:r w:rsidR="00E926D8">
        <w:t xml:space="preserve"> – </w:t>
      </w:r>
      <w:r>
        <w:t xml:space="preserve">Option </w:t>
      </w:r>
      <w:r w:rsidR="00E926D8">
        <w:t>2</w:t>
      </w:r>
      <w:r>
        <w:t xml:space="preserve">: </w:t>
      </w:r>
      <w:r w:rsidR="00E926D8">
        <w:t>retain existing standards under the RVSA</w:t>
      </w:r>
      <w:r>
        <w:t xml:space="preserve">; and Option </w:t>
      </w:r>
      <w:r w:rsidR="00E926D8">
        <w:t>3</w:t>
      </w:r>
      <w:r>
        <w:t xml:space="preserve">: </w:t>
      </w:r>
      <w:r w:rsidR="00E926D8">
        <w:t>implement updated standards under the RVSA</w:t>
      </w:r>
      <w:r>
        <w:t xml:space="preserve">. This section looks at the impact of these options in terms of quantifying expected benefits and costs, and identifies how these would be distributed among affected parties. </w:t>
      </w:r>
    </w:p>
    <w:p w14:paraId="69324295" w14:textId="77777777" w:rsidR="00CF4FE2" w:rsidRDefault="00CF4FE2" w:rsidP="00E926D8">
      <w:pPr>
        <w:pStyle w:val="Heading4"/>
      </w:pPr>
      <w:r>
        <w:t xml:space="preserve">Option </w:t>
      </w:r>
      <w:r w:rsidR="00E926D8">
        <w:t>2</w:t>
      </w:r>
      <w:r>
        <w:t xml:space="preserve">: </w:t>
      </w:r>
      <w:r w:rsidR="006F790F">
        <w:t>R</w:t>
      </w:r>
      <w:r w:rsidR="00E926D8">
        <w:t xml:space="preserve">etain existing standards </w:t>
      </w:r>
      <w:r w:rsidR="00216DD8">
        <w:t xml:space="preserve">under the RVSA </w:t>
      </w:r>
      <w:r w:rsidR="00E926D8">
        <w:t>(business as usual)</w:t>
      </w:r>
    </w:p>
    <w:p w14:paraId="48312F9C" w14:textId="77777777" w:rsidR="00074961" w:rsidRDefault="00CF4FE2" w:rsidP="00CF4FE2">
      <w:r>
        <w:t xml:space="preserve">As this option is the BAU case, there are no new benefits or costs allocated. </w:t>
      </w:r>
      <w:r w:rsidR="005E379A">
        <w:t>All other viable options</w:t>
      </w:r>
      <w:r>
        <w:t xml:space="preserve"> are </w:t>
      </w:r>
      <w:r w:rsidR="00BC06A0">
        <w:t>assessed</w:t>
      </w:r>
      <w:r>
        <w:t xml:space="preserve"> relative to this BAU option, so that what would have happened anyway in the marketplace is not attributed to any proposed </w:t>
      </w:r>
      <w:r w:rsidR="005E379A">
        <w:t>policy change</w:t>
      </w:r>
      <w:r>
        <w:t>.</w:t>
      </w:r>
    </w:p>
    <w:p w14:paraId="21FC5994" w14:textId="77777777" w:rsidR="00216DD8" w:rsidRDefault="006F790F" w:rsidP="00216DD8">
      <w:pPr>
        <w:pStyle w:val="Heading4"/>
      </w:pPr>
      <w:r>
        <w:t>Option 3: I</w:t>
      </w:r>
      <w:r w:rsidR="00216DD8">
        <w:t>mplement updated standards under the RVSA</w:t>
      </w:r>
    </w:p>
    <w:p w14:paraId="69053770" w14:textId="77777777" w:rsidR="00216DD8" w:rsidRDefault="00664B6E" w:rsidP="00CF4FE2">
      <w:r w:rsidRPr="00DB54E2">
        <w:t>As th</w:t>
      </w:r>
      <w:r>
        <w:t xml:space="preserve">is </w:t>
      </w:r>
      <w:r w:rsidRPr="00DB54E2">
        <w:t>option</w:t>
      </w:r>
      <w:r>
        <w:t>, including each of the sub option</w:t>
      </w:r>
      <w:r w:rsidRPr="00DB54E2">
        <w:t>s</w:t>
      </w:r>
      <w:r>
        <w:t>,</w:t>
      </w:r>
      <w:r w:rsidRPr="00DB54E2">
        <w:t xml:space="preserve"> involve</w:t>
      </w:r>
      <w:r>
        <w:t>s</w:t>
      </w:r>
      <w:r w:rsidRPr="00DB54E2">
        <w:t xml:space="preserve"> direct intervention to </w:t>
      </w:r>
      <w:r>
        <w:t>implement an updated set of standards</w:t>
      </w:r>
      <w:r w:rsidRPr="00DB54E2">
        <w:t xml:space="preserve">, the benefits and costs are those that would occur </w:t>
      </w:r>
      <w:r>
        <w:t>over and above those of Option 2</w:t>
      </w:r>
      <w:r w:rsidR="00616BA3">
        <w:t xml:space="preserve"> (BAU)</w:t>
      </w:r>
      <w:r w:rsidRPr="00DB54E2">
        <w:t>.</w:t>
      </w:r>
    </w:p>
    <w:p w14:paraId="082CB821" w14:textId="77777777" w:rsidR="00944A94" w:rsidRDefault="00944A94" w:rsidP="00F64C22">
      <w:pPr>
        <w:pStyle w:val="Heading5"/>
      </w:pPr>
      <w:r>
        <w:t>Benefits</w:t>
      </w:r>
    </w:p>
    <w:p w14:paraId="36A087CE" w14:textId="77777777" w:rsidR="00944A94" w:rsidRDefault="00944A94" w:rsidP="00944A94">
      <w:r w:rsidRPr="00944A94">
        <w:t>B</w:t>
      </w:r>
      <w:r w:rsidR="00AD7398">
        <w:t>usiness</w:t>
      </w:r>
    </w:p>
    <w:p w14:paraId="4786BE0E" w14:textId="77777777" w:rsidR="00AD7398" w:rsidRPr="006C6ADE" w:rsidRDefault="00AD7398" w:rsidP="00944A94">
      <w:pPr>
        <w:rPr>
          <w:iCs/>
        </w:rPr>
      </w:pPr>
      <w:r>
        <w:rPr>
          <w:lang w:val="en-US"/>
        </w:rPr>
        <w:t xml:space="preserve">There would be a reduction in vehicle operating costs for heavy vehicle operators, due to a combination of the overall reduction in trips required to move the same freight, together with lower energy consumption per VKT for wider refrigerated goods vehicles and/or trailers (from thicker insulation). </w:t>
      </w:r>
      <w:r>
        <w:t xml:space="preserve">From </w:t>
      </w:r>
      <w:r w:rsidR="001A3BD6">
        <w:t>the</w:t>
      </w:r>
      <w:r>
        <w:t xml:space="preserve"> calculations </w:t>
      </w:r>
      <w:r w:rsidR="001A3BD6">
        <w:t xml:space="preserve">for the BCA </w:t>
      </w:r>
      <w:r>
        <w:t xml:space="preserve">by the ARRB, the </w:t>
      </w:r>
      <w:r w:rsidR="00B9347B">
        <w:t>d</w:t>
      </w:r>
      <w:r>
        <w:t xml:space="preserve">epartment </w:t>
      </w:r>
      <w:r w:rsidR="001A3BD6">
        <w:t>estimates</w:t>
      </w:r>
      <w:r>
        <w:t xml:space="preserve"> these </w:t>
      </w:r>
      <w:r w:rsidR="001A3BD6">
        <w:t>reductions in vehicle operating costs</w:t>
      </w:r>
      <w:r>
        <w:t xml:space="preserve"> to be </w:t>
      </w:r>
      <w:r w:rsidRPr="00E87894">
        <w:t>$</w:t>
      </w:r>
      <w:r w:rsidR="005D162D">
        <w:t>2</w:t>
      </w:r>
      <w:r w:rsidR="002C16EA">
        <w:t>35</w:t>
      </w:r>
      <w:r w:rsidRPr="00E87894">
        <w:t> m under</w:t>
      </w:r>
      <w:r>
        <w:t xml:space="preserve"> Option 3.1</w:t>
      </w:r>
      <w:r w:rsidRPr="00ED16E5">
        <w:t>a</w:t>
      </w:r>
      <w:r w:rsidR="0075073D">
        <w:t xml:space="preserve"> (2.55 m goods vehicles and trailers)</w:t>
      </w:r>
      <w:r w:rsidRPr="00ED16E5">
        <w:t>,</w:t>
      </w:r>
      <w:r>
        <w:t xml:space="preserve"> </w:t>
      </w:r>
      <w:r w:rsidRPr="00E87894">
        <w:t>$</w:t>
      </w:r>
      <w:r w:rsidR="005D162D">
        <w:t>208</w:t>
      </w:r>
      <w:r w:rsidRPr="00E87894">
        <w:t> m under</w:t>
      </w:r>
      <w:r w:rsidR="001A3BD6">
        <w:t xml:space="preserve"> Option </w:t>
      </w:r>
      <w:r>
        <w:t>3.1b</w:t>
      </w:r>
      <w:r w:rsidR="0075073D">
        <w:t xml:space="preserve"> (2.55 m goods vehicles only)</w:t>
      </w:r>
      <w:r>
        <w:t xml:space="preserve">, </w:t>
      </w:r>
      <w:r w:rsidRPr="00E87894">
        <w:t>$</w:t>
      </w:r>
      <w:r w:rsidR="005D162D">
        <w:t>4</w:t>
      </w:r>
      <w:r w:rsidR="002C16EA">
        <w:t>39</w:t>
      </w:r>
      <w:r w:rsidR="00BE0042">
        <w:t> </w:t>
      </w:r>
      <w:r w:rsidRPr="00E87894">
        <w:t>m under</w:t>
      </w:r>
      <w:r>
        <w:t xml:space="preserve"> Option</w:t>
      </w:r>
      <w:r w:rsidR="00DA428A">
        <w:t> </w:t>
      </w:r>
      <w:r>
        <w:t>3.2a</w:t>
      </w:r>
      <w:r w:rsidR="0075073D">
        <w:t xml:space="preserve"> (</w:t>
      </w:r>
      <w:r w:rsidR="00B9347B">
        <w:t>2.60</w:t>
      </w:r>
      <w:r w:rsidR="0075073D">
        <w:t> m goods vehicles and trailers)</w:t>
      </w:r>
      <w:r>
        <w:t>,</w:t>
      </w:r>
      <w:r w:rsidRPr="00ED16E5">
        <w:rPr>
          <w:iCs/>
        </w:rPr>
        <w:t xml:space="preserve"> and </w:t>
      </w:r>
      <w:r w:rsidRPr="00E87894">
        <w:t>$</w:t>
      </w:r>
      <w:r w:rsidR="005D162D">
        <w:t>389</w:t>
      </w:r>
      <w:r w:rsidRPr="00E87894">
        <w:t> m under</w:t>
      </w:r>
      <w:r>
        <w:t xml:space="preserve"> Option 3.2b</w:t>
      </w:r>
      <w:r w:rsidR="0075073D">
        <w:t xml:space="preserve"> (</w:t>
      </w:r>
      <w:r w:rsidR="00B9347B">
        <w:t>2.60</w:t>
      </w:r>
      <w:r w:rsidR="0075073D">
        <w:t> m goods vehicles only)</w:t>
      </w:r>
      <w:r w:rsidRPr="00ED16E5">
        <w:rPr>
          <w:iCs/>
        </w:rPr>
        <w:t>.</w:t>
      </w:r>
      <w:r w:rsidR="001C34C7">
        <w:rPr>
          <w:iCs/>
        </w:rPr>
        <w:t xml:space="preserve"> </w:t>
      </w:r>
      <w:r w:rsidR="0083682B">
        <w:rPr>
          <w:iCs/>
        </w:rPr>
        <w:t xml:space="preserve">As the road freight sector is highly competitive with relatively low </w:t>
      </w:r>
      <w:r w:rsidR="00EC136D">
        <w:rPr>
          <w:iCs/>
        </w:rPr>
        <w:t xml:space="preserve">profit </w:t>
      </w:r>
      <w:r w:rsidR="0083682B">
        <w:rPr>
          <w:iCs/>
        </w:rPr>
        <w:t>margins</w:t>
      </w:r>
      <w:r w:rsidR="006C6ADE">
        <w:rPr>
          <w:iCs/>
        </w:rPr>
        <w:t>,</w:t>
      </w:r>
      <w:r w:rsidR="0083682B">
        <w:rPr>
          <w:iCs/>
        </w:rPr>
        <w:t xml:space="preserve"> it is likely that operators would pass any reduction in their </w:t>
      </w:r>
      <w:r w:rsidR="00EC136D">
        <w:rPr>
          <w:iCs/>
        </w:rPr>
        <w:t xml:space="preserve">overall </w:t>
      </w:r>
      <w:r w:rsidR="0083682B">
        <w:rPr>
          <w:iCs/>
        </w:rPr>
        <w:t>costs</w:t>
      </w:r>
      <w:r w:rsidR="006C6ADE">
        <w:rPr>
          <w:iCs/>
        </w:rPr>
        <w:t xml:space="preserve"> onto their customers (</w:t>
      </w:r>
      <w:r w:rsidR="0083682B">
        <w:rPr>
          <w:iCs/>
        </w:rPr>
        <w:t xml:space="preserve">after accounting for increases in vehicle </w:t>
      </w:r>
      <w:r w:rsidR="00EC136D">
        <w:rPr>
          <w:iCs/>
        </w:rPr>
        <w:t xml:space="preserve">purchase and maintenance </w:t>
      </w:r>
      <w:r w:rsidR="0083682B">
        <w:rPr>
          <w:iCs/>
        </w:rPr>
        <w:t xml:space="preserve">costs </w:t>
      </w:r>
      <w:r w:rsidR="00EC136D">
        <w:rPr>
          <w:iCs/>
        </w:rPr>
        <w:t>for the additional</w:t>
      </w:r>
      <w:r w:rsidR="0083682B">
        <w:rPr>
          <w:iCs/>
        </w:rPr>
        <w:t xml:space="preserve"> safety technologies </w:t>
      </w:r>
      <w:r w:rsidR="006C6ADE">
        <w:rPr>
          <w:iCs/>
        </w:rPr>
        <w:t xml:space="preserve">– </w:t>
      </w:r>
      <w:r w:rsidR="0083682B">
        <w:rPr>
          <w:iCs/>
        </w:rPr>
        <w:t>see below)</w:t>
      </w:r>
      <w:r w:rsidR="00D54919">
        <w:rPr>
          <w:iCs/>
        </w:rPr>
        <w:t xml:space="preserve">, which could then also lower </w:t>
      </w:r>
      <w:r w:rsidR="006C6ADE">
        <w:rPr>
          <w:iCs/>
        </w:rPr>
        <w:t xml:space="preserve">product </w:t>
      </w:r>
      <w:r w:rsidR="00D54919">
        <w:rPr>
          <w:iCs/>
        </w:rPr>
        <w:t xml:space="preserve">costs for the end consumers (i.e. the cost of goods moved by road). </w:t>
      </w:r>
      <w:r w:rsidR="006C6ADE">
        <w:rPr>
          <w:iCs/>
        </w:rPr>
        <w:t xml:space="preserve">Overall reductions in costs </w:t>
      </w:r>
      <w:r w:rsidR="00747079">
        <w:rPr>
          <w:iCs/>
        </w:rPr>
        <w:t xml:space="preserve">(savings) </w:t>
      </w:r>
      <w:r w:rsidR="006C6ADE">
        <w:rPr>
          <w:iCs/>
        </w:rPr>
        <w:t xml:space="preserve">would be most likely for the sectors that </w:t>
      </w:r>
      <w:r w:rsidR="00C46BFC">
        <w:rPr>
          <w:iCs/>
        </w:rPr>
        <w:t xml:space="preserve">would </w:t>
      </w:r>
      <w:r w:rsidR="006C6ADE">
        <w:rPr>
          <w:iCs/>
        </w:rPr>
        <w:t>benefit more from an increase in width, including operators that transport refrigerated produce (e.g. for supermarkets)</w:t>
      </w:r>
      <w:r w:rsidR="00A149EF">
        <w:rPr>
          <w:iCs/>
        </w:rPr>
        <w:t xml:space="preserve"> or </w:t>
      </w:r>
      <w:r w:rsidR="006C6ADE">
        <w:rPr>
          <w:iCs/>
        </w:rPr>
        <w:t xml:space="preserve">volume limited freight, </w:t>
      </w:r>
      <w:r w:rsidR="00A149EF">
        <w:rPr>
          <w:iCs/>
        </w:rPr>
        <w:t xml:space="preserve">or </w:t>
      </w:r>
      <w:r w:rsidR="00B217BF">
        <w:rPr>
          <w:iCs/>
        </w:rPr>
        <w:t>use EU and/or US</w:t>
      </w:r>
      <w:r w:rsidR="006C6ADE">
        <w:rPr>
          <w:iCs/>
        </w:rPr>
        <w:t xml:space="preserve"> </w:t>
      </w:r>
      <w:r w:rsidR="00B217BF">
        <w:rPr>
          <w:iCs/>
        </w:rPr>
        <w:t xml:space="preserve">size </w:t>
      </w:r>
      <w:r w:rsidR="006C6ADE">
        <w:rPr>
          <w:iCs/>
        </w:rPr>
        <w:t>pallets</w:t>
      </w:r>
      <w:r w:rsidR="00203013">
        <w:rPr>
          <w:iCs/>
        </w:rPr>
        <w:t xml:space="preserve"> (including for the distribution of imported goods</w:t>
      </w:r>
      <w:r w:rsidR="00F51399">
        <w:rPr>
          <w:iCs/>
        </w:rPr>
        <w:t xml:space="preserve"> and</w:t>
      </w:r>
      <w:r w:rsidR="008A4712">
        <w:rPr>
          <w:iCs/>
        </w:rPr>
        <w:t>/or</w:t>
      </w:r>
      <w:r w:rsidR="00F51399">
        <w:rPr>
          <w:iCs/>
        </w:rPr>
        <w:t xml:space="preserve"> for export purposes</w:t>
      </w:r>
      <w:r w:rsidR="00203013">
        <w:rPr>
          <w:iCs/>
        </w:rPr>
        <w:t>)</w:t>
      </w:r>
      <w:r w:rsidR="00C46BFC">
        <w:rPr>
          <w:iCs/>
        </w:rPr>
        <w:t xml:space="preserve">, or could use the additional width for more versatile vehicle designs (e.g. to transport different types of </w:t>
      </w:r>
      <w:r w:rsidR="006102F0">
        <w:rPr>
          <w:iCs/>
        </w:rPr>
        <w:t>goods/produce</w:t>
      </w:r>
      <w:r w:rsidR="00C46BFC">
        <w:rPr>
          <w:iCs/>
        </w:rPr>
        <w:t xml:space="preserve"> on outgoing and incoming trips)</w:t>
      </w:r>
      <w:r w:rsidR="006C6ADE">
        <w:rPr>
          <w:iCs/>
        </w:rPr>
        <w:t>.</w:t>
      </w:r>
    </w:p>
    <w:p w14:paraId="1735FF39" w14:textId="77777777" w:rsidR="00944A94" w:rsidRPr="00944A94" w:rsidRDefault="00944A94" w:rsidP="00E92098">
      <w:pPr>
        <w:keepNext/>
      </w:pPr>
      <w:r w:rsidRPr="00944A94">
        <w:t>Gov</w:t>
      </w:r>
      <w:r>
        <w:t>ernments and communities</w:t>
      </w:r>
    </w:p>
    <w:p w14:paraId="0D8CE2E9" w14:textId="77777777" w:rsidR="00E92098" w:rsidRPr="00944A94" w:rsidRDefault="00657105" w:rsidP="00E92098">
      <w:pPr>
        <w:keepLines/>
      </w:pPr>
      <w:r>
        <w:t xml:space="preserve">There would be </w:t>
      </w:r>
      <w:r w:rsidR="00944A94">
        <w:t>benefit</w:t>
      </w:r>
      <w:r>
        <w:t>s</w:t>
      </w:r>
      <w:r w:rsidR="00944A94">
        <w:t xml:space="preserve"> to </w:t>
      </w:r>
      <w:r>
        <w:t>the community as a whole, including for governments and heavy vehicle operators,</w:t>
      </w:r>
      <w:r w:rsidR="00944A94">
        <w:t xml:space="preserve"> </w:t>
      </w:r>
      <w:r w:rsidR="00944A94" w:rsidRPr="00CE4FBB">
        <w:t xml:space="preserve">from </w:t>
      </w:r>
      <w:r>
        <w:t>a</w:t>
      </w:r>
      <w:r w:rsidR="00944A94" w:rsidRPr="00CE4FBB">
        <w:t xml:space="preserve"> reduction in road crashes</w:t>
      </w:r>
      <w:r w:rsidR="00D943CB">
        <w:t xml:space="preserve"> due to both a decrease in the overall number of trips required to move the same freight </w:t>
      </w:r>
      <w:r w:rsidR="001A3BD6">
        <w:br/>
      </w:r>
      <w:r w:rsidR="00D943CB">
        <w:t xml:space="preserve">(i.e. reduced exposure), and the effectiveness of the required safety systems/features in reducing fatal and serious injury crash risk. The ARRB estimated these savings to be </w:t>
      </w:r>
      <w:r w:rsidR="00E92098" w:rsidRPr="00E87894">
        <w:t>$</w:t>
      </w:r>
      <w:r w:rsidR="003814B3">
        <w:t>6</w:t>
      </w:r>
      <w:r w:rsidR="002C16EA">
        <w:t>28</w:t>
      </w:r>
      <w:r w:rsidR="00E92098" w:rsidRPr="00E87894">
        <w:t> m under</w:t>
      </w:r>
      <w:r w:rsidR="00E92098">
        <w:t xml:space="preserve"> Option 3.1</w:t>
      </w:r>
      <w:r w:rsidR="00E92098" w:rsidRPr="00ED16E5">
        <w:t>a</w:t>
      </w:r>
      <w:r w:rsidR="00E92098">
        <w:t xml:space="preserve"> (2.55 m goods vehicles and trailers)</w:t>
      </w:r>
      <w:r w:rsidR="00E92098" w:rsidRPr="00ED16E5">
        <w:t>,</w:t>
      </w:r>
      <w:r w:rsidR="00E92098">
        <w:t xml:space="preserve"> </w:t>
      </w:r>
      <w:r w:rsidR="00E92098" w:rsidRPr="003A7C7C">
        <w:t>$</w:t>
      </w:r>
      <w:r w:rsidR="003814B3">
        <w:t>558</w:t>
      </w:r>
      <w:r w:rsidR="00E92098" w:rsidRPr="00E87894">
        <w:t> m under</w:t>
      </w:r>
      <w:r w:rsidR="00E92098">
        <w:t xml:space="preserve"> Option 3.1b (2.55 m goods vehicles only), </w:t>
      </w:r>
      <w:r w:rsidR="00E92098" w:rsidRPr="00E87894">
        <w:t>$</w:t>
      </w:r>
      <w:r w:rsidR="003814B3">
        <w:t>6</w:t>
      </w:r>
      <w:r w:rsidR="002C16EA">
        <w:t>89</w:t>
      </w:r>
      <w:r w:rsidR="00E92098">
        <w:t> </w:t>
      </w:r>
      <w:r w:rsidR="00E92098" w:rsidRPr="00E87894">
        <w:t>m under</w:t>
      </w:r>
      <w:r w:rsidR="00E92098">
        <w:t xml:space="preserve"> Option 3.2a (</w:t>
      </w:r>
      <w:r w:rsidR="00B9347B">
        <w:t>2.60</w:t>
      </w:r>
      <w:r w:rsidR="00E92098">
        <w:t> m goods vehicles and trailers),</w:t>
      </w:r>
      <w:r w:rsidR="00E92098" w:rsidRPr="00ED16E5">
        <w:rPr>
          <w:iCs/>
        </w:rPr>
        <w:t xml:space="preserve"> and </w:t>
      </w:r>
      <w:r w:rsidR="00E92098" w:rsidRPr="00E87894">
        <w:t>$</w:t>
      </w:r>
      <w:r w:rsidR="003814B3">
        <w:t>612</w:t>
      </w:r>
      <w:r w:rsidR="00E92098" w:rsidRPr="00E87894">
        <w:t> m under</w:t>
      </w:r>
      <w:r w:rsidR="00E92098">
        <w:t xml:space="preserve"> Option 3.2b (</w:t>
      </w:r>
      <w:r w:rsidR="00B9347B">
        <w:t>2.60</w:t>
      </w:r>
      <w:r w:rsidR="00E92098">
        <w:t> m goods vehicles only)</w:t>
      </w:r>
      <w:r w:rsidR="00E92098" w:rsidRPr="00ED16E5">
        <w:rPr>
          <w:iCs/>
        </w:rPr>
        <w:t>.</w:t>
      </w:r>
    </w:p>
    <w:p w14:paraId="70E9B6C5" w14:textId="77777777" w:rsidR="00E54329" w:rsidRPr="00944A94" w:rsidRDefault="00B74E6F" w:rsidP="00E54329">
      <w:pPr>
        <w:keepLines/>
      </w:pPr>
      <w:r>
        <w:t>There would also be asset preservation benefits for governments from the reduction in trips needed by heavy goods vehicles and/or trailers to move the same freight</w:t>
      </w:r>
      <w:r w:rsidRPr="00C62BD2">
        <w:t>.</w:t>
      </w:r>
      <w:r>
        <w:t xml:space="preserve"> </w:t>
      </w:r>
      <w:r w:rsidR="001A3BD6">
        <w:t xml:space="preserve">From the calculations for the BCA by the ARRB, the </w:t>
      </w:r>
      <w:r w:rsidR="00B9347B">
        <w:t>d</w:t>
      </w:r>
      <w:r w:rsidR="001A3BD6">
        <w:t xml:space="preserve">epartment estimates </w:t>
      </w:r>
      <w:r>
        <w:t xml:space="preserve">these savings to be </w:t>
      </w:r>
      <w:r w:rsidR="00E54329" w:rsidRPr="00760447">
        <w:t>$</w:t>
      </w:r>
      <w:r w:rsidR="003814B3">
        <w:t>2.</w:t>
      </w:r>
      <w:r w:rsidR="002C16EA">
        <w:t>8</w:t>
      </w:r>
      <w:r w:rsidR="003814B3">
        <w:t>0</w:t>
      </w:r>
      <w:r w:rsidR="00E54329" w:rsidRPr="00760447">
        <w:t> m</w:t>
      </w:r>
      <w:r w:rsidR="00E54329" w:rsidRPr="00E87894">
        <w:t xml:space="preserve"> under</w:t>
      </w:r>
      <w:r w:rsidR="00E54329">
        <w:t xml:space="preserve"> Option 3.1</w:t>
      </w:r>
      <w:r w:rsidR="00E54329" w:rsidRPr="00ED16E5">
        <w:t>a</w:t>
      </w:r>
      <w:r w:rsidR="00E54329">
        <w:t xml:space="preserve"> (2.55 m goods vehicles and trailers)</w:t>
      </w:r>
      <w:r w:rsidR="00E54329" w:rsidRPr="00ED16E5">
        <w:t>,</w:t>
      </w:r>
      <w:r w:rsidR="00E54329">
        <w:t xml:space="preserve"> </w:t>
      </w:r>
      <w:r w:rsidR="00E54329" w:rsidRPr="00E87894">
        <w:t>$</w:t>
      </w:r>
      <w:r w:rsidR="003814B3">
        <w:t>2.42</w:t>
      </w:r>
      <w:r w:rsidR="00E54329" w:rsidRPr="00E87894">
        <w:t> m under</w:t>
      </w:r>
      <w:r w:rsidR="00E54329">
        <w:t xml:space="preserve"> Option 3.1b (2.55 m goods vehicles only), </w:t>
      </w:r>
      <w:r w:rsidR="00E54329" w:rsidRPr="00E87894">
        <w:t>$</w:t>
      </w:r>
      <w:r w:rsidR="003814B3">
        <w:t>5.</w:t>
      </w:r>
      <w:r w:rsidR="002C16EA">
        <w:t>4</w:t>
      </w:r>
      <w:r w:rsidR="003814B3">
        <w:t>6</w:t>
      </w:r>
      <w:r w:rsidR="00E54329">
        <w:t> </w:t>
      </w:r>
      <w:r w:rsidR="00E54329" w:rsidRPr="00E87894">
        <w:t>m under</w:t>
      </w:r>
      <w:r w:rsidR="00E54329">
        <w:t xml:space="preserve"> Option 3.2a (</w:t>
      </w:r>
      <w:r w:rsidR="00B9347B">
        <w:t>2.60</w:t>
      </w:r>
      <w:r w:rsidR="00E54329">
        <w:t> m goods vehicles and trailers),</w:t>
      </w:r>
      <w:r w:rsidR="00E54329" w:rsidRPr="00ED16E5">
        <w:rPr>
          <w:iCs/>
        </w:rPr>
        <w:t xml:space="preserve"> and </w:t>
      </w:r>
      <w:r w:rsidR="00E54329" w:rsidRPr="00E87894">
        <w:t>$</w:t>
      </w:r>
      <w:r w:rsidR="003814B3">
        <w:t>4.73</w:t>
      </w:r>
      <w:r w:rsidR="00E54329" w:rsidRPr="00E87894">
        <w:t> m under</w:t>
      </w:r>
      <w:r w:rsidR="00E54329">
        <w:t xml:space="preserve"> Option</w:t>
      </w:r>
      <w:r w:rsidR="00760447">
        <w:t> </w:t>
      </w:r>
      <w:r w:rsidR="00E54329">
        <w:t>3.2b (</w:t>
      </w:r>
      <w:r w:rsidR="00B9347B">
        <w:t>2.60</w:t>
      </w:r>
      <w:r w:rsidR="00E54329">
        <w:t> m goods vehicles only)</w:t>
      </w:r>
      <w:r w:rsidR="00E54329" w:rsidRPr="00ED16E5">
        <w:rPr>
          <w:iCs/>
        </w:rPr>
        <w:t>.</w:t>
      </w:r>
    </w:p>
    <w:p w14:paraId="51159143" w14:textId="77777777" w:rsidR="00B74E6F" w:rsidRDefault="00B74E6F" w:rsidP="00E54329">
      <w:pPr>
        <w:keepLines/>
        <w:rPr>
          <w:lang w:val="en-US"/>
        </w:rPr>
      </w:pPr>
      <w:r>
        <w:rPr>
          <w:lang w:val="en-US"/>
        </w:rPr>
        <w:t>Finally, t</w:t>
      </w:r>
      <w:r w:rsidR="004E6C14">
        <w:rPr>
          <w:lang w:val="en-US"/>
        </w:rPr>
        <w:t xml:space="preserve">here would </w:t>
      </w:r>
      <w:r w:rsidR="00657105">
        <w:rPr>
          <w:lang w:val="en-US"/>
        </w:rPr>
        <w:t xml:space="preserve">also </w:t>
      </w:r>
      <w:r w:rsidR="004E6C14">
        <w:rPr>
          <w:lang w:val="en-US"/>
        </w:rPr>
        <w:t>be a reduction in environmental costs from road freight transport, due to a combination of the overall reduction in trips required to move the same freight, together with lower energy needs per VKT for wider refrigerated goods vehicles and</w:t>
      </w:r>
      <w:r w:rsidR="00AD7398">
        <w:rPr>
          <w:lang w:val="en-US"/>
        </w:rPr>
        <w:t>/or</w:t>
      </w:r>
      <w:r w:rsidR="004E6C14">
        <w:rPr>
          <w:lang w:val="en-US"/>
        </w:rPr>
        <w:t xml:space="preserve"> trailers (</w:t>
      </w:r>
      <w:r w:rsidR="009836FD">
        <w:rPr>
          <w:lang w:val="en-US"/>
        </w:rPr>
        <w:t>with</w:t>
      </w:r>
      <w:r w:rsidR="004E6C14">
        <w:rPr>
          <w:lang w:val="en-US"/>
        </w:rPr>
        <w:t xml:space="preserve"> thicker insulation). </w:t>
      </w:r>
      <w:r w:rsidR="001A3BD6">
        <w:t xml:space="preserve">From the calculations for the BCA by the ARRB, the </w:t>
      </w:r>
      <w:r w:rsidR="00B9347B">
        <w:t>d</w:t>
      </w:r>
      <w:r w:rsidR="001A3BD6">
        <w:t>epartment estimates</w:t>
      </w:r>
      <w:r w:rsidR="004E6C14">
        <w:t xml:space="preserve"> these savings to be </w:t>
      </w:r>
      <w:r w:rsidR="00E54329" w:rsidRPr="00E87894">
        <w:t>$</w:t>
      </w:r>
      <w:r w:rsidR="003A7C7C">
        <w:t>1</w:t>
      </w:r>
      <w:r w:rsidR="002C16EA">
        <w:t>22</w:t>
      </w:r>
      <w:r w:rsidR="00E54329" w:rsidRPr="00E87894">
        <w:t> m under</w:t>
      </w:r>
      <w:r w:rsidR="00E54329">
        <w:t xml:space="preserve"> Option 3.1</w:t>
      </w:r>
      <w:r w:rsidR="00E54329" w:rsidRPr="00ED16E5">
        <w:t>a</w:t>
      </w:r>
      <w:r w:rsidR="00E54329">
        <w:t xml:space="preserve"> (2.55 m goods vehicles and trailers)</w:t>
      </w:r>
      <w:r w:rsidR="00E54329" w:rsidRPr="00ED16E5">
        <w:t>,</w:t>
      </w:r>
      <w:r w:rsidR="00E54329">
        <w:t xml:space="preserve"> </w:t>
      </w:r>
      <w:r w:rsidR="00E54329" w:rsidRPr="00E87894">
        <w:t>$</w:t>
      </w:r>
      <w:r w:rsidR="003A7C7C">
        <w:t>1</w:t>
      </w:r>
      <w:r w:rsidR="003814B3">
        <w:t>08</w:t>
      </w:r>
      <w:r w:rsidR="00E54329" w:rsidRPr="00E87894">
        <w:t> m under</w:t>
      </w:r>
      <w:r w:rsidR="00E54329">
        <w:t xml:space="preserve"> Option 3.1b (2.55 m goods vehicles only), </w:t>
      </w:r>
      <w:r w:rsidR="00E54329" w:rsidRPr="00E87894">
        <w:t>$</w:t>
      </w:r>
      <w:r w:rsidR="003814B3">
        <w:t>22</w:t>
      </w:r>
      <w:r w:rsidR="002C16EA">
        <w:t>7</w:t>
      </w:r>
      <w:r w:rsidR="00E54329">
        <w:t> </w:t>
      </w:r>
      <w:r w:rsidR="00E54329" w:rsidRPr="00E87894">
        <w:t>m under</w:t>
      </w:r>
      <w:r w:rsidR="00E54329">
        <w:t xml:space="preserve"> Option 3.2a (</w:t>
      </w:r>
      <w:r w:rsidR="00B9347B">
        <w:t>2.60</w:t>
      </w:r>
      <w:r w:rsidR="00E54329">
        <w:t> m goods vehicles and trailers),</w:t>
      </w:r>
      <w:r w:rsidR="00E54329" w:rsidRPr="00ED16E5">
        <w:rPr>
          <w:iCs/>
        </w:rPr>
        <w:t xml:space="preserve"> and </w:t>
      </w:r>
      <w:r w:rsidR="00E54329" w:rsidRPr="00E87894">
        <w:t>$</w:t>
      </w:r>
      <w:r w:rsidR="003A7C7C">
        <w:t>2</w:t>
      </w:r>
      <w:r w:rsidR="003814B3">
        <w:t>01</w:t>
      </w:r>
      <w:r w:rsidR="00E54329" w:rsidRPr="00E87894">
        <w:t> m under</w:t>
      </w:r>
      <w:r w:rsidR="00E54329">
        <w:t xml:space="preserve"> Option 3.2b (</w:t>
      </w:r>
      <w:r w:rsidR="00B9347B">
        <w:t>2.60</w:t>
      </w:r>
      <w:r w:rsidR="00E54329">
        <w:t> m goods vehicles only)</w:t>
      </w:r>
      <w:r w:rsidR="00E54329" w:rsidRPr="00ED16E5">
        <w:rPr>
          <w:iCs/>
        </w:rPr>
        <w:t>.</w:t>
      </w:r>
      <w:r w:rsidR="00492C92">
        <w:rPr>
          <w:iCs/>
        </w:rPr>
        <w:t xml:space="preserve"> </w:t>
      </w:r>
      <w:r w:rsidR="00492C92">
        <w:rPr>
          <w:lang w:val="en-US"/>
        </w:rPr>
        <w:t>These benefits would be for the community as a whole, including governments and businesses.</w:t>
      </w:r>
    </w:p>
    <w:p w14:paraId="43728E2F" w14:textId="1BDAD7E6" w:rsidR="00C75483" w:rsidRDefault="00534814" w:rsidP="00F64C22">
      <w:pPr>
        <w:keepNext/>
        <w:rPr>
          <w:lang w:val="en-US"/>
        </w:rPr>
      </w:pPr>
      <w:r w:rsidRPr="002C1585">
        <w:t xml:space="preserve">Table </w:t>
      </w:r>
      <w:r>
        <w:rPr>
          <w:noProof/>
        </w:rPr>
        <w:t>18</w:t>
      </w:r>
      <w:r w:rsidR="00C75483">
        <w:rPr>
          <w:lang w:val="en-US"/>
        </w:rPr>
        <w:t xml:space="preserve"> includes the safety, asset preservation, vehicle operating cost, and environment benefits for each option.</w:t>
      </w:r>
    </w:p>
    <w:p w14:paraId="1CC5688F" w14:textId="32CDFA23" w:rsidR="002B30DC" w:rsidRPr="002C1585" w:rsidRDefault="002B30DC" w:rsidP="002B30DC">
      <w:pPr>
        <w:pStyle w:val="Caption"/>
        <w:keepNext/>
      </w:pPr>
      <w:bookmarkStart w:id="82" w:name="_Ref112145747"/>
      <w:bookmarkStart w:id="83" w:name="_Ref112145741"/>
      <w:bookmarkStart w:id="84" w:name="_Toc135320143"/>
      <w:r w:rsidRPr="002C1585">
        <w:t xml:space="preserve">Table </w:t>
      </w:r>
      <w:r w:rsidR="00534814">
        <w:rPr>
          <w:noProof/>
        </w:rPr>
        <w:t>18</w:t>
      </w:r>
      <w:bookmarkEnd w:id="82"/>
      <w:r>
        <w:t xml:space="preserve">: </w:t>
      </w:r>
      <w:r w:rsidRPr="002C1585">
        <w:t xml:space="preserve">Summary of the </w:t>
      </w:r>
      <w:r w:rsidR="00C75483">
        <w:t>benefits</w:t>
      </w:r>
      <w:r>
        <w:t xml:space="preserve"> for</w:t>
      </w:r>
      <w:r w:rsidRPr="002C1585">
        <w:t xml:space="preserve"> each option</w:t>
      </w:r>
      <w:bookmarkEnd w:id="83"/>
      <w:bookmarkEnd w:id="84"/>
    </w:p>
    <w:tbl>
      <w:tblPr>
        <w:tblStyle w:val="TableGrid"/>
        <w:tblW w:w="9750" w:type="dxa"/>
        <w:tblLook w:val="04A0" w:firstRow="1" w:lastRow="0" w:firstColumn="1" w:lastColumn="0" w:noHBand="0" w:noVBand="1"/>
      </w:tblPr>
      <w:tblGrid>
        <w:gridCol w:w="3402"/>
        <w:gridCol w:w="1587"/>
        <w:gridCol w:w="1587"/>
        <w:gridCol w:w="1587"/>
        <w:gridCol w:w="1587"/>
      </w:tblGrid>
      <w:tr w:rsidR="002B30DC" w14:paraId="65F6AD4B" w14:textId="77777777" w:rsidTr="0027221B">
        <w:trPr>
          <w:trHeight w:val="340"/>
        </w:trPr>
        <w:tc>
          <w:tcPr>
            <w:tcW w:w="3402" w:type="dxa"/>
            <w:shd w:val="clear" w:color="auto" w:fill="081E3E" w:themeFill="text2"/>
            <w:vAlign w:val="center"/>
          </w:tcPr>
          <w:p w14:paraId="5C48F45D" w14:textId="77777777" w:rsidR="002B30DC" w:rsidRPr="00731C0C" w:rsidRDefault="00C75483" w:rsidP="0027221B">
            <w:pPr>
              <w:pStyle w:val="Table2heading"/>
              <w:jc w:val="left"/>
            </w:pPr>
            <w:r>
              <w:t>Benefits</w:t>
            </w:r>
          </w:p>
        </w:tc>
        <w:tc>
          <w:tcPr>
            <w:tcW w:w="1587" w:type="dxa"/>
            <w:shd w:val="clear" w:color="auto" w:fill="081E3E" w:themeFill="text2"/>
            <w:vAlign w:val="center"/>
          </w:tcPr>
          <w:p w14:paraId="75D37963" w14:textId="77777777" w:rsidR="002B30DC" w:rsidRPr="00731C0C" w:rsidRDefault="002B30DC" w:rsidP="0027221B">
            <w:pPr>
              <w:pStyle w:val="Table2heading"/>
              <w:keepNext/>
            </w:pPr>
            <w:r w:rsidRPr="00731C0C">
              <w:t>Option 3.1a</w:t>
            </w:r>
          </w:p>
        </w:tc>
        <w:tc>
          <w:tcPr>
            <w:tcW w:w="1587" w:type="dxa"/>
            <w:shd w:val="clear" w:color="auto" w:fill="081E3E" w:themeFill="text2"/>
            <w:vAlign w:val="center"/>
          </w:tcPr>
          <w:p w14:paraId="4CE4B07E" w14:textId="77777777" w:rsidR="002B30DC" w:rsidRPr="00731C0C" w:rsidRDefault="002B30DC" w:rsidP="0027221B">
            <w:pPr>
              <w:pStyle w:val="Table2heading"/>
              <w:keepNext/>
            </w:pPr>
            <w:r w:rsidRPr="00731C0C">
              <w:t>Option 3.1b</w:t>
            </w:r>
          </w:p>
        </w:tc>
        <w:tc>
          <w:tcPr>
            <w:tcW w:w="1587" w:type="dxa"/>
            <w:shd w:val="clear" w:color="auto" w:fill="081E3E" w:themeFill="text2"/>
            <w:vAlign w:val="center"/>
          </w:tcPr>
          <w:p w14:paraId="7C53B068" w14:textId="77777777" w:rsidR="002B30DC" w:rsidRPr="00731C0C" w:rsidRDefault="002B30DC" w:rsidP="0027221B">
            <w:pPr>
              <w:pStyle w:val="Table2heading"/>
              <w:keepNext/>
            </w:pPr>
            <w:r w:rsidRPr="00731C0C">
              <w:t>Option 3.2a</w:t>
            </w:r>
          </w:p>
        </w:tc>
        <w:tc>
          <w:tcPr>
            <w:tcW w:w="1587" w:type="dxa"/>
            <w:shd w:val="clear" w:color="auto" w:fill="081E3E" w:themeFill="text2"/>
            <w:vAlign w:val="center"/>
          </w:tcPr>
          <w:p w14:paraId="31A36F6E" w14:textId="77777777" w:rsidR="002B30DC" w:rsidRPr="00731C0C" w:rsidRDefault="002B30DC" w:rsidP="0027221B">
            <w:pPr>
              <w:pStyle w:val="Table2heading"/>
              <w:keepNext/>
            </w:pPr>
            <w:r w:rsidRPr="00731C0C">
              <w:t>Option 3.2b</w:t>
            </w:r>
          </w:p>
        </w:tc>
      </w:tr>
      <w:tr w:rsidR="007B0B44" w14:paraId="716E1D88" w14:textId="77777777" w:rsidTr="0027221B">
        <w:trPr>
          <w:trHeight w:val="340"/>
        </w:trPr>
        <w:tc>
          <w:tcPr>
            <w:tcW w:w="3402" w:type="dxa"/>
            <w:vAlign w:val="center"/>
          </w:tcPr>
          <w:p w14:paraId="43630A63" w14:textId="77777777" w:rsidR="007B0B44" w:rsidRPr="00E856F5" w:rsidRDefault="007B0B44" w:rsidP="0027221B">
            <w:pPr>
              <w:rPr>
                <w:b/>
              </w:rPr>
            </w:pPr>
            <w:r>
              <w:rPr>
                <w:b/>
              </w:rPr>
              <w:t>Safety</w:t>
            </w:r>
          </w:p>
        </w:tc>
        <w:tc>
          <w:tcPr>
            <w:tcW w:w="1587" w:type="dxa"/>
            <w:vAlign w:val="center"/>
          </w:tcPr>
          <w:p w14:paraId="49924045" w14:textId="77777777" w:rsidR="007B0B44" w:rsidRPr="005D0919" w:rsidRDefault="007B0B44" w:rsidP="0027221B">
            <w:pPr>
              <w:jc w:val="center"/>
              <w:rPr>
                <w:rFonts w:cstheme="minorHAnsi"/>
                <w:color w:val="auto"/>
              </w:rPr>
            </w:pPr>
            <w:r w:rsidRPr="00413784">
              <w:t>$6</w:t>
            </w:r>
            <w:r w:rsidR="00562542">
              <w:t>28</w:t>
            </w:r>
            <w:r>
              <w:t> m</w:t>
            </w:r>
          </w:p>
        </w:tc>
        <w:tc>
          <w:tcPr>
            <w:tcW w:w="1587" w:type="dxa"/>
            <w:vAlign w:val="center"/>
          </w:tcPr>
          <w:p w14:paraId="0AB87BC6" w14:textId="77777777" w:rsidR="007B0B44" w:rsidRPr="005D0919" w:rsidRDefault="007B0B44" w:rsidP="0027221B">
            <w:pPr>
              <w:jc w:val="center"/>
              <w:rPr>
                <w:rFonts w:cstheme="minorHAnsi"/>
                <w:color w:val="auto"/>
              </w:rPr>
            </w:pPr>
            <w:r w:rsidRPr="00413784">
              <w:t>$558</w:t>
            </w:r>
            <w:r>
              <w:t> m</w:t>
            </w:r>
          </w:p>
        </w:tc>
        <w:tc>
          <w:tcPr>
            <w:tcW w:w="1587" w:type="dxa"/>
            <w:vAlign w:val="center"/>
          </w:tcPr>
          <w:p w14:paraId="62711333" w14:textId="77777777" w:rsidR="007B0B44" w:rsidRPr="005D0919" w:rsidRDefault="007B0B44" w:rsidP="0027221B">
            <w:pPr>
              <w:jc w:val="center"/>
              <w:rPr>
                <w:rFonts w:cstheme="minorHAnsi"/>
                <w:color w:val="auto"/>
              </w:rPr>
            </w:pPr>
            <w:r w:rsidRPr="00413784">
              <w:t>$6</w:t>
            </w:r>
            <w:r w:rsidR="002C16EA">
              <w:t>89</w:t>
            </w:r>
            <w:r>
              <w:t> m</w:t>
            </w:r>
          </w:p>
        </w:tc>
        <w:tc>
          <w:tcPr>
            <w:tcW w:w="1587" w:type="dxa"/>
            <w:vAlign w:val="center"/>
          </w:tcPr>
          <w:p w14:paraId="26FA752E" w14:textId="77777777" w:rsidR="007B0B44" w:rsidRPr="005D0919" w:rsidRDefault="007B0B44" w:rsidP="0027221B">
            <w:pPr>
              <w:jc w:val="center"/>
              <w:rPr>
                <w:rFonts w:cstheme="minorHAnsi"/>
                <w:color w:val="auto"/>
              </w:rPr>
            </w:pPr>
            <w:r w:rsidRPr="00413784">
              <w:t>$61</w:t>
            </w:r>
            <w:r>
              <w:t>2 m</w:t>
            </w:r>
          </w:p>
        </w:tc>
      </w:tr>
      <w:tr w:rsidR="007B0B44" w14:paraId="6CAE06E4" w14:textId="77777777" w:rsidTr="0027221B">
        <w:trPr>
          <w:trHeight w:val="340"/>
        </w:trPr>
        <w:tc>
          <w:tcPr>
            <w:tcW w:w="3402" w:type="dxa"/>
            <w:vAlign w:val="center"/>
          </w:tcPr>
          <w:p w14:paraId="286FD09C" w14:textId="77777777" w:rsidR="007B0B44" w:rsidRPr="00E856F5" w:rsidRDefault="007B0B44" w:rsidP="0027221B">
            <w:pPr>
              <w:rPr>
                <w:b/>
              </w:rPr>
            </w:pPr>
            <w:r>
              <w:rPr>
                <w:b/>
              </w:rPr>
              <w:t>Asset Preservation</w:t>
            </w:r>
          </w:p>
        </w:tc>
        <w:tc>
          <w:tcPr>
            <w:tcW w:w="1587" w:type="dxa"/>
            <w:vAlign w:val="center"/>
          </w:tcPr>
          <w:p w14:paraId="64A2C138" w14:textId="77777777" w:rsidR="007B0B44" w:rsidRPr="007B0B44" w:rsidRDefault="007B0B44" w:rsidP="0027221B">
            <w:pPr>
              <w:jc w:val="center"/>
            </w:pPr>
            <w:r w:rsidRPr="007B0B44">
              <w:t>$2.</w:t>
            </w:r>
            <w:r w:rsidR="002C16EA">
              <w:t>8</w:t>
            </w:r>
            <w:r w:rsidRPr="007B0B44">
              <w:t>0 m</w:t>
            </w:r>
          </w:p>
        </w:tc>
        <w:tc>
          <w:tcPr>
            <w:tcW w:w="1587" w:type="dxa"/>
            <w:vAlign w:val="center"/>
          </w:tcPr>
          <w:p w14:paraId="52DB654C" w14:textId="77777777" w:rsidR="007B0B44" w:rsidRPr="007B0B44" w:rsidRDefault="007B0B44" w:rsidP="0027221B">
            <w:pPr>
              <w:jc w:val="center"/>
            </w:pPr>
            <w:r w:rsidRPr="007B0B44">
              <w:t>$2</w:t>
            </w:r>
            <w:r>
              <w:t>.</w:t>
            </w:r>
            <w:r w:rsidRPr="007B0B44">
              <w:t>42</w:t>
            </w:r>
            <w:r>
              <w:t> m</w:t>
            </w:r>
          </w:p>
        </w:tc>
        <w:tc>
          <w:tcPr>
            <w:tcW w:w="1587" w:type="dxa"/>
            <w:vAlign w:val="center"/>
          </w:tcPr>
          <w:p w14:paraId="45C9FA49" w14:textId="77777777" w:rsidR="007B0B44" w:rsidRPr="007B0B44" w:rsidRDefault="007B0B44" w:rsidP="0027221B">
            <w:pPr>
              <w:jc w:val="center"/>
            </w:pPr>
            <w:r w:rsidRPr="007B0B44">
              <w:t>$5</w:t>
            </w:r>
            <w:r>
              <w:t>.</w:t>
            </w:r>
            <w:r w:rsidR="002C16EA">
              <w:t>4</w:t>
            </w:r>
            <w:r w:rsidRPr="007B0B44">
              <w:t>6</w:t>
            </w:r>
            <w:r>
              <w:t> m</w:t>
            </w:r>
          </w:p>
        </w:tc>
        <w:tc>
          <w:tcPr>
            <w:tcW w:w="1587" w:type="dxa"/>
            <w:vAlign w:val="center"/>
          </w:tcPr>
          <w:p w14:paraId="7093AF03" w14:textId="77777777" w:rsidR="007B0B44" w:rsidRPr="007B0B44" w:rsidRDefault="007B0B44" w:rsidP="0027221B">
            <w:pPr>
              <w:jc w:val="center"/>
            </w:pPr>
            <w:r w:rsidRPr="007B0B44">
              <w:t>$4</w:t>
            </w:r>
            <w:r>
              <w:t>.</w:t>
            </w:r>
            <w:r w:rsidRPr="007B0B44">
              <w:t>7</w:t>
            </w:r>
            <w:r>
              <w:t>3 m</w:t>
            </w:r>
          </w:p>
        </w:tc>
      </w:tr>
      <w:tr w:rsidR="00120C6B" w14:paraId="61DF015B" w14:textId="77777777" w:rsidTr="0027221B">
        <w:trPr>
          <w:trHeight w:val="340"/>
        </w:trPr>
        <w:tc>
          <w:tcPr>
            <w:tcW w:w="3402" w:type="dxa"/>
            <w:vAlign w:val="center"/>
          </w:tcPr>
          <w:p w14:paraId="6B4B3BF5" w14:textId="77777777" w:rsidR="00120C6B" w:rsidRPr="00E856F5" w:rsidRDefault="00120C6B" w:rsidP="0027221B">
            <w:pPr>
              <w:rPr>
                <w:b/>
              </w:rPr>
            </w:pPr>
            <w:r>
              <w:rPr>
                <w:b/>
              </w:rPr>
              <w:t>Vehicle Operation</w:t>
            </w:r>
          </w:p>
        </w:tc>
        <w:tc>
          <w:tcPr>
            <w:tcW w:w="1587" w:type="dxa"/>
            <w:vAlign w:val="center"/>
          </w:tcPr>
          <w:p w14:paraId="40480BD5" w14:textId="77777777" w:rsidR="00120C6B" w:rsidRPr="005D0919" w:rsidRDefault="00120C6B" w:rsidP="0027221B">
            <w:pPr>
              <w:jc w:val="center"/>
              <w:rPr>
                <w:rFonts w:cstheme="minorHAnsi"/>
                <w:color w:val="auto"/>
              </w:rPr>
            </w:pPr>
            <w:r w:rsidRPr="00F770B3">
              <w:t>$2</w:t>
            </w:r>
            <w:r w:rsidR="002C16EA">
              <w:t>35</w:t>
            </w:r>
            <w:r>
              <w:t> m</w:t>
            </w:r>
          </w:p>
        </w:tc>
        <w:tc>
          <w:tcPr>
            <w:tcW w:w="1587" w:type="dxa"/>
            <w:vAlign w:val="center"/>
          </w:tcPr>
          <w:p w14:paraId="26FABE86" w14:textId="77777777" w:rsidR="00120C6B" w:rsidRPr="005D0919" w:rsidRDefault="00120C6B" w:rsidP="0027221B">
            <w:pPr>
              <w:jc w:val="center"/>
              <w:rPr>
                <w:rFonts w:cstheme="minorHAnsi"/>
                <w:color w:val="auto"/>
              </w:rPr>
            </w:pPr>
            <w:r w:rsidRPr="00F770B3">
              <w:t>$208</w:t>
            </w:r>
            <w:r>
              <w:t> m</w:t>
            </w:r>
          </w:p>
        </w:tc>
        <w:tc>
          <w:tcPr>
            <w:tcW w:w="1587" w:type="dxa"/>
            <w:vAlign w:val="center"/>
          </w:tcPr>
          <w:p w14:paraId="7C6BF3D7" w14:textId="77777777" w:rsidR="00120C6B" w:rsidRPr="005D0919" w:rsidRDefault="00120C6B" w:rsidP="0027221B">
            <w:pPr>
              <w:jc w:val="center"/>
              <w:rPr>
                <w:rFonts w:cstheme="minorHAnsi"/>
                <w:color w:val="auto"/>
              </w:rPr>
            </w:pPr>
            <w:r w:rsidRPr="00F770B3">
              <w:t>$4</w:t>
            </w:r>
            <w:r w:rsidR="002C16EA">
              <w:t>39</w:t>
            </w:r>
            <w:r>
              <w:t> m</w:t>
            </w:r>
          </w:p>
        </w:tc>
        <w:tc>
          <w:tcPr>
            <w:tcW w:w="1587" w:type="dxa"/>
            <w:vAlign w:val="center"/>
          </w:tcPr>
          <w:p w14:paraId="54768527" w14:textId="77777777" w:rsidR="00120C6B" w:rsidRPr="005D0919" w:rsidRDefault="00120C6B" w:rsidP="0027221B">
            <w:pPr>
              <w:jc w:val="center"/>
              <w:rPr>
                <w:rFonts w:cstheme="minorHAnsi"/>
                <w:color w:val="auto"/>
              </w:rPr>
            </w:pPr>
            <w:r w:rsidRPr="00F770B3">
              <w:t>$38</w:t>
            </w:r>
            <w:r>
              <w:t>9 m</w:t>
            </w:r>
          </w:p>
        </w:tc>
      </w:tr>
      <w:tr w:rsidR="00174EC2" w14:paraId="014D700C" w14:textId="77777777" w:rsidTr="0027221B">
        <w:trPr>
          <w:trHeight w:val="340"/>
        </w:trPr>
        <w:tc>
          <w:tcPr>
            <w:tcW w:w="3402" w:type="dxa"/>
            <w:vAlign w:val="center"/>
          </w:tcPr>
          <w:p w14:paraId="4343F83E" w14:textId="77777777" w:rsidR="00174EC2" w:rsidRPr="00E856F5" w:rsidRDefault="00174EC2" w:rsidP="0027221B">
            <w:pPr>
              <w:rPr>
                <w:b/>
              </w:rPr>
            </w:pPr>
            <w:r>
              <w:rPr>
                <w:b/>
              </w:rPr>
              <w:t>Environment</w:t>
            </w:r>
          </w:p>
        </w:tc>
        <w:tc>
          <w:tcPr>
            <w:tcW w:w="1587" w:type="dxa"/>
            <w:vAlign w:val="center"/>
          </w:tcPr>
          <w:p w14:paraId="219749DA" w14:textId="77777777" w:rsidR="00174EC2" w:rsidRPr="005D0919" w:rsidRDefault="00174EC2" w:rsidP="0027221B">
            <w:pPr>
              <w:jc w:val="center"/>
              <w:rPr>
                <w:rFonts w:cstheme="minorHAnsi"/>
                <w:color w:val="auto"/>
              </w:rPr>
            </w:pPr>
            <w:r w:rsidRPr="003633B4">
              <w:t>$1</w:t>
            </w:r>
            <w:r w:rsidR="002C16EA">
              <w:t>22</w:t>
            </w:r>
            <w:r>
              <w:t> m</w:t>
            </w:r>
          </w:p>
        </w:tc>
        <w:tc>
          <w:tcPr>
            <w:tcW w:w="1587" w:type="dxa"/>
            <w:vAlign w:val="center"/>
          </w:tcPr>
          <w:p w14:paraId="43F8F62E" w14:textId="77777777" w:rsidR="00174EC2" w:rsidRPr="005D0919" w:rsidRDefault="00174EC2" w:rsidP="0027221B">
            <w:pPr>
              <w:jc w:val="center"/>
              <w:rPr>
                <w:rFonts w:cstheme="minorHAnsi"/>
                <w:color w:val="auto"/>
              </w:rPr>
            </w:pPr>
            <w:r w:rsidRPr="003633B4">
              <w:t>$10</w:t>
            </w:r>
            <w:r>
              <w:t>8 m</w:t>
            </w:r>
          </w:p>
        </w:tc>
        <w:tc>
          <w:tcPr>
            <w:tcW w:w="1587" w:type="dxa"/>
            <w:vAlign w:val="center"/>
          </w:tcPr>
          <w:p w14:paraId="41090F37" w14:textId="77777777" w:rsidR="00174EC2" w:rsidRPr="005D0919" w:rsidRDefault="00174EC2" w:rsidP="0027221B">
            <w:pPr>
              <w:jc w:val="center"/>
              <w:rPr>
                <w:rFonts w:cstheme="minorHAnsi"/>
                <w:color w:val="auto"/>
              </w:rPr>
            </w:pPr>
            <w:r w:rsidRPr="003633B4">
              <w:t>$2</w:t>
            </w:r>
            <w:r>
              <w:t>2</w:t>
            </w:r>
            <w:r w:rsidR="002C16EA">
              <w:t>7</w:t>
            </w:r>
            <w:r>
              <w:t> m</w:t>
            </w:r>
          </w:p>
        </w:tc>
        <w:tc>
          <w:tcPr>
            <w:tcW w:w="1587" w:type="dxa"/>
            <w:vAlign w:val="center"/>
          </w:tcPr>
          <w:p w14:paraId="139975EB" w14:textId="77777777" w:rsidR="00174EC2" w:rsidRPr="005D0919" w:rsidRDefault="00174EC2" w:rsidP="0027221B">
            <w:pPr>
              <w:jc w:val="center"/>
              <w:rPr>
                <w:rFonts w:cstheme="minorHAnsi"/>
                <w:color w:val="auto"/>
              </w:rPr>
            </w:pPr>
            <w:r w:rsidRPr="003633B4">
              <w:t>$20</w:t>
            </w:r>
            <w:r>
              <w:t>1 m</w:t>
            </w:r>
          </w:p>
        </w:tc>
      </w:tr>
    </w:tbl>
    <w:p w14:paraId="12D02E44" w14:textId="4ECF6D43" w:rsidR="003532D8" w:rsidRDefault="00534814" w:rsidP="003532D8">
      <w:r>
        <w:t xml:space="preserve">Figure </w:t>
      </w:r>
      <w:r>
        <w:rPr>
          <w:noProof/>
        </w:rPr>
        <w:t>8</w:t>
      </w:r>
      <w:r w:rsidR="007D1556">
        <w:t xml:space="preserve">, </w:t>
      </w:r>
      <w:r>
        <w:t xml:space="preserve">Figure </w:t>
      </w:r>
      <w:r>
        <w:rPr>
          <w:noProof/>
        </w:rPr>
        <w:t>9</w:t>
      </w:r>
      <w:r w:rsidR="007D1556">
        <w:t xml:space="preserve">, </w:t>
      </w:r>
      <w:r>
        <w:t xml:space="preserve">Figure </w:t>
      </w:r>
      <w:r>
        <w:rPr>
          <w:noProof/>
        </w:rPr>
        <w:t>10</w:t>
      </w:r>
      <w:r w:rsidR="007D1556">
        <w:t xml:space="preserve">, and </w:t>
      </w:r>
      <w:r>
        <w:t xml:space="preserve">Figure </w:t>
      </w:r>
      <w:r>
        <w:rPr>
          <w:noProof/>
        </w:rPr>
        <w:t>11</w:t>
      </w:r>
      <w:r w:rsidR="007D1556">
        <w:t xml:space="preserve"> show the total (i.e. cumulative) benefits for each option analysed, at each year of the analysis period. As per all other benefits presented in this IA, these are present values as of 1 July 2023.</w:t>
      </w:r>
    </w:p>
    <w:p w14:paraId="578B9921" w14:textId="77777777" w:rsidR="00ED523D" w:rsidRDefault="005B4049" w:rsidP="003532D8">
      <w:r w:rsidRPr="005B4049">
        <w:rPr>
          <w:noProof/>
        </w:rPr>
        <w:drawing>
          <wp:inline distT="0" distB="0" distL="0" distR="0" wp14:anchorId="2D24A6EE" wp14:editId="24D8F30D">
            <wp:extent cx="6192000" cy="2817913"/>
            <wp:effectExtent l="0" t="0" r="0" b="1905"/>
            <wp:docPr id="2733" name="Picture 2733" descr="Figure 8 graph showing the total (i.e. cumulative) safety, asset preservation, vehicle operation and environment benefits under Option 3.1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2000" cy="2817913"/>
                    </a:xfrm>
                    <a:prstGeom prst="rect">
                      <a:avLst/>
                    </a:prstGeom>
                  </pic:spPr>
                </pic:pic>
              </a:graphicData>
            </a:graphic>
          </wp:inline>
        </w:drawing>
      </w:r>
    </w:p>
    <w:p w14:paraId="217E75B2" w14:textId="2586A1D8" w:rsidR="003934FC" w:rsidRDefault="003934FC" w:rsidP="003934FC">
      <w:pPr>
        <w:pStyle w:val="Caption"/>
        <w:spacing w:before="120"/>
      </w:pPr>
      <w:bookmarkStart w:id="85" w:name="_Ref135319497"/>
      <w:bookmarkStart w:id="86" w:name="_Toc135321398"/>
      <w:r>
        <w:t xml:space="preserve">Figure </w:t>
      </w:r>
      <w:r w:rsidR="00534814">
        <w:rPr>
          <w:noProof/>
        </w:rPr>
        <w:t>8</w:t>
      </w:r>
      <w:bookmarkEnd w:id="85"/>
      <w:r>
        <w:t xml:space="preserve">: </w:t>
      </w:r>
      <w:r w:rsidR="007D1556">
        <w:t>Total</w:t>
      </w:r>
      <w:r>
        <w:t xml:space="preserve"> (i.e. cumulative) benefits under Option 3.1a at each year of the analysis period</w:t>
      </w:r>
      <w:bookmarkEnd w:id="86"/>
    </w:p>
    <w:p w14:paraId="0B7602A3" w14:textId="77777777" w:rsidR="00ED523D" w:rsidRDefault="005B4049" w:rsidP="003532D8">
      <w:r w:rsidRPr="005B4049">
        <w:rPr>
          <w:noProof/>
        </w:rPr>
        <w:drawing>
          <wp:inline distT="0" distB="0" distL="0" distR="0" wp14:anchorId="197D5F2C" wp14:editId="0E816A2E">
            <wp:extent cx="6192000" cy="2817913"/>
            <wp:effectExtent l="0" t="0" r="0" b="1905"/>
            <wp:docPr id="2734" name="Picture 2734" descr="Figure 9 graph showing the total (i.e. cumulative) safety, asset preservation, vehicle operation and environment benefits under Option 3.1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000" cy="2817913"/>
                    </a:xfrm>
                    <a:prstGeom prst="rect">
                      <a:avLst/>
                    </a:prstGeom>
                  </pic:spPr>
                </pic:pic>
              </a:graphicData>
            </a:graphic>
          </wp:inline>
        </w:drawing>
      </w:r>
    </w:p>
    <w:p w14:paraId="494FD9F1" w14:textId="7673E0E4" w:rsidR="003934FC" w:rsidRDefault="003934FC" w:rsidP="003934FC">
      <w:pPr>
        <w:pStyle w:val="Caption"/>
        <w:spacing w:before="120"/>
      </w:pPr>
      <w:bookmarkStart w:id="87" w:name="_Ref135319506"/>
      <w:bookmarkStart w:id="88" w:name="_Toc135321399"/>
      <w:r>
        <w:t xml:space="preserve">Figure </w:t>
      </w:r>
      <w:r w:rsidR="00534814">
        <w:rPr>
          <w:noProof/>
        </w:rPr>
        <w:t>9</w:t>
      </w:r>
      <w:bookmarkEnd w:id="87"/>
      <w:r>
        <w:t xml:space="preserve">: </w:t>
      </w:r>
      <w:r w:rsidR="007D1556">
        <w:t>Total</w:t>
      </w:r>
      <w:r>
        <w:t xml:space="preserve"> (i.e. cumulative) benefits under Option 3.1b at each year of the analysis period</w:t>
      </w:r>
      <w:bookmarkEnd w:id="88"/>
    </w:p>
    <w:p w14:paraId="1768CB45" w14:textId="77777777" w:rsidR="00373AC2" w:rsidRDefault="00034052" w:rsidP="003934FC">
      <w:pPr>
        <w:pStyle w:val="Caption"/>
        <w:spacing w:before="120"/>
      </w:pPr>
      <w:r w:rsidRPr="00034052">
        <w:rPr>
          <w:noProof/>
        </w:rPr>
        <w:drawing>
          <wp:inline distT="0" distB="0" distL="0" distR="0" wp14:anchorId="22F1D163" wp14:editId="2A29E58B">
            <wp:extent cx="6192000" cy="2817913"/>
            <wp:effectExtent l="0" t="0" r="0" b="1905"/>
            <wp:docPr id="2735" name="Picture 2735" descr="Figure 10 graph showing the total (i.e. cumulative) safety, asset preservation, vehicle operation and environment benefits under Option 3.2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2000" cy="2817913"/>
                    </a:xfrm>
                    <a:prstGeom prst="rect">
                      <a:avLst/>
                    </a:prstGeom>
                  </pic:spPr>
                </pic:pic>
              </a:graphicData>
            </a:graphic>
          </wp:inline>
        </w:drawing>
      </w:r>
    </w:p>
    <w:p w14:paraId="2A4ACBF1" w14:textId="1EB78A02" w:rsidR="003934FC" w:rsidRDefault="003934FC" w:rsidP="003934FC">
      <w:pPr>
        <w:pStyle w:val="Caption"/>
        <w:spacing w:before="120"/>
      </w:pPr>
      <w:bookmarkStart w:id="89" w:name="_Ref135319517"/>
      <w:bookmarkStart w:id="90" w:name="_Toc135321400"/>
      <w:r>
        <w:t xml:space="preserve">Figure </w:t>
      </w:r>
      <w:r w:rsidR="00534814">
        <w:rPr>
          <w:noProof/>
        </w:rPr>
        <w:t>10</w:t>
      </w:r>
      <w:bookmarkEnd w:id="89"/>
      <w:r>
        <w:t xml:space="preserve">: </w:t>
      </w:r>
      <w:r w:rsidR="007D1556">
        <w:t>Total</w:t>
      </w:r>
      <w:r>
        <w:t xml:space="preserve"> (i.e. cumulative) benefits under Option 3.2a at each year of the analysis period</w:t>
      </w:r>
      <w:bookmarkEnd w:id="90"/>
    </w:p>
    <w:p w14:paraId="127EA708" w14:textId="77777777" w:rsidR="00373AC2" w:rsidRDefault="00034052" w:rsidP="003532D8">
      <w:r w:rsidRPr="00034052">
        <w:rPr>
          <w:noProof/>
        </w:rPr>
        <w:drawing>
          <wp:inline distT="0" distB="0" distL="0" distR="0" wp14:anchorId="4C6F4529" wp14:editId="3A5FE92E">
            <wp:extent cx="6192000" cy="2817913"/>
            <wp:effectExtent l="0" t="0" r="0" b="1905"/>
            <wp:docPr id="2736" name="Picture 2736" descr="Figure 11 graph showing the total (i.e. cumulative) safety, asset preservation, vehicle operation and environment benefits under Option 3.2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2000" cy="2817913"/>
                    </a:xfrm>
                    <a:prstGeom prst="rect">
                      <a:avLst/>
                    </a:prstGeom>
                  </pic:spPr>
                </pic:pic>
              </a:graphicData>
            </a:graphic>
          </wp:inline>
        </w:drawing>
      </w:r>
    </w:p>
    <w:p w14:paraId="1FDAA684" w14:textId="5EA709DB" w:rsidR="003934FC" w:rsidRDefault="003934FC" w:rsidP="003934FC">
      <w:pPr>
        <w:pStyle w:val="Caption"/>
        <w:spacing w:before="120"/>
      </w:pPr>
      <w:bookmarkStart w:id="91" w:name="_Ref135319526"/>
      <w:bookmarkStart w:id="92" w:name="_Toc135321401"/>
      <w:r>
        <w:t xml:space="preserve">Figure </w:t>
      </w:r>
      <w:r w:rsidR="00534814">
        <w:rPr>
          <w:noProof/>
        </w:rPr>
        <w:t>11</w:t>
      </w:r>
      <w:bookmarkEnd w:id="91"/>
      <w:r>
        <w:t xml:space="preserve">: </w:t>
      </w:r>
      <w:r w:rsidR="007D1556">
        <w:t>Total</w:t>
      </w:r>
      <w:r>
        <w:t xml:space="preserve"> (i.e. cumulative) benefits under Option 3.2b at each year of the analysis period</w:t>
      </w:r>
      <w:bookmarkEnd w:id="92"/>
    </w:p>
    <w:p w14:paraId="2232C9CE" w14:textId="77777777" w:rsidR="00944A94" w:rsidRDefault="00944A94" w:rsidP="00F64C22">
      <w:pPr>
        <w:pStyle w:val="Heading5"/>
      </w:pPr>
      <w:r>
        <w:t>Costs</w:t>
      </w:r>
    </w:p>
    <w:p w14:paraId="1174B1FD" w14:textId="77777777" w:rsidR="00944A94" w:rsidRPr="00944A94" w:rsidRDefault="00944A94" w:rsidP="00944A94">
      <w:r w:rsidRPr="00944A94">
        <w:rPr>
          <w:iCs/>
        </w:rPr>
        <w:t>Business</w:t>
      </w:r>
    </w:p>
    <w:p w14:paraId="44DCFBB2" w14:textId="77777777" w:rsidR="00281EAB" w:rsidRDefault="00DA344A" w:rsidP="00281EAB">
      <w:r>
        <w:t xml:space="preserve">There would </w:t>
      </w:r>
      <w:r w:rsidR="00A918F1">
        <w:t>b</w:t>
      </w:r>
      <w:r>
        <w:t xml:space="preserve">e costs for </w:t>
      </w:r>
      <w:r w:rsidR="008465A8">
        <w:t xml:space="preserve">goods vehicle </w:t>
      </w:r>
      <w:r>
        <w:t xml:space="preserve">manufacturers to fit the additional </w:t>
      </w:r>
      <w:r w:rsidRPr="00485573">
        <w:t xml:space="preserve">safety </w:t>
      </w:r>
      <w:r>
        <w:t xml:space="preserve">systems or features required to be </w:t>
      </w:r>
      <w:r w:rsidRPr="00485573">
        <w:t>fitte</w:t>
      </w:r>
      <w:r>
        <w:t xml:space="preserve">d to wider goods vehicles. </w:t>
      </w:r>
      <w:r w:rsidR="00A918F1">
        <w:t xml:space="preserve">From the calculations for the BCA by the ARRB, the </w:t>
      </w:r>
      <w:r w:rsidR="00B9347B">
        <w:t>d</w:t>
      </w:r>
      <w:r w:rsidR="00A918F1">
        <w:t xml:space="preserve">epartment estimates the cost for manufacturers to fit these additional safety systems or features would be </w:t>
      </w:r>
      <w:r w:rsidR="00A918F1" w:rsidRPr="003278AB">
        <w:t>$</w:t>
      </w:r>
      <w:r w:rsidR="00A918F1">
        <w:t>298</w:t>
      </w:r>
      <w:r w:rsidR="00A918F1" w:rsidRPr="003278AB">
        <w:t> m</w:t>
      </w:r>
      <w:r w:rsidR="00A918F1" w:rsidRPr="00E31BFC">
        <w:t xml:space="preserve"> </w:t>
      </w:r>
      <w:r w:rsidR="00A918F1">
        <w:t xml:space="preserve">for each sub-option. There would also be savings for manufacturers no longer required to modify </w:t>
      </w:r>
      <w:r w:rsidR="008465A8">
        <w:t xml:space="preserve">heavy goods vehicle </w:t>
      </w:r>
      <w:r w:rsidR="00A918F1">
        <w:t xml:space="preserve">designs based on overseas models, to be narrower for Australia. From the calculations for the BCA by the ARRB, the </w:t>
      </w:r>
      <w:r w:rsidR="00B9347B">
        <w:t>d</w:t>
      </w:r>
      <w:r w:rsidR="00A918F1">
        <w:t xml:space="preserve">epartment estimates </w:t>
      </w:r>
      <w:r w:rsidR="00383A74">
        <w:t xml:space="preserve">these savings would be </w:t>
      </w:r>
      <w:r w:rsidR="00383A74" w:rsidRPr="003278AB">
        <w:t>$</w:t>
      </w:r>
      <w:r w:rsidR="00383A74">
        <w:t>62.5</w:t>
      </w:r>
      <w:r w:rsidR="00383A74" w:rsidRPr="003278AB">
        <w:t> m</w:t>
      </w:r>
      <w:r w:rsidR="00383A74" w:rsidRPr="00E31BFC">
        <w:t xml:space="preserve"> under Option</w:t>
      </w:r>
      <w:r w:rsidR="00383A74">
        <w:t xml:space="preserve">s 3.1a and 3.1b (all 2.55 m width options), and </w:t>
      </w:r>
      <w:r w:rsidR="00383A74" w:rsidRPr="00E31BFC">
        <w:t>$</w:t>
      </w:r>
      <w:r w:rsidR="00383A74">
        <w:t>76.4 </w:t>
      </w:r>
      <w:r w:rsidR="00383A74" w:rsidRPr="00E31BFC">
        <w:t>m under Option</w:t>
      </w:r>
      <w:r w:rsidR="00383A74">
        <w:t xml:space="preserve">s 3.2a and 3.2b (all </w:t>
      </w:r>
      <w:r w:rsidR="00B9347B">
        <w:t>2.60</w:t>
      </w:r>
      <w:r w:rsidR="00383A74">
        <w:t xml:space="preserve"> m width options). </w:t>
      </w:r>
      <w:r w:rsidR="00A918F1">
        <w:t>Overall (i.e. combining fitment costs and saving</w:t>
      </w:r>
      <w:r w:rsidR="00FC372D">
        <w:t>s</w:t>
      </w:r>
      <w:r w:rsidR="00A918F1">
        <w:t xml:space="preserve"> for width modifications) there would be net costs of</w:t>
      </w:r>
      <w:r w:rsidR="00BF130F" w:rsidRPr="00E31BFC">
        <w:t xml:space="preserve"> </w:t>
      </w:r>
      <w:r w:rsidR="00BF130F" w:rsidRPr="003278AB">
        <w:t>$</w:t>
      </w:r>
      <w:r w:rsidR="00430FD0">
        <w:t>236</w:t>
      </w:r>
      <w:r w:rsidR="003278AB" w:rsidRPr="003278AB">
        <w:t> </w:t>
      </w:r>
      <w:r w:rsidR="00BF130F" w:rsidRPr="003278AB">
        <w:t>m</w:t>
      </w:r>
      <w:r w:rsidR="00BF130F" w:rsidRPr="00E31BFC">
        <w:t xml:space="preserve"> under Option</w:t>
      </w:r>
      <w:r w:rsidR="00BF130F">
        <w:t>s 3.1a and 3.1b</w:t>
      </w:r>
      <w:r w:rsidR="00211801">
        <w:t xml:space="preserve"> (all 2.55 m width options)</w:t>
      </w:r>
      <w:r w:rsidR="00BF130F">
        <w:t xml:space="preserve">, and </w:t>
      </w:r>
      <w:r w:rsidR="00BF130F" w:rsidRPr="00E31BFC">
        <w:t>$</w:t>
      </w:r>
      <w:r w:rsidR="00430FD0">
        <w:t>222</w:t>
      </w:r>
      <w:r w:rsidR="003278AB">
        <w:t> </w:t>
      </w:r>
      <w:r w:rsidR="00BF130F" w:rsidRPr="00E31BFC">
        <w:t>m under Option</w:t>
      </w:r>
      <w:r w:rsidR="00BF130F">
        <w:t>s 3.2a and 3.2b</w:t>
      </w:r>
      <w:r w:rsidR="00211801">
        <w:t xml:space="preserve"> (all </w:t>
      </w:r>
      <w:r w:rsidR="00B9347B">
        <w:t>2.60</w:t>
      </w:r>
      <w:r w:rsidR="00211801">
        <w:t xml:space="preserve"> m width options)</w:t>
      </w:r>
      <w:r w:rsidR="00BF130F">
        <w:t xml:space="preserve">. It is </w:t>
      </w:r>
      <w:r w:rsidR="00DB2B5A">
        <w:t xml:space="preserve">most </w:t>
      </w:r>
      <w:r w:rsidR="00BF130F">
        <w:t xml:space="preserve">likely that </w:t>
      </w:r>
      <w:r>
        <w:t>these</w:t>
      </w:r>
      <w:r w:rsidR="00BF130F">
        <w:t xml:space="preserve"> manufacturers would pass </w:t>
      </w:r>
      <w:r w:rsidR="007041C3">
        <w:t>this overall increase in costs on to the operators that purchase these goods vehicles, who would then absorb most of it</w:t>
      </w:r>
      <w:r w:rsidR="00BF130F">
        <w:t>.</w:t>
      </w:r>
    </w:p>
    <w:p w14:paraId="6CB0ABC3" w14:textId="77777777" w:rsidR="00944A94" w:rsidRDefault="00944A94" w:rsidP="007041C3">
      <w:r>
        <w:t xml:space="preserve">There would </w:t>
      </w:r>
      <w:r w:rsidR="00383A74">
        <w:t xml:space="preserve">also </w:t>
      </w:r>
      <w:r>
        <w:t xml:space="preserve">be </w:t>
      </w:r>
      <w:r w:rsidR="00383A74">
        <w:t xml:space="preserve">costs for trailer manufacturers to fit the additional </w:t>
      </w:r>
      <w:r w:rsidR="00383A74" w:rsidRPr="00485573">
        <w:t xml:space="preserve">safety </w:t>
      </w:r>
      <w:r w:rsidR="00383A74">
        <w:t xml:space="preserve">systems or features required for wider trailers. From the calculations for the BCA by the ARRB, the </w:t>
      </w:r>
      <w:r w:rsidR="00B9347B">
        <w:t>d</w:t>
      </w:r>
      <w:r w:rsidR="00383A74">
        <w:t xml:space="preserve">epartment estimates the cost for manufacturers to fit these additional safety systems or features would be </w:t>
      </w:r>
      <w:r w:rsidR="00383A74" w:rsidRPr="003278AB">
        <w:t>$</w:t>
      </w:r>
      <w:r w:rsidR="00383A74">
        <w:t>32.9</w:t>
      </w:r>
      <w:r w:rsidR="00383A74" w:rsidRPr="003278AB">
        <w:t> m</w:t>
      </w:r>
      <w:r w:rsidR="00383A74" w:rsidRPr="00E31BFC">
        <w:t xml:space="preserve"> </w:t>
      </w:r>
      <w:r w:rsidR="00383A74">
        <w:t>for each sub-option</w:t>
      </w:r>
      <w:r w:rsidR="00383A74" w:rsidRPr="00383A74">
        <w:t xml:space="preserve"> </w:t>
      </w:r>
      <w:r w:rsidR="00383A74" w:rsidRPr="00E31BFC">
        <w:t>Option</w:t>
      </w:r>
      <w:r w:rsidR="00383A74">
        <w:t xml:space="preserve"> 3.1a (2.55 m goods vehicle and trailers) and Option 3.2a (</w:t>
      </w:r>
      <w:r w:rsidR="00B9347B">
        <w:t>2.60</w:t>
      </w:r>
      <w:r w:rsidR="00383A74">
        <w:t xml:space="preserve"> m goods vehicle and trailers). </w:t>
      </w:r>
      <w:r w:rsidR="0028375E">
        <w:t xml:space="preserve">Further, there would </w:t>
      </w:r>
      <w:r w:rsidR="00F4476F">
        <w:t xml:space="preserve">be costs for </w:t>
      </w:r>
      <w:r w:rsidR="00383A74">
        <w:t>domestic trailer manufacturers (over and above that of Option </w:t>
      </w:r>
      <w:r w:rsidR="00170998">
        <w:t>2</w:t>
      </w:r>
      <w:r w:rsidR="00383A74">
        <w:t xml:space="preserve">) </w:t>
      </w:r>
      <w:r w:rsidR="00383A74">
        <w:rPr>
          <w:lang w:val="en-US"/>
        </w:rPr>
        <w:t>to re-tool within normal model/variant replacement cycles to meet market demand from heavy vehicle operators for wider trailers</w:t>
      </w:r>
      <w:r w:rsidR="00F4476F">
        <w:t xml:space="preserve">. </w:t>
      </w:r>
      <w:r w:rsidR="001A3BD6">
        <w:t xml:space="preserve">From the calculations for the BCA by the ARRB, the </w:t>
      </w:r>
      <w:r w:rsidR="00B9347B">
        <w:t>d</w:t>
      </w:r>
      <w:r w:rsidR="001A3BD6">
        <w:t>epartment estimates</w:t>
      </w:r>
      <w:r w:rsidR="00F4476F">
        <w:t xml:space="preserve"> this would </w:t>
      </w:r>
      <w:r w:rsidRPr="00E31BFC">
        <w:t>cost $</w:t>
      </w:r>
      <w:r w:rsidR="00FC372D">
        <w:t>6.59</w:t>
      </w:r>
      <w:r w:rsidR="008F42D0">
        <w:t> </w:t>
      </w:r>
      <w:r w:rsidRPr="00E31BFC">
        <w:t>m under Option</w:t>
      </w:r>
      <w:r w:rsidR="007910E7">
        <w:t xml:space="preserve"> 3.1a </w:t>
      </w:r>
      <w:r w:rsidR="008F42D0">
        <w:t xml:space="preserve">(2.55 m goods vehicle and trailers) </w:t>
      </w:r>
      <w:r w:rsidR="007910E7">
        <w:t xml:space="preserve">and </w:t>
      </w:r>
      <w:r w:rsidR="008F42D0" w:rsidRPr="00E31BFC">
        <w:t>$</w:t>
      </w:r>
      <w:r w:rsidR="00FC372D">
        <w:t>8.05 </w:t>
      </w:r>
      <w:r w:rsidR="008F42D0" w:rsidRPr="00E31BFC">
        <w:t xml:space="preserve">m under </w:t>
      </w:r>
      <w:r w:rsidR="008F42D0">
        <w:t xml:space="preserve">Option </w:t>
      </w:r>
      <w:r w:rsidR="007910E7">
        <w:t>3.2a</w:t>
      </w:r>
      <w:r w:rsidR="00211801">
        <w:t xml:space="preserve"> (</w:t>
      </w:r>
      <w:r w:rsidR="00B9347B">
        <w:t>2.60</w:t>
      </w:r>
      <w:r w:rsidR="008F42D0">
        <w:t> </w:t>
      </w:r>
      <w:r w:rsidR="00211801">
        <w:t xml:space="preserve">m </w:t>
      </w:r>
      <w:r w:rsidR="008F42D0">
        <w:t>goods vehicle and trailer</w:t>
      </w:r>
      <w:r w:rsidR="00211801">
        <w:t>s)</w:t>
      </w:r>
      <w:r w:rsidR="007910E7">
        <w:t xml:space="preserve">. </w:t>
      </w:r>
      <w:r w:rsidR="00FC372D">
        <w:t xml:space="preserve">Overall (i.e. combining fitment costs and </w:t>
      </w:r>
      <w:r w:rsidR="00DB4550">
        <w:t>costs</w:t>
      </w:r>
      <w:r w:rsidR="00FC372D">
        <w:t xml:space="preserve"> for width modifications) there would be costs of</w:t>
      </w:r>
      <w:r w:rsidR="00FC372D" w:rsidRPr="00E31BFC">
        <w:t xml:space="preserve"> </w:t>
      </w:r>
      <w:r w:rsidR="00FC372D" w:rsidRPr="003278AB">
        <w:t>$</w:t>
      </w:r>
      <w:r w:rsidR="00FC372D">
        <w:t>39.5</w:t>
      </w:r>
      <w:r w:rsidR="00FC372D" w:rsidRPr="003278AB">
        <w:t> m</w:t>
      </w:r>
      <w:r w:rsidR="00FC372D" w:rsidRPr="00E31BFC">
        <w:t xml:space="preserve"> under </w:t>
      </w:r>
      <w:r w:rsidR="00170998" w:rsidRPr="00E31BFC">
        <w:t>Option</w:t>
      </w:r>
      <w:r w:rsidR="00170998">
        <w:t xml:space="preserve"> 3.1a (2.55 m goods vehicle and trailers)</w:t>
      </w:r>
      <w:r w:rsidR="00FC372D">
        <w:t xml:space="preserve">, and </w:t>
      </w:r>
      <w:r w:rsidR="00FC372D" w:rsidRPr="00E31BFC">
        <w:t>$</w:t>
      </w:r>
      <w:r w:rsidR="00FC372D">
        <w:t>41.0 </w:t>
      </w:r>
      <w:r w:rsidR="00FC372D" w:rsidRPr="00E31BFC">
        <w:t xml:space="preserve">m under </w:t>
      </w:r>
      <w:r w:rsidR="00170998">
        <w:t>Option 3.2a (2.60 m goods vehicle and trailers)</w:t>
      </w:r>
      <w:r w:rsidR="00FC372D">
        <w:t xml:space="preserve">. </w:t>
      </w:r>
      <w:r>
        <w:t xml:space="preserve">It is </w:t>
      </w:r>
      <w:r w:rsidR="00DB2B5A">
        <w:t xml:space="preserve">most </w:t>
      </w:r>
      <w:r>
        <w:t xml:space="preserve">likely that </w:t>
      </w:r>
      <w:r w:rsidR="00281EAB">
        <w:t xml:space="preserve">these </w:t>
      </w:r>
      <w:r>
        <w:t>ma</w:t>
      </w:r>
      <w:r w:rsidR="00281EAB">
        <w:t xml:space="preserve">nufacturers would pass this </w:t>
      </w:r>
      <w:r>
        <w:t xml:space="preserve">increase in costs on to </w:t>
      </w:r>
      <w:r w:rsidR="00BF130F">
        <w:t xml:space="preserve">the </w:t>
      </w:r>
      <w:r w:rsidR="0028375E">
        <w:t>operators that purchase</w:t>
      </w:r>
      <w:r w:rsidR="00BF130F">
        <w:t xml:space="preserve"> </w:t>
      </w:r>
      <w:r w:rsidR="00DA344A">
        <w:t>these</w:t>
      </w:r>
      <w:r w:rsidR="00DB2B5A">
        <w:t xml:space="preserve"> trailers</w:t>
      </w:r>
      <w:r w:rsidR="007041C3">
        <w:t>,</w:t>
      </w:r>
      <w:r>
        <w:t xml:space="preserve"> who would then absorb </w:t>
      </w:r>
      <w:r w:rsidR="00281EAB">
        <w:t>most of it</w:t>
      </w:r>
      <w:r w:rsidR="00747079">
        <w:t xml:space="preserve"> (and this would mostly be offset </w:t>
      </w:r>
      <w:r w:rsidR="0012097A">
        <w:t xml:space="preserve">(and for some sectors entirely offset) </w:t>
      </w:r>
      <w:r w:rsidR="00747079">
        <w:t>by savings from reductions in vehicle operating costs – as discussed above)</w:t>
      </w:r>
      <w:r>
        <w:t>.</w:t>
      </w:r>
    </w:p>
    <w:p w14:paraId="50BA3859" w14:textId="77777777" w:rsidR="00944A94" w:rsidRDefault="00944A94" w:rsidP="00944A94">
      <w:pPr>
        <w:rPr>
          <w:iCs/>
        </w:rPr>
      </w:pPr>
      <w:r>
        <w:t xml:space="preserve">There </w:t>
      </w:r>
      <w:r w:rsidR="00816B35">
        <w:t xml:space="preserve">would also </w:t>
      </w:r>
      <w:r>
        <w:t>be cost</w:t>
      </w:r>
      <w:r w:rsidR="004C74C7">
        <w:t>s</w:t>
      </w:r>
      <w:r>
        <w:t xml:space="preserve"> for </w:t>
      </w:r>
      <w:r w:rsidR="00ED16E5">
        <w:t xml:space="preserve">heavy vehicle </w:t>
      </w:r>
      <w:r>
        <w:t>owners/operators to maintain and repair</w:t>
      </w:r>
      <w:r w:rsidR="00ED16E5">
        <w:t xml:space="preserve"> the additional </w:t>
      </w:r>
      <w:r w:rsidR="00ED16E5" w:rsidRPr="00485573">
        <w:t xml:space="preserve">safety </w:t>
      </w:r>
      <w:r w:rsidR="00ED16E5">
        <w:t>systems or features</w:t>
      </w:r>
      <w:r w:rsidR="007618E2">
        <w:t xml:space="preserve"> required to be</w:t>
      </w:r>
      <w:r w:rsidR="00ED16E5">
        <w:t xml:space="preserve"> </w:t>
      </w:r>
      <w:r w:rsidR="00ED16E5" w:rsidRPr="00485573">
        <w:t>fitte</w:t>
      </w:r>
      <w:r w:rsidR="00ED16E5">
        <w:t xml:space="preserve">d to </w:t>
      </w:r>
      <w:r w:rsidR="007618E2">
        <w:t xml:space="preserve">wider </w:t>
      </w:r>
      <w:r w:rsidR="00ED16E5">
        <w:t xml:space="preserve">heavy goods vehicles and/or trailers. </w:t>
      </w:r>
      <w:r w:rsidR="001A3BD6">
        <w:t xml:space="preserve">From the calculations for the BCA by the ARRB, the </w:t>
      </w:r>
      <w:r w:rsidR="00B9347B">
        <w:t>d</w:t>
      </w:r>
      <w:r w:rsidR="001A3BD6">
        <w:t>epartment estimates</w:t>
      </w:r>
      <w:r w:rsidR="00C9510B">
        <w:t xml:space="preserve"> these costs</w:t>
      </w:r>
      <w:r>
        <w:t xml:space="preserve"> to be </w:t>
      </w:r>
      <w:r w:rsidRPr="00E87894">
        <w:t>$</w:t>
      </w:r>
      <w:r w:rsidR="004055EF">
        <w:t>41.3</w:t>
      </w:r>
      <w:r w:rsidRPr="00E87894">
        <w:t> m under</w:t>
      </w:r>
      <w:r>
        <w:t xml:space="preserve"> Option</w:t>
      </w:r>
      <w:r w:rsidR="004C74C7">
        <w:t>s</w:t>
      </w:r>
      <w:r>
        <w:t xml:space="preserve"> </w:t>
      </w:r>
      <w:r w:rsidR="00E240F2">
        <w:t>3.1</w:t>
      </w:r>
      <w:r w:rsidR="004C74C7">
        <w:t>a and 3.2a</w:t>
      </w:r>
      <w:r w:rsidR="00211801">
        <w:t xml:space="preserve"> (2.55 m or </w:t>
      </w:r>
      <w:r w:rsidR="00B9347B">
        <w:t>2.60</w:t>
      </w:r>
      <w:r w:rsidR="00211801">
        <w:t xml:space="preserve"> m goods vehicle and trailer options)</w:t>
      </w:r>
      <w:r w:rsidR="004C74C7">
        <w:t xml:space="preserve">, and </w:t>
      </w:r>
      <w:r w:rsidR="004C74C7" w:rsidRPr="00E87894">
        <w:t>$</w:t>
      </w:r>
      <w:r w:rsidR="004055EF">
        <w:t>37.2</w:t>
      </w:r>
      <w:r w:rsidR="004C74C7" w:rsidRPr="00E87894">
        <w:t xml:space="preserve"> m </w:t>
      </w:r>
      <w:r w:rsidR="00E240F2" w:rsidRPr="00E87894">
        <w:t>under</w:t>
      </w:r>
      <w:r w:rsidR="00E240F2">
        <w:t xml:space="preserve"> Option</w:t>
      </w:r>
      <w:r w:rsidR="004C74C7">
        <w:t>s</w:t>
      </w:r>
      <w:r w:rsidR="00E240F2">
        <w:t xml:space="preserve"> 3.</w:t>
      </w:r>
      <w:r w:rsidR="004C74C7">
        <w:t>1b</w:t>
      </w:r>
      <w:r w:rsidR="00E240F2" w:rsidRPr="00ED16E5">
        <w:rPr>
          <w:iCs/>
        </w:rPr>
        <w:t xml:space="preserve"> </w:t>
      </w:r>
      <w:r w:rsidRPr="00ED16E5">
        <w:rPr>
          <w:iCs/>
        </w:rPr>
        <w:t xml:space="preserve">and </w:t>
      </w:r>
      <w:r w:rsidR="00E240F2">
        <w:t>3.2b</w:t>
      </w:r>
      <w:r w:rsidR="00211801">
        <w:t xml:space="preserve"> (2.55 m or </w:t>
      </w:r>
      <w:r w:rsidR="00B9347B">
        <w:t>2.60</w:t>
      </w:r>
      <w:r w:rsidR="00211801">
        <w:t xml:space="preserve"> m goods vehicle only options)</w:t>
      </w:r>
      <w:r w:rsidRPr="00ED16E5">
        <w:rPr>
          <w:iCs/>
        </w:rPr>
        <w:t>.</w:t>
      </w:r>
    </w:p>
    <w:p w14:paraId="13108660" w14:textId="77777777" w:rsidR="00944A94" w:rsidRPr="00944A94" w:rsidRDefault="00944A94" w:rsidP="00E92098">
      <w:pPr>
        <w:keepNext/>
        <w:rPr>
          <w:iCs/>
        </w:rPr>
      </w:pPr>
      <w:r w:rsidRPr="00944A94">
        <w:t>Governments</w:t>
      </w:r>
      <w:r w:rsidR="0081629F">
        <w:t xml:space="preserve"> and communities</w:t>
      </w:r>
    </w:p>
    <w:p w14:paraId="7BFFD4C2" w14:textId="77777777" w:rsidR="00C9510B" w:rsidRPr="004055EF" w:rsidRDefault="00944A94" w:rsidP="00C9510B">
      <w:r>
        <w:t xml:space="preserve">There would be a cost </w:t>
      </w:r>
      <w:r w:rsidR="007618E2">
        <w:t>for government</w:t>
      </w:r>
      <w:r>
        <w:t xml:space="preserve"> </w:t>
      </w:r>
      <w:r w:rsidR="00E240F2">
        <w:t>to develop</w:t>
      </w:r>
      <w:r w:rsidR="00C63A7F">
        <w:t xml:space="preserve"> and implement</w:t>
      </w:r>
      <w:r>
        <w:t xml:space="preserve"> </w:t>
      </w:r>
      <w:r w:rsidR="0081629F">
        <w:t xml:space="preserve">updated </w:t>
      </w:r>
      <w:r w:rsidR="00E240F2">
        <w:t>standards</w:t>
      </w:r>
      <w:r>
        <w:t xml:space="preserve">. This is estimated to </w:t>
      </w:r>
      <w:r w:rsidRPr="00E87894">
        <w:t>be $</w:t>
      </w:r>
      <w:r w:rsidR="00E066EB">
        <w:t>0.47</w:t>
      </w:r>
      <w:r w:rsidRPr="00E87894">
        <w:t xml:space="preserve"> m</w:t>
      </w:r>
      <w:r w:rsidRPr="001B1D04">
        <w:t xml:space="preserve"> </w:t>
      </w:r>
      <w:r w:rsidRPr="00706943">
        <w:t xml:space="preserve">for </w:t>
      </w:r>
      <w:r>
        <w:t>each sub-option.</w:t>
      </w:r>
      <w:r w:rsidR="00747079">
        <w:t xml:space="preserve"> </w:t>
      </w:r>
      <w:r w:rsidR="007910E7">
        <w:t xml:space="preserve">There would also be costs for </w:t>
      </w:r>
      <w:r w:rsidR="00DB2B5A">
        <w:t>governments to upgrade infrastructure for wider freight vehicles</w:t>
      </w:r>
      <w:r w:rsidR="007910E7">
        <w:t xml:space="preserve">. </w:t>
      </w:r>
      <w:r w:rsidR="001A3BD6">
        <w:t xml:space="preserve">From the calculations for the BCA by the ARRB, the </w:t>
      </w:r>
      <w:r w:rsidR="00B9347B">
        <w:t>d</w:t>
      </w:r>
      <w:r w:rsidR="001A3BD6">
        <w:t>epartment</w:t>
      </w:r>
      <w:r w:rsidR="00C9510B">
        <w:t xml:space="preserve"> estimates </w:t>
      </w:r>
      <w:r w:rsidR="004055EF">
        <w:t xml:space="preserve">these costs to be </w:t>
      </w:r>
      <w:r w:rsidR="004055EF" w:rsidRPr="00E87894">
        <w:t>$</w:t>
      </w:r>
      <w:r w:rsidR="004055EF">
        <w:t>16.8</w:t>
      </w:r>
      <w:r w:rsidR="004055EF" w:rsidRPr="00E87894">
        <w:t> m under</w:t>
      </w:r>
      <w:r w:rsidR="004055EF">
        <w:t xml:space="preserve"> Options 3.1a and 3.2a (2.55 m or </w:t>
      </w:r>
      <w:r w:rsidR="00B9347B">
        <w:t>2.60</w:t>
      </w:r>
      <w:r w:rsidR="004055EF">
        <w:t xml:space="preserve"> m goods vehicle and trailer options), and </w:t>
      </w:r>
      <w:r w:rsidR="004055EF" w:rsidRPr="00E87894">
        <w:t>$</w:t>
      </w:r>
      <w:r w:rsidR="004055EF">
        <w:t>15.5</w:t>
      </w:r>
      <w:r w:rsidR="004055EF" w:rsidRPr="00E87894">
        <w:t> m under</w:t>
      </w:r>
      <w:r w:rsidR="004055EF">
        <w:t xml:space="preserve"> Options 3.1b</w:t>
      </w:r>
      <w:r w:rsidR="004055EF" w:rsidRPr="00ED16E5">
        <w:rPr>
          <w:iCs/>
        </w:rPr>
        <w:t xml:space="preserve"> and </w:t>
      </w:r>
      <w:r w:rsidR="004055EF">
        <w:t xml:space="preserve">3.2b (2.55 m or </w:t>
      </w:r>
      <w:r w:rsidR="00B9347B">
        <w:t>2.60</w:t>
      </w:r>
      <w:r w:rsidR="004055EF">
        <w:t xml:space="preserve"> m goods vehicle only options)</w:t>
      </w:r>
      <w:r w:rsidR="00C9510B" w:rsidRPr="00ED16E5">
        <w:rPr>
          <w:iCs/>
        </w:rPr>
        <w:t>.</w:t>
      </w:r>
    </w:p>
    <w:p w14:paraId="2092060C" w14:textId="63DBEB13" w:rsidR="00EB47F2" w:rsidRDefault="00534814" w:rsidP="00453E08">
      <w:pPr>
        <w:keepNext/>
        <w:rPr>
          <w:lang w:val="en-US"/>
        </w:rPr>
      </w:pPr>
      <w:r w:rsidRPr="002C1585">
        <w:t xml:space="preserve">Table </w:t>
      </w:r>
      <w:r>
        <w:rPr>
          <w:noProof/>
        </w:rPr>
        <w:t>19</w:t>
      </w:r>
      <w:r w:rsidR="004749DA">
        <w:rPr>
          <w:lang w:val="en-US"/>
        </w:rPr>
        <w:t xml:space="preserve"> </w:t>
      </w:r>
      <w:r w:rsidR="00EB47F2">
        <w:rPr>
          <w:lang w:val="en-US"/>
        </w:rPr>
        <w:t>includes the</w:t>
      </w:r>
      <w:r w:rsidR="00CF7DE9">
        <w:rPr>
          <w:lang w:val="en-US"/>
        </w:rPr>
        <w:t xml:space="preserve"> costs of</w:t>
      </w:r>
      <w:r w:rsidR="00EB47F2">
        <w:rPr>
          <w:lang w:val="en-US"/>
        </w:rPr>
        <w:t xml:space="preserve"> </w:t>
      </w:r>
      <w:r w:rsidR="00CF7DE9">
        <w:rPr>
          <w:lang w:val="en-US"/>
        </w:rPr>
        <w:t xml:space="preserve">safety system fitment and </w:t>
      </w:r>
      <w:r w:rsidR="00034A58">
        <w:rPr>
          <w:lang w:val="en-US"/>
        </w:rPr>
        <w:t>vehicle modification for width</w:t>
      </w:r>
      <w:r w:rsidR="00CF7DE9">
        <w:rPr>
          <w:lang w:val="en-US"/>
        </w:rPr>
        <w:t xml:space="preserve"> (</w:t>
      </w:r>
      <w:r w:rsidR="008100C1">
        <w:rPr>
          <w:lang w:val="en-US"/>
        </w:rPr>
        <w:t>net/combined</w:t>
      </w:r>
      <w:r w:rsidR="00034A58">
        <w:rPr>
          <w:lang w:val="en-US"/>
        </w:rPr>
        <w:t>), maintenance of safety system</w:t>
      </w:r>
      <w:r w:rsidR="00276BAF">
        <w:rPr>
          <w:lang w:val="en-US"/>
        </w:rPr>
        <w:t>s</w:t>
      </w:r>
      <w:r w:rsidR="00034A58">
        <w:rPr>
          <w:lang w:val="en-US"/>
        </w:rPr>
        <w:t>, implementation and infrastructure update</w:t>
      </w:r>
      <w:r w:rsidR="00495887">
        <w:rPr>
          <w:lang w:val="en-US"/>
        </w:rPr>
        <w:t>s</w:t>
      </w:r>
      <w:r w:rsidR="00034A58">
        <w:rPr>
          <w:lang w:val="en-US"/>
        </w:rPr>
        <w:t xml:space="preserve"> </w:t>
      </w:r>
      <w:r w:rsidR="00EB47F2">
        <w:rPr>
          <w:lang w:val="en-US"/>
        </w:rPr>
        <w:t>for each option.</w:t>
      </w:r>
      <w:r w:rsidR="00CF7DE9">
        <w:rPr>
          <w:lang w:val="en-US"/>
        </w:rPr>
        <w:t xml:space="preserve"> </w:t>
      </w:r>
    </w:p>
    <w:p w14:paraId="1CFEBFAC" w14:textId="7539602D" w:rsidR="00EB47F2" w:rsidRPr="002C1585" w:rsidRDefault="00EB47F2" w:rsidP="00EB47F2">
      <w:pPr>
        <w:pStyle w:val="Caption"/>
        <w:keepNext/>
      </w:pPr>
      <w:bookmarkStart w:id="93" w:name="_Ref112157400"/>
      <w:bookmarkStart w:id="94" w:name="_Toc135320144"/>
      <w:r w:rsidRPr="002C1585">
        <w:t xml:space="preserve">Table </w:t>
      </w:r>
      <w:r w:rsidR="00534814">
        <w:rPr>
          <w:noProof/>
        </w:rPr>
        <w:t>19</w:t>
      </w:r>
      <w:bookmarkEnd w:id="93"/>
      <w:r>
        <w:t xml:space="preserve">: </w:t>
      </w:r>
      <w:r w:rsidRPr="002C1585">
        <w:t xml:space="preserve">Summary of the </w:t>
      </w:r>
      <w:r w:rsidR="00AF6FDE">
        <w:t>costs</w:t>
      </w:r>
      <w:r>
        <w:t xml:space="preserve"> for</w:t>
      </w:r>
      <w:r w:rsidRPr="002C1585">
        <w:t xml:space="preserve"> each option</w:t>
      </w:r>
      <w:bookmarkEnd w:id="94"/>
    </w:p>
    <w:tbl>
      <w:tblPr>
        <w:tblStyle w:val="TableGrid"/>
        <w:tblW w:w="0" w:type="auto"/>
        <w:tblLook w:val="04A0" w:firstRow="1" w:lastRow="0" w:firstColumn="1" w:lastColumn="0" w:noHBand="0" w:noVBand="1"/>
      </w:tblPr>
      <w:tblGrid>
        <w:gridCol w:w="1838"/>
        <w:gridCol w:w="1564"/>
        <w:gridCol w:w="1588"/>
        <w:gridCol w:w="1588"/>
        <w:gridCol w:w="1588"/>
        <w:gridCol w:w="1588"/>
      </w:tblGrid>
      <w:tr w:rsidR="007740C1" w14:paraId="36B4D71C" w14:textId="77777777" w:rsidTr="00680230">
        <w:trPr>
          <w:trHeight w:val="340"/>
        </w:trPr>
        <w:tc>
          <w:tcPr>
            <w:tcW w:w="3402" w:type="dxa"/>
            <w:gridSpan w:val="2"/>
            <w:shd w:val="clear" w:color="auto" w:fill="081E3E" w:themeFill="text2"/>
            <w:vAlign w:val="center"/>
          </w:tcPr>
          <w:p w14:paraId="740BDDA2" w14:textId="77777777" w:rsidR="007740C1" w:rsidRPr="00731C0C" w:rsidRDefault="007740C1" w:rsidP="00D30DA7">
            <w:pPr>
              <w:pStyle w:val="Table2heading"/>
              <w:jc w:val="left"/>
            </w:pPr>
            <w:r>
              <w:t>Costs</w:t>
            </w:r>
          </w:p>
        </w:tc>
        <w:tc>
          <w:tcPr>
            <w:tcW w:w="1588" w:type="dxa"/>
            <w:shd w:val="clear" w:color="auto" w:fill="081E3E" w:themeFill="text2"/>
            <w:vAlign w:val="center"/>
          </w:tcPr>
          <w:p w14:paraId="064279E1" w14:textId="77777777" w:rsidR="007740C1" w:rsidRPr="00731C0C" w:rsidRDefault="007740C1" w:rsidP="00BE6FF7">
            <w:pPr>
              <w:pStyle w:val="Table2heading"/>
              <w:keepNext/>
            </w:pPr>
            <w:r w:rsidRPr="00731C0C">
              <w:t>Option 3.1a</w:t>
            </w:r>
          </w:p>
        </w:tc>
        <w:tc>
          <w:tcPr>
            <w:tcW w:w="1588" w:type="dxa"/>
            <w:shd w:val="clear" w:color="auto" w:fill="081E3E" w:themeFill="text2"/>
            <w:vAlign w:val="center"/>
          </w:tcPr>
          <w:p w14:paraId="3F4A611D" w14:textId="77777777" w:rsidR="007740C1" w:rsidRPr="00731C0C" w:rsidRDefault="007740C1" w:rsidP="00BE6FF7">
            <w:pPr>
              <w:pStyle w:val="Table2heading"/>
              <w:keepNext/>
            </w:pPr>
            <w:r w:rsidRPr="00731C0C">
              <w:t>Option 3.1b</w:t>
            </w:r>
          </w:p>
        </w:tc>
        <w:tc>
          <w:tcPr>
            <w:tcW w:w="1588" w:type="dxa"/>
            <w:shd w:val="clear" w:color="auto" w:fill="081E3E" w:themeFill="text2"/>
            <w:vAlign w:val="center"/>
          </w:tcPr>
          <w:p w14:paraId="237C6E1A" w14:textId="77777777" w:rsidR="007740C1" w:rsidRPr="00731C0C" w:rsidRDefault="007740C1" w:rsidP="00BE6FF7">
            <w:pPr>
              <w:pStyle w:val="Table2heading"/>
              <w:keepNext/>
            </w:pPr>
            <w:r w:rsidRPr="00731C0C">
              <w:t>Option 3.2a</w:t>
            </w:r>
          </w:p>
        </w:tc>
        <w:tc>
          <w:tcPr>
            <w:tcW w:w="1588" w:type="dxa"/>
            <w:shd w:val="clear" w:color="auto" w:fill="081E3E" w:themeFill="text2"/>
            <w:vAlign w:val="center"/>
          </w:tcPr>
          <w:p w14:paraId="7798A9BE" w14:textId="77777777" w:rsidR="007740C1" w:rsidRPr="00731C0C" w:rsidRDefault="007740C1" w:rsidP="00BE6FF7">
            <w:pPr>
              <w:pStyle w:val="Table2heading"/>
              <w:keepNext/>
            </w:pPr>
            <w:r w:rsidRPr="00731C0C">
              <w:t>Option 3.2b</w:t>
            </w:r>
          </w:p>
        </w:tc>
      </w:tr>
      <w:tr w:rsidR="00A67B00" w14:paraId="338C0257" w14:textId="77777777" w:rsidTr="00680230">
        <w:trPr>
          <w:trHeight w:val="483"/>
        </w:trPr>
        <w:tc>
          <w:tcPr>
            <w:tcW w:w="1838" w:type="dxa"/>
            <w:vMerge w:val="restart"/>
            <w:vAlign w:val="center"/>
          </w:tcPr>
          <w:p w14:paraId="52AD1507" w14:textId="77777777" w:rsidR="00A67B00" w:rsidRDefault="00A67B00" w:rsidP="008444FB">
            <w:pPr>
              <w:rPr>
                <w:b/>
              </w:rPr>
            </w:pPr>
            <w:r>
              <w:rPr>
                <w:b/>
              </w:rPr>
              <w:t>Fitment of safety systems or features</w:t>
            </w:r>
            <w:r w:rsidR="0027221B">
              <w:rPr>
                <w:b/>
              </w:rPr>
              <w:t xml:space="preserve"> and modifications for width</w:t>
            </w:r>
            <w:r w:rsidR="00B54776">
              <w:rPr>
                <w:b/>
              </w:rPr>
              <w:t xml:space="preserve"> (net cost)</w:t>
            </w:r>
          </w:p>
        </w:tc>
        <w:tc>
          <w:tcPr>
            <w:tcW w:w="1564" w:type="dxa"/>
            <w:vAlign w:val="center"/>
          </w:tcPr>
          <w:p w14:paraId="550C8ECD" w14:textId="77777777" w:rsidR="00A67B00" w:rsidRPr="00C2534D" w:rsidRDefault="00A67B00" w:rsidP="008444FB">
            <w:r w:rsidRPr="00C2534D">
              <w:t>Goods vehicles</w:t>
            </w:r>
          </w:p>
        </w:tc>
        <w:tc>
          <w:tcPr>
            <w:tcW w:w="1588" w:type="dxa"/>
            <w:vAlign w:val="center"/>
          </w:tcPr>
          <w:p w14:paraId="5DCF1F78"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36</w:t>
            </w:r>
            <w:r>
              <w:rPr>
                <w:rFonts w:cstheme="minorHAnsi"/>
                <w:color w:val="000000"/>
              </w:rPr>
              <w:t> m</w:t>
            </w:r>
          </w:p>
        </w:tc>
        <w:tc>
          <w:tcPr>
            <w:tcW w:w="1588" w:type="dxa"/>
            <w:vAlign w:val="center"/>
          </w:tcPr>
          <w:p w14:paraId="6DF725FE"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36</w:t>
            </w:r>
            <w:r>
              <w:rPr>
                <w:rFonts w:cstheme="minorHAnsi"/>
                <w:color w:val="000000"/>
              </w:rPr>
              <w:t> m</w:t>
            </w:r>
          </w:p>
        </w:tc>
        <w:tc>
          <w:tcPr>
            <w:tcW w:w="1588" w:type="dxa"/>
            <w:vAlign w:val="center"/>
          </w:tcPr>
          <w:p w14:paraId="3D797497"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22</w:t>
            </w:r>
            <w:r>
              <w:rPr>
                <w:rFonts w:cstheme="minorHAnsi"/>
                <w:color w:val="000000"/>
              </w:rPr>
              <w:t> m</w:t>
            </w:r>
          </w:p>
        </w:tc>
        <w:tc>
          <w:tcPr>
            <w:tcW w:w="1588" w:type="dxa"/>
            <w:vAlign w:val="center"/>
          </w:tcPr>
          <w:p w14:paraId="777A8D4F" w14:textId="77777777"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22</w:t>
            </w:r>
            <w:r>
              <w:rPr>
                <w:rFonts w:cstheme="minorHAnsi"/>
                <w:color w:val="000000"/>
              </w:rPr>
              <w:t> m</w:t>
            </w:r>
          </w:p>
        </w:tc>
      </w:tr>
      <w:tr w:rsidR="00A67B00" w14:paraId="23ECE174" w14:textId="77777777" w:rsidTr="00680230">
        <w:trPr>
          <w:trHeight w:val="484"/>
        </w:trPr>
        <w:tc>
          <w:tcPr>
            <w:tcW w:w="1838" w:type="dxa"/>
            <w:vMerge/>
            <w:vAlign w:val="center"/>
          </w:tcPr>
          <w:p w14:paraId="1D429A26" w14:textId="77777777" w:rsidR="00A67B00" w:rsidRDefault="00A67B00" w:rsidP="008444FB">
            <w:pPr>
              <w:rPr>
                <w:b/>
              </w:rPr>
            </w:pPr>
          </w:p>
        </w:tc>
        <w:tc>
          <w:tcPr>
            <w:tcW w:w="1564" w:type="dxa"/>
            <w:vAlign w:val="center"/>
          </w:tcPr>
          <w:p w14:paraId="1F2075C7" w14:textId="77777777" w:rsidR="00A67B00" w:rsidRPr="00C2534D" w:rsidRDefault="00A67B00" w:rsidP="008444FB">
            <w:r w:rsidRPr="00C2534D">
              <w:t>Trailers</w:t>
            </w:r>
          </w:p>
        </w:tc>
        <w:tc>
          <w:tcPr>
            <w:tcW w:w="1588" w:type="dxa"/>
            <w:vAlign w:val="center"/>
          </w:tcPr>
          <w:p w14:paraId="3B532231" w14:textId="77777777" w:rsidR="00A67B00" w:rsidRPr="00A67B00" w:rsidRDefault="00A67B00" w:rsidP="008444FB">
            <w:pPr>
              <w:jc w:val="center"/>
              <w:rPr>
                <w:rFonts w:cstheme="minorHAnsi"/>
                <w:color w:val="auto"/>
              </w:rPr>
            </w:pPr>
            <w:r>
              <w:rPr>
                <w:rFonts w:cstheme="minorHAnsi"/>
                <w:color w:val="000000"/>
              </w:rPr>
              <w:t>$3</w:t>
            </w:r>
            <w:r w:rsidR="00134ABB">
              <w:rPr>
                <w:rFonts w:cstheme="minorHAnsi"/>
                <w:color w:val="000000"/>
              </w:rPr>
              <w:t>9</w:t>
            </w:r>
            <w:r w:rsidR="0027221B">
              <w:rPr>
                <w:rFonts w:cstheme="minorHAnsi"/>
                <w:color w:val="000000"/>
              </w:rPr>
              <w:t>.5</w:t>
            </w:r>
            <w:r>
              <w:rPr>
                <w:rFonts w:cstheme="minorHAnsi"/>
                <w:color w:val="000000"/>
              </w:rPr>
              <w:t> m</w:t>
            </w:r>
          </w:p>
        </w:tc>
        <w:tc>
          <w:tcPr>
            <w:tcW w:w="1588" w:type="dxa"/>
            <w:vAlign w:val="center"/>
          </w:tcPr>
          <w:p w14:paraId="7F5395E7" w14:textId="77777777" w:rsidR="00A67B00" w:rsidRPr="00A67B00" w:rsidRDefault="008C3688" w:rsidP="008444FB">
            <w:pPr>
              <w:jc w:val="center"/>
              <w:rPr>
                <w:rFonts w:cstheme="minorHAnsi"/>
                <w:color w:val="auto"/>
              </w:rPr>
            </w:pPr>
            <w:r>
              <w:rPr>
                <w:color w:val="auto"/>
              </w:rPr>
              <w:t>-</w:t>
            </w:r>
          </w:p>
        </w:tc>
        <w:tc>
          <w:tcPr>
            <w:tcW w:w="1588" w:type="dxa"/>
            <w:vAlign w:val="center"/>
          </w:tcPr>
          <w:p w14:paraId="44AAB288" w14:textId="77777777" w:rsidR="00A67B00" w:rsidRPr="00A67B00" w:rsidRDefault="00A67B00" w:rsidP="008444FB">
            <w:pPr>
              <w:jc w:val="center"/>
              <w:rPr>
                <w:rFonts w:cstheme="minorHAnsi"/>
                <w:color w:val="auto"/>
              </w:rPr>
            </w:pPr>
            <w:r>
              <w:rPr>
                <w:rFonts w:cstheme="minorHAnsi"/>
                <w:color w:val="000000"/>
              </w:rPr>
              <w:t>$</w:t>
            </w:r>
            <w:r w:rsidR="0027221B">
              <w:rPr>
                <w:rFonts w:cstheme="minorHAnsi"/>
                <w:color w:val="000000"/>
              </w:rPr>
              <w:t>41.0</w:t>
            </w:r>
            <w:r>
              <w:rPr>
                <w:rFonts w:cstheme="minorHAnsi"/>
                <w:color w:val="000000"/>
              </w:rPr>
              <w:t> m</w:t>
            </w:r>
          </w:p>
        </w:tc>
        <w:tc>
          <w:tcPr>
            <w:tcW w:w="1588" w:type="dxa"/>
            <w:vAlign w:val="center"/>
          </w:tcPr>
          <w:p w14:paraId="638FEFBC" w14:textId="77777777" w:rsidR="00A67B00" w:rsidRPr="00A67B00" w:rsidRDefault="008C3688" w:rsidP="008444FB">
            <w:pPr>
              <w:jc w:val="center"/>
              <w:rPr>
                <w:rFonts w:cstheme="minorHAnsi"/>
                <w:color w:val="auto"/>
              </w:rPr>
            </w:pPr>
            <w:r>
              <w:rPr>
                <w:color w:val="auto"/>
              </w:rPr>
              <w:t>-</w:t>
            </w:r>
          </w:p>
        </w:tc>
      </w:tr>
      <w:tr w:rsidR="00A67B00" w14:paraId="2F8EFDCF" w14:textId="77777777" w:rsidTr="00680230">
        <w:trPr>
          <w:trHeight w:val="340"/>
        </w:trPr>
        <w:tc>
          <w:tcPr>
            <w:tcW w:w="3402" w:type="dxa"/>
            <w:gridSpan w:val="2"/>
            <w:vAlign w:val="center"/>
          </w:tcPr>
          <w:p w14:paraId="5191F708" w14:textId="77777777" w:rsidR="00A67B00" w:rsidRPr="00E856F5" w:rsidRDefault="00A67B00" w:rsidP="008444FB">
            <w:pPr>
              <w:rPr>
                <w:b/>
              </w:rPr>
            </w:pPr>
            <w:r>
              <w:rPr>
                <w:b/>
              </w:rPr>
              <w:t>Maintenance of safety systems or features</w:t>
            </w:r>
          </w:p>
        </w:tc>
        <w:tc>
          <w:tcPr>
            <w:tcW w:w="1588" w:type="dxa"/>
            <w:vAlign w:val="center"/>
          </w:tcPr>
          <w:p w14:paraId="67BECA37" w14:textId="77777777"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41.3</w:t>
            </w:r>
            <w:r>
              <w:rPr>
                <w:rFonts w:cstheme="minorHAnsi"/>
                <w:color w:val="000000"/>
              </w:rPr>
              <w:t> m</w:t>
            </w:r>
          </w:p>
        </w:tc>
        <w:tc>
          <w:tcPr>
            <w:tcW w:w="1588" w:type="dxa"/>
            <w:vAlign w:val="center"/>
          </w:tcPr>
          <w:p w14:paraId="1D6097CB" w14:textId="77777777"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37.2</w:t>
            </w:r>
            <w:r>
              <w:rPr>
                <w:rFonts w:cstheme="minorHAnsi"/>
                <w:color w:val="000000"/>
              </w:rPr>
              <w:t> m</w:t>
            </w:r>
          </w:p>
        </w:tc>
        <w:tc>
          <w:tcPr>
            <w:tcW w:w="1588" w:type="dxa"/>
            <w:vAlign w:val="center"/>
          </w:tcPr>
          <w:p w14:paraId="1DAC0B3C" w14:textId="77777777" w:rsidR="00A67B00" w:rsidRPr="00A67B00" w:rsidRDefault="00A67B00" w:rsidP="008444FB">
            <w:pPr>
              <w:jc w:val="center"/>
              <w:rPr>
                <w:rFonts w:cstheme="minorHAnsi"/>
                <w:color w:val="auto"/>
              </w:rPr>
            </w:pPr>
            <w:r>
              <w:rPr>
                <w:rFonts w:cstheme="minorHAnsi"/>
              </w:rPr>
              <w:t>$</w:t>
            </w:r>
            <w:r w:rsidR="00134ABB">
              <w:rPr>
                <w:rFonts w:cstheme="minorHAnsi"/>
              </w:rPr>
              <w:t>41.3</w:t>
            </w:r>
            <w:r>
              <w:rPr>
                <w:rFonts w:cstheme="minorHAnsi"/>
              </w:rPr>
              <w:t> m</w:t>
            </w:r>
          </w:p>
        </w:tc>
        <w:tc>
          <w:tcPr>
            <w:tcW w:w="1588" w:type="dxa"/>
            <w:vAlign w:val="center"/>
          </w:tcPr>
          <w:p w14:paraId="6C37B105" w14:textId="77777777"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37.2</w:t>
            </w:r>
            <w:r>
              <w:rPr>
                <w:rFonts w:cstheme="minorHAnsi"/>
                <w:color w:val="000000"/>
              </w:rPr>
              <w:t> m</w:t>
            </w:r>
          </w:p>
        </w:tc>
      </w:tr>
      <w:tr w:rsidR="00616327" w14:paraId="3183FE61" w14:textId="77777777" w:rsidTr="00680230">
        <w:trPr>
          <w:trHeight w:val="340"/>
        </w:trPr>
        <w:tc>
          <w:tcPr>
            <w:tcW w:w="3402" w:type="dxa"/>
            <w:gridSpan w:val="2"/>
            <w:vAlign w:val="center"/>
          </w:tcPr>
          <w:p w14:paraId="1BABC4BE" w14:textId="77777777" w:rsidR="00616327" w:rsidRDefault="00616327" w:rsidP="008444FB">
            <w:pPr>
              <w:rPr>
                <w:b/>
              </w:rPr>
            </w:pPr>
            <w:r>
              <w:rPr>
                <w:b/>
              </w:rPr>
              <w:t>Implementation of standards</w:t>
            </w:r>
          </w:p>
        </w:tc>
        <w:tc>
          <w:tcPr>
            <w:tcW w:w="1588" w:type="dxa"/>
            <w:vAlign w:val="center"/>
          </w:tcPr>
          <w:p w14:paraId="27A77EFF" w14:textId="77777777" w:rsidR="00616327" w:rsidRPr="006E727B" w:rsidRDefault="00616327" w:rsidP="008444FB">
            <w:pPr>
              <w:jc w:val="center"/>
              <w:rPr>
                <w:highlight w:val="yellow"/>
              </w:rPr>
            </w:pPr>
            <w:r w:rsidRPr="00283AB0">
              <w:t>$0.47</w:t>
            </w:r>
            <w:r>
              <w:t> m</w:t>
            </w:r>
          </w:p>
        </w:tc>
        <w:tc>
          <w:tcPr>
            <w:tcW w:w="1588" w:type="dxa"/>
            <w:vAlign w:val="center"/>
          </w:tcPr>
          <w:p w14:paraId="5FBFCB89" w14:textId="77777777" w:rsidR="00616327" w:rsidRPr="006E727B" w:rsidRDefault="00616327" w:rsidP="008444FB">
            <w:pPr>
              <w:jc w:val="center"/>
              <w:rPr>
                <w:highlight w:val="yellow"/>
              </w:rPr>
            </w:pPr>
            <w:r w:rsidRPr="00283AB0">
              <w:t>$0.47</w:t>
            </w:r>
            <w:r>
              <w:t> m</w:t>
            </w:r>
          </w:p>
        </w:tc>
        <w:tc>
          <w:tcPr>
            <w:tcW w:w="1588" w:type="dxa"/>
            <w:vAlign w:val="center"/>
          </w:tcPr>
          <w:p w14:paraId="5BF02ADF" w14:textId="77777777" w:rsidR="00616327" w:rsidRPr="006E727B" w:rsidRDefault="00616327" w:rsidP="008444FB">
            <w:pPr>
              <w:jc w:val="center"/>
              <w:rPr>
                <w:highlight w:val="yellow"/>
              </w:rPr>
            </w:pPr>
            <w:r w:rsidRPr="00283AB0">
              <w:t>$0.47</w:t>
            </w:r>
            <w:r>
              <w:t> m</w:t>
            </w:r>
          </w:p>
        </w:tc>
        <w:tc>
          <w:tcPr>
            <w:tcW w:w="1588" w:type="dxa"/>
            <w:vAlign w:val="center"/>
          </w:tcPr>
          <w:p w14:paraId="27A9A0A1" w14:textId="77777777" w:rsidR="00616327" w:rsidRPr="006E727B" w:rsidRDefault="00616327" w:rsidP="008444FB">
            <w:pPr>
              <w:jc w:val="center"/>
              <w:rPr>
                <w:highlight w:val="yellow"/>
              </w:rPr>
            </w:pPr>
            <w:r w:rsidRPr="00283AB0">
              <w:t>$0.47</w:t>
            </w:r>
            <w:r>
              <w:t> m</w:t>
            </w:r>
          </w:p>
        </w:tc>
      </w:tr>
      <w:tr w:rsidR="00616327" w14:paraId="1F85E0D7" w14:textId="77777777" w:rsidTr="00680230">
        <w:trPr>
          <w:trHeight w:val="340"/>
        </w:trPr>
        <w:tc>
          <w:tcPr>
            <w:tcW w:w="3402" w:type="dxa"/>
            <w:gridSpan w:val="2"/>
            <w:vAlign w:val="center"/>
          </w:tcPr>
          <w:p w14:paraId="2FC2AA6D" w14:textId="77777777" w:rsidR="00616327" w:rsidRDefault="00616327" w:rsidP="008444FB">
            <w:pPr>
              <w:rPr>
                <w:b/>
              </w:rPr>
            </w:pPr>
            <w:r>
              <w:rPr>
                <w:b/>
              </w:rPr>
              <w:t>Infrastructure updates</w:t>
            </w:r>
          </w:p>
        </w:tc>
        <w:tc>
          <w:tcPr>
            <w:tcW w:w="1588" w:type="dxa"/>
            <w:vAlign w:val="center"/>
          </w:tcPr>
          <w:p w14:paraId="5A10F39C" w14:textId="77777777" w:rsidR="00616327" w:rsidRPr="006E727B" w:rsidRDefault="00616327" w:rsidP="008444FB">
            <w:pPr>
              <w:jc w:val="center"/>
              <w:rPr>
                <w:highlight w:val="yellow"/>
              </w:rPr>
            </w:pPr>
            <w:r w:rsidRPr="00283AB0">
              <w:t>$16.</w:t>
            </w:r>
            <w:r w:rsidR="00134ABB">
              <w:t>8</w:t>
            </w:r>
            <w:r>
              <w:t> m</w:t>
            </w:r>
          </w:p>
        </w:tc>
        <w:tc>
          <w:tcPr>
            <w:tcW w:w="1588" w:type="dxa"/>
            <w:vAlign w:val="center"/>
          </w:tcPr>
          <w:p w14:paraId="575E839C" w14:textId="77777777" w:rsidR="00616327" w:rsidRPr="006E727B" w:rsidRDefault="00616327" w:rsidP="008444FB">
            <w:pPr>
              <w:jc w:val="center"/>
              <w:rPr>
                <w:highlight w:val="yellow"/>
              </w:rPr>
            </w:pPr>
            <w:r w:rsidRPr="00283AB0">
              <w:t>$1</w:t>
            </w:r>
            <w:r w:rsidR="00134ABB">
              <w:t>5.5</w:t>
            </w:r>
            <w:r>
              <w:t> m</w:t>
            </w:r>
          </w:p>
        </w:tc>
        <w:tc>
          <w:tcPr>
            <w:tcW w:w="1588" w:type="dxa"/>
            <w:vAlign w:val="center"/>
          </w:tcPr>
          <w:p w14:paraId="5FEBCCA4" w14:textId="77777777" w:rsidR="00616327" w:rsidRPr="006E727B" w:rsidRDefault="00616327" w:rsidP="008444FB">
            <w:pPr>
              <w:jc w:val="center"/>
              <w:rPr>
                <w:highlight w:val="yellow"/>
              </w:rPr>
            </w:pPr>
            <w:r w:rsidRPr="00283AB0">
              <w:t>$16.</w:t>
            </w:r>
            <w:r w:rsidR="00134ABB">
              <w:t>8</w:t>
            </w:r>
            <w:r>
              <w:t> m</w:t>
            </w:r>
          </w:p>
        </w:tc>
        <w:tc>
          <w:tcPr>
            <w:tcW w:w="1588" w:type="dxa"/>
            <w:vAlign w:val="center"/>
          </w:tcPr>
          <w:p w14:paraId="741688AA" w14:textId="77777777" w:rsidR="00616327" w:rsidRPr="006E727B" w:rsidRDefault="00616327" w:rsidP="008444FB">
            <w:pPr>
              <w:jc w:val="center"/>
              <w:rPr>
                <w:highlight w:val="yellow"/>
              </w:rPr>
            </w:pPr>
            <w:r w:rsidRPr="00283AB0">
              <w:t>$1</w:t>
            </w:r>
            <w:r w:rsidR="00134ABB">
              <w:t>5.5</w:t>
            </w:r>
            <w:r>
              <w:t> m</w:t>
            </w:r>
          </w:p>
        </w:tc>
      </w:tr>
    </w:tbl>
    <w:p w14:paraId="6E0F4DFA" w14:textId="1E6DF6DF" w:rsidR="00074961" w:rsidRDefault="00534814" w:rsidP="00C60087">
      <w:r>
        <w:t xml:space="preserve">Figure </w:t>
      </w:r>
      <w:r>
        <w:rPr>
          <w:noProof/>
        </w:rPr>
        <w:t>12</w:t>
      </w:r>
      <w:r w:rsidR="00DE3DD5">
        <w:t xml:space="preserve">, </w:t>
      </w:r>
      <w:r>
        <w:t xml:space="preserve">Figure </w:t>
      </w:r>
      <w:r>
        <w:rPr>
          <w:noProof/>
        </w:rPr>
        <w:t>13</w:t>
      </w:r>
      <w:r w:rsidR="00DE3DD5">
        <w:t xml:space="preserve">, </w:t>
      </w:r>
      <w:r>
        <w:t xml:space="preserve">Figure </w:t>
      </w:r>
      <w:r>
        <w:rPr>
          <w:noProof/>
        </w:rPr>
        <w:t>14</w:t>
      </w:r>
      <w:r w:rsidR="00DE3DD5">
        <w:t xml:space="preserve">, and </w:t>
      </w:r>
      <w:r>
        <w:t xml:space="preserve">Figure </w:t>
      </w:r>
      <w:r>
        <w:rPr>
          <w:noProof/>
        </w:rPr>
        <w:t>15</w:t>
      </w:r>
      <w:r w:rsidR="00DE3DD5">
        <w:t xml:space="preserve"> show the total (i.e. cumulative) costs for each option analysed, at each year of the analysis period. As per all other costs presented in this IA, these are present values as of 1 July 2023.</w:t>
      </w:r>
    </w:p>
    <w:p w14:paraId="5C2F60A9" w14:textId="77777777" w:rsidR="00ED523D" w:rsidRDefault="00091A84" w:rsidP="00C60087">
      <w:r w:rsidRPr="00091A84">
        <w:rPr>
          <w:noProof/>
        </w:rPr>
        <w:drawing>
          <wp:inline distT="0" distB="0" distL="0" distR="0" wp14:anchorId="7AF40ECB" wp14:editId="4E1A5481">
            <wp:extent cx="6192000" cy="2799080"/>
            <wp:effectExtent l="0" t="0" r="0" b="1270"/>
            <wp:docPr id="2737" name="Picture 2737" descr="Figure 12 graph showing the total (i.e. cumulative) vehicle, standards, and infrastructure costs under Option 3.1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2000" cy="2799080"/>
                    </a:xfrm>
                    <a:prstGeom prst="rect">
                      <a:avLst/>
                    </a:prstGeom>
                  </pic:spPr>
                </pic:pic>
              </a:graphicData>
            </a:graphic>
          </wp:inline>
        </w:drawing>
      </w:r>
    </w:p>
    <w:p w14:paraId="209C2284" w14:textId="3F0A0EBB" w:rsidR="003934FC" w:rsidRDefault="003934FC" w:rsidP="003934FC">
      <w:pPr>
        <w:pStyle w:val="Caption"/>
        <w:spacing w:before="120"/>
      </w:pPr>
      <w:bookmarkStart w:id="95" w:name="_Ref135320032"/>
      <w:bookmarkStart w:id="96" w:name="_Toc135321402"/>
      <w:r>
        <w:t xml:space="preserve">Figure </w:t>
      </w:r>
      <w:r w:rsidR="00534814">
        <w:rPr>
          <w:noProof/>
        </w:rPr>
        <w:t>12</w:t>
      </w:r>
      <w:bookmarkEnd w:id="95"/>
      <w:r>
        <w:t xml:space="preserve">: </w:t>
      </w:r>
      <w:r w:rsidR="007D1556">
        <w:t>Total</w:t>
      </w:r>
      <w:r>
        <w:t xml:space="preserve"> (i.e. cumulative) costs under Option 3.1a at each year of the analysis period</w:t>
      </w:r>
      <w:bookmarkEnd w:id="96"/>
    </w:p>
    <w:p w14:paraId="20E4E3BE" w14:textId="77777777" w:rsidR="00ED523D" w:rsidRDefault="00091A84" w:rsidP="00C60087">
      <w:r w:rsidRPr="00091A84">
        <w:rPr>
          <w:noProof/>
        </w:rPr>
        <w:drawing>
          <wp:inline distT="0" distB="0" distL="0" distR="0" wp14:anchorId="483A5540" wp14:editId="1266F64F">
            <wp:extent cx="6192000" cy="2799080"/>
            <wp:effectExtent l="0" t="0" r="0" b="1270"/>
            <wp:docPr id="2738" name="Picture 2738" descr="Figure 13 graph showing the total (i.e. cumulative) vehicle, standards, and infrastructure costs under Option 3.1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2000" cy="2799080"/>
                    </a:xfrm>
                    <a:prstGeom prst="rect">
                      <a:avLst/>
                    </a:prstGeom>
                  </pic:spPr>
                </pic:pic>
              </a:graphicData>
            </a:graphic>
          </wp:inline>
        </w:drawing>
      </w:r>
    </w:p>
    <w:p w14:paraId="0801B5EF" w14:textId="1C2F1F27" w:rsidR="003934FC" w:rsidRDefault="003934FC" w:rsidP="003934FC">
      <w:pPr>
        <w:pStyle w:val="Caption"/>
        <w:spacing w:before="120"/>
      </w:pPr>
      <w:bookmarkStart w:id="97" w:name="_Ref135320041"/>
      <w:bookmarkStart w:id="98" w:name="_Toc135321403"/>
      <w:r>
        <w:t xml:space="preserve">Figure </w:t>
      </w:r>
      <w:r w:rsidR="00534814">
        <w:rPr>
          <w:noProof/>
        </w:rPr>
        <w:t>13</w:t>
      </w:r>
      <w:bookmarkEnd w:id="97"/>
      <w:r>
        <w:t xml:space="preserve">: </w:t>
      </w:r>
      <w:r w:rsidR="007D1556">
        <w:t>Total</w:t>
      </w:r>
      <w:r>
        <w:t xml:space="preserve"> (i.e. cumulative) costs under Option 3.1b at each year of the analysis period</w:t>
      </w:r>
      <w:bookmarkEnd w:id="98"/>
    </w:p>
    <w:p w14:paraId="44AD575C" w14:textId="77777777" w:rsidR="00373AC2" w:rsidRDefault="00091A84" w:rsidP="00C60087">
      <w:r w:rsidRPr="00091A84">
        <w:rPr>
          <w:noProof/>
        </w:rPr>
        <w:drawing>
          <wp:inline distT="0" distB="0" distL="0" distR="0" wp14:anchorId="28DFE9F5" wp14:editId="64B2400A">
            <wp:extent cx="6192000" cy="2799080"/>
            <wp:effectExtent l="0" t="0" r="0" b="1270"/>
            <wp:docPr id="2742" name="Picture 2742" descr="Figure 14 graph showing the total (i.e. cumulative) vehicle, standards, and infrastructure costs under Option 3.2a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000" cy="2799080"/>
                    </a:xfrm>
                    <a:prstGeom prst="rect">
                      <a:avLst/>
                    </a:prstGeom>
                  </pic:spPr>
                </pic:pic>
              </a:graphicData>
            </a:graphic>
          </wp:inline>
        </w:drawing>
      </w:r>
    </w:p>
    <w:p w14:paraId="48FD2D7A" w14:textId="31D0FF1B" w:rsidR="003934FC" w:rsidRDefault="003934FC" w:rsidP="003934FC">
      <w:pPr>
        <w:pStyle w:val="Caption"/>
        <w:spacing w:before="120"/>
      </w:pPr>
      <w:bookmarkStart w:id="99" w:name="_Ref135320049"/>
      <w:bookmarkStart w:id="100" w:name="_Toc135321404"/>
      <w:r>
        <w:t xml:space="preserve">Figure </w:t>
      </w:r>
      <w:r w:rsidR="00534814">
        <w:rPr>
          <w:noProof/>
        </w:rPr>
        <w:t>14</w:t>
      </w:r>
      <w:bookmarkEnd w:id="99"/>
      <w:r>
        <w:t xml:space="preserve">: </w:t>
      </w:r>
      <w:r w:rsidR="007D1556">
        <w:t>Total</w:t>
      </w:r>
      <w:r>
        <w:t xml:space="preserve"> (i.e. cumulative) costs under Option 3.2a at each year of the analysis period</w:t>
      </w:r>
      <w:bookmarkEnd w:id="100"/>
    </w:p>
    <w:p w14:paraId="33C67EFB" w14:textId="77777777" w:rsidR="00AD2F57" w:rsidRDefault="00091A84" w:rsidP="00C60087">
      <w:r w:rsidRPr="00091A84">
        <w:rPr>
          <w:noProof/>
        </w:rPr>
        <w:drawing>
          <wp:inline distT="0" distB="0" distL="0" distR="0" wp14:anchorId="5A7BF154" wp14:editId="4943830F">
            <wp:extent cx="6192000" cy="2799080"/>
            <wp:effectExtent l="0" t="0" r="0" b="1270"/>
            <wp:docPr id="2743" name="Picture 2743" descr="Figure 15 graph showing the total (i.e. cumulative) vehicle, standards, and infrastructure costs under Option 3.2b at each year of the analysis period, 2023 to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000" cy="2799080"/>
                    </a:xfrm>
                    <a:prstGeom prst="rect">
                      <a:avLst/>
                    </a:prstGeom>
                  </pic:spPr>
                </pic:pic>
              </a:graphicData>
            </a:graphic>
          </wp:inline>
        </w:drawing>
      </w:r>
    </w:p>
    <w:p w14:paraId="61023EF8" w14:textId="1F56EE01" w:rsidR="003934FC" w:rsidRDefault="003934FC" w:rsidP="003934FC">
      <w:pPr>
        <w:pStyle w:val="Caption"/>
        <w:spacing w:before="120"/>
      </w:pPr>
      <w:bookmarkStart w:id="101" w:name="_Ref135320062"/>
      <w:bookmarkStart w:id="102" w:name="_Toc135321405"/>
      <w:r>
        <w:t xml:space="preserve">Figure </w:t>
      </w:r>
      <w:r w:rsidR="00534814">
        <w:rPr>
          <w:noProof/>
        </w:rPr>
        <w:t>15</w:t>
      </w:r>
      <w:bookmarkEnd w:id="101"/>
      <w:r>
        <w:t xml:space="preserve">: </w:t>
      </w:r>
      <w:r w:rsidR="007D1556">
        <w:t>Total</w:t>
      </w:r>
      <w:r>
        <w:t xml:space="preserve"> (i.e. cumulative) costs under Option 3.2b at each year of the analysis period</w:t>
      </w:r>
      <w:bookmarkEnd w:id="102"/>
    </w:p>
    <w:p w14:paraId="2E369D7E" w14:textId="77777777" w:rsidR="00ED523D" w:rsidRDefault="00ED523D" w:rsidP="00C60087"/>
    <w:p w14:paraId="0044A5BF" w14:textId="77777777" w:rsidR="003934FC" w:rsidRPr="00C60087" w:rsidRDefault="003934FC" w:rsidP="00C60087">
      <w:pPr>
        <w:sectPr w:rsidR="003934FC" w:rsidRPr="00C60087" w:rsidSect="00D87AD8">
          <w:pgSz w:w="11906" w:h="16838" w:code="9"/>
          <w:pgMar w:top="1021" w:right="1021" w:bottom="1021" w:left="1021" w:header="510" w:footer="567" w:gutter="0"/>
          <w:cols w:space="708"/>
          <w:docGrid w:linePitch="360"/>
        </w:sectPr>
      </w:pPr>
    </w:p>
    <w:p w14:paraId="649741FD" w14:textId="77777777" w:rsidR="0065515A" w:rsidRPr="007B6E69" w:rsidRDefault="0065515A" w:rsidP="0065515A">
      <w:pPr>
        <w:pStyle w:val="Heading1"/>
      </w:pPr>
      <w:bookmarkStart w:id="103" w:name="_Toc111576725"/>
      <w:bookmarkStart w:id="104" w:name="_Toc143182147"/>
      <w:r w:rsidRPr="007B6E69">
        <w:t xml:space="preserve">Chapter </w:t>
      </w:r>
      <w:r w:rsidR="0076730E">
        <w:t>6</w:t>
      </w:r>
      <w:r w:rsidRPr="007B6E69">
        <w:t>: Consultation</w:t>
      </w:r>
      <w:bookmarkEnd w:id="103"/>
      <w:bookmarkEnd w:id="104"/>
    </w:p>
    <w:p w14:paraId="19CB6A32" w14:textId="77777777" w:rsidR="0065515A" w:rsidRPr="007B6E69" w:rsidRDefault="008C0A45" w:rsidP="0065515A">
      <w:pPr>
        <w:pStyle w:val="Heading2"/>
        <w:rPr>
          <w:lang w:val="en-AU"/>
        </w:rPr>
      </w:pPr>
      <w:bookmarkStart w:id="105" w:name="_Toc143182148"/>
      <w:r>
        <w:rPr>
          <w:lang w:val="en-AU"/>
        </w:rPr>
        <w:t>General c</w:t>
      </w:r>
      <w:r w:rsidR="0065515A" w:rsidRPr="007B6E69">
        <w:rPr>
          <w:lang w:val="en-AU"/>
        </w:rPr>
        <w:t>onsultat</w:t>
      </w:r>
      <w:r w:rsidR="00D06826">
        <w:rPr>
          <w:lang w:val="en-AU"/>
        </w:rPr>
        <w:t>ion</w:t>
      </w:r>
      <w:r w:rsidR="0065515A" w:rsidRPr="007B6E69">
        <w:rPr>
          <w:lang w:val="en-AU"/>
        </w:rPr>
        <w:t xml:space="preserve"> </w:t>
      </w:r>
      <w:r w:rsidR="00FB2ED7">
        <w:rPr>
          <w:lang w:val="en-AU"/>
        </w:rPr>
        <w:t>arrangements</w:t>
      </w:r>
      <w:r w:rsidR="00D06826">
        <w:rPr>
          <w:lang w:val="en-AU"/>
        </w:rPr>
        <w:t xml:space="preserve"> and committees</w:t>
      </w:r>
      <w:bookmarkEnd w:id="105"/>
    </w:p>
    <w:p w14:paraId="2BB5B584" w14:textId="77777777" w:rsidR="0065515A" w:rsidRPr="007B6E69" w:rsidRDefault="0065515A" w:rsidP="0065515A">
      <w:r w:rsidRPr="007B6E69">
        <w:t xml:space="preserve">It has been longstanding practice </w:t>
      </w:r>
      <w:r w:rsidR="00AC4185">
        <w:t xml:space="preserve">for the </w:t>
      </w:r>
      <w:r w:rsidR="00B9347B">
        <w:t>d</w:t>
      </w:r>
      <w:r w:rsidR="00AC4185">
        <w:t xml:space="preserve">epartment </w:t>
      </w:r>
      <w:r w:rsidRPr="007B6E69">
        <w:t>to consult widely on proposed new or amended vehicle standards. For many years, there has been active collaboration between the Commonwealth and the state/territory governments, as well as consultation with industry and consumer groups. Much of the consultation takes place within institutional arrangements established for this purpose. The analysis and documentation prepared in a particular case, and the bodies consulted, depend on the degree of impact the new or amended standard is expected to have on industry or road users.</w:t>
      </w:r>
    </w:p>
    <w:p w14:paraId="75014904" w14:textId="77777777" w:rsidR="0065515A" w:rsidRPr="007B6E69" w:rsidRDefault="0065515A" w:rsidP="0065515A">
      <w:r w:rsidRPr="007B6E69">
        <w:t xml:space="preserve">The </w:t>
      </w:r>
      <w:r w:rsidR="00B9347B">
        <w:t>d</w:t>
      </w:r>
      <w:r w:rsidRPr="007B6E69">
        <w:t>epartment undertakes public consultation on significant proposals</w:t>
      </w:r>
      <w:r w:rsidR="001972C6">
        <w:t xml:space="preserve"> in order</w:t>
      </w:r>
      <w:r w:rsidR="00B5561B">
        <w:t xml:space="preserve"> to obtain the views of affected parties, ensure all practical and viable policy alternatives are considered, confirm the accuracy of data on which analyses are based, </w:t>
      </w:r>
      <w:r w:rsidR="009E025B">
        <w:t xml:space="preserve">and </w:t>
      </w:r>
      <w:r w:rsidR="00B5561B">
        <w:t>ensure there are no implementation barriers and/or unintended consequences</w:t>
      </w:r>
      <w:r w:rsidRPr="007B6E69">
        <w:t>. Depending on the nature of the proposed changes, consultation may involve community and industry stakeholders as well as established government committees such as the Technical Liaison Group (TLG), Strategic Vehicle Safety and Environment Group (SVSEG), the Infrastructure and Transport Senior Officials’ Committee (ITSOC) and the Infrastructure and Transport Ministers Meeting (ITMM).</w:t>
      </w:r>
    </w:p>
    <w:p w14:paraId="4D5B03E8" w14:textId="77777777" w:rsidR="0065515A" w:rsidRPr="007B6E69" w:rsidRDefault="0065515A" w:rsidP="006D7157">
      <w:pPr>
        <w:pStyle w:val="ListParagraph"/>
        <w:numPr>
          <w:ilvl w:val="0"/>
          <w:numId w:val="8"/>
        </w:numPr>
      </w:pPr>
      <w:r w:rsidRPr="007B6E69">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37B1B306" w14:textId="77777777" w:rsidR="0065515A" w:rsidRPr="007B6E69" w:rsidRDefault="0065515A" w:rsidP="006D7157">
      <w:pPr>
        <w:pStyle w:val="ListParagraph"/>
        <w:numPr>
          <w:ilvl w:val="0"/>
          <w:numId w:val="8"/>
        </w:numPr>
      </w:pPr>
      <w:r w:rsidRPr="007B6E69">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372DBB8E" w14:textId="77777777" w:rsidR="0065515A" w:rsidRPr="007B6E69" w:rsidRDefault="0065515A" w:rsidP="006D7157">
      <w:pPr>
        <w:pStyle w:val="ListParagraph"/>
        <w:numPr>
          <w:ilvl w:val="0"/>
          <w:numId w:val="8"/>
        </w:numPr>
      </w:pPr>
      <w:r w:rsidRPr="007B6E69">
        <w:t>ITSOC consists of state and territory transport and/or infrastructure Chief Executive Officers (CEOs) (or equivalents), the CEO of the National Transport Commission, New Zealand and the Australian Local Government Association.</w:t>
      </w:r>
    </w:p>
    <w:p w14:paraId="70811046" w14:textId="77777777" w:rsidR="0065515A" w:rsidRPr="007B6E69" w:rsidRDefault="0065515A" w:rsidP="006D7157">
      <w:pPr>
        <w:pStyle w:val="ListParagraph"/>
        <w:numPr>
          <w:ilvl w:val="0"/>
          <w:numId w:val="8"/>
        </w:numPr>
      </w:pPr>
      <w:r w:rsidRPr="007B6E69">
        <w:t>ITMM consists of the Australian, state/territory and New Zealand Ministers with responsibility for transport and infrastructure issues.</w:t>
      </w:r>
    </w:p>
    <w:p w14:paraId="225A3788" w14:textId="77777777" w:rsidR="0065515A" w:rsidRPr="007B6E69" w:rsidRDefault="0065515A" w:rsidP="0065515A">
      <w:r w:rsidRPr="007B6E69">
        <w:t>SVSEG and the TLG are the principal consultative forums for advising on ADR proposals. Membership of the SVSEG is shown at Appendix 1</w:t>
      </w:r>
      <w:r w:rsidR="003D06DB">
        <w:t>2</w:t>
      </w:r>
      <w:r w:rsidRPr="007B6E69">
        <w:t>, and membership of the TLG is shown at Appendix 1</w:t>
      </w:r>
      <w:r w:rsidR="003D06DB">
        <w:t>3</w:t>
      </w:r>
      <w:r w:rsidRPr="007B6E69">
        <w:t>.</w:t>
      </w:r>
    </w:p>
    <w:p w14:paraId="7A1117AC" w14:textId="77777777" w:rsidR="0065515A" w:rsidRPr="007B6E69" w:rsidRDefault="0065515A" w:rsidP="0065515A">
      <w:pPr>
        <w:pStyle w:val="Heading2"/>
        <w:rPr>
          <w:lang w:val="en-AU"/>
        </w:rPr>
      </w:pPr>
      <w:bookmarkStart w:id="106" w:name="_Toc143182149"/>
      <w:r w:rsidRPr="007B6E69">
        <w:rPr>
          <w:lang w:val="en-AU"/>
        </w:rPr>
        <w:t>Public comment</w:t>
      </w:r>
      <w:bookmarkEnd w:id="106"/>
    </w:p>
    <w:p w14:paraId="7CC61552" w14:textId="77777777" w:rsidR="0065515A" w:rsidRPr="007B6E69" w:rsidRDefault="00D92559" w:rsidP="0065515A">
      <w:r w:rsidRPr="007B6E69">
        <w:t xml:space="preserve">The publication of </w:t>
      </w:r>
      <w:r w:rsidR="00E17D0D" w:rsidRPr="007B6E69">
        <w:t xml:space="preserve">proposed policy options and </w:t>
      </w:r>
      <w:r w:rsidRPr="007B6E69">
        <w:t>exposure draft</w:t>
      </w:r>
      <w:r w:rsidR="00E17D0D" w:rsidRPr="007B6E69">
        <w:t>s</w:t>
      </w:r>
      <w:r w:rsidRPr="007B6E69">
        <w:t xml:space="preserve"> </w:t>
      </w:r>
      <w:r w:rsidR="00E17D0D" w:rsidRPr="007B6E69">
        <w:t xml:space="preserve">of implementing ADRs </w:t>
      </w:r>
      <w:r w:rsidRPr="007B6E69">
        <w:t xml:space="preserve">for public comment is an integral part of the consultation process. This provides an opportunity for businesses and road user groups, as well as all other interested parties, to respond to the proposal by writing or otherwise submitting their comments to the </w:t>
      </w:r>
      <w:r w:rsidR="00B9347B">
        <w:t>d</w:t>
      </w:r>
      <w:r w:rsidRPr="007B6E69">
        <w:t xml:space="preserve">epartment. </w:t>
      </w:r>
      <w:r w:rsidR="00E17D0D" w:rsidRPr="007B6E69">
        <w:t>This</w:t>
      </w:r>
      <w:r w:rsidRPr="007B6E69">
        <w:t xml:space="preserve"> </w:t>
      </w:r>
      <w:r w:rsidR="00E17D0D" w:rsidRPr="007B6E69">
        <w:t xml:space="preserve">helps to </w:t>
      </w:r>
      <w:r w:rsidR="008F06C3" w:rsidRPr="007B6E69">
        <w:t>identify</w:t>
      </w:r>
      <w:r w:rsidRPr="007B6E69">
        <w:t xml:space="preserve"> the likely impacts and enables informed debate on any issues.</w:t>
      </w:r>
    </w:p>
    <w:p w14:paraId="562CE419" w14:textId="77777777" w:rsidR="009D166B" w:rsidRPr="007B6E69" w:rsidRDefault="009D166B" w:rsidP="0065515A">
      <w:r w:rsidRPr="007B6E69">
        <w:t xml:space="preserve">Public comment was sought on each of the policy options considered in this </w:t>
      </w:r>
      <w:r w:rsidR="00C45600">
        <w:t>IA</w:t>
      </w:r>
      <w:r w:rsidRPr="007B6E69">
        <w:t xml:space="preserve">, through the publication of the Safer Freight Vehicles </w:t>
      </w:r>
      <w:r w:rsidR="00EE4E5A" w:rsidRPr="007B6E69">
        <w:t>D</w:t>
      </w:r>
      <w:r w:rsidRPr="007B6E69">
        <w:t xml:space="preserve">iscussion </w:t>
      </w:r>
      <w:r w:rsidR="00EE4E5A" w:rsidRPr="007B6E69">
        <w:t>P</w:t>
      </w:r>
      <w:r w:rsidRPr="007B6E69">
        <w:t>aper (</w:t>
      </w:r>
      <w:r w:rsidR="00315909">
        <w:t>Commonwealth of Australia</w:t>
      </w:r>
      <w:r w:rsidR="00EE4E5A" w:rsidRPr="007B6E69">
        <w:t>, 2021</w:t>
      </w:r>
      <w:r w:rsidR="006D7376">
        <w:t>a</w:t>
      </w:r>
      <w:r w:rsidRPr="007B6E69">
        <w:t xml:space="preserve">) and draft ADRs on the </w:t>
      </w:r>
      <w:r w:rsidR="00B9347B">
        <w:t>d</w:t>
      </w:r>
      <w:r w:rsidRPr="007B6E69">
        <w:t xml:space="preserve">epartment’s website, for </w:t>
      </w:r>
      <w:r w:rsidR="00D231AF" w:rsidRPr="007B6E69">
        <w:t xml:space="preserve">a </w:t>
      </w:r>
      <w:r w:rsidR="00EE4E5A" w:rsidRPr="007B6E69">
        <w:br/>
      </w:r>
      <w:r w:rsidRPr="007B6E69">
        <w:t>10</w:t>
      </w:r>
      <w:r w:rsidR="00D231AF" w:rsidRPr="007B6E69">
        <w:t>-</w:t>
      </w:r>
      <w:r w:rsidRPr="007B6E69">
        <w:t>week</w:t>
      </w:r>
      <w:r w:rsidR="00766479" w:rsidRPr="007B6E69">
        <w:t xml:space="preserve"> public comment</w:t>
      </w:r>
      <w:r w:rsidR="00D231AF" w:rsidRPr="007B6E69">
        <w:t xml:space="preserve"> period</w:t>
      </w:r>
      <w:r w:rsidRPr="007B6E69">
        <w:t xml:space="preserve">, </w:t>
      </w:r>
      <w:r w:rsidR="00D231AF" w:rsidRPr="007B6E69">
        <w:t xml:space="preserve">which closed on 30 </w:t>
      </w:r>
      <w:r w:rsidRPr="007B6E69">
        <w:t>June 2021.</w:t>
      </w:r>
    </w:p>
    <w:p w14:paraId="13376FEC" w14:textId="77777777" w:rsidR="00C268E4" w:rsidRDefault="00945710" w:rsidP="0065515A">
      <w:pPr>
        <w:rPr>
          <w:rFonts w:cstheme="minorHAnsi"/>
        </w:rPr>
      </w:pPr>
      <w:r>
        <w:t>The states and territories</w:t>
      </w:r>
      <w:r w:rsidR="00183C43" w:rsidRPr="00183C43">
        <w:t xml:space="preserve"> </w:t>
      </w:r>
      <w:r w:rsidR="00183C43">
        <w:t>are broadly supportive</w:t>
      </w:r>
      <w:r w:rsidR="00183C43" w:rsidRPr="00183C43">
        <w:t xml:space="preserve"> of a width limit of 2.55</w:t>
      </w:r>
      <w:r w:rsidR="00267F80">
        <w:t> </w:t>
      </w:r>
      <w:r w:rsidR="00183C43" w:rsidRPr="00183C43">
        <w:t>m for</w:t>
      </w:r>
      <w:r w:rsidR="00183C43">
        <w:t xml:space="preserve"> both goods vehicles and trailers</w:t>
      </w:r>
      <w:r w:rsidR="00183C43" w:rsidRPr="00183C43">
        <w:t xml:space="preserve">, but </w:t>
      </w:r>
      <w:r>
        <w:t>do not support</w:t>
      </w:r>
      <w:r w:rsidR="00183C43" w:rsidRPr="00183C43">
        <w:t xml:space="preserve"> a move to </w:t>
      </w:r>
      <w:r w:rsidR="00B9347B">
        <w:t>2.60</w:t>
      </w:r>
      <w:r w:rsidR="00267F80">
        <w:t> </w:t>
      </w:r>
      <w:r w:rsidR="00183C43" w:rsidRPr="00183C43">
        <w:t>m</w:t>
      </w:r>
      <w:r w:rsidR="00183C43">
        <w:t xml:space="preserve"> at this stage</w:t>
      </w:r>
      <w:r w:rsidR="00183C43" w:rsidRPr="00183C43">
        <w:t>.</w:t>
      </w:r>
      <w:r w:rsidR="00183C43">
        <w:t xml:space="preserve"> The general </w:t>
      </w:r>
      <w:r w:rsidR="007066A4">
        <w:t>position</w:t>
      </w:r>
      <w:r w:rsidR="00183C43">
        <w:t xml:space="preserve"> among </w:t>
      </w:r>
      <w:r w:rsidR="00162CAF">
        <w:t xml:space="preserve">the </w:t>
      </w:r>
      <w:r w:rsidR="00183C43">
        <w:t xml:space="preserve">jurisdictions is that the Commonwealth </w:t>
      </w:r>
      <w:r>
        <w:t>should implement a 2.55</w:t>
      </w:r>
      <w:r w:rsidR="00267F80">
        <w:t> </w:t>
      </w:r>
      <w:r>
        <w:t>m limit as supported by Austroads</w:t>
      </w:r>
      <w:r w:rsidR="00162CAF">
        <w:t xml:space="preserve"> research to date</w:t>
      </w:r>
      <w:r w:rsidR="00AB2A5B">
        <w:t xml:space="preserve"> (Austroads, 2019)</w:t>
      </w:r>
      <w:r>
        <w:t xml:space="preserve">, and </w:t>
      </w:r>
      <w:r w:rsidR="00183C43">
        <w:t xml:space="preserve">work with </w:t>
      </w:r>
      <w:r>
        <w:t>the NHVR</w:t>
      </w:r>
      <w:r w:rsidR="00183C43">
        <w:t xml:space="preserve"> and Austroads </w:t>
      </w:r>
      <w:r>
        <w:t>to</w:t>
      </w:r>
      <w:r w:rsidRPr="00383BCA">
        <w:rPr>
          <w:rFonts w:cstheme="minorHAnsi"/>
        </w:rPr>
        <w:t xml:space="preserve"> research the suitability of </w:t>
      </w:r>
      <w:r>
        <w:rPr>
          <w:rFonts w:cstheme="minorHAnsi"/>
        </w:rPr>
        <w:t xml:space="preserve">a </w:t>
      </w:r>
      <w:r w:rsidR="00B9347B">
        <w:rPr>
          <w:rFonts w:cstheme="minorHAnsi"/>
        </w:rPr>
        <w:t>2.60</w:t>
      </w:r>
      <w:r w:rsidR="00267F80">
        <w:rPr>
          <w:rFonts w:cstheme="minorHAnsi"/>
        </w:rPr>
        <w:t> </w:t>
      </w:r>
      <w:r w:rsidRPr="00383BCA">
        <w:rPr>
          <w:rFonts w:cstheme="minorHAnsi"/>
        </w:rPr>
        <w:t xml:space="preserve">m </w:t>
      </w:r>
      <w:r>
        <w:rPr>
          <w:rFonts w:cstheme="minorHAnsi"/>
        </w:rPr>
        <w:t>limit for the future.</w:t>
      </w:r>
    </w:p>
    <w:p w14:paraId="50CD663C" w14:textId="77777777" w:rsidR="00183C43" w:rsidRDefault="00213965" w:rsidP="0065515A">
      <w:pPr>
        <w:rPr>
          <w:rFonts w:cstheme="minorHAnsi"/>
        </w:rPr>
      </w:pPr>
      <w:r>
        <w:rPr>
          <w:rFonts w:cstheme="minorHAnsi"/>
        </w:rPr>
        <w:t>Jurisdiction</w:t>
      </w:r>
      <w:r w:rsidR="009E025B">
        <w:rPr>
          <w:rFonts w:cstheme="minorHAnsi"/>
        </w:rPr>
        <w:t>s</w:t>
      </w:r>
      <w:r>
        <w:rPr>
          <w:rFonts w:cstheme="minorHAnsi"/>
        </w:rPr>
        <w:t xml:space="preserve"> generally support all of the additional proposed mandatory safety technologies for wider freight vehicles</w:t>
      </w:r>
      <w:r w:rsidR="00640FD2">
        <w:rPr>
          <w:rFonts w:cstheme="minorHAnsi"/>
        </w:rPr>
        <w:t>;</w:t>
      </w:r>
      <w:r>
        <w:rPr>
          <w:rFonts w:cstheme="minorHAnsi"/>
        </w:rPr>
        <w:t xml:space="preserve"> with NSW, VIC and QLD all re</w:t>
      </w:r>
      <w:r w:rsidR="004C5B38">
        <w:rPr>
          <w:rFonts w:cstheme="minorHAnsi"/>
        </w:rPr>
        <w:t>quest</w:t>
      </w:r>
      <w:r w:rsidR="00640FD2">
        <w:rPr>
          <w:rFonts w:cstheme="minorHAnsi"/>
        </w:rPr>
        <w:t>ing</w:t>
      </w:r>
      <w:r>
        <w:rPr>
          <w:rFonts w:cstheme="minorHAnsi"/>
        </w:rPr>
        <w:t xml:space="preserve"> further mandatory </w:t>
      </w:r>
      <w:r w:rsidR="004C5B38">
        <w:rPr>
          <w:rFonts w:cstheme="minorHAnsi"/>
        </w:rPr>
        <w:t xml:space="preserve">national </w:t>
      </w:r>
      <w:r>
        <w:rPr>
          <w:rFonts w:cstheme="minorHAnsi"/>
        </w:rPr>
        <w:t>standards</w:t>
      </w:r>
      <w:r w:rsidR="00DA60BA">
        <w:rPr>
          <w:rFonts w:cstheme="minorHAnsi"/>
        </w:rPr>
        <w:t xml:space="preserve"> (i.e. ADRs)</w:t>
      </w:r>
      <w:r>
        <w:rPr>
          <w:rFonts w:cstheme="minorHAnsi"/>
        </w:rPr>
        <w:t xml:space="preserve"> be </w:t>
      </w:r>
      <w:r w:rsidR="000B652C">
        <w:rPr>
          <w:rFonts w:cstheme="minorHAnsi"/>
        </w:rPr>
        <w:t>implemented</w:t>
      </w:r>
      <w:r>
        <w:rPr>
          <w:rFonts w:cstheme="minorHAnsi"/>
        </w:rPr>
        <w:t xml:space="preserve"> to better align with the EU.</w:t>
      </w:r>
    </w:p>
    <w:p w14:paraId="72D7D9CB" w14:textId="77777777" w:rsidR="00D01015" w:rsidRDefault="007066A4" w:rsidP="00B5561B">
      <w:r w:rsidRPr="007066A4">
        <w:t>Most industry stakeholders support</w:t>
      </w:r>
      <w:r>
        <w:t xml:space="preserve"> </w:t>
      </w:r>
      <w:r w:rsidRPr="007066A4">
        <w:t xml:space="preserve">a width limit of </w:t>
      </w:r>
      <w:r w:rsidR="00B9347B">
        <w:t>2.60</w:t>
      </w:r>
      <w:r w:rsidR="00267F80">
        <w:t> </w:t>
      </w:r>
      <w:r w:rsidRPr="007066A4">
        <w:t>m for trucks</w:t>
      </w:r>
      <w:r>
        <w:t xml:space="preserve"> and trailers</w:t>
      </w:r>
      <w:r w:rsidRPr="007066A4">
        <w:t>, including the Truck Industry Council (TIC), the Commercial Vehicle Industry Association of Australia (CVIAA) and the Australian Trucking Association (ATA).</w:t>
      </w:r>
      <w:r>
        <w:t xml:space="preserve"> </w:t>
      </w:r>
      <w:r w:rsidR="00D01015">
        <w:t xml:space="preserve">These stakeholders argue that this </w:t>
      </w:r>
      <w:r w:rsidR="00151AD0">
        <w:t>would avoid the need to</w:t>
      </w:r>
      <w:r w:rsidR="00D01015">
        <w:t xml:space="preserve"> modify vehicles based on EU and US designs to be narrower for Australia, provide the </w:t>
      </w:r>
      <w:r w:rsidR="00151AD0">
        <w:t>best</w:t>
      </w:r>
      <w:r w:rsidR="00D01015">
        <w:t xml:space="preserve"> access to electric </w:t>
      </w:r>
      <w:r w:rsidR="009A2B7B">
        <w:t>trucks</w:t>
      </w:r>
      <w:r w:rsidR="00151AD0">
        <w:t xml:space="preserve"> from the world market</w:t>
      </w:r>
      <w:r w:rsidR="00D01015">
        <w:t xml:space="preserve">, </w:t>
      </w:r>
      <w:r w:rsidR="00151AD0">
        <w:t>and deliver the greatest safety and productivity benefits</w:t>
      </w:r>
      <w:r w:rsidR="00D01015">
        <w:t>.</w:t>
      </w:r>
    </w:p>
    <w:p w14:paraId="5DCB4452" w14:textId="77777777" w:rsidR="00D01015" w:rsidRDefault="00D40861" w:rsidP="00B5561B">
      <w:r>
        <w:t>However, s</w:t>
      </w:r>
      <w:r w:rsidR="007066A4">
        <w:t xml:space="preserve">ome industry stakeholders do not support increasing the width limit for trailers, including the Heavy Vehicle Industry Association (HVIA) and </w:t>
      </w:r>
      <w:r w:rsidR="00982580">
        <w:t>many</w:t>
      </w:r>
      <w:r w:rsidR="008B22BD">
        <w:t xml:space="preserve"> Australian </w:t>
      </w:r>
      <w:r w:rsidR="004D0FDB">
        <w:t xml:space="preserve">heavy </w:t>
      </w:r>
      <w:r w:rsidR="008B22BD">
        <w:t>trailer manufacturer</w:t>
      </w:r>
      <w:r w:rsidR="00982580">
        <w:t>s</w:t>
      </w:r>
      <w:r w:rsidR="007066A4" w:rsidRPr="007066A4">
        <w:t>.</w:t>
      </w:r>
      <w:r w:rsidR="00743007">
        <w:t xml:space="preserve"> They </w:t>
      </w:r>
      <w:r w:rsidR="00071788">
        <w:t xml:space="preserve">are concerned the proposed changes will favour </w:t>
      </w:r>
      <w:r w:rsidR="00151AD0">
        <w:t xml:space="preserve">trailer </w:t>
      </w:r>
      <w:r w:rsidR="00071788">
        <w:t>importers</w:t>
      </w:r>
      <w:r w:rsidR="00EB128F">
        <w:t xml:space="preserve"> and cost </w:t>
      </w:r>
      <w:r w:rsidR="00D01015">
        <w:t xml:space="preserve">Australian </w:t>
      </w:r>
      <w:r w:rsidR="00151AD0">
        <w:t xml:space="preserve">trailer </w:t>
      </w:r>
      <w:r w:rsidR="00D01015">
        <w:t xml:space="preserve">manufacturing </w:t>
      </w:r>
      <w:r w:rsidR="00EB128F">
        <w:t xml:space="preserve">jobs. </w:t>
      </w:r>
      <w:r w:rsidR="00D01015">
        <w:t>These stakeholders</w:t>
      </w:r>
      <w:r w:rsidR="00EB128F">
        <w:t xml:space="preserve"> consider </w:t>
      </w:r>
      <w:r w:rsidR="00D01015">
        <w:t>that</w:t>
      </w:r>
      <w:r w:rsidR="00EB128F">
        <w:t xml:space="preserve"> </w:t>
      </w:r>
      <w:r w:rsidR="00071788">
        <w:t>domestic trailer manufacturers would need to re-tool and change manufacturing processes to increase trailer width in order to compet</w:t>
      </w:r>
      <w:r w:rsidR="00D01015">
        <w:t>e with importers</w:t>
      </w:r>
      <w:r w:rsidR="004D492B">
        <w:t xml:space="preserve">, and </w:t>
      </w:r>
      <w:r w:rsidR="00D01015">
        <w:t xml:space="preserve">that the </w:t>
      </w:r>
      <w:r w:rsidR="00D01015" w:rsidRPr="007000C9">
        <w:rPr>
          <w:rFonts w:cstheme="minorHAnsi"/>
        </w:rPr>
        <w:t>cost of the retooling, transitional costs and potential loss of Australian manufacturing jobs, far exceed any safety or productivity benefits.</w:t>
      </w:r>
    </w:p>
    <w:p w14:paraId="5A08D621" w14:textId="77777777" w:rsidR="007066A4" w:rsidRDefault="00213965" w:rsidP="0065515A">
      <w:r>
        <w:t xml:space="preserve">Industry stakeholders are broadly supportive of mandatory requirements for ESC, AEB and LDWS. Some industry stakeholders have raised concerns about mandatory side underrun protection, particularly for trailer design types mostly used in regional and remote areas. </w:t>
      </w:r>
      <w:r w:rsidR="0096248D">
        <w:t>The Truck Industry Council</w:t>
      </w:r>
      <w:r w:rsidR="0066363A">
        <w:t xml:space="preserve"> provided in-principle support for the adoption of a more stringent ADR for devices for indirect vision and the future adoption of an ADR for blind spot information systems, while detailing concerns regarding the suitability of the relevant UN regulations for Australia, and recommendations to address these concerns.</w:t>
      </w:r>
    </w:p>
    <w:p w14:paraId="200B8FC0" w14:textId="77777777" w:rsidR="004D2BD8" w:rsidRDefault="000D76EE" w:rsidP="0065515A">
      <w:r>
        <w:t xml:space="preserve">There is widespread support for the </w:t>
      </w:r>
      <w:r w:rsidR="00B9347B">
        <w:t>d</w:t>
      </w:r>
      <w:r w:rsidR="00493B1D">
        <w:t xml:space="preserve">epartment’s </w:t>
      </w:r>
      <w:r>
        <w:t>proposed exclusion</w:t>
      </w:r>
      <w:r w:rsidR="00493B1D">
        <w:t>s</w:t>
      </w:r>
      <w:r>
        <w:t xml:space="preserve"> </w:t>
      </w:r>
      <w:r w:rsidR="00493B1D">
        <w:t xml:space="preserve">for </w:t>
      </w:r>
      <w:r w:rsidRPr="000D76EE">
        <w:t>enhanced devices for indirect vision and/or devices to detect other road users</w:t>
      </w:r>
      <w:r>
        <w:t xml:space="preserve"> from vehicle width and length measurements. Further, there have been no objections raised to th</w:t>
      </w:r>
      <w:r w:rsidR="00493B1D">
        <w:t>ese</w:t>
      </w:r>
      <w:r>
        <w:t>.</w:t>
      </w:r>
    </w:p>
    <w:p w14:paraId="76967178" w14:textId="77777777" w:rsidR="00D92559" w:rsidRPr="007B6E69" w:rsidRDefault="00166833" w:rsidP="0065515A">
      <w:r w:rsidRPr="007B6E69">
        <w:t xml:space="preserve">A more detailed summary of </w:t>
      </w:r>
      <w:r w:rsidR="00D231AF" w:rsidRPr="007B6E69">
        <w:t xml:space="preserve">the </w:t>
      </w:r>
      <w:r w:rsidRPr="007B6E69">
        <w:t>public comment</w:t>
      </w:r>
      <w:r w:rsidR="00D231AF" w:rsidRPr="007B6E69">
        <w:t>s</w:t>
      </w:r>
      <w:r w:rsidRPr="007B6E69">
        <w:t xml:space="preserve"> together with </w:t>
      </w:r>
      <w:r w:rsidR="00B9347B">
        <w:t>d</w:t>
      </w:r>
      <w:r w:rsidRPr="007B6E69">
        <w:t xml:space="preserve">epartment responses is included </w:t>
      </w:r>
      <w:r w:rsidR="004826AB">
        <w:t>in</w:t>
      </w:r>
      <w:r w:rsidRPr="007B6E69">
        <w:t xml:space="preserve"> Appendix 1</w:t>
      </w:r>
      <w:r w:rsidR="003D06DB">
        <w:t>4</w:t>
      </w:r>
      <w:r w:rsidRPr="007B6E69">
        <w:t>.</w:t>
      </w:r>
    </w:p>
    <w:p w14:paraId="048BF5B1" w14:textId="77777777" w:rsidR="00E87E35" w:rsidRPr="00AA1EDE" w:rsidRDefault="00E87E35" w:rsidP="000A6675">
      <w:pPr>
        <w:pStyle w:val="Heading2"/>
        <w:rPr>
          <w:lang w:val="en-AU"/>
        </w:rPr>
      </w:pPr>
      <w:bookmarkStart w:id="107" w:name="_Toc143182150"/>
      <w:r>
        <w:rPr>
          <w:lang w:val="en-AU"/>
        </w:rPr>
        <w:t>Informal Working Group</w:t>
      </w:r>
      <w:r w:rsidR="00E800AA">
        <w:rPr>
          <w:lang w:val="en-AU"/>
        </w:rPr>
        <w:t xml:space="preserve"> on Safer Freight Vehicles</w:t>
      </w:r>
      <w:bookmarkEnd w:id="107"/>
    </w:p>
    <w:p w14:paraId="085D4CC3" w14:textId="77777777" w:rsidR="00E87E35" w:rsidRDefault="003C1B61" w:rsidP="00682FEF">
      <w:r w:rsidRPr="003C1B61">
        <w:t xml:space="preserve">In </w:t>
      </w:r>
      <w:r>
        <w:t>November 2021</w:t>
      </w:r>
      <w:r w:rsidR="002D4497">
        <w:t>,</w:t>
      </w:r>
      <w:r>
        <w:t xml:space="preserve"> the </w:t>
      </w:r>
      <w:r w:rsidR="00B9347B">
        <w:t>d</w:t>
      </w:r>
      <w:r>
        <w:t xml:space="preserve">epartment </w:t>
      </w:r>
      <w:r w:rsidR="007B07F5">
        <w:t>established</w:t>
      </w:r>
      <w:r>
        <w:t xml:space="preserve"> </w:t>
      </w:r>
      <w:r w:rsidR="00682FEF">
        <w:t xml:space="preserve">an Informal Working Group to </w:t>
      </w:r>
      <w:r w:rsidR="009407BD">
        <w:t xml:space="preserve">help plan for </w:t>
      </w:r>
      <w:r w:rsidR="00E2145D">
        <w:t xml:space="preserve">a successful </w:t>
      </w:r>
      <w:r w:rsidR="009407BD">
        <w:t xml:space="preserve">implementation of </w:t>
      </w:r>
      <w:r w:rsidR="002D4497">
        <w:t xml:space="preserve">the </w:t>
      </w:r>
      <w:r w:rsidR="00682FEF">
        <w:t xml:space="preserve">reforms proposed in the </w:t>
      </w:r>
      <w:r w:rsidR="00682FEF" w:rsidRPr="007B6E69">
        <w:t>Safer Freight Vehicles Discussion Paper (</w:t>
      </w:r>
      <w:r w:rsidR="00315909">
        <w:t>Commonwealth of Australia</w:t>
      </w:r>
      <w:r w:rsidR="00682FEF" w:rsidRPr="007B6E69">
        <w:t>, 2021</w:t>
      </w:r>
      <w:r w:rsidR="006D7376">
        <w:t>a</w:t>
      </w:r>
      <w:r w:rsidR="00682FEF" w:rsidRPr="007B6E69">
        <w:t>)</w:t>
      </w:r>
      <w:r w:rsidR="00682FEF" w:rsidRPr="00682FEF">
        <w:t>.</w:t>
      </w:r>
      <w:r w:rsidR="00E2145D">
        <w:t xml:space="preserve"> This was particularly important to ensure </w:t>
      </w:r>
      <w:r w:rsidR="004271F1">
        <w:t>a consistent approach and</w:t>
      </w:r>
      <w:r w:rsidR="00E2145D">
        <w:t xml:space="preserve"> seamless transition </w:t>
      </w:r>
      <w:r w:rsidR="00257E51">
        <w:t xml:space="preserve">could be achieved </w:t>
      </w:r>
      <w:r w:rsidR="00E2145D">
        <w:t xml:space="preserve">between the </w:t>
      </w:r>
      <w:r w:rsidR="007B07F5">
        <w:t>regulation of vehicles at</w:t>
      </w:r>
      <w:r w:rsidR="00E2145D">
        <w:t xml:space="preserve"> first supply to market </w:t>
      </w:r>
      <w:r w:rsidR="007B07F5">
        <w:t>and in-service.</w:t>
      </w:r>
      <w:r w:rsidR="000A6675">
        <w:t xml:space="preserve"> Four meetings of this group were held between December 2021 and April 2022.</w:t>
      </w:r>
    </w:p>
    <w:p w14:paraId="7E5696EC" w14:textId="77777777" w:rsidR="00BB5FCF" w:rsidRDefault="00BB5FCF" w:rsidP="00682FEF">
      <w:r>
        <w:t>The feedback</w:t>
      </w:r>
      <w:r w:rsidR="00C03807">
        <w:t xml:space="preserve"> and agreed outcomes</w:t>
      </w:r>
      <w:r>
        <w:t xml:space="preserve"> from this </w:t>
      </w:r>
      <w:r w:rsidR="00C03807">
        <w:t xml:space="preserve">informal working </w:t>
      </w:r>
      <w:r>
        <w:t xml:space="preserve">group </w:t>
      </w:r>
      <w:r w:rsidR="007062D8">
        <w:t>have been</w:t>
      </w:r>
      <w:r>
        <w:t xml:space="preserve"> considered by the </w:t>
      </w:r>
      <w:r w:rsidR="00B9347B">
        <w:t>d</w:t>
      </w:r>
      <w:r>
        <w:t xml:space="preserve">epartment in finalising the ADRs and </w:t>
      </w:r>
      <w:r w:rsidR="00192CB0">
        <w:t xml:space="preserve">determining the </w:t>
      </w:r>
      <w:r>
        <w:t xml:space="preserve">compliance information </w:t>
      </w:r>
      <w:r w:rsidR="00192CB0">
        <w:t xml:space="preserve">to be </w:t>
      </w:r>
      <w:r>
        <w:t>collected to implement the recommended policy option.</w:t>
      </w:r>
      <w:r w:rsidR="008C714D">
        <w:t xml:space="preserve"> T</w:t>
      </w:r>
      <w:r w:rsidR="007062D8">
        <w:t xml:space="preserve">his includes drafting the ADR requirements in a way that allows for cab-chassis and other partially completed vehicles to be supplied without side underrun protection and </w:t>
      </w:r>
      <w:proofErr w:type="spellStart"/>
      <w:r w:rsidR="007062D8">
        <w:t>conspicuity</w:t>
      </w:r>
      <w:proofErr w:type="spellEnd"/>
      <w:r w:rsidR="007062D8">
        <w:t xml:space="preserve"> markings, but </w:t>
      </w:r>
      <w:r w:rsidR="00F2542C">
        <w:t xml:space="preserve">still </w:t>
      </w:r>
      <w:r w:rsidR="007062D8">
        <w:t xml:space="preserve">requires these to be fitted during the completion of the vehicle (e.g. by a vehicle bodybuilder). </w:t>
      </w:r>
      <w:r w:rsidR="001450BA">
        <w:t xml:space="preserve">It also includes </w:t>
      </w:r>
      <w:r w:rsidR="001450BA">
        <w:rPr>
          <w:lang w:val="en-US"/>
        </w:rPr>
        <w:t>updating the Register of Approved Vehicles (RAV) to include an additional field through which manufacturers would identify vehicles meeting the additional ADR requirements for wider freight vehicles, the form in which the vehicle was added to the RAV (e.g. completed vehicle, prime mover, chassis-cab), and the maximum width for which the vehicle is certified to comply with all applicable ADRs.</w:t>
      </w:r>
    </w:p>
    <w:p w14:paraId="5AE8E3E1" w14:textId="77777777" w:rsidR="0065515A" w:rsidRPr="00AA1EDE" w:rsidRDefault="00AA1EDE" w:rsidP="00E87E35">
      <w:pPr>
        <w:pStyle w:val="Heading2"/>
        <w:rPr>
          <w:lang w:val="en-AU"/>
        </w:rPr>
      </w:pPr>
      <w:bookmarkStart w:id="108" w:name="_Toc143182151"/>
      <w:r w:rsidRPr="00AA1EDE">
        <w:rPr>
          <w:lang w:val="en-AU"/>
        </w:rPr>
        <w:t>SVSEG and TLG</w:t>
      </w:r>
      <w:bookmarkEnd w:id="108"/>
    </w:p>
    <w:p w14:paraId="337B0A3A" w14:textId="77777777" w:rsidR="009255D5" w:rsidRDefault="009255D5" w:rsidP="0065515A">
      <w:r>
        <w:t>The</w:t>
      </w:r>
      <w:r w:rsidRPr="00CD64CC">
        <w:t xml:space="preserve"> package of new safety ADRs</w:t>
      </w:r>
      <w:r w:rsidR="006070BD">
        <w:t xml:space="preserve"> proposed</w:t>
      </w:r>
      <w:r w:rsidRPr="00CD64CC">
        <w:t xml:space="preserve"> to be mandated </w:t>
      </w:r>
      <w:r w:rsidR="006070BD">
        <w:t xml:space="preserve">under each of the options </w:t>
      </w:r>
      <w:r w:rsidRPr="00CD64CC">
        <w:t xml:space="preserve">for the wider vehicles (those exceeding the current </w:t>
      </w:r>
      <w:r>
        <w:t>2.50 </w:t>
      </w:r>
      <w:r w:rsidRPr="00CD64CC">
        <w:t>m limit)</w:t>
      </w:r>
      <w:r w:rsidR="006070BD">
        <w:t xml:space="preserve"> was </w:t>
      </w:r>
      <w:r w:rsidR="00FF0594">
        <w:t>developed</w:t>
      </w:r>
      <w:r w:rsidR="006070BD">
        <w:t xml:space="preserve"> in consultation with the SVSEG during 2018-19. As part of this process the department circulated a paper to members which </w:t>
      </w:r>
      <w:r w:rsidR="006070BD" w:rsidRPr="006070BD">
        <w:t xml:space="preserve">put forward a possible regulatory package to </w:t>
      </w:r>
      <w:r w:rsidR="006070BD">
        <w:t xml:space="preserve">increase the width limit for freight vehicles fitted with additional proposed safety systems/features. This paper was discussed at a meeting of the SVSEG in 2019 and members were </w:t>
      </w:r>
      <w:r w:rsidR="00FF0594">
        <w:t>also given the opportunity to submit comments/feedback to the department following this meeting.</w:t>
      </w:r>
    </w:p>
    <w:p w14:paraId="12442498" w14:textId="77777777" w:rsidR="00AA1EDE" w:rsidRDefault="0067389C" w:rsidP="0065515A">
      <w:r w:rsidRPr="0067389C">
        <w:t xml:space="preserve">Comment </w:t>
      </w:r>
      <w:r w:rsidRPr="007B6E69">
        <w:t xml:space="preserve">on each of the policy options considered in this </w:t>
      </w:r>
      <w:r w:rsidR="00C45600">
        <w:t>IA</w:t>
      </w:r>
      <w:r>
        <w:t xml:space="preserve"> was also sought from SVSEG and TLG, by circulating </w:t>
      </w:r>
      <w:r w:rsidRPr="007B6E69">
        <w:t>the Safer Freight Vehicles Discussion Paper (</w:t>
      </w:r>
      <w:r w:rsidR="00315909">
        <w:t>Commonwealth of Australia</w:t>
      </w:r>
      <w:r w:rsidRPr="007B6E69">
        <w:t xml:space="preserve">, 2021) and </w:t>
      </w:r>
      <w:r w:rsidR="001922BD">
        <w:t xml:space="preserve">the </w:t>
      </w:r>
      <w:r w:rsidRPr="007B6E69">
        <w:t>draft ADRs</w:t>
      </w:r>
      <w:r>
        <w:t xml:space="preserve"> to members at the time of publication on the </w:t>
      </w:r>
      <w:r w:rsidR="00B9347B">
        <w:t>d</w:t>
      </w:r>
      <w:r>
        <w:t>epartment’s website</w:t>
      </w:r>
      <w:r w:rsidR="0047168D">
        <w:t xml:space="preserve"> </w:t>
      </w:r>
      <w:r w:rsidR="003F25FE">
        <w:t>(April 2021)</w:t>
      </w:r>
      <w:r w:rsidR="00656959" w:rsidRPr="0067389C">
        <w:t>.</w:t>
      </w:r>
      <w:r w:rsidR="003F25FE">
        <w:t xml:space="preserve"> During the 10-week public consultation period</w:t>
      </w:r>
      <w:r w:rsidR="00C268E4">
        <w:t>,</w:t>
      </w:r>
      <w:r w:rsidR="003F25FE">
        <w:t xml:space="preserve"> the </w:t>
      </w:r>
      <w:r w:rsidR="00B9347B">
        <w:t>d</w:t>
      </w:r>
      <w:r w:rsidR="003F25FE">
        <w:t xml:space="preserve">epartment held </w:t>
      </w:r>
      <w:r w:rsidR="00851772">
        <w:t xml:space="preserve">a </w:t>
      </w:r>
      <w:r w:rsidR="003F25FE">
        <w:t xml:space="preserve">dedicated session with government </w:t>
      </w:r>
      <w:r w:rsidR="00851772">
        <w:t>members of SVSEG as well as a dedicated session with a general safety standing committee of TLG</w:t>
      </w:r>
      <w:r w:rsidR="00B12C07">
        <w:t>,</w:t>
      </w:r>
      <w:r w:rsidR="00851772">
        <w:t xml:space="preserve"> to explain the proposed reforms and </w:t>
      </w:r>
      <w:r w:rsidR="002D4497" w:rsidRPr="002D4497">
        <w:t xml:space="preserve">provide an opportunity for </w:t>
      </w:r>
      <w:r w:rsidR="002D4497">
        <w:t>members</w:t>
      </w:r>
      <w:r w:rsidR="002D4497" w:rsidRPr="002D4497">
        <w:t xml:space="preserve"> to ask questions to assist in </w:t>
      </w:r>
      <w:r w:rsidR="008C0A45">
        <w:t>finalising</w:t>
      </w:r>
      <w:r w:rsidR="002D4497" w:rsidRPr="002D4497">
        <w:t xml:space="preserve"> </w:t>
      </w:r>
      <w:r w:rsidR="00B12C07">
        <w:t xml:space="preserve">their </w:t>
      </w:r>
      <w:r w:rsidR="002D4497" w:rsidRPr="002D4497">
        <w:t>submissions</w:t>
      </w:r>
      <w:r w:rsidR="002D4497">
        <w:t>.</w:t>
      </w:r>
    </w:p>
    <w:p w14:paraId="5B3CA6AC" w14:textId="77777777" w:rsidR="008C0A45" w:rsidRDefault="008C0A45" w:rsidP="001141C4">
      <w:r>
        <w:t xml:space="preserve">Following the public consultation, the proposals in this </w:t>
      </w:r>
      <w:r w:rsidR="00C45600">
        <w:t>IA</w:t>
      </w:r>
      <w:r>
        <w:t xml:space="preserve"> and draft implementing ADRs were </w:t>
      </w:r>
      <w:r w:rsidR="00B12C07">
        <w:t xml:space="preserve">further </w:t>
      </w:r>
      <w:r>
        <w:t xml:space="preserve">discussed as part of </w:t>
      </w:r>
      <w:r w:rsidR="00B12C07">
        <w:t xml:space="preserve">two </w:t>
      </w:r>
      <w:r>
        <w:t>TLG meeting</w:t>
      </w:r>
      <w:r w:rsidR="00B12C07">
        <w:t>s</w:t>
      </w:r>
      <w:r>
        <w:t xml:space="preserve"> </w:t>
      </w:r>
      <w:r w:rsidR="0060549E">
        <w:t>between July and</w:t>
      </w:r>
      <w:r w:rsidR="00B12C07">
        <w:t xml:space="preserve"> November </w:t>
      </w:r>
      <w:r w:rsidR="00D93ED7">
        <w:t>2021</w:t>
      </w:r>
      <w:r w:rsidR="00B12C07">
        <w:t>,</w:t>
      </w:r>
      <w:r w:rsidR="00D93ED7">
        <w:t xml:space="preserve"> </w:t>
      </w:r>
      <w:r>
        <w:t xml:space="preserve">a SVSEG meeting </w:t>
      </w:r>
      <w:r w:rsidR="0060549E">
        <w:t>in November</w:t>
      </w:r>
      <w:r>
        <w:t xml:space="preserve"> 2021</w:t>
      </w:r>
      <w:r w:rsidR="00E36DFA">
        <w:t>, and a TLG meeting in November 2022</w:t>
      </w:r>
      <w:r>
        <w:t>.</w:t>
      </w:r>
      <w:r w:rsidR="00A21CDF">
        <w:t xml:space="preserve"> The feedback and agreed outcomes from these meetings </w:t>
      </w:r>
      <w:r w:rsidR="00A21CDF" w:rsidRPr="007B6E69">
        <w:t xml:space="preserve">have been considered in </w:t>
      </w:r>
      <w:r w:rsidR="00A21CDF">
        <w:t xml:space="preserve">refining and </w:t>
      </w:r>
      <w:r w:rsidR="00A21CDF" w:rsidRPr="007B6E69">
        <w:t>analysing the options</w:t>
      </w:r>
      <w:r w:rsidR="00A21CDF">
        <w:t xml:space="preserve"> in this </w:t>
      </w:r>
      <w:r w:rsidR="00C45600">
        <w:t>IA</w:t>
      </w:r>
      <w:r w:rsidR="00603432">
        <w:t xml:space="preserve">, </w:t>
      </w:r>
      <w:r w:rsidR="00234F1A">
        <w:t>and in particular,</w:t>
      </w:r>
      <w:r w:rsidR="00933DE6">
        <w:t xml:space="preserve"> to improve and refine the implementing ADRs</w:t>
      </w:r>
      <w:r w:rsidR="00A21CDF">
        <w:t>.</w:t>
      </w:r>
      <w:r w:rsidR="007062D8">
        <w:t xml:space="preserve"> For example, the proposed ADR</w:t>
      </w:r>
      <w:r w:rsidR="00E36DFA">
        <w:t> </w:t>
      </w:r>
      <w:r w:rsidR="007062D8">
        <w:t xml:space="preserve">14/03 for devices for indirect vision </w:t>
      </w:r>
      <w:r w:rsidR="00E36DFA">
        <w:t>has been</w:t>
      </w:r>
      <w:r w:rsidR="007062D8">
        <w:t xml:space="preserve"> updated </w:t>
      </w:r>
      <w:r w:rsidR="00E36DFA">
        <w:t xml:space="preserve">following this consultation </w:t>
      </w:r>
      <w:r w:rsidR="007062D8">
        <w:t xml:space="preserve">to include provisions to allow for some alternative styles of mirrors used on trucks in Australia, </w:t>
      </w:r>
      <w:r w:rsidR="00E36DFA">
        <w:t>including</w:t>
      </w:r>
      <w:r w:rsidR="007062D8">
        <w:t xml:space="preserve"> </w:t>
      </w:r>
      <w:r w:rsidR="007062D8" w:rsidRPr="007C3339">
        <w:t>US</w:t>
      </w:r>
      <w:r w:rsidR="007062D8">
        <w:t xml:space="preserve"> style cross-view mirrors (refer Glossary in Appendix 2) to be used on bonneted trucks in place of UN style front-view mirrors</w:t>
      </w:r>
      <w:r w:rsidR="00E36DFA">
        <w:t>, US style fender/bonnet/hood mirrors, and a camera-monitor system in combination with an external flat glass main rear-view mirror.</w:t>
      </w:r>
    </w:p>
    <w:p w14:paraId="40D2EAF4" w14:textId="77777777" w:rsidR="00AA1EDE" w:rsidRPr="00AA1EDE" w:rsidRDefault="00AA1EDE" w:rsidP="009F3379">
      <w:pPr>
        <w:pStyle w:val="Heading2"/>
        <w:rPr>
          <w:lang w:val="en-AU"/>
        </w:rPr>
      </w:pPr>
      <w:bookmarkStart w:id="109" w:name="_Toc143182152"/>
      <w:r w:rsidRPr="00AA1EDE">
        <w:rPr>
          <w:lang w:val="en-AU"/>
        </w:rPr>
        <w:t>ITMM</w:t>
      </w:r>
      <w:bookmarkEnd w:id="109"/>
    </w:p>
    <w:p w14:paraId="768C5DA4" w14:textId="77777777" w:rsidR="00AA1EDE" w:rsidRDefault="008E6D1F" w:rsidP="0065515A">
      <w:r w:rsidRPr="008E6D1F">
        <w:t>At the 16</w:t>
      </w:r>
      <w:r w:rsidRPr="008E6D1F">
        <w:rPr>
          <w:vertAlign w:val="superscript"/>
        </w:rPr>
        <w:t>th</w:t>
      </w:r>
      <w:r>
        <w:t xml:space="preserve"> </w:t>
      </w:r>
      <w:r w:rsidRPr="008E6D1F">
        <w:t>meeting of Infrastructure and Transport Ministers</w:t>
      </w:r>
      <w:r>
        <w:t xml:space="preserve"> on 11 February 2022, Ministers agreed </w:t>
      </w:r>
      <w:r w:rsidRPr="008E6D1F">
        <w:t xml:space="preserve">to amend the current </w:t>
      </w:r>
      <w:r>
        <w:t xml:space="preserve">HVNL </w:t>
      </w:r>
      <w:r w:rsidRPr="008E6D1F">
        <w:t xml:space="preserve">regulations to increase </w:t>
      </w:r>
      <w:r>
        <w:t xml:space="preserve">the maximum </w:t>
      </w:r>
      <w:r w:rsidRPr="008E6D1F">
        <w:t>heavy vehicle width from 2.50</w:t>
      </w:r>
      <w:r w:rsidR="00267F80">
        <w:t> </w:t>
      </w:r>
      <w:r w:rsidRPr="008E6D1F">
        <w:t>m to 2.55</w:t>
      </w:r>
      <w:r w:rsidR="00267F80">
        <w:t> </w:t>
      </w:r>
      <w:r w:rsidRPr="008E6D1F">
        <w:t>m</w:t>
      </w:r>
      <w:r>
        <w:t>,</w:t>
      </w:r>
      <w:r w:rsidRPr="008E6D1F">
        <w:t xml:space="preserve"> in line with the Commonwealth’s decision to amend the relevant Australian Design Rules (ADRs), for vehicles that comply with the amended ADRs, and to align the amendment of the current HVNL regulations with the timing of the ADR amendments.</w:t>
      </w:r>
    </w:p>
    <w:p w14:paraId="01F155F7" w14:textId="77777777" w:rsidR="00AA1EDE" w:rsidRDefault="00AA1EDE" w:rsidP="0065515A"/>
    <w:p w14:paraId="227BA219" w14:textId="77777777" w:rsidR="00AA1EDE" w:rsidRPr="007B6E69" w:rsidRDefault="00AA1EDE" w:rsidP="0065515A">
      <w:pPr>
        <w:sectPr w:rsidR="00AA1EDE" w:rsidRPr="007B6E69" w:rsidSect="00D87AD8">
          <w:pgSz w:w="11906" w:h="16838" w:code="9"/>
          <w:pgMar w:top="1021" w:right="1021" w:bottom="1021" w:left="1021" w:header="510" w:footer="567" w:gutter="0"/>
          <w:cols w:space="708"/>
          <w:docGrid w:linePitch="360"/>
        </w:sectPr>
      </w:pPr>
    </w:p>
    <w:p w14:paraId="7C0669DB" w14:textId="77777777" w:rsidR="000D6FF2" w:rsidRPr="007B6E69" w:rsidRDefault="000D6FF2" w:rsidP="000D6FF2">
      <w:pPr>
        <w:pStyle w:val="Heading1"/>
      </w:pPr>
      <w:bookmarkStart w:id="110" w:name="_Toc111576726"/>
      <w:bookmarkStart w:id="111" w:name="_Toc143182153"/>
      <w:r w:rsidRPr="007B6E69">
        <w:t xml:space="preserve">Chapter </w:t>
      </w:r>
      <w:r w:rsidR="0006043B">
        <w:t>7</w:t>
      </w:r>
      <w:r w:rsidRPr="007B6E69">
        <w:t>: What is the best option?</w:t>
      </w:r>
      <w:bookmarkEnd w:id="110"/>
      <w:bookmarkEnd w:id="111"/>
    </w:p>
    <w:p w14:paraId="1D17E00F" w14:textId="77777777" w:rsidR="007C097D" w:rsidRPr="007D65D1" w:rsidRDefault="007C097D" w:rsidP="007C097D">
      <w:r>
        <w:t xml:space="preserve">The following options were identified earlier in this </w:t>
      </w:r>
      <w:r w:rsidR="00C45600">
        <w:t>IA</w:t>
      </w:r>
      <w:r>
        <w:t xml:space="preserve"> as being viable for analysis:</w:t>
      </w:r>
    </w:p>
    <w:p w14:paraId="37FB6FB3" w14:textId="77777777" w:rsidR="007C097D" w:rsidRPr="00F2513C" w:rsidRDefault="007C097D" w:rsidP="00E248BF">
      <w:pPr>
        <w:pStyle w:val="ListParagraph"/>
        <w:keepLines/>
        <w:numPr>
          <w:ilvl w:val="0"/>
          <w:numId w:val="73"/>
        </w:numPr>
        <w:tabs>
          <w:tab w:val="left" w:pos="720"/>
        </w:tabs>
        <w:suppressAutoHyphens w:val="0"/>
        <w:autoSpaceDE/>
        <w:autoSpaceDN/>
        <w:adjustRightInd/>
        <w:textAlignment w:val="auto"/>
      </w:pPr>
      <w:r>
        <w:t>Option 2</w:t>
      </w:r>
      <w:r w:rsidRPr="00F2513C">
        <w:t xml:space="preserve">: </w:t>
      </w:r>
      <w:r>
        <w:t>Retain existing standards under the RVSA (BAU)</w:t>
      </w:r>
      <w:r w:rsidRPr="00F2513C">
        <w:t>;</w:t>
      </w:r>
      <w:r>
        <w:t xml:space="preserve"> and</w:t>
      </w:r>
    </w:p>
    <w:p w14:paraId="43F8EE1C" w14:textId="77777777" w:rsidR="007C097D" w:rsidRPr="00F2513C" w:rsidRDefault="007C097D" w:rsidP="00E248BF">
      <w:pPr>
        <w:pStyle w:val="ListParagraph"/>
        <w:keepLines/>
        <w:numPr>
          <w:ilvl w:val="0"/>
          <w:numId w:val="73"/>
        </w:numPr>
        <w:tabs>
          <w:tab w:val="left" w:pos="720"/>
        </w:tabs>
        <w:suppressAutoHyphens w:val="0"/>
        <w:autoSpaceDE/>
        <w:autoSpaceDN/>
        <w:adjustRightInd/>
        <w:textAlignment w:val="auto"/>
      </w:pPr>
      <w:r w:rsidRPr="00F2513C">
        <w:t xml:space="preserve">Option </w:t>
      </w:r>
      <w:r>
        <w:t>3</w:t>
      </w:r>
      <w:r w:rsidRPr="00F2513C">
        <w:t>:</w:t>
      </w:r>
      <w:r>
        <w:t xml:space="preserve"> Implement updated standards under the RVSA</w:t>
      </w:r>
      <w:r w:rsidRPr="00F2513C">
        <w:t>.</w:t>
      </w:r>
    </w:p>
    <w:p w14:paraId="3FD377F9" w14:textId="77777777" w:rsidR="000D6FF2" w:rsidRPr="007B6E69" w:rsidRDefault="000D6FF2" w:rsidP="000D6FF2">
      <w:pPr>
        <w:pStyle w:val="Heading2"/>
        <w:rPr>
          <w:lang w:val="en-AU"/>
        </w:rPr>
      </w:pPr>
      <w:bookmarkStart w:id="112" w:name="_Toc143182154"/>
      <w:r w:rsidRPr="007B6E69">
        <w:rPr>
          <w:lang w:val="en-AU"/>
        </w:rPr>
        <w:t>Net benefits</w:t>
      </w:r>
      <w:bookmarkEnd w:id="112"/>
    </w:p>
    <w:p w14:paraId="2EAE5018" w14:textId="77777777" w:rsidR="00B875F3" w:rsidRPr="00B875F3" w:rsidRDefault="00B875F3" w:rsidP="00B875F3">
      <w:r w:rsidRPr="00B875F3">
        <w:t>Net benefit (total benefits minus total costs in present value terms) provides the best measure of the economi</w:t>
      </w:r>
      <w:r w:rsidR="00F55FD9">
        <w:t>c effectiveness of the options.</w:t>
      </w:r>
    </w:p>
    <w:p w14:paraId="70436AE1" w14:textId="77777777" w:rsidR="00B875F3" w:rsidRPr="00B875F3" w:rsidRDefault="00F55FD9" w:rsidP="00B875F3">
      <w:r>
        <w:t xml:space="preserve">According to the benefit-cost analysis conducted by the ARRB, </w:t>
      </w:r>
      <w:r w:rsidR="00E630E6">
        <w:t>Option 3.2a</w:t>
      </w:r>
      <w:r w:rsidR="00EC08C1">
        <w:t xml:space="preserve"> </w:t>
      </w:r>
      <w:r w:rsidR="00A66A41">
        <w:t>(</w:t>
      </w:r>
      <w:r w:rsidR="00B9347B">
        <w:t>2.60</w:t>
      </w:r>
      <w:r w:rsidR="00A66A41">
        <w:t xml:space="preserve"> m wide goods vehicles and trailers) </w:t>
      </w:r>
      <w:r>
        <w:t>has</w:t>
      </w:r>
      <w:r w:rsidR="00B875F3" w:rsidRPr="00B875F3">
        <w:t xml:space="preserve"> the highest net benefit of the options examined, at $</w:t>
      </w:r>
      <w:r w:rsidR="00FA0416">
        <w:t>1,038</w:t>
      </w:r>
      <w:r w:rsidR="00FA50CF">
        <w:t> </w:t>
      </w:r>
      <w:r w:rsidR="008200FD">
        <w:t xml:space="preserve">m. </w:t>
      </w:r>
      <w:r w:rsidR="00B875F3" w:rsidRPr="00B875F3">
        <w:t>This benefit would be s</w:t>
      </w:r>
      <w:r w:rsidR="00E630E6">
        <w:t>pread over a period of around 40</w:t>
      </w:r>
      <w:r w:rsidR="00D50827">
        <w:t> </w:t>
      </w:r>
      <w:r w:rsidR="00E630E6">
        <w:t>years, including the assumed 15-</w:t>
      </w:r>
      <w:r w:rsidR="00B875F3" w:rsidRPr="00B875F3">
        <w:t xml:space="preserve">year period of regulation followed by a period of around </w:t>
      </w:r>
      <w:r w:rsidR="00192CB0">
        <w:t>25</w:t>
      </w:r>
      <w:r w:rsidR="00B875F3" w:rsidRPr="00B875F3">
        <w:t xml:space="preserve"> years over which the overall percentage </w:t>
      </w:r>
      <w:r w:rsidR="00E630E6">
        <w:t xml:space="preserve">of wider (up to </w:t>
      </w:r>
      <w:r w:rsidR="00B9347B">
        <w:t>2.60</w:t>
      </w:r>
      <w:r w:rsidR="00E630E6">
        <w:t xml:space="preserve"> m) goods vehicles and trailers fitted </w:t>
      </w:r>
      <w:r w:rsidR="00CC43DF">
        <w:t xml:space="preserve">with </w:t>
      </w:r>
      <w:r w:rsidR="00E630E6">
        <w:t>the required safety systems/features continue</w:t>
      </w:r>
      <w:r w:rsidR="00B875F3" w:rsidRPr="00B875F3">
        <w:t xml:space="preserve"> to rise</w:t>
      </w:r>
      <w:r w:rsidR="00E630E6">
        <w:t>, including due to</w:t>
      </w:r>
      <w:r w:rsidR="00B875F3" w:rsidRPr="00B875F3">
        <w:t xml:space="preserve"> older vehicles </w:t>
      </w:r>
      <w:r w:rsidR="00E630E6">
        <w:t xml:space="preserve">being </w:t>
      </w:r>
      <w:r w:rsidR="00B875F3" w:rsidRPr="00B875F3">
        <w:t>deregistered at end of service life.</w:t>
      </w:r>
    </w:p>
    <w:p w14:paraId="6568227C" w14:textId="77777777" w:rsidR="00B875F3" w:rsidRDefault="00B875F3" w:rsidP="00B875F3">
      <w:r w:rsidRPr="00B875F3">
        <w:t xml:space="preserve">Options </w:t>
      </w:r>
      <w:r w:rsidR="008200FD">
        <w:t>3.1a</w:t>
      </w:r>
      <w:r w:rsidR="00A66A41">
        <w:t xml:space="preserve"> (2.55 m wide goods vehicles and trailers)</w:t>
      </w:r>
      <w:r w:rsidR="008200FD">
        <w:t>, 3.1b</w:t>
      </w:r>
      <w:r w:rsidR="00A66A41">
        <w:t xml:space="preserve"> (2.55 m wide goods vehicles only)</w:t>
      </w:r>
      <w:r w:rsidR="008200FD">
        <w:t>, and 3.2b</w:t>
      </w:r>
      <w:r w:rsidRPr="00B875F3">
        <w:t xml:space="preserve"> </w:t>
      </w:r>
      <w:r w:rsidR="00A66A41">
        <w:t>(</w:t>
      </w:r>
      <w:r w:rsidR="00B9347B">
        <w:t>2.60</w:t>
      </w:r>
      <w:r w:rsidR="00A66A41">
        <w:t xml:space="preserve"> m wide goods vehicles only) </w:t>
      </w:r>
      <w:r w:rsidRPr="00B875F3">
        <w:t>also had positive net benefits of $</w:t>
      </w:r>
      <w:r w:rsidR="00FA50CF">
        <w:t>6</w:t>
      </w:r>
      <w:r w:rsidR="00FA0416">
        <w:t>5</w:t>
      </w:r>
      <w:r w:rsidR="00FA50CF">
        <w:t>4 </w:t>
      </w:r>
      <w:r w:rsidR="00F55FD9">
        <w:t xml:space="preserve">m, </w:t>
      </w:r>
      <w:r w:rsidR="00234460">
        <w:t>$</w:t>
      </w:r>
      <w:r w:rsidR="00FA50CF">
        <w:t>588 </w:t>
      </w:r>
      <w:r w:rsidRPr="00B875F3">
        <w:t>m</w:t>
      </w:r>
      <w:r w:rsidR="00234460">
        <w:t>, and $</w:t>
      </w:r>
      <w:r w:rsidR="00FA50CF">
        <w:t>931 </w:t>
      </w:r>
      <w:r w:rsidR="00752D44">
        <w:t>m</w:t>
      </w:r>
      <w:r w:rsidRPr="00B875F3">
        <w:t xml:space="preserve"> res</w:t>
      </w:r>
      <w:r>
        <w:t>pectively.</w:t>
      </w:r>
    </w:p>
    <w:p w14:paraId="66FFECD9" w14:textId="77777777" w:rsidR="005F20D2" w:rsidRPr="007B6E69" w:rsidRDefault="005F20D2" w:rsidP="00B875F3">
      <w:pPr>
        <w:pStyle w:val="Heading2"/>
        <w:rPr>
          <w:lang w:val="en-AU"/>
        </w:rPr>
      </w:pPr>
      <w:bookmarkStart w:id="113" w:name="_Toc143182155"/>
      <w:r>
        <w:rPr>
          <w:lang w:val="en-AU"/>
        </w:rPr>
        <w:t>Discussion</w:t>
      </w:r>
      <w:bookmarkEnd w:id="113"/>
    </w:p>
    <w:p w14:paraId="032E4010" w14:textId="77777777" w:rsidR="00C11792" w:rsidRDefault="00861978" w:rsidP="005F20D2">
      <w:r>
        <w:t>Although</w:t>
      </w:r>
      <w:r w:rsidR="00E9551E">
        <w:t xml:space="preserve"> </w:t>
      </w:r>
      <w:r w:rsidR="005D234F">
        <w:t xml:space="preserve">Option 3.2a </w:t>
      </w:r>
      <w:r w:rsidR="00A9120E">
        <w:t>(</w:t>
      </w:r>
      <w:r w:rsidR="00B9347B">
        <w:t>2.60</w:t>
      </w:r>
      <w:r w:rsidR="00A9120E">
        <w:t xml:space="preserve"> m wide goods vehicles and trailers) </w:t>
      </w:r>
      <w:r w:rsidR="005D234F">
        <w:t>has</w:t>
      </w:r>
      <w:r w:rsidR="005D234F" w:rsidRPr="00B875F3">
        <w:t xml:space="preserve"> the highest net benefit</w:t>
      </w:r>
      <w:r w:rsidR="00A206D3">
        <w:t xml:space="preserve"> according to the </w:t>
      </w:r>
      <w:r w:rsidR="00B348A0">
        <w:t xml:space="preserve">ARRB </w:t>
      </w:r>
      <w:r w:rsidR="00A9120E">
        <w:br/>
      </w:r>
      <w:r w:rsidR="00A206D3">
        <w:t>benefit-cost analysis</w:t>
      </w:r>
      <w:r w:rsidR="005D234F">
        <w:t xml:space="preserve">, </w:t>
      </w:r>
      <w:r w:rsidR="00C11792">
        <w:t xml:space="preserve">there are some key study limitations </w:t>
      </w:r>
      <w:r w:rsidR="002C5144">
        <w:t xml:space="preserve">relating to productivity benefits and infrastructure costs </w:t>
      </w:r>
      <w:r w:rsidR="00C11792">
        <w:t xml:space="preserve">that should be addressed before any decision is taken to increase the width limit to </w:t>
      </w:r>
      <w:r w:rsidR="00B9347B">
        <w:t>2.60</w:t>
      </w:r>
      <w:r w:rsidR="00C11792">
        <w:t> m for goods vehicles and/or trailers.</w:t>
      </w:r>
    </w:p>
    <w:p w14:paraId="205C69A0" w14:textId="77777777" w:rsidR="00594CB4" w:rsidRDefault="00357395" w:rsidP="005F20D2">
      <w:r>
        <w:t>I</w:t>
      </w:r>
      <w:r w:rsidR="00594CB4">
        <w:t>t is likely that much of the other freight movements</w:t>
      </w:r>
      <w:r w:rsidR="00DB4B0B">
        <w:t xml:space="preserve"> from</w:t>
      </w:r>
      <w:r w:rsidR="00594CB4">
        <w:t xml:space="preserve"> which the ARRB derived </w:t>
      </w:r>
      <w:r w:rsidR="00DB4B0B">
        <w:t xml:space="preserve">its reduction in trip estimates </w:t>
      </w:r>
      <w:r w:rsidR="00594CB4">
        <w:t xml:space="preserve">will </w:t>
      </w:r>
      <w:r w:rsidR="00DB4B0B">
        <w:t>involve ongoing use of</w:t>
      </w:r>
      <w:r w:rsidR="00594CB4">
        <w:t xml:space="preserve"> Australian standard size pallets, including for compatibility </w:t>
      </w:r>
      <w:r w:rsidR="00266A6B">
        <w:t xml:space="preserve">with other vehicles in the fleet and </w:t>
      </w:r>
      <w:r w:rsidR="00594CB4">
        <w:t>between road and rail</w:t>
      </w:r>
      <w:r w:rsidR="00DB4B0B">
        <w:t>. This would further limit the reduction in trips</w:t>
      </w:r>
      <w:r w:rsidR="00266A6B">
        <w:t xml:space="preserve"> for each option</w:t>
      </w:r>
      <w:r w:rsidR="00DB4B0B">
        <w:t>, as wider vehicles will not be able to carry any more freight where</w:t>
      </w:r>
      <w:r w:rsidR="00266A6B">
        <w:t>ver</w:t>
      </w:r>
      <w:r w:rsidR="00DB4B0B">
        <w:t xml:space="preserve"> the same Australian standard si</w:t>
      </w:r>
      <w:r w:rsidR="00266A6B">
        <w:t xml:space="preserve">ze pallets continue to be used. </w:t>
      </w:r>
      <w:r w:rsidR="007A7E3D">
        <w:t>Also</w:t>
      </w:r>
      <w:r w:rsidR="00266A6B">
        <w:t xml:space="preserve">, </w:t>
      </w:r>
      <w:r w:rsidR="00CF0004">
        <w:t xml:space="preserve">heavy vehicles do not always operate at capacity, which may further limit the possible reduction in trips for wider freight vehicles. For example, it is likely that </w:t>
      </w:r>
      <w:r w:rsidR="00C11792">
        <w:t>many</w:t>
      </w:r>
      <w:r w:rsidR="00CF0004">
        <w:t xml:space="preserve"> operators would be able to</w:t>
      </w:r>
      <w:r w:rsidR="00CC43DF">
        <w:t xml:space="preserve"> increase movement of volume-limited-</w:t>
      </w:r>
      <w:r w:rsidR="00CF0004">
        <w:t>freight on outbound trips, but would achieve little or no productivity gain for backloads.</w:t>
      </w:r>
      <w:r w:rsidR="00623B72">
        <w:t xml:space="preserve"> </w:t>
      </w:r>
      <w:r w:rsidR="0050606E">
        <w:t xml:space="preserve">Further, </w:t>
      </w:r>
      <w:r w:rsidR="00FC29FA">
        <w:t>some</w:t>
      </w:r>
      <w:r w:rsidR="0050606E">
        <w:t xml:space="preserve"> wider </w:t>
      </w:r>
      <w:r w:rsidR="00FC29FA">
        <w:t xml:space="preserve">trucks and many wider </w:t>
      </w:r>
      <w:r w:rsidR="0064521C">
        <w:t>trailers</w:t>
      </w:r>
      <w:r w:rsidR="0050606E">
        <w:t>, would</w:t>
      </w:r>
      <w:r w:rsidR="00FC29FA">
        <w:t xml:space="preserve"> likely</w:t>
      </w:r>
      <w:r w:rsidR="0050606E">
        <w:t xml:space="preserve"> include design changes for safer and/or </w:t>
      </w:r>
      <w:r w:rsidR="005D21E9">
        <w:t>easier</w:t>
      </w:r>
      <w:r w:rsidR="0050606E">
        <w:t xml:space="preserve"> loading and unloading, rather than for increasing the load that can be carried on each trip. </w:t>
      </w:r>
      <w:r w:rsidR="00C65550">
        <w:t>On the other hand</w:t>
      </w:r>
      <w:r w:rsidR="00011E7B">
        <w:t xml:space="preserve">, </w:t>
      </w:r>
      <w:r w:rsidR="009C32B2">
        <w:t xml:space="preserve">an increased </w:t>
      </w:r>
      <w:r w:rsidR="00011E7B">
        <w:t xml:space="preserve">width </w:t>
      </w:r>
      <w:r w:rsidR="009C32B2">
        <w:t xml:space="preserve">limit </w:t>
      </w:r>
      <w:r w:rsidR="0050606E">
        <w:t>would</w:t>
      </w:r>
      <w:r w:rsidR="00011E7B">
        <w:t xml:space="preserve"> allow some operators to </w:t>
      </w:r>
      <w:r w:rsidR="0050606E">
        <w:t>more readily and efficiently transport wider EU or US size pallets, and/or to purchase</w:t>
      </w:r>
      <w:r w:rsidR="00011E7B">
        <w:t xml:space="preserve"> trailers </w:t>
      </w:r>
      <w:r w:rsidR="0050606E">
        <w:t>that</w:t>
      </w:r>
      <w:r w:rsidR="00BC53D6">
        <w:t xml:space="preserve"> are </w:t>
      </w:r>
      <w:r w:rsidR="00011E7B">
        <w:t xml:space="preserve">better designed to carry </w:t>
      </w:r>
      <w:r w:rsidR="00C65550">
        <w:t>multiple</w:t>
      </w:r>
      <w:r w:rsidR="00011E7B">
        <w:t xml:space="preserve"> load types, including </w:t>
      </w:r>
      <w:r w:rsidR="009C32B2">
        <w:t>for</w:t>
      </w:r>
      <w:r w:rsidR="00011E7B">
        <w:t xml:space="preserve"> outbound and return trips. </w:t>
      </w:r>
      <w:r w:rsidR="00623B72">
        <w:t>In this respect, f</w:t>
      </w:r>
      <w:r w:rsidR="003E5D07">
        <w:t xml:space="preserve">urther </w:t>
      </w:r>
      <w:r w:rsidR="00180904">
        <w:t>c</w:t>
      </w:r>
      <w:r w:rsidR="003E5D07">
        <w:t xml:space="preserve">onsultation, including detailed review and </w:t>
      </w:r>
      <w:r w:rsidR="00084430">
        <w:t xml:space="preserve">feedback from heavy freight vehicle </w:t>
      </w:r>
      <w:r w:rsidR="003E5D07">
        <w:t>operators</w:t>
      </w:r>
      <w:r w:rsidR="00084430">
        <w:t xml:space="preserve"> and distribution companies</w:t>
      </w:r>
      <w:r w:rsidR="00623B72">
        <w:t>,</w:t>
      </w:r>
      <w:r w:rsidR="003E5D07">
        <w:t xml:space="preserve"> </w:t>
      </w:r>
      <w:r w:rsidR="00623B72">
        <w:t>may</w:t>
      </w:r>
      <w:r w:rsidR="003E5D07">
        <w:t xml:space="preserve"> enable better</w:t>
      </w:r>
      <w:r w:rsidR="0009055C">
        <w:t xml:space="preserve"> informed estimates </w:t>
      </w:r>
      <w:r w:rsidR="00CD5F9D">
        <w:t>to be made of the p</w:t>
      </w:r>
      <w:r w:rsidR="00A45CB4">
        <w:t>roductivity impacts</w:t>
      </w:r>
      <w:r w:rsidR="0009055C">
        <w:t>.</w:t>
      </w:r>
    </w:p>
    <w:p w14:paraId="144CE15E" w14:textId="77777777" w:rsidR="005571C4" w:rsidRDefault="00357395" w:rsidP="005571C4">
      <w:r>
        <w:t>A</w:t>
      </w:r>
      <w:r w:rsidR="005571C4">
        <w:t xml:space="preserve">lthough </w:t>
      </w:r>
      <w:r w:rsidR="009705E8">
        <w:t xml:space="preserve">the ARRB </w:t>
      </w:r>
      <w:r w:rsidR="00C36DD9">
        <w:t xml:space="preserve">have </w:t>
      </w:r>
      <w:r w:rsidR="009705E8">
        <w:t xml:space="preserve">assumed </w:t>
      </w:r>
      <w:r w:rsidR="0001512E">
        <w:t>the same infrastructure updat</w:t>
      </w:r>
      <w:r w:rsidR="009705E8">
        <w:t>e costs for both a 2.55 </w:t>
      </w:r>
      <w:r w:rsidR="00A30AF6">
        <w:t xml:space="preserve">m and </w:t>
      </w:r>
      <w:r w:rsidR="009705E8">
        <w:t xml:space="preserve">a </w:t>
      </w:r>
      <w:r w:rsidR="00B9347B">
        <w:t>2.60</w:t>
      </w:r>
      <w:r w:rsidR="009705E8">
        <w:t> </w:t>
      </w:r>
      <w:r w:rsidR="0001512E">
        <w:t>m</w:t>
      </w:r>
      <w:r w:rsidR="00363E28">
        <w:t xml:space="preserve"> </w:t>
      </w:r>
      <w:r w:rsidR="009705E8">
        <w:t>width limit</w:t>
      </w:r>
      <w:r w:rsidR="005571C4">
        <w:t xml:space="preserve">, it is </w:t>
      </w:r>
      <w:r w:rsidR="00217097">
        <w:t>possible that</w:t>
      </w:r>
      <w:r w:rsidR="005571C4">
        <w:t xml:space="preserve"> there would be some additional infrastructure costs for </w:t>
      </w:r>
      <w:r w:rsidR="00B9347B">
        <w:t>2.60</w:t>
      </w:r>
      <w:r w:rsidR="005571C4">
        <w:t xml:space="preserve"> m wide freight vehicles</w:t>
      </w:r>
      <w:r w:rsidR="009705E8">
        <w:t>.</w:t>
      </w:r>
      <w:r w:rsidR="00DD21F3">
        <w:t xml:space="preserve"> </w:t>
      </w:r>
      <w:r w:rsidR="00217097">
        <w:t xml:space="preserve">Further, state and territory governments are currently only supportive of increasing the width limit to 2.55 m, and any increased infrastructure update costs for a </w:t>
      </w:r>
      <w:r w:rsidR="00B9347B">
        <w:t>2.60</w:t>
      </w:r>
      <w:r w:rsidR="00217097">
        <w:t xml:space="preserve"> m width limit would primarily be absorbed by these governments (together with local governments). </w:t>
      </w:r>
      <w:r w:rsidR="005571C4">
        <w:t xml:space="preserve">There should therefore be an opportunity for these other government stakeholders to review and provide feedback on </w:t>
      </w:r>
      <w:r w:rsidR="00217097">
        <w:t xml:space="preserve">the benefit-cost analysis, including </w:t>
      </w:r>
      <w:r w:rsidR="000B4BB0">
        <w:t xml:space="preserve">in-particular </w:t>
      </w:r>
      <w:r w:rsidR="00217097">
        <w:t xml:space="preserve">the infrastructure update costs for </w:t>
      </w:r>
      <w:r w:rsidR="00B9347B">
        <w:t>2.60</w:t>
      </w:r>
      <w:r w:rsidR="00217097">
        <w:t xml:space="preserve"> m wide freight vehicles,</w:t>
      </w:r>
      <w:r w:rsidR="005571C4">
        <w:t xml:space="preserve"> </w:t>
      </w:r>
      <w:r w:rsidR="00217097">
        <w:t xml:space="preserve">before any decision </w:t>
      </w:r>
      <w:r w:rsidR="001569BE">
        <w:t xml:space="preserve">is taken </w:t>
      </w:r>
      <w:r w:rsidR="00217097">
        <w:t xml:space="preserve">to increase the width limit to </w:t>
      </w:r>
      <w:r w:rsidR="00B9347B">
        <w:t>2.60</w:t>
      </w:r>
      <w:r w:rsidR="00217097">
        <w:t> m for goods vehicles and/or trailers</w:t>
      </w:r>
      <w:r w:rsidR="005571C4">
        <w:t>.</w:t>
      </w:r>
    </w:p>
    <w:p w14:paraId="646E8D24" w14:textId="77777777" w:rsidR="00A9120E" w:rsidRDefault="000D016C" w:rsidP="0050606E">
      <w:pPr>
        <w:keepLines/>
      </w:pPr>
      <w:r>
        <w:t>In addition to the above benefit-cost analysis</w:t>
      </w:r>
      <w:r w:rsidR="00D04FFE">
        <w:t xml:space="preserve"> related limitations</w:t>
      </w:r>
      <w:r>
        <w:t xml:space="preserve">, it is also important to consider the possible impacts of a staged increase in </w:t>
      </w:r>
      <w:r w:rsidR="00C32ED4">
        <w:t xml:space="preserve">the </w:t>
      </w:r>
      <w:r>
        <w:t>width limit for both truck and traile</w:t>
      </w:r>
      <w:r w:rsidR="00DB0C8E">
        <w:t xml:space="preserve">r manufacturers. For both </w:t>
      </w:r>
      <w:r>
        <w:t xml:space="preserve">trucks and imported trailers, increasing the width limit to 2.55 m would substantially </w:t>
      </w:r>
      <w:r w:rsidR="00DB0C8E">
        <w:t>reduce</w:t>
      </w:r>
      <w:r>
        <w:t xml:space="preserve"> modification costs to make vehicles narrower for Australia, and any subsequent chang</w:t>
      </w:r>
      <w:r w:rsidR="00DB0C8E">
        <w:t xml:space="preserve">e to allow for </w:t>
      </w:r>
      <w:r w:rsidR="00B9347B">
        <w:t>2.60</w:t>
      </w:r>
      <w:r w:rsidR="00536B85">
        <w:t xml:space="preserve"> m wide vehicles sh</w:t>
      </w:r>
      <w:r>
        <w:t>ould only further</w:t>
      </w:r>
      <w:r w:rsidR="00DB0C8E">
        <w:t xml:space="preserve"> reduce these costs</w:t>
      </w:r>
      <w:r>
        <w:t xml:space="preserve">. </w:t>
      </w:r>
      <w:r w:rsidR="008E5F5F">
        <w:t>However</w:t>
      </w:r>
      <w:r w:rsidR="00DB0C8E">
        <w:t>,</w:t>
      </w:r>
      <w:r w:rsidR="00A30AF6">
        <w:t xml:space="preserve"> </w:t>
      </w:r>
      <w:r w:rsidR="001F292A">
        <w:t xml:space="preserve">such </w:t>
      </w:r>
      <w:r w:rsidR="00A30AF6">
        <w:t>a staged approach would create the greatest modification costs</w:t>
      </w:r>
      <w:r w:rsidR="00A9120E">
        <w:t xml:space="preserve"> and undesirable regulatory uncertainty</w:t>
      </w:r>
      <w:r w:rsidR="006935A6">
        <w:t xml:space="preserve"> for domestic trailer manufacturers</w:t>
      </w:r>
      <w:r w:rsidR="00A30AF6">
        <w:t>.</w:t>
      </w:r>
      <w:r w:rsidR="0042001D">
        <w:t xml:space="preserve"> It would therefore be better to reserve any decision in regard to increasing the maximum width limit</w:t>
      </w:r>
      <w:r w:rsidR="00517184">
        <w:t xml:space="preserve"> for trailers until </w:t>
      </w:r>
      <w:r w:rsidR="007C1AC1">
        <w:t>the</w:t>
      </w:r>
      <w:r w:rsidR="00517184">
        <w:t xml:space="preserve"> </w:t>
      </w:r>
      <w:r w:rsidR="007C1AC1">
        <w:t xml:space="preserve">above </w:t>
      </w:r>
      <w:r w:rsidR="00517184">
        <w:t>limitations of the current analysis are addressed</w:t>
      </w:r>
      <w:r w:rsidR="0042001D">
        <w:t>.</w:t>
      </w:r>
    </w:p>
    <w:p w14:paraId="00298E8D" w14:textId="77777777" w:rsidR="0096341F" w:rsidRDefault="00A9120E" w:rsidP="0050606E">
      <w:r>
        <w:t xml:space="preserve">None of the above study limitations or staged implementation considerations should stop the Australian Government from implementing Option 3.1b (2.55 m wide goods vehicles only) </w:t>
      </w:r>
      <w:r w:rsidR="008E5F5F">
        <w:t>as soon as possible</w:t>
      </w:r>
      <w:r>
        <w:t xml:space="preserve">. </w:t>
      </w:r>
      <w:r w:rsidR="00F70F0D">
        <w:t xml:space="preserve">This option is </w:t>
      </w:r>
      <w:r w:rsidR="00133C19">
        <w:t xml:space="preserve">the least </w:t>
      </w:r>
      <w:r w:rsidR="00F70F0D">
        <w:t xml:space="preserve">sensitive to </w:t>
      </w:r>
      <w:r w:rsidR="00AE0862">
        <w:t>changes in</w:t>
      </w:r>
      <w:r w:rsidR="00F70F0D">
        <w:t xml:space="preserve"> reductions in trips for increased width, including because the net benefit</w:t>
      </w:r>
      <w:r>
        <w:t xml:space="preserve"> for this optio</w:t>
      </w:r>
      <w:r w:rsidR="00F70F0D">
        <w:t xml:space="preserve">n </w:t>
      </w:r>
      <w:r w:rsidR="006C63B0">
        <w:t>is</w:t>
      </w:r>
      <w:r w:rsidR="004D2B98">
        <w:t xml:space="preserve"> mostly</w:t>
      </w:r>
      <w:r w:rsidR="006C63B0">
        <w:t xml:space="preserve"> </w:t>
      </w:r>
      <w:r w:rsidR="004D2B98">
        <w:t>derived</w:t>
      </w:r>
      <w:r w:rsidR="00AE0862">
        <w:t xml:space="preserve"> </w:t>
      </w:r>
      <w:r w:rsidR="004D2B98">
        <w:t>through</w:t>
      </w:r>
      <w:r w:rsidR="00AE0862">
        <w:t xml:space="preserve"> </w:t>
      </w:r>
      <w:r w:rsidR="004D2B98">
        <w:t>an increase in</w:t>
      </w:r>
      <w:r w:rsidR="00AE0862">
        <w:t xml:space="preserve"> the take-up of </w:t>
      </w:r>
      <w:r w:rsidR="004D2B98">
        <w:t>safer freight vehicles</w:t>
      </w:r>
      <w:r w:rsidR="002B14A5">
        <w:t xml:space="preserve">. Further, the net benefit of allowing 2.55 m wide </w:t>
      </w:r>
      <w:r w:rsidR="00F70F0D">
        <w:t>goods vehicles</w:t>
      </w:r>
      <w:r w:rsidR="002B14A5">
        <w:t xml:space="preserve"> under this </w:t>
      </w:r>
      <w:r w:rsidR="00843EC7">
        <w:t>sub-</w:t>
      </w:r>
      <w:r w:rsidR="003159BB">
        <w:t>option</w:t>
      </w:r>
      <w:r w:rsidR="002B14A5">
        <w:t xml:space="preserve"> </w:t>
      </w:r>
      <w:r w:rsidR="00F70F0D">
        <w:t>is</w:t>
      </w:r>
      <w:r w:rsidR="002B14A5">
        <w:t xml:space="preserve"> a </w:t>
      </w:r>
      <w:r w:rsidR="00332BB0">
        <w:t>key sub-part</w:t>
      </w:r>
      <w:r w:rsidR="002B14A5">
        <w:t xml:space="preserve"> of </w:t>
      </w:r>
      <w:r w:rsidR="00F70F0D">
        <w:t xml:space="preserve">the net benefits for </w:t>
      </w:r>
      <w:r w:rsidR="002B14A5">
        <w:t xml:space="preserve">each of the other </w:t>
      </w:r>
      <w:r w:rsidR="00843EC7">
        <w:t>sub-</w:t>
      </w:r>
      <w:r w:rsidR="002B14A5">
        <w:t xml:space="preserve">options. This means whatever option is ultimately </w:t>
      </w:r>
      <w:r w:rsidR="003159BB">
        <w:t xml:space="preserve">identified as </w:t>
      </w:r>
      <w:r w:rsidR="00332BB0">
        <w:t>the best option</w:t>
      </w:r>
      <w:r w:rsidR="002B14A5">
        <w:t xml:space="preserve">, including following further consultation to address </w:t>
      </w:r>
      <w:r w:rsidR="00F70F0D">
        <w:t xml:space="preserve">the current </w:t>
      </w:r>
      <w:r w:rsidR="002B14A5">
        <w:t>study limita</w:t>
      </w:r>
      <w:r w:rsidR="009C19FD">
        <w:t xml:space="preserve">tions, this </w:t>
      </w:r>
      <w:r w:rsidR="00192CB0">
        <w:t>will</w:t>
      </w:r>
      <w:r w:rsidR="002B14A5">
        <w:t xml:space="preserve"> at least include 2.55 m wide goods vehicles</w:t>
      </w:r>
      <w:r w:rsidR="00997B65">
        <w:t xml:space="preserve"> over 4.5 tonnes GVM</w:t>
      </w:r>
      <w:r w:rsidR="00A0278D">
        <w:t xml:space="preserve"> (i.e. Op</w:t>
      </w:r>
      <w:r w:rsidR="00FA474B">
        <w:t>tion 3.1b)</w:t>
      </w:r>
      <w:r w:rsidR="002B14A5">
        <w:t>.</w:t>
      </w:r>
    </w:p>
    <w:p w14:paraId="554E5CFC" w14:textId="77777777" w:rsidR="000D6FF2" w:rsidRPr="007B6E69" w:rsidRDefault="000D6FF2" w:rsidP="002B14A5">
      <w:pPr>
        <w:pStyle w:val="Heading2"/>
        <w:rPr>
          <w:lang w:val="en-AU"/>
        </w:rPr>
      </w:pPr>
      <w:bookmarkStart w:id="114" w:name="_Toc143182156"/>
      <w:r w:rsidRPr="007B6E69">
        <w:rPr>
          <w:lang w:val="en-AU"/>
        </w:rPr>
        <w:t>Recommendation</w:t>
      </w:r>
      <w:r w:rsidR="00617D36">
        <w:rPr>
          <w:lang w:val="en-AU"/>
        </w:rPr>
        <w:t>s</w:t>
      </w:r>
      <w:bookmarkEnd w:id="114"/>
    </w:p>
    <w:p w14:paraId="3A521E5E" w14:textId="77777777" w:rsidR="000D6FF2" w:rsidRDefault="00601D09" w:rsidP="00E248BF">
      <w:pPr>
        <w:pStyle w:val="ListParagraph"/>
        <w:numPr>
          <w:ilvl w:val="0"/>
          <w:numId w:val="74"/>
        </w:numPr>
      </w:pPr>
      <w:r>
        <w:t>As a first step, t</w:t>
      </w:r>
      <w:r w:rsidR="002B0051">
        <w:t>he Australian Government should implement Option 3.1b</w:t>
      </w:r>
      <w:r w:rsidR="004C395F">
        <w:t xml:space="preserve"> (2.55 m wide goods vehicles only)</w:t>
      </w:r>
      <w:r w:rsidR="002B0051">
        <w:t xml:space="preserve">, with a policy commencement date </w:t>
      </w:r>
      <w:r w:rsidR="00004393">
        <w:t>as close as reasonably practical to</w:t>
      </w:r>
      <w:r w:rsidR="006563A2">
        <w:t xml:space="preserve"> </w:t>
      </w:r>
      <w:r w:rsidR="00004393">
        <w:t>1 July 2023 (as was assumed and modelled in the ARRB benefit-cost analysis</w:t>
      </w:r>
      <w:r w:rsidR="006563A2">
        <w:t xml:space="preserve"> – </w:t>
      </w:r>
      <w:r w:rsidR="000B6729">
        <w:t xml:space="preserve">refer </w:t>
      </w:r>
      <w:r w:rsidR="00315F17">
        <w:t>to Chapter 8 below for further explanation of commencement timing)</w:t>
      </w:r>
      <w:r w:rsidR="002B0051">
        <w:t>.</w:t>
      </w:r>
    </w:p>
    <w:p w14:paraId="7B63D6CF" w14:textId="77777777" w:rsidR="00BB45BD" w:rsidRDefault="008D5D02" w:rsidP="00E248BF">
      <w:pPr>
        <w:pStyle w:val="ListParagraph"/>
        <w:numPr>
          <w:ilvl w:val="0"/>
          <w:numId w:val="74"/>
        </w:numPr>
      </w:pPr>
      <w:r>
        <w:t xml:space="preserve">The </w:t>
      </w:r>
      <w:r w:rsidR="00B9347B">
        <w:t>d</w:t>
      </w:r>
      <w:r>
        <w:t xml:space="preserve">epartment should publish this </w:t>
      </w:r>
      <w:r w:rsidR="00C45600">
        <w:t>IA</w:t>
      </w:r>
      <w:r>
        <w:t xml:space="preserve"> on its website and invite further public comment in regard to the possible future implementation of Options 3.1a (2.55 m goods vehicles and trailers), 3.2a (</w:t>
      </w:r>
      <w:r w:rsidR="00B9347B">
        <w:t>2.60</w:t>
      </w:r>
      <w:r>
        <w:t> m goods vehicles and trailers), or 3.2b (</w:t>
      </w:r>
      <w:r w:rsidR="00B9347B">
        <w:t>2.60</w:t>
      </w:r>
      <w:r>
        <w:t> m goods vehicles only).</w:t>
      </w:r>
    </w:p>
    <w:p w14:paraId="4034BB29" w14:textId="77777777" w:rsidR="00363533" w:rsidRDefault="00B01993" w:rsidP="00E248BF">
      <w:pPr>
        <w:pStyle w:val="ListParagraph"/>
        <w:numPr>
          <w:ilvl w:val="0"/>
          <w:numId w:val="74"/>
        </w:numPr>
      </w:pPr>
      <w:r>
        <w:t xml:space="preserve">Stakeholders, particularly heavy </w:t>
      </w:r>
      <w:r w:rsidR="00842227">
        <w:t xml:space="preserve">freight </w:t>
      </w:r>
      <w:r>
        <w:t>vehicle operators</w:t>
      </w:r>
      <w:r w:rsidR="00F73FBD">
        <w:t xml:space="preserve"> and distribution companies</w:t>
      </w:r>
      <w:r>
        <w:t>,</w:t>
      </w:r>
      <w:r w:rsidR="002310C0">
        <w:t xml:space="preserve"> should provide </w:t>
      </w:r>
      <w:r w:rsidR="00682422">
        <w:t xml:space="preserve">the </w:t>
      </w:r>
      <w:r w:rsidR="00B9347B">
        <w:t>d</w:t>
      </w:r>
      <w:r w:rsidR="00682422">
        <w:t xml:space="preserve">epartment with </w:t>
      </w:r>
      <w:r w:rsidR="002310C0">
        <w:t xml:space="preserve">more detailed </w:t>
      </w:r>
      <w:r w:rsidR="00586725">
        <w:t xml:space="preserve">and verifiable </w:t>
      </w:r>
      <w:r w:rsidR="002310C0">
        <w:t xml:space="preserve">data to enable </w:t>
      </w:r>
      <w:r w:rsidR="00CC66CC">
        <w:t>better</w:t>
      </w:r>
      <w:r w:rsidR="008D5D02">
        <w:t xml:space="preserve">-informed </w:t>
      </w:r>
      <w:r w:rsidR="002310C0">
        <w:t>estimate</w:t>
      </w:r>
      <w:r w:rsidR="00EE61FF">
        <w:t>s</w:t>
      </w:r>
      <w:r w:rsidR="002310C0">
        <w:t xml:space="preserve"> to be made of the </w:t>
      </w:r>
      <w:r w:rsidR="00682422">
        <w:t xml:space="preserve">likely </w:t>
      </w:r>
      <w:r w:rsidR="002310C0">
        <w:t xml:space="preserve">reduction in trips for 2.55 m and </w:t>
      </w:r>
      <w:r w:rsidR="00B9347B">
        <w:t>2.60</w:t>
      </w:r>
      <w:r w:rsidR="00601D09">
        <w:t> m wide heavy freight vehicles</w:t>
      </w:r>
      <w:r w:rsidR="00D05D90">
        <w:t xml:space="preserve"> (e.g. freight movement by pallets, utilisation of available volumetric capacity etc.)</w:t>
      </w:r>
      <w:r w:rsidR="008B4D75">
        <w:t xml:space="preserve">, together with likely benefits from design changes for </w:t>
      </w:r>
      <w:r w:rsidR="00F4024D">
        <w:t xml:space="preserve">both </w:t>
      </w:r>
      <w:r w:rsidR="008B4D75">
        <w:t>safer and/or easier loading and unloading of wider freight vehicles</w:t>
      </w:r>
      <w:r w:rsidR="00F4024D">
        <w:t xml:space="preserve"> </w:t>
      </w:r>
      <w:r w:rsidR="00F4024D" w:rsidRPr="00F4024D">
        <w:t>and increased versatility to provide greater productivity (e.g. designs that can be better utilised during back-loads)</w:t>
      </w:r>
      <w:r w:rsidR="00601D09">
        <w:t>.</w:t>
      </w:r>
    </w:p>
    <w:p w14:paraId="41FCE664" w14:textId="77777777" w:rsidR="002B0051" w:rsidRDefault="00363533" w:rsidP="00E248BF">
      <w:pPr>
        <w:pStyle w:val="ListParagraph"/>
        <w:numPr>
          <w:ilvl w:val="0"/>
          <w:numId w:val="74"/>
        </w:numPr>
      </w:pPr>
      <w:r>
        <w:t xml:space="preserve">State and territory governments should work together with local governments to </w:t>
      </w:r>
      <w:r w:rsidR="002310C0">
        <w:t>identify</w:t>
      </w:r>
      <w:r>
        <w:t xml:space="preserve"> where there are roads or intersections within the network that are not suitable for </w:t>
      </w:r>
      <w:r w:rsidR="00B9347B">
        <w:t>2.60</w:t>
      </w:r>
      <w:r>
        <w:t xml:space="preserve"> m wide vehicles, and </w:t>
      </w:r>
      <w:r w:rsidR="00682422">
        <w:t xml:space="preserve">provide the </w:t>
      </w:r>
      <w:r w:rsidR="00B9347B">
        <w:t>d</w:t>
      </w:r>
      <w:r w:rsidR="00682422">
        <w:t xml:space="preserve">epartment with </w:t>
      </w:r>
      <w:r w:rsidR="00586725">
        <w:t>verifiable</w:t>
      </w:r>
      <w:r w:rsidR="00682422">
        <w:t xml:space="preserve"> estimate</w:t>
      </w:r>
      <w:r w:rsidR="00586725">
        <w:t>s</w:t>
      </w:r>
      <w:r w:rsidR="00682422">
        <w:t xml:space="preserve"> of</w:t>
      </w:r>
      <w:r>
        <w:t xml:space="preserve"> the cost to update these </w:t>
      </w:r>
      <w:r w:rsidR="002310C0">
        <w:t>and/</w:t>
      </w:r>
      <w:r>
        <w:t xml:space="preserve">or </w:t>
      </w:r>
      <w:r w:rsidR="002310C0">
        <w:t>implemen</w:t>
      </w:r>
      <w:r>
        <w:t xml:space="preserve">t </w:t>
      </w:r>
      <w:r w:rsidR="00055FAD">
        <w:t xml:space="preserve">any </w:t>
      </w:r>
      <w:r>
        <w:t>access</w:t>
      </w:r>
      <w:r w:rsidR="002310C0">
        <w:t xml:space="preserve"> restrictions</w:t>
      </w:r>
      <w:r w:rsidR="00EE61FF">
        <w:t xml:space="preserve">, to enable a </w:t>
      </w:r>
      <w:r w:rsidR="008D5D02">
        <w:br/>
        <w:t xml:space="preserve">better-informed </w:t>
      </w:r>
      <w:r w:rsidR="00EE61FF">
        <w:t xml:space="preserve">estimate to be made of the likely infrastructure impact for </w:t>
      </w:r>
      <w:r w:rsidR="00B9347B">
        <w:t>2.60</w:t>
      </w:r>
      <w:r w:rsidR="00EE61FF">
        <w:t> m wide heavy freight vehicles</w:t>
      </w:r>
      <w:r>
        <w:t>.</w:t>
      </w:r>
    </w:p>
    <w:p w14:paraId="1E1F63A5" w14:textId="77777777" w:rsidR="002310C0" w:rsidRPr="007B6E69" w:rsidRDefault="002310C0" w:rsidP="00E248BF">
      <w:pPr>
        <w:pStyle w:val="ListParagraph"/>
        <w:numPr>
          <w:ilvl w:val="0"/>
          <w:numId w:val="74"/>
        </w:numPr>
      </w:pPr>
      <w:r>
        <w:t xml:space="preserve">The </w:t>
      </w:r>
      <w:r w:rsidR="00B9347B">
        <w:t>d</w:t>
      </w:r>
      <w:r>
        <w:t xml:space="preserve">epartment should update the benefit-cost analysis </w:t>
      </w:r>
      <w:r w:rsidR="00682422">
        <w:t>as</w:t>
      </w:r>
      <w:r>
        <w:t xml:space="preserve"> </w:t>
      </w:r>
      <w:r w:rsidR="00B033B5">
        <w:t xml:space="preserve">the actions arising from </w:t>
      </w:r>
      <w:r>
        <w:t>recommendations 2</w:t>
      </w:r>
      <w:r w:rsidR="002E2700">
        <w:t>, 3</w:t>
      </w:r>
      <w:r>
        <w:t xml:space="preserve"> and </w:t>
      </w:r>
      <w:r w:rsidR="002E2700">
        <w:t>4</w:t>
      </w:r>
      <w:r>
        <w:t xml:space="preserve"> above are completed, and </w:t>
      </w:r>
      <w:r w:rsidR="000C2A8F">
        <w:t>if</w:t>
      </w:r>
      <w:r w:rsidR="00750184">
        <w:t xml:space="preserve"> th</w:t>
      </w:r>
      <w:r w:rsidR="00333D3D">
        <w:t>e outcomes of this</w:t>
      </w:r>
      <w:r w:rsidR="00750184">
        <w:t xml:space="preserve"> justif</w:t>
      </w:r>
      <w:r w:rsidR="00333D3D">
        <w:t>y</w:t>
      </w:r>
      <w:r w:rsidR="00750184">
        <w:t xml:space="preserve"> a further stage of reform, </w:t>
      </w:r>
      <w:r>
        <w:t xml:space="preserve">prepare an updated </w:t>
      </w:r>
      <w:r w:rsidR="00C45600">
        <w:t>IA</w:t>
      </w:r>
      <w:r w:rsidR="007B2205">
        <w:t xml:space="preserve"> for consideration by the Minister</w:t>
      </w:r>
      <w:r>
        <w:t>.</w:t>
      </w:r>
    </w:p>
    <w:p w14:paraId="353E7833" w14:textId="77777777" w:rsidR="000D6FF2" w:rsidRPr="007B6E69" w:rsidRDefault="000D6FF2" w:rsidP="000D6FF2"/>
    <w:p w14:paraId="38960C67" w14:textId="77777777" w:rsidR="000D6FF2" w:rsidRDefault="000D6FF2" w:rsidP="00E13D3A">
      <w:pPr>
        <w:pStyle w:val="Heading1"/>
        <w:sectPr w:rsidR="000D6FF2" w:rsidSect="00D87AD8">
          <w:pgSz w:w="11906" w:h="16838" w:code="9"/>
          <w:pgMar w:top="1021" w:right="1021" w:bottom="1021" w:left="1021" w:header="510" w:footer="567" w:gutter="0"/>
          <w:cols w:space="708"/>
          <w:docGrid w:linePitch="360"/>
        </w:sectPr>
      </w:pPr>
    </w:p>
    <w:p w14:paraId="6F669705" w14:textId="77777777" w:rsidR="00044540" w:rsidRPr="007B6E69" w:rsidRDefault="00044540" w:rsidP="00E13D3A">
      <w:pPr>
        <w:pStyle w:val="Heading1"/>
      </w:pPr>
      <w:bookmarkStart w:id="115" w:name="_Toc111576727"/>
      <w:bookmarkStart w:id="116" w:name="_Toc143182157"/>
      <w:r w:rsidRPr="007B6E69">
        <w:t xml:space="preserve">Chapter </w:t>
      </w:r>
      <w:r w:rsidR="005C72E8" w:rsidRPr="007B6E69">
        <w:t>8</w:t>
      </w:r>
      <w:r w:rsidRPr="007B6E69">
        <w:t xml:space="preserve">: </w:t>
      </w:r>
      <w:r w:rsidR="009A2F0A">
        <w:t>Implementation and e</w:t>
      </w:r>
      <w:r w:rsidR="004E1E4C" w:rsidRPr="007B6E69">
        <w:t>valuation</w:t>
      </w:r>
      <w:bookmarkEnd w:id="115"/>
      <w:bookmarkEnd w:id="116"/>
    </w:p>
    <w:p w14:paraId="4DBC7F38" w14:textId="77777777" w:rsidR="00125C88" w:rsidRPr="007B6E69" w:rsidRDefault="00125C88" w:rsidP="00125C88">
      <w:r w:rsidRPr="007B6E69">
        <w:t xml:space="preserve">New ADRs or amendments to the ADRs are determined by the responsible </w:t>
      </w:r>
      <w:r w:rsidR="00786281" w:rsidRPr="007B6E69">
        <w:t>minister</w:t>
      </w:r>
      <w:r w:rsidRPr="007B6E69">
        <w:t xml:space="preserve"> under section 12 of the RVSA.</w:t>
      </w:r>
    </w:p>
    <w:p w14:paraId="53697078" w14:textId="77777777" w:rsidR="00125C88" w:rsidRDefault="00125C88" w:rsidP="006F274C">
      <w:r w:rsidRPr="007B6E69">
        <w:t xml:space="preserve">Development of safety-related ADRs under the RVSA is the responsibility of the Vehicle Safety Policy and Partnerships </w:t>
      </w:r>
      <w:r w:rsidR="005637CE" w:rsidRPr="007B6E69">
        <w:t xml:space="preserve">(VSP&amp;P) </w:t>
      </w:r>
      <w:r w:rsidRPr="007B6E69">
        <w:t xml:space="preserve">Branch of the </w:t>
      </w:r>
      <w:r w:rsidR="00B9347B">
        <w:t>d</w:t>
      </w:r>
      <w:r w:rsidRPr="007B6E69">
        <w:t>epartment. It is carried out in consultation with representatives of the Australian Government, state and territory governments, manufacturing and operating industries, road user groups and experts in the field of road safety. Under the RVSA, the Minister may consult with state and territory agencies responsible for road safety, organisations and persons involved in the road vehicle industry and organisations representing road vehicle users before determining an ADR.</w:t>
      </w:r>
    </w:p>
    <w:p w14:paraId="0F0C7F5E" w14:textId="77777777" w:rsidR="00617D36" w:rsidRDefault="003F6478" w:rsidP="00617D36">
      <w:pPr>
        <w:pStyle w:val="Heading2"/>
      </w:pPr>
      <w:bookmarkStart w:id="117" w:name="_Toc143182158"/>
      <w:r>
        <w:t>Implementation of updated standards</w:t>
      </w:r>
      <w:bookmarkEnd w:id="117"/>
    </w:p>
    <w:p w14:paraId="6D7EEF78" w14:textId="77777777" w:rsidR="00F249C8" w:rsidRDefault="00AF716C" w:rsidP="00617D36">
      <w:pPr>
        <w:rPr>
          <w:lang w:val="en-US"/>
        </w:rPr>
      </w:pPr>
      <w:r>
        <w:rPr>
          <w:lang w:val="en-US"/>
        </w:rPr>
        <w:t>Option 3.1</w:t>
      </w:r>
      <w:r w:rsidR="0026447A">
        <w:rPr>
          <w:lang w:val="en-US"/>
        </w:rPr>
        <w:t xml:space="preserve">b would be implemented with a </w:t>
      </w:r>
      <w:r w:rsidR="0023262A">
        <w:rPr>
          <w:lang w:val="en-US"/>
        </w:rPr>
        <w:t xml:space="preserve">fixed </w:t>
      </w:r>
      <w:r w:rsidR="0026447A">
        <w:rPr>
          <w:lang w:val="en-US"/>
        </w:rPr>
        <w:t>policy commencement date</w:t>
      </w:r>
      <w:r w:rsidR="00EC72D8">
        <w:rPr>
          <w:lang w:val="en-US"/>
        </w:rPr>
        <w:t>,</w:t>
      </w:r>
      <w:r w:rsidR="0026447A">
        <w:rPr>
          <w:lang w:val="en-US"/>
        </w:rPr>
        <w:t xml:space="preserve"> </w:t>
      </w:r>
      <w:r w:rsidR="0023262A">
        <w:rPr>
          <w:lang w:val="en-US"/>
        </w:rPr>
        <w:t xml:space="preserve">to be set </w:t>
      </w:r>
      <w:r w:rsidR="002F62AC">
        <w:rPr>
          <w:lang w:val="en-US"/>
        </w:rPr>
        <w:t xml:space="preserve">as close as </w:t>
      </w:r>
      <w:r w:rsidR="00C4295D">
        <w:rPr>
          <w:lang w:val="en-US"/>
        </w:rPr>
        <w:t>reasonably practical</w:t>
      </w:r>
      <w:r w:rsidR="002F62AC">
        <w:rPr>
          <w:lang w:val="en-US"/>
        </w:rPr>
        <w:t xml:space="preserve"> to</w:t>
      </w:r>
      <w:r w:rsidR="0026447A">
        <w:rPr>
          <w:lang w:val="en-US"/>
        </w:rPr>
        <w:t xml:space="preserve"> </w:t>
      </w:r>
      <w:r w:rsidR="0026447A" w:rsidRPr="00762CC1">
        <w:rPr>
          <w:lang w:val="en-US"/>
        </w:rPr>
        <w:t>1 July 2023</w:t>
      </w:r>
      <w:r w:rsidR="0023262A">
        <w:rPr>
          <w:lang w:val="en-US"/>
        </w:rPr>
        <w:t xml:space="preserve"> (</w:t>
      </w:r>
      <w:r w:rsidR="00706D8A">
        <w:rPr>
          <w:lang w:val="en-US"/>
        </w:rPr>
        <w:t xml:space="preserve">as was </w:t>
      </w:r>
      <w:r w:rsidR="009905BE">
        <w:rPr>
          <w:lang w:val="en-US"/>
        </w:rPr>
        <w:t xml:space="preserve">assumed </w:t>
      </w:r>
      <w:r w:rsidR="00EC72D8">
        <w:rPr>
          <w:lang w:val="en-US"/>
        </w:rPr>
        <w:t>and modelled in</w:t>
      </w:r>
      <w:r w:rsidR="009905BE">
        <w:rPr>
          <w:lang w:val="en-US"/>
        </w:rPr>
        <w:t xml:space="preserve"> the ARRB </w:t>
      </w:r>
      <w:r w:rsidR="00C4295D">
        <w:rPr>
          <w:lang w:val="en-US"/>
        </w:rPr>
        <w:t xml:space="preserve">benefit-cost </w:t>
      </w:r>
      <w:r w:rsidR="009905BE">
        <w:rPr>
          <w:lang w:val="en-US"/>
        </w:rPr>
        <w:t>analysis</w:t>
      </w:r>
      <w:r w:rsidR="0023262A">
        <w:rPr>
          <w:lang w:val="en-US"/>
        </w:rPr>
        <w:t>)</w:t>
      </w:r>
      <w:r w:rsidR="00617D36">
        <w:rPr>
          <w:lang w:val="en-US"/>
        </w:rPr>
        <w:t>.</w:t>
      </w:r>
      <w:r w:rsidR="00DD05A5">
        <w:rPr>
          <w:lang w:val="en-US"/>
        </w:rPr>
        <w:t xml:space="preserve"> This would be achieved by commencing </w:t>
      </w:r>
      <w:r w:rsidR="00C4295D">
        <w:rPr>
          <w:lang w:val="en-US"/>
        </w:rPr>
        <w:t>an</w:t>
      </w:r>
      <w:r w:rsidR="009905BE">
        <w:rPr>
          <w:lang w:val="en-US"/>
        </w:rPr>
        <w:t xml:space="preserve"> </w:t>
      </w:r>
      <w:r w:rsidR="00DD05A5">
        <w:rPr>
          <w:lang w:val="en-US"/>
        </w:rPr>
        <w:t>ADR amendment</w:t>
      </w:r>
      <w:r w:rsidR="009905BE">
        <w:rPr>
          <w:lang w:val="en-US"/>
        </w:rPr>
        <w:t xml:space="preserve"> to increase the width limit </w:t>
      </w:r>
      <w:r w:rsidR="00C4295D">
        <w:rPr>
          <w:lang w:val="en-US"/>
        </w:rPr>
        <w:t xml:space="preserve">to 2.55 m for goods vehicles over 4.5 </w:t>
      </w:r>
      <w:r w:rsidR="00C4295D" w:rsidRPr="00C4295D">
        <w:t>tonnes</w:t>
      </w:r>
      <w:r w:rsidR="00C4295D">
        <w:rPr>
          <w:lang w:val="en-US"/>
        </w:rPr>
        <w:t xml:space="preserve">, </w:t>
      </w:r>
      <w:r w:rsidR="009905BE">
        <w:rPr>
          <w:lang w:val="en-US"/>
        </w:rPr>
        <w:t xml:space="preserve">on the same </w:t>
      </w:r>
      <w:r w:rsidR="0023262A">
        <w:rPr>
          <w:lang w:val="en-US"/>
        </w:rPr>
        <w:t xml:space="preserve">fixed </w:t>
      </w:r>
      <w:r w:rsidR="009905BE">
        <w:rPr>
          <w:lang w:val="en-US"/>
        </w:rPr>
        <w:t>da</w:t>
      </w:r>
      <w:r w:rsidR="00C4295D">
        <w:rPr>
          <w:lang w:val="en-US"/>
        </w:rPr>
        <w:t>te</w:t>
      </w:r>
      <w:r w:rsidR="009905BE">
        <w:rPr>
          <w:lang w:val="en-US"/>
        </w:rPr>
        <w:t xml:space="preserve"> that the new ADR requirements for the additional safety systems/features become mandatory (applicable) for </w:t>
      </w:r>
      <w:r w:rsidR="00706D8A">
        <w:rPr>
          <w:lang w:val="en-US"/>
        </w:rPr>
        <w:t>those</w:t>
      </w:r>
      <w:r w:rsidR="00C4295D">
        <w:rPr>
          <w:lang w:val="en-US"/>
        </w:rPr>
        <w:t xml:space="preserve"> </w:t>
      </w:r>
      <w:r w:rsidR="009905BE">
        <w:rPr>
          <w:lang w:val="en-US"/>
        </w:rPr>
        <w:t xml:space="preserve">vehicles exceeding </w:t>
      </w:r>
      <w:r w:rsidR="00B9347B">
        <w:rPr>
          <w:lang w:val="en-US"/>
        </w:rPr>
        <w:t>2.50</w:t>
      </w:r>
      <w:r w:rsidR="009905BE">
        <w:rPr>
          <w:lang w:val="en-US"/>
        </w:rPr>
        <w:t> m in width.</w:t>
      </w:r>
      <w:r w:rsidR="00A93CA3">
        <w:rPr>
          <w:lang w:val="en-US"/>
        </w:rPr>
        <w:t xml:space="preserve"> </w:t>
      </w:r>
      <w:r w:rsidR="009905BE">
        <w:rPr>
          <w:lang w:val="en-US"/>
        </w:rPr>
        <w:t xml:space="preserve">The exact commencement </w:t>
      </w:r>
      <w:r w:rsidR="009905BE" w:rsidRPr="009905BE">
        <w:rPr>
          <w:lang w:val="en-US"/>
        </w:rPr>
        <w:t>date will be determined by the Government.</w:t>
      </w:r>
      <w:r w:rsidR="00C6748A">
        <w:rPr>
          <w:lang w:val="en-US"/>
        </w:rPr>
        <w:t xml:space="preserve"> It is not proposed to include separate new models and all new vehicles applicability dates, as is </w:t>
      </w:r>
      <w:r w:rsidR="003E0BAB">
        <w:rPr>
          <w:lang w:val="en-US"/>
        </w:rPr>
        <w:t>the normal</w:t>
      </w:r>
      <w:r w:rsidR="00C6748A">
        <w:rPr>
          <w:lang w:val="en-US"/>
        </w:rPr>
        <w:t xml:space="preserve"> practice for other new ADRs. This is because</w:t>
      </w:r>
      <w:r w:rsidR="0049770E">
        <w:rPr>
          <w:lang w:val="en-US"/>
        </w:rPr>
        <w:t xml:space="preserve"> the changes proposed under Option 3.1b will simply allow for vehicle type approval under the RVSA of wider goods vehicles that cannot currently comply with </w:t>
      </w:r>
      <w:r w:rsidR="003E0BAB">
        <w:rPr>
          <w:lang w:val="en-US"/>
        </w:rPr>
        <w:t>all</w:t>
      </w:r>
      <w:r w:rsidR="0049770E">
        <w:rPr>
          <w:lang w:val="en-US"/>
        </w:rPr>
        <w:t xml:space="preserve"> </w:t>
      </w:r>
      <w:r w:rsidR="00D26BBE">
        <w:rPr>
          <w:lang w:val="en-US"/>
        </w:rPr>
        <w:t xml:space="preserve">the </w:t>
      </w:r>
      <w:r w:rsidR="0049770E">
        <w:rPr>
          <w:lang w:val="en-US"/>
        </w:rPr>
        <w:t>applicable national road vehicle standards (ADRs)</w:t>
      </w:r>
      <w:r w:rsidR="003E0BAB">
        <w:rPr>
          <w:lang w:val="en-US"/>
        </w:rPr>
        <w:t xml:space="preserve">, and as a consequence are not yet available for operators to purchase and use in </w:t>
      </w:r>
      <w:r w:rsidR="00D26BBE">
        <w:rPr>
          <w:lang w:val="en-US"/>
        </w:rPr>
        <w:t>Australia</w:t>
      </w:r>
      <w:r w:rsidR="00281D46">
        <w:rPr>
          <w:lang w:val="en-US"/>
        </w:rPr>
        <w:t>.</w:t>
      </w:r>
      <w:r w:rsidR="00AC01CD">
        <w:rPr>
          <w:lang w:val="en-US"/>
        </w:rPr>
        <w:t xml:space="preserve"> </w:t>
      </w:r>
      <w:r w:rsidR="00741492">
        <w:rPr>
          <w:lang w:val="en-US"/>
        </w:rPr>
        <w:t>There will therefore not be the usual need for a transition period for existing models already in the market, which is usually provided through a later applicability date for all new vehicles.</w:t>
      </w:r>
    </w:p>
    <w:p w14:paraId="39B5C2E2" w14:textId="77777777" w:rsidR="00601A9A" w:rsidRPr="00601A9A" w:rsidRDefault="00601A9A" w:rsidP="00601A9A">
      <w:pPr>
        <w:rPr>
          <w:lang w:val="en-US"/>
        </w:rPr>
      </w:pPr>
      <w:r w:rsidRPr="00601A9A">
        <w:rPr>
          <w:lang w:val="en-US"/>
        </w:rPr>
        <w:t xml:space="preserve">The RAV would be updated to include an additional field through which manufacturers would identify vehicles meeting the additional ADR requirements for wider freight vehicles, the form in which the vehicle was added to the RAV </w:t>
      </w:r>
      <w:r w:rsidR="001E4DAE">
        <w:rPr>
          <w:lang w:val="en-US"/>
        </w:rPr>
        <w:br/>
      </w:r>
      <w:r w:rsidRPr="00601A9A">
        <w:rPr>
          <w:lang w:val="en-US"/>
        </w:rPr>
        <w:t>(e.g. completed vehicle, prime mover, chassis-cab), and the maximum width for which the vehicle is certified to comply with all applicable ADRs. This additional information would be required for all goods vehicles approved to exceed 2.50 m in width, and would enable vehicle bodybuilders, in-service regulators and heavy vehicle operators to establish the maximum permissible width for individual vehicles in service.</w:t>
      </w:r>
    </w:p>
    <w:p w14:paraId="0D022E59" w14:textId="77777777" w:rsidR="00EC72D8" w:rsidRPr="00617D36" w:rsidRDefault="00601A9A" w:rsidP="00601A9A">
      <w:pPr>
        <w:rPr>
          <w:lang w:val="en-US"/>
        </w:rPr>
      </w:pPr>
      <w:r w:rsidRPr="00601A9A">
        <w:rPr>
          <w:lang w:val="en-US"/>
        </w:rPr>
        <w:t xml:space="preserve">Following registration of the new and amended ADRs, it is expected that changes would be made to the Heavy Vehicle National Law (HVNL) and the Heavy Vehicle (Mass, Dimension and Loading) (MDL) National Regulation (and the equivalent laws in WA and the NT), to allow for the use in-service of wider goods vehicles meeting the new and amended ADRs, including when used to carry loads up to 2.55 m in width. For example, heavy vehicles exceeding 2.50 m in width are currently defined as restricted access vehicles under the HVNL, and operators must not use these on a road unless the road is one for which the vehicle is allowed to be used under an exemption notice or permit. Further the MDL Regulation currently limits heavy vehicle width, including loads/cargo carried, to 2.5 m (except where an exemption </w:t>
      </w:r>
      <w:proofErr w:type="gramStart"/>
      <w:r w:rsidRPr="00601A9A">
        <w:rPr>
          <w:lang w:val="en-US"/>
        </w:rPr>
        <w:t>notice</w:t>
      </w:r>
      <w:proofErr w:type="gramEnd"/>
      <w:r w:rsidRPr="00601A9A">
        <w:rPr>
          <w:lang w:val="en-US"/>
        </w:rPr>
        <w:t xml:space="preserve"> or permit allows for the operation of an over-width vehicle and/or load).</w:t>
      </w:r>
    </w:p>
    <w:p w14:paraId="27B8C26F" w14:textId="77777777" w:rsidR="0088169A" w:rsidRDefault="0088169A" w:rsidP="00617D36">
      <w:pPr>
        <w:pStyle w:val="Heading2"/>
      </w:pPr>
      <w:bookmarkStart w:id="118" w:name="_Toc143182159"/>
      <w:r>
        <w:t>Implementation risks</w:t>
      </w:r>
      <w:bookmarkEnd w:id="118"/>
    </w:p>
    <w:p w14:paraId="7607D557" w14:textId="77777777" w:rsidR="0088169A" w:rsidRPr="0088169A" w:rsidRDefault="00584BE9" w:rsidP="0088169A">
      <w:pPr>
        <w:rPr>
          <w:lang w:val="en-US"/>
        </w:rPr>
      </w:pPr>
      <w:r>
        <w:rPr>
          <w:lang w:val="en-US"/>
        </w:rPr>
        <w:t>As considered in the benefit-cost analysis by the ARRB, it is possible that some roads would need to be made wider to maintain existing safety margins for use by wider trucks</w:t>
      </w:r>
      <w:r w:rsidR="00A53145">
        <w:rPr>
          <w:lang w:val="en-US"/>
        </w:rPr>
        <w:t xml:space="preserve"> (i.e. maintain clearance between trucks and other vehicles, and between trucks and roadside infrastructure)</w:t>
      </w:r>
      <w:r>
        <w:rPr>
          <w:lang w:val="en-US"/>
        </w:rPr>
        <w:t xml:space="preserve">. However, this would only be an issue for roads with lane widths </w:t>
      </w:r>
      <w:r w:rsidRPr="00F26B85">
        <w:t>well below the recommended 3.5</w:t>
      </w:r>
      <w:r>
        <w:t> </w:t>
      </w:r>
      <w:r w:rsidRPr="00F26B85">
        <w:t>m lane widths in Australia</w:t>
      </w:r>
      <w:r>
        <w:t xml:space="preserve">, which are also less likely to be significant freight routes. </w:t>
      </w:r>
      <w:r w:rsidR="005D2249">
        <w:t>A</w:t>
      </w:r>
      <w:r w:rsidRPr="00F26B85">
        <w:t xml:space="preserve">ny issues arising from wider vehicles on specific routes would </w:t>
      </w:r>
      <w:r w:rsidR="005D2249">
        <w:t xml:space="preserve">likely </w:t>
      </w:r>
      <w:r w:rsidRPr="00F26B85">
        <w:t>be managed by</w:t>
      </w:r>
      <w:r>
        <w:t xml:space="preserve"> local</w:t>
      </w:r>
      <w:r w:rsidRPr="00F26B85">
        <w:t xml:space="preserve"> road managers </w:t>
      </w:r>
      <w:r>
        <w:t>through means such as r</w:t>
      </w:r>
      <w:r w:rsidRPr="00F26B85">
        <w:t>estricting access</w:t>
      </w:r>
      <w:r>
        <w:t xml:space="preserve"> for wider vehicles</w:t>
      </w:r>
      <w:r w:rsidRPr="00F26B85">
        <w:t>; or</w:t>
      </w:r>
      <w:r>
        <w:t xml:space="preserve"> r</w:t>
      </w:r>
      <w:r w:rsidRPr="00F26B85">
        <w:t>epainting line markings (where room is available in shoulders or painted out traffic islands).</w:t>
      </w:r>
      <w:r w:rsidR="005D2249">
        <w:t xml:space="preserve"> In the absence of appropriate treatments, there could be an increase in </w:t>
      </w:r>
      <w:r w:rsidR="005D2249">
        <w:rPr>
          <w:lang w:val="en-US"/>
        </w:rPr>
        <w:t xml:space="preserve">frontal impact and/or side swipe crashes for wider </w:t>
      </w:r>
      <w:r w:rsidR="00A53145">
        <w:rPr>
          <w:lang w:val="en-US"/>
        </w:rPr>
        <w:t>trucks</w:t>
      </w:r>
      <w:r w:rsidR="005D2249">
        <w:rPr>
          <w:lang w:val="en-US"/>
        </w:rPr>
        <w:t>, and/or an increase in collisions with roadside infrastructure.</w:t>
      </w:r>
      <w:r w:rsidR="008C4173">
        <w:rPr>
          <w:lang w:val="en-US"/>
        </w:rPr>
        <w:t xml:space="preserve"> This risk may be offset by a reduction in rollover crashes, if manufacturers use the </w:t>
      </w:r>
      <w:r w:rsidR="00EA0F86">
        <w:rPr>
          <w:lang w:val="en-US"/>
        </w:rPr>
        <w:t>additional width to improve stability by lowering the height of the vehicle</w:t>
      </w:r>
      <w:r w:rsidR="00EA0F86" w:rsidRPr="00D5008D">
        <w:t xml:space="preserve"> centre</w:t>
      </w:r>
      <w:r w:rsidR="00EA0F86">
        <w:rPr>
          <w:lang w:val="en-US"/>
        </w:rPr>
        <w:t>-of-gravity</w:t>
      </w:r>
      <w:r w:rsidR="008C4173">
        <w:rPr>
          <w:lang w:val="en-US"/>
        </w:rPr>
        <w:t>.</w:t>
      </w:r>
    </w:p>
    <w:p w14:paraId="25907394" w14:textId="77777777" w:rsidR="00617D36" w:rsidRDefault="00617D36" w:rsidP="00D477C7">
      <w:pPr>
        <w:pStyle w:val="Heading2"/>
        <w:pageBreakBefore/>
      </w:pPr>
      <w:bookmarkStart w:id="119" w:name="_Toc143182160"/>
      <w:r>
        <w:t>Review and evaluation</w:t>
      </w:r>
      <w:r w:rsidR="000804AD">
        <w:t xml:space="preserve"> of standards</w:t>
      </w:r>
      <w:bookmarkEnd w:id="119"/>
    </w:p>
    <w:p w14:paraId="31AEA9BE" w14:textId="77777777" w:rsidR="00044540" w:rsidRPr="007B6E69" w:rsidRDefault="006F274C" w:rsidP="00F10B3C">
      <w:r w:rsidRPr="007B6E69">
        <w:t>As Australian Government regulations,</w:t>
      </w:r>
      <w:r w:rsidR="007E0C3C" w:rsidRPr="007B6E69">
        <w:t xml:space="preserve"> the</w:t>
      </w:r>
      <w:r w:rsidRPr="007B6E69">
        <w:t xml:space="preserve"> ADRs are subject to review every ten years as resources permit. This </w:t>
      </w:r>
      <w:r w:rsidR="00931498">
        <w:t>is important to check if regulation is still needed and identify if/where an ADR can be improved, including to account for changes in technology, consumer preferences, international standards and other regulatory requirements. This ensures</w:t>
      </w:r>
      <w:r w:rsidRPr="007B6E69">
        <w:t xml:space="preserve"> that the</w:t>
      </w:r>
      <w:r w:rsidR="00931498">
        <w:t xml:space="preserve"> ADRs</w:t>
      </w:r>
      <w:r w:rsidRPr="007B6E69">
        <w:t xml:space="preserve"> remain relevant, cost effective and do not become a barrier to the importation of safer </w:t>
      </w:r>
      <w:r w:rsidR="004A1FAF">
        <w:t xml:space="preserve">and/or lower emissions </w:t>
      </w:r>
      <w:r w:rsidRPr="007B6E69">
        <w:t xml:space="preserve">vehicles and vehicle components. </w:t>
      </w:r>
      <w:r w:rsidR="00FD79B3" w:rsidRPr="007B6E69">
        <w:t xml:space="preserve">Each of the new </w:t>
      </w:r>
      <w:r w:rsidR="00F31CA4" w:rsidRPr="007B6E69">
        <w:t>and amended ADRs to implement the recommended option would be scheduled for a full review on an ongoing basis and in line with this practice</w:t>
      </w:r>
      <w:r w:rsidRPr="007B6E69">
        <w:t xml:space="preserve">. </w:t>
      </w:r>
      <w:r w:rsidR="00F31CA4" w:rsidRPr="007B6E69">
        <w:t>Further, UN regulations are revised on an ongoing basis, and t</w:t>
      </w:r>
      <w:r w:rsidRPr="007B6E69">
        <w:t xml:space="preserve">he </w:t>
      </w:r>
      <w:r w:rsidR="00786281" w:rsidRPr="007B6E69">
        <w:t>department</w:t>
      </w:r>
      <w:r w:rsidR="005A26A5" w:rsidRPr="007B6E69">
        <w:t xml:space="preserve"> </w:t>
      </w:r>
      <w:r w:rsidRPr="007B6E69">
        <w:t>reviews</w:t>
      </w:r>
      <w:r w:rsidR="007E0C3C" w:rsidRPr="007B6E69">
        <w:t xml:space="preserve"> the possible</w:t>
      </w:r>
      <w:r w:rsidRPr="007B6E69">
        <w:t xml:space="preserve"> adopt</w:t>
      </w:r>
      <w:r w:rsidR="007E0C3C" w:rsidRPr="007B6E69">
        <w:t>ion</w:t>
      </w:r>
      <w:r w:rsidRPr="007B6E69">
        <w:t xml:space="preserve"> </w:t>
      </w:r>
      <w:r w:rsidR="007E0C3C" w:rsidRPr="007B6E69">
        <w:t xml:space="preserve">of UN regulations and their revisions into the ADRs </w:t>
      </w:r>
      <w:r w:rsidRPr="007B6E69">
        <w:t>as they become available.</w:t>
      </w:r>
    </w:p>
    <w:p w14:paraId="14B2A19D" w14:textId="77777777" w:rsidR="003C05BD" w:rsidRDefault="00F31CA4" w:rsidP="00F10B3C">
      <w:r w:rsidRPr="007B6E69">
        <w:t>The Bureau of Infrastructure, Transport and Regional Economics</w:t>
      </w:r>
      <w:r w:rsidR="006039EF">
        <w:t xml:space="preserve"> (BITRE)</w:t>
      </w:r>
      <w:r w:rsidRPr="007B6E69">
        <w:t xml:space="preserve"> regularly publishes road crash statistics for Australia, including quarterly and annual summaries of trauma from road crashes in which one or more heavy trucks or buses were involved. Each </w:t>
      </w:r>
      <w:r w:rsidR="00DF0CD0">
        <w:t xml:space="preserve">of the </w:t>
      </w:r>
      <w:r w:rsidRPr="007B6E69">
        <w:t>state</w:t>
      </w:r>
      <w:r w:rsidR="00DF0CD0">
        <w:t>s</w:t>
      </w:r>
      <w:r w:rsidRPr="007B6E69">
        <w:t xml:space="preserve"> and territo</w:t>
      </w:r>
      <w:r w:rsidR="00DF0CD0">
        <w:t>ries</w:t>
      </w:r>
      <w:r w:rsidRPr="007B6E69">
        <w:t xml:space="preserve"> also publish police reported road crash data, including for crashes involving heavy vehicles. </w:t>
      </w:r>
      <w:r w:rsidR="00F9670E">
        <w:t xml:space="preserve">Further, in May 2021, </w:t>
      </w:r>
      <w:r w:rsidR="009C3624">
        <w:t>t</w:t>
      </w:r>
      <w:r w:rsidR="00F9670E" w:rsidRPr="00F9670E">
        <w:t>he Australian Government committed $16.5 million over four years to establish the National Freight Data Hub</w:t>
      </w:r>
      <w:r w:rsidR="00F9670E">
        <w:t xml:space="preserve">. </w:t>
      </w:r>
      <w:r w:rsidRPr="007B6E69">
        <w:t xml:space="preserve">The </w:t>
      </w:r>
      <w:r w:rsidR="00F9670E">
        <w:t>d</w:t>
      </w:r>
      <w:r w:rsidRPr="007B6E69">
        <w:t xml:space="preserve">epartment expects </w:t>
      </w:r>
      <w:r w:rsidR="003E0F31">
        <w:t xml:space="preserve">that </w:t>
      </w:r>
      <w:r w:rsidRPr="007B6E69">
        <w:t>these data sources</w:t>
      </w:r>
      <w:r w:rsidR="004D12C6">
        <w:t xml:space="preserve">, together with </w:t>
      </w:r>
      <w:r w:rsidR="00804AC9">
        <w:t xml:space="preserve">the </w:t>
      </w:r>
      <w:r w:rsidR="009B4292">
        <w:t>details</w:t>
      </w:r>
      <w:r w:rsidR="00414723">
        <w:t xml:space="preserve"> of </w:t>
      </w:r>
      <w:r w:rsidR="00804AC9">
        <w:t xml:space="preserve">the </w:t>
      </w:r>
      <w:r w:rsidR="00414723">
        <w:t xml:space="preserve">wider freight vehicles added </w:t>
      </w:r>
      <w:r w:rsidR="003E0F31">
        <w:t xml:space="preserve">each month and year </w:t>
      </w:r>
      <w:r w:rsidR="00414723">
        <w:t>to the RAV,</w:t>
      </w:r>
      <w:r w:rsidRPr="007B6E69">
        <w:t xml:space="preserve"> will be used to collectively inform and support future evaluation(s) of the implementation of the recommended option</w:t>
      </w:r>
      <w:r w:rsidR="00F9670E">
        <w:t xml:space="preserve"> </w:t>
      </w:r>
      <w:r w:rsidR="00C8322A">
        <w:t xml:space="preserve">in terms of the key metrics for success, </w:t>
      </w:r>
      <w:r w:rsidR="00F9670E">
        <w:t xml:space="preserve">including </w:t>
      </w:r>
      <w:r w:rsidR="00C8322A">
        <w:t xml:space="preserve">the </w:t>
      </w:r>
      <w:r w:rsidR="00F9670E">
        <w:t xml:space="preserve">impacts </w:t>
      </w:r>
      <w:r w:rsidR="00E754F5">
        <w:t xml:space="preserve">of the increase in the number of wider freight vehicles in the fleet over time </w:t>
      </w:r>
      <w:r w:rsidR="00F9670E">
        <w:t>on both road safety (i.e. fatal and serious injury crashes) and productivity (e.g. freight movement costs)</w:t>
      </w:r>
      <w:r w:rsidRPr="007B6E69">
        <w:t>.</w:t>
      </w:r>
    </w:p>
    <w:p w14:paraId="23EEB15E" w14:textId="77777777" w:rsidR="00F31CA4" w:rsidRPr="007B6E69" w:rsidRDefault="00A41E6F" w:rsidP="00F10B3C">
      <w:r>
        <w:t>State and territory government</w:t>
      </w:r>
      <w:r w:rsidR="003C05BD">
        <w:t xml:space="preserve"> vehicle registration authorities and road agencies </w:t>
      </w:r>
      <w:r>
        <w:t xml:space="preserve">would be able to </w:t>
      </w:r>
      <w:r w:rsidR="003C05BD">
        <w:t>identify where wider freight vehicles are involved in crashes, by linking the Vehicle Identification Number(s) from police reported crash</w:t>
      </w:r>
      <w:r w:rsidR="00D161EB">
        <w:t>es</w:t>
      </w:r>
      <w:r w:rsidR="003C05BD">
        <w:t xml:space="preserve"> to those for the wider freight vehicles added to the RAV. This could be used to monitor and report back any changes (positive or negative) in crash trends</w:t>
      </w:r>
      <w:r w:rsidR="00D161EB">
        <w:t xml:space="preserve"> to the Commonwealth</w:t>
      </w:r>
      <w:r w:rsidR="003C05BD">
        <w:t>, including for particular accident codes</w:t>
      </w:r>
      <w:r w:rsidR="00D161EB">
        <w:t xml:space="preserve"> of interest</w:t>
      </w:r>
      <w:r w:rsidR="003C05BD">
        <w:t>, such as frontal impacts, rollovers and lane side swipes.</w:t>
      </w:r>
    </w:p>
    <w:p w14:paraId="171738DF" w14:textId="77777777" w:rsidR="00166617" w:rsidRPr="007B6E69" w:rsidRDefault="004C41D3" w:rsidP="003C05BD">
      <w:pPr>
        <w:pStyle w:val="Heading2"/>
        <w:rPr>
          <w:lang w:val="en-AU"/>
        </w:rPr>
      </w:pPr>
      <w:bookmarkStart w:id="120" w:name="_Toc143182161"/>
      <w:r w:rsidRPr="007B6E69">
        <w:rPr>
          <w:lang w:val="en-AU"/>
        </w:rPr>
        <w:t>Exemption from s</w:t>
      </w:r>
      <w:r w:rsidR="00B14F96" w:rsidRPr="007B6E69">
        <w:rPr>
          <w:lang w:val="en-AU"/>
        </w:rPr>
        <w:t>unsetting</w:t>
      </w:r>
      <w:bookmarkEnd w:id="120"/>
    </w:p>
    <w:p w14:paraId="70ED6EB1" w14:textId="77777777" w:rsidR="00B14F96" w:rsidRPr="007B6E69" w:rsidRDefault="00A57C96" w:rsidP="00A57C96">
      <w:r w:rsidRPr="007B6E69">
        <w:t xml:space="preserve">A </w:t>
      </w:r>
      <w:r w:rsidR="0039389C">
        <w:t xml:space="preserve">national road vehicle </w:t>
      </w:r>
      <w:r w:rsidRPr="007B6E69">
        <w:t xml:space="preserve">standard </w:t>
      </w:r>
      <w:r w:rsidR="007E0C3C" w:rsidRPr="007B6E69">
        <w:t xml:space="preserve">(ADR) </w:t>
      </w:r>
      <w:r w:rsidRPr="007B6E69">
        <w:t xml:space="preserve">made under section 12 of the </w:t>
      </w:r>
      <w:r w:rsidR="005B2A57" w:rsidRPr="007B6E69">
        <w:t>RVSA</w:t>
      </w:r>
      <w:r w:rsidRPr="007B6E69">
        <w:t xml:space="preserve"> is not subject to the sunsetting provisions of section 50 of the </w:t>
      </w:r>
      <w:r w:rsidRPr="007B6E69">
        <w:rPr>
          <w:i/>
        </w:rPr>
        <w:t>Legislation (Exemptions and Other Matters) Act 2003</w:t>
      </w:r>
      <w:r w:rsidRPr="007B6E69">
        <w:t xml:space="preserve"> through section 12 of the </w:t>
      </w:r>
      <w:r w:rsidRPr="007B6E69">
        <w:rPr>
          <w:i/>
        </w:rPr>
        <w:t>Legislation (Exemptions and Other Matters) Regulation 2015 (table item 56C)</w:t>
      </w:r>
      <w:r w:rsidRPr="007B6E69">
        <w:t xml:space="preserve">. A similar exemption was previously granted in respect of national standards made under section 7 of the </w:t>
      </w:r>
      <w:r w:rsidRPr="007B6E69">
        <w:rPr>
          <w:i/>
        </w:rPr>
        <w:t>Motor Vehicle Standards Act 1989</w:t>
      </w:r>
      <w:r w:rsidRPr="007B6E69">
        <w:t xml:space="preserve"> (MVSA) (item 40, section 12 of the </w:t>
      </w:r>
      <w:r w:rsidRPr="007B6E69">
        <w:rPr>
          <w:i/>
        </w:rPr>
        <w:t>Legislation (Exemptions and Other Matters) Regulation 2015</w:t>
      </w:r>
      <w:r w:rsidRPr="007B6E69">
        <w:t>). This exemption is important to ensure that ADR</w:t>
      </w:r>
      <w:r w:rsidR="005B2A57" w:rsidRPr="007B6E69">
        <w:t>s</w:t>
      </w:r>
      <w:r w:rsidRPr="007B6E69">
        <w:t xml:space="preserve"> </w:t>
      </w:r>
      <w:r w:rsidR="005B2A57" w:rsidRPr="007B6E69">
        <w:t>continue</w:t>
      </w:r>
      <w:r w:rsidRPr="007B6E69">
        <w:t xml:space="preserve"> to remain in force, and available to regulators and industry.</w:t>
      </w:r>
    </w:p>
    <w:p w14:paraId="5FBC7888" w14:textId="77777777" w:rsidR="00A57C96" w:rsidRPr="007B6E69" w:rsidRDefault="00A57C96" w:rsidP="00A57C96">
      <w:r w:rsidRPr="007B6E69">
        <w:t xml:space="preserve">It is appropriate that standards made under section 12 of the </w:t>
      </w:r>
      <w:r w:rsidR="005B2A57" w:rsidRPr="007B6E69">
        <w:t xml:space="preserve">RVSA </w:t>
      </w:r>
      <w:r w:rsidRPr="007B6E69">
        <w:t>remain enduring and effective to regulate ongoing road worthiness of vehicles throughout their useful life and reduce regulatory burden on vehicle manufacturers.</w:t>
      </w:r>
    </w:p>
    <w:p w14:paraId="5C68D98A" w14:textId="77777777" w:rsidR="00A57C96" w:rsidRPr="007B6E69" w:rsidRDefault="00A57C96" w:rsidP="00A57C96">
      <w:r w:rsidRPr="007B6E69">
        <w:t xml:space="preserve">The exemption </w:t>
      </w:r>
      <w:r w:rsidR="007E0C3C" w:rsidRPr="007B6E69">
        <w:t xml:space="preserve">was granted to </w:t>
      </w:r>
      <w:r w:rsidRPr="007B6E69">
        <w:t xml:space="preserve">ADRs </w:t>
      </w:r>
      <w:r w:rsidR="007E0C3C" w:rsidRPr="007B6E69">
        <w:t xml:space="preserve">as they </w:t>
      </w:r>
      <w:r w:rsidRPr="007B6E69">
        <w:t>facilitate the establishment and operation of the intergovernmental vehicle standard regime that Commonwealth, State and Territory governments rely on to regulate the safe</w:t>
      </w:r>
      <w:r w:rsidR="00DD56E3">
        <w:t>ty of vehicles on public roads.</w:t>
      </w:r>
    </w:p>
    <w:p w14:paraId="3D6E5EB2" w14:textId="77777777" w:rsidR="00A57C96" w:rsidRPr="007B6E69" w:rsidRDefault="00A57C96" w:rsidP="00A57C96">
      <w:r w:rsidRPr="007B6E69">
        <w:t xml:space="preserve">While the ADRs are regularly updated to reflect changes in technology, it is not possible to apply these new standards retrospectively to vehicles that are already in use. With former ADRs </w:t>
      </w:r>
      <w:r w:rsidR="007E0C3C" w:rsidRPr="007B6E69">
        <w:t>being available</w:t>
      </w:r>
      <w:r w:rsidRPr="007B6E69">
        <w:t xml:space="preserve"> on the Federal Register of Legislation, State and Territory governments can use them to ensure vehicles continue to comply with the ADRs that were in force when they were first supplied to the market.</w:t>
      </w:r>
    </w:p>
    <w:p w14:paraId="4E33AB27" w14:textId="77777777" w:rsidR="00A57C96" w:rsidRPr="007B6E69" w:rsidRDefault="007E0C3C" w:rsidP="00D477C7">
      <w:pPr>
        <w:keepNext/>
        <w:keepLines/>
      </w:pPr>
      <w:r w:rsidRPr="007B6E69">
        <w:t>Requiring</w:t>
      </w:r>
      <w:r w:rsidR="00A57C96" w:rsidRPr="007B6E69">
        <w:t xml:space="preserve"> vehicle manufacturers to redesign existing models to comply with new ADRs would be a costly and onerous exercise. </w:t>
      </w:r>
      <w:r w:rsidR="00D70041" w:rsidRPr="007B6E69">
        <w:t>Vehicle m</w:t>
      </w:r>
      <w:r w:rsidR="00A57C96" w:rsidRPr="007B6E69">
        <w:t xml:space="preserve">anufacturers should not be expected to continually redesign existing vehicles. </w:t>
      </w:r>
      <w:r w:rsidRPr="007B6E69">
        <w:t>O</w:t>
      </w:r>
      <w:r w:rsidR="00A57C96" w:rsidRPr="007B6E69">
        <w:t>ngoing product recalls</w:t>
      </w:r>
      <w:r w:rsidRPr="007B6E69">
        <w:t xml:space="preserve"> of vehicles in the fleet would be needed</w:t>
      </w:r>
      <w:r w:rsidR="00A57C96" w:rsidRPr="007B6E69">
        <w:t xml:space="preserve"> to comply with new ADRs </w:t>
      </w:r>
      <w:r w:rsidRPr="007B6E69">
        <w:t xml:space="preserve">and this </w:t>
      </w:r>
      <w:r w:rsidR="00A57C96" w:rsidRPr="007B6E69">
        <w:t>would undermine consumer confidence</w:t>
      </w:r>
      <w:r w:rsidRPr="007B6E69">
        <w:t xml:space="preserve">, </w:t>
      </w:r>
      <w:r w:rsidR="00A57C96" w:rsidRPr="007B6E69">
        <w:t xml:space="preserve">with significant financial impact to </w:t>
      </w:r>
      <w:r w:rsidR="00D70041" w:rsidRPr="007B6E69">
        <w:t xml:space="preserve">vehicle </w:t>
      </w:r>
      <w:r w:rsidR="00A57C96" w:rsidRPr="007B6E69">
        <w:t>manufacturers. Th</w:t>
      </w:r>
      <w:r w:rsidRPr="007B6E69">
        <w:t>e</w:t>
      </w:r>
      <w:r w:rsidR="00A57C96" w:rsidRPr="007B6E69">
        <w:t xml:space="preserve"> exemption </w:t>
      </w:r>
      <w:r w:rsidR="00D70041" w:rsidRPr="007B6E69">
        <w:t xml:space="preserve">from sunsetting </w:t>
      </w:r>
      <w:r w:rsidR="00A57C96" w:rsidRPr="007B6E69">
        <w:t xml:space="preserve">allows vehicle manufacturers to focus their efforts </w:t>
      </w:r>
      <w:r w:rsidRPr="007B6E69">
        <w:t xml:space="preserve">on </w:t>
      </w:r>
      <w:r w:rsidR="00A57C96" w:rsidRPr="007B6E69">
        <w:t>ensur</w:t>
      </w:r>
      <w:r w:rsidRPr="007B6E69">
        <w:t>ing</w:t>
      </w:r>
      <w:r w:rsidR="00A57C96" w:rsidRPr="007B6E69">
        <w:t xml:space="preserve"> new models supplied to the market comply</w:t>
      </w:r>
      <w:r w:rsidR="00D70041" w:rsidRPr="007B6E69">
        <w:t xml:space="preserve"> with the ADRs</w:t>
      </w:r>
      <w:r w:rsidR="00A57C96" w:rsidRPr="007B6E69">
        <w:t>.</w:t>
      </w:r>
    </w:p>
    <w:p w14:paraId="2F39E4DD" w14:textId="77777777" w:rsidR="00A57C96" w:rsidRPr="007B6E69" w:rsidRDefault="00A57C96" w:rsidP="00A57C96">
      <w:r w:rsidRPr="007B6E69">
        <w:t>The exemption from sunsetting does not mean that ADRs do not undergo regular evaluations. ADRs are subject to regular reviews, as resources permit, and when developments in vehicle technology necessitates updates to requirements. Comprehensive parliamentary scrutiny is available through these reviews.</w:t>
      </w:r>
    </w:p>
    <w:p w14:paraId="5B0DC920" w14:textId="77777777" w:rsidR="00F10B3C" w:rsidRPr="007B6E69" w:rsidRDefault="00F10B3C" w:rsidP="00BD224C"/>
    <w:p w14:paraId="3AE9BE78" w14:textId="77777777" w:rsidR="00CC2B33" w:rsidRPr="007B6E69" w:rsidRDefault="00CC2B33" w:rsidP="00CC2B33">
      <w:pPr>
        <w:sectPr w:rsidR="00CC2B33" w:rsidRPr="007B6E69" w:rsidSect="00D87AD8">
          <w:pgSz w:w="11906" w:h="16838" w:code="9"/>
          <w:pgMar w:top="1021" w:right="1021" w:bottom="1021" w:left="1021" w:header="510" w:footer="567" w:gutter="0"/>
          <w:cols w:space="708"/>
          <w:docGrid w:linePitch="360"/>
        </w:sectPr>
      </w:pPr>
    </w:p>
    <w:p w14:paraId="343CE660" w14:textId="77777777" w:rsidR="005F794B" w:rsidRPr="007B6E69" w:rsidRDefault="00134ED8" w:rsidP="00E13D3A">
      <w:pPr>
        <w:pStyle w:val="AppendixHeading1"/>
      </w:pPr>
      <w:bookmarkStart w:id="121" w:name="_Toc111576728"/>
      <w:bookmarkStart w:id="122" w:name="_Toc143182162"/>
      <w:r w:rsidRPr="007B6E69">
        <w:t>References</w:t>
      </w:r>
      <w:bookmarkEnd w:id="121"/>
      <w:bookmarkEnd w:id="122"/>
    </w:p>
    <w:p w14:paraId="1F5EB01E"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ARTSA (2011). </w:t>
      </w:r>
      <w:r w:rsidRPr="007B6E69">
        <w:rPr>
          <w:rFonts w:asciiTheme="minorHAnsi" w:hAnsiTheme="minorHAnsi"/>
          <w:i/>
        </w:rPr>
        <w:t>Combination Vehicle Brake Code of Practice: Part 5—Review of Electronically-Controlled Brake Technologies for Heavy Vehicles</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0" w:history="1">
        <w:r w:rsidRPr="007B6E69">
          <w:rPr>
            <w:rStyle w:val="Hyperlink"/>
            <w:rFonts w:asciiTheme="minorHAnsi" w:hAnsiTheme="minorHAnsi"/>
          </w:rPr>
          <w:t>www.artsa.com.au/library</w:t>
        </w:r>
      </w:hyperlink>
      <w:r w:rsidRPr="007B6E69">
        <w:rPr>
          <w:rFonts w:asciiTheme="minorHAnsi" w:hAnsiTheme="minorHAnsi"/>
        </w:rPr>
        <w:t>.</w:t>
      </w:r>
    </w:p>
    <w:p w14:paraId="0E972E11" w14:textId="77777777" w:rsidR="00C83F75" w:rsidRDefault="00C83F75" w:rsidP="00C83F75">
      <w:pPr>
        <w:pStyle w:val="References0"/>
        <w:rPr>
          <w:rFonts w:asciiTheme="minorHAnsi" w:hAnsiTheme="minorHAnsi"/>
        </w:rPr>
      </w:pPr>
      <w:r w:rsidRPr="007B6E69">
        <w:rPr>
          <w:rFonts w:asciiTheme="minorHAnsi" w:hAnsiTheme="minorHAnsi"/>
        </w:rPr>
        <w:t xml:space="preserve">ATA (2016). </w:t>
      </w:r>
      <w:r w:rsidRPr="007B6E69">
        <w:rPr>
          <w:rFonts w:asciiTheme="minorHAnsi" w:hAnsiTheme="minorHAnsi"/>
          <w:i/>
        </w:rPr>
        <w:t>Heavy Vehicle Visibility Technical Advisory Procedure.</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1" w:history="1">
        <w:r w:rsidRPr="007B6E69">
          <w:rPr>
            <w:rStyle w:val="Hyperlink"/>
            <w:rFonts w:asciiTheme="minorHAnsi" w:hAnsiTheme="minorHAnsi"/>
          </w:rPr>
          <w:t>www.truck.net.au/resource-tags/technical-advisory-procedures</w:t>
        </w:r>
      </w:hyperlink>
      <w:r w:rsidRPr="007B6E69">
        <w:rPr>
          <w:rFonts w:asciiTheme="minorHAnsi" w:hAnsiTheme="minorHAnsi"/>
        </w:rPr>
        <w:t>.</w:t>
      </w:r>
    </w:p>
    <w:p w14:paraId="58CEFA5F" w14:textId="77777777" w:rsidR="00AF74C4" w:rsidRPr="007B6E69" w:rsidRDefault="00AF74C4" w:rsidP="00AF74C4">
      <w:pPr>
        <w:pStyle w:val="References0"/>
        <w:rPr>
          <w:rFonts w:asciiTheme="minorHAnsi" w:hAnsiTheme="minorHAnsi"/>
        </w:rPr>
      </w:pPr>
      <w:r w:rsidRPr="007B6E69">
        <w:rPr>
          <w:rFonts w:asciiTheme="minorHAnsi" w:hAnsiTheme="minorHAnsi"/>
        </w:rPr>
        <w:t xml:space="preserve">Austroads (2019). </w:t>
      </w:r>
      <w:r w:rsidRPr="007B6E69">
        <w:rPr>
          <w:rFonts w:asciiTheme="minorHAnsi" w:hAnsiTheme="minorHAnsi"/>
          <w:i/>
        </w:rPr>
        <w:t>Austroads supports increasing heavy vehicle widths to 2550 mm</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2" w:history="1">
        <w:r w:rsidRPr="007B6E69">
          <w:rPr>
            <w:rStyle w:val="Hyperlink"/>
            <w:rFonts w:asciiTheme="minorHAnsi" w:hAnsiTheme="minorHAnsi"/>
          </w:rPr>
          <w:t>austroads.com.au/latest-news/austroads-supports-increasing-heavy-vehicle-widths-to-2550mm</w:t>
        </w:r>
      </w:hyperlink>
      <w:r w:rsidRPr="007B6E69">
        <w:rPr>
          <w:rFonts w:asciiTheme="minorHAnsi" w:hAnsiTheme="minorHAnsi"/>
        </w:rPr>
        <w:t>.</w:t>
      </w:r>
    </w:p>
    <w:p w14:paraId="1767F132" w14:textId="77777777" w:rsidR="00C83F75" w:rsidRPr="007B6E69"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(2016). </w:t>
      </w:r>
      <w:r w:rsidR="00C83F75" w:rsidRPr="007B6E69">
        <w:rPr>
          <w:rFonts w:asciiTheme="minorHAnsi" w:hAnsiTheme="minorHAnsi"/>
          <w:i/>
        </w:rPr>
        <w:t>Vehicle Standard (Australian Design Rule 43/04 – Vehicle Configuration and Dimensions) 2006</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from </w:t>
      </w:r>
      <w:hyperlink r:id="rId43" w:history="1">
        <w:r w:rsidR="00C83F75" w:rsidRPr="007B6E69">
          <w:rPr>
            <w:rStyle w:val="Hyperlink"/>
            <w:rFonts w:asciiTheme="minorHAnsi" w:hAnsiTheme="minorHAnsi"/>
          </w:rPr>
          <w:t>www.legislation.gov.au/Details/F2016C00480</w:t>
        </w:r>
      </w:hyperlink>
      <w:r w:rsidR="00C83F75" w:rsidRPr="007B6E69">
        <w:rPr>
          <w:rFonts w:asciiTheme="minorHAnsi" w:hAnsiTheme="minorHAnsi"/>
        </w:rPr>
        <w:t>.</w:t>
      </w:r>
    </w:p>
    <w:p w14:paraId="099CC71C" w14:textId="77777777" w:rsidR="00C83F75" w:rsidRPr="00AF42DB"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(2018a). </w:t>
      </w:r>
      <w:r w:rsidR="00C83F75" w:rsidRPr="007B6E69">
        <w:rPr>
          <w:rFonts w:asciiTheme="minorHAnsi" w:hAnsiTheme="minorHAnsi"/>
          <w:i/>
        </w:rPr>
        <w:t>National Road Safety Action Plan 2018-2020</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w:t>
      </w:r>
      <w:r w:rsidR="00C83F75" w:rsidRPr="00AF42DB">
        <w:rPr>
          <w:rFonts w:asciiTheme="minorHAnsi" w:hAnsiTheme="minorHAnsi"/>
        </w:rPr>
        <w:t>from </w:t>
      </w:r>
      <w:hyperlink r:id="rId44" w:history="1">
        <w:r w:rsidR="00C83F75" w:rsidRPr="00AF42DB">
          <w:rPr>
            <w:rStyle w:val="Hyperlink"/>
            <w:rFonts w:asciiTheme="minorHAnsi" w:hAnsiTheme="minorHAnsi"/>
          </w:rPr>
          <w:t>www.roadsafety.gov.au/action-plan/2018-2020</w:t>
        </w:r>
      </w:hyperlink>
      <w:r w:rsidR="00C83F75" w:rsidRPr="00AF42DB">
        <w:rPr>
          <w:rFonts w:asciiTheme="minorHAnsi" w:hAnsiTheme="minorHAnsi"/>
        </w:rPr>
        <w:t>.</w:t>
      </w:r>
    </w:p>
    <w:p w14:paraId="5E8F3CA2" w14:textId="77777777" w:rsidR="003447C3" w:rsidRDefault="005510C4" w:rsidP="00C83F75">
      <w:pPr>
        <w:pStyle w:val="References0"/>
        <w:rPr>
          <w:rFonts w:asciiTheme="minorHAnsi" w:hAnsiTheme="minorHAnsi"/>
        </w:rPr>
      </w:pPr>
      <w:r>
        <w:rPr>
          <w:rFonts w:asciiTheme="minorHAnsi" w:hAnsiTheme="minorHAnsi"/>
        </w:rPr>
        <w:t>Commonwealth of Australia</w:t>
      </w:r>
      <w:r w:rsidRPr="007B6E69">
        <w:rPr>
          <w:rFonts w:asciiTheme="minorHAnsi" w:hAnsiTheme="minorHAnsi"/>
        </w:rPr>
        <w:t xml:space="preserve"> (2018</w:t>
      </w:r>
      <w:r w:rsidR="00D7633A">
        <w:rPr>
          <w:rFonts w:asciiTheme="minorHAnsi" w:hAnsiTheme="minorHAnsi"/>
        </w:rPr>
        <w:t>b</w:t>
      </w:r>
      <w:r w:rsidRPr="007B6E69">
        <w:rPr>
          <w:rFonts w:asciiTheme="minorHAnsi" w:hAnsiTheme="minorHAnsi"/>
        </w:rPr>
        <w:t xml:space="preserve">). </w:t>
      </w:r>
      <w:r>
        <w:rPr>
          <w:rFonts w:asciiTheme="minorHAnsi" w:hAnsiTheme="minorHAnsi"/>
          <w:i/>
        </w:rPr>
        <w:t>Road Vehicle Standards Bill</w:t>
      </w:r>
      <w:r w:rsidRPr="007B6E69">
        <w:rPr>
          <w:rFonts w:asciiTheme="minorHAnsi" w:hAnsiTheme="minorHAnsi"/>
          <w:i/>
        </w:rPr>
        <w:t xml:space="preserve"> 2018</w:t>
      </w:r>
      <w:r>
        <w:rPr>
          <w:rFonts w:asciiTheme="minorHAnsi" w:hAnsiTheme="minorHAnsi"/>
          <w:i/>
        </w:rPr>
        <w:t xml:space="preserve"> Explanatory Memorandum</w:t>
      </w:r>
      <w:r w:rsidRPr="007B6E69">
        <w:rPr>
          <w:rFonts w:asciiTheme="minorHAnsi" w:hAnsiTheme="minorHAnsi"/>
        </w:rPr>
        <w:t xml:space="preserve">. Retrieved </w:t>
      </w:r>
      <w:r w:rsidR="008A5EDB">
        <w:rPr>
          <w:rFonts w:asciiTheme="minorHAnsi" w:hAnsiTheme="minorHAnsi"/>
        </w:rPr>
        <w:t>August</w:t>
      </w:r>
      <w:r>
        <w:rPr>
          <w:rFonts w:asciiTheme="minorHAnsi" w:hAnsiTheme="minorHAnsi"/>
        </w:rPr>
        <w:t xml:space="preserve"> 2022</w:t>
      </w:r>
      <w:r w:rsidRPr="007B6E69">
        <w:rPr>
          <w:rFonts w:asciiTheme="minorHAnsi" w:hAnsiTheme="minorHAnsi"/>
        </w:rPr>
        <w:t xml:space="preserve"> from </w:t>
      </w:r>
      <w:r>
        <w:rPr>
          <w:rFonts w:asciiTheme="minorHAnsi" w:hAnsiTheme="minorHAnsi"/>
        </w:rPr>
        <w:t xml:space="preserve"> </w:t>
      </w:r>
      <w:hyperlink r:id="rId45" w:history="1">
        <w:r w:rsidRPr="00B6456A">
          <w:rPr>
            <w:rStyle w:val="Hyperlink"/>
            <w:rFonts w:asciiTheme="minorHAnsi" w:hAnsiTheme="minorHAnsi"/>
          </w:rPr>
          <w:t>www.legislation.gov.au/Details/C2018B00005/Download</w:t>
        </w:r>
      </w:hyperlink>
      <w:r w:rsidR="008A5EDB">
        <w:rPr>
          <w:rFonts w:asciiTheme="minorHAnsi" w:hAnsiTheme="minorHAnsi"/>
        </w:rPr>
        <w:t>.</w:t>
      </w:r>
    </w:p>
    <w:p w14:paraId="38160D49" w14:textId="77777777" w:rsidR="00D7633A" w:rsidRDefault="00D7633A" w:rsidP="00D7633A">
      <w:pPr>
        <w:pStyle w:val="References0"/>
        <w:rPr>
          <w:rFonts w:asciiTheme="minorHAnsi" w:hAnsiTheme="minorHAnsi"/>
        </w:rPr>
      </w:pPr>
      <w:r w:rsidRPr="00AF42DB">
        <w:rPr>
          <w:rFonts w:asciiTheme="minorHAnsi" w:hAnsiTheme="minorHAnsi"/>
        </w:rPr>
        <w:t>Commonwealth of Australia</w:t>
      </w:r>
      <w:r>
        <w:rPr>
          <w:rFonts w:asciiTheme="minorHAnsi" w:hAnsiTheme="minorHAnsi"/>
        </w:rPr>
        <w:t xml:space="preserve"> (2018c</w:t>
      </w:r>
      <w:r w:rsidRPr="00AF42DB">
        <w:rPr>
          <w:rFonts w:asciiTheme="minorHAnsi" w:hAnsiTheme="minorHAnsi"/>
        </w:rPr>
        <w:t xml:space="preserve">). </w:t>
      </w:r>
      <w:r w:rsidRPr="00AF42DB">
        <w:rPr>
          <w:rFonts w:asciiTheme="minorHAnsi" w:hAnsiTheme="minorHAnsi"/>
          <w:i/>
        </w:rPr>
        <w:t>Vehicle Standard (Australian Design Rule 35/07 – Commercial Vehicle Brake Systems) 2022</w:t>
      </w:r>
      <w:r w:rsidRPr="00AF42DB">
        <w:rPr>
          <w:rFonts w:asciiTheme="minorHAnsi" w:hAnsiTheme="minorHAnsi"/>
        </w:rPr>
        <w:t>. Retrieved August 2022 from </w:t>
      </w:r>
      <w:hyperlink r:id="rId46" w:history="1">
        <w:r>
          <w:rPr>
            <w:rStyle w:val="Hyperlink"/>
            <w:rFonts w:asciiTheme="minorHAnsi" w:hAnsiTheme="minorHAnsi"/>
          </w:rPr>
          <w:t>www.legislation.gov.au/Details/F2022L00213</w:t>
        </w:r>
      </w:hyperlink>
      <w:r w:rsidRPr="00AF42DB">
        <w:rPr>
          <w:rFonts w:asciiTheme="minorHAnsi" w:hAnsiTheme="minorHAnsi"/>
        </w:rPr>
        <w:t>.</w:t>
      </w:r>
    </w:p>
    <w:p w14:paraId="41087BB7" w14:textId="77777777" w:rsidR="00C83F75" w:rsidRPr="007B6E69"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(2019). </w:t>
      </w:r>
      <w:r w:rsidR="00C83F75" w:rsidRPr="007B6E69">
        <w:rPr>
          <w:rFonts w:asciiTheme="minorHAnsi" w:hAnsiTheme="minorHAnsi"/>
          <w:i/>
        </w:rPr>
        <w:t>Road Vehicle Standards Act 2018</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from </w:t>
      </w:r>
      <w:hyperlink r:id="rId47" w:history="1">
        <w:r w:rsidR="008A5EDB">
          <w:rPr>
            <w:rStyle w:val="Hyperlink"/>
            <w:rFonts w:asciiTheme="minorHAnsi" w:hAnsiTheme="minorHAnsi"/>
          </w:rPr>
          <w:t>www.legislation.gov.au/Details/C2021C00555</w:t>
        </w:r>
      </w:hyperlink>
      <w:r w:rsidR="00C83F75" w:rsidRPr="007B6E69">
        <w:rPr>
          <w:rFonts w:asciiTheme="minorHAnsi" w:hAnsiTheme="minorHAnsi"/>
        </w:rPr>
        <w:t>.</w:t>
      </w:r>
    </w:p>
    <w:p w14:paraId="7D7EFF48" w14:textId="77777777" w:rsidR="0025667A" w:rsidRPr="007B6E69" w:rsidRDefault="00315909" w:rsidP="0025667A">
      <w:pPr>
        <w:pStyle w:val="References0"/>
        <w:rPr>
          <w:rFonts w:asciiTheme="minorHAnsi" w:hAnsiTheme="minorHAnsi"/>
        </w:rPr>
      </w:pPr>
      <w:r>
        <w:rPr>
          <w:rFonts w:asciiTheme="minorHAnsi" w:hAnsiTheme="minorHAnsi"/>
        </w:rPr>
        <w:t>Commonwealth of Australia</w:t>
      </w:r>
      <w:r w:rsidR="0025667A" w:rsidRPr="0025667A">
        <w:rPr>
          <w:rFonts w:asciiTheme="minorHAnsi" w:hAnsiTheme="minorHAnsi"/>
        </w:rPr>
        <w:t xml:space="preserve"> (2020). </w:t>
      </w:r>
      <w:r w:rsidR="0025667A" w:rsidRPr="00C420BE">
        <w:rPr>
          <w:rFonts w:asciiTheme="minorHAnsi" w:hAnsiTheme="minorHAnsi"/>
          <w:i/>
        </w:rPr>
        <w:t xml:space="preserve">Australian Government Guide </w:t>
      </w:r>
      <w:r w:rsidR="00176F2F" w:rsidRPr="00C420BE">
        <w:rPr>
          <w:rFonts w:asciiTheme="minorHAnsi" w:hAnsiTheme="minorHAnsi"/>
          <w:i/>
        </w:rPr>
        <w:t>to Regulatory Impact Analysis (Second e</w:t>
      </w:r>
      <w:r w:rsidR="0025667A" w:rsidRPr="00C420BE">
        <w:rPr>
          <w:rFonts w:asciiTheme="minorHAnsi" w:hAnsiTheme="minorHAnsi"/>
          <w:i/>
        </w:rPr>
        <w:t>dition</w:t>
      </w:r>
      <w:r w:rsidR="00176F2F" w:rsidRPr="00C420BE">
        <w:rPr>
          <w:rFonts w:asciiTheme="minorHAnsi" w:hAnsiTheme="minorHAnsi"/>
          <w:i/>
        </w:rPr>
        <w:t>)</w:t>
      </w:r>
      <w:r w:rsidR="0025667A" w:rsidRPr="0025667A">
        <w:rPr>
          <w:rFonts w:asciiTheme="minorHAnsi" w:hAnsiTheme="minorHAnsi"/>
        </w:rPr>
        <w:t>.</w:t>
      </w:r>
      <w:r w:rsidR="00176F2F">
        <w:rPr>
          <w:rFonts w:asciiTheme="minorHAnsi" w:hAnsiTheme="minorHAnsi"/>
        </w:rPr>
        <w:t xml:space="preserve"> </w:t>
      </w:r>
      <w:r w:rsidR="00176F2F" w:rsidRPr="007B6E69">
        <w:rPr>
          <w:rFonts w:asciiTheme="minorHAnsi" w:hAnsiTheme="minorHAnsi"/>
        </w:rPr>
        <w:t xml:space="preserve">Retrieved </w:t>
      </w:r>
      <w:r w:rsidR="00176F2F">
        <w:rPr>
          <w:rFonts w:asciiTheme="minorHAnsi" w:hAnsiTheme="minorHAnsi"/>
        </w:rPr>
        <w:t>August 2022</w:t>
      </w:r>
      <w:r w:rsidR="00176F2F" w:rsidRPr="007B6E69">
        <w:rPr>
          <w:rFonts w:asciiTheme="minorHAnsi" w:hAnsiTheme="minorHAnsi"/>
        </w:rPr>
        <w:t xml:space="preserve"> from</w:t>
      </w:r>
      <w:r w:rsidR="006F45D2">
        <w:rPr>
          <w:rFonts w:asciiTheme="minorHAnsi" w:hAnsiTheme="minorHAnsi"/>
        </w:rPr>
        <w:t xml:space="preserve"> </w:t>
      </w:r>
      <w:hyperlink r:id="rId48" w:history="1">
        <w:r w:rsidR="00D90BD0">
          <w:rPr>
            <w:rStyle w:val="Hyperlink"/>
            <w:rFonts w:asciiTheme="minorHAnsi" w:hAnsiTheme="minorHAnsi"/>
          </w:rPr>
          <w:t>obpr.pmc.gov.au/resources/guidance-impact-analysis/australian-government-guide-regulatory-impact-analysis</w:t>
        </w:r>
      </w:hyperlink>
    </w:p>
    <w:p w14:paraId="0C146B44" w14:textId="77777777" w:rsidR="00CD2C0D" w:rsidRDefault="00315909" w:rsidP="00C83F75">
      <w:pPr>
        <w:pStyle w:val="References0"/>
        <w:rPr>
          <w:rFonts w:asciiTheme="minorHAnsi" w:hAnsiTheme="minorHAnsi"/>
        </w:rPr>
      </w:pPr>
      <w:r>
        <w:rPr>
          <w:rFonts w:asciiTheme="minorHAnsi" w:hAnsiTheme="minorHAnsi"/>
        </w:rPr>
        <w:t>Commonwealth of Australia</w:t>
      </w:r>
      <w:r w:rsidR="00CD2C0D" w:rsidRPr="007B6E69">
        <w:rPr>
          <w:rFonts w:asciiTheme="minorHAnsi" w:hAnsiTheme="minorHAnsi"/>
        </w:rPr>
        <w:t xml:space="preserve"> (2021</w:t>
      </w:r>
      <w:r w:rsidR="00FB35E5">
        <w:rPr>
          <w:rFonts w:asciiTheme="minorHAnsi" w:hAnsiTheme="minorHAnsi"/>
        </w:rPr>
        <w:t>a</w:t>
      </w:r>
      <w:r w:rsidR="00CD2C0D" w:rsidRPr="007B6E69">
        <w:rPr>
          <w:rFonts w:asciiTheme="minorHAnsi" w:hAnsiTheme="minorHAnsi"/>
        </w:rPr>
        <w:t xml:space="preserve">). </w:t>
      </w:r>
      <w:r w:rsidR="00CD2C0D" w:rsidRPr="007B6E69">
        <w:rPr>
          <w:rFonts w:asciiTheme="minorHAnsi" w:hAnsiTheme="minorHAnsi"/>
          <w:i/>
        </w:rPr>
        <w:t>Safer Freight Vehicles Discussion Paper</w:t>
      </w:r>
      <w:r w:rsidR="00CD2C0D" w:rsidRPr="007B6E69">
        <w:rPr>
          <w:rFonts w:asciiTheme="minorHAnsi" w:hAnsiTheme="minorHAnsi"/>
        </w:rPr>
        <w:t>.</w:t>
      </w:r>
    </w:p>
    <w:p w14:paraId="0663B7CB" w14:textId="77777777" w:rsidR="00FB35E5" w:rsidRDefault="00FB35E5" w:rsidP="00FB35E5">
      <w:pPr>
        <w:pStyle w:val="References0"/>
        <w:rPr>
          <w:rFonts w:asciiTheme="minorHAnsi" w:hAnsiTheme="minorHAnsi"/>
        </w:rPr>
      </w:pPr>
      <w:r>
        <w:rPr>
          <w:rFonts w:asciiTheme="minorHAnsi" w:hAnsiTheme="minorHAnsi"/>
        </w:rPr>
        <w:t>Commonwealth of Australia</w:t>
      </w:r>
      <w:r w:rsidRPr="007B6E69">
        <w:rPr>
          <w:rFonts w:asciiTheme="minorHAnsi" w:hAnsiTheme="minorHAnsi"/>
        </w:rPr>
        <w:t xml:space="preserve"> (202</w:t>
      </w:r>
      <w:r>
        <w:rPr>
          <w:rFonts w:asciiTheme="minorHAnsi" w:hAnsiTheme="minorHAnsi"/>
        </w:rPr>
        <w:t>1b</w:t>
      </w:r>
      <w:r w:rsidRPr="007B6E69">
        <w:rPr>
          <w:rFonts w:asciiTheme="minorHAnsi" w:hAnsiTheme="minorHAnsi"/>
        </w:rPr>
        <w:t xml:space="preserve">). </w:t>
      </w:r>
      <w:r w:rsidRPr="007B6E69">
        <w:rPr>
          <w:rFonts w:asciiTheme="minorHAnsi" w:hAnsiTheme="minorHAnsi"/>
          <w:i/>
        </w:rPr>
        <w:t>Vehicle Standard (Australian Design Rule – Definitions and Vehicle Categories) 2005</w:t>
      </w:r>
      <w:r w:rsidRPr="007B6E69">
        <w:rPr>
          <w:rFonts w:asciiTheme="minorHAnsi" w:hAnsiTheme="minorHAnsi"/>
        </w:rPr>
        <w:t xml:space="preserve">. Retrieved </w:t>
      </w:r>
      <w:r>
        <w:rPr>
          <w:rFonts w:asciiTheme="minorHAnsi" w:hAnsiTheme="minorHAnsi"/>
        </w:rPr>
        <w:t xml:space="preserve">August 2022 from </w:t>
      </w:r>
      <w:hyperlink r:id="rId49" w:history="1">
        <w:r>
          <w:rPr>
            <w:rStyle w:val="Hyperlink"/>
            <w:rFonts w:asciiTheme="minorHAnsi" w:hAnsiTheme="minorHAnsi"/>
          </w:rPr>
          <w:t>www.legislation.gov.au/Details/F2021C01202</w:t>
        </w:r>
      </w:hyperlink>
      <w:r w:rsidRPr="007B6E69">
        <w:rPr>
          <w:rFonts w:asciiTheme="minorHAnsi" w:hAnsiTheme="minorHAnsi"/>
        </w:rPr>
        <w:t>.</w:t>
      </w:r>
    </w:p>
    <w:p w14:paraId="3A8EA10A" w14:textId="77777777" w:rsidR="00C83F75" w:rsidRPr="007B6E69" w:rsidRDefault="00C83F75" w:rsidP="00C83F75">
      <w:pPr>
        <w:pStyle w:val="References0"/>
        <w:rPr>
          <w:rFonts w:asciiTheme="minorHAnsi" w:hAnsiTheme="minorHAnsi"/>
        </w:rPr>
      </w:pPr>
      <w:r w:rsidRPr="00D70150">
        <w:rPr>
          <w:rFonts w:asciiTheme="minorHAnsi" w:hAnsiTheme="minorHAnsi"/>
        </w:rPr>
        <w:t xml:space="preserve">EU (2019). </w:t>
      </w:r>
      <w:r w:rsidRPr="00D70150">
        <w:rPr>
          <w:rFonts w:asciiTheme="minorHAnsi" w:hAnsiTheme="minorHAnsi"/>
          <w:i/>
        </w:rPr>
        <w:t>Commission Regulation (EU) No 1230/2012</w:t>
      </w:r>
      <w:r w:rsidRPr="00D70150">
        <w:rPr>
          <w:rFonts w:asciiTheme="minorHAnsi" w:hAnsiTheme="minorHAnsi"/>
        </w:rPr>
        <w:t xml:space="preserve">. Retrieved November 2020 </w:t>
      </w:r>
      <w:r w:rsidRPr="00D70150">
        <w:rPr>
          <w:rFonts w:asciiTheme="minorHAnsi" w:hAnsiTheme="minorHAnsi"/>
        </w:rPr>
        <w:br/>
        <w:t>from </w:t>
      </w:r>
      <w:hyperlink r:id="rId50" w:history="1">
        <w:r w:rsidRPr="00D70150">
          <w:rPr>
            <w:rStyle w:val="Hyperlink"/>
            <w:rFonts w:asciiTheme="minorHAnsi" w:hAnsiTheme="minorHAnsi"/>
          </w:rPr>
          <w:t>eur-lex.europa.eu/legal-content/EN/TXT/?uri=CELEX%3A02012R1230-20191202</w:t>
        </w:r>
      </w:hyperlink>
      <w:r w:rsidRPr="00D70150">
        <w:rPr>
          <w:rFonts w:asciiTheme="minorHAnsi" w:hAnsiTheme="minorHAnsi"/>
        </w:rPr>
        <w:t>.</w:t>
      </w:r>
    </w:p>
    <w:p w14:paraId="0CC4E29D" w14:textId="77777777" w:rsidR="00C83F75" w:rsidRPr="007B6E69" w:rsidRDefault="00C83F75" w:rsidP="00C83F75">
      <w:pPr>
        <w:pStyle w:val="References0"/>
        <w:rPr>
          <w:rFonts w:asciiTheme="minorHAnsi" w:hAnsiTheme="minorHAnsi"/>
        </w:rPr>
      </w:pPr>
      <w:r w:rsidRPr="007B6E69">
        <w:rPr>
          <w:rFonts w:asciiTheme="minorHAnsi" w:hAnsiTheme="minorHAnsi"/>
        </w:rPr>
        <w:t>NHVR (2019).</w:t>
      </w:r>
      <w:r w:rsidRPr="007B6E69">
        <w:rPr>
          <w:rFonts w:asciiTheme="minorHAnsi" w:hAnsiTheme="minorHAnsi"/>
          <w:i/>
        </w:rPr>
        <w:t xml:space="preserve"> Performance Based Standards: An introduction for road managers</w:t>
      </w:r>
      <w:r w:rsidRPr="007B6E69">
        <w:rPr>
          <w:rFonts w:asciiTheme="minorHAnsi" w:hAnsiTheme="minorHAnsi"/>
        </w:rPr>
        <w:t xml:space="preserve">. Retrieved </w:t>
      </w:r>
      <w:r w:rsidR="004E4B71">
        <w:rPr>
          <w:rFonts w:asciiTheme="minorHAnsi" w:hAnsiTheme="minorHAnsi"/>
        </w:rPr>
        <w:t>August 2022</w:t>
      </w:r>
      <w:r w:rsidRPr="007B6E69">
        <w:rPr>
          <w:rFonts w:asciiTheme="minorHAnsi" w:hAnsiTheme="minorHAnsi"/>
        </w:rPr>
        <w:t xml:space="preserve"> from </w:t>
      </w:r>
      <w:hyperlink r:id="rId51" w:history="1">
        <w:r w:rsidR="004E4B71">
          <w:rPr>
            <w:rStyle w:val="Hyperlink"/>
            <w:rFonts w:asciiTheme="minorHAnsi" w:hAnsiTheme="minorHAnsi"/>
          </w:rPr>
          <w:t>www.nhvr.gov.au/about-us/publications</w:t>
        </w:r>
      </w:hyperlink>
      <w:r w:rsidRPr="007B6E69">
        <w:rPr>
          <w:rFonts w:asciiTheme="minorHAnsi" w:hAnsiTheme="minorHAnsi"/>
        </w:rPr>
        <w:t>.</w:t>
      </w:r>
    </w:p>
    <w:p w14:paraId="78365CAD"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NHVR (2020). </w:t>
      </w:r>
      <w:r w:rsidRPr="007B6E69">
        <w:rPr>
          <w:rFonts w:asciiTheme="minorHAnsi" w:hAnsiTheme="minorHAnsi"/>
          <w:i/>
        </w:rPr>
        <w:t>Vehicle Safety and Environmental Technology Uptake Plan</w:t>
      </w:r>
      <w:r w:rsidRPr="007B6E69">
        <w:rPr>
          <w:rFonts w:asciiTheme="minorHAnsi" w:hAnsiTheme="minorHAnsi"/>
        </w:rPr>
        <w:t xml:space="preserve">. Retrieved </w:t>
      </w:r>
      <w:r w:rsidR="00D90BD0">
        <w:rPr>
          <w:rFonts w:asciiTheme="minorHAnsi" w:hAnsiTheme="minorHAnsi"/>
        </w:rPr>
        <w:t>August 2022</w:t>
      </w:r>
      <w:r w:rsidR="006F45D2">
        <w:rPr>
          <w:rFonts w:asciiTheme="minorHAnsi" w:hAnsiTheme="minorHAnsi"/>
        </w:rPr>
        <w:t xml:space="preserve"> </w:t>
      </w:r>
      <w:r w:rsidR="006F45D2">
        <w:rPr>
          <w:rFonts w:asciiTheme="minorHAnsi" w:hAnsiTheme="minorHAnsi"/>
        </w:rPr>
        <w:br/>
        <w:t xml:space="preserve">from </w:t>
      </w:r>
      <w:hyperlink r:id="rId52" w:history="1">
        <w:r w:rsidR="006F45D2">
          <w:rPr>
            <w:rStyle w:val="Hyperlink"/>
            <w:rFonts w:asciiTheme="minorHAnsi" w:hAnsiTheme="minorHAnsi"/>
          </w:rPr>
          <w:t>www.nhvr.gov.au/safety-accreditation-compliance/vehicle-standards-and-modifications/vehicle-safety-and-environmental-technology-uptake-plan</w:t>
        </w:r>
      </w:hyperlink>
      <w:r w:rsidRPr="007B6E69">
        <w:rPr>
          <w:rFonts w:asciiTheme="minorHAnsi" w:hAnsiTheme="minorHAnsi"/>
        </w:rPr>
        <w:t>.</w:t>
      </w:r>
    </w:p>
    <w:p w14:paraId="588E492A" w14:textId="77777777" w:rsidR="00C83F75" w:rsidRPr="007B6E69" w:rsidRDefault="00303FC6" w:rsidP="00C83F75">
      <w:pPr>
        <w:pStyle w:val="References0"/>
        <w:rPr>
          <w:rFonts w:asciiTheme="minorHAnsi" w:hAnsiTheme="minorHAnsi"/>
        </w:rPr>
      </w:pPr>
      <w:r>
        <w:rPr>
          <w:rFonts w:asciiTheme="minorHAnsi" w:hAnsiTheme="minorHAnsi"/>
        </w:rPr>
        <w:t>State of Queensland (2021</w:t>
      </w:r>
      <w:r w:rsidR="00C83F75" w:rsidRPr="007B6E69">
        <w:rPr>
          <w:rFonts w:asciiTheme="minorHAnsi" w:hAnsiTheme="minorHAnsi"/>
        </w:rPr>
        <w:t xml:space="preserve">). </w:t>
      </w:r>
      <w:r w:rsidR="00C83F75" w:rsidRPr="007B6E69">
        <w:rPr>
          <w:rFonts w:asciiTheme="minorHAnsi" w:hAnsiTheme="minorHAnsi"/>
          <w:i/>
        </w:rPr>
        <w:t>Heavy Vehicle National Law</w:t>
      </w:r>
      <w:r w:rsidR="00C83F75" w:rsidRPr="007B6E69">
        <w:rPr>
          <w:rFonts w:asciiTheme="minorHAnsi" w:hAnsiTheme="minorHAnsi"/>
        </w:rPr>
        <w:t xml:space="preserve">. Retrieved </w:t>
      </w:r>
      <w:r w:rsidR="00672959">
        <w:rPr>
          <w:rFonts w:asciiTheme="minorHAnsi" w:hAnsiTheme="minorHAnsi"/>
        </w:rPr>
        <w:t>August 2022</w:t>
      </w:r>
      <w:r w:rsidR="00C83F75" w:rsidRPr="007B6E69">
        <w:rPr>
          <w:rFonts w:asciiTheme="minorHAnsi" w:hAnsiTheme="minorHAnsi"/>
        </w:rPr>
        <w:t xml:space="preserve"> from </w:t>
      </w:r>
      <w:hyperlink r:id="rId53" w:history="1">
        <w:r w:rsidR="00C83F75" w:rsidRPr="007B6E69">
          <w:rPr>
            <w:rStyle w:val="Hyperlink"/>
            <w:rFonts w:asciiTheme="minorHAnsi" w:hAnsiTheme="minorHAnsi"/>
          </w:rPr>
          <w:t>www.legislation.qld.gov.au/view/pdf/inforce/current/act-2012-hvnlq</w:t>
        </w:r>
      </w:hyperlink>
      <w:r w:rsidR="00C83F75" w:rsidRPr="007B6E69">
        <w:rPr>
          <w:rFonts w:asciiTheme="minorHAnsi" w:hAnsiTheme="minorHAnsi"/>
        </w:rPr>
        <w:t>.</w:t>
      </w:r>
    </w:p>
    <w:p w14:paraId="6599B4E2"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(2010). </w:t>
      </w:r>
      <w:r w:rsidRPr="007B6E69">
        <w:rPr>
          <w:rFonts w:asciiTheme="minorHAnsi" w:hAnsiTheme="minorHAnsi"/>
          <w:i/>
        </w:rPr>
        <w:t>United Nations Regulation No. 104 – Uniform provisions concerning the approval of retro-reflective markings for vehicles of category M, N, and O</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4" w:history="1">
        <w:r w:rsidRPr="007B6E69">
          <w:rPr>
            <w:rStyle w:val="Hyperlink"/>
            <w:rFonts w:asciiTheme="minorHAnsi" w:hAnsiTheme="minorHAnsi"/>
          </w:rPr>
          <w:t>www.unece.org/trans/main/wp29/wp29regs101-120.html</w:t>
        </w:r>
      </w:hyperlink>
      <w:r w:rsidRPr="007B6E69">
        <w:rPr>
          <w:rFonts w:asciiTheme="minorHAnsi" w:hAnsiTheme="minorHAnsi"/>
        </w:rPr>
        <w:t>.</w:t>
      </w:r>
    </w:p>
    <w:p w14:paraId="54BD4021"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(2011). </w:t>
      </w:r>
      <w:r w:rsidRPr="007B6E69">
        <w:rPr>
          <w:rFonts w:asciiTheme="minorHAnsi" w:hAnsiTheme="minorHAnsi"/>
          <w:i/>
        </w:rPr>
        <w:t>United Nations Regulation No. 73 – Revision 1 – Uniform provisions concerning the approval of vehicles with regard to their lateral protection devices (LPDS)</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5" w:history="1">
        <w:r w:rsidRPr="007B6E69">
          <w:rPr>
            <w:rStyle w:val="Hyperlink"/>
            <w:rFonts w:asciiTheme="minorHAnsi" w:hAnsiTheme="minorHAnsi"/>
          </w:rPr>
          <w:t>www.unece.org/trans/main/wp29/wp29regs61-80.html</w:t>
        </w:r>
      </w:hyperlink>
      <w:r w:rsidRPr="007B6E69">
        <w:rPr>
          <w:rFonts w:asciiTheme="minorHAnsi" w:hAnsiTheme="minorHAnsi"/>
        </w:rPr>
        <w:t>.</w:t>
      </w:r>
    </w:p>
    <w:p w14:paraId="7B521FC1"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(2013). </w:t>
      </w:r>
      <w:r w:rsidRPr="007B6E69">
        <w:rPr>
          <w:rFonts w:asciiTheme="minorHAnsi" w:hAnsiTheme="minorHAnsi"/>
          <w:i/>
        </w:rPr>
        <w:t>United Nations Regulation No. 130 – Uniform provisions concerning the approval of motor vehicles with regard to the Lane Departure Warning System (LDWS)</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6" w:history="1">
        <w:r w:rsidRPr="007B6E69">
          <w:rPr>
            <w:rStyle w:val="Hyperlink"/>
            <w:rFonts w:asciiTheme="minorHAnsi" w:hAnsiTheme="minorHAnsi"/>
          </w:rPr>
          <w:t>www.unece.org/trans/main/wp29/wp29regs121-140.html</w:t>
        </w:r>
      </w:hyperlink>
      <w:r w:rsidRPr="007B6E69">
        <w:rPr>
          <w:rFonts w:asciiTheme="minorHAnsi" w:hAnsiTheme="minorHAnsi"/>
        </w:rPr>
        <w:t>.</w:t>
      </w:r>
    </w:p>
    <w:p w14:paraId="1899334A"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(2014a). </w:t>
      </w:r>
      <w:r w:rsidRPr="007B6E69">
        <w:rPr>
          <w:rFonts w:asciiTheme="minorHAnsi" w:hAnsiTheme="minorHAnsi"/>
          <w:i/>
        </w:rPr>
        <w:t>United Nations Regulation No. 13 – Revision 8 – Uniform provisions concerning the approval of vehicles of categories M, N and O with regard to braking</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7" w:history="1">
        <w:r w:rsidRPr="007B6E69">
          <w:rPr>
            <w:rStyle w:val="Hyperlink"/>
            <w:rFonts w:asciiTheme="minorHAnsi" w:hAnsiTheme="minorHAnsi"/>
          </w:rPr>
          <w:t>www.unece.org/trans/main/wp29/wp29regs0-20.html</w:t>
        </w:r>
      </w:hyperlink>
      <w:r w:rsidRPr="007B6E69">
        <w:rPr>
          <w:rFonts w:asciiTheme="minorHAnsi" w:hAnsiTheme="minorHAnsi"/>
        </w:rPr>
        <w:t>.</w:t>
      </w:r>
    </w:p>
    <w:p w14:paraId="4851613E"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(2014b). </w:t>
      </w:r>
      <w:r w:rsidRPr="007B6E69">
        <w:rPr>
          <w:rFonts w:asciiTheme="minorHAnsi" w:hAnsiTheme="minorHAnsi"/>
          <w:i/>
        </w:rPr>
        <w:t>United Nations Regulation No. 131 – Revision 1 – Uniform provisions concerning the approval of motor vehicles with regard to the Advanced Emergency Braking Systems (AEBS)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58" w:history="1">
        <w:r w:rsidRPr="007B6E69">
          <w:rPr>
            <w:rStyle w:val="Hyperlink"/>
            <w:rFonts w:asciiTheme="minorHAnsi" w:hAnsiTheme="minorHAnsi"/>
          </w:rPr>
          <w:t>www.unece.org/trans/main/wp29/wp29regs121-140.html</w:t>
        </w:r>
      </w:hyperlink>
      <w:r w:rsidRPr="007B6E69">
        <w:rPr>
          <w:rFonts w:asciiTheme="minorHAnsi" w:hAnsiTheme="minorHAnsi"/>
        </w:rPr>
        <w:t>.</w:t>
      </w:r>
    </w:p>
    <w:p w14:paraId="750C6CAC"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(2014c). </w:t>
      </w:r>
      <w:r w:rsidRPr="007B6E69">
        <w:rPr>
          <w:rFonts w:asciiTheme="minorHAnsi" w:hAnsiTheme="minorHAnsi"/>
          <w:i/>
        </w:rPr>
        <w:t>United Nations Regulation No. 48 – Revision 12 – Uniform provisions concerning the approval of vehicles with regard to the installation of lighting and light-signalling devices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59" w:history="1">
        <w:r w:rsidRPr="007B6E69">
          <w:rPr>
            <w:rStyle w:val="Hyperlink"/>
            <w:rFonts w:asciiTheme="minorHAnsi" w:hAnsiTheme="minorHAnsi"/>
          </w:rPr>
          <w:t>www.unece.org/trans/main/wp29/wp29regs41-60.html</w:t>
        </w:r>
      </w:hyperlink>
      <w:r w:rsidRPr="007B6E69">
        <w:rPr>
          <w:rFonts w:asciiTheme="minorHAnsi" w:hAnsiTheme="minorHAnsi"/>
        </w:rPr>
        <w:t>.</w:t>
      </w:r>
    </w:p>
    <w:p w14:paraId="78B20AED"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(2016). </w:t>
      </w:r>
      <w:r w:rsidRPr="007B6E69">
        <w:rPr>
          <w:rFonts w:asciiTheme="minorHAnsi" w:hAnsiTheme="minorHAnsi"/>
          <w:i/>
        </w:rPr>
        <w:t>United Nations Regulation No. 46 – Revision 6 – Uniform provisions concerning the approval of devices for indirect vision and of motor vehicles with regard to the installation of these devices</w:t>
      </w:r>
      <w:r w:rsidRPr="007B6E69">
        <w:rPr>
          <w:rFonts w:asciiTheme="minorHAnsi" w:hAnsiTheme="minorHAnsi"/>
        </w:rPr>
        <w:t xml:space="preserve">. Retrieved </w:t>
      </w:r>
      <w:r w:rsidR="007214CC">
        <w:rPr>
          <w:rFonts w:asciiTheme="minorHAnsi" w:hAnsiTheme="minorHAnsi"/>
        </w:rPr>
        <w:t>August 2022 from </w:t>
      </w:r>
      <w:hyperlink r:id="rId60" w:history="1">
        <w:r w:rsidRPr="007B6E69">
          <w:rPr>
            <w:rStyle w:val="Hyperlink"/>
            <w:rFonts w:asciiTheme="minorHAnsi" w:hAnsiTheme="minorHAnsi"/>
          </w:rPr>
          <w:t>www.unece.org/trans/main/wp29/wp29regs41-60.html</w:t>
        </w:r>
      </w:hyperlink>
      <w:r w:rsidRPr="007B6E69">
        <w:rPr>
          <w:rFonts w:asciiTheme="minorHAnsi" w:hAnsiTheme="minorHAnsi"/>
        </w:rPr>
        <w:t>.</w:t>
      </w:r>
    </w:p>
    <w:p w14:paraId="615A1D75" w14:textId="77777777" w:rsidR="00C83F75" w:rsidRPr="007B6E69" w:rsidRDefault="00C83F75" w:rsidP="00C83F75">
      <w:pPr>
        <w:pStyle w:val="References0"/>
        <w:rPr>
          <w:rFonts w:asciiTheme="minorHAnsi" w:hAnsiTheme="minorHAnsi"/>
        </w:rPr>
      </w:pPr>
      <w:r w:rsidRPr="007B6E69">
        <w:rPr>
          <w:rFonts w:asciiTheme="minorHAnsi" w:hAnsiTheme="minorHAnsi"/>
        </w:rPr>
        <w:t xml:space="preserve">UN (2020a). </w:t>
      </w:r>
      <w:r w:rsidRPr="007B6E69">
        <w:rPr>
          <w:rFonts w:asciiTheme="minorHAnsi" w:hAnsiTheme="minorHAnsi"/>
          <w:i/>
        </w:rPr>
        <w:t>United Nations Regulation No. 150 – Uniform provisions concerning the approval of retro-reflective devices and markings for power-driven vehicles and their trailers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1" w:history="1">
        <w:r w:rsidRPr="007B6E69">
          <w:rPr>
            <w:rStyle w:val="Hyperlink"/>
            <w:rFonts w:asciiTheme="minorHAnsi" w:hAnsiTheme="minorHAnsi"/>
          </w:rPr>
          <w:t>www.unece.org/trans/main/wp29/wp29regs141-160.html</w:t>
        </w:r>
      </w:hyperlink>
      <w:r w:rsidRPr="007B6E69">
        <w:rPr>
          <w:rFonts w:asciiTheme="minorHAnsi" w:hAnsiTheme="minorHAnsi"/>
        </w:rPr>
        <w:t>.</w:t>
      </w:r>
    </w:p>
    <w:p w14:paraId="5928F8FB" w14:textId="77777777" w:rsidR="00C83F75" w:rsidRPr="007B6E69" w:rsidRDefault="00C83F75" w:rsidP="00C83F75">
      <w:pPr>
        <w:pStyle w:val="References0"/>
        <w:rPr>
          <w:rFonts w:asciiTheme="minorHAnsi" w:hAnsiTheme="minorHAnsi"/>
        </w:rPr>
      </w:pPr>
      <w:r w:rsidRPr="007B6E69">
        <w:rPr>
          <w:rFonts w:asciiTheme="minorHAnsi" w:hAnsiTheme="minorHAnsi"/>
        </w:rPr>
        <w:t>UN (</w:t>
      </w:r>
      <w:r w:rsidR="002943C4">
        <w:rPr>
          <w:rFonts w:asciiTheme="minorHAnsi" w:hAnsiTheme="minorHAnsi"/>
        </w:rPr>
        <w:t>2</w:t>
      </w:r>
      <w:r w:rsidR="006D7376">
        <w:rPr>
          <w:rFonts w:asciiTheme="minorHAnsi" w:hAnsiTheme="minorHAnsi"/>
        </w:rPr>
        <w:t>021</w:t>
      </w:r>
      <w:r w:rsidRPr="007B6E69">
        <w:rPr>
          <w:rFonts w:asciiTheme="minorHAnsi" w:hAnsiTheme="minorHAnsi"/>
        </w:rPr>
        <w:t xml:space="preserve">). </w:t>
      </w:r>
      <w:r w:rsidRPr="007B6E69">
        <w:rPr>
          <w:rFonts w:asciiTheme="minorHAnsi" w:hAnsiTheme="minorHAnsi"/>
          <w:i/>
        </w:rPr>
        <w:t>United Nations Regulation No. 151 – Uniform provisions concerning the approval of motor vehicles with regard to the Blind Spot Information Systems for the Detection of Bicycles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2" w:history="1">
        <w:r w:rsidRPr="007B6E69">
          <w:rPr>
            <w:rStyle w:val="Hyperlink"/>
            <w:rFonts w:asciiTheme="minorHAnsi" w:hAnsiTheme="minorHAnsi"/>
          </w:rPr>
          <w:t>www.unece.org/trans/main/wp29/wp29regs141-160.html</w:t>
        </w:r>
      </w:hyperlink>
      <w:r w:rsidRPr="007B6E69">
        <w:rPr>
          <w:rFonts w:asciiTheme="minorHAnsi" w:hAnsiTheme="minorHAnsi"/>
        </w:rPr>
        <w:t>.</w:t>
      </w:r>
    </w:p>
    <w:p w14:paraId="13E4891B" w14:textId="77777777" w:rsidR="00D509A5" w:rsidRDefault="00C83F75" w:rsidP="00D57C3B">
      <w:pPr>
        <w:pStyle w:val="References0"/>
        <w:rPr>
          <w:rFonts w:asciiTheme="minorHAnsi" w:hAnsiTheme="minorHAnsi"/>
        </w:rPr>
      </w:pPr>
      <w:r w:rsidRPr="007B6E69">
        <w:rPr>
          <w:rFonts w:asciiTheme="minorHAnsi" w:hAnsiTheme="minorHAnsi"/>
        </w:rPr>
        <w:t xml:space="preserve">US Government (2020). </w:t>
      </w:r>
      <w:r w:rsidRPr="007B6E69">
        <w:rPr>
          <w:rFonts w:asciiTheme="minorHAnsi" w:hAnsiTheme="minorHAnsi"/>
          <w:i/>
        </w:rPr>
        <w:t xml:space="preserve">Part 658 of the US Code of Federal Regulations – Truck Size and Weight, Route Designations – Length, Width and Weight Limitations </w:t>
      </w:r>
      <w:r w:rsidRPr="007B6E69">
        <w:rPr>
          <w:rFonts w:asciiTheme="minorHAnsi" w:hAnsiTheme="minorHAnsi"/>
        </w:rPr>
        <w:t xml:space="preserve">(23 CFR 658). Retrieved </w:t>
      </w:r>
      <w:r w:rsidR="00F869CA">
        <w:rPr>
          <w:rFonts w:asciiTheme="minorHAnsi" w:hAnsiTheme="minorHAnsi"/>
        </w:rPr>
        <w:t>August 2022</w:t>
      </w:r>
      <w:r w:rsidRPr="007B6E69">
        <w:rPr>
          <w:rFonts w:asciiTheme="minorHAnsi" w:hAnsiTheme="minorHAnsi"/>
        </w:rPr>
        <w:t xml:space="preserve"> from </w:t>
      </w:r>
      <w:hyperlink r:id="rId63" w:anchor="citation" w:history="1">
        <w:r w:rsidRPr="007B6E69">
          <w:rPr>
            <w:rStyle w:val="Hyperlink"/>
            <w:rFonts w:asciiTheme="minorHAnsi" w:hAnsiTheme="minorHAnsi"/>
          </w:rPr>
          <w:t>www.govinfo.gov/#citation</w:t>
        </w:r>
      </w:hyperlink>
      <w:r w:rsidRPr="007B6E69">
        <w:rPr>
          <w:rFonts w:asciiTheme="minorHAnsi" w:hAnsiTheme="minorHAnsi"/>
        </w:rPr>
        <w:t>.</w:t>
      </w:r>
    </w:p>
    <w:p w14:paraId="416C9512" w14:textId="77777777" w:rsidR="00F869CA" w:rsidRPr="007B6E69" w:rsidRDefault="00F869CA" w:rsidP="00D57C3B">
      <w:pPr>
        <w:pStyle w:val="References0"/>
        <w:rPr>
          <w:rFonts w:asciiTheme="minorHAnsi" w:hAnsiTheme="minorHAnsi"/>
        </w:rPr>
      </w:pPr>
    </w:p>
    <w:p w14:paraId="7D9F9938" w14:textId="77777777" w:rsidR="008E226D" w:rsidRPr="007B6E69" w:rsidRDefault="008E226D" w:rsidP="00E13D3A">
      <w:pPr>
        <w:pStyle w:val="AppendixHeading1"/>
        <w:sectPr w:rsidR="008E226D" w:rsidRPr="007B6E69" w:rsidSect="00D87AD8">
          <w:pgSz w:w="11906" w:h="16838" w:code="9"/>
          <w:pgMar w:top="1021" w:right="1021" w:bottom="1021" w:left="1021" w:header="510" w:footer="567" w:gutter="0"/>
          <w:cols w:space="708"/>
          <w:docGrid w:linePitch="360"/>
        </w:sectPr>
      </w:pPr>
    </w:p>
    <w:p w14:paraId="6EC5F6B2" w14:textId="77777777" w:rsidR="004F675A" w:rsidRPr="007B6E69" w:rsidRDefault="004F675A" w:rsidP="004F675A">
      <w:pPr>
        <w:pStyle w:val="AppendixHeading1"/>
      </w:pPr>
      <w:bookmarkStart w:id="123" w:name="_Toc111576742"/>
      <w:bookmarkStart w:id="124" w:name="_Toc143182163"/>
      <w:bookmarkStart w:id="125" w:name="_Toc67060913"/>
      <w:bookmarkStart w:id="126" w:name="_Toc54275950"/>
      <w:bookmarkStart w:id="127" w:name="_Toc54095112"/>
      <w:bookmarkStart w:id="128" w:name="_Toc54095110"/>
      <w:r w:rsidRPr="007B6E69">
        <w:t xml:space="preserve">Appendix </w:t>
      </w:r>
      <w:r>
        <w:t>1</w:t>
      </w:r>
      <w:r w:rsidRPr="007B6E69">
        <w:t xml:space="preserve"> – Acronyms and abbreviations</w:t>
      </w:r>
      <w:bookmarkEnd w:id="123"/>
      <w:bookmarkEnd w:id="124"/>
    </w:p>
    <w:p w14:paraId="3B960685" w14:textId="77777777" w:rsidR="004F675A" w:rsidRPr="007B6E69" w:rsidRDefault="004F675A" w:rsidP="004F675A">
      <w:pPr>
        <w:pStyle w:val="Glossarylist"/>
      </w:pPr>
      <w:r w:rsidRPr="007B6E69">
        <w:t>ABS</w:t>
      </w:r>
      <w:r w:rsidRPr="007B6E69">
        <w:tab/>
        <w:t>Antilock Brake System</w:t>
      </w:r>
    </w:p>
    <w:p w14:paraId="0584FFE6" w14:textId="77777777" w:rsidR="004F675A" w:rsidRPr="007B6E69" w:rsidRDefault="004F675A" w:rsidP="004F675A">
      <w:pPr>
        <w:pStyle w:val="Glossarylist"/>
      </w:pPr>
      <w:r w:rsidRPr="007B6E69">
        <w:t>AEB/AEBS</w:t>
      </w:r>
      <w:r w:rsidRPr="007B6E69">
        <w:tab/>
        <w:t>Advanced Emergency Braking (System)</w:t>
      </w:r>
    </w:p>
    <w:p w14:paraId="5A59DD64" w14:textId="77777777" w:rsidR="004F675A" w:rsidRPr="007B6E69" w:rsidRDefault="004F675A" w:rsidP="004F675A">
      <w:pPr>
        <w:pStyle w:val="Glossarylist"/>
      </w:pPr>
      <w:r w:rsidRPr="007B6E69">
        <w:t>ADR</w:t>
      </w:r>
      <w:r w:rsidRPr="007B6E69">
        <w:tab/>
        <w:t>Australian Design Rule</w:t>
      </w:r>
    </w:p>
    <w:p w14:paraId="448F2011" w14:textId="77777777" w:rsidR="004F675A" w:rsidRDefault="004F675A" w:rsidP="004F675A">
      <w:pPr>
        <w:pStyle w:val="Glossarylist"/>
      </w:pPr>
      <w:r>
        <w:t>ALVSRs</w:t>
      </w:r>
      <w:r>
        <w:tab/>
        <w:t>Australian Light Vehicle Standards Rules</w:t>
      </w:r>
    </w:p>
    <w:p w14:paraId="41CE04BE" w14:textId="77777777" w:rsidR="004F675A" w:rsidRDefault="004F675A" w:rsidP="004F675A">
      <w:pPr>
        <w:pStyle w:val="Glossarylist"/>
      </w:pPr>
      <w:r>
        <w:t>ARRB</w:t>
      </w:r>
      <w:r>
        <w:tab/>
        <w:t>Australian Road Research Board</w:t>
      </w:r>
    </w:p>
    <w:p w14:paraId="1798BB54" w14:textId="77777777" w:rsidR="004F675A" w:rsidRDefault="004F675A" w:rsidP="004F675A">
      <w:pPr>
        <w:pStyle w:val="Glossarylist"/>
      </w:pPr>
      <w:r w:rsidRPr="007B6E69">
        <w:t>ARTSA</w:t>
      </w:r>
      <w:r w:rsidRPr="007B6E69">
        <w:tab/>
        <w:t>Australian Road Transport Suppliers Association</w:t>
      </w:r>
      <w:r>
        <w:t xml:space="preserve"> (now part of the HVIA)</w:t>
      </w:r>
    </w:p>
    <w:p w14:paraId="595731DF" w14:textId="77777777" w:rsidR="004F675A" w:rsidRPr="007B6E69" w:rsidRDefault="004F675A" w:rsidP="004F675A">
      <w:pPr>
        <w:pStyle w:val="Glossarylist"/>
      </w:pPr>
      <w:r>
        <w:t>ATA</w:t>
      </w:r>
      <w:r>
        <w:tab/>
        <w:t>Australian Trucking Association</w:t>
      </w:r>
    </w:p>
    <w:p w14:paraId="0121263C" w14:textId="77777777" w:rsidR="004F675A" w:rsidRDefault="004F675A" w:rsidP="004F675A">
      <w:pPr>
        <w:pStyle w:val="Glossarylist"/>
      </w:pPr>
      <w:r>
        <w:t>ATM</w:t>
      </w:r>
      <w:r>
        <w:tab/>
        <w:t>Aggregate Trailer Mass</w:t>
      </w:r>
    </w:p>
    <w:p w14:paraId="6FC486B0" w14:textId="77777777" w:rsidR="004F675A" w:rsidRPr="007B6E69" w:rsidRDefault="004F675A" w:rsidP="004F675A">
      <w:pPr>
        <w:pStyle w:val="Glossarylist"/>
      </w:pPr>
      <w:r w:rsidRPr="007B6E69">
        <w:t>BAU</w:t>
      </w:r>
      <w:r w:rsidRPr="007B6E69">
        <w:tab/>
        <w:t>Business as Usual</w:t>
      </w:r>
    </w:p>
    <w:p w14:paraId="6170054C" w14:textId="77777777" w:rsidR="004F675A" w:rsidRPr="007B6E69" w:rsidRDefault="004F675A" w:rsidP="004F675A">
      <w:pPr>
        <w:pStyle w:val="Glossarylist"/>
      </w:pPr>
      <w:r w:rsidRPr="007B6E69">
        <w:t>BCR</w:t>
      </w:r>
      <w:r w:rsidRPr="007B6E69">
        <w:tab/>
        <w:t>Benefit-Cost Ratio</w:t>
      </w:r>
    </w:p>
    <w:p w14:paraId="218827A0" w14:textId="77777777" w:rsidR="004F675A" w:rsidRPr="007B6E69" w:rsidRDefault="004F675A" w:rsidP="004F675A">
      <w:pPr>
        <w:pStyle w:val="Glossarylist"/>
      </w:pPr>
      <w:r w:rsidRPr="007B6E69">
        <w:t>BITRE</w:t>
      </w:r>
      <w:r w:rsidRPr="007B6E69">
        <w:tab/>
        <w:t>Bureau of Infrastructure, Transport and Regional Economics</w:t>
      </w:r>
    </w:p>
    <w:p w14:paraId="7F64F7FE" w14:textId="77777777" w:rsidR="004F675A" w:rsidRPr="007B6E69" w:rsidRDefault="004F675A" w:rsidP="004F675A">
      <w:pPr>
        <w:pStyle w:val="Glossarylist"/>
      </w:pPr>
      <w:r w:rsidRPr="007B6E69">
        <w:t>BS</w:t>
      </w:r>
      <w:r>
        <w:t>IS</w:t>
      </w:r>
      <w:r w:rsidRPr="007B6E69">
        <w:tab/>
        <w:t xml:space="preserve">Blind Spot </w:t>
      </w:r>
      <w:r>
        <w:t>Information Systems</w:t>
      </w:r>
    </w:p>
    <w:p w14:paraId="5F8AC76E" w14:textId="77777777" w:rsidR="004F675A" w:rsidRPr="007B6E69" w:rsidRDefault="004F675A" w:rsidP="004F675A">
      <w:pPr>
        <w:pStyle w:val="Glossarylist"/>
      </w:pPr>
      <w:r w:rsidRPr="007B6E69">
        <w:t>BTE</w:t>
      </w:r>
      <w:r w:rsidRPr="007B6E69">
        <w:tab/>
        <w:t>Bureau of Transport Economics (now BITRE)</w:t>
      </w:r>
    </w:p>
    <w:p w14:paraId="6A11A00C" w14:textId="77777777" w:rsidR="004F675A" w:rsidRPr="007B6E69" w:rsidRDefault="004F675A" w:rsidP="004F675A">
      <w:pPr>
        <w:pStyle w:val="Glossarylist"/>
      </w:pPr>
      <w:r w:rsidRPr="007B6E69">
        <w:t>CEO</w:t>
      </w:r>
      <w:r w:rsidRPr="007B6E69">
        <w:tab/>
        <w:t>Chief Executive Officer</w:t>
      </w:r>
    </w:p>
    <w:p w14:paraId="4135EB70" w14:textId="77777777" w:rsidR="004F675A" w:rsidRPr="007B6E69" w:rsidRDefault="004F675A" w:rsidP="004F675A">
      <w:pPr>
        <w:pStyle w:val="Glossarylist"/>
      </w:pPr>
      <w:r w:rsidRPr="007B6E69">
        <w:t>CVIAA</w:t>
      </w:r>
      <w:r w:rsidRPr="007B6E69">
        <w:tab/>
        <w:t xml:space="preserve">Commercial Vehicle Industry Association </w:t>
      </w:r>
      <w:r>
        <w:t xml:space="preserve">of </w:t>
      </w:r>
      <w:r w:rsidRPr="007B6E69">
        <w:t>Australia</w:t>
      </w:r>
    </w:p>
    <w:p w14:paraId="4C9603EC" w14:textId="77777777" w:rsidR="004F675A" w:rsidRPr="007B6E69" w:rsidRDefault="004F675A" w:rsidP="004F675A">
      <w:pPr>
        <w:pStyle w:val="Glossarylist"/>
      </w:pPr>
      <w:r w:rsidRPr="007B6E69">
        <w:t>ESC</w:t>
      </w:r>
      <w:r w:rsidRPr="007B6E69">
        <w:tab/>
        <w:t>Electronic Stability Control</w:t>
      </w:r>
    </w:p>
    <w:p w14:paraId="32216594" w14:textId="77777777" w:rsidR="00B26A99" w:rsidRDefault="00B26A99" w:rsidP="004F675A">
      <w:pPr>
        <w:pStyle w:val="Glossarylist"/>
      </w:pPr>
      <w:r>
        <w:t>EC</w:t>
      </w:r>
      <w:r>
        <w:tab/>
        <w:t>European Commission</w:t>
      </w:r>
    </w:p>
    <w:p w14:paraId="4642A75F" w14:textId="77777777" w:rsidR="004F675A" w:rsidRPr="007B6E69" w:rsidRDefault="004F675A" w:rsidP="004F675A">
      <w:pPr>
        <w:pStyle w:val="Glossarylist"/>
      </w:pPr>
      <w:r>
        <w:t>EU</w:t>
      </w:r>
      <w:r>
        <w:tab/>
        <w:t>European Union</w:t>
      </w:r>
    </w:p>
    <w:p w14:paraId="061BC1BB" w14:textId="77777777" w:rsidR="004F675A" w:rsidRPr="007B6E69" w:rsidRDefault="004F675A" w:rsidP="004F675A">
      <w:pPr>
        <w:pStyle w:val="Glossarylist"/>
      </w:pPr>
      <w:r w:rsidRPr="007B6E69">
        <w:t>GVM</w:t>
      </w:r>
      <w:r w:rsidRPr="007B6E69">
        <w:tab/>
        <w:t>Gross Vehicle Mass</w:t>
      </w:r>
    </w:p>
    <w:p w14:paraId="71E3CAB8" w14:textId="77777777" w:rsidR="004F675A" w:rsidRDefault="004F675A" w:rsidP="004F675A">
      <w:pPr>
        <w:pStyle w:val="Glossarylist"/>
      </w:pPr>
      <w:r>
        <w:t>HVIA</w:t>
      </w:r>
      <w:r>
        <w:tab/>
        <w:t>Heavy Vehicle Industry Association</w:t>
      </w:r>
    </w:p>
    <w:p w14:paraId="4AE4DFFE" w14:textId="77777777" w:rsidR="004F675A" w:rsidRDefault="004F675A" w:rsidP="004F675A">
      <w:pPr>
        <w:pStyle w:val="Glossarylist"/>
      </w:pPr>
      <w:r>
        <w:t>HVNL</w:t>
      </w:r>
      <w:r>
        <w:tab/>
        <w:t>Heavy Vehicle National Law</w:t>
      </w:r>
    </w:p>
    <w:p w14:paraId="4971E385" w14:textId="77777777" w:rsidR="00C45600" w:rsidRPr="007B6E69" w:rsidRDefault="00C45600" w:rsidP="00C45600">
      <w:pPr>
        <w:pStyle w:val="Glossarylist"/>
      </w:pPr>
      <w:r>
        <w:t>IA</w:t>
      </w:r>
      <w:r w:rsidRPr="007B6E69">
        <w:tab/>
      </w:r>
      <w:r>
        <w:t>Impact Analysis</w:t>
      </w:r>
    </w:p>
    <w:p w14:paraId="313253C3" w14:textId="77777777" w:rsidR="004F675A" w:rsidRPr="007B6E69" w:rsidRDefault="004F675A" w:rsidP="004F675A">
      <w:pPr>
        <w:pStyle w:val="Glossarylist"/>
      </w:pPr>
      <w:r w:rsidRPr="007B6E69">
        <w:t>ITMM</w:t>
      </w:r>
      <w:r w:rsidRPr="007B6E69">
        <w:tab/>
        <w:t>Infrastructure and Transport Ministers Meeting</w:t>
      </w:r>
    </w:p>
    <w:p w14:paraId="72C42FA3" w14:textId="77777777" w:rsidR="004F675A" w:rsidRPr="007B6E69" w:rsidRDefault="004F675A" w:rsidP="004F675A">
      <w:pPr>
        <w:pStyle w:val="Glossarylist"/>
      </w:pPr>
      <w:r w:rsidRPr="007B6E69">
        <w:t>ITSOC</w:t>
      </w:r>
      <w:r w:rsidRPr="007B6E69">
        <w:tab/>
        <w:t>Infrastructure and Transport Senior Officials’ Committee</w:t>
      </w:r>
    </w:p>
    <w:p w14:paraId="6B646B36" w14:textId="77777777" w:rsidR="004F675A" w:rsidRPr="007B6E69" w:rsidRDefault="004F675A" w:rsidP="004F675A">
      <w:pPr>
        <w:pStyle w:val="Glossarylist"/>
      </w:pPr>
      <w:r w:rsidRPr="007B6E69">
        <w:t>LDWS</w:t>
      </w:r>
      <w:r w:rsidRPr="007B6E69">
        <w:tab/>
        <w:t>Lane Departure Warning System</w:t>
      </w:r>
    </w:p>
    <w:p w14:paraId="0671DF25" w14:textId="77777777" w:rsidR="004F675A" w:rsidRDefault="004F675A" w:rsidP="004F675A">
      <w:pPr>
        <w:pStyle w:val="Glossarylist"/>
      </w:pPr>
      <w:r>
        <w:t>LPDs</w:t>
      </w:r>
      <w:r>
        <w:tab/>
        <w:t>Lateral Protection Devices</w:t>
      </w:r>
    </w:p>
    <w:p w14:paraId="598A50E7" w14:textId="77777777" w:rsidR="004F675A" w:rsidRPr="007B6E69" w:rsidRDefault="004F675A" w:rsidP="004F675A">
      <w:pPr>
        <w:pStyle w:val="Glossarylist"/>
      </w:pPr>
      <w:r w:rsidRPr="007B6E69">
        <w:t>MVSA</w:t>
      </w:r>
      <w:r w:rsidRPr="007B6E69">
        <w:tab/>
      </w:r>
      <w:r w:rsidRPr="00E624A6">
        <w:rPr>
          <w:i/>
        </w:rPr>
        <w:t>Motor Vehicle Standards Act 1989</w:t>
      </w:r>
    </w:p>
    <w:p w14:paraId="2A4E8C2E" w14:textId="77777777" w:rsidR="004F675A" w:rsidRDefault="004F675A" w:rsidP="004F675A">
      <w:pPr>
        <w:pStyle w:val="Glossarylist"/>
      </w:pPr>
      <w:r>
        <w:t>NHVR</w:t>
      </w:r>
      <w:r>
        <w:tab/>
        <w:t>National Heavy Vehicle Regulator</w:t>
      </w:r>
    </w:p>
    <w:p w14:paraId="22648785" w14:textId="77777777" w:rsidR="004F675A" w:rsidRPr="007B6E69" w:rsidRDefault="004F675A" w:rsidP="004F675A">
      <w:pPr>
        <w:pStyle w:val="Glossarylist"/>
      </w:pPr>
      <w:r w:rsidRPr="007B6E69">
        <w:t>NPV</w:t>
      </w:r>
      <w:r w:rsidRPr="007B6E69">
        <w:tab/>
        <w:t>Net Present Value</w:t>
      </w:r>
    </w:p>
    <w:p w14:paraId="05AFC5BF" w14:textId="77777777" w:rsidR="004F675A" w:rsidRPr="007B6E69" w:rsidRDefault="004F675A" w:rsidP="004F675A">
      <w:pPr>
        <w:pStyle w:val="Glossarylist"/>
      </w:pPr>
      <w:r w:rsidRPr="007B6E69">
        <w:t>NTC</w:t>
      </w:r>
      <w:r w:rsidRPr="007B6E69">
        <w:tab/>
        <w:t>National Transport Commission</w:t>
      </w:r>
    </w:p>
    <w:p w14:paraId="4341EE5A" w14:textId="77777777" w:rsidR="004F675A" w:rsidRPr="007B6E69" w:rsidRDefault="004F675A" w:rsidP="004F675A">
      <w:pPr>
        <w:pStyle w:val="Glossarylist"/>
      </w:pPr>
      <w:r w:rsidRPr="007B6E69">
        <w:t>OBPR</w:t>
      </w:r>
      <w:r w:rsidRPr="007B6E69">
        <w:tab/>
        <w:t>Office of Best Practice Regulation</w:t>
      </w:r>
    </w:p>
    <w:p w14:paraId="5361D4DA" w14:textId="77777777" w:rsidR="004F675A" w:rsidRPr="007B6E69" w:rsidRDefault="004F675A" w:rsidP="004F675A">
      <w:pPr>
        <w:pStyle w:val="Glossarylist"/>
      </w:pPr>
      <w:r w:rsidRPr="007B6E69">
        <w:t>PBS</w:t>
      </w:r>
      <w:r w:rsidRPr="007B6E69">
        <w:tab/>
        <w:t>Performance Based Standards</w:t>
      </w:r>
    </w:p>
    <w:p w14:paraId="6B2F8715" w14:textId="77777777" w:rsidR="00C4295D" w:rsidRDefault="00C4295D" w:rsidP="004F675A">
      <w:pPr>
        <w:pStyle w:val="Glossarylist"/>
      </w:pPr>
      <w:r>
        <w:t>RAV</w:t>
      </w:r>
      <w:r>
        <w:tab/>
        <w:t>Register of Approved Vehicles</w:t>
      </w:r>
    </w:p>
    <w:p w14:paraId="195E334E" w14:textId="77777777" w:rsidR="004F675A" w:rsidRPr="007B6E69" w:rsidRDefault="004F675A" w:rsidP="004F675A">
      <w:pPr>
        <w:pStyle w:val="Glossarylist"/>
      </w:pPr>
      <w:r w:rsidRPr="007B6E69">
        <w:t>RSC</w:t>
      </w:r>
      <w:r w:rsidRPr="007B6E69">
        <w:tab/>
        <w:t>Roll Stability Control</w:t>
      </w:r>
    </w:p>
    <w:p w14:paraId="4DE308C8" w14:textId="77777777" w:rsidR="004F675A" w:rsidRPr="007B6E69" w:rsidRDefault="004F675A" w:rsidP="004F675A">
      <w:pPr>
        <w:pStyle w:val="Glossarylist"/>
      </w:pPr>
      <w:r w:rsidRPr="007B6E69">
        <w:t>RVSA</w:t>
      </w:r>
      <w:r w:rsidRPr="007B6E69">
        <w:tab/>
      </w:r>
      <w:r w:rsidRPr="00E624A6">
        <w:rPr>
          <w:i/>
        </w:rPr>
        <w:t>Road Vehicles Standards Act 2018</w:t>
      </w:r>
    </w:p>
    <w:p w14:paraId="19D4CB82" w14:textId="77777777" w:rsidR="004F675A" w:rsidRPr="007B6E69" w:rsidRDefault="004F675A" w:rsidP="004F675A">
      <w:pPr>
        <w:pStyle w:val="Glossarylist"/>
      </w:pPr>
      <w:r w:rsidRPr="007B6E69">
        <w:t>SVSEG</w:t>
      </w:r>
      <w:r w:rsidRPr="007B6E69">
        <w:tab/>
        <w:t>Strategic Vehicle Safety and Environment Group</w:t>
      </w:r>
    </w:p>
    <w:p w14:paraId="138FEE74" w14:textId="77777777" w:rsidR="004F675A" w:rsidRDefault="004F675A" w:rsidP="004F675A">
      <w:pPr>
        <w:pStyle w:val="Glossarylist"/>
      </w:pPr>
      <w:r>
        <w:t>SVTG</w:t>
      </w:r>
      <w:r>
        <w:tab/>
        <w:t>Safe Vehicles Theme Group</w:t>
      </w:r>
    </w:p>
    <w:p w14:paraId="13BBA2C6" w14:textId="77777777" w:rsidR="004F675A" w:rsidRPr="007B6E69" w:rsidRDefault="004F675A" w:rsidP="004F675A">
      <w:pPr>
        <w:pStyle w:val="Glossarylist"/>
      </w:pPr>
      <w:r w:rsidRPr="007B6E69">
        <w:t>TIC</w:t>
      </w:r>
      <w:r w:rsidRPr="007B6E69">
        <w:tab/>
        <w:t>Truck Industry Council</w:t>
      </w:r>
    </w:p>
    <w:p w14:paraId="2060361C" w14:textId="77777777" w:rsidR="004F675A" w:rsidRPr="007B6E69" w:rsidRDefault="004F675A" w:rsidP="004F675A">
      <w:pPr>
        <w:pStyle w:val="Glossarylist"/>
      </w:pPr>
      <w:r w:rsidRPr="007B6E69">
        <w:t>TLG</w:t>
      </w:r>
      <w:r w:rsidRPr="007B6E69">
        <w:tab/>
        <w:t>Technical Liaison Group</w:t>
      </w:r>
    </w:p>
    <w:p w14:paraId="2608A225" w14:textId="77777777" w:rsidR="004F675A" w:rsidRPr="007B6E69" w:rsidRDefault="004F675A" w:rsidP="004F675A">
      <w:pPr>
        <w:pStyle w:val="Glossarylist"/>
      </w:pPr>
      <w:r w:rsidRPr="007B6E69">
        <w:t>UN</w:t>
      </w:r>
      <w:r w:rsidRPr="007B6E69">
        <w:tab/>
        <w:t>United Nations</w:t>
      </w:r>
    </w:p>
    <w:p w14:paraId="34413458" w14:textId="77777777" w:rsidR="004F675A" w:rsidRDefault="004F675A" w:rsidP="004F675A">
      <w:pPr>
        <w:pStyle w:val="Glossarylist"/>
      </w:pPr>
      <w:r w:rsidRPr="007B6E69">
        <w:t>US</w:t>
      </w:r>
      <w:r w:rsidRPr="007B6E69">
        <w:tab/>
        <w:t>United States</w:t>
      </w:r>
    </w:p>
    <w:p w14:paraId="4481D1B6" w14:textId="77777777" w:rsidR="004F675A" w:rsidRDefault="004F675A" w:rsidP="004F675A">
      <w:pPr>
        <w:pStyle w:val="Glossarylist"/>
      </w:pPr>
      <w:r>
        <w:t>VKT</w:t>
      </w:r>
      <w:r>
        <w:tab/>
        <w:t>Vehicle Kilometres Travelled</w:t>
      </w:r>
    </w:p>
    <w:p w14:paraId="4357005E" w14:textId="77777777" w:rsidR="00F607CD" w:rsidRDefault="00F607CD" w:rsidP="00F607CD">
      <w:pPr>
        <w:rPr>
          <w:rFonts w:cstheme="minorHAnsi"/>
        </w:rPr>
      </w:pPr>
    </w:p>
    <w:p w14:paraId="7BB5FA66" w14:textId="77777777" w:rsidR="00F607CD" w:rsidRDefault="00F607CD" w:rsidP="00F607CD">
      <w:pPr>
        <w:rPr>
          <w:rFonts w:cstheme="minorHAnsi"/>
        </w:rPr>
        <w:sectPr w:rsidR="00F607CD" w:rsidSect="00237D88">
          <w:pgSz w:w="11906" w:h="16838" w:code="9"/>
          <w:pgMar w:top="2835" w:right="1049" w:bottom="1701" w:left="1049" w:header="1276" w:footer="709" w:gutter="0"/>
          <w:cols w:space="708"/>
          <w:docGrid w:linePitch="360"/>
        </w:sectPr>
      </w:pPr>
    </w:p>
    <w:p w14:paraId="0F541C9C" w14:textId="77777777" w:rsidR="00223F09" w:rsidRPr="007B6E69" w:rsidRDefault="00197BA7" w:rsidP="00E13D3A">
      <w:pPr>
        <w:pStyle w:val="AppendixHeading1"/>
      </w:pPr>
      <w:bookmarkStart w:id="129" w:name="_Toc111576730"/>
      <w:bookmarkStart w:id="130" w:name="_Toc143182164"/>
      <w:r w:rsidRPr="007B6E69">
        <w:t xml:space="preserve">Appendix </w:t>
      </w:r>
      <w:r w:rsidR="002C24D8">
        <w:t>2</w:t>
      </w:r>
      <w:r w:rsidRPr="007B6E69">
        <w:t xml:space="preserve"> – </w:t>
      </w:r>
      <w:r w:rsidR="00223F09" w:rsidRPr="007B6E69">
        <w:t>Glossary</w:t>
      </w:r>
      <w:bookmarkEnd w:id="125"/>
      <w:bookmarkEnd w:id="129"/>
      <w:bookmarkEnd w:id="130"/>
    </w:p>
    <w:p w14:paraId="28DA4266" w14:textId="77777777" w:rsidR="00223F09" w:rsidRPr="007B6E69" w:rsidRDefault="00223F09" w:rsidP="00EE18DA">
      <w:pPr>
        <w:pStyle w:val="Glossarylist"/>
      </w:pPr>
      <w:r w:rsidRPr="007B6E69">
        <w:t>Advanced Emergency Braking (AEB)</w:t>
      </w:r>
      <w:r w:rsidRPr="007B6E69">
        <w:tab/>
        <w:t>A system that can automatically detect a potential forward collision and activate the vehicle braking system to decelerate the vehicle with the purpose of avoiding or mitigating a collision.</w:t>
      </w:r>
    </w:p>
    <w:p w14:paraId="5831FF98" w14:textId="77777777" w:rsidR="00223F09" w:rsidRPr="007B6E69" w:rsidRDefault="00223F09" w:rsidP="00EE18DA">
      <w:pPr>
        <w:pStyle w:val="Glossarylist"/>
      </w:pPr>
      <w:r w:rsidRPr="007B6E69">
        <w:t>Aggregate Trailer Mass (ATM)</w:t>
      </w:r>
      <w:r w:rsidRPr="007B6E69">
        <w:tab/>
        <w:t>The total mass of the laden trailer when carrying the maximum load recommended by the manufacturer. This will include any mass imposed onto the drawing vehicle when the combination vehicle is resting on a horizontal supporting plane.</w:t>
      </w:r>
    </w:p>
    <w:p w14:paraId="1127616F" w14:textId="77777777" w:rsidR="00223F09" w:rsidRPr="007B6E69" w:rsidRDefault="00223F09" w:rsidP="00EE18DA">
      <w:pPr>
        <w:pStyle w:val="Glossarylist"/>
      </w:pPr>
      <w:r w:rsidRPr="007B6E69">
        <w:t>Antilock Brake System (ABS)</w:t>
      </w:r>
      <w:r w:rsidRPr="007B6E69">
        <w:tab/>
        <w:t>A portion of a service brake system that automatically controls the degree of rotational wheel slip relative to the road at one or more road wheels of the vehicle during braking.</w:t>
      </w:r>
    </w:p>
    <w:p w14:paraId="2ED1926D" w14:textId="77777777" w:rsidR="00223F09" w:rsidRPr="007B6E69" w:rsidRDefault="00223F09" w:rsidP="00EE18DA">
      <w:pPr>
        <w:pStyle w:val="Glossarylist"/>
      </w:pPr>
      <w:r w:rsidRPr="007B6E69">
        <w:t>Axle</w:t>
      </w:r>
      <w:r w:rsidRPr="007B6E69">
        <w:tab/>
        <w:t>One or more shafts positioned in a line across a vehicle, on which one or more wheels intended to support the vehicle turn.</w:t>
      </w:r>
    </w:p>
    <w:p w14:paraId="38EB34CB" w14:textId="77777777" w:rsidR="00B523DF" w:rsidRPr="007B6E69" w:rsidRDefault="00B523DF" w:rsidP="00B523DF">
      <w:pPr>
        <w:pStyle w:val="Glossarylist"/>
      </w:pPr>
      <w:r w:rsidRPr="007B6E69">
        <w:t>Axle Group</w:t>
      </w:r>
      <w:r w:rsidRPr="007B6E69">
        <w:tab/>
        <w:t>Either a single axle, tandem axle group, triaxle group, or close coupled axle group.</w:t>
      </w:r>
    </w:p>
    <w:p w14:paraId="32551761" w14:textId="77777777" w:rsidR="00223F09" w:rsidRPr="007B6E69" w:rsidRDefault="00223F09" w:rsidP="00EE18DA">
      <w:pPr>
        <w:pStyle w:val="Glossarylist"/>
      </w:pPr>
      <w:r w:rsidRPr="007B6E69">
        <w:t>B-Double</w:t>
      </w:r>
      <w:r w:rsidRPr="007B6E69">
        <w:tab/>
        <w:t>A combination of vehicles consisting of a prime mover towing two semi-trailers.</w:t>
      </w:r>
    </w:p>
    <w:p w14:paraId="056EB098" w14:textId="77777777" w:rsidR="00687E4F" w:rsidRDefault="00687E4F" w:rsidP="00EE18DA">
      <w:pPr>
        <w:pStyle w:val="Glossarylist"/>
      </w:pPr>
      <w:r>
        <w:t>Benefit-Cost Ratio</w:t>
      </w:r>
      <w:r w:rsidR="009F676B">
        <w:t xml:space="preserve"> (BCR)</w:t>
      </w:r>
      <w:r>
        <w:tab/>
      </w:r>
      <w:r w:rsidR="009F676B">
        <w:t>The ratio of expected total (gross) benefits to expected total costs (in terms of their present monetary value) for a change of policy relative to business as usual.</w:t>
      </w:r>
    </w:p>
    <w:p w14:paraId="02796E38" w14:textId="77777777" w:rsidR="00223F09" w:rsidRPr="007B6E69" w:rsidRDefault="00223F09" w:rsidP="00EE18DA">
      <w:pPr>
        <w:pStyle w:val="Glossarylist"/>
      </w:pPr>
      <w:r w:rsidRPr="007B6E69">
        <w:t>Blind Spot Information System</w:t>
      </w:r>
      <w:r w:rsidRPr="007B6E69">
        <w:tab/>
        <w:t>A system to inform the driver of a possible collision with another road user (e.g. vehicle, motorcycle, bicycle, pedestrian etc.) in close proximity to the vehicle.</w:t>
      </w:r>
    </w:p>
    <w:p w14:paraId="07861A43" w14:textId="77777777" w:rsidR="00BA6C31" w:rsidRPr="000B64C0" w:rsidRDefault="00BA6C31" w:rsidP="00BA6C31">
      <w:pPr>
        <w:pStyle w:val="Glossarylist"/>
      </w:pPr>
      <w:r w:rsidRPr="000B64C0">
        <w:t>Close Coupled Axle Group</w:t>
      </w:r>
      <w:r w:rsidRPr="000B64C0">
        <w:tab/>
        <w:t xml:space="preserve">Two axles with centres not more than 1.0 m apart (regarded under the ADRs as a single axle); three axles with centres not more than 2.0 m apart (regarded under the ADRs as a tandem axle group); or four or more axles with centres not more than 3.2 </w:t>
      </w:r>
      <w:r>
        <w:t>m</w:t>
      </w:r>
      <w:r w:rsidRPr="000B64C0">
        <w:t xml:space="preserve"> apart (regarded under the ADRs as a tri-axle group).</w:t>
      </w:r>
    </w:p>
    <w:p w14:paraId="3EAA2D7F" w14:textId="77777777" w:rsidR="00223F09" w:rsidRPr="007B6E69" w:rsidRDefault="00223F09" w:rsidP="00EE18DA">
      <w:pPr>
        <w:pStyle w:val="Glossarylist"/>
      </w:pPr>
      <w:proofErr w:type="spellStart"/>
      <w:r w:rsidRPr="007B6E69">
        <w:t>Conspicuity</w:t>
      </w:r>
      <w:proofErr w:type="spellEnd"/>
      <w:r w:rsidRPr="007B6E69">
        <w:t xml:space="preserve"> Marking</w:t>
      </w:r>
      <w:r w:rsidRPr="007B6E69">
        <w:tab/>
        <w:t xml:space="preserve">A device intended to </w:t>
      </w:r>
      <w:r w:rsidR="00787644">
        <w:t>make</w:t>
      </w:r>
      <w:r w:rsidRPr="007B6E69">
        <w:t xml:space="preserve"> a vehicle</w:t>
      </w:r>
      <w:r w:rsidR="00CF3A37">
        <w:t xml:space="preserve"> more clearly visible</w:t>
      </w:r>
      <w:r w:rsidRPr="007B6E69">
        <w:t>, when viewed from the side or rear (or in the case of trailers, additionally from the front), by the reflection of light emanating from a light source not connected to the vehicle.</w:t>
      </w:r>
    </w:p>
    <w:p w14:paraId="21A0319A" w14:textId="77777777" w:rsidR="00223F09" w:rsidRPr="007B6E69" w:rsidRDefault="00223F09" w:rsidP="00EE18DA">
      <w:pPr>
        <w:pStyle w:val="Glossarylist"/>
      </w:pPr>
      <w:r w:rsidRPr="007B6E69">
        <w:t>Converter Dolly</w:t>
      </w:r>
      <w:r w:rsidRPr="007B6E69">
        <w:tab/>
        <w:t>A trailer with an axle group and a fifth wheel coupling near the middle of its load-carrying surface, designed to convert a semi-trailer into a dog trailer.</w:t>
      </w:r>
    </w:p>
    <w:p w14:paraId="199BAEA6" w14:textId="77777777" w:rsidR="00223F09" w:rsidRPr="007B6E69" w:rsidRDefault="000F1B96" w:rsidP="00EE18DA">
      <w:pPr>
        <w:pStyle w:val="Glossarylist"/>
      </w:pPr>
      <w:r>
        <w:t>Cross-view</w:t>
      </w:r>
      <w:r w:rsidR="00223F09" w:rsidRPr="007B6E69">
        <w:t xml:space="preserve"> mirror</w:t>
      </w:r>
      <w:r w:rsidR="00223F09" w:rsidRPr="007B6E69">
        <w:tab/>
        <w:t>A mirror that can be adjusted to enable a driver to see all points on a transverse horizontal line that is 1 m above a flat horizontal portion of road, 300 mm forward of the front end of the vehicle, and extends across the full width of the vehicle.</w:t>
      </w:r>
    </w:p>
    <w:p w14:paraId="0487D7A5" w14:textId="77777777" w:rsidR="00223F09" w:rsidRPr="007B6E69" w:rsidRDefault="00223F09" w:rsidP="00EE18DA">
      <w:pPr>
        <w:pStyle w:val="Glossarylist"/>
      </w:pPr>
      <w:r w:rsidRPr="007B6E69">
        <w:t>Device for Indirect Vision</w:t>
      </w:r>
      <w:r w:rsidRPr="007B6E69">
        <w:tab/>
        <w:t>Devices intended to give a clear view of the rear, side or front of the vehicle within the fields of vision defined in UN R46. These can be conventional mirrors, camera-monitors or other devices able to present information about the indirect field of vision to the driver.</w:t>
      </w:r>
    </w:p>
    <w:p w14:paraId="6A689767" w14:textId="77777777" w:rsidR="009F676B" w:rsidRDefault="009F676B" w:rsidP="009F676B">
      <w:pPr>
        <w:pStyle w:val="Glossarylist"/>
      </w:pPr>
      <w:r>
        <w:t>Discount Rate</w:t>
      </w:r>
      <w:r>
        <w:tab/>
        <w:t>A rate of interest used to translate costs which will be incurred and benefits which will be received across future years into present day values.</w:t>
      </w:r>
    </w:p>
    <w:p w14:paraId="498528AD" w14:textId="77777777" w:rsidR="00223F09" w:rsidRPr="007B6E69" w:rsidRDefault="00223F09" w:rsidP="00EE18DA">
      <w:pPr>
        <w:pStyle w:val="Glossarylist"/>
      </w:pPr>
      <w:r w:rsidRPr="007B6E69">
        <w:t>Dog Trailer</w:t>
      </w:r>
      <w:r w:rsidRPr="007B6E69">
        <w:tab/>
        <w:t>A trailer with two axle groups of which the front axle group is steered by connection to the drawing vehicle.</w:t>
      </w:r>
    </w:p>
    <w:p w14:paraId="14766205" w14:textId="77777777" w:rsidR="00223F09" w:rsidRPr="007B6E69" w:rsidRDefault="00223F09" w:rsidP="00EE18DA">
      <w:pPr>
        <w:pStyle w:val="Glossarylist"/>
      </w:pPr>
      <w:r w:rsidRPr="007B6E69">
        <w:t>Electronic Stability Control</w:t>
      </w:r>
      <w:r w:rsidRPr="007B6E69">
        <w:tab/>
        <w:t>A vehicle stability function.</w:t>
      </w:r>
    </w:p>
    <w:p w14:paraId="1C9B263F" w14:textId="77777777" w:rsidR="009F676B" w:rsidRDefault="009F676B" w:rsidP="009F676B">
      <w:pPr>
        <w:pStyle w:val="Glossarylist"/>
      </w:pPr>
      <w:r>
        <w:t>Fatal Crash</w:t>
      </w:r>
      <w:r>
        <w:tab/>
        <w:t>A crash for which there is at least one death.</w:t>
      </w:r>
    </w:p>
    <w:p w14:paraId="0716FCDB" w14:textId="77777777" w:rsidR="00223F09" w:rsidRPr="007B6E69" w:rsidRDefault="00223F09" w:rsidP="00EE18DA">
      <w:pPr>
        <w:pStyle w:val="Glossarylist"/>
      </w:pPr>
      <w:r w:rsidRPr="007B6E69">
        <w:t>Fifth Wheel Assembly</w:t>
      </w:r>
      <w:r w:rsidRPr="007B6E69">
        <w:tab/>
        <w:t>A fifth wheel coupling including any turn-table, mounting plate, sliding assembly, load cell and other equipment mounted between the towing vehicle chassis and the trailer skid plate, but not including any attachment sections.</w:t>
      </w:r>
    </w:p>
    <w:p w14:paraId="17EF195B" w14:textId="77777777" w:rsidR="00223F09" w:rsidRPr="007B6E69" w:rsidRDefault="00223F09" w:rsidP="00EE18DA">
      <w:pPr>
        <w:pStyle w:val="Glossarylist"/>
      </w:pPr>
      <w:r w:rsidRPr="007B6E69">
        <w:t>Fifth Wheel Coupling</w:t>
      </w:r>
      <w:r w:rsidRPr="007B6E69">
        <w:tab/>
        <w:t>A device, other than the skid plate and the kingpin (which are parts of a semi-trailer), used with a prime mover, semi-trailer or a converter dolly to permit quick coupling and uncoupling and to provide for articulation.</w:t>
      </w:r>
    </w:p>
    <w:p w14:paraId="4AAC6996" w14:textId="77777777" w:rsidR="00223F09" w:rsidRPr="007B6E69" w:rsidRDefault="00223F09" w:rsidP="00EE18DA">
      <w:pPr>
        <w:pStyle w:val="Glossarylist"/>
      </w:pPr>
      <w:r w:rsidRPr="007B6E69">
        <w:t>Front End</w:t>
      </w:r>
      <w:r w:rsidRPr="007B6E69">
        <w:tab/>
        <w:t xml:space="preserve">The foremost point on the vehicle including the bumper bar; </w:t>
      </w:r>
      <w:r w:rsidRPr="007B6E69">
        <w:br/>
        <w:t>over-riders; tow hook; and bull bar if standard equipment.</w:t>
      </w:r>
    </w:p>
    <w:p w14:paraId="535B7BCE" w14:textId="77777777" w:rsidR="00223F09" w:rsidRPr="007B6E69" w:rsidRDefault="00223F09" w:rsidP="00EE18DA">
      <w:pPr>
        <w:pStyle w:val="Glossarylist"/>
      </w:pPr>
      <w:r w:rsidRPr="007B6E69">
        <w:t>Gross Vehicle Mass (GVM)</w:t>
      </w:r>
      <w:r w:rsidRPr="007B6E69">
        <w:tab/>
        <w:t>The maximum laden mass of a motor vehicle as specified by the manufacturer.</w:t>
      </w:r>
    </w:p>
    <w:p w14:paraId="77A95F48" w14:textId="77777777" w:rsidR="00223F09" w:rsidRPr="007B6E69" w:rsidRDefault="00223F09" w:rsidP="00EE18DA">
      <w:pPr>
        <w:pStyle w:val="Glossarylist"/>
      </w:pPr>
      <w:r w:rsidRPr="007B6E69">
        <w:t>Gross Trailer Mass (GTM)</w:t>
      </w:r>
      <w:r w:rsidRPr="007B6E69">
        <w:tab/>
        <w:t>The mass transmitted to the ground by the axle or axles of the trailer when coupled to a drawing vehicle and carrying its maximum load approximately uniformly distributed over the load bearing area, and at which compliance with the appropriate ADRs has been or can be established.</w:t>
      </w:r>
    </w:p>
    <w:p w14:paraId="37B93801" w14:textId="77777777" w:rsidR="00223F09" w:rsidRPr="007B6E69" w:rsidRDefault="00223F09" w:rsidP="00EE18DA">
      <w:pPr>
        <w:pStyle w:val="Glossarylist"/>
      </w:pPr>
      <w:r w:rsidRPr="007B6E69">
        <w:t>Heavy Freight Vehicle</w:t>
      </w:r>
      <w:r w:rsidRPr="007B6E69">
        <w:tab/>
        <w:t>Any goods vehicles greater than 4.5 tonnes GVM or any trailer greater than 4.5 tonnes ATM.</w:t>
      </w:r>
    </w:p>
    <w:p w14:paraId="57A6591A" w14:textId="77777777" w:rsidR="00223F09" w:rsidRPr="007B6E69" w:rsidRDefault="00223F09" w:rsidP="00EE18DA">
      <w:pPr>
        <w:pStyle w:val="Glossarylist"/>
      </w:pPr>
      <w:r w:rsidRPr="007B6E69">
        <w:t>Lane Departure Warning System</w:t>
      </w:r>
      <w:r w:rsidRPr="007B6E69">
        <w:tab/>
        <w:t>A system to warn the driver of an unintentional drift of the vehicle out of its travel lane.</w:t>
      </w:r>
    </w:p>
    <w:p w14:paraId="23B51303" w14:textId="77777777" w:rsidR="00223F09" w:rsidRPr="007B6E69" w:rsidRDefault="00223F09" w:rsidP="00EE18DA">
      <w:pPr>
        <w:pStyle w:val="Glossarylist"/>
      </w:pPr>
      <w:r w:rsidRPr="007B6E69">
        <w:t>Lateral Protection Device</w:t>
      </w:r>
      <w:r w:rsidRPr="007B6E69">
        <w:tab/>
        <w:t>A combination of longitudinal member(s) and link(s) (fixing elements) to the chassis side members or other structural parts of the vehicle, designed to offer effective protection to pedestrians, cyclists or motorcyclists against the risk of falling under the sides of the vehicle and being caught under the wheels. Parts of the vehicle can also be used as lateral protection devices.</w:t>
      </w:r>
    </w:p>
    <w:p w14:paraId="74A72863" w14:textId="77777777" w:rsidR="009F676B" w:rsidRDefault="009F676B" w:rsidP="009F676B">
      <w:pPr>
        <w:pStyle w:val="Glossarylist"/>
      </w:pPr>
      <w:r>
        <w:t>Net Benefit</w:t>
      </w:r>
      <w:r>
        <w:tab/>
        <w:t>The sum of expected benefits (in monetary terms), less expected costs associated with a change of policy relative to business as usual.</w:t>
      </w:r>
    </w:p>
    <w:p w14:paraId="4BC5570C" w14:textId="77777777" w:rsidR="009F676B" w:rsidRDefault="009F676B" w:rsidP="009F676B">
      <w:pPr>
        <w:pStyle w:val="Glossarylist"/>
      </w:pPr>
      <w:r>
        <w:t>Net Present Value (NPV)</w:t>
      </w:r>
      <w:r>
        <w:tab/>
        <w:t>The difference between the present economic value (determined using an appropriate discount rate) of all expected benefits and costs over time due to a change of policy relative to business as usual.</w:t>
      </w:r>
    </w:p>
    <w:p w14:paraId="6CA95594" w14:textId="77777777" w:rsidR="00223F09" w:rsidRPr="007B6E69" w:rsidRDefault="00223F09" w:rsidP="00EE18DA">
      <w:pPr>
        <w:pStyle w:val="Glossarylist"/>
      </w:pPr>
      <w:r w:rsidRPr="007B6E69">
        <w:t>Prime Mover</w:t>
      </w:r>
      <w:r w:rsidRPr="007B6E69">
        <w:tab/>
        <w:t>A motor vehicle built to tow a semi-trailer.</w:t>
      </w:r>
    </w:p>
    <w:p w14:paraId="3744F006" w14:textId="77777777" w:rsidR="00223F09" w:rsidRPr="007B6E69" w:rsidRDefault="00223F09" w:rsidP="00EE18DA">
      <w:pPr>
        <w:pStyle w:val="Glossarylist"/>
      </w:pPr>
      <w:r w:rsidRPr="007B6E69">
        <w:t>Rigid Truck</w:t>
      </w:r>
      <w:r w:rsidRPr="007B6E69">
        <w:tab/>
        <w:t>A motor vehicle with a GVM greater than 4.5 tonnes constructed with a load carrying area. Includes a rigid truck with a tow bar, draw bar or other coupling on the rear of the vehicle.</w:t>
      </w:r>
    </w:p>
    <w:p w14:paraId="6AB8E753" w14:textId="77777777" w:rsidR="00B523DF" w:rsidRPr="007B6E69" w:rsidRDefault="00B523DF" w:rsidP="00B523DF">
      <w:pPr>
        <w:pStyle w:val="Glossarylist"/>
      </w:pPr>
      <w:r w:rsidRPr="007B6E69">
        <w:t>Rear End</w:t>
      </w:r>
      <w:r w:rsidRPr="007B6E69">
        <w:tab/>
        <w:t>The rearmost point on the vehicle including the bumper bar, over-riders</w:t>
      </w:r>
      <w:r w:rsidRPr="007B6E69">
        <w:cr/>
        <w:t>and tow hook or towbar if standard equipment.</w:t>
      </w:r>
    </w:p>
    <w:p w14:paraId="528F507D" w14:textId="77777777" w:rsidR="00B523DF" w:rsidRPr="007B6E69" w:rsidRDefault="00B523DF" w:rsidP="00B523DF">
      <w:pPr>
        <w:pStyle w:val="Glossarylist"/>
      </w:pPr>
      <w:r w:rsidRPr="007B6E69">
        <w:t>Rear Overhang</w:t>
      </w:r>
      <w:r w:rsidRPr="007B6E69">
        <w:tab/>
        <w:t>The distance measured horizontally and parallel to the longitudinal axis of the vehicle between the rear end of the vehicle and the centre of the rear axle group.</w:t>
      </w:r>
    </w:p>
    <w:p w14:paraId="5F0FB67B" w14:textId="77777777" w:rsidR="00B523DF" w:rsidRPr="007B6E69" w:rsidRDefault="00B523DF" w:rsidP="00B523DF">
      <w:pPr>
        <w:pStyle w:val="Glossarylist"/>
      </w:pPr>
      <w:r w:rsidRPr="007B6E69">
        <w:t>Retractable Axle</w:t>
      </w:r>
      <w:r w:rsidRPr="007B6E69">
        <w:tab/>
        <w:t>An axle with a means of adjustment enabling it to be raised or lowered relative to the other axles in the axle group.</w:t>
      </w:r>
    </w:p>
    <w:p w14:paraId="78D87C2C" w14:textId="77777777" w:rsidR="009F676B" w:rsidRDefault="009F676B" w:rsidP="009F676B">
      <w:pPr>
        <w:pStyle w:val="Glossarylist"/>
      </w:pPr>
      <w:r>
        <w:t>Road Crash Fatality</w:t>
      </w:r>
      <w:r>
        <w:tab/>
        <w:t>A person who dies within 30 days of a crash as a result of injuries received in that crash.</w:t>
      </w:r>
    </w:p>
    <w:p w14:paraId="2420AEFA" w14:textId="77777777" w:rsidR="00223F09" w:rsidRPr="007B6E69" w:rsidRDefault="00223F09" w:rsidP="00EE18DA">
      <w:pPr>
        <w:pStyle w:val="Glossarylist"/>
      </w:pPr>
      <w:r w:rsidRPr="007B6E69">
        <w:t>Semi-trailer</w:t>
      </w:r>
      <w:r w:rsidRPr="007B6E69">
        <w:tab/>
        <w:t>A trailer that has one axle group or a single axle towards the rear; and a kingpin and skid plate at the front for coupling to the fifth wheel assembly of a prime mover, another semi-trailer or a converter dolly.</w:t>
      </w:r>
    </w:p>
    <w:p w14:paraId="14E58490" w14:textId="77777777" w:rsidR="00223F09" w:rsidRDefault="00223F09" w:rsidP="00EE18DA">
      <w:pPr>
        <w:pStyle w:val="Glossarylist"/>
      </w:pPr>
      <w:r w:rsidRPr="007B6E69">
        <w:t>Truck Tractor</w:t>
      </w:r>
      <w:r w:rsidRPr="007B6E69">
        <w:tab/>
        <w:t>A prime mover.</w:t>
      </w:r>
    </w:p>
    <w:p w14:paraId="441B56B0" w14:textId="77777777" w:rsidR="009D2AC4" w:rsidRPr="007B6E69" w:rsidRDefault="009D2AC4" w:rsidP="00EE18DA">
      <w:pPr>
        <w:pStyle w:val="Glossarylist"/>
      </w:pPr>
      <w:r>
        <w:t>Unladen Mass</w:t>
      </w:r>
      <w:r>
        <w:tab/>
      </w:r>
      <w:proofErr w:type="gramStart"/>
      <w:r w:rsidR="00EE5CB7">
        <w:t>T</w:t>
      </w:r>
      <w:r w:rsidR="00EE5CB7" w:rsidRPr="00EE5CB7">
        <w:t>he</w:t>
      </w:r>
      <w:proofErr w:type="gramEnd"/>
      <w:r w:rsidR="00EE5CB7" w:rsidRPr="00EE5CB7">
        <w:t xml:space="preserve"> mass of the vehicle in running order unoccupied and unladen with all fluid reservoirs filled to nominal capacity including fuel, and with all standard equipment.</w:t>
      </w:r>
    </w:p>
    <w:p w14:paraId="67D977A0" w14:textId="77777777" w:rsidR="00223F09" w:rsidRPr="007B6E69" w:rsidRDefault="00223F09" w:rsidP="00EE18DA">
      <w:pPr>
        <w:pStyle w:val="Glossarylist"/>
      </w:pPr>
      <w:r w:rsidRPr="007B6E69">
        <w:t>Vehicle Stability Function</w:t>
      </w:r>
      <w:r w:rsidRPr="007B6E69">
        <w:tab/>
        <w:t>An electronic control function for a vehicle that improves the dynamic stability of the vehicle.</w:t>
      </w:r>
    </w:p>
    <w:p w14:paraId="1CCF1F3A" w14:textId="77777777" w:rsidR="00223F09" w:rsidRDefault="00223F09" w:rsidP="00EE18DA">
      <w:pPr>
        <w:pStyle w:val="Glossarylist"/>
      </w:pPr>
      <w:r w:rsidRPr="007B6E69">
        <w:t>Vision Support System</w:t>
      </w:r>
      <w:r w:rsidRPr="007B6E69">
        <w:tab/>
        <w:t>A system to enable the driver to detect and/or see objects in the area adjacent to the vehicle.</w:t>
      </w:r>
    </w:p>
    <w:p w14:paraId="50EDAF56" w14:textId="77777777" w:rsidR="00223F09" w:rsidRDefault="00223F09" w:rsidP="00223F09">
      <w:pPr>
        <w:rPr>
          <w:rFonts w:eastAsia="Calibri" w:cstheme="minorHAnsi"/>
          <w:color w:val="auto"/>
          <w:kern w:val="0"/>
        </w:rPr>
      </w:pPr>
    </w:p>
    <w:p w14:paraId="496C6A15" w14:textId="77777777" w:rsidR="004F675A" w:rsidRPr="007B6E69" w:rsidRDefault="004F675A" w:rsidP="00223F09">
      <w:pPr>
        <w:sectPr w:rsidR="004F675A" w:rsidRPr="007B6E69" w:rsidSect="00237D88">
          <w:pgSz w:w="11906" w:h="16838" w:code="9"/>
          <w:pgMar w:top="2835" w:right="1049" w:bottom="1701" w:left="1049" w:header="1276" w:footer="709" w:gutter="0"/>
          <w:cols w:space="708"/>
          <w:docGrid w:linePitch="360"/>
        </w:sectPr>
      </w:pPr>
    </w:p>
    <w:p w14:paraId="5F2E7A6C" w14:textId="77777777" w:rsidR="004F675A" w:rsidRPr="00D337F2" w:rsidRDefault="004F675A" w:rsidP="004F675A">
      <w:pPr>
        <w:pStyle w:val="AppendixHeading1"/>
      </w:pPr>
      <w:bookmarkStart w:id="131" w:name="_Toc111576729"/>
      <w:bookmarkStart w:id="132" w:name="_Toc143182165"/>
      <w:bookmarkStart w:id="133" w:name="_Toc67060914"/>
      <w:bookmarkStart w:id="134" w:name="_Toc111576731"/>
      <w:r>
        <w:t xml:space="preserve">Appendix 3 – </w:t>
      </w:r>
      <w:r w:rsidRPr="00D337F2">
        <w:t>Heavy goods vehicle and trailer categories</w:t>
      </w:r>
      <w:bookmarkEnd w:id="131"/>
      <w:bookmarkEnd w:id="132"/>
    </w:p>
    <w:p w14:paraId="151B766D" w14:textId="77777777" w:rsidR="004F675A" w:rsidRPr="007B6E69" w:rsidRDefault="004F675A" w:rsidP="004F675A">
      <w:r w:rsidRPr="007B6E69">
        <w:t xml:space="preserve">A two-character vehicle category code is shown for each vehicle category. This code is used to designate the relevant vehicles in the national </w:t>
      </w:r>
      <w:r>
        <w:t>road vehicle standards (</w:t>
      </w:r>
      <w:r w:rsidRPr="007B6E69">
        <w:t>the ADRs</w:t>
      </w:r>
      <w:r>
        <w:t>)</w:t>
      </w:r>
      <w:r w:rsidRPr="007B6E69">
        <w:t>, and in related documentation.</w:t>
      </w:r>
    </w:p>
    <w:p w14:paraId="599AEA5E" w14:textId="77777777" w:rsidR="004F675A" w:rsidRPr="007B6E69" w:rsidRDefault="004F675A" w:rsidP="004F675A">
      <w:r w:rsidRPr="007B6E69">
        <w:t>The categories listed below are those relevant to vehicles greater than 4.5 tonnes ‘</w:t>
      </w:r>
      <w:r w:rsidRPr="007B6E69">
        <w:rPr>
          <w:i/>
        </w:rPr>
        <w:t>Gross Vehicle Mass</w:t>
      </w:r>
      <w:r w:rsidRPr="007B6E69">
        <w:t xml:space="preserve">’ and trailers greater than 4.5 tonnes </w:t>
      </w:r>
      <w:r w:rsidRPr="006A0488">
        <w:rPr>
          <w:i/>
        </w:rPr>
        <w:t>‘Gross Trailer Mass’</w:t>
      </w:r>
      <w:r w:rsidRPr="007B6E69">
        <w:t xml:space="preserve"> (Heavy Vehicles).</w:t>
      </w:r>
    </w:p>
    <w:p w14:paraId="271E0FE3" w14:textId="77777777" w:rsidR="004F675A" w:rsidRPr="00FA760A" w:rsidRDefault="004F675A" w:rsidP="004F675A">
      <w:pPr>
        <w:spacing w:before="240" w:after="120"/>
        <w:rPr>
          <w:color w:val="081E3E" w:themeColor="text2"/>
          <w:sz w:val="28"/>
          <w:szCs w:val="28"/>
        </w:rPr>
      </w:pPr>
      <w:r w:rsidRPr="00FA760A">
        <w:rPr>
          <w:color w:val="081E3E" w:themeColor="text2"/>
          <w:sz w:val="28"/>
          <w:szCs w:val="28"/>
        </w:rPr>
        <w:t>Goods Vehicles (N)</w:t>
      </w:r>
    </w:p>
    <w:p w14:paraId="475434FB" w14:textId="77777777" w:rsidR="004F675A" w:rsidRPr="007B6E69" w:rsidRDefault="004F675A" w:rsidP="004F675A">
      <w:r w:rsidRPr="007B6E69">
        <w:t>A motor vehicle constructed primarily for the carriage of goods and having at least 4 wheels; or 3 wheels and a ‘</w:t>
      </w:r>
      <w:r w:rsidRPr="007B6E69">
        <w:rPr>
          <w:i/>
        </w:rPr>
        <w:t>Gross Vehicle Mass</w:t>
      </w:r>
      <w:r w:rsidRPr="007B6E69">
        <w:t>’ exceeding 1.0 tonne.</w:t>
      </w:r>
    </w:p>
    <w:p w14:paraId="04815FE6" w14:textId="77777777" w:rsidR="004F675A" w:rsidRPr="007B6E69" w:rsidRDefault="004F675A" w:rsidP="004F675A">
      <w:r w:rsidRPr="007B6E69">
        <w:t>A vehicle constructed for both the carriage of persons and the carriage of good shall be considered to be primarily for the carriage of goods if the number of seating positions times 68 kg is less than 50</w:t>
      </w:r>
      <w:r>
        <w:t xml:space="preserve">% </w:t>
      </w:r>
      <w:r w:rsidRPr="007B6E69">
        <w:t>of the difference between the ‘</w:t>
      </w:r>
      <w:r w:rsidRPr="007B6E69">
        <w:rPr>
          <w:i/>
        </w:rPr>
        <w:t>Gross Vehicle Mass</w:t>
      </w:r>
      <w:r>
        <w:t xml:space="preserve">’ </w:t>
      </w:r>
      <w:r w:rsidRPr="007B6E69">
        <w:t>and the ‘</w:t>
      </w:r>
      <w:r w:rsidRPr="007B6E69">
        <w:rPr>
          <w:i/>
        </w:rPr>
        <w:t xml:space="preserve">Unladen </w:t>
      </w:r>
      <w:proofErr w:type="gramStart"/>
      <w:r w:rsidRPr="007B6E69">
        <w:rPr>
          <w:i/>
        </w:rPr>
        <w:t>Mass</w:t>
      </w:r>
      <w:r w:rsidRPr="007B6E69">
        <w:t>‘</w:t>
      </w:r>
      <w:proofErr w:type="gramEnd"/>
      <w:r w:rsidRPr="007B6E69">
        <w:t>.</w:t>
      </w:r>
    </w:p>
    <w:p w14:paraId="72489E71" w14:textId="77777777" w:rsidR="004F675A" w:rsidRPr="007B6E69" w:rsidRDefault="004F675A" w:rsidP="004F675A">
      <w:r w:rsidRPr="007B6E69">
        <w:t>The equipment and installations carried on certain special-purpose vehicles not designed for the carriage of passengers (crane vehicles, workshop vehicles, publicity vehicles, etc.) are regarded as being equivalent to goods for the purposes of this definition.</w:t>
      </w:r>
    </w:p>
    <w:p w14:paraId="66F3557A" w14:textId="77777777" w:rsidR="004F675A" w:rsidRPr="007B6E69" w:rsidRDefault="004F675A" w:rsidP="004F675A">
      <w:r w:rsidRPr="007B6E69">
        <w:t>A goods vehicle comprising two or more non-separable but articulated units shall be considered as a single vehicle.</w:t>
      </w:r>
    </w:p>
    <w:p w14:paraId="2023100D" w14:textId="77777777" w:rsidR="004F675A" w:rsidRPr="00FA760A" w:rsidRDefault="004F675A" w:rsidP="004F675A">
      <w:pPr>
        <w:rPr>
          <w:color w:val="081E3E" w:themeColor="text2"/>
          <w:sz w:val="24"/>
          <w:szCs w:val="24"/>
        </w:rPr>
      </w:pPr>
      <w:r w:rsidRPr="00FA760A">
        <w:rPr>
          <w:color w:val="081E3E" w:themeColor="text2"/>
          <w:sz w:val="24"/>
          <w:szCs w:val="24"/>
        </w:rPr>
        <w:t>Medium Goods Vehicle (NB)</w:t>
      </w:r>
    </w:p>
    <w:p w14:paraId="7C2B7752" w14:textId="77777777" w:rsidR="004F675A" w:rsidRPr="007B6E69" w:rsidRDefault="004F675A" w:rsidP="004F675A">
      <w:r w:rsidRPr="007B6E69">
        <w:t>A goods vehicle with a ‘</w:t>
      </w:r>
      <w:r w:rsidRPr="007B6E69">
        <w:rPr>
          <w:i/>
        </w:rPr>
        <w:t>Gross Vehicle Mass</w:t>
      </w:r>
      <w:r w:rsidRPr="007B6E69">
        <w:t>’ exceeding 3.5 tonnes but not exceeding 12.0 tonnes.</w:t>
      </w:r>
    </w:p>
    <w:p w14:paraId="2A8D7243" w14:textId="77777777" w:rsidR="004F675A" w:rsidRPr="007B6E69" w:rsidRDefault="004F675A" w:rsidP="004F675A">
      <w:r w:rsidRPr="007B6E69">
        <w:t>Sub-category NB2 – over 4.5 tonnes, up to 12 tonnes ‘</w:t>
      </w:r>
      <w:r w:rsidRPr="007B6E69">
        <w:rPr>
          <w:i/>
        </w:rPr>
        <w:t>Gross Vehicle Mass</w:t>
      </w:r>
      <w:r w:rsidRPr="007B6E69">
        <w:t>’</w:t>
      </w:r>
    </w:p>
    <w:p w14:paraId="0F65365B" w14:textId="77777777" w:rsidR="004F675A" w:rsidRPr="00FA760A" w:rsidRDefault="004F675A" w:rsidP="004F675A">
      <w:pPr>
        <w:rPr>
          <w:color w:val="081E3E" w:themeColor="text2"/>
          <w:sz w:val="24"/>
          <w:szCs w:val="24"/>
        </w:rPr>
      </w:pPr>
      <w:r w:rsidRPr="00FA760A">
        <w:rPr>
          <w:color w:val="081E3E" w:themeColor="text2"/>
          <w:sz w:val="24"/>
          <w:szCs w:val="24"/>
        </w:rPr>
        <w:t>Heavy Goods Vehicle (NC)</w:t>
      </w:r>
    </w:p>
    <w:p w14:paraId="38E2F582" w14:textId="77777777" w:rsidR="004F675A" w:rsidRDefault="004F675A" w:rsidP="004F675A">
      <w:r w:rsidRPr="007B6E69">
        <w:t>A goods vehicle with a ‘</w:t>
      </w:r>
      <w:r w:rsidRPr="007B6E69">
        <w:rPr>
          <w:i/>
        </w:rPr>
        <w:t>Gross Vehicle Mass</w:t>
      </w:r>
      <w:r w:rsidRPr="007B6E69">
        <w:t>’ exceeding 12.0 tonnes.</w:t>
      </w:r>
    </w:p>
    <w:p w14:paraId="75F15BC2" w14:textId="77777777" w:rsidR="004F675A" w:rsidRPr="00FA760A" w:rsidRDefault="004F675A" w:rsidP="004F675A">
      <w:pPr>
        <w:spacing w:before="240" w:after="120"/>
        <w:rPr>
          <w:rFonts w:cstheme="minorHAnsi"/>
          <w:color w:val="081E3E" w:themeColor="text2"/>
          <w:sz w:val="28"/>
          <w:szCs w:val="28"/>
        </w:rPr>
      </w:pPr>
      <w:r w:rsidRPr="00FA760A">
        <w:rPr>
          <w:rFonts w:cstheme="minorHAnsi"/>
          <w:color w:val="081E3E" w:themeColor="text2"/>
          <w:sz w:val="28"/>
          <w:szCs w:val="28"/>
        </w:rPr>
        <w:t>Trailers (T)</w:t>
      </w:r>
    </w:p>
    <w:p w14:paraId="475A1205" w14:textId="77777777" w:rsidR="004F675A" w:rsidRPr="006A0488" w:rsidRDefault="004F675A" w:rsidP="004F675A">
      <w:pPr>
        <w:rPr>
          <w:rFonts w:cstheme="minorHAnsi"/>
        </w:rPr>
      </w:pPr>
      <w:r w:rsidRPr="006A0488">
        <w:rPr>
          <w:rFonts w:cstheme="minorHAnsi"/>
        </w:rPr>
        <w:t>A vehicle without motive power constructed to be drawn behind a motor vehicle.</w:t>
      </w:r>
    </w:p>
    <w:p w14:paraId="65721D0F" w14:textId="77777777" w:rsidR="004F675A" w:rsidRPr="00FA760A" w:rsidRDefault="004F675A" w:rsidP="004F675A">
      <w:pPr>
        <w:rPr>
          <w:rFonts w:cstheme="minorHAnsi"/>
          <w:color w:val="081E3E" w:themeColor="text2"/>
          <w:sz w:val="24"/>
          <w:szCs w:val="24"/>
        </w:rPr>
      </w:pPr>
      <w:r w:rsidRPr="00FA760A">
        <w:rPr>
          <w:rFonts w:cstheme="minorHAnsi"/>
          <w:color w:val="081E3E" w:themeColor="text2"/>
          <w:sz w:val="24"/>
          <w:szCs w:val="24"/>
        </w:rPr>
        <w:t>Medium Trailer (TC)</w:t>
      </w:r>
    </w:p>
    <w:p w14:paraId="65D1C115" w14:textId="77777777" w:rsidR="004F675A" w:rsidRPr="006A0488" w:rsidRDefault="004F675A" w:rsidP="004F675A">
      <w:pPr>
        <w:rPr>
          <w:rFonts w:cstheme="minorHAnsi"/>
        </w:rPr>
      </w:pPr>
      <w:r w:rsidRPr="006A0488">
        <w:rPr>
          <w:rFonts w:cstheme="minorHAnsi"/>
        </w:rPr>
        <w:t xml:space="preserve">A trailer with a </w:t>
      </w:r>
      <w:r w:rsidRPr="00871EF0">
        <w:rPr>
          <w:rFonts w:cstheme="minorHAnsi"/>
          <w:i/>
        </w:rPr>
        <w:t>‘Gross Trailer Mass’</w:t>
      </w:r>
      <w:r w:rsidRPr="006A0488">
        <w:rPr>
          <w:rFonts w:cstheme="minorHAnsi"/>
        </w:rPr>
        <w:t xml:space="preserve"> exceeding 3.5 tonnes but not exceeding 10 tonnes</w:t>
      </w:r>
    </w:p>
    <w:p w14:paraId="3AE92D67" w14:textId="77777777" w:rsidR="004F675A" w:rsidRPr="00FA760A" w:rsidRDefault="004F675A" w:rsidP="004F675A">
      <w:pPr>
        <w:rPr>
          <w:rFonts w:cstheme="minorHAnsi"/>
          <w:color w:val="081E3E" w:themeColor="text2"/>
          <w:sz w:val="24"/>
          <w:szCs w:val="24"/>
        </w:rPr>
      </w:pPr>
      <w:r w:rsidRPr="00FA760A">
        <w:rPr>
          <w:rFonts w:cstheme="minorHAnsi"/>
          <w:color w:val="081E3E" w:themeColor="text2"/>
          <w:sz w:val="24"/>
          <w:szCs w:val="24"/>
        </w:rPr>
        <w:t>Heavy Trailer (TD)</w:t>
      </w:r>
    </w:p>
    <w:p w14:paraId="1E7F9C0A" w14:textId="77777777" w:rsidR="004F675A" w:rsidRDefault="004F675A" w:rsidP="004F675A">
      <w:pPr>
        <w:rPr>
          <w:rFonts w:cstheme="minorHAnsi"/>
        </w:rPr>
      </w:pPr>
      <w:r w:rsidRPr="006A0488">
        <w:rPr>
          <w:rFonts w:cstheme="minorHAnsi"/>
        </w:rPr>
        <w:t xml:space="preserve">A trailer with a </w:t>
      </w:r>
      <w:r w:rsidRPr="00871EF0">
        <w:rPr>
          <w:rFonts w:cstheme="minorHAnsi"/>
          <w:i/>
        </w:rPr>
        <w:t>‘Gross Trailer Mass’</w:t>
      </w:r>
      <w:r w:rsidRPr="006A0488">
        <w:rPr>
          <w:rFonts w:cstheme="minorHAnsi"/>
        </w:rPr>
        <w:t xml:space="preserve"> exceeding 10 tonnes</w:t>
      </w:r>
    </w:p>
    <w:p w14:paraId="2091FA62" w14:textId="77777777" w:rsidR="004F675A" w:rsidRPr="007B6E69" w:rsidRDefault="004F675A" w:rsidP="008B1541">
      <w:pPr>
        <w:pStyle w:val="Glossarylist"/>
      </w:pPr>
    </w:p>
    <w:p w14:paraId="1B3F57C6" w14:textId="77777777" w:rsidR="008B1541" w:rsidRDefault="008B1541" w:rsidP="00E13D3A">
      <w:pPr>
        <w:pStyle w:val="AppendixHeading1"/>
        <w:sectPr w:rsidR="008B1541" w:rsidSect="00237D88">
          <w:pgSz w:w="11906" w:h="16838" w:code="9"/>
          <w:pgMar w:top="2835" w:right="1049" w:bottom="1701" w:left="1049" w:header="1276" w:footer="709" w:gutter="0"/>
          <w:cols w:space="708"/>
          <w:docGrid w:linePitch="360"/>
        </w:sectPr>
      </w:pPr>
    </w:p>
    <w:p w14:paraId="6816F60F" w14:textId="77777777" w:rsidR="00223F09" w:rsidRPr="007B6E69" w:rsidRDefault="00197BA7" w:rsidP="00E13D3A">
      <w:pPr>
        <w:pStyle w:val="AppendixHeading1"/>
      </w:pPr>
      <w:bookmarkStart w:id="135" w:name="_Toc143182166"/>
      <w:r w:rsidRPr="007B6E69">
        <w:t xml:space="preserve">Appendix </w:t>
      </w:r>
      <w:r w:rsidR="008B1541">
        <w:t>4</w:t>
      </w:r>
      <w:r w:rsidRPr="007B6E69">
        <w:t xml:space="preserve"> – </w:t>
      </w:r>
      <w:r w:rsidR="00223F09" w:rsidRPr="007B6E69">
        <w:t>Summary of vehicle width requirements by market</w:t>
      </w:r>
      <w:bookmarkEnd w:id="126"/>
      <w:bookmarkEnd w:id="133"/>
      <w:bookmarkEnd w:id="134"/>
      <w:bookmarkEnd w:id="135"/>
    </w:p>
    <w:p w14:paraId="53EA80F4" w14:textId="4731C822" w:rsidR="00223F09" w:rsidRPr="007B6E69" w:rsidRDefault="000C6BB7" w:rsidP="000C6BB7">
      <w:pPr>
        <w:pStyle w:val="Caption"/>
      </w:pPr>
      <w:bookmarkStart w:id="136" w:name="_Toc135320145"/>
      <w:r>
        <w:t xml:space="preserve">Table </w:t>
      </w:r>
      <w:r w:rsidR="00534814">
        <w:rPr>
          <w:noProof/>
        </w:rPr>
        <w:t>20</w:t>
      </w:r>
      <w:r>
        <w:t xml:space="preserve">: </w:t>
      </w:r>
      <w:r w:rsidR="00223F09" w:rsidRPr="007B6E69">
        <w:t>Aus</w:t>
      </w:r>
      <w:r w:rsidR="009C2101">
        <w:t xml:space="preserve">tralian vehicle width limit, including summary of </w:t>
      </w:r>
      <w:r w:rsidR="009C2101" w:rsidRPr="007B6E69">
        <w:t>exclusions</w:t>
      </w:r>
      <w:r w:rsidR="009C2101">
        <w:t xml:space="preserve"> and conditions</w:t>
      </w:r>
      <w:bookmarkEnd w:id="136"/>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Australia, including conditions of exclusion."/>
      </w:tblPr>
      <w:tblGrid>
        <w:gridCol w:w="4422"/>
        <w:gridCol w:w="5386"/>
      </w:tblGrid>
      <w:tr w:rsidR="000C6BB7" w:rsidRPr="007B6E69" w14:paraId="56AF33DF" w14:textId="77777777" w:rsidTr="007E267D">
        <w:tc>
          <w:tcPr>
            <w:tcW w:w="9808" w:type="dxa"/>
            <w:gridSpan w:val="2"/>
            <w:shd w:val="clear" w:color="auto" w:fill="0D3064" w:themeFill="accent1" w:themeFillTint="E6"/>
          </w:tcPr>
          <w:p w14:paraId="6661F2DF" w14:textId="77777777" w:rsidR="000C6BB7" w:rsidRPr="007B6E69" w:rsidRDefault="000C6BB7" w:rsidP="00237D88">
            <w:pPr>
              <w:rPr>
                <w:b/>
                <w:color w:val="FFFFFF" w:themeColor="background1"/>
              </w:rPr>
            </w:pPr>
            <w:r>
              <w:rPr>
                <w:b/>
                <w:color w:val="FFFFFF" w:themeColor="background1"/>
              </w:rPr>
              <w:t>Overall width limit</w:t>
            </w:r>
          </w:p>
        </w:tc>
      </w:tr>
      <w:tr w:rsidR="000C6BB7" w:rsidRPr="007B6E69" w14:paraId="4E0AFEB6" w14:textId="77777777" w:rsidTr="000C6BB7">
        <w:tc>
          <w:tcPr>
            <w:tcW w:w="9808" w:type="dxa"/>
            <w:gridSpan w:val="2"/>
            <w:shd w:val="clear" w:color="auto" w:fill="FFFFFF" w:themeFill="background1"/>
          </w:tcPr>
          <w:p w14:paraId="1A65CA34" w14:textId="77777777" w:rsidR="000C6BB7" w:rsidRPr="000C6BB7" w:rsidRDefault="00B9347B" w:rsidP="00237D88">
            <w:r>
              <w:t>2.50</w:t>
            </w:r>
            <w:r w:rsidR="009C2101">
              <w:t> </w:t>
            </w:r>
            <w:r w:rsidR="000C6BB7">
              <w:t>m</w:t>
            </w:r>
          </w:p>
        </w:tc>
      </w:tr>
      <w:tr w:rsidR="00223F09" w:rsidRPr="007B6E69" w14:paraId="68E1EF8E" w14:textId="77777777" w:rsidTr="00AC110B">
        <w:tc>
          <w:tcPr>
            <w:tcW w:w="4422" w:type="dxa"/>
            <w:shd w:val="clear" w:color="auto" w:fill="0D3064" w:themeFill="accent1" w:themeFillTint="E6"/>
          </w:tcPr>
          <w:p w14:paraId="16DA7372"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558BA265"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1DD6D2AB" w14:textId="77777777" w:rsidTr="00AC110B">
        <w:tc>
          <w:tcPr>
            <w:tcW w:w="4422" w:type="dxa"/>
          </w:tcPr>
          <w:p w14:paraId="3EB005E2" w14:textId="77777777" w:rsidR="00223F09" w:rsidRPr="007B6E69" w:rsidRDefault="00223F09" w:rsidP="00237D88">
            <w:r w:rsidRPr="007B6E69">
              <w:t>Rear vision mirrors</w:t>
            </w:r>
          </w:p>
        </w:tc>
        <w:tc>
          <w:tcPr>
            <w:tcW w:w="5386" w:type="dxa"/>
          </w:tcPr>
          <w:p w14:paraId="01DE8D24" w14:textId="77777777" w:rsidR="00223F09" w:rsidRPr="007B6E69" w:rsidRDefault="00223F09" w:rsidP="00237D88">
            <w:r w:rsidRPr="007B6E69">
              <w:t>May project up to 230</w:t>
            </w:r>
            <w:r w:rsidR="00E35A93">
              <w:t> </w:t>
            </w:r>
            <w:r w:rsidRPr="007B6E69">
              <w:t>mm (on each side) beyond the vehicle width (without mirrors), if capable of collapsing to 150</w:t>
            </w:r>
            <w:r w:rsidR="00E35A93">
              <w:t> </w:t>
            </w:r>
            <w:r w:rsidRPr="007B6E69">
              <w:t>mm.</w:t>
            </w:r>
          </w:p>
          <w:p w14:paraId="51D94FFB" w14:textId="77777777" w:rsidR="00223F09" w:rsidRPr="007B6E69" w:rsidRDefault="00223F09" w:rsidP="00237D88">
            <w:r w:rsidRPr="007B6E69">
              <w:t>If less than 2 m above the ground when vehicle is loaded to its technically permissible maximum laden mass (i.e. GVM) – may project up to 250</w:t>
            </w:r>
            <w:r w:rsidR="00E35A93">
              <w:t> </w:t>
            </w:r>
            <w:r w:rsidRPr="007B6E69">
              <w:t>mm (on each side) beyond the vehicle width (without mirrors), but only if necessary to comply with UN R46 field of view requirements.</w:t>
            </w:r>
          </w:p>
          <w:p w14:paraId="18DE28FB" w14:textId="77777777" w:rsidR="00223F09" w:rsidRPr="007B6E69" w:rsidRDefault="00223F09" w:rsidP="00237D88">
            <w:r w:rsidRPr="007B6E69">
              <w:t>If more than 2</w:t>
            </w:r>
            <w:r w:rsidR="00E35A93">
              <w:t> </w:t>
            </w:r>
            <w:r w:rsidRPr="007B6E69">
              <w:t>m above the ground when vehicle is loaded to its technically permissible maximum laden mass (i.e. GVM) – may project as much as necessary (on each side) to comply with UN R46 field of view requirements.</w:t>
            </w:r>
          </w:p>
        </w:tc>
      </w:tr>
      <w:tr w:rsidR="00223F09" w:rsidRPr="007B6E69" w14:paraId="3C156EAE" w14:textId="77777777" w:rsidTr="00AC110B">
        <w:tc>
          <w:tcPr>
            <w:tcW w:w="4422" w:type="dxa"/>
          </w:tcPr>
          <w:p w14:paraId="555CA769" w14:textId="77777777" w:rsidR="00223F09" w:rsidRPr="007B6E69" w:rsidRDefault="00223F09" w:rsidP="00237D88">
            <w:r w:rsidRPr="007B6E69">
              <w:t>Signalling devices</w:t>
            </w:r>
            <w:r w:rsidRPr="007B6E69">
              <w:br/>
              <w:t>Side-mounted lamps and reflectors</w:t>
            </w:r>
          </w:p>
        </w:tc>
        <w:tc>
          <w:tcPr>
            <w:tcW w:w="5386" w:type="dxa"/>
          </w:tcPr>
          <w:p w14:paraId="5E8F5750" w14:textId="77777777" w:rsidR="00223F09" w:rsidRPr="007B6E69" w:rsidRDefault="00223F09" w:rsidP="00237D88"/>
        </w:tc>
      </w:tr>
      <w:tr w:rsidR="00223F09" w:rsidRPr="007B6E69" w14:paraId="6B287464" w14:textId="77777777" w:rsidTr="00AC110B">
        <w:tc>
          <w:tcPr>
            <w:tcW w:w="4422" w:type="dxa"/>
          </w:tcPr>
          <w:p w14:paraId="1D43E227" w14:textId="77777777" w:rsidR="00223F09" w:rsidRPr="007B6E69" w:rsidRDefault="00223F09" w:rsidP="00237D88">
            <w:r w:rsidRPr="007B6E69">
              <w:t>Permanently fixed webbing-assembly-type devices such as curtain-side devices</w:t>
            </w:r>
          </w:p>
        </w:tc>
        <w:tc>
          <w:tcPr>
            <w:tcW w:w="5386" w:type="dxa"/>
          </w:tcPr>
          <w:p w14:paraId="5047BCF2" w14:textId="77777777" w:rsidR="00223F09" w:rsidRPr="007B6E69" w:rsidRDefault="00223F09" w:rsidP="00237D88">
            <w:r w:rsidRPr="007B6E69">
              <w:t xml:space="preserve">The maximum distance measured across the body of the vehicle </w:t>
            </w:r>
            <w:r w:rsidRPr="007B6E69">
              <w:cr/>
              <w:t>including any part of the devices must not exceed 2.55</w:t>
            </w:r>
            <w:r w:rsidR="00E35A93">
              <w:t> </w:t>
            </w:r>
            <w:r w:rsidRPr="007B6E69">
              <w:t>m.</w:t>
            </w:r>
          </w:p>
        </w:tc>
      </w:tr>
      <w:tr w:rsidR="00223F09" w:rsidRPr="007B6E69" w14:paraId="0AFD912B" w14:textId="77777777" w:rsidTr="00AC110B">
        <w:tc>
          <w:tcPr>
            <w:tcW w:w="4422" w:type="dxa"/>
          </w:tcPr>
          <w:p w14:paraId="0A06106D" w14:textId="77777777" w:rsidR="00223F09" w:rsidRPr="007B6E69" w:rsidRDefault="00223F09" w:rsidP="00237D88">
            <w:r w:rsidRPr="007B6E69">
              <w:t>Anti-skid devices mounted on wheels</w:t>
            </w:r>
            <w:r w:rsidRPr="007B6E69">
              <w:br/>
              <w:t>Central tyre inflation systems</w:t>
            </w:r>
            <w:r w:rsidRPr="007B6E69">
              <w:br/>
              <w:t>Tyre pressure gauges</w:t>
            </w:r>
          </w:p>
        </w:tc>
        <w:tc>
          <w:tcPr>
            <w:tcW w:w="5386" w:type="dxa"/>
          </w:tcPr>
          <w:p w14:paraId="25B0CEE3" w14:textId="77777777" w:rsidR="00223F09" w:rsidRPr="007B6E69" w:rsidRDefault="00223F09" w:rsidP="00237D88"/>
        </w:tc>
      </w:tr>
    </w:tbl>
    <w:p w14:paraId="3CB6C2AA" w14:textId="77777777" w:rsidR="00223F09" w:rsidRPr="007B6E69" w:rsidRDefault="00223F09" w:rsidP="00223F09">
      <w:pPr>
        <w:spacing w:before="0" w:after="200" w:line="276" w:lineRule="auto"/>
        <w:rPr>
          <w:rFonts w:cs="FranklinGothic-BookCnd"/>
          <w:color w:val="auto"/>
          <w:spacing w:val="1"/>
          <w:sz w:val="26"/>
          <w:szCs w:val="26"/>
        </w:rPr>
      </w:pPr>
      <w:r w:rsidRPr="007B6E69">
        <w:br w:type="page"/>
      </w:r>
    </w:p>
    <w:p w14:paraId="4A56B565" w14:textId="241052AE" w:rsidR="00223F09" w:rsidRPr="007B6E69" w:rsidRDefault="00DB07D4" w:rsidP="00DB07D4">
      <w:pPr>
        <w:pStyle w:val="Caption"/>
      </w:pPr>
      <w:bookmarkStart w:id="137" w:name="_Toc135320146"/>
      <w:r>
        <w:t xml:space="preserve">Table </w:t>
      </w:r>
      <w:r w:rsidR="00534814">
        <w:rPr>
          <w:noProof/>
        </w:rPr>
        <w:t>21</w:t>
      </w:r>
      <w:r>
        <w:t xml:space="preserve">: </w:t>
      </w:r>
      <w:r w:rsidR="009C2101">
        <w:t xml:space="preserve">EU and UK vehicle width limits, including summary of </w:t>
      </w:r>
      <w:r w:rsidR="009C2101" w:rsidRPr="007B6E69">
        <w:t>exclusions</w:t>
      </w:r>
      <w:r w:rsidR="009C2101">
        <w:t xml:space="preserve"> and conditions</w:t>
      </w:r>
      <w:bookmarkEnd w:id="137"/>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the EU and UK, including conditions of exclusion."/>
      </w:tblPr>
      <w:tblGrid>
        <w:gridCol w:w="4422"/>
        <w:gridCol w:w="5386"/>
      </w:tblGrid>
      <w:tr w:rsidR="000C6BB7" w:rsidRPr="007B6E69" w14:paraId="09155452" w14:textId="77777777" w:rsidTr="007E267D">
        <w:trPr>
          <w:tblHeader/>
        </w:trPr>
        <w:tc>
          <w:tcPr>
            <w:tcW w:w="9808" w:type="dxa"/>
            <w:gridSpan w:val="2"/>
            <w:shd w:val="clear" w:color="auto" w:fill="0D3064" w:themeFill="accent1" w:themeFillTint="E6"/>
          </w:tcPr>
          <w:p w14:paraId="7B79C206" w14:textId="77777777" w:rsidR="000C6BB7" w:rsidRPr="007B6E69" w:rsidRDefault="000C6BB7" w:rsidP="00237D88">
            <w:pPr>
              <w:rPr>
                <w:b/>
                <w:color w:val="FFFFFF" w:themeColor="background1"/>
              </w:rPr>
            </w:pPr>
            <w:r>
              <w:rPr>
                <w:b/>
                <w:color w:val="FFFFFF" w:themeColor="background1"/>
              </w:rPr>
              <w:t>Overall width limit</w:t>
            </w:r>
          </w:p>
        </w:tc>
      </w:tr>
      <w:tr w:rsidR="000C6BB7" w:rsidRPr="007B6E69" w14:paraId="38A0BB2A" w14:textId="77777777" w:rsidTr="000C6BB7">
        <w:trPr>
          <w:tblHeader/>
        </w:trPr>
        <w:tc>
          <w:tcPr>
            <w:tcW w:w="9808" w:type="dxa"/>
            <w:gridSpan w:val="2"/>
            <w:shd w:val="clear" w:color="auto" w:fill="FFFFFF" w:themeFill="background1"/>
          </w:tcPr>
          <w:p w14:paraId="1250963F" w14:textId="77777777" w:rsidR="000C6BB7" w:rsidRPr="0010637F" w:rsidRDefault="00B9347B" w:rsidP="00C240FD">
            <w:r>
              <w:t>2.60</w:t>
            </w:r>
            <w:r w:rsidR="000C6BB7">
              <w:t xml:space="preserve"> m </w:t>
            </w:r>
            <w:r w:rsidR="000C6BB7" w:rsidRPr="007B6E69">
              <w:t xml:space="preserve">for </w:t>
            </w:r>
            <w:r w:rsidR="0010637F">
              <w:t xml:space="preserve">refrigerated </w:t>
            </w:r>
            <w:r w:rsidR="000C6BB7" w:rsidRPr="007B6E69">
              <w:t>vehicles with insul</w:t>
            </w:r>
            <w:r w:rsidR="0010637F">
              <w:t xml:space="preserve">ated walls at least 45 mm thick; </w:t>
            </w:r>
            <w:r w:rsidR="000C6BB7" w:rsidRPr="007B6E69">
              <w:t>2.55</w:t>
            </w:r>
            <w:r w:rsidR="000C6BB7">
              <w:t xml:space="preserve"> m </w:t>
            </w:r>
            <w:r w:rsidR="0010637F">
              <w:t xml:space="preserve">for all </w:t>
            </w:r>
            <w:r w:rsidR="000C6BB7" w:rsidRPr="007B6E69">
              <w:t>other vehicles</w:t>
            </w:r>
          </w:p>
        </w:tc>
      </w:tr>
      <w:tr w:rsidR="00223F09" w:rsidRPr="007B6E69" w14:paraId="627BC288" w14:textId="77777777" w:rsidTr="002C24D8">
        <w:trPr>
          <w:tblHeader/>
        </w:trPr>
        <w:tc>
          <w:tcPr>
            <w:tcW w:w="4422" w:type="dxa"/>
            <w:shd w:val="clear" w:color="auto" w:fill="0D3064" w:themeFill="accent1" w:themeFillTint="E6"/>
          </w:tcPr>
          <w:p w14:paraId="093910A7"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6D409AB3"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3FDA5058" w14:textId="77777777" w:rsidTr="002C24D8">
        <w:tc>
          <w:tcPr>
            <w:tcW w:w="4422" w:type="dxa"/>
          </w:tcPr>
          <w:p w14:paraId="40E2BED6" w14:textId="77777777" w:rsidR="00223F09" w:rsidRPr="007B6E69" w:rsidRDefault="00223F09" w:rsidP="00237D88">
            <w:r w:rsidRPr="007B6E69">
              <w:t>Devices for indirect vision as defined in UN R46</w:t>
            </w:r>
          </w:p>
        </w:tc>
        <w:tc>
          <w:tcPr>
            <w:tcW w:w="5386" w:type="dxa"/>
          </w:tcPr>
          <w:p w14:paraId="55BFF301" w14:textId="77777777" w:rsidR="00223F09" w:rsidRPr="007B6E69" w:rsidRDefault="00223F09" w:rsidP="00237D88">
            <w:r w:rsidRPr="007B6E69">
              <w:t>The devices and the vehicles they are fitted to must fully comply with UN</w:t>
            </w:r>
            <w:r w:rsidR="00E35A93">
              <w:t> </w:t>
            </w:r>
            <w:r w:rsidRPr="007B6E69">
              <w:t>R46.</w:t>
            </w:r>
          </w:p>
        </w:tc>
      </w:tr>
      <w:tr w:rsidR="00223F09" w:rsidRPr="007B6E69" w14:paraId="4F4B785A" w14:textId="77777777" w:rsidTr="002C24D8">
        <w:tc>
          <w:tcPr>
            <w:tcW w:w="4422" w:type="dxa"/>
          </w:tcPr>
          <w:p w14:paraId="354917C9" w14:textId="77777777" w:rsidR="00223F09" w:rsidRPr="007B6E69" w:rsidRDefault="00223F09" w:rsidP="0010637F">
            <w:r w:rsidRPr="007B6E69">
              <w:t>The d</w:t>
            </w:r>
            <w:r w:rsidR="0010637F">
              <w:t>eflected part of the tyre walls</w:t>
            </w:r>
          </w:p>
        </w:tc>
        <w:tc>
          <w:tcPr>
            <w:tcW w:w="5386" w:type="dxa"/>
          </w:tcPr>
          <w:p w14:paraId="50224F5D" w14:textId="77777777" w:rsidR="00223F09" w:rsidRPr="007B6E69" w:rsidRDefault="00223F09" w:rsidP="00237D88"/>
        </w:tc>
      </w:tr>
      <w:tr w:rsidR="00223F09" w:rsidRPr="007B6E69" w14:paraId="57E5CF2B" w14:textId="77777777" w:rsidTr="002C24D8">
        <w:tc>
          <w:tcPr>
            <w:tcW w:w="4422" w:type="dxa"/>
          </w:tcPr>
          <w:p w14:paraId="1D54FF2C" w14:textId="77777777" w:rsidR="00223F09" w:rsidRPr="007B6E69" w:rsidRDefault="00223F09" w:rsidP="00237D88">
            <w:r w:rsidRPr="007B6E69">
              <w:t>Tyre failure tell-tale devices</w:t>
            </w:r>
            <w:r w:rsidRPr="007B6E69">
              <w:br/>
              <w:t>Tyre-pressure indicators</w:t>
            </w:r>
          </w:p>
        </w:tc>
        <w:tc>
          <w:tcPr>
            <w:tcW w:w="5386" w:type="dxa"/>
          </w:tcPr>
          <w:p w14:paraId="60CDF2BB" w14:textId="77777777" w:rsidR="00223F09" w:rsidRPr="007B6E69" w:rsidRDefault="00223F09" w:rsidP="00237D88">
            <w:r w:rsidRPr="007B6E69">
              <w:t>Provided the total protrusion of the devices added to the width of the vehicle does not exceed 100 mm.</w:t>
            </w:r>
          </w:p>
        </w:tc>
      </w:tr>
      <w:tr w:rsidR="00223F09" w:rsidRPr="007B6E69" w14:paraId="16F56B12" w14:textId="77777777" w:rsidTr="002C24D8">
        <w:tc>
          <w:tcPr>
            <w:tcW w:w="4422" w:type="dxa"/>
          </w:tcPr>
          <w:p w14:paraId="2649794B" w14:textId="77777777" w:rsidR="00223F09" w:rsidRPr="007B6E69" w:rsidRDefault="00223F09" w:rsidP="00237D88">
            <w:r w:rsidRPr="007B6E69">
              <w:t xml:space="preserve">Side-marker lamps, end-outline marker lamps, </w:t>
            </w:r>
            <w:r w:rsidR="002C24D8">
              <w:br/>
            </w:r>
            <w:r w:rsidRPr="007B6E69">
              <w:t xml:space="preserve">side-retro-reflectors, direction indicator lamps, </w:t>
            </w:r>
            <w:r w:rsidR="002C24D8">
              <w:br/>
            </w:r>
            <w:r w:rsidRPr="007B6E69">
              <w:t>rear position lamps, service-door lighting systems</w:t>
            </w:r>
          </w:p>
        </w:tc>
        <w:tc>
          <w:tcPr>
            <w:tcW w:w="5386" w:type="dxa"/>
          </w:tcPr>
          <w:p w14:paraId="6BBEEF76" w14:textId="77777777" w:rsidR="00223F09" w:rsidRPr="007B6E69" w:rsidRDefault="00223F09" w:rsidP="00237D88">
            <w:r w:rsidRPr="007B6E69">
              <w:t>Provided the total protrusion of the devices added to the width of the vehicle does not exceed 100 mm.</w:t>
            </w:r>
          </w:p>
        </w:tc>
      </w:tr>
      <w:tr w:rsidR="00223F09" w:rsidRPr="007B6E69" w14:paraId="2EE8A7B4" w14:textId="77777777" w:rsidTr="002C24D8">
        <w:tc>
          <w:tcPr>
            <w:tcW w:w="4422" w:type="dxa"/>
          </w:tcPr>
          <w:p w14:paraId="601945EA" w14:textId="77777777" w:rsidR="00223F09" w:rsidRPr="007B6E69" w:rsidRDefault="00223F09" w:rsidP="00237D88">
            <w:r w:rsidRPr="007B6E69">
              <w:t>Retractable lateral guidance devices intended for use on guided bus system</w:t>
            </w:r>
          </w:p>
        </w:tc>
        <w:tc>
          <w:tcPr>
            <w:tcW w:w="5386" w:type="dxa"/>
          </w:tcPr>
          <w:p w14:paraId="449BFA93" w14:textId="77777777" w:rsidR="00223F09" w:rsidRPr="007B6E69" w:rsidRDefault="00223F09" w:rsidP="00237D88">
            <w:r w:rsidRPr="007B6E69">
              <w:t>Excluded, if not retracted and provided the total protrusion of devices added to the width of the vehicle does not exceed 100</w:t>
            </w:r>
            <w:r w:rsidR="00E35A93">
              <w:t> </w:t>
            </w:r>
            <w:r w:rsidRPr="007B6E69">
              <w:t>mm.</w:t>
            </w:r>
          </w:p>
        </w:tc>
      </w:tr>
      <w:tr w:rsidR="00223F09" w:rsidRPr="007B6E69" w14:paraId="34F2EC96" w14:textId="77777777" w:rsidTr="002C24D8">
        <w:tc>
          <w:tcPr>
            <w:tcW w:w="4422" w:type="dxa"/>
          </w:tcPr>
          <w:p w14:paraId="2E76771D" w14:textId="77777777" w:rsidR="00223F09" w:rsidRPr="007B6E69" w:rsidRDefault="00223F09" w:rsidP="00237D88">
            <w:r w:rsidRPr="007B6E69">
              <w:t>Retractable steps</w:t>
            </w:r>
          </w:p>
        </w:tc>
        <w:tc>
          <w:tcPr>
            <w:tcW w:w="5386" w:type="dxa"/>
          </w:tcPr>
          <w:p w14:paraId="11C45B65" w14:textId="77777777" w:rsidR="00223F09" w:rsidRPr="007B6E69" w:rsidRDefault="00223F09" w:rsidP="00237D88">
            <w:r w:rsidRPr="007B6E69">
              <w:t>Excluded, when vehicle is in a stand-still position and provided the total protrusion of devices added to the width of the vehicle does not exceed 100 mm.</w:t>
            </w:r>
          </w:p>
        </w:tc>
      </w:tr>
      <w:tr w:rsidR="00223F09" w:rsidRPr="007B6E69" w14:paraId="4EE95183" w14:textId="77777777" w:rsidTr="002C24D8">
        <w:tc>
          <w:tcPr>
            <w:tcW w:w="4422" w:type="dxa"/>
          </w:tcPr>
          <w:p w14:paraId="666B077D" w14:textId="77777777" w:rsidR="00223F09" w:rsidRPr="007B6E69" w:rsidRDefault="00223F09" w:rsidP="00237D88">
            <w:r w:rsidRPr="007B6E69">
              <w:t>Watching and detection aids including radars</w:t>
            </w:r>
          </w:p>
        </w:tc>
        <w:tc>
          <w:tcPr>
            <w:tcW w:w="5386" w:type="dxa"/>
          </w:tcPr>
          <w:p w14:paraId="330B2DD0" w14:textId="77777777" w:rsidR="00223F09" w:rsidRPr="007B6E69" w:rsidRDefault="00223F09" w:rsidP="00237D88">
            <w:r w:rsidRPr="007B6E69">
              <w:t>Provided the total protrusion of the devices added to the width of the vehicle does not exceed 100 mm.</w:t>
            </w:r>
          </w:p>
        </w:tc>
      </w:tr>
      <w:tr w:rsidR="00223F09" w:rsidRPr="007B6E69" w14:paraId="79090A73" w14:textId="77777777" w:rsidTr="002C24D8">
        <w:tc>
          <w:tcPr>
            <w:tcW w:w="4422" w:type="dxa"/>
          </w:tcPr>
          <w:p w14:paraId="67E8FD55" w14:textId="77777777" w:rsidR="00223F09" w:rsidRPr="007B6E69" w:rsidRDefault="00223F09" w:rsidP="00237D88">
            <w:r w:rsidRPr="007B6E69">
              <w:t>Devices and equipment especially designed to reduce aerodynamic drag</w:t>
            </w:r>
          </w:p>
        </w:tc>
        <w:tc>
          <w:tcPr>
            <w:tcW w:w="5386" w:type="dxa"/>
          </w:tcPr>
          <w:p w14:paraId="704B918C" w14:textId="77777777" w:rsidR="00223F09" w:rsidRPr="007B6E69" w:rsidRDefault="00223F09" w:rsidP="00237D88">
            <w:r w:rsidRPr="007B6E69">
              <w:t>Excluded, provided that they do not protrude by more than 50</w:t>
            </w:r>
            <w:r w:rsidR="00E35A93">
              <w:t> </w:t>
            </w:r>
            <w:r w:rsidRPr="007B6E69">
              <w:t>mm on each side from the outermost width of the vehicle and they do not increase the loading capacity.</w:t>
            </w:r>
          </w:p>
          <w:p w14:paraId="1E1BA8BD" w14:textId="77777777" w:rsidR="00223F09" w:rsidRPr="007B6E69" w:rsidRDefault="00223F09" w:rsidP="00237D88">
            <w:r w:rsidRPr="007B6E69">
              <w:t>Such devices must be designed to be retractable when the vehicle is at standstill in such a way that the maximum authorised width is not exceeded and they do not impair the capability of the vehicle to be used for intermodal transport.</w:t>
            </w:r>
          </w:p>
          <w:p w14:paraId="26251E53" w14:textId="77777777" w:rsidR="00223F09" w:rsidRPr="007B6E69" w:rsidRDefault="00223F09" w:rsidP="00237D88">
            <w:r w:rsidRPr="007B6E69">
              <w:t xml:space="preserve">Where the devices and equipment are in service, the vehicle width must not exceed </w:t>
            </w:r>
            <w:r w:rsidR="00B9347B">
              <w:t>2.6</w:t>
            </w:r>
            <w:r w:rsidRPr="007B6E69">
              <w:t>5</w:t>
            </w:r>
            <w:r w:rsidR="00E35A93">
              <w:t> </w:t>
            </w:r>
            <w:r w:rsidRPr="007B6E69">
              <w:t>m.</w:t>
            </w:r>
          </w:p>
        </w:tc>
      </w:tr>
      <w:tr w:rsidR="00223F09" w:rsidRPr="007B6E69" w14:paraId="62DD85EB" w14:textId="77777777" w:rsidTr="002C24D8">
        <w:tc>
          <w:tcPr>
            <w:tcW w:w="4422" w:type="dxa"/>
          </w:tcPr>
          <w:p w14:paraId="6AE2D5BC" w14:textId="77777777" w:rsidR="00223F09" w:rsidRPr="007B6E69" w:rsidRDefault="00223F09" w:rsidP="00237D88">
            <w:r w:rsidRPr="007B6E69">
              <w:t>Customs sealing devices and their protection</w:t>
            </w:r>
          </w:p>
        </w:tc>
        <w:tc>
          <w:tcPr>
            <w:tcW w:w="5386" w:type="dxa"/>
          </w:tcPr>
          <w:p w14:paraId="1B2E8629" w14:textId="77777777" w:rsidR="00223F09" w:rsidRPr="007B6E69" w:rsidRDefault="00223F09" w:rsidP="00237D88">
            <w:r w:rsidRPr="007B6E69">
              <w:t>Provided the total protrusion of the devices added to the width of the vehicle does not exceed 100 mm.</w:t>
            </w:r>
          </w:p>
        </w:tc>
      </w:tr>
      <w:tr w:rsidR="00223F09" w:rsidRPr="007B6E69" w14:paraId="75FE323C" w14:textId="77777777" w:rsidTr="002C24D8">
        <w:tc>
          <w:tcPr>
            <w:tcW w:w="4422" w:type="dxa"/>
          </w:tcPr>
          <w:p w14:paraId="67677CF5" w14:textId="77777777" w:rsidR="00223F09" w:rsidRPr="007B6E69" w:rsidRDefault="00223F09" w:rsidP="00237D88">
            <w:r w:rsidRPr="007B6E69">
              <w:t>Devices for securing the tarpaulin and their protection</w:t>
            </w:r>
          </w:p>
        </w:tc>
        <w:tc>
          <w:tcPr>
            <w:tcW w:w="5386" w:type="dxa"/>
          </w:tcPr>
          <w:p w14:paraId="0831B520" w14:textId="77777777" w:rsidR="00223F09" w:rsidRPr="007B6E69" w:rsidRDefault="00223F09" w:rsidP="00237D88">
            <w:r w:rsidRPr="007B6E69">
              <w:t>Excluded, provided they do not project more than 20 mm (on each side) where they are no more than 2 m from ground level, and no more than 50 mm (on each side) where they are more than 2 m from ground level. The edges must be rounded to a radius of not less than 2.5 mm.</w:t>
            </w:r>
          </w:p>
        </w:tc>
      </w:tr>
      <w:tr w:rsidR="00223F09" w:rsidRPr="007B6E69" w14:paraId="7183B677" w14:textId="77777777" w:rsidTr="002C24D8">
        <w:tc>
          <w:tcPr>
            <w:tcW w:w="4422" w:type="dxa"/>
          </w:tcPr>
          <w:p w14:paraId="33DA2F0B" w14:textId="77777777" w:rsidR="00223F09" w:rsidRPr="007B6E69" w:rsidRDefault="00223F09" w:rsidP="00237D88">
            <w:r w:rsidRPr="007B6E69">
              <w:t>Flexible parts of a spray-suppression system</w:t>
            </w:r>
            <w:r w:rsidRPr="007B6E69">
              <w:br/>
              <w:t>Flexible mudguards</w:t>
            </w:r>
          </w:p>
        </w:tc>
        <w:tc>
          <w:tcPr>
            <w:tcW w:w="5386" w:type="dxa"/>
          </w:tcPr>
          <w:p w14:paraId="544B8D97" w14:textId="77777777" w:rsidR="00223F09" w:rsidRPr="007B6E69" w:rsidRDefault="00223F09" w:rsidP="00237D88">
            <w:r w:rsidRPr="007B6E69">
              <w:t>Provided the total protrusion of the devices added to the width of the vehicle does not exceed 100 mm.</w:t>
            </w:r>
          </w:p>
        </w:tc>
      </w:tr>
      <w:tr w:rsidR="00223F09" w:rsidRPr="007B6E69" w14:paraId="5FE34573" w14:textId="77777777" w:rsidTr="002C24D8">
        <w:tc>
          <w:tcPr>
            <w:tcW w:w="4422" w:type="dxa"/>
          </w:tcPr>
          <w:p w14:paraId="64FBE08D" w14:textId="77777777" w:rsidR="00223F09" w:rsidRPr="007B6E69" w:rsidRDefault="00223F09" w:rsidP="00237D88">
            <w:r w:rsidRPr="007B6E69">
              <w:t>Safety railings on vehicle transporters</w:t>
            </w:r>
          </w:p>
        </w:tc>
        <w:tc>
          <w:tcPr>
            <w:tcW w:w="5386" w:type="dxa"/>
          </w:tcPr>
          <w:p w14:paraId="2DE25BAA" w14:textId="77777777" w:rsidR="00223F09" w:rsidRPr="007B6E69" w:rsidRDefault="00223F09" w:rsidP="00237D88">
            <w:r w:rsidRPr="007B6E69">
              <w:t>Excluded for vehicles designed and constructed to transport at least two other vehicles and for which the safety railings are more than 2.0</w:t>
            </w:r>
            <w:r w:rsidR="00E35A93">
              <w:t> </w:t>
            </w:r>
            <w:r w:rsidRPr="007B6E69">
              <w:t>m, but not more than 3.7 m from the ground and do not project more than 50 mm from the outermost side of the vehicle. The vehicle width including the safety railings must not exceed 2.65</w:t>
            </w:r>
            <w:r w:rsidR="00E35A93">
              <w:t> </w:t>
            </w:r>
            <w:r w:rsidRPr="007B6E69">
              <w:t>m.</w:t>
            </w:r>
          </w:p>
        </w:tc>
      </w:tr>
      <w:tr w:rsidR="00223F09" w:rsidRPr="007B6E69" w14:paraId="47CAD1B6" w14:textId="77777777" w:rsidTr="002C24D8">
        <w:tc>
          <w:tcPr>
            <w:tcW w:w="4422" w:type="dxa"/>
          </w:tcPr>
          <w:p w14:paraId="2CEC2B90" w14:textId="77777777" w:rsidR="00223F09" w:rsidRPr="007B6E69" w:rsidRDefault="00223F09" w:rsidP="00237D88">
            <w:r w:rsidRPr="007B6E69">
              <w:t xml:space="preserve">Antennas used in vehicle-to-vehicle and </w:t>
            </w:r>
            <w:r w:rsidRPr="007B6E69">
              <w:br/>
              <w:t>vehicle-to-infrastructure communications</w:t>
            </w:r>
          </w:p>
        </w:tc>
        <w:tc>
          <w:tcPr>
            <w:tcW w:w="5386" w:type="dxa"/>
          </w:tcPr>
          <w:p w14:paraId="7B500488" w14:textId="77777777" w:rsidR="00223F09" w:rsidRPr="007B6E69" w:rsidRDefault="00223F09" w:rsidP="00237D88">
            <w:r w:rsidRPr="007B6E69">
              <w:t>Provided the total protrusion of the devices added to the width of the vehicle does not exceed 100 mm.</w:t>
            </w:r>
          </w:p>
        </w:tc>
      </w:tr>
      <w:tr w:rsidR="00223F09" w:rsidRPr="007B6E69" w14:paraId="565F66FE" w14:textId="77777777" w:rsidTr="002C24D8">
        <w:tc>
          <w:tcPr>
            <w:tcW w:w="4422" w:type="dxa"/>
          </w:tcPr>
          <w:p w14:paraId="4ADC1A25" w14:textId="77777777" w:rsidR="00223F09" w:rsidRPr="007B6E69" w:rsidRDefault="00223F09" w:rsidP="00237D88">
            <w:r w:rsidRPr="007B6E69">
              <w:t>Flexible hoses of tyre pressure monitoring systems</w:t>
            </w:r>
          </w:p>
        </w:tc>
        <w:tc>
          <w:tcPr>
            <w:tcW w:w="5386" w:type="dxa"/>
          </w:tcPr>
          <w:p w14:paraId="78E3CDE9" w14:textId="77777777" w:rsidR="00223F09" w:rsidRPr="007B6E69" w:rsidRDefault="00223F09" w:rsidP="00237D88">
            <w:r w:rsidRPr="007B6E69">
              <w:t>Provided they do not protrude by more than 70 mm on each side from the outermost width of the vehicle.</w:t>
            </w:r>
          </w:p>
        </w:tc>
      </w:tr>
    </w:tbl>
    <w:p w14:paraId="24FF0826" w14:textId="0F4DFC79" w:rsidR="00223F09" w:rsidRPr="007B6E69" w:rsidRDefault="0010637F" w:rsidP="0010637F">
      <w:pPr>
        <w:pStyle w:val="Caption"/>
      </w:pPr>
      <w:bookmarkStart w:id="138" w:name="_Toc135320147"/>
      <w:r>
        <w:t xml:space="preserve">Table </w:t>
      </w:r>
      <w:r w:rsidR="00534814">
        <w:rPr>
          <w:noProof/>
        </w:rPr>
        <w:t>22</w:t>
      </w:r>
      <w:r>
        <w:t xml:space="preserve">: </w:t>
      </w:r>
      <w:r w:rsidR="00223F09" w:rsidRPr="007B6E69">
        <w:t xml:space="preserve">Japanese </w:t>
      </w:r>
      <w:r w:rsidR="009C2101">
        <w:t xml:space="preserve">vehicle width limit, including summary of </w:t>
      </w:r>
      <w:r w:rsidR="00223F09" w:rsidRPr="007B6E69">
        <w:t>exclusions</w:t>
      </w:r>
      <w:r w:rsidR="009C2101">
        <w:t xml:space="preserve"> and conditions</w:t>
      </w:r>
      <w:bookmarkEnd w:id="138"/>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Japan, including conditions of exclusion."/>
      </w:tblPr>
      <w:tblGrid>
        <w:gridCol w:w="4422"/>
        <w:gridCol w:w="5386"/>
      </w:tblGrid>
      <w:tr w:rsidR="0010637F" w:rsidRPr="007B6E69" w14:paraId="7CB2493E" w14:textId="77777777" w:rsidTr="007E267D">
        <w:tc>
          <w:tcPr>
            <w:tcW w:w="9808" w:type="dxa"/>
            <w:gridSpan w:val="2"/>
            <w:shd w:val="clear" w:color="auto" w:fill="0D3064" w:themeFill="accent1" w:themeFillTint="E6"/>
          </w:tcPr>
          <w:p w14:paraId="66E86687" w14:textId="77777777" w:rsidR="0010637F" w:rsidRPr="007B6E69" w:rsidRDefault="0010637F" w:rsidP="00237D88">
            <w:pPr>
              <w:rPr>
                <w:b/>
                <w:color w:val="FFFFFF" w:themeColor="background1"/>
              </w:rPr>
            </w:pPr>
            <w:r>
              <w:rPr>
                <w:b/>
                <w:color w:val="FFFFFF" w:themeColor="background1"/>
              </w:rPr>
              <w:t>Overall width limit</w:t>
            </w:r>
          </w:p>
        </w:tc>
      </w:tr>
      <w:tr w:rsidR="0010637F" w:rsidRPr="007B6E69" w14:paraId="3EE4927D" w14:textId="77777777" w:rsidTr="0010637F">
        <w:tc>
          <w:tcPr>
            <w:tcW w:w="9808" w:type="dxa"/>
            <w:gridSpan w:val="2"/>
            <w:shd w:val="clear" w:color="auto" w:fill="FFFFFF" w:themeFill="background1"/>
          </w:tcPr>
          <w:p w14:paraId="5EB0C78F" w14:textId="77777777" w:rsidR="0010637F" w:rsidRPr="0010637F" w:rsidRDefault="00B9347B" w:rsidP="00237D88">
            <w:r>
              <w:t>2.50</w:t>
            </w:r>
            <w:r w:rsidR="0010637F" w:rsidRPr="0010637F">
              <w:t xml:space="preserve"> m</w:t>
            </w:r>
          </w:p>
        </w:tc>
      </w:tr>
      <w:tr w:rsidR="00223F09" w:rsidRPr="007B6E69" w14:paraId="0A9EA8BD" w14:textId="77777777" w:rsidTr="00AC110B">
        <w:tc>
          <w:tcPr>
            <w:tcW w:w="4422" w:type="dxa"/>
            <w:shd w:val="clear" w:color="auto" w:fill="0D3064" w:themeFill="accent1" w:themeFillTint="E6"/>
          </w:tcPr>
          <w:p w14:paraId="61D4A192"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354747EA"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56087D5A" w14:textId="77777777" w:rsidTr="00AC110B">
        <w:tc>
          <w:tcPr>
            <w:tcW w:w="4422" w:type="dxa"/>
          </w:tcPr>
          <w:p w14:paraId="03BC0E24" w14:textId="77777777" w:rsidR="00223F09" w:rsidRPr="007B6E69" w:rsidRDefault="00223F09" w:rsidP="00237D88">
            <w:r w:rsidRPr="007B6E69">
              <w:t xml:space="preserve">Any outward-opening windows, ventilators, </w:t>
            </w:r>
            <w:r w:rsidRPr="007B6E69">
              <w:br/>
              <w:t>rear-view mirrors, and [other] devices for confirming rearward vision</w:t>
            </w:r>
          </w:p>
        </w:tc>
        <w:tc>
          <w:tcPr>
            <w:tcW w:w="5386" w:type="dxa"/>
          </w:tcPr>
          <w:p w14:paraId="60772663" w14:textId="77777777" w:rsidR="00223F09" w:rsidRPr="007B6E69" w:rsidRDefault="00223F09" w:rsidP="00237D88">
            <w:r w:rsidRPr="007B6E69">
              <w:t>Must not protrude 250</w:t>
            </w:r>
            <w:r w:rsidR="00E35A93">
              <w:t> </w:t>
            </w:r>
            <w:r w:rsidRPr="007B6E69">
              <w:t>mm or more outwards from the outermost part of the motor vehicle.</w:t>
            </w:r>
          </w:p>
        </w:tc>
      </w:tr>
      <w:tr w:rsidR="00223F09" w:rsidRPr="007B6E69" w14:paraId="6BA0BF68" w14:textId="77777777" w:rsidTr="00AC110B">
        <w:tc>
          <w:tcPr>
            <w:tcW w:w="4422" w:type="dxa"/>
          </w:tcPr>
          <w:p w14:paraId="1EBDDA49" w14:textId="77777777" w:rsidR="00223F09" w:rsidRPr="007B6E69" w:rsidRDefault="00223F09" w:rsidP="00237D88">
            <w:r w:rsidRPr="007B6E69">
              <w:t>Blind spot information systems for the detection of bicycles</w:t>
            </w:r>
          </w:p>
        </w:tc>
        <w:tc>
          <w:tcPr>
            <w:tcW w:w="5386" w:type="dxa"/>
          </w:tcPr>
          <w:p w14:paraId="746BEE45" w14:textId="77777777" w:rsidR="00223F09" w:rsidRPr="007B6E69" w:rsidRDefault="00223F09" w:rsidP="00237D88">
            <w:r w:rsidRPr="007B6E69">
              <w:t>Must not protrude more than 100</w:t>
            </w:r>
            <w:r w:rsidR="00E35A93">
              <w:t> </w:t>
            </w:r>
            <w:r w:rsidRPr="007B6E69">
              <w:t>mm outwards from the outermost part of the motor vehicle.</w:t>
            </w:r>
          </w:p>
        </w:tc>
      </w:tr>
    </w:tbl>
    <w:p w14:paraId="10DBD9D1" w14:textId="7EC4657D" w:rsidR="00223F09" w:rsidRPr="007B6E69" w:rsidRDefault="0010637F" w:rsidP="0010637F">
      <w:pPr>
        <w:pStyle w:val="Caption"/>
      </w:pPr>
      <w:bookmarkStart w:id="139" w:name="_Toc135320148"/>
      <w:r>
        <w:t xml:space="preserve">Table </w:t>
      </w:r>
      <w:r w:rsidR="00534814">
        <w:rPr>
          <w:noProof/>
        </w:rPr>
        <w:t>23</w:t>
      </w:r>
      <w:r>
        <w:t xml:space="preserve">: </w:t>
      </w:r>
      <w:r w:rsidR="00223F09" w:rsidRPr="007B6E69">
        <w:t xml:space="preserve">New Zealand </w:t>
      </w:r>
      <w:r w:rsidR="009C2101">
        <w:t xml:space="preserve">vehicle </w:t>
      </w:r>
      <w:r w:rsidR="00223F09" w:rsidRPr="007B6E69">
        <w:t xml:space="preserve">width </w:t>
      </w:r>
      <w:r w:rsidR="009C2101">
        <w:t>limit, including summary of exclusions and conditions</w:t>
      </w:r>
      <w:bookmarkEnd w:id="139"/>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New Zealand, including conditions of exclusion."/>
      </w:tblPr>
      <w:tblGrid>
        <w:gridCol w:w="4422"/>
        <w:gridCol w:w="5386"/>
      </w:tblGrid>
      <w:tr w:rsidR="0010637F" w:rsidRPr="007B6E69" w14:paraId="76F7E416" w14:textId="77777777" w:rsidTr="007E267D">
        <w:tc>
          <w:tcPr>
            <w:tcW w:w="9808" w:type="dxa"/>
            <w:gridSpan w:val="2"/>
            <w:shd w:val="clear" w:color="auto" w:fill="0D3064" w:themeFill="accent1" w:themeFillTint="E6"/>
          </w:tcPr>
          <w:p w14:paraId="5D3FE317" w14:textId="77777777" w:rsidR="0010637F" w:rsidRPr="0010637F" w:rsidRDefault="0010637F" w:rsidP="00237D88">
            <w:pPr>
              <w:rPr>
                <w:b/>
                <w:color w:val="auto"/>
              </w:rPr>
            </w:pPr>
            <w:r w:rsidRPr="0010637F">
              <w:rPr>
                <w:b/>
                <w:color w:val="auto"/>
              </w:rPr>
              <w:t>Overall width limit</w:t>
            </w:r>
          </w:p>
        </w:tc>
      </w:tr>
      <w:tr w:rsidR="0010637F" w:rsidRPr="007B6E69" w14:paraId="60864F35" w14:textId="77777777" w:rsidTr="0010637F">
        <w:tc>
          <w:tcPr>
            <w:tcW w:w="9808" w:type="dxa"/>
            <w:gridSpan w:val="2"/>
            <w:shd w:val="clear" w:color="auto" w:fill="FFFFFF" w:themeFill="background1"/>
          </w:tcPr>
          <w:p w14:paraId="1EF60E10" w14:textId="77777777" w:rsidR="0010637F" w:rsidRPr="0010637F" w:rsidRDefault="0010637F" w:rsidP="00237D88">
            <w:pPr>
              <w:rPr>
                <w:color w:val="auto"/>
              </w:rPr>
            </w:pPr>
            <w:r w:rsidRPr="0010637F">
              <w:rPr>
                <w:color w:val="auto"/>
              </w:rPr>
              <w:t>2.55 m</w:t>
            </w:r>
          </w:p>
        </w:tc>
      </w:tr>
      <w:tr w:rsidR="00223F09" w:rsidRPr="007B6E69" w14:paraId="7CB96E6C" w14:textId="77777777" w:rsidTr="00AC110B">
        <w:tc>
          <w:tcPr>
            <w:tcW w:w="4422" w:type="dxa"/>
            <w:shd w:val="clear" w:color="auto" w:fill="0D3064" w:themeFill="accent1" w:themeFillTint="E6"/>
          </w:tcPr>
          <w:p w14:paraId="1B998477"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6B7B8565"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09818FE4" w14:textId="77777777" w:rsidTr="00AC110B">
        <w:tc>
          <w:tcPr>
            <w:tcW w:w="4422" w:type="dxa"/>
          </w:tcPr>
          <w:p w14:paraId="70CE1374" w14:textId="77777777" w:rsidR="00223F09" w:rsidRPr="007B6E69" w:rsidRDefault="00223F09" w:rsidP="00237D88">
            <w:r w:rsidRPr="007B6E69">
              <w:t>Collapsible mirrors</w:t>
            </w:r>
          </w:p>
        </w:tc>
        <w:tc>
          <w:tcPr>
            <w:tcW w:w="5386" w:type="dxa"/>
          </w:tcPr>
          <w:p w14:paraId="2CCD2A79" w14:textId="77777777" w:rsidR="00223F09" w:rsidRPr="007B6E69" w:rsidRDefault="00223F09" w:rsidP="00237D88">
            <w:r w:rsidRPr="007B6E69">
              <w:t>Must not extend more than 240</w:t>
            </w:r>
            <w:r w:rsidR="00E35A93">
              <w:t> </w:t>
            </w:r>
            <w:r w:rsidRPr="007B6E69">
              <w:t>mm beyond the side of the vehicle.</w:t>
            </w:r>
          </w:p>
          <w:p w14:paraId="55E33BFF" w14:textId="77777777" w:rsidR="00223F09" w:rsidRPr="007B6E69" w:rsidRDefault="00223F09" w:rsidP="00237D88">
            <w:r w:rsidRPr="007B6E69">
              <w:t>Must not extend more than 1.49</w:t>
            </w:r>
            <w:r w:rsidR="00E35A93">
              <w:t> </w:t>
            </w:r>
            <w:r w:rsidRPr="007B6E69">
              <w:t>m beyond the vehicle longitudinal centreline.</w:t>
            </w:r>
          </w:p>
        </w:tc>
      </w:tr>
      <w:tr w:rsidR="00223F09" w:rsidRPr="007B6E69" w14:paraId="4D22A563" w14:textId="77777777" w:rsidTr="00AC110B">
        <w:tc>
          <w:tcPr>
            <w:tcW w:w="4422" w:type="dxa"/>
          </w:tcPr>
          <w:p w14:paraId="4A79C0AB" w14:textId="77777777" w:rsidR="00223F09" w:rsidRPr="007B6E69" w:rsidRDefault="00223F09" w:rsidP="00237D88">
            <w:r w:rsidRPr="007B6E69">
              <w:t>Side marker lamps and direction indicators</w:t>
            </w:r>
          </w:p>
        </w:tc>
        <w:tc>
          <w:tcPr>
            <w:tcW w:w="5386" w:type="dxa"/>
          </w:tcPr>
          <w:p w14:paraId="3BE14BB8" w14:textId="77777777" w:rsidR="00223F09" w:rsidRPr="007B6E69" w:rsidRDefault="00223F09" w:rsidP="00237D88"/>
        </w:tc>
      </w:tr>
      <w:tr w:rsidR="00223F09" w:rsidRPr="007B6E69" w14:paraId="0E2DFCFD" w14:textId="77777777" w:rsidTr="00AC110B">
        <w:tc>
          <w:tcPr>
            <w:tcW w:w="4422" w:type="dxa"/>
          </w:tcPr>
          <w:p w14:paraId="452FB51C" w14:textId="77777777" w:rsidR="00223F09" w:rsidRPr="007B6E69" w:rsidRDefault="00223F09" w:rsidP="00237D88">
            <w:r w:rsidRPr="007B6E69">
              <w:t>Central tyre inflation systems</w:t>
            </w:r>
          </w:p>
        </w:tc>
        <w:tc>
          <w:tcPr>
            <w:tcW w:w="5386" w:type="dxa"/>
          </w:tcPr>
          <w:p w14:paraId="5243CD76" w14:textId="77777777" w:rsidR="00223F09" w:rsidRPr="007B6E69" w:rsidRDefault="00223F09" w:rsidP="00237D88">
            <w:r w:rsidRPr="007B6E69">
              <w:t>Must not extend more than 75</w:t>
            </w:r>
            <w:r w:rsidR="00E35A93">
              <w:t> </w:t>
            </w:r>
            <w:r w:rsidRPr="007B6E69">
              <w:t>mm beyond the outside of the tyre on the drive axles of a heavy motor vehicle.</w:t>
            </w:r>
          </w:p>
        </w:tc>
      </w:tr>
      <w:tr w:rsidR="00223F09" w:rsidRPr="007B6E69" w14:paraId="22CFEF5D" w14:textId="77777777" w:rsidTr="00AC110B">
        <w:tc>
          <w:tcPr>
            <w:tcW w:w="4422" w:type="dxa"/>
          </w:tcPr>
          <w:p w14:paraId="154F3694" w14:textId="77777777" w:rsidR="00223F09" w:rsidRPr="007B6E69" w:rsidRDefault="00223F09" w:rsidP="00237D88">
            <w:r w:rsidRPr="007B6E69">
              <w:t>Hub odometers</w:t>
            </w:r>
          </w:p>
        </w:tc>
        <w:tc>
          <w:tcPr>
            <w:tcW w:w="5386" w:type="dxa"/>
          </w:tcPr>
          <w:p w14:paraId="1AED75E1" w14:textId="77777777" w:rsidR="00223F09" w:rsidRPr="007B6E69" w:rsidRDefault="00223F09" w:rsidP="00237D88">
            <w:r w:rsidRPr="007B6E69">
              <w:t>Must not extend more than 50</w:t>
            </w:r>
            <w:r w:rsidR="00E35A93">
              <w:t> </w:t>
            </w:r>
            <w:r w:rsidRPr="007B6E69">
              <w:t>mm beyond one side of a vehicle from a non-lifting, non-steering axle whose outer casings are of a light colour, provided the hub odometer is fitted on the axle that causes the least over width.</w:t>
            </w:r>
          </w:p>
        </w:tc>
      </w:tr>
      <w:tr w:rsidR="00223F09" w:rsidRPr="007B6E69" w14:paraId="44A1F931" w14:textId="77777777" w:rsidTr="00AC110B">
        <w:tc>
          <w:tcPr>
            <w:tcW w:w="4422" w:type="dxa"/>
          </w:tcPr>
          <w:p w14:paraId="1E1E8639" w14:textId="77777777" w:rsidR="00223F09" w:rsidRPr="007B6E69" w:rsidRDefault="00223F09" w:rsidP="00237D88">
            <w:r w:rsidRPr="007B6E69">
              <w:t>Cab exterior grab rails</w:t>
            </w:r>
          </w:p>
        </w:tc>
        <w:tc>
          <w:tcPr>
            <w:tcW w:w="5386" w:type="dxa"/>
          </w:tcPr>
          <w:p w14:paraId="140FFE78" w14:textId="77777777" w:rsidR="00223F09" w:rsidRPr="007B6E69" w:rsidRDefault="00223F09" w:rsidP="00237D88">
            <w:r w:rsidRPr="007B6E69">
              <w:t>Must not extend more than 1.325</w:t>
            </w:r>
            <w:r w:rsidR="00E35A93">
              <w:t> </w:t>
            </w:r>
            <w:r w:rsidRPr="007B6E69">
              <w:t>m beyond the vehicle longitudinal centreline.</w:t>
            </w:r>
          </w:p>
        </w:tc>
      </w:tr>
      <w:tr w:rsidR="00223F09" w:rsidRPr="007B6E69" w14:paraId="4008501B" w14:textId="77777777" w:rsidTr="00AC110B">
        <w:tc>
          <w:tcPr>
            <w:tcW w:w="4422" w:type="dxa"/>
          </w:tcPr>
          <w:p w14:paraId="14E19E1A" w14:textId="77777777" w:rsidR="00223F09" w:rsidRPr="007B6E69" w:rsidRDefault="00223F09" w:rsidP="00237D88">
            <w:r w:rsidRPr="007B6E69">
              <w:t>The bulge towards the bottom of a tyre</w:t>
            </w:r>
          </w:p>
        </w:tc>
        <w:tc>
          <w:tcPr>
            <w:tcW w:w="5386" w:type="dxa"/>
          </w:tcPr>
          <w:p w14:paraId="2E7B01FF" w14:textId="77777777" w:rsidR="00223F09" w:rsidRPr="007B6E69" w:rsidRDefault="00223F09" w:rsidP="00237D88"/>
        </w:tc>
      </w:tr>
      <w:tr w:rsidR="00223F09" w:rsidRPr="007B6E69" w14:paraId="1291DF80" w14:textId="77777777" w:rsidTr="00AC110B">
        <w:tc>
          <w:tcPr>
            <w:tcW w:w="4422" w:type="dxa"/>
          </w:tcPr>
          <w:p w14:paraId="19F5E5B1" w14:textId="77777777" w:rsidR="00223F09" w:rsidRPr="007B6E69" w:rsidRDefault="00223F09" w:rsidP="00237D88">
            <w:r w:rsidRPr="007B6E69">
              <w:t>Cameras or close-proximity monitoring systems mounted on the side exterior of a vehicle</w:t>
            </w:r>
          </w:p>
        </w:tc>
        <w:tc>
          <w:tcPr>
            <w:tcW w:w="5386" w:type="dxa"/>
          </w:tcPr>
          <w:p w14:paraId="09796E87" w14:textId="77777777" w:rsidR="00223F09" w:rsidRPr="007B6E69" w:rsidRDefault="00223F09" w:rsidP="00237D88">
            <w:r w:rsidRPr="007B6E69">
              <w:t>Must not extend more than 70</w:t>
            </w:r>
            <w:r w:rsidR="00E35A93">
              <w:t> </w:t>
            </w:r>
            <w:r w:rsidRPr="007B6E69">
              <w:t>mm from the sidewall of the vehicle.</w:t>
            </w:r>
          </w:p>
        </w:tc>
      </w:tr>
      <w:tr w:rsidR="00223F09" w:rsidRPr="007B6E69" w14:paraId="66349C9D" w14:textId="77777777" w:rsidTr="00AC110B">
        <w:tc>
          <w:tcPr>
            <w:tcW w:w="4422" w:type="dxa"/>
          </w:tcPr>
          <w:p w14:paraId="0137FCA8" w14:textId="77777777" w:rsidR="00223F09" w:rsidRPr="007B6E69" w:rsidRDefault="00223F09" w:rsidP="00237D88">
            <w:r w:rsidRPr="007B6E69">
              <w:t>Devices for improving the aerodynamic performance of a vehicle</w:t>
            </w:r>
          </w:p>
        </w:tc>
        <w:tc>
          <w:tcPr>
            <w:tcW w:w="5386" w:type="dxa"/>
          </w:tcPr>
          <w:p w14:paraId="5BE473A0" w14:textId="77777777" w:rsidR="00223F09" w:rsidRPr="007B6E69" w:rsidRDefault="00223F09" w:rsidP="00237D88">
            <w:r w:rsidRPr="007B6E69">
              <w:t>Must not extend more than 25</w:t>
            </w:r>
            <w:r w:rsidR="00E35A93">
              <w:t> </w:t>
            </w:r>
            <w:r w:rsidRPr="007B6E69">
              <w:t>mm from either side of a vehicle.</w:t>
            </w:r>
          </w:p>
        </w:tc>
      </w:tr>
    </w:tbl>
    <w:p w14:paraId="0B691006" w14:textId="5C1A06A2" w:rsidR="00223F09" w:rsidRPr="007B6E69" w:rsidRDefault="00F00B9B" w:rsidP="00F00B9B">
      <w:pPr>
        <w:pStyle w:val="Caption"/>
      </w:pPr>
      <w:bookmarkStart w:id="140" w:name="_Toc135320149"/>
      <w:r>
        <w:t xml:space="preserve">Table </w:t>
      </w:r>
      <w:r w:rsidR="00534814">
        <w:rPr>
          <w:noProof/>
        </w:rPr>
        <w:t>24</w:t>
      </w:r>
      <w:r>
        <w:t xml:space="preserve">: </w:t>
      </w:r>
      <w:r w:rsidR="00223F09" w:rsidRPr="007B6E69">
        <w:t xml:space="preserve">US </w:t>
      </w:r>
      <w:r w:rsidR="009C2101">
        <w:t xml:space="preserve">vehicle </w:t>
      </w:r>
      <w:r w:rsidR="00223F09" w:rsidRPr="007B6E69">
        <w:t xml:space="preserve">width </w:t>
      </w:r>
      <w:r w:rsidR="009C2101">
        <w:t xml:space="preserve">limit, including summary of </w:t>
      </w:r>
      <w:r w:rsidR="00223F09" w:rsidRPr="007B6E69">
        <w:t>exclusions</w:t>
      </w:r>
      <w:r w:rsidR="009C2101">
        <w:t xml:space="preserve"> and conditions</w:t>
      </w:r>
      <w:bookmarkEnd w:id="140"/>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the US, including conditions of exclusion."/>
      </w:tblPr>
      <w:tblGrid>
        <w:gridCol w:w="4422"/>
        <w:gridCol w:w="5386"/>
      </w:tblGrid>
      <w:tr w:rsidR="00F00B9B" w:rsidRPr="007B6E69" w14:paraId="6C7E6827" w14:textId="77777777" w:rsidTr="007E267D">
        <w:tc>
          <w:tcPr>
            <w:tcW w:w="9808" w:type="dxa"/>
            <w:gridSpan w:val="2"/>
            <w:shd w:val="clear" w:color="auto" w:fill="0D3064" w:themeFill="accent1" w:themeFillTint="E6"/>
          </w:tcPr>
          <w:p w14:paraId="5898799D" w14:textId="77777777" w:rsidR="00F00B9B" w:rsidRPr="007B6E69" w:rsidRDefault="00F00B9B" w:rsidP="00237D88">
            <w:pPr>
              <w:rPr>
                <w:b/>
                <w:color w:val="FFFFFF" w:themeColor="background1"/>
              </w:rPr>
            </w:pPr>
            <w:r w:rsidRPr="0010637F">
              <w:rPr>
                <w:b/>
                <w:color w:val="auto"/>
              </w:rPr>
              <w:t>Overall width limit</w:t>
            </w:r>
          </w:p>
        </w:tc>
      </w:tr>
      <w:tr w:rsidR="00F00B9B" w:rsidRPr="007B6E69" w14:paraId="57A94738" w14:textId="77777777" w:rsidTr="00F00B9B">
        <w:tc>
          <w:tcPr>
            <w:tcW w:w="9808" w:type="dxa"/>
            <w:gridSpan w:val="2"/>
            <w:shd w:val="clear" w:color="auto" w:fill="FFFFFF" w:themeFill="background1"/>
          </w:tcPr>
          <w:p w14:paraId="486EA47E" w14:textId="77777777" w:rsidR="00F00B9B" w:rsidRPr="007B6E69" w:rsidRDefault="00B9347B" w:rsidP="00237D88">
            <w:pPr>
              <w:rPr>
                <w:b/>
                <w:color w:val="FFFFFF" w:themeColor="background1"/>
              </w:rPr>
            </w:pPr>
            <w:r>
              <w:t>2.60</w:t>
            </w:r>
            <w:r w:rsidR="00F00B9B" w:rsidRPr="00F00B9B">
              <w:t xml:space="preserve"> m</w:t>
            </w:r>
          </w:p>
        </w:tc>
      </w:tr>
      <w:tr w:rsidR="00223F09" w:rsidRPr="007B6E69" w14:paraId="5BB25AF5" w14:textId="77777777" w:rsidTr="00AC110B">
        <w:tc>
          <w:tcPr>
            <w:tcW w:w="4422" w:type="dxa"/>
            <w:shd w:val="clear" w:color="auto" w:fill="0D3064" w:themeFill="accent1" w:themeFillTint="E6"/>
          </w:tcPr>
          <w:p w14:paraId="141E1A32" w14:textId="77777777"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14:paraId="61DFA463" w14:textId="77777777" w:rsidR="00223F09" w:rsidRPr="007B6E69" w:rsidRDefault="00223F09" w:rsidP="00237D88">
            <w:pPr>
              <w:rPr>
                <w:b/>
                <w:color w:val="FFFFFF" w:themeColor="background1"/>
              </w:rPr>
            </w:pPr>
            <w:r w:rsidRPr="007B6E69">
              <w:rPr>
                <w:b/>
                <w:color w:val="FFFFFF" w:themeColor="background1"/>
              </w:rPr>
              <w:t>Conditions</w:t>
            </w:r>
          </w:p>
        </w:tc>
      </w:tr>
      <w:tr w:rsidR="00223F09" w:rsidRPr="007B6E69" w14:paraId="6B884D47" w14:textId="77777777" w:rsidTr="00AC110B">
        <w:tc>
          <w:tcPr>
            <w:tcW w:w="4422" w:type="dxa"/>
          </w:tcPr>
          <w:p w14:paraId="64583F8B" w14:textId="77777777" w:rsidR="00223F09" w:rsidRPr="007B6E69" w:rsidRDefault="00223F09" w:rsidP="00237D88">
            <w:r w:rsidRPr="007B6E69">
              <w:t>Rear view mirrors</w:t>
            </w:r>
          </w:p>
        </w:tc>
        <w:tc>
          <w:tcPr>
            <w:tcW w:w="5386" w:type="dxa"/>
          </w:tcPr>
          <w:p w14:paraId="288AAFD5" w14:textId="77777777" w:rsidR="00223F09" w:rsidRPr="007B6E69" w:rsidRDefault="00223F09" w:rsidP="00237D88"/>
        </w:tc>
      </w:tr>
      <w:tr w:rsidR="00223F09" w:rsidRPr="007B6E69" w14:paraId="6964F716" w14:textId="77777777" w:rsidTr="00AC110B">
        <w:tc>
          <w:tcPr>
            <w:tcW w:w="4422" w:type="dxa"/>
          </w:tcPr>
          <w:p w14:paraId="670980E5" w14:textId="77777777" w:rsidR="00223F09" w:rsidRPr="007B6E69" w:rsidRDefault="00223F09" w:rsidP="00237D88">
            <w:r w:rsidRPr="007B6E69">
              <w:t>Turn signal lamps</w:t>
            </w:r>
          </w:p>
        </w:tc>
        <w:tc>
          <w:tcPr>
            <w:tcW w:w="5386" w:type="dxa"/>
          </w:tcPr>
          <w:p w14:paraId="72A2C4CE" w14:textId="77777777" w:rsidR="00223F09" w:rsidRPr="007B6E69" w:rsidRDefault="00223F09" w:rsidP="00237D88"/>
        </w:tc>
      </w:tr>
      <w:tr w:rsidR="00223F09" w:rsidRPr="007B6E69" w14:paraId="13A062F3" w14:textId="77777777" w:rsidTr="00AC110B">
        <w:tc>
          <w:tcPr>
            <w:tcW w:w="4422" w:type="dxa"/>
          </w:tcPr>
          <w:p w14:paraId="616808B1" w14:textId="77777777" w:rsidR="00223F09" w:rsidRPr="007B6E69" w:rsidRDefault="00223F09" w:rsidP="00237D88">
            <w:r w:rsidRPr="007B6E69">
              <w:t>Handholds for cab entry/egress</w:t>
            </w:r>
          </w:p>
        </w:tc>
        <w:tc>
          <w:tcPr>
            <w:tcW w:w="5386" w:type="dxa"/>
          </w:tcPr>
          <w:p w14:paraId="6F22583F" w14:textId="77777777" w:rsidR="00223F09" w:rsidRPr="007B6E69" w:rsidRDefault="00223F09" w:rsidP="00237D88"/>
        </w:tc>
      </w:tr>
      <w:tr w:rsidR="00223F09" w:rsidRPr="007B6E69" w14:paraId="1C32FA51" w14:textId="77777777" w:rsidTr="00AC110B">
        <w:tc>
          <w:tcPr>
            <w:tcW w:w="4422" w:type="dxa"/>
          </w:tcPr>
          <w:p w14:paraId="0B00B3B6" w14:textId="77777777" w:rsidR="00223F09" w:rsidRPr="007B6E69" w:rsidRDefault="00223F09" w:rsidP="00237D88">
            <w:r w:rsidRPr="007B6E69">
              <w:t>Splash and spray suppressant devices</w:t>
            </w:r>
          </w:p>
        </w:tc>
        <w:tc>
          <w:tcPr>
            <w:tcW w:w="5386" w:type="dxa"/>
          </w:tcPr>
          <w:p w14:paraId="34FAFFC5" w14:textId="77777777" w:rsidR="00223F09" w:rsidRPr="007B6E69" w:rsidRDefault="00223F09" w:rsidP="00237D88"/>
        </w:tc>
      </w:tr>
      <w:tr w:rsidR="00223F09" w:rsidRPr="007B6E69" w14:paraId="3493B1BC" w14:textId="77777777" w:rsidTr="00AC110B">
        <w:tc>
          <w:tcPr>
            <w:tcW w:w="4422" w:type="dxa"/>
          </w:tcPr>
          <w:p w14:paraId="6AB9AF6B" w14:textId="77777777" w:rsidR="00223F09" w:rsidRPr="007B6E69" w:rsidRDefault="00223F09" w:rsidP="00237D88">
            <w:r w:rsidRPr="007B6E69">
              <w:t>Load induced tyre bulge</w:t>
            </w:r>
          </w:p>
        </w:tc>
        <w:tc>
          <w:tcPr>
            <w:tcW w:w="5386" w:type="dxa"/>
          </w:tcPr>
          <w:p w14:paraId="708B8C56" w14:textId="77777777" w:rsidR="00223F09" w:rsidRPr="007B6E69" w:rsidRDefault="00223F09" w:rsidP="00237D88"/>
        </w:tc>
      </w:tr>
      <w:tr w:rsidR="00223F09" w:rsidRPr="007B6E69" w14:paraId="1209B3B9" w14:textId="77777777" w:rsidTr="00AC110B">
        <w:tc>
          <w:tcPr>
            <w:tcW w:w="4422" w:type="dxa"/>
          </w:tcPr>
          <w:p w14:paraId="211641C1" w14:textId="77777777" w:rsidR="00223F09" w:rsidRPr="007B6E69" w:rsidRDefault="00223F09" w:rsidP="00237D88">
            <w:r w:rsidRPr="007B6E69">
              <w:t>Non</w:t>
            </w:r>
            <w:r w:rsidR="000A0D2C">
              <w:t>-</w:t>
            </w:r>
            <w:r w:rsidRPr="007B6E69">
              <w:t>property carrying devices or components thereof</w:t>
            </w:r>
          </w:p>
        </w:tc>
        <w:tc>
          <w:tcPr>
            <w:tcW w:w="5386" w:type="dxa"/>
          </w:tcPr>
          <w:p w14:paraId="6DE55563" w14:textId="77777777" w:rsidR="00223F09" w:rsidRPr="007B6E69" w:rsidRDefault="00223F09" w:rsidP="00237D88">
            <w:r w:rsidRPr="007B6E69">
              <w:t>Provided the devices do not extend more than 3 inches (76</w:t>
            </w:r>
            <w:r w:rsidR="00E35A93">
              <w:t> </w:t>
            </w:r>
            <w:r w:rsidRPr="007B6E69">
              <w:t>mm) beyond each side of the vehicle.</w:t>
            </w:r>
          </w:p>
        </w:tc>
      </w:tr>
    </w:tbl>
    <w:p w14:paraId="19408452" w14:textId="77777777" w:rsidR="00223F09" w:rsidRPr="007B6E69" w:rsidRDefault="00223F09" w:rsidP="00223F09"/>
    <w:p w14:paraId="5B20F589"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1A786802" w14:textId="77777777" w:rsidR="00223F09" w:rsidRPr="007B6E69" w:rsidRDefault="00197BA7" w:rsidP="00E13D3A">
      <w:pPr>
        <w:pStyle w:val="AppendixHeading1"/>
      </w:pPr>
      <w:bookmarkStart w:id="141" w:name="_Toc54275951"/>
      <w:bookmarkStart w:id="142" w:name="_Toc67060915"/>
      <w:bookmarkStart w:id="143" w:name="_Toc111576732"/>
      <w:bookmarkStart w:id="144" w:name="_Toc143182167"/>
      <w:r w:rsidRPr="007B6E69">
        <w:t xml:space="preserve">Appendix </w:t>
      </w:r>
      <w:r w:rsidR="008B1541">
        <w:t>5</w:t>
      </w:r>
      <w:r w:rsidRPr="007B6E69">
        <w:t xml:space="preserve"> – </w:t>
      </w:r>
      <w:r w:rsidR="00223F09" w:rsidRPr="007B6E69">
        <w:t>Devices for indirect vision</w:t>
      </w:r>
      <w:bookmarkEnd w:id="127"/>
      <w:bookmarkEnd w:id="141"/>
      <w:bookmarkEnd w:id="142"/>
      <w:bookmarkEnd w:id="143"/>
      <w:bookmarkEnd w:id="144"/>
    </w:p>
    <w:p w14:paraId="183AC309" w14:textId="77777777" w:rsidR="00223F09" w:rsidRPr="007B6E69" w:rsidRDefault="00223F09" w:rsidP="00223F09">
      <w:r w:rsidRPr="007B6E69">
        <w:t>Devices for indirect vision are fitted to vehicles to give the driver a clear view of prescribed zones to the rear, side or front of the vehicle. These can be conventional mirrors, camera-monitors, or other devices able to present information about the indirect field of vision to the driver.</w:t>
      </w:r>
    </w:p>
    <w:p w14:paraId="2158ED7D" w14:textId="77777777" w:rsidR="00223F09" w:rsidRPr="007B6E69" w:rsidRDefault="00223F09" w:rsidP="00223F09">
      <w:r w:rsidRPr="007B6E69">
        <w:t>The recognised international standard for devices for indirect vision is the UN Regulation No. 46 (R46) – Uniform provisions concerning the approval of devices for indirect vision and of motor vehicles with regard to the installation of these devices (UN, 2016). It is applicable for passenger vehicles and goods vehicles (UN category M and N vehicles), as well as two-wheeled, three-wheeled and light quadricycle vehicles (UN L category vehicles) with enclosed bodywork.</w:t>
      </w:r>
    </w:p>
    <w:p w14:paraId="6B9B973E" w14:textId="44C800D8" w:rsidR="00223F09" w:rsidRPr="007B6E69" w:rsidRDefault="00223F09" w:rsidP="00223F09">
      <w:r w:rsidRPr="007B6E69">
        <w:t xml:space="preserve">UN R46 requires vehicles to be fitted with multiple devices for indirect vision to give the driver a clear view of prescribed fields of vision to the side, rear and front of the vehicle. The required fields of vision must be obtained from the minimum number of compulsory devices for indirect vision (i.e. mirrors or camera-monitor devices) set out in </w:t>
      </w:r>
      <w:r w:rsidR="00534814" w:rsidRPr="007B6E69">
        <w:t xml:space="preserve">Table </w:t>
      </w:r>
      <w:r w:rsidR="00534814">
        <w:rPr>
          <w:noProof/>
        </w:rPr>
        <w:t>25</w:t>
      </w:r>
      <w:r w:rsidRPr="007B6E69">
        <w:t xml:space="preserve"> below. </w:t>
      </w:r>
      <w:r w:rsidR="00534814" w:rsidRPr="007B6E69">
        <w:t xml:space="preserve">Figure </w:t>
      </w:r>
      <w:r w:rsidR="00534814">
        <w:rPr>
          <w:noProof/>
        </w:rPr>
        <w:t>16</w:t>
      </w:r>
      <w:r w:rsidRPr="007B6E69">
        <w:t xml:space="preserve"> shows the minimum required fields of vision to be provided by the devices for indirect vision for goods vehicles over 3.5 tonnes maximum mass. In addition, for goods vehicles over 7.5 tonnes, the field of vision must also be such that the driver can see the larger required view area (on the passenger side) shown in </w:t>
      </w:r>
      <w:r w:rsidR="00534814" w:rsidRPr="007B6E69">
        <w:t xml:space="preserve">Figure </w:t>
      </w:r>
      <w:r w:rsidR="00534814">
        <w:rPr>
          <w:noProof/>
        </w:rPr>
        <w:t>17</w:t>
      </w:r>
      <w:r w:rsidRPr="007B6E69">
        <w:t xml:space="preserve"> below. This additional area may be viewed using a combination of direct view, and indirect vision devices of classes IV (wide-angle view), V (close-proximity view), and/or VI (front-view).</w:t>
      </w:r>
    </w:p>
    <w:p w14:paraId="4B0626A0" w14:textId="77777777" w:rsidR="00223F09" w:rsidRPr="007B6E69" w:rsidRDefault="00223F09" w:rsidP="00223F09">
      <w:r w:rsidRPr="007B6E69">
        <w:t>Under UN</w:t>
      </w:r>
      <w:r w:rsidR="00E35A93">
        <w:t> </w:t>
      </w:r>
      <w:r w:rsidRPr="007B6E69">
        <w:t>R46, devices for indirect vision must not project substantially more beyond the vehicle bodywork than is necessary to comply with the field of vision requirements. Further, external mirrors that are less than 2 m above the ground (measured at the mirror lower edge with the vehicle at the maximum technically permissible mass) must not project more than 250</w:t>
      </w:r>
      <w:r w:rsidR="00E35A93">
        <w:t> </w:t>
      </w:r>
      <w:r w:rsidRPr="007B6E69">
        <w:t>mm beyond the overall width of the vehicle (measured without mirrors). All devices for indirect vision, which are fitted less than 2</w:t>
      </w:r>
      <w:r w:rsidR="00E35A93">
        <w:t> </w:t>
      </w:r>
      <w:r w:rsidRPr="007B6E69">
        <w:t>m above the ground, and protrude more than 100</w:t>
      </w:r>
      <w:r w:rsidR="00E35A93">
        <w:t> </w:t>
      </w:r>
      <w:r w:rsidRPr="007B6E69">
        <w:t>mm from the vehicle bodywork, are required to meet pendulum impact test requirements.</w:t>
      </w:r>
    </w:p>
    <w:p w14:paraId="4604A0C4" w14:textId="77777777" w:rsidR="00223F09" w:rsidRPr="007B6E69" w:rsidRDefault="00223F09" w:rsidP="00223F09">
      <w:r w:rsidRPr="007B6E69">
        <w:t>For camera-monitor devices for indirect vision, the UN R46 requirements also include provisions for the image quality (e.g. maximum distortion, minimum frame rate, image formation time, system latency etc.), resolution and magnification, activation and de-activation, and the arrangement of the monitors in the vehicle (relative to the driver).</w:t>
      </w:r>
    </w:p>
    <w:p w14:paraId="3A985479" w14:textId="46D36188" w:rsidR="00223F09" w:rsidRPr="007B6E69" w:rsidRDefault="00D44DCC" w:rsidP="004425A8">
      <w:pPr>
        <w:pStyle w:val="Caption"/>
        <w:pageBreakBefore/>
      </w:pPr>
      <w:bookmarkStart w:id="145" w:name="_Ref109640404"/>
      <w:bookmarkStart w:id="146" w:name="_Toc135320150"/>
      <w:r w:rsidRPr="007B6E69">
        <w:t xml:space="preserve">Table </w:t>
      </w:r>
      <w:r w:rsidR="00534814">
        <w:rPr>
          <w:noProof/>
        </w:rPr>
        <w:t>25</w:t>
      </w:r>
      <w:bookmarkEnd w:id="145"/>
      <w:r w:rsidRPr="007B6E69">
        <w:t xml:space="preserve">: </w:t>
      </w:r>
      <w:r w:rsidR="00223F09" w:rsidRPr="007B6E69">
        <w:t>Minimum number of devices for indirect vision for goods vehicles over 3.5 tonnes maximum mass</w:t>
      </w:r>
      <w:bookmarkEnd w:id="146"/>
    </w:p>
    <w:tbl>
      <w:tblPr>
        <w:tblStyle w:val="TableGrid"/>
        <w:tblW w:w="0" w:type="auto"/>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2"/>
        <w:tblDescription w:val="Table showing the minimum number of devices for indirect vision for goods vehicles over 3.5 tonnes maximum mass."/>
      </w:tblPr>
      <w:tblGrid>
        <w:gridCol w:w="3681"/>
        <w:gridCol w:w="6117"/>
      </w:tblGrid>
      <w:tr w:rsidR="00223F09" w:rsidRPr="007B6E69" w14:paraId="1F997473" w14:textId="77777777" w:rsidTr="00DD5FDC">
        <w:tc>
          <w:tcPr>
            <w:tcW w:w="3681" w:type="dxa"/>
            <w:shd w:val="clear" w:color="auto" w:fill="0D3064" w:themeFill="accent1" w:themeFillTint="E6"/>
          </w:tcPr>
          <w:p w14:paraId="00ED7490" w14:textId="77777777" w:rsidR="00223F09" w:rsidRPr="007B6E69" w:rsidRDefault="00223F09" w:rsidP="00237D88">
            <w:pPr>
              <w:rPr>
                <w:b/>
                <w:color w:val="FFFFFF" w:themeColor="background1"/>
              </w:rPr>
            </w:pPr>
            <w:r w:rsidRPr="007B6E69">
              <w:rPr>
                <w:b/>
                <w:color w:val="FFFFFF" w:themeColor="background1"/>
              </w:rPr>
              <w:t>Class of device for indirect vision</w:t>
            </w:r>
          </w:p>
        </w:tc>
        <w:tc>
          <w:tcPr>
            <w:tcW w:w="6117" w:type="dxa"/>
            <w:shd w:val="clear" w:color="auto" w:fill="0D3064" w:themeFill="accent1" w:themeFillTint="E6"/>
          </w:tcPr>
          <w:p w14:paraId="309D5A2E" w14:textId="77777777" w:rsidR="00223F09" w:rsidRPr="007B6E69" w:rsidRDefault="00223F09" w:rsidP="00237D88">
            <w:pPr>
              <w:rPr>
                <w:b/>
                <w:color w:val="FFFFFF" w:themeColor="background1"/>
              </w:rPr>
            </w:pPr>
            <w:r w:rsidRPr="007B6E69">
              <w:rPr>
                <w:b/>
                <w:color w:val="FFFFFF" w:themeColor="background1"/>
              </w:rPr>
              <w:t>Minimum number of compulsory devices for indirect vision</w:t>
            </w:r>
          </w:p>
        </w:tc>
      </w:tr>
      <w:tr w:rsidR="00223F09" w:rsidRPr="007B6E69" w14:paraId="7F0A5F26" w14:textId="77777777" w:rsidTr="00237D88">
        <w:tc>
          <w:tcPr>
            <w:tcW w:w="3681" w:type="dxa"/>
          </w:tcPr>
          <w:p w14:paraId="5D1527AB" w14:textId="77777777" w:rsidR="00223F09" w:rsidRPr="007B6E69" w:rsidRDefault="00223F09" w:rsidP="00237D88">
            <w:r w:rsidRPr="007B6E69">
              <w:t>Class I (Rear-view device)</w:t>
            </w:r>
          </w:p>
        </w:tc>
        <w:tc>
          <w:tcPr>
            <w:tcW w:w="6117" w:type="dxa"/>
          </w:tcPr>
          <w:p w14:paraId="0F9FC30C" w14:textId="77777777" w:rsidR="00223F09" w:rsidRPr="007B6E69" w:rsidRDefault="00223F09" w:rsidP="00237D88">
            <w:r w:rsidRPr="007B6E69">
              <w:t>Optional (no requirements for the field of view)</w:t>
            </w:r>
          </w:p>
        </w:tc>
      </w:tr>
      <w:tr w:rsidR="00223F09" w:rsidRPr="007B6E69" w14:paraId="54CAD403" w14:textId="77777777" w:rsidTr="00237D88">
        <w:tc>
          <w:tcPr>
            <w:tcW w:w="3681" w:type="dxa"/>
          </w:tcPr>
          <w:p w14:paraId="4BF1330F" w14:textId="77777777" w:rsidR="00223F09" w:rsidRPr="007B6E69" w:rsidRDefault="00223F09" w:rsidP="00237D88">
            <w:r w:rsidRPr="007B6E69">
              <w:t>Class II (Main rear-view device)</w:t>
            </w:r>
          </w:p>
        </w:tc>
        <w:tc>
          <w:tcPr>
            <w:tcW w:w="6117" w:type="dxa"/>
          </w:tcPr>
          <w:p w14:paraId="7F40A2D5" w14:textId="77777777" w:rsidR="00223F09" w:rsidRPr="007B6E69" w:rsidRDefault="00223F09" w:rsidP="00237D88">
            <w:r w:rsidRPr="007B6E69">
              <w:t>Compulsory</w:t>
            </w:r>
          </w:p>
          <w:p w14:paraId="6DB3C428" w14:textId="77777777" w:rsidR="00223F09" w:rsidRPr="007B6E69" w:rsidRDefault="00223F09" w:rsidP="00237D88">
            <w:pPr>
              <w:ind w:left="340"/>
            </w:pPr>
            <w:r w:rsidRPr="007B6E69">
              <w:t>1 on the driver’s side</w:t>
            </w:r>
          </w:p>
          <w:p w14:paraId="24791943" w14:textId="77777777" w:rsidR="00223F09" w:rsidRPr="007B6E69" w:rsidRDefault="00223F09" w:rsidP="00237D88">
            <w:pPr>
              <w:ind w:left="340"/>
            </w:pPr>
            <w:r w:rsidRPr="007B6E69">
              <w:t>1 on the passenger’s side</w:t>
            </w:r>
          </w:p>
        </w:tc>
      </w:tr>
      <w:tr w:rsidR="00223F09" w:rsidRPr="007B6E69" w14:paraId="35DEA4ED" w14:textId="77777777" w:rsidTr="00237D88">
        <w:tc>
          <w:tcPr>
            <w:tcW w:w="3681" w:type="dxa"/>
          </w:tcPr>
          <w:p w14:paraId="04346B88" w14:textId="77777777" w:rsidR="00223F09" w:rsidRPr="007B6E69" w:rsidRDefault="00223F09" w:rsidP="00237D88">
            <w:r w:rsidRPr="007B6E69">
              <w:t>Class III (Main rear-view device)</w:t>
            </w:r>
          </w:p>
        </w:tc>
        <w:tc>
          <w:tcPr>
            <w:tcW w:w="6117" w:type="dxa"/>
          </w:tcPr>
          <w:p w14:paraId="6A0DFE38" w14:textId="77777777" w:rsidR="00223F09" w:rsidRPr="007B6E69" w:rsidRDefault="00223F09" w:rsidP="00237D88">
            <w:r w:rsidRPr="007B6E69">
              <w:t>Not permitted</w:t>
            </w:r>
          </w:p>
        </w:tc>
      </w:tr>
      <w:tr w:rsidR="00223F09" w:rsidRPr="007B6E69" w14:paraId="02F10EA3" w14:textId="77777777" w:rsidTr="00237D88">
        <w:tc>
          <w:tcPr>
            <w:tcW w:w="3681" w:type="dxa"/>
          </w:tcPr>
          <w:p w14:paraId="3969F83B" w14:textId="77777777" w:rsidR="00223F09" w:rsidRPr="007B6E69" w:rsidRDefault="00223F09" w:rsidP="00237D88">
            <w:r w:rsidRPr="007B6E69">
              <w:t>Class IV (Wide-angle view device)</w:t>
            </w:r>
          </w:p>
        </w:tc>
        <w:tc>
          <w:tcPr>
            <w:tcW w:w="6117" w:type="dxa"/>
          </w:tcPr>
          <w:p w14:paraId="3164CAFF" w14:textId="77777777" w:rsidR="00223F09" w:rsidRPr="007B6E69" w:rsidRDefault="00223F09" w:rsidP="00237D88">
            <w:r w:rsidRPr="007B6E69">
              <w:t>Compulsory</w:t>
            </w:r>
          </w:p>
          <w:p w14:paraId="02CC7122" w14:textId="77777777" w:rsidR="00223F09" w:rsidRPr="007B6E69" w:rsidRDefault="00223F09" w:rsidP="00237D88">
            <w:pPr>
              <w:ind w:left="340"/>
            </w:pPr>
            <w:r w:rsidRPr="007B6E69">
              <w:t>1 on the driver’s side</w:t>
            </w:r>
          </w:p>
          <w:p w14:paraId="781CC651" w14:textId="77777777" w:rsidR="00223F09" w:rsidRPr="007B6E69" w:rsidRDefault="00223F09" w:rsidP="00237D88">
            <w:pPr>
              <w:ind w:left="340"/>
            </w:pPr>
            <w:r w:rsidRPr="007B6E69">
              <w:t>1 on the passenger’s side</w:t>
            </w:r>
          </w:p>
        </w:tc>
      </w:tr>
      <w:tr w:rsidR="00223F09" w:rsidRPr="007B6E69" w14:paraId="6E99D6C1" w14:textId="77777777" w:rsidTr="00237D88">
        <w:tc>
          <w:tcPr>
            <w:tcW w:w="3681" w:type="dxa"/>
          </w:tcPr>
          <w:p w14:paraId="74CB3B55" w14:textId="77777777" w:rsidR="00223F09" w:rsidRPr="007B6E69" w:rsidRDefault="00223F09" w:rsidP="00237D88">
            <w:r w:rsidRPr="007B6E69">
              <w:t>Class V (Close-proximity view device)</w:t>
            </w:r>
          </w:p>
        </w:tc>
        <w:tc>
          <w:tcPr>
            <w:tcW w:w="6117" w:type="dxa"/>
          </w:tcPr>
          <w:p w14:paraId="33B02DF5" w14:textId="77777777" w:rsidR="00223F09" w:rsidRPr="007B6E69" w:rsidRDefault="00223F09" w:rsidP="00237D88">
            <w:r w:rsidRPr="007B6E69">
              <w:t>Compulsory</w:t>
            </w:r>
          </w:p>
          <w:p w14:paraId="08DFE726" w14:textId="77777777" w:rsidR="00223F09" w:rsidRPr="007B6E69" w:rsidRDefault="00223F09" w:rsidP="00237D88">
            <w:pPr>
              <w:ind w:left="340"/>
              <w:rPr>
                <w:sz w:val="18"/>
                <w:szCs w:val="18"/>
              </w:rPr>
            </w:pPr>
            <w:r w:rsidRPr="007B6E69">
              <w:t>1 on the passenger’s side</w:t>
            </w:r>
            <w:r w:rsidRPr="007B6E69">
              <w:rPr>
                <w:vertAlign w:val="superscript"/>
              </w:rPr>
              <w:t>1</w:t>
            </w:r>
          </w:p>
          <w:p w14:paraId="10B359CD" w14:textId="77777777" w:rsidR="00223F09" w:rsidRPr="007B6E69" w:rsidRDefault="00223F09" w:rsidP="00237D88">
            <w:pPr>
              <w:ind w:left="340"/>
              <w:rPr>
                <w:sz w:val="16"/>
                <w:szCs w:val="16"/>
              </w:rPr>
            </w:pPr>
            <w:r w:rsidRPr="007B6E69">
              <w:rPr>
                <w:sz w:val="16"/>
                <w:szCs w:val="16"/>
                <w:vertAlign w:val="superscript"/>
              </w:rPr>
              <w:t>1</w:t>
            </w:r>
            <w:r w:rsidRPr="007B6E69">
              <w:rPr>
                <w:sz w:val="16"/>
                <w:szCs w:val="16"/>
              </w:rPr>
              <w:t xml:space="preserve"> Unless the required field of vision can be perceived through the combination of Class IV device and a Class VI device.</w:t>
            </w:r>
          </w:p>
          <w:p w14:paraId="4B88BB67" w14:textId="77777777" w:rsidR="00223F09" w:rsidRPr="007B6E69" w:rsidRDefault="00223F09" w:rsidP="00237D88">
            <w:r w:rsidRPr="007B6E69">
              <w:t>Optional on the driver’s side</w:t>
            </w:r>
          </w:p>
          <w:p w14:paraId="578A4585" w14:textId="77777777" w:rsidR="00223F09" w:rsidRPr="007B6E69" w:rsidRDefault="00223F09" w:rsidP="00237D88">
            <w:r w:rsidRPr="007B6E69">
              <w:t xml:space="preserve">Mirrors must be at least 2 metres above the ground – a tolerance of 10 cm may be applied for goods vehicles </w:t>
            </w:r>
            <w:r w:rsidRPr="007B6E69">
              <w:rPr>
                <w:rFonts w:cs="Segoe UI"/>
              </w:rPr>
              <w:t>≤</w:t>
            </w:r>
            <w:r w:rsidRPr="007B6E69">
              <w:t xml:space="preserve"> 7.5 tonnes</w:t>
            </w:r>
          </w:p>
        </w:tc>
      </w:tr>
      <w:tr w:rsidR="00223F09" w:rsidRPr="007B6E69" w14:paraId="0D7DBD3C" w14:textId="77777777" w:rsidTr="00237D88">
        <w:tc>
          <w:tcPr>
            <w:tcW w:w="3681" w:type="dxa"/>
          </w:tcPr>
          <w:p w14:paraId="1ED0A958" w14:textId="77777777" w:rsidR="00223F09" w:rsidRPr="007B6E69" w:rsidRDefault="00223F09" w:rsidP="00237D88">
            <w:r w:rsidRPr="007B6E69">
              <w:t>Class VI (Front-view device)</w:t>
            </w:r>
          </w:p>
        </w:tc>
        <w:tc>
          <w:tcPr>
            <w:tcW w:w="6117" w:type="dxa"/>
          </w:tcPr>
          <w:p w14:paraId="45FD58EE" w14:textId="77777777" w:rsidR="00223F09" w:rsidRPr="007B6E69" w:rsidRDefault="00223F09" w:rsidP="00237D88">
            <w:r w:rsidRPr="007B6E69">
              <w:t>Compulsory for goods vehicles over 7.5 tonnes</w:t>
            </w:r>
          </w:p>
          <w:p w14:paraId="234972A3" w14:textId="77777777" w:rsidR="00223F09" w:rsidRPr="007B6E69" w:rsidRDefault="00223F09" w:rsidP="00237D88">
            <w:pPr>
              <w:ind w:left="340"/>
            </w:pPr>
            <w:r w:rsidRPr="007B6E69">
              <w:t>1 front-view device</w:t>
            </w:r>
            <w:r w:rsidRPr="007B6E69">
              <w:rPr>
                <w:vertAlign w:val="superscript"/>
              </w:rPr>
              <w:t>2,3</w:t>
            </w:r>
          </w:p>
          <w:p w14:paraId="53BF9854" w14:textId="77777777" w:rsidR="00223F09" w:rsidRPr="007B6E69" w:rsidRDefault="00223F09" w:rsidP="00237D88">
            <w:pPr>
              <w:ind w:left="340"/>
              <w:rPr>
                <w:sz w:val="16"/>
                <w:szCs w:val="16"/>
              </w:rPr>
            </w:pPr>
            <w:r w:rsidRPr="007B6E69">
              <w:rPr>
                <w:sz w:val="16"/>
                <w:szCs w:val="16"/>
                <w:vertAlign w:val="superscript"/>
              </w:rPr>
              <w:t>2</w:t>
            </w:r>
            <w:r w:rsidRPr="007B6E69">
              <w:rPr>
                <w:sz w:val="16"/>
                <w:szCs w:val="16"/>
              </w:rPr>
              <w:t xml:space="preserve"> A vision support system may instead be used for a vehicle that cannot fulfil this requirement using a front-view device, in which case the vision support system must be able to detect an object of 50 cm height and with a diameter of 30 cm within the required field of vision for a front-view device.</w:t>
            </w:r>
          </w:p>
          <w:p w14:paraId="7843A26F" w14:textId="77777777" w:rsidR="00223F09" w:rsidRPr="007B6E69" w:rsidRDefault="00223F09" w:rsidP="00237D88">
            <w:pPr>
              <w:ind w:left="340"/>
            </w:pPr>
            <w:r w:rsidRPr="007B6E69">
              <w:rPr>
                <w:sz w:val="16"/>
                <w:szCs w:val="16"/>
                <w:vertAlign w:val="superscript"/>
              </w:rPr>
              <w:t>3</w:t>
            </w:r>
            <w:r w:rsidRPr="007B6E69">
              <w:rPr>
                <w:sz w:val="16"/>
                <w:szCs w:val="16"/>
              </w:rPr>
              <w:t xml:space="preserve"> Not mandatory if the driver can see, taking into account the obstructions by the A-pillars, a straight line 300 mm in front of the vehicle at a height of 1,200 mm above the road surface and which is situated between a longitudinal vertical plane parallel to the longitudinal vertical median plane going through the outermost side of the vehicle at the driver's side and a longitudinal vertical plane parallel to the longitudinal vertical median plane 900 mm outside the outermost side of the vehicle opposite to the driver's side.</w:t>
            </w:r>
          </w:p>
          <w:p w14:paraId="55BB66F2" w14:textId="77777777" w:rsidR="00223F09" w:rsidRPr="007B6E69" w:rsidRDefault="00223F09" w:rsidP="00237D88">
            <w:r w:rsidRPr="007B6E69">
              <w:t xml:space="preserve">Optional for goods vehicles </w:t>
            </w:r>
            <w:r w:rsidRPr="007B6E69">
              <w:rPr>
                <w:rFonts w:cs="Segoe UI"/>
              </w:rPr>
              <w:t>≤</w:t>
            </w:r>
            <w:r w:rsidRPr="007B6E69">
              <w:t xml:space="preserve"> 7.5 tonnes</w:t>
            </w:r>
          </w:p>
          <w:p w14:paraId="11693E0A" w14:textId="77777777" w:rsidR="00223F09" w:rsidRPr="007B6E69" w:rsidRDefault="00223F09" w:rsidP="00237D88">
            <w:r w:rsidRPr="007B6E69">
              <w:t>Mirrors must be at least 2 metres above the ground</w:t>
            </w:r>
          </w:p>
        </w:tc>
      </w:tr>
    </w:tbl>
    <w:p w14:paraId="2BD151BB" w14:textId="77777777" w:rsidR="00223F09" w:rsidRPr="007B6E69" w:rsidRDefault="00223F09" w:rsidP="00223F09">
      <w:pPr>
        <w:keepNext/>
        <w:jc w:val="center"/>
      </w:pPr>
      <w:r w:rsidRPr="007B6E69">
        <w:rPr>
          <w:noProof/>
          <w:lang w:eastAsia="en-AU"/>
        </w:rPr>
        <w:drawing>
          <wp:inline distT="0" distB="0" distL="0" distR="0" wp14:anchorId="14E77D1F" wp14:editId="50C30EBD">
            <wp:extent cx="5778170" cy="7200000"/>
            <wp:effectExtent l="0" t="0" r="0" b="1270"/>
            <wp:docPr id="27" name="Picture 27" descr="Figure 16&#10;&#10;Illustration of the minimum required fields of vision in UN R46 for goods vehicles over 3.5 tonnes maximum m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ces for indirect vision.jpg"/>
                    <pic:cNvPicPr/>
                  </pic:nvPicPr>
                  <pic:blipFill>
                    <a:blip r:embed="rId64">
                      <a:extLst>
                        <a:ext uri="{28A0092B-C50C-407E-A947-70E740481C1C}">
                          <a14:useLocalDpi xmlns:a14="http://schemas.microsoft.com/office/drawing/2010/main" val="0"/>
                        </a:ext>
                      </a:extLst>
                    </a:blip>
                    <a:stretch>
                      <a:fillRect/>
                    </a:stretch>
                  </pic:blipFill>
                  <pic:spPr>
                    <a:xfrm>
                      <a:off x="0" y="0"/>
                      <a:ext cx="5778170" cy="7200000"/>
                    </a:xfrm>
                    <a:prstGeom prst="rect">
                      <a:avLst/>
                    </a:prstGeom>
                  </pic:spPr>
                </pic:pic>
              </a:graphicData>
            </a:graphic>
          </wp:inline>
        </w:drawing>
      </w:r>
    </w:p>
    <w:p w14:paraId="18394FD9" w14:textId="2B623FD8" w:rsidR="00223F09" w:rsidRPr="007B6E69" w:rsidRDefault="00223F09" w:rsidP="00223F09">
      <w:pPr>
        <w:pStyle w:val="Caption"/>
      </w:pPr>
      <w:bookmarkStart w:id="147" w:name="_Ref57211676"/>
      <w:bookmarkStart w:id="148" w:name="_Toc135321406"/>
      <w:r w:rsidRPr="007B6E69">
        <w:t xml:space="preserve">Figure </w:t>
      </w:r>
      <w:r w:rsidR="00534814">
        <w:rPr>
          <w:noProof/>
        </w:rPr>
        <w:t>16</w:t>
      </w:r>
      <w:bookmarkEnd w:id="147"/>
      <w:r w:rsidR="00D44DCC" w:rsidRPr="007B6E69">
        <w:rPr>
          <w:noProof/>
        </w:rPr>
        <w:t>:</w:t>
      </w:r>
      <w:r w:rsidRPr="007B6E69">
        <w:t xml:space="preserve"> Minimum required fields of vision for goods vehicles over 3.5 tonnes maximum mass (note: class VI is optional for goods vehicles </w:t>
      </w:r>
      <w:r w:rsidRPr="007B6E69">
        <w:rPr>
          <w:rFonts w:cs="Segoe UI"/>
        </w:rPr>
        <w:t>≤</w:t>
      </w:r>
      <w:r w:rsidRPr="007B6E69">
        <w:t xml:space="preserve"> 7.5 tonnes) (source: adapted (for right-hand-drive) from UN R46)</w:t>
      </w:r>
      <w:bookmarkEnd w:id="148"/>
    </w:p>
    <w:p w14:paraId="69B8F44C" w14:textId="77777777" w:rsidR="00223F09" w:rsidRPr="007B6E69" w:rsidRDefault="00223F09" w:rsidP="00223F09"/>
    <w:p w14:paraId="7780F7D9" w14:textId="77777777" w:rsidR="00223F09" w:rsidRPr="007B6E69" w:rsidRDefault="00223F09" w:rsidP="00223F09">
      <w:pPr>
        <w:keepNext/>
      </w:pPr>
      <w:r w:rsidRPr="007B6E69">
        <w:rPr>
          <w:noProof/>
          <w:lang w:eastAsia="en-AU"/>
        </w:rPr>
        <w:drawing>
          <wp:inline distT="0" distB="0" distL="0" distR="0" wp14:anchorId="173A0537" wp14:editId="4EAB4DED">
            <wp:extent cx="6228080" cy="2571548"/>
            <wp:effectExtent l="0" t="0" r="1270" b="635"/>
            <wp:docPr id="31" name="Picture 31" descr="Figure 17&#10;&#10;Illustration of the larger required field of vision required in UN R46 on the passenger’s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r field of view required on the passenger side.jpg"/>
                    <pic:cNvPicPr/>
                  </pic:nvPicPr>
                  <pic:blipFill>
                    <a:blip r:embed="rId65">
                      <a:extLst>
                        <a:ext uri="{28A0092B-C50C-407E-A947-70E740481C1C}">
                          <a14:useLocalDpi xmlns:a14="http://schemas.microsoft.com/office/drawing/2010/main" val="0"/>
                        </a:ext>
                      </a:extLst>
                    </a:blip>
                    <a:stretch>
                      <a:fillRect/>
                    </a:stretch>
                  </pic:blipFill>
                  <pic:spPr>
                    <a:xfrm>
                      <a:off x="0" y="0"/>
                      <a:ext cx="6228080" cy="2571548"/>
                    </a:xfrm>
                    <a:prstGeom prst="rect">
                      <a:avLst/>
                    </a:prstGeom>
                  </pic:spPr>
                </pic:pic>
              </a:graphicData>
            </a:graphic>
          </wp:inline>
        </w:drawing>
      </w:r>
    </w:p>
    <w:p w14:paraId="29B143C8" w14:textId="3BA6B93E" w:rsidR="00223F09" w:rsidRPr="007B6E69" w:rsidRDefault="00223F09" w:rsidP="00223F09">
      <w:pPr>
        <w:pStyle w:val="Caption"/>
      </w:pPr>
      <w:bookmarkStart w:id="149" w:name="_Ref57212332"/>
      <w:bookmarkStart w:id="150" w:name="_Toc135321407"/>
      <w:r w:rsidRPr="007B6E69">
        <w:t xml:space="preserve">Figure </w:t>
      </w:r>
      <w:r w:rsidR="00534814">
        <w:rPr>
          <w:noProof/>
        </w:rPr>
        <w:t>17</w:t>
      </w:r>
      <w:bookmarkEnd w:id="149"/>
      <w:r w:rsidR="00D44DCC" w:rsidRPr="007B6E69">
        <w:rPr>
          <w:noProof/>
        </w:rPr>
        <w:t xml:space="preserve">: </w:t>
      </w:r>
      <w:r w:rsidRPr="007B6E69">
        <w:t>Larger required field of vision on the passenger’s side (note: required view may be achieved using a combination of direct view and indirect vision devices of classes IV, V, and/or VI) (source: adapted for right-hand-drive from UN R46)</w:t>
      </w:r>
      <w:bookmarkEnd w:id="150"/>
    </w:p>
    <w:p w14:paraId="1082248E" w14:textId="77777777" w:rsidR="00223F09" w:rsidRPr="007B6E69" w:rsidRDefault="00223F09" w:rsidP="00223F09"/>
    <w:p w14:paraId="6BC10757"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674397CE" w14:textId="77777777" w:rsidR="00223F09" w:rsidRPr="007B6E69" w:rsidRDefault="00197BA7" w:rsidP="00E13D3A">
      <w:pPr>
        <w:pStyle w:val="AppendixHeading1"/>
      </w:pPr>
      <w:bookmarkStart w:id="151" w:name="_Toc67060916"/>
      <w:bookmarkStart w:id="152" w:name="_Toc111576733"/>
      <w:bookmarkStart w:id="153" w:name="_Toc143182168"/>
      <w:bookmarkStart w:id="154" w:name="_Toc54275952"/>
      <w:r w:rsidRPr="007B6E69">
        <w:t xml:space="preserve">Appendix </w:t>
      </w:r>
      <w:r w:rsidR="008B1541">
        <w:t>6</w:t>
      </w:r>
      <w:r w:rsidRPr="007B6E69">
        <w:t xml:space="preserve"> – </w:t>
      </w:r>
      <w:r w:rsidR="00223F09" w:rsidRPr="007B6E69">
        <w:t>Electronic Stability Control</w:t>
      </w:r>
      <w:bookmarkEnd w:id="151"/>
      <w:bookmarkEnd w:id="152"/>
      <w:bookmarkEnd w:id="153"/>
    </w:p>
    <w:p w14:paraId="272395C6" w14:textId="77777777" w:rsidR="00223F09" w:rsidRPr="007B6E69" w:rsidRDefault="00223F09" w:rsidP="00223F09">
      <w:r w:rsidRPr="007B6E69">
        <w:t>Electronic Stability Control (ESC) systems for heavy vehicles are designed to reduce the number of crashes due to vehicle (or combination vehicle) understeer (ploughing out), oversteer (spinning out), and/or rollover. ESC systems for heavy vehicles typically consist of an electronic control unit that monitors data received from a steering-wheel-angle sensor, a combined yaw rate and lateral acceleration sensor, Antilock Brake System (ABS) wheel speed sensors, and load sensors, as well as the driver’s control inputs to the steering and braking systems and to the engine, together with the engine output (e.g. torque and speed) and the vehicle speed.</w:t>
      </w:r>
    </w:p>
    <w:p w14:paraId="1B35A1E7" w14:textId="77777777" w:rsidR="00223F09" w:rsidRPr="007B6E69" w:rsidRDefault="00223F09" w:rsidP="00223F09">
      <w:r w:rsidRPr="007B6E69">
        <w:t>Common causes of rollover crashes include entering corners at too high a speed, sudden steering manoeuvres to avoid other vehicles or obstacles and shifting of loads such as liquids in tanks. Heavy vehicles are usually much more prone to rollover than light vehicles, because they have a much higher gross mass together with an elevated centre of gravity.</w:t>
      </w:r>
    </w:p>
    <w:p w14:paraId="7390CDA4" w14:textId="77777777" w:rsidR="00223F09" w:rsidRPr="007B6E69" w:rsidRDefault="00223F09" w:rsidP="00223F09">
      <w:r w:rsidRPr="007B6E69">
        <w:t>Understeer or oversteer occur when there is not enough grip/friction between one or more tyres and the road to oppose lateral tyre forces. When the front tyres have utilised all available grip/traction the vehicle will tend to understeer (turn less sharply than the driver intends), and when the rear tyres have utilised all available grip/traction the vehicle will tend to oversteer (turn more sharply than the driver intends).</w:t>
      </w:r>
    </w:p>
    <w:p w14:paraId="152E0BA9" w14:textId="77777777" w:rsidR="00223F09" w:rsidRPr="007B6E69" w:rsidRDefault="00223F09" w:rsidP="00223F09">
      <w:r w:rsidRPr="007B6E69">
        <w:t>ESC systems for heavy vehicles automatically reduce engine torque and apply the vehicle (and any towed trailer) brakes, whenever the system determines based on the vehicle lateral acceleration and wheel speed sensor data that the vehicle is at risk of rolling over. ESC systems for heavy vehicles also automatically reduce engine torque and apply the vehicle (and/or any towed trailer) brakes, when the system determines based on the steering wheel angle and yaw rate sensor data that the vehicle is understeering or oversteering.  Understeer is typically corrected for by selective application of the inside rear brake(s) of the vehicle, while oversteer is typically corrected for by selective application of the outside front brake of the vehicle together with automatic application of any towed trailer brakes.</w:t>
      </w:r>
    </w:p>
    <w:p w14:paraId="22820845" w14:textId="77777777" w:rsidR="00223F09" w:rsidRPr="007B6E69" w:rsidRDefault="00223F09" w:rsidP="00223F09">
      <w:r w:rsidRPr="007B6E69">
        <w:t xml:space="preserve">The rollover control function within heavy vehicle ESC systems also includes a learning function, to account for the considerable difference in the unladen and fully laden mass of these vehicles as well as significant variations in the load distribution (including on each axle and the load height/centre of gravity). The rollover control function is programmed with two pre-set lateral acceleration threshold (trigger) values. When the level one (lower) threshold is reached (or exceeded) (commonly 0.25g), the system will send a low-pressure test pulse to apply the brakes (ARTSA 2011). From these test pulses, the system determines based on the difference in wheel slip (measured by ABS wheel speed sensors) on each side of the vehicle how close the wheels on the inside of the turn are to leaving the ground. If it determines the wheels on the inside of the turn are close to lifting it will intervene to slow the vehicle/combination. If it determines the vehicle is not in danger of a rollover it will raise the level 1 lateral acceleration threshold a little, and will keep doing this until it determines the lateral acceleration is approaching a value slightly below that at which it must </w:t>
      </w:r>
      <w:proofErr w:type="spellStart"/>
      <w:r w:rsidRPr="007B6E69">
        <w:t>brake</w:t>
      </w:r>
      <w:proofErr w:type="spellEnd"/>
      <w:r w:rsidRPr="007B6E69">
        <w:t xml:space="preserve"> the vehicle (or vehicle combination) to avoid a rollover. Whenever the level two (higher) lateral acceleration threshold is reached (or exceeded), the system will intervene to slow the vehicle/combination. If the load condition changes (as indicated by axle load sensors) or the ESC system power is turned off (e.g. at an ignition cycle), the level one threshold is reset and the learning process repeats (ARTSA 2011). Engine torque data may also be used in the estimation of vehicle/combination mass.</w:t>
      </w:r>
    </w:p>
    <w:p w14:paraId="7184098B" w14:textId="77777777" w:rsidR="00223F09" w:rsidRPr="007B6E69" w:rsidRDefault="00223F09" w:rsidP="00F04016">
      <w:pPr>
        <w:keepLines/>
      </w:pPr>
      <w:r w:rsidRPr="007B6E69">
        <w:t>The Australian Design Rule 35/0</w:t>
      </w:r>
      <w:r w:rsidR="003B3CEE">
        <w:t>7</w:t>
      </w:r>
      <w:r w:rsidRPr="007B6E69">
        <w:t xml:space="preserve"> – Commercial Vehicle Brake Systems (ADR 35/0</w:t>
      </w:r>
      <w:r w:rsidR="003B3CEE">
        <w:t>7</w:t>
      </w:r>
      <w:r w:rsidRPr="007B6E69">
        <w:t xml:space="preserve">) includes a mandatory requirement for ESC (referred to in the ADR as a Vehicle Stability Function) to be fitted to </w:t>
      </w:r>
      <w:r w:rsidR="003B3CEE" w:rsidRPr="007B6E69">
        <w:t>omnibuses and goods vehicles over 3.5 tonnes GVM</w:t>
      </w:r>
      <w:r w:rsidRPr="007B6E69">
        <w:t>. There are exemptions from mandatory ESC fitment for articulated omnibuses, route service omnibuses, heavy goods vehicles with four or more axles, and vehicles designed for off-road use (as defined in an</w:t>
      </w:r>
      <w:r w:rsidR="003B3CEE">
        <w:t xml:space="preserve"> Appendix to the ADR). ADR 35/07</w:t>
      </w:r>
      <w:r w:rsidRPr="007B6E69">
        <w:t xml:space="preserve"> is applicable </w:t>
      </w:r>
      <w:r w:rsidR="003B3CEE">
        <w:t>(mandatory) from 1 November 2022</w:t>
      </w:r>
      <w:r w:rsidRPr="007B6E69">
        <w:t xml:space="preserve"> for new model omnibuses and goods vehicles over 3.5 tonnes GVM, and 1 </w:t>
      </w:r>
      <w:r w:rsidR="003B3CEE">
        <w:t>February</w:t>
      </w:r>
      <w:r w:rsidRPr="007B6E69">
        <w:t xml:space="preserve"> 202</w:t>
      </w:r>
      <w:r w:rsidR="003B3CEE">
        <w:t>5</w:t>
      </w:r>
      <w:r w:rsidRPr="007B6E69">
        <w:t xml:space="preserve"> for all (new) omnibuses and goods vehicles over 3.5 tonnes GVM (</w:t>
      </w:r>
      <w:r w:rsidR="00315909">
        <w:t>Commonwealth of Australia</w:t>
      </w:r>
      <w:r w:rsidR="00D7633A">
        <w:t>, 2018c</w:t>
      </w:r>
      <w:r w:rsidRPr="007B6E69">
        <w:t>).</w:t>
      </w:r>
    </w:p>
    <w:p w14:paraId="716F0876" w14:textId="3C9F7339" w:rsidR="00223F09" w:rsidRPr="007B6E69" w:rsidRDefault="003B3CEE" w:rsidP="00223F09">
      <w:r>
        <w:t>ADR 35/07</w:t>
      </w:r>
      <w:r w:rsidR="00223F09" w:rsidRPr="007B6E69">
        <w:t xml:space="preserve"> includes performance</w:t>
      </w:r>
      <w:r w:rsidR="00C32741">
        <w:t>-</w:t>
      </w:r>
      <w:r w:rsidR="00223F09" w:rsidRPr="007B6E69">
        <w:t>based test requirements for omnibuses and prime movers over 12 tonnes GVM. These vehicles must either be approved to UN R13/11 or meet a detailed series of clockwise and anticlockwise J-turn tests and pass/fail criteria set out in the ADR. The J</w:t>
      </w:r>
      <w:r w:rsidR="00223F09" w:rsidRPr="007B6E69">
        <w:noBreakHyphen/>
        <w:t xml:space="preserve">turn test course consists of a straight entrance lane connected to a curved lane section. The straight section of the lane is 3.7 metres wide, and the curved section of the lane is 3.7 metres wide for prime movers and 4.3 metres wide for buses. </w:t>
      </w:r>
      <w:r w:rsidR="00534814" w:rsidRPr="007B6E69">
        <w:t xml:space="preserve">Figure </w:t>
      </w:r>
      <w:r w:rsidR="00534814">
        <w:rPr>
          <w:noProof/>
        </w:rPr>
        <w:t>18</w:t>
      </w:r>
      <w:r w:rsidR="004F675A">
        <w:t xml:space="preserve"> </w:t>
      </w:r>
      <w:r w:rsidR="00223F09" w:rsidRPr="007B6E69">
        <w:t>shows an example of a suitable J-turn test course (configured for anticlockwise steering) for a prime mover.</w:t>
      </w:r>
    </w:p>
    <w:p w14:paraId="4BA49785" w14:textId="77777777" w:rsidR="00223F09" w:rsidRPr="007B6E69" w:rsidRDefault="00223F09" w:rsidP="00223F09">
      <w:pPr>
        <w:jc w:val="center"/>
      </w:pPr>
      <w:r w:rsidRPr="007B6E69">
        <w:rPr>
          <w:noProof/>
          <w:lang w:eastAsia="en-AU"/>
        </w:rPr>
        <w:drawing>
          <wp:inline distT="0" distB="0" distL="0" distR="0" wp14:anchorId="5BF54635" wp14:editId="2C85A707">
            <wp:extent cx="4140000" cy="3917796"/>
            <wp:effectExtent l="0" t="0" r="0" b="6985"/>
            <wp:docPr id="2720" name="Picture 2720" descr="Figure 18&#10;&#10;Example of a suitable J-turn test course (anticlockwise direc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0000" cy="3917796"/>
                    </a:xfrm>
                    <a:prstGeom prst="rect">
                      <a:avLst/>
                    </a:prstGeom>
                    <a:noFill/>
                    <a:ln>
                      <a:noFill/>
                    </a:ln>
                  </pic:spPr>
                </pic:pic>
              </a:graphicData>
            </a:graphic>
          </wp:inline>
        </w:drawing>
      </w:r>
    </w:p>
    <w:p w14:paraId="04559E84" w14:textId="6158FFB2" w:rsidR="00223F09" w:rsidRPr="007B6E69" w:rsidRDefault="00352150" w:rsidP="00352150">
      <w:pPr>
        <w:pStyle w:val="Caption"/>
        <w:jc w:val="center"/>
      </w:pPr>
      <w:bookmarkStart w:id="155" w:name="_Ref112147200"/>
      <w:bookmarkStart w:id="156" w:name="_Toc135321408"/>
      <w:r w:rsidRPr="007B6E69">
        <w:t xml:space="preserve">Figure </w:t>
      </w:r>
      <w:r w:rsidR="00534814">
        <w:rPr>
          <w:noProof/>
        </w:rPr>
        <w:t>18</w:t>
      </w:r>
      <w:bookmarkEnd w:id="155"/>
      <w:r w:rsidRPr="007B6E69">
        <w:t xml:space="preserve">: </w:t>
      </w:r>
      <w:r w:rsidR="00223F09" w:rsidRPr="007B6E69">
        <w:t>Example of a suitable J-turn test course (in anticlockwise direction) for a prime mover</w:t>
      </w:r>
      <w:bookmarkEnd w:id="156"/>
    </w:p>
    <w:p w14:paraId="63AECF38" w14:textId="77777777" w:rsidR="00223F09" w:rsidRPr="007B6E69" w:rsidRDefault="003B3CEE" w:rsidP="00F04016">
      <w:pPr>
        <w:keepLines/>
      </w:pPr>
      <w:r>
        <w:t>In each ADR 35/07</w:t>
      </w:r>
      <w:r w:rsidR="00223F09" w:rsidRPr="007B6E69">
        <w:t xml:space="preserve"> J-turn test, the test driver accelerates the vehicle along the entrance lane before crossing the start gate at a designated entrance speed. The driver then attempts to keep all wheels of the vehicle within the test track by steering the vehicle through the curved section of track without braking. The minimum lateral acceleration at which the ESC activates (i.e. intervenes) must be no greater than 0.4 g (which corresponds to an entrance speed of 48 km/h where a 45.7 m (150 feet) radius is used for the curved section of track). The vehicle must meet minimum deceleration requirements as it progresses through the test curve, at the vehicle’s minimum ESC activation speed and at least 1.25 times the minimum ESC activation speed. The ESC system must also automatically reduce the driver-requested engine torque by at least 10</w:t>
      </w:r>
      <w:r w:rsidR="00803A6C">
        <w:t>%</w:t>
      </w:r>
      <w:r w:rsidR="00223F09" w:rsidRPr="007B6E69">
        <w:t xml:space="preserve"> when the vehicle is driven through the J-turn at an entrance speed equal to the vehicle’s minimum ESC activation speed.</w:t>
      </w:r>
    </w:p>
    <w:p w14:paraId="44508A0F" w14:textId="77777777" w:rsidR="00223F09" w:rsidRPr="007B6E69" w:rsidRDefault="00223F09" w:rsidP="00427A0F">
      <w:pPr>
        <w:keepLines/>
      </w:pPr>
      <w:r w:rsidRPr="007B6E69">
        <w:t>The recognised international standard for heavy vehicle braking is the UN Regulation No. 13 (R13) – Uniform provisions concerning the approval of vehicles of categories M, N and O with regard to braking (UN, 2014a). This regulation covers general braking including compatibility between towing vehicles and trailers, as well as ABS and ESC, and the fitment of standard connectors to provide power to electronic brake systems on trailers.  To meet the latest version of this regulation (UN R13/11), omnibuses, and goods vehicles over 3.5 tonnes (with limited exemptions) must be equipped with an ESC system (also referred to in UN R13 as a Vehicle Stability Function) incorporating both directional control and rollover control. There are exemptions from ESC fitment for omnibuses with provisions for standing passengers, articulated omnibuses, heavy goods vehicles with more than three axles, vehicles designed for off-road use (UN category G vehicles – as defined in the UN Consolidated Resolution on the Construction of Vehicles), and special purpose vehicles.</w:t>
      </w:r>
    </w:p>
    <w:p w14:paraId="60CD3ECF" w14:textId="77777777" w:rsidR="00223F09" w:rsidRPr="007B6E69" w:rsidRDefault="00223F09" w:rsidP="00223F09">
      <w:r w:rsidRPr="007B6E69">
        <w:t>Under UN R13/11, the rollover control function within heavy vehicle ESC systems is tested on and off in one of two test types.  The directional control function within ESC systems is tested on and off in one of eight test types.  However, the test procedures and pass/fail criteria are not defined in the regulation.  These are instead determined through agreement between the UN approval authority and the vehicle manufacturer.</w:t>
      </w:r>
    </w:p>
    <w:p w14:paraId="3CEF717A" w14:textId="77777777" w:rsidR="00223F09" w:rsidRPr="007B6E69" w:rsidRDefault="003B3CEE" w:rsidP="00223F09">
      <w:r>
        <w:t>Both ADR 35/07</w:t>
      </w:r>
      <w:r w:rsidR="00223F09" w:rsidRPr="007B6E69">
        <w:t xml:space="preserve"> and UN R13/11 also include functional requirements to help ensure that ESC systems will work effectively for a wider range of instability scenarios than are simulated by the tests alone, as well as requirements for an optical warning signal to indicate ESC interventions to the driver and a warning signal to indicate any failure of this system.</w:t>
      </w:r>
    </w:p>
    <w:p w14:paraId="48E12CD6" w14:textId="77777777" w:rsidR="00223F09" w:rsidRPr="007B6E69" w:rsidRDefault="00223F09" w:rsidP="00223F09"/>
    <w:p w14:paraId="0181ED94"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70840674" w14:textId="77777777" w:rsidR="00223F09" w:rsidRPr="007B6E69" w:rsidRDefault="00197BA7" w:rsidP="00E13D3A">
      <w:pPr>
        <w:pStyle w:val="AppendixHeading1"/>
      </w:pPr>
      <w:bookmarkStart w:id="157" w:name="_Toc67060917"/>
      <w:bookmarkStart w:id="158" w:name="_Toc111576734"/>
      <w:bookmarkStart w:id="159" w:name="_Toc143182169"/>
      <w:r w:rsidRPr="007B6E69">
        <w:t xml:space="preserve">Appendix </w:t>
      </w:r>
      <w:r w:rsidR="008B1541">
        <w:t>7</w:t>
      </w:r>
      <w:r w:rsidRPr="007B6E69">
        <w:t xml:space="preserve"> – </w:t>
      </w:r>
      <w:r w:rsidR="00223F09" w:rsidRPr="007B6E69">
        <w:t>Advanced Emergency Braking</w:t>
      </w:r>
      <w:bookmarkEnd w:id="157"/>
      <w:bookmarkEnd w:id="158"/>
      <w:bookmarkEnd w:id="159"/>
    </w:p>
    <w:p w14:paraId="13F8791F" w14:textId="77777777" w:rsidR="00223F09" w:rsidRPr="007B6E69" w:rsidRDefault="00223F09" w:rsidP="00223F09">
      <w:r w:rsidRPr="007B6E69">
        <w:t>Advanced Emergency Braking (AEB) systems for heavy vehicles are designed to avoid or mitigate the severity of rear end collisions with other vehicles in the same lane. Some systems can also detect and help to avoid collisions with pedestrians and/or bicyclists. AEB systems for heavy vehicles typically consist of an electronic control unit that monitors data received from camera and/or radar sensors at the front of the vehicle.</w:t>
      </w:r>
    </w:p>
    <w:p w14:paraId="3E4B4559" w14:textId="77777777" w:rsidR="00223F09" w:rsidRPr="007B6E69" w:rsidRDefault="00223F09" w:rsidP="00223F09">
      <w:r w:rsidRPr="007B6E69">
        <w:t>An AEB system for a heavy vehicle will first provide the driver with a forward collision warning, when it determines based on the vehicle camera and/or radar sensor data that the vehicle is at risk of a rear end collision with another vehicle in the same lane. If the driver does not react (from around 1.4 seconds of the first warning) to brake the vehicle, the AEB system will then commence an emergency braking phase to avoid or at least mitigate the severity of the impending collision. This is left as late as possible (within 3 seconds of a collision), including to allow the driver to steer (if appropriate) to avoid an impact, and to minimise the risk of the emergency braking phase commencing where not needed (e.g. through a false positive intervention). This means the deceleration can be very rapid and uncomfortable for a driver, especially as the vehicle gets closer to impact, which also serves to discourage drivers from adapting their behaviour to rely on AEB (which is a driver assistance system only) to brake for them. During any phase of action taken by the AEB system (i.e. the warning or emergency braking phases), the driver can at any time through a conscious action (e.g. by a steering action or an accelerator kick-down or operating the direction indicator control), take control and override the system.</w:t>
      </w:r>
    </w:p>
    <w:p w14:paraId="68B02BD0" w14:textId="77777777" w:rsidR="00223F09" w:rsidRPr="007B6E69" w:rsidRDefault="00223F09" w:rsidP="00223F09">
      <w:r w:rsidRPr="007B6E69">
        <w:t>The recognised international standard for AEB for heavy vehicles is the UN Regulation No. 131 (R131) – Uniform provisions concerning the approval of motor vehicles with regard to the Advanced Emergency Braking Systems (AEBS) (UN, 2014b). It is applicable for omnibuses (UN category M</w:t>
      </w:r>
      <w:r w:rsidRPr="007B6E69">
        <w:rPr>
          <w:vertAlign w:val="subscript"/>
        </w:rPr>
        <w:t>2</w:t>
      </w:r>
      <w:r w:rsidRPr="007B6E69">
        <w:t xml:space="preserve"> and M</w:t>
      </w:r>
      <w:r w:rsidRPr="007B6E69">
        <w:rPr>
          <w:vertAlign w:val="subscript"/>
        </w:rPr>
        <w:t>3</w:t>
      </w:r>
      <w:r w:rsidRPr="007B6E69">
        <w:t xml:space="preserve"> vehicles), and goods vehicles with a maximum mass over 3.5 tonnes (UN category N</w:t>
      </w:r>
      <w:r w:rsidRPr="007B6E69">
        <w:rPr>
          <w:vertAlign w:val="subscript"/>
        </w:rPr>
        <w:t>2</w:t>
      </w:r>
      <w:r w:rsidRPr="007B6E69">
        <w:t xml:space="preserve"> and N</w:t>
      </w:r>
      <w:r w:rsidRPr="007B6E69">
        <w:rPr>
          <w:vertAlign w:val="subscript"/>
        </w:rPr>
        <w:t>3</w:t>
      </w:r>
      <w:r w:rsidRPr="007B6E69">
        <w:t xml:space="preserve"> vehicles).</w:t>
      </w:r>
    </w:p>
    <w:p w14:paraId="498DCB84" w14:textId="77777777" w:rsidR="00223F09" w:rsidRPr="007B6E69" w:rsidRDefault="00223F09" w:rsidP="00223F09">
      <w:pPr>
        <w:rPr>
          <w:highlight w:val="yellow"/>
        </w:rPr>
      </w:pPr>
      <w:r w:rsidRPr="007B6E69">
        <w:t>In the introduction (for information) of UN R131 it is noted that there are sub-groups of vehicles where the benefit is uncertain because they are primarily used in conditions other than highway conditions (e.g. buses with standing passengers, off-road vehicles and construction vehicles), and there are other sub-groups where the installation of AEB would be technically difficult regardless of the benefit (e.g. position of the sensor on off-road vehicles and special purpose vehicles, etc.). This information is provided to assist countries to decide which vehicles (if any) to exempt when incorporating this UN regulation into regional or national law. For example, the EU has exemptions (in EU regional law) from the fitment of AEB for buses with provision for standing passengers, vehicles with more than three axles, vehicles designed for off-road use (UN category G vehicles – as defined in the UN Consolidated Resolution on the Construction of Vehicles) and certain other special purpose vehicles.</w:t>
      </w:r>
    </w:p>
    <w:p w14:paraId="5FC55195" w14:textId="07C6D938" w:rsidR="00223F09" w:rsidRPr="007B6E69" w:rsidRDefault="00223F09" w:rsidP="00223F09">
      <w:r w:rsidRPr="007B6E69">
        <w:t>To meet UN R131, an AEB system must be active at vehicle speeds above 15 km/h (unless manually deactivated). If a means (e.g. switch) is provided to manually deactivate the AEB system, the AEB function must be automatically re-instated at the start of each new ignition on (run) cycle, and a constant optical warning must be provided to inform the driver when the AEB system is deactivated.  The performance of the AEB system is assessed in a stationary target test and a moving target test. The target vehicle used for both these tests must be a regular high</w:t>
      </w:r>
      <w:r w:rsidR="00B23B09">
        <w:t>-</w:t>
      </w:r>
      <w:r w:rsidRPr="007B6E69">
        <w:t xml:space="preserve">volume series production passenger car, or a soft target representative of such a vehicle in terms of its identification characteristics. At the start of the functional part of each test the subject vehicle must be travelling at a speed of 80 </w:t>
      </w:r>
      <w:r w:rsidRPr="007B6E69">
        <w:rPr>
          <w:rFonts w:cs="Segoe UI"/>
        </w:rPr>
        <w:t xml:space="preserve">± </w:t>
      </w:r>
      <w:r w:rsidRPr="007B6E69">
        <w:t xml:space="preserve">2 km/h and is at a distance of at least 120 m from the target vehicle. For goods vehicles at least two collision-warning modes must be provided in accordance with </w:t>
      </w:r>
      <w:r w:rsidR="00534814" w:rsidRPr="007B6E69">
        <w:t xml:space="preserve">Table </w:t>
      </w:r>
      <w:r w:rsidR="00534814">
        <w:rPr>
          <w:noProof/>
        </w:rPr>
        <w:t>26</w:t>
      </w:r>
      <w:r w:rsidRPr="007B6E69">
        <w:t>, before the commencement of the emergency braking phase. Any speed reduction during the warning phase must not exceed either 15 km/h or 30</w:t>
      </w:r>
      <w:r w:rsidR="00803A6C">
        <w:t xml:space="preserve">% </w:t>
      </w:r>
      <w:r w:rsidRPr="007B6E69">
        <w:t>of the total subject vehicle speed reduction, whichever is higher. The emergency braking phase cannot start before the time to collision with the target vehicle is 3.0 seconds or less.</w:t>
      </w:r>
    </w:p>
    <w:p w14:paraId="2FD797AC" w14:textId="2A9FF8CD" w:rsidR="00223F09" w:rsidRPr="007B6E69" w:rsidRDefault="00D84D3A" w:rsidP="00803A6C">
      <w:pPr>
        <w:pStyle w:val="Caption"/>
        <w:keepNext/>
      </w:pPr>
      <w:bookmarkStart w:id="160" w:name="_Ref112147160"/>
      <w:bookmarkStart w:id="161" w:name="_Toc135320151"/>
      <w:r w:rsidRPr="007B6E69">
        <w:t xml:space="preserve">Table </w:t>
      </w:r>
      <w:r w:rsidR="00534814">
        <w:rPr>
          <w:noProof/>
        </w:rPr>
        <w:t>26</w:t>
      </w:r>
      <w:bookmarkEnd w:id="160"/>
      <w:r w:rsidRPr="007B6E69">
        <w:t xml:space="preserve">: </w:t>
      </w:r>
      <w:r w:rsidR="00223F09" w:rsidRPr="007B6E69">
        <w:t>Summary of UN R131/01 collision warning mode, subject vehicle speed reduction, and moving test target speed requirements for goods vehicles</w:t>
      </w:r>
      <w:bookmarkEnd w:id="161"/>
    </w:p>
    <w:tbl>
      <w:tblPr>
        <w:tblStyle w:val="TableGrid"/>
        <w:tblW w:w="0" w:type="auto"/>
        <w:tblLook w:val="04A0" w:firstRow="1" w:lastRow="0" w:firstColumn="1" w:lastColumn="0" w:noHBand="0" w:noVBand="1"/>
        <w:tblCaption w:val="Table 3"/>
        <w:tblDescription w:val="Table summarising the UN R131/01 collision warning mode, subject vehicle speed reduction, and moving test target speed requirements for goods vehicles."/>
      </w:tblPr>
      <w:tblGrid>
        <w:gridCol w:w="1340"/>
        <w:gridCol w:w="1217"/>
        <w:gridCol w:w="1219"/>
        <w:gridCol w:w="1216"/>
        <w:gridCol w:w="1219"/>
        <w:gridCol w:w="1219"/>
        <w:gridCol w:w="1216"/>
        <w:gridCol w:w="1152"/>
      </w:tblGrid>
      <w:tr w:rsidR="00223F09" w:rsidRPr="007B6E69" w14:paraId="661176CD" w14:textId="77777777" w:rsidTr="00F43CC2">
        <w:tc>
          <w:tcPr>
            <w:tcW w:w="1340"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CE27374" w14:textId="77777777" w:rsidR="00223F09" w:rsidRPr="007B6E69" w:rsidRDefault="00223F09" w:rsidP="00237D88">
            <w:pPr>
              <w:rPr>
                <w:b/>
                <w:color w:val="FFFFFF" w:themeColor="background1"/>
              </w:rPr>
            </w:pPr>
            <w:r w:rsidRPr="007B6E69">
              <w:rPr>
                <w:b/>
                <w:color w:val="FFFFFF" w:themeColor="background1"/>
              </w:rPr>
              <w:t>Subject vehicle</w:t>
            </w:r>
          </w:p>
        </w:tc>
        <w:tc>
          <w:tcPr>
            <w:tcW w:w="3652" w:type="dxa"/>
            <w:gridSpan w:val="3"/>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16741E68" w14:textId="77777777" w:rsidR="00223F09" w:rsidRPr="007B6E69" w:rsidRDefault="00223F09" w:rsidP="00237D88">
            <w:pPr>
              <w:rPr>
                <w:b/>
                <w:color w:val="FFFFFF" w:themeColor="background1"/>
              </w:rPr>
            </w:pPr>
            <w:r w:rsidRPr="007B6E69">
              <w:rPr>
                <w:b/>
                <w:color w:val="FFFFFF" w:themeColor="background1"/>
              </w:rPr>
              <w:t>Stationary Target</w:t>
            </w:r>
          </w:p>
        </w:tc>
        <w:tc>
          <w:tcPr>
            <w:tcW w:w="4806" w:type="dxa"/>
            <w:gridSpan w:val="4"/>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FBF3998" w14:textId="77777777" w:rsidR="00223F09" w:rsidRPr="007B6E69" w:rsidRDefault="00223F09" w:rsidP="00237D88">
            <w:pPr>
              <w:rPr>
                <w:b/>
                <w:color w:val="FFFFFF" w:themeColor="background1"/>
              </w:rPr>
            </w:pPr>
            <w:r w:rsidRPr="007B6E69">
              <w:rPr>
                <w:b/>
                <w:color w:val="FFFFFF" w:themeColor="background1"/>
              </w:rPr>
              <w:t>Moving Target</w:t>
            </w:r>
          </w:p>
        </w:tc>
      </w:tr>
      <w:tr w:rsidR="00223F09" w:rsidRPr="007B6E69" w14:paraId="232FECFB" w14:textId="77777777" w:rsidTr="00F43CC2">
        <w:tc>
          <w:tcPr>
            <w:tcW w:w="1340"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4707769B" w14:textId="77777777" w:rsidR="00223F09" w:rsidRPr="007B6E69" w:rsidRDefault="00223F09" w:rsidP="00237D88">
            <w:pPr>
              <w:rPr>
                <w:b/>
                <w:color w:val="FFFFFF" w:themeColor="background1"/>
              </w:rPr>
            </w:pPr>
          </w:p>
        </w:tc>
        <w:tc>
          <w:tcPr>
            <w:tcW w:w="2436" w:type="dxa"/>
            <w:gridSpan w:val="2"/>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045DF3E0" w14:textId="77777777" w:rsidR="00223F09" w:rsidRPr="007B6E69" w:rsidRDefault="00223F09" w:rsidP="00237D88">
            <w:pPr>
              <w:rPr>
                <w:b/>
                <w:color w:val="FFFFFF" w:themeColor="background1"/>
              </w:rPr>
            </w:pPr>
            <w:r w:rsidRPr="007B6E69">
              <w:rPr>
                <w:b/>
                <w:color w:val="FFFFFF" w:themeColor="background1"/>
              </w:rPr>
              <w:t>Timing of warning modes/means</w:t>
            </w:r>
          </w:p>
        </w:tc>
        <w:tc>
          <w:tcPr>
            <w:tcW w:w="1216"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23618A81" w14:textId="77777777" w:rsidR="00223F09" w:rsidRPr="007B6E69" w:rsidRDefault="00223F09" w:rsidP="00237D88">
            <w:pPr>
              <w:rPr>
                <w:b/>
                <w:color w:val="FFFFFF" w:themeColor="background1"/>
              </w:rPr>
            </w:pPr>
            <w:r w:rsidRPr="007B6E69">
              <w:rPr>
                <w:b/>
                <w:color w:val="FFFFFF" w:themeColor="background1"/>
              </w:rPr>
              <w:t>Speed Reduction</w:t>
            </w:r>
          </w:p>
        </w:tc>
        <w:tc>
          <w:tcPr>
            <w:tcW w:w="2438" w:type="dxa"/>
            <w:gridSpan w:val="2"/>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00B3E31" w14:textId="77777777" w:rsidR="00223F09" w:rsidRPr="007B6E69" w:rsidRDefault="00223F09" w:rsidP="00237D88">
            <w:pPr>
              <w:rPr>
                <w:b/>
                <w:color w:val="FFFFFF" w:themeColor="background1"/>
              </w:rPr>
            </w:pPr>
            <w:r w:rsidRPr="007B6E69">
              <w:rPr>
                <w:b/>
                <w:color w:val="FFFFFF" w:themeColor="background1"/>
              </w:rPr>
              <w:t>Timing of warning modes/means</w:t>
            </w:r>
          </w:p>
        </w:tc>
        <w:tc>
          <w:tcPr>
            <w:tcW w:w="1216"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A5DDB01" w14:textId="77777777" w:rsidR="00223F09" w:rsidRPr="007B6E69" w:rsidRDefault="00223F09" w:rsidP="00237D88">
            <w:pPr>
              <w:rPr>
                <w:b/>
                <w:color w:val="FFFFFF" w:themeColor="background1"/>
              </w:rPr>
            </w:pPr>
            <w:r w:rsidRPr="007B6E69">
              <w:rPr>
                <w:b/>
                <w:color w:val="FFFFFF" w:themeColor="background1"/>
              </w:rPr>
              <w:t>Speed Reduction</w:t>
            </w:r>
          </w:p>
        </w:tc>
        <w:tc>
          <w:tcPr>
            <w:tcW w:w="1152"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7DA7A348" w14:textId="77777777" w:rsidR="00223F09" w:rsidRPr="007B6E69" w:rsidRDefault="00223F09" w:rsidP="00237D88">
            <w:pPr>
              <w:rPr>
                <w:b/>
                <w:color w:val="FFFFFF" w:themeColor="background1"/>
              </w:rPr>
            </w:pPr>
            <w:r w:rsidRPr="007B6E69">
              <w:rPr>
                <w:b/>
                <w:color w:val="FFFFFF" w:themeColor="background1"/>
              </w:rPr>
              <w:t>Target Speed</w:t>
            </w:r>
          </w:p>
        </w:tc>
      </w:tr>
      <w:tr w:rsidR="00223F09" w:rsidRPr="007B6E69" w14:paraId="5225F58A" w14:textId="77777777" w:rsidTr="00F43CC2">
        <w:trPr>
          <w:trHeight w:val="70"/>
        </w:trPr>
        <w:tc>
          <w:tcPr>
            <w:tcW w:w="1340"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00A31B59" w14:textId="77777777" w:rsidR="00223F09" w:rsidRPr="007B6E69" w:rsidRDefault="00223F09" w:rsidP="00237D88"/>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0C5CE7B9" w14:textId="77777777" w:rsidR="00223F09" w:rsidRPr="007B6E69" w:rsidRDefault="00223F09" w:rsidP="00237D88">
            <w:pPr>
              <w:rPr>
                <w:b/>
                <w:color w:val="FFFFFF" w:themeColor="background1"/>
              </w:rPr>
            </w:pPr>
            <w:r w:rsidRPr="007B6E69">
              <w:rPr>
                <w:b/>
                <w:color w:val="FFFFFF" w:themeColor="background1"/>
              </w:rPr>
              <w:t>At least 1</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63325522" w14:textId="77777777" w:rsidR="00223F09" w:rsidRPr="007B6E69" w:rsidRDefault="00223F09" w:rsidP="00237D88">
            <w:pPr>
              <w:rPr>
                <w:b/>
                <w:color w:val="FFFFFF" w:themeColor="background1"/>
              </w:rPr>
            </w:pPr>
            <w:r w:rsidRPr="007B6E69">
              <w:rPr>
                <w:b/>
                <w:color w:val="FFFFFF" w:themeColor="background1"/>
              </w:rPr>
              <w:t>At least 2</w:t>
            </w:r>
          </w:p>
        </w:tc>
        <w:tc>
          <w:tcPr>
            <w:tcW w:w="1216"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00000" w:themeFill="text1"/>
          </w:tcPr>
          <w:p w14:paraId="1CF8F626" w14:textId="77777777" w:rsidR="00223F09" w:rsidRPr="007B6E69" w:rsidRDefault="00223F09" w:rsidP="00237D88">
            <w:pPr>
              <w:rPr>
                <w:b/>
                <w:color w:val="FFFFFF" w:themeColor="background1"/>
              </w:rPr>
            </w:pP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1607C41C" w14:textId="77777777" w:rsidR="00223F09" w:rsidRPr="007B6E69" w:rsidRDefault="00223F09" w:rsidP="00237D88">
            <w:pPr>
              <w:rPr>
                <w:b/>
                <w:color w:val="FFFFFF" w:themeColor="background1"/>
              </w:rPr>
            </w:pPr>
            <w:r w:rsidRPr="007B6E69">
              <w:rPr>
                <w:b/>
                <w:color w:val="FFFFFF" w:themeColor="background1"/>
              </w:rPr>
              <w:t>At least 1</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14:paraId="42FB1168" w14:textId="77777777" w:rsidR="00223F09" w:rsidRPr="007B6E69" w:rsidRDefault="00223F09" w:rsidP="00237D88">
            <w:pPr>
              <w:rPr>
                <w:b/>
                <w:color w:val="FFFFFF" w:themeColor="background1"/>
              </w:rPr>
            </w:pPr>
            <w:r w:rsidRPr="007B6E69">
              <w:rPr>
                <w:b/>
                <w:color w:val="FFFFFF" w:themeColor="background1"/>
              </w:rPr>
              <w:t>At least 2</w:t>
            </w:r>
          </w:p>
        </w:tc>
        <w:tc>
          <w:tcPr>
            <w:tcW w:w="1216"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34D79534" w14:textId="77777777" w:rsidR="00223F09" w:rsidRPr="007B6E69" w:rsidRDefault="00223F09" w:rsidP="00237D88"/>
        </w:tc>
        <w:tc>
          <w:tcPr>
            <w:tcW w:w="1152"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4D83BE3C" w14:textId="77777777" w:rsidR="00223F09" w:rsidRPr="007B6E69" w:rsidRDefault="00223F09" w:rsidP="00237D88"/>
        </w:tc>
      </w:tr>
      <w:tr w:rsidR="00223F09" w:rsidRPr="007B6E69" w14:paraId="7F2D89C0" w14:textId="77777777" w:rsidTr="00237D88">
        <w:tc>
          <w:tcPr>
            <w:tcW w:w="1340"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15497EA2" w14:textId="77777777" w:rsidR="00223F09" w:rsidRPr="007B6E69" w:rsidRDefault="00223F09" w:rsidP="00237D88">
            <w:pPr>
              <w:rPr>
                <w:vertAlign w:val="superscript"/>
              </w:rPr>
            </w:pPr>
            <w:r w:rsidRPr="007B6E69">
              <w:t>Goods vehicles &gt; 8 tonnes</w:t>
            </w:r>
            <w:r w:rsidRPr="007B6E69">
              <w:rPr>
                <w:vertAlign w:val="superscript"/>
              </w:rPr>
              <w:t>1</w:t>
            </w:r>
          </w:p>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3F8BDBFA" w14:textId="77777777" w:rsidR="00223F09" w:rsidRPr="007B6E69" w:rsidRDefault="00223F09" w:rsidP="00237D88">
            <w:r w:rsidRPr="007B6E69">
              <w:t>At least 1.4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7382D877" w14:textId="77777777" w:rsidR="00223F09" w:rsidRPr="007B6E69" w:rsidRDefault="00223F09" w:rsidP="00237D88">
            <w:r w:rsidRPr="007B6E69">
              <w:t>At least 0.8 s 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7DB7347A" w14:textId="77777777" w:rsidR="00223F09" w:rsidRPr="007B6E69" w:rsidRDefault="00223F09" w:rsidP="00237D88">
            <w:r w:rsidRPr="007B6E69">
              <w:t>At least 20 km/h</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78653835" w14:textId="77777777" w:rsidR="00223F09" w:rsidRPr="007B6E69" w:rsidRDefault="00223F09" w:rsidP="00237D88">
            <w:r w:rsidRPr="007B6E69">
              <w:t>At least 1.4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E2A4E40" w14:textId="77777777" w:rsidR="00223F09" w:rsidRPr="007B6E69" w:rsidRDefault="00223F09" w:rsidP="00237D88">
            <w:r w:rsidRPr="007B6E69">
              <w:t>At least 0.8 s 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1808D6FA" w14:textId="77777777" w:rsidR="00223F09" w:rsidRPr="007B6E69" w:rsidRDefault="00223F09" w:rsidP="00237D88">
            <w:r w:rsidRPr="007B6E69">
              <w:t>No impact</w:t>
            </w:r>
          </w:p>
        </w:tc>
        <w:tc>
          <w:tcPr>
            <w:tcW w:w="1152"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62BF39D" w14:textId="77777777" w:rsidR="00223F09" w:rsidRPr="007B6E69" w:rsidRDefault="00223F09" w:rsidP="00237D88">
            <w:r w:rsidRPr="007B6E69">
              <w:t xml:space="preserve">12 </w:t>
            </w:r>
            <w:r w:rsidRPr="007B6E69">
              <w:rPr>
                <w:rFonts w:cs="Segoe UI"/>
              </w:rPr>
              <w:t xml:space="preserve">± </w:t>
            </w:r>
            <w:r w:rsidRPr="007B6E69">
              <w:t>2 km/h</w:t>
            </w:r>
          </w:p>
        </w:tc>
      </w:tr>
      <w:tr w:rsidR="00223F09" w:rsidRPr="007B6E69" w14:paraId="00D59FD5" w14:textId="77777777" w:rsidTr="00237D88">
        <w:tc>
          <w:tcPr>
            <w:tcW w:w="1340"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110A820A" w14:textId="77777777" w:rsidR="00223F09" w:rsidRPr="007B6E69" w:rsidRDefault="00223F09" w:rsidP="00237D88">
            <w:pPr>
              <w:rPr>
                <w:vertAlign w:val="superscript"/>
              </w:rPr>
            </w:pPr>
            <w:r w:rsidRPr="007B6E69">
              <w:t xml:space="preserve">Goods vehicles </w:t>
            </w:r>
            <w:r w:rsidRPr="007B6E69">
              <w:br/>
              <w:t xml:space="preserve">&gt; 3.5 tonnes and </w:t>
            </w:r>
            <w:r w:rsidRPr="007B6E69">
              <w:rPr>
                <w:rFonts w:cs="Segoe UI"/>
              </w:rPr>
              <w:t>≤</w:t>
            </w:r>
            <w:r w:rsidRPr="007B6E69">
              <w:t> 8 tonnes</w:t>
            </w:r>
            <w:r w:rsidRPr="007B6E69">
              <w:rPr>
                <w:vertAlign w:val="superscript"/>
              </w:rPr>
              <w:t>2,3,4</w:t>
            </w:r>
          </w:p>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B2B73B3" w14:textId="77777777" w:rsidR="00223F09" w:rsidRPr="007B6E69" w:rsidRDefault="00223F09" w:rsidP="00237D88">
            <w:r w:rsidRPr="007B6E69">
              <w:t>At least 0.8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D029177" w14:textId="77777777" w:rsidR="00223F09" w:rsidRPr="007B6E69" w:rsidRDefault="00223F09" w:rsidP="00237D88">
            <w:r w:rsidRPr="007B6E69">
              <w:t>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6934A3C" w14:textId="77777777" w:rsidR="00223F09" w:rsidRPr="007B6E69" w:rsidRDefault="00223F09" w:rsidP="00237D88">
            <w:r w:rsidRPr="007B6E69">
              <w:t>At least 10 km/h</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6B93CEFD" w14:textId="77777777" w:rsidR="00223F09" w:rsidRPr="007B6E69" w:rsidRDefault="00223F09" w:rsidP="00237D88">
            <w:r w:rsidRPr="007B6E69">
              <w:t>At least 0.8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078AF08" w14:textId="77777777" w:rsidR="00223F09" w:rsidRPr="007B6E69" w:rsidRDefault="00223F09" w:rsidP="00237D88">
            <w:r w:rsidRPr="007B6E69">
              <w:t>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50DF87C4" w14:textId="77777777" w:rsidR="00223F09" w:rsidRPr="007B6E69" w:rsidRDefault="00223F09" w:rsidP="00237D88">
            <w:r w:rsidRPr="007B6E69">
              <w:t>No impact</w:t>
            </w:r>
          </w:p>
        </w:tc>
        <w:tc>
          <w:tcPr>
            <w:tcW w:w="1152"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14:paraId="2A685D72" w14:textId="77777777" w:rsidR="00223F09" w:rsidRPr="007B6E69" w:rsidRDefault="00223F09" w:rsidP="00237D88">
            <w:r w:rsidRPr="007B6E69">
              <w:t xml:space="preserve">67 </w:t>
            </w:r>
            <w:r w:rsidRPr="007B6E69">
              <w:rPr>
                <w:rFonts w:cs="Segoe UI"/>
              </w:rPr>
              <w:t xml:space="preserve">± </w:t>
            </w:r>
            <w:r w:rsidRPr="007B6E69">
              <w:t>2 km/h</w:t>
            </w:r>
          </w:p>
        </w:tc>
      </w:tr>
      <w:tr w:rsidR="00223F09" w:rsidRPr="007B6E69" w14:paraId="167E5C8F" w14:textId="77777777" w:rsidTr="00237D88">
        <w:trPr>
          <w:trHeight w:val="57"/>
        </w:trPr>
        <w:tc>
          <w:tcPr>
            <w:tcW w:w="9798" w:type="dxa"/>
            <w:gridSpan w:val="8"/>
            <w:tcBorders>
              <w:top w:val="single" w:sz="4" w:space="0" w:color="ADADAD" w:themeColor="background2" w:themeShade="BF"/>
              <w:left w:val="nil"/>
              <w:bottom w:val="nil"/>
              <w:right w:val="nil"/>
            </w:tcBorders>
          </w:tcPr>
          <w:p w14:paraId="1E615173" w14:textId="77777777" w:rsidR="00223F09" w:rsidRPr="007B6E69" w:rsidRDefault="00223F09" w:rsidP="00237D88">
            <w:pPr>
              <w:spacing w:before="40" w:after="40"/>
              <w:rPr>
                <w:sz w:val="18"/>
                <w:szCs w:val="18"/>
              </w:rPr>
            </w:pPr>
            <w:r w:rsidRPr="007B6E69">
              <w:rPr>
                <w:sz w:val="18"/>
                <w:szCs w:val="18"/>
                <w:vertAlign w:val="superscript"/>
              </w:rPr>
              <w:t>1</w:t>
            </w:r>
            <w:r w:rsidRPr="007B6E69">
              <w:rPr>
                <w:sz w:val="18"/>
                <w:szCs w:val="18"/>
              </w:rPr>
              <w:t xml:space="preserve"> For goods vehicles &gt; 8 tonnes, the acceptable warning modes/means are acoustic and haptic (e.g. vibration of the steering wheel).</w:t>
            </w:r>
          </w:p>
        </w:tc>
      </w:tr>
      <w:tr w:rsidR="00223F09" w:rsidRPr="007B6E69" w14:paraId="1D78DC9F" w14:textId="77777777" w:rsidTr="00237D88">
        <w:trPr>
          <w:trHeight w:val="57"/>
        </w:trPr>
        <w:tc>
          <w:tcPr>
            <w:tcW w:w="9798" w:type="dxa"/>
            <w:gridSpan w:val="8"/>
            <w:tcBorders>
              <w:top w:val="nil"/>
              <w:left w:val="nil"/>
              <w:bottom w:val="nil"/>
              <w:right w:val="nil"/>
            </w:tcBorders>
          </w:tcPr>
          <w:p w14:paraId="08B18646" w14:textId="77777777" w:rsidR="00223F09" w:rsidRPr="007B6E69" w:rsidRDefault="00223F09" w:rsidP="00237D88">
            <w:pPr>
              <w:spacing w:before="40" w:after="40"/>
              <w:rPr>
                <w:sz w:val="18"/>
                <w:szCs w:val="18"/>
              </w:rPr>
            </w:pPr>
            <w:r w:rsidRPr="007B6E69">
              <w:rPr>
                <w:sz w:val="18"/>
                <w:szCs w:val="18"/>
                <w:vertAlign w:val="superscript"/>
              </w:rPr>
              <w:t>2</w:t>
            </w:r>
            <w:r w:rsidRPr="007B6E69">
              <w:rPr>
                <w:sz w:val="18"/>
                <w:szCs w:val="18"/>
              </w:rPr>
              <w:t xml:space="preserve"> For goods vehicles &gt; 3.5 tonnes and </w:t>
            </w:r>
            <w:r w:rsidRPr="007B6E69">
              <w:rPr>
                <w:rFonts w:cs="Segoe UI"/>
                <w:sz w:val="18"/>
                <w:szCs w:val="18"/>
              </w:rPr>
              <w:t>≤</w:t>
            </w:r>
            <w:r w:rsidRPr="007B6E69">
              <w:rPr>
                <w:sz w:val="18"/>
                <w:szCs w:val="18"/>
              </w:rPr>
              <w:t> 8 tonnes, the acceptable warning modes/means are acoustic, haptic and visual.</w:t>
            </w:r>
          </w:p>
        </w:tc>
      </w:tr>
      <w:tr w:rsidR="00223F09" w:rsidRPr="007B6E69" w14:paraId="6A013B5D" w14:textId="77777777" w:rsidTr="00237D88">
        <w:trPr>
          <w:trHeight w:val="57"/>
        </w:trPr>
        <w:tc>
          <w:tcPr>
            <w:tcW w:w="9798" w:type="dxa"/>
            <w:gridSpan w:val="8"/>
            <w:tcBorders>
              <w:top w:val="nil"/>
              <w:left w:val="nil"/>
              <w:bottom w:val="nil"/>
              <w:right w:val="nil"/>
            </w:tcBorders>
          </w:tcPr>
          <w:p w14:paraId="40B48FE6" w14:textId="77777777" w:rsidR="00223F09" w:rsidRPr="007B6E69" w:rsidRDefault="00223F09" w:rsidP="00237D88">
            <w:pPr>
              <w:spacing w:before="40" w:after="40"/>
              <w:rPr>
                <w:sz w:val="18"/>
                <w:szCs w:val="18"/>
              </w:rPr>
            </w:pPr>
            <w:r w:rsidRPr="007B6E69">
              <w:rPr>
                <w:sz w:val="18"/>
                <w:szCs w:val="18"/>
                <w:vertAlign w:val="superscript"/>
              </w:rPr>
              <w:t>3</w:t>
            </w:r>
            <w:r w:rsidRPr="007B6E69">
              <w:rPr>
                <w:sz w:val="18"/>
                <w:szCs w:val="18"/>
              </w:rPr>
              <w:t xml:space="preserve"> All vehicles with pneumatic brake systems must meet the requirements for goods vehicles &gt; 8 tonnes.</w:t>
            </w:r>
          </w:p>
        </w:tc>
      </w:tr>
      <w:tr w:rsidR="00223F09" w:rsidRPr="007B6E69" w14:paraId="1889694A" w14:textId="77777777" w:rsidTr="00237D88">
        <w:trPr>
          <w:trHeight w:val="57"/>
        </w:trPr>
        <w:tc>
          <w:tcPr>
            <w:tcW w:w="9798" w:type="dxa"/>
            <w:gridSpan w:val="8"/>
            <w:tcBorders>
              <w:top w:val="nil"/>
              <w:left w:val="nil"/>
              <w:bottom w:val="nil"/>
              <w:right w:val="nil"/>
            </w:tcBorders>
          </w:tcPr>
          <w:p w14:paraId="4C4F47FC" w14:textId="77777777" w:rsidR="00223F09" w:rsidRPr="007B6E69" w:rsidRDefault="00223F09" w:rsidP="00237D88">
            <w:pPr>
              <w:spacing w:before="40" w:after="40"/>
              <w:rPr>
                <w:sz w:val="18"/>
                <w:szCs w:val="18"/>
              </w:rPr>
            </w:pPr>
            <w:r w:rsidRPr="007B6E69">
              <w:rPr>
                <w:sz w:val="18"/>
                <w:szCs w:val="18"/>
                <w:vertAlign w:val="superscript"/>
              </w:rPr>
              <w:t>4</w:t>
            </w:r>
            <w:r w:rsidRPr="007B6E69">
              <w:rPr>
                <w:sz w:val="18"/>
                <w:szCs w:val="18"/>
              </w:rPr>
              <w:t xml:space="preserve"> Goods vehicles &gt; 3.5 tonnes and </w:t>
            </w:r>
            <w:r w:rsidRPr="007B6E69">
              <w:rPr>
                <w:rFonts w:cs="Segoe UI"/>
                <w:sz w:val="18"/>
                <w:szCs w:val="18"/>
              </w:rPr>
              <w:t>≤</w:t>
            </w:r>
            <w:r w:rsidRPr="007B6E69">
              <w:rPr>
                <w:sz w:val="18"/>
                <w:szCs w:val="18"/>
              </w:rPr>
              <w:t> 8 tonnes may be certified to the requirements for goods vehicles &gt; 8 tonnes in which case the requirements of the first row apply.</w:t>
            </w:r>
          </w:p>
        </w:tc>
      </w:tr>
    </w:tbl>
    <w:p w14:paraId="6A98EE15" w14:textId="77777777" w:rsidR="00223F09" w:rsidRPr="007B6E69" w:rsidRDefault="00223F09" w:rsidP="00223F09">
      <w:r w:rsidRPr="007B6E69">
        <w:t>UN R131 also includes failure warning signal, deactivation warning signal, and false reaction tests for the AEB system. In the false reaction test, the subject vehicle is driven for a distance of at least 60 m, at a constant speed of 50 ± 2 km/h to pass centrally between two stationary passenger cars, a distance of 4.5 m apart and facing in the same direction of travel as the subject vehicle. To pass this test, the subject vehicle must not provide any collision warning or initiate any emergency braking phase/response.</w:t>
      </w:r>
    </w:p>
    <w:p w14:paraId="07F2904C" w14:textId="77777777" w:rsidR="00223F09" w:rsidRPr="007B6E69" w:rsidRDefault="00223F09" w:rsidP="00223F09"/>
    <w:p w14:paraId="7F965FF7"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46EC74F3" w14:textId="77777777" w:rsidR="00223F09" w:rsidRPr="007B6E69" w:rsidRDefault="00197BA7" w:rsidP="00E13D3A">
      <w:pPr>
        <w:pStyle w:val="AppendixHeading1"/>
      </w:pPr>
      <w:bookmarkStart w:id="162" w:name="_Toc67060918"/>
      <w:bookmarkStart w:id="163" w:name="_Toc111576735"/>
      <w:bookmarkStart w:id="164" w:name="_Toc143182170"/>
      <w:r w:rsidRPr="007B6E69">
        <w:t xml:space="preserve">Appendix </w:t>
      </w:r>
      <w:r w:rsidR="008B1541">
        <w:t>8</w:t>
      </w:r>
      <w:r w:rsidRPr="007B6E69">
        <w:t xml:space="preserve"> – </w:t>
      </w:r>
      <w:r w:rsidR="00223F09" w:rsidRPr="007B6E69">
        <w:t>Lane Departure Warning Systems</w:t>
      </w:r>
      <w:bookmarkEnd w:id="128"/>
      <w:bookmarkEnd w:id="154"/>
      <w:bookmarkEnd w:id="162"/>
      <w:bookmarkEnd w:id="163"/>
      <w:bookmarkEnd w:id="164"/>
    </w:p>
    <w:p w14:paraId="784F6F9B" w14:textId="77777777" w:rsidR="00223F09" w:rsidRPr="007B6E69" w:rsidRDefault="00223F09" w:rsidP="00223F09">
      <w:r w:rsidRPr="007B6E69">
        <w:t xml:space="preserve">Lane Departure Warning Systems (LDWS) are designed to warn a drowsy or otherwise distracted or inattentive driver of an unintentional drift of the vehicle out of its travel lane. LDWS typically use camera and/or radar sensors to constantly monitor lane markings on the road ahead to detect any unintentional drift of the vehicle out of its lane. When an LDWS detects an unintentional lane departure, it will warn the driver using an escalating combination of visual, audible, and/or haptic (e.g. steering wheel vibration) alerts. LDWS will not provide a warning and will automatically deactivate, when the direction indicator is used. LDWS will usually also automatically deactivate when the vehicle is travelling along a road where the sensors cannot detect lane markings. </w:t>
      </w:r>
    </w:p>
    <w:p w14:paraId="1A798BA4" w14:textId="77777777" w:rsidR="00223F09" w:rsidRPr="007B6E69" w:rsidRDefault="00223F09" w:rsidP="00223F09">
      <w:r w:rsidRPr="007B6E69">
        <w:t>The recognised international standard for LDWS for heavy vehicles is UN Regulation No. 130 (R130) – Uniform provisions concerning the approval of motor vehicles with regard to the Lane Departure Warning System (LDWS). It is applicable for omnibuses (UN category M</w:t>
      </w:r>
      <w:r w:rsidRPr="007B6E69">
        <w:rPr>
          <w:vertAlign w:val="subscript"/>
        </w:rPr>
        <w:t>2</w:t>
      </w:r>
      <w:r w:rsidRPr="007B6E69">
        <w:t xml:space="preserve"> and M</w:t>
      </w:r>
      <w:r w:rsidRPr="007B6E69">
        <w:rPr>
          <w:vertAlign w:val="subscript"/>
        </w:rPr>
        <w:t>3</w:t>
      </w:r>
      <w:r w:rsidRPr="007B6E69">
        <w:t xml:space="preserve"> vehicles), and goods vehicles with a maximum mass over 3.5 tonnes (UN category N</w:t>
      </w:r>
      <w:r w:rsidRPr="007B6E69">
        <w:rPr>
          <w:vertAlign w:val="subscript"/>
        </w:rPr>
        <w:t>2</w:t>
      </w:r>
      <w:r w:rsidRPr="007B6E69">
        <w:t xml:space="preserve"> and N</w:t>
      </w:r>
      <w:r w:rsidRPr="007B6E69">
        <w:rPr>
          <w:vertAlign w:val="subscript"/>
        </w:rPr>
        <w:t>3</w:t>
      </w:r>
      <w:r w:rsidRPr="007B6E69">
        <w:t xml:space="preserve"> vehicles).</w:t>
      </w:r>
    </w:p>
    <w:p w14:paraId="43EECFA5" w14:textId="77777777" w:rsidR="00223F09" w:rsidRPr="007B6E69" w:rsidRDefault="00223F09" w:rsidP="00223F09">
      <w:pPr>
        <w:rPr>
          <w:highlight w:val="yellow"/>
        </w:rPr>
      </w:pPr>
      <w:r w:rsidRPr="007B6E69">
        <w:t>In the introduction (for information) of UN R130 it is noted that there are sub-groups of vehicles where the benefit is uncertain because they are primarily used in conditions other than highway conditions (e.g. buses with standing passengers, off-road vehicles and construction vehicles), and there are other sub-groups where the installation of LDWS would be technically difficult regardless of the benefit (e.g. vehicles equipped with  split windshields, asymmetrical cabs, windshield of high thickness, front hood vehicles, vehicles with front mounted equipment, etc.). This information is provided to assist countries to decide which vehicles (if any) to exempt when incorporating this UN regulation into regional or national law. For example, the EU has exemptions (in EU regional law) from the fitment of LDWS for buses with provision for standing passengers, vehicles with more than three axles, vehicles designed for off-road use (UN category G vehicles – as defined in the UN Consolidated Resolution on the Construction of Vehicles) and certain other special purpose vehicles.</w:t>
      </w:r>
    </w:p>
    <w:p w14:paraId="3BA0C834" w14:textId="77777777" w:rsidR="00223F09" w:rsidRPr="007B6E69" w:rsidRDefault="00223F09" w:rsidP="00223F09">
      <w:pPr>
        <w:rPr>
          <w:highlight w:val="yellow"/>
        </w:rPr>
      </w:pPr>
      <w:r w:rsidRPr="007B6E69">
        <w:t xml:space="preserve">To meet UN R130, a LDWS must be active at vehicle speeds above 60 km/h (unless manually deactivated). If a means (e.g. switch) is provided to manually deactivate the LDWS, the LDWS function must be automatically </w:t>
      </w:r>
      <w:r w:rsidRPr="007B6E69">
        <w:br/>
        <w:t xml:space="preserve">re-instated at the start of each new ignition on (run) cycle, and a constant optical warning must be provided to inform the driver when the LDWS is deactivated. The LDWS is required (when active) to warn the driver if the vehicle crosses over a visible lane marking, when there has been no purposeful demand to do so (including for both straight sections, and curved sections having an inner lane marking with a radius </w:t>
      </w:r>
      <w:r w:rsidRPr="007B6E69">
        <w:rPr>
          <w:rFonts w:cs="Segoe UI"/>
        </w:rPr>
        <w:t>≥</w:t>
      </w:r>
      <w:r w:rsidRPr="007B6E69">
        <w:t xml:space="preserve"> 250 m). The performance of the LDWS is assessed in a series of four tests conducted at a speed of 65 </w:t>
      </w:r>
      <w:r w:rsidRPr="007B6E69">
        <w:rPr>
          <w:rFonts w:cs="Segoe UI"/>
        </w:rPr>
        <w:t>±</w:t>
      </w:r>
      <w:r w:rsidRPr="007B6E69">
        <w:t xml:space="preserve"> 3 km/h. Two of these tests are performed by gently drifting the vehicle to the left, so that the vehicle crosses the lane markings at two different rates of departure within the range 0.1 to 0.8 m/s. The other two tests are performed by gently drifting the vehicle to the right, so that the vehicle crosses the lane markings at two different rates of departure within the range 0.1 to 0.8 m/s. In all tests, the required lane departure warnings must be provided before the outside of the tyre on the front wheel closest to the lane markings passes more than 0.3 m beyond the outside edge of the lane markings. UN R130 also includes failure warning signal and deactivation warning signal tests for the LDWS.</w:t>
      </w:r>
    </w:p>
    <w:p w14:paraId="222D55DF" w14:textId="77777777" w:rsidR="00223F09" w:rsidRPr="007B6E69" w:rsidRDefault="00223F09" w:rsidP="00223F09"/>
    <w:p w14:paraId="404423D4"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111F515D" w14:textId="77777777" w:rsidR="00223F09" w:rsidRPr="007B6E69" w:rsidRDefault="00197BA7" w:rsidP="00E13D3A">
      <w:pPr>
        <w:pStyle w:val="AppendixHeading1"/>
      </w:pPr>
      <w:bookmarkStart w:id="165" w:name="_Toc54095113"/>
      <w:bookmarkStart w:id="166" w:name="_Toc54275953"/>
      <w:bookmarkStart w:id="167" w:name="_Toc67060919"/>
      <w:bookmarkStart w:id="168" w:name="_Toc111576736"/>
      <w:bookmarkStart w:id="169" w:name="_Toc143182171"/>
      <w:bookmarkStart w:id="170" w:name="_Toc54095111"/>
      <w:r w:rsidRPr="007B6E69">
        <w:t xml:space="preserve">Appendix </w:t>
      </w:r>
      <w:r w:rsidR="008B1541">
        <w:t>9</w:t>
      </w:r>
      <w:r w:rsidRPr="007B6E69">
        <w:t xml:space="preserve"> – </w:t>
      </w:r>
      <w:r w:rsidR="00223F09" w:rsidRPr="007B6E69">
        <w:t>Blind Spot Information Systems</w:t>
      </w:r>
      <w:bookmarkEnd w:id="165"/>
      <w:bookmarkEnd w:id="166"/>
      <w:bookmarkEnd w:id="167"/>
      <w:bookmarkEnd w:id="168"/>
      <w:bookmarkEnd w:id="169"/>
    </w:p>
    <w:p w14:paraId="79810BFD" w14:textId="77777777" w:rsidR="00223F09" w:rsidRPr="007B6E69" w:rsidRDefault="00223F09" w:rsidP="00223F09">
      <w:r w:rsidRPr="007B6E69">
        <w:t>Blind Spot Information Systems (BSIS) are designed to inform the driver of a possible collision with another road user (e.g. vehicle, motorcycle, bicycle, or pedestrian) in close-proximity to the vehicle. BSIS typically use radar and/or camera sensors to detect other vehicles, pedestrians, and/or bicyclists in a zone (or zones) a driver is unable to see by direct vision alone. When a BSIS detects a potential collision</w:t>
      </w:r>
      <w:r w:rsidR="00D85F9E">
        <w:t>,</w:t>
      </w:r>
      <w:r w:rsidRPr="007B6E69">
        <w:t xml:space="preserve"> it will warn the driver by means of visual, audible, and/or haptic (e.g. steering wheel vibration) alert(s).</w:t>
      </w:r>
    </w:p>
    <w:p w14:paraId="66B5D362" w14:textId="77777777" w:rsidR="00223F09" w:rsidRPr="007B6E69" w:rsidRDefault="00223F09" w:rsidP="00223F09">
      <w:r w:rsidRPr="007B6E69">
        <w:t>The recognised international standard for BSIS is UN Regulation No. 151 (R151) - Uniform provisions concerning the approval of motor vehicles with regard to the Blind Spot Information System for the Detection of Bicycles (UN, 2020b). It is applicable for goods vehicles with a maximum mass over 8 tonnes (UN category N</w:t>
      </w:r>
      <w:r w:rsidRPr="007B6E69">
        <w:rPr>
          <w:vertAlign w:val="subscript"/>
        </w:rPr>
        <w:t>2</w:t>
      </w:r>
      <w:r w:rsidRPr="007B6E69">
        <w:t> &gt; 8 tonnes and N</w:t>
      </w:r>
      <w:r w:rsidRPr="007B6E69">
        <w:rPr>
          <w:vertAlign w:val="subscript"/>
        </w:rPr>
        <w:t>3</w:t>
      </w:r>
      <w:r w:rsidRPr="007B6E69">
        <w:t xml:space="preserve"> vehicles). Goods vehicles with a maximum mass between 3.5 and 8 tonnes (UN category N</w:t>
      </w:r>
      <w:r w:rsidRPr="007B6E69">
        <w:rPr>
          <w:vertAlign w:val="subscript"/>
        </w:rPr>
        <w:t>2</w:t>
      </w:r>
      <w:r w:rsidRPr="007B6E69">
        <w:t xml:space="preserve"> vehicles </w:t>
      </w:r>
      <w:r w:rsidRPr="007B6E69">
        <w:rPr>
          <w:rFonts w:cs="Segoe UI"/>
        </w:rPr>
        <w:t>≤</w:t>
      </w:r>
      <w:r w:rsidRPr="007B6E69">
        <w:t xml:space="preserve"> 8 tonnes) and omnibuses (UN category M</w:t>
      </w:r>
      <w:r w:rsidRPr="007B6E69">
        <w:rPr>
          <w:vertAlign w:val="subscript"/>
        </w:rPr>
        <w:t>2</w:t>
      </w:r>
      <w:r w:rsidRPr="007B6E69">
        <w:t xml:space="preserve"> and M</w:t>
      </w:r>
      <w:r w:rsidRPr="007B6E69">
        <w:rPr>
          <w:vertAlign w:val="subscript"/>
        </w:rPr>
        <w:t>3</w:t>
      </w:r>
      <w:r w:rsidRPr="007B6E69">
        <w:t xml:space="preserve"> vehicles) may be approved at the request of the manufacturer. UN R151 only covers blind spot systems to inform the driver of a possible collision with a bicycle on the near side of a vehicle (the left side of a vehicle for left-hand traffic or the right side of a vehicle for right-hand traffic). It does not include requirements for systems to detect other vehicles and/or pedestrians, although manufacturers may use the same sensors (i.e. radars and/or cameras) to detect other road users in addition to bicyclists.</w:t>
      </w:r>
    </w:p>
    <w:p w14:paraId="687B34C9" w14:textId="77777777" w:rsidR="00223F09" w:rsidRPr="007B6E69" w:rsidRDefault="00223F09" w:rsidP="00223F09">
      <w:r w:rsidRPr="007B6E69">
        <w:t>To meet UN R151 (UN, 2020b), a BSIS for the detection of bicyclists must be active for all forward vehicle speeds from standstill up to 30 km/h, and pass a range of dynamic and static performance tests. This includes a series of dynamic tests with the subject vehicle (i.e. the truck with BSIS fitted) passing a dummy bicyclist on the near side, at various subject vehicle and bicycle speeds, as well as various lateral separation distances between the subject vehicle and the dummy bicyclist. In each of these dynamic tests, the BSIS must provide a signal to inform the driver of the presence of a bicyclist before the subject vehicle crosses a prescribed line. Two different static tests are also conducted with the subject vehicle stationary and the bicyclist moving. In one of the static tests, the dummy bicyclist is moved in a perpendicular direction (from the near side) to pass in front of the stationary subject vehicle. In the other static test, the dummy bicyclist is moved in a parallel direction alongside the stationary subject vehicle (also on the near side). In each of these static tests, the BSIS must provide a signal to inform the driver of the presence of a bicyclist before the dummy bicyclist passes beyond a specified point (on each path of travel respectively). UN R151 also includes requirements for the BSIS to warn the driver by means of an optical (i.e. visual), acoustic, and/or haptic signal when the risk of a collision with a bicyclist increases. This warning signal must differ in mode or activation strategy from the initial information signal to inform the driver of the presence of a bicyclist. The BSIS must also automatically de-activate when it cannot operate properly due to contamination of its sensors (e.g. by mud, snow or ice) or in low light conditions, and must provide the driver with a failure warning whenever the system is in a state (including due to automatic deactivation) in which it will no longer meet the performance requirements of the regulation.</w:t>
      </w:r>
    </w:p>
    <w:p w14:paraId="59A4E938" w14:textId="77777777" w:rsidR="00223F09" w:rsidRPr="007B6E69" w:rsidRDefault="00223F09" w:rsidP="00223F09"/>
    <w:p w14:paraId="26940042" w14:textId="77777777" w:rsidR="00223F09" w:rsidRPr="007B6E69" w:rsidRDefault="00223F09" w:rsidP="00E13D3A">
      <w:pPr>
        <w:pStyle w:val="Heading2"/>
        <w:rPr>
          <w:lang w:val="en-AU"/>
        </w:rPr>
        <w:sectPr w:rsidR="00223F09" w:rsidRPr="007B6E69" w:rsidSect="00237D88">
          <w:pgSz w:w="11906" w:h="16838" w:code="9"/>
          <w:pgMar w:top="2835" w:right="1049" w:bottom="1701" w:left="1049" w:header="1276" w:footer="709" w:gutter="0"/>
          <w:cols w:space="708"/>
          <w:docGrid w:linePitch="360"/>
        </w:sectPr>
      </w:pPr>
    </w:p>
    <w:p w14:paraId="16DAA192" w14:textId="77777777" w:rsidR="00223F09" w:rsidRPr="007B6E69" w:rsidRDefault="00197BA7" w:rsidP="00E13D3A">
      <w:pPr>
        <w:pStyle w:val="AppendixHeading1"/>
      </w:pPr>
      <w:bookmarkStart w:id="171" w:name="_Toc54275954"/>
      <w:bookmarkStart w:id="172" w:name="_Toc67060920"/>
      <w:bookmarkStart w:id="173" w:name="_Toc111576737"/>
      <w:bookmarkStart w:id="174" w:name="_Toc143182172"/>
      <w:r w:rsidRPr="007B6E69">
        <w:t xml:space="preserve">Appendix </w:t>
      </w:r>
      <w:r w:rsidR="008B1541">
        <w:t>10</w:t>
      </w:r>
      <w:r w:rsidRPr="007B6E69">
        <w:t xml:space="preserve"> – </w:t>
      </w:r>
      <w:r w:rsidR="00223F09" w:rsidRPr="007B6E69">
        <w:t xml:space="preserve">Side </w:t>
      </w:r>
      <w:bookmarkEnd w:id="170"/>
      <w:bookmarkEnd w:id="171"/>
      <w:r w:rsidR="00223F09" w:rsidRPr="007B6E69">
        <w:t>underrun protection</w:t>
      </w:r>
      <w:bookmarkEnd w:id="172"/>
      <w:bookmarkEnd w:id="173"/>
      <w:bookmarkEnd w:id="174"/>
    </w:p>
    <w:p w14:paraId="5C751D5A" w14:textId="77777777" w:rsidR="00223F09" w:rsidRPr="007B6E69" w:rsidRDefault="00223F09" w:rsidP="00223F09">
      <w:r w:rsidRPr="007B6E69">
        <w:t>Side underrun protection can be provided on heavy freight vehicles through the installation of lateral protection devices (LPDs). These offer protection to pedestrians, cyclists or motorcyclists against the risk of falling under the sides of a goods vehicle or trailer, and being caught under the wheels, in particular when heavy vehicles are turning in urban areas. LPDs are made up of a combination of longitudinal member(s) and link(s) (fixing elements) to the chassis side members or other structural parts of the vehicle.</w:t>
      </w:r>
    </w:p>
    <w:p w14:paraId="13F3F232" w14:textId="77777777" w:rsidR="00223F09" w:rsidRPr="007B6E69" w:rsidRDefault="00223F09" w:rsidP="00223F09">
      <w:r w:rsidRPr="007B6E69">
        <w:t>The recognised international standard for side underrun protection is the UN Regulation No. 73 (R73) – Uniform provisions concerning the approval of:</w:t>
      </w:r>
    </w:p>
    <w:p w14:paraId="109F1C3E" w14:textId="77777777" w:rsidR="00223F09" w:rsidRPr="007B6E69" w:rsidRDefault="00223F09" w:rsidP="00223F09">
      <w:pPr>
        <w:ind w:firstLine="454"/>
      </w:pPr>
      <w:r w:rsidRPr="007B6E69">
        <w:t>I. Vehicles with regard to their lateral protection devices (LPD);</w:t>
      </w:r>
    </w:p>
    <w:p w14:paraId="430B3337" w14:textId="77777777" w:rsidR="00223F09" w:rsidRPr="007B6E69" w:rsidRDefault="00223F09" w:rsidP="00223F09">
      <w:pPr>
        <w:ind w:firstLine="454"/>
      </w:pPr>
      <w:r w:rsidRPr="007B6E69">
        <w:t>II. Lateral protection devices (LPD); and</w:t>
      </w:r>
    </w:p>
    <w:p w14:paraId="1FB8A3C4" w14:textId="77777777" w:rsidR="00223F09" w:rsidRPr="007B6E69" w:rsidRDefault="00223F09" w:rsidP="00223F09">
      <w:pPr>
        <w:ind w:left="709" w:hanging="255"/>
      </w:pPr>
      <w:r w:rsidRPr="007B6E69">
        <w:t>III. Vehicles with regard to the installation of LPD of an approved type according to part II of this regulation.</w:t>
      </w:r>
    </w:p>
    <w:p w14:paraId="096F676E" w14:textId="77777777" w:rsidR="00223F09" w:rsidRPr="007B6E69" w:rsidRDefault="00223F09" w:rsidP="00223F09">
      <w:r w:rsidRPr="007B6E69">
        <w:t>UN R73 applies to goods vehicles and trailers with a maximum mass over 3.5 tonnes (UN category N</w:t>
      </w:r>
      <w:r w:rsidRPr="007B6E69">
        <w:rPr>
          <w:vertAlign w:val="subscript"/>
        </w:rPr>
        <w:t>2</w:t>
      </w:r>
      <w:r w:rsidRPr="007B6E69">
        <w:t>, N</w:t>
      </w:r>
      <w:r w:rsidRPr="007B6E69">
        <w:rPr>
          <w:vertAlign w:val="subscript"/>
        </w:rPr>
        <w:t>3</w:t>
      </w:r>
      <w:r w:rsidRPr="007B6E69">
        <w:t>, O</w:t>
      </w:r>
      <w:r w:rsidRPr="007B6E69">
        <w:rPr>
          <w:vertAlign w:val="subscript"/>
        </w:rPr>
        <w:t>3</w:t>
      </w:r>
      <w:r w:rsidRPr="007B6E69">
        <w:t>, and O</w:t>
      </w:r>
      <w:r w:rsidRPr="007B6E69">
        <w:rPr>
          <w:vertAlign w:val="subscript"/>
        </w:rPr>
        <w:t xml:space="preserve">4 </w:t>
      </w:r>
      <w:r w:rsidRPr="007B6E69">
        <w:t>vehicles). It does not apply to tractors for semi-trailers (i.e. prime movers) and vehicles designed and constructed for special purposes where it is not possible, for practical reasons, to fit LPDs.</w:t>
      </w:r>
    </w:p>
    <w:p w14:paraId="11DF968B" w14:textId="77777777" w:rsidR="00223F09" w:rsidRPr="007B6E69" w:rsidRDefault="00223F09" w:rsidP="00223F09">
      <w:r w:rsidRPr="007B6E69">
        <w:t>Under UN R73, LPDs may consist of a continuous flat surface, or of one or more horizontal rails/members, or a combination of surfaces and rails. Further, components permanently affixed to the vehicle (e.g. fuel tanks, air tanks, tool boxes, battery boxes etc.) can be used as LPDs, as long as they comply with the design and performance requirements of the regulation. LPDs may also be designed to have several adjustment positions at the side of the vehicle, including for example to include elements that can be moved to provide access to storage space under the vehicle (e.g. for trailer gates, a spare wheel carrier etc.).</w:t>
      </w:r>
    </w:p>
    <w:p w14:paraId="499F1316" w14:textId="77777777" w:rsidR="00223F09" w:rsidRPr="007B6E69" w:rsidRDefault="00223F09" w:rsidP="00223F09">
      <w:r w:rsidRPr="007B6E69">
        <w:t>To meet UN R73, LPDs must not increase the overall width of the vehicle, or be any more than 150 mm inboard (at the main part of the outer surface) of the outermost planes between which the maximum vehicle width is measured. Further, the rear end (rearmost 250 mm) of an LPD must not be any more than 30 mm inboard of the outermost edge of the rear tyres (excluding any bulging of the tyres near the ground). Combinations of surfaces and rails must form a practically continuous LPD member from front to rear, with no more than a 25 mm gap permitted between adjacent components. Where horizontal rails are used in LPDs, these must be at least 50 mm high for UN category N</w:t>
      </w:r>
      <w:r w:rsidRPr="007B6E69">
        <w:rPr>
          <w:vertAlign w:val="subscript"/>
        </w:rPr>
        <w:t xml:space="preserve">2 </w:t>
      </w:r>
      <w:r w:rsidRPr="007B6E69">
        <w:t>and O</w:t>
      </w:r>
      <w:r w:rsidRPr="007B6E69">
        <w:rPr>
          <w:vertAlign w:val="subscript"/>
        </w:rPr>
        <w:t>3</w:t>
      </w:r>
      <w:r w:rsidRPr="007B6E69">
        <w:t xml:space="preserve"> vehicles, and at least 100 mm high for UN category N</w:t>
      </w:r>
      <w:r w:rsidRPr="007B6E69">
        <w:rPr>
          <w:vertAlign w:val="subscript"/>
        </w:rPr>
        <w:t>3</w:t>
      </w:r>
      <w:r w:rsidRPr="007B6E69">
        <w:t xml:space="preserve"> and O</w:t>
      </w:r>
      <w:r w:rsidRPr="007B6E69">
        <w:rPr>
          <w:vertAlign w:val="subscript"/>
        </w:rPr>
        <w:t xml:space="preserve">4 </w:t>
      </w:r>
      <w:r w:rsidRPr="007B6E69">
        <w:t>vehicles. The vertical gap between rails must not be any more than 300 mm.</w:t>
      </w:r>
    </w:p>
    <w:p w14:paraId="76ABFC7E" w14:textId="3F45300C" w:rsidR="00223F09" w:rsidRPr="007B6E69" w:rsidRDefault="00534814" w:rsidP="00223F09">
      <w:r w:rsidRPr="007B6E69">
        <w:t xml:space="preserve">Figure </w:t>
      </w:r>
      <w:r>
        <w:rPr>
          <w:noProof/>
        </w:rPr>
        <w:t>19</w:t>
      </w:r>
      <w:r w:rsidR="00776BE7">
        <w:t xml:space="preserve"> </w:t>
      </w:r>
      <w:r w:rsidR="00223F09" w:rsidRPr="007B6E69">
        <w:t xml:space="preserve">and </w:t>
      </w:r>
      <w:r w:rsidRPr="007B6E69">
        <w:t xml:space="preserve">Figure </w:t>
      </w:r>
      <w:r>
        <w:rPr>
          <w:noProof/>
        </w:rPr>
        <w:t>20</w:t>
      </w:r>
      <w:r w:rsidR="00223F09" w:rsidRPr="007B6E69">
        <w:t xml:space="preserve"> include example illustrations of the fitment of LPDs for a rigid truck and a semi-trailer respectively, including key UN R73 dimensional/position requirements. For all vehicles, the lower edge of the LPD must not be any more than 550 mm from the ground. The permissible gaps at the front, rear and upper edge of the LPD vary by vehicle category and design/purpose (e.g. truck, semi-trailer, full-trailer etc.). In the case of a vehicle having two steered axles, an LPD is not required between these axles if the longitudinal distance between the centrelines of the axles is no greater than 2.1 m.</w:t>
      </w:r>
    </w:p>
    <w:p w14:paraId="3F02753F" w14:textId="77777777" w:rsidR="00223F09" w:rsidRPr="007B6E69" w:rsidRDefault="00223F09" w:rsidP="00223F09">
      <w:pPr>
        <w:keepNext/>
      </w:pPr>
      <w:r w:rsidRPr="007B6E69">
        <w:rPr>
          <w:noProof/>
          <w:lang w:eastAsia="en-AU"/>
        </w:rPr>
        <w:drawing>
          <wp:inline distT="0" distB="0" distL="0" distR="0" wp14:anchorId="0C3B45CA" wp14:editId="7710C7B5">
            <wp:extent cx="5615363" cy="4608000"/>
            <wp:effectExtent l="0" t="0" r="4445" b="2540"/>
            <wp:docPr id="43" name="Picture 43" descr="Figure 19&#10;&#10;Illustration (side view and overhead/plan view) of a rigid truck utilising fuel tanks and horizontal rails/members on each side as lateral protection devices for side underrun protection, including key UN R73 dimensional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615363" cy="4608000"/>
                    </a:xfrm>
                    <a:prstGeom prst="rect">
                      <a:avLst/>
                    </a:prstGeom>
                    <a:noFill/>
                  </pic:spPr>
                </pic:pic>
              </a:graphicData>
            </a:graphic>
          </wp:inline>
        </w:drawing>
      </w:r>
    </w:p>
    <w:p w14:paraId="5C58B4F2" w14:textId="1741A87F" w:rsidR="00223F09" w:rsidRPr="007B6E69" w:rsidRDefault="00D84D3A" w:rsidP="00D84D3A">
      <w:pPr>
        <w:pStyle w:val="Caption"/>
      </w:pPr>
      <w:bookmarkStart w:id="175" w:name="_Ref132880493"/>
      <w:bookmarkStart w:id="176" w:name="_Ref132880474"/>
      <w:bookmarkStart w:id="177" w:name="_Toc135321409"/>
      <w:r w:rsidRPr="007B6E69">
        <w:t xml:space="preserve">Figure </w:t>
      </w:r>
      <w:r w:rsidR="00534814">
        <w:rPr>
          <w:noProof/>
        </w:rPr>
        <w:t>19</w:t>
      </w:r>
      <w:bookmarkEnd w:id="175"/>
      <w:r w:rsidRPr="007B6E69">
        <w:t xml:space="preserve">: </w:t>
      </w:r>
      <w:r w:rsidR="00223F09" w:rsidRPr="007B6E69">
        <w:t>Illustration (side view and overhead/plan view) of a rigid truck utilising fuel tanks and horizontal rails/members on each side as LPDs for side underrun protection, including key UN R73 dimensional limits</w:t>
      </w:r>
      <w:bookmarkEnd w:id="176"/>
      <w:bookmarkEnd w:id="177"/>
    </w:p>
    <w:p w14:paraId="5222978E" w14:textId="77777777" w:rsidR="00223F09" w:rsidRPr="007B6E69" w:rsidRDefault="00223F09" w:rsidP="00223F09">
      <w:pPr>
        <w:keepNext/>
      </w:pPr>
      <w:r w:rsidRPr="007B6E69">
        <w:rPr>
          <w:noProof/>
          <w:lang w:eastAsia="en-AU"/>
        </w:rPr>
        <w:drawing>
          <wp:inline distT="0" distB="0" distL="0" distR="0" wp14:anchorId="30762138" wp14:editId="097B0D44">
            <wp:extent cx="6191994" cy="2113757"/>
            <wp:effectExtent l="0" t="0" r="0" b="1270"/>
            <wp:docPr id="44" name="Picture 44" descr="Figure 20 side view only illustration of a semi-trailer fitted with horizontal rails as lateral protection devices for side underrun protection, including key dimensional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191994" cy="2113757"/>
                    </a:xfrm>
                    <a:prstGeom prst="rect">
                      <a:avLst/>
                    </a:prstGeom>
                    <a:noFill/>
                  </pic:spPr>
                </pic:pic>
              </a:graphicData>
            </a:graphic>
          </wp:inline>
        </w:drawing>
      </w:r>
    </w:p>
    <w:p w14:paraId="141D1528" w14:textId="036F1312" w:rsidR="00223F09" w:rsidRPr="007B6E69" w:rsidRDefault="00223F09" w:rsidP="00223F09">
      <w:pPr>
        <w:pStyle w:val="Caption"/>
      </w:pPr>
      <w:bookmarkStart w:id="178" w:name="_Ref57723820"/>
      <w:bookmarkStart w:id="179" w:name="_Toc135321410"/>
      <w:r w:rsidRPr="007B6E69">
        <w:t xml:space="preserve">Figure </w:t>
      </w:r>
      <w:r w:rsidR="00534814">
        <w:rPr>
          <w:noProof/>
        </w:rPr>
        <w:t>20</w:t>
      </w:r>
      <w:bookmarkEnd w:id="178"/>
      <w:r w:rsidR="00F43CC2" w:rsidRPr="007B6E69">
        <w:t xml:space="preserve">: </w:t>
      </w:r>
      <w:r w:rsidRPr="007B6E69">
        <w:t>Illustration (side view only) of a semi-trailer fitted with horizontal rails/members as LPDs for side underrun protection, including key UN R73 dimensional limits</w:t>
      </w:r>
      <w:bookmarkEnd w:id="179"/>
    </w:p>
    <w:p w14:paraId="3AC14898" w14:textId="77777777" w:rsidR="00223F09" w:rsidRPr="007B6E69" w:rsidRDefault="00223F09" w:rsidP="00223F09">
      <w:r w:rsidRPr="007B6E69">
        <w:t xml:space="preserve">To meet UN R73, LPDs must be capable of withstanding a horizontal static force of 1 </w:t>
      </w:r>
      <w:proofErr w:type="spellStart"/>
      <w:r w:rsidRPr="007B6E69">
        <w:t>kN</w:t>
      </w:r>
      <w:proofErr w:type="spellEnd"/>
      <w:r w:rsidRPr="007B6E69">
        <w:t xml:space="preserve"> applied perpendicularly to any part of their external surface by the centre of a ram, the face of which is circular and flat, with a diameter of 220 mm </w:t>
      </w:r>
      <w:r w:rsidRPr="007B6E69">
        <w:rPr>
          <w:rFonts w:cs="Segoe UI"/>
        </w:rPr>
        <w:t>±</w:t>
      </w:r>
      <w:r w:rsidRPr="007B6E69">
        <w:t xml:space="preserve"> 10 mm. The deflection of the LPD under load (measured at the centre of the ram) must not be more than 30 mm over the rearmost 250 mm of the LPD, and not more than 150 mm over the remainder of the LPD. This level of force has been set to ensure LPDs are sufficiently strong to be effective in collisions with vulnerable road users (in particular, pedestrians and bicyclists). LPDs may also provide some protection, for near parallel (i.e. sideswipe) collisions with light vehicles in adjacent lanes (e.g. during a lane departure), but this is not guaranteed. LPDs are not required to have sufficient structural strength to prevent the underrun of a passenger car in a side (i.e. lateral) impact crash.</w:t>
      </w:r>
    </w:p>
    <w:p w14:paraId="240AB760" w14:textId="77777777" w:rsidR="00223F09" w:rsidRPr="007B6E69" w:rsidRDefault="00223F09" w:rsidP="00223F09">
      <w:r w:rsidRPr="007B6E69">
        <w:t>UN R73 provides some exemptions/relaxations from the full requirements, for extendible trailers, tank vehicles (designed solely for the purpose of carrying fluids), vehicles fitted with extendible legs (for additional stability during loading/unloading), vehicles fitted with a crane, and in any case where the vehicle is designed/equipped that by their shape and characteristics the component parts together may be regarded as replacing the LPD. For example, extendible trailers need only comply with the full set of requirements when adjusted to the minimum length.</w:t>
      </w:r>
    </w:p>
    <w:p w14:paraId="4A29B4A4" w14:textId="77777777" w:rsidR="00223F09" w:rsidRPr="007B6E69" w:rsidRDefault="00223F09" w:rsidP="00223F09"/>
    <w:p w14:paraId="3D03DE75" w14:textId="77777777"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14:paraId="5879F10A" w14:textId="77777777" w:rsidR="00223F09" w:rsidRPr="007B6E69" w:rsidRDefault="00197BA7" w:rsidP="00E13D3A">
      <w:pPr>
        <w:pStyle w:val="AppendixHeading1"/>
      </w:pPr>
      <w:bookmarkStart w:id="180" w:name="_Toc67060921"/>
      <w:bookmarkStart w:id="181" w:name="_Toc111576738"/>
      <w:bookmarkStart w:id="182" w:name="_Toc143182173"/>
      <w:r w:rsidRPr="007B6E69">
        <w:t xml:space="preserve">Appendix </w:t>
      </w:r>
      <w:r w:rsidR="000D2AED">
        <w:t>1</w:t>
      </w:r>
      <w:r w:rsidR="008B1541">
        <w:t>1</w:t>
      </w:r>
      <w:r w:rsidRPr="007B6E69">
        <w:t xml:space="preserve"> – </w:t>
      </w:r>
      <w:proofErr w:type="spellStart"/>
      <w:r w:rsidR="00223F09" w:rsidRPr="007B6E69">
        <w:t>Conspicuity</w:t>
      </w:r>
      <w:proofErr w:type="spellEnd"/>
      <w:r w:rsidR="00223F09" w:rsidRPr="007B6E69">
        <w:t xml:space="preserve"> markings</w:t>
      </w:r>
      <w:bookmarkEnd w:id="180"/>
      <w:bookmarkEnd w:id="181"/>
      <w:bookmarkEnd w:id="182"/>
    </w:p>
    <w:p w14:paraId="5920F1DC" w14:textId="77777777" w:rsidR="00223F09" w:rsidRPr="007B6E69" w:rsidRDefault="00223F09" w:rsidP="00223F09">
      <w:proofErr w:type="spellStart"/>
      <w:r w:rsidRPr="007B6E69">
        <w:t>Conspicuity</w:t>
      </w:r>
      <w:proofErr w:type="spellEnd"/>
      <w:r w:rsidRPr="007B6E69">
        <w:t xml:space="preserve"> markings can be fitted to heavy freight vehicles to make them easier for drivers of other vehicles to see at night (or in low light conditions), when viewed from the side or rear (or in the case of trailers, additionally from the front). </w:t>
      </w:r>
      <w:proofErr w:type="spellStart"/>
      <w:r w:rsidRPr="007B6E69">
        <w:t>Conspicuity</w:t>
      </w:r>
      <w:proofErr w:type="spellEnd"/>
      <w:r w:rsidRPr="007B6E69">
        <w:t xml:space="preserve"> markings include special material to reflect light emanating from the headlamps of another vehicle.</w:t>
      </w:r>
    </w:p>
    <w:p w14:paraId="5FEB6DF8" w14:textId="77777777" w:rsidR="00223F09" w:rsidRPr="007B6E69" w:rsidRDefault="00223F09" w:rsidP="00223F09">
      <w:r w:rsidRPr="007B6E69">
        <w:t xml:space="preserve">The UN Regulation No. 48 (R48) – Uniform provisions concerning the approval of vehicles with regard to the installation of lighting and light-signalling devices (UN, 2014c), is the recognised international standard for the fitment of </w:t>
      </w:r>
      <w:proofErr w:type="spellStart"/>
      <w:r w:rsidRPr="007B6E69">
        <w:t>conspicuity</w:t>
      </w:r>
      <w:proofErr w:type="spellEnd"/>
      <w:r w:rsidRPr="007B6E69">
        <w:t xml:space="preserve"> markings to road vehicles. The UN Regulation No. 104 (R104) – Uniform provisions concerning the approval of retroreflective markings for vehicles of categories M, N and O (UN, 2010), and the UN Regulation No. 150 (R150) – Uniform provisions concerning the approval of retro-reflective devices and markings for power-driven vehicles and their trailers (UN, 2020a), are the recognised international standards for the retroreflective material used for vehicle </w:t>
      </w:r>
      <w:proofErr w:type="spellStart"/>
      <w:r w:rsidRPr="007B6E69">
        <w:t>conspicuity</w:t>
      </w:r>
      <w:proofErr w:type="spellEnd"/>
      <w:r w:rsidRPr="007B6E69">
        <w:t xml:space="preserve"> markings.</w:t>
      </w:r>
    </w:p>
    <w:p w14:paraId="65E6B642" w14:textId="77777777" w:rsidR="00223F09" w:rsidRPr="007B6E69" w:rsidRDefault="00223F09" w:rsidP="00223F09">
      <w:r w:rsidRPr="007B6E69">
        <w:t xml:space="preserve">Under UN R48 (UN, 2014c), </w:t>
      </w:r>
      <w:proofErr w:type="spellStart"/>
      <w:r w:rsidRPr="007B6E69">
        <w:t>conspicuity</w:t>
      </w:r>
      <w:proofErr w:type="spellEnd"/>
      <w:r w:rsidRPr="007B6E69">
        <w:t xml:space="preserve"> markings are categorised as either contour markings or line markings. Contour markings are used to indicate the horizontal and vertical dimensions (length, width and height) of a vehicle. Line markings are used to indicate the horizontal dimensions (length and width) of a vehicle by a continuous line. Contour markings are further categorised as either full contour markings or partial contour markings. Full contour markings indicate the outline of the vehicle by a continuous line. Partial contour markings indicate the horizontal dimension of the vehicle by a continuous line, and the vertical dimension by marking the upper corners. </w:t>
      </w:r>
      <w:proofErr w:type="spellStart"/>
      <w:r w:rsidRPr="007B6E69">
        <w:t>Conspicuity</w:t>
      </w:r>
      <w:proofErr w:type="spellEnd"/>
      <w:r w:rsidRPr="007B6E69">
        <w:t xml:space="preserve"> markings are considered continuous if the distance between adjacent elements is as small as possible and does not exceed 50</w:t>
      </w:r>
      <w:r w:rsidR="00803A6C">
        <w:t xml:space="preserve">% </w:t>
      </w:r>
      <w:r w:rsidRPr="007B6E69">
        <w:t>of the shortest adjacent element length.</w:t>
      </w:r>
    </w:p>
    <w:p w14:paraId="5EEAE2C8" w14:textId="77777777" w:rsidR="00223F09" w:rsidRPr="007B6E69" w:rsidRDefault="00223F09" w:rsidP="00223F09">
      <w:r w:rsidRPr="007B6E69">
        <w:t xml:space="preserve">To meet UN R48 (UN, 2014c), goods vehicles over 7.5 tonnes maximum mass and trailers over 3.5 tonnes maximum mass, which are more than 2.1 m in overall width, must be fitted with full contour markings to the rear (with the exception of chassis-cabs, incomplete vehicles and tractors for semi-trailers (i.e. prime movers)). Further, goods vehicles over 7.5 tonnes maximum mass and trailers over 3.5 tonnes maximum mass, which are more than 6 m in length (including any drawbar for trailers), must be fitted with either partial or full contour markings to the side (with the exception of chassis-cabs, incomplete vehicles and tractors for semi-trailers (i.e. prime movers)). A line marking may be installed in place of a prescribed contour marking if the shape, structure, design or operational requirements of the vehicle make it impossible to install a contour marking. Line markings may be applied to the front of trailers. Partial or full contour markings must not be fitted at the front of any </w:t>
      </w:r>
      <w:r w:rsidR="00962F16">
        <w:t xml:space="preserve">goods </w:t>
      </w:r>
      <w:r w:rsidRPr="007B6E69">
        <w:t xml:space="preserve">vehicle. </w:t>
      </w:r>
      <w:proofErr w:type="spellStart"/>
      <w:r w:rsidRPr="007B6E69">
        <w:t>Conspicuity</w:t>
      </w:r>
      <w:proofErr w:type="spellEnd"/>
      <w:r w:rsidRPr="007B6E69">
        <w:t xml:space="preserve"> markings must be white to the front (applies for optional </w:t>
      </w:r>
      <w:r w:rsidR="004A7783" w:rsidRPr="007B6E69">
        <w:t>front-line</w:t>
      </w:r>
      <w:r w:rsidRPr="007B6E69">
        <w:t xml:space="preserve"> markings on trailers only), white or yellow to the side, and red or yellow to the rear.</w:t>
      </w:r>
    </w:p>
    <w:p w14:paraId="740B0691" w14:textId="77777777" w:rsidR="00223F09" w:rsidRPr="007B6E69" w:rsidRDefault="00223F09" w:rsidP="00223F09">
      <w:r w:rsidRPr="007B6E69">
        <w:t xml:space="preserve">Under UN R48 (UN, 2014c), </w:t>
      </w:r>
      <w:proofErr w:type="spellStart"/>
      <w:r w:rsidRPr="007B6E69">
        <w:t>conspicuity</w:t>
      </w:r>
      <w:proofErr w:type="spellEnd"/>
      <w:r w:rsidRPr="007B6E69">
        <w:t xml:space="preserve"> markings must be fitted as close as practicable to horizontal and vertical, compatible with the shape, structure, design and operational requirements of the vehicle; or if this is not possible, the full or partial contour markings (when fitted), shall follow as close as practicable the contour of the outer shape of the vehicle. Further, the </w:t>
      </w:r>
      <w:proofErr w:type="spellStart"/>
      <w:r w:rsidRPr="007B6E69">
        <w:t>conspicuity</w:t>
      </w:r>
      <w:proofErr w:type="spellEnd"/>
      <w:r w:rsidRPr="007B6E69">
        <w:t xml:space="preserve"> markings must be spaced as evenly as possible over the horizontal dimensions of the vehicle, such that the total length and/or width of the vehicle can be identified. The </w:t>
      </w:r>
      <w:proofErr w:type="spellStart"/>
      <w:r w:rsidRPr="007B6E69">
        <w:t>conspicuity</w:t>
      </w:r>
      <w:proofErr w:type="spellEnd"/>
      <w:r w:rsidRPr="007B6E69">
        <w:t xml:space="preserve"> markings must reach as close as practicable to the front, side and rear edges (in width and length) of the vehicle, including within a prescribed limit of 600 mm of each end of the vehicle. Line and contour marking lower elements must be as low as practicable within the range, 250 mm to 1,500 mm above the ground level (unless approved to be higher (up to 2,500 mm) for practical reasons/limitations). Contour marking upper elements must be as high as practicable, but within 400 mm of the upper extremity of the vehicle.</w:t>
      </w:r>
    </w:p>
    <w:p w14:paraId="6607E8CD" w14:textId="2719C036" w:rsidR="00223F09" w:rsidRPr="007B6E69" w:rsidRDefault="00534814" w:rsidP="00223F09">
      <w:r w:rsidRPr="007B6E69">
        <w:t xml:space="preserve">Figure </w:t>
      </w:r>
      <w:r>
        <w:rPr>
          <w:noProof/>
        </w:rPr>
        <w:t>21</w:t>
      </w:r>
      <w:r w:rsidR="00223F09" w:rsidRPr="007B6E69">
        <w:t xml:space="preserve"> shows an illustration of partial (yellow) contour markings on the side and full (red) contour markings on the rear of a semi-trailer. The Australian Trucking Association has published a Technical Advisory Procedure for heavy vehicle visibility, which includes further details and practical guidance, including examples/images for the application of </w:t>
      </w:r>
      <w:proofErr w:type="spellStart"/>
      <w:r w:rsidR="00223F09" w:rsidRPr="007B6E69">
        <w:t>conspicuity</w:t>
      </w:r>
      <w:proofErr w:type="spellEnd"/>
      <w:r w:rsidR="00223F09" w:rsidRPr="007B6E69">
        <w:t xml:space="preserve"> markings to a range of truck and trailer body configurations, including tankers, rubbish trucks, skip loaders, car carriers, and concrete agitators (ATA, 2016).</w:t>
      </w:r>
    </w:p>
    <w:p w14:paraId="587AF1B0" w14:textId="77777777" w:rsidR="00223F09" w:rsidRPr="007B6E69" w:rsidRDefault="00223F09" w:rsidP="00223F09">
      <w:pPr>
        <w:keepNext/>
      </w:pPr>
      <w:r w:rsidRPr="007B6E69">
        <w:rPr>
          <w:noProof/>
          <w:lang w:eastAsia="en-AU"/>
        </w:rPr>
        <w:drawing>
          <wp:inline distT="0" distB="0" distL="0" distR="0" wp14:anchorId="77FD2FB2" wp14:editId="5BA3F271">
            <wp:extent cx="6192000" cy="1835818"/>
            <wp:effectExtent l="0" t="0" r="0" b="0"/>
            <wp:docPr id="2721" name="Picture 2721" descr="Figure 21&#10;&#10;Illustration of partial yellow contour markings on the side and full red contour markings on the rear of a &#10;semi-trail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picuity Markings on a Semitrailer.jpg"/>
                    <pic:cNvPicPr/>
                  </pic:nvPicPr>
                  <pic:blipFill>
                    <a:blip r:embed="rId69">
                      <a:extLst>
                        <a:ext uri="{28A0092B-C50C-407E-A947-70E740481C1C}">
                          <a14:useLocalDpi xmlns:a14="http://schemas.microsoft.com/office/drawing/2010/main" val="0"/>
                        </a:ext>
                      </a:extLst>
                    </a:blip>
                    <a:stretch>
                      <a:fillRect/>
                    </a:stretch>
                  </pic:blipFill>
                  <pic:spPr>
                    <a:xfrm>
                      <a:off x="0" y="0"/>
                      <a:ext cx="6192000" cy="1835818"/>
                    </a:xfrm>
                    <a:prstGeom prst="rect">
                      <a:avLst/>
                    </a:prstGeom>
                  </pic:spPr>
                </pic:pic>
              </a:graphicData>
            </a:graphic>
          </wp:inline>
        </w:drawing>
      </w:r>
    </w:p>
    <w:p w14:paraId="7F96D862" w14:textId="40E089DA" w:rsidR="00223F09" w:rsidRPr="007B6E69" w:rsidRDefault="00223F09" w:rsidP="00223F09">
      <w:pPr>
        <w:pStyle w:val="Caption"/>
      </w:pPr>
      <w:bookmarkStart w:id="183" w:name="_Ref57823197"/>
      <w:bookmarkStart w:id="184" w:name="_Toc135321411"/>
      <w:r w:rsidRPr="007B6E69">
        <w:t xml:space="preserve">Figure </w:t>
      </w:r>
      <w:r w:rsidR="00534814">
        <w:rPr>
          <w:noProof/>
        </w:rPr>
        <w:t>21</w:t>
      </w:r>
      <w:bookmarkEnd w:id="183"/>
      <w:r w:rsidR="00F43CC2" w:rsidRPr="007B6E69">
        <w:t xml:space="preserve">: </w:t>
      </w:r>
      <w:r w:rsidRPr="007B6E69">
        <w:t xml:space="preserve">Illustration of partial (yellow) contour markings on the side and full (red) contour markings on the rear of a </w:t>
      </w:r>
      <w:r w:rsidRPr="007B6E69">
        <w:br/>
        <w:t>semi-trailer</w:t>
      </w:r>
      <w:bookmarkEnd w:id="184"/>
    </w:p>
    <w:p w14:paraId="58F81392" w14:textId="77777777" w:rsidR="00223F09" w:rsidRPr="007B6E69" w:rsidRDefault="00223F09" w:rsidP="00CB0342"/>
    <w:p w14:paraId="4013BE80" w14:textId="77777777" w:rsidR="00223F09" w:rsidRPr="007B6E69" w:rsidRDefault="00223F09" w:rsidP="00223F09">
      <w:pPr>
        <w:sectPr w:rsidR="00223F09" w:rsidRPr="007B6E69" w:rsidSect="00DE3EBA">
          <w:pgSz w:w="11906" w:h="16838" w:code="9"/>
          <w:pgMar w:top="1021" w:right="1021" w:bottom="1021" w:left="1021" w:header="1276" w:footer="709" w:gutter="0"/>
          <w:cols w:space="708"/>
          <w:docGrid w:linePitch="360"/>
        </w:sectPr>
      </w:pPr>
    </w:p>
    <w:p w14:paraId="50801502" w14:textId="77777777" w:rsidR="00CB0342" w:rsidRPr="007B6E69" w:rsidRDefault="00CB0342" w:rsidP="00CB0342">
      <w:pPr>
        <w:pStyle w:val="AppendixHeading1"/>
      </w:pPr>
      <w:bookmarkStart w:id="185" w:name="_Toc111576739"/>
      <w:bookmarkStart w:id="186" w:name="_Toc143182174"/>
      <w:r w:rsidRPr="007B6E69">
        <w:t>Appendix 1</w:t>
      </w:r>
      <w:r w:rsidR="008B1541">
        <w:t>2</w:t>
      </w:r>
      <w:r w:rsidRPr="007B6E69">
        <w:t xml:space="preserve"> – Strategic Vehicle Safety and Environment Group</w:t>
      </w:r>
      <w:bookmarkEnd w:id="185"/>
      <w:bookmarkEnd w:id="186"/>
    </w:p>
    <w:p w14:paraId="5CB2C5C4" w14:textId="77777777" w:rsidR="00223F09" w:rsidRPr="007B6E69" w:rsidRDefault="00CB0342" w:rsidP="00CB0342">
      <w:pPr>
        <w:spacing w:after="240"/>
      </w:pPr>
      <w:r w:rsidRPr="007B6E69">
        <w:t>The prime purpose of the Strategic Vehicle Safety and Environment Group (SVSEG) is to consider how governments, industry and road user organisations will ensure that vehicles sold in Australia are both safe and environmentally friendly. SVSEG is an advisory body of ITSOC, which is primarily responsible for advising the Council on road safety matters of national concern.  SVSEG will coordinate work on national vehicle issues on behalf of ITSOC and government representatives of SVSEG will serve as the Austroads Safety Task Force (ASTF) Safe Vehicles Theme Group (SVTG).</w:t>
      </w:r>
    </w:p>
    <w:p w14:paraId="5159DA73" w14:textId="77777777" w:rsidR="00CB0342" w:rsidRPr="007B6E69" w:rsidRDefault="00CB0342" w:rsidP="00223F09">
      <w:pPr>
        <w:sectPr w:rsidR="00CB0342" w:rsidRPr="007B6E69" w:rsidSect="00DE3EBA">
          <w:pgSz w:w="11906" w:h="16838" w:code="9"/>
          <w:pgMar w:top="1021" w:right="1021" w:bottom="1021" w:left="1021" w:header="1276" w:footer="709" w:gutter="0"/>
          <w:cols w:space="708"/>
          <w:docGrid w:linePitch="360"/>
        </w:sectPr>
      </w:pPr>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9639"/>
      </w:tblGrid>
      <w:tr w:rsidR="00CB0342" w:rsidRPr="007B6E69" w14:paraId="4AEFE491" w14:textId="77777777" w:rsidTr="00710A9C">
        <w:trPr>
          <w:trHeight w:hRule="exact" w:val="454"/>
        </w:trPr>
        <w:tc>
          <w:tcPr>
            <w:tcW w:w="9639" w:type="dxa"/>
            <w:tcBorders>
              <w:top w:val="single" w:sz="12" w:space="0" w:color="000000"/>
              <w:bottom w:val="single" w:sz="12" w:space="0" w:color="auto"/>
            </w:tcBorders>
            <w:shd w:val="clear" w:color="auto" w:fill="0D3064" w:themeFill="accent1" w:themeFillTint="E6"/>
            <w:vAlign w:val="center"/>
          </w:tcPr>
          <w:p w14:paraId="7F1E5D58" w14:textId="77777777" w:rsidR="00CB0342" w:rsidRPr="007B6E69" w:rsidRDefault="00CB0342" w:rsidP="00710A9C">
            <w:pPr>
              <w:pStyle w:val="Tableheading1"/>
              <w:jc w:val="left"/>
              <w:rPr>
                <w:rFonts w:asciiTheme="minorHAnsi" w:hAnsiTheme="minorHAnsi" w:cstheme="minorHAnsi"/>
                <w:b/>
                <w:sz w:val="20"/>
                <w:szCs w:val="20"/>
              </w:rPr>
            </w:pPr>
            <w:r w:rsidRPr="007B6E69">
              <w:rPr>
                <w:rFonts w:asciiTheme="minorHAnsi" w:hAnsiTheme="minorHAnsi" w:cstheme="minorHAnsi"/>
                <w:b/>
                <w:sz w:val="20"/>
                <w:szCs w:val="20"/>
              </w:rPr>
              <w:t>Organisation</w:t>
            </w:r>
          </w:p>
        </w:tc>
      </w:tr>
      <w:tr w:rsidR="00CB0342" w:rsidRPr="007B6E69" w14:paraId="2564EC7E" w14:textId="77777777" w:rsidTr="00710A9C">
        <w:tc>
          <w:tcPr>
            <w:tcW w:w="9639" w:type="dxa"/>
            <w:tcBorders>
              <w:top w:val="single" w:sz="12" w:space="0" w:color="auto"/>
            </w:tcBorders>
          </w:tcPr>
          <w:p w14:paraId="70206238" w14:textId="77777777" w:rsidR="00CB0342" w:rsidRPr="007B6E69" w:rsidRDefault="00CB0342" w:rsidP="00710A9C">
            <w:pPr>
              <w:pStyle w:val="Table1"/>
              <w:rPr>
                <w:rFonts w:asciiTheme="minorHAnsi" w:hAnsiTheme="minorHAnsi" w:cstheme="minorHAnsi"/>
                <w:sz w:val="20"/>
                <w:szCs w:val="20"/>
              </w:rPr>
            </w:pPr>
          </w:p>
        </w:tc>
      </w:tr>
      <w:tr w:rsidR="00CB0342" w:rsidRPr="007B6E69" w14:paraId="183DD4E4" w14:textId="77777777" w:rsidTr="00710A9C">
        <w:tc>
          <w:tcPr>
            <w:tcW w:w="9639" w:type="dxa"/>
          </w:tcPr>
          <w:p w14:paraId="2BD151DA"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Government Representatives</w:t>
            </w:r>
          </w:p>
        </w:tc>
      </w:tr>
      <w:tr w:rsidR="00CB0342" w:rsidRPr="007B6E69" w14:paraId="4AE05379" w14:textId="77777777" w:rsidTr="00710A9C">
        <w:tc>
          <w:tcPr>
            <w:tcW w:w="9639" w:type="dxa"/>
          </w:tcPr>
          <w:p w14:paraId="171CE741"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Transport, Regional Development, Communications and the Arts</w:t>
            </w:r>
          </w:p>
        </w:tc>
      </w:tr>
      <w:tr w:rsidR="00CB0342" w:rsidRPr="007B6E69" w14:paraId="62814481" w14:textId="77777777" w:rsidTr="00710A9C">
        <w:tc>
          <w:tcPr>
            <w:tcW w:w="9639" w:type="dxa"/>
          </w:tcPr>
          <w:p w14:paraId="1AEF1EE7"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Transport for NSW</w:t>
            </w:r>
          </w:p>
        </w:tc>
      </w:tr>
      <w:tr w:rsidR="00CB0342" w:rsidRPr="007B6E69" w14:paraId="42ABFF0A" w14:textId="77777777" w:rsidTr="00710A9C">
        <w:tc>
          <w:tcPr>
            <w:tcW w:w="9639" w:type="dxa"/>
          </w:tcPr>
          <w:p w14:paraId="142DF8BC"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VIC</w:t>
            </w:r>
          </w:p>
        </w:tc>
      </w:tr>
      <w:tr w:rsidR="00CB0342" w:rsidRPr="007B6E69" w14:paraId="282F64BB" w14:textId="77777777" w:rsidTr="00710A9C">
        <w:tc>
          <w:tcPr>
            <w:tcW w:w="9639" w:type="dxa"/>
          </w:tcPr>
          <w:p w14:paraId="5B640C0E"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and Main Roads, QLD</w:t>
            </w:r>
          </w:p>
        </w:tc>
      </w:tr>
      <w:tr w:rsidR="00DA60D2" w:rsidRPr="007B6E69" w14:paraId="2E1BDC24" w14:textId="77777777" w:rsidTr="00710A9C">
        <w:tc>
          <w:tcPr>
            <w:tcW w:w="9639" w:type="dxa"/>
          </w:tcPr>
          <w:p w14:paraId="3D382623" w14:textId="77777777" w:rsidR="00DA60D2" w:rsidRPr="007B6E69" w:rsidRDefault="00DA60D2" w:rsidP="00DA60D2">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WA</w:t>
            </w:r>
          </w:p>
        </w:tc>
      </w:tr>
      <w:tr w:rsidR="00CB0342" w:rsidRPr="007B6E69" w14:paraId="0CA9E991" w14:textId="77777777" w:rsidTr="00710A9C">
        <w:tc>
          <w:tcPr>
            <w:tcW w:w="9639" w:type="dxa"/>
          </w:tcPr>
          <w:p w14:paraId="7DD9193B" w14:textId="77777777" w:rsidR="00CB0342" w:rsidRPr="007B6E69" w:rsidRDefault="00DA60D2" w:rsidP="00DA60D2">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Road Safety Commission, WA</w:t>
            </w:r>
          </w:p>
        </w:tc>
      </w:tr>
      <w:tr w:rsidR="00CB0342" w:rsidRPr="007B6E69" w14:paraId="4E4F7A14" w14:textId="77777777" w:rsidTr="00710A9C">
        <w:tc>
          <w:tcPr>
            <w:tcW w:w="9639" w:type="dxa"/>
          </w:tcPr>
          <w:p w14:paraId="6D72205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for Infrastructure and Transport, SA</w:t>
            </w:r>
          </w:p>
        </w:tc>
      </w:tr>
      <w:tr w:rsidR="00CB0342" w:rsidRPr="007B6E69" w14:paraId="79FFF6C9" w14:textId="77777777" w:rsidTr="00710A9C">
        <w:tc>
          <w:tcPr>
            <w:tcW w:w="9639" w:type="dxa"/>
          </w:tcPr>
          <w:p w14:paraId="5A0B2E6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State Growth, TAS</w:t>
            </w:r>
          </w:p>
        </w:tc>
      </w:tr>
      <w:tr w:rsidR="00CB0342" w:rsidRPr="007B6E69" w14:paraId="2E70F420" w14:textId="77777777" w:rsidTr="00710A9C">
        <w:tc>
          <w:tcPr>
            <w:tcW w:w="9639" w:type="dxa"/>
          </w:tcPr>
          <w:p w14:paraId="6BAB8743" w14:textId="77777777" w:rsidR="00CB0342" w:rsidRPr="007B6E69" w:rsidRDefault="00786546" w:rsidP="00710A9C">
            <w:pPr>
              <w:pStyle w:val="Tablesubheading1"/>
              <w:rPr>
                <w:rFonts w:asciiTheme="minorHAnsi" w:hAnsiTheme="minorHAnsi" w:cstheme="minorHAnsi"/>
                <w:i w:val="0"/>
                <w:sz w:val="20"/>
                <w:szCs w:val="20"/>
              </w:rPr>
            </w:pPr>
            <w:r w:rsidRPr="00786546">
              <w:rPr>
                <w:rFonts w:asciiTheme="minorHAnsi" w:hAnsiTheme="minorHAnsi" w:cstheme="minorHAnsi"/>
                <w:i w:val="0"/>
                <w:sz w:val="20"/>
                <w:szCs w:val="20"/>
              </w:rPr>
              <w:t>Transport Canberra and City Services Directorate</w:t>
            </w:r>
            <w:r w:rsidR="00CB0342" w:rsidRPr="007B6E69">
              <w:rPr>
                <w:rFonts w:asciiTheme="minorHAnsi" w:hAnsiTheme="minorHAnsi" w:cstheme="minorHAnsi"/>
                <w:i w:val="0"/>
                <w:sz w:val="20"/>
                <w:szCs w:val="20"/>
              </w:rPr>
              <w:t>, ACT</w:t>
            </w:r>
          </w:p>
        </w:tc>
      </w:tr>
      <w:tr w:rsidR="00CB0342" w:rsidRPr="007B6E69" w14:paraId="74917AA4" w14:textId="77777777" w:rsidTr="00710A9C">
        <w:tc>
          <w:tcPr>
            <w:tcW w:w="9639" w:type="dxa"/>
          </w:tcPr>
          <w:p w14:paraId="3E5240EC"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Planning and Logistics, NT</w:t>
            </w:r>
          </w:p>
        </w:tc>
      </w:tr>
      <w:tr w:rsidR="00CB0342" w:rsidRPr="007B6E69" w14:paraId="0046EBE3" w14:textId="77777777" w:rsidTr="00710A9C">
        <w:tc>
          <w:tcPr>
            <w:tcW w:w="9639" w:type="dxa"/>
          </w:tcPr>
          <w:p w14:paraId="0C1AEEC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New Zealand Transport Agency</w:t>
            </w:r>
          </w:p>
        </w:tc>
      </w:tr>
      <w:tr w:rsidR="00CB0342" w:rsidRPr="007B6E69" w14:paraId="541BFABB" w14:textId="77777777" w:rsidTr="00710A9C">
        <w:tc>
          <w:tcPr>
            <w:tcW w:w="9639" w:type="dxa"/>
          </w:tcPr>
          <w:p w14:paraId="3BD421A8"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41A9AA79" w14:textId="77777777" w:rsidTr="00710A9C">
        <w:tc>
          <w:tcPr>
            <w:tcW w:w="9639" w:type="dxa"/>
          </w:tcPr>
          <w:p w14:paraId="506EB1D9" w14:textId="77777777" w:rsidR="00CB0342" w:rsidRPr="007B6E69" w:rsidRDefault="00CB0342" w:rsidP="00710A9C">
            <w:pPr>
              <w:pStyle w:val="Tablesubheading1"/>
              <w:rPr>
                <w:rFonts w:asciiTheme="minorHAnsi" w:hAnsiTheme="minorHAnsi" w:cstheme="minorHAnsi"/>
                <w:sz w:val="20"/>
                <w:szCs w:val="20"/>
              </w:rPr>
            </w:pPr>
            <w:proofErr w:type="spellStart"/>
            <w:r w:rsidRPr="007B6E69">
              <w:rPr>
                <w:rFonts w:asciiTheme="minorHAnsi" w:hAnsiTheme="minorHAnsi" w:cstheme="minorHAnsi"/>
                <w:sz w:val="20"/>
                <w:szCs w:val="20"/>
              </w:rPr>
              <w:t>Inter Governmental</w:t>
            </w:r>
            <w:proofErr w:type="spellEnd"/>
            <w:r w:rsidRPr="007B6E69">
              <w:rPr>
                <w:rFonts w:asciiTheme="minorHAnsi" w:hAnsiTheme="minorHAnsi" w:cstheme="minorHAnsi"/>
                <w:sz w:val="20"/>
                <w:szCs w:val="20"/>
              </w:rPr>
              <w:t xml:space="preserve"> Representatives</w:t>
            </w:r>
          </w:p>
        </w:tc>
      </w:tr>
      <w:tr w:rsidR="00CB0342" w:rsidRPr="007B6E69" w14:paraId="34B7B4AC" w14:textId="77777777" w:rsidTr="00710A9C">
        <w:tc>
          <w:tcPr>
            <w:tcW w:w="9639" w:type="dxa"/>
          </w:tcPr>
          <w:p w14:paraId="24FDB93A"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Heavy Vehicle Regulator</w:t>
            </w:r>
          </w:p>
        </w:tc>
      </w:tr>
      <w:tr w:rsidR="00CB0342" w:rsidRPr="007B6E69" w14:paraId="015E3438" w14:textId="77777777" w:rsidTr="00710A9C">
        <w:tc>
          <w:tcPr>
            <w:tcW w:w="9639" w:type="dxa"/>
          </w:tcPr>
          <w:p w14:paraId="069AF2B8"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Transport Commission</w:t>
            </w:r>
          </w:p>
        </w:tc>
      </w:tr>
      <w:tr w:rsidR="00CB0342" w:rsidRPr="007B6E69" w14:paraId="7FF08992" w14:textId="77777777" w:rsidTr="00710A9C">
        <w:tc>
          <w:tcPr>
            <w:tcW w:w="9639" w:type="dxa"/>
          </w:tcPr>
          <w:p w14:paraId="160604BD"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614FBB04" w14:textId="77777777" w:rsidTr="00710A9C">
        <w:tc>
          <w:tcPr>
            <w:tcW w:w="9639" w:type="dxa"/>
          </w:tcPr>
          <w:p w14:paraId="49DA933F"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Manufacturer Representatives</w:t>
            </w:r>
          </w:p>
        </w:tc>
      </w:tr>
      <w:tr w:rsidR="00CB0342" w:rsidRPr="007B6E69" w14:paraId="397EB45B" w14:textId="77777777" w:rsidTr="00710A9C">
        <w:tc>
          <w:tcPr>
            <w:tcW w:w="9639" w:type="dxa"/>
          </w:tcPr>
          <w:p w14:paraId="4AC66E35"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Bus Industry Confederation</w:t>
            </w:r>
          </w:p>
        </w:tc>
      </w:tr>
      <w:tr w:rsidR="00CB0342" w:rsidRPr="007B6E69" w14:paraId="5D0E8F4E" w14:textId="77777777" w:rsidTr="00710A9C">
        <w:tc>
          <w:tcPr>
            <w:tcW w:w="9639" w:type="dxa"/>
          </w:tcPr>
          <w:p w14:paraId="4CD9DD60"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 xml:space="preserve">Commercial Vehicle Industry Association </w:t>
            </w:r>
            <w:r w:rsidRPr="007B6E69">
              <w:rPr>
                <w:rFonts w:asciiTheme="minorHAnsi" w:eastAsia="Times New Roman" w:hAnsiTheme="minorHAnsi" w:cstheme="minorHAnsi"/>
                <w:bCs/>
                <w:color w:val="000000"/>
                <w:sz w:val="20"/>
                <w:szCs w:val="20"/>
                <w:lang w:eastAsia="en-AU"/>
              </w:rPr>
              <w:t>of Australia</w:t>
            </w:r>
          </w:p>
        </w:tc>
      </w:tr>
      <w:tr w:rsidR="00CB0342" w:rsidRPr="007B6E69" w14:paraId="18B19691" w14:textId="77777777" w:rsidTr="00710A9C">
        <w:tc>
          <w:tcPr>
            <w:tcW w:w="9639" w:type="dxa"/>
          </w:tcPr>
          <w:p w14:paraId="129C7E9A"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Federal Chamber of Automotive Industries</w:t>
            </w:r>
          </w:p>
        </w:tc>
      </w:tr>
      <w:tr w:rsidR="00CB0342" w:rsidRPr="007B6E69" w14:paraId="7BC7C954" w14:textId="77777777" w:rsidTr="00710A9C">
        <w:tc>
          <w:tcPr>
            <w:tcW w:w="9639" w:type="dxa"/>
          </w:tcPr>
          <w:p w14:paraId="6FE9EA20"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Heavy Vehicle Industry Association</w:t>
            </w:r>
          </w:p>
        </w:tc>
      </w:tr>
      <w:tr w:rsidR="00CB0342" w:rsidRPr="007B6E69" w14:paraId="6558BAD5" w14:textId="77777777" w:rsidTr="00710A9C">
        <w:tc>
          <w:tcPr>
            <w:tcW w:w="9639" w:type="dxa"/>
          </w:tcPr>
          <w:p w14:paraId="3A839786"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Truck Industry Council</w:t>
            </w:r>
            <w:r w:rsidRPr="007B6E69" w:rsidDel="0091272B">
              <w:rPr>
                <w:rFonts w:asciiTheme="minorHAnsi" w:hAnsiTheme="minorHAnsi" w:cstheme="minorHAnsi"/>
                <w:sz w:val="20"/>
                <w:szCs w:val="20"/>
              </w:rPr>
              <w:t xml:space="preserve"> </w:t>
            </w:r>
          </w:p>
        </w:tc>
      </w:tr>
      <w:tr w:rsidR="00CB0342" w:rsidRPr="007B6E69" w14:paraId="7AA3E4BA" w14:textId="77777777" w:rsidTr="00710A9C">
        <w:tc>
          <w:tcPr>
            <w:tcW w:w="9639" w:type="dxa"/>
          </w:tcPr>
          <w:p w14:paraId="18045E57" w14:textId="77777777" w:rsidR="00CB0342" w:rsidRPr="007B6E69" w:rsidRDefault="00CB0342" w:rsidP="00710A9C">
            <w:pPr>
              <w:pStyle w:val="Table1"/>
              <w:rPr>
                <w:rFonts w:asciiTheme="minorHAnsi" w:hAnsiTheme="minorHAnsi" w:cstheme="minorHAnsi"/>
                <w:sz w:val="20"/>
                <w:szCs w:val="20"/>
              </w:rPr>
            </w:pPr>
          </w:p>
        </w:tc>
      </w:tr>
      <w:tr w:rsidR="00CB0342" w:rsidRPr="007B6E69" w14:paraId="6EE072F4" w14:textId="77777777" w:rsidTr="00710A9C">
        <w:tc>
          <w:tcPr>
            <w:tcW w:w="9639" w:type="dxa"/>
          </w:tcPr>
          <w:p w14:paraId="7C8AAB74"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Consumer Representatives</w:t>
            </w:r>
          </w:p>
        </w:tc>
      </w:tr>
      <w:tr w:rsidR="00CB0342" w:rsidRPr="007B6E69" w14:paraId="277387E8" w14:textId="77777777" w:rsidTr="00710A9C">
        <w:tc>
          <w:tcPr>
            <w:tcW w:w="9639" w:type="dxa"/>
          </w:tcPr>
          <w:p w14:paraId="33A6F78C"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Automobile Association</w:t>
            </w:r>
          </w:p>
        </w:tc>
      </w:tr>
      <w:tr w:rsidR="00CB0342" w:rsidRPr="007B6E69" w14:paraId="099982CB" w14:textId="77777777" w:rsidTr="00710A9C">
        <w:tc>
          <w:tcPr>
            <w:tcW w:w="9639" w:type="dxa"/>
          </w:tcPr>
          <w:p w14:paraId="1631A527"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Trucking Association</w:t>
            </w:r>
          </w:p>
        </w:tc>
      </w:tr>
      <w:tr w:rsidR="00CB0342" w:rsidRPr="007B6E69" w14:paraId="3B062676" w14:textId="77777777" w:rsidTr="00710A9C">
        <w:tc>
          <w:tcPr>
            <w:tcW w:w="9639" w:type="dxa"/>
            <w:tcBorders>
              <w:bottom w:val="single" w:sz="12" w:space="0" w:color="000000"/>
            </w:tcBorders>
          </w:tcPr>
          <w:p w14:paraId="613B4D02" w14:textId="77777777" w:rsidR="00CB0342" w:rsidRPr="007B6E69" w:rsidRDefault="00CB0342" w:rsidP="00710A9C">
            <w:pPr>
              <w:pStyle w:val="Table1"/>
            </w:pPr>
          </w:p>
        </w:tc>
      </w:tr>
    </w:tbl>
    <w:p w14:paraId="75FE4372" w14:textId="77777777" w:rsidR="008E226D" w:rsidRPr="007B6E69" w:rsidRDefault="008E226D" w:rsidP="00E13D3A">
      <w:pPr>
        <w:pStyle w:val="AppendixHeading1"/>
        <w:sectPr w:rsidR="008E226D" w:rsidRPr="007B6E69" w:rsidSect="0024270A">
          <w:type w:val="continuous"/>
          <w:pgSz w:w="11906" w:h="16838" w:code="9"/>
          <w:pgMar w:top="1021" w:right="1021" w:bottom="1021" w:left="1021" w:header="510" w:footer="567" w:gutter="0"/>
          <w:cols w:space="708"/>
          <w:docGrid w:linePitch="360"/>
        </w:sectPr>
      </w:pPr>
    </w:p>
    <w:p w14:paraId="366E70AA" w14:textId="77777777" w:rsidR="008A23AD" w:rsidRPr="007B6E69" w:rsidRDefault="00197BA7" w:rsidP="00E13D3A">
      <w:pPr>
        <w:pStyle w:val="AppendixHeading1"/>
      </w:pPr>
      <w:bookmarkStart w:id="187" w:name="_Toc111576740"/>
      <w:bookmarkStart w:id="188" w:name="_Toc143182175"/>
      <w:r w:rsidRPr="007B6E69">
        <w:t>Appendix 1</w:t>
      </w:r>
      <w:r w:rsidR="008B1541">
        <w:t>3</w:t>
      </w:r>
      <w:r w:rsidRPr="007B6E69">
        <w:t xml:space="preserve"> – </w:t>
      </w:r>
      <w:r w:rsidR="00DA2099" w:rsidRPr="007B6E69">
        <w:t>Technical Liaison Group</w:t>
      </w:r>
      <w:bookmarkEnd w:id="187"/>
      <w:bookmarkEnd w:id="188"/>
    </w:p>
    <w:p w14:paraId="45E4F429" w14:textId="77777777" w:rsidR="0025314A" w:rsidRPr="007B6E69" w:rsidRDefault="00F20388" w:rsidP="00CB0342">
      <w:pPr>
        <w:spacing w:after="240"/>
      </w:pPr>
      <w:r w:rsidRPr="007B6E69">
        <w:t xml:space="preserve">The Technical Liaison Group (TLG) has two principal roles: to advise the Strategic Vehicle Safety and Environment Group (SVSEG) on detailed technical issues relating to the implementation and development of the </w:t>
      </w:r>
      <w:r w:rsidR="008742A6" w:rsidRPr="007B6E69">
        <w:t>ADR</w:t>
      </w:r>
      <w:r w:rsidRPr="007B6E69">
        <w:t>s for vehicles, and to advise SVSEG on detailed technical issues relating to regulatory and non-regulatory approaches to improving vehicle safety and environmental performance.</w:t>
      </w:r>
    </w:p>
    <w:p w14:paraId="7B77B0E4" w14:textId="77777777" w:rsidR="000B61A1" w:rsidRPr="007B6E69" w:rsidRDefault="000B61A1" w:rsidP="000B61A1">
      <w:pPr>
        <w:rPr>
          <w:i/>
          <w:u w:val="single"/>
        </w:rPr>
        <w:sectPr w:rsidR="000B61A1" w:rsidRPr="007B6E69" w:rsidSect="00DE3EBA">
          <w:pgSz w:w="11906" w:h="16838" w:code="9"/>
          <w:pgMar w:top="1021" w:right="1021" w:bottom="1021" w:left="1021" w:header="1276" w:footer="709" w:gutter="0"/>
          <w:cols w:space="708"/>
          <w:docGrid w:linePitch="360"/>
        </w:sectPr>
      </w:pPr>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9639"/>
      </w:tblGrid>
      <w:tr w:rsidR="00CB0342" w:rsidRPr="007B6E69" w14:paraId="1A284BE5" w14:textId="77777777" w:rsidTr="00710A9C">
        <w:trPr>
          <w:trHeight w:hRule="exact" w:val="454"/>
        </w:trPr>
        <w:tc>
          <w:tcPr>
            <w:tcW w:w="9639" w:type="dxa"/>
            <w:tcBorders>
              <w:top w:val="single" w:sz="12" w:space="0" w:color="000000"/>
              <w:bottom w:val="single" w:sz="12" w:space="0" w:color="auto"/>
            </w:tcBorders>
            <w:shd w:val="clear" w:color="auto" w:fill="0D3064" w:themeFill="accent1" w:themeFillTint="E6"/>
            <w:vAlign w:val="center"/>
          </w:tcPr>
          <w:p w14:paraId="39CA1F87" w14:textId="77777777" w:rsidR="00CB0342" w:rsidRPr="007B6E69" w:rsidRDefault="00CB0342" w:rsidP="00710A9C">
            <w:pPr>
              <w:pStyle w:val="Tableheading1"/>
              <w:jc w:val="left"/>
              <w:rPr>
                <w:rFonts w:asciiTheme="minorHAnsi" w:hAnsiTheme="minorHAnsi" w:cstheme="minorHAnsi"/>
                <w:b/>
                <w:sz w:val="20"/>
                <w:szCs w:val="20"/>
              </w:rPr>
            </w:pPr>
            <w:r w:rsidRPr="007B6E69">
              <w:rPr>
                <w:rFonts w:asciiTheme="minorHAnsi" w:hAnsiTheme="minorHAnsi" w:cstheme="minorHAnsi"/>
                <w:b/>
                <w:sz w:val="20"/>
                <w:szCs w:val="20"/>
              </w:rPr>
              <w:t>Organisation</w:t>
            </w:r>
          </w:p>
        </w:tc>
      </w:tr>
      <w:tr w:rsidR="00CB0342" w:rsidRPr="007B6E69" w14:paraId="37FF38D0" w14:textId="77777777" w:rsidTr="00710A9C">
        <w:tc>
          <w:tcPr>
            <w:tcW w:w="9639" w:type="dxa"/>
            <w:tcBorders>
              <w:top w:val="single" w:sz="12" w:space="0" w:color="auto"/>
            </w:tcBorders>
          </w:tcPr>
          <w:p w14:paraId="16F45F78" w14:textId="77777777" w:rsidR="00CB0342" w:rsidRPr="007B6E69" w:rsidRDefault="00CB0342" w:rsidP="00710A9C">
            <w:pPr>
              <w:pStyle w:val="Table1"/>
              <w:rPr>
                <w:rFonts w:asciiTheme="minorHAnsi" w:hAnsiTheme="minorHAnsi" w:cstheme="minorHAnsi"/>
                <w:sz w:val="20"/>
                <w:szCs w:val="20"/>
              </w:rPr>
            </w:pPr>
          </w:p>
        </w:tc>
      </w:tr>
      <w:tr w:rsidR="00CB0342" w:rsidRPr="007B6E69" w14:paraId="2F59612B" w14:textId="77777777" w:rsidTr="00710A9C">
        <w:tc>
          <w:tcPr>
            <w:tcW w:w="9639" w:type="dxa"/>
          </w:tcPr>
          <w:p w14:paraId="55336292"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Government Representatives</w:t>
            </w:r>
          </w:p>
        </w:tc>
      </w:tr>
      <w:tr w:rsidR="00CB0342" w:rsidRPr="007B6E69" w14:paraId="549D249A" w14:textId="77777777" w:rsidTr="00710A9C">
        <w:tc>
          <w:tcPr>
            <w:tcW w:w="9639" w:type="dxa"/>
          </w:tcPr>
          <w:p w14:paraId="12F17834"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Transport, Regional Development, Communications and the Arts</w:t>
            </w:r>
          </w:p>
        </w:tc>
      </w:tr>
      <w:tr w:rsidR="00CB0342" w:rsidRPr="007B6E69" w14:paraId="1D1319E8" w14:textId="77777777" w:rsidTr="00710A9C">
        <w:tc>
          <w:tcPr>
            <w:tcW w:w="9639" w:type="dxa"/>
          </w:tcPr>
          <w:p w14:paraId="2B920D40"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Transport for NSW</w:t>
            </w:r>
          </w:p>
        </w:tc>
      </w:tr>
      <w:tr w:rsidR="00CB0342" w:rsidRPr="007B6E69" w14:paraId="1EB33B8D" w14:textId="77777777" w:rsidTr="00710A9C">
        <w:tc>
          <w:tcPr>
            <w:tcW w:w="9639" w:type="dxa"/>
          </w:tcPr>
          <w:p w14:paraId="00D5A1F7"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VIC</w:t>
            </w:r>
          </w:p>
        </w:tc>
      </w:tr>
      <w:tr w:rsidR="00CB0342" w:rsidRPr="007B6E69" w14:paraId="71934045" w14:textId="77777777" w:rsidTr="00710A9C">
        <w:tc>
          <w:tcPr>
            <w:tcW w:w="9639" w:type="dxa"/>
          </w:tcPr>
          <w:p w14:paraId="5D005A40"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and Main Roads, QLD</w:t>
            </w:r>
          </w:p>
        </w:tc>
      </w:tr>
      <w:tr w:rsidR="00CB0342" w:rsidRPr="007B6E69" w14:paraId="0C8FA16F" w14:textId="77777777" w:rsidTr="00710A9C">
        <w:tc>
          <w:tcPr>
            <w:tcW w:w="9639" w:type="dxa"/>
          </w:tcPr>
          <w:p w14:paraId="391598B1" w14:textId="77777777" w:rsidR="00CB0342" w:rsidRPr="007B6E69" w:rsidRDefault="009B2BD0"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WA</w:t>
            </w:r>
          </w:p>
        </w:tc>
      </w:tr>
      <w:tr w:rsidR="00CB0342" w:rsidRPr="007B6E69" w14:paraId="56DCDF95" w14:textId="77777777" w:rsidTr="00710A9C">
        <w:tc>
          <w:tcPr>
            <w:tcW w:w="9639" w:type="dxa"/>
          </w:tcPr>
          <w:p w14:paraId="7D30DEB6"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for Infrastructure and Transport, SA</w:t>
            </w:r>
          </w:p>
        </w:tc>
      </w:tr>
      <w:tr w:rsidR="00CB0342" w:rsidRPr="007B6E69" w14:paraId="543131B7" w14:textId="77777777" w:rsidTr="00710A9C">
        <w:tc>
          <w:tcPr>
            <w:tcW w:w="9639" w:type="dxa"/>
          </w:tcPr>
          <w:p w14:paraId="727A2D85"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State Growth, TAS</w:t>
            </w:r>
          </w:p>
        </w:tc>
      </w:tr>
      <w:tr w:rsidR="00CB0342" w:rsidRPr="007B6E69" w14:paraId="6D83871D" w14:textId="77777777" w:rsidTr="00710A9C">
        <w:tc>
          <w:tcPr>
            <w:tcW w:w="9639" w:type="dxa"/>
          </w:tcPr>
          <w:p w14:paraId="7E4D109E" w14:textId="77777777" w:rsidR="00CB0342" w:rsidRPr="007B6E69" w:rsidRDefault="00E8422E" w:rsidP="00710A9C">
            <w:pPr>
              <w:pStyle w:val="Tablesubheading1"/>
              <w:rPr>
                <w:rFonts w:asciiTheme="minorHAnsi" w:hAnsiTheme="minorHAnsi" w:cstheme="minorHAnsi"/>
                <w:i w:val="0"/>
                <w:sz w:val="20"/>
                <w:szCs w:val="20"/>
              </w:rPr>
            </w:pPr>
            <w:r w:rsidRPr="00786546">
              <w:rPr>
                <w:rFonts w:asciiTheme="minorHAnsi" w:hAnsiTheme="minorHAnsi" w:cstheme="minorHAnsi"/>
                <w:i w:val="0"/>
                <w:sz w:val="20"/>
                <w:szCs w:val="20"/>
              </w:rPr>
              <w:t>Transport Canberra and City Services Directorate</w:t>
            </w:r>
            <w:r w:rsidRPr="007B6E69">
              <w:rPr>
                <w:rFonts w:asciiTheme="minorHAnsi" w:hAnsiTheme="minorHAnsi" w:cstheme="minorHAnsi"/>
                <w:i w:val="0"/>
                <w:sz w:val="20"/>
                <w:szCs w:val="20"/>
              </w:rPr>
              <w:t>, ACT</w:t>
            </w:r>
          </w:p>
        </w:tc>
      </w:tr>
      <w:tr w:rsidR="00CB0342" w:rsidRPr="007B6E69" w14:paraId="52A724B8" w14:textId="77777777" w:rsidTr="00710A9C">
        <w:tc>
          <w:tcPr>
            <w:tcW w:w="9639" w:type="dxa"/>
          </w:tcPr>
          <w:p w14:paraId="69E35E57"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Planning and Logistics, NT</w:t>
            </w:r>
          </w:p>
        </w:tc>
      </w:tr>
      <w:tr w:rsidR="00CB0342" w:rsidRPr="007B6E69" w14:paraId="1F20B196" w14:textId="77777777" w:rsidTr="00710A9C">
        <w:tc>
          <w:tcPr>
            <w:tcW w:w="9639" w:type="dxa"/>
          </w:tcPr>
          <w:p w14:paraId="71387D02"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New Zealand Transport Agency</w:t>
            </w:r>
          </w:p>
        </w:tc>
      </w:tr>
      <w:tr w:rsidR="00CB0342" w:rsidRPr="007B6E69" w14:paraId="5374FCF4" w14:textId="77777777" w:rsidTr="00710A9C">
        <w:tc>
          <w:tcPr>
            <w:tcW w:w="9639" w:type="dxa"/>
          </w:tcPr>
          <w:p w14:paraId="444984B5"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3AD71CCE" w14:textId="77777777" w:rsidTr="00710A9C">
        <w:tc>
          <w:tcPr>
            <w:tcW w:w="9639" w:type="dxa"/>
          </w:tcPr>
          <w:p w14:paraId="4A18F761" w14:textId="77777777" w:rsidR="00CB0342" w:rsidRPr="007B6E69" w:rsidRDefault="00CB0342" w:rsidP="00710A9C">
            <w:pPr>
              <w:pStyle w:val="Tablesubheading1"/>
              <w:rPr>
                <w:rFonts w:asciiTheme="minorHAnsi" w:hAnsiTheme="minorHAnsi" w:cstheme="minorHAnsi"/>
                <w:sz w:val="20"/>
                <w:szCs w:val="20"/>
              </w:rPr>
            </w:pPr>
            <w:proofErr w:type="spellStart"/>
            <w:r w:rsidRPr="007B6E69">
              <w:rPr>
                <w:rFonts w:asciiTheme="minorHAnsi" w:hAnsiTheme="minorHAnsi" w:cstheme="minorHAnsi"/>
                <w:sz w:val="20"/>
                <w:szCs w:val="20"/>
              </w:rPr>
              <w:t>Inter Governmental</w:t>
            </w:r>
            <w:proofErr w:type="spellEnd"/>
            <w:r w:rsidRPr="007B6E69">
              <w:rPr>
                <w:rFonts w:asciiTheme="minorHAnsi" w:hAnsiTheme="minorHAnsi" w:cstheme="minorHAnsi"/>
                <w:sz w:val="20"/>
                <w:szCs w:val="20"/>
              </w:rPr>
              <w:t xml:space="preserve"> Representatives</w:t>
            </w:r>
          </w:p>
        </w:tc>
      </w:tr>
      <w:tr w:rsidR="00CB0342" w:rsidRPr="007B6E69" w14:paraId="5C2EE66F" w14:textId="77777777" w:rsidTr="00710A9C">
        <w:tc>
          <w:tcPr>
            <w:tcW w:w="9639" w:type="dxa"/>
          </w:tcPr>
          <w:p w14:paraId="6978D922"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Heavy Vehicle Regulator</w:t>
            </w:r>
          </w:p>
        </w:tc>
      </w:tr>
      <w:tr w:rsidR="00CB0342" w:rsidRPr="007B6E69" w14:paraId="72DF9BC0" w14:textId="77777777" w:rsidTr="00710A9C">
        <w:tc>
          <w:tcPr>
            <w:tcW w:w="9639" w:type="dxa"/>
          </w:tcPr>
          <w:p w14:paraId="0E4B1E8C" w14:textId="77777777"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Transport Commission</w:t>
            </w:r>
          </w:p>
        </w:tc>
      </w:tr>
      <w:tr w:rsidR="00CB0342" w:rsidRPr="007B6E69" w14:paraId="174875A7" w14:textId="77777777" w:rsidTr="00710A9C">
        <w:tc>
          <w:tcPr>
            <w:tcW w:w="9639" w:type="dxa"/>
          </w:tcPr>
          <w:p w14:paraId="07670C1D" w14:textId="77777777" w:rsidR="00CB0342" w:rsidRPr="007B6E69" w:rsidRDefault="00CB0342" w:rsidP="00710A9C">
            <w:pPr>
              <w:pStyle w:val="Tablesubheading1"/>
              <w:rPr>
                <w:rFonts w:asciiTheme="minorHAnsi" w:hAnsiTheme="minorHAnsi" w:cstheme="minorHAnsi"/>
                <w:sz w:val="20"/>
                <w:szCs w:val="20"/>
              </w:rPr>
            </w:pPr>
          </w:p>
        </w:tc>
      </w:tr>
      <w:tr w:rsidR="00CB0342" w:rsidRPr="007B6E69" w14:paraId="21C4B655" w14:textId="77777777" w:rsidTr="00710A9C">
        <w:tc>
          <w:tcPr>
            <w:tcW w:w="9639" w:type="dxa"/>
          </w:tcPr>
          <w:p w14:paraId="51D63539"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Manufacturer Representatives</w:t>
            </w:r>
          </w:p>
        </w:tc>
      </w:tr>
      <w:tr w:rsidR="00CB0342" w:rsidRPr="007B6E69" w14:paraId="44838B4E" w14:textId="77777777" w:rsidTr="00710A9C">
        <w:tc>
          <w:tcPr>
            <w:tcW w:w="9639" w:type="dxa"/>
          </w:tcPr>
          <w:p w14:paraId="1293A091"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Bus Industry Confederation</w:t>
            </w:r>
          </w:p>
        </w:tc>
      </w:tr>
      <w:tr w:rsidR="00CB0342" w:rsidRPr="007B6E69" w14:paraId="34B73CA7" w14:textId="77777777" w:rsidTr="00710A9C">
        <w:tc>
          <w:tcPr>
            <w:tcW w:w="9639" w:type="dxa"/>
          </w:tcPr>
          <w:p w14:paraId="058404C2"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Caravan Industry Association of Australia Ltd</w:t>
            </w:r>
          </w:p>
        </w:tc>
      </w:tr>
      <w:tr w:rsidR="00CB0342" w:rsidRPr="007B6E69" w14:paraId="026D1585" w14:textId="77777777" w:rsidTr="00710A9C">
        <w:tc>
          <w:tcPr>
            <w:tcW w:w="9639" w:type="dxa"/>
          </w:tcPr>
          <w:p w14:paraId="749E92A7"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 xml:space="preserve">Commercial Vehicle Industry Association </w:t>
            </w:r>
            <w:r w:rsidRPr="007B6E69">
              <w:rPr>
                <w:rFonts w:asciiTheme="minorHAnsi" w:eastAsia="Times New Roman" w:hAnsiTheme="minorHAnsi" w:cstheme="minorHAnsi"/>
                <w:bCs/>
                <w:color w:val="000000"/>
                <w:sz w:val="20"/>
                <w:szCs w:val="20"/>
                <w:lang w:eastAsia="en-AU"/>
              </w:rPr>
              <w:t>of Australia</w:t>
            </w:r>
          </w:p>
        </w:tc>
      </w:tr>
      <w:tr w:rsidR="00CB0342" w:rsidRPr="007B6E69" w14:paraId="695CF40E" w14:textId="77777777" w:rsidTr="00710A9C">
        <w:tc>
          <w:tcPr>
            <w:tcW w:w="9639" w:type="dxa"/>
          </w:tcPr>
          <w:p w14:paraId="2DDF44BE"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Federal Chamber of Automotive Industries</w:t>
            </w:r>
          </w:p>
        </w:tc>
      </w:tr>
      <w:tr w:rsidR="00CB0342" w:rsidRPr="007B6E69" w14:paraId="123BBF23" w14:textId="77777777" w:rsidTr="00710A9C">
        <w:tc>
          <w:tcPr>
            <w:tcW w:w="9639" w:type="dxa"/>
          </w:tcPr>
          <w:p w14:paraId="2E0BB56C"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Heavy Vehicle Industry Association</w:t>
            </w:r>
          </w:p>
        </w:tc>
      </w:tr>
      <w:tr w:rsidR="00CB0342" w:rsidRPr="007B6E69" w14:paraId="09FAD8C2" w14:textId="77777777" w:rsidTr="00710A9C">
        <w:tc>
          <w:tcPr>
            <w:tcW w:w="9639" w:type="dxa"/>
          </w:tcPr>
          <w:p w14:paraId="19205F75"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Truck Industry Council</w:t>
            </w:r>
            <w:r w:rsidRPr="007B6E69" w:rsidDel="0091272B">
              <w:rPr>
                <w:rFonts w:asciiTheme="minorHAnsi" w:hAnsiTheme="minorHAnsi" w:cstheme="minorHAnsi"/>
                <w:sz w:val="20"/>
                <w:szCs w:val="20"/>
              </w:rPr>
              <w:t xml:space="preserve"> </w:t>
            </w:r>
          </w:p>
        </w:tc>
      </w:tr>
      <w:tr w:rsidR="00CB0342" w:rsidRPr="007B6E69" w14:paraId="5D971956" w14:textId="77777777" w:rsidTr="00710A9C">
        <w:tc>
          <w:tcPr>
            <w:tcW w:w="9639" w:type="dxa"/>
          </w:tcPr>
          <w:p w14:paraId="775A485D" w14:textId="77777777" w:rsidR="00CB0342" w:rsidRPr="007B6E69" w:rsidRDefault="00CB0342" w:rsidP="00710A9C">
            <w:pPr>
              <w:pStyle w:val="Table1"/>
              <w:rPr>
                <w:rFonts w:asciiTheme="minorHAnsi" w:hAnsiTheme="minorHAnsi" w:cstheme="minorHAnsi"/>
                <w:sz w:val="20"/>
                <w:szCs w:val="20"/>
              </w:rPr>
            </w:pPr>
          </w:p>
        </w:tc>
      </w:tr>
      <w:tr w:rsidR="00CB0342" w:rsidRPr="007B6E69" w14:paraId="75E57D6B" w14:textId="77777777" w:rsidTr="00710A9C">
        <w:tc>
          <w:tcPr>
            <w:tcW w:w="9639" w:type="dxa"/>
          </w:tcPr>
          <w:p w14:paraId="08B3D455" w14:textId="77777777"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Consumer Representatives</w:t>
            </w:r>
          </w:p>
        </w:tc>
      </w:tr>
      <w:tr w:rsidR="00CB0342" w:rsidRPr="007B6E69" w14:paraId="0411242C" w14:textId="77777777" w:rsidTr="00710A9C">
        <w:tc>
          <w:tcPr>
            <w:tcW w:w="9639" w:type="dxa"/>
          </w:tcPr>
          <w:p w14:paraId="00096916"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Automobile Association</w:t>
            </w:r>
          </w:p>
        </w:tc>
      </w:tr>
      <w:tr w:rsidR="00CB0342" w:rsidRPr="007B6E69" w14:paraId="03A52D31" w14:textId="77777777" w:rsidTr="00710A9C">
        <w:tc>
          <w:tcPr>
            <w:tcW w:w="9639" w:type="dxa"/>
          </w:tcPr>
          <w:p w14:paraId="20A561C9" w14:textId="77777777" w:rsidR="00CB0342" w:rsidRPr="00EF2827" w:rsidRDefault="00CB0342" w:rsidP="00710A9C">
            <w:pPr>
              <w:pStyle w:val="Table1"/>
              <w:rPr>
                <w:rFonts w:asciiTheme="minorHAnsi" w:hAnsiTheme="minorHAnsi" w:cstheme="minorHAnsi"/>
                <w:sz w:val="20"/>
                <w:szCs w:val="20"/>
              </w:rPr>
            </w:pPr>
            <w:r w:rsidRPr="00EF2827">
              <w:rPr>
                <w:rFonts w:asciiTheme="minorHAnsi" w:hAnsiTheme="minorHAnsi" w:cstheme="minorHAnsi"/>
                <w:sz w:val="20"/>
                <w:szCs w:val="20"/>
              </w:rPr>
              <w:t>Australian Automotive Aftermarket Association</w:t>
            </w:r>
          </w:p>
        </w:tc>
      </w:tr>
      <w:tr w:rsidR="00CB0342" w:rsidRPr="007B6E69" w14:paraId="4A1C29CC" w14:textId="77777777" w:rsidTr="00710A9C">
        <w:tc>
          <w:tcPr>
            <w:tcW w:w="9639" w:type="dxa"/>
          </w:tcPr>
          <w:p w14:paraId="72C3518B"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Trucking Association</w:t>
            </w:r>
          </w:p>
        </w:tc>
      </w:tr>
      <w:tr w:rsidR="00CB0342" w:rsidRPr="007B6E69" w14:paraId="7C54564B" w14:textId="77777777" w:rsidTr="00710A9C">
        <w:tc>
          <w:tcPr>
            <w:tcW w:w="9639" w:type="dxa"/>
          </w:tcPr>
          <w:p w14:paraId="357C4AF5"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Registered Automotive Workshop Scheme Association</w:t>
            </w:r>
          </w:p>
        </w:tc>
      </w:tr>
      <w:tr w:rsidR="00CB0342" w:rsidRPr="007B6E69" w14:paraId="15489834" w14:textId="77777777" w:rsidTr="00710A9C">
        <w:tc>
          <w:tcPr>
            <w:tcW w:w="9639" w:type="dxa"/>
          </w:tcPr>
          <w:p w14:paraId="4A7F6B6A" w14:textId="77777777"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Imported Motor Vehicle Industry Association</w:t>
            </w:r>
          </w:p>
        </w:tc>
      </w:tr>
      <w:tr w:rsidR="00CB0342" w:rsidRPr="007B6E69" w14:paraId="3360DB59" w14:textId="77777777" w:rsidTr="00710A9C">
        <w:tc>
          <w:tcPr>
            <w:tcW w:w="9639" w:type="dxa"/>
            <w:tcBorders>
              <w:bottom w:val="single" w:sz="12" w:space="0" w:color="000000"/>
            </w:tcBorders>
          </w:tcPr>
          <w:p w14:paraId="1D03BC70" w14:textId="77777777" w:rsidR="00CB0342" w:rsidRPr="007B6E69" w:rsidRDefault="00CB0342" w:rsidP="00710A9C">
            <w:pPr>
              <w:pStyle w:val="Table1"/>
            </w:pPr>
          </w:p>
        </w:tc>
      </w:tr>
    </w:tbl>
    <w:p w14:paraId="25CBA3D3" w14:textId="77777777" w:rsidR="00DA2099" w:rsidRPr="007B6E69" w:rsidRDefault="00DA2099" w:rsidP="008A23AD">
      <w:pPr>
        <w:sectPr w:rsidR="00DA2099" w:rsidRPr="007B6E69" w:rsidSect="000B61A1">
          <w:type w:val="continuous"/>
          <w:pgSz w:w="11906" w:h="16838" w:code="9"/>
          <w:pgMar w:top="1021" w:right="1021" w:bottom="1021" w:left="1021" w:header="510" w:footer="567" w:gutter="0"/>
          <w:cols w:space="708"/>
          <w:docGrid w:linePitch="360"/>
        </w:sectPr>
      </w:pPr>
    </w:p>
    <w:p w14:paraId="10589BDD" w14:textId="77777777" w:rsidR="00496B81" w:rsidRPr="007B6E69" w:rsidRDefault="00C47D1D" w:rsidP="00E13D3A">
      <w:pPr>
        <w:pStyle w:val="AppendixHeading1"/>
      </w:pPr>
      <w:bookmarkStart w:id="189" w:name="_Toc111576741"/>
      <w:bookmarkStart w:id="190" w:name="_Toc143182176"/>
      <w:r>
        <w:t>Appendix 1</w:t>
      </w:r>
      <w:r w:rsidR="008B1541">
        <w:t>4</w:t>
      </w:r>
      <w:r w:rsidR="00496B81" w:rsidRPr="007B6E69">
        <w:t xml:space="preserve"> – </w:t>
      </w:r>
      <w:r w:rsidR="006D7157" w:rsidRPr="007B6E69">
        <w:t>Public Comment, Safer Freight Vehicles Discussion Paper</w:t>
      </w:r>
      <w:bookmarkEnd w:id="189"/>
      <w:bookmarkEnd w:id="190"/>
    </w:p>
    <w:p w14:paraId="32602854" w14:textId="79467910" w:rsidR="006D7157" w:rsidRPr="007B6E69" w:rsidRDefault="006D7157" w:rsidP="006D7157">
      <w:r w:rsidRPr="007B6E69">
        <w:t xml:space="preserve">A summary of the comments received and the </w:t>
      </w:r>
      <w:r w:rsidR="00B9347B">
        <w:t>department</w:t>
      </w:r>
      <w:r w:rsidRPr="007B6E69">
        <w:t xml:space="preserve"> response are included in the </w:t>
      </w:r>
      <w:r w:rsidR="00534814" w:rsidRPr="007B6E69">
        <w:t xml:space="preserve">Table </w:t>
      </w:r>
      <w:r w:rsidR="00534814">
        <w:rPr>
          <w:noProof/>
        </w:rPr>
        <w:t>27</w:t>
      </w:r>
      <w:r w:rsidRPr="007B6E69">
        <w:t xml:space="preserve"> below. Comments submitted in confidence have not been tabled for publication but have been considered in </w:t>
      </w:r>
      <w:r w:rsidR="00C03807">
        <w:t xml:space="preserve">refining and </w:t>
      </w:r>
      <w:r w:rsidRPr="007B6E69">
        <w:t>analysing the options.</w:t>
      </w:r>
      <w:r w:rsidR="002570D3">
        <w:t xml:space="preserve"> Comments submitted </w:t>
      </w:r>
      <w:r w:rsidR="00B20687">
        <w:t xml:space="preserve">in regard to ADR requirements for vehicle axle configuration and/or retractable axle transition masses are not considered here, but would be considered as part of any future </w:t>
      </w:r>
      <w:r w:rsidR="00C45600">
        <w:t>IA</w:t>
      </w:r>
      <w:r w:rsidR="00B20687">
        <w:t xml:space="preserve"> to analyse options for reforming those requirements.</w:t>
      </w:r>
    </w:p>
    <w:p w14:paraId="2DF7FD74" w14:textId="71E5C189" w:rsidR="006D7157" w:rsidRPr="007B6E69" w:rsidRDefault="006D7157" w:rsidP="006D7157">
      <w:pPr>
        <w:pStyle w:val="Caption"/>
        <w:keepNext/>
      </w:pPr>
      <w:bookmarkStart w:id="191" w:name="_Ref35513546"/>
      <w:bookmarkStart w:id="192" w:name="_Toc135320152"/>
      <w:r w:rsidRPr="007B6E69">
        <w:t xml:space="preserve">Table </w:t>
      </w:r>
      <w:r w:rsidR="00534814">
        <w:rPr>
          <w:noProof/>
        </w:rPr>
        <w:t>27</w:t>
      </w:r>
      <w:bookmarkEnd w:id="191"/>
      <w:r w:rsidRPr="007B6E69">
        <w:t>: Summary of public comments</w:t>
      </w:r>
      <w:bookmarkEnd w:id="192"/>
    </w:p>
    <w:tbl>
      <w:tblPr>
        <w:tblStyle w:val="TableGrid"/>
        <w:tblW w:w="0" w:type="auto"/>
        <w:tblCellMar>
          <w:top w:w="57" w:type="dxa"/>
          <w:bottom w:w="57" w:type="dxa"/>
        </w:tblCellMar>
        <w:tblLook w:val="04A0" w:firstRow="1" w:lastRow="0" w:firstColumn="1" w:lastColumn="0" w:noHBand="0" w:noVBand="1"/>
      </w:tblPr>
      <w:tblGrid>
        <w:gridCol w:w="1696"/>
        <w:gridCol w:w="6379"/>
        <w:gridCol w:w="142"/>
        <w:gridCol w:w="6379"/>
      </w:tblGrid>
      <w:tr w:rsidR="003822C7" w:rsidRPr="007B6E69" w14:paraId="704BE314" w14:textId="77777777" w:rsidTr="00CC5A05">
        <w:trPr>
          <w:trHeight w:hRule="exact" w:val="851"/>
        </w:trPr>
        <w:tc>
          <w:tcPr>
            <w:tcW w:w="1696" w:type="dxa"/>
            <w:shd w:val="clear" w:color="auto" w:fill="0D3064" w:themeFill="accent1" w:themeFillTint="E6"/>
          </w:tcPr>
          <w:p w14:paraId="1DC303F0" w14:textId="77777777" w:rsidR="003822C7" w:rsidRPr="007B6E69" w:rsidRDefault="003822C7" w:rsidP="00710A9C">
            <w:pPr>
              <w:spacing w:before="120" w:after="120"/>
              <w:rPr>
                <w:b/>
                <w:color w:val="FFFFFF" w:themeColor="background1"/>
              </w:rPr>
            </w:pPr>
            <w:r w:rsidRPr="007B6E69">
              <w:rPr>
                <w:b/>
                <w:color w:val="FFFFFF" w:themeColor="background1"/>
              </w:rPr>
              <w:t>Correspondent</w:t>
            </w:r>
          </w:p>
        </w:tc>
        <w:tc>
          <w:tcPr>
            <w:tcW w:w="6521" w:type="dxa"/>
            <w:gridSpan w:val="2"/>
            <w:shd w:val="clear" w:color="auto" w:fill="0D3064" w:themeFill="accent1" w:themeFillTint="E6"/>
          </w:tcPr>
          <w:p w14:paraId="5D7ADBE3" w14:textId="77777777" w:rsidR="003822C7" w:rsidRPr="007B6E69" w:rsidRDefault="003822C7" w:rsidP="00710A9C">
            <w:pPr>
              <w:spacing w:before="120" w:after="120"/>
              <w:rPr>
                <w:b/>
                <w:color w:val="FFFFFF" w:themeColor="background1"/>
              </w:rPr>
            </w:pPr>
            <w:r w:rsidRPr="007B6E69">
              <w:rPr>
                <w:b/>
                <w:color w:val="FFFFFF" w:themeColor="background1"/>
              </w:rPr>
              <w:t>Summary of Comments</w:t>
            </w:r>
          </w:p>
        </w:tc>
        <w:tc>
          <w:tcPr>
            <w:tcW w:w="6379" w:type="dxa"/>
            <w:shd w:val="clear" w:color="auto" w:fill="0D3064" w:themeFill="accent1" w:themeFillTint="E6"/>
          </w:tcPr>
          <w:p w14:paraId="4D527B2A" w14:textId="77777777" w:rsidR="003822C7" w:rsidRPr="00BF44CF" w:rsidRDefault="003822C7" w:rsidP="00BF44CF">
            <w:pPr>
              <w:spacing w:before="120" w:after="120"/>
              <w:ind w:left="284" w:hanging="284"/>
              <w:rPr>
                <w:rFonts w:cstheme="minorHAnsi"/>
                <w:b/>
                <w:color w:val="FFFFFF" w:themeColor="background1"/>
              </w:rPr>
            </w:pPr>
            <w:r w:rsidRPr="00BF44CF">
              <w:rPr>
                <w:rFonts w:cstheme="minorHAnsi"/>
                <w:b/>
                <w:color w:val="FFFFFF" w:themeColor="background1"/>
              </w:rPr>
              <w:t>Department Response</w:t>
            </w:r>
          </w:p>
        </w:tc>
      </w:tr>
      <w:tr w:rsidR="003822C7" w:rsidRPr="007B6E69" w14:paraId="4B1E4805" w14:textId="77777777" w:rsidTr="00CC5A05">
        <w:tc>
          <w:tcPr>
            <w:tcW w:w="1696" w:type="dxa"/>
          </w:tcPr>
          <w:p w14:paraId="2A537AE4" w14:textId="77777777" w:rsidR="003822C7" w:rsidRPr="007B6E69" w:rsidRDefault="003822C7" w:rsidP="00710A9C">
            <w:pPr>
              <w:spacing w:before="120" w:after="120"/>
              <w:rPr>
                <w:rFonts w:cstheme="minorHAnsi"/>
              </w:rPr>
            </w:pPr>
            <w:r w:rsidRPr="007B6E69">
              <w:rPr>
                <w:rFonts w:cstheme="minorHAnsi"/>
              </w:rPr>
              <w:t>Arrival</w:t>
            </w:r>
          </w:p>
        </w:tc>
        <w:tc>
          <w:tcPr>
            <w:tcW w:w="6521" w:type="dxa"/>
            <w:gridSpan w:val="2"/>
          </w:tcPr>
          <w:p w14:paraId="5F9E43C9" w14:textId="77777777" w:rsidR="003822C7" w:rsidRDefault="003822C7" w:rsidP="00BF44CF">
            <w:pPr>
              <w:pStyle w:val="ListParagraph"/>
              <w:keepLines/>
              <w:numPr>
                <w:ilvl w:val="6"/>
                <w:numId w:val="1"/>
              </w:numPr>
              <w:tabs>
                <w:tab w:val="left" w:pos="320"/>
              </w:tabs>
              <w:suppressAutoHyphens w:val="0"/>
              <w:ind w:left="284"/>
              <w:rPr>
                <w:rFonts w:cstheme="minorHAnsi"/>
                <w:szCs w:val="20"/>
              </w:rPr>
            </w:pPr>
            <w:r w:rsidRPr="00BF44CF">
              <w:rPr>
                <w:rFonts w:cstheme="minorHAnsi"/>
                <w:szCs w:val="20"/>
              </w:rPr>
              <w:t>Broadly agrees with the direction outlined to more closely harmonise the ADRs with regulations in force in other markets, and to allow technologies that would improve the safety and efficiency of heavy vehicles.</w:t>
            </w:r>
          </w:p>
          <w:p w14:paraId="559B5062" w14:textId="77777777" w:rsidR="003822C7" w:rsidRDefault="003822C7" w:rsidP="00BF44CF">
            <w:pPr>
              <w:pStyle w:val="ListParagraph"/>
              <w:keepLines/>
              <w:numPr>
                <w:ilvl w:val="6"/>
                <w:numId w:val="1"/>
              </w:numPr>
              <w:tabs>
                <w:tab w:val="left" w:pos="320"/>
              </w:tabs>
              <w:suppressAutoHyphens w:val="0"/>
              <w:ind w:left="284"/>
              <w:rPr>
                <w:rFonts w:cstheme="minorHAnsi"/>
                <w:szCs w:val="20"/>
              </w:rPr>
            </w:pPr>
            <w:r>
              <w:rPr>
                <w:rFonts w:cstheme="minorHAnsi"/>
                <w:szCs w:val="20"/>
              </w:rPr>
              <w:t>Considers that t</w:t>
            </w:r>
            <w:r w:rsidRPr="00401FA9">
              <w:rPr>
                <w:rFonts w:cstheme="minorHAnsi"/>
                <w:szCs w:val="20"/>
              </w:rPr>
              <w:t>he maximum allowable width should be increased to 2.55</w:t>
            </w:r>
            <w:r>
              <w:rPr>
                <w:rFonts w:cstheme="minorHAnsi"/>
                <w:szCs w:val="20"/>
              </w:rPr>
              <w:t> </w:t>
            </w:r>
            <w:r w:rsidRPr="00401FA9">
              <w:rPr>
                <w:rFonts w:cstheme="minorHAnsi"/>
                <w:szCs w:val="20"/>
              </w:rPr>
              <w:t>m for all vehicle categories and should exclude protruding equipment such as exterior mirrors, cameras and lamps to align with global standards and preclude the need for Australia specific vehicle designs</w:t>
            </w:r>
            <w:r>
              <w:rPr>
                <w:rFonts w:cstheme="minorHAnsi"/>
                <w:szCs w:val="20"/>
              </w:rPr>
              <w:t>.</w:t>
            </w:r>
          </w:p>
          <w:p w14:paraId="42679BB0" w14:textId="77777777" w:rsidR="003822C7" w:rsidRPr="005B405D" w:rsidRDefault="003822C7" w:rsidP="005B405D">
            <w:pPr>
              <w:pStyle w:val="ListParagraph"/>
              <w:keepLines/>
              <w:numPr>
                <w:ilvl w:val="6"/>
                <w:numId w:val="1"/>
              </w:numPr>
              <w:tabs>
                <w:tab w:val="left" w:pos="320"/>
              </w:tabs>
              <w:suppressAutoHyphens w:val="0"/>
              <w:ind w:left="284"/>
              <w:rPr>
                <w:rFonts w:cstheme="minorHAnsi"/>
                <w:szCs w:val="20"/>
              </w:rPr>
            </w:pPr>
            <w:r w:rsidRPr="005B405D">
              <w:rPr>
                <w:rFonts w:cstheme="minorHAnsi"/>
                <w:szCs w:val="20"/>
              </w:rPr>
              <w:t>Notes for electric vehicles with a battery pack under the floor, additional width allows a greater battery capacity for the same length of vehicle without reducing the size of the structural supports on either side – reducing the width of the vehicle to localise for Australia could require either a reduction in driving range or the amount of structure provided to protect the battery pack.</w:t>
            </w:r>
          </w:p>
        </w:tc>
        <w:tc>
          <w:tcPr>
            <w:tcW w:w="6379" w:type="dxa"/>
          </w:tcPr>
          <w:p w14:paraId="1BCC91D8" w14:textId="77777777" w:rsidR="003822C7" w:rsidRDefault="003822C7" w:rsidP="007C097D">
            <w:pPr>
              <w:pStyle w:val="ListParagraph"/>
              <w:keepLines/>
              <w:numPr>
                <w:ilvl w:val="0"/>
                <w:numId w:val="48"/>
              </w:numPr>
              <w:tabs>
                <w:tab w:val="left" w:pos="318"/>
              </w:tabs>
              <w:suppressAutoHyphens w:val="0"/>
              <w:ind w:left="284" w:hanging="284"/>
              <w:rPr>
                <w:rFonts w:cstheme="minorHAnsi"/>
                <w:szCs w:val="20"/>
              </w:rPr>
            </w:pPr>
            <w:r w:rsidRPr="00BF44CF">
              <w:rPr>
                <w:rFonts w:cstheme="minorHAnsi"/>
                <w:szCs w:val="20"/>
              </w:rPr>
              <w:t>Noted.</w:t>
            </w:r>
          </w:p>
          <w:p w14:paraId="1203DC52" w14:textId="77777777" w:rsidR="003822C7" w:rsidRPr="003964D3" w:rsidRDefault="00560A3B" w:rsidP="00D90213">
            <w:pPr>
              <w:pStyle w:val="ListParagraph"/>
              <w:keepLines/>
              <w:numPr>
                <w:ilvl w:val="0"/>
                <w:numId w:val="48"/>
              </w:numPr>
              <w:tabs>
                <w:tab w:val="left" w:pos="318"/>
              </w:tabs>
              <w:suppressAutoHyphens w:val="0"/>
              <w:ind w:left="284" w:hanging="284"/>
              <w:rPr>
                <w:rFonts w:cstheme="minorHAnsi"/>
                <w:szCs w:val="20"/>
              </w:rPr>
            </w:pPr>
            <w:r w:rsidRPr="00EA6912">
              <w:rPr>
                <w:rFonts w:cstheme="minorHAnsi"/>
                <w:szCs w:val="20"/>
              </w:rPr>
              <w:t>Noted</w:t>
            </w:r>
            <w:r w:rsidR="003822C7" w:rsidRPr="00EA6912">
              <w:rPr>
                <w:rFonts w:cstheme="minorHAnsi"/>
                <w:szCs w:val="20"/>
              </w:rPr>
              <w:t>.</w:t>
            </w:r>
            <w:r w:rsidRPr="00EA6912">
              <w:rPr>
                <w:rFonts w:cstheme="minorHAnsi"/>
                <w:szCs w:val="20"/>
              </w:rPr>
              <w:t xml:space="preserve"> </w:t>
            </w:r>
            <w:r w:rsidR="00EA6912" w:rsidRPr="00EA6912">
              <w:rPr>
                <w:rFonts w:cstheme="minorHAnsi"/>
                <w:szCs w:val="20"/>
              </w:rPr>
              <w:t xml:space="preserve">This is beyond the scope of the current </w:t>
            </w:r>
            <w:r w:rsidR="00C45600">
              <w:rPr>
                <w:rFonts w:cstheme="minorHAnsi"/>
                <w:szCs w:val="20"/>
              </w:rPr>
              <w:t>IA</w:t>
            </w:r>
            <w:r w:rsidR="00EA6912" w:rsidRPr="00EA6912">
              <w:rPr>
                <w:rFonts w:cstheme="minorHAnsi"/>
                <w:szCs w:val="20"/>
              </w:rPr>
              <w:t xml:space="preserve">, which </w:t>
            </w:r>
            <w:r w:rsidR="00D90213">
              <w:rPr>
                <w:rFonts w:cstheme="minorHAnsi"/>
                <w:szCs w:val="20"/>
              </w:rPr>
              <w:t>has been aligned with</w:t>
            </w:r>
            <w:r w:rsidR="00EA6912" w:rsidRPr="00EA6912">
              <w:rPr>
                <w:rFonts w:cstheme="minorHAnsi"/>
                <w:szCs w:val="20"/>
              </w:rPr>
              <w:t xml:space="preserve"> Other Critical Action L of the NRSAP 2018-2020</w:t>
            </w:r>
            <w:r w:rsidR="00D90213">
              <w:rPr>
                <w:rFonts w:cstheme="minorHAnsi"/>
                <w:szCs w:val="20"/>
              </w:rPr>
              <w:t xml:space="preserve">, to investigate </w:t>
            </w:r>
            <w:r w:rsidR="00D90213" w:rsidRPr="00D90213">
              <w:rPr>
                <w:rFonts w:cstheme="minorHAnsi"/>
                <w:szCs w:val="20"/>
              </w:rPr>
              <w:t>the introduction of safer, cleaner heavy freight vehicles by minimising regulatory barriers</w:t>
            </w:r>
            <w:r w:rsidR="00EA6912">
              <w:rPr>
                <w:rFonts w:cstheme="minorHAnsi"/>
                <w:szCs w:val="20"/>
              </w:rPr>
              <w:t>.</w:t>
            </w:r>
            <w:r w:rsidR="00D90213">
              <w:rPr>
                <w:rFonts w:cstheme="minorHAnsi"/>
                <w:szCs w:val="20"/>
              </w:rPr>
              <w:t xml:space="preserve"> Increasing the width limit to 2.55 m (or </w:t>
            </w:r>
            <w:r w:rsidR="00B9347B">
              <w:rPr>
                <w:rFonts w:cstheme="minorHAnsi"/>
                <w:szCs w:val="20"/>
              </w:rPr>
              <w:t>2.60</w:t>
            </w:r>
            <w:r w:rsidR="00D90213">
              <w:rPr>
                <w:rFonts w:cstheme="minorHAnsi"/>
                <w:szCs w:val="20"/>
              </w:rPr>
              <w:t xml:space="preserve"> m) for other vehicle categories, including buses, could be considered as part of a future </w:t>
            </w:r>
            <w:r w:rsidR="00C45600">
              <w:rPr>
                <w:rFonts w:cstheme="minorHAnsi"/>
                <w:szCs w:val="20"/>
              </w:rPr>
              <w:t>IA</w:t>
            </w:r>
            <w:r w:rsidR="00522508">
              <w:rPr>
                <w:rFonts w:cstheme="minorHAnsi"/>
                <w:szCs w:val="20"/>
              </w:rPr>
              <w:t xml:space="preserve"> (subject to ADR development and review priorities)</w:t>
            </w:r>
            <w:r w:rsidR="00CB0D65">
              <w:rPr>
                <w:rFonts w:cstheme="minorHAnsi"/>
                <w:szCs w:val="20"/>
              </w:rPr>
              <w:t>.</w:t>
            </w:r>
          </w:p>
          <w:p w14:paraId="3927E8E4" w14:textId="77777777" w:rsidR="003822C7" w:rsidRPr="00BF44CF" w:rsidRDefault="003822C7" w:rsidP="007C097D">
            <w:pPr>
              <w:pStyle w:val="ListParagraph"/>
              <w:keepLines/>
              <w:numPr>
                <w:ilvl w:val="0"/>
                <w:numId w:val="48"/>
              </w:numPr>
              <w:tabs>
                <w:tab w:val="left" w:pos="318"/>
              </w:tabs>
              <w:suppressAutoHyphens w:val="0"/>
              <w:ind w:left="284" w:hanging="284"/>
              <w:rPr>
                <w:rFonts w:cstheme="minorHAnsi"/>
                <w:szCs w:val="20"/>
              </w:rPr>
            </w:pPr>
            <w:r>
              <w:rPr>
                <w:rFonts w:cstheme="minorHAnsi"/>
                <w:szCs w:val="20"/>
              </w:rPr>
              <w:t>Agreed.</w:t>
            </w:r>
          </w:p>
        </w:tc>
      </w:tr>
      <w:tr w:rsidR="003822C7" w:rsidRPr="007B6E69" w14:paraId="4B4ED5A0" w14:textId="77777777" w:rsidTr="00CC5A05">
        <w:tc>
          <w:tcPr>
            <w:tcW w:w="1696" w:type="dxa"/>
          </w:tcPr>
          <w:p w14:paraId="63BDD5CF" w14:textId="77777777" w:rsidR="003822C7" w:rsidRPr="007B6E69" w:rsidRDefault="003822C7" w:rsidP="00FF6D1F">
            <w:pPr>
              <w:spacing w:before="120" w:after="120"/>
              <w:rPr>
                <w:rFonts w:cstheme="minorHAnsi"/>
              </w:rPr>
            </w:pPr>
            <w:r w:rsidRPr="007B6E69">
              <w:rPr>
                <w:rFonts w:cstheme="minorHAnsi"/>
              </w:rPr>
              <w:t>Australasian College of Road Safety</w:t>
            </w:r>
          </w:p>
        </w:tc>
        <w:tc>
          <w:tcPr>
            <w:tcW w:w="6521" w:type="dxa"/>
            <w:gridSpan w:val="2"/>
          </w:tcPr>
          <w:p w14:paraId="04C058EB"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Provides in-principle support for the proposed changes to heavy vehicle regulation.</w:t>
            </w:r>
          </w:p>
          <w:p w14:paraId="621FE65E"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Supports options including both goods vehicles and trailers to maximise the benefits from side-underrun protection and other safety features.</w:t>
            </w:r>
          </w:p>
          <w:p w14:paraId="7CD58A6C"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B</w:t>
            </w:r>
            <w:r w:rsidRPr="00973603">
              <w:rPr>
                <w:rFonts w:cstheme="minorHAnsi"/>
              </w:rPr>
              <w:t>elieves safety should be the primary consideration, with cost a secondary consideration</w:t>
            </w:r>
            <w:r>
              <w:rPr>
                <w:rFonts w:cstheme="minorHAnsi"/>
              </w:rPr>
              <w:t>.</w:t>
            </w:r>
          </w:p>
          <w:p w14:paraId="272C4F1E"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 xml:space="preserve">Notes it </w:t>
            </w:r>
            <w:r w:rsidRPr="001743D7">
              <w:rPr>
                <w:rFonts w:cstheme="minorHAnsi"/>
              </w:rPr>
              <w:t>would be helpful for the discussion paper to address options for retrofitting technologies to</w:t>
            </w:r>
            <w:r w:rsidR="00BC2E8B">
              <w:rPr>
                <w:rFonts w:cstheme="minorHAnsi"/>
              </w:rPr>
              <w:t xml:space="preserve"> </w:t>
            </w:r>
            <w:r w:rsidRPr="001743D7">
              <w:rPr>
                <w:rFonts w:cstheme="minorHAnsi"/>
              </w:rPr>
              <w:t>existing vehicles</w:t>
            </w:r>
            <w:r>
              <w:rPr>
                <w:rFonts w:cstheme="minorHAnsi"/>
              </w:rPr>
              <w:t>.</w:t>
            </w:r>
          </w:p>
          <w:p w14:paraId="69E3EB5E" w14:textId="77777777"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 xml:space="preserve">Recommends the </w:t>
            </w:r>
            <w:r w:rsidR="00B9347B">
              <w:rPr>
                <w:rFonts w:cstheme="minorHAnsi"/>
              </w:rPr>
              <w:t>department</w:t>
            </w:r>
            <w:r>
              <w:rPr>
                <w:rFonts w:cstheme="minorHAnsi"/>
              </w:rPr>
              <w:t xml:space="preserve"> outline a </w:t>
            </w:r>
            <w:r w:rsidRPr="00624A2D">
              <w:rPr>
                <w:rFonts w:cstheme="minorHAnsi"/>
              </w:rPr>
              <w:t>process</w:t>
            </w:r>
            <w:r>
              <w:rPr>
                <w:rFonts w:cstheme="minorHAnsi"/>
              </w:rPr>
              <w:t>, including a timeline,</w:t>
            </w:r>
            <w:r w:rsidRPr="00624A2D">
              <w:rPr>
                <w:rFonts w:cstheme="minorHAnsi"/>
              </w:rPr>
              <w:t xml:space="preserve"> towards achieving the ultimate aim of the highest safety standards available being</w:t>
            </w:r>
            <w:r>
              <w:rPr>
                <w:rFonts w:cstheme="minorHAnsi"/>
              </w:rPr>
              <w:t xml:space="preserve"> </w:t>
            </w:r>
            <w:r w:rsidRPr="00624A2D">
              <w:rPr>
                <w:rFonts w:cstheme="minorHAnsi"/>
              </w:rPr>
              <w:t>mandatory on all heavy vehicles</w:t>
            </w:r>
            <w:r>
              <w:rPr>
                <w:rFonts w:cstheme="minorHAnsi"/>
              </w:rPr>
              <w:t>.</w:t>
            </w:r>
          </w:p>
          <w:p w14:paraId="67C95B33" w14:textId="77777777" w:rsidR="003822C7" w:rsidRPr="00115143"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Recommends c</w:t>
            </w:r>
            <w:r w:rsidRPr="006403D4">
              <w:rPr>
                <w:rFonts w:cstheme="minorHAnsi"/>
              </w:rPr>
              <w:t>onsideration be given to evidence around the utility and effectiveness of each proposed</w:t>
            </w:r>
            <w:r w:rsidRPr="006403D4">
              <w:rPr>
                <w:rFonts w:cstheme="minorHAnsi"/>
              </w:rPr>
              <w:cr/>
            </w:r>
            <w:r>
              <w:rPr>
                <w:rFonts w:cstheme="minorHAnsi"/>
              </w:rPr>
              <w:t xml:space="preserve"> </w:t>
            </w:r>
            <w:r w:rsidRPr="006403D4">
              <w:rPr>
                <w:rFonts w:cstheme="minorHAnsi"/>
              </w:rPr>
              <w:t>safety technology, including human interaction, and interactions among the various technologies</w:t>
            </w:r>
            <w:r>
              <w:rPr>
                <w:rFonts w:cstheme="minorHAnsi"/>
              </w:rPr>
              <w:t xml:space="preserve"> – suggests </w:t>
            </w:r>
            <w:proofErr w:type="gramStart"/>
            <w:r>
              <w:rPr>
                <w:rFonts w:cstheme="minorHAnsi"/>
              </w:rPr>
              <w:t>a</w:t>
            </w:r>
            <w:proofErr w:type="gramEnd"/>
            <w:r>
              <w:rPr>
                <w:rFonts w:cstheme="minorHAnsi"/>
              </w:rPr>
              <w:t xml:space="preserve"> </w:t>
            </w:r>
            <w:r w:rsidR="00C45600">
              <w:rPr>
                <w:rFonts w:cstheme="minorHAnsi"/>
              </w:rPr>
              <w:t>IA</w:t>
            </w:r>
            <w:r>
              <w:rPr>
                <w:rFonts w:cstheme="minorHAnsi"/>
              </w:rPr>
              <w:t xml:space="preserve"> may help with this.</w:t>
            </w:r>
          </w:p>
        </w:tc>
        <w:tc>
          <w:tcPr>
            <w:tcW w:w="6379" w:type="dxa"/>
          </w:tcPr>
          <w:p w14:paraId="32BC9C81" w14:textId="77777777" w:rsidR="003822C7" w:rsidRDefault="003822C7" w:rsidP="00E248BF">
            <w:pPr>
              <w:pStyle w:val="ListParagraph"/>
              <w:keepLines/>
              <w:numPr>
                <w:ilvl w:val="0"/>
                <w:numId w:val="67"/>
              </w:numPr>
              <w:tabs>
                <w:tab w:val="left" w:pos="318"/>
              </w:tabs>
              <w:suppressAutoHyphens w:val="0"/>
              <w:ind w:left="284" w:hanging="284"/>
              <w:rPr>
                <w:rFonts w:cstheme="minorHAnsi"/>
              </w:rPr>
            </w:pPr>
            <w:r>
              <w:rPr>
                <w:rFonts w:cstheme="minorHAnsi"/>
              </w:rPr>
              <w:t>Noted.</w:t>
            </w:r>
          </w:p>
          <w:p w14:paraId="08CCC6B3" w14:textId="77777777" w:rsidR="003822C7" w:rsidRDefault="003822C7" w:rsidP="00E248BF">
            <w:pPr>
              <w:pStyle w:val="ListParagraph"/>
              <w:keepLines/>
              <w:numPr>
                <w:ilvl w:val="0"/>
                <w:numId w:val="67"/>
              </w:numPr>
              <w:tabs>
                <w:tab w:val="left" w:pos="318"/>
              </w:tabs>
              <w:suppressAutoHyphens w:val="0"/>
              <w:ind w:left="284" w:hanging="284"/>
              <w:rPr>
                <w:rFonts w:cstheme="minorHAnsi"/>
              </w:rPr>
            </w:pPr>
            <w:r>
              <w:rPr>
                <w:rFonts w:cstheme="minorHAnsi"/>
              </w:rPr>
              <w:t>Noted.</w:t>
            </w:r>
          </w:p>
          <w:p w14:paraId="32EF7F98" w14:textId="77777777" w:rsidR="003822C7" w:rsidRPr="00D97B92" w:rsidRDefault="003822C7" w:rsidP="00E248BF">
            <w:pPr>
              <w:pStyle w:val="ListParagraph"/>
              <w:keepLines/>
              <w:numPr>
                <w:ilvl w:val="0"/>
                <w:numId w:val="67"/>
              </w:numPr>
              <w:tabs>
                <w:tab w:val="left" w:pos="318"/>
              </w:tabs>
              <w:suppressAutoHyphens w:val="0"/>
              <w:ind w:left="284" w:hanging="284"/>
              <w:rPr>
                <w:rFonts w:cstheme="minorHAnsi"/>
              </w:rPr>
            </w:pPr>
            <w:r w:rsidRPr="00D97B92">
              <w:rPr>
                <w:rFonts w:cstheme="minorHAnsi"/>
              </w:rPr>
              <w:t>Noted.</w:t>
            </w:r>
            <w:r>
              <w:rPr>
                <w:rFonts w:cstheme="minorHAnsi"/>
              </w:rPr>
              <w:t xml:space="preserve"> However, the </w:t>
            </w:r>
            <w:r w:rsidR="00B9347B">
              <w:rPr>
                <w:rFonts w:cstheme="minorHAnsi"/>
              </w:rPr>
              <w:t>d</w:t>
            </w:r>
            <w:r>
              <w:rPr>
                <w:rFonts w:cstheme="minorHAnsi"/>
              </w:rPr>
              <w:t xml:space="preserve">epartment will continue to follow government policy in relation to the assessment of regulatory proposals/options, including as per the Australian Government Guide to Regulatory Impact Analysis </w:t>
            </w:r>
            <w:r w:rsidR="00642905">
              <w:t xml:space="preserve">(Commonwealth of Australia, </w:t>
            </w:r>
            <w:r w:rsidR="00642905" w:rsidRPr="0025667A">
              <w:t>2020</w:t>
            </w:r>
            <w:r w:rsidR="00642905">
              <w:t>)</w:t>
            </w:r>
            <w:r>
              <w:rPr>
                <w:rFonts w:cstheme="minorHAnsi"/>
              </w:rPr>
              <w:t>. This requires policy makers to consider both benefits and costs</w:t>
            </w:r>
            <w:r w:rsidR="009A3817">
              <w:rPr>
                <w:rFonts w:cstheme="minorHAnsi"/>
              </w:rPr>
              <w:t>,</w:t>
            </w:r>
            <w:r>
              <w:rPr>
                <w:rFonts w:cstheme="minorHAnsi"/>
              </w:rPr>
              <w:t xml:space="preserve"> </w:t>
            </w:r>
            <w:r w:rsidRPr="009A3817">
              <w:rPr>
                <w:rFonts w:cstheme="minorHAnsi"/>
              </w:rPr>
              <w:t>and</w:t>
            </w:r>
            <w:r w:rsidR="00642905" w:rsidRPr="009A3817">
              <w:rPr>
                <w:rFonts w:cstheme="minorHAnsi"/>
              </w:rPr>
              <w:t xml:space="preserve"> </w:t>
            </w:r>
            <w:r w:rsidR="009A3817" w:rsidRPr="009A3817">
              <w:rPr>
                <w:rFonts w:cstheme="minorHAnsi"/>
              </w:rPr>
              <w:t>net benefits are the primary consideration in determining the best option</w:t>
            </w:r>
            <w:r w:rsidR="00642905" w:rsidRPr="009A3817">
              <w:rPr>
                <w:rFonts w:cstheme="minorHAnsi"/>
              </w:rPr>
              <w:t>.</w:t>
            </w:r>
          </w:p>
          <w:p w14:paraId="28FEB766" w14:textId="77777777" w:rsidR="003822C7" w:rsidRPr="00007667" w:rsidRDefault="009A3817" w:rsidP="00E248BF">
            <w:pPr>
              <w:pStyle w:val="ListParagraph"/>
              <w:keepLines/>
              <w:numPr>
                <w:ilvl w:val="0"/>
                <w:numId w:val="67"/>
              </w:numPr>
              <w:tabs>
                <w:tab w:val="left" w:pos="318"/>
              </w:tabs>
              <w:suppressAutoHyphens w:val="0"/>
              <w:ind w:left="284" w:hanging="284"/>
              <w:rPr>
                <w:rFonts w:cstheme="minorHAnsi"/>
              </w:rPr>
            </w:pPr>
            <w:r w:rsidRPr="00007667">
              <w:rPr>
                <w:rFonts w:cstheme="minorHAnsi"/>
              </w:rPr>
              <w:t xml:space="preserve">Noted. However, this is </w:t>
            </w:r>
            <w:r w:rsidR="00007667">
              <w:rPr>
                <w:rFonts w:cstheme="minorHAnsi"/>
              </w:rPr>
              <w:t xml:space="preserve">unlikely to be viable for many of the technologies considered in this </w:t>
            </w:r>
            <w:r w:rsidR="00C45600">
              <w:rPr>
                <w:rFonts w:cstheme="minorHAnsi"/>
              </w:rPr>
              <w:t>IA</w:t>
            </w:r>
            <w:r w:rsidR="00DB5843">
              <w:rPr>
                <w:rFonts w:cstheme="minorHAnsi"/>
              </w:rPr>
              <w:t xml:space="preserve">, including </w:t>
            </w:r>
            <w:r w:rsidR="00007667">
              <w:rPr>
                <w:rFonts w:cstheme="minorHAnsi"/>
              </w:rPr>
              <w:t xml:space="preserve">as it is generally much more expensive to retrofit </w:t>
            </w:r>
            <w:r w:rsidR="00DB5843">
              <w:rPr>
                <w:rFonts w:cstheme="minorHAnsi"/>
              </w:rPr>
              <w:t>safety systems</w:t>
            </w:r>
            <w:r w:rsidR="00007667">
              <w:rPr>
                <w:rFonts w:cstheme="minorHAnsi"/>
              </w:rPr>
              <w:t xml:space="preserve"> to existing vehicles and</w:t>
            </w:r>
            <w:r w:rsidR="00DB5843">
              <w:rPr>
                <w:rFonts w:cstheme="minorHAnsi"/>
              </w:rPr>
              <w:t xml:space="preserve"> there would be diminishing benefits for vehicles approaching the end of service life. Further, this is</w:t>
            </w:r>
            <w:r w:rsidR="00007667">
              <w:rPr>
                <w:rFonts w:cstheme="minorHAnsi"/>
              </w:rPr>
              <w:t xml:space="preserve"> </w:t>
            </w:r>
            <w:r w:rsidRPr="00007667">
              <w:rPr>
                <w:rFonts w:cstheme="minorHAnsi"/>
              </w:rPr>
              <w:t>beyond the scope of the ADRs or the RVSA</w:t>
            </w:r>
            <w:r w:rsidR="003822C7" w:rsidRPr="00007667">
              <w:rPr>
                <w:rFonts w:cstheme="minorHAnsi"/>
              </w:rPr>
              <w:t>.</w:t>
            </w:r>
          </w:p>
          <w:p w14:paraId="4ECE7AFA" w14:textId="77777777" w:rsidR="003822C7" w:rsidRPr="00007667" w:rsidRDefault="00D631AC" w:rsidP="00E248BF">
            <w:pPr>
              <w:pStyle w:val="ListParagraph"/>
              <w:keepLines/>
              <w:numPr>
                <w:ilvl w:val="0"/>
                <w:numId w:val="67"/>
              </w:numPr>
              <w:tabs>
                <w:tab w:val="left" w:pos="318"/>
              </w:tabs>
              <w:suppressAutoHyphens w:val="0"/>
              <w:ind w:left="284" w:hanging="284"/>
              <w:rPr>
                <w:rFonts w:cstheme="minorHAnsi"/>
              </w:rPr>
            </w:pPr>
            <w:r w:rsidRPr="00007667">
              <w:rPr>
                <w:rFonts w:cstheme="minorHAnsi"/>
              </w:rPr>
              <w:t>Disagree</w:t>
            </w:r>
            <w:r w:rsidR="00007667" w:rsidRPr="00007667">
              <w:rPr>
                <w:rFonts w:cstheme="minorHAnsi"/>
              </w:rPr>
              <w:t>. P</w:t>
            </w:r>
            <w:r w:rsidRPr="00007667">
              <w:rPr>
                <w:rFonts w:cstheme="minorHAnsi"/>
              </w:rPr>
              <w:t xml:space="preserve">olicy makers should consider the net benefits of a range of viable policy options, </w:t>
            </w:r>
            <w:r w:rsidR="00007667" w:rsidRPr="00007667">
              <w:rPr>
                <w:rFonts w:cstheme="minorHAnsi"/>
              </w:rPr>
              <w:t xml:space="preserve">and mandating all </w:t>
            </w:r>
            <w:r w:rsidR="00CB10A8">
              <w:rPr>
                <w:rFonts w:cstheme="minorHAnsi"/>
              </w:rPr>
              <w:t xml:space="preserve">of </w:t>
            </w:r>
            <w:r w:rsidR="00007667" w:rsidRPr="00007667">
              <w:rPr>
                <w:rFonts w:cstheme="minorHAnsi"/>
              </w:rPr>
              <w:t>the highest safety standards available should not be the default option.</w:t>
            </w:r>
          </w:p>
          <w:p w14:paraId="6250A821" w14:textId="77777777" w:rsidR="003822C7" w:rsidRPr="009A3817" w:rsidRDefault="009A3817" w:rsidP="00E248BF">
            <w:pPr>
              <w:pStyle w:val="ListParagraph"/>
              <w:keepLines/>
              <w:numPr>
                <w:ilvl w:val="0"/>
                <w:numId w:val="67"/>
              </w:numPr>
              <w:tabs>
                <w:tab w:val="left" w:pos="318"/>
              </w:tabs>
              <w:suppressAutoHyphens w:val="0"/>
              <w:ind w:left="284" w:hanging="284"/>
              <w:rPr>
                <w:rFonts w:cstheme="minorHAnsi"/>
              </w:rPr>
            </w:pPr>
            <w:r w:rsidRPr="009A3817">
              <w:rPr>
                <w:rFonts w:cstheme="minorHAnsi"/>
              </w:rPr>
              <w:t xml:space="preserve">Noted – this is addressed through the completion of the benefit-cost analysis for the </w:t>
            </w:r>
            <w:r w:rsidR="00C45600">
              <w:rPr>
                <w:rFonts w:cstheme="minorHAnsi"/>
              </w:rPr>
              <w:t>IA</w:t>
            </w:r>
            <w:r w:rsidR="003822C7" w:rsidRPr="009A3817">
              <w:rPr>
                <w:rFonts w:cstheme="minorHAnsi"/>
              </w:rPr>
              <w:t>.</w:t>
            </w:r>
          </w:p>
        </w:tc>
      </w:tr>
      <w:tr w:rsidR="003822C7" w:rsidRPr="007B6E69" w14:paraId="3AB860A5" w14:textId="77777777" w:rsidTr="003822C7">
        <w:tc>
          <w:tcPr>
            <w:tcW w:w="1696" w:type="dxa"/>
          </w:tcPr>
          <w:p w14:paraId="2A663A96" w14:textId="77777777" w:rsidR="003822C7" w:rsidRPr="007B6E69" w:rsidRDefault="003822C7" w:rsidP="00710A9C">
            <w:pPr>
              <w:spacing w:before="120" w:after="120"/>
              <w:rPr>
                <w:rFonts w:cstheme="minorHAnsi"/>
              </w:rPr>
            </w:pPr>
            <w:r w:rsidRPr="007B6E69">
              <w:rPr>
                <w:rFonts w:cstheme="minorHAnsi"/>
              </w:rPr>
              <w:t>Australian Trucking Association (ATA)</w:t>
            </w:r>
          </w:p>
        </w:tc>
        <w:tc>
          <w:tcPr>
            <w:tcW w:w="6521" w:type="dxa"/>
            <w:gridSpan w:val="2"/>
          </w:tcPr>
          <w:p w14:paraId="2EE24FB4" w14:textId="77777777" w:rsidR="003822C7" w:rsidRDefault="003822C7" w:rsidP="007C097D">
            <w:pPr>
              <w:pStyle w:val="ListParagraph"/>
              <w:keepLines/>
              <w:numPr>
                <w:ilvl w:val="6"/>
                <w:numId w:val="47"/>
              </w:numPr>
              <w:tabs>
                <w:tab w:val="left" w:pos="320"/>
              </w:tabs>
              <w:suppressAutoHyphens w:val="0"/>
              <w:ind w:left="284"/>
              <w:rPr>
                <w:rFonts w:cstheme="minorHAnsi"/>
                <w:szCs w:val="20"/>
              </w:rPr>
            </w:pPr>
            <w:r>
              <w:rPr>
                <w:rFonts w:cstheme="minorHAnsi"/>
                <w:szCs w:val="20"/>
              </w:rPr>
              <w:t>Recommends th</w:t>
            </w:r>
            <w:r w:rsidRPr="006822B1">
              <w:rPr>
                <w:rFonts w:cstheme="minorHAnsi"/>
                <w:szCs w:val="20"/>
              </w:rPr>
              <w:t xml:space="preserve">e Australian Government increase </w:t>
            </w:r>
            <w:r w:rsidR="00AB5981">
              <w:rPr>
                <w:rFonts w:cstheme="minorHAnsi"/>
                <w:szCs w:val="20"/>
              </w:rPr>
              <w:t xml:space="preserve">the </w:t>
            </w:r>
            <w:r w:rsidRPr="006822B1">
              <w:rPr>
                <w:rFonts w:cstheme="minorHAnsi"/>
                <w:szCs w:val="20"/>
              </w:rPr>
              <w:t xml:space="preserve">truck and trailer width </w:t>
            </w:r>
            <w:r w:rsidR="00AB5981">
              <w:rPr>
                <w:rFonts w:cstheme="minorHAnsi"/>
                <w:szCs w:val="20"/>
              </w:rPr>
              <w:t xml:space="preserve">limit </w:t>
            </w:r>
            <w:r w:rsidRPr="006822B1">
              <w:rPr>
                <w:rFonts w:cstheme="minorHAnsi"/>
                <w:szCs w:val="20"/>
              </w:rPr>
              <w:t xml:space="preserve">to </w:t>
            </w:r>
            <w:r w:rsidR="00B9347B">
              <w:rPr>
                <w:rFonts w:cstheme="minorHAnsi"/>
                <w:szCs w:val="20"/>
              </w:rPr>
              <w:t>2.60</w:t>
            </w:r>
            <w:r>
              <w:rPr>
                <w:rFonts w:cstheme="minorHAnsi"/>
                <w:szCs w:val="20"/>
              </w:rPr>
              <w:t> m</w:t>
            </w:r>
            <w:r w:rsidR="00AB5981">
              <w:rPr>
                <w:rFonts w:cstheme="minorHAnsi"/>
                <w:szCs w:val="20"/>
              </w:rPr>
              <w:t xml:space="preserve">, with an exclusion for </w:t>
            </w:r>
            <w:r w:rsidR="00AB5981" w:rsidRPr="00ED535E">
              <w:rPr>
                <w:rFonts w:cstheme="minorHAnsi"/>
                <w:szCs w:val="20"/>
              </w:rPr>
              <w:t>permanently fixed webbing assembly type devices</w:t>
            </w:r>
            <w:r>
              <w:rPr>
                <w:rFonts w:cstheme="minorHAnsi"/>
                <w:szCs w:val="20"/>
              </w:rPr>
              <w:t xml:space="preserve"> – but if not</w:t>
            </w:r>
            <w:r w:rsidR="00AB5981">
              <w:rPr>
                <w:rFonts w:cstheme="minorHAnsi"/>
                <w:szCs w:val="20"/>
              </w:rPr>
              <w:t>,</w:t>
            </w:r>
            <w:r>
              <w:rPr>
                <w:rFonts w:cstheme="minorHAnsi"/>
                <w:szCs w:val="20"/>
              </w:rPr>
              <w:t xml:space="preserve"> at least a </w:t>
            </w:r>
            <w:r w:rsidR="00B9347B">
              <w:rPr>
                <w:rFonts w:cstheme="minorHAnsi"/>
                <w:szCs w:val="20"/>
              </w:rPr>
              <w:t>2.60</w:t>
            </w:r>
            <w:r>
              <w:rPr>
                <w:rFonts w:cstheme="minorHAnsi"/>
                <w:szCs w:val="20"/>
              </w:rPr>
              <w:t xml:space="preserve"> m hard limit (i.e. </w:t>
            </w:r>
            <w:r w:rsidRPr="00ED535E">
              <w:rPr>
                <w:rFonts w:cstheme="minorHAnsi"/>
                <w:szCs w:val="20"/>
              </w:rPr>
              <w:t>including permanently fixed webbing assembly type devices</w:t>
            </w:r>
            <w:r>
              <w:rPr>
                <w:rFonts w:cstheme="minorHAnsi"/>
                <w:szCs w:val="20"/>
              </w:rPr>
              <w:t>).</w:t>
            </w:r>
          </w:p>
          <w:p w14:paraId="3B18839C" w14:textId="77777777" w:rsidR="003822C7" w:rsidRPr="00247806" w:rsidRDefault="003822C7" w:rsidP="00247806">
            <w:pPr>
              <w:pStyle w:val="ListParagraph"/>
              <w:keepLines/>
              <w:numPr>
                <w:ilvl w:val="6"/>
                <w:numId w:val="1"/>
              </w:numPr>
              <w:tabs>
                <w:tab w:val="left" w:pos="320"/>
              </w:tabs>
              <w:suppressAutoHyphens w:val="0"/>
              <w:ind w:left="284"/>
              <w:rPr>
                <w:rFonts w:cstheme="minorHAnsi"/>
                <w:szCs w:val="20"/>
              </w:rPr>
            </w:pPr>
            <w:r>
              <w:rPr>
                <w:rFonts w:cstheme="minorHAnsi"/>
                <w:szCs w:val="20"/>
              </w:rPr>
              <w:t>Considers a</w:t>
            </w:r>
            <w:r w:rsidRPr="00247806">
              <w:rPr>
                <w:rFonts w:cstheme="minorHAnsi"/>
                <w:szCs w:val="20"/>
              </w:rPr>
              <w:t>n increase to truck and trailer widths would allow improved safety for people working on</w:t>
            </w:r>
            <w:r>
              <w:rPr>
                <w:rFonts w:cstheme="minorHAnsi"/>
                <w:szCs w:val="20"/>
              </w:rPr>
              <w:t xml:space="preserve"> </w:t>
            </w:r>
            <w:r w:rsidRPr="00247806">
              <w:rPr>
                <w:rFonts w:cstheme="minorHAnsi"/>
                <w:szCs w:val="20"/>
              </w:rPr>
              <w:t>loading and unloading trucks by enabling increased use of fall arrest systems, load restraint and load covering systems</w:t>
            </w:r>
            <w:r>
              <w:rPr>
                <w:rFonts w:cstheme="minorHAnsi"/>
                <w:szCs w:val="20"/>
              </w:rPr>
              <w:t xml:space="preserve"> – </w:t>
            </w:r>
            <w:r w:rsidR="00B9347B">
              <w:rPr>
                <w:rFonts w:cstheme="minorHAnsi"/>
                <w:szCs w:val="20"/>
              </w:rPr>
              <w:t>2.60</w:t>
            </w:r>
            <w:r w:rsidR="003927CF">
              <w:rPr>
                <w:rFonts w:cstheme="minorHAnsi"/>
                <w:szCs w:val="20"/>
              </w:rPr>
              <w:t> m</w:t>
            </w:r>
            <w:r>
              <w:rPr>
                <w:rFonts w:cstheme="minorHAnsi"/>
                <w:szCs w:val="20"/>
              </w:rPr>
              <w:t xml:space="preserve"> would provide the clearest load restraint and workplace health and safety benefits.</w:t>
            </w:r>
          </w:p>
          <w:p w14:paraId="367DBBA2"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Notes i</w:t>
            </w:r>
            <w:r w:rsidRPr="00F21E81">
              <w:rPr>
                <w:rFonts w:cstheme="minorHAnsi"/>
                <w:szCs w:val="20"/>
              </w:rPr>
              <w:t>ncreased width has specific benefits for refrigerated trucks and trailers, improving thermal efficiency without a significant loss of payload.</w:t>
            </w:r>
          </w:p>
          <w:p w14:paraId="10940607"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Notes that th</w:t>
            </w:r>
            <w:r w:rsidRPr="00247806">
              <w:rPr>
                <w:rFonts w:cstheme="minorHAnsi"/>
                <w:szCs w:val="20"/>
              </w:rPr>
              <w:t>e ability to increase the thickness of refrigerated truck and trailer walls would make it easier to incorporate recessed load restraint into truck and trailer design</w:t>
            </w:r>
            <w:r>
              <w:rPr>
                <w:rFonts w:cstheme="minorHAnsi"/>
                <w:szCs w:val="20"/>
              </w:rPr>
              <w:t xml:space="preserve">, which </w:t>
            </w:r>
            <w:r w:rsidRPr="00247806">
              <w:rPr>
                <w:rFonts w:cstheme="minorHAnsi"/>
                <w:szCs w:val="20"/>
              </w:rPr>
              <w:t>would reduce loading and unloading damage and help ensure that load restraint equipment c</w:t>
            </w:r>
            <w:r>
              <w:rPr>
                <w:rFonts w:cstheme="minorHAnsi"/>
                <w:szCs w:val="20"/>
              </w:rPr>
              <w:t>an</w:t>
            </w:r>
            <w:r w:rsidRPr="00247806">
              <w:rPr>
                <w:rFonts w:cstheme="minorHAnsi"/>
                <w:szCs w:val="20"/>
              </w:rPr>
              <w:t xml:space="preserve"> be used in the safest possible way</w:t>
            </w:r>
            <w:r>
              <w:rPr>
                <w:rFonts w:cstheme="minorHAnsi"/>
                <w:szCs w:val="20"/>
              </w:rPr>
              <w:t>.</w:t>
            </w:r>
          </w:p>
          <w:p w14:paraId="19B7FBA9" w14:textId="77777777" w:rsidR="003822C7" w:rsidRDefault="003822C7" w:rsidP="00F04C0E">
            <w:pPr>
              <w:pStyle w:val="ListParagraph"/>
              <w:keepLines/>
              <w:numPr>
                <w:ilvl w:val="6"/>
                <w:numId w:val="1"/>
              </w:numPr>
              <w:tabs>
                <w:tab w:val="left" w:pos="320"/>
              </w:tabs>
              <w:suppressAutoHyphens w:val="0"/>
              <w:ind w:left="284"/>
              <w:rPr>
                <w:rFonts w:cstheme="minorHAnsi"/>
                <w:szCs w:val="20"/>
              </w:rPr>
            </w:pPr>
            <w:r w:rsidRPr="00F21E81">
              <w:rPr>
                <w:rFonts w:cstheme="minorHAnsi"/>
                <w:szCs w:val="20"/>
              </w:rPr>
              <w:t xml:space="preserve">Considers a </w:t>
            </w:r>
            <w:r w:rsidR="00B9347B">
              <w:rPr>
                <w:rFonts w:cstheme="minorHAnsi"/>
                <w:szCs w:val="20"/>
              </w:rPr>
              <w:t>2.60</w:t>
            </w:r>
            <w:r>
              <w:rPr>
                <w:rFonts w:cstheme="minorHAnsi"/>
                <w:szCs w:val="20"/>
              </w:rPr>
              <w:t> </w:t>
            </w:r>
            <w:r w:rsidRPr="00F21E81">
              <w:rPr>
                <w:rFonts w:cstheme="minorHAnsi"/>
                <w:szCs w:val="20"/>
              </w:rPr>
              <w:t xml:space="preserve">m width limit would provide Australian operators with the greatest access </w:t>
            </w:r>
            <w:r>
              <w:rPr>
                <w:rFonts w:cstheme="minorHAnsi"/>
                <w:szCs w:val="20"/>
              </w:rPr>
              <w:t>t</w:t>
            </w:r>
            <w:r w:rsidRPr="00F21E81">
              <w:rPr>
                <w:rFonts w:cstheme="minorHAnsi"/>
                <w:szCs w:val="20"/>
              </w:rPr>
              <w:t>o the latest international technology and zero emission vehicles</w:t>
            </w:r>
            <w:r>
              <w:rPr>
                <w:rFonts w:cstheme="minorHAnsi"/>
                <w:szCs w:val="20"/>
              </w:rPr>
              <w:t xml:space="preserve">, which is essential </w:t>
            </w:r>
            <w:r w:rsidRPr="00F21E81">
              <w:rPr>
                <w:rFonts w:cstheme="minorHAnsi"/>
                <w:szCs w:val="20"/>
              </w:rPr>
              <w:t>to reduce</w:t>
            </w:r>
            <w:r>
              <w:rPr>
                <w:rFonts w:cstheme="minorHAnsi"/>
                <w:szCs w:val="20"/>
              </w:rPr>
              <w:t xml:space="preserve"> </w:t>
            </w:r>
            <w:r w:rsidRPr="00F21E81">
              <w:rPr>
                <w:rFonts w:cstheme="minorHAnsi"/>
                <w:szCs w:val="20"/>
              </w:rPr>
              <w:t>costs and ensure that trucking operators have commercially viable options for reducing</w:t>
            </w:r>
            <w:r>
              <w:rPr>
                <w:rFonts w:cstheme="minorHAnsi"/>
                <w:szCs w:val="20"/>
              </w:rPr>
              <w:t xml:space="preserve"> </w:t>
            </w:r>
            <w:r w:rsidRPr="00F21E81">
              <w:rPr>
                <w:rFonts w:cstheme="minorHAnsi"/>
                <w:szCs w:val="20"/>
              </w:rPr>
              <w:t>transport emissions</w:t>
            </w:r>
            <w:r>
              <w:rPr>
                <w:rFonts w:cstheme="minorHAnsi"/>
                <w:szCs w:val="20"/>
              </w:rPr>
              <w:t>.</w:t>
            </w:r>
          </w:p>
          <w:p w14:paraId="423E2FF3" w14:textId="77777777" w:rsidR="003822C7" w:rsidRPr="00F21E81" w:rsidRDefault="003822C7" w:rsidP="00F04C0E">
            <w:pPr>
              <w:pStyle w:val="ListParagraph"/>
              <w:keepLines/>
              <w:numPr>
                <w:ilvl w:val="6"/>
                <w:numId w:val="1"/>
              </w:numPr>
              <w:tabs>
                <w:tab w:val="left" w:pos="320"/>
              </w:tabs>
              <w:suppressAutoHyphens w:val="0"/>
              <w:ind w:left="284"/>
              <w:rPr>
                <w:rFonts w:cstheme="minorHAnsi"/>
                <w:szCs w:val="20"/>
              </w:rPr>
            </w:pPr>
            <w:r w:rsidRPr="00F21E81">
              <w:rPr>
                <w:rFonts w:cstheme="minorHAnsi"/>
                <w:szCs w:val="20"/>
              </w:rPr>
              <w:t>Notes increased width can improve roll stability.</w:t>
            </w:r>
          </w:p>
          <w:p w14:paraId="66C267E6"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Recommends th</w:t>
            </w:r>
            <w:r w:rsidRPr="006822B1">
              <w:rPr>
                <w:rFonts w:cstheme="minorHAnsi"/>
                <w:szCs w:val="20"/>
              </w:rPr>
              <w:t>e Australian Government</w:t>
            </w:r>
            <w:r>
              <w:rPr>
                <w:rFonts w:cstheme="minorHAnsi"/>
                <w:szCs w:val="20"/>
              </w:rPr>
              <w:t xml:space="preserve"> implement</w:t>
            </w:r>
            <w:r w:rsidRPr="00A304B3">
              <w:rPr>
                <w:rFonts w:cstheme="minorHAnsi"/>
                <w:szCs w:val="20"/>
              </w:rPr>
              <w:t xml:space="preserve"> the safety technologies package for wider</w:t>
            </w:r>
            <w:r>
              <w:rPr>
                <w:rFonts w:cstheme="minorHAnsi"/>
                <w:szCs w:val="20"/>
              </w:rPr>
              <w:t xml:space="preserve"> </w:t>
            </w:r>
            <w:r w:rsidRPr="00A304B3">
              <w:rPr>
                <w:rFonts w:cstheme="minorHAnsi"/>
                <w:szCs w:val="20"/>
              </w:rPr>
              <w:t>trucks and trailers and ensure the proposed ADRs continue to be developed (and subject to regular review) in close consultation with industry and with regard for Australian conditions</w:t>
            </w:r>
            <w:r>
              <w:rPr>
                <w:rFonts w:cstheme="minorHAnsi"/>
                <w:szCs w:val="20"/>
              </w:rPr>
              <w:t>.</w:t>
            </w:r>
          </w:p>
          <w:p w14:paraId="4B18CE9A"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Supports the proposed ADR amendment package for improving driver vision (exclusion of devices for indirect vision and blind spot information systems from vehicle width and length).</w:t>
            </w:r>
          </w:p>
          <w:p w14:paraId="11BAC0F1" w14:textId="77777777"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the </w:t>
            </w:r>
            <w:r w:rsidRPr="00F96F6A">
              <w:rPr>
                <w:rFonts w:cstheme="minorHAnsi"/>
                <w:szCs w:val="20"/>
              </w:rPr>
              <w:t>Australian Government consider the best mechanism for implementing side</w:t>
            </w:r>
            <w:r>
              <w:rPr>
                <w:rFonts w:cstheme="minorHAnsi"/>
                <w:szCs w:val="20"/>
              </w:rPr>
              <w:t xml:space="preserve"> </w:t>
            </w:r>
            <w:r w:rsidRPr="00F96F6A">
              <w:rPr>
                <w:rFonts w:cstheme="minorHAnsi"/>
                <w:szCs w:val="20"/>
              </w:rPr>
              <w:t>underrun protection for wider vehicles, including consideration of</w:t>
            </w:r>
            <w:r>
              <w:rPr>
                <w:rFonts w:cstheme="minorHAnsi"/>
                <w:szCs w:val="20"/>
              </w:rPr>
              <w:t>;</w:t>
            </w:r>
            <w:r w:rsidRPr="00F96F6A">
              <w:rPr>
                <w:rFonts w:cstheme="minorHAnsi"/>
                <w:szCs w:val="20"/>
              </w:rPr>
              <w:t xml:space="preserve"> exempting regional, remote and off-road transport operations</w:t>
            </w:r>
            <w:r>
              <w:rPr>
                <w:rFonts w:cstheme="minorHAnsi"/>
                <w:szCs w:val="20"/>
              </w:rPr>
              <w:t xml:space="preserve">; and </w:t>
            </w:r>
            <w:r w:rsidRPr="00F96F6A">
              <w:rPr>
                <w:rFonts w:cstheme="minorHAnsi"/>
                <w:szCs w:val="20"/>
              </w:rPr>
              <w:t>implementing the technology through in-service vehicle standards and not as an</w:t>
            </w:r>
            <w:r>
              <w:rPr>
                <w:rFonts w:cstheme="minorHAnsi"/>
                <w:szCs w:val="20"/>
              </w:rPr>
              <w:t xml:space="preserve"> </w:t>
            </w:r>
            <w:r w:rsidRPr="00F96F6A">
              <w:rPr>
                <w:rFonts w:cstheme="minorHAnsi"/>
                <w:szCs w:val="20"/>
              </w:rPr>
              <w:t>ADR.</w:t>
            </w:r>
          </w:p>
          <w:p w14:paraId="44888C9B" w14:textId="77777777" w:rsidR="003822C7" w:rsidRPr="00A304B3"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Considers that side underrun is more likely to be damaged in harsher rural and remote operating conditions, so is likely to deliver reduced safety benefits at higher costs in these areas.</w:t>
            </w:r>
          </w:p>
        </w:tc>
        <w:tc>
          <w:tcPr>
            <w:tcW w:w="6379" w:type="dxa"/>
          </w:tcPr>
          <w:p w14:paraId="4586F2D8"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sidRPr="00F96F6A">
              <w:rPr>
                <w:rFonts w:cstheme="minorHAnsi"/>
                <w:szCs w:val="20"/>
              </w:rPr>
              <w:t>Noted.</w:t>
            </w:r>
          </w:p>
          <w:p w14:paraId="651F2ED2"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14:paraId="78540CC5"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14:paraId="4B7AE3A4"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14:paraId="447BF101" w14:textId="77777777" w:rsidR="003822C7" w:rsidRPr="00B54022" w:rsidRDefault="003822C7" w:rsidP="007C097D">
            <w:pPr>
              <w:pStyle w:val="ListParagraph"/>
              <w:keepLines/>
              <w:numPr>
                <w:ilvl w:val="0"/>
                <w:numId w:val="37"/>
              </w:numPr>
              <w:tabs>
                <w:tab w:val="left" w:pos="318"/>
              </w:tabs>
              <w:suppressAutoHyphens w:val="0"/>
              <w:ind w:left="284" w:hanging="284"/>
              <w:rPr>
                <w:rFonts w:cstheme="minorHAnsi"/>
                <w:szCs w:val="20"/>
              </w:rPr>
            </w:pPr>
            <w:r w:rsidRPr="00B54022">
              <w:rPr>
                <w:rFonts w:cstheme="minorHAnsi"/>
                <w:szCs w:val="20"/>
              </w:rPr>
              <w:t xml:space="preserve">Agree a </w:t>
            </w:r>
            <w:r w:rsidR="00B9347B">
              <w:rPr>
                <w:rFonts w:cstheme="minorHAnsi"/>
                <w:szCs w:val="20"/>
              </w:rPr>
              <w:t>2.60</w:t>
            </w:r>
            <w:r w:rsidRPr="00B54022">
              <w:rPr>
                <w:rFonts w:cstheme="minorHAnsi"/>
                <w:szCs w:val="20"/>
              </w:rPr>
              <w:t xml:space="preserve"> m width limit would provide the greatest access to the latest international technology and zero emissions vehicles. However, a 2.55 m width limit would also </w:t>
            </w:r>
            <w:r w:rsidR="00721032">
              <w:rPr>
                <w:rFonts w:cstheme="minorHAnsi"/>
                <w:szCs w:val="20"/>
              </w:rPr>
              <w:t>substantially</w:t>
            </w:r>
            <w:r w:rsidRPr="00B54022">
              <w:rPr>
                <w:rFonts w:cstheme="minorHAnsi"/>
                <w:szCs w:val="20"/>
              </w:rPr>
              <w:t xml:space="preserve"> </w:t>
            </w:r>
            <w:r w:rsidR="00721032">
              <w:rPr>
                <w:rFonts w:cstheme="minorHAnsi"/>
                <w:szCs w:val="20"/>
              </w:rPr>
              <w:t xml:space="preserve">increase </w:t>
            </w:r>
            <w:r w:rsidRPr="00B54022">
              <w:rPr>
                <w:rFonts w:cstheme="minorHAnsi"/>
                <w:szCs w:val="20"/>
              </w:rPr>
              <w:t>access to zero emissions vehicles</w:t>
            </w:r>
            <w:r w:rsidR="00721032">
              <w:rPr>
                <w:rFonts w:cstheme="minorHAnsi"/>
                <w:szCs w:val="20"/>
              </w:rPr>
              <w:t>,</w:t>
            </w:r>
            <w:r w:rsidRPr="00B54022">
              <w:rPr>
                <w:rFonts w:cstheme="minorHAnsi"/>
                <w:szCs w:val="20"/>
              </w:rPr>
              <w:t xml:space="preserve"> as </w:t>
            </w:r>
            <w:r w:rsidR="00CB0D65">
              <w:rPr>
                <w:rFonts w:cstheme="minorHAnsi"/>
                <w:szCs w:val="20"/>
              </w:rPr>
              <w:t xml:space="preserve">this aligns with the EU </w:t>
            </w:r>
            <w:r w:rsidR="00721032">
              <w:rPr>
                <w:rFonts w:cstheme="minorHAnsi"/>
                <w:szCs w:val="20"/>
              </w:rPr>
              <w:t xml:space="preserve">limit </w:t>
            </w:r>
            <w:r w:rsidR="00CB0D65">
              <w:rPr>
                <w:rFonts w:cstheme="minorHAnsi"/>
                <w:szCs w:val="20"/>
              </w:rPr>
              <w:t xml:space="preserve">and </w:t>
            </w:r>
            <w:r w:rsidRPr="00B54022">
              <w:rPr>
                <w:rFonts w:cstheme="minorHAnsi"/>
                <w:szCs w:val="20"/>
              </w:rPr>
              <w:t xml:space="preserve">not all zero emissions vehicles made for the US market </w:t>
            </w:r>
            <w:r w:rsidR="00721032">
              <w:rPr>
                <w:rFonts w:cstheme="minorHAnsi"/>
                <w:szCs w:val="20"/>
              </w:rPr>
              <w:t>will be</w:t>
            </w:r>
            <w:r w:rsidRPr="00B54022">
              <w:rPr>
                <w:rFonts w:cstheme="minorHAnsi"/>
                <w:szCs w:val="20"/>
              </w:rPr>
              <w:t xml:space="preserve"> </w:t>
            </w:r>
            <w:r w:rsidR="00B9347B">
              <w:rPr>
                <w:rFonts w:cstheme="minorHAnsi"/>
                <w:szCs w:val="20"/>
              </w:rPr>
              <w:t>2.60</w:t>
            </w:r>
            <w:r w:rsidRPr="00B54022">
              <w:rPr>
                <w:rFonts w:cstheme="minorHAnsi"/>
                <w:szCs w:val="20"/>
              </w:rPr>
              <w:t xml:space="preserve"> m wide – </w:t>
            </w:r>
            <w:r w:rsidRPr="00B54022">
              <w:rPr>
                <w:rFonts w:cstheme="minorHAnsi"/>
              </w:rPr>
              <w:t xml:space="preserve">many of these </w:t>
            </w:r>
            <w:r w:rsidR="00CB0D65">
              <w:rPr>
                <w:rFonts w:cstheme="minorHAnsi"/>
              </w:rPr>
              <w:t xml:space="preserve">are </w:t>
            </w:r>
            <w:r w:rsidRPr="00B54022">
              <w:rPr>
                <w:rFonts w:cstheme="minorHAnsi"/>
              </w:rPr>
              <w:t xml:space="preserve">also </w:t>
            </w:r>
            <w:r w:rsidR="00CB0D65">
              <w:rPr>
                <w:rFonts w:cstheme="minorHAnsi"/>
              </w:rPr>
              <w:t xml:space="preserve">likely to be </w:t>
            </w:r>
            <w:r w:rsidRPr="00B54022">
              <w:rPr>
                <w:rFonts w:cstheme="minorHAnsi"/>
              </w:rPr>
              <w:t>around 2.55</w:t>
            </w:r>
            <w:r w:rsidR="00721032">
              <w:rPr>
                <w:rFonts w:cstheme="minorHAnsi"/>
              </w:rPr>
              <w:t> </w:t>
            </w:r>
            <w:r w:rsidRPr="00B54022">
              <w:rPr>
                <w:rFonts w:cstheme="minorHAnsi"/>
              </w:rPr>
              <w:t>m in width.</w:t>
            </w:r>
          </w:p>
          <w:p w14:paraId="61D998D0"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14:paraId="73C86184"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14:paraId="6951EBC1" w14:textId="77777777"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14:paraId="06CE2D0C" w14:textId="77777777" w:rsidR="003822C7" w:rsidRPr="00D07167" w:rsidRDefault="00D07167" w:rsidP="00D8676F">
            <w:pPr>
              <w:pStyle w:val="ListParagraph"/>
              <w:keepLines/>
              <w:numPr>
                <w:ilvl w:val="0"/>
                <w:numId w:val="37"/>
              </w:numPr>
              <w:tabs>
                <w:tab w:val="left" w:pos="318"/>
              </w:tabs>
              <w:suppressAutoHyphens w:val="0"/>
              <w:ind w:left="284" w:hanging="284"/>
              <w:rPr>
                <w:rFonts w:cstheme="minorHAnsi"/>
                <w:szCs w:val="20"/>
              </w:rPr>
            </w:pPr>
            <w:r w:rsidRPr="00D07167">
              <w:rPr>
                <w:rFonts w:cstheme="minorHAnsi"/>
                <w:szCs w:val="20"/>
              </w:rPr>
              <w:t xml:space="preserve">Requiring wider freight vehicles to be fitted with a package of safety technologies (including side underrun) is a key part of the agreement with jurisdictions/in-service regulators and other stakeholders to pursue this reform – </w:t>
            </w:r>
            <w:r w:rsidRPr="00D07167">
              <w:rPr>
                <w:rFonts w:cstheme="minorHAnsi"/>
              </w:rPr>
              <w:t>it is important to preserve this agreement.</w:t>
            </w:r>
            <w:r>
              <w:rPr>
                <w:rFonts w:cstheme="minorHAnsi"/>
              </w:rPr>
              <w:t xml:space="preserve"> </w:t>
            </w:r>
            <w:r>
              <w:rPr>
                <w:rFonts w:cstheme="minorHAnsi"/>
                <w:szCs w:val="20"/>
              </w:rPr>
              <w:t xml:space="preserve">The proposed ADR already includes </w:t>
            </w:r>
            <w:r w:rsidR="004E15FF" w:rsidRPr="00D07167">
              <w:rPr>
                <w:rFonts w:cstheme="minorHAnsi"/>
                <w:szCs w:val="20"/>
              </w:rPr>
              <w:t>exemptions and/or relaxations for vehicles with particular design features</w:t>
            </w:r>
            <w:r>
              <w:rPr>
                <w:rFonts w:cstheme="minorHAnsi"/>
                <w:szCs w:val="20"/>
              </w:rPr>
              <w:t xml:space="preserve">, and further </w:t>
            </w:r>
            <w:r w:rsidR="00DE6B99">
              <w:rPr>
                <w:rFonts w:cstheme="minorHAnsi"/>
                <w:szCs w:val="20"/>
              </w:rPr>
              <w:t xml:space="preserve">targeted </w:t>
            </w:r>
            <w:r>
              <w:rPr>
                <w:rFonts w:cstheme="minorHAnsi"/>
                <w:szCs w:val="20"/>
              </w:rPr>
              <w:t>exemptions</w:t>
            </w:r>
            <w:r w:rsidR="004E15FF" w:rsidRPr="00D07167">
              <w:rPr>
                <w:rFonts w:cstheme="minorHAnsi"/>
                <w:szCs w:val="20"/>
              </w:rPr>
              <w:t xml:space="preserve"> could be </w:t>
            </w:r>
            <w:r>
              <w:rPr>
                <w:rFonts w:cstheme="minorHAnsi"/>
                <w:szCs w:val="20"/>
              </w:rPr>
              <w:t>included</w:t>
            </w:r>
            <w:r w:rsidR="004E15FF" w:rsidRPr="00D07167">
              <w:rPr>
                <w:rFonts w:cstheme="minorHAnsi"/>
                <w:szCs w:val="20"/>
              </w:rPr>
              <w:t xml:space="preserve">, </w:t>
            </w:r>
            <w:r w:rsidR="00387E43">
              <w:rPr>
                <w:rFonts w:cstheme="minorHAnsi"/>
                <w:szCs w:val="20"/>
              </w:rPr>
              <w:t xml:space="preserve">if there is evidence </w:t>
            </w:r>
            <w:r w:rsidR="004E15FF" w:rsidRPr="00D07167">
              <w:rPr>
                <w:rFonts w:cstheme="minorHAnsi"/>
                <w:szCs w:val="20"/>
              </w:rPr>
              <w:t xml:space="preserve">to show this would </w:t>
            </w:r>
            <w:r w:rsidR="0013161F">
              <w:rPr>
                <w:rFonts w:cstheme="minorHAnsi"/>
                <w:szCs w:val="20"/>
              </w:rPr>
              <w:t xml:space="preserve">be likely to </w:t>
            </w:r>
            <w:r w:rsidR="004E15FF" w:rsidRPr="00D07167">
              <w:rPr>
                <w:rFonts w:cstheme="minorHAnsi"/>
                <w:szCs w:val="20"/>
              </w:rPr>
              <w:t xml:space="preserve">have no more than a minor regulatory impact, </w:t>
            </w:r>
            <w:r w:rsidR="00071640">
              <w:rPr>
                <w:rFonts w:cstheme="minorHAnsi"/>
                <w:szCs w:val="20"/>
              </w:rPr>
              <w:t xml:space="preserve">or </w:t>
            </w:r>
            <w:r w:rsidR="00071640">
              <w:rPr>
                <w:rFonts w:cstheme="minorHAnsi"/>
              </w:rPr>
              <w:t>that an LPD would be incompatible with the vehicle design use</w:t>
            </w:r>
            <w:r w:rsidR="003822C7" w:rsidRPr="00D07167">
              <w:rPr>
                <w:rFonts w:cstheme="minorHAnsi"/>
                <w:szCs w:val="20"/>
              </w:rPr>
              <w:t>.</w:t>
            </w:r>
            <w:r w:rsidR="00BC4301">
              <w:rPr>
                <w:rFonts w:cstheme="minorHAnsi"/>
                <w:szCs w:val="20"/>
              </w:rPr>
              <w:t xml:space="preserve"> </w:t>
            </w:r>
            <w:r w:rsidR="00BC4301" w:rsidRPr="005C0753">
              <w:rPr>
                <w:rFonts w:cstheme="minorHAnsi"/>
              </w:rPr>
              <w:t>Agree provision needs to be made to allow side underrun to be fitted after first supply to market, including by a third party (e.g. body builder)</w:t>
            </w:r>
            <w:r w:rsidR="00BC4301">
              <w:rPr>
                <w:rFonts w:cstheme="minorHAnsi"/>
              </w:rPr>
              <w:t xml:space="preserve">. The </w:t>
            </w:r>
            <w:r w:rsidR="00B9347B">
              <w:rPr>
                <w:rFonts w:cstheme="minorHAnsi"/>
              </w:rPr>
              <w:t>d</w:t>
            </w:r>
            <w:r w:rsidR="00BC4301">
              <w:rPr>
                <w:rFonts w:cstheme="minorHAnsi"/>
              </w:rPr>
              <w:t>epartment proposes to resolve this issue by including a clause in the proposed ADR to exempt chassis-cab and partially complete vehicles, as well as prime movers from this ADR. To comply with the proposed ADR as completed vehicles in-service, chassis-cab and other partially completed vehicles would then need to be fitted with side underrun as part of the vehicle completion process.</w:t>
            </w:r>
          </w:p>
          <w:p w14:paraId="2EA2E859" w14:textId="77777777" w:rsidR="003822C7" w:rsidRPr="00F96F6A"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tc>
      </w:tr>
      <w:tr w:rsidR="003822C7" w:rsidRPr="007B6E69" w14:paraId="637FF4C1" w14:textId="77777777" w:rsidTr="003822C7">
        <w:tc>
          <w:tcPr>
            <w:tcW w:w="1696" w:type="dxa"/>
          </w:tcPr>
          <w:p w14:paraId="4E606A44" w14:textId="77777777" w:rsidR="003822C7" w:rsidRPr="007B6E69" w:rsidRDefault="003822C7" w:rsidP="00710A9C">
            <w:pPr>
              <w:spacing w:before="120" w:after="120"/>
              <w:rPr>
                <w:rFonts w:cstheme="minorHAnsi"/>
              </w:rPr>
            </w:pPr>
            <w:r w:rsidRPr="007B6E69">
              <w:rPr>
                <w:rFonts w:cstheme="minorHAnsi"/>
              </w:rPr>
              <w:t>Australian Tyre Industry Council</w:t>
            </w:r>
          </w:p>
        </w:tc>
        <w:tc>
          <w:tcPr>
            <w:tcW w:w="6521" w:type="dxa"/>
            <w:gridSpan w:val="2"/>
          </w:tcPr>
          <w:p w14:paraId="63D981C0" w14:textId="77777777" w:rsidR="003822C7" w:rsidRPr="00AF0F0F" w:rsidRDefault="003822C7" w:rsidP="007C097D">
            <w:pPr>
              <w:pStyle w:val="ListParagraph"/>
              <w:keepLines/>
              <w:numPr>
                <w:ilvl w:val="6"/>
                <w:numId w:val="36"/>
              </w:numPr>
              <w:tabs>
                <w:tab w:val="left" w:pos="320"/>
              </w:tabs>
              <w:suppressAutoHyphens w:val="0"/>
              <w:ind w:left="284"/>
              <w:rPr>
                <w:rFonts w:cstheme="minorHAnsi"/>
                <w:szCs w:val="20"/>
              </w:rPr>
            </w:pPr>
            <w:r w:rsidRPr="00AF0F0F">
              <w:rPr>
                <w:rFonts w:cstheme="minorHAnsi"/>
                <w:szCs w:val="20"/>
              </w:rPr>
              <w:t>Supports increasing the maximum width for trucks to 2.55</w:t>
            </w:r>
            <w:r>
              <w:rPr>
                <w:rFonts w:cstheme="minorHAnsi"/>
                <w:szCs w:val="20"/>
              </w:rPr>
              <w:t> </w:t>
            </w:r>
            <w:r w:rsidRPr="00AF0F0F">
              <w:rPr>
                <w:rFonts w:cstheme="minorHAnsi"/>
                <w:szCs w:val="20"/>
              </w:rPr>
              <w:t>m.</w:t>
            </w:r>
          </w:p>
        </w:tc>
        <w:tc>
          <w:tcPr>
            <w:tcW w:w="6379" w:type="dxa"/>
          </w:tcPr>
          <w:p w14:paraId="2A5394CB" w14:textId="77777777" w:rsidR="003822C7" w:rsidRPr="00AF0F0F" w:rsidRDefault="003822C7" w:rsidP="007C097D">
            <w:pPr>
              <w:pStyle w:val="ListParagraph"/>
              <w:keepLines/>
              <w:numPr>
                <w:ilvl w:val="0"/>
                <w:numId w:val="34"/>
              </w:numPr>
              <w:tabs>
                <w:tab w:val="left" w:pos="318"/>
              </w:tabs>
              <w:suppressAutoHyphens w:val="0"/>
              <w:ind w:left="284" w:hanging="284"/>
              <w:rPr>
                <w:rFonts w:cstheme="minorHAnsi"/>
                <w:szCs w:val="20"/>
              </w:rPr>
            </w:pPr>
            <w:r w:rsidRPr="00AF0F0F">
              <w:rPr>
                <w:rFonts w:cstheme="minorHAnsi"/>
                <w:szCs w:val="20"/>
              </w:rPr>
              <w:t>Noted.</w:t>
            </w:r>
          </w:p>
        </w:tc>
      </w:tr>
      <w:tr w:rsidR="003822C7" w:rsidRPr="007B6E69" w14:paraId="11DA43DC" w14:textId="77777777" w:rsidTr="003822C7">
        <w:tc>
          <w:tcPr>
            <w:tcW w:w="1696" w:type="dxa"/>
          </w:tcPr>
          <w:p w14:paraId="3EDD751E" w14:textId="77777777" w:rsidR="003822C7" w:rsidRPr="007B6E69" w:rsidRDefault="003822C7" w:rsidP="00BD3882">
            <w:pPr>
              <w:pageBreakBefore/>
              <w:spacing w:before="120" w:after="120"/>
              <w:rPr>
                <w:rFonts w:cstheme="minorHAnsi"/>
              </w:rPr>
            </w:pPr>
            <w:r w:rsidRPr="007B6E69">
              <w:rPr>
                <w:rFonts w:cstheme="minorHAnsi"/>
              </w:rPr>
              <w:t>Bicycle Network</w:t>
            </w:r>
          </w:p>
        </w:tc>
        <w:tc>
          <w:tcPr>
            <w:tcW w:w="6521" w:type="dxa"/>
            <w:gridSpan w:val="2"/>
          </w:tcPr>
          <w:p w14:paraId="50E2D40B" w14:textId="77777777" w:rsidR="003822C7" w:rsidRDefault="003822C7" w:rsidP="007C097D">
            <w:pPr>
              <w:pStyle w:val="ListParagraph"/>
              <w:numPr>
                <w:ilvl w:val="0"/>
                <w:numId w:val="44"/>
              </w:numPr>
              <w:ind w:left="284" w:hanging="284"/>
              <w:rPr>
                <w:rFonts w:cstheme="minorHAnsi"/>
                <w:szCs w:val="20"/>
              </w:rPr>
            </w:pPr>
            <w:r>
              <w:rPr>
                <w:rFonts w:cstheme="minorHAnsi"/>
                <w:szCs w:val="20"/>
              </w:rPr>
              <w:t xml:space="preserve">Supports </w:t>
            </w:r>
            <w:r w:rsidRPr="00AD679F">
              <w:rPr>
                <w:rFonts w:cstheme="minorHAnsi"/>
                <w:szCs w:val="20"/>
              </w:rPr>
              <w:t>increasing the maximum width for goods vehicles and trailers over 4.5 tonnes to 2.</w:t>
            </w:r>
            <w:r>
              <w:rPr>
                <w:rFonts w:cstheme="minorHAnsi"/>
                <w:szCs w:val="20"/>
              </w:rPr>
              <w:t xml:space="preserve">55 m, </w:t>
            </w:r>
            <w:r w:rsidRPr="002A624E">
              <w:rPr>
                <w:rFonts w:cstheme="minorHAnsi"/>
                <w:szCs w:val="20"/>
              </w:rPr>
              <w:t>to align with the width standards in the European Union, United Kingdom and New Zealand.</w:t>
            </w:r>
          </w:p>
          <w:p w14:paraId="28ED832A" w14:textId="77777777" w:rsidR="003822C7" w:rsidRDefault="003822C7" w:rsidP="007C097D">
            <w:pPr>
              <w:pStyle w:val="ListParagraph"/>
              <w:numPr>
                <w:ilvl w:val="0"/>
                <w:numId w:val="44"/>
              </w:numPr>
              <w:ind w:left="284" w:hanging="284"/>
              <w:rPr>
                <w:rFonts w:cstheme="minorHAnsi"/>
                <w:szCs w:val="20"/>
              </w:rPr>
            </w:pPr>
            <w:r>
              <w:rPr>
                <w:rFonts w:cstheme="minorHAnsi"/>
                <w:szCs w:val="20"/>
              </w:rPr>
              <w:t>Support for 2.55 m maximum width is provided on the basis that the wider vehicles will be fitted with the proposed safety technologies.</w:t>
            </w:r>
          </w:p>
          <w:p w14:paraId="3ACD9B94" w14:textId="77777777" w:rsidR="003822C7" w:rsidRPr="002A624E" w:rsidRDefault="003822C7" w:rsidP="007C097D">
            <w:pPr>
              <w:pStyle w:val="ListParagraph"/>
              <w:numPr>
                <w:ilvl w:val="0"/>
                <w:numId w:val="44"/>
              </w:numPr>
              <w:ind w:left="284" w:hanging="284"/>
              <w:rPr>
                <w:rFonts w:cstheme="minorHAnsi"/>
                <w:szCs w:val="20"/>
              </w:rPr>
            </w:pPr>
            <w:r>
              <w:rPr>
                <w:rFonts w:cstheme="minorHAnsi"/>
                <w:szCs w:val="20"/>
              </w:rPr>
              <w:t xml:space="preserve">Considers the marginal width increase [to 2.55 m] will provide additional space to </w:t>
            </w:r>
            <w:r w:rsidRPr="002A624E">
              <w:rPr>
                <w:rFonts w:cstheme="minorHAnsi"/>
                <w:szCs w:val="20"/>
              </w:rPr>
              <w:t>better fit EU mand</w:t>
            </w:r>
            <w:r>
              <w:rPr>
                <w:rFonts w:cstheme="minorHAnsi"/>
                <w:szCs w:val="20"/>
              </w:rPr>
              <w:t>a</w:t>
            </w:r>
            <w:r w:rsidRPr="002A624E">
              <w:rPr>
                <w:rFonts w:cstheme="minorHAnsi"/>
                <w:szCs w:val="20"/>
              </w:rPr>
              <w:t xml:space="preserve">ted safety technologies, such as those </w:t>
            </w:r>
            <w:r>
              <w:rPr>
                <w:rFonts w:cstheme="minorHAnsi"/>
                <w:szCs w:val="20"/>
              </w:rPr>
              <w:t>proposed</w:t>
            </w:r>
            <w:r w:rsidRPr="002A624E">
              <w:rPr>
                <w:rFonts w:cstheme="minorHAnsi"/>
                <w:szCs w:val="20"/>
              </w:rPr>
              <w:t>, and environmental technologies, such as Euro VI emission control systems</w:t>
            </w:r>
            <w:r>
              <w:rPr>
                <w:rFonts w:cstheme="minorHAnsi"/>
                <w:szCs w:val="20"/>
              </w:rPr>
              <w:t>.</w:t>
            </w:r>
          </w:p>
          <w:p w14:paraId="7CD654E1" w14:textId="77777777" w:rsidR="003822C7" w:rsidRPr="002A624E" w:rsidRDefault="003822C7" w:rsidP="007C097D">
            <w:pPr>
              <w:pStyle w:val="ListParagraph"/>
              <w:numPr>
                <w:ilvl w:val="0"/>
                <w:numId w:val="44"/>
              </w:numPr>
              <w:ind w:left="284" w:hanging="284"/>
              <w:rPr>
                <w:rFonts w:cstheme="minorHAnsi"/>
                <w:szCs w:val="20"/>
              </w:rPr>
            </w:pPr>
            <w:r w:rsidRPr="006134A9">
              <w:rPr>
                <w:rFonts w:cstheme="minorHAnsi"/>
                <w:szCs w:val="20"/>
              </w:rPr>
              <w:t>Supports the exclusions proposed for enhanced devices for indirect vision and monitoring devices to detect other road users from vehicle width and length measurements.</w:t>
            </w:r>
          </w:p>
        </w:tc>
        <w:tc>
          <w:tcPr>
            <w:tcW w:w="6379" w:type="dxa"/>
          </w:tcPr>
          <w:p w14:paraId="45832CF4" w14:textId="77777777"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sidRPr="005308A4">
              <w:rPr>
                <w:rFonts w:cstheme="minorHAnsi"/>
                <w:szCs w:val="20"/>
              </w:rPr>
              <w:t>Noted.</w:t>
            </w:r>
          </w:p>
          <w:p w14:paraId="54607829" w14:textId="77777777"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p w14:paraId="13EEAFD6" w14:textId="77777777"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p w14:paraId="46DC70A5" w14:textId="77777777" w:rsidR="003822C7" w:rsidRPr="005308A4"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tc>
      </w:tr>
      <w:tr w:rsidR="003822C7" w:rsidRPr="007B6E69" w14:paraId="49CA3139" w14:textId="77777777" w:rsidTr="003822C7">
        <w:tc>
          <w:tcPr>
            <w:tcW w:w="1696" w:type="dxa"/>
          </w:tcPr>
          <w:p w14:paraId="7D6A0132" w14:textId="77777777" w:rsidR="003822C7" w:rsidRPr="007B6E69" w:rsidRDefault="003822C7" w:rsidP="00710A9C">
            <w:pPr>
              <w:spacing w:before="120" w:after="120"/>
              <w:rPr>
                <w:rFonts w:cstheme="minorHAnsi"/>
              </w:rPr>
            </w:pPr>
            <w:r w:rsidRPr="007B6E69">
              <w:rPr>
                <w:rFonts w:cstheme="minorHAnsi"/>
              </w:rPr>
              <w:t>Crane Industry Council of Australia</w:t>
            </w:r>
          </w:p>
        </w:tc>
        <w:tc>
          <w:tcPr>
            <w:tcW w:w="6521" w:type="dxa"/>
            <w:gridSpan w:val="2"/>
          </w:tcPr>
          <w:p w14:paraId="66BCD6CB" w14:textId="77777777" w:rsidR="003822C7" w:rsidRDefault="003822C7" w:rsidP="007C097D">
            <w:pPr>
              <w:pStyle w:val="ListParagraph"/>
              <w:keepLines/>
              <w:numPr>
                <w:ilvl w:val="0"/>
                <w:numId w:val="43"/>
              </w:numPr>
              <w:tabs>
                <w:tab w:val="left" w:pos="320"/>
              </w:tabs>
              <w:suppressAutoHyphens w:val="0"/>
              <w:ind w:left="284" w:hanging="284"/>
              <w:rPr>
                <w:rFonts w:cstheme="minorHAnsi"/>
                <w:szCs w:val="20"/>
              </w:rPr>
            </w:pPr>
            <w:r w:rsidRPr="00865CF2">
              <w:rPr>
                <w:rFonts w:cstheme="minorHAnsi"/>
                <w:szCs w:val="20"/>
              </w:rPr>
              <w:t>Strongly supports the adoption of international standards regarding width, as this will provide greater opportunities for purpose-built vehicles, providing industry greater operational efficiency, productivity and flexibility.</w:t>
            </w:r>
          </w:p>
          <w:p w14:paraId="75891EDB" w14:textId="77777777" w:rsidR="003822C7" w:rsidRDefault="003822C7" w:rsidP="007C097D">
            <w:pPr>
              <w:pStyle w:val="ListParagraph"/>
              <w:keepLines/>
              <w:numPr>
                <w:ilvl w:val="0"/>
                <w:numId w:val="43"/>
              </w:numPr>
              <w:tabs>
                <w:tab w:val="left" w:pos="320"/>
              </w:tabs>
              <w:suppressAutoHyphens w:val="0"/>
              <w:ind w:left="284" w:hanging="284"/>
              <w:rPr>
                <w:rFonts w:cstheme="minorHAnsi"/>
                <w:szCs w:val="20"/>
              </w:rPr>
            </w:pPr>
            <w:r>
              <w:rPr>
                <w:rFonts w:cstheme="minorHAnsi"/>
                <w:szCs w:val="20"/>
              </w:rPr>
              <w:t xml:space="preserve">Notes </w:t>
            </w:r>
            <w:r w:rsidRPr="009C51E5">
              <w:rPr>
                <w:rFonts w:cstheme="minorHAnsi"/>
                <w:szCs w:val="20"/>
              </w:rPr>
              <w:t>with the introduction of Euro</w:t>
            </w:r>
            <w:r>
              <w:rPr>
                <w:rFonts w:cstheme="minorHAnsi"/>
                <w:szCs w:val="20"/>
              </w:rPr>
              <w:t xml:space="preserve"> </w:t>
            </w:r>
            <w:r w:rsidRPr="009C51E5">
              <w:rPr>
                <w:rFonts w:cstheme="minorHAnsi"/>
                <w:szCs w:val="20"/>
              </w:rPr>
              <w:t>V and VI and the limited amount of space on</w:t>
            </w:r>
            <w:r>
              <w:rPr>
                <w:rFonts w:cstheme="minorHAnsi"/>
                <w:szCs w:val="20"/>
              </w:rPr>
              <w:t xml:space="preserve"> t</w:t>
            </w:r>
            <w:r w:rsidRPr="009C51E5">
              <w:rPr>
                <w:rFonts w:cstheme="minorHAnsi"/>
                <w:szCs w:val="20"/>
              </w:rPr>
              <w:t>he vehicles’ side, swing up stabilizer legs on Vehicle Loading Cranes (VLC) ha</w:t>
            </w:r>
            <w:r>
              <w:rPr>
                <w:rFonts w:cstheme="minorHAnsi"/>
                <w:szCs w:val="20"/>
              </w:rPr>
              <w:t>ve</w:t>
            </w:r>
            <w:r w:rsidRPr="009C51E5">
              <w:rPr>
                <w:rFonts w:cstheme="minorHAnsi"/>
                <w:szCs w:val="20"/>
              </w:rPr>
              <w:t xml:space="preserve"> become</w:t>
            </w:r>
            <w:r>
              <w:rPr>
                <w:rFonts w:cstheme="minorHAnsi"/>
                <w:szCs w:val="20"/>
              </w:rPr>
              <w:t xml:space="preserve"> </w:t>
            </w:r>
            <w:r w:rsidRPr="009C51E5">
              <w:rPr>
                <w:rFonts w:cstheme="minorHAnsi"/>
                <w:szCs w:val="20"/>
              </w:rPr>
              <w:t>standard</w:t>
            </w:r>
            <w:r>
              <w:rPr>
                <w:rFonts w:cstheme="minorHAnsi"/>
                <w:szCs w:val="20"/>
              </w:rPr>
              <w:t>, and these designs require a little more space which causes the VLC to exceed 2.5</w:t>
            </w:r>
            <w:r w:rsidR="00B9347B">
              <w:rPr>
                <w:rFonts w:cstheme="minorHAnsi"/>
                <w:szCs w:val="20"/>
              </w:rPr>
              <w:t>0 </w:t>
            </w:r>
            <w:r>
              <w:rPr>
                <w:rFonts w:cstheme="minorHAnsi"/>
                <w:szCs w:val="20"/>
              </w:rPr>
              <w:t>m.</w:t>
            </w:r>
          </w:p>
          <w:p w14:paraId="2871B417" w14:textId="77777777" w:rsidR="003822C7" w:rsidRPr="009C51E5" w:rsidRDefault="003822C7" w:rsidP="007C097D">
            <w:pPr>
              <w:pStyle w:val="ListParagraph"/>
              <w:keepLines/>
              <w:numPr>
                <w:ilvl w:val="0"/>
                <w:numId w:val="43"/>
              </w:numPr>
              <w:tabs>
                <w:tab w:val="left" w:pos="320"/>
              </w:tabs>
              <w:suppressAutoHyphens w:val="0"/>
              <w:ind w:left="284" w:hanging="284"/>
              <w:rPr>
                <w:rFonts w:cstheme="minorHAnsi"/>
                <w:szCs w:val="20"/>
              </w:rPr>
            </w:pPr>
            <w:r>
              <w:rPr>
                <w:rFonts w:cstheme="minorHAnsi"/>
                <w:szCs w:val="20"/>
              </w:rPr>
              <w:t>R</w:t>
            </w:r>
            <w:r w:rsidRPr="009C51E5">
              <w:rPr>
                <w:rFonts w:cstheme="minorHAnsi"/>
                <w:szCs w:val="20"/>
              </w:rPr>
              <w:t xml:space="preserve">equests an exemption </w:t>
            </w:r>
            <w:r>
              <w:rPr>
                <w:rFonts w:cstheme="minorHAnsi"/>
                <w:szCs w:val="20"/>
              </w:rPr>
              <w:t xml:space="preserve">to </w:t>
            </w:r>
            <w:r w:rsidRPr="009C51E5">
              <w:rPr>
                <w:rFonts w:cstheme="minorHAnsi"/>
                <w:szCs w:val="20"/>
              </w:rPr>
              <w:t xml:space="preserve">be included in any regulation change </w:t>
            </w:r>
            <w:r>
              <w:rPr>
                <w:rFonts w:cstheme="minorHAnsi"/>
                <w:szCs w:val="20"/>
              </w:rPr>
              <w:t xml:space="preserve">to </w:t>
            </w:r>
            <w:r w:rsidRPr="009C51E5">
              <w:rPr>
                <w:rFonts w:cstheme="minorHAnsi"/>
                <w:szCs w:val="20"/>
              </w:rPr>
              <w:t xml:space="preserve">allow </w:t>
            </w:r>
            <w:r>
              <w:rPr>
                <w:rFonts w:cstheme="minorHAnsi"/>
                <w:szCs w:val="20"/>
              </w:rPr>
              <w:t xml:space="preserve">VLCs </w:t>
            </w:r>
            <w:r w:rsidRPr="009C51E5">
              <w:rPr>
                <w:rFonts w:cstheme="minorHAnsi"/>
                <w:szCs w:val="20"/>
              </w:rPr>
              <w:t>to be up to a width of 2</w:t>
            </w:r>
            <w:r>
              <w:rPr>
                <w:rFonts w:cstheme="minorHAnsi"/>
                <w:szCs w:val="20"/>
              </w:rPr>
              <w:t>.</w:t>
            </w:r>
            <w:r w:rsidRPr="009C51E5">
              <w:rPr>
                <w:rFonts w:cstheme="minorHAnsi"/>
                <w:szCs w:val="20"/>
              </w:rPr>
              <w:t>5</w:t>
            </w:r>
            <w:r>
              <w:rPr>
                <w:rFonts w:cstheme="minorHAnsi"/>
                <w:szCs w:val="20"/>
              </w:rPr>
              <w:t>5 </w:t>
            </w:r>
            <w:r w:rsidRPr="009C51E5">
              <w:rPr>
                <w:rFonts w:cstheme="minorHAnsi"/>
                <w:szCs w:val="20"/>
              </w:rPr>
              <w:t>m</w:t>
            </w:r>
            <w:r>
              <w:rPr>
                <w:rFonts w:cstheme="minorHAnsi"/>
                <w:szCs w:val="20"/>
              </w:rPr>
              <w:t xml:space="preserve"> – </w:t>
            </w:r>
            <w:r w:rsidRPr="009C51E5">
              <w:rPr>
                <w:rFonts w:cstheme="minorHAnsi"/>
                <w:szCs w:val="20"/>
              </w:rPr>
              <w:t>believe this exemption would align with the purpose of the review which is for regulatory change to facilitate the uptake of safer vehicles</w:t>
            </w:r>
            <w:r>
              <w:rPr>
                <w:rFonts w:cstheme="minorHAnsi"/>
                <w:szCs w:val="20"/>
              </w:rPr>
              <w:t>.</w:t>
            </w:r>
          </w:p>
        </w:tc>
        <w:tc>
          <w:tcPr>
            <w:tcW w:w="6379" w:type="dxa"/>
          </w:tcPr>
          <w:p w14:paraId="2D16AC00" w14:textId="77777777" w:rsidR="003822C7" w:rsidRDefault="003822C7" w:rsidP="007C097D">
            <w:pPr>
              <w:pStyle w:val="ListParagraph"/>
              <w:keepLines/>
              <w:numPr>
                <w:ilvl w:val="0"/>
                <w:numId w:val="46"/>
              </w:numPr>
              <w:tabs>
                <w:tab w:val="left" w:pos="318"/>
              </w:tabs>
              <w:suppressAutoHyphens w:val="0"/>
              <w:ind w:left="284" w:hanging="284"/>
              <w:rPr>
                <w:rFonts w:cstheme="minorHAnsi"/>
                <w:szCs w:val="20"/>
              </w:rPr>
            </w:pPr>
            <w:r w:rsidRPr="00883BFB">
              <w:rPr>
                <w:rFonts w:cstheme="minorHAnsi"/>
                <w:szCs w:val="20"/>
              </w:rPr>
              <w:t>Noted.</w:t>
            </w:r>
          </w:p>
          <w:p w14:paraId="59D14714" w14:textId="77777777" w:rsidR="003822C7" w:rsidRDefault="003822C7" w:rsidP="007C097D">
            <w:pPr>
              <w:pStyle w:val="ListParagraph"/>
              <w:keepLines/>
              <w:numPr>
                <w:ilvl w:val="0"/>
                <w:numId w:val="46"/>
              </w:numPr>
              <w:tabs>
                <w:tab w:val="left" w:pos="318"/>
              </w:tabs>
              <w:suppressAutoHyphens w:val="0"/>
              <w:ind w:left="284" w:hanging="284"/>
              <w:rPr>
                <w:rFonts w:cstheme="minorHAnsi"/>
                <w:szCs w:val="20"/>
              </w:rPr>
            </w:pPr>
            <w:r>
              <w:rPr>
                <w:rFonts w:cstheme="minorHAnsi"/>
                <w:szCs w:val="20"/>
              </w:rPr>
              <w:t>Noted.</w:t>
            </w:r>
          </w:p>
          <w:p w14:paraId="4CA0A441" w14:textId="77777777" w:rsidR="003822C7" w:rsidRPr="00883BFB" w:rsidRDefault="00762CC1" w:rsidP="007C097D">
            <w:pPr>
              <w:pStyle w:val="ListParagraph"/>
              <w:keepLines/>
              <w:numPr>
                <w:ilvl w:val="0"/>
                <w:numId w:val="46"/>
              </w:numPr>
              <w:tabs>
                <w:tab w:val="left" w:pos="318"/>
              </w:tabs>
              <w:suppressAutoHyphens w:val="0"/>
              <w:ind w:left="284" w:hanging="284"/>
              <w:rPr>
                <w:rFonts w:cstheme="minorHAnsi"/>
                <w:szCs w:val="20"/>
              </w:rPr>
            </w:pPr>
            <w:r w:rsidRPr="00762CC1">
              <w:rPr>
                <w:rFonts w:cstheme="minorHAnsi"/>
                <w:szCs w:val="20"/>
              </w:rPr>
              <w:t xml:space="preserve">Noted. This is beyond the scope of this </w:t>
            </w:r>
            <w:r w:rsidR="00C45600">
              <w:rPr>
                <w:rFonts w:cstheme="minorHAnsi"/>
                <w:szCs w:val="20"/>
              </w:rPr>
              <w:t>IA</w:t>
            </w:r>
            <w:r w:rsidRPr="00762CC1">
              <w:rPr>
                <w:rFonts w:cstheme="minorHAnsi"/>
                <w:szCs w:val="20"/>
              </w:rPr>
              <w:t>, but could be considered as part of the ongoing ADR review process, including in particular, through consultation with the TLG established for this purpose.</w:t>
            </w:r>
          </w:p>
        </w:tc>
      </w:tr>
      <w:tr w:rsidR="003822C7" w:rsidRPr="007B6E69" w14:paraId="053CEA63" w14:textId="77777777" w:rsidTr="00CC5A05">
        <w:tc>
          <w:tcPr>
            <w:tcW w:w="1696" w:type="dxa"/>
          </w:tcPr>
          <w:p w14:paraId="6CCF28DA" w14:textId="77777777" w:rsidR="003822C7" w:rsidRPr="007B6E69" w:rsidRDefault="003822C7" w:rsidP="00757135">
            <w:pPr>
              <w:pageBreakBefore/>
              <w:spacing w:before="120" w:after="120"/>
              <w:rPr>
                <w:rFonts w:cstheme="minorHAnsi"/>
              </w:rPr>
            </w:pPr>
            <w:r w:rsidRPr="007B6E69">
              <w:rPr>
                <w:rFonts w:cstheme="minorHAnsi"/>
              </w:rPr>
              <w:t>Commercial Vehicle Industry Association of Australia (CVIA)</w:t>
            </w:r>
          </w:p>
        </w:tc>
        <w:tc>
          <w:tcPr>
            <w:tcW w:w="6521" w:type="dxa"/>
            <w:gridSpan w:val="2"/>
          </w:tcPr>
          <w:p w14:paraId="625F2888"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77A2D4A0"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E</w:t>
            </w:r>
            <w:r w:rsidRPr="004D5B88">
              <w:rPr>
                <w:rFonts w:cstheme="minorHAnsi"/>
                <w:szCs w:val="20"/>
              </w:rPr>
              <w:t>xpress</w:t>
            </w:r>
            <w:r>
              <w:rPr>
                <w:rFonts w:cstheme="minorHAnsi"/>
                <w:szCs w:val="20"/>
              </w:rPr>
              <w:t>es</w:t>
            </w:r>
            <w:r w:rsidRPr="004D5B88">
              <w:rPr>
                <w:rFonts w:cstheme="minorHAnsi"/>
                <w:szCs w:val="20"/>
              </w:rPr>
              <w:t xml:space="preserve"> some concerns regarding the proposed new mandatory safety systems required to achieve the additional width for heavy trailers</w:t>
            </w:r>
            <w:r>
              <w:rPr>
                <w:rFonts w:cstheme="minorHAnsi"/>
                <w:szCs w:val="20"/>
              </w:rPr>
              <w:t>, in particular side underrun protection and reversing lamps.</w:t>
            </w:r>
          </w:p>
          <w:p w14:paraId="3CC3FB8E"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Notes s</w:t>
            </w:r>
            <w:r w:rsidRPr="00127935">
              <w:rPr>
                <w:rFonts w:cstheme="minorHAnsi"/>
                <w:szCs w:val="20"/>
              </w:rPr>
              <w:t>ide</w:t>
            </w:r>
            <w:r>
              <w:rPr>
                <w:rFonts w:cstheme="minorHAnsi"/>
                <w:szCs w:val="20"/>
              </w:rPr>
              <w:t xml:space="preserve"> </w:t>
            </w:r>
            <w:r w:rsidRPr="00127935">
              <w:rPr>
                <w:rFonts w:cstheme="minorHAnsi"/>
                <w:szCs w:val="20"/>
              </w:rPr>
              <w:t>underrun protection is likely to complicate the design of side tippers, chassis tippers, gas tankers and other heavy vehicle trailers that are predominantly used in regional areas.</w:t>
            </w:r>
          </w:p>
          <w:p w14:paraId="4596531F" w14:textId="77777777"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Notes s</w:t>
            </w:r>
            <w:r w:rsidRPr="00127935">
              <w:rPr>
                <w:rFonts w:cstheme="minorHAnsi"/>
                <w:szCs w:val="20"/>
              </w:rPr>
              <w:t>ide underrun protection device</w:t>
            </w:r>
            <w:r>
              <w:rPr>
                <w:rFonts w:cstheme="minorHAnsi"/>
                <w:szCs w:val="20"/>
              </w:rPr>
              <w:t>s</w:t>
            </w:r>
            <w:r w:rsidRPr="00127935">
              <w:rPr>
                <w:rFonts w:cstheme="minorHAnsi"/>
                <w:szCs w:val="20"/>
              </w:rPr>
              <w:t xml:space="preserve"> </w:t>
            </w:r>
            <w:r>
              <w:rPr>
                <w:rFonts w:cstheme="minorHAnsi"/>
                <w:szCs w:val="20"/>
              </w:rPr>
              <w:t xml:space="preserve">are </w:t>
            </w:r>
            <w:r w:rsidRPr="00127935">
              <w:rPr>
                <w:rFonts w:cstheme="minorHAnsi"/>
                <w:szCs w:val="20"/>
              </w:rPr>
              <w:t xml:space="preserve">somewhat weak in design and construction and can be easily damaged when </w:t>
            </w:r>
            <w:r>
              <w:rPr>
                <w:rFonts w:cstheme="minorHAnsi"/>
                <w:szCs w:val="20"/>
              </w:rPr>
              <w:t>vehicles are</w:t>
            </w:r>
            <w:r w:rsidRPr="00127935">
              <w:rPr>
                <w:rFonts w:cstheme="minorHAnsi"/>
                <w:szCs w:val="20"/>
              </w:rPr>
              <w:t xml:space="preserve"> used on unsealed roads – which is commonplace in regional and remote parts of Australia</w:t>
            </w:r>
            <w:r>
              <w:rPr>
                <w:rFonts w:cstheme="minorHAnsi"/>
                <w:szCs w:val="20"/>
              </w:rPr>
              <w:t>.</w:t>
            </w:r>
          </w:p>
          <w:p w14:paraId="32FFB29D" w14:textId="77777777" w:rsidR="003822C7" w:rsidRPr="000C6044"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 xml:space="preserve">Questions benefits of reversing lamps on trailers, especially trailers used in multi-vehicle </w:t>
            </w:r>
            <w:r w:rsidRPr="000C6044">
              <w:rPr>
                <w:rFonts w:cstheme="minorHAnsi"/>
                <w:szCs w:val="20"/>
              </w:rPr>
              <w:t xml:space="preserve">combinations – requests </w:t>
            </w:r>
            <w:proofErr w:type="gramStart"/>
            <w:r w:rsidRPr="000C6044">
              <w:rPr>
                <w:rFonts w:cstheme="minorHAnsi"/>
                <w:szCs w:val="20"/>
              </w:rPr>
              <w:t>a</w:t>
            </w:r>
            <w:proofErr w:type="gramEnd"/>
            <w:r w:rsidRPr="000C6044">
              <w:rPr>
                <w:rFonts w:cstheme="minorHAnsi"/>
                <w:szCs w:val="20"/>
              </w:rPr>
              <w:t xml:space="preserve"> </w:t>
            </w:r>
            <w:r w:rsidR="00C45600">
              <w:rPr>
                <w:rFonts w:cstheme="minorHAnsi"/>
                <w:szCs w:val="20"/>
              </w:rPr>
              <w:t>IA</w:t>
            </w:r>
            <w:r w:rsidRPr="000C6044">
              <w:rPr>
                <w:rFonts w:cstheme="minorHAnsi"/>
                <w:szCs w:val="20"/>
              </w:rPr>
              <w:t xml:space="preserve"> to consider pros and cons of regulating reversing lamps on trailers.</w:t>
            </w:r>
          </w:p>
          <w:p w14:paraId="16740F86" w14:textId="77777777" w:rsidR="003822C7" w:rsidRPr="00EB2F86"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 xml:space="preserve">Argues </w:t>
            </w:r>
            <w:r w:rsidRPr="00CE4140">
              <w:rPr>
                <w:rFonts w:cstheme="minorHAnsi"/>
                <w:szCs w:val="20"/>
              </w:rPr>
              <w:t>that industry could also be educated of safe reversing practices, including the operation of hazard lights when reversing – a common</w:t>
            </w:r>
            <w:r w:rsidRPr="00CE4140">
              <w:rPr>
                <w:rFonts w:cstheme="minorHAnsi"/>
                <w:szCs w:val="20"/>
              </w:rPr>
              <w:cr/>
              <w:t>practice already used by many operators</w:t>
            </w:r>
            <w:r>
              <w:rPr>
                <w:rFonts w:cstheme="minorHAnsi"/>
                <w:szCs w:val="20"/>
              </w:rPr>
              <w:t>.</w:t>
            </w:r>
          </w:p>
        </w:tc>
        <w:tc>
          <w:tcPr>
            <w:tcW w:w="6379" w:type="dxa"/>
          </w:tcPr>
          <w:p w14:paraId="7D843D06" w14:textId="77777777" w:rsidR="003822C7" w:rsidRDefault="003822C7" w:rsidP="007C097D">
            <w:pPr>
              <w:pStyle w:val="ListParagraph"/>
              <w:keepLines/>
              <w:numPr>
                <w:ilvl w:val="0"/>
                <w:numId w:val="39"/>
              </w:numPr>
              <w:tabs>
                <w:tab w:val="left" w:pos="720"/>
              </w:tabs>
              <w:suppressAutoHyphens w:val="0"/>
              <w:ind w:left="284" w:hanging="284"/>
              <w:rPr>
                <w:rFonts w:cstheme="minorHAnsi"/>
                <w:szCs w:val="20"/>
              </w:rPr>
            </w:pPr>
            <w:r w:rsidRPr="00502F43">
              <w:rPr>
                <w:rFonts w:cstheme="minorHAnsi"/>
                <w:szCs w:val="20"/>
              </w:rPr>
              <w:t>Noted.</w:t>
            </w:r>
          </w:p>
          <w:p w14:paraId="55261BF8" w14:textId="77777777" w:rsidR="003822C7" w:rsidRPr="00710136" w:rsidRDefault="00710136" w:rsidP="007C097D">
            <w:pPr>
              <w:pStyle w:val="ListParagraph"/>
              <w:keepLines/>
              <w:numPr>
                <w:ilvl w:val="0"/>
                <w:numId w:val="39"/>
              </w:numPr>
              <w:tabs>
                <w:tab w:val="left" w:pos="720"/>
              </w:tabs>
              <w:suppressAutoHyphens w:val="0"/>
              <w:ind w:left="284" w:hanging="284"/>
              <w:rPr>
                <w:rFonts w:cstheme="minorHAnsi"/>
                <w:szCs w:val="20"/>
              </w:rPr>
            </w:pPr>
            <w:r w:rsidRPr="00710136">
              <w:rPr>
                <w:rFonts w:cstheme="minorHAnsi"/>
                <w:szCs w:val="20"/>
              </w:rPr>
              <w:t>See 3 and 4 below</w:t>
            </w:r>
            <w:r w:rsidR="003822C7" w:rsidRPr="00710136">
              <w:rPr>
                <w:rFonts w:cstheme="minorHAnsi"/>
                <w:szCs w:val="20"/>
              </w:rPr>
              <w:t>.</w:t>
            </w:r>
          </w:p>
          <w:p w14:paraId="320BDE9F" w14:textId="77777777" w:rsidR="003822C7" w:rsidRPr="007C01D8" w:rsidRDefault="002112A6" w:rsidP="007C097D">
            <w:pPr>
              <w:pStyle w:val="ListParagraph"/>
              <w:keepLines/>
              <w:numPr>
                <w:ilvl w:val="0"/>
                <w:numId w:val="39"/>
              </w:numPr>
              <w:tabs>
                <w:tab w:val="left" w:pos="720"/>
              </w:tabs>
              <w:suppressAutoHyphens w:val="0"/>
              <w:ind w:left="284" w:hanging="284"/>
              <w:rPr>
                <w:rFonts w:cstheme="minorHAnsi"/>
                <w:szCs w:val="20"/>
              </w:rPr>
            </w:pPr>
            <w:r w:rsidRPr="00EE4AC5">
              <w:rPr>
                <w:rFonts w:cstheme="minorHAnsi"/>
                <w:szCs w:val="20"/>
              </w:rPr>
              <w:t xml:space="preserve">Agree that side underrun could complicate the design of some </w:t>
            </w:r>
            <w:r w:rsidR="00EE4AC5" w:rsidRPr="00EE4AC5">
              <w:rPr>
                <w:rFonts w:cstheme="minorHAnsi"/>
                <w:szCs w:val="20"/>
              </w:rPr>
              <w:t>vehicles and trailers</w:t>
            </w:r>
            <w:r w:rsidR="00EE4AC5" w:rsidRPr="00750CD8">
              <w:rPr>
                <w:rFonts w:cstheme="minorHAnsi"/>
                <w:szCs w:val="20"/>
              </w:rPr>
              <w:t xml:space="preserve">. </w:t>
            </w:r>
            <w:r w:rsidR="00750CD8">
              <w:rPr>
                <w:rFonts w:cstheme="minorHAnsi"/>
              </w:rPr>
              <w:t>UN R73 includes some derogations</w:t>
            </w:r>
            <w:r w:rsidR="000F6E4D">
              <w:rPr>
                <w:rFonts w:cstheme="minorHAnsi"/>
              </w:rPr>
              <w:t>,</w:t>
            </w:r>
            <w:r w:rsidR="00750CD8">
              <w:rPr>
                <w:rFonts w:cstheme="minorHAnsi"/>
              </w:rPr>
              <w:t xml:space="preserve"> and the</w:t>
            </w:r>
            <w:r w:rsidR="00750CD8" w:rsidRPr="00C23179">
              <w:rPr>
                <w:rFonts w:cstheme="minorHAnsi"/>
              </w:rPr>
              <w:t xml:space="preserve"> exemptions and alternative procedures section of the proposed ADR will be able to be used to provide greater clarity, including in regard to derogations. These will also be able to </w:t>
            </w:r>
            <w:r w:rsidR="000C5069">
              <w:rPr>
                <w:rFonts w:cstheme="minorHAnsi"/>
              </w:rPr>
              <w:t xml:space="preserve">be </w:t>
            </w:r>
            <w:r w:rsidR="00750CD8" w:rsidRPr="00C23179">
              <w:rPr>
                <w:rFonts w:cstheme="minorHAnsi"/>
              </w:rPr>
              <w:t xml:space="preserve">continuously reviewed </w:t>
            </w:r>
            <w:r w:rsidR="00750CD8">
              <w:rPr>
                <w:rFonts w:cstheme="minorHAnsi"/>
              </w:rPr>
              <w:t xml:space="preserve">in close consultation with industry and with regard for Australian conditions, including through the established ADR consultative forums (e.g. TLG). </w:t>
            </w:r>
            <w:r w:rsidR="003B3572" w:rsidRPr="009133CD">
              <w:rPr>
                <w:rFonts w:cstheme="minorHAnsi"/>
              </w:rPr>
              <w:t xml:space="preserve">Minor amendments could be made to the ADR (after entry into force) </w:t>
            </w:r>
            <w:r w:rsidR="003B3572">
              <w:rPr>
                <w:rFonts w:cstheme="minorHAnsi"/>
              </w:rPr>
              <w:t xml:space="preserve">if necessary </w:t>
            </w:r>
            <w:r w:rsidR="003B3572" w:rsidRPr="009133CD">
              <w:rPr>
                <w:rFonts w:cstheme="minorHAnsi"/>
              </w:rPr>
              <w:t>to further clarify the interpretation and/or application of requirements</w:t>
            </w:r>
            <w:r w:rsidR="003B3572">
              <w:rPr>
                <w:rFonts w:cstheme="minorHAnsi"/>
              </w:rPr>
              <w:t xml:space="preserve">, or to </w:t>
            </w:r>
            <w:r w:rsidR="003B3572" w:rsidRPr="009133CD">
              <w:rPr>
                <w:rFonts w:cstheme="minorHAnsi"/>
              </w:rPr>
              <w:t>provide further targeted exemptions/ derogations, if there is evidence to show this would be likely to have no more than a minor regulatory impact, or that an LPD would be incompatible with the vehicle design use.</w:t>
            </w:r>
          </w:p>
          <w:p w14:paraId="0C685853" w14:textId="77777777" w:rsidR="003822C7" w:rsidRPr="009A1792" w:rsidRDefault="0087766C" w:rsidP="007C097D">
            <w:pPr>
              <w:pStyle w:val="ListParagraph"/>
              <w:keepLines/>
              <w:numPr>
                <w:ilvl w:val="0"/>
                <w:numId w:val="39"/>
              </w:numPr>
              <w:tabs>
                <w:tab w:val="left" w:pos="720"/>
              </w:tabs>
              <w:suppressAutoHyphens w:val="0"/>
              <w:ind w:left="284" w:hanging="284"/>
              <w:rPr>
                <w:rFonts w:cstheme="minorHAnsi"/>
                <w:szCs w:val="20"/>
              </w:rPr>
            </w:pPr>
            <w:r w:rsidRPr="009A1792">
              <w:rPr>
                <w:rFonts w:cstheme="minorHAnsi"/>
                <w:szCs w:val="20"/>
              </w:rPr>
              <w:t xml:space="preserve">Agree side underrun </w:t>
            </w:r>
            <w:r w:rsidR="009A1792" w:rsidRPr="009A1792">
              <w:rPr>
                <w:rFonts w:cstheme="minorHAnsi"/>
                <w:szCs w:val="20"/>
              </w:rPr>
              <w:t xml:space="preserve">protection devices can be of a lightweight design and construction and </w:t>
            </w:r>
            <w:r w:rsidR="003B6F6A">
              <w:rPr>
                <w:rFonts w:cstheme="minorHAnsi"/>
                <w:szCs w:val="20"/>
              </w:rPr>
              <w:t xml:space="preserve">these </w:t>
            </w:r>
            <w:r w:rsidR="009A1792" w:rsidRPr="009A1792">
              <w:rPr>
                <w:rFonts w:cstheme="minorHAnsi"/>
                <w:szCs w:val="20"/>
              </w:rPr>
              <w:t xml:space="preserve">could be more easily damaged in some remote and off-road operations. </w:t>
            </w:r>
            <w:r w:rsidR="009A1792">
              <w:rPr>
                <w:rFonts w:cstheme="minorHAnsi"/>
                <w:szCs w:val="20"/>
              </w:rPr>
              <w:t>However, side underrun is only proposed as a mandatory requirement for wider vehicles, and</w:t>
            </w:r>
            <w:r w:rsidR="009A1792" w:rsidRPr="009A1792">
              <w:rPr>
                <w:rFonts w:cstheme="minorHAnsi"/>
                <w:szCs w:val="20"/>
              </w:rPr>
              <w:t xml:space="preserve"> the </w:t>
            </w:r>
            <w:r w:rsidR="00561D83">
              <w:rPr>
                <w:rFonts w:cstheme="minorHAnsi"/>
                <w:szCs w:val="20"/>
              </w:rPr>
              <w:t>inter</w:t>
            </w:r>
            <w:r w:rsidR="006B608A">
              <w:rPr>
                <w:rFonts w:cstheme="minorHAnsi"/>
                <w:szCs w:val="20"/>
              </w:rPr>
              <w:t>n</w:t>
            </w:r>
            <w:r w:rsidR="00561D83">
              <w:rPr>
                <w:rFonts w:cstheme="minorHAnsi"/>
                <w:szCs w:val="20"/>
              </w:rPr>
              <w:t xml:space="preserve">ational </w:t>
            </w:r>
            <w:r w:rsidR="009A1792" w:rsidRPr="009A1792">
              <w:rPr>
                <w:rFonts w:cstheme="minorHAnsi"/>
                <w:szCs w:val="20"/>
              </w:rPr>
              <w:t xml:space="preserve">standard </w:t>
            </w:r>
            <w:r w:rsidR="006B608A">
              <w:rPr>
                <w:rFonts w:cstheme="minorHAnsi"/>
                <w:szCs w:val="20"/>
              </w:rPr>
              <w:t xml:space="preserve">(UN R73) </w:t>
            </w:r>
            <w:r w:rsidR="009A1792" w:rsidRPr="009A1792">
              <w:rPr>
                <w:rFonts w:cstheme="minorHAnsi"/>
                <w:szCs w:val="20"/>
              </w:rPr>
              <w:t>allows for stronger and more sturdy designs to be used.</w:t>
            </w:r>
          </w:p>
          <w:p w14:paraId="1A112479" w14:textId="77777777" w:rsidR="003822C7" w:rsidRPr="00710136" w:rsidRDefault="001D3BCF" w:rsidP="007C097D">
            <w:pPr>
              <w:pStyle w:val="ListParagraph"/>
              <w:keepLines/>
              <w:numPr>
                <w:ilvl w:val="0"/>
                <w:numId w:val="39"/>
              </w:numPr>
              <w:tabs>
                <w:tab w:val="left" w:pos="720"/>
              </w:tabs>
              <w:suppressAutoHyphens w:val="0"/>
              <w:ind w:left="284" w:hanging="284"/>
              <w:rPr>
                <w:rFonts w:cstheme="minorHAnsi"/>
                <w:szCs w:val="20"/>
              </w:rPr>
            </w:pPr>
            <w:r>
              <w:rPr>
                <w:rFonts w:cstheme="minorHAnsi"/>
                <w:szCs w:val="20"/>
              </w:rPr>
              <w:t xml:space="preserve">Noted. </w:t>
            </w:r>
            <w:r w:rsidR="00710136" w:rsidRPr="00710136">
              <w:rPr>
                <w:rFonts w:cstheme="minorHAnsi"/>
                <w:szCs w:val="20"/>
              </w:rPr>
              <w:t>Reversing lamps are no longer proposed as a mandatory safety feature for wider trailers</w:t>
            </w:r>
            <w:r w:rsidR="003822C7" w:rsidRPr="00710136">
              <w:rPr>
                <w:rFonts w:cstheme="minorHAnsi"/>
                <w:szCs w:val="20"/>
              </w:rPr>
              <w:t>.</w:t>
            </w:r>
            <w:r w:rsidR="008C458D">
              <w:rPr>
                <w:rFonts w:cstheme="minorHAnsi"/>
                <w:szCs w:val="20"/>
              </w:rPr>
              <w:t xml:space="preserve"> Requirements for these are being considered as part of a broader review of lighting ADRs for all vehicle categories and dimensions.</w:t>
            </w:r>
          </w:p>
          <w:p w14:paraId="1EB0F1E7" w14:textId="77777777" w:rsidR="003822C7" w:rsidRPr="00502F43" w:rsidRDefault="00710136" w:rsidP="007C097D">
            <w:pPr>
              <w:pStyle w:val="ListParagraph"/>
              <w:keepLines/>
              <w:numPr>
                <w:ilvl w:val="0"/>
                <w:numId w:val="39"/>
              </w:numPr>
              <w:tabs>
                <w:tab w:val="left" w:pos="720"/>
              </w:tabs>
              <w:suppressAutoHyphens w:val="0"/>
              <w:ind w:left="284" w:hanging="284"/>
              <w:rPr>
                <w:rFonts w:cstheme="minorHAnsi"/>
                <w:szCs w:val="20"/>
              </w:rPr>
            </w:pPr>
            <w:r w:rsidRPr="00710136">
              <w:rPr>
                <w:rFonts w:cstheme="minorHAnsi"/>
                <w:szCs w:val="20"/>
              </w:rPr>
              <w:t>Noted.</w:t>
            </w:r>
          </w:p>
        </w:tc>
      </w:tr>
      <w:tr w:rsidR="003822C7" w:rsidRPr="007B6E69" w14:paraId="1AD33947" w14:textId="77777777" w:rsidTr="00CC5A05">
        <w:tc>
          <w:tcPr>
            <w:tcW w:w="1696" w:type="dxa"/>
          </w:tcPr>
          <w:p w14:paraId="0CF885AD" w14:textId="77777777" w:rsidR="003822C7" w:rsidRPr="007B6E69" w:rsidRDefault="00E227B0" w:rsidP="00E227B0">
            <w:pPr>
              <w:spacing w:before="120" w:after="120"/>
              <w:rPr>
                <w:rFonts w:cstheme="minorHAnsi"/>
              </w:rPr>
            </w:pPr>
            <w:r>
              <w:rPr>
                <w:rFonts w:cstheme="minorHAnsi"/>
              </w:rPr>
              <w:t>D</w:t>
            </w:r>
            <w:r w:rsidR="003822C7" w:rsidRPr="007B6E69">
              <w:rPr>
                <w:rFonts w:cstheme="minorHAnsi"/>
              </w:rPr>
              <w:t>epartment of Transport</w:t>
            </w:r>
            <w:r w:rsidR="003822C7">
              <w:rPr>
                <w:rFonts w:cstheme="minorHAnsi"/>
              </w:rPr>
              <w:t xml:space="preserve"> VIC</w:t>
            </w:r>
          </w:p>
        </w:tc>
        <w:tc>
          <w:tcPr>
            <w:tcW w:w="6521" w:type="dxa"/>
            <w:gridSpan w:val="2"/>
          </w:tcPr>
          <w:p w14:paraId="352CE9AF" w14:textId="77777777" w:rsidR="003822C7" w:rsidRDefault="003822C7" w:rsidP="00E248BF">
            <w:pPr>
              <w:pStyle w:val="ListParagraph"/>
              <w:keepLines/>
              <w:numPr>
                <w:ilvl w:val="6"/>
                <w:numId w:val="57"/>
              </w:numPr>
              <w:tabs>
                <w:tab w:val="left" w:pos="320"/>
              </w:tabs>
              <w:suppressAutoHyphens w:val="0"/>
              <w:ind w:left="284" w:hanging="284"/>
              <w:rPr>
                <w:rFonts w:cstheme="minorHAnsi"/>
                <w:szCs w:val="20"/>
              </w:rPr>
            </w:pPr>
            <w:r w:rsidRPr="002959AA">
              <w:rPr>
                <w:rFonts w:cstheme="minorHAnsi"/>
                <w:szCs w:val="20"/>
              </w:rPr>
              <w:t xml:space="preserve">Supports </w:t>
            </w:r>
            <w:r>
              <w:rPr>
                <w:rFonts w:cstheme="minorHAnsi"/>
                <w:szCs w:val="20"/>
              </w:rPr>
              <w:t xml:space="preserve">increasing the maximum width for heavy vehicles (goods vehicles and trailers over 4.5 tonnes) to 2.55 m, as this </w:t>
            </w:r>
            <w:r w:rsidRPr="005B6BEE">
              <w:rPr>
                <w:rFonts w:cstheme="minorHAnsi"/>
                <w:szCs w:val="20"/>
              </w:rPr>
              <w:t>is supported by research conducted by</w:t>
            </w:r>
            <w:r>
              <w:rPr>
                <w:rFonts w:cstheme="minorHAnsi"/>
                <w:szCs w:val="20"/>
              </w:rPr>
              <w:t xml:space="preserve"> </w:t>
            </w:r>
            <w:r w:rsidRPr="005B6BEE">
              <w:rPr>
                <w:rFonts w:cstheme="minorHAnsi"/>
                <w:szCs w:val="20"/>
              </w:rPr>
              <w:t>Austroads</w:t>
            </w:r>
            <w:r>
              <w:rPr>
                <w:rFonts w:cstheme="minorHAnsi"/>
                <w:szCs w:val="20"/>
              </w:rPr>
              <w:t>, and</w:t>
            </w:r>
            <w:r w:rsidRPr="005B6BEE">
              <w:rPr>
                <w:rFonts w:cstheme="minorHAnsi"/>
                <w:szCs w:val="20"/>
              </w:rPr>
              <w:t xml:space="preserve"> heavy vehicles that are 2.55</w:t>
            </w:r>
            <w:r>
              <w:rPr>
                <w:rFonts w:cstheme="minorHAnsi"/>
                <w:szCs w:val="20"/>
              </w:rPr>
              <w:t> </w:t>
            </w:r>
            <w:r w:rsidRPr="005B6BEE">
              <w:rPr>
                <w:rFonts w:cstheme="minorHAnsi"/>
                <w:szCs w:val="20"/>
              </w:rPr>
              <w:t>m wide, and wider, are</w:t>
            </w:r>
            <w:r>
              <w:rPr>
                <w:rFonts w:cstheme="minorHAnsi"/>
                <w:szCs w:val="20"/>
              </w:rPr>
              <w:t xml:space="preserve"> </w:t>
            </w:r>
            <w:r w:rsidRPr="005B6BEE">
              <w:rPr>
                <w:rFonts w:cstheme="minorHAnsi"/>
                <w:szCs w:val="20"/>
              </w:rPr>
              <w:t xml:space="preserve">successfully operating in Victoria on the </w:t>
            </w:r>
            <w:r>
              <w:rPr>
                <w:rFonts w:cstheme="minorHAnsi"/>
                <w:szCs w:val="20"/>
              </w:rPr>
              <w:t>PBS</w:t>
            </w:r>
            <w:r w:rsidRPr="005B6BEE">
              <w:rPr>
                <w:rFonts w:cstheme="minorHAnsi"/>
                <w:szCs w:val="20"/>
              </w:rPr>
              <w:t xml:space="preserve"> network</w:t>
            </w:r>
            <w:r w:rsidRPr="002959AA">
              <w:rPr>
                <w:rFonts w:cstheme="minorHAnsi"/>
                <w:szCs w:val="20"/>
              </w:rPr>
              <w:t>.</w:t>
            </w:r>
          </w:p>
          <w:p w14:paraId="170D9C05"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N</w:t>
            </w:r>
            <w:r w:rsidRPr="00383BCA">
              <w:rPr>
                <w:rFonts w:cstheme="minorHAnsi"/>
              </w:rPr>
              <w:t>ot opposed to a</w:t>
            </w:r>
            <w:r>
              <w:rPr>
                <w:rFonts w:cstheme="minorHAnsi"/>
              </w:rPr>
              <w:t xml:space="preserve"> </w:t>
            </w:r>
            <w:r w:rsidRPr="00383BCA">
              <w:rPr>
                <w:rFonts w:cstheme="minorHAnsi"/>
              </w:rPr>
              <w:t xml:space="preserve">further </w:t>
            </w:r>
            <w:r>
              <w:rPr>
                <w:rFonts w:cstheme="minorHAnsi"/>
              </w:rPr>
              <w:t xml:space="preserve">maximum width </w:t>
            </w:r>
            <w:r w:rsidRPr="00383BCA">
              <w:rPr>
                <w:rFonts w:cstheme="minorHAnsi"/>
              </w:rPr>
              <w:t xml:space="preserve">increase to </w:t>
            </w:r>
            <w:r w:rsidR="00B9347B">
              <w:rPr>
                <w:rFonts w:cstheme="minorHAnsi"/>
              </w:rPr>
              <w:t>2.60</w:t>
            </w:r>
            <w:r>
              <w:rPr>
                <w:rFonts w:cstheme="minorHAnsi"/>
              </w:rPr>
              <w:t> </w:t>
            </w:r>
            <w:r w:rsidRPr="00383BCA">
              <w:rPr>
                <w:rFonts w:cstheme="minorHAnsi"/>
              </w:rPr>
              <w:t>m for all heavy vehicles</w:t>
            </w:r>
            <w:r>
              <w:rPr>
                <w:rFonts w:cstheme="minorHAnsi"/>
              </w:rPr>
              <w:t xml:space="preserve"> – </w:t>
            </w:r>
            <w:r w:rsidRPr="00383BCA">
              <w:rPr>
                <w:rFonts w:cstheme="minorHAnsi"/>
              </w:rPr>
              <w:t>however the impact of providing general access to vehicles of this width should be studied</w:t>
            </w:r>
            <w:r>
              <w:rPr>
                <w:rFonts w:cstheme="minorHAnsi"/>
              </w:rPr>
              <w:t xml:space="preserve"> to</w:t>
            </w:r>
            <w:r w:rsidRPr="00383BCA">
              <w:rPr>
                <w:rFonts w:cstheme="minorHAnsi"/>
              </w:rPr>
              <w:t xml:space="preserve"> ensure that </w:t>
            </w:r>
            <w:r w:rsidR="00B9347B">
              <w:rPr>
                <w:rFonts w:cstheme="minorHAnsi"/>
              </w:rPr>
              <w:t>2.60</w:t>
            </w:r>
            <w:r>
              <w:rPr>
                <w:rFonts w:cstheme="minorHAnsi"/>
              </w:rPr>
              <w:t> </w:t>
            </w:r>
            <w:r w:rsidRPr="00383BCA">
              <w:rPr>
                <w:rFonts w:cstheme="minorHAnsi"/>
              </w:rPr>
              <w:t>m wide heavy vehicles could safely operate on the road network and share the road with other road users</w:t>
            </w:r>
            <w:r>
              <w:rPr>
                <w:rFonts w:cstheme="minorHAnsi"/>
              </w:rPr>
              <w:t>,</w:t>
            </w:r>
            <w:r w:rsidRPr="00383BCA">
              <w:rPr>
                <w:rFonts w:cstheme="minorHAnsi"/>
              </w:rPr>
              <w:t xml:space="preserve"> including cyclists and motorcyclists.</w:t>
            </w:r>
          </w:p>
          <w:p w14:paraId="00271D33"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E</w:t>
            </w:r>
            <w:r w:rsidRPr="00383BCA">
              <w:rPr>
                <w:rFonts w:cstheme="minorHAnsi"/>
              </w:rPr>
              <w:t>ncourage</w:t>
            </w:r>
            <w:r>
              <w:rPr>
                <w:rFonts w:cstheme="minorHAnsi"/>
              </w:rPr>
              <w:t>s</w:t>
            </w:r>
            <w:r w:rsidRPr="00383BCA">
              <w:rPr>
                <w:rFonts w:cstheme="minorHAnsi"/>
              </w:rPr>
              <w:t xml:space="preserve"> the Commonwealth to work with the Austroads and the NHVR to research the suitability of </w:t>
            </w:r>
            <w:r w:rsidR="00B9347B">
              <w:rPr>
                <w:rFonts w:cstheme="minorHAnsi"/>
              </w:rPr>
              <w:t>2.60</w:t>
            </w:r>
            <w:r>
              <w:rPr>
                <w:rFonts w:cstheme="minorHAnsi"/>
              </w:rPr>
              <w:t> </w:t>
            </w:r>
            <w:r w:rsidRPr="00383BCA">
              <w:rPr>
                <w:rFonts w:cstheme="minorHAnsi"/>
              </w:rPr>
              <w:t>m wide heavy</w:t>
            </w:r>
            <w:r>
              <w:rPr>
                <w:rFonts w:cstheme="minorHAnsi"/>
              </w:rPr>
              <w:t xml:space="preserve"> </w:t>
            </w:r>
            <w:r w:rsidRPr="00383BCA">
              <w:rPr>
                <w:rFonts w:cstheme="minorHAnsi"/>
              </w:rPr>
              <w:t>vehicles across Australia.</w:t>
            </w:r>
          </w:p>
          <w:p w14:paraId="7797D589" w14:textId="77777777" w:rsidR="003822C7" w:rsidRPr="00097074" w:rsidRDefault="003822C7" w:rsidP="00E248BF">
            <w:pPr>
              <w:pStyle w:val="ListParagraph"/>
              <w:keepLines/>
              <w:numPr>
                <w:ilvl w:val="0"/>
                <w:numId w:val="57"/>
              </w:numPr>
              <w:tabs>
                <w:tab w:val="left" w:pos="320"/>
              </w:tabs>
              <w:suppressAutoHyphens w:val="0"/>
              <w:ind w:left="284" w:hanging="284"/>
              <w:rPr>
                <w:rFonts w:cstheme="minorHAnsi"/>
              </w:rPr>
            </w:pPr>
            <w:r w:rsidRPr="00097074">
              <w:rPr>
                <w:rFonts w:cstheme="minorHAnsi"/>
              </w:rPr>
              <w:t>Continues to be disappointed with the delayed introduction to regulations that will improve vehicle safety in Australia</w:t>
            </w:r>
            <w:r>
              <w:rPr>
                <w:rFonts w:cstheme="minorHAnsi"/>
              </w:rPr>
              <w:t xml:space="preserve"> – n</w:t>
            </w:r>
            <w:r w:rsidRPr="00097074">
              <w:rPr>
                <w:rFonts w:cstheme="minorHAnsi"/>
              </w:rPr>
              <w:t>otes many of the proposed safety features have been mandated in other jurisdictions for years, or even decades, yet they are only just being proposed to be optional for most heavy vehicles in Australia.</w:t>
            </w:r>
          </w:p>
          <w:p w14:paraId="16E7E8D4"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U</w:t>
            </w:r>
            <w:r w:rsidRPr="00DC7772">
              <w:rPr>
                <w:rFonts w:cstheme="minorHAnsi"/>
              </w:rPr>
              <w:t>rge</w:t>
            </w:r>
            <w:r>
              <w:rPr>
                <w:rFonts w:cstheme="minorHAnsi"/>
              </w:rPr>
              <w:t>s</w:t>
            </w:r>
            <w:r w:rsidRPr="00DC7772">
              <w:rPr>
                <w:rFonts w:cstheme="minorHAnsi"/>
              </w:rPr>
              <w:t xml:space="preserve"> the Commonwealth not to lose sight of further opportunities to improve heavy vehicle safety</w:t>
            </w:r>
            <w:r>
              <w:rPr>
                <w:rFonts w:cstheme="minorHAnsi"/>
              </w:rPr>
              <w:t xml:space="preserve">, and to adopt (i.e. mandate) </w:t>
            </w:r>
            <w:r w:rsidRPr="00DC7772">
              <w:rPr>
                <w:rFonts w:cstheme="minorHAnsi"/>
              </w:rPr>
              <w:t>safety standards in similar</w:t>
            </w:r>
            <w:r>
              <w:rPr>
                <w:rFonts w:cstheme="minorHAnsi"/>
              </w:rPr>
              <w:t xml:space="preserve"> </w:t>
            </w:r>
            <w:r w:rsidRPr="00DC7772">
              <w:rPr>
                <w:rFonts w:cstheme="minorHAnsi"/>
              </w:rPr>
              <w:t>timeframes to Europe</w:t>
            </w:r>
            <w:r>
              <w:rPr>
                <w:rFonts w:cstheme="minorHAnsi"/>
              </w:rPr>
              <w:t xml:space="preserve"> </w:t>
            </w:r>
            <w:r w:rsidRPr="00DC7772">
              <w:rPr>
                <w:rFonts w:cstheme="minorHAnsi"/>
              </w:rPr>
              <w:t>in alignment with the agreement of Transport Minister’s at the 11th meeting of the</w:t>
            </w:r>
            <w:r>
              <w:rPr>
                <w:rFonts w:cstheme="minorHAnsi"/>
              </w:rPr>
              <w:t xml:space="preserve"> </w:t>
            </w:r>
            <w:r w:rsidRPr="00DC7772">
              <w:rPr>
                <w:rFonts w:cstheme="minorHAnsi"/>
              </w:rPr>
              <w:t>Transport and Infrastructure Council.</w:t>
            </w:r>
          </w:p>
          <w:p w14:paraId="59DBB8D9"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Does not support any ADR exemptions for life saving safety features, including ESC, AEB and LDWS for vehicles with more than three axles.</w:t>
            </w:r>
          </w:p>
          <w:p w14:paraId="5D4F40A3" w14:textId="77777777"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 xml:space="preserve">Understands that the UN exemption for ESC, AEB and LDWS on vehicles with more than three axles was requested by </w:t>
            </w:r>
            <w:r w:rsidRPr="00583A0F">
              <w:rPr>
                <w:rFonts w:cstheme="minorHAnsi"/>
              </w:rPr>
              <w:t>the international representative body for vehicle manufacturers</w:t>
            </w:r>
            <w:r>
              <w:rPr>
                <w:rFonts w:cstheme="minorHAnsi"/>
              </w:rPr>
              <w:t>,</w:t>
            </w:r>
            <w:r w:rsidRPr="00583A0F">
              <w:rPr>
                <w:rFonts w:cstheme="minorHAnsi"/>
              </w:rPr>
              <w:t xml:space="preserve"> due to four axle trucks being primarily used on construction sites and not on</w:t>
            </w:r>
            <w:r>
              <w:rPr>
                <w:rFonts w:cstheme="minorHAnsi"/>
              </w:rPr>
              <w:t xml:space="preserve"> </w:t>
            </w:r>
            <w:r w:rsidRPr="00583A0F">
              <w:rPr>
                <w:rFonts w:cstheme="minorHAnsi"/>
              </w:rPr>
              <w:t>highways</w:t>
            </w:r>
            <w:r>
              <w:rPr>
                <w:rFonts w:cstheme="minorHAnsi"/>
              </w:rPr>
              <w:t xml:space="preserve"> – does not</w:t>
            </w:r>
            <w:r w:rsidRPr="00583A0F">
              <w:rPr>
                <w:rFonts w:cstheme="minorHAnsi"/>
              </w:rPr>
              <w:t xml:space="preserve"> support this exemption</w:t>
            </w:r>
            <w:r>
              <w:rPr>
                <w:rFonts w:cstheme="minorHAnsi"/>
              </w:rPr>
              <w:t>.</w:t>
            </w:r>
          </w:p>
          <w:p w14:paraId="446F84F5" w14:textId="77777777" w:rsidR="003822C7" w:rsidRPr="006871B1" w:rsidRDefault="003822C7" w:rsidP="00E248BF">
            <w:pPr>
              <w:pStyle w:val="ListParagraph"/>
              <w:keepLines/>
              <w:numPr>
                <w:ilvl w:val="0"/>
                <w:numId w:val="57"/>
              </w:numPr>
              <w:tabs>
                <w:tab w:val="left" w:pos="320"/>
              </w:tabs>
              <w:suppressAutoHyphens w:val="0"/>
              <w:ind w:left="284" w:hanging="284"/>
              <w:rPr>
                <w:rFonts w:cstheme="minorHAnsi"/>
              </w:rPr>
            </w:pPr>
            <w:r w:rsidRPr="006871B1">
              <w:rPr>
                <w:rFonts w:cstheme="minorHAnsi"/>
              </w:rPr>
              <w:t>Encourages the Commonwealth to work with international</w:t>
            </w:r>
            <w:r w:rsidRPr="006871B1">
              <w:rPr>
                <w:rFonts w:cstheme="minorHAnsi"/>
              </w:rPr>
              <w:cr/>
              <w:t xml:space="preserve"> bodies to enable the fitment of these technologies to trucks with more than three axles, and notes that vehicles used on </w:t>
            </w:r>
            <w:r w:rsidRPr="006871B1">
              <w:rPr>
                <w:rFonts w:cstheme="minorHAnsi"/>
              </w:rPr>
              <w:cr/>
              <w:t>construction sites are a key area of focus for safety improvements in Victoria.</w:t>
            </w:r>
          </w:p>
        </w:tc>
        <w:tc>
          <w:tcPr>
            <w:tcW w:w="6379" w:type="dxa"/>
          </w:tcPr>
          <w:p w14:paraId="054C7962" w14:textId="77777777" w:rsidR="003822C7" w:rsidRPr="006871B1" w:rsidRDefault="003822C7" w:rsidP="00E248BF">
            <w:pPr>
              <w:pStyle w:val="ListParagraph"/>
              <w:keepLines/>
              <w:numPr>
                <w:ilvl w:val="0"/>
                <w:numId w:val="65"/>
              </w:numPr>
              <w:tabs>
                <w:tab w:val="left" w:pos="720"/>
              </w:tabs>
              <w:suppressAutoHyphens w:val="0"/>
              <w:ind w:left="284" w:hanging="284"/>
              <w:rPr>
                <w:rFonts w:cstheme="minorHAnsi"/>
                <w:szCs w:val="20"/>
              </w:rPr>
            </w:pPr>
            <w:r>
              <w:rPr>
                <w:rFonts w:cstheme="minorHAnsi"/>
              </w:rPr>
              <w:t>Noted.</w:t>
            </w:r>
          </w:p>
          <w:p w14:paraId="61D957ED" w14:textId="77777777" w:rsidR="003822C7" w:rsidRPr="004F0642" w:rsidRDefault="004F0642" w:rsidP="00E248BF">
            <w:pPr>
              <w:pStyle w:val="ListParagraph"/>
              <w:keepLines/>
              <w:numPr>
                <w:ilvl w:val="0"/>
                <w:numId w:val="65"/>
              </w:numPr>
              <w:tabs>
                <w:tab w:val="left" w:pos="720"/>
              </w:tabs>
              <w:suppressAutoHyphens w:val="0"/>
              <w:ind w:left="284" w:hanging="284"/>
              <w:rPr>
                <w:rFonts w:cstheme="minorHAnsi"/>
                <w:szCs w:val="20"/>
              </w:rPr>
            </w:pPr>
            <w:r w:rsidRPr="004F0642">
              <w:rPr>
                <w:rFonts w:cstheme="minorHAnsi"/>
                <w:szCs w:val="20"/>
              </w:rPr>
              <w:t>Noted</w:t>
            </w:r>
            <w:r w:rsidR="003822C7" w:rsidRPr="004F0642">
              <w:rPr>
                <w:rFonts w:cstheme="minorHAnsi"/>
                <w:szCs w:val="20"/>
              </w:rPr>
              <w:t>.</w:t>
            </w:r>
          </w:p>
          <w:p w14:paraId="6A0F0932" w14:textId="77777777" w:rsidR="003822C7" w:rsidRPr="008062A9" w:rsidRDefault="004F0642" w:rsidP="00E248BF">
            <w:pPr>
              <w:pStyle w:val="ListParagraph"/>
              <w:keepLines/>
              <w:numPr>
                <w:ilvl w:val="0"/>
                <w:numId w:val="65"/>
              </w:numPr>
              <w:tabs>
                <w:tab w:val="left" w:pos="720"/>
              </w:tabs>
              <w:suppressAutoHyphens w:val="0"/>
              <w:ind w:left="284" w:hanging="284"/>
              <w:rPr>
                <w:rFonts w:cstheme="minorHAnsi"/>
                <w:szCs w:val="20"/>
              </w:rPr>
            </w:pPr>
            <w:r w:rsidRPr="008062A9">
              <w:rPr>
                <w:rFonts w:cstheme="minorHAnsi"/>
                <w:szCs w:val="20"/>
              </w:rPr>
              <w:t xml:space="preserve">Noted. </w:t>
            </w:r>
            <w:r w:rsidR="008062A9">
              <w:rPr>
                <w:rFonts w:cstheme="minorHAnsi"/>
                <w:szCs w:val="20"/>
              </w:rPr>
              <w:t>J</w:t>
            </w:r>
            <w:r w:rsidRPr="008062A9">
              <w:rPr>
                <w:rFonts w:cstheme="minorHAnsi"/>
                <w:szCs w:val="20"/>
              </w:rPr>
              <w:t xml:space="preserve">urisdictions should </w:t>
            </w:r>
            <w:r w:rsidR="008062A9">
              <w:rPr>
                <w:rFonts w:cstheme="minorHAnsi"/>
                <w:szCs w:val="20"/>
              </w:rPr>
              <w:t xml:space="preserve">work with Austroads to </w:t>
            </w:r>
            <w:r w:rsidRPr="008062A9">
              <w:rPr>
                <w:rFonts w:cstheme="minorHAnsi"/>
                <w:szCs w:val="20"/>
              </w:rPr>
              <w:t xml:space="preserve">complete this work (also see recommendations in Chapter </w:t>
            </w:r>
            <w:r w:rsidR="008062A9">
              <w:rPr>
                <w:rFonts w:cstheme="minorHAnsi"/>
                <w:szCs w:val="20"/>
              </w:rPr>
              <w:t>7</w:t>
            </w:r>
            <w:r w:rsidRPr="008062A9">
              <w:rPr>
                <w:rFonts w:cstheme="minorHAnsi"/>
                <w:szCs w:val="20"/>
              </w:rPr>
              <w:t xml:space="preserve"> above).</w:t>
            </w:r>
            <w:r w:rsidR="0079009A">
              <w:rPr>
                <w:rFonts w:cstheme="minorHAnsi"/>
                <w:szCs w:val="20"/>
              </w:rPr>
              <w:t xml:space="preserve"> Ideally this </w:t>
            </w:r>
            <w:r w:rsidR="00312DD8">
              <w:rPr>
                <w:rFonts w:cstheme="minorHAnsi"/>
                <w:szCs w:val="20"/>
              </w:rPr>
              <w:t>sh</w:t>
            </w:r>
            <w:r w:rsidR="00144913">
              <w:rPr>
                <w:rFonts w:cstheme="minorHAnsi"/>
                <w:szCs w:val="20"/>
              </w:rPr>
              <w:t>ould</w:t>
            </w:r>
            <w:r w:rsidR="0079009A">
              <w:rPr>
                <w:rFonts w:cstheme="minorHAnsi"/>
                <w:szCs w:val="20"/>
              </w:rPr>
              <w:t xml:space="preserve"> have </w:t>
            </w:r>
            <w:r w:rsidR="00144913">
              <w:rPr>
                <w:rFonts w:cstheme="minorHAnsi"/>
                <w:szCs w:val="20"/>
              </w:rPr>
              <w:t xml:space="preserve">been </w:t>
            </w:r>
            <w:r w:rsidR="0079009A">
              <w:rPr>
                <w:rFonts w:cstheme="minorHAnsi"/>
                <w:szCs w:val="20"/>
              </w:rPr>
              <w:t xml:space="preserve">completed as part of the Austroads review </w:t>
            </w:r>
            <w:r w:rsidR="00144913">
              <w:rPr>
                <w:rFonts w:cstheme="minorHAnsi"/>
                <w:szCs w:val="20"/>
              </w:rPr>
              <w:t>in 2019.</w:t>
            </w:r>
          </w:p>
          <w:p w14:paraId="5DE0A4CB" w14:textId="77777777" w:rsidR="003822C7" w:rsidRPr="006871B1" w:rsidRDefault="00BC7411" w:rsidP="00E248BF">
            <w:pPr>
              <w:pStyle w:val="ListParagraph"/>
              <w:keepLines/>
              <w:numPr>
                <w:ilvl w:val="0"/>
                <w:numId w:val="65"/>
              </w:numPr>
              <w:tabs>
                <w:tab w:val="left" w:pos="720"/>
              </w:tabs>
              <w:suppressAutoHyphens w:val="0"/>
              <w:ind w:left="284" w:hanging="284"/>
              <w:rPr>
                <w:rFonts w:cstheme="minorHAnsi"/>
                <w:szCs w:val="20"/>
              </w:rPr>
            </w:pPr>
            <w:r w:rsidRPr="002D7DE0">
              <w:rPr>
                <w:rFonts w:cstheme="minorHAnsi"/>
                <w:szCs w:val="20"/>
              </w:rPr>
              <w:t xml:space="preserve">Noted. </w:t>
            </w:r>
            <w:r w:rsidR="008124AA">
              <w:rPr>
                <w:rFonts w:cstheme="minorHAnsi"/>
                <w:szCs w:val="20"/>
              </w:rPr>
              <w:t>However, w</w:t>
            </w:r>
            <w:r w:rsidR="008124AA" w:rsidRPr="008124AA">
              <w:rPr>
                <w:rFonts w:cstheme="minorHAnsi"/>
                <w:szCs w:val="20"/>
              </w:rPr>
              <w:t>ith the proliferation of new vehicle technologies, it is vital that</w:t>
            </w:r>
            <w:r w:rsidR="008124AA">
              <w:rPr>
                <w:rFonts w:cstheme="minorHAnsi"/>
                <w:szCs w:val="20"/>
              </w:rPr>
              <w:t xml:space="preserve"> </w:t>
            </w:r>
            <w:r w:rsidR="005D223F">
              <w:rPr>
                <w:rFonts w:cstheme="minorHAnsi"/>
                <w:szCs w:val="20"/>
              </w:rPr>
              <w:t xml:space="preserve">any </w:t>
            </w:r>
            <w:r w:rsidR="008124AA" w:rsidRPr="008124AA">
              <w:rPr>
                <w:rFonts w:cstheme="minorHAnsi"/>
                <w:szCs w:val="20"/>
              </w:rPr>
              <w:t>mandating</w:t>
            </w:r>
            <w:r w:rsidR="008124AA">
              <w:rPr>
                <w:rFonts w:cstheme="minorHAnsi"/>
                <w:szCs w:val="20"/>
              </w:rPr>
              <w:t xml:space="preserve"> </w:t>
            </w:r>
            <w:r w:rsidR="008124AA" w:rsidRPr="008124AA">
              <w:rPr>
                <w:rFonts w:cstheme="minorHAnsi"/>
                <w:szCs w:val="20"/>
              </w:rPr>
              <w:t>of technologies be based on a sound evidentiary basis. Otherwise</w:t>
            </w:r>
            <w:r w:rsidR="008124AA">
              <w:rPr>
                <w:rFonts w:cstheme="minorHAnsi"/>
                <w:szCs w:val="20"/>
              </w:rPr>
              <w:t xml:space="preserve"> </w:t>
            </w:r>
            <w:r w:rsidR="008124AA" w:rsidRPr="008124AA">
              <w:rPr>
                <w:rFonts w:cstheme="minorHAnsi"/>
                <w:szCs w:val="20"/>
              </w:rPr>
              <w:t xml:space="preserve">vehicle costs could rise for little </w:t>
            </w:r>
            <w:r w:rsidR="008124AA">
              <w:rPr>
                <w:rFonts w:cstheme="minorHAnsi"/>
                <w:szCs w:val="20"/>
              </w:rPr>
              <w:t xml:space="preserve">or no </w:t>
            </w:r>
            <w:r w:rsidR="008124AA" w:rsidRPr="008124AA">
              <w:rPr>
                <w:rFonts w:cstheme="minorHAnsi"/>
                <w:szCs w:val="20"/>
              </w:rPr>
              <w:t>gain in safety (or environmental) performance.</w:t>
            </w:r>
            <w:r w:rsidR="008124AA">
              <w:rPr>
                <w:rFonts w:cstheme="minorHAnsi"/>
                <w:szCs w:val="20"/>
              </w:rPr>
              <w:t xml:space="preserve"> </w:t>
            </w:r>
            <w:r w:rsidR="008B31D3">
              <w:rPr>
                <w:rFonts w:cstheme="minorHAnsi"/>
                <w:szCs w:val="20"/>
              </w:rPr>
              <w:t xml:space="preserve">For new technologies, some time is needed to establish effectiveness and </w:t>
            </w:r>
            <w:r w:rsidR="00E27DE4">
              <w:rPr>
                <w:rFonts w:cstheme="minorHAnsi"/>
                <w:szCs w:val="20"/>
              </w:rPr>
              <w:t>properly consider if there is a</w:t>
            </w:r>
            <w:r w:rsidR="008B31D3">
              <w:rPr>
                <w:rFonts w:cstheme="minorHAnsi"/>
                <w:szCs w:val="20"/>
              </w:rPr>
              <w:t xml:space="preserve"> case for regulation. </w:t>
            </w:r>
            <w:r w:rsidR="00E27DE4">
              <w:rPr>
                <w:rFonts w:cstheme="minorHAnsi"/>
                <w:szCs w:val="20"/>
              </w:rPr>
              <w:t xml:space="preserve">Regulation is not the default policy option. </w:t>
            </w:r>
            <w:r w:rsidR="008124AA">
              <w:rPr>
                <w:rFonts w:cstheme="minorHAnsi"/>
                <w:szCs w:val="20"/>
              </w:rPr>
              <w:t xml:space="preserve">Understand that the reference to delays is </w:t>
            </w:r>
            <w:r w:rsidR="00A75BD3">
              <w:rPr>
                <w:rFonts w:cstheme="minorHAnsi"/>
                <w:szCs w:val="20"/>
              </w:rPr>
              <w:t>for the most part a reference to the EU. However, mandatory implementation dates in the EU</w:t>
            </w:r>
            <w:r w:rsidR="00A75BD3" w:rsidRPr="00A75BD3" w:rsidDel="00A75BD3">
              <w:rPr>
                <w:rFonts w:cstheme="minorHAnsi"/>
                <w:color w:val="auto"/>
                <w:szCs w:val="20"/>
              </w:rPr>
              <w:t xml:space="preserve"> </w:t>
            </w:r>
            <w:r w:rsidR="00A75BD3" w:rsidRPr="00A75BD3">
              <w:rPr>
                <w:rFonts w:cstheme="minorHAnsi"/>
                <w:color w:val="auto"/>
                <w:szCs w:val="20"/>
              </w:rPr>
              <w:t xml:space="preserve">are </w:t>
            </w:r>
            <w:r w:rsidR="00A75BD3">
              <w:rPr>
                <w:rFonts w:cstheme="minorHAnsi"/>
                <w:szCs w:val="20"/>
              </w:rPr>
              <w:t xml:space="preserve">usually </w:t>
            </w:r>
            <w:r w:rsidR="001C31DE">
              <w:rPr>
                <w:rFonts w:cstheme="minorHAnsi"/>
                <w:szCs w:val="20"/>
              </w:rPr>
              <w:t xml:space="preserve">around </w:t>
            </w:r>
            <w:r w:rsidR="00A75BD3">
              <w:rPr>
                <w:rFonts w:cstheme="minorHAnsi"/>
                <w:szCs w:val="20"/>
              </w:rPr>
              <w:t xml:space="preserve">2-4 years </w:t>
            </w:r>
            <w:r w:rsidR="00920E89">
              <w:rPr>
                <w:rFonts w:cstheme="minorHAnsi"/>
                <w:szCs w:val="20"/>
              </w:rPr>
              <w:t xml:space="preserve">(and sometimes </w:t>
            </w:r>
            <w:r w:rsidR="00433E91">
              <w:rPr>
                <w:rFonts w:cstheme="minorHAnsi"/>
                <w:szCs w:val="20"/>
              </w:rPr>
              <w:t xml:space="preserve">longer) </w:t>
            </w:r>
            <w:r w:rsidR="00A75BD3">
              <w:rPr>
                <w:rFonts w:cstheme="minorHAnsi"/>
                <w:szCs w:val="20"/>
              </w:rPr>
              <w:t>after the establishment of new UN vehicle regulations. This allows manufacturers to start designing and testing vehicles to the new UN</w:t>
            </w:r>
            <w:r w:rsidR="007833DB">
              <w:rPr>
                <w:rFonts w:cstheme="minorHAnsi"/>
                <w:szCs w:val="20"/>
              </w:rPr>
              <w:t> </w:t>
            </w:r>
            <w:r w:rsidR="00A75BD3">
              <w:rPr>
                <w:rFonts w:cstheme="minorHAnsi"/>
                <w:szCs w:val="20"/>
              </w:rPr>
              <w:t>Regulations before they become mandatory.</w:t>
            </w:r>
            <w:r w:rsidR="0009690C">
              <w:rPr>
                <w:rFonts w:cstheme="minorHAnsi"/>
                <w:szCs w:val="20"/>
              </w:rPr>
              <w:t xml:space="preserve"> Entry into force of UN vehicle regulations should not be taken as the mandatory date in the EU or any other region or country.</w:t>
            </w:r>
          </w:p>
          <w:p w14:paraId="0E1EF397" w14:textId="77777777" w:rsidR="003822C7" w:rsidRPr="00BC7411" w:rsidRDefault="00BC7411" w:rsidP="00E248BF">
            <w:pPr>
              <w:pStyle w:val="ListParagraph"/>
              <w:keepLines/>
              <w:numPr>
                <w:ilvl w:val="0"/>
                <w:numId w:val="65"/>
              </w:numPr>
              <w:tabs>
                <w:tab w:val="left" w:pos="720"/>
              </w:tabs>
              <w:suppressAutoHyphens w:val="0"/>
              <w:ind w:left="284" w:hanging="284"/>
              <w:rPr>
                <w:rFonts w:cstheme="minorHAnsi"/>
                <w:szCs w:val="20"/>
              </w:rPr>
            </w:pPr>
            <w:r w:rsidRPr="00BC7411">
              <w:rPr>
                <w:rFonts w:cstheme="minorHAnsi"/>
                <w:szCs w:val="20"/>
              </w:rPr>
              <w:t>Noted</w:t>
            </w:r>
            <w:r w:rsidR="003822C7" w:rsidRPr="00BC7411">
              <w:rPr>
                <w:rFonts w:cstheme="minorHAnsi"/>
                <w:szCs w:val="20"/>
              </w:rPr>
              <w:t>.</w:t>
            </w:r>
          </w:p>
          <w:p w14:paraId="54739449" w14:textId="77777777" w:rsidR="003822C7" w:rsidRPr="006871B1" w:rsidRDefault="00BC7411" w:rsidP="00E248BF">
            <w:pPr>
              <w:pStyle w:val="ListParagraph"/>
              <w:keepLines/>
              <w:numPr>
                <w:ilvl w:val="0"/>
                <w:numId w:val="65"/>
              </w:numPr>
              <w:tabs>
                <w:tab w:val="left" w:pos="720"/>
              </w:tabs>
              <w:suppressAutoHyphens w:val="0"/>
              <w:ind w:left="284" w:hanging="284"/>
              <w:rPr>
                <w:rFonts w:cstheme="minorHAnsi"/>
                <w:szCs w:val="20"/>
              </w:rPr>
            </w:pPr>
            <w:r w:rsidRPr="00BC7411">
              <w:rPr>
                <w:rFonts w:cstheme="minorHAnsi"/>
                <w:szCs w:val="20"/>
              </w:rPr>
              <w:t xml:space="preserve">Disagree. </w:t>
            </w:r>
            <w:r>
              <w:rPr>
                <w:rFonts w:cstheme="minorHAnsi"/>
                <w:szCs w:val="20"/>
              </w:rPr>
              <w:t>The benefits of these technologies on trucks with four or more axles are likely to be small in relative terms, and would not justify the implementation of a unique Australian requirement.</w:t>
            </w:r>
          </w:p>
          <w:p w14:paraId="710CA9B4" w14:textId="77777777" w:rsidR="003822C7" w:rsidRPr="006871B1" w:rsidRDefault="0047103E" w:rsidP="00E248BF">
            <w:pPr>
              <w:pStyle w:val="ListParagraph"/>
              <w:keepLines/>
              <w:numPr>
                <w:ilvl w:val="0"/>
                <w:numId w:val="65"/>
              </w:numPr>
              <w:tabs>
                <w:tab w:val="left" w:pos="720"/>
              </w:tabs>
              <w:suppressAutoHyphens w:val="0"/>
              <w:ind w:left="284" w:hanging="284"/>
              <w:rPr>
                <w:rFonts w:cstheme="minorHAnsi"/>
                <w:szCs w:val="20"/>
              </w:rPr>
            </w:pPr>
            <w:r w:rsidRPr="00A3360B">
              <w:rPr>
                <w:rFonts w:cstheme="minorHAnsi"/>
                <w:szCs w:val="20"/>
              </w:rPr>
              <w:t xml:space="preserve">Agree </w:t>
            </w:r>
            <w:r w:rsidR="00BC7411">
              <w:rPr>
                <w:rFonts w:cstheme="minorHAnsi"/>
                <w:szCs w:val="20"/>
              </w:rPr>
              <w:t xml:space="preserve">that </w:t>
            </w:r>
            <w:r w:rsidR="00A3360B" w:rsidRPr="00A3360B">
              <w:rPr>
                <w:rFonts w:cstheme="minorHAnsi"/>
                <w:szCs w:val="20"/>
              </w:rPr>
              <w:t xml:space="preserve">differences in how these vehicles are used have been considered by the UN WP.29 and the </w:t>
            </w:r>
            <w:r w:rsidR="009611B7">
              <w:rPr>
                <w:rFonts w:cstheme="minorHAnsi"/>
                <w:szCs w:val="20"/>
              </w:rPr>
              <w:t>European Commission</w:t>
            </w:r>
            <w:r w:rsidR="00A3360B" w:rsidRPr="00A3360B">
              <w:rPr>
                <w:rFonts w:cstheme="minorHAnsi"/>
                <w:szCs w:val="20"/>
              </w:rPr>
              <w:t xml:space="preserve"> in providing (or recommending) exemptions. </w:t>
            </w:r>
            <w:r w:rsidR="00BC7411" w:rsidRPr="00A3360B">
              <w:rPr>
                <w:rFonts w:cstheme="minorHAnsi"/>
                <w:szCs w:val="20"/>
              </w:rPr>
              <w:t xml:space="preserve">The benefits of </w:t>
            </w:r>
            <w:r w:rsidR="00BC7411">
              <w:rPr>
                <w:rFonts w:cstheme="minorHAnsi"/>
                <w:szCs w:val="20"/>
              </w:rPr>
              <w:t xml:space="preserve">ESC, AEB and LDWS on heavy vehicles are all most likely to accrue through reductions in crashes on roads with speed limits of 80 km/h or more. </w:t>
            </w:r>
            <w:r w:rsidR="00A3360B" w:rsidRPr="00A3360B">
              <w:rPr>
                <w:rFonts w:cstheme="minorHAnsi"/>
                <w:szCs w:val="20"/>
              </w:rPr>
              <w:t xml:space="preserve">A further factor to consider is the lower production volumes of these vehicles, which means </w:t>
            </w:r>
            <w:r w:rsidR="00BC7411">
              <w:rPr>
                <w:rFonts w:cstheme="minorHAnsi"/>
                <w:szCs w:val="20"/>
              </w:rPr>
              <w:t xml:space="preserve">development and test </w:t>
            </w:r>
            <w:r w:rsidR="00A3360B" w:rsidRPr="00A3360B">
              <w:rPr>
                <w:rFonts w:cstheme="minorHAnsi"/>
                <w:szCs w:val="20"/>
              </w:rPr>
              <w:t>costs are then amortised over fewer sales.</w:t>
            </w:r>
          </w:p>
          <w:p w14:paraId="0DD761E5" w14:textId="77777777" w:rsidR="003822C7" w:rsidRPr="00502F43" w:rsidRDefault="00C02978" w:rsidP="00E248BF">
            <w:pPr>
              <w:pStyle w:val="ListParagraph"/>
              <w:keepLines/>
              <w:numPr>
                <w:ilvl w:val="0"/>
                <w:numId w:val="65"/>
              </w:numPr>
              <w:tabs>
                <w:tab w:val="left" w:pos="720"/>
              </w:tabs>
              <w:suppressAutoHyphens w:val="0"/>
              <w:ind w:left="284" w:hanging="284"/>
              <w:rPr>
                <w:rFonts w:cstheme="minorHAnsi"/>
                <w:szCs w:val="20"/>
              </w:rPr>
            </w:pPr>
            <w:r>
              <w:rPr>
                <w:rFonts w:cstheme="minorHAnsi"/>
                <w:szCs w:val="20"/>
              </w:rPr>
              <w:t xml:space="preserve">Agree that </w:t>
            </w:r>
            <w:r w:rsidR="00D76CCB">
              <w:rPr>
                <w:rFonts w:cstheme="minorHAnsi"/>
                <w:szCs w:val="20"/>
              </w:rPr>
              <w:t>the UN World Forum, the EU and other parties should review the ongoing need for exemptions for ESC, AEB and LDWS for trucks with four or more axles</w:t>
            </w:r>
            <w:r w:rsidR="004871C1" w:rsidRPr="004871C1">
              <w:rPr>
                <w:rFonts w:cstheme="minorHAnsi"/>
                <w:szCs w:val="20"/>
              </w:rPr>
              <w:t>.</w:t>
            </w:r>
            <w:r w:rsidR="00D76CCB">
              <w:rPr>
                <w:rFonts w:cstheme="minorHAnsi"/>
                <w:szCs w:val="20"/>
              </w:rPr>
              <w:t xml:space="preserve"> </w:t>
            </w:r>
          </w:p>
        </w:tc>
      </w:tr>
      <w:tr w:rsidR="003822C7" w:rsidRPr="007B6E69" w14:paraId="19AC37D5" w14:textId="77777777" w:rsidTr="003822C7">
        <w:trPr>
          <w:cantSplit/>
        </w:trPr>
        <w:tc>
          <w:tcPr>
            <w:tcW w:w="1696" w:type="dxa"/>
          </w:tcPr>
          <w:p w14:paraId="34491D47" w14:textId="77777777" w:rsidR="003822C7" w:rsidRPr="007B6E69" w:rsidRDefault="00792DD6" w:rsidP="007901FB">
            <w:pPr>
              <w:spacing w:before="120" w:after="120"/>
              <w:rPr>
                <w:rFonts w:cstheme="minorHAnsi"/>
              </w:rPr>
            </w:pPr>
            <w:r>
              <w:rPr>
                <w:rFonts w:cstheme="minorHAnsi"/>
              </w:rPr>
              <w:t>D</w:t>
            </w:r>
            <w:r w:rsidR="003822C7" w:rsidRPr="007B6E69">
              <w:rPr>
                <w:rFonts w:cstheme="minorHAnsi"/>
              </w:rPr>
              <w:t>epartment of Transport and Main Roads (TMR) QLD</w:t>
            </w:r>
          </w:p>
        </w:tc>
        <w:tc>
          <w:tcPr>
            <w:tcW w:w="6379" w:type="dxa"/>
          </w:tcPr>
          <w:p w14:paraId="73F50761" w14:textId="77777777" w:rsidR="003822C7" w:rsidRDefault="003822C7" w:rsidP="00E248BF">
            <w:pPr>
              <w:pStyle w:val="ListParagraph"/>
              <w:numPr>
                <w:ilvl w:val="0"/>
                <w:numId w:val="63"/>
              </w:numPr>
              <w:tabs>
                <w:tab w:val="left" w:pos="292"/>
              </w:tabs>
              <w:suppressAutoHyphens w:val="0"/>
              <w:ind w:left="284" w:hanging="284"/>
              <w:rPr>
                <w:rFonts w:cstheme="minorHAnsi"/>
              </w:rPr>
            </w:pPr>
            <w:r>
              <w:rPr>
                <w:rFonts w:cstheme="minorHAnsi"/>
              </w:rPr>
              <w:t xml:space="preserve">Supports </w:t>
            </w:r>
            <w:r w:rsidRPr="00E9334A">
              <w:rPr>
                <w:rFonts w:cstheme="minorHAnsi"/>
              </w:rPr>
              <w:t>increasing the maximum width to 2.55</w:t>
            </w:r>
            <w:r>
              <w:rPr>
                <w:rFonts w:cstheme="minorHAnsi"/>
              </w:rPr>
              <w:t> </w:t>
            </w:r>
            <w:r w:rsidRPr="00E9334A">
              <w:rPr>
                <w:rFonts w:cstheme="minorHAnsi"/>
              </w:rPr>
              <w:t>m for goods vehicles over 4.5 tonnes only</w:t>
            </w:r>
            <w:r>
              <w:rPr>
                <w:rFonts w:cstheme="minorHAnsi"/>
              </w:rPr>
              <w:t>, as a preference to 2.55 m for both goods vehicles and trailers</w:t>
            </w:r>
            <w:r w:rsidRPr="00E9334A">
              <w:rPr>
                <w:rFonts w:cstheme="minorHAnsi"/>
              </w:rPr>
              <w:t>.</w:t>
            </w:r>
          </w:p>
          <w:p w14:paraId="1A29053C"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Considers the </w:t>
            </w:r>
            <w:r w:rsidRPr="002B6AC7">
              <w:rPr>
                <w:rFonts w:cstheme="minorHAnsi"/>
              </w:rPr>
              <w:t xml:space="preserve">safety enhancements </w:t>
            </w:r>
            <w:r>
              <w:rPr>
                <w:rFonts w:cstheme="minorHAnsi"/>
              </w:rPr>
              <w:t>proposed for</w:t>
            </w:r>
            <w:r w:rsidRPr="002B6AC7">
              <w:rPr>
                <w:rFonts w:cstheme="minorHAnsi"/>
              </w:rPr>
              <w:t xml:space="preserve"> heavy trailers are not substantial enough to warrant reform of trailer maximum width</w:t>
            </w:r>
            <w:r>
              <w:rPr>
                <w:rFonts w:cstheme="minorHAnsi"/>
              </w:rPr>
              <w:t>.</w:t>
            </w:r>
          </w:p>
          <w:p w14:paraId="32BA7EFA"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Does not support increasing the goods vehicle or trailer width limit to </w:t>
            </w:r>
            <w:r w:rsidR="00B9347B">
              <w:rPr>
                <w:rFonts w:cstheme="minorHAnsi"/>
              </w:rPr>
              <w:t>2.60</w:t>
            </w:r>
            <w:r>
              <w:rPr>
                <w:rFonts w:cstheme="minorHAnsi"/>
              </w:rPr>
              <w:t> m at this stage.</w:t>
            </w:r>
          </w:p>
          <w:p w14:paraId="37A60ECB" w14:textId="77777777" w:rsidR="003822C7" w:rsidRPr="00BF4F73"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Notes </w:t>
            </w:r>
            <w:r w:rsidRPr="00A364A1">
              <w:rPr>
                <w:rFonts w:cstheme="minorHAnsi"/>
              </w:rPr>
              <w:t>wider vehicles may not have “as of right” access to all roads in Queensland</w:t>
            </w:r>
            <w:r>
              <w:rPr>
                <w:rFonts w:cstheme="minorHAnsi"/>
              </w:rPr>
              <w:t xml:space="preserve"> – </w:t>
            </w:r>
            <w:r w:rsidRPr="005B115B">
              <w:rPr>
                <w:rFonts w:cstheme="minorHAnsi"/>
              </w:rPr>
              <w:t xml:space="preserve">road managers in Queensland may have mechanisms in place to be able to restrict access to wider vehicles where they may be considered </w:t>
            </w:r>
            <w:r>
              <w:rPr>
                <w:rFonts w:cstheme="minorHAnsi"/>
              </w:rPr>
              <w:t xml:space="preserve">a </w:t>
            </w:r>
            <w:r w:rsidRPr="005B115B">
              <w:rPr>
                <w:rFonts w:cstheme="minorHAnsi"/>
              </w:rPr>
              <w:t xml:space="preserve">risk to </w:t>
            </w:r>
            <w:r>
              <w:rPr>
                <w:rFonts w:cstheme="minorHAnsi"/>
              </w:rPr>
              <w:t xml:space="preserve">the </w:t>
            </w:r>
            <w:r w:rsidRPr="005B115B">
              <w:rPr>
                <w:rFonts w:cstheme="minorHAnsi"/>
              </w:rPr>
              <w:t>public, other vehicles and road infrastructure</w:t>
            </w:r>
            <w:r>
              <w:rPr>
                <w:rFonts w:cstheme="minorHAnsi"/>
              </w:rPr>
              <w:t xml:space="preserve"> – </w:t>
            </w:r>
            <w:r w:rsidRPr="00BF4F73">
              <w:rPr>
                <w:rFonts w:cstheme="minorHAnsi"/>
              </w:rPr>
              <w:t>expect</w:t>
            </w:r>
            <w:r>
              <w:rPr>
                <w:rFonts w:cstheme="minorHAnsi"/>
              </w:rPr>
              <w:t>s</w:t>
            </w:r>
            <w:r w:rsidRPr="00BF4F73">
              <w:rPr>
                <w:rFonts w:cstheme="minorHAnsi"/>
              </w:rPr>
              <w:t xml:space="preserve"> the same to be the case in other jurisdictions.</w:t>
            </w:r>
          </w:p>
          <w:p w14:paraId="789250A4"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Welcomes and supports </w:t>
            </w:r>
            <w:r w:rsidRPr="00AD679F">
              <w:rPr>
                <w:rFonts w:cstheme="minorHAnsi"/>
                <w:szCs w:val="20"/>
              </w:rPr>
              <w:t>the exclusions proposed for enhanced devices for indirect vision and monitoring devices to detect other road users from vehicle width and length measurements.</w:t>
            </w:r>
          </w:p>
          <w:p w14:paraId="202CAE0C"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D</w:t>
            </w:r>
            <w:r w:rsidRPr="00E9334A">
              <w:rPr>
                <w:rFonts w:cstheme="minorHAnsi"/>
              </w:rPr>
              <w:t>oes not support exclusion of permanently fixed webbing-assembly-type devices (such as curtain-side devices) from the measurement of the vehicle width</w:t>
            </w:r>
            <w:r>
              <w:rPr>
                <w:rFonts w:cstheme="minorHAnsi"/>
              </w:rPr>
              <w:t xml:space="preserve">, as it </w:t>
            </w:r>
            <w:r w:rsidRPr="00E9334A">
              <w:rPr>
                <w:rFonts w:cstheme="minorHAnsi"/>
              </w:rPr>
              <w:t>is possible for them to be designed to fit in the specified width limit.</w:t>
            </w:r>
          </w:p>
          <w:p w14:paraId="6D1DCF9C" w14:textId="77777777"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Would prefer </w:t>
            </w:r>
            <w:r w:rsidRPr="004270D7">
              <w:rPr>
                <w:rFonts w:cstheme="minorHAnsi"/>
              </w:rPr>
              <w:t xml:space="preserve">safety features like </w:t>
            </w:r>
            <w:r>
              <w:rPr>
                <w:rFonts w:cstheme="minorHAnsi"/>
              </w:rPr>
              <w:t xml:space="preserve">enhanced </w:t>
            </w:r>
            <w:r w:rsidRPr="004270D7">
              <w:rPr>
                <w:rFonts w:cstheme="minorHAnsi"/>
              </w:rPr>
              <w:t>devices for indirect vision, AEB, ESC, LDWS, and side underrun protection</w:t>
            </w:r>
            <w:r>
              <w:rPr>
                <w:rFonts w:cstheme="minorHAnsi"/>
              </w:rPr>
              <w:t xml:space="preserve"> to be mandated regardless of overall vehicle width – otherwise </w:t>
            </w:r>
            <w:r w:rsidRPr="004270D7">
              <w:rPr>
                <w:rFonts w:cstheme="minorHAnsi"/>
              </w:rPr>
              <w:t xml:space="preserve">some manufacturers may continue to supply vehicles without the enhanced safety features by remaining within the </w:t>
            </w:r>
            <w:r w:rsidR="00B9347B">
              <w:rPr>
                <w:rFonts w:cstheme="minorHAnsi"/>
              </w:rPr>
              <w:t>2.50</w:t>
            </w:r>
            <w:r>
              <w:rPr>
                <w:rFonts w:cstheme="minorHAnsi"/>
              </w:rPr>
              <w:t> m</w:t>
            </w:r>
            <w:r w:rsidRPr="004270D7">
              <w:rPr>
                <w:rFonts w:cstheme="minorHAnsi"/>
              </w:rPr>
              <w:t xml:space="preserve"> width</w:t>
            </w:r>
            <w:r>
              <w:rPr>
                <w:rFonts w:cstheme="minorHAnsi"/>
              </w:rPr>
              <w:t>.</w:t>
            </w:r>
          </w:p>
          <w:p w14:paraId="2BB277ED" w14:textId="77777777" w:rsidR="003822C7" w:rsidRPr="004270D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Requests </w:t>
            </w:r>
            <w:r w:rsidRPr="00AF3A98">
              <w:rPr>
                <w:rFonts w:cstheme="minorHAnsi"/>
              </w:rPr>
              <w:t xml:space="preserve">mandating of the UN ECE R 158 “Devices for means of rear visibility or detection” and UN ECE R 159 “Moving Off Information System (MOIS)” </w:t>
            </w:r>
            <w:r>
              <w:rPr>
                <w:rFonts w:cstheme="minorHAnsi"/>
              </w:rPr>
              <w:t xml:space="preserve">to </w:t>
            </w:r>
            <w:r w:rsidRPr="00AF3A98">
              <w:rPr>
                <w:rFonts w:cstheme="minorHAnsi"/>
              </w:rPr>
              <w:t>be considered</w:t>
            </w:r>
            <w:r>
              <w:rPr>
                <w:rFonts w:cstheme="minorHAnsi"/>
              </w:rPr>
              <w:t xml:space="preserve"> as part of the proposed regulatory changes</w:t>
            </w:r>
            <w:r w:rsidRPr="00AF3A98">
              <w:rPr>
                <w:rFonts w:cstheme="minorHAnsi"/>
              </w:rPr>
              <w:t>, keeping in mind the implementation timeframe in EU countries.</w:t>
            </w:r>
          </w:p>
        </w:tc>
        <w:tc>
          <w:tcPr>
            <w:tcW w:w="6521" w:type="dxa"/>
            <w:gridSpan w:val="2"/>
          </w:tcPr>
          <w:p w14:paraId="78AF9A6F" w14:textId="77777777" w:rsidR="003822C7" w:rsidRDefault="003822C7" w:rsidP="00E248BF">
            <w:pPr>
              <w:pStyle w:val="ListParagraph"/>
              <w:numPr>
                <w:ilvl w:val="0"/>
                <w:numId w:val="64"/>
              </w:numPr>
              <w:tabs>
                <w:tab w:val="left" w:pos="318"/>
              </w:tabs>
              <w:suppressAutoHyphens w:val="0"/>
              <w:ind w:left="284" w:hanging="284"/>
              <w:rPr>
                <w:rFonts w:cstheme="minorHAnsi"/>
              </w:rPr>
            </w:pPr>
            <w:r>
              <w:rPr>
                <w:rFonts w:cstheme="minorHAnsi"/>
              </w:rPr>
              <w:t>Noted.</w:t>
            </w:r>
          </w:p>
          <w:p w14:paraId="03C47E47" w14:textId="77777777" w:rsidR="003822C7" w:rsidRPr="0044497C" w:rsidRDefault="003822C7" w:rsidP="00E248BF">
            <w:pPr>
              <w:pStyle w:val="ListParagraph"/>
              <w:keepLines/>
              <w:numPr>
                <w:ilvl w:val="0"/>
                <w:numId w:val="64"/>
              </w:numPr>
              <w:tabs>
                <w:tab w:val="left" w:pos="318"/>
              </w:tabs>
              <w:suppressAutoHyphens w:val="0"/>
              <w:ind w:left="284" w:hanging="284"/>
              <w:rPr>
                <w:rFonts w:cstheme="minorHAnsi"/>
              </w:rPr>
            </w:pPr>
            <w:r w:rsidRPr="0044497C">
              <w:rPr>
                <w:rFonts w:cstheme="minorHAnsi"/>
              </w:rPr>
              <w:t xml:space="preserve">Disagree. There are still important productivity benefits, </w:t>
            </w:r>
            <w:r w:rsidR="003E6AC5">
              <w:rPr>
                <w:rFonts w:cstheme="minorHAnsi"/>
              </w:rPr>
              <w:t xml:space="preserve">including </w:t>
            </w:r>
            <w:r w:rsidRPr="0044497C">
              <w:rPr>
                <w:rFonts w:cstheme="minorHAnsi"/>
              </w:rPr>
              <w:t xml:space="preserve">as increasing the maximum trailer width to either 2.55 m or </w:t>
            </w:r>
            <w:r w:rsidR="00B9347B">
              <w:rPr>
                <w:rFonts w:cstheme="minorHAnsi"/>
              </w:rPr>
              <w:t>2.60</w:t>
            </w:r>
            <w:r w:rsidRPr="0044497C">
              <w:rPr>
                <w:rFonts w:cstheme="minorHAnsi"/>
              </w:rPr>
              <w:t> m will provide more space to fit 1200 mm wide international pallet sizes, and more thickness for insulation for refrigerated vehicles.</w:t>
            </w:r>
          </w:p>
          <w:p w14:paraId="242D1747" w14:textId="77777777" w:rsidR="003822C7"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p>
          <w:p w14:paraId="70E2BC15" w14:textId="77777777" w:rsidR="003822C7" w:rsidRPr="00460106"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r w:rsidRPr="00460106">
              <w:rPr>
                <w:rFonts w:cstheme="minorHAnsi"/>
              </w:rPr>
              <w:t>. This would be no different in principal to how mass and height limits are currently set on specified roads. This is appropriate, provided there is a sound justification for each such restriction.</w:t>
            </w:r>
          </w:p>
          <w:p w14:paraId="455661CC" w14:textId="77777777" w:rsidR="003822C7"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p>
          <w:p w14:paraId="1DF2A5CE" w14:textId="77777777" w:rsidR="003822C7" w:rsidRPr="00376756" w:rsidRDefault="003822C7" w:rsidP="00E248BF">
            <w:pPr>
              <w:pStyle w:val="ListParagraph"/>
              <w:numPr>
                <w:ilvl w:val="0"/>
                <w:numId w:val="64"/>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Pr="00762CC1">
              <w:rPr>
                <w:rFonts w:cstheme="minorHAnsi"/>
              </w:rPr>
              <w:t>2.55</w:t>
            </w:r>
            <w:r w:rsidRPr="00376756">
              <w:rPr>
                <w:rFonts w:cstheme="minorHAnsi"/>
              </w:rPr>
              <w:t xml:space="preserve"> m.</w:t>
            </w:r>
          </w:p>
          <w:p w14:paraId="00CF8963" w14:textId="77777777" w:rsidR="003822C7" w:rsidRPr="00740E6A" w:rsidRDefault="003822C7" w:rsidP="00E248BF">
            <w:pPr>
              <w:pStyle w:val="ListParagraph"/>
              <w:keepLines/>
              <w:numPr>
                <w:ilvl w:val="0"/>
                <w:numId w:val="64"/>
              </w:numPr>
              <w:tabs>
                <w:tab w:val="left" w:pos="318"/>
              </w:tabs>
              <w:suppressAutoHyphens w:val="0"/>
              <w:ind w:left="284" w:hanging="284"/>
              <w:rPr>
                <w:rFonts w:cstheme="minorHAnsi"/>
              </w:rPr>
            </w:pPr>
            <w:r w:rsidRPr="0044497C">
              <w:rPr>
                <w:rFonts w:cstheme="minorHAnsi"/>
              </w:rPr>
              <w:t xml:space="preserve">AEB and ESC </w:t>
            </w:r>
            <w:r w:rsidR="00496A94" w:rsidRPr="0044497C">
              <w:rPr>
                <w:rFonts w:cstheme="minorHAnsi"/>
              </w:rPr>
              <w:t>have since been mandated regardless of width</w:t>
            </w:r>
            <w:r w:rsidR="00496A94">
              <w:rPr>
                <w:rFonts w:cstheme="minorHAnsi"/>
              </w:rPr>
              <w:t xml:space="preserve"> through ADRs 97/00 and 35/07</w:t>
            </w:r>
            <w:r w:rsidR="00496A94" w:rsidRPr="0044497C">
              <w:rPr>
                <w:rFonts w:cstheme="minorHAnsi"/>
              </w:rPr>
              <w:t>.</w:t>
            </w:r>
            <w:r w:rsidR="00496A94">
              <w:rPr>
                <w:rFonts w:cstheme="minorHAnsi"/>
              </w:rPr>
              <w:t xml:space="preserve"> Further, a</w:t>
            </w:r>
            <w:r w:rsidR="00496A94" w:rsidRPr="0044497C">
              <w:rPr>
                <w:rFonts w:cstheme="minorHAnsi"/>
              </w:rPr>
              <w:t xml:space="preserve"> separate </w:t>
            </w:r>
            <w:r w:rsidR="00C45600">
              <w:rPr>
                <w:rFonts w:cstheme="minorHAnsi"/>
              </w:rPr>
              <w:t>IA</w:t>
            </w:r>
            <w:r w:rsidR="00496A94" w:rsidRPr="0044497C">
              <w:rPr>
                <w:rFonts w:cstheme="minorHAnsi"/>
              </w:rPr>
              <w:t xml:space="preserve"> has been prepared to consider the case to mandate LDWS regardless of width. </w:t>
            </w:r>
            <w:r w:rsidR="00C475C0" w:rsidRPr="0044497C">
              <w:rPr>
                <w:rFonts w:cstheme="minorHAnsi"/>
              </w:rPr>
              <w:t xml:space="preserve">These are all still included </w:t>
            </w:r>
            <w:r w:rsidR="00C475C0">
              <w:rPr>
                <w:rFonts w:cstheme="minorHAnsi"/>
              </w:rPr>
              <w:t xml:space="preserve">under each of the options in this </w:t>
            </w:r>
            <w:r w:rsidR="00C45600">
              <w:rPr>
                <w:rFonts w:cstheme="minorHAnsi"/>
              </w:rPr>
              <w:t>IA</w:t>
            </w:r>
            <w:r w:rsidR="00C475C0" w:rsidRPr="0044497C">
              <w:rPr>
                <w:rFonts w:cstheme="minorHAnsi"/>
              </w:rPr>
              <w:t xml:space="preserve"> as a means to </w:t>
            </w:r>
            <w:r w:rsidR="00C475C0">
              <w:rPr>
                <w:rFonts w:cstheme="minorHAnsi"/>
              </w:rPr>
              <w:t>ensure vehicles already in-service will also be required to be fitted with these safety systems, before they can be modified to be wider than 2.50 m</w:t>
            </w:r>
            <w:r w:rsidR="00C475C0" w:rsidRPr="0044497C">
              <w:rPr>
                <w:rFonts w:cstheme="minorHAnsi"/>
              </w:rPr>
              <w:t xml:space="preserve">. </w:t>
            </w:r>
            <w:r w:rsidR="00496A94" w:rsidRPr="0044497C">
              <w:rPr>
                <w:rFonts w:cstheme="minorHAnsi"/>
              </w:rPr>
              <w:t xml:space="preserve">A broader mandate for </w:t>
            </w:r>
            <w:r w:rsidR="00496A94">
              <w:rPr>
                <w:rFonts w:cstheme="minorHAnsi"/>
              </w:rPr>
              <w:t>the other safety systems and features</w:t>
            </w:r>
            <w:r w:rsidR="00496A94" w:rsidRPr="0044497C">
              <w:rPr>
                <w:rFonts w:cstheme="minorHAnsi"/>
              </w:rPr>
              <w:t xml:space="preserve"> could be considered in future, but may not be necessary if there is high take up of safer freight vehicles</w:t>
            </w:r>
            <w:r w:rsidR="00496A94">
              <w:rPr>
                <w:rFonts w:cstheme="minorHAnsi"/>
              </w:rPr>
              <w:t>,</w:t>
            </w:r>
            <w:r w:rsidR="00496A94" w:rsidRPr="0044497C">
              <w:rPr>
                <w:rFonts w:cstheme="minorHAnsi"/>
              </w:rPr>
              <w:t xml:space="preserve"> as a result of this proposal</w:t>
            </w:r>
            <w:r w:rsidRPr="0044497C">
              <w:rPr>
                <w:rFonts w:cstheme="minorHAnsi"/>
              </w:rPr>
              <w:t>.</w:t>
            </w:r>
          </w:p>
          <w:p w14:paraId="34D63B43" w14:textId="77777777" w:rsidR="003822C7" w:rsidRPr="0044497C" w:rsidRDefault="00093964" w:rsidP="00E248BF">
            <w:pPr>
              <w:pStyle w:val="ListParagraph"/>
              <w:numPr>
                <w:ilvl w:val="0"/>
                <w:numId w:val="64"/>
              </w:numPr>
              <w:tabs>
                <w:tab w:val="left" w:pos="318"/>
              </w:tabs>
              <w:suppressAutoHyphens w:val="0"/>
              <w:ind w:left="284" w:hanging="284"/>
              <w:rPr>
                <w:rFonts w:cstheme="minorHAnsi"/>
              </w:rPr>
            </w:pPr>
            <w:r w:rsidRPr="00093964">
              <w:rPr>
                <w:rFonts w:cstheme="minorHAnsi"/>
              </w:rPr>
              <w:t>Disagree</w:t>
            </w:r>
            <w:r w:rsidRPr="001E41B0">
              <w:rPr>
                <w:rFonts w:cstheme="minorHAnsi"/>
              </w:rPr>
              <w:t xml:space="preserve">. </w:t>
            </w:r>
            <w:r w:rsidR="001E41B0" w:rsidRPr="001E41B0">
              <w:rPr>
                <w:rFonts w:cstheme="minorHAnsi"/>
              </w:rPr>
              <w:t xml:space="preserve">The </w:t>
            </w:r>
            <w:r w:rsidR="00880973">
              <w:rPr>
                <w:rFonts w:cstheme="minorHAnsi"/>
              </w:rPr>
              <w:t xml:space="preserve">road </w:t>
            </w:r>
            <w:r w:rsidR="001E41B0" w:rsidRPr="001E41B0">
              <w:rPr>
                <w:rFonts w:cstheme="minorHAnsi"/>
              </w:rPr>
              <w:t xml:space="preserve">safety problems addressed </w:t>
            </w:r>
            <w:r w:rsidR="001E41B0">
              <w:rPr>
                <w:rFonts w:cstheme="minorHAnsi"/>
              </w:rPr>
              <w:t xml:space="preserve">by UN </w:t>
            </w:r>
            <w:r w:rsidR="009611B7">
              <w:rPr>
                <w:rFonts w:cstheme="minorHAnsi"/>
              </w:rPr>
              <w:t>R</w:t>
            </w:r>
            <w:r w:rsidR="001E41B0">
              <w:rPr>
                <w:rFonts w:cstheme="minorHAnsi"/>
              </w:rPr>
              <w:t xml:space="preserve">158 and UN R159 are </w:t>
            </w:r>
            <w:r w:rsidR="0005600D">
              <w:rPr>
                <w:rFonts w:cstheme="minorHAnsi"/>
              </w:rPr>
              <w:t xml:space="preserve">much </w:t>
            </w:r>
            <w:r w:rsidR="004D31E2">
              <w:rPr>
                <w:rFonts w:cstheme="minorHAnsi"/>
              </w:rPr>
              <w:t xml:space="preserve">less prevalent, and/or </w:t>
            </w:r>
            <w:r w:rsidR="001E41B0">
              <w:rPr>
                <w:rFonts w:cstheme="minorHAnsi"/>
              </w:rPr>
              <w:t>much less likely to be affected by a 50-100 mm increase in vehicle width</w:t>
            </w:r>
            <w:r w:rsidR="004D31E2">
              <w:rPr>
                <w:rFonts w:cstheme="minorHAnsi"/>
              </w:rPr>
              <w:t>,</w:t>
            </w:r>
            <w:r w:rsidR="001E41B0">
              <w:rPr>
                <w:rFonts w:cstheme="minorHAnsi"/>
              </w:rPr>
              <w:t xml:space="preserve"> than those included as part of the proposed </w:t>
            </w:r>
            <w:r w:rsidR="00880973">
              <w:rPr>
                <w:rFonts w:cstheme="minorHAnsi"/>
              </w:rPr>
              <w:t xml:space="preserve">regulatory policy </w:t>
            </w:r>
            <w:r w:rsidR="001E41B0">
              <w:rPr>
                <w:rFonts w:cstheme="minorHAnsi"/>
              </w:rPr>
              <w:t>options</w:t>
            </w:r>
            <w:r w:rsidR="00880973">
              <w:rPr>
                <w:rFonts w:cstheme="minorHAnsi"/>
              </w:rPr>
              <w:t xml:space="preserve"> in this </w:t>
            </w:r>
            <w:r w:rsidR="00C45600">
              <w:rPr>
                <w:rFonts w:cstheme="minorHAnsi"/>
              </w:rPr>
              <w:t>IA</w:t>
            </w:r>
            <w:r w:rsidR="001E41B0">
              <w:rPr>
                <w:rFonts w:cstheme="minorHAnsi"/>
              </w:rPr>
              <w:t xml:space="preserve">. </w:t>
            </w:r>
            <w:r w:rsidR="00880973">
              <w:rPr>
                <w:rFonts w:cstheme="minorHAnsi"/>
              </w:rPr>
              <w:t>Further, t</w:t>
            </w:r>
            <w:r w:rsidR="001E41B0">
              <w:rPr>
                <w:rFonts w:cstheme="minorHAnsi"/>
              </w:rPr>
              <w:t xml:space="preserve">he </w:t>
            </w:r>
            <w:r w:rsidR="00B9347B">
              <w:rPr>
                <w:rFonts w:cstheme="minorHAnsi"/>
              </w:rPr>
              <w:t>d</w:t>
            </w:r>
            <w:r w:rsidR="001E41B0">
              <w:rPr>
                <w:rFonts w:cstheme="minorHAnsi"/>
              </w:rPr>
              <w:t xml:space="preserve">epartment has since prepared a </w:t>
            </w:r>
            <w:r w:rsidR="00880973">
              <w:rPr>
                <w:rFonts w:cstheme="minorHAnsi"/>
              </w:rPr>
              <w:t xml:space="preserve">separate </w:t>
            </w:r>
            <w:r w:rsidR="00C45600">
              <w:rPr>
                <w:rFonts w:cstheme="minorHAnsi"/>
              </w:rPr>
              <w:t>IA</w:t>
            </w:r>
            <w:r w:rsidR="001E41B0">
              <w:rPr>
                <w:rFonts w:cstheme="minorHAnsi"/>
              </w:rPr>
              <w:t xml:space="preserve"> and consulted on a proposal to mandate technical requirements from UN R158 (reversing technologies) for both light and heavy vehicles. The case for mandating the technical requirements of UN</w:t>
            </w:r>
            <w:r w:rsidR="003618B8">
              <w:rPr>
                <w:rFonts w:cstheme="minorHAnsi"/>
              </w:rPr>
              <w:t> </w:t>
            </w:r>
            <w:r w:rsidR="001E41B0">
              <w:rPr>
                <w:rFonts w:cstheme="minorHAnsi"/>
              </w:rPr>
              <w:t xml:space="preserve">R159 could also be considered separately through the </w:t>
            </w:r>
            <w:r w:rsidR="00C45600">
              <w:rPr>
                <w:rFonts w:cstheme="minorHAnsi"/>
              </w:rPr>
              <w:t>IA</w:t>
            </w:r>
            <w:r w:rsidR="001E41B0">
              <w:rPr>
                <w:rFonts w:cstheme="minorHAnsi"/>
              </w:rPr>
              <w:t xml:space="preserve"> process (subject to available resources and other ADR development priorities).</w:t>
            </w:r>
          </w:p>
        </w:tc>
      </w:tr>
      <w:tr w:rsidR="003822C7" w:rsidRPr="007B6E69" w14:paraId="7947DD0D" w14:textId="77777777" w:rsidTr="003822C7">
        <w:trPr>
          <w:cantSplit/>
        </w:trPr>
        <w:tc>
          <w:tcPr>
            <w:tcW w:w="1696" w:type="dxa"/>
          </w:tcPr>
          <w:p w14:paraId="7EE6B816" w14:textId="77777777" w:rsidR="003822C7" w:rsidRPr="007B6E69" w:rsidRDefault="003822C7" w:rsidP="007901FB">
            <w:pPr>
              <w:spacing w:before="120" w:after="120"/>
              <w:rPr>
                <w:rFonts w:cstheme="minorHAnsi"/>
              </w:rPr>
            </w:pPr>
            <w:r w:rsidRPr="007B6E69">
              <w:rPr>
                <w:rFonts w:cstheme="minorHAnsi"/>
              </w:rPr>
              <w:t>Mushroom</w:t>
            </w:r>
            <w:r w:rsidR="009879FE">
              <w:rPr>
                <w:rFonts w:cstheme="minorHAnsi"/>
              </w:rPr>
              <w:t xml:space="preserve"> grower</w:t>
            </w:r>
          </w:p>
        </w:tc>
        <w:tc>
          <w:tcPr>
            <w:tcW w:w="6379" w:type="dxa"/>
          </w:tcPr>
          <w:p w14:paraId="7431140B" w14:textId="77777777" w:rsidR="003822C7" w:rsidRDefault="003822C7" w:rsidP="007C097D">
            <w:pPr>
              <w:pStyle w:val="ListParagraph"/>
              <w:keepLines/>
              <w:numPr>
                <w:ilvl w:val="6"/>
                <w:numId w:val="42"/>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19DAEFBF" w14:textId="77777777" w:rsidR="003822C7"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Notes w</w:t>
            </w:r>
            <w:r w:rsidRPr="00CB0459">
              <w:rPr>
                <w:rFonts w:cstheme="minorHAnsi"/>
                <w:szCs w:val="20"/>
              </w:rPr>
              <w:t xml:space="preserve">ider refrigerated bodies would improve thermal efficiency as extra insulation thickness could be used while maintaining internal width for loading standard pallets </w:t>
            </w:r>
            <w:r>
              <w:rPr>
                <w:rFonts w:cstheme="minorHAnsi"/>
                <w:szCs w:val="20"/>
              </w:rPr>
              <w:t xml:space="preserve">– </w:t>
            </w:r>
            <w:r w:rsidRPr="00904B3B">
              <w:rPr>
                <w:rFonts w:cstheme="minorHAnsi"/>
                <w:szCs w:val="20"/>
              </w:rPr>
              <w:t xml:space="preserve">this would </w:t>
            </w:r>
            <w:r>
              <w:rPr>
                <w:rFonts w:cstheme="minorHAnsi"/>
                <w:szCs w:val="20"/>
              </w:rPr>
              <w:t>reduce</w:t>
            </w:r>
            <w:r w:rsidRPr="00904B3B">
              <w:rPr>
                <w:rFonts w:cstheme="minorHAnsi"/>
                <w:szCs w:val="20"/>
              </w:rPr>
              <w:t xml:space="preserve"> fuel consumption </w:t>
            </w:r>
            <w:r>
              <w:rPr>
                <w:rFonts w:cstheme="minorHAnsi"/>
                <w:szCs w:val="20"/>
              </w:rPr>
              <w:t>and</w:t>
            </w:r>
            <w:r w:rsidRPr="00904B3B">
              <w:rPr>
                <w:rFonts w:cstheme="minorHAnsi"/>
                <w:szCs w:val="20"/>
              </w:rPr>
              <w:t xml:space="preserve"> driver fatigue</w:t>
            </w:r>
            <w:r>
              <w:rPr>
                <w:rFonts w:cstheme="minorHAnsi"/>
                <w:szCs w:val="20"/>
              </w:rPr>
              <w:t>,</w:t>
            </w:r>
            <w:r w:rsidRPr="00904B3B">
              <w:rPr>
                <w:rFonts w:cstheme="minorHAnsi"/>
                <w:szCs w:val="20"/>
              </w:rPr>
              <w:t xml:space="preserve"> as refrigeration units would be able to operate at lower speeds while drivers are sleeping in transit</w:t>
            </w:r>
            <w:r>
              <w:rPr>
                <w:rFonts w:cstheme="minorHAnsi"/>
                <w:szCs w:val="20"/>
              </w:rPr>
              <w:t>.</w:t>
            </w:r>
          </w:p>
          <w:p w14:paraId="7F2C2EB3" w14:textId="77777777" w:rsidR="003822C7" w:rsidRPr="00AE4E0D"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S</w:t>
            </w:r>
            <w:r w:rsidRPr="00904B3B">
              <w:rPr>
                <w:rFonts w:cstheme="minorHAnsi"/>
                <w:szCs w:val="20"/>
              </w:rPr>
              <w:t>trongly oppose</w:t>
            </w:r>
            <w:r>
              <w:rPr>
                <w:rFonts w:cstheme="minorHAnsi"/>
                <w:szCs w:val="20"/>
              </w:rPr>
              <w:t>s</w:t>
            </w:r>
            <w:r w:rsidRPr="00904B3B">
              <w:rPr>
                <w:rFonts w:cstheme="minorHAnsi"/>
                <w:szCs w:val="20"/>
              </w:rPr>
              <w:t xml:space="preserve"> the width increase being limited to 2.55</w:t>
            </w:r>
            <w:r>
              <w:rPr>
                <w:rFonts w:cstheme="minorHAnsi"/>
                <w:szCs w:val="20"/>
              </w:rPr>
              <w:t> </w:t>
            </w:r>
            <w:r w:rsidRPr="00904B3B">
              <w:rPr>
                <w:rFonts w:cstheme="minorHAnsi"/>
                <w:szCs w:val="20"/>
              </w:rPr>
              <w:t>m with allowances of an extra 50</w:t>
            </w:r>
            <w:r>
              <w:rPr>
                <w:rFonts w:cstheme="minorHAnsi"/>
                <w:szCs w:val="20"/>
              </w:rPr>
              <w:t> </w:t>
            </w:r>
            <w:r w:rsidRPr="00904B3B">
              <w:rPr>
                <w:rFonts w:cstheme="minorHAnsi"/>
                <w:szCs w:val="20"/>
              </w:rPr>
              <w:t>mm being made for webbing assembly type devices used on curtain-side devices</w:t>
            </w:r>
            <w:r>
              <w:rPr>
                <w:rFonts w:cstheme="minorHAnsi"/>
                <w:szCs w:val="20"/>
              </w:rPr>
              <w:t>,</w:t>
            </w:r>
            <w:r w:rsidRPr="00904B3B">
              <w:rPr>
                <w:rFonts w:cstheme="minorHAnsi"/>
                <w:szCs w:val="20"/>
              </w:rPr>
              <w:t xml:space="preserve"> as a simple </w:t>
            </w:r>
            <w:r w:rsidR="00B9347B">
              <w:rPr>
                <w:rFonts w:cstheme="minorHAnsi"/>
                <w:szCs w:val="20"/>
              </w:rPr>
              <w:t>2.60</w:t>
            </w:r>
            <w:r>
              <w:rPr>
                <w:rFonts w:cstheme="minorHAnsi"/>
                <w:szCs w:val="20"/>
              </w:rPr>
              <w:t> </w:t>
            </w:r>
            <w:r w:rsidRPr="00904B3B">
              <w:rPr>
                <w:rFonts w:cstheme="minorHAnsi"/>
                <w:szCs w:val="20"/>
              </w:rPr>
              <w:t>m width</w:t>
            </w:r>
            <w:r w:rsidR="00E227B0">
              <w:rPr>
                <w:rFonts w:cstheme="minorHAnsi"/>
                <w:szCs w:val="20"/>
              </w:rPr>
              <w:t xml:space="preserve"> limit</w:t>
            </w:r>
            <w:r w:rsidRPr="00904B3B">
              <w:rPr>
                <w:rFonts w:cstheme="minorHAnsi"/>
                <w:szCs w:val="20"/>
              </w:rPr>
              <w:t xml:space="preserve"> would encourage trailers with better load restraint provisions and manual handling than early curtain side trailers</w:t>
            </w:r>
            <w:r>
              <w:rPr>
                <w:rFonts w:cstheme="minorHAnsi"/>
                <w:szCs w:val="20"/>
              </w:rPr>
              <w:t xml:space="preserve"> – </w:t>
            </w:r>
            <w:r w:rsidRPr="00AE4E0D">
              <w:rPr>
                <w:rFonts w:cstheme="minorHAnsi"/>
                <w:szCs w:val="20"/>
              </w:rPr>
              <w:t>an example of this would be with trailers that can be specified with side walls that can hinge open to allow side loading as well as bulk loading for bulk items.</w:t>
            </w:r>
          </w:p>
          <w:p w14:paraId="5D0891B2" w14:textId="77777777" w:rsidR="003822C7" w:rsidRPr="00904B3B"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 xml:space="preserve">Considers a </w:t>
            </w:r>
            <w:r w:rsidR="00B9347B">
              <w:rPr>
                <w:rFonts w:cstheme="minorHAnsi"/>
                <w:szCs w:val="20"/>
              </w:rPr>
              <w:t>2.60</w:t>
            </w:r>
            <w:r>
              <w:rPr>
                <w:rFonts w:cstheme="minorHAnsi"/>
                <w:szCs w:val="20"/>
              </w:rPr>
              <w:t xml:space="preserve"> m width limit would allow trailers </w:t>
            </w:r>
            <w:r w:rsidRPr="00005E2B">
              <w:rPr>
                <w:rFonts w:cstheme="minorHAnsi"/>
                <w:szCs w:val="20"/>
              </w:rPr>
              <w:t xml:space="preserve">with side walls that can hinge open </w:t>
            </w:r>
            <w:r>
              <w:rPr>
                <w:rFonts w:cstheme="minorHAnsi"/>
                <w:szCs w:val="20"/>
              </w:rPr>
              <w:t>to be used to carry fresh substrate to straw growers on outbound trips and straw to mushroom growers on return trips, instead of in two separate trips.</w:t>
            </w:r>
          </w:p>
        </w:tc>
        <w:tc>
          <w:tcPr>
            <w:tcW w:w="6521" w:type="dxa"/>
            <w:gridSpan w:val="2"/>
          </w:tcPr>
          <w:p w14:paraId="2CCA3F7E" w14:textId="77777777" w:rsidR="003822C7" w:rsidRDefault="003822C7" w:rsidP="007C097D">
            <w:pPr>
              <w:pStyle w:val="ListParagraph"/>
              <w:keepLines/>
              <w:numPr>
                <w:ilvl w:val="0"/>
                <w:numId w:val="33"/>
              </w:numPr>
              <w:tabs>
                <w:tab w:val="left" w:pos="720"/>
              </w:tabs>
              <w:suppressAutoHyphens w:val="0"/>
              <w:ind w:left="284" w:hanging="284"/>
              <w:rPr>
                <w:rFonts w:cstheme="minorHAnsi"/>
                <w:szCs w:val="20"/>
              </w:rPr>
            </w:pPr>
            <w:r w:rsidRPr="007E70B2">
              <w:rPr>
                <w:rFonts w:cstheme="minorHAnsi"/>
                <w:szCs w:val="20"/>
              </w:rPr>
              <w:t>Noted.</w:t>
            </w:r>
          </w:p>
          <w:p w14:paraId="65F298D7" w14:textId="77777777" w:rsidR="003822C7" w:rsidRDefault="003822C7" w:rsidP="007C097D">
            <w:pPr>
              <w:pStyle w:val="ListParagraph"/>
              <w:keepLines/>
              <w:numPr>
                <w:ilvl w:val="0"/>
                <w:numId w:val="33"/>
              </w:numPr>
              <w:tabs>
                <w:tab w:val="left" w:pos="720"/>
              </w:tabs>
              <w:suppressAutoHyphens w:val="0"/>
              <w:ind w:left="284" w:hanging="284"/>
              <w:rPr>
                <w:rFonts w:cstheme="minorHAnsi"/>
                <w:szCs w:val="20"/>
              </w:rPr>
            </w:pPr>
            <w:r>
              <w:rPr>
                <w:rFonts w:cstheme="minorHAnsi"/>
                <w:szCs w:val="20"/>
              </w:rPr>
              <w:t>Agreed.</w:t>
            </w:r>
          </w:p>
          <w:p w14:paraId="26DE68AB" w14:textId="77777777" w:rsidR="003822C7" w:rsidRPr="00376756" w:rsidRDefault="003822C7" w:rsidP="007C097D">
            <w:pPr>
              <w:pStyle w:val="ListParagraph"/>
              <w:numPr>
                <w:ilvl w:val="0"/>
                <w:numId w:val="33"/>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0094780F">
              <w:rPr>
                <w:rFonts w:cstheme="minorHAnsi"/>
              </w:rPr>
              <w:t xml:space="preserve">the current </w:t>
            </w:r>
            <w:r w:rsidRPr="00677C75">
              <w:rPr>
                <w:rFonts w:cstheme="minorHAnsi"/>
              </w:rPr>
              <w:t>2.55 m</w:t>
            </w:r>
            <w:r w:rsidRPr="00376756">
              <w:rPr>
                <w:rFonts w:cstheme="minorHAnsi"/>
              </w:rPr>
              <w:t>.</w:t>
            </w:r>
          </w:p>
          <w:p w14:paraId="3D622590" w14:textId="77777777" w:rsidR="003822C7" w:rsidRPr="00CC7358" w:rsidRDefault="003822C7" w:rsidP="007C097D">
            <w:pPr>
              <w:pStyle w:val="ListParagraph"/>
              <w:keepLines/>
              <w:numPr>
                <w:ilvl w:val="0"/>
                <w:numId w:val="33"/>
              </w:numPr>
              <w:tabs>
                <w:tab w:val="left" w:pos="720"/>
              </w:tabs>
              <w:suppressAutoHyphens w:val="0"/>
              <w:ind w:left="284" w:hanging="284"/>
              <w:rPr>
                <w:rFonts w:cstheme="minorHAnsi"/>
                <w:szCs w:val="20"/>
              </w:rPr>
            </w:pPr>
            <w:r>
              <w:rPr>
                <w:rFonts w:cstheme="minorHAnsi"/>
                <w:szCs w:val="20"/>
              </w:rPr>
              <w:t>Noted.</w:t>
            </w:r>
          </w:p>
        </w:tc>
      </w:tr>
      <w:tr w:rsidR="003822C7" w:rsidRPr="007B6E69" w14:paraId="1B33E642" w14:textId="77777777" w:rsidTr="003822C7">
        <w:trPr>
          <w:cantSplit/>
        </w:trPr>
        <w:tc>
          <w:tcPr>
            <w:tcW w:w="1696" w:type="dxa"/>
          </w:tcPr>
          <w:p w14:paraId="54F83076" w14:textId="77777777" w:rsidR="003822C7" w:rsidRPr="007B6E69" w:rsidRDefault="003822C7" w:rsidP="007901FB">
            <w:pPr>
              <w:spacing w:before="120" w:after="120"/>
              <w:rPr>
                <w:rFonts w:cstheme="minorHAnsi"/>
              </w:rPr>
            </w:pPr>
            <w:r w:rsidRPr="007B6E69">
              <w:rPr>
                <w:rFonts w:cstheme="minorHAnsi"/>
              </w:rPr>
              <w:t>Electric Vehicle Council</w:t>
            </w:r>
          </w:p>
        </w:tc>
        <w:tc>
          <w:tcPr>
            <w:tcW w:w="6379" w:type="dxa"/>
          </w:tcPr>
          <w:p w14:paraId="5067F8B5" w14:textId="77777777" w:rsidR="003822C7" w:rsidRDefault="003822C7" w:rsidP="007C097D">
            <w:pPr>
              <w:pStyle w:val="ListParagraph"/>
              <w:numPr>
                <w:ilvl w:val="0"/>
                <w:numId w:val="49"/>
              </w:numPr>
              <w:ind w:left="284" w:hanging="284"/>
            </w:pPr>
            <w:r w:rsidRPr="005E1DD6">
              <w:t xml:space="preserve">Supports increasing the maximum width for goods vehicles and trailers over 4.5 tonnes to </w:t>
            </w:r>
            <w:r w:rsidR="00B9347B">
              <w:t>2.60</w:t>
            </w:r>
            <w:r>
              <w:t> </w:t>
            </w:r>
            <w:r w:rsidRPr="005E1DD6">
              <w:t>m.</w:t>
            </w:r>
          </w:p>
          <w:p w14:paraId="3FBD096D" w14:textId="77777777" w:rsidR="003822C7" w:rsidRDefault="003822C7" w:rsidP="007C097D">
            <w:pPr>
              <w:pStyle w:val="ListParagraph"/>
              <w:numPr>
                <w:ilvl w:val="0"/>
                <w:numId w:val="49"/>
              </w:numPr>
              <w:ind w:left="284" w:hanging="284"/>
            </w:pPr>
            <w:r>
              <w:t>Notes width and mass restrictions have been highlighted by Electric Vehicle Council members as limiting the ability to import electric freight models to the Australian market.</w:t>
            </w:r>
          </w:p>
          <w:p w14:paraId="521F73FD" w14:textId="77777777" w:rsidR="003822C7" w:rsidRDefault="003822C7" w:rsidP="007C097D">
            <w:pPr>
              <w:pStyle w:val="ListParagraph"/>
              <w:numPr>
                <w:ilvl w:val="0"/>
                <w:numId w:val="49"/>
              </w:numPr>
              <w:ind w:left="284" w:hanging="284"/>
            </w:pPr>
            <w:r>
              <w:t xml:space="preserve">Agrees with the </w:t>
            </w:r>
            <w:r w:rsidR="00B9347B">
              <w:t>d</w:t>
            </w:r>
            <w:r>
              <w:t>epartment’s assessment that it will be increasingly difficult to re-design trucks for the Australian market because of battery/hydrogen storage systems.</w:t>
            </w:r>
          </w:p>
          <w:p w14:paraId="1BB17F23" w14:textId="77777777" w:rsidR="003822C7" w:rsidRPr="005E1DD6" w:rsidRDefault="003822C7" w:rsidP="007C097D">
            <w:pPr>
              <w:pStyle w:val="ListParagraph"/>
              <w:numPr>
                <w:ilvl w:val="0"/>
                <w:numId w:val="49"/>
              </w:numPr>
              <w:ind w:left="284" w:hanging="284"/>
            </w:pPr>
            <w:r>
              <w:t>Believes equal consideration should be paid to the safety implications of particulate matter and noxious fumes from combustion engines and that the Government should bring forward the implementation date for the Euro VI heavy vehicle emissions standard.</w:t>
            </w:r>
          </w:p>
        </w:tc>
        <w:tc>
          <w:tcPr>
            <w:tcW w:w="6521" w:type="dxa"/>
            <w:gridSpan w:val="2"/>
          </w:tcPr>
          <w:p w14:paraId="03672D79" w14:textId="77777777" w:rsidR="003822C7" w:rsidRDefault="003822C7" w:rsidP="007C097D">
            <w:pPr>
              <w:pStyle w:val="ListParagraph"/>
              <w:keepLines/>
              <w:numPr>
                <w:ilvl w:val="0"/>
                <w:numId w:val="50"/>
              </w:numPr>
              <w:tabs>
                <w:tab w:val="left" w:pos="318"/>
              </w:tabs>
              <w:suppressAutoHyphens w:val="0"/>
              <w:ind w:left="284" w:hanging="284"/>
              <w:rPr>
                <w:rFonts w:cstheme="minorHAnsi"/>
              </w:rPr>
            </w:pPr>
            <w:r w:rsidRPr="001D2011">
              <w:rPr>
                <w:rFonts w:cstheme="minorHAnsi"/>
              </w:rPr>
              <w:t>Noted.</w:t>
            </w:r>
          </w:p>
          <w:p w14:paraId="28482093" w14:textId="77777777" w:rsidR="003822C7" w:rsidRDefault="003822C7" w:rsidP="007C097D">
            <w:pPr>
              <w:pStyle w:val="ListParagraph"/>
              <w:keepLines/>
              <w:numPr>
                <w:ilvl w:val="0"/>
                <w:numId w:val="50"/>
              </w:numPr>
              <w:tabs>
                <w:tab w:val="left" w:pos="318"/>
              </w:tabs>
              <w:suppressAutoHyphens w:val="0"/>
              <w:ind w:left="284" w:hanging="284"/>
              <w:rPr>
                <w:rFonts w:cstheme="minorHAnsi"/>
              </w:rPr>
            </w:pPr>
            <w:r>
              <w:rPr>
                <w:rFonts w:cstheme="minorHAnsi"/>
              </w:rPr>
              <w:t>Agree the current 2.5</w:t>
            </w:r>
            <w:r w:rsidR="00B9347B">
              <w:rPr>
                <w:rFonts w:cstheme="minorHAnsi"/>
              </w:rPr>
              <w:t>0 </w:t>
            </w:r>
            <w:r>
              <w:rPr>
                <w:rFonts w:cstheme="minorHAnsi"/>
              </w:rPr>
              <w:t xml:space="preserve">m width limit is the most substantial impediment in the ADRs to the supply of electric freight vehicles. Agree mass restrictions are also an impediment, however these are set under the HVNL and WA and NT law (with exception of retractable axle mass transition limits in the ADRs). Jurisdictions, </w:t>
            </w:r>
            <w:r w:rsidR="00E36C71">
              <w:rPr>
                <w:rFonts w:cstheme="minorHAnsi"/>
              </w:rPr>
              <w:t xml:space="preserve">together with </w:t>
            </w:r>
            <w:r>
              <w:rPr>
                <w:rFonts w:cstheme="minorHAnsi"/>
              </w:rPr>
              <w:t>the NHVR and the NTC need to consider the case for any changes to mass limits.</w:t>
            </w:r>
          </w:p>
          <w:p w14:paraId="721661EB" w14:textId="77777777" w:rsidR="00BD4EF9" w:rsidRDefault="003822C7" w:rsidP="00BD4EF9">
            <w:pPr>
              <w:pStyle w:val="ListParagraph"/>
              <w:keepLines/>
              <w:numPr>
                <w:ilvl w:val="0"/>
                <w:numId w:val="50"/>
              </w:numPr>
              <w:tabs>
                <w:tab w:val="left" w:pos="318"/>
              </w:tabs>
              <w:suppressAutoHyphens w:val="0"/>
              <w:ind w:left="284" w:hanging="284"/>
              <w:rPr>
                <w:rFonts w:cstheme="minorHAnsi"/>
              </w:rPr>
            </w:pPr>
            <w:r>
              <w:rPr>
                <w:rFonts w:cstheme="minorHAnsi"/>
              </w:rPr>
              <w:t>Noted.</w:t>
            </w:r>
          </w:p>
          <w:p w14:paraId="5FB76F40" w14:textId="77777777" w:rsidR="003822C7" w:rsidRPr="00541AA5" w:rsidRDefault="003822C7" w:rsidP="00541AA5">
            <w:pPr>
              <w:pStyle w:val="ListParagraph"/>
              <w:keepLines/>
              <w:numPr>
                <w:ilvl w:val="0"/>
                <w:numId w:val="50"/>
              </w:numPr>
              <w:tabs>
                <w:tab w:val="left" w:pos="318"/>
              </w:tabs>
              <w:suppressAutoHyphens w:val="0"/>
              <w:ind w:left="284" w:hanging="284"/>
              <w:rPr>
                <w:rFonts w:cstheme="minorHAnsi"/>
              </w:rPr>
            </w:pPr>
            <w:r w:rsidRPr="00BD4EF9">
              <w:rPr>
                <w:rFonts w:cstheme="minorHAnsi"/>
              </w:rPr>
              <w:t xml:space="preserve">Agreed. </w:t>
            </w:r>
            <w:r w:rsidR="0095775C" w:rsidRPr="00BD4EF9">
              <w:rPr>
                <w:rFonts w:cstheme="minorHAnsi"/>
              </w:rPr>
              <w:t xml:space="preserve">On 13 October 2022, the Minister announced a new ADR 80/04 based on the Euro VI (Stage C) requirements will be phased in for newly approved heavy vehicle models first supplied to Australia from 1 November 2024; and </w:t>
            </w:r>
            <w:r w:rsidR="00E3699B">
              <w:rPr>
                <w:rFonts w:cstheme="minorHAnsi"/>
              </w:rPr>
              <w:t>all heavy vehicles from</w:t>
            </w:r>
            <w:r w:rsidR="0095775C" w:rsidRPr="00BD4EF9">
              <w:rPr>
                <w:rFonts w:cstheme="minorHAnsi"/>
              </w:rPr>
              <w:t xml:space="preserve"> 1</w:t>
            </w:r>
            <w:r w:rsidR="00E3699B">
              <w:rPr>
                <w:rFonts w:cstheme="minorHAnsi"/>
              </w:rPr>
              <w:t> </w:t>
            </w:r>
            <w:r w:rsidR="0095775C" w:rsidRPr="00BD4EF9">
              <w:rPr>
                <w:rFonts w:cstheme="minorHAnsi"/>
              </w:rPr>
              <w:t>November 2025.</w:t>
            </w:r>
            <w:r w:rsidR="00541AA5">
              <w:rPr>
                <w:rFonts w:cstheme="minorHAnsi"/>
              </w:rPr>
              <w:t xml:space="preserve"> </w:t>
            </w:r>
            <w:r w:rsidRPr="00541AA5">
              <w:rPr>
                <w:rFonts w:cstheme="minorHAnsi"/>
              </w:rPr>
              <w:t xml:space="preserve">The implementation of any of the proposed options in this </w:t>
            </w:r>
            <w:r w:rsidR="00C45600">
              <w:rPr>
                <w:rFonts w:cstheme="minorHAnsi"/>
              </w:rPr>
              <w:t>IA</w:t>
            </w:r>
            <w:r w:rsidRPr="00541AA5">
              <w:rPr>
                <w:rFonts w:cstheme="minorHAnsi"/>
              </w:rPr>
              <w:t xml:space="preserve"> will make it easier for manufacturers to supply Euro VI compliant heavy vehicles, so would facilitate greater take up of these vehicles</w:t>
            </w:r>
            <w:r w:rsidR="00DC5B76" w:rsidRPr="00541AA5">
              <w:rPr>
                <w:rFonts w:cstheme="minorHAnsi"/>
              </w:rPr>
              <w:t xml:space="preserve"> (including prior to the mandatory applicability dates)</w:t>
            </w:r>
            <w:r w:rsidRPr="00541AA5">
              <w:rPr>
                <w:rFonts w:cstheme="minorHAnsi"/>
              </w:rPr>
              <w:t>.</w:t>
            </w:r>
          </w:p>
        </w:tc>
      </w:tr>
      <w:tr w:rsidR="003822C7" w:rsidRPr="007B6E69" w14:paraId="5A21F7F1" w14:textId="77777777" w:rsidTr="003822C7">
        <w:trPr>
          <w:cantSplit/>
        </w:trPr>
        <w:tc>
          <w:tcPr>
            <w:tcW w:w="1696" w:type="dxa"/>
          </w:tcPr>
          <w:p w14:paraId="31153D0E" w14:textId="77777777" w:rsidR="003822C7" w:rsidRPr="007B6E69" w:rsidRDefault="003822C7" w:rsidP="007901FB">
            <w:pPr>
              <w:spacing w:before="120" w:after="120"/>
              <w:rPr>
                <w:rFonts w:cstheme="minorHAnsi"/>
              </w:rPr>
            </w:pPr>
            <w:r w:rsidRPr="007B6E69">
              <w:rPr>
                <w:rFonts w:cstheme="minorHAnsi"/>
              </w:rPr>
              <w:t>Gas Energy Australia</w:t>
            </w:r>
          </w:p>
        </w:tc>
        <w:tc>
          <w:tcPr>
            <w:tcW w:w="6379" w:type="dxa"/>
          </w:tcPr>
          <w:p w14:paraId="16D41C14" w14:textId="77777777" w:rsidR="003822C7" w:rsidRDefault="003822C7" w:rsidP="00E248BF">
            <w:pPr>
              <w:pStyle w:val="ListParagraph"/>
              <w:numPr>
                <w:ilvl w:val="0"/>
                <w:numId w:val="55"/>
              </w:numPr>
              <w:ind w:left="284" w:hanging="284"/>
            </w:pPr>
            <w:r w:rsidRPr="005E1DD6">
              <w:t xml:space="preserve">Supports increasing the maximum width for goods vehicles and trailers over 4.5 tonnes to </w:t>
            </w:r>
            <w:r w:rsidR="00B9347B">
              <w:t>2.60</w:t>
            </w:r>
            <w:r>
              <w:t> </w:t>
            </w:r>
            <w:r w:rsidRPr="005E1DD6">
              <w:t>m.</w:t>
            </w:r>
          </w:p>
          <w:p w14:paraId="6245E482" w14:textId="77777777" w:rsidR="003822C7" w:rsidRDefault="003822C7" w:rsidP="00E248BF">
            <w:pPr>
              <w:pStyle w:val="ListParagraph"/>
              <w:numPr>
                <w:ilvl w:val="0"/>
                <w:numId w:val="55"/>
              </w:numPr>
              <w:ind w:left="284" w:hanging="284"/>
            </w:pPr>
            <w:r>
              <w:t>Notes t</w:t>
            </w:r>
            <w:r w:rsidRPr="0048457C">
              <w:t xml:space="preserve">he gaseous fuels industry comes under a number of </w:t>
            </w:r>
            <w:r>
              <w:t>f</w:t>
            </w:r>
            <w:r w:rsidRPr="0048457C">
              <w:t xml:space="preserve">ederal and </w:t>
            </w:r>
            <w:r>
              <w:t>s</w:t>
            </w:r>
            <w:r w:rsidRPr="0048457C">
              <w:t xml:space="preserve">tate or </w:t>
            </w:r>
            <w:r>
              <w:t>t</w:t>
            </w:r>
            <w:r w:rsidRPr="0048457C">
              <w:t>erritory regulations when it puts a heavy vehicle with a dangerous goods tank onto an Australian road.</w:t>
            </w:r>
          </w:p>
          <w:p w14:paraId="2E5C46BD" w14:textId="77777777" w:rsidR="003822C7" w:rsidRDefault="003822C7" w:rsidP="00E248BF">
            <w:pPr>
              <w:pStyle w:val="ListParagraph"/>
              <w:numPr>
                <w:ilvl w:val="0"/>
                <w:numId w:val="55"/>
              </w:numPr>
              <w:ind w:left="284" w:hanging="284"/>
            </w:pPr>
            <w:r>
              <w:t xml:space="preserve">Wants to ensure the multiple technical areas involved in the regulation of side underrun and </w:t>
            </w:r>
            <w:proofErr w:type="spellStart"/>
            <w:r>
              <w:t>conspicuity</w:t>
            </w:r>
            <w:proofErr w:type="spellEnd"/>
            <w:r>
              <w:t xml:space="preserve"> markings on dangerous goods vehicles, including industry and all tiers of government, have a single point of reference to understand and apply the rules</w:t>
            </w:r>
            <w:r w:rsidRPr="00DD6CD5">
              <w:t>.</w:t>
            </w:r>
          </w:p>
          <w:p w14:paraId="25128FA3" w14:textId="77777777" w:rsidR="003822C7" w:rsidRPr="00DF14D9" w:rsidRDefault="003822C7" w:rsidP="00E248BF">
            <w:pPr>
              <w:pStyle w:val="ListParagraph"/>
              <w:numPr>
                <w:ilvl w:val="0"/>
                <w:numId w:val="55"/>
              </w:numPr>
              <w:ind w:left="284" w:hanging="284"/>
            </w:pPr>
            <w:r>
              <w:t xml:space="preserve">Suggests the </w:t>
            </w:r>
            <w:r w:rsidR="00B9347B">
              <w:t>d</w:t>
            </w:r>
            <w:r>
              <w:t xml:space="preserve">epartment consult on and publish </w:t>
            </w:r>
            <w:r w:rsidRPr="00145811">
              <w:t xml:space="preserve">guidance that provides a single point of reference to understanding and applying the </w:t>
            </w:r>
            <w:r>
              <w:t xml:space="preserve">side underrun and </w:t>
            </w:r>
            <w:proofErr w:type="spellStart"/>
            <w:r>
              <w:t>conspicuity</w:t>
            </w:r>
            <w:proofErr w:type="spellEnd"/>
            <w:r>
              <w:t xml:space="preserve"> </w:t>
            </w:r>
            <w:r w:rsidRPr="00145811">
              <w:t>rules for tank-vehicles.</w:t>
            </w:r>
          </w:p>
        </w:tc>
        <w:tc>
          <w:tcPr>
            <w:tcW w:w="6521" w:type="dxa"/>
            <w:gridSpan w:val="2"/>
          </w:tcPr>
          <w:p w14:paraId="541D24EC" w14:textId="77777777"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14:paraId="7D1E6139" w14:textId="77777777"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14:paraId="1184D2B4" w14:textId="77777777"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14:paraId="2F93F4C5" w14:textId="77777777" w:rsidR="003822C7" w:rsidRPr="00726E40" w:rsidRDefault="00287090" w:rsidP="00E248BF">
            <w:pPr>
              <w:pStyle w:val="ListParagraph"/>
              <w:keepLines/>
              <w:numPr>
                <w:ilvl w:val="0"/>
                <w:numId w:val="56"/>
              </w:numPr>
              <w:tabs>
                <w:tab w:val="left" w:pos="318"/>
              </w:tabs>
              <w:suppressAutoHyphens w:val="0"/>
              <w:ind w:left="284" w:hanging="284"/>
              <w:rPr>
                <w:rFonts w:cstheme="minorHAnsi"/>
              </w:rPr>
            </w:pPr>
            <w:r w:rsidRPr="00287090">
              <w:rPr>
                <w:rFonts w:cstheme="minorHAnsi"/>
              </w:rPr>
              <w:t>Noted</w:t>
            </w:r>
            <w:r w:rsidR="003822C7" w:rsidRPr="00287090">
              <w:rPr>
                <w:rFonts w:cstheme="minorHAnsi"/>
              </w:rPr>
              <w:t>.</w:t>
            </w:r>
            <w:r w:rsidRPr="00287090">
              <w:rPr>
                <w:rFonts w:cstheme="minorHAnsi"/>
              </w:rPr>
              <w:t xml:space="preserve"> </w:t>
            </w:r>
            <w:r>
              <w:rPr>
                <w:rFonts w:cstheme="minorHAnsi"/>
              </w:rPr>
              <w:t>UN R73 includes some derogations,</w:t>
            </w:r>
            <w:r w:rsidRPr="00C23179">
              <w:rPr>
                <w:rFonts w:cstheme="minorHAnsi"/>
              </w:rPr>
              <w:t xml:space="preserve"> and </w:t>
            </w:r>
            <w:r w:rsidR="000271B7">
              <w:rPr>
                <w:rFonts w:cstheme="minorHAnsi"/>
              </w:rPr>
              <w:t xml:space="preserve">the </w:t>
            </w:r>
            <w:r w:rsidR="00A146C1">
              <w:rPr>
                <w:rFonts w:cstheme="minorHAnsi"/>
              </w:rPr>
              <w:t xml:space="preserve">exemptions and </w:t>
            </w:r>
            <w:r w:rsidRPr="00C23179">
              <w:rPr>
                <w:rFonts w:cstheme="minorHAnsi"/>
              </w:rPr>
              <w:t xml:space="preserve">alternative procedures section of the proposed ADR will be able to be used to provide greater clarity, including in regard to derogations. These will also be able to </w:t>
            </w:r>
            <w:r w:rsidR="00115CA7">
              <w:rPr>
                <w:rFonts w:cstheme="minorHAnsi"/>
              </w:rPr>
              <w:t xml:space="preserve">be </w:t>
            </w:r>
            <w:r w:rsidRPr="00C23179">
              <w:rPr>
                <w:rFonts w:cstheme="minorHAnsi"/>
              </w:rPr>
              <w:t>continuously reviewed</w:t>
            </w:r>
            <w:r>
              <w:rPr>
                <w:rFonts w:cstheme="minorHAnsi"/>
              </w:rPr>
              <w:t>, together with the need for more general guidelines,</w:t>
            </w:r>
            <w:r w:rsidRPr="00C23179">
              <w:rPr>
                <w:rFonts w:cstheme="minorHAnsi"/>
              </w:rPr>
              <w:t xml:space="preserve"> </w:t>
            </w:r>
            <w:r>
              <w:rPr>
                <w:rFonts w:cstheme="minorHAnsi"/>
              </w:rPr>
              <w:t>in close consultation with industry and with specific regard for tank vehicles, including through the established ADR consultative forums (e.g. TLG). Minor amendments could also be made to the ADR (after entry into force) to provide further limited derogations or further clarify the interpretation and/or application of requirements, if necessary.</w:t>
            </w:r>
          </w:p>
        </w:tc>
      </w:tr>
      <w:tr w:rsidR="003822C7" w:rsidRPr="007B6E69" w14:paraId="5108091F" w14:textId="77777777" w:rsidTr="003822C7">
        <w:tc>
          <w:tcPr>
            <w:tcW w:w="1696" w:type="dxa"/>
          </w:tcPr>
          <w:p w14:paraId="6431B23D" w14:textId="77777777" w:rsidR="003822C7" w:rsidRPr="007B6E69" w:rsidRDefault="003822C7" w:rsidP="00757135">
            <w:pPr>
              <w:pageBreakBefore/>
              <w:spacing w:before="120" w:after="120"/>
              <w:rPr>
                <w:rFonts w:cstheme="minorHAnsi"/>
              </w:rPr>
            </w:pPr>
            <w:r w:rsidRPr="007B6E69">
              <w:rPr>
                <w:rFonts w:cstheme="minorHAnsi"/>
              </w:rPr>
              <w:t>Heavy Vehicle Industry Association (HVIA)</w:t>
            </w:r>
          </w:p>
        </w:tc>
        <w:tc>
          <w:tcPr>
            <w:tcW w:w="6379" w:type="dxa"/>
          </w:tcPr>
          <w:p w14:paraId="618FB842" w14:textId="77777777" w:rsidR="003822C7" w:rsidRPr="004C0165" w:rsidRDefault="003822C7" w:rsidP="007C097D">
            <w:pPr>
              <w:pStyle w:val="ListParagraph"/>
              <w:numPr>
                <w:ilvl w:val="6"/>
                <w:numId w:val="51"/>
              </w:numPr>
              <w:ind w:left="284"/>
              <w:rPr>
                <w:rFonts w:cstheme="minorHAnsi"/>
                <w:szCs w:val="20"/>
              </w:rPr>
            </w:pPr>
            <w:r w:rsidRPr="004C0165">
              <w:rPr>
                <w:rFonts w:cstheme="minorHAnsi"/>
                <w:szCs w:val="20"/>
              </w:rPr>
              <w:t>Supports increasing the maximum width to 2.</w:t>
            </w:r>
            <w:r>
              <w:rPr>
                <w:rFonts w:cstheme="minorHAnsi"/>
                <w:szCs w:val="20"/>
              </w:rPr>
              <w:t>55 </w:t>
            </w:r>
            <w:r w:rsidRPr="004C0165">
              <w:rPr>
                <w:rFonts w:cstheme="minorHAnsi"/>
                <w:szCs w:val="20"/>
              </w:rPr>
              <w:t>m</w:t>
            </w:r>
            <w:r>
              <w:rPr>
                <w:rFonts w:cstheme="minorHAnsi"/>
                <w:szCs w:val="20"/>
              </w:rPr>
              <w:t xml:space="preserve"> </w:t>
            </w:r>
            <w:r w:rsidRPr="004C0165">
              <w:rPr>
                <w:rFonts w:cstheme="minorHAnsi"/>
                <w:szCs w:val="20"/>
              </w:rPr>
              <w:t>for goods vehicles over 4.5 tonnes</w:t>
            </w:r>
            <w:r>
              <w:rPr>
                <w:rFonts w:cstheme="minorHAnsi"/>
                <w:szCs w:val="20"/>
              </w:rPr>
              <w:t xml:space="preserve"> only</w:t>
            </w:r>
            <w:r w:rsidRPr="004C0165">
              <w:rPr>
                <w:rFonts w:cstheme="minorHAnsi"/>
                <w:szCs w:val="20"/>
              </w:rPr>
              <w:t>.</w:t>
            </w:r>
          </w:p>
          <w:p w14:paraId="619C9D9B" w14:textId="77777777" w:rsidR="003822C7" w:rsidRPr="00850327" w:rsidRDefault="003822C7" w:rsidP="007C097D">
            <w:pPr>
              <w:pStyle w:val="ListParagraph"/>
              <w:keepLines/>
              <w:numPr>
                <w:ilvl w:val="6"/>
                <w:numId w:val="51"/>
              </w:numPr>
              <w:tabs>
                <w:tab w:val="left" w:pos="320"/>
              </w:tabs>
              <w:suppressAutoHyphens w:val="0"/>
              <w:ind w:left="284"/>
              <w:rPr>
                <w:rFonts w:cstheme="minorHAnsi"/>
              </w:rPr>
            </w:pPr>
            <w:r w:rsidRPr="00AD679F">
              <w:rPr>
                <w:rFonts w:cstheme="minorHAnsi"/>
                <w:szCs w:val="20"/>
              </w:rPr>
              <w:t>Supports the exclusions proposed for enhanced devices for indirect vision and monitoring devices to detect other road users from vehicle width and length measurements.</w:t>
            </w:r>
          </w:p>
          <w:p w14:paraId="50573726"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D</w:t>
            </w:r>
            <w:r w:rsidRPr="007000C9">
              <w:rPr>
                <w:rFonts w:cstheme="minorHAnsi"/>
              </w:rPr>
              <w:t>oes not support increases to trailer widths because the cost of the retooling, transitional costs and potential loss of Australian manufacturing jobs, far exceed any safety or productivity benefits.</w:t>
            </w:r>
          </w:p>
          <w:p w14:paraId="3CEB7F9A"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Considers m</w:t>
            </w:r>
            <w:r w:rsidRPr="006C6CCB">
              <w:rPr>
                <w:rFonts w:cstheme="minorHAnsi"/>
              </w:rPr>
              <w:t>ost heavy combination vehicles are mass constrained, meaning the additional width of the trailers will not provide productivity benefits to outweigh the</w:t>
            </w:r>
            <w:r>
              <w:rPr>
                <w:rFonts w:cstheme="minorHAnsi"/>
              </w:rPr>
              <w:t xml:space="preserve"> implementation costs to [Australian] industry and safety risks to the community.</w:t>
            </w:r>
          </w:p>
          <w:p w14:paraId="318B05C5"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Considers t</w:t>
            </w:r>
            <w:r w:rsidRPr="00F01D76">
              <w:rPr>
                <w:rFonts w:cstheme="minorHAnsi"/>
              </w:rPr>
              <w:t xml:space="preserve">here are no width related barriers to fitting side under-run protection or </w:t>
            </w:r>
            <w:proofErr w:type="spellStart"/>
            <w:r w:rsidRPr="00F01D76">
              <w:rPr>
                <w:rFonts w:cstheme="minorHAnsi"/>
              </w:rPr>
              <w:t>conspi</w:t>
            </w:r>
            <w:r>
              <w:rPr>
                <w:rFonts w:cstheme="minorHAnsi"/>
              </w:rPr>
              <w:t>c</w:t>
            </w:r>
            <w:r w:rsidRPr="00F01D76">
              <w:rPr>
                <w:rFonts w:cstheme="minorHAnsi"/>
              </w:rPr>
              <w:t>uity</w:t>
            </w:r>
            <w:proofErr w:type="spellEnd"/>
            <w:r w:rsidRPr="00F01D76">
              <w:rPr>
                <w:rFonts w:cstheme="minorHAnsi"/>
              </w:rPr>
              <w:t xml:space="preserve"> markings to trailers</w:t>
            </w:r>
            <w:r>
              <w:rPr>
                <w:rFonts w:cstheme="minorHAnsi"/>
              </w:rPr>
              <w:t>,</w:t>
            </w:r>
            <w:r w:rsidRPr="00F01D76">
              <w:rPr>
                <w:rFonts w:cstheme="minorHAnsi"/>
              </w:rPr>
              <w:t xml:space="preserve"> so it is unlikely that a change to width would incentivise the uptake o</w:t>
            </w:r>
            <w:r>
              <w:rPr>
                <w:rFonts w:cstheme="minorHAnsi"/>
              </w:rPr>
              <w:t>f these.</w:t>
            </w:r>
          </w:p>
          <w:p w14:paraId="3D6933B4"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D</w:t>
            </w:r>
            <w:r w:rsidRPr="008E1A8A">
              <w:rPr>
                <w:rFonts w:cstheme="minorHAnsi"/>
              </w:rPr>
              <w:t xml:space="preserve">oes not believe </w:t>
            </w:r>
            <w:r>
              <w:rPr>
                <w:rFonts w:cstheme="minorHAnsi"/>
              </w:rPr>
              <w:t>an</w:t>
            </w:r>
            <w:r w:rsidRPr="008E1A8A">
              <w:rPr>
                <w:rFonts w:cstheme="minorHAnsi"/>
              </w:rPr>
              <w:t xml:space="preserve"> exemption to allow load restraint devices to go out to </w:t>
            </w:r>
            <w:r w:rsidR="00B9347B">
              <w:rPr>
                <w:rFonts w:cstheme="minorHAnsi"/>
              </w:rPr>
              <w:t>2.60</w:t>
            </w:r>
            <w:r w:rsidRPr="008E1A8A">
              <w:rPr>
                <w:rFonts w:cstheme="minorHAnsi"/>
              </w:rPr>
              <w:t xml:space="preserve"> m can be justified on either safety or productivity grounds</w:t>
            </w:r>
            <w:r>
              <w:rPr>
                <w:rFonts w:cstheme="minorHAnsi"/>
              </w:rPr>
              <w:t>.</w:t>
            </w:r>
          </w:p>
          <w:p w14:paraId="07F151C4"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A</w:t>
            </w:r>
            <w:r w:rsidRPr="00046393">
              <w:rPr>
                <w:rFonts w:cstheme="minorHAnsi"/>
              </w:rPr>
              <w:t xml:space="preserve">ccepts that there may be specific </w:t>
            </w:r>
            <w:r>
              <w:rPr>
                <w:rFonts w:cstheme="minorHAnsi"/>
              </w:rPr>
              <w:t>sectors</w:t>
            </w:r>
            <w:r w:rsidRPr="00046393">
              <w:rPr>
                <w:rFonts w:cstheme="minorHAnsi"/>
              </w:rPr>
              <w:t xml:space="preserve"> where the safety or productivity benefits may justify increased widths on specific categories of routes</w:t>
            </w:r>
            <w:r>
              <w:rPr>
                <w:rFonts w:cstheme="minorHAnsi"/>
              </w:rPr>
              <w:t xml:space="preserve"> – f</w:t>
            </w:r>
            <w:r w:rsidRPr="002B3190">
              <w:rPr>
                <w:rFonts w:cstheme="minorHAnsi"/>
              </w:rPr>
              <w:t>or example, the refrigerated and freezer segment where additional width would allow these vehicles to increase their thermal efficiency and these vehicles do not travel on all routes in the network.</w:t>
            </w:r>
          </w:p>
          <w:p w14:paraId="4FDA89B8"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B</w:t>
            </w:r>
            <w:r w:rsidRPr="002B3190">
              <w:rPr>
                <w:rFonts w:cstheme="minorHAnsi"/>
              </w:rPr>
              <w:t xml:space="preserve">elieves specific </w:t>
            </w:r>
            <w:r>
              <w:rPr>
                <w:rFonts w:cstheme="minorHAnsi"/>
              </w:rPr>
              <w:t xml:space="preserve">sector </w:t>
            </w:r>
            <w:r w:rsidRPr="002B3190">
              <w:rPr>
                <w:rFonts w:cstheme="minorHAnsi"/>
              </w:rPr>
              <w:t xml:space="preserve">circumstances can be addressed within the Performance </w:t>
            </w:r>
            <w:r>
              <w:rPr>
                <w:rFonts w:cstheme="minorHAnsi"/>
              </w:rPr>
              <w:t>B</w:t>
            </w:r>
            <w:r w:rsidRPr="002B3190">
              <w:rPr>
                <w:rFonts w:cstheme="minorHAnsi"/>
              </w:rPr>
              <w:t xml:space="preserve">ased Standards (PBS) system or that a specific </w:t>
            </w:r>
            <w:r w:rsidR="00C45600">
              <w:rPr>
                <w:rFonts w:cstheme="minorHAnsi"/>
              </w:rPr>
              <w:t>IA</w:t>
            </w:r>
            <w:r w:rsidRPr="002B3190">
              <w:rPr>
                <w:rFonts w:cstheme="minorHAnsi"/>
              </w:rPr>
              <w:t xml:space="preserve"> or Productivity Commission report should evaluate th</w:t>
            </w:r>
            <w:r w:rsidR="00CB47C0">
              <w:rPr>
                <w:rFonts w:cstheme="minorHAnsi"/>
              </w:rPr>
              <w:t>e</w:t>
            </w:r>
            <w:r w:rsidRPr="002B3190">
              <w:rPr>
                <w:rFonts w:cstheme="minorHAnsi"/>
              </w:rPr>
              <w:t xml:space="preserve"> option</w:t>
            </w:r>
            <w:r w:rsidR="00CB47C0">
              <w:rPr>
                <w:rFonts w:cstheme="minorHAnsi"/>
              </w:rPr>
              <w:t xml:space="preserve"> for wider refrigerated trailers only</w:t>
            </w:r>
            <w:r w:rsidRPr="002B3190">
              <w:rPr>
                <w:rFonts w:cstheme="minorHAnsi"/>
              </w:rPr>
              <w:t>.</w:t>
            </w:r>
          </w:p>
          <w:p w14:paraId="0DE2368E"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I</w:t>
            </w:r>
            <w:r w:rsidRPr="000D0F4A">
              <w:rPr>
                <w:rFonts w:cstheme="minorHAnsi"/>
              </w:rPr>
              <w:t xml:space="preserve">f the government does decide to change trailer width, </w:t>
            </w:r>
            <w:r>
              <w:rPr>
                <w:rFonts w:cstheme="minorHAnsi"/>
              </w:rPr>
              <w:t xml:space="preserve">requests that </w:t>
            </w:r>
            <w:r w:rsidRPr="000D0F4A">
              <w:rPr>
                <w:rFonts w:cstheme="minorHAnsi"/>
              </w:rPr>
              <w:t xml:space="preserve">manufacturers who would require retooling </w:t>
            </w:r>
            <w:r>
              <w:rPr>
                <w:rFonts w:cstheme="minorHAnsi"/>
              </w:rPr>
              <w:t xml:space="preserve">are </w:t>
            </w:r>
            <w:r w:rsidRPr="000D0F4A">
              <w:rPr>
                <w:rFonts w:cstheme="minorHAnsi"/>
              </w:rPr>
              <w:t xml:space="preserve">compensated </w:t>
            </w:r>
            <w:r>
              <w:rPr>
                <w:rFonts w:cstheme="minorHAnsi"/>
              </w:rPr>
              <w:t>through</w:t>
            </w:r>
            <w:r w:rsidRPr="000D0F4A">
              <w:rPr>
                <w:rFonts w:cstheme="minorHAnsi"/>
              </w:rPr>
              <w:t xml:space="preserve"> a targeted assistance package to defray the costs of the transition.</w:t>
            </w:r>
          </w:p>
          <w:p w14:paraId="3A53AFD7" w14:textId="77777777" w:rsidR="003822C7" w:rsidRPr="007B69DB" w:rsidRDefault="003822C7" w:rsidP="007C097D">
            <w:pPr>
              <w:pStyle w:val="ListParagraph"/>
              <w:keepLines/>
              <w:numPr>
                <w:ilvl w:val="6"/>
                <w:numId w:val="51"/>
              </w:numPr>
              <w:tabs>
                <w:tab w:val="left" w:pos="320"/>
              </w:tabs>
              <w:suppressAutoHyphens w:val="0"/>
              <w:ind w:left="284"/>
              <w:rPr>
                <w:rFonts w:cstheme="minorHAnsi"/>
              </w:rPr>
            </w:pPr>
            <w:r>
              <w:rPr>
                <w:rFonts w:cstheme="minorHAnsi"/>
              </w:rPr>
              <w:t xml:space="preserve">Notes </w:t>
            </w:r>
            <w:r w:rsidRPr="00E807D1">
              <w:rPr>
                <w:rFonts w:cstheme="minorHAnsi"/>
              </w:rPr>
              <w:t>Australian businesses have invested heavily in tooling and systems based on existing ADR</w:t>
            </w:r>
            <w:r>
              <w:rPr>
                <w:rFonts w:cstheme="minorHAnsi"/>
              </w:rPr>
              <w:t xml:space="preserve">s – </w:t>
            </w:r>
            <w:r w:rsidRPr="007B69DB">
              <w:rPr>
                <w:rFonts w:cstheme="minorHAnsi"/>
              </w:rPr>
              <w:t>if this was to change, then many of these businesses will lose or have these investments compromised.</w:t>
            </w:r>
          </w:p>
          <w:p w14:paraId="378DA52C" w14:textId="77777777"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Seeks</w:t>
            </w:r>
            <w:r w:rsidRPr="005859A5">
              <w:rPr>
                <w:rFonts w:cstheme="minorHAnsi"/>
              </w:rPr>
              <w:t xml:space="preserve"> an undertaking from Government that no Australian manufacturer will be disadvantaged</w:t>
            </w:r>
            <w:r>
              <w:rPr>
                <w:rFonts w:cstheme="minorHAnsi"/>
              </w:rPr>
              <w:t>.</w:t>
            </w:r>
          </w:p>
          <w:p w14:paraId="50064933" w14:textId="77777777" w:rsidR="003822C7" w:rsidRPr="002B3190"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w:t>
            </w:r>
            <w:r w:rsidRPr="005859A5">
              <w:rPr>
                <w:rFonts w:cstheme="minorHAnsi"/>
              </w:rPr>
              <w:t>hallenge</w:t>
            </w:r>
            <w:r>
              <w:rPr>
                <w:rFonts w:cstheme="minorHAnsi"/>
              </w:rPr>
              <w:t>s</w:t>
            </w:r>
            <w:r w:rsidRPr="005859A5">
              <w:rPr>
                <w:rFonts w:cstheme="minorHAnsi"/>
              </w:rPr>
              <w:t xml:space="preserve"> the Government to quantify the reasons (including the safety and productivity benefits) </w:t>
            </w:r>
            <w:r>
              <w:rPr>
                <w:rFonts w:cstheme="minorHAnsi"/>
              </w:rPr>
              <w:t>relied</w:t>
            </w:r>
            <w:r w:rsidRPr="005859A5">
              <w:rPr>
                <w:rFonts w:cstheme="minorHAnsi"/>
              </w:rPr>
              <w:t xml:space="preserve"> on in making </w:t>
            </w:r>
            <w:r w:rsidR="008F252A">
              <w:rPr>
                <w:rFonts w:cstheme="minorHAnsi"/>
              </w:rPr>
              <w:t>any</w:t>
            </w:r>
            <w:r w:rsidRPr="005859A5">
              <w:rPr>
                <w:rFonts w:cstheme="minorHAnsi"/>
              </w:rPr>
              <w:t xml:space="preserve"> decision</w:t>
            </w:r>
            <w:r w:rsidR="008F252A">
              <w:rPr>
                <w:rFonts w:cstheme="minorHAnsi"/>
              </w:rPr>
              <w:t xml:space="preserve"> to increase the trailer width limit</w:t>
            </w:r>
            <w:r w:rsidRPr="005859A5">
              <w:rPr>
                <w:rFonts w:cstheme="minorHAnsi"/>
              </w:rPr>
              <w:t>.</w:t>
            </w:r>
          </w:p>
        </w:tc>
        <w:tc>
          <w:tcPr>
            <w:tcW w:w="6521" w:type="dxa"/>
            <w:gridSpan w:val="2"/>
          </w:tcPr>
          <w:p w14:paraId="1C32F68E" w14:textId="77777777" w:rsidR="003822C7" w:rsidRDefault="003822C7" w:rsidP="007C097D">
            <w:pPr>
              <w:pStyle w:val="ListParagraph"/>
              <w:keepLines/>
              <w:numPr>
                <w:ilvl w:val="0"/>
                <w:numId w:val="52"/>
              </w:numPr>
              <w:tabs>
                <w:tab w:val="left" w:pos="720"/>
              </w:tabs>
              <w:suppressAutoHyphens w:val="0"/>
              <w:ind w:left="284" w:hanging="284"/>
              <w:rPr>
                <w:rFonts w:cstheme="minorHAnsi"/>
              </w:rPr>
            </w:pPr>
            <w:r>
              <w:rPr>
                <w:rFonts w:cstheme="minorHAnsi"/>
              </w:rPr>
              <w:t>Noted.</w:t>
            </w:r>
          </w:p>
          <w:p w14:paraId="6A2974EF" w14:textId="77777777" w:rsidR="00D77C14" w:rsidRDefault="003822C7" w:rsidP="00D77C14">
            <w:pPr>
              <w:pStyle w:val="ListParagraph"/>
              <w:keepLines/>
              <w:numPr>
                <w:ilvl w:val="0"/>
                <w:numId w:val="52"/>
              </w:numPr>
              <w:tabs>
                <w:tab w:val="left" w:pos="720"/>
              </w:tabs>
              <w:suppressAutoHyphens w:val="0"/>
              <w:ind w:left="284" w:hanging="284"/>
              <w:rPr>
                <w:rFonts w:cstheme="minorHAnsi"/>
              </w:rPr>
            </w:pPr>
            <w:r>
              <w:rPr>
                <w:rFonts w:cstheme="minorHAnsi"/>
              </w:rPr>
              <w:t>Noted.</w:t>
            </w:r>
          </w:p>
          <w:p w14:paraId="5377DC60" w14:textId="77777777" w:rsidR="00D77C14" w:rsidRPr="00D77C14" w:rsidRDefault="00D75BB3" w:rsidP="00D77C14">
            <w:pPr>
              <w:pStyle w:val="ListParagraph"/>
              <w:keepLines/>
              <w:numPr>
                <w:ilvl w:val="0"/>
                <w:numId w:val="52"/>
              </w:numPr>
              <w:tabs>
                <w:tab w:val="left" w:pos="720"/>
              </w:tabs>
              <w:suppressAutoHyphens w:val="0"/>
              <w:ind w:left="284" w:hanging="284"/>
              <w:rPr>
                <w:rFonts w:cstheme="minorHAnsi"/>
              </w:rPr>
            </w:pPr>
            <w:r w:rsidRPr="00D77C14">
              <w:rPr>
                <w:rFonts w:cstheme="minorHAnsi"/>
              </w:rPr>
              <w:t>Noted</w:t>
            </w:r>
            <w:r w:rsidR="003822C7" w:rsidRPr="00D77C14">
              <w:rPr>
                <w:rFonts w:cstheme="minorHAnsi"/>
              </w:rPr>
              <w:t>.</w:t>
            </w:r>
            <w:r w:rsidRPr="00D77C14">
              <w:rPr>
                <w:rFonts w:cstheme="minorHAnsi"/>
              </w:rPr>
              <w:t xml:space="preserve"> </w:t>
            </w:r>
            <w:r w:rsidR="00D77C14" w:rsidRPr="00D77C14">
              <w:rPr>
                <w:rFonts w:cstheme="minorHAnsi"/>
              </w:rPr>
              <w:t>Consider the substantial market share (over 90% for heavy trailers) for domestic trailer manufacturers has been built on much more than just the width limit. Domestic manufacturers are able to build trailers specifically designed for and well suited to withstand Australian conditions, and can also avoid significant costs to ship large trailers to Australia. Have also not been provided with (or otherwise made aware) of any evidence of where the increase in the width limit for trailers to 2.55 m in NZ has resulted in a significant shift in where trailers are sourced from.</w:t>
            </w:r>
          </w:p>
          <w:p w14:paraId="384E29C4" w14:textId="77777777" w:rsidR="003822C7" w:rsidRPr="00852F3E" w:rsidRDefault="00D75BB3" w:rsidP="007C097D">
            <w:pPr>
              <w:pStyle w:val="ListParagraph"/>
              <w:keepLines/>
              <w:numPr>
                <w:ilvl w:val="0"/>
                <w:numId w:val="52"/>
              </w:numPr>
              <w:tabs>
                <w:tab w:val="left" w:pos="720"/>
              </w:tabs>
              <w:suppressAutoHyphens w:val="0"/>
              <w:ind w:left="284" w:hanging="284"/>
              <w:rPr>
                <w:rFonts w:cstheme="minorHAnsi"/>
              </w:rPr>
            </w:pPr>
            <w:r w:rsidRPr="00B74502">
              <w:rPr>
                <w:rFonts w:cstheme="minorHAnsi"/>
                <w:szCs w:val="20"/>
              </w:rPr>
              <w:t>Agree most heavy combination vehicles are mass constrained</w:t>
            </w:r>
            <w:r w:rsidR="003822C7" w:rsidRPr="00B74502">
              <w:rPr>
                <w:rFonts w:cstheme="minorHAnsi"/>
                <w:szCs w:val="20"/>
              </w:rPr>
              <w:t>.</w:t>
            </w:r>
            <w:r w:rsidR="00B74502">
              <w:rPr>
                <w:rFonts w:cstheme="minorHAnsi"/>
                <w:szCs w:val="20"/>
              </w:rPr>
              <w:t xml:space="preserve"> Consider any safety risks to be minimal and more than offset by the additional proposed safety requirements.</w:t>
            </w:r>
          </w:p>
          <w:p w14:paraId="29A50458" w14:textId="77777777" w:rsidR="003822C7" w:rsidRPr="00AD1C9E" w:rsidRDefault="00AD1C9E" w:rsidP="007C097D">
            <w:pPr>
              <w:pStyle w:val="ListParagraph"/>
              <w:keepLines/>
              <w:numPr>
                <w:ilvl w:val="0"/>
                <w:numId w:val="52"/>
              </w:numPr>
              <w:tabs>
                <w:tab w:val="left" w:pos="720"/>
              </w:tabs>
              <w:suppressAutoHyphens w:val="0"/>
              <w:ind w:left="284" w:hanging="284"/>
              <w:rPr>
                <w:rFonts w:cstheme="minorHAnsi"/>
              </w:rPr>
            </w:pPr>
            <w:r w:rsidRPr="00AD1C9E">
              <w:rPr>
                <w:rFonts w:cstheme="minorHAnsi"/>
              </w:rPr>
              <w:t xml:space="preserve">The benefit-cost analysis by the ARRB includes benefits and costs from a gradual increase in fitment of side underrun and </w:t>
            </w:r>
            <w:proofErr w:type="spellStart"/>
            <w:r w:rsidRPr="00AD1C9E">
              <w:rPr>
                <w:rFonts w:cstheme="minorHAnsi"/>
              </w:rPr>
              <w:t>conspicuity</w:t>
            </w:r>
            <w:proofErr w:type="spellEnd"/>
            <w:r w:rsidRPr="00AD1C9E">
              <w:rPr>
                <w:rFonts w:cstheme="minorHAnsi"/>
              </w:rPr>
              <w:t xml:space="preserve"> markings, as trailer manufacturers gradually transition to producing more wider trailers under Options 3.1a (2.55</w:t>
            </w:r>
            <w:r w:rsidR="001F7AB9">
              <w:rPr>
                <w:rFonts w:cstheme="minorHAnsi"/>
              </w:rPr>
              <w:t> </w:t>
            </w:r>
            <w:r w:rsidRPr="00AD1C9E">
              <w:rPr>
                <w:rFonts w:cstheme="minorHAnsi"/>
              </w:rPr>
              <w:t>m trucks and trailers) and 3.2a (</w:t>
            </w:r>
            <w:r w:rsidR="00B9347B">
              <w:rPr>
                <w:rFonts w:cstheme="minorHAnsi"/>
              </w:rPr>
              <w:t>2.60</w:t>
            </w:r>
            <w:r w:rsidRPr="00AD1C9E">
              <w:rPr>
                <w:rFonts w:cstheme="minorHAnsi"/>
              </w:rPr>
              <w:t> m trucks and trailers)</w:t>
            </w:r>
            <w:r w:rsidR="00E33A23">
              <w:rPr>
                <w:rFonts w:cstheme="minorHAnsi"/>
              </w:rPr>
              <w:t>, where the fitment is mandatory for these wider trailers</w:t>
            </w:r>
            <w:r w:rsidR="00D944FF" w:rsidRPr="00AD1C9E">
              <w:rPr>
                <w:rFonts w:cstheme="minorHAnsi"/>
              </w:rPr>
              <w:t>.</w:t>
            </w:r>
          </w:p>
          <w:p w14:paraId="3AA46A07" w14:textId="77777777" w:rsidR="003822C7" w:rsidRPr="00376756" w:rsidRDefault="003822C7" w:rsidP="007C097D">
            <w:pPr>
              <w:pStyle w:val="ListParagraph"/>
              <w:numPr>
                <w:ilvl w:val="0"/>
                <w:numId w:val="52"/>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00390E82">
              <w:rPr>
                <w:rFonts w:cstheme="minorHAnsi"/>
              </w:rPr>
              <w:t xml:space="preserve">the current </w:t>
            </w:r>
            <w:r w:rsidRPr="00706329">
              <w:rPr>
                <w:rFonts w:cstheme="minorHAnsi"/>
              </w:rPr>
              <w:t>2.55</w:t>
            </w:r>
            <w:r w:rsidR="00706329" w:rsidRPr="00706329">
              <w:rPr>
                <w:rFonts w:cstheme="minorHAnsi"/>
              </w:rPr>
              <w:t> </w:t>
            </w:r>
            <w:r w:rsidRPr="00376756">
              <w:rPr>
                <w:rFonts w:cstheme="minorHAnsi"/>
              </w:rPr>
              <w:t>m.</w:t>
            </w:r>
          </w:p>
          <w:p w14:paraId="50846203" w14:textId="77777777" w:rsidR="003822C7" w:rsidRPr="00852F3E" w:rsidRDefault="003822C7" w:rsidP="007C097D">
            <w:pPr>
              <w:pStyle w:val="ListParagraph"/>
              <w:keepLines/>
              <w:numPr>
                <w:ilvl w:val="0"/>
                <w:numId w:val="52"/>
              </w:numPr>
              <w:tabs>
                <w:tab w:val="left" w:pos="720"/>
              </w:tabs>
              <w:suppressAutoHyphens w:val="0"/>
              <w:ind w:left="284" w:hanging="284"/>
              <w:rPr>
                <w:rFonts w:cstheme="minorHAnsi"/>
              </w:rPr>
            </w:pPr>
            <w:r w:rsidRPr="00852F3E">
              <w:rPr>
                <w:rFonts w:cstheme="minorHAnsi"/>
              </w:rPr>
              <w:t>Agreed.</w:t>
            </w:r>
          </w:p>
          <w:p w14:paraId="01B0F445" w14:textId="77777777" w:rsidR="003822C7" w:rsidRPr="00D00B81" w:rsidRDefault="00D944FF" w:rsidP="007C097D">
            <w:pPr>
              <w:pStyle w:val="ListParagraph"/>
              <w:keepLines/>
              <w:numPr>
                <w:ilvl w:val="0"/>
                <w:numId w:val="52"/>
              </w:numPr>
              <w:tabs>
                <w:tab w:val="left" w:pos="720"/>
              </w:tabs>
              <w:suppressAutoHyphens w:val="0"/>
              <w:ind w:left="284" w:hanging="284"/>
              <w:rPr>
                <w:rFonts w:cstheme="minorHAnsi"/>
              </w:rPr>
            </w:pPr>
            <w:r>
              <w:rPr>
                <w:rFonts w:cstheme="minorHAnsi"/>
              </w:rPr>
              <w:t>From the benefit cost analysis by the ARRB the department estimated that increasing the width limit from 2.55</w:t>
            </w:r>
            <w:r w:rsidR="006D6A09">
              <w:rPr>
                <w:rFonts w:cstheme="minorHAnsi"/>
              </w:rPr>
              <w:t> </w:t>
            </w:r>
            <w:r>
              <w:rPr>
                <w:rFonts w:cstheme="minorHAnsi"/>
              </w:rPr>
              <w:t xml:space="preserve">m to </w:t>
            </w:r>
            <w:r w:rsidR="00B9347B">
              <w:rPr>
                <w:rFonts w:cstheme="minorHAnsi"/>
              </w:rPr>
              <w:t>2.60</w:t>
            </w:r>
            <w:r w:rsidR="006D6A09">
              <w:rPr>
                <w:rFonts w:cstheme="minorHAnsi"/>
              </w:rPr>
              <w:t> </w:t>
            </w:r>
            <w:r>
              <w:rPr>
                <w:rFonts w:cstheme="minorHAnsi"/>
              </w:rPr>
              <w:t>m for refrigerated vehicles only would increase the net benefit (relative to Option 3.1a) by around $28 m. A similar scale increase in net benefit is likely for increasing the width limit for refrigerated trailers from 2.5</w:t>
            </w:r>
            <w:r w:rsidR="00B9347B">
              <w:rPr>
                <w:rFonts w:cstheme="minorHAnsi"/>
              </w:rPr>
              <w:t>0</w:t>
            </w:r>
            <w:r>
              <w:rPr>
                <w:rFonts w:cstheme="minorHAnsi"/>
              </w:rPr>
              <w:t> m to 2.55 m.</w:t>
            </w:r>
          </w:p>
          <w:p w14:paraId="7C97B31C" w14:textId="77777777" w:rsidR="003822C7" w:rsidRPr="00852F3E"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14:paraId="62BF3448" w14:textId="77777777" w:rsidR="003822C7" w:rsidRPr="008F252A"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14:paraId="5C458958" w14:textId="77777777" w:rsidR="00754043"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14:paraId="72B2D0FA" w14:textId="77777777" w:rsidR="008F252A" w:rsidRPr="00B91469"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 xml:space="preserve">This </w:t>
            </w:r>
            <w:r w:rsidR="00C45600">
              <w:rPr>
                <w:rFonts w:cstheme="minorHAnsi"/>
              </w:rPr>
              <w:t>IA</w:t>
            </w:r>
            <w:r>
              <w:rPr>
                <w:rFonts w:cstheme="minorHAnsi"/>
              </w:rPr>
              <w:t xml:space="preserve"> has been developed to quantify the benefits and costs for each option. There are some study limitations which have been acknowledged in regard to productivity gains (including trip reductions) and infrastructure impacts. Further consultation is proposed before any decision to increase the trailer width limit.</w:t>
            </w:r>
          </w:p>
        </w:tc>
      </w:tr>
      <w:tr w:rsidR="003822C7" w:rsidRPr="007B6E69" w14:paraId="2E72E48C" w14:textId="77777777" w:rsidTr="003822C7">
        <w:tc>
          <w:tcPr>
            <w:tcW w:w="1696" w:type="dxa"/>
          </w:tcPr>
          <w:p w14:paraId="3C52BF4E" w14:textId="77777777" w:rsidR="003822C7" w:rsidRPr="007B6E69" w:rsidRDefault="003822C7" w:rsidP="007901FB">
            <w:pPr>
              <w:spacing w:before="120" w:after="120"/>
              <w:rPr>
                <w:rFonts w:cstheme="minorHAnsi"/>
              </w:rPr>
            </w:pPr>
            <w:proofErr w:type="gramStart"/>
            <w:r w:rsidRPr="007B6E69">
              <w:rPr>
                <w:rFonts w:cstheme="minorHAnsi"/>
              </w:rPr>
              <w:t>Man</w:t>
            </w:r>
            <w:proofErr w:type="gramEnd"/>
            <w:r w:rsidRPr="007B6E69">
              <w:rPr>
                <w:rFonts w:cstheme="minorHAnsi"/>
              </w:rPr>
              <w:t xml:space="preserve"> Truck and Bus</w:t>
            </w:r>
          </w:p>
        </w:tc>
        <w:tc>
          <w:tcPr>
            <w:tcW w:w="6379" w:type="dxa"/>
          </w:tcPr>
          <w:p w14:paraId="4D81F365"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 xml:space="preserve">Recommends adopting a 2.55 m width limit for vehicles and trailers in general </w:t>
            </w:r>
            <w:proofErr w:type="spellStart"/>
            <w:r>
              <w:rPr>
                <w:rFonts w:cstheme="minorHAnsi"/>
              </w:rPr>
              <w:t>analog</w:t>
            </w:r>
            <w:proofErr w:type="spellEnd"/>
            <w:r>
              <w:rPr>
                <w:rFonts w:cstheme="minorHAnsi"/>
              </w:rPr>
              <w:t xml:space="preserve"> to the EU </w:t>
            </w:r>
            <w:r w:rsidRPr="00C004EF">
              <w:rPr>
                <w:rFonts w:cstheme="minorHAnsi"/>
              </w:rPr>
              <w:t>(</w:t>
            </w:r>
            <w:r>
              <w:rPr>
                <w:rFonts w:cstheme="minorHAnsi"/>
              </w:rPr>
              <w:t xml:space="preserve">notes </w:t>
            </w:r>
            <w:r w:rsidRPr="00C004EF">
              <w:rPr>
                <w:rFonts w:cstheme="minorHAnsi"/>
              </w:rPr>
              <w:t>2.60</w:t>
            </w:r>
            <w:r>
              <w:rPr>
                <w:rFonts w:cstheme="minorHAnsi"/>
              </w:rPr>
              <w:t> </w:t>
            </w:r>
            <w:r w:rsidRPr="00C004EF">
              <w:rPr>
                <w:rFonts w:cstheme="minorHAnsi"/>
              </w:rPr>
              <w:t>m for refrigerated trucks and trailers are a special case)</w:t>
            </w:r>
            <w:r>
              <w:rPr>
                <w:rFonts w:cstheme="minorHAnsi"/>
              </w:rPr>
              <w:t>.</w:t>
            </w:r>
          </w:p>
          <w:p w14:paraId="0D633E4A"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Recommends decoupling the [additional] proposed safety requirements from vehicle width.</w:t>
            </w:r>
          </w:p>
          <w:p w14:paraId="33595322"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Argues it will be difficult to install all the [additional] proposed safety systems on tractors for semi-trailers, concrete mixers, crane trucks, road sweepers etc.</w:t>
            </w:r>
          </w:p>
          <w:p w14:paraId="04D70650" w14:textId="77777777"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Recommends if the proposal is going to be adopted in its current form that requirements for the additional proposed safety systems be applied based on vehicle purpose.</w:t>
            </w:r>
          </w:p>
          <w:p w14:paraId="4819DF10" w14:textId="77777777" w:rsidR="003822C7" w:rsidRPr="00C004EF"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 xml:space="preserve">Welcomes the proposal to exclude </w:t>
            </w:r>
            <w:r w:rsidRPr="00AD679F">
              <w:rPr>
                <w:rFonts w:cstheme="minorHAnsi"/>
                <w:szCs w:val="20"/>
              </w:rPr>
              <w:t>enhanced devices for indirect vision and monitoring devices to detect other road users from vehicle width and length measurements.</w:t>
            </w:r>
          </w:p>
        </w:tc>
        <w:tc>
          <w:tcPr>
            <w:tcW w:w="6521" w:type="dxa"/>
            <w:gridSpan w:val="2"/>
          </w:tcPr>
          <w:p w14:paraId="238F44E7" w14:textId="77777777" w:rsidR="003822C7" w:rsidRDefault="003822C7" w:rsidP="00E248BF">
            <w:pPr>
              <w:pStyle w:val="ListParagraph"/>
              <w:keepLines/>
              <w:numPr>
                <w:ilvl w:val="6"/>
                <w:numId w:val="57"/>
              </w:numPr>
              <w:tabs>
                <w:tab w:val="left" w:pos="720"/>
              </w:tabs>
              <w:suppressAutoHyphens w:val="0"/>
              <w:ind w:left="284" w:hanging="284"/>
              <w:rPr>
                <w:rFonts w:cstheme="minorHAnsi"/>
              </w:rPr>
            </w:pPr>
            <w:r>
              <w:rPr>
                <w:rFonts w:cstheme="minorHAnsi"/>
              </w:rPr>
              <w:t>Noted.</w:t>
            </w:r>
          </w:p>
          <w:p w14:paraId="4A530E76" w14:textId="77777777" w:rsidR="003822C7" w:rsidRPr="00014D1D" w:rsidRDefault="00014D1D" w:rsidP="00E248BF">
            <w:pPr>
              <w:pStyle w:val="ListParagraph"/>
              <w:keepLines/>
              <w:numPr>
                <w:ilvl w:val="6"/>
                <w:numId w:val="57"/>
              </w:numPr>
              <w:tabs>
                <w:tab w:val="left" w:pos="720"/>
              </w:tabs>
              <w:suppressAutoHyphens w:val="0"/>
              <w:ind w:left="284" w:hanging="284"/>
              <w:rPr>
                <w:rFonts w:cstheme="minorHAnsi"/>
              </w:rPr>
            </w:pPr>
            <w:r w:rsidRPr="00AD4C1A">
              <w:rPr>
                <w:rFonts w:cstheme="minorHAnsi"/>
              </w:rPr>
              <w:t xml:space="preserve">Requiring wider freight vehicles to be fitted with a package of safety technologies covered by UN Regulations is a key part of the agreement with jurisdictions and other stakeholders to pursue this reform – </w:t>
            </w:r>
            <w:r w:rsidR="00D92DD3">
              <w:rPr>
                <w:rFonts w:cstheme="minorHAnsi"/>
              </w:rPr>
              <w:t xml:space="preserve">it </w:t>
            </w:r>
            <w:r w:rsidRPr="00014D1D">
              <w:rPr>
                <w:rFonts w:cstheme="minorHAnsi"/>
              </w:rPr>
              <w:t>is important to preserve this agreement</w:t>
            </w:r>
            <w:r>
              <w:rPr>
                <w:rFonts w:cstheme="minorHAnsi"/>
              </w:rPr>
              <w:t>.</w:t>
            </w:r>
          </w:p>
          <w:p w14:paraId="6F5E95B6" w14:textId="77777777" w:rsidR="003822C7" w:rsidRPr="00014D1D" w:rsidRDefault="00014D1D" w:rsidP="00E248BF">
            <w:pPr>
              <w:pStyle w:val="ListParagraph"/>
              <w:keepLines/>
              <w:numPr>
                <w:ilvl w:val="6"/>
                <w:numId w:val="57"/>
              </w:numPr>
              <w:tabs>
                <w:tab w:val="left" w:pos="720"/>
              </w:tabs>
              <w:suppressAutoHyphens w:val="0"/>
              <w:ind w:left="284" w:hanging="284"/>
              <w:rPr>
                <w:rFonts w:cstheme="minorHAnsi"/>
              </w:rPr>
            </w:pPr>
            <w:r w:rsidRPr="00AD4C1A">
              <w:rPr>
                <w:rFonts w:cstheme="minorHAnsi"/>
              </w:rPr>
              <w:t>Agree some exemptions/</w:t>
            </w:r>
            <w:r w:rsidR="00487FEF">
              <w:rPr>
                <w:rFonts w:cstheme="minorHAnsi"/>
              </w:rPr>
              <w:t>relax</w:t>
            </w:r>
            <w:r w:rsidRPr="00AD4C1A">
              <w:rPr>
                <w:rFonts w:cstheme="minorHAnsi"/>
              </w:rPr>
              <w:t>ations are needed for particular vehicle types and/or variants</w:t>
            </w:r>
            <w:r w:rsidR="003822C7" w:rsidRPr="00AD4C1A">
              <w:rPr>
                <w:rFonts w:cstheme="minorHAnsi"/>
              </w:rPr>
              <w:t>.</w:t>
            </w:r>
            <w:r w:rsidRPr="00AD4C1A">
              <w:rPr>
                <w:rFonts w:cstheme="minorHAnsi"/>
              </w:rPr>
              <w:t xml:space="preserve"> AEB, ESC, and LDWS would not be required for vehicles with four or more axles</w:t>
            </w:r>
            <w:r w:rsidR="00D5686F" w:rsidRPr="00AD4C1A">
              <w:rPr>
                <w:rFonts w:cstheme="minorHAnsi"/>
              </w:rPr>
              <w:t xml:space="preserve"> and vehicles designed for off-road use. </w:t>
            </w:r>
            <w:r w:rsidR="00E608B3" w:rsidRPr="00AD4C1A">
              <w:rPr>
                <w:rFonts w:cstheme="minorHAnsi"/>
              </w:rPr>
              <w:t>LPDs for s</w:t>
            </w:r>
            <w:r w:rsidR="00D5686F" w:rsidRPr="00AD4C1A">
              <w:rPr>
                <w:rFonts w:cstheme="minorHAnsi"/>
              </w:rPr>
              <w:t>ide underrun protection would not be required for tractors for semi-trailers (prime movers)</w:t>
            </w:r>
            <w:r w:rsidR="00E608B3" w:rsidRPr="00AD4C1A">
              <w:rPr>
                <w:rFonts w:cstheme="minorHAnsi"/>
              </w:rPr>
              <w:t xml:space="preserve">, and </w:t>
            </w:r>
            <w:r w:rsidR="00D5686F" w:rsidRPr="00AD4C1A">
              <w:rPr>
                <w:rFonts w:cstheme="minorHAnsi"/>
              </w:rPr>
              <w:t xml:space="preserve">derogations </w:t>
            </w:r>
            <w:r w:rsidR="00CB55F4" w:rsidRPr="00AD4C1A">
              <w:rPr>
                <w:rFonts w:cstheme="minorHAnsi"/>
              </w:rPr>
              <w:t>would apply to allow additional gaps for the movement of cranes and/or extendible support legs</w:t>
            </w:r>
            <w:r w:rsidR="00E608B3" w:rsidRPr="00AD4C1A">
              <w:rPr>
                <w:rFonts w:cstheme="minorHAnsi"/>
              </w:rPr>
              <w:t>, as well as other equipment fitted to special purpose vehicles (e.g. garbage bin loaders).</w:t>
            </w:r>
          </w:p>
          <w:p w14:paraId="1AA266F3" w14:textId="77777777" w:rsidR="003822C7" w:rsidRPr="00BB3331" w:rsidRDefault="00B725D2" w:rsidP="00E248BF">
            <w:pPr>
              <w:pStyle w:val="ListParagraph"/>
              <w:keepLines/>
              <w:numPr>
                <w:ilvl w:val="6"/>
                <w:numId w:val="57"/>
              </w:numPr>
              <w:tabs>
                <w:tab w:val="left" w:pos="720"/>
              </w:tabs>
              <w:suppressAutoHyphens w:val="0"/>
              <w:ind w:left="284" w:hanging="284"/>
              <w:rPr>
                <w:rFonts w:cstheme="minorHAnsi"/>
              </w:rPr>
            </w:pPr>
            <w:r>
              <w:rPr>
                <w:rFonts w:cstheme="minorHAnsi"/>
              </w:rPr>
              <w:t>T</w:t>
            </w:r>
            <w:r w:rsidR="005209CB" w:rsidRPr="005209CB">
              <w:rPr>
                <w:rFonts w:cstheme="minorHAnsi"/>
              </w:rPr>
              <w:t xml:space="preserve">he ADRs do not </w:t>
            </w:r>
            <w:r>
              <w:rPr>
                <w:rFonts w:cstheme="minorHAnsi"/>
              </w:rPr>
              <w:t xml:space="preserve">usually </w:t>
            </w:r>
            <w:r w:rsidR="005209CB" w:rsidRPr="005209CB">
              <w:rPr>
                <w:rFonts w:cstheme="minorHAnsi"/>
              </w:rPr>
              <w:t>set design requirements based on how a vehicle will be used in service</w:t>
            </w:r>
            <w:r>
              <w:rPr>
                <w:rFonts w:cstheme="minorHAnsi"/>
              </w:rPr>
              <w:t>.</w:t>
            </w:r>
            <w:r w:rsidR="005209CB" w:rsidRPr="005209CB">
              <w:rPr>
                <w:rFonts w:cstheme="minorHAnsi"/>
              </w:rPr>
              <w:t xml:space="preserve"> </w:t>
            </w:r>
            <w:r w:rsidR="007F0F5C" w:rsidRPr="00AD4C1A">
              <w:rPr>
                <w:rFonts w:cstheme="minorHAnsi"/>
              </w:rPr>
              <w:t xml:space="preserve">This would only be viable through </w:t>
            </w:r>
            <w:r w:rsidR="00D92DD3" w:rsidRPr="00AD4C1A">
              <w:rPr>
                <w:rFonts w:cstheme="minorHAnsi"/>
              </w:rPr>
              <w:t xml:space="preserve">the inclusion of specific </w:t>
            </w:r>
            <w:r w:rsidR="007F0F5C" w:rsidRPr="00AD4C1A">
              <w:rPr>
                <w:rFonts w:cstheme="minorHAnsi"/>
              </w:rPr>
              <w:t xml:space="preserve">exemptions and/or relaxations for vehicles with </w:t>
            </w:r>
            <w:r w:rsidR="004E15FF" w:rsidRPr="00AD4C1A">
              <w:rPr>
                <w:rFonts w:cstheme="minorHAnsi"/>
              </w:rPr>
              <w:t>particular</w:t>
            </w:r>
            <w:r w:rsidR="00697B2A" w:rsidRPr="00AD4C1A">
              <w:rPr>
                <w:rFonts w:cstheme="minorHAnsi"/>
              </w:rPr>
              <w:t xml:space="preserve"> design features</w:t>
            </w:r>
            <w:r w:rsidR="00D92DD3" w:rsidRPr="00AD4C1A">
              <w:rPr>
                <w:rFonts w:cstheme="minorHAnsi"/>
              </w:rPr>
              <w:t xml:space="preserve"> (e.g. extendible support legs) in the relevant standards</w:t>
            </w:r>
            <w:r w:rsidR="00697B2A" w:rsidRPr="00AD4C1A">
              <w:rPr>
                <w:rFonts w:cstheme="minorHAnsi"/>
              </w:rPr>
              <w:t xml:space="preserve">, and should be </w:t>
            </w:r>
            <w:r w:rsidR="00F32D28" w:rsidRPr="00AD4C1A">
              <w:rPr>
                <w:rFonts w:cstheme="minorHAnsi"/>
              </w:rPr>
              <w:t>limited to</w:t>
            </w:r>
            <w:r w:rsidR="00BB3331" w:rsidRPr="00AD4C1A">
              <w:rPr>
                <w:rFonts w:cstheme="minorHAnsi"/>
              </w:rPr>
              <w:t xml:space="preserve"> </w:t>
            </w:r>
            <w:r w:rsidR="004E15FF" w:rsidRPr="00AD4C1A">
              <w:rPr>
                <w:rFonts w:cstheme="minorHAnsi"/>
              </w:rPr>
              <w:t>targeted cases</w:t>
            </w:r>
            <w:r w:rsidR="00BB3331" w:rsidRPr="00AD4C1A">
              <w:rPr>
                <w:rFonts w:cstheme="minorHAnsi"/>
              </w:rPr>
              <w:t xml:space="preserve"> </w:t>
            </w:r>
            <w:r w:rsidR="00F32D28" w:rsidRPr="00AD4C1A">
              <w:rPr>
                <w:rFonts w:cstheme="minorHAnsi"/>
              </w:rPr>
              <w:t>for which</w:t>
            </w:r>
            <w:r w:rsidR="00697B2A" w:rsidRPr="00AD4C1A">
              <w:rPr>
                <w:rFonts w:cstheme="minorHAnsi"/>
              </w:rPr>
              <w:t xml:space="preserve"> </w:t>
            </w:r>
            <w:r w:rsidR="00BB3331" w:rsidRPr="00AD4C1A">
              <w:rPr>
                <w:rFonts w:cstheme="minorHAnsi"/>
              </w:rPr>
              <w:t xml:space="preserve">such </w:t>
            </w:r>
            <w:r w:rsidR="00F32D28" w:rsidRPr="00AD4C1A">
              <w:rPr>
                <w:rFonts w:cstheme="minorHAnsi"/>
              </w:rPr>
              <w:t xml:space="preserve">exemptions or relaxations </w:t>
            </w:r>
            <w:r w:rsidR="00BB3331" w:rsidRPr="00AD4C1A">
              <w:rPr>
                <w:rFonts w:cstheme="minorHAnsi"/>
              </w:rPr>
              <w:t xml:space="preserve">would </w:t>
            </w:r>
            <w:r w:rsidR="006E289D">
              <w:rPr>
                <w:rFonts w:cstheme="minorHAnsi"/>
              </w:rPr>
              <w:t xml:space="preserve">be likely to </w:t>
            </w:r>
            <w:r w:rsidR="00F32D28" w:rsidRPr="00AD4C1A">
              <w:rPr>
                <w:rFonts w:cstheme="minorHAnsi"/>
              </w:rPr>
              <w:t xml:space="preserve">have no more than a minor </w:t>
            </w:r>
            <w:r w:rsidR="004E15FF" w:rsidRPr="00AD4C1A">
              <w:rPr>
                <w:rFonts w:cstheme="minorHAnsi"/>
              </w:rPr>
              <w:t xml:space="preserve">regulatory </w:t>
            </w:r>
            <w:r w:rsidR="00F32D28" w:rsidRPr="00AD4C1A">
              <w:rPr>
                <w:rFonts w:cstheme="minorHAnsi"/>
              </w:rPr>
              <w:t>impact</w:t>
            </w:r>
            <w:r w:rsidR="005D7016">
              <w:rPr>
                <w:rFonts w:cstheme="minorHAnsi"/>
              </w:rPr>
              <w:t xml:space="preserve">, </w:t>
            </w:r>
            <w:r w:rsidR="00461615">
              <w:rPr>
                <w:rFonts w:cstheme="minorHAnsi"/>
                <w:szCs w:val="20"/>
              </w:rPr>
              <w:t xml:space="preserve">or </w:t>
            </w:r>
            <w:r w:rsidR="00461615">
              <w:rPr>
                <w:rFonts w:cstheme="minorHAnsi"/>
              </w:rPr>
              <w:t>that an LPD would be incompatible with the vehicle design use</w:t>
            </w:r>
            <w:r w:rsidR="005D7016">
              <w:rPr>
                <w:rFonts w:cstheme="minorHAnsi"/>
              </w:rPr>
              <w:t>.</w:t>
            </w:r>
          </w:p>
          <w:p w14:paraId="63542741" w14:textId="77777777" w:rsidR="003822C7" w:rsidRPr="00BB4E5B" w:rsidRDefault="003822C7" w:rsidP="00E248BF">
            <w:pPr>
              <w:pStyle w:val="ListParagraph"/>
              <w:keepLines/>
              <w:numPr>
                <w:ilvl w:val="6"/>
                <w:numId w:val="57"/>
              </w:numPr>
              <w:tabs>
                <w:tab w:val="left" w:pos="720"/>
              </w:tabs>
              <w:suppressAutoHyphens w:val="0"/>
              <w:ind w:left="284" w:hanging="284"/>
              <w:rPr>
                <w:rFonts w:cstheme="minorHAnsi"/>
              </w:rPr>
            </w:pPr>
            <w:r w:rsidRPr="00BB4E5B">
              <w:rPr>
                <w:rFonts w:cstheme="minorHAnsi"/>
              </w:rPr>
              <w:t>Noted.</w:t>
            </w:r>
          </w:p>
        </w:tc>
      </w:tr>
      <w:tr w:rsidR="003822C7" w:rsidRPr="007B6E69" w14:paraId="0BCF7C72" w14:textId="77777777" w:rsidTr="003822C7">
        <w:tc>
          <w:tcPr>
            <w:tcW w:w="1696" w:type="dxa"/>
          </w:tcPr>
          <w:p w14:paraId="08B692F9" w14:textId="77777777" w:rsidR="003822C7" w:rsidRPr="007B6E69" w:rsidRDefault="003822C7" w:rsidP="00637CF5">
            <w:pPr>
              <w:spacing w:before="120" w:after="120"/>
              <w:rPr>
                <w:rFonts w:cstheme="minorHAnsi"/>
              </w:rPr>
            </w:pPr>
            <w:proofErr w:type="spellStart"/>
            <w:r w:rsidRPr="007B6E69">
              <w:rPr>
                <w:rFonts w:cstheme="minorHAnsi"/>
              </w:rPr>
              <w:t>Maxitrans</w:t>
            </w:r>
            <w:proofErr w:type="spellEnd"/>
          </w:p>
        </w:tc>
        <w:tc>
          <w:tcPr>
            <w:tcW w:w="6379" w:type="dxa"/>
          </w:tcPr>
          <w:p w14:paraId="5F311234"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Recommends that h</w:t>
            </w:r>
            <w:r w:rsidRPr="00D80B35">
              <w:rPr>
                <w:rFonts w:cstheme="minorHAnsi"/>
              </w:rPr>
              <w:t xml:space="preserve">eavy tailers </w:t>
            </w:r>
            <w:r>
              <w:rPr>
                <w:rFonts w:cstheme="minorHAnsi"/>
              </w:rPr>
              <w:t>b</w:t>
            </w:r>
            <w:r w:rsidRPr="00D80B35">
              <w:rPr>
                <w:rFonts w:cstheme="minorHAnsi"/>
              </w:rPr>
              <w:t>e excluded from the proposed width changes.</w:t>
            </w:r>
          </w:p>
          <w:p w14:paraId="7894341F"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the proposed changes </w:t>
            </w:r>
            <w:r w:rsidRPr="007134DD">
              <w:rPr>
                <w:rFonts w:cstheme="minorHAnsi"/>
              </w:rPr>
              <w:t>to favour foreign producers entering the market, whilst introducing</w:t>
            </w:r>
            <w:r>
              <w:rPr>
                <w:rFonts w:cstheme="minorHAnsi"/>
              </w:rPr>
              <w:t xml:space="preserve"> </w:t>
            </w:r>
            <w:r w:rsidRPr="007134DD">
              <w:rPr>
                <w:rFonts w:cstheme="minorHAnsi"/>
              </w:rPr>
              <w:t>more complexity, cost, and uncertainty for domestic producers.</w:t>
            </w:r>
          </w:p>
          <w:p w14:paraId="68A0844B"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Is disappointed</w:t>
            </w:r>
            <w:r w:rsidRPr="00EE76F0">
              <w:rPr>
                <w:rFonts w:cstheme="minorHAnsi"/>
              </w:rPr>
              <w:t xml:space="preserve"> that the discussion paper does not reflect, or even mention, the potential</w:t>
            </w:r>
            <w:r>
              <w:rPr>
                <w:rFonts w:cstheme="minorHAnsi"/>
              </w:rPr>
              <w:t xml:space="preserve"> i</w:t>
            </w:r>
            <w:r w:rsidRPr="00EE76F0">
              <w:rPr>
                <w:rFonts w:cstheme="minorHAnsi"/>
              </w:rPr>
              <w:t>mplications that the proposed changes would introduce to the competitive environment, or the</w:t>
            </w:r>
            <w:r>
              <w:rPr>
                <w:rFonts w:cstheme="minorHAnsi"/>
              </w:rPr>
              <w:t xml:space="preserve"> </w:t>
            </w:r>
            <w:r w:rsidRPr="00EE76F0">
              <w:rPr>
                <w:rFonts w:cstheme="minorHAnsi"/>
              </w:rPr>
              <w:t>adverse impact on the Australian heavy trailer manufacturing industry.</w:t>
            </w:r>
          </w:p>
          <w:p w14:paraId="710014F9"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Notes </w:t>
            </w:r>
            <w:r w:rsidRPr="00EE76F0">
              <w:rPr>
                <w:rFonts w:cstheme="minorHAnsi"/>
              </w:rPr>
              <w:t>the total annual market of heavy trailers in Australia is less than the annual production of</w:t>
            </w:r>
            <w:r>
              <w:rPr>
                <w:rFonts w:cstheme="minorHAnsi"/>
              </w:rPr>
              <w:t xml:space="preserve"> </w:t>
            </w:r>
            <w:r w:rsidRPr="00EE76F0">
              <w:rPr>
                <w:rFonts w:cstheme="minorHAnsi"/>
              </w:rPr>
              <w:t>some individual companies in Europe, Asia, and North America</w:t>
            </w:r>
            <w:r>
              <w:rPr>
                <w:rFonts w:cstheme="minorHAnsi"/>
              </w:rPr>
              <w:t>.</w:t>
            </w:r>
          </w:p>
          <w:p w14:paraId="2B318B98"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R</w:t>
            </w:r>
            <w:r w:rsidRPr="00E1462D">
              <w:rPr>
                <w:rFonts w:cstheme="minorHAnsi"/>
              </w:rPr>
              <w:t>ecognises that increasing “globalisation” is inevitable and strongly believes that</w:t>
            </w:r>
            <w:r>
              <w:rPr>
                <w:rFonts w:cstheme="minorHAnsi"/>
              </w:rPr>
              <w:t xml:space="preserve"> </w:t>
            </w:r>
            <w:r w:rsidRPr="00E1462D">
              <w:rPr>
                <w:rFonts w:cstheme="minorHAnsi"/>
              </w:rPr>
              <w:t>government regulatory changes that open markets should be balanced with industry support to</w:t>
            </w:r>
            <w:r>
              <w:rPr>
                <w:rFonts w:cstheme="minorHAnsi"/>
              </w:rPr>
              <w:t xml:space="preserve"> </w:t>
            </w:r>
            <w:r w:rsidRPr="00E1462D">
              <w:rPr>
                <w:rFonts w:cstheme="minorHAnsi"/>
              </w:rPr>
              <w:t>assist affected industries.</w:t>
            </w:r>
          </w:p>
          <w:p w14:paraId="26C518DE"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Believes a</w:t>
            </w:r>
            <w:r w:rsidRPr="00E1462D">
              <w:rPr>
                <w:rFonts w:cstheme="minorHAnsi"/>
              </w:rPr>
              <w:t>ddressing increased international competition will be a significant</w:t>
            </w:r>
            <w:r>
              <w:rPr>
                <w:rFonts w:cstheme="minorHAnsi"/>
              </w:rPr>
              <w:t xml:space="preserve"> </w:t>
            </w:r>
            <w:r w:rsidRPr="00E1462D">
              <w:rPr>
                <w:rFonts w:cstheme="minorHAnsi"/>
              </w:rPr>
              <w:t>challenge to Australian heavy trailer manufacturers</w:t>
            </w:r>
            <w:r>
              <w:rPr>
                <w:rFonts w:cstheme="minorHAnsi"/>
              </w:rPr>
              <w:t xml:space="preserve"> – </w:t>
            </w:r>
            <w:r w:rsidRPr="00A552FE">
              <w:rPr>
                <w:rFonts w:cstheme="minorHAnsi"/>
              </w:rPr>
              <w:t>having to adapt in a short time frame, in the face of foreign suppliers who either have comparatively low labour rates, and/or large home market volumes, has the potential to decimate heavy trailer manufacturing in Australia.</w:t>
            </w:r>
          </w:p>
          <w:p w14:paraId="7257BD89" w14:textId="77777777" w:rsidR="003822C7" w:rsidRPr="00A552FE"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Argues that changing t</w:t>
            </w:r>
            <w:r w:rsidRPr="00A552FE">
              <w:rPr>
                <w:rFonts w:cstheme="minorHAnsi"/>
              </w:rPr>
              <w:t>he widths of trailers is not a simple design and manufacturing change</w:t>
            </w:r>
            <w:r>
              <w:rPr>
                <w:rFonts w:cstheme="minorHAnsi"/>
              </w:rPr>
              <w:t xml:space="preserve"> – claims t</w:t>
            </w:r>
            <w:r w:rsidRPr="00A552FE">
              <w:rPr>
                <w:rFonts w:cstheme="minorHAnsi"/>
              </w:rPr>
              <w:t>he</w:t>
            </w:r>
            <w:r>
              <w:rPr>
                <w:rFonts w:cstheme="minorHAnsi"/>
              </w:rPr>
              <w:t xml:space="preserve"> </w:t>
            </w:r>
            <w:r w:rsidRPr="00A552FE">
              <w:rPr>
                <w:rFonts w:cstheme="minorHAnsi"/>
              </w:rPr>
              <w:t>implementation costs will run into several million dollars in design changes, modelling, engineering, tooling, jigging, sourcing, and supplier costs.</w:t>
            </w:r>
          </w:p>
          <w:p w14:paraId="2B0F1626"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Is concerned about the addition of </w:t>
            </w:r>
            <w:r w:rsidRPr="009579D8">
              <w:rPr>
                <w:rFonts w:cstheme="minorHAnsi"/>
              </w:rPr>
              <w:t>further uncertainty and/or complexity into the regulatory environment</w:t>
            </w:r>
            <w:r>
              <w:rPr>
                <w:rFonts w:cstheme="minorHAnsi"/>
              </w:rPr>
              <w:t xml:space="preserve">, including the possibility of different new and used trailer widths, and that an increase to 2.55 m could be followed in a short period by an increase to </w:t>
            </w:r>
            <w:r w:rsidR="00B9347B">
              <w:rPr>
                <w:rFonts w:cstheme="minorHAnsi"/>
              </w:rPr>
              <w:t>2.60</w:t>
            </w:r>
            <w:r>
              <w:rPr>
                <w:rFonts w:cstheme="minorHAnsi"/>
              </w:rPr>
              <w:t> m.</w:t>
            </w:r>
          </w:p>
          <w:p w14:paraId="7CD18080" w14:textId="77777777" w:rsidR="003822C7" w:rsidRPr="00C42FA6"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b</w:t>
            </w:r>
            <w:r w:rsidRPr="00C42FA6">
              <w:rPr>
                <w:rFonts w:cstheme="minorHAnsi"/>
              </w:rPr>
              <w:t>usinesses require some certainty to determine investment priorities and deliver outcomes</w:t>
            </w:r>
            <w:r>
              <w:rPr>
                <w:rFonts w:cstheme="minorHAnsi"/>
              </w:rPr>
              <w:t xml:space="preserve"> – </w:t>
            </w:r>
            <w:r w:rsidRPr="00C42FA6">
              <w:rPr>
                <w:rFonts w:cstheme="minorHAnsi"/>
              </w:rPr>
              <w:t>investment horizons extend over many years and need to assume some baseline in the</w:t>
            </w:r>
            <w:r>
              <w:rPr>
                <w:rFonts w:cstheme="minorHAnsi"/>
              </w:rPr>
              <w:t xml:space="preserve"> </w:t>
            </w:r>
            <w:r w:rsidRPr="00C42FA6">
              <w:rPr>
                <w:rFonts w:cstheme="minorHAnsi"/>
              </w:rPr>
              <w:t>environment, including the regulatory framework</w:t>
            </w:r>
            <w:r>
              <w:rPr>
                <w:rFonts w:cstheme="minorHAnsi"/>
              </w:rPr>
              <w:t>.</w:t>
            </w:r>
          </w:p>
          <w:p w14:paraId="0C3BA065"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Believes </w:t>
            </w:r>
            <w:r w:rsidRPr="00D80B35">
              <w:rPr>
                <w:rFonts w:cstheme="minorHAnsi"/>
              </w:rPr>
              <w:t>that current PBS processes could be used to implement increased</w:t>
            </w:r>
            <w:r>
              <w:rPr>
                <w:rFonts w:cstheme="minorHAnsi"/>
              </w:rPr>
              <w:t xml:space="preserve"> </w:t>
            </w:r>
            <w:r w:rsidRPr="00D80B35">
              <w:rPr>
                <w:rFonts w:cstheme="minorHAnsi"/>
              </w:rPr>
              <w:t>widths on heavy trailers, including refrigerated trailers</w:t>
            </w:r>
            <w:r>
              <w:rPr>
                <w:rFonts w:cstheme="minorHAnsi"/>
              </w:rPr>
              <w:t xml:space="preserve"> – t</w:t>
            </w:r>
            <w:r w:rsidRPr="00D80B35">
              <w:rPr>
                <w:rFonts w:cstheme="minorHAnsi"/>
              </w:rPr>
              <w:t>his path offers the opportunity to</w:t>
            </w:r>
            <w:r>
              <w:rPr>
                <w:rFonts w:cstheme="minorHAnsi"/>
              </w:rPr>
              <w:t xml:space="preserve"> </w:t>
            </w:r>
            <w:r w:rsidRPr="00D80B35">
              <w:rPr>
                <w:rFonts w:cstheme="minorHAnsi"/>
              </w:rPr>
              <w:t>test assumptions around economic and operational benefit before irreversibly mandating an</w:t>
            </w:r>
            <w:r>
              <w:rPr>
                <w:rFonts w:cstheme="minorHAnsi"/>
              </w:rPr>
              <w:t xml:space="preserve"> </w:t>
            </w:r>
            <w:r w:rsidRPr="00D80B35">
              <w:rPr>
                <w:rFonts w:cstheme="minorHAnsi"/>
              </w:rPr>
              <w:t>outcome.</w:t>
            </w:r>
          </w:p>
          <w:p w14:paraId="6684F9C3" w14:textId="77777777" w:rsidR="003822C7" w:rsidRPr="00EC72D6"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m</w:t>
            </w:r>
            <w:r w:rsidRPr="00582044">
              <w:rPr>
                <w:rFonts w:cstheme="minorHAnsi"/>
              </w:rPr>
              <w:t>any trailer types are mass limited in operation and</w:t>
            </w:r>
            <w:r>
              <w:rPr>
                <w:rFonts w:cstheme="minorHAnsi"/>
              </w:rPr>
              <w:t xml:space="preserve"> </w:t>
            </w:r>
            <w:r w:rsidRPr="00582044">
              <w:rPr>
                <w:rFonts w:cstheme="minorHAnsi"/>
              </w:rPr>
              <w:t>could not effectively utilise any volume increases</w:t>
            </w:r>
            <w:r>
              <w:rPr>
                <w:rFonts w:cstheme="minorHAnsi"/>
              </w:rPr>
              <w:t xml:space="preserve"> – </w:t>
            </w:r>
            <w:r w:rsidRPr="00EC72D6">
              <w:rPr>
                <w:rFonts w:cstheme="minorHAnsi"/>
              </w:rPr>
              <w:t>should there be an economic benefit in volumetric increases, through wider trailers, PBS solutions could already be utilised to deliver these outcomes.</w:t>
            </w:r>
          </w:p>
          <w:p w14:paraId="166E9B17"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Notes </w:t>
            </w:r>
            <w:r w:rsidRPr="004A67E2">
              <w:rPr>
                <w:rFonts w:cstheme="minorHAnsi"/>
              </w:rPr>
              <w:t>Australian</w:t>
            </w:r>
            <w:r>
              <w:rPr>
                <w:rFonts w:cstheme="minorHAnsi"/>
              </w:rPr>
              <w:t xml:space="preserve"> </w:t>
            </w:r>
            <w:r w:rsidRPr="004A67E2">
              <w:rPr>
                <w:rFonts w:cstheme="minorHAnsi"/>
              </w:rPr>
              <w:t>logistics supply chains are built around current heavy trailer dimensioning</w:t>
            </w:r>
            <w:r>
              <w:rPr>
                <w:rFonts w:cstheme="minorHAnsi"/>
              </w:rPr>
              <w:t xml:space="preserve"> – i</w:t>
            </w:r>
            <w:r w:rsidRPr="004A67E2">
              <w:rPr>
                <w:rFonts w:cstheme="minorHAnsi"/>
              </w:rPr>
              <w:t>nterfaces to</w:t>
            </w:r>
            <w:r>
              <w:rPr>
                <w:rFonts w:cstheme="minorHAnsi"/>
              </w:rPr>
              <w:t xml:space="preserve"> </w:t>
            </w:r>
            <w:r w:rsidRPr="004A67E2">
              <w:rPr>
                <w:rFonts w:cstheme="minorHAnsi"/>
              </w:rPr>
              <w:t xml:space="preserve">load/unload facilities, container and pallet sizes, </w:t>
            </w:r>
            <w:r>
              <w:rPr>
                <w:rFonts w:cstheme="minorHAnsi"/>
              </w:rPr>
              <w:t xml:space="preserve">and </w:t>
            </w:r>
            <w:r w:rsidRPr="004A67E2">
              <w:rPr>
                <w:rFonts w:cstheme="minorHAnsi"/>
              </w:rPr>
              <w:t>load balancing and stability all need to be</w:t>
            </w:r>
            <w:r>
              <w:rPr>
                <w:rFonts w:cstheme="minorHAnsi"/>
              </w:rPr>
              <w:t xml:space="preserve"> </w:t>
            </w:r>
            <w:r w:rsidRPr="004A67E2">
              <w:rPr>
                <w:rFonts w:cstheme="minorHAnsi"/>
              </w:rPr>
              <w:t>assessed and adapted to make use of any changes</w:t>
            </w:r>
            <w:r>
              <w:rPr>
                <w:rFonts w:cstheme="minorHAnsi"/>
              </w:rPr>
              <w:t xml:space="preserve">, which </w:t>
            </w:r>
            <w:r w:rsidRPr="004A67E2">
              <w:rPr>
                <w:rFonts w:cstheme="minorHAnsi"/>
              </w:rPr>
              <w:t>w</w:t>
            </w:r>
            <w:r>
              <w:rPr>
                <w:rFonts w:cstheme="minorHAnsi"/>
              </w:rPr>
              <w:t>ould</w:t>
            </w:r>
            <w:r w:rsidRPr="004A67E2">
              <w:rPr>
                <w:rFonts w:cstheme="minorHAnsi"/>
              </w:rPr>
              <w:t xml:space="preserve"> require time and investment</w:t>
            </w:r>
            <w:r>
              <w:rPr>
                <w:rFonts w:cstheme="minorHAnsi"/>
              </w:rPr>
              <w:t>.</w:t>
            </w:r>
          </w:p>
          <w:p w14:paraId="2C406E64"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w:t>
            </w:r>
            <w:r w:rsidRPr="00D50F83">
              <w:rPr>
                <w:rFonts w:cstheme="minorHAnsi"/>
              </w:rPr>
              <w:t xml:space="preserve">the ADRs do not provide </w:t>
            </w:r>
            <w:r>
              <w:rPr>
                <w:rFonts w:cstheme="minorHAnsi"/>
              </w:rPr>
              <w:t xml:space="preserve">[full] </w:t>
            </w:r>
            <w:r w:rsidRPr="00D50F83">
              <w:rPr>
                <w:rFonts w:cstheme="minorHAnsi"/>
              </w:rPr>
              <w:t>coverage of heavy trailer minimum design,</w:t>
            </w:r>
            <w:r>
              <w:rPr>
                <w:rFonts w:cstheme="minorHAnsi"/>
              </w:rPr>
              <w:t xml:space="preserve"> </w:t>
            </w:r>
            <w:r w:rsidRPr="00D50F83">
              <w:rPr>
                <w:rFonts w:cstheme="minorHAnsi"/>
              </w:rPr>
              <w:t>engineering, or manufacturing standards</w:t>
            </w:r>
            <w:r>
              <w:rPr>
                <w:rFonts w:cstheme="minorHAnsi"/>
              </w:rPr>
              <w:t>,</w:t>
            </w:r>
            <w:r w:rsidRPr="00D50F83">
              <w:rPr>
                <w:rFonts w:cstheme="minorHAnsi"/>
              </w:rPr>
              <w:t xml:space="preserve"> and may not be sufficient to ensure acceptable</w:t>
            </w:r>
            <w:r>
              <w:rPr>
                <w:rFonts w:cstheme="minorHAnsi"/>
              </w:rPr>
              <w:t xml:space="preserve"> </w:t>
            </w:r>
            <w:r w:rsidRPr="00D50F83">
              <w:rPr>
                <w:rFonts w:cstheme="minorHAnsi"/>
              </w:rPr>
              <w:t>foreign product quality and safety.</w:t>
            </w:r>
          </w:p>
          <w:p w14:paraId="3ED7AC2C"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Recommends where </w:t>
            </w:r>
            <w:r w:rsidRPr="00D50F83">
              <w:rPr>
                <w:rFonts w:cstheme="minorHAnsi"/>
              </w:rPr>
              <w:t>ADRs are in place that sufficient resource is applied to audit and ensure</w:t>
            </w:r>
            <w:r>
              <w:rPr>
                <w:rFonts w:cstheme="minorHAnsi"/>
              </w:rPr>
              <w:t xml:space="preserve"> </w:t>
            </w:r>
            <w:r w:rsidRPr="00D50F83">
              <w:rPr>
                <w:rFonts w:cstheme="minorHAnsi"/>
              </w:rPr>
              <w:t>compliance.</w:t>
            </w:r>
          </w:p>
          <w:p w14:paraId="72F4F683" w14:textId="77777777" w:rsidR="003822C7" w:rsidRPr="00350CF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the </w:t>
            </w:r>
            <w:r w:rsidRPr="00D74AD5">
              <w:rPr>
                <w:rFonts w:cstheme="minorHAnsi"/>
              </w:rPr>
              <w:t xml:space="preserve">safety benefits of </w:t>
            </w:r>
            <w:r>
              <w:rPr>
                <w:rFonts w:cstheme="minorHAnsi"/>
              </w:rPr>
              <w:t xml:space="preserve">side underrun, </w:t>
            </w:r>
            <w:proofErr w:type="spellStart"/>
            <w:r>
              <w:rPr>
                <w:rFonts w:cstheme="minorHAnsi"/>
              </w:rPr>
              <w:t>conspicuity</w:t>
            </w:r>
            <w:proofErr w:type="spellEnd"/>
            <w:r>
              <w:rPr>
                <w:rFonts w:cstheme="minorHAnsi"/>
              </w:rPr>
              <w:t xml:space="preserve"> markings and reversing lamps, </w:t>
            </w:r>
            <w:r w:rsidRPr="00D74AD5">
              <w:rPr>
                <w:rFonts w:cstheme="minorHAnsi"/>
              </w:rPr>
              <w:t>are not dependent on, or</w:t>
            </w:r>
            <w:r>
              <w:rPr>
                <w:rFonts w:cstheme="minorHAnsi"/>
              </w:rPr>
              <w:t xml:space="preserve"> </w:t>
            </w:r>
            <w:r w:rsidRPr="00D74AD5">
              <w:rPr>
                <w:rFonts w:cstheme="minorHAnsi"/>
              </w:rPr>
              <w:t>related to, trailer width</w:t>
            </w:r>
            <w:r>
              <w:rPr>
                <w:rFonts w:cstheme="minorHAnsi"/>
              </w:rPr>
              <w:t xml:space="preserve"> – i</w:t>
            </w:r>
            <w:r w:rsidRPr="00350CF7">
              <w:rPr>
                <w:rFonts w:cstheme="minorHAnsi"/>
              </w:rPr>
              <w:t>f these are deemed necessary, they can and should be implemented on all trailers.</w:t>
            </w:r>
          </w:p>
          <w:p w14:paraId="3AA1FA53" w14:textId="77777777"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more c</w:t>
            </w:r>
            <w:r w:rsidRPr="00BC79FE">
              <w:rPr>
                <w:rFonts w:cstheme="minorHAnsi"/>
              </w:rPr>
              <w:t>onsistent regulation and rules across state-based jurisdictions would reduce complexity</w:t>
            </w:r>
            <w:r>
              <w:rPr>
                <w:rFonts w:cstheme="minorHAnsi"/>
              </w:rPr>
              <w:t xml:space="preserve"> </w:t>
            </w:r>
            <w:r w:rsidRPr="00BC79FE">
              <w:rPr>
                <w:rFonts w:cstheme="minorHAnsi"/>
              </w:rPr>
              <w:t>and cost of producing and operating heavy trailers</w:t>
            </w:r>
            <w:r>
              <w:rPr>
                <w:rFonts w:cstheme="minorHAnsi"/>
              </w:rPr>
              <w:t>.</w:t>
            </w:r>
          </w:p>
          <w:p w14:paraId="730D0A01" w14:textId="77777777" w:rsidR="003822C7" w:rsidRPr="00D80B35"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Believes i</w:t>
            </w:r>
            <w:r w:rsidRPr="00D80B35">
              <w:rPr>
                <w:rFonts w:cstheme="minorHAnsi"/>
              </w:rPr>
              <w:t xml:space="preserve">mproving the consistency, efficiency and effectiveness of </w:t>
            </w:r>
            <w:r>
              <w:rPr>
                <w:rFonts w:cstheme="minorHAnsi"/>
              </w:rPr>
              <w:t>PBS</w:t>
            </w:r>
            <w:r w:rsidRPr="00D80B35">
              <w:rPr>
                <w:rFonts w:cstheme="minorHAnsi"/>
              </w:rPr>
              <w:t xml:space="preserve"> would assist in</w:t>
            </w:r>
            <w:r>
              <w:rPr>
                <w:rFonts w:cstheme="minorHAnsi"/>
              </w:rPr>
              <w:t xml:space="preserve"> </w:t>
            </w:r>
            <w:r w:rsidRPr="00D80B35">
              <w:rPr>
                <w:rFonts w:cstheme="minorHAnsi"/>
              </w:rPr>
              <w:cr/>
              <w:t xml:space="preserve">reducing costs and allow </w:t>
            </w:r>
            <w:r>
              <w:rPr>
                <w:rFonts w:cstheme="minorHAnsi"/>
              </w:rPr>
              <w:t xml:space="preserve">its </w:t>
            </w:r>
            <w:r w:rsidRPr="00D80B35">
              <w:rPr>
                <w:rFonts w:cstheme="minorHAnsi"/>
              </w:rPr>
              <w:t>more widespread use.</w:t>
            </w:r>
          </w:p>
        </w:tc>
        <w:tc>
          <w:tcPr>
            <w:tcW w:w="6521" w:type="dxa"/>
            <w:gridSpan w:val="2"/>
          </w:tcPr>
          <w:p w14:paraId="5645CFFC" w14:textId="77777777" w:rsidR="003822C7" w:rsidRPr="004C1151" w:rsidRDefault="005971DE" w:rsidP="00E248BF">
            <w:pPr>
              <w:pStyle w:val="ListParagraph"/>
              <w:keepLines/>
              <w:numPr>
                <w:ilvl w:val="0"/>
                <w:numId w:val="75"/>
              </w:numPr>
              <w:tabs>
                <w:tab w:val="left" w:pos="720"/>
              </w:tabs>
              <w:suppressAutoHyphens w:val="0"/>
              <w:rPr>
                <w:rFonts w:cstheme="minorHAnsi"/>
              </w:rPr>
            </w:pPr>
            <w:r w:rsidRPr="00EF05FD">
              <w:rPr>
                <w:rFonts w:cstheme="minorHAnsi"/>
                <w:szCs w:val="20"/>
              </w:rPr>
              <w:t>The</w:t>
            </w:r>
            <w:r w:rsidR="00453FBD" w:rsidRPr="00EF05FD">
              <w:rPr>
                <w:rFonts w:cstheme="minorHAnsi"/>
                <w:szCs w:val="20"/>
              </w:rPr>
              <w:t xml:space="preserve"> </w:t>
            </w:r>
            <w:r w:rsidR="00C45600">
              <w:rPr>
                <w:rFonts w:cstheme="minorHAnsi"/>
                <w:szCs w:val="20"/>
              </w:rPr>
              <w:t>IA</w:t>
            </w:r>
            <w:r w:rsidR="00453FBD" w:rsidRPr="00EF05FD">
              <w:rPr>
                <w:rFonts w:cstheme="minorHAnsi"/>
                <w:szCs w:val="20"/>
              </w:rPr>
              <w:t xml:space="preserve"> recommends </w:t>
            </w:r>
            <w:r w:rsidR="00EF05FD" w:rsidRPr="00EF05FD">
              <w:rPr>
                <w:rFonts w:cstheme="minorHAnsi"/>
                <w:szCs w:val="20"/>
              </w:rPr>
              <w:t xml:space="preserve">that the </w:t>
            </w:r>
            <w:r w:rsidR="00EF05FD" w:rsidRPr="00EF05FD">
              <w:t>Australian Government implement Option</w:t>
            </w:r>
            <w:r w:rsidR="00EF05FD">
              <w:t> </w:t>
            </w:r>
            <w:r w:rsidR="00EF05FD" w:rsidRPr="00EF05FD">
              <w:t>3.1b (2.55 m wide goods vehicles only)</w:t>
            </w:r>
            <w:r w:rsidR="00EF05FD">
              <w:t xml:space="preserve"> at this stage. This approach will enable consultation to be undertaken on the benefit-cost analysis and </w:t>
            </w:r>
            <w:r w:rsidR="00C45600">
              <w:t>IA</w:t>
            </w:r>
            <w:r w:rsidR="00EF05FD">
              <w:t>, to ensure impacts are well understood, before any decision is made in regard to the width limit for trailers.</w:t>
            </w:r>
          </w:p>
          <w:p w14:paraId="4F48C7B2" w14:textId="77777777" w:rsidR="003822C7" w:rsidRPr="00A83E0F" w:rsidRDefault="006C7CDE" w:rsidP="00E248BF">
            <w:pPr>
              <w:pStyle w:val="ListParagraph"/>
              <w:keepLines/>
              <w:numPr>
                <w:ilvl w:val="0"/>
                <w:numId w:val="75"/>
              </w:numPr>
              <w:tabs>
                <w:tab w:val="left" w:pos="720"/>
              </w:tabs>
              <w:suppressAutoHyphens w:val="0"/>
              <w:rPr>
                <w:rFonts w:cstheme="minorHAnsi"/>
              </w:rPr>
            </w:pPr>
            <w:r w:rsidRPr="00A83E0F">
              <w:rPr>
                <w:rFonts w:cstheme="minorHAnsi"/>
                <w:szCs w:val="20"/>
              </w:rPr>
              <w:t>The pr</w:t>
            </w:r>
            <w:r w:rsidR="00DC0E26" w:rsidRPr="00A83E0F">
              <w:rPr>
                <w:rFonts w:cstheme="minorHAnsi"/>
                <w:szCs w:val="20"/>
              </w:rPr>
              <w:t>oposed changes are not intended to favour either importers or domestic manufacturers</w:t>
            </w:r>
            <w:r w:rsidR="003822C7" w:rsidRPr="00A83E0F">
              <w:rPr>
                <w:rFonts w:cstheme="minorHAnsi"/>
                <w:szCs w:val="20"/>
              </w:rPr>
              <w:t>.</w:t>
            </w:r>
            <w:r w:rsidR="00DC0E26" w:rsidRPr="00A83E0F">
              <w:rPr>
                <w:rFonts w:cstheme="minorHAnsi"/>
                <w:szCs w:val="20"/>
              </w:rPr>
              <w:t xml:space="preserve"> They are intended to </w:t>
            </w:r>
            <w:r w:rsidR="00A83E0F" w:rsidRPr="00A83E0F">
              <w:rPr>
                <w:rFonts w:cstheme="minorHAnsi"/>
                <w:szCs w:val="20"/>
              </w:rPr>
              <w:t xml:space="preserve">achieve the best outcomes for the </w:t>
            </w:r>
            <w:r w:rsidR="00A83E0F">
              <w:rPr>
                <w:rFonts w:cstheme="minorHAnsi"/>
                <w:szCs w:val="20"/>
              </w:rPr>
              <w:t xml:space="preserve">Australian </w:t>
            </w:r>
            <w:r w:rsidR="00A83E0F" w:rsidRPr="00A83E0F">
              <w:rPr>
                <w:rFonts w:cstheme="minorHAnsi"/>
                <w:szCs w:val="20"/>
              </w:rPr>
              <w:t xml:space="preserve">community as a whole, and to </w:t>
            </w:r>
            <w:r w:rsidR="00DC0E26" w:rsidRPr="00A83E0F">
              <w:rPr>
                <w:rFonts w:cstheme="minorHAnsi"/>
                <w:szCs w:val="20"/>
              </w:rPr>
              <w:t>ensure all ADR requirements align with the objects of the RVSA and the purposes for which a Minister may determine national road vehicles standards under the RVSA.</w:t>
            </w:r>
          </w:p>
          <w:p w14:paraId="3621C6A4" w14:textId="77777777" w:rsidR="003822C7" w:rsidRPr="005971DE" w:rsidRDefault="007633AD" w:rsidP="00E248BF">
            <w:pPr>
              <w:pStyle w:val="ListParagraph"/>
              <w:keepLines/>
              <w:numPr>
                <w:ilvl w:val="0"/>
                <w:numId w:val="75"/>
              </w:numPr>
              <w:tabs>
                <w:tab w:val="left" w:pos="720"/>
              </w:tabs>
              <w:suppressAutoHyphens w:val="0"/>
              <w:rPr>
                <w:rFonts w:cstheme="minorHAnsi"/>
              </w:rPr>
            </w:pPr>
            <w:r w:rsidRPr="005971DE">
              <w:rPr>
                <w:rFonts w:cstheme="minorHAnsi"/>
                <w:szCs w:val="20"/>
              </w:rPr>
              <w:t xml:space="preserve">The </w:t>
            </w:r>
            <w:r w:rsidR="002133CD" w:rsidRPr="005971DE">
              <w:rPr>
                <w:rFonts w:cstheme="minorHAnsi"/>
                <w:szCs w:val="20"/>
              </w:rPr>
              <w:t xml:space="preserve">discussion </w:t>
            </w:r>
            <w:r w:rsidRPr="005971DE">
              <w:rPr>
                <w:rFonts w:cstheme="minorHAnsi"/>
                <w:szCs w:val="20"/>
              </w:rPr>
              <w:t xml:space="preserve">paper </w:t>
            </w:r>
            <w:r w:rsidR="002133CD" w:rsidRPr="005971DE">
              <w:rPr>
                <w:rFonts w:cstheme="minorHAnsi"/>
                <w:szCs w:val="20"/>
              </w:rPr>
              <w:t xml:space="preserve">was </w:t>
            </w:r>
            <w:r w:rsidRPr="005971DE">
              <w:rPr>
                <w:rFonts w:cstheme="minorHAnsi"/>
                <w:szCs w:val="20"/>
              </w:rPr>
              <w:t>focus</w:t>
            </w:r>
            <w:r w:rsidR="002133CD" w:rsidRPr="005971DE">
              <w:rPr>
                <w:rFonts w:cstheme="minorHAnsi"/>
                <w:szCs w:val="20"/>
              </w:rPr>
              <w:t>sed</w:t>
            </w:r>
            <w:r w:rsidRPr="005971DE">
              <w:rPr>
                <w:rFonts w:cstheme="minorHAnsi"/>
                <w:szCs w:val="20"/>
              </w:rPr>
              <w:t xml:space="preserve"> on the </w:t>
            </w:r>
            <w:r w:rsidR="002133CD" w:rsidRPr="005971DE">
              <w:rPr>
                <w:rFonts w:cstheme="minorHAnsi"/>
                <w:szCs w:val="20"/>
              </w:rPr>
              <w:t xml:space="preserve">purposes </w:t>
            </w:r>
            <w:r w:rsidR="005971DE" w:rsidRPr="005971DE">
              <w:rPr>
                <w:rFonts w:cstheme="minorHAnsi"/>
                <w:szCs w:val="20"/>
              </w:rPr>
              <w:t xml:space="preserve">for which </w:t>
            </w:r>
            <w:r w:rsidR="002133CD" w:rsidRPr="005971DE">
              <w:rPr>
                <w:rFonts w:cstheme="minorHAnsi"/>
                <w:szCs w:val="20"/>
              </w:rPr>
              <w:t xml:space="preserve">a Minister may determine national road vehicle standards. As per subsection 12(1) of the RVSA, these include to make road vehicles safe to use, control emissions, secure vehicles against theft, and promote </w:t>
            </w:r>
            <w:r w:rsidR="005971DE" w:rsidRPr="005971DE">
              <w:rPr>
                <w:rFonts w:cstheme="minorHAnsi"/>
                <w:szCs w:val="20"/>
              </w:rPr>
              <w:t>the saving of energy</w:t>
            </w:r>
            <w:r w:rsidR="003822C7" w:rsidRPr="005971DE">
              <w:rPr>
                <w:rFonts w:cstheme="minorHAnsi"/>
              </w:rPr>
              <w:t>.</w:t>
            </w:r>
            <w:r w:rsidR="00823DDC">
              <w:rPr>
                <w:rFonts w:cstheme="minorHAnsi"/>
              </w:rPr>
              <w:t xml:space="preserve"> ADRs are not determined to restrict market access or otherwise limit competition.</w:t>
            </w:r>
          </w:p>
          <w:p w14:paraId="48CE464A" w14:textId="77777777"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14:paraId="2C6B4E04" w14:textId="77777777" w:rsidR="003822C7" w:rsidRPr="004C1151" w:rsidRDefault="004124EF" w:rsidP="00E248BF">
            <w:pPr>
              <w:pStyle w:val="ListParagraph"/>
              <w:keepLines/>
              <w:numPr>
                <w:ilvl w:val="0"/>
                <w:numId w:val="75"/>
              </w:numPr>
              <w:tabs>
                <w:tab w:val="left" w:pos="720"/>
              </w:tabs>
              <w:suppressAutoHyphens w:val="0"/>
              <w:rPr>
                <w:rFonts w:cstheme="minorHAnsi"/>
              </w:rPr>
            </w:pPr>
            <w:r>
              <w:rPr>
                <w:rFonts w:cstheme="minorHAnsi"/>
              </w:rPr>
              <w:t>Further consultation is proposed before any decision to increase the trailer width limit.</w:t>
            </w:r>
          </w:p>
          <w:p w14:paraId="2B9CADB8" w14:textId="77777777" w:rsidR="003822C7" w:rsidRPr="00A83E0F" w:rsidRDefault="00D77C14" w:rsidP="00E248BF">
            <w:pPr>
              <w:pStyle w:val="ListParagraph"/>
              <w:keepLines/>
              <w:numPr>
                <w:ilvl w:val="0"/>
                <w:numId w:val="75"/>
              </w:numPr>
              <w:tabs>
                <w:tab w:val="left" w:pos="720"/>
              </w:tabs>
              <w:suppressAutoHyphens w:val="0"/>
              <w:rPr>
                <w:rFonts w:cstheme="minorHAnsi"/>
              </w:rPr>
            </w:pPr>
            <w:r w:rsidRPr="00D75BB3">
              <w:rPr>
                <w:rFonts w:cstheme="minorHAnsi"/>
                <w:szCs w:val="20"/>
              </w:rPr>
              <w:t xml:space="preserve">Consider the substantial market share (over 90% for heavy trailers) for domestic trailer manufacturers has been built on much more than just the width limit. Domestic manufacturers are able to build trailers specifically designed for and well suited to withstand Australian conditions, and can </w:t>
            </w:r>
            <w:r>
              <w:rPr>
                <w:rFonts w:cstheme="minorHAnsi"/>
                <w:szCs w:val="20"/>
              </w:rPr>
              <w:t xml:space="preserve">also </w:t>
            </w:r>
            <w:r w:rsidRPr="00D75BB3">
              <w:rPr>
                <w:rFonts w:cstheme="minorHAnsi"/>
                <w:szCs w:val="20"/>
              </w:rPr>
              <w:t xml:space="preserve">avoid </w:t>
            </w:r>
            <w:r>
              <w:rPr>
                <w:rFonts w:cstheme="minorHAnsi"/>
                <w:szCs w:val="20"/>
              </w:rPr>
              <w:t>significant</w:t>
            </w:r>
            <w:r w:rsidRPr="00D75BB3">
              <w:rPr>
                <w:rFonts w:cstheme="minorHAnsi"/>
                <w:szCs w:val="20"/>
              </w:rPr>
              <w:t xml:space="preserve"> costs to ship large trailers to Australia.</w:t>
            </w:r>
            <w:r>
              <w:rPr>
                <w:rFonts w:cstheme="minorHAnsi"/>
                <w:szCs w:val="20"/>
              </w:rPr>
              <w:t xml:space="preserve"> </w:t>
            </w:r>
            <w:r>
              <w:rPr>
                <w:rFonts w:cstheme="minorHAnsi"/>
              </w:rPr>
              <w:t>Have also not been provided with (or otherwise made aware) of any evidence of where the increase in the width limit for trailers to 2.55 m in NZ has resulted in a significant shift in where trailers are sourced from. Nevertheless, further consultation is proposed before any decision to increase the trailer width limit.</w:t>
            </w:r>
          </w:p>
          <w:p w14:paraId="34C14383" w14:textId="77777777" w:rsidR="003822C7" w:rsidRPr="00A83E0F" w:rsidRDefault="00A83E0F" w:rsidP="00E248BF">
            <w:pPr>
              <w:pStyle w:val="ListParagraph"/>
              <w:keepLines/>
              <w:numPr>
                <w:ilvl w:val="0"/>
                <w:numId w:val="75"/>
              </w:numPr>
              <w:tabs>
                <w:tab w:val="left" w:pos="720"/>
              </w:tabs>
              <w:suppressAutoHyphens w:val="0"/>
              <w:rPr>
                <w:rFonts w:cstheme="minorHAnsi"/>
              </w:rPr>
            </w:pPr>
            <w:r w:rsidRPr="00A83E0F">
              <w:rPr>
                <w:rFonts w:cstheme="minorHAnsi"/>
                <w:szCs w:val="20"/>
              </w:rPr>
              <w:t>Noted</w:t>
            </w:r>
            <w:r w:rsidR="003822C7" w:rsidRPr="00A83E0F">
              <w:rPr>
                <w:rFonts w:cstheme="minorHAnsi"/>
                <w:szCs w:val="20"/>
              </w:rPr>
              <w:t>.</w:t>
            </w:r>
            <w:r w:rsidR="00E33A23">
              <w:rPr>
                <w:rFonts w:cstheme="minorHAnsi"/>
                <w:szCs w:val="20"/>
              </w:rPr>
              <w:t xml:space="preserve"> </w:t>
            </w:r>
            <w:r w:rsidR="00E33A23" w:rsidRPr="00E33A23">
              <w:rPr>
                <w:rFonts w:cstheme="minorHAnsi"/>
                <w:szCs w:val="20"/>
              </w:rPr>
              <w:t>The benefit</w:t>
            </w:r>
            <w:r w:rsidR="00E33A23">
              <w:rPr>
                <w:rFonts w:cstheme="minorHAnsi"/>
                <w:szCs w:val="20"/>
              </w:rPr>
              <w:t>-cost</w:t>
            </w:r>
            <w:r w:rsidR="00E33A23" w:rsidRPr="00E33A23">
              <w:rPr>
                <w:rFonts w:cstheme="minorHAnsi"/>
                <w:szCs w:val="20"/>
              </w:rPr>
              <w:t xml:space="preserve"> analysis undertaken by the ARRB has included industry investment costs of approx. $27.9M to $34.1M </w:t>
            </w:r>
            <w:r w:rsidR="00E33A23">
              <w:rPr>
                <w:rFonts w:cstheme="minorHAnsi"/>
                <w:szCs w:val="20"/>
              </w:rPr>
              <w:t xml:space="preserve">(net present values) </w:t>
            </w:r>
            <w:r w:rsidR="00E33A23" w:rsidRPr="00E33A23">
              <w:rPr>
                <w:rFonts w:cstheme="minorHAnsi"/>
                <w:szCs w:val="20"/>
              </w:rPr>
              <w:t>associated with Australian manufacturers producing wider trailers.</w:t>
            </w:r>
          </w:p>
          <w:p w14:paraId="7547BFFE" w14:textId="77777777" w:rsidR="004124EF" w:rsidRDefault="004124EF" w:rsidP="00E248BF">
            <w:pPr>
              <w:pStyle w:val="ListParagraph"/>
              <w:keepLines/>
              <w:numPr>
                <w:ilvl w:val="0"/>
                <w:numId w:val="75"/>
              </w:numPr>
              <w:tabs>
                <w:tab w:val="left" w:pos="720"/>
              </w:tabs>
              <w:suppressAutoHyphens w:val="0"/>
              <w:rPr>
                <w:rFonts w:cstheme="minorHAnsi"/>
              </w:rPr>
            </w:pPr>
            <w:r>
              <w:rPr>
                <w:rFonts w:cstheme="minorHAnsi"/>
              </w:rPr>
              <w:t>Further consultation is proposed before any decision to increase the trailer width limit, including to avoid any two</w:t>
            </w:r>
            <w:r w:rsidR="00E26700">
              <w:rPr>
                <w:rFonts w:cstheme="minorHAnsi"/>
              </w:rPr>
              <w:t>-</w:t>
            </w:r>
            <w:r>
              <w:rPr>
                <w:rFonts w:cstheme="minorHAnsi"/>
              </w:rPr>
              <w:t>step process.</w:t>
            </w:r>
          </w:p>
          <w:p w14:paraId="5C9D7772" w14:textId="77777777"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14:paraId="1FFC3A24" w14:textId="77777777" w:rsidR="003822C7" w:rsidRPr="00E26700"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 xml:space="preserve">PBS </w:t>
            </w:r>
            <w:r>
              <w:rPr>
                <w:rFonts w:cstheme="minorHAnsi"/>
                <w:szCs w:val="20"/>
              </w:rPr>
              <w:t>may</w:t>
            </w:r>
            <w:r w:rsidRPr="00E26700">
              <w:rPr>
                <w:rFonts w:cstheme="minorHAnsi"/>
                <w:szCs w:val="20"/>
              </w:rPr>
              <w:t xml:space="preserve"> be </w:t>
            </w:r>
            <w:r>
              <w:rPr>
                <w:rFonts w:cstheme="minorHAnsi"/>
                <w:szCs w:val="20"/>
              </w:rPr>
              <w:t xml:space="preserve">able to be </w:t>
            </w:r>
            <w:r w:rsidRPr="00E26700">
              <w:rPr>
                <w:rFonts w:cstheme="minorHAnsi"/>
                <w:szCs w:val="20"/>
              </w:rPr>
              <w:t>used for this purpose</w:t>
            </w:r>
            <w:r>
              <w:rPr>
                <w:rFonts w:cstheme="minorHAnsi"/>
                <w:szCs w:val="20"/>
              </w:rPr>
              <w:t>.</w:t>
            </w:r>
            <w:r w:rsidRPr="00E26700">
              <w:rPr>
                <w:rFonts w:cstheme="minorHAnsi"/>
                <w:szCs w:val="20"/>
              </w:rPr>
              <w:t xml:space="preserve"> However, there would likely be increased costs, </w:t>
            </w:r>
            <w:r>
              <w:rPr>
                <w:rFonts w:cstheme="minorHAnsi"/>
                <w:szCs w:val="20"/>
              </w:rPr>
              <w:t>longer approval timeframes</w:t>
            </w:r>
            <w:r w:rsidRPr="00E26700">
              <w:rPr>
                <w:rFonts w:cstheme="minorHAnsi"/>
                <w:szCs w:val="20"/>
              </w:rPr>
              <w:t xml:space="preserve"> and more restrictive operating conditions than would apply under the options </w:t>
            </w:r>
            <w:r>
              <w:rPr>
                <w:rFonts w:cstheme="minorHAnsi"/>
                <w:szCs w:val="20"/>
              </w:rPr>
              <w:t>explored</w:t>
            </w:r>
            <w:r w:rsidRPr="00E26700">
              <w:rPr>
                <w:rFonts w:cstheme="minorHAnsi"/>
                <w:szCs w:val="20"/>
              </w:rPr>
              <w:t xml:space="preserve"> for wider trailers in this </w:t>
            </w:r>
            <w:r w:rsidR="00C45600">
              <w:rPr>
                <w:rFonts w:cstheme="minorHAnsi"/>
                <w:szCs w:val="20"/>
              </w:rPr>
              <w:t>IA</w:t>
            </w:r>
            <w:r w:rsidR="003822C7" w:rsidRPr="00E26700">
              <w:rPr>
                <w:rFonts w:cstheme="minorHAnsi"/>
                <w:szCs w:val="20"/>
              </w:rPr>
              <w:t>.</w:t>
            </w:r>
          </w:p>
          <w:p w14:paraId="2A4F35DF" w14:textId="77777777" w:rsidR="003822C7" w:rsidRPr="004C1151"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 xml:space="preserve">Agree </w:t>
            </w:r>
            <w:r w:rsidRPr="00E26700">
              <w:rPr>
                <w:rFonts w:cstheme="minorHAnsi"/>
              </w:rPr>
              <w:t>many trailer types are mass limited in operation and could not effectively utilise any volume increases (see 10 above regarding PBS)</w:t>
            </w:r>
            <w:r w:rsidR="003822C7" w:rsidRPr="00E26700">
              <w:rPr>
                <w:rFonts w:cstheme="minorHAnsi"/>
                <w:szCs w:val="20"/>
              </w:rPr>
              <w:t>.</w:t>
            </w:r>
          </w:p>
          <w:p w14:paraId="3BD267BB" w14:textId="77777777" w:rsidR="003822C7" w:rsidRPr="00192553" w:rsidRDefault="003822C7" w:rsidP="00E248BF">
            <w:pPr>
              <w:pStyle w:val="ListParagraph"/>
              <w:keepLines/>
              <w:numPr>
                <w:ilvl w:val="0"/>
                <w:numId w:val="75"/>
              </w:numPr>
              <w:tabs>
                <w:tab w:val="left" w:pos="720"/>
              </w:tabs>
              <w:suppressAutoHyphens w:val="0"/>
              <w:rPr>
                <w:rFonts w:cstheme="minorHAnsi"/>
              </w:rPr>
            </w:pPr>
            <w:r w:rsidRPr="00192553">
              <w:rPr>
                <w:rFonts w:cstheme="minorHAnsi"/>
                <w:szCs w:val="20"/>
              </w:rPr>
              <w:t>Agreed.</w:t>
            </w:r>
          </w:p>
          <w:p w14:paraId="11E241DC" w14:textId="77777777" w:rsidR="003822C7" w:rsidRPr="002C468F"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Disagree.</w:t>
            </w:r>
          </w:p>
          <w:p w14:paraId="30054EFE" w14:textId="77777777" w:rsidR="003822C7" w:rsidRPr="002210EE" w:rsidRDefault="00E26700" w:rsidP="00E248BF">
            <w:pPr>
              <w:pStyle w:val="ListParagraph"/>
              <w:keepLines/>
              <w:numPr>
                <w:ilvl w:val="0"/>
                <w:numId w:val="75"/>
              </w:numPr>
              <w:tabs>
                <w:tab w:val="left" w:pos="720"/>
              </w:tabs>
              <w:suppressAutoHyphens w:val="0"/>
              <w:rPr>
                <w:rFonts w:cstheme="minorHAnsi"/>
                <w:szCs w:val="20"/>
              </w:rPr>
            </w:pPr>
            <w:r w:rsidRPr="002210EE">
              <w:rPr>
                <w:rFonts w:cstheme="minorHAnsi"/>
                <w:szCs w:val="20"/>
              </w:rPr>
              <w:t xml:space="preserve">The department’s Vehicle Safety </w:t>
            </w:r>
            <w:r w:rsidRPr="002210EE">
              <w:rPr>
                <w:rFonts w:cstheme="minorHAnsi"/>
              </w:rPr>
              <w:t>Operations (VSO) branch takes a risk-based approach to the management of compliance with the RVSA, the Rules and the ADRs.</w:t>
            </w:r>
            <w:r w:rsidR="002210EE" w:rsidRPr="002210EE">
              <w:rPr>
                <w:rFonts w:cstheme="minorHAnsi"/>
              </w:rPr>
              <w:t xml:space="preserve"> This risk-based approach helps ensure that compliance activities are focussed on regulated areas and regulated entities that pose the greatest compliance risk, without impeding the regulated industry’s ability to operate. A risk-based approach does not mean eliminating all risks, or taking a ‘no-touch’ approach to lower-risk regulated entities or behaviours.</w:t>
            </w:r>
          </w:p>
          <w:p w14:paraId="56B43758" w14:textId="77777777" w:rsidR="003822C7" w:rsidRPr="002C468F" w:rsidRDefault="008A7ABC" w:rsidP="00E248BF">
            <w:pPr>
              <w:pStyle w:val="ListParagraph"/>
              <w:keepLines/>
              <w:numPr>
                <w:ilvl w:val="0"/>
                <w:numId w:val="75"/>
              </w:numPr>
              <w:tabs>
                <w:tab w:val="left" w:pos="720"/>
              </w:tabs>
              <w:suppressAutoHyphens w:val="0"/>
              <w:rPr>
                <w:rFonts w:cstheme="minorHAnsi"/>
              </w:rPr>
            </w:pPr>
            <w:r w:rsidRPr="00D07167">
              <w:rPr>
                <w:rFonts w:cstheme="minorHAnsi"/>
                <w:szCs w:val="20"/>
              </w:rPr>
              <w:t xml:space="preserve">Requiring wider freight vehicles to be fitted with a package of safety technologies (including side underrun) is a key part of the agreement with jurisdictions/in-service regulators and other stakeholders to pursue this reform – </w:t>
            </w:r>
            <w:r w:rsidRPr="00D07167">
              <w:rPr>
                <w:rFonts w:cstheme="minorHAnsi"/>
              </w:rPr>
              <w:t>it is important to preserve this agreement.</w:t>
            </w:r>
          </w:p>
          <w:p w14:paraId="5ABC1956" w14:textId="77777777"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14:paraId="7D24E76F" w14:textId="77777777" w:rsidR="003822C7" w:rsidRPr="004C1151"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tc>
      </w:tr>
      <w:tr w:rsidR="003822C7" w:rsidRPr="007B6E69" w14:paraId="5C6A922F" w14:textId="77777777" w:rsidTr="003822C7">
        <w:tc>
          <w:tcPr>
            <w:tcW w:w="1696" w:type="dxa"/>
          </w:tcPr>
          <w:p w14:paraId="31E5E347" w14:textId="77777777" w:rsidR="003822C7" w:rsidRPr="007B6E69" w:rsidRDefault="003822C7" w:rsidP="00362B9F">
            <w:pPr>
              <w:spacing w:before="120" w:after="120"/>
              <w:rPr>
                <w:rFonts w:cstheme="minorHAnsi"/>
              </w:rPr>
            </w:pPr>
            <w:r w:rsidRPr="007B6E69">
              <w:rPr>
                <w:rFonts w:cstheme="minorHAnsi"/>
              </w:rPr>
              <w:t>Michelin Australia</w:t>
            </w:r>
          </w:p>
        </w:tc>
        <w:tc>
          <w:tcPr>
            <w:tcW w:w="6379" w:type="dxa"/>
          </w:tcPr>
          <w:p w14:paraId="5B4CE7AB" w14:textId="77777777" w:rsidR="003822C7" w:rsidRDefault="003822C7" w:rsidP="007C097D">
            <w:pPr>
              <w:pStyle w:val="ListParagraph"/>
              <w:keepLines/>
              <w:numPr>
                <w:ilvl w:val="6"/>
                <w:numId w:val="40"/>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306072E6"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Does not support a two-step increase in the vehicle width limit – notes that increasing the width limit to 2.55 m may require a secondary increase to </w:t>
            </w:r>
            <w:r w:rsidR="00B9347B">
              <w:rPr>
                <w:rFonts w:cstheme="minorHAnsi"/>
                <w:szCs w:val="20"/>
              </w:rPr>
              <w:t>2.60</w:t>
            </w:r>
            <w:r>
              <w:rPr>
                <w:rFonts w:cstheme="minorHAnsi"/>
                <w:szCs w:val="20"/>
              </w:rPr>
              <w:t> m within a short timeframe.</w:t>
            </w:r>
          </w:p>
          <w:p w14:paraId="7F24AAFB"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that si</w:t>
            </w:r>
            <w:r w:rsidRPr="007C1ADE">
              <w:rPr>
                <w:rFonts w:cstheme="minorHAnsi"/>
                <w:szCs w:val="20"/>
              </w:rPr>
              <w:t>gnificant resources from Michelin and other tyre manufacturers are dedicated to the development of 315/70 R22.5 size</w:t>
            </w:r>
            <w:r>
              <w:rPr>
                <w:rFonts w:cstheme="minorHAnsi"/>
                <w:szCs w:val="20"/>
              </w:rPr>
              <w:t xml:space="preserve"> tyres, which is currently the most innovative and popular tyre size in Europe, but when fitted to Australian specification vehicles, results in a width exceeding the current 2.5</w:t>
            </w:r>
            <w:r w:rsidR="00B9347B">
              <w:rPr>
                <w:rFonts w:cstheme="minorHAnsi"/>
                <w:szCs w:val="20"/>
              </w:rPr>
              <w:t>0 </w:t>
            </w:r>
            <w:r>
              <w:rPr>
                <w:rFonts w:cstheme="minorHAnsi"/>
                <w:szCs w:val="20"/>
              </w:rPr>
              <w:t>m limit.</w:t>
            </w:r>
          </w:p>
          <w:p w14:paraId="3CC05FB0"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Advises that t</w:t>
            </w:r>
            <w:r w:rsidRPr="00BA02B7">
              <w:rPr>
                <w:rFonts w:cstheme="minorHAnsi"/>
                <w:szCs w:val="20"/>
              </w:rPr>
              <w:t xml:space="preserve">he </w:t>
            </w:r>
            <w:r w:rsidRPr="007C1ADE">
              <w:rPr>
                <w:rFonts w:cstheme="minorHAnsi"/>
                <w:szCs w:val="20"/>
              </w:rPr>
              <w:t>315/70 R22.5</w:t>
            </w:r>
            <w:r>
              <w:rPr>
                <w:rFonts w:cstheme="minorHAnsi"/>
                <w:szCs w:val="20"/>
              </w:rPr>
              <w:t xml:space="preserve"> </w:t>
            </w:r>
            <w:r w:rsidRPr="00BA02B7">
              <w:rPr>
                <w:rFonts w:cstheme="minorHAnsi"/>
                <w:szCs w:val="20"/>
              </w:rPr>
              <w:t xml:space="preserve">tyre specification increases the overall width across the tyres by a minimum of 40mm, compared to </w:t>
            </w:r>
            <w:r>
              <w:rPr>
                <w:rFonts w:cstheme="minorHAnsi"/>
                <w:szCs w:val="20"/>
              </w:rPr>
              <w:t xml:space="preserve">[Australian] </w:t>
            </w:r>
            <w:r w:rsidRPr="00BA02B7">
              <w:rPr>
                <w:rFonts w:cstheme="minorHAnsi"/>
                <w:szCs w:val="20"/>
              </w:rPr>
              <w:t>standard 11R22.5 dual fitments.</w:t>
            </w:r>
          </w:p>
          <w:p w14:paraId="3B23AA32"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that the benefits of </w:t>
            </w:r>
            <w:r w:rsidRPr="007C1ADE">
              <w:rPr>
                <w:rFonts w:cstheme="minorHAnsi"/>
                <w:szCs w:val="20"/>
              </w:rPr>
              <w:t>315/70 R22.5</w:t>
            </w:r>
            <w:r>
              <w:rPr>
                <w:rFonts w:cstheme="minorHAnsi"/>
                <w:szCs w:val="20"/>
              </w:rPr>
              <w:t xml:space="preserve"> size tyres include reduced fuel consumption and carbon emissions, reduced rubber emissions from increased mileage, reduced waste, and increased stability due to wider track and footprint.</w:t>
            </w:r>
          </w:p>
          <w:p w14:paraId="62451009"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Considers </w:t>
            </w:r>
            <w:r w:rsidRPr="005425D7">
              <w:rPr>
                <w:rFonts w:cstheme="minorHAnsi"/>
                <w:szCs w:val="20"/>
              </w:rPr>
              <w:t>an increase to the</w:t>
            </w:r>
            <w:r>
              <w:rPr>
                <w:rFonts w:cstheme="minorHAnsi"/>
                <w:szCs w:val="20"/>
              </w:rPr>
              <w:t xml:space="preserve"> o</w:t>
            </w:r>
            <w:r w:rsidRPr="005425D7">
              <w:rPr>
                <w:rFonts w:cstheme="minorHAnsi"/>
                <w:szCs w:val="20"/>
              </w:rPr>
              <w:t>verall width of both truck</w:t>
            </w:r>
            <w:r>
              <w:rPr>
                <w:rFonts w:cstheme="minorHAnsi"/>
                <w:szCs w:val="20"/>
              </w:rPr>
              <w:t>s</w:t>
            </w:r>
            <w:r w:rsidRPr="005425D7">
              <w:rPr>
                <w:rFonts w:cstheme="minorHAnsi"/>
                <w:szCs w:val="20"/>
              </w:rPr>
              <w:t xml:space="preserve"> and trailer</w:t>
            </w:r>
            <w:r>
              <w:rPr>
                <w:rFonts w:cstheme="minorHAnsi"/>
                <w:szCs w:val="20"/>
              </w:rPr>
              <w:t>s to be</w:t>
            </w:r>
            <w:r w:rsidRPr="005425D7">
              <w:rPr>
                <w:rFonts w:cstheme="minorHAnsi"/>
                <w:szCs w:val="20"/>
              </w:rPr>
              <w:t xml:space="preserve"> essential for the effective adoption of the </w:t>
            </w:r>
            <w:r w:rsidRPr="007C1ADE">
              <w:rPr>
                <w:rFonts w:cstheme="minorHAnsi"/>
                <w:szCs w:val="20"/>
              </w:rPr>
              <w:t>315/70 R22.5</w:t>
            </w:r>
            <w:r>
              <w:rPr>
                <w:rFonts w:cstheme="minorHAnsi"/>
                <w:szCs w:val="20"/>
              </w:rPr>
              <w:t xml:space="preserve"> </w:t>
            </w:r>
            <w:r w:rsidRPr="005425D7">
              <w:rPr>
                <w:rFonts w:cstheme="minorHAnsi"/>
                <w:szCs w:val="20"/>
              </w:rPr>
              <w:t>tyre size</w:t>
            </w:r>
            <w:r>
              <w:rPr>
                <w:rFonts w:cstheme="minorHAnsi"/>
                <w:szCs w:val="20"/>
              </w:rPr>
              <w:t xml:space="preserve"> in Australia, including to allow tyres to be re-treaded a</w:t>
            </w:r>
            <w:r w:rsidRPr="00DE57F0">
              <w:rPr>
                <w:rFonts w:cstheme="minorHAnsi"/>
                <w:szCs w:val="20"/>
              </w:rPr>
              <w:t>nd reused multiple times</w:t>
            </w:r>
            <w:r>
              <w:rPr>
                <w:rFonts w:cstheme="minorHAnsi"/>
                <w:szCs w:val="20"/>
              </w:rPr>
              <w:t>, including</w:t>
            </w:r>
            <w:r w:rsidRPr="00DE57F0">
              <w:rPr>
                <w:rFonts w:cstheme="minorHAnsi"/>
                <w:szCs w:val="20"/>
              </w:rPr>
              <w:t xml:space="preserve"> </w:t>
            </w:r>
            <w:r>
              <w:rPr>
                <w:rFonts w:cstheme="minorHAnsi"/>
                <w:szCs w:val="20"/>
              </w:rPr>
              <w:t xml:space="preserve">on trailer axles, </w:t>
            </w:r>
            <w:r w:rsidRPr="00DE57F0">
              <w:rPr>
                <w:rFonts w:cstheme="minorHAnsi"/>
                <w:szCs w:val="20"/>
              </w:rPr>
              <w:t>to</w:t>
            </w:r>
            <w:r>
              <w:rPr>
                <w:rFonts w:cstheme="minorHAnsi"/>
                <w:szCs w:val="20"/>
              </w:rPr>
              <w:t xml:space="preserve"> </w:t>
            </w:r>
            <w:r w:rsidRPr="00DE57F0">
              <w:rPr>
                <w:rFonts w:cstheme="minorHAnsi"/>
                <w:szCs w:val="20"/>
              </w:rPr>
              <w:t>increase the service life and thus reduc</w:t>
            </w:r>
            <w:r>
              <w:rPr>
                <w:rFonts w:cstheme="minorHAnsi"/>
                <w:szCs w:val="20"/>
              </w:rPr>
              <w:t>e</w:t>
            </w:r>
            <w:r w:rsidRPr="00DE57F0">
              <w:rPr>
                <w:rFonts w:cstheme="minorHAnsi"/>
                <w:szCs w:val="20"/>
              </w:rPr>
              <w:t xml:space="preserve"> the disposal of the tyre casings</w:t>
            </w:r>
            <w:r>
              <w:rPr>
                <w:rFonts w:cstheme="minorHAnsi"/>
                <w:szCs w:val="20"/>
              </w:rPr>
              <w:t>.</w:t>
            </w:r>
          </w:p>
          <w:p w14:paraId="0E851B3D" w14:textId="77777777" w:rsidR="003822C7" w:rsidRPr="00FC2E21"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off-road mine-based vehicles with </w:t>
            </w:r>
            <w:r w:rsidRPr="007C1ADE">
              <w:rPr>
                <w:rFonts w:cstheme="minorHAnsi"/>
                <w:szCs w:val="20"/>
              </w:rPr>
              <w:t>315/70 R22.5</w:t>
            </w:r>
            <w:r>
              <w:rPr>
                <w:rFonts w:cstheme="minorHAnsi"/>
                <w:szCs w:val="20"/>
              </w:rPr>
              <w:t xml:space="preserve"> size tyres are currently being imported without compliance (i.e. as non-road vehicles), which means they are then required to be transported on trailers between sites, despite in most circumstances only being 5-10 mm over width.</w:t>
            </w:r>
          </w:p>
        </w:tc>
        <w:tc>
          <w:tcPr>
            <w:tcW w:w="6521" w:type="dxa"/>
            <w:gridSpan w:val="2"/>
          </w:tcPr>
          <w:p w14:paraId="2372B134" w14:textId="77777777" w:rsidR="003822C7" w:rsidRPr="007E70B2" w:rsidRDefault="003822C7" w:rsidP="007C097D">
            <w:pPr>
              <w:pStyle w:val="ListParagraph"/>
              <w:keepLines/>
              <w:numPr>
                <w:ilvl w:val="0"/>
                <w:numId w:val="41"/>
              </w:numPr>
              <w:tabs>
                <w:tab w:val="left" w:pos="720"/>
              </w:tabs>
              <w:suppressAutoHyphens w:val="0"/>
              <w:ind w:left="284" w:hanging="284"/>
              <w:rPr>
                <w:rFonts w:cstheme="minorHAnsi"/>
                <w:szCs w:val="20"/>
              </w:rPr>
            </w:pPr>
            <w:r w:rsidRPr="007E70B2">
              <w:rPr>
                <w:rFonts w:cstheme="minorHAnsi"/>
                <w:szCs w:val="20"/>
              </w:rPr>
              <w:t>Noted.</w:t>
            </w:r>
          </w:p>
          <w:p w14:paraId="0204DAA8"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sidRPr="007E70B2">
              <w:rPr>
                <w:rFonts w:cstheme="minorHAnsi"/>
                <w:szCs w:val="20"/>
              </w:rPr>
              <w:t>Noted.</w:t>
            </w:r>
          </w:p>
          <w:p w14:paraId="0F450C71"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14:paraId="66FB0160"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14:paraId="4670A4CE"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14:paraId="6A6F4003" w14:textId="77777777"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Agreed.</w:t>
            </w:r>
          </w:p>
          <w:p w14:paraId="48F79060" w14:textId="77777777" w:rsidR="003822C7" w:rsidRPr="007E70B2"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tc>
      </w:tr>
      <w:tr w:rsidR="003822C7" w:rsidRPr="007B6E69" w14:paraId="1450CBFD" w14:textId="77777777" w:rsidTr="003822C7">
        <w:tc>
          <w:tcPr>
            <w:tcW w:w="1696" w:type="dxa"/>
          </w:tcPr>
          <w:p w14:paraId="7F76F0B5" w14:textId="77777777" w:rsidR="003822C7" w:rsidRPr="007B6E69" w:rsidRDefault="003822C7" w:rsidP="007901FB">
            <w:pPr>
              <w:spacing w:before="120" w:after="120"/>
              <w:rPr>
                <w:rFonts w:cstheme="minorHAnsi"/>
              </w:rPr>
            </w:pPr>
            <w:r w:rsidRPr="007B6E69">
              <w:rPr>
                <w:rFonts w:cstheme="minorHAnsi"/>
              </w:rPr>
              <w:t>National Heavy Vehicle Regulator</w:t>
            </w:r>
          </w:p>
        </w:tc>
        <w:tc>
          <w:tcPr>
            <w:tcW w:w="6379" w:type="dxa"/>
          </w:tcPr>
          <w:p w14:paraId="10FD5594" w14:textId="77777777" w:rsidR="003822C7" w:rsidRPr="00AD679F" w:rsidRDefault="003822C7" w:rsidP="007C097D">
            <w:pPr>
              <w:pStyle w:val="ListParagraph"/>
              <w:keepLines/>
              <w:numPr>
                <w:ilvl w:val="6"/>
                <w:numId w:val="32"/>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61C8D220"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sidRPr="00AD679F">
              <w:rPr>
                <w:rFonts w:cstheme="minorHAnsi"/>
                <w:szCs w:val="20"/>
              </w:rPr>
              <w:t>Supports the exclusions proposed for enhanced devices for indirect vision and monitoring devices to detect other road users from vehicle width and length measurements.</w:t>
            </w:r>
          </w:p>
          <w:p w14:paraId="7031FAC7"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any </w:t>
            </w:r>
            <w:r w:rsidR="00B9347B">
              <w:rPr>
                <w:rFonts w:cstheme="minorHAnsi"/>
                <w:szCs w:val="20"/>
              </w:rPr>
              <w:t>2.60</w:t>
            </w:r>
            <w:r>
              <w:rPr>
                <w:rFonts w:cstheme="minorHAnsi"/>
                <w:szCs w:val="20"/>
              </w:rPr>
              <w:t> </w:t>
            </w:r>
            <w:r w:rsidRPr="00F73153">
              <w:rPr>
                <w:rFonts w:cstheme="minorHAnsi"/>
                <w:szCs w:val="20"/>
              </w:rPr>
              <w:t>m width limit be inclusive of permanently fixed webbing-assembly-type devices</w:t>
            </w:r>
            <w:r>
              <w:rPr>
                <w:rFonts w:cstheme="minorHAnsi"/>
                <w:szCs w:val="20"/>
              </w:rPr>
              <w:t>.</w:t>
            </w:r>
          </w:p>
          <w:p w14:paraId="486E8660"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a vehicle stability function and antilock brake system in accordance with ADR 38/05 be included as a safety requirement for wider </w:t>
            </w:r>
            <w:r w:rsidRPr="00F73153">
              <w:rPr>
                <w:rFonts w:cstheme="minorHAnsi"/>
                <w:szCs w:val="20"/>
              </w:rPr>
              <w:t>trailers</w:t>
            </w:r>
            <w:r>
              <w:rPr>
                <w:rFonts w:cstheme="minorHAnsi"/>
                <w:szCs w:val="20"/>
              </w:rPr>
              <w:t>.</w:t>
            </w:r>
          </w:p>
          <w:p w14:paraId="5325E1DF" w14:textId="77777777" w:rsidR="003822C7" w:rsidRPr="0035326D"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Recommends that wider vehicles which meet the additional proposed safety requirements are identified on the Register of Approved Vehicles or alternatively fitted with a label (or similar) by vehicle manufacturers – to help ensure compliance of vehicles in-service.</w:t>
            </w:r>
          </w:p>
        </w:tc>
        <w:tc>
          <w:tcPr>
            <w:tcW w:w="6521" w:type="dxa"/>
            <w:gridSpan w:val="2"/>
          </w:tcPr>
          <w:p w14:paraId="6F570F69" w14:textId="77777777" w:rsidR="003822C7" w:rsidRPr="00AD679F"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AD679F">
              <w:rPr>
                <w:rFonts w:cstheme="minorHAnsi"/>
                <w:szCs w:val="20"/>
              </w:rPr>
              <w:t>Noted.</w:t>
            </w:r>
          </w:p>
          <w:p w14:paraId="79F72275" w14:textId="77777777" w:rsidR="003822C7"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AD679F">
              <w:rPr>
                <w:rFonts w:cstheme="minorHAnsi"/>
                <w:szCs w:val="20"/>
              </w:rPr>
              <w:t>Noted.</w:t>
            </w:r>
          </w:p>
          <w:p w14:paraId="18F1D153" w14:textId="77777777" w:rsidR="003822C7" w:rsidRPr="00BF09DA"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BF09DA">
              <w:rPr>
                <w:rFonts w:cstheme="minorHAnsi"/>
                <w:szCs w:val="20"/>
              </w:rPr>
              <w:t xml:space="preserve">Accepted that these devices can be designed into the </w:t>
            </w:r>
            <w:r>
              <w:rPr>
                <w:rFonts w:cstheme="minorHAnsi"/>
                <w:szCs w:val="20"/>
              </w:rPr>
              <w:t>vehicle</w:t>
            </w:r>
            <w:r w:rsidRPr="00BF09DA">
              <w:rPr>
                <w:rFonts w:cstheme="minorHAnsi"/>
                <w:szCs w:val="20"/>
              </w:rPr>
              <w:t xml:space="preserve">, so no additional width relative to the current limit is required. The recommended option does not allow these devices to be any wider than </w:t>
            </w:r>
            <w:r w:rsidRPr="00202907">
              <w:rPr>
                <w:rFonts w:cstheme="minorHAnsi"/>
                <w:color w:val="auto"/>
                <w:szCs w:val="20"/>
              </w:rPr>
              <w:t>2.55</w:t>
            </w:r>
            <w:r w:rsidRPr="00BF09DA">
              <w:rPr>
                <w:rFonts w:cstheme="minorHAnsi"/>
                <w:color w:val="auto"/>
                <w:szCs w:val="20"/>
              </w:rPr>
              <w:t> m.</w:t>
            </w:r>
          </w:p>
          <w:p w14:paraId="0FF82982" w14:textId="77777777" w:rsidR="003822C7" w:rsidRDefault="003822C7" w:rsidP="007C097D">
            <w:pPr>
              <w:pStyle w:val="ListParagraph"/>
              <w:keepNext/>
              <w:keepLines/>
              <w:numPr>
                <w:ilvl w:val="0"/>
                <w:numId w:val="29"/>
              </w:numPr>
              <w:tabs>
                <w:tab w:val="left" w:pos="720"/>
              </w:tabs>
              <w:suppressAutoHyphens w:val="0"/>
              <w:ind w:left="284" w:hanging="284"/>
              <w:rPr>
                <w:rFonts w:cstheme="minorHAnsi"/>
                <w:szCs w:val="20"/>
              </w:rPr>
            </w:pPr>
            <w:r>
              <w:rPr>
                <w:rFonts w:cstheme="minorHAnsi"/>
                <w:szCs w:val="20"/>
              </w:rPr>
              <w:t>Agreed</w:t>
            </w:r>
            <w:r w:rsidR="00823DDC">
              <w:rPr>
                <w:rFonts w:cstheme="minorHAnsi"/>
                <w:szCs w:val="20"/>
              </w:rPr>
              <w:t xml:space="preserve"> – ADR 38/05 is included as a mandatory standard under Options </w:t>
            </w:r>
            <w:r w:rsidR="00E33A23">
              <w:rPr>
                <w:rFonts w:cstheme="minorHAnsi"/>
                <w:szCs w:val="20"/>
              </w:rPr>
              <w:t>3</w:t>
            </w:r>
            <w:r w:rsidR="00823DDC">
              <w:rPr>
                <w:rFonts w:cstheme="minorHAnsi"/>
                <w:szCs w:val="20"/>
              </w:rPr>
              <w:t xml:space="preserve">.1a and </w:t>
            </w:r>
            <w:r w:rsidR="00E33A23">
              <w:rPr>
                <w:rFonts w:cstheme="minorHAnsi"/>
                <w:szCs w:val="20"/>
              </w:rPr>
              <w:t>3</w:t>
            </w:r>
            <w:r w:rsidR="00823DDC">
              <w:rPr>
                <w:rFonts w:cstheme="minorHAnsi"/>
                <w:szCs w:val="20"/>
              </w:rPr>
              <w:t xml:space="preserve">.2a in this </w:t>
            </w:r>
            <w:r w:rsidR="00C45600">
              <w:rPr>
                <w:rFonts w:cstheme="minorHAnsi"/>
                <w:szCs w:val="20"/>
              </w:rPr>
              <w:t>IA</w:t>
            </w:r>
            <w:r w:rsidR="00823DDC">
              <w:rPr>
                <w:rFonts w:cstheme="minorHAnsi"/>
                <w:szCs w:val="20"/>
              </w:rPr>
              <w:t>.</w:t>
            </w:r>
          </w:p>
          <w:p w14:paraId="3E5D1739" w14:textId="77777777" w:rsidR="003822C7" w:rsidRPr="00AD679F" w:rsidRDefault="003822C7" w:rsidP="007C097D">
            <w:pPr>
              <w:pStyle w:val="ListParagraph"/>
              <w:keepNext/>
              <w:keepLines/>
              <w:numPr>
                <w:ilvl w:val="0"/>
                <w:numId w:val="29"/>
              </w:numPr>
              <w:tabs>
                <w:tab w:val="left" w:pos="720"/>
              </w:tabs>
              <w:suppressAutoHyphens w:val="0"/>
              <w:ind w:left="284" w:hanging="284"/>
              <w:rPr>
                <w:rFonts w:cstheme="minorHAnsi"/>
                <w:szCs w:val="20"/>
              </w:rPr>
            </w:pPr>
            <w:r>
              <w:rPr>
                <w:rFonts w:cstheme="minorHAnsi"/>
                <w:szCs w:val="20"/>
              </w:rPr>
              <w:t>Agreed.</w:t>
            </w:r>
          </w:p>
        </w:tc>
      </w:tr>
      <w:tr w:rsidR="003822C7" w:rsidRPr="007B6E69" w14:paraId="094AEA2F" w14:textId="77777777" w:rsidTr="003822C7">
        <w:tc>
          <w:tcPr>
            <w:tcW w:w="1696" w:type="dxa"/>
          </w:tcPr>
          <w:p w14:paraId="7AAE5A0F" w14:textId="77777777" w:rsidR="003822C7" w:rsidRPr="007B6E69" w:rsidRDefault="003822C7" w:rsidP="007901FB">
            <w:pPr>
              <w:spacing w:before="120" w:after="120"/>
              <w:rPr>
                <w:rFonts w:cstheme="minorHAnsi"/>
              </w:rPr>
            </w:pPr>
            <w:r w:rsidRPr="007B6E69">
              <w:rPr>
                <w:rFonts w:cstheme="minorHAnsi"/>
              </w:rPr>
              <w:t>NSW Government – Transport for NSW</w:t>
            </w:r>
          </w:p>
        </w:tc>
        <w:tc>
          <w:tcPr>
            <w:tcW w:w="6379" w:type="dxa"/>
          </w:tcPr>
          <w:p w14:paraId="0DC1F7A6"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szCs w:val="20"/>
              </w:rPr>
              <w:t xml:space="preserve">Supports </w:t>
            </w:r>
            <w:r w:rsidRPr="00AD679F">
              <w:rPr>
                <w:rFonts w:cstheme="minorHAnsi"/>
                <w:szCs w:val="20"/>
              </w:rPr>
              <w:t>increasing the maximum width for goods vehicles and trailers over 4.5 tonnes to 2.</w:t>
            </w:r>
            <w:r>
              <w:rPr>
                <w:rFonts w:cstheme="minorHAnsi"/>
                <w:szCs w:val="20"/>
              </w:rPr>
              <w:t>55 m, as t</w:t>
            </w:r>
            <w:r w:rsidRPr="000D3911">
              <w:rPr>
                <w:rFonts w:cstheme="minorHAnsi"/>
                <w:szCs w:val="20"/>
              </w:rPr>
              <w:t>his would present the fastest method to saturate the market with heavy vehicles and trailers with a range of best practice safety features, to ensure</w:t>
            </w:r>
            <w:r>
              <w:rPr>
                <w:rFonts w:cstheme="minorHAnsi"/>
                <w:szCs w:val="20"/>
              </w:rPr>
              <w:t xml:space="preserve"> </w:t>
            </w:r>
            <w:r w:rsidRPr="000D3911">
              <w:rPr>
                <w:rFonts w:cstheme="minorHAnsi"/>
                <w:szCs w:val="20"/>
              </w:rPr>
              <w:t>Australian road users would benefit from these crucial safety features.</w:t>
            </w:r>
          </w:p>
          <w:p w14:paraId="65465B11"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 xml:space="preserve">Notes </w:t>
            </w:r>
            <w:r w:rsidRPr="000D3911">
              <w:rPr>
                <w:rFonts w:cstheme="minorHAnsi"/>
              </w:rPr>
              <w:t>T</w:t>
            </w:r>
            <w:r>
              <w:rPr>
                <w:rFonts w:cstheme="minorHAnsi"/>
              </w:rPr>
              <w:t xml:space="preserve">ransport </w:t>
            </w:r>
            <w:r w:rsidRPr="000D3911">
              <w:rPr>
                <w:rFonts w:cstheme="minorHAnsi"/>
              </w:rPr>
              <w:t>f</w:t>
            </w:r>
            <w:r>
              <w:rPr>
                <w:rFonts w:cstheme="minorHAnsi"/>
              </w:rPr>
              <w:t xml:space="preserve">or </w:t>
            </w:r>
            <w:r w:rsidRPr="000D3911">
              <w:rPr>
                <w:rFonts w:cstheme="minorHAnsi"/>
              </w:rPr>
              <w:t xml:space="preserve">NSW is currently looking at measures to accommodate </w:t>
            </w:r>
            <w:r>
              <w:rPr>
                <w:rFonts w:cstheme="minorHAnsi"/>
              </w:rPr>
              <w:t xml:space="preserve">freight vehicles up to </w:t>
            </w:r>
            <w:r w:rsidR="00B9347B">
              <w:rPr>
                <w:rFonts w:cstheme="minorHAnsi"/>
              </w:rPr>
              <w:t>2.60</w:t>
            </w:r>
            <w:r>
              <w:rPr>
                <w:rFonts w:cstheme="minorHAnsi"/>
              </w:rPr>
              <w:t> m in width</w:t>
            </w:r>
            <w:r w:rsidRPr="000D3911">
              <w:rPr>
                <w:rFonts w:cstheme="minorHAnsi"/>
              </w:rPr>
              <w:t>, however</w:t>
            </w:r>
            <w:r>
              <w:rPr>
                <w:rFonts w:cstheme="minorHAnsi"/>
              </w:rPr>
              <w:t xml:space="preserve"> </w:t>
            </w:r>
            <w:r w:rsidRPr="000D3911">
              <w:rPr>
                <w:rFonts w:cstheme="minorHAnsi"/>
              </w:rPr>
              <w:t>this requires further analysis and consideration of how to manage these vehicles on the road network.</w:t>
            </w:r>
          </w:p>
          <w:p w14:paraId="57208B1E"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Supports all the mandatory safety standards proposed for safer wider vehicles in the discussion paper.</w:t>
            </w:r>
          </w:p>
          <w:p w14:paraId="1685E5FA"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 xml:space="preserve">To ensure the safest vehicles are being supplied </w:t>
            </w:r>
            <w:r w:rsidRPr="000D3911">
              <w:rPr>
                <w:rFonts w:cstheme="minorHAnsi"/>
              </w:rPr>
              <w:t>to the market, the NSW Government</w:t>
            </w:r>
            <w:r>
              <w:rPr>
                <w:rFonts w:cstheme="minorHAnsi"/>
              </w:rPr>
              <w:t xml:space="preserve"> also </w:t>
            </w:r>
            <w:r w:rsidRPr="000D3911">
              <w:rPr>
                <w:rFonts w:cstheme="minorHAnsi"/>
              </w:rPr>
              <w:t xml:space="preserve">supports </w:t>
            </w:r>
            <w:r>
              <w:rPr>
                <w:rFonts w:cstheme="minorHAnsi"/>
              </w:rPr>
              <w:t xml:space="preserve">the additional standards proposed for wider vehicles </w:t>
            </w:r>
            <w:r w:rsidRPr="000D3911">
              <w:rPr>
                <w:rFonts w:cstheme="minorHAnsi"/>
              </w:rPr>
              <w:t>being adopted for all heavy vehicles regardless of the width of the vehicle.</w:t>
            </w:r>
          </w:p>
          <w:p w14:paraId="29D466C3" w14:textId="77777777"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sidRPr="000D3911">
              <w:rPr>
                <w:rFonts w:cstheme="minorHAnsi"/>
              </w:rPr>
              <w:t>The NSW Government supports further standards for consideration, such as front and</w:t>
            </w:r>
            <w:r>
              <w:rPr>
                <w:rFonts w:cstheme="minorHAnsi"/>
              </w:rPr>
              <w:t xml:space="preserve"> </w:t>
            </w:r>
            <w:r w:rsidRPr="000D3911">
              <w:rPr>
                <w:rFonts w:cstheme="minorHAnsi"/>
              </w:rPr>
              <w:t>rear underrun protection devices that would further improve safety outcomes, and</w:t>
            </w:r>
            <w:r>
              <w:rPr>
                <w:rFonts w:cstheme="minorHAnsi"/>
              </w:rPr>
              <w:t xml:space="preserve"> </w:t>
            </w:r>
            <w:r w:rsidRPr="000D3911">
              <w:rPr>
                <w:rFonts w:cstheme="minorHAnsi"/>
              </w:rPr>
              <w:t>help mitigate risks associated with an increased risk of collisions with the front and</w:t>
            </w:r>
            <w:r>
              <w:rPr>
                <w:rFonts w:cstheme="minorHAnsi"/>
              </w:rPr>
              <w:t xml:space="preserve"> </w:t>
            </w:r>
            <w:r w:rsidRPr="000D3911">
              <w:rPr>
                <w:rFonts w:cstheme="minorHAnsi"/>
              </w:rPr>
              <w:t>rear of the heavy vehicles that is associated with a wider vehicle.</w:t>
            </w:r>
          </w:p>
          <w:p w14:paraId="5477107E" w14:textId="77777777" w:rsidR="003822C7" w:rsidRDefault="003822C7" w:rsidP="00E248BF">
            <w:pPr>
              <w:pStyle w:val="ListParagraph"/>
              <w:keepLines/>
              <w:numPr>
                <w:ilvl w:val="0"/>
                <w:numId w:val="62"/>
              </w:numPr>
              <w:tabs>
                <w:tab w:val="left" w:pos="320"/>
              </w:tabs>
              <w:suppressAutoHyphens w:val="0"/>
              <w:ind w:left="284" w:hanging="284"/>
              <w:rPr>
                <w:rFonts w:cstheme="minorHAnsi"/>
                <w:szCs w:val="20"/>
              </w:rPr>
            </w:pPr>
            <w:r w:rsidRPr="00AD679F">
              <w:rPr>
                <w:rFonts w:cstheme="minorHAnsi"/>
                <w:szCs w:val="20"/>
              </w:rPr>
              <w:t>Supports the exclusions proposed for enhanced devices for indirect vision and monitoring devices to detect other road users from vehicle width and length measurements.</w:t>
            </w:r>
          </w:p>
          <w:p w14:paraId="76C0A0D0" w14:textId="77777777" w:rsidR="003822C7" w:rsidRPr="0086139F" w:rsidRDefault="003822C7" w:rsidP="00E248BF">
            <w:pPr>
              <w:pStyle w:val="ListParagraph"/>
              <w:keepLines/>
              <w:numPr>
                <w:ilvl w:val="0"/>
                <w:numId w:val="62"/>
              </w:numPr>
              <w:tabs>
                <w:tab w:val="left" w:pos="325"/>
                <w:tab w:val="left" w:pos="720"/>
              </w:tabs>
              <w:suppressAutoHyphens w:val="0"/>
              <w:ind w:left="284" w:hanging="284"/>
              <w:rPr>
                <w:rFonts w:cstheme="minorHAnsi"/>
              </w:rPr>
            </w:pPr>
            <w:r w:rsidRPr="000D3911">
              <w:rPr>
                <w:rFonts w:cstheme="minorHAnsi"/>
              </w:rPr>
              <w:t>All the devices and systems that are proposed to be excluded from vehicle width and length measurements should continue to be subject to the existing ADR requirements for external projections</w:t>
            </w:r>
            <w:r>
              <w:rPr>
                <w:rFonts w:cstheme="minorHAnsi"/>
              </w:rPr>
              <w:t>.</w:t>
            </w:r>
          </w:p>
        </w:tc>
        <w:tc>
          <w:tcPr>
            <w:tcW w:w="6521" w:type="dxa"/>
            <w:gridSpan w:val="2"/>
          </w:tcPr>
          <w:p w14:paraId="56E6531B"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5D0F2346"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28C926EC"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47E6F431" w14:textId="77777777" w:rsidR="003822C7" w:rsidRDefault="00551BED" w:rsidP="00E248BF">
            <w:pPr>
              <w:pStyle w:val="ListParagraph"/>
              <w:keepLines/>
              <w:numPr>
                <w:ilvl w:val="6"/>
                <w:numId w:val="62"/>
              </w:numPr>
              <w:tabs>
                <w:tab w:val="left" w:pos="318"/>
              </w:tabs>
              <w:suppressAutoHyphens w:val="0"/>
              <w:ind w:left="284" w:hanging="284"/>
              <w:rPr>
                <w:rFonts w:cstheme="minorHAnsi"/>
              </w:rPr>
            </w:pPr>
            <w:r w:rsidRPr="0044497C">
              <w:rPr>
                <w:rFonts w:cstheme="minorHAnsi"/>
              </w:rPr>
              <w:t>AEB and ESC have since been mandated regardless of width</w:t>
            </w:r>
            <w:r>
              <w:rPr>
                <w:rFonts w:cstheme="minorHAnsi"/>
              </w:rPr>
              <w:t xml:space="preserve"> through ADRs 97/00 and 35/07</w:t>
            </w:r>
            <w:r w:rsidRPr="0044497C">
              <w:rPr>
                <w:rFonts w:cstheme="minorHAnsi"/>
              </w:rPr>
              <w:t>.</w:t>
            </w:r>
            <w:r>
              <w:rPr>
                <w:rFonts w:cstheme="minorHAnsi"/>
              </w:rPr>
              <w:t xml:space="preserve"> Further, a</w:t>
            </w:r>
            <w:r w:rsidRPr="0044497C">
              <w:rPr>
                <w:rFonts w:cstheme="minorHAnsi"/>
              </w:rPr>
              <w:t xml:space="preserve"> separate </w:t>
            </w:r>
            <w:r w:rsidR="00C45600">
              <w:rPr>
                <w:rFonts w:cstheme="minorHAnsi"/>
              </w:rPr>
              <w:t>IA</w:t>
            </w:r>
            <w:r w:rsidRPr="0044497C">
              <w:rPr>
                <w:rFonts w:cstheme="minorHAnsi"/>
              </w:rPr>
              <w:t xml:space="preserve"> has been prepared to consider the case to mandate LDWS regardless of width. </w:t>
            </w:r>
            <w:r w:rsidR="00C475C0" w:rsidRPr="0044497C">
              <w:rPr>
                <w:rFonts w:cstheme="minorHAnsi"/>
              </w:rPr>
              <w:t xml:space="preserve">These are all still included </w:t>
            </w:r>
            <w:r w:rsidR="00C475C0">
              <w:rPr>
                <w:rFonts w:cstheme="minorHAnsi"/>
              </w:rPr>
              <w:t xml:space="preserve">under each of the options in this </w:t>
            </w:r>
            <w:r w:rsidR="00C45600">
              <w:rPr>
                <w:rFonts w:cstheme="minorHAnsi"/>
              </w:rPr>
              <w:t>IA</w:t>
            </w:r>
            <w:r w:rsidR="00C475C0" w:rsidRPr="0044497C">
              <w:rPr>
                <w:rFonts w:cstheme="minorHAnsi"/>
              </w:rPr>
              <w:t xml:space="preserve"> as a means to </w:t>
            </w:r>
            <w:r w:rsidR="00C475C0">
              <w:rPr>
                <w:rFonts w:cstheme="minorHAnsi"/>
              </w:rPr>
              <w:t>ensure vehicles already in-service will also be required to be fitted with these safety systems, before they can be modified to be wider than 2.50 m</w:t>
            </w:r>
            <w:r w:rsidRPr="0044497C">
              <w:rPr>
                <w:rFonts w:cstheme="minorHAnsi"/>
              </w:rPr>
              <w:t xml:space="preserve">. A broader mandate for </w:t>
            </w:r>
            <w:r w:rsidR="00496A94">
              <w:rPr>
                <w:rFonts w:cstheme="minorHAnsi"/>
              </w:rPr>
              <w:t>the other safety systems and features</w:t>
            </w:r>
            <w:r w:rsidRPr="0044497C">
              <w:rPr>
                <w:rFonts w:cstheme="minorHAnsi"/>
              </w:rPr>
              <w:t xml:space="preserve"> could be considered in future, but may not be necessary if there is high take up of safer freight vehicles</w:t>
            </w:r>
            <w:r w:rsidR="00496A94">
              <w:rPr>
                <w:rFonts w:cstheme="minorHAnsi"/>
              </w:rPr>
              <w:t>,</w:t>
            </w:r>
            <w:r w:rsidRPr="0044497C">
              <w:rPr>
                <w:rFonts w:cstheme="minorHAnsi"/>
              </w:rPr>
              <w:t xml:space="preserve"> as a result of this proposal</w:t>
            </w:r>
            <w:r w:rsidR="003822C7">
              <w:rPr>
                <w:rFonts w:cstheme="minorHAnsi"/>
              </w:rPr>
              <w:t>.</w:t>
            </w:r>
          </w:p>
          <w:p w14:paraId="0232C815" w14:textId="77777777" w:rsidR="003822C7" w:rsidRPr="008A20D1" w:rsidRDefault="008A20D1" w:rsidP="00E248BF">
            <w:pPr>
              <w:pStyle w:val="ListParagraph"/>
              <w:keepLines/>
              <w:numPr>
                <w:ilvl w:val="6"/>
                <w:numId w:val="62"/>
              </w:numPr>
              <w:tabs>
                <w:tab w:val="left" w:pos="318"/>
              </w:tabs>
              <w:suppressAutoHyphens w:val="0"/>
              <w:ind w:left="284" w:hanging="284"/>
              <w:rPr>
                <w:rFonts w:cstheme="minorHAnsi"/>
              </w:rPr>
            </w:pPr>
            <w:r w:rsidRPr="008A20D1">
              <w:rPr>
                <w:rFonts w:cstheme="minorHAnsi"/>
              </w:rPr>
              <w:t xml:space="preserve">Disagree. </w:t>
            </w:r>
            <w:r w:rsidR="00714CDD" w:rsidRPr="008A20D1">
              <w:rPr>
                <w:rFonts w:cstheme="minorHAnsi"/>
              </w:rPr>
              <w:t xml:space="preserve">Front underrun protection is already mandatory </w:t>
            </w:r>
            <w:r w:rsidRPr="008A20D1">
              <w:rPr>
                <w:rFonts w:cstheme="minorHAnsi"/>
              </w:rPr>
              <w:t>for ADR category NC vehicles (goods vehicles over 12 tonnes GVM)</w:t>
            </w:r>
            <w:r w:rsidR="003822C7" w:rsidRPr="008A20D1">
              <w:rPr>
                <w:rFonts w:cstheme="minorHAnsi"/>
              </w:rPr>
              <w:t>.</w:t>
            </w:r>
            <w:r w:rsidRPr="008A20D1">
              <w:rPr>
                <w:rFonts w:cstheme="minorHAnsi"/>
              </w:rPr>
              <w:t xml:space="preserve"> Any increase in the width of goods vehicles between 4.5 tonnes and 12 tonnes</w:t>
            </w:r>
            <w:r w:rsidR="00264085">
              <w:rPr>
                <w:rFonts w:cstheme="minorHAnsi"/>
              </w:rPr>
              <w:t>, the large majority of which are made in Japan,</w:t>
            </w:r>
            <w:r w:rsidRPr="008A20D1">
              <w:rPr>
                <w:rFonts w:cstheme="minorHAnsi"/>
              </w:rPr>
              <w:t xml:space="preserve"> would most likely occur higher up on the vehicle body (not the cab or chassis) and so should not increase (or decrease) the risk of front underrun. Rear underrun </w:t>
            </w:r>
            <w:r>
              <w:rPr>
                <w:rFonts w:cstheme="minorHAnsi"/>
              </w:rPr>
              <w:t xml:space="preserve">already </w:t>
            </w:r>
            <w:r w:rsidR="00143BFE">
              <w:rPr>
                <w:rFonts w:cstheme="minorHAnsi"/>
              </w:rPr>
              <w:t>has the least potential benefit</w:t>
            </w:r>
            <w:r w:rsidRPr="008A20D1">
              <w:rPr>
                <w:rFonts w:cstheme="minorHAnsi"/>
              </w:rPr>
              <w:t xml:space="preserve"> of all underrun protection devices and benefits will </w:t>
            </w:r>
            <w:r w:rsidR="00DE1F81">
              <w:rPr>
                <w:rFonts w:cstheme="minorHAnsi"/>
              </w:rPr>
              <w:t xml:space="preserve">only </w:t>
            </w:r>
            <w:r w:rsidRPr="008A20D1">
              <w:rPr>
                <w:rFonts w:cstheme="minorHAnsi"/>
              </w:rPr>
              <w:t xml:space="preserve">diminish further in future as the </w:t>
            </w:r>
            <w:r w:rsidR="003D4751">
              <w:rPr>
                <w:rFonts w:cstheme="minorHAnsi"/>
              </w:rPr>
              <w:t>percentage</w:t>
            </w:r>
            <w:r w:rsidRPr="008A20D1">
              <w:rPr>
                <w:rFonts w:cstheme="minorHAnsi"/>
              </w:rPr>
              <w:t xml:space="preserve"> of light vehicles in the fleet with AEB increases.</w:t>
            </w:r>
          </w:p>
          <w:p w14:paraId="71327DA8" w14:textId="77777777"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14:paraId="390B806F" w14:textId="77777777" w:rsidR="003822C7" w:rsidRPr="005760AB"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tc>
      </w:tr>
      <w:tr w:rsidR="003822C7" w:rsidRPr="007B6E69" w14:paraId="6857AB58" w14:textId="77777777" w:rsidTr="003822C7">
        <w:tc>
          <w:tcPr>
            <w:tcW w:w="1696" w:type="dxa"/>
          </w:tcPr>
          <w:p w14:paraId="1A06C7F8" w14:textId="77777777" w:rsidR="003822C7" w:rsidRPr="007B6E69" w:rsidRDefault="003822C7" w:rsidP="007901FB">
            <w:pPr>
              <w:spacing w:before="120" w:after="120"/>
              <w:rPr>
                <w:rFonts w:cstheme="minorHAnsi"/>
              </w:rPr>
            </w:pPr>
            <w:r w:rsidRPr="007B6E69">
              <w:rPr>
                <w:rFonts w:cstheme="minorHAnsi"/>
              </w:rPr>
              <w:t>Off-road Trucks Australia</w:t>
            </w:r>
          </w:p>
        </w:tc>
        <w:tc>
          <w:tcPr>
            <w:tcW w:w="6379" w:type="dxa"/>
          </w:tcPr>
          <w:p w14:paraId="11324618"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exclusion of advanced safety devices from the definitions of width and length – is not offering these features in Australia due to the width definition.</w:t>
            </w:r>
          </w:p>
          <w:p w14:paraId="50B7C7C1"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proposed total width protrusion limit of 100mm to harmonise with EU requirements.</w:t>
            </w:r>
          </w:p>
          <w:p w14:paraId="35772A6E"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proposed total front protrusion limit of 250mm to harmonise with EU requirements.</w:t>
            </w:r>
          </w:p>
          <w:p w14:paraId="37A38658"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Notes all its Tatra vehicles currently meet UN R46/04 for devices for indirect vision.</w:t>
            </w:r>
          </w:p>
          <w:p w14:paraId="1765A348"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Would oppose any proposal to mandate ESC, AEB, LDWS, and blind spot information systems on off-road vehicles.</w:t>
            </w:r>
          </w:p>
          <w:p w14:paraId="3135B54F" w14:textId="77777777"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Advises that Tatra vehicles currently have side underrun protection meeting EU regulations, but these are not offered in the Australian market to reduce mass and increase payload, because axle load limits, particularly on front axles, are significantly lower in Australia.</w:t>
            </w:r>
          </w:p>
          <w:p w14:paraId="74795B5B" w14:textId="77777777" w:rsidR="003822C7" w:rsidRPr="00917D76"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 xml:space="preserve">Would oppose mandatory side underrun protection for </w:t>
            </w:r>
            <w:r>
              <w:rPr>
                <w:rFonts w:cstheme="minorHAnsi"/>
              </w:rPr>
              <w:br/>
              <w:t>off-road vehicles unless there is an increase in axle loads to maintain current payloads.</w:t>
            </w:r>
          </w:p>
        </w:tc>
        <w:tc>
          <w:tcPr>
            <w:tcW w:w="6521" w:type="dxa"/>
            <w:gridSpan w:val="2"/>
          </w:tcPr>
          <w:p w14:paraId="6EB2B315"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588D24BD"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39C74718"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2CFF34CB" w14:textId="77777777"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14:paraId="559917C0" w14:textId="77777777" w:rsidR="003822C7" w:rsidRPr="00D33E0D" w:rsidRDefault="00D33E0D" w:rsidP="00E248BF">
            <w:pPr>
              <w:pStyle w:val="ListParagraph"/>
              <w:keepLines/>
              <w:numPr>
                <w:ilvl w:val="0"/>
                <w:numId w:val="61"/>
              </w:numPr>
              <w:tabs>
                <w:tab w:val="left" w:pos="318"/>
              </w:tabs>
              <w:suppressAutoHyphens w:val="0"/>
              <w:ind w:left="284" w:hanging="284"/>
              <w:rPr>
                <w:rFonts w:cstheme="minorHAnsi"/>
              </w:rPr>
            </w:pPr>
            <w:r w:rsidRPr="00D33E0D">
              <w:rPr>
                <w:rFonts w:cstheme="minorHAnsi"/>
                <w:szCs w:val="20"/>
              </w:rPr>
              <w:t>It</w:t>
            </w:r>
            <w:r w:rsidR="00FA1612" w:rsidRPr="00D33E0D">
              <w:rPr>
                <w:rFonts w:cstheme="minorHAnsi"/>
                <w:szCs w:val="20"/>
              </w:rPr>
              <w:t xml:space="preserve"> is not proposed </w:t>
            </w:r>
            <w:r w:rsidRPr="00D33E0D">
              <w:rPr>
                <w:rFonts w:cstheme="minorHAnsi"/>
                <w:szCs w:val="20"/>
              </w:rPr>
              <w:t xml:space="preserve">to mandate ESC, AEB or LDWS </w:t>
            </w:r>
            <w:r w:rsidR="00FA1612" w:rsidRPr="00D33E0D">
              <w:rPr>
                <w:rFonts w:cstheme="minorHAnsi"/>
                <w:szCs w:val="20"/>
              </w:rPr>
              <w:t xml:space="preserve">for </w:t>
            </w:r>
            <w:r w:rsidR="0025613C">
              <w:rPr>
                <w:rFonts w:cstheme="minorHAnsi"/>
                <w:szCs w:val="20"/>
              </w:rPr>
              <w:t xml:space="preserve">road </w:t>
            </w:r>
            <w:r w:rsidR="00FA1612" w:rsidRPr="00D33E0D">
              <w:rPr>
                <w:rFonts w:cstheme="minorHAnsi"/>
                <w:szCs w:val="20"/>
              </w:rPr>
              <w:t xml:space="preserve">vehicles </w:t>
            </w:r>
            <w:r>
              <w:rPr>
                <w:rFonts w:cstheme="minorHAnsi"/>
                <w:szCs w:val="20"/>
              </w:rPr>
              <w:t>‘</w:t>
            </w:r>
            <w:r w:rsidR="00FA1612" w:rsidRPr="00D33E0D">
              <w:rPr>
                <w:rFonts w:cstheme="minorHAnsi"/>
                <w:szCs w:val="20"/>
              </w:rPr>
              <w:t>designed for off-road use</w:t>
            </w:r>
            <w:r>
              <w:rPr>
                <w:rFonts w:cstheme="minorHAnsi"/>
                <w:szCs w:val="20"/>
              </w:rPr>
              <w:t>’</w:t>
            </w:r>
            <w:r w:rsidRPr="00D33E0D">
              <w:rPr>
                <w:rFonts w:cstheme="minorHAnsi"/>
                <w:szCs w:val="20"/>
              </w:rPr>
              <w:t xml:space="preserve"> (as per the definition in ADRs 35/07 and 97/00 of ‘designed for off-road use’)</w:t>
            </w:r>
            <w:r w:rsidR="00D8167F">
              <w:rPr>
                <w:rFonts w:cstheme="minorHAnsi"/>
                <w:szCs w:val="20"/>
              </w:rPr>
              <w:t>, including for vehicles with an overall width exceeding 2.5</w:t>
            </w:r>
            <w:r w:rsidR="00B9347B">
              <w:rPr>
                <w:rFonts w:cstheme="minorHAnsi"/>
                <w:szCs w:val="20"/>
              </w:rPr>
              <w:t>0</w:t>
            </w:r>
            <w:r w:rsidR="000C5E51">
              <w:rPr>
                <w:rFonts w:cstheme="minorHAnsi"/>
                <w:szCs w:val="20"/>
              </w:rPr>
              <w:t> m</w:t>
            </w:r>
            <w:r w:rsidR="003822C7" w:rsidRPr="00D33E0D">
              <w:rPr>
                <w:rFonts w:cstheme="minorHAnsi"/>
                <w:szCs w:val="20"/>
              </w:rPr>
              <w:t>.</w:t>
            </w:r>
          </w:p>
          <w:p w14:paraId="6D310FF1" w14:textId="77777777" w:rsidR="003822C7" w:rsidRPr="00AC65B3" w:rsidRDefault="00FA1612" w:rsidP="00E248BF">
            <w:pPr>
              <w:pStyle w:val="ListParagraph"/>
              <w:keepLines/>
              <w:numPr>
                <w:ilvl w:val="0"/>
                <w:numId w:val="61"/>
              </w:numPr>
              <w:tabs>
                <w:tab w:val="left" w:pos="318"/>
              </w:tabs>
              <w:suppressAutoHyphens w:val="0"/>
              <w:ind w:left="284" w:hanging="284"/>
              <w:rPr>
                <w:rFonts w:cstheme="minorHAnsi"/>
              </w:rPr>
            </w:pPr>
            <w:r w:rsidRPr="00FA1612">
              <w:rPr>
                <w:rFonts w:cstheme="minorHAnsi"/>
                <w:szCs w:val="20"/>
              </w:rPr>
              <w:t>Noted</w:t>
            </w:r>
            <w:r w:rsidR="003822C7" w:rsidRPr="00FA1612">
              <w:rPr>
                <w:rFonts w:cstheme="minorHAnsi"/>
                <w:szCs w:val="20"/>
              </w:rPr>
              <w:t>.</w:t>
            </w:r>
            <w:r>
              <w:rPr>
                <w:rFonts w:cstheme="minorHAnsi"/>
                <w:szCs w:val="20"/>
              </w:rPr>
              <w:t xml:space="preserve"> Axle mass limits are a matter for the NTC, NHVR, and the jurisdictions to consider.</w:t>
            </w:r>
            <w:r w:rsidR="007E2B56">
              <w:rPr>
                <w:rFonts w:cstheme="minorHAnsi"/>
                <w:szCs w:val="20"/>
              </w:rPr>
              <w:t xml:space="preserve"> </w:t>
            </w:r>
            <w:r w:rsidR="00A72FBF">
              <w:rPr>
                <w:rFonts w:cstheme="minorHAnsi"/>
                <w:szCs w:val="20"/>
              </w:rPr>
              <w:t>V</w:t>
            </w:r>
            <w:r w:rsidR="007E2B56">
              <w:rPr>
                <w:rFonts w:cstheme="minorHAnsi"/>
                <w:szCs w:val="20"/>
              </w:rPr>
              <w:t xml:space="preserve">ehicles with side underrun protection </w:t>
            </w:r>
            <w:r w:rsidR="00A72FBF">
              <w:rPr>
                <w:rFonts w:cstheme="minorHAnsi"/>
                <w:szCs w:val="20"/>
              </w:rPr>
              <w:t xml:space="preserve">are viable to operate </w:t>
            </w:r>
            <w:r w:rsidR="007E2B56">
              <w:rPr>
                <w:rFonts w:cstheme="minorHAnsi"/>
                <w:szCs w:val="20"/>
              </w:rPr>
              <w:t>within the existing limits</w:t>
            </w:r>
            <w:r w:rsidR="00A72FBF">
              <w:rPr>
                <w:rFonts w:cstheme="minorHAnsi"/>
                <w:szCs w:val="20"/>
              </w:rPr>
              <w:t>.</w:t>
            </w:r>
          </w:p>
          <w:p w14:paraId="0E3D7FAC" w14:textId="77777777" w:rsidR="003822C7" w:rsidRPr="00C53999" w:rsidRDefault="00BE5700" w:rsidP="00E248BF">
            <w:pPr>
              <w:pStyle w:val="ListParagraph"/>
              <w:keepLines/>
              <w:numPr>
                <w:ilvl w:val="0"/>
                <w:numId w:val="61"/>
              </w:numPr>
              <w:tabs>
                <w:tab w:val="left" w:pos="318"/>
              </w:tabs>
              <w:suppressAutoHyphens w:val="0"/>
              <w:ind w:left="284" w:hanging="284"/>
              <w:rPr>
                <w:rFonts w:cstheme="minorHAnsi"/>
              </w:rPr>
            </w:pPr>
            <w:r w:rsidRPr="007E2B56">
              <w:rPr>
                <w:rFonts w:cstheme="minorHAnsi"/>
                <w:szCs w:val="20"/>
              </w:rPr>
              <w:t>M</w:t>
            </w:r>
            <w:r w:rsidR="00460770" w:rsidRPr="007E2B56">
              <w:rPr>
                <w:rFonts w:cstheme="minorHAnsi"/>
                <w:szCs w:val="20"/>
              </w:rPr>
              <w:t xml:space="preserve">andatory side underrun protection is only proposed for </w:t>
            </w:r>
            <w:r w:rsidRPr="007E2B56">
              <w:rPr>
                <w:rFonts w:cstheme="minorHAnsi"/>
                <w:szCs w:val="20"/>
              </w:rPr>
              <w:t xml:space="preserve">road </w:t>
            </w:r>
            <w:r w:rsidR="00460770" w:rsidRPr="007E2B56">
              <w:rPr>
                <w:rFonts w:cstheme="minorHAnsi"/>
                <w:szCs w:val="20"/>
              </w:rPr>
              <w:t>vehicles exceeding 2.5</w:t>
            </w:r>
            <w:r w:rsidR="00B9347B">
              <w:rPr>
                <w:rFonts w:cstheme="minorHAnsi"/>
                <w:szCs w:val="20"/>
              </w:rPr>
              <w:t>0</w:t>
            </w:r>
            <w:r w:rsidR="007E2B56">
              <w:rPr>
                <w:rFonts w:cstheme="minorHAnsi"/>
                <w:szCs w:val="20"/>
              </w:rPr>
              <w:t> </w:t>
            </w:r>
            <w:r w:rsidR="00460770" w:rsidRPr="007E2B56">
              <w:rPr>
                <w:rFonts w:cstheme="minorHAnsi"/>
                <w:szCs w:val="20"/>
              </w:rPr>
              <w:t>m in width</w:t>
            </w:r>
            <w:r w:rsidR="00A72FBF">
              <w:rPr>
                <w:rFonts w:cstheme="minorHAnsi"/>
                <w:szCs w:val="20"/>
              </w:rPr>
              <w:t>,</w:t>
            </w:r>
            <w:r w:rsidR="007E2B56">
              <w:rPr>
                <w:rFonts w:cstheme="minorHAnsi"/>
                <w:szCs w:val="20"/>
              </w:rPr>
              <w:t xml:space="preserve"> and </w:t>
            </w:r>
            <w:r w:rsidR="00A72FBF">
              <w:rPr>
                <w:rFonts w:cstheme="minorHAnsi"/>
                <w:szCs w:val="20"/>
              </w:rPr>
              <w:t>will have no more than a minor impact on payloads</w:t>
            </w:r>
            <w:r w:rsidR="00460770" w:rsidRPr="007E2B56">
              <w:rPr>
                <w:rFonts w:cstheme="minorHAnsi"/>
                <w:szCs w:val="20"/>
              </w:rPr>
              <w:t>.</w:t>
            </w:r>
            <w:r w:rsidRPr="007E2B56">
              <w:rPr>
                <w:rFonts w:cstheme="minorHAnsi"/>
                <w:szCs w:val="20"/>
              </w:rPr>
              <w:t xml:space="preserve"> Further, the</w:t>
            </w:r>
            <w:r w:rsidR="007E2B56">
              <w:rPr>
                <w:rFonts w:cstheme="minorHAnsi"/>
                <w:szCs w:val="20"/>
              </w:rPr>
              <w:t xml:space="preserve"> proposed</w:t>
            </w:r>
            <w:r w:rsidR="007D74FF" w:rsidRPr="007E2B56">
              <w:rPr>
                <w:rFonts w:cstheme="minorHAnsi"/>
                <w:szCs w:val="20"/>
              </w:rPr>
              <w:t xml:space="preserve"> </w:t>
            </w:r>
            <w:r w:rsidRPr="007E2B56">
              <w:rPr>
                <w:rFonts w:cstheme="minorHAnsi"/>
                <w:szCs w:val="20"/>
              </w:rPr>
              <w:t xml:space="preserve">requirements </w:t>
            </w:r>
            <w:r w:rsidR="007E2B56">
              <w:rPr>
                <w:rFonts w:cstheme="minorHAnsi"/>
                <w:szCs w:val="20"/>
              </w:rPr>
              <w:t xml:space="preserve">(from UN R73) do not require lateral protection to be fitted </w:t>
            </w:r>
            <w:r w:rsidR="00A72FBF">
              <w:rPr>
                <w:rFonts w:cstheme="minorHAnsi"/>
                <w:szCs w:val="20"/>
              </w:rPr>
              <w:t xml:space="preserve">any </w:t>
            </w:r>
            <w:r w:rsidR="007E2B56">
              <w:rPr>
                <w:rFonts w:cstheme="minorHAnsi"/>
                <w:szCs w:val="20"/>
              </w:rPr>
              <w:t>less than 550 mm above the ground.</w:t>
            </w:r>
          </w:p>
        </w:tc>
      </w:tr>
      <w:tr w:rsidR="003822C7" w:rsidRPr="007B6E69" w14:paraId="2130317E" w14:textId="77777777" w:rsidTr="003822C7">
        <w:tc>
          <w:tcPr>
            <w:tcW w:w="1696" w:type="dxa"/>
          </w:tcPr>
          <w:p w14:paraId="06554236" w14:textId="77777777" w:rsidR="003822C7" w:rsidRPr="007B6E69" w:rsidRDefault="003822C7" w:rsidP="00362B9F">
            <w:pPr>
              <w:pageBreakBefore/>
              <w:spacing w:before="120" w:after="120"/>
              <w:rPr>
                <w:rFonts w:cstheme="minorHAnsi"/>
              </w:rPr>
            </w:pPr>
            <w:r w:rsidRPr="007B6E69">
              <w:rPr>
                <w:rFonts w:cstheme="minorHAnsi"/>
              </w:rPr>
              <w:t>PACCAR Australia</w:t>
            </w:r>
          </w:p>
        </w:tc>
        <w:tc>
          <w:tcPr>
            <w:tcW w:w="6379" w:type="dxa"/>
          </w:tcPr>
          <w:p w14:paraId="0FD9D308"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Supports increasing the width limit to 2.5</w:t>
            </w:r>
            <w:r w:rsidR="00984620">
              <w:rPr>
                <w:rFonts w:cstheme="minorHAnsi"/>
              </w:rPr>
              <w:t>5 m for goods vehicles over 4.5 </w:t>
            </w:r>
            <w:r>
              <w:rPr>
                <w:rFonts w:cstheme="minorHAnsi"/>
              </w:rPr>
              <w:t>tonnes only.</w:t>
            </w:r>
          </w:p>
          <w:p w14:paraId="3281A356"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Notes the </w:t>
            </w:r>
            <w:r w:rsidRPr="000A19FA">
              <w:rPr>
                <w:rFonts w:cstheme="minorHAnsi"/>
              </w:rPr>
              <w:t>on</w:t>
            </w:r>
            <w:r>
              <w:rPr>
                <w:rFonts w:cstheme="minorHAnsi"/>
              </w:rPr>
              <w:t>-</w:t>
            </w:r>
            <w:r w:rsidRPr="000A19FA">
              <w:rPr>
                <w:rFonts w:cstheme="minorHAnsi"/>
              </w:rPr>
              <w:t>road safety benefits of improved technology appl</w:t>
            </w:r>
            <w:r>
              <w:rPr>
                <w:rFonts w:cstheme="minorHAnsi"/>
              </w:rPr>
              <w:t>y</w:t>
            </w:r>
            <w:r w:rsidRPr="000A19FA">
              <w:rPr>
                <w:rFonts w:cstheme="minorHAnsi"/>
              </w:rPr>
              <w:t xml:space="preserve"> primarily to goods carrying</w:t>
            </w:r>
            <w:r>
              <w:rPr>
                <w:rFonts w:cstheme="minorHAnsi"/>
              </w:rPr>
              <w:t xml:space="preserve"> </w:t>
            </w:r>
            <w:r w:rsidRPr="000A19FA">
              <w:rPr>
                <w:rFonts w:cstheme="minorHAnsi"/>
              </w:rPr>
              <w:t>vehicles, as opposed to trailer</w:t>
            </w:r>
            <w:r>
              <w:rPr>
                <w:rFonts w:cstheme="minorHAnsi"/>
              </w:rPr>
              <w:t>s</w:t>
            </w:r>
            <w:r w:rsidRPr="000A19FA">
              <w:rPr>
                <w:rFonts w:cstheme="minorHAnsi"/>
              </w:rPr>
              <w:t>.</w:t>
            </w:r>
          </w:p>
          <w:p w14:paraId="3263F462"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Concerned </w:t>
            </w:r>
            <w:r w:rsidRPr="000A19FA">
              <w:rPr>
                <w:rFonts w:cstheme="minorHAnsi"/>
              </w:rPr>
              <w:t>timely decisions on wider and safer vehicles may be</w:t>
            </w:r>
            <w:r>
              <w:rPr>
                <w:rFonts w:cstheme="minorHAnsi"/>
              </w:rPr>
              <w:t xml:space="preserve"> </w:t>
            </w:r>
            <w:r w:rsidRPr="000A19FA">
              <w:rPr>
                <w:rFonts w:cstheme="minorHAnsi"/>
              </w:rPr>
              <w:t>hampered if both truck</w:t>
            </w:r>
            <w:r>
              <w:rPr>
                <w:rFonts w:cstheme="minorHAnsi"/>
              </w:rPr>
              <w:t>s</w:t>
            </w:r>
            <w:r w:rsidRPr="000A19FA">
              <w:rPr>
                <w:rFonts w:cstheme="minorHAnsi"/>
              </w:rPr>
              <w:t xml:space="preserve"> and trailer</w:t>
            </w:r>
            <w:r>
              <w:rPr>
                <w:rFonts w:cstheme="minorHAnsi"/>
              </w:rPr>
              <w:t>s</w:t>
            </w:r>
            <w:r w:rsidRPr="000A19FA">
              <w:rPr>
                <w:rFonts w:cstheme="minorHAnsi"/>
              </w:rPr>
              <w:t xml:space="preserve"> are considered simultaneously</w:t>
            </w:r>
            <w:r>
              <w:rPr>
                <w:rFonts w:cstheme="minorHAnsi"/>
              </w:rPr>
              <w:t>.</w:t>
            </w:r>
          </w:p>
          <w:p w14:paraId="3FA31AC9"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w:t>
            </w:r>
            <w:r w:rsidRPr="000A19FA">
              <w:rPr>
                <w:rFonts w:cstheme="minorHAnsi"/>
              </w:rPr>
              <w:t>ould like to see wider and safer vehicles allowed on</w:t>
            </w:r>
            <w:r>
              <w:rPr>
                <w:rFonts w:cstheme="minorHAnsi"/>
              </w:rPr>
              <w:t xml:space="preserve"> the</w:t>
            </w:r>
            <w:r w:rsidRPr="000A19FA">
              <w:rPr>
                <w:rFonts w:cstheme="minorHAnsi"/>
              </w:rPr>
              <w:t xml:space="preserve"> road before 30</w:t>
            </w:r>
            <w:r>
              <w:rPr>
                <w:rFonts w:cstheme="minorHAnsi"/>
              </w:rPr>
              <w:t xml:space="preserve"> June</w:t>
            </w:r>
            <w:r w:rsidRPr="000A19FA">
              <w:rPr>
                <w:rFonts w:cstheme="minorHAnsi"/>
              </w:rPr>
              <w:t xml:space="preserve"> 2022</w:t>
            </w:r>
            <w:r>
              <w:rPr>
                <w:rFonts w:cstheme="minorHAnsi"/>
              </w:rPr>
              <w:t>.</w:t>
            </w:r>
          </w:p>
          <w:p w14:paraId="6F4759EC"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Considers mandating the requirements of UN R46 will eliminate the ability to fit flat glass to main rear-view mirrors.</w:t>
            </w:r>
          </w:p>
          <w:p w14:paraId="1F51A8D3"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Argues flat glass rear-view mirrors provide a clearer perception of depth.</w:t>
            </w:r>
          </w:p>
          <w:p w14:paraId="1AC66452" w14:textId="77777777" w:rsidR="003822C7" w:rsidRPr="00BF4002"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Considers mandating the requirements of UN R46 will require significant testing of mirror and structure installation, which will involve significant time and cost for no safety benefit.</w:t>
            </w:r>
          </w:p>
          <w:p w14:paraId="48036412"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Recommends the proposed new ADR for devices for indirect vision be amended to allow existing main rear-view mirrors without the need for strength or performance testing, and be updated to require wide angle rear-view mirrors, close proximity view mirrors, and front-view mirrors or hood mounted mirrors/devices for viewing across the front of the truck.</w:t>
            </w:r>
          </w:p>
          <w:p w14:paraId="4522EEEA"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Supports the then proposed new ADR 35/07 mandating ESC on heavy vehicles with less than 4 axles.</w:t>
            </w:r>
          </w:p>
          <w:p w14:paraId="683461D2"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Supports the introduction UN R131 within the new ADR 97/00 for AEB on heavy vehicles, provided equivalent standards such as Commission </w:t>
            </w:r>
            <w:r w:rsidRPr="003F58E6">
              <w:rPr>
                <w:rFonts w:cstheme="minorHAnsi"/>
              </w:rPr>
              <w:t>Regulation (EU) No 3</w:t>
            </w:r>
            <w:r>
              <w:rPr>
                <w:rFonts w:cstheme="minorHAnsi"/>
              </w:rPr>
              <w:t>47</w:t>
            </w:r>
            <w:r w:rsidRPr="003F58E6">
              <w:rPr>
                <w:rFonts w:cstheme="minorHAnsi"/>
              </w:rPr>
              <w:t>/2012*</w:t>
            </w:r>
            <w:r>
              <w:rPr>
                <w:rFonts w:cstheme="minorHAnsi"/>
              </w:rPr>
              <w:t>2015</w:t>
            </w:r>
            <w:r w:rsidRPr="003F58E6">
              <w:rPr>
                <w:rFonts w:cstheme="minorHAnsi"/>
              </w:rPr>
              <w:t>/</w:t>
            </w:r>
            <w:r>
              <w:rPr>
                <w:rFonts w:cstheme="minorHAnsi"/>
              </w:rPr>
              <w:t>56</w:t>
            </w:r>
            <w:r w:rsidRPr="003F58E6">
              <w:rPr>
                <w:rFonts w:cstheme="minorHAnsi"/>
              </w:rPr>
              <w:t>2</w:t>
            </w:r>
            <w:r>
              <w:rPr>
                <w:rFonts w:cstheme="minorHAnsi"/>
              </w:rPr>
              <w:t xml:space="preserve"> are </w:t>
            </w:r>
            <w:r w:rsidRPr="003F58E6">
              <w:rPr>
                <w:rFonts w:cstheme="minorHAnsi"/>
              </w:rPr>
              <w:t>added as accepted alternative standards</w:t>
            </w:r>
            <w:r>
              <w:rPr>
                <w:rFonts w:cstheme="minorHAnsi"/>
              </w:rPr>
              <w:t>.</w:t>
            </w:r>
          </w:p>
          <w:p w14:paraId="3C9994D3"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Supports the introduction of UN R130 within a new ADR for LDWS on heavy vehicles, provided equivalent standards such as Commission </w:t>
            </w:r>
            <w:r w:rsidRPr="003F58E6">
              <w:rPr>
                <w:rFonts w:cstheme="minorHAnsi"/>
              </w:rPr>
              <w:t>Regulation (EU) No 351/2012*351/2012</w:t>
            </w:r>
            <w:r>
              <w:rPr>
                <w:rFonts w:cstheme="minorHAnsi"/>
              </w:rPr>
              <w:t xml:space="preserve"> are </w:t>
            </w:r>
            <w:r w:rsidRPr="003F58E6">
              <w:rPr>
                <w:rFonts w:cstheme="minorHAnsi"/>
              </w:rPr>
              <w:t>added as accepted alternative standards</w:t>
            </w:r>
            <w:r>
              <w:rPr>
                <w:rFonts w:cstheme="minorHAnsi"/>
              </w:rPr>
              <w:t>.</w:t>
            </w:r>
          </w:p>
          <w:p w14:paraId="6AEF2CD4"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w:t>
            </w:r>
            <w:r w:rsidRPr="002F0F1B">
              <w:rPr>
                <w:rFonts w:cstheme="minorHAnsi"/>
              </w:rPr>
              <w:t xml:space="preserve">ould not like to see implementation of </w:t>
            </w:r>
            <w:r>
              <w:rPr>
                <w:rFonts w:cstheme="minorHAnsi"/>
              </w:rPr>
              <w:t>a new</w:t>
            </w:r>
            <w:r w:rsidRPr="002F0F1B">
              <w:rPr>
                <w:rFonts w:cstheme="minorHAnsi"/>
              </w:rPr>
              <w:t xml:space="preserve"> ADR </w:t>
            </w:r>
            <w:r>
              <w:rPr>
                <w:rFonts w:cstheme="minorHAnsi"/>
              </w:rPr>
              <w:t xml:space="preserve">for blind spot information systems </w:t>
            </w:r>
            <w:r w:rsidRPr="002F0F1B">
              <w:rPr>
                <w:rFonts w:cstheme="minorHAnsi"/>
              </w:rPr>
              <w:t>until at least 24 months post</w:t>
            </w:r>
            <w:r>
              <w:rPr>
                <w:rFonts w:cstheme="minorHAnsi"/>
              </w:rPr>
              <w:t xml:space="preserve"> </w:t>
            </w:r>
            <w:r w:rsidRPr="002F0F1B">
              <w:rPr>
                <w:rFonts w:cstheme="minorHAnsi"/>
              </w:rPr>
              <w:t>implementation in Europe</w:t>
            </w:r>
            <w:r>
              <w:rPr>
                <w:rFonts w:cstheme="minorHAnsi"/>
              </w:rPr>
              <w:t>.</w:t>
            </w:r>
          </w:p>
          <w:p w14:paraId="7497BA79"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Does not support the proposed new ADR for side underrun protection as written – considers UN R73 which the proposed ADR adopts to be highly restrictive, beyond its safety improvement intent.</w:t>
            </w:r>
          </w:p>
          <w:p w14:paraId="7BD99EBA"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I</w:t>
            </w:r>
            <w:r w:rsidRPr="00F72D01">
              <w:rPr>
                <w:rFonts w:cstheme="minorHAnsi"/>
              </w:rPr>
              <w:t>s supportive of the Technical Advisory Procedure written by the ATA which</w:t>
            </w:r>
            <w:r>
              <w:rPr>
                <w:rFonts w:cstheme="minorHAnsi"/>
              </w:rPr>
              <w:t xml:space="preserve"> </w:t>
            </w:r>
            <w:r w:rsidRPr="00F72D01">
              <w:rPr>
                <w:rFonts w:cstheme="minorHAnsi"/>
              </w:rPr>
              <w:t>provides for a more flexible interpretation of UN R73, whilst still achieving the safety intent</w:t>
            </w:r>
            <w:r>
              <w:rPr>
                <w:rFonts w:cstheme="minorHAnsi"/>
              </w:rPr>
              <w:t xml:space="preserve"> </w:t>
            </w:r>
            <w:r w:rsidRPr="00F72D01">
              <w:rPr>
                <w:rFonts w:cstheme="minorHAnsi"/>
              </w:rPr>
              <w:t>of this regulation</w:t>
            </w:r>
            <w:r>
              <w:rPr>
                <w:rFonts w:cstheme="minorHAnsi"/>
              </w:rPr>
              <w:t>.</w:t>
            </w:r>
          </w:p>
          <w:p w14:paraId="66AB3FA0"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Understands the proposed new standard for side underrun protection is to apply to rigid body vehicles only.</w:t>
            </w:r>
          </w:p>
          <w:p w14:paraId="52B4D948" w14:textId="77777777" w:rsidR="003822C7" w:rsidRPr="00FB3BFA"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Notes many </w:t>
            </w:r>
            <w:r w:rsidRPr="00FB3BFA">
              <w:rPr>
                <w:rFonts w:cstheme="minorHAnsi"/>
              </w:rPr>
              <w:t>trucks</w:t>
            </w:r>
            <w:r>
              <w:rPr>
                <w:rFonts w:cstheme="minorHAnsi"/>
              </w:rPr>
              <w:t xml:space="preserve"> </w:t>
            </w:r>
            <w:r w:rsidRPr="00FB3BFA">
              <w:rPr>
                <w:rFonts w:cstheme="minorHAnsi"/>
              </w:rPr>
              <w:t>operating in Australia have significant body work completed post build, but prior to</w:t>
            </w:r>
            <w:r>
              <w:rPr>
                <w:rFonts w:cstheme="minorHAnsi"/>
              </w:rPr>
              <w:t xml:space="preserve"> </w:t>
            </w:r>
            <w:r w:rsidRPr="00FB3BFA">
              <w:rPr>
                <w:rFonts w:cstheme="minorHAnsi"/>
              </w:rPr>
              <w:t>operation in service</w:t>
            </w:r>
            <w:r>
              <w:rPr>
                <w:rFonts w:cstheme="minorHAnsi"/>
              </w:rPr>
              <w:t xml:space="preserve"> – e</w:t>
            </w:r>
            <w:r w:rsidRPr="00FB3BFA">
              <w:rPr>
                <w:rFonts w:cstheme="minorHAnsi"/>
              </w:rPr>
              <w:t xml:space="preserve">nforcing </w:t>
            </w:r>
            <w:r>
              <w:rPr>
                <w:rFonts w:cstheme="minorHAnsi"/>
              </w:rPr>
              <w:t>side underrun protection</w:t>
            </w:r>
            <w:r w:rsidRPr="00FB3BFA">
              <w:rPr>
                <w:rFonts w:cstheme="minorHAnsi"/>
              </w:rPr>
              <w:t xml:space="preserve"> as part of Type Approval w</w:t>
            </w:r>
            <w:r>
              <w:rPr>
                <w:rFonts w:cstheme="minorHAnsi"/>
              </w:rPr>
              <w:t xml:space="preserve">ould </w:t>
            </w:r>
            <w:r w:rsidRPr="00FB3BFA">
              <w:rPr>
                <w:rFonts w:cstheme="minorHAnsi"/>
              </w:rPr>
              <w:t xml:space="preserve">necessitate </w:t>
            </w:r>
            <w:r>
              <w:rPr>
                <w:rFonts w:cstheme="minorHAnsi"/>
              </w:rPr>
              <w:t xml:space="preserve">the </w:t>
            </w:r>
            <w:r w:rsidRPr="00FB3BFA">
              <w:rPr>
                <w:rFonts w:cstheme="minorHAnsi"/>
              </w:rPr>
              <w:t>installation</w:t>
            </w:r>
            <w:r>
              <w:rPr>
                <w:rFonts w:cstheme="minorHAnsi"/>
              </w:rPr>
              <w:t xml:space="preserve"> </w:t>
            </w:r>
            <w:r w:rsidRPr="00FB3BFA">
              <w:rPr>
                <w:rFonts w:cstheme="minorHAnsi"/>
              </w:rPr>
              <w:t xml:space="preserve">and subsequent removal </w:t>
            </w:r>
            <w:r>
              <w:rPr>
                <w:rFonts w:cstheme="minorHAnsi"/>
              </w:rPr>
              <w:t xml:space="preserve">and disposal of </w:t>
            </w:r>
            <w:r w:rsidRPr="00FB3BFA">
              <w:rPr>
                <w:rFonts w:cstheme="minorHAnsi"/>
              </w:rPr>
              <w:t>compliant components on many vehicles</w:t>
            </w:r>
            <w:r>
              <w:rPr>
                <w:rFonts w:cstheme="minorHAnsi"/>
              </w:rPr>
              <w:t>, which would impose</w:t>
            </w:r>
            <w:r w:rsidRPr="00FB3BFA">
              <w:rPr>
                <w:rFonts w:cstheme="minorHAnsi"/>
              </w:rPr>
              <w:t xml:space="preserve"> significant wasted cost on truck owners.</w:t>
            </w:r>
          </w:p>
          <w:p w14:paraId="7F00782B"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Would prefer any regulation for side underrun protection to be</w:t>
            </w:r>
            <w:r w:rsidRPr="00AB5345">
              <w:rPr>
                <w:rFonts w:cstheme="minorHAnsi"/>
              </w:rPr>
              <w:t xml:space="preserve"> applied as an </w:t>
            </w:r>
            <w:r>
              <w:rPr>
                <w:rFonts w:cstheme="minorHAnsi"/>
              </w:rPr>
              <w:t>in-service</w:t>
            </w:r>
            <w:r w:rsidRPr="00AB5345">
              <w:rPr>
                <w:rFonts w:cstheme="minorHAnsi"/>
              </w:rPr>
              <w:t xml:space="preserve"> requirement, as</w:t>
            </w:r>
            <w:r>
              <w:rPr>
                <w:rFonts w:cstheme="minorHAnsi"/>
              </w:rPr>
              <w:t xml:space="preserve"> </w:t>
            </w:r>
            <w:r w:rsidRPr="00AB5345">
              <w:rPr>
                <w:rFonts w:cstheme="minorHAnsi"/>
              </w:rPr>
              <w:t>opposed to an ADR</w:t>
            </w:r>
            <w:r>
              <w:rPr>
                <w:rFonts w:cstheme="minorHAnsi"/>
              </w:rPr>
              <w:t>.</w:t>
            </w:r>
          </w:p>
          <w:p w14:paraId="500F01BB" w14:textId="77777777"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sidRPr="00E52A92">
              <w:rPr>
                <w:rFonts w:cstheme="minorHAnsi"/>
              </w:rPr>
              <w:t xml:space="preserve">If an ADR </w:t>
            </w:r>
            <w:r>
              <w:rPr>
                <w:rFonts w:cstheme="minorHAnsi"/>
              </w:rPr>
              <w:t xml:space="preserve">for side underrun protection </w:t>
            </w:r>
            <w:r w:rsidRPr="00E52A92">
              <w:rPr>
                <w:rFonts w:cstheme="minorHAnsi"/>
              </w:rPr>
              <w:t xml:space="preserve">is applied instead of an in-service requirement, </w:t>
            </w:r>
            <w:r>
              <w:rPr>
                <w:rFonts w:cstheme="minorHAnsi"/>
              </w:rPr>
              <w:t>requests that</w:t>
            </w:r>
            <w:r w:rsidRPr="00E52A92">
              <w:rPr>
                <w:rFonts w:cstheme="minorHAnsi"/>
              </w:rPr>
              <w:t xml:space="preserve"> Administrator’s Circular (0-4-11) be modified to include </w:t>
            </w:r>
            <w:r w:rsidR="00597019">
              <w:rPr>
                <w:rFonts w:cstheme="minorHAnsi"/>
              </w:rPr>
              <w:t>side underrun protection</w:t>
            </w:r>
            <w:r w:rsidRPr="00E52A92">
              <w:rPr>
                <w:rFonts w:cstheme="minorHAnsi"/>
              </w:rPr>
              <w:t xml:space="preserve">, </w:t>
            </w:r>
            <w:r>
              <w:rPr>
                <w:rFonts w:cstheme="minorHAnsi"/>
              </w:rPr>
              <w:t xml:space="preserve">to allow </w:t>
            </w:r>
            <w:r w:rsidRPr="00E52A92">
              <w:rPr>
                <w:rFonts w:cstheme="minorHAnsi"/>
              </w:rPr>
              <w:t xml:space="preserve">manufacturers to </w:t>
            </w:r>
            <w:r>
              <w:rPr>
                <w:rFonts w:cstheme="minorHAnsi"/>
              </w:rPr>
              <w:t>supply vehicles to market</w:t>
            </w:r>
            <w:r w:rsidRPr="00E52A92">
              <w:rPr>
                <w:rFonts w:cstheme="minorHAnsi"/>
              </w:rPr>
              <w:t xml:space="preserve"> without </w:t>
            </w:r>
            <w:r>
              <w:rPr>
                <w:rFonts w:cstheme="minorHAnsi"/>
              </w:rPr>
              <w:t xml:space="preserve">side underrun protection </w:t>
            </w:r>
            <w:r w:rsidRPr="00E52A92">
              <w:rPr>
                <w:rFonts w:cstheme="minorHAnsi"/>
              </w:rPr>
              <w:t>components installed.</w:t>
            </w:r>
          </w:p>
          <w:p w14:paraId="6AC2435D" w14:textId="77777777" w:rsidR="003822C7" w:rsidRPr="00F72D01"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Recommends the NHVR provide formal allowance for new vehicles to travel post build as part of the manufacture completion process to body builders etc before side underrun components are installed.</w:t>
            </w:r>
          </w:p>
        </w:tc>
        <w:tc>
          <w:tcPr>
            <w:tcW w:w="6521" w:type="dxa"/>
            <w:gridSpan w:val="2"/>
          </w:tcPr>
          <w:p w14:paraId="399F3E39"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2D22D8B7"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Agreed. There are more safety benefits for trucks. Trailer benefits are more productivity based.</w:t>
            </w:r>
          </w:p>
          <w:p w14:paraId="2CE0AD50"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42659ED1" w14:textId="77777777" w:rsidR="00B25928" w:rsidRPr="009133CD" w:rsidRDefault="00B25928"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However, more time has been required to complete the </w:t>
            </w:r>
            <w:r w:rsidR="00531858">
              <w:rPr>
                <w:rFonts w:cstheme="minorHAnsi"/>
              </w:rPr>
              <w:t>IA</w:t>
            </w:r>
            <w:r w:rsidRPr="009133CD">
              <w:rPr>
                <w:rFonts w:cstheme="minorHAnsi"/>
              </w:rPr>
              <w:t xml:space="preserve"> (including to consider industry requests for exemptions and variations to the proposed UN regulation based ADRs) and further time will be required to update in-service vehicle laws, following any updates to the ADRs to allow for wider and safer freight vehicles.</w:t>
            </w:r>
          </w:p>
          <w:p w14:paraId="4F8AA013" w14:textId="77777777" w:rsidR="003822C7" w:rsidRPr="009133CD" w:rsidRDefault="00F4187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Vehicles </w:t>
            </w:r>
            <w:r w:rsidR="00601A9A" w:rsidRPr="00601A9A">
              <w:rPr>
                <w:rFonts w:cstheme="minorHAnsi"/>
              </w:rPr>
              <w:t>can be designed to meet UN R46 with flat glass fitted to main rear-view mirrors on the driver’s side. Agree it is unlikely to be possible to fit flat glass to main rear-view mirrors on the passenger side. This is because flat main rear-view mirrors typically provide a very limited field of view on the passenger side compared to the minimum required by UN R46. However, there are other solutions, including fitting a flat glass main rear-view mirror (on either side) in combination with a camera-monitor system meeting the full UN R46 field of vision requirements</w:t>
            </w:r>
            <w:r w:rsidR="002A7D4A">
              <w:rPr>
                <w:rFonts w:cstheme="minorHAnsi"/>
              </w:rPr>
              <w:t>.</w:t>
            </w:r>
          </w:p>
          <w:p w14:paraId="142BE52D"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Agree that flat glass mirrors provide </w:t>
            </w:r>
            <w:r w:rsidR="00C77288" w:rsidRPr="009133CD">
              <w:rPr>
                <w:rFonts w:cstheme="minorHAnsi"/>
              </w:rPr>
              <w:t>clearer</w:t>
            </w:r>
            <w:r w:rsidRPr="009133CD">
              <w:rPr>
                <w:rFonts w:cstheme="minorHAnsi"/>
              </w:rPr>
              <w:t xml:space="preserve"> depth perception. However, flat glass mirrors provide a narrower field of view (than convex mirrors), and can leave very large blind spots on the passenger side of trucks.</w:t>
            </w:r>
          </w:p>
          <w:p w14:paraId="7303B4E1" w14:textId="77777777" w:rsidR="003822C7" w:rsidRPr="009133CD" w:rsidRDefault="00DC12FF"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Disagree</w:t>
            </w:r>
            <w:r w:rsidR="003822C7" w:rsidRPr="009133CD">
              <w:rPr>
                <w:rFonts w:cstheme="minorHAnsi"/>
              </w:rPr>
              <w:t>.</w:t>
            </w:r>
            <w:r w:rsidR="00264085" w:rsidRPr="009133CD">
              <w:rPr>
                <w:rFonts w:cstheme="minorHAnsi"/>
              </w:rPr>
              <w:t xml:space="preserve"> The performance testing in UN R46 allows for a less design prescriptive (i.e. performance based) approach overall</w:t>
            </w:r>
            <w:r w:rsidR="008A7ABC" w:rsidRPr="009133CD">
              <w:rPr>
                <w:rFonts w:cstheme="minorHAnsi"/>
              </w:rPr>
              <w:t xml:space="preserve"> and underpins the approach taken by the EU in regard to the exclusion of these devices from width and length measurements</w:t>
            </w:r>
            <w:r w:rsidR="00264085" w:rsidRPr="009133CD">
              <w:rPr>
                <w:rFonts w:cstheme="minorHAnsi"/>
              </w:rPr>
              <w:t xml:space="preserve">. This </w:t>
            </w:r>
            <w:r w:rsidR="004E01D6" w:rsidRPr="009133CD">
              <w:rPr>
                <w:rFonts w:cstheme="minorHAnsi"/>
              </w:rPr>
              <w:t xml:space="preserve">testing </w:t>
            </w:r>
            <w:r w:rsidR="00264085" w:rsidRPr="009133CD">
              <w:rPr>
                <w:rFonts w:cstheme="minorHAnsi"/>
              </w:rPr>
              <w:t xml:space="preserve">is </w:t>
            </w:r>
            <w:r w:rsidR="004E01D6" w:rsidRPr="009133CD">
              <w:rPr>
                <w:rFonts w:cstheme="minorHAnsi"/>
              </w:rPr>
              <w:t xml:space="preserve">also </w:t>
            </w:r>
            <w:r w:rsidR="00264085" w:rsidRPr="009133CD">
              <w:rPr>
                <w:rFonts w:cstheme="minorHAnsi"/>
              </w:rPr>
              <w:t xml:space="preserve">minor relative to the benefits for truck manufacturers </w:t>
            </w:r>
            <w:r w:rsidR="00CF57BC">
              <w:rPr>
                <w:rFonts w:cstheme="minorHAnsi"/>
              </w:rPr>
              <w:t>(and pur</w:t>
            </w:r>
            <w:r w:rsidR="0008305E">
              <w:rPr>
                <w:rFonts w:cstheme="minorHAnsi"/>
              </w:rPr>
              <w:t>ch</w:t>
            </w:r>
            <w:r w:rsidR="00CF57BC">
              <w:rPr>
                <w:rFonts w:cstheme="minorHAnsi"/>
              </w:rPr>
              <w:t>as</w:t>
            </w:r>
            <w:r w:rsidR="0008305E">
              <w:rPr>
                <w:rFonts w:cstheme="minorHAnsi"/>
              </w:rPr>
              <w:t>ers/</w:t>
            </w:r>
            <w:r w:rsidR="00CF57BC">
              <w:rPr>
                <w:rFonts w:cstheme="minorHAnsi"/>
              </w:rPr>
              <w:t xml:space="preserve">operators) </w:t>
            </w:r>
            <w:r w:rsidR="00264085" w:rsidRPr="009133CD">
              <w:rPr>
                <w:rFonts w:cstheme="minorHAnsi"/>
              </w:rPr>
              <w:t>of an increased width limit.</w:t>
            </w:r>
          </w:p>
          <w:p w14:paraId="703F0B27" w14:textId="77777777" w:rsidR="00685EEE" w:rsidRPr="009133CD" w:rsidRDefault="00685EEE"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Agree that the ADR should be updated to require wide angle rear-view mirrors, close proximity view mirrors, and front-view mirrors or </w:t>
            </w:r>
            <w:r w:rsidRPr="009133CD">
              <w:rPr>
                <w:rFonts w:cstheme="minorHAnsi"/>
              </w:rPr>
              <w:br/>
              <w:t>cross-view mirrors</w:t>
            </w:r>
            <w:r w:rsidR="003822C7" w:rsidRPr="009133CD">
              <w:rPr>
                <w:rFonts w:cstheme="minorHAnsi"/>
              </w:rPr>
              <w:t>.</w:t>
            </w:r>
            <w:r w:rsidRPr="009133CD">
              <w:rPr>
                <w:rFonts w:cstheme="minorHAnsi"/>
              </w:rPr>
              <w:t xml:space="preserve"> Disagree with </w:t>
            </w:r>
            <w:r w:rsidR="00DC42A2" w:rsidRPr="009133CD">
              <w:rPr>
                <w:rFonts w:cstheme="minorHAnsi"/>
              </w:rPr>
              <w:t xml:space="preserve">the </w:t>
            </w:r>
            <w:r w:rsidRPr="009133CD">
              <w:rPr>
                <w:rFonts w:cstheme="minorHAnsi"/>
              </w:rPr>
              <w:t xml:space="preserve">proposal to allow existing main </w:t>
            </w:r>
            <w:r w:rsidR="00DC42A2" w:rsidRPr="009133CD">
              <w:rPr>
                <w:rFonts w:cstheme="minorHAnsi"/>
              </w:rPr>
              <w:br/>
            </w:r>
            <w:r w:rsidRPr="009133CD">
              <w:rPr>
                <w:rFonts w:cstheme="minorHAnsi"/>
              </w:rPr>
              <w:t>rea</w:t>
            </w:r>
            <w:r w:rsidR="00D03373" w:rsidRPr="009133CD">
              <w:rPr>
                <w:rFonts w:cstheme="minorHAnsi"/>
              </w:rPr>
              <w:t>r</w:t>
            </w:r>
            <w:r w:rsidRPr="009133CD">
              <w:rPr>
                <w:rFonts w:cstheme="minorHAnsi"/>
              </w:rPr>
              <w:t>-view mirrors without the need for strength or performance testing</w:t>
            </w:r>
            <w:r w:rsidR="00FD320D" w:rsidRPr="009133CD">
              <w:rPr>
                <w:rFonts w:cstheme="minorHAnsi"/>
              </w:rPr>
              <w:t xml:space="preserve">, including because </w:t>
            </w:r>
            <w:r w:rsidRPr="009133CD">
              <w:rPr>
                <w:rFonts w:cstheme="minorHAnsi"/>
              </w:rPr>
              <w:t>the performance testing</w:t>
            </w:r>
            <w:r w:rsidR="0001778F" w:rsidRPr="009133CD">
              <w:rPr>
                <w:rFonts w:cstheme="minorHAnsi"/>
              </w:rPr>
              <w:t xml:space="preserve"> allows for a less </w:t>
            </w:r>
            <w:r w:rsidR="00FD320D" w:rsidRPr="009133CD">
              <w:rPr>
                <w:rFonts w:cstheme="minorHAnsi"/>
              </w:rPr>
              <w:t xml:space="preserve">design </w:t>
            </w:r>
            <w:r w:rsidR="0001778F" w:rsidRPr="009133CD">
              <w:rPr>
                <w:rFonts w:cstheme="minorHAnsi"/>
              </w:rPr>
              <w:t xml:space="preserve">prescriptive </w:t>
            </w:r>
            <w:r w:rsidR="00A52F74" w:rsidRPr="009133CD">
              <w:rPr>
                <w:rFonts w:cstheme="minorHAnsi"/>
              </w:rPr>
              <w:t xml:space="preserve">(i.e. performance based) </w:t>
            </w:r>
            <w:r w:rsidR="0001778F" w:rsidRPr="009133CD">
              <w:rPr>
                <w:rFonts w:cstheme="minorHAnsi"/>
              </w:rPr>
              <w:t>approach overall</w:t>
            </w:r>
            <w:r w:rsidR="00B909FF">
              <w:rPr>
                <w:rFonts w:cstheme="minorHAnsi"/>
              </w:rPr>
              <w:t xml:space="preserve"> and is linked to exclusions from width and length measurements</w:t>
            </w:r>
            <w:r w:rsidR="00FD320D" w:rsidRPr="009133CD">
              <w:rPr>
                <w:rFonts w:cstheme="minorHAnsi"/>
              </w:rPr>
              <w:t>.</w:t>
            </w:r>
          </w:p>
          <w:p w14:paraId="3D9BDB44"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1F37A289" w14:textId="77777777" w:rsidR="003822C7" w:rsidRPr="009133CD" w:rsidRDefault="00082135"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r w:rsidR="003822C7" w:rsidRPr="009133CD">
              <w:rPr>
                <w:rFonts w:cstheme="minorHAnsi"/>
              </w:rPr>
              <w:t>.</w:t>
            </w:r>
            <w:r w:rsidRPr="009133CD">
              <w:rPr>
                <w:rFonts w:cstheme="minorHAnsi"/>
              </w:rPr>
              <w:t xml:space="preserve"> </w:t>
            </w:r>
            <w:r w:rsidR="00201BF9" w:rsidRPr="009133CD">
              <w:rPr>
                <w:rFonts w:cstheme="minorHAnsi"/>
              </w:rPr>
              <w:t xml:space="preserve">However, </w:t>
            </w:r>
            <w:r w:rsidRPr="009133CD">
              <w:rPr>
                <w:rFonts w:cstheme="minorHAnsi"/>
              </w:rPr>
              <w:t>Commission Regulation (EU) No 347/2012*2015/562 has now been repealed.</w:t>
            </w:r>
          </w:p>
          <w:p w14:paraId="34632BA6" w14:textId="77777777" w:rsidR="003822C7" w:rsidRPr="009133CD" w:rsidRDefault="00201BF9"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 However, Commission Regulation (EU) No 351/2012*351/2012 has now been repealed.</w:t>
            </w:r>
          </w:p>
          <w:p w14:paraId="5B8E5CE4" w14:textId="77777777" w:rsidR="003822C7" w:rsidRPr="009133CD" w:rsidRDefault="00685EEE"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The proposed </w:t>
            </w:r>
            <w:r w:rsidR="00CC4EA2" w:rsidRPr="009133CD">
              <w:rPr>
                <w:rFonts w:cstheme="minorHAnsi"/>
              </w:rPr>
              <w:t xml:space="preserve">ADR applicability </w:t>
            </w:r>
            <w:r w:rsidRPr="009133CD">
              <w:rPr>
                <w:rFonts w:cstheme="minorHAnsi"/>
              </w:rPr>
              <w:t xml:space="preserve">dates are </w:t>
            </w:r>
            <w:r w:rsidR="00DC42A2" w:rsidRPr="009133CD">
              <w:rPr>
                <w:rFonts w:cstheme="minorHAnsi"/>
              </w:rPr>
              <w:t>28</w:t>
            </w:r>
            <w:r w:rsidRPr="009133CD">
              <w:rPr>
                <w:rFonts w:cstheme="minorHAnsi"/>
              </w:rPr>
              <w:t xml:space="preserve"> months post implementation for new models in Europe and </w:t>
            </w:r>
            <w:r w:rsidR="00DC42A2" w:rsidRPr="009133CD">
              <w:rPr>
                <w:rFonts w:cstheme="minorHAnsi"/>
              </w:rPr>
              <w:t>31 months post implementation for all new vehicles</w:t>
            </w:r>
            <w:r w:rsidR="00CC4EA2" w:rsidRPr="009133CD">
              <w:rPr>
                <w:rFonts w:cstheme="minorHAnsi"/>
              </w:rPr>
              <w:t xml:space="preserve"> in Europe</w:t>
            </w:r>
            <w:r w:rsidR="00DC42A2" w:rsidRPr="009133CD">
              <w:rPr>
                <w:rFonts w:cstheme="minorHAnsi"/>
              </w:rPr>
              <w:t>.</w:t>
            </w:r>
          </w:p>
          <w:p w14:paraId="7F8E6BA5" w14:textId="77777777" w:rsidR="009133CD" w:rsidRPr="009133CD" w:rsidRDefault="00C23179"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The exemptions and alternative procedures section of the proposed ADR will be able to be used to provide greater clarity, including in regard to derogations. These will also be able to continuously reviewed in close consultation with industry and with regard for Australian conditions, including through the established ADR consultative forums (e.g. TLG). Minor amendments </w:t>
            </w:r>
            <w:r w:rsidR="0002277E" w:rsidRPr="009133CD">
              <w:rPr>
                <w:rFonts w:cstheme="minorHAnsi"/>
              </w:rPr>
              <w:t xml:space="preserve">could be made to the ADR (after entry into force) </w:t>
            </w:r>
            <w:r w:rsidR="009133CD">
              <w:rPr>
                <w:rFonts w:cstheme="minorHAnsi"/>
              </w:rPr>
              <w:t xml:space="preserve">if necessary </w:t>
            </w:r>
            <w:r w:rsidR="0002277E" w:rsidRPr="009133CD">
              <w:rPr>
                <w:rFonts w:cstheme="minorHAnsi"/>
              </w:rPr>
              <w:t>to</w:t>
            </w:r>
            <w:r w:rsidR="009133CD" w:rsidRPr="009133CD">
              <w:rPr>
                <w:rFonts w:cstheme="minorHAnsi"/>
              </w:rPr>
              <w:t xml:space="preserve"> further clarify the interpretation and/or application of requirements</w:t>
            </w:r>
            <w:r w:rsidR="009133CD">
              <w:rPr>
                <w:rFonts w:cstheme="minorHAnsi"/>
              </w:rPr>
              <w:t xml:space="preserve">, or to </w:t>
            </w:r>
            <w:r w:rsidR="0002277E" w:rsidRPr="009133CD">
              <w:rPr>
                <w:rFonts w:cstheme="minorHAnsi"/>
              </w:rPr>
              <w:t xml:space="preserve">provide further </w:t>
            </w:r>
            <w:r w:rsidR="009133CD" w:rsidRPr="009133CD">
              <w:rPr>
                <w:rFonts w:cstheme="minorHAnsi"/>
              </w:rPr>
              <w:t xml:space="preserve">targeted exemptions/ </w:t>
            </w:r>
            <w:r w:rsidRPr="009133CD">
              <w:rPr>
                <w:rFonts w:cstheme="minorHAnsi"/>
              </w:rPr>
              <w:t>derogations</w:t>
            </w:r>
            <w:r w:rsidR="009133CD" w:rsidRPr="009133CD">
              <w:rPr>
                <w:rFonts w:cstheme="minorHAnsi"/>
              </w:rPr>
              <w:t>, if there is evidence to show this would be likely to have no more than a minor regulatory impact, or that an LPD would be incompatible with the vehicle design use</w:t>
            </w:r>
            <w:r w:rsidR="0002277E" w:rsidRPr="009133CD">
              <w:rPr>
                <w:rFonts w:cstheme="minorHAnsi"/>
              </w:rPr>
              <w:t xml:space="preserve">. </w:t>
            </w:r>
            <w:r w:rsidR="007356DD" w:rsidRPr="009133CD">
              <w:rPr>
                <w:rFonts w:cstheme="minorHAnsi"/>
              </w:rPr>
              <w:t xml:space="preserve">Such </w:t>
            </w:r>
            <w:r w:rsidR="0002277E" w:rsidRPr="009133CD">
              <w:rPr>
                <w:rFonts w:cstheme="minorHAnsi"/>
              </w:rPr>
              <w:t>specifics (i.e. finer details) should not prevent the ADRs from being updated in the near term to allow for safer wider freight vehicles.</w:t>
            </w:r>
          </w:p>
          <w:p w14:paraId="15C48A76" w14:textId="77777777"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14:paraId="30008B8A" w14:textId="77777777" w:rsidR="003822C7" w:rsidRDefault="003822C7" w:rsidP="00E248BF">
            <w:pPr>
              <w:pStyle w:val="ListParagraph"/>
              <w:keepLines/>
              <w:numPr>
                <w:ilvl w:val="0"/>
                <w:numId w:val="76"/>
              </w:numPr>
              <w:tabs>
                <w:tab w:val="left" w:pos="318"/>
              </w:tabs>
              <w:suppressAutoHyphens w:val="0"/>
              <w:ind w:left="284" w:hanging="284"/>
              <w:rPr>
                <w:rFonts w:cstheme="minorHAnsi"/>
              </w:rPr>
            </w:pPr>
            <w:r>
              <w:rPr>
                <w:rFonts w:cstheme="minorHAnsi"/>
              </w:rPr>
              <w:t xml:space="preserve">Correct – </w:t>
            </w:r>
            <w:r w:rsidR="00E47160">
              <w:rPr>
                <w:rFonts w:cstheme="minorHAnsi"/>
              </w:rPr>
              <w:t xml:space="preserve">under each of the proposed options, </w:t>
            </w:r>
            <w:r>
              <w:rPr>
                <w:rFonts w:cstheme="minorHAnsi"/>
              </w:rPr>
              <w:t>rigid trucks would be required to be fitted with side underrun protection, while prime movers would be exempt.</w:t>
            </w:r>
          </w:p>
          <w:p w14:paraId="1FF5E93A" w14:textId="77777777" w:rsidR="00DC12FF" w:rsidRPr="00DC12FF" w:rsidRDefault="005C0753" w:rsidP="00E248BF">
            <w:pPr>
              <w:pStyle w:val="ListParagraph"/>
              <w:keepLines/>
              <w:numPr>
                <w:ilvl w:val="0"/>
                <w:numId w:val="76"/>
              </w:numPr>
              <w:tabs>
                <w:tab w:val="left" w:pos="318"/>
              </w:tabs>
              <w:suppressAutoHyphens w:val="0"/>
              <w:ind w:left="284" w:hanging="284"/>
              <w:rPr>
                <w:rFonts w:cstheme="minorHAnsi"/>
              </w:rPr>
            </w:pPr>
            <w:r w:rsidRPr="005C0753">
              <w:rPr>
                <w:rFonts w:cstheme="minorHAnsi"/>
              </w:rPr>
              <w:t>Agree provision needs to be made to allow side underrun to be fitted after first supply to market, including by a third party (e.g. body builder)</w:t>
            </w:r>
            <w:r>
              <w:rPr>
                <w:rFonts w:cstheme="minorHAnsi"/>
              </w:rPr>
              <w:t xml:space="preserve">. The </w:t>
            </w:r>
            <w:r w:rsidR="00B9347B">
              <w:rPr>
                <w:rFonts w:cstheme="minorHAnsi"/>
              </w:rPr>
              <w:t>d</w:t>
            </w:r>
            <w:r>
              <w:rPr>
                <w:rFonts w:cstheme="minorHAnsi"/>
              </w:rPr>
              <w:t>epartment proposes to resolve this issue by including a clause in the proposed ADR to ex</w:t>
            </w:r>
            <w:r w:rsidR="009F2857">
              <w:rPr>
                <w:rFonts w:cstheme="minorHAnsi"/>
              </w:rPr>
              <w:t>empt</w:t>
            </w:r>
            <w:r>
              <w:rPr>
                <w:rFonts w:cstheme="minorHAnsi"/>
              </w:rPr>
              <w:t xml:space="preserve"> chassis</w:t>
            </w:r>
            <w:r w:rsidR="009F2857">
              <w:rPr>
                <w:rFonts w:cstheme="minorHAnsi"/>
              </w:rPr>
              <w:t>-</w:t>
            </w:r>
            <w:r>
              <w:rPr>
                <w:rFonts w:cstheme="minorHAnsi"/>
              </w:rPr>
              <w:t xml:space="preserve">cab and partially complete vehicles, as well as prime movers from </w:t>
            </w:r>
            <w:r w:rsidR="009F2857">
              <w:rPr>
                <w:rFonts w:cstheme="minorHAnsi"/>
              </w:rPr>
              <w:t xml:space="preserve">this ADR. </w:t>
            </w:r>
            <w:r w:rsidR="00597019">
              <w:rPr>
                <w:rFonts w:cstheme="minorHAnsi"/>
              </w:rPr>
              <w:t>To comply with the proposed ADR as completed vehicles in-service, c</w:t>
            </w:r>
            <w:r w:rsidR="009F2857">
              <w:rPr>
                <w:rFonts w:cstheme="minorHAnsi"/>
              </w:rPr>
              <w:t xml:space="preserve">hassis-cab and </w:t>
            </w:r>
            <w:r w:rsidR="00597019">
              <w:rPr>
                <w:rFonts w:cstheme="minorHAnsi"/>
              </w:rPr>
              <w:t xml:space="preserve">other </w:t>
            </w:r>
            <w:r w:rsidR="009F2857">
              <w:rPr>
                <w:rFonts w:cstheme="minorHAnsi"/>
              </w:rPr>
              <w:t>partially completed vehicles would then need to be fitted with side underrun as part of the vehicle completion process</w:t>
            </w:r>
            <w:r w:rsidR="00146DEB">
              <w:rPr>
                <w:rFonts w:cstheme="minorHAnsi"/>
              </w:rPr>
              <w:t>.</w:t>
            </w:r>
          </w:p>
          <w:p w14:paraId="38012379" w14:textId="77777777" w:rsidR="003822C7" w:rsidRPr="0004281A" w:rsidRDefault="00DC12FF" w:rsidP="00E248BF">
            <w:pPr>
              <w:pStyle w:val="ListParagraph"/>
              <w:keepLines/>
              <w:numPr>
                <w:ilvl w:val="0"/>
                <w:numId w:val="76"/>
              </w:numPr>
              <w:tabs>
                <w:tab w:val="left" w:pos="318"/>
              </w:tabs>
              <w:suppressAutoHyphens w:val="0"/>
              <w:ind w:left="284" w:hanging="284"/>
              <w:rPr>
                <w:rFonts w:cstheme="minorHAnsi"/>
              </w:rPr>
            </w:pPr>
            <w:r w:rsidRPr="0004281A">
              <w:rPr>
                <w:rFonts w:cstheme="minorHAnsi"/>
              </w:rPr>
              <w:t xml:space="preserve">Noted. </w:t>
            </w:r>
            <w:r w:rsidR="0004281A">
              <w:rPr>
                <w:rFonts w:cstheme="minorHAnsi"/>
              </w:rPr>
              <w:t>However, a</w:t>
            </w:r>
            <w:r w:rsidR="0004281A" w:rsidRPr="0004281A">
              <w:rPr>
                <w:rFonts w:cstheme="minorHAnsi"/>
              </w:rPr>
              <w:t>n alternative solution has been found to resolve this issue (see above)</w:t>
            </w:r>
            <w:r w:rsidRPr="0004281A">
              <w:rPr>
                <w:rFonts w:cstheme="minorHAnsi"/>
              </w:rPr>
              <w:t>.</w:t>
            </w:r>
          </w:p>
          <w:p w14:paraId="1EBAA4C9" w14:textId="77777777" w:rsidR="0004281A" w:rsidRPr="0004281A" w:rsidRDefault="0004281A" w:rsidP="00E248BF">
            <w:pPr>
              <w:pStyle w:val="ListParagraph"/>
              <w:keepLines/>
              <w:numPr>
                <w:ilvl w:val="0"/>
                <w:numId w:val="76"/>
              </w:numPr>
              <w:tabs>
                <w:tab w:val="left" w:pos="318"/>
              </w:tabs>
              <w:suppressAutoHyphens w:val="0"/>
              <w:ind w:left="284" w:hanging="284"/>
              <w:rPr>
                <w:rFonts w:cstheme="minorHAnsi"/>
              </w:rPr>
            </w:pPr>
            <w:r w:rsidRPr="0004281A">
              <w:rPr>
                <w:rFonts w:cstheme="minorHAnsi"/>
              </w:rPr>
              <w:t xml:space="preserve">Noted. </w:t>
            </w:r>
            <w:r>
              <w:rPr>
                <w:rFonts w:cstheme="minorHAnsi"/>
              </w:rPr>
              <w:t>However, a</w:t>
            </w:r>
            <w:r w:rsidRPr="0004281A">
              <w:rPr>
                <w:rFonts w:cstheme="minorHAnsi"/>
              </w:rPr>
              <w:t>n alternative solution has been found to resolve this issue (see above).</w:t>
            </w:r>
          </w:p>
          <w:p w14:paraId="795085F6" w14:textId="77777777" w:rsidR="003822C7" w:rsidRPr="0015425C" w:rsidRDefault="00DC12FF" w:rsidP="00E248BF">
            <w:pPr>
              <w:pStyle w:val="ListParagraph"/>
              <w:keepLines/>
              <w:numPr>
                <w:ilvl w:val="0"/>
                <w:numId w:val="76"/>
              </w:numPr>
              <w:tabs>
                <w:tab w:val="left" w:pos="318"/>
              </w:tabs>
              <w:suppressAutoHyphens w:val="0"/>
              <w:ind w:left="284" w:hanging="284"/>
              <w:rPr>
                <w:rFonts w:cstheme="minorHAnsi"/>
              </w:rPr>
            </w:pPr>
            <w:r w:rsidRPr="00DC12FF">
              <w:rPr>
                <w:rFonts w:cstheme="minorHAnsi"/>
              </w:rPr>
              <w:t xml:space="preserve">Noted. </w:t>
            </w:r>
            <w:r w:rsidR="009F2857">
              <w:rPr>
                <w:rFonts w:cstheme="minorHAnsi"/>
              </w:rPr>
              <w:t xml:space="preserve">While this is a matter for the NHVR, the approach proposed by the </w:t>
            </w:r>
            <w:r w:rsidR="00B9347B">
              <w:rPr>
                <w:rFonts w:cstheme="minorHAnsi"/>
              </w:rPr>
              <w:t>d</w:t>
            </w:r>
            <w:r w:rsidR="009F2857">
              <w:rPr>
                <w:rFonts w:cstheme="minorHAnsi"/>
              </w:rPr>
              <w:t xml:space="preserve">epartment </w:t>
            </w:r>
            <w:r w:rsidR="00597019">
              <w:rPr>
                <w:rFonts w:cstheme="minorHAnsi"/>
              </w:rPr>
              <w:t>is likely to</w:t>
            </w:r>
            <w:r w:rsidR="009F2857">
              <w:rPr>
                <w:rFonts w:cstheme="minorHAnsi"/>
              </w:rPr>
              <w:t xml:space="preserve"> avoid the need for any special formal allowances</w:t>
            </w:r>
            <w:r w:rsidR="00597019">
              <w:rPr>
                <w:rFonts w:cstheme="minorHAnsi"/>
              </w:rPr>
              <w:t xml:space="preserve"> in regard to side </w:t>
            </w:r>
            <w:r w:rsidR="0004281A">
              <w:rPr>
                <w:rFonts w:cstheme="minorHAnsi"/>
              </w:rPr>
              <w:t>underrun</w:t>
            </w:r>
            <w:r w:rsidR="00597019">
              <w:rPr>
                <w:rFonts w:cstheme="minorHAnsi"/>
              </w:rPr>
              <w:t>, including because s</w:t>
            </w:r>
            <w:r w:rsidR="009F2857">
              <w:rPr>
                <w:rFonts w:cstheme="minorHAnsi"/>
              </w:rPr>
              <w:t>uch vehicles would not need to be fitted with side</w:t>
            </w:r>
            <w:r w:rsidR="0004281A">
              <w:rPr>
                <w:rFonts w:cstheme="minorHAnsi"/>
              </w:rPr>
              <w:t xml:space="preserve"> </w:t>
            </w:r>
            <w:r w:rsidR="009F2857">
              <w:rPr>
                <w:rFonts w:cstheme="minorHAnsi"/>
              </w:rPr>
              <w:t xml:space="preserve">underrun </w:t>
            </w:r>
            <w:r w:rsidR="0004281A">
              <w:rPr>
                <w:rFonts w:cstheme="minorHAnsi"/>
              </w:rPr>
              <w:t>protection while in the chassis-cab stage</w:t>
            </w:r>
            <w:r w:rsidR="003822C7" w:rsidRPr="00DC12FF">
              <w:rPr>
                <w:rFonts w:cstheme="minorHAnsi"/>
              </w:rPr>
              <w:t>.</w:t>
            </w:r>
          </w:p>
        </w:tc>
      </w:tr>
      <w:tr w:rsidR="003822C7" w:rsidRPr="007B6E69" w14:paraId="6A2E006A" w14:textId="77777777" w:rsidTr="003822C7">
        <w:tc>
          <w:tcPr>
            <w:tcW w:w="1696" w:type="dxa"/>
          </w:tcPr>
          <w:p w14:paraId="50E783D1" w14:textId="77777777" w:rsidR="003822C7" w:rsidRPr="007B6E69" w:rsidRDefault="003822C7" w:rsidP="007901FB">
            <w:pPr>
              <w:spacing w:before="120" w:after="120"/>
              <w:rPr>
                <w:rFonts w:cstheme="minorHAnsi"/>
              </w:rPr>
            </w:pPr>
            <w:r w:rsidRPr="007B6E69">
              <w:rPr>
                <w:rFonts w:cstheme="minorHAnsi"/>
              </w:rPr>
              <w:t>Toll Group</w:t>
            </w:r>
          </w:p>
        </w:tc>
        <w:tc>
          <w:tcPr>
            <w:tcW w:w="6379" w:type="dxa"/>
          </w:tcPr>
          <w:p w14:paraId="5CB8C8FC" w14:textId="77777777" w:rsidR="003822C7" w:rsidRDefault="003822C7" w:rsidP="007C097D">
            <w:pPr>
              <w:pStyle w:val="ListParagraph"/>
              <w:keepLines/>
              <w:numPr>
                <w:ilvl w:val="6"/>
                <w:numId w:val="30"/>
              </w:numPr>
              <w:tabs>
                <w:tab w:val="left" w:pos="320"/>
              </w:tabs>
              <w:suppressAutoHyphens w:val="0"/>
              <w:ind w:left="284"/>
              <w:rPr>
                <w:rFonts w:cstheme="minorHAnsi"/>
                <w:szCs w:val="20"/>
              </w:rPr>
            </w:pPr>
            <w:r w:rsidRPr="002959AA">
              <w:rPr>
                <w:rFonts w:cstheme="minorHAnsi"/>
                <w:szCs w:val="20"/>
              </w:rPr>
              <w:t xml:space="preserve">Supports </w:t>
            </w:r>
            <w:r>
              <w:rPr>
                <w:rFonts w:cstheme="minorHAnsi"/>
                <w:szCs w:val="20"/>
              </w:rPr>
              <w:t xml:space="preserve">increasing the maximum width for goods vehicles and trailers over 4.5 tonnes to </w:t>
            </w:r>
            <w:r w:rsidR="00B9347B">
              <w:rPr>
                <w:rFonts w:cstheme="minorHAnsi"/>
                <w:szCs w:val="20"/>
              </w:rPr>
              <w:t>2.60</w:t>
            </w:r>
            <w:r>
              <w:rPr>
                <w:rFonts w:cstheme="minorHAnsi"/>
                <w:szCs w:val="20"/>
              </w:rPr>
              <w:t> m</w:t>
            </w:r>
            <w:r w:rsidRPr="002959AA">
              <w:rPr>
                <w:rFonts w:cstheme="minorHAnsi"/>
                <w:szCs w:val="20"/>
              </w:rPr>
              <w:t>.</w:t>
            </w:r>
          </w:p>
          <w:p w14:paraId="38034024" w14:textId="77777777" w:rsidR="003822C7" w:rsidRPr="002959AA"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Supports the exclusions proposed for enhanced devices for indirect vision and monitoring devices to detect other road users from vehicle width and length measurements.</w:t>
            </w:r>
          </w:p>
        </w:tc>
        <w:tc>
          <w:tcPr>
            <w:tcW w:w="6521" w:type="dxa"/>
            <w:gridSpan w:val="2"/>
          </w:tcPr>
          <w:p w14:paraId="6FC081B0" w14:textId="77777777" w:rsidR="003822C7" w:rsidRDefault="003822C7" w:rsidP="007C097D">
            <w:pPr>
              <w:pStyle w:val="ListParagraph"/>
              <w:keepNext/>
              <w:keepLines/>
              <w:numPr>
                <w:ilvl w:val="0"/>
                <w:numId w:val="31"/>
              </w:numPr>
              <w:tabs>
                <w:tab w:val="left" w:pos="720"/>
              </w:tabs>
              <w:suppressAutoHyphens w:val="0"/>
              <w:ind w:left="284" w:hanging="284"/>
              <w:rPr>
                <w:rFonts w:cstheme="minorHAnsi"/>
                <w:szCs w:val="20"/>
              </w:rPr>
            </w:pPr>
            <w:r w:rsidRPr="0010181D">
              <w:rPr>
                <w:rFonts w:cstheme="minorHAnsi"/>
                <w:szCs w:val="20"/>
              </w:rPr>
              <w:t>Noted.</w:t>
            </w:r>
          </w:p>
          <w:p w14:paraId="473C2A42" w14:textId="77777777" w:rsidR="003822C7" w:rsidRPr="0010181D" w:rsidRDefault="003822C7" w:rsidP="007C097D">
            <w:pPr>
              <w:pStyle w:val="ListParagraph"/>
              <w:keepNext/>
              <w:keepLines/>
              <w:numPr>
                <w:ilvl w:val="0"/>
                <w:numId w:val="31"/>
              </w:numPr>
              <w:tabs>
                <w:tab w:val="left" w:pos="720"/>
              </w:tabs>
              <w:suppressAutoHyphens w:val="0"/>
              <w:ind w:left="284" w:hanging="284"/>
              <w:rPr>
                <w:rFonts w:cstheme="minorHAnsi"/>
                <w:szCs w:val="20"/>
              </w:rPr>
            </w:pPr>
            <w:r>
              <w:rPr>
                <w:rFonts w:cstheme="minorHAnsi"/>
                <w:szCs w:val="20"/>
              </w:rPr>
              <w:t>Noted.</w:t>
            </w:r>
          </w:p>
        </w:tc>
      </w:tr>
      <w:tr w:rsidR="003822C7" w:rsidRPr="007B6E69" w14:paraId="46C31E5E" w14:textId="77777777" w:rsidTr="003822C7">
        <w:tc>
          <w:tcPr>
            <w:tcW w:w="1696" w:type="dxa"/>
          </w:tcPr>
          <w:p w14:paraId="01D2C591" w14:textId="77777777" w:rsidR="003822C7" w:rsidRPr="007B6E69" w:rsidRDefault="003822C7" w:rsidP="00A03989">
            <w:pPr>
              <w:spacing w:before="120" w:after="120"/>
              <w:rPr>
                <w:rFonts w:cstheme="minorHAnsi"/>
                <w:highlight w:val="yellow"/>
              </w:rPr>
            </w:pPr>
            <w:r w:rsidRPr="007B6E69">
              <w:rPr>
                <w:rFonts w:cstheme="minorHAnsi"/>
              </w:rPr>
              <w:t>Truck Industry Council (TIC)</w:t>
            </w:r>
          </w:p>
        </w:tc>
        <w:tc>
          <w:tcPr>
            <w:tcW w:w="6379" w:type="dxa"/>
          </w:tcPr>
          <w:p w14:paraId="0DF2041A" w14:textId="77777777" w:rsidR="003822C7" w:rsidRPr="009F64D1" w:rsidRDefault="003822C7" w:rsidP="00E248BF">
            <w:pPr>
              <w:pStyle w:val="ListParagraph"/>
              <w:keepLines/>
              <w:numPr>
                <w:ilvl w:val="0"/>
                <w:numId w:val="69"/>
              </w:numPr>
              <w:tabs>
                <w:tab w:val="left" w:pos="320"/>
              </w:tabs>
              <w:suppressAutoHyphens w:val="0"/>
              <w:ind w:left="284" w:hanging="284"/>
              <w:rPr>
                <w:rFonts w:cstheme="minorHAnsi"/>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14:paraId="1894044F"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Notes </w:t>
            </w:r>
            <w:r w:rsidRPr="00911E08">
              <w:rPr>
                <w:rFonts w:cstheme="minorHAnsi"/>
              </w:rPr>
              <w:t>with global markets actively pursuing a net zero emissions future in the</w:t>
            </w:r>
            <w:r>
              <w:rPr>
                <w:rFonts w:cstheme="minorHAnsi"/>
              </w:rPr>
              <w:t xml:space="preserve"> </w:t>
            </w:r>
            <w:r w:rsidRPr="00911E08">
              <w:rPr>
                <w:rFonts w:cstheme="minorHAnsi"/>
              </w:rPr>
              <w:t xml:space="preserve">transport (and other) sectors, </w:t>
            </w:r>
            <w:r>
              <w:rPr>
                <w:rFonts w:cstheme="minorHAnsi"/>
              </w:rPr>
              <w:t xml:space="preserve">that </w:t>
            </w:r>
            <w:r w:rsidRPr="00911E08">
              <w:rPr>
                <w:rFonts w:cstheme="minorHAnsi"/>
              </w:rPr>
              <w:t xml:space="preserve">truck manufacturers are increasingly developing zero emission heavy trucks for global markets such as </w:t>
            </w:r>
            <w:r>
              <w:rPr>
                <w:rFonts w:cstheme="minorHAnsi"/>
              </w:rPr>
              <w:t xml:space="preserve">the </w:t>
            </w:r>
            <w:r w:rsidRPr="00911E08">
              <w:rPr>
                <w:rFonts w:cstheme="minorHAnsi"/>
              </w:rPr>
              <w:t>European, North American and Japan</w:t>
            </w:r>
            <w:r>
              <w:rPr>
                <w:rFonts w:cstheme="minorHAnsi"/>
              </w:rPr>
              <w:t>ese</w:t>
            </w:r>
            <w:r w:rsidRPr="00911E08">
              <w:rPr>
                <w:rFonts w:cstheme="minorHAnsi"/>
              </w:rPr>
              <w:t>.</w:t>
            </w:r>
          </w:p>
          <w:p w14:paraId="01761149"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Further notes t</w:t>
            </w:r>
            <w:r w:rsidRPr="00C10E06">
              <w:rPr>
                <w:rFonts w:cstheme="minorHAnsi"/>
              </w:rPr>
              <w:t xml:space="preserve">he majority of </w:t>
            </w:r>
            <w:r>
              <w:rPr>
                <w:rFonts w:cstheme="minorHAnsi"/>
              </w:rPr>
              <w:t>ultra-low and zero emission</w:t>
            </w:r>
            <w:r w:rsidRPr="00C10E06">
              <w:rPr>
                <w:rFonts w:cstheme="minorHAnsi"/>
              </w:rPr>
              <w:t xml:space="preserve"> trucks are being developed at 2.55</w:t>
            </w:r>
            <w:r>
              <w:rPr>
                <w:rFonts w:cstheme="minorHAnsi"/>
              </w:rPr>
              <w:t> </w:t>
            </w:r>
            <w:r w:rsidRPr="00C10E06">
              <w:rPr>
                <w:rFonts w:cstheme="minorHAnsi"/>
              </w:rPr>
              <w:t xml:space="preserve">m and </w:t>
            </w:r>
            <w:r w:rsidR="00B9347B">
              <w:rPr>
                <w:rFonts w:cstheme="minorHAnsi"/>
              </w:rPr>
              <w:t>2.60</w:t>
            </w:r>
            <w:r>
              <w:rPr>
                <w:rFonts w:cstheme="minorHAnsi"/>
              </w:rPr>
              <w:t> </w:t>
            </w:r>
            <w:r w:rsidRPr="00C10E06">
              <w:rPr>
                <w:rFonts w:cstheme="minorHAnsi"/>
              </w:rPr>
              <w:t>m maximum vehicle width</w:t>
            </w:r>
            <w:r>
              <w:rPr>
                <w:rFonts w:cstheme="minorHAnsi"/>
              </w:rPr>
              <w:t>, and i</w:t>
            </w:r>
            <w:r w:rsidRPr="00C10E06">
              <w:rPr>
                <w:rFonts w:cstheme="minorHAnsi"/>
              </w:rPr>
              <w:t xml:space="preserve">ncreasing Australia’s maximum truck width to </w:t>
            </w:r>
            <w:r w:rsidR="00B9347B">
              <w:rPr>
                <w:rFonts w:cstheme="minorHAnsi"/>
              </w:rPr>
              <w:t>2.60</w:t>
            </w:r>
            <w:r>
              <w:rPr>
                <w:rFonts w:cstheme="minorHAnsi"/>
              </w:rPr>
              <w:t> </w:t>
            </w:r>
            <w:r w:rsidRPr="00C10E06">
              <w:rPr>
                <w:rFonts w:cstheme="minorHAnsi"/>
              </w:rPr>
              <w:t>m would allow these models to be introduced into the Australian market.</w:t>
            </w:r>
          </w:p>
          <w:p w14:paraId="2981D50B"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Considers increased width will improve roll stability by 4% at </w:t>
            </w:r>
            <w:r w:rsidR="00B9347B">
              <w:rPr>
                <w:rFonts w:cstheme="minorHAnsi"/>
              </w:rPr>
              <w:t>2.60</w:t>
            </w:r>
            <w:r>
              <w:rPr>
                <w:rFonts w:cstheme="minorHAnsi"/>
              </w:rPr>
              <w:t> m and 2% at 2.55 m.</w:t>
            </w:r>
          </w:p>
          <w:p w14:paraId="74D6D153"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Notes increased width would allow the wall insulation thickness on refrigerated trucks and trailers to be increased to 90 mm for a </w:t>
            </w:r>
            <w:r w:rsidR="00B9347B">
              <w:rPr>
                <w:rFonts w:cstheme="minorHAnsi"/>
              </w:rPr>
              <w:t>2.60</w:t>
            </w:r>
            <w:r>
              <w:rPr>
                <w:rFonts w:cstheme="minorHAnsi"/>
              </w:rPr>
              <w:t> m limit and 65 mm for a 2.55 m limit.</w:t>
            </w:r>
          </w:p>
          <w:p w14:paraId="702949AF" w14:textId="77777777" w:rsidR="003822C7" w:rsidRPr="00C10E06"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Notes increased insulation thickness would provide refrigerated trucks and trailers with a greater than 25% reduction in fuel consumption and CO</w:t>
            </w:r>
            <w:r w:rsidRPr="00A1656F">
              <w:rPr>
                <w:rFonts w:cstheme="minorHAnsi"/>
                <w:vertAlign w:val="subscript"/>
              </w:rPr>
              <w:t>2</w:t>
            </w:r>
            <w:r>
              <w:rPr>
                <w:rFonts w:cstheme="minorHAnsi"/>
              </w:rPr>
              <w:t xml:space="preserve"> emissions for a </w:t>
            </w:r>
            <w:r w:rsidR="00B9347B">
              <w:rPr>
                <w:rFonts w:cstheme="minorHAnsi"/>
              </w:rPr>
              <w:t>2.60</w:t>
            </w:r>
            <w:r>
              <w:rPr>
                <w:rFonts w:cstheme="minorHAnsi"/>
              </w:rPr>
              <w:t> m limit, and a greater than 15% reduction for a 2.55 m limit.</w:t>
            </w:r>
          </w:p>
          <w:p w14:paraId="7AFCAFCA" w14:textId="77777777" w:rsidR="003822C7" w:rsidRPr="008B76A8"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D</w:t>
            </w:r>
            <w:r w:rsidRPr="005863E7">
              <w:rPr>
                <w:rFonts w:cstheme="minorHAnsi"/>
              </w:rPr>
              <w:t>oes not support any proposal that would allow a trailer that has a maximum width of greater than 2.5</w:t>
            </w:r>
            <w:r w:rsidR="00B9347B">
              <w:rPr>
                <w:rFonts w:cstheme="minorHAnsi"/>
              </w:rPr>
              <w:t>0</w:t>
            </w:r>
            <w:r>
              <w:rPr>
                <w:rFonts w:cstheme="minorHAnsi"/>
              </w:rPr>
              <w:t> </w:t>
            </w:r>
            <w:r w:rsidRPr="005863E7">
              <w:rPr>
                <w:rFonts w:cstheme="minorHAnsi"/>
              </w:rPr>
              <w:t>m being towed by a truck</w:t>
            </w:r>
            <w:r>
              <w:rPr>
                <w:rFonts w:cstheme="minorHAnsi"/>
              </w:rPr>
              <w:t xml:space="preserve"> </w:t>
            </w:r>
            <w:r w:rsidRPr="005863E7">
              <w:rPr>
                <w:rFonts w:cstheme="minorHAnsi"/>
              </w:rPr>
              <w:t xml:space="preserve">that does not comply to the suite of safety features </w:t>
            </w:r>
            <w:r>
              <w:rPr>
                <w:rFonts w:cstheme="minorHAnsi"/>
              </w:rPr>
              <w:t>supported</w:t>
            </w:r>
            <w:r w:rsidRPr="005863E7">
              <w:rPr>
                <w:rFonts w:cstheme="minorHAnsi"/>
              </w:rPr>
              <w:t xml:space="preserve"> </w:t>
            </w:r>
            <w:r>
              <w:rPr>
                <w:rFonts w:cstheme="minorHAnsi"/>
              </w:rPr>
              <w:t>in its</w:t>
            </w:r>
            <w:r w:rsidRPr="005863E7">
              <w:rPr>
                <w:rFonts w:cstheme="minorHAnsi"/>
              </w:rPr>
              <w:t xml:space="preserve"> submission</w:t>
            </w:r>
            <w:r>
              <w:rPr>
                <w:rFonts w:cstheme="minorHAnsi"/>
              </w:rPr>
              <w:t xml:space="preserve"> – the basis for this is to</w:t>
            </w:r>
            <w:r w:rsidRPr="00C10E06">
              <w:rPr>
                <w:rFonts w:cstheme="minorHAnsi"/>
              </w:rPr>
              <w:t xml:space="preserve"> ensure the expedient take-up of these advanced safety systems on trucks and to ensure the best possible safety outcomes for new truck/trailer combinations</w:t>
            </w:r>
            <w:r w:rsidRPr="008B76A8">
              <w:rPr>
                <w:rFonts w:cstheme="minorHAnsi"/>
              </w:rPr>
              <w:t>.</w:t>
            </w:r>
          </w:p>
          <w:p w14:paraId="4AF0C3E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w:t>
            </w:r>
            <w:r w:rsidRPr="005E5C9B">
              <w:rPr>
                <w:rFonts w:cstheme="minorHAnsi"/>
              </w:rPr>
              <w:t xml:space="preserve">ecommends that the </w:t>
            </w:r>
            <w:r w:rsidR="00B9347B">
              <w:rPr>
                <w:rFonts w:cstheme="minorHAnsi"/>
              </w:rPr>
              <w:t>d</w:t>
            </w:r>
            <w:r w:rsidRPr="005E5C9B">
              <w:rPr>
                <w:rFonts w:cstheme="minorHAnsi"/>
              </w:rPr>
              <w:t>epartment develop an additional field in the R</w:t>
            </w:r>
            <w:r>
              <w:rPr>
                <w:rFonts w:cstheme="minorHAnsi"/>
              </w:rPr>
              <w:t xml:space="preserve">egister of Approved Vehicles </w:t>
            </w:r>
            <w:r w:rsidRPr="005E5C9B">
              <w:rPr>
                <w:rFonts w:cstheme="minorHAnsi"/>
              </w:rPr>
              <w:t xml:space="preserve">that will allow a </w:t>
            </w:r>
            <w:r>
              <w:rPr>
                <w:rFonts w:cstheme="minorHAnsi"/>
              </w:rPr>
              <w:t>t</w:t>
            </w:r>
            <w:r w:rsidRPr="005E5C9B">
              <w:rPr>
                <w:rFonts w:cstheme="minorHAnsi"/>
              </w:rPr>
              <w:t xml:space="preserve">ype </w:t>
            </w:r>
            <w:r>
              <w:rPr>
                <w:rFonts w:cstheme="minorHAnsi"/>
              </w:rPr>
              <w:t>a</w:t>
            </w:r>
            <w:r w:rsidRPr="005E5C9B">
              <w:rPr>
                <w:rFonts w:cstheme="minorHAnsi"/>
              </w:rPr>
              <w:t>pproval holder to upload the compliance status of each new vehicle, in respect of voluntary ADRs and new ADRs prior to the mandated implementation timing</w:t>
            </w:r>
            <w:r>
              <w:rPr>
                <w:rFonts w:cstheme="minorHAnsi"/>
              </w:rPr>
              <w:t>.</w:t>
            </w:r>
          </w:p>
          <w:p w14:paraId="119867F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the di</w:t>
            </w:r>
            <w:r w:rsidRPr="00644D6E">
              <w:rPr>
                <w:rFonts w:cstheme="minorHAnsi"/>
              </w:rPr>
              <w:t xml:space="preserve">scussion </w:t>
            </w:r>
            <w:r>
              <w:rPr>
                <w:rFonts w:cstheme="minorHAnsi"/>
              </w:rPr>
              <w:t>p</w:t>
            </w:r>
            <w:r w:rsidRPr="00644D6E">
              <w:rPr>
                <w:rFonts w:cstheme="minorHAnsi"/>
              </w:rPr>
              <w:t>aper clearly outlines that the maximum heavy vehicle safety benefits, for all road</w:t>
            </w:r>
            <w:r>
              <w:rPr>
                <w:rFonts w:cstheme="minorHAnsi"/>
              </w:rPr>
              <w:t xml:space="preserve"> </w:t>
            </w:r>
            <w:r w:rsidRPr="00644D6E">
              <w:rPr>
                <w:rFonts w:cstheme="minorHAnsi"/>
              </w:rPr>
              <w:t>users, will be achieved from the uptake of the proposed truck based advanced safety systems</w:t>
            </w:r>
            <w:r>
              <w:rPr>
                <w:rFonts w:cstheme="minorHAnsi"/>
              </w:rPr>
              <w:t xml:space="preserve"> – as </w:t>
            </w:r>
            <w:r w:rsidRPr="0081546B">
              <w:rPr>
                <w:rFonts w:cstheme="minorHAnsi"/>
              </w:rPr>
              <w:t>such, the introduction of increased vehicle width for trucks, to at least 2.55</w:t>
            </w:r>
            <w:r>
              <w:rPr>
                <w:rFonts w:cstheme="minorHAnsi"/>
              </w:rPr>
              <w:t> </w:t>
            </w:r>
            <w:r w:rsidRPr="0081546B">
              <w:rPr>
                <w:rFonts w:cstheme="minorHAnsi"/>
              </w:rPr>
              <w:t xml:space="preserve">m, </w:t>
            </w:r>
            <w:r>
              <w:rPr>
                <w:rFonts w:cstheme="minorHAnsi"/>
              </w:rPr>
              <w:t xml:space="preserve">and </w:t>
            </w:r>
            <w:r w:rsidRPr="0081546B">
              <w:rPr>
                <w:rFonts w:cstheme="minorHAnsi"/>
              </w:rPr>
              <w:t xml:space="preserve">preferably </w:t>
            </w:r>
            <w:r w:rsidR="00B9347B">
              <w:rPr>
                <w:rFonts w:cstheme="minorHAnsi"/>
              </w:rPr>
              <w:t>2.60</w:t>
            </w:r>
            <w:r>
              <w:rPr>
                <w:rFonts w:cstheme="minorHAnsi"/>
              </w:rPr>
              <w:t> </w:t>
            </w:r>
            <w:r w:rsidRPr="0081546B">
              <w:rPr>
                <w:rFonts w:cstheme="minorHAnsi"/>
              </w:rPr>
              <w:t>m</w:t>
            </w:r>
            <w:r>
              <w:rPr>
                <w:rFonts w:cstheme="minorHAnsi"/>
              </w:rPr>
              <w:t xml:space="preserve"> </w:t>
            </w:r>
            <w:r w:rsidRPr="0081546B">
              <w:rPr>
                <w:rFonts w:cstheme="minorHAnsi"/>
              </w:rPr>
              <w:t>(including load restraint and curtain-side devices), fitted with advanced safety features, should be an immediate priority for Australian governments.</w:t>
            </w:r>
          </w:p>
          <w:p w14:paraId="1ED80EB2"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w:t>
            </w:r>
            <w:r w:rsidRPr="0081546B">
              <w:rPr>
                <w:rFonts w:cstheme="minorHAnsi"/>
              </w:rPr>
              <w:t>that the Federal, State and</w:t>
            </w:r>
            <w:r>
              <w:rPr>
                <w:rFonts w:cstheme="minorHAnsi"/>
              </w:rPr>
              <w:t xml:space="preserve"> </w:t>
            </w:r>
            <w:r w:rsidRPr="0081546B">
              <w:rPr>
                <w:rFonts w:cstheme="minorHAnsi"/>
              </w:rPr>
              <w:t xml:space="preserve">Territory governments, move to increase </w:t>
            </w:r>
            <w:r>
              <w:rPr>
                <w:rFonts w:cstheme="minorHAnsi"/>
              </w:rPr>
              <w:t xml:space="preserve">maximum </w:t>
            </w:r>
            <w:r w:rsidRPr="0081546B">
              <w:rPr>
                <w:rFonts w:cstheme="minorHAnsi"/>
              </w:rPr>
              <w:t xml:space="preserve">vehicle width </w:t>
            </w:r>
            <w:r>
              <w:rPr>
                <w:rFonts w:cstheme="minorHAnsi"/>
              </w:rPr>
              <w:t>to</w:t>
            </w:r>
            <w:r w:rsidRPr="0081546B">
              <w:rPr>
                <w:rFonts w:cstheme="minorHAnsi"/>
              </w:rPr>
              <w:t xml:space="preserve"> at least 2.55</w:t>
            </w:r>
            <w:r>
              <w:rPr>
                <w:rFonts w:cstheme="minorHAnsi"/>
              </w:rPr>
              <w:t> </w:t>
            </w:r>
            <w:r w:rsidRPr="0081546B">
              <w:rPr>
                <w:rFonts w:cstheme="minorHAnsi"/>
              </w:rPr>
              <w:t xml:space="preserve">m, </w:t>
            </w:r>
            <w:r>
              <w:rPr>
                <w:rFonts w:cstheme="minorHAnsi"/>
              </w:rPr>
              <w:t xml:space="preserve">and </w:t>
            </w:r>
            <w:r w:rsidRPr="0081546B">
              <w:rPr>
                <w:rFonts w:cstheme="minorHAnsi"/>
              </w:rPr>
              <w:t xml:space="preserve">preferably </w:t>
            </w:r>
            <w:r w:rsidR="00B9347B">
              <w:rPr>
                <w:rFonts w:cstheme="minorHAnsi"/>
              </w:rPr>
              <w:t>2.60</w:t>
            </w:r>
            <w:r>
              <w:rPr>
                <w:rFonts w:cstheme="minorHAnsi"/>
              </w:rPr>
              <w:t> </w:t>
            </w:r>
            <w:r w:rsidRPr="0081546B">
              <w:rPr>
                <w:rFonts w:cstheme="minorHAnsi"/>
              </w:rPr>
              <w:t>m, for trucks fitted with the mandatory and voluntary advanced safety features,</w:t>
            </w:r>
            <w:r>
              <w:rPr>
                <w:rFonts w:cstheme="minorHAnsi"/>
              </w:rPr>
              <w:t xml:space="preserve"> supported in its submission, by 1 January 2022.</w:t>
            </w:r>
          </w:p>
          <w:p w14:paraId="61B89875"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mandating a reversing lamp circuit for both truck and trailer electrical connections, and mandating reversing lamps for heavy trailers.</w:t>
            </w:r>
          </w:p>
          <w:p w14:paraId="01BD9986"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Supports mandatory requirements for side underrun protection and </w:t>
            </w:r>
            <w:proofErr w:type="spellStart"/>
            <w:r>
              <w:rPr>
                <w:rFonts w:cstheme="minorHAnsi"/>
              </w:rPr>
              <w:t>conspicuity</w:t>
            </w:r>
            <w:proofErr w:type="spellEnd"/>
            <w:r>
              <w:rPr>
                <w:rFonts w:cstheme="minorHAnsi"/>
              </w:rPr>
              <w:t xml:space="preserve"> markings on heavy trailers, while also noting that the </w:t>
            </w:r>
            <w:r w:rsidR="00B9347B">
              <w:rPr>
                <w:rFonts w:cstheme="minorHAnsi"/>
              </w:rPr>
              <w:t>d</w:t>
            </w:r>
            <w:r>
              <w:rPr>
                <w:rFonts w:cstheme="minorHAnsi"/>
              </w:rPr>
              <w:t>epartment should ensure the proposed ADR requirements continue to be developed (and subject to regular review) in close consultation with industry and with regard for Australian conditions.</w:t>
            </w:r>
          </w:p>
          <w:p w14:paraId="61B75510" w14:textId="77777777" w:rsidR="003822C7" w:rsidRPr="004709E0"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szCs w:val="20"/>
              </w:rPr>
              <w:t>Supports the exclusions proposed for enhanced devices for indirect vision and monitoring devices to detect other road users from vehicle width and length measurements.</w:t>
            </w:r>
          </w:p>
          <w:p w14:paraId="5147272C"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improving the requirements for driver vision/visibility in heavy vehicles, but does not support sole adoption of UN R46, or the adoption of UN R46 as proposed in the draft new ADR 14/03 for devices for indirect vision.</w:t>
            </w:r>
          </w:p>
          <w:p w14:paraId="31B6A41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Supports </w:t>
            </w:r>
            <w:r w:rsidRPr="00C25775">
              <w:rPr>
                <w:rFonts w:cstheme="minorHAnsi"/>
              </w:rPr>
              <w:t xml:space="preserve">the </w:t>
            </w:r>
            <w:r w:rsidR="00B9347B">
              <w:rPr>
                <w:rFonts w:cstheme="minorHAnsi"/>
              </w:rPr>
              <w:t>d</w:t>
            </w:r>
            <w:r>
              <w:rPr>
                <w:rFonts w:cstheme="minorHAnsi"/>
              </w:rPr>
              <w:t xml:space="preserve">epartment’s </w:t>
            </w:r>
            <w:r w:rsidRPr="00C25775">
              <w:rPr>
                <w:rFonts w:cstheme="minorHAnsi"/>
              </w:rPr>
              <w:t>proposed clauses to allow the USA</w:t>
            </w:r>
            <w:r>
              <w:rPr>
                <w:rFonts w:cstheme="minorHAnsi"/>
              </w:rPr>
              <w:t xml:space="preserve"> style</w:t>
            </w:r>
            <w:r w:rsidRPr="00C25775">
              <w:rPr>
                <w:rFonts w:cstheme="minorHAnsi"/>
              </w:rPr>
              <w:t xml:space="preserve"> “cross-over” mirror for bonneted trucks, as an alternative</w:t>
            </w:r>
            <w:r>
              <w:rPr>
                <w:rFonts w:cstheme="minorHAnsi"/>
              </w:rPr>
              <w:t xml:space="preserve"> </w:t>
            </w:r>
            <w:r w:rsidRPr="00C25775">
              <w:rPr>
                <w:rFonts w:cstheme="minorHAnsi"/>
              </w:rPr>
              <w:t xml:space="preserve">to the UN </w:t>
            </w:r>
            <w:r>
              <w:rPr>
                <w:rFonts w:cstheme="minorHAnsi"/>
              </w:rPr>
              <w:t>front-view (</w:t>
            </w:r>
            <w:r w:rsidRPr="00C25775">
              <w:rPr>
                <w:rFonts w:cstheme="minorHAnsi"/>
              </w:rPr>
              <w:t>Class VI</w:t>
            </w:r>
            <w:r>
              <w:rPr>
                <w:rFonts w:cstheme="minorHAnsi"/>
              </w:rPr>
              <w:t>)</w:t>
            </w:r>
            <w:r w:rsidRPr="00C25775">
              <w:rPr>
                <w:rFonts w:cstheme="minorHAnsi"/>
              </w:rPr>
              <w:t xml:space="preserve"> mirror</w:t>
            </w:r>
            <w:r>
              <w:rPr>
                <w:rFonts w:cstheme="minorHAnsi"/>
              </w:rPr>
              <w:t>.</w:t>
            </w:r>
          </w:p>
          <w:p w14:paraId="46C1EFC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UN R46 d</w:t>
            </w:r>
            <w:r w:rsidRPr="000131CF">
              <w:rPr>
                <w:rFonts w:cstheme="minorHAnsi"/>
              </w:rPr>
              <w:t>oes not allow for alternative mirror types and standards that effectively perform the</w:t>
            </w:r>
            <w:r>
              <w:rPr>
                <w:rFonts w:cstheme="minorHAnsi"/>
              </w:rPr>
              <w:t xml:space="preserve"> </w:t>
            </w:r>
            <w:r w:rsidRPr="000131CF">
              <w:rPr>
                <w:rFonts w:cstheme="minorHAnsi"/>
              </w:rPr>
              <w:t>same function (provide an equivalent level of driver visibility) as the mirror types specified in R46,</w:t>
            </w:r>
            <w:r>
              <w:rPr>
                <w:rFonts w:cstheme="minorHAnsi"/>
              </w:rPr>
              <w:t xml:space="preserve"> </w:t>
            </w:r>
            <w:r w:rsidRPr="000131CF">
              <w:rPr>
                <w:rFonts w:cstheme="minorHAnsi"/>
              </w:rPr>
              <w:t>particularly for conventional (bonneted) cab vehicles sold in the Australian market.</w:t>
            </w:r>
          </w:p>
          <w:p w14:paraId="191894F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Further, considers </w:t>
            </w:r>
            <w:r w:rsidRPr="000131CF">
              <w:rPr>
                <w:rFonts w:cstheme="minorHAnsi"/>
              </w:rPr>
              <w:t>fla</w:t>
            </w:r>
            <w:r>
              <w:rPr>
                <w:rFonts w:cstheme="minorHAnsi"/>
              </w:rPr>
              <w:t>t</w:t>
            </w:r>
            <w:r w:rsidRPr="000131CF">
              <w:rPr>
                <w:rFonts w:cstheme="minorHAnsi"/>
              </w:rPr>
              <w:t xml:space="preserve"> main rear</w:t>
            </w:r>
            <w:r>
              <w:rPr>
                <w:rFonts w:cstheme="minorHAnsi"/>
              </w:rPr>
              <w:t>-</w:t>
            </w:r>
            <w:r w:rsidRPr="000131CF">
              <w:rPr>
                <w:rFonts w:cstheme="minorHAnsi"/>
              </w:rPr>
              <w:t>view mirrors (LH and RH sides) are an essential</w:t>
            </w:r>
            <w:r>
              <w:rPr>
                <w:rFonts w:cstheme="minorHAnsi"/>
              </w:rPr>
              <w:t xml:space="preserve"> </w:t>
            </w:r>
            <w:r w:rsidRPr="000131CF">
              <w:rPr>
                <w:rFonts w:cstheme="minorHAnsi"/>
              </w:rPr>
              <w:t>requirement for many of Australia’s long heavy vehicle combinations, because European</w:t>
            </w:r>
            <w:r>
              <w:rPr>
                <w:rFonts w:cstheme="minorHAnsi"/>
              </w:rPr>
              <w:t xml:space="preserve"> </w:t>
            </w:r>
            <w:r w:rsidRPr="000131CF">
              <w:rPr>
                <w:rFonts w:cstheme="minorHAnsi"/>
              </w:rPr>
              <w:t>specified convex main rear</w:t>
            </w:r>
            <w:r>
              <w:rPr>
                <w:rFonts w:cstheme="minorHAnsi"/>
              </w:rPr>
              <w:t>-</w:t>
            </w:r>
            <w:r w:rsidRPr="000131CF">
              <w:rPr>
                <w:rFonts w:cstheme="minorHAnsi"/>
              </w:rPr>
              <w:t>view mirrors cannot provide a safe depth of view</w:t>
            </w:r>
            <w:r>
              <w:rPr>
                <w:rFonts w:cstheme="minorHAnsi"/>
              </w:rPr>
              <w:t xml:space="preserve"> </w:t>
            </w:r>
            <w:r w:rsidRPr="000131CF">
              <w:rPr>
                <w:rFonts w:cstheme="minorHAnsi"/>
              </w:rPr>
              <w:t>for a driver.</w:t>
            </w:r>
          </w:p>
          <w:p w14:paraId="5F168763"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Acknowledges that the minimum performance requirements specified in Appendix C of the current ADR 14/02 (devices for indirect vision) may no longer be suitable and should be reviewed.</w:t>
            </w:r>
          </w:p>
          <w:p w14:paraId="7E54D6C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main-rear view mirrors (LH and RH sides) with flat glass be allowed as an alternative to UN R46 main rear-view (UN Class II and Class III) mirrors with convex glass.</w:t>
            </w:r>
          </w:p>
          <w:p w14:paraId="17BF7246"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Believes the minimum area specified in Appendix C of ADR 14/02 for rear-view mirrors is too small and that a minimum width should be specified for main rear-view mirrors.</w:t>
            </w:r>
          </w:p>
          <w:p w14:paraId="268F97E9"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LH and RH side wide angle rear-view mirrors (UN Class IV or equivalent) and passenger side close-proximity view mirrors (UN Class V or equivalent) be mandated for all trucks above 7.5 tonnes GVM.</w:t>
            </w:r>
          </w:p>
          <w:p w14:paraId="6DC38D2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front-view mirrors (UN Class VI or equivalent) be mandated for all cab-over trucks above 7.5 tonnes GVM, and USA style front mounted “cross-over” mirrors be mandated for conventional (bonneted) trucks over 7.5 tonnes GVM</w:t>
            </w:r>
          </w:p>
          <w:p w14:paraId="0209E96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the 230 mm maximum projection width (for rear-view mirrors) be deleted (as there is no requirement for this </w:t>
            </w:r>
            <w:r w:rsidR="00206837">
              <w:rPr>
                <w:rFonts w:cstheme="minorHAnsi"/>
              </w:rPr>
              <w:t xml:space="preserve">in </w:t>
            </w:r>
            <w:r>
              <w:rPr>
                <w:rFonts w:cstheme="minorHAnsi"/>
              </w:rPr>
              <w:t>UN R46).</w:t>
            </w:r>
          </w:p>
          <w:p w14:paraId="514BFA18"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the UN R46 impact test be offered (in a new Appendix C or similar) as an alternative to the 150 mm collapsed width requirement (in Appendix C of ADR 14/02).</w:t>
            </w:r>
          </w:p>
          <w:p w14:paraId="6AC65737"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the future adoption of a blind spot information systems regulation, but does not support the adoption of the current UN R151 (blind spot information systems for the detection of bicyclists) proposed in the draft ADR.</w:t>
            </w:r>
          </w:p>
          <w:p w14:paraId="560CCA6C"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the UN R151 test procedure and approval process is very complex and cannot, at this point in time be undertaken in Australia, nor North America.</w:t>
            </w:r>
          </w:p>
          <w:p w14:paraId="43BE6B60"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Further, considers the UN R151 test procedure is very Euro</w:t>
            </w:r>
            <w:r w:rsidR="00D054DF">
              <w:rPr>
                <w:rFonts w:cstheme="minorHAnsi"/>
              </w:rPr>
              <w:t>-</w:t>
            </w:r>
            <w:r>
              <w:rPr>
                <w:rFonts w:cstheme="minorHAnsi"/>
              </w:rPr>
              <w:t>centric, was developed for cab-over style trucks only, and as written cannot be applied to conventional (bonneted) trucks.</w:t>
            </w:r>
          </w:p>
          <w:p w14:paraId="7B2A090E" w14:textId="77777777"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w:t>
            </w:r>
            <w:r w:rsidRPr="00F94B17">
              <w:rPr>
                <w:rFonts w:cstheme="minorHAnsi"/>
              </w:rPr>
              <w:t xml:space="preserve"> that the </w:t>
            </w:r>
            <w:r>
              <w:rPr>
                <w:rFonts w:cstheme="minorHAnsi"/>
              </w:rPr>
              <w:t>proposed ADR for</w:t>
            </w:r>
            <w:r w:rsidRPr="00F94B17">
              <w:rPr>
                <w:rFonts w:cstheme="minorHAnsi"/>
              </w:rPr>
              <w:t xml:space="preserve"> blind spot information systems be</w:t>
            </w:r>
            <w:r>
              <w:rPr>
                <w:rFonts w:cstheme="minorHAnsi"/>
              </w:rPr>
              <w:t xml:space="preserve"> </w:t>
            </w:r>
            <w:r w:rsidRPr="00F94B17">
              <w:rPr>
                <w:rFonts w:cstheme="minorHAnsi"/>
              </w:rPr>
              <w:t xml:space="preserve">removed from the </w:t>
            </w:r>
            <w:r w:rsidR="00B9347B">
              <w:rPr>
                <w:rFonts w:cstheme="minorHAnsi"/>
              </w:rPr>
              <w:t>d</w:t>
            </w:r>
            <w:r w:rsidRPr="00F94B17">
              <w:rPr>
                <w:rFonts w:cstheme="minorHAnsi"/>
              </w:rPr>
              <w:t xml:space="preserve">epartment’s </w:t>
            </w:r>
            <w:r>
              <w:rPr>
                <w:rFonts w:cstheme="minorHAnsi"/>
              </w:rPr>
              <w:t xml:space="preserve">proposal for safer wider freight vehicles </w:t>
            </w:r>
            <w:r w:rsidRPr="00F94B17">
              <w:rPr>
                <w:rFonts w:cstheme="minorHAnsi"/>
              </w:rPr>
              <w:t xml:space="preserve">and that the </w:t>
            </w:r>
            <w:r w:rsidR="00B9347B">
              <w:rPr>
                <w:rFonts w:cstheme="minorHAnsi"/>
              </w:rPr>
              <w:t>d</w:t>
            </w:r>
            <w:r w:rsidRPr="00F94B17">
              <w:rPr>
                <w:rFonts w:cstheme="minorHAnsi"/>
              </w:rPr>
              <w:t>epartment form a</w:t>
            </w:r>
            <w:r>
              <w:rPr>
                <w:rFonts w:cstheme="minorHAnsi"/>
              </w:rPr>
              <w:t xml:space="preserve"> </w:t>
            </w:r>
            <w:r w:rsidRPr="00F94B17">
              <w:rPr>
                <w:rFonts w:cstheme="minorHAnsi"/>
              </w:rPr>
              <w:t xml:space="preserve">separate working group, with industry, to review </w:t>
            </w:r>
            <w:r>
              <w:rPr>
                <w:rFonts w:cstheme="minorHAnsi"/>
              </w:rPr>
              <w:t xml:space="preserve">UN </w:t>
            </w:r>
            <w:r w:rsidRPr="00F94B17">
              <w:rPr>
                <w:rFonts w:cstheme="minorHAnsi"/>
              </w:rPr>
              <w:t>R151 with a view to developing a blind spot</w:t>
            </w:r>
            <w:r>
              <w:rPr>
                <w:rFonts w:cstheme="minorHAnsi"/>
              </w:rPr>
              <w:t xml:space="preserve"> </w:t>
            </w:r>
            <w:r w:rsidRPr="00F94B17">
              <w:rPr>
                <w:rFonts w:cstheme="minorHAnsi"/>
              </w:rPr>
              <w:t>information systems regulation that is suitable for Australian implementation, including testing and</w:t>
            </w:r>
            <w:r>
              <w:rPr>
                <w:rFonts w:cstheme="minorHAnsi"/>
              </w:rPr>
              <w:t xml:space="preserve"> </w:t>
            </w:r>
            <w:r w:rsidRPr="00F94B17">
              <w:rPr>
                <w:rFonts w:cstheme="minorHAnsi"/>
              </w:rPr>
              <w:t>certification procedures.</w:t>
            </w:r>
          </w:p>
          <w:p w14:paraId="16AA4D5B" w14:textId="77777777" w:rsidR="003822C7" w:rsidRPr="00CF5551"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that the review process for a blind spot information regulation </w:t>
            </w:r>
            <w:r w:rsidRPr="00CF5551">
              <w:rPr>
                <w:rFonts w:cstheme="minorHAnsi"/>
              </w:rPr>
              <w:t>include a realistic assessment of the introduction</w:t>
            </w:r>
            <w:r>
              <w:rPr>
                <w:rFonts w:cstheme="minorHAnsi"/>
              </w:rPr>
              <w:t xml:space="preserve"> </w:t>
            </w:r>
            <w:r w:rsidRPr="00CF5551">
              <w:rPr>
                <w:rFonts w:cstheme="minorHAnsi"/>
              </w:rPr>
              <w:t>timing in Australia, recognising the unique mix of truck manufacturers and truck</w:t>
            </w:r>
            <w:r>
              <w:rPr>
                <w:rFonts w:cstheme="minorHAnsi"/>
              </w:rPr>
              <w:t xml:space="preserve"> </w:t>
            </w:r>
            <w:r w:rsidRPr="00CF5551">
              <w:rPr>
                <w:rFonts w:cstheme="minorHAnsi"/>
              </w:rPr>
              <w:t>brands supplying new heavy vehicles in the Australian market.</w:t>
            </w:r>
          </w:p>
        </w:tc>
        <w:tc>
          <w:tcPr>
            <w:tcW w:w="6521" w:type="dxa"/>
            <w:gridSpan w:val="2"/>
          </w:tcPr>
          <w:p w14:paraId="1E666BDC"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5A449B8E"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15107F1D" w14:textId="77777777" w:rsidR="003822C7" w:rsidRPr="006F1595" w:rsidRDefault="003822C7" w:rsidP="00E248BF">
            <w:pPr>
              <w:pStyle w:val="ListParagraph"/>
              <w:keepLines/>
              <w:numPr>
                <w:ilvl w:val="0"/>
                <w:numId w:val="70"/>
              </w:numPr>
              <w:tabs>
                <w:tab w:val="left" w:pos="720"/>
              </w:tabs>
              <w:suppressAutoHyphens w:val="0"/>
              <w:ind w:left="284" w:hanging="284"/>
              <w:rPr>
                <w:rFonts w:cstheme="minorHAnsi"/>
              </w:rPr>
            </w:pPr>
            <w:r w:rsidRPr="006F1595">
              <w:rPr>
                <w:rFonts w:cstheme="minorHAnsi"/>
              </w:rPr>
              <w:t xml:space="preserve">Agree in-principle. However, it is not clear </w:t>
            </w:r>
            <w:r>
              <w:rPr>
                <w:rFonts w:cstheme="minorHAnsi"/>
              </w:rPr>
              <w:t xml:space="preserve">or substantiated </w:t>
            </w:r>
            <w:r w:rsidRPr="006F1595">
              <w:rPr>
                <w:rFonts w:cstheme="minorHAnsi"/>
              </w:rPr>
              <w:t xml:space="preserve">that low and zero emission trucks developed for right hand drive markets such as Australia will require more than a 2.55 m width limit. In this respect, all markets with a </w:t>
            </w:r>
            <w:r w:rsidR="00B9347B">
              <w:rPr>
                <w:rFonts w:cstheme="minorHAnsi"/>
              </w:rPr>
              <w:t>2.60</w:t>
            </w:r>
            <w:r w:rsidRPr="006F1595">
              <w:t> m width limit are left-hand drive markets.</w:t>
            </w:r>
          </w:p>
          <w:p w14:paraId="34E93DEC" w14:textId="77777777" w:rsidR="003822C7" w:rsidRPr="0043173E" w:rsidRDefault="003822C7" w:rsidP="00E248BF">
            <w:pPr>
              <w:pStyle w:val="ListParagraph"/>
              <w:keepLines/>
              <w:numPr>
                <w:ilvl w:val="0"/>
                <w:numId w:val="70"/>
              </w:numPr>
              <w:tabs>
                <w:tab w:val="left" w:pos="720"/>
              </w:tabs>
              <w:suppressAutoHyphens w:val="0"/>
              <w:ind w:left="284" w:hanging="284"/>
              <w:rPr>
                <w:rFonts w:cstheme="minorHAnsi"/>
              </w:rPr>
            </w:pPr>
            <w:r w:rsidRPr="0043173E">
              <w:rPr>
                <w:rFonts w:cstheme="minorHAnsi"/>
              </w:rPr>
              <w:t>Agree roll stability could be improved by up to these amounts, however, the actual improvement will be vehicle design specific and small compared to the benefits of ESC for trucks and RSC for trailers.</w:t>
            </w:r>
          </w:p>
          <w:p w14:paraId="72F95E06"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6398FD78" w14:textId="77777777" w:rsidR="003822C7" w:rsidRPr="009D6548" w:rsidRDefault="003822C7" w:rsidP="00E248BF">
            <w:pPr>
              <w:pStyle w:val="ListParagraph"/>
              <w:keepLines/>
              <w:numPr>
                <w:ilvl w:val="0"/>
                <w:numId w:val="70"/>
              </w:numPr>
              <w:tabs>
                <w:tab w:val="left" w:pos="720"/>
              </w:tabs>
              <w:suppressAutoHyphens w:val="0"/>
              <w:ind w:left="284" w:hanging="284"/>
              <w:rPr>
                <w:rFonts w:cstheme="minorHAnsi"/>
              </w:rPr>
            </w:pPr>
            <w:r w:rsidRPr="009D6548">
              <w:rPr>
                <w:rFonts w:cstheme="minorHAnsi"/>
              </w:rPr>
              <w:t>Agreed</w:t>
            </w:r>
            <w:r w:rsidR="0072298C">
              <w:rPr>
                <w:rFonts w:cstheme="minorHAnsi"/>
              </w:rPr>
              <w:t xml:space="preserve"> for the refrigeration units, not the truck and trailer combinations as a whole.</w:t>
            </w:r>
          </w:p>
          <w:p w14:paraId="7F40D701" w14:textId="77777777" w:rsidR="003822C7" w:rsidRPr="00A40419" w:rsidRDefault="00C90133" w:rsidP="00E248BF">
            <w:pPr>
              <w:pStyle w:val="ListParagraph"/>
              <w:keepLines/>
              <w:numPr>
                <w:ilvl w:val="0"/>
                <w:numId w:val="70"/>
              </w:numPr>
              <w:tabs>
                <w:tab w:val="left" w:pos="720"/>
              </w:tabs>
              <w:suppressAutoHyphens w:val="0"/>
              <w:ind w:left="284" w:hanging="284"/>
              <w:rPr>
                <w:rFonts w:cstheme="minorHAnsi"/>
              </w:rPr>
            </w:pPr>
            <w:r w:rsidRPr="00A40419">
              <w:rPr>
                <w:rFonts w:cstheme="minorHAnsi"/>
              </w:rPr>
              <w:t>This is beyond the scope of the ADRs under the RVSA</w:t>
            </w:r>
            <w:r w:rsidR="00A40419" w:rsidRPr="00A40419">
              <w:rPr>
                <w:rFonts w:cstheme="minorHAnsi"/>
              </w:rPr>
              <w:t xml:space="preserve"> and therefore not proposed as part of the options in this </w:t>
            </w:r>
            <w:r w:rsidR="00C45600">
              <w:rPr>
                <w:rFonts w:cstheme="minorHAnsi"/>
              </w:rPr>
              <w:t>IA</w:t>
            </w:r>
            <w:r w:rsidRPr="00A40419">
              <w:rPr>
                <w:rFonts w:cstheme="minorHAnsi"/>
              </w:rPr>
              <w:t xml:space="preserve">. The ADRs cover individual vehicles, not combinations of truck and trailer. This is a matter for </w:t>
            </w:r>
            <w:r w:rsidR="00A40419" w:rsidRPr="00A40419">
              <w:rPr>
                <w:rFonts w:cstheme="minorHAnsi"/>
              </w:rPr>
              <w:br/>
            </w:r>
            <w:r w:rsidRPr="00A40419">
              <w:rPr>
                <w:rFonts w:cstheme="minorHAnsi"/>
              </w:rPr>
              <w:t xml:space="preserve">in-service regulators. The department notes this approach would likely be very complex for both regulators and industry to manage. Since the original discussion paper, the department has added ADR 38/05 (including ABS and RSC) as a proposed requirement for the options with wider trailers, to prevent older trailers </w:t>
            </w:r>
            <w:r w:rsidR="00A40419" w:rsidRPr="00A40419">
              <w:rPr>
                <w:rFonts w:cstheme="minorHAnsi"/>
              </w:rPr>
              <w:t xml:space="preserve">without these technologies </w:t>
            </w:r>
            <w:r w:rsidRPr="00A40419">
              <w:rPr>
                <w:rFonts w:cstheme="minorHAnsi"/>
              </w:rPr>
              <w:t xml:space="preserve">from being </w:t>
            </w:r>
            <w:r w:rsidR="00A40419" w:rsidRPr="00A40419">
              <w:rPr>
                <w:rFonts w:cstheme="minorHAnsi"/>
              </w:rPr>
              <w:t>modified to include</w:t>
            </w:r>
            <w:r w:rsidRPr="00A40419">
              <w:rPr>
                <w:rFonts w:cstheme="minorHAnsi"/>
              </w:rPr>
              <w:t xml:space="preserve"> wider bo</w:t>
            </w:r>
            <w:r w:rsidR="00A40419" w:rsidRPr="00A40419">
              <w:rPr>
                <w:rFonts w:cstheme="minorHAnsi"/>
              </w:rPr>
              <w:t>dywork and possibly then also being towed by trucks without the additional safety features that would be required for wider trucks.</w:t>
            </w:r>
          </w:p>
          <w:p w14:paraId="75854F93" w14:textId="77777777" w:rsidR="003822C7" w:rsidRPr="00A40419" w:rsidRDefault="006F7759" w:rsidP="00E248BF">
            <w:pPr>
              <w:pStyle w:val="ListParagraph"/>
              <w:keepLines/>
              <w:numPr>
                <w:ilvl w:val="0"/>
                <w:numId w:val="70"/>
              </w:numPr>
              <w:tabs>
                <w:tab w:val="left" w:pos="720"/>
              </w:tabs>
              <w:suppressAutoHyphens w:val="0"/>
              <w:ind w:left="284" w:hanging="284"/>
              <w:rPr>
                <w:rFonts w:cstheme="minorHAnsi"/>
              </w:rPr>
            </w:pPr>
            <w:r w:rsidRPr="00A40419">
              <w:rPr>
                <w:rFonts w:cstheme="minorHAnsi"/>
              </w:rPr>
              <w:t xml:space="preserve">The </w:t>
            </w:r>
            <w:r w:rsidR="00A40419" w:rsidRPr="00A40419">
              <w:rPr>
                <w:rFonts w:cstheme="minorHAnsi"/>
              </w:rPr>
              <w:t>d</w:t>
            </w:r>
            <w:r w:rsidRPr="00A40419">
              <w:rPr>
                <w:rFonts w:cstheme="minorHAnsi"/>
              </w:rPr>
              <w:t xml:space="preserve">epartment intends to use an additional field in the RAV to capture </w:t>
            </w:r>
            <w:r w:rsidR="00A40419" w:rsidRPr="00A40419">
              <w:rPr>
                <w:rFonts w:cstheme="minorHAnsi"/>
              </w:rPr>
              <w:t>if a vehicle meets the additional required safety ADRs for vehicles exceeding 2.5</w:t>
            </w:r>
            <w:r w:rsidR="00B9347B">
              <w:rPr>
                <w:rFonts w:cstheme="minorHAnsi"/>
              </w:rPr>
              <w:t>0 </w:t>
            </w:r>
            <w:r w:rsidR="00A40419" w:rsidRPr="00A40419">
              <w:rPr>
                <w:rFonts w:cstheme="minorHAnsi"/>
              </w:rPr>
              <w:t>m in width, if the vehicle was supplied as a chassis-cab, prime mover or complete vehicle, and the maximum width for which the vehicle has been certified to meet all applicable ADRs.</w:t>
            </w:r>
          </w:p>
          <w:p w14:paraId="164AB151"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4A812E17" w14:textId="77777777" w:rsidR="003822C7" w:rsidRPr="002909BE" w:rsidRDefault="000548A0" w:rsidP="00E248BF">
            <w:pPr>
              <w:pStyle w:val="ListParagraph"/>
              <w:keepLines/>
              <w:numPr>
                <w:ilvl w:val="0"/>
                <w:numId w:val="70"/>
              </w:numPr>
              <w:tabs>
                <w:tab w:val="left" w:pos="720"/>
              </w:tabs>
              <w:suppressAutoHyphens w:val="0"/>
              <w:ind w:left="284" w:hanging="284"/>
              <w:rPr>
                <w:rFonts w:cstheme="minorHAnsi"/>
              </w:rPr>
            </w:pPr>
            <w:r w:rsidRPr="000548A0">
              <w:rPr>
                <w:rFonts w:cstheme="minorHAnsi"/>
              </w:rPr>
              <w:t>Noted</w:t>
            </w:r>
            <w:r w:rsidR="003822C7" w:rsidRPr="000548A0">
              <w:rPr>
                <w:rFonts w:cstheme="minorHAnsi"/>
              </w:rPr>
              <w:t>.</w:t>
            </w:r>
            <w:r w:rsidRPr="000548A0">
              <w:rPr>
                <w:rFonts w:cstheme="minorHAnsi"/>
              </w:rPr>
              <w:t xml:space="preserve"> </w:t>
            </w:r>
            <w:r w:rsidRPr="000420A0">
              <w:rPr>
                <w:rFonts w:cstheme="minorHAnsi"/>
              </w:rPr>
              <w:t>However</w:t>
            </w:r>
            <w:r>
              <w:rPr>
                <w:rFonts w:cstheme="minorHAnsi"/>
              </w:rPr>
              <w:t xml:space="preserve">, more time has been required to complete the </w:t>
            </w:r>
            <w:r w:rsidR="00531858">
              <w:rPr>
                <w:rFonts w:cstheme="minorHAnsi"/>
              </w:rPr>
              <w:t>IA</w:t>
            </w:r>
            <w:r>
              <w:rPr>
                <w:rFonts w:cstheme="minorHAnsi"/>
              </w:rPr>
              <w:t xml:space="preserve"> (including to consider industry requests for exemptions and variations to the proposed UN regulation</w:t>
            </w:r>
            <w:r w:rsidR="00F85409">
              <w:rPr>
                <w:rFonts w:cstheme="minorHAnsi"/>
              </w:rPr>
              <w:t xml:space="preserve"> based ADRs</w:t>
            </w:r>
            <w:r>
              <w:rPr>
                <w:rFonts w:cstheme="minorHAnsi"/>
              </w:rPr>
              <w:t>) and further time will be required to update in-service vehicle laws, following any updates to the ADRs to allow for wider and safer freight vehicles.</w:t>
            </w:r>
          </w:p>
          <w:p w14:paraId="58D21500" w14:textId="77777777" w:rsidR="003822C7" w:rsidRPr="002909BE" w:rsidRDefault="008C458D" w:rsidP="00E248BF">
            <w:pPr>
              <w:pStyle w:val="ListParagraph"/>
              <w:keepLines/>
              <w:numPr>
                <w:ilvl w:val="0"/>
                <w:numId w:val="70"/>
              </w:numPr>
              <w:tabs>
                <w:tab w:val="left" w:pos="720"/>
              </w:tabs>
              <w:suppressAutoHyphens w:val="0"/>
              <w:ind w:left="284" w:hanging="284"/>
              <w:rPr>
                <w:rFonts w:cstheme="minorHAnsi"/>
              </w:rPr>
            </w:pPr>
            <w:r w:rsidRPr="008C458D">
              <w:rPr>
                <w:rFonts w:cstheme="minorHAnsi"/>
              </w:rPr>
              <w:t>Noted</w:t>
            </w:r>
            <w:r w:rsidR="003822C7" w:rsidRPr="008C458D">
              <w:rPr>
                <w:rFonts w:cstheme="minorHAnsi"/>
              </w:rPr>
              <w:t>.</w:t>
            </w:r>
            <w:r w:rsidRPr="008C458D">
              <w:rPr>
                <w:rFonts w:cstheme="minorHAnsi"/>
              </w:rPr>
              <w:t xml:space="preserve"> Reversing lamps are no longer proposed as a mandatory safety feature for wider trailers. Requirements for these are being considered as part of a broader review of lighting ADRs for all vehicle categories and dimensions</w:t>
            </w:r>
            <w:r>
              <w:rPr>
                <w:rFonts w:cstheme="minorHAnsi"/>
              </w:rPr>
              <w:t>.</w:t>
            </w:r>
          </w:p>
          <w:p w14:paraId="0E7C8961" w14:textId="77777777" w:rsidR="003822C7" w:rsidRPr="008C458D" w:rsidRDefault="008C458D" w:rsidP="00E248BF">
            <w:pPr>
              <w:pStyle w:val="ListParagraph"/>
              <w:keepLines/>
              <w:numPr>
                <w:ilvl w:val="0"/>
                <w:numId w:val="70"/>
              </w:numPr>
              <w:tabs>
                <w:tab w:val="left" w:pos="720"/>
              </w:tabs>
              <w:suppressAutoHyphens w:val="0"/>
              <w:ind w:left="284" w:hanging="284"/>
              <w:rPr>
                <w:rFonts w:cstheme="minorHAnsi"/>
              </w:rPr>
            </w:pPr>
            <w:r w:rsidRPr="008C458D">
              <w:rPr>
                <w:rFonts w:cstheme="minorHAnsi"/>
              </w:rPr>
              <w:t>Noted</w:t>
            </w:r>
            <w:r w:rsidR="003822C7" w:rsidRPr="008C458D">
              <w:rPr>
                <w:rFonts w:cstheme="minorHAnsi"/>
              </w:rPr>
              <w:t>.</w:t>
            </w:r>
          </w:p>
          <w:p w14:paraId="5AAF02B0"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0706F97A" w14:textId="77777777" w:rsidR="003822C7" w:rsidRPr="00431AE9" w:rsidRDefault="00431AE9" w:rsidP="00E248BF">
            <w:pPr>
              <w:pStyle w:val="ListParagraph"/>
              <w:keepLines/>
              <w:numPr>
                <w:ilvl w:val="0"/>
                <w:numId w:val="70"/>
              </w:numPr>
              <w:tabs>
                <w:tab w:val="left" w:pos="720"/>
              </w:tabs>
              <w:suppressAutoHyphens w:val="0"/>
              <w:ind w:left="284" w:hanging="284"/>
              <w:rPr>
                <w:rFonts w:cstheme="minorHAnsi"/>
              </w:rPr>
            </w:pPr>
            <w:r w:rsidRPr="00431AE9">
              <w:rPr>
                <w:rFonts w:cstheme="minorHAnsi"/>
              </w:rPr>
              <w:t>See responses to comments 15 to 24 below.</w:t>
            </w:r>
          </w:p>
          <w:p w14:paraId="319D6123"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14:paraId="7DA44ECF" w14:textId="77777777" w:rsidR="003822C7" w:rsidRPr="001243B4" w:rsidRDefault="008C458D"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w:t>
            </w:r>
            <w:r w:rsidR="001243B4">
              <w:rPr>
                <w:rFonts w:cstheme="minorHAnsi"/>
              </w:rPr>
              <w:t>d</w:t>
            </w:r>
            <w:r w:rsidR="003822C7" w:rsidRPr="001243B4">
              <w:rPr>
                <w:rFonts w:cstheme="minorHAnsi"/>
              </w:rPr>
              <w:t>.</w:t>
            </w:r>
            <w:r w:rsidR="001243B4" w:rsidRPr="001243B4">
              <w:rPr>
                <w:rFonts w:cstheme="minorHAnsi"/>
              </w:rPr>
              <w:t xml:space="preserve"> Alternative clauses have been developed to allow for mirrors (e.g. cross</w:t>
            </w:r>
            <w:r w:rsidR="00CC6133">
              <w:rPr>
                <w:rFonts w:cstheme="minorHAnsi"/>
              </w:rPr>
              <w:t xml:space="preserve">over </w:t>
            </w:r>
            <w:r w:rsidR="001243B4" w:rsidRPr="001243B4">
              <w:rPr>
                <w:rFonts w:cstheme="minorHAnsi"/>
              </w:rPr>
              <w:t xml:space="preserve">or </w:t>
            </w:r>
            <w:r w:rsidR="000F1B96">
              <w:rPr>
                <w:rFonts w:cstheme="minorHAnsi"/>
              </w:rPr>
              <w:t>cross-view</w:t>
            </w:r>
            <w:r w:rsidR="001243B4" w:rsidRPr="001243B4">
              <w:rPr>
                <w:rFonts w:cstheme="minorHAnsi"/>
              </w:rPr>
              <w:t xml:space="preserve"> mirrors) used to achieve a comparable field of view for bonneted trucks. These would be an alternative for bonneted trucks, and should provide similar benefits for similar fitment costs.</w:t>
            </w:r>
          </w:p>
          <w:p w14:paraId="237045E6" w14:textId="77777777" w:rsidR="003822C7" w:rsidRPr="007C577C" w:rsidRDefault="003822C7" w:rsidP="00E248BF">
            <w:pPr>
              <w:pStyle w:val="ListParagraph"/>
              <w:keepLines/>
              <w:numPr>
                <w:ilvl w:val="0"/>
                <w:numId w:val="70"/>
              </w:numPr>
              <w:tabs>
                <w:tab w:val="left" w:pos="318"/>
              </w:tabs>
              <w:suppressAutoHyphens w:val="0"/>
              <w:ind w:left="284" w:hanging="284"/>
              <w:rPr>
                <w:rFonts w:cstheme="minorHAnsi"/>
              </w:rPr>
            </w:pPr>
            <w:r>
              <w:rPr>
                <w:rFonts w:cstheme="minorHAnsi"/>
              </w:rPr>
              <w:t xml:space="preserve">Agree </w:t>
            </w:r>
            <w:r w:rsidR="00B575AE" w:rsidRPr="00B575AE">
              <w:rPr>
                <w:rFonts w:cstheme="minorHAnsi"/>
              </w:rPr>
              <w:t>that flat glass mirrors provide better depth perception. However, flat glass mirrors provide a narrower field of view (than convex mirrors), and where fitted on the passenger’s side can leave a very large blind spot in comparison to the minimum field of view required by UN R46</w:t>
            </w:r>
            <w:r w:rsidR="00C32008">
              <w:rPr>
                <w:rFonts w:cstheme="minorHAnsi"/>
              </w:rPr>
              <w:t>.</w:t>
            </w:r>
          </w:p>
          <w:p w14:paraId="25365535"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306FA520" w14:textId="77777777" w:rsidR="003822C7" w:rsidRPr="002909BE" w:rsidRDefault="00DD31F3" w:rsidP="00E248BF">
            <w:pPr>
              <w:pStyle w:val="ListParagraph"/>
              <w:keepLines/>
              <w:numPr>
                <w:ilvl w:val="0"/>
                <w:numId w:val="70"/>
              </w:numPr>
              <w:tabs>
                <w:tab w:val="left" w:pos="720"/>
              </w:tabs>
              <w:suppressAutoHyphens w:val="0"/>
              <w:ind w:left="284" w:hanging="284"/>
              <w:rPr>
                <w:rFonts w:cstheme="minorHAnsi"/>
              </w:rPr>
            </w:pPr>
            <w:r w:rsidRPr="00DD31F3">
              <w:rPr>
                <w:rFonts w:cstheme="minorHAnsi"/>
              </w:rPr>
              <w:t>Agree flat glass mirrors have some benefits, including for depth perception, especially on longer combinations. However, there are alternative solutions to achieve a better field of view without reducing depth of view, including fitting a flat glass main rear-view mirror (</w:t>
            </w:r>
            <w:r>
              <w:rPr>
                <w:rFonts w:cstheme="minorHAnsi"/>
              </w:rPr>
              <w:t>especially on the passenger’s side</w:t>
            </w:r>
            <w:r w:rsidRPr="00DD31F3">
              <w:rPr>
                <w:rFonts w:cstheme="minorHAnsi"/>
              </w:rPr>
              <w:t xml:space="preserve">) in combination with a </w:t>
            </w:r>
            <w:r>
              <w:rPr>
                <w:rFonts w:cstheme="minorHAnsi"/>
              </w:rPr>
              <w:br/>
            </w:r>
            <w:r w:rsidRPr="00DD31F3">
              <w:rPr>
                <w:rFonts w:cstheme="minorHAnsi"/>
              </w:rPr>
              <w:t>camera-monitor system meeting the full UN R46 field of view requirements.</w:t>
            </w:r>
          </w:p>
          <w:p w14:paraId="461E926B" w14:textId="77777777"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14:paraId="1DE3EBE3" w14:textId="77777777" w:rsidR="003822C7" w:rsidRPr="001243B4" w:rsidRDefault="001243B4"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Agreed.</w:t>
            </w:r>
          </w:p>
          <w:p w14:paraId="4BDD3536" w14:textId="77777777" w:rsidR="003822C7" w:rsidRPr="001243B4" w:rsidRDefault="001243B4"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Agreed.</w:t>
            </w:r>
          </w:p>
          <w:p w14:paraId="004F38FB" w14:textId="77777777" w:rsidR="003822C7" w:rsidRPr="00B6527E" w:rsidRDefault="001243B4" w:rsidP="00E248BF">
            <w:pPr>
              <w:pStyle w:val="ListParagraph"/>
              <w:keepLines/>
              <w:numPr>
                <w:ilvl w:val="0"/>
                <w:numId w:val="70"/>
              </w:numPr>
              <w:tabs>
                <w:tab w:val="left" w:pos="720"/>
              </w:tabs>
              <w:suppressAutoHyphens w:val="0"/>
              <w:ind w:left="284" w:hanging="284"/>
              <w:rPr>
                <w:rFonts w:cstheme="minorHAnsi"/>
              </w:rPr>
            </w:pPr>
            <w:r w:rsidRPr="00B6527E">
              <w:rPr>
                <w:rFonts w:cstheme="minorHAnsi"/>
              </w:rPr>
              <w:t xml:space="preserve">Agree, but only where the impact test requirements in UN R46 are also applied to mirrors </w:t>
            </w:r>
            <w:r w:rsidR="00B6527E" w:rsidRPr="00B6527E">
              <w:rPr>
                <w:rFonts w:cstheme="minorHAnsi"/>
              </w:rPr>
              <w:t>with any part less than 2 m above the ground (i.e. as per UN R46).</w:t>
            </w:r>
            <w:r w:rsidR="005E24C3">
              <w:rPr>
                <w:rFonts w:cstheme="minorHAnsi"/>
              </w:rPr>
              <w:t xml:space="preserve"> Further, </w:t>
            </w:r>
            <w:r w:rsidR="008E3309">
              <w:rPr>
                <w:rFonts w:cstheme="minorHAnsi"/>
              </w:rPr>
              <w:t>w</w:t>
            </w:r>
            <w:r w:rsidR="005E24C3" w:rsidRPr="005E24C3">
              <w:rPr>
                <w:rFonts w:cstheme="minorHAnsi"/>
              </w:rPr>
              <w:t xml:space="preserve">here the lower edge of a mirror is less than 2 m above the ground at GVM, </w:t>
            </w:r>
            <w:r w:rsidR="008E3309">
              <w:rPr>
                <w:rFonts w:cstheme="minorHAnsi"/>
              </w:rPr>
              <w:t>the mirror should not be allowed to project</w:t>
            </w:r>
            <w:r w:rsidR="005E24C3" w:rsidRPr="005E24C3">
              <w:rPr>
                <w:rFonts w:cstheme="minorHAnsi"/>
              </w:rPr>
              <w:t xml:space="preserve"> more than 250 mm beyond the overall width of the vehicle measured without mirrors</w:t>
            </w:r>
            <w:r w:rsidR="008E3309">
              <w:rPr>
                <w:rFonts w:cstheme="minorHAnsi"/>
              </w:rPr>
              <w:t xml:space="preserve"> (as per UN R46</w:t>
            </w:r>
            <w:r w:rsidR="006C7E58">
              <w:rPr>
                <w:rFonts w:cstheme="minorHAnsi"/>
              </w:rPr>
              <w:t>)</w:t>
            </w:r>
            <w:r w:rsidR="005E24C3" w:rsidRPr="005E24C3">
              <w:rPr>
                <w:rFonts w:cstheme="minorHAnsi"/>
              </w:rPr>
              <w:t>.</w:t>
            </w:r>
          </w:p>
          <w:p w14:paraId="7A4998EC" w14:textId="77777777" w:rsidR="003822C7" w:rsidRPr="00B6527E" w:rsidRDefault="00B6527E" w:rsidP="00E248BF">
            <w:pPr>
              <w:pStyle w:val="ListParagraph"/>
              <w:keepLines/>
              <w:numPr>
                <w:ilvl w:val="0"/>
                <w:numId w:val="70"/>
              </w:numPr>
              <w:tabs>
                <w:tab w:val="left" w:pos="720"/>
              </w:tabs>
              <w:suppressAutoHyphens w:val="0"/>
              <w:ind w:left="284" w:hanging="284"/>
              <w:rPr>
                <w:rFonts w:cstheme="minorHAnsi"/>
              </w:rPr>
            </w:pPr>
            <w:r w:rsidRPr="00B6527E">
              <w:rPr>
                <w:rFonts w:cstheme="minorHAnsi"/>
              </w:rPr>
              <w:t>Agree in part</w:t>
            </w:r>
            <w:r w:rsidR="003822C7" w:rsidRPr="00B6527E">
              <w:rPr>
                <w:rFonts w:cstheme="minorHAnsi"/>
              </w:rPr>
              <w:t>.</w:t>
            </w:r>
            <w:r>
              <w:rPr>
                <w:rFonts w:cstheme="minorHAnsi"/>
              </w:rPr>
              <w:t xml:space="preserve"> Under each regulatory option, rear-view mirrors on wider vehicles will need to meet the UN R46 impact test requirements (which apply to mirrors with any part less than 2 m above the ground). T</w:t>
            </w:r>
            <w:r w:rsidRPr="00B6527E">
              <w:rPr>
                <w:rFonts w:cstheme="minorHAnsi"/>
              </w:rPr>
              <w:t xml:space="preserve">he </w:t>
            </w:r>
            <w:r>
              <w:rPr>
                <w:rFonts w:cstheme="minorHAnsi"/>
              </w:rPr>
              <w:t xml:space="preserve">Australian specific </w:t>
            </w:r>
            <w:r w:rsidRPr="00B6527E">
              <w:rPr>
                <w:rFonts w:cstheme="minorHAnsi"/>
              </w:rPr>
              <w:t>150</w:t>
            </w:r>
            <w:r>
              <w:rPr>
                <w:rFonts w:cstheme="minorHAnsi"/>
              </w:rPr>
              <w:t> </w:t>
            </w:r>
            <w:r w:rsidRPr="00B6527E">
              <w:rPr>
                <w:rFonts w:cstheme="minorHAnsi"/>
              </w:rPr>
              <w:t>mm collapsible width requirement</w:t>
            </w:r>
            <w:r>
              <w:rPr>
                <w:rFonts w:cstheme="minorHAnsi"/>
              </w:rPr>
              <w:t xml:space="preserve"> (from Appendix C of ADR 14/02) would no longer be an option for such vehicles on safer wider trucks.</w:t>
            </w:r>
          </w:p>
          <w:p w14:paraId="747C8839" w14:textId="77777777" w:rsidR="003822C7" w:rsidRPr="002F07C7" w:rsidRDefault="00B6527E" w:rsidP="00E248BF">
            <w:pPr>
              <w:pStyle w:val="ListParagraph"/>
              <w:keepLines/>
              <w:numPr>
                <w:ilvl w:val="0"/>
                <w:numId w:val="70"/>
              </w:numPr>
              <w:tabs>
                <w:tab w:val="left" w:pos="720"/>
              </w:tabs>
              <w:suppressAutoHyphens w:val="0"/>
              <w:ind w:left="284" w:hanging="284"/>
              <w:rPr>
                <w:rFonts w:cstheme="minorHAnsi"/>
              </w:rPr>
            </w:pPr>
            <w:r w:rsidRPr="002F07C7">
              <w:rPr>
                <w:rFonts w:cstheme="minorHAnsi"/>
              </w:rPr>
              <w:t xml:space="preserve">Agree some exemptions and/or alternative procedures </w:t>
            </w:r>
            <w:r w:rsidR="00280224">
              <w:rPr>
                <w:rFonts w:cstheme="minorHAnsi"/>
              </w:rPr>
              <w:t xml:space="preserve">may </w:t>
            </w:r>
            <w:r w:rsidRPr="002F07C7">
              <w:rPr>
                <w:rFonts w:cstheme="minorHAnsi"/>
              </w:rPr>
              <w:t xml:space="preserve">be needed to </w:t>
            </w:r>
            <w:r w:rsidR="00D801E8">
              <w:rPr>
                <w:rFonts w:cstheme="minorHAnsi"/>
              </w:rPr>
              <w:t>clarify and</w:t>
            </w:r>
            <w:r w:rsidR="00C4388D">
              <w:rPr>
                <w:rFonts w:cstheme="minorHAnsi"/>
              </w:rPr>
              <w:t xml:space="preserve"> </w:t>
            </w:r>
            <w:r w:rsidRPr="002F07C7">
              <w:rPr>
                <w:rFonts w:cstheme="minorHAnsi"/>
              </w:rPr>
              <w:t xml:space="preserve">implement </w:t>
            </w:r>
            <w:r w:rsidR="00E828EE">
              <w:rPr>
                <w:rFonts w:cstheme="minorHAnsi"/>
              </w:rPr>
              <w:t>the technical requirements of</w:t>
            </w:r>
            <w:r w:rsidRPr="002F07C7">
              <w:rPr>
                <w:rFonts w:cstheme="minorHAnsi"/>
              </w:rPr>
              <w:t xml:space="preserve"> UN </w:t>
            </w:r>
            <w:r w:rsidR="00E828EE">
              <w:rPr>
                <w:rFonts w:cstheme="minorHAnsi"/>
              </w:rPr>
              <w:t>R151</w:t>
            </w:r>
            <w:r w:rsidRPr="002F07C7">
              <w:rPr>
                <w:rFonts w:cstheme="minorHAnsi"/>
              </w:rPr>
              <w:t xml:space="preserve"> </w:t>
            </w:r>
            <w:r w:rsidR="00E828EE">
              <w:rPr>
                <w:rFonts w:cstheme="minorHAnsi"/>
              </w:rPr>
              <w:t>through</w:t>
            </w:r>
            <w:r w:rsidRPr="002F07C7">
              <w:rPr>
                <w:rFonts w:cstheme="minorHAnsi"/>
              </w:rPr>
              <w:t xml:space="preserve"> an ADR in Australia</w:t>
            </w:r>
            <w:r w:rsidR="003822C7" w:rsidRPr="002F07C7">
              <w:rPr>
                <w:rFonts w:cstheme="minorHAnsi"/>
              </w:rPr>
              <w:t>.</w:t>
            </w:r>
          </w:p>
          <w:p w14:paraId="6882EFE9" w14:textId="77777777" w:rsidR="003822C7" w:rsidRPr="00726783" w:rsidRDefault="00726783" w:rsidP="00E248BF">
            <w:pPr>
              <w:pStyle w:val="ListParagraph"/>
              <w:keepLines/>
              <w:numPr>
                <w:ilvl w:val="0"/>
                <w:numId w:val="70"/>
              </w:numPr>
              <w:tabs>
                <w:tab w:val="left" w:pos="720"/>
              </w:tabs>
              <w:suppressAutoHyphens w:val="0"/>
              <w:ind w:left="284" w:hanging="284"/>
              <w:rPr>
                <w:rFonts w:cstheme="minorHAnsi"/>
              </w:rPr>
            </w:pPr>
            <w:r w:rsidRPr="00726783">
              <w:rPr>
                <w:rFonts w:cstheme="minorHAnsi"/>
              </w:rPr>
              <w:t>Noted.</w:t>
            </w:r>
            <w:r w:rsidR="00252AD5">
              <w:rPr>
                <w:rFonts w:cstheme="minorHAnsi"/>
              </w:rPr>
              <w:t xml:space="preserve"> It is usual practice for the exemptions and alternative procedures section of an ADR to be used to address concerns such as this. This approach will be able to be taken in this case to clarify requirements and procedures.</w:t>
            </w:r>
          </w:p>
          <w:p w14:paraId="023AAB92" w14:textId="77777777" w:rsidR="003822C7" w:rsidRPr="00252AD5" w:rsidRDefault="00252AD5" w:rsidP="00E248BF">
            <w:pPr>
              <w:pStyle w:val="ListParagraph"/>
              <w:keepLines/>
              <w:numPr>
                <w:ilvl w:val="0"/>
                <w:numId w:val="70"/>
              </w:numPr>
              <w:tabs>
                <w:tab w:val="left" w:pos="720"/>
              </w:tabs>
              <w:suppressAutoHyphens w:val="0"/>
              <w:ind w:left="284" w:hanging="284"/>
              <w:rPr>
                <w:rFonts w:cstheme="minorHAnsi"/>
              </w:rPr>
            </w:pPr>
            <w:r w:rsidRPr="00252AD5">
              <w:rPr>
                <w:rFonts w:cstheme="minorHAnsi"/>
              </w:rPr>
              <w:t xml:space="preserve">Do not </w:t>
            </w:r>
            <w:r w:rsidR="00E828EE">
              <w:rPr>
                <w:rFonts w:cstheme="minorHAnsi"/>
              </w:rPr>
              <w:t>agree that</w:t>
            </w:r>
            <w:r w:rsidRPr="00252AD5">
              <w:rPr>
                <w:rFonts w:cstheme="minorHAnsi"/>
              </w:rPr>
              <w:t xml:space="preserve"> </w:t>
            </w:r>
            <w:r>
              <w:rPr>
                <w:rFonts w:cstheme="minorHAnsi"/>
              </w:rPr>
              <w:t xml:space="preserve">the technical requirements </w:t>
            </w:r>
            <w:r w:rsidR="00E828EE">
              <w:rPr>
                <w:rFonts w:cstheme="minorHAnsi"/>
              </w:rPr>
              <w:t>cannot</w:t>
            </w:r>
            <w:r>
              <w:rPr>
                <w:rFonts w:cstheme="minorHAnsi"/>
              </w:rPr>
              <w:t xml:space="preserve"> be applied to bonneted trucks, especially given the option to use the exemptions and alternative procedures section of an ADR to clarify requirements and procedures.</w:t>
            </w:r>
            <w:r w:rsidR="00431AE9">
              <w:rPr>
                <w:rFonts w:cstheme="minorHAnsi"/>
              </w:rPr>
              <w:t xml:space="preserve"> Unlike </w:t>
            </w:r>
            <w:r w:rsidR="00C54F57">
              <w:rPr>
                <w:rFonts w:cstheme="minorHAnsi"/>
              </w:rPr>
              <w:t xml:space="preserve">some UN classes of </w:t>
            </w:r>
            <w:r w:rsidR="00431AE9">
              <w:rPr>
                <w:rFonts w:cstheme="minorHAnsi"/>
              </w:rPr>
              <w:t>devices for indirect vision, the feasibility of meeting the requirements should not be affected by the position of the driver (or the steering wheel) relative to the front of the vehicle.</w:t>
            </w:r>
          </w:p>
          <w:p w14:paraId="1FD49F10" w14:textId="77777777" w:rsidR="001E3B0F" w:rsidRDefault="00431AE9" w:rsidP="00E248BF">
            <w:pPr>
              <w:pStyle w:val="ListParagraph"/>
              <w:keepLines/>
              <w:numPr>
                <w:ilvl w:val="0"/>
                <w:numId w:val="70"/>
              </w:numPr>
              <w:tabs>
                <w:tab w:val="left" w:pos="720"/>
              </w:tabs>
              <w:suppressAutoHyphens w:val="0"/>
              <w:ind w:left="284" w:hanging="284"/>
              <w:rPr>
                <w:rFonts w:cstheme="minorHAnsi"/>
              </w:rPr>
            </w:pPr>
            <w:r w:rsidRPr="00431AE9">
              <w:rPr>
                <w:rFonts w:cstheme="minorHAnsi"/>
              </w:rPr>
              <w:t xml:space="preserve">Disagree. </w:t>
            </w:r>
            <w:r w:rsidRPr="00D07167">
              <w:rPr>
                <w:rFonts w:cstheme="minorHAnsi"/>
                <w:szCs w:val="20"/>
              </w:rPr>
              <w:t xml:space="preserve">Requiring wider freight vehicles to be fitted with a package of safety technologies (including </w:t>
            </w:r>
            <w:r>
              <w:rPr>
                <w:rFonts w:cstheme="minorHAnsi"/>
                <w:szCs w:val="20"/>
              </w:rPr>
              <w:t>blind spot information systems</w:t>
            </w:r>
            <w:r w:rsidRPr="00D07167">
              <w:rPr>
                <w:rFonts w:cstheme="minorHAnsi"/>
                <w:szCs w:val="20"/>
              </w:rPr>
              <w:t xml:space="preserve">) is a key part of the agreement with jurisdictions/in-service regulators and other stakeholders to pursue this reform – </w:t>
            </w:r>
            <w:r w:rsidRPr="00D07167">
              <w:rPr>
                <w:rFonts w:cstheme="minorHAnsi"/>
              </w:rPr>
              <w:t>it is important to preserve this agreement.</w:t>
            </w:r>
            <w:r>
              <w:rPr>
                <w:rFonts w:cstheme="minorHAnsi"/>
              </w:rPr>
              <w:t xml:space="preserve"> The exemptions and alternative procedures section of the ADR will be able to be used to clarify testing and certification procedures for implementation in Australia.</w:t>
            </w:r>
          </w:p>
          <w:p w14:paraId="3AE6E3EF" w14:textId="77777777" w:rsidR="001E3B0F" w:rsidRPr="002909BE" w:rsidRDefault="00252AD5" w:rsidP="00E248BF">
            <w:pPr>
              <w:pStyle w:val="ListParagraph"/>
              <w:keepLines/>
              <w:numPr>
                <w:ilvl w:val="0"/>
                <w:numId w:val="70"/>
              </w:numPr>
              <w:tabs>
                <w:tab w:val="left" w:pos="318"/>
              </w:tabs>
              <w:suppressAutoHyphens w:val="0"/>
              <w:ind w:left="284" w:hanging="284"/>
              <w:rPr>
                <w:rFonts w:cstheme="minorHAnsi"/>
              </w:rPr>
            </w:pPr>
            <w:r w:rsidRPr="00252AD5">
              <w:rPr>
                <w:rFonts w:cstheme="minorHAnsi"/>
              </w:rPr>
              <w:t xml:space="preserve">Noted. </w:t>
            </w:r>
            <w:r w:rsidRPr="009133CD">
              <w:rPr>
                <w:rFonts w:cstheme="minorHAnsi"/>
              </w:rPr>
              <w:t xml:space="preserve">The proposed ADR applicability dates are </w:t>
            </w:r>
            <w:r>
              <w:rPr>
                <w:rFonts w:cstheme="minorHAnsi"/>
              </w:rPr>
              <w:t xml:space="preserve">now </w:t>
            </w:r>
            <w:r w:rsidRPr="009133CD">
              <w:rPr>
                <w:rFonts w:cstheme="minorHAnsi"/>
              </w:rPr>
              <w:t>28 months post implementation for new models in Europe and 31 months post implementation for all new vehicles in Europe.</w:t>
            </w:r>
          </w:p>
        </w:tc>
      </w:tr>
      <w:tr w:rsidR="003822C7" w:rsidRPr="007B6E69" w14:paraId="0157FD7B" w14:textId="77777777" w:rsidTr="003822C7">
        <w:tc>
          <w:tcPr>
            <w:tcW w:w="1696" w:type="dxa"/>
          </w:tcPr>
          <w:p w14:paraId="4670CE1F" w14:textId="77777777" w:rsidR="003822C7" w:rsidRPr="007B6E69" w:rsidRDefault="003822C7" w:rsidP="00E6330B">
            <w:pPr>
              <w:spacing w:before="120" w:after="120"/>
              <w:rPr>
                <w:rFonts w:cstheme="minorHAnsi"/>
              </w:rPr>
            </w:pPr>
            <w:proofErr w:type="spellStart"/>
            <w:r w:rsidRPr="007B6E69">
              <w:rPr>
                <w:rFonts w:cstheme="minorHAnsi"/>
              </w:rPr>
              <w:t>Volgren</w:t>
            </w:r>
            <w:proofErr w:type="spellEnd"/>
            <w:r w:rsidRPr="007B6E69">
              <w:rPr>
                <w:rFonts w:cstheme="minorHAnsi"/>
              </w:rPr>
              <w:t xml:space="preserve"> Australia</w:t>
            </w:r>
          </w:p>
        </w:tc>
        <w:tc>
          <w:tcPr>
            <w:tcW w:w="6379" w:type="dxa"/>
          </w:tcPr>
          <w:p w14:paraId="70A04A29"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I</w:t>
            </w:r>
            <w:r w:rsidRPr="00DB3A55">
              <w:rPr>
                <w:rFonts w:cstheme="minorHAnsi"/>
              </w:rPr>
              <w:t>n general</w:t>
            </w:r>
            <w:r>
              <w:rPr>
                <w:rFonts w:cstheme="minorHAnsi"/>
              </w:rPr>
              <w:t>,</w:t>
            </w:r>
            <w:r w:rsidRPr="00DB3A55">
              <w:rPr>
                <w:rFonts w:cstheme="minorHAnsi"/>
              </w:rPr>
              <w:t xml:space="preserve"> support</w:t>
            </w:r>
            <w:r>
              <w:rPr>
                <w:rFonts w:cstheme="minorHAnsi"/>
              </w:rPr>
              <w:t>s</w:t>
            </w:r>
            <w:r w:rsidRPr="00DB3A55">
              <w:rPr>
                <w:rFonts w:cstheme="minorHAnsi"/>
              </w:rPr>
              <w:t xml:space="preserve"> all ADRs being reviewed and updated to reflect updates in technology</w:t>
            </w:r>
            <w:r>
              <w:rPr>
                <w:rFonts w:cstheme="minorHAnsi"/>
              </w:rPr>
              <w:t>.</w:t>
            </w:r>
          </w:p>
          <w:p w14:paraId="5049EB00"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 xml:space="preserve">Supports </w:t>
            </w:r>
            <w:r w:rsidRPr="00B673B1">
              <w:rPr>
                <w:rFonts w:cstheme="minorHAnsi"/>
              </w:rPr>
              <w:t>fitment of additional systems that improve the safety of vehicles</w:t>
            </w:r>
            <w:r>
              <w:rPr>
                <w:rFonts w:cstheme="minorHAnsi"/>
              </w:rPr>
              <w:t>, including in-principle support for the proposed new ADRs for devices for indirect vision, lane departure warning systems, and blind spot information systems.</w:t>
            </w:r>
          </w:p>
          <w:p w14:paraId="3EC92C40"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 xml:space="preserve">Assumes there will be no change to the width limit for heavy buses, given the proposed changes to the ADRs </w:t>
            </w:r>
            <w:r w:rsidRPr="00401839">
              <w:rPr>
                <w:rFonts w:cstheme="minorHAnsi"/>
              </w:rPr>
              <w:t xml:space="preserve">in the </w:t>
            </w:r>
            <w:r>
              <w:rPr>
                <w:rFonts w:cstheme="minorHAnsi"/>
              </w:rPr>
              <w:t>discussion paper</w:t>
            </w:r>
            <w:r w:rsidRPr="00401839">
              <w:rPr>
                <w:rFonts w:cstheme="minorHAnsi"/>
              </w:rPr>
              <w:t xml:space="preserve"> do not reference </w:t>
            </w:r>
            <w:r>
              <w:rPr>
                <w:rFonts w:cstheme="minorHAnsi"/>
              </w:rPr>
              <w:t>category</w:t>
            </w:r>
            <w:r w:rsidRPr="00401839">
              <w:rPr>
                <w:rFonts w:cstheme="minorHAnsi"/>
              </w:rPr>
              <w:t xml:space="preserve"> ME vehicles</w:t>
            </w:r>
            <w:r>
              <w:rPr>
                <w:rFonts w:cstheme="minorHAnsi"/>
              </w:rPr>
              <w:t>.</w:t>
            </w:r>
          </w:p>
          <w:p w14:paraId="46B37781" w14:textId="77777777"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If increases in the width limit for heavy buses were to be implemented, does not see the inclusion of additional safety features to 2.55 m buses could be safer than those systems applied to 2.5</w:t>
            </w:r>
            <w:r w:rsidR="00B9347B">
              <w:rPr>
                <w:rFonts w:cstheme="minorHAnsi"/>
              </w:rPr>
              <w:t>0</w:t>
            </w:r>
            <w:r>
              <w:rPr>
                <w:rFonts w:cstheme="minorHAnsi"/>
              </w:rPr>
              <w:t> m buses.</w:t>
            </w:r>
          </w:p>
          <w:p w14:paraId="6DFC6B0C" w14:textId="77777777" w:rsidR="003822C7" w:rsidRPr="00A703DC"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Notes a direct comparison with Europe of width alone would be flawed as they limit overall bus length to 12.0 m rather than the ADR limit of 12.5 m (when referring to rigid omnibuses), which achieves an equivalent swept path, but is not desirable because it can reduce occupant capacity and would require large changes for Australian bus manufacturers.</w:t>
            </w:r>
          </w:p>
        </w:tc>
        <w:tc>
          <w:tcPr>
            <w:tcW w:w="6521" w:type="dxa"/>
            <w:gridSpan w:val="2"/>
          </w:tcPr>
          <w:p w14:paraId="07A3ADBD" w14:textId="77777777"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Noted.</w:t>
            </w:r>
          </w:p>
          <w:p w14:paraId="2D4CE13C" w14:textId="77777777"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Noted.</w:t>
            </w:r>
          </w:p>
          <w:p w14:paraId="79698FC3" w14:textId="77777777"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Correct. Th</w:t>
            </w:r>
            <w:r w:rsidR="00837BBB">
              <w:rPr>
                <w:rFonts w:cstheme="minorHAnsi"/>
              </w:rPr>
              <w:t xml:space="preserve">e </w:t>
            </w:r>
            <w:r w:rsidR="00E9051B">
              <w:rPr>
                <w:rFonts w:cstheme="minorHAnsi"/>
              </w:rPr>
              <w:t xml:space="preserve">earlier </w:t>
            </w:r>
            <w:r w:rsidR="00837BBB">
              <w:rPr>
                <w:rFonts w:cstheme="minorHAnsi"/>
              </w:rPr>
              <w:t xml:space="preserve">discussion paper and this </w:t>
            </w:r>
            <w:r w:rsidR="00C45600">
              <w:rPr>
                <w:rFonts w:cstheme="minorHAnsi"/>
              </w:rPr>
              <w:t>IA</w:t>
            </w:r>
            <w:r>
              <w:rPr>
                <w:rFonts w:cstheme="minorHAnsi"/>
              </w:rPr>
              <w:t xml:space="preserve"> do not consider changes to the width limit for buses.</w:t>
            </w:r>
          </w:p>
          <w:p w14:paraId="61BD2B4B" w14:textId="77777777" w:rsidR="003822C7" w:rsidRPr="002E67AF" w:rsidRDefault="003822C7" w:rsidP="00E248BF">
            <w:pPr>
              <w:pStyle w:val="ListParagraph"/>
              <w:keepLines/>
              <w:numPr>
                <w:ilvl w:val="0"/>
                <w:numId w:val="59"/>
              </w:numPr>
              <w:tabs>
                <w:tab w:val="left" w:pos="720"/>
              </w:tabs>
              <w:suppressAutoHyphens w:val="0"/>
              <w:ind w:left="284" w:hanging="284"/>
              <w:rPr>
                <w:rFonts w:cstheme="minorHAnsi"/>
              </w:rPr>
            </w:pPr>
            <w:r w:rsidRPr="002E67AF">
              <w:rPr>
                <w:rFonts w:cstheme="minorHAnsi"/>
                <w:szCs w:val="20"/>
              </w:rPr>
              <w:t>Agreed.</w:t>
            </w:r>
          </w:p>
          <w:p w14:paraId="3132B50A" w14:textId="77777777" w:rsidR="003822C7" w:rsidRPr="005E4846" w:rsidRDefault="003822C7" w:rsidP="00E248BF">
            <w:pPr>
              <w:pStyle w:val="ListParagraph"/>
              <w:keepLines/>
              <w:numPr>
                <w:ilvl w:val="0"/>
                <w:numId w:val="59"/>
              </w:numPr>
              <w:tabs>
                <w:tab w:val="left" w:pos="720"/>
              </w:tabs>
              <w:suppressAutoHyphens w:val="0"/>
              <w:ind w:left="284" w:hanging="284"/>
              <w:rPr>
                <w:rFonts w:cstheme="minorHAnsi"/>
              </w:rPr>
            </w:pPr>
            <w:r w:rsidRPr="00CC7C92">
              <w:rPr>
                <w:rFonts w:cstheme="minorHAnsi"/>
                <w:szCs w:val="20"/>
              </w:rPr>
              <w:t>Noted.</w:t>
            </w:r>
          </w:p>
        </w:tc>
      </w:tr>
      <w:tr w:rsidR="003822C7" w:rsidRPr="00CE5E0A" w14:paraId="40E6BA2E" w14:textId="77777777" w:rsidTr="003822C7">
        <w:tc>
          <w:tcPr>
            <w:tcW w:w="1696" w:type="dxa"/>
          </w:tcPr>
          <w:p w14:paraId="27A3F7AE" w14:textId="77777777" w:rsidR="003822C7" w:rsidRPr="007B6E69" w:rsidRDefault="003822C7" w:rsidP="00E6330B">
            <w:pPr>
              <w:spacing w:before="120" w:after="120"/>
              <w:rPr>
                <w:rFonts w:cstheme="minorHAnsi"/>
              </w:rPr>
            </w:pPr>
            <w:r w:rsidRPr="007B6E69">
              <w:rPr>
                <w:rFonts w:cstheme="minorHAnsi"/>
              </w:rPr>
              <w:t>Woolworths Group</w:t>
            </w:r>
          </w:p>
        </w:tc>
        <w:tc>
          <w:tcPr>
            <w:tcW w:w="6379" w:type="dxa"/>
          </w:tcPr>
          <w:p w14:paraId="58619731" w14:textId="77777777" w:rsidR="003822C7" w:rsidRDefault="003822C7" w:rsidP="007C097D">
            <w:pPr>
              <w:pStyle w:val="ListParagraph"/>
              <w:keepLines/>
              <w:numPr>
                <w:ilvl w:val="6"/>
                <w:numId w:val="28"/>
              </w:numPr>
              <w:tabs>
                <w:tab w:val="left" w:pos="320"/>
              </w:tabs>
              <w:suppressAutoHyphens w:val="0"/>
              <w:ind w:left="284"/>
              <w:rPr>
                <w:rFonts w:cstheme="minorHAnsi"/>
                <w:szCs w:val="20"/>
              </w:rPr>
            </w:pPr>
            <w:r w:rsidRPr="00CE5E0A">
              <w:rPr>
                <w:rFonts w:cstheme="minorHAnsi"/>
                <w:szCs w:val="20"/>
              </w:rPr>
              <w:t>Supports changes to maximum vehicle width from 2.5</w:t>
            </w:r>
            <w:r w:rsidR="00B9347B">
              <w:rPr>
                <w:rFonts w:cstheme="minorHAnsi"/>
                <w:szCs w:val="20"/>
              </w:rPr>
              <w:t>0</w:t>
            </w:r>
            <w:r>
              <w:rPr>
                <w:rFonts w:cstheme="minorHAnsi"/>
                <w:szCs w:val="20"/>
              </w:rPr>
              <w:t> </w:t>
            </w:r>
            <w:r w:rsidRPr="00CE5E0A">
              <w:rPr>
                <w:rFonts w:cstheme="minorHAnsi"/>
                <w:szCs w:val="20"/>
              </w:rPr>
              <w:t>m to 2.55</w:t>
            </w:r>
            <w:r>
              <w:rPr>
                <w:rFonts w:cstheme="minorHAnsi"/>
                <w:szCs w:val="20"/>
              </w:rPr>
              <w:t> </w:t>
            </w:r>
            <w:r w:rsidRPr="00CE5E0A">
              <w:rPr>
                <w:rFonts w:cstheme="minorHAnsi"/>
                <w:szCs w:val="20"/>
              </w:rPr>
              <w:t xml:space="preserve">m or </w:t>
            </w:r>
            <w:r w:rsidR="00B9347B">
              <w:rPr>
                <w:rFonts w:cstheme="minorHAnsi"/>
                <w:szCs w:val="20"/>
              </w:rPr>
              <w:t>2.60</w:t>
            </w:r>
            <w:r>
              <w:rPr>
                <w:rFonts w:cstheme="minorHAnsi"/>
                <w:szCs w:val="20"/>
              </w:rPr>
              <w:t> </w:t>
            </w:r>
            <w:r w:rsidRPr="00CE5E0A">
              <w:rPr>
                <w:rFonts w:cstheme="minorHAnsi"/>
                <w:szCs w:val="20"/>
              </w:rPr>
              <w:t>m, on the basis that this can be expected to have a positive impact on affordability and availability of new prime movers and more generally encourage adoption of safer vehicles.</w:t>
            </w:r>
          </w:p>
          <w:p w14:paraId="32F214FF" w14:textId="77777777" w:rsidR="003822C7" w:rsidRPr="00F20572"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increased width</w:t>
            </w:r>
            <w:r w:rsidRPr="001B78EF">
              <w:rPr>
                <w:rFonts w:cstheme="minorHAnsi"/>
                <w:szCs w:val="20"/>
              </w:rPr>
              <w:t xml:space="preserve"> will enable increased wall thickness, in turn</w:t>
            </w:r>
            <w:r>
              <w:rPr>
                <w:rFonts w:cstheme="minorHAnsi"/>
                <w:szCs w:val="20"/>
              </w:rPr>
              <w:t xml:space="preserve"> </w:t>
            </w:r>
            <w:r w:rsidRPr="001B78EF">
              <w:rPr>
                <w:rFonts w:cstheme="minorHAnsi"/>
                <w:szCs w:val="20"/>
              </w:rPr>
              <w:t>improving insulation and refrigeration performance on temperature</w:t>
            </w:r>
            <w:r>
              <w:rPr>
                <w:rFonts w:cstheme="minorHAnsi"/>
                <w:szCs w:val="20"/>
              </w:rPr>
              <w:t>-</w:t>
            </w:r>
            <w:r w:rsidRPr="001B78EF">
              <w:rPr>
                <w:rFonts w:cstheme="minorHAnsi"/>
                <w:szCs w:val="20"/>
              </w:rPr>
              <w:t>controlled trailers</w:t>
            </w:r>
            <w:r>
              <w:rPr>
                <w:rFonts w:cstheme="minorHAnsi"/>
                <w:szCs w:val="20"/>
              </w:rPr>
              <w:t xml:space="preserve"> – </w:t>
            </w:r>
            <w:r w:rsidRPr="00F20572">
              <w:rPr>
                <w:rFonts w:cstheme="minorHAnsi"/>
                <w:szCs w:val="20"/>
              </w:rPr>
              <w:t>this will benefit maintenance of the cold chain, and reduce fuel consumption to maintain temperatures, enabling a sustainability benefit.</w:t>
            </w:r>
          </w:p>
          <w:p w14:paraId="0C1C42DF"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increased width</w:t>
            </w:r>
            <w:r w:rsidRPr="001B78EF">
              <w:rPr>
                <w:rFonts w:cstheme="minorHAnsi"/>
                <w:szCs w:val="20"/>
              </w:rPr>
              <w:t xml:space="preserve"> also means greater freedom of design to</w:t>
            </w:r>
            <w:r>
              <w:rPr>
                <w:rFonts w:cstheme="minorHAnsi"/>
                <w:szCs w:val="20"/>
              </w:rPr>
              <w:t xml:space="preserve"> </w:t>
            </w:r>
            <w:r w:rsidRPr="001B78EF">
              <w:rPr>
                <w:rFonts w:cstheme="minorHAnsi"/>
                <w:szCs w:val="20"/>
              </w:rPr>
              <w:t>enhance safety and stability along with greater options for load restraint and ease of loading</w:t>
            </w:r>
            <w:r>
              <w:rPr>
                <w:rFonts w:cstheme="minorHAnsi"/>
                <w:szCs w:val="20"/>
              </w:rPr>
              <w:t>.</w:t>
            </w:r>
          </w:p>
          <w:p w14:paraId="333E1C63" w14:textId="77777777"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a </w:t>
            </w:r>
            <w:r w:rsidRPr="00F20572">
              <w:rPr>
                <w:rFonts w:cstheme="minorHAnsi"/>
                <w:szCs w:val="20"/>
              </w:rPr>
              <w:t xml:space="preserve">move to a </w:t>
            </w:r>
            <w:r w:rsidR="00B9347B">
              <w:rPr>
                <w:rFonts w:cstheme="minorHAnsi"/>
                <w:szCs w:val="20"/>
              </w:rPr>
              <w:t>2.60</w:t>
            </w:r>
            <w:r>
              <w:rPr>
                <w:rFonts w:cstheme="minorHAnsi"/>
                <w:szCs w:val="20"/>
              </w:rPr>
              <w:t> </w:t>
            </w:r>
            <w:r w:rsidRPr="00F20572">
              <w:rPr>
                <w:rFonts w:cstheme="minorHAnsi"/>
                <w:szCs w:val="20"/>
              </w:rPr>
              <w:t>m overall width</w:t>
            </w:r>
            <w:r>
              <w:rPr>
                <w:rFonts w:cstheme="minorHAnsi"/>
                <w:szCs w:val="20"/>
              </w:rPr>
              <w:t xml:space="preserve"> </w:t>
            </w:r>
            <w:r w:rsidRPr="00F20572">
              <w:rPr>
                <w:rFonts w:cstheme="minorHAnsi"/>
                <w:szCs w:val="20"/>
              </w:rPr>
              <w:t>would also enable compatibility with international pallet dimensions</w:t>
            </w:r>
            <w:r>
              <w:rPr>
                <w:rFonts w:cstheme="minorHAnsi"/>
                <w:szCs w:val="20"/>
              </w:rPr>
              <w:t xml:space="preserve">, which would open </w:t>
            </w:r>
            <w:r w:rsidRPr="00C7003B">
              <w:rPr>
                <w:rFonts w:cstheme="minorHAnsi"/>
                <w:szCs w:val="20"/>
              </w:rPr>
              <w:t>up opportunities to harmonise supply chains internationally, delivering further</w:t>
            </w:r>
            <w:r>
              <w:rPr>
                <w:rFonts w:cstheme="minorHAnsi"/>
                <w:szCs w:val="20"/>
              </w:rPr>
              <w:t xml:space="preserve"> </w:t>
            </w:r>
            <w:r w:rsidRPr="00C7003B">
              <w:rPr>
                <w:rFonts w:cstheme="minorHAnsi"/>
                <w:szCs w:val="20"/>
              </w:rPr>
              <w:t>productivity benefits</w:t>
            </w:r>
            <w:r>
              <w:rPr>
                <w:rFonts w:cstheme="minorHAnsi"/>
                <w:szCs w:val="20"/>
              </w:rPr>
              <w:t>.</w:t>
            </w:r>
          </w:p>
          <w:p w14:paraId="70D3BE5B" w14:textId="77777777" w:rsidR="003822C7" w:rsidRPr="00F20572"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Prefers </w:t>
            </w:r>
            <w:r w:rsidR="00164159">
              <w:rPr>
                <w:rFonts w:cstheme="minorHAnsi"/>
                <w:szCs w:val="20"/>
              </w:rPr>
              <w:t xml:space="preserve">a </w:t>
            </w:r>
            <w:r w:rsidR="00B9347B">
              <w:rPr>
                <w:rFonts w:cstheme="minorHAnsi"/>
                <w:szCs w:val="20"/>
              </w:rPr>
              <w:t>2.60</w:t>
            </w:r>
            <w:r w:rsidR="00164159">
              <w:rPr>
                <w:rFonts w:cstheme="minorHAnsi"/>
                <w:szCs w:val="20"/>
              </w:rPr>
              <w:t> m width limit for both trucks and trailers</w:t>
            </w:r>
            <w:r>
              <w:rPr>
                <w:rFonts w:cstheme="minorHAnsi"/>
                <w:szCs w:val="20"/>
              </w:rPr>
              <w:t xml:space="preserve">, but is also supportive of </w:t>
            </w:r>
            <w:r w:rsidR="00164159">
              <w:rPr>
                <w:rFonts w:cstheme="minorHAnsi"/>
                <w:szCs w:val="20"/>
              </w:rPr>
              <w:t>a 2.55 m width limit for both trucks and trailers</w:t>
            </w:r>
            <w:r>
              <w:rPr>
                <w:rFonts w:cstheme="minorHAnsi"/>
                <w:szCs w:val="20"/>
              </w:rPr>
              <w:t>.</w:t>
            </w:r>
          </w:p>
        </w:tc>
        <w:tc>
          <w:tcPr>
            <w:tcW w:w="6521" w:type="dxa"/>
            <w:gridSpan w:val="2"/>
          </w:tcPr>
          <w:p w14:paraId="063A9256" w14:textId="77777777" w:rsidR="003822C7" w:rsidRPr="00CE5E0A" w:rsidRDefault="003822C7" w:rsidP="007C097D">
            <w:pPr>
              <w:pStyle w:val="ListParagraph"/>
              <w:keepLines/>
              <w:numPr>
                <w:ilvl w:val="6"/>
                <w:numId w:val="27"/>
              </w:numPr>
              <w:tabs>
                <w:tab w:val="left" w:pos="320"/>
              </w:tabs>
              <w:suppressAutoHyphens w:val="0"/>
              <w:ind w:left="284"/>
              <w:rPr>
                <w:rFonts w:cstheme="minorHAnsi"/>
                <w:szCs w:val="20"/>
              </w:rPr>
            </w:pPr>
            <w:r>
              <w:rPr>
                <w:rFonts w:cstheme="minorHAnsi"/>
                <w:szCs w:val="20"/>
              </w:rPr>
              <w:t>Noted</w:t>
            </w:r>
            <w:r w:rsidRPr="00CE5E0A">
              <w:rPr>
                <w:rFonts w:cstheme="minorHAnsi"/>
                <w:szCs w:val="20"/>
              </w:rPr>
              <w:t>.</w:t>
            </w:r>
          </w:p>
          <w:p w14:paraId="100CA8AA" w14:textId="77777777" w:rsidR="003822C7"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Agreed.</w:t>
            </w:r>
          </w:p>
          <w:p w14:paraId="50AF36CE" w14:textId="77777777" w:rsidR="003822C7"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Agreed.</w:t>
            </w:r>
          </w:p>
          <w:p w14:paraId="6CD66DC0" w14:textId="77777777" w:rsidR="003822C7" w:rsidRPr="00DE1EA6"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sidRPr="00DE1EA6">
              <w:rPr>
                <w:rFonts w:cstheme="minorHAnsi"/>
                <w:color w:val="000000"/>
                <w:kern w:val="0"/>
              </w:rPr>
              <w:t xml:space="preserve">A move to at least a 2.55 m overall width </w:t>
            </w:r>
            <w:r>
              <w:rPr>
                <w:rFonts w:cstheme="minorHAnsi"/>
                <w:color w:val="000000"/>
                <w:kern w:val="0"/>
              </w:rPr>
              <w:t xml:space="preserve">limit </w:t>
            </w:r>
            <w:r w:rsidRPr="00DE1EA6">
              <w:rPr>
                <w:rFonts w:cstheme="minorHAnsi"/>
                <w:color w:val="000000"/>
                <w:kern w:val="0"/>
              </w:rPr>
              <w:t xml:space="preserve">would provide this benefit, except for refrigerated freight which </w:t>
            </w:r>
            <w:r w:rsidR="006B2325">
              <w:rPr>
                <w:rFonts w:cstheme="minorHAnsi"/>
                <w:color w:val="000000"/>
                <w:kern w:val="0"/>
              </w:rPr>
              <w:t>may</w:t>
            </w:r>
            <w:r w:rsidRPr="00DE1EA6">
              <w:rPr>
                <w:rFonts w:cstheme="minorHAnsi"/>
                <w:color w:val="000000"/>
                <w:kern w:val="0"/>
              </w:rPr>
              <w:t xml:space="preserve"> require </w:t>
            </w:r>
            <w:r w:rsidR="00B9347B">
              <w:rPr>
                <w:rFonts w:cstheme="minorHAnsi"/>
                <w:color w:val="000000"/>
                <w:kern w:val="0"/>
              </w:rPr>
              <w:t>2.60</w:t>
            </w:r>
            <w:r w:rsidRPr="00DE1EA6">
              <w:rPr>
                <w:rFonts w:cstheme="minorHAnsi"/>
                <w:color w:val="000000"/>
                <w:kern w:val="0"/>
              </w:rPr>
              <w:t xml:space="preserve"> m, as 1200 mm wide (international) pallets are used in Europe, where </w:t>
            </w:r>
            <w:r>
              <w:rPr>
                <w:rFonts w:cstheme="minorHAnsi"/>
                <w:color w:val="000000"/>
                <w:kern w:val="0"/>
              </w:rPr>
              <w:t xml:space="preserve">the </w:t>
            </w:r>
            <w:r w:rsidRPr="00DE1EA6">
              <w:rPr>
                <w:rFonts w:cstheme="minorHAnsi"/>
                <w:color w:val="000000"/>
                <w:kern w:val="0"/>
              </w:rPr>
              <w:t xml:space="preserve">width limit is </w:t>
            </w:r>
            <w:r w:rsidR="00B9347B">
              <w:rPr>
                <w:rFonts w:cstheme="minorHAnsi"/>
                <w:color w:val="000000"/>
                <w:kern w:val="0"/>
              </w:rPr>
              <w:t>2.60</w:t>
            </w:r>
            <w:r w:rsidRPr="00DE1EA6">
              <w:rPr>
                <w:rFonts w:cstheme="minorHAnsi"/>
                <w:color w:val="000000"/>
                <w:kern w:val="0"/>
              </w:rPr>
              <w:t> m for freight vehicles with refrigerated bodywork and 2.55 m for all other vehicles.</w:t>
            </w:r>
          </w:p>
          <w:p w14:paraId="793D54AF" w14:textId="77777777" w:rsidR="003822C7" w:rsidRPr="00CE5E0A"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Noted.</w:t>
            </w:r>
          </w:p>
        </w:tc>
      </w:tr>
    </w:tbl>
    <w:p w14:paraId="3A9DC9D3" w14:textId="77777777" w:rsidR="00EE106A" w:rsidRPr="00A03989" w:rsidRDefault="00EE106A" w:rsidP="00A03989">
      <w:pPr>
        <w:sectPr w:rsidR="00EE106A" w:rsidRPr="00A03989" w:rsidSect="00E227B0">
          <w:headerReference w:type="default" r:id="rId70"/>
          <w:footerReference w:type="default" r:id="rId71"/>
          <w:pgSz w:w="16838" w:h="11906" w:orient="landscape" w:code="9"/>
          <w:pgMar w:top="1021" w:right="1021" w:bottom="1021" w:left="1021" w:header="510" w:footer="567" w:gutter="0"/>
          <w:cols w:space="708"/>
          <w:docGrid w:linePitch="360"/>
        </w:sectPr>
      </w:pPr>
    </w:p>
    <w:p w14:paraId="02694817" w14:textId="39093DD8" w:rsidR="004607D5" w:rsidRPr="004607D5" w:rsidRDefault="004607D5" w:rsidP="00362791">
      <w:pPr>
        <w:suppressAutoHyphens w:val="0"/>
        <w:spacing w:before="0" w:after="0" w:line="288" w:lineRule="auto"/>
        <w:rPr>
          <w:rFonts w:ascii="Arial" w:eastAsia="Calibri" w:hAnsi="Arial" w:cs="Times New Roman"/>
          <w:color w:val="auto"/>
          <w:kern w:val="0"/>
          <w:sz w:val="2"/>
          <w:szCs w:val="22"/>
        </w:rPr>
      </w:pPr>
      <w:bookmarkStart w:id="193" w:name="_Hlk137050370"/>
    </w:p>
    <w:p w14:paraId="4B80683D" w14:textId="6999A579" w:rsidR="00EF6F9D" w:rsidRDefault="00EF6F9D" w:rsidP="00EF6F9D">
      <w:pPr>
        <w:jc w:val="center"/>
      </w:pPr>
      <w:bookmarkStart w:id="194" w:name="_Hlk137731813"/>
      <w:r>
        <w:rPr>
          <w:noProof/>
        </w:rPr>
        <w:drawing>
          <wp:inline distT="0" distB="0" distL="0" distR="0" wp14:anchorId="466DF7E3" wp14:editId="269A2A51">
            <wp:extent cx="6726656" cy="9540000"/>
            <wp:effectExtent l="0" t="0" r="0" b="4445"/>
            <wp:docPr id="5" name="Picture 5" descr="ARRB report cover page, including ARRB logo, report title, authors and publication date. &#10;&#10;The title is Safer Freight Vehicles: Benefit-Cost Analysis of Vehicle Widening Options.&#10;&#10;The authors are Simon Xue and Ulysses Ai.&#10;&#10;The final report date is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RB cover page.JPG"/>
                    <pic:cNvPicPr/>
                  </pic:nvPicPr>
                  <pic:blipFill>
                    <a:blip r:embed="rId72">
                      <a:extLst>
                        <a:ext uri="{28A0092B-C50C-407E-A947-70E740481C1C}">
                          <a14:useLocalDpi xmlns:a14="http://schemas.microsoft.com/office/drawing/2010/main" val="0"/>
                        </a:ext>
                      </a:extLst>
                    </a:blip>
                    <a:stretch>
                      <a:fillRect/>
                    </a:stretch>
                  </pic:blipFill>
                  <pic:spPr>
                    <a:xfrm>
                      <a:off x="0" y="0"/>
                      <a:ext cx="6726656" cy="9540000"/>
                    </a:xfrm>
                    <a:prstGeom prst="rect">
                      <a:avLst/>
                    </a:prstGeom>
                  </pic:spPr>
                </pic:pic>
              </a:graphicData>
            </a:graphic>
          </wp:inline>
        </w:drawing>
      </w:r>
    </w:p>
    <w:p w14:paraId="754E2CF6" w14:textId="77777777" w:rsidR="00EF6F9D" w:rsidRDefault="00EF6F9D" w:rsidP="00EF6F9D"/>
    <w:p w14:paraId="6434EA34" w14:textId="1125E1A5" w:rsidR="00AB344F" w:rsidRPr="00EF6F9D" w:rsidRDefault="00AB344F" w:rsidP="00EF6F9D">
      <w:pPr>
        <w:sectPr w:rsidR="00AB344F" w:rsidRPr="00EF6F9D" w:rsidSect="00EF6F9D">
          <w:headerReference w:type="default" r:id="rId73"/>
          <w:footerReference w:type="default" r:id="rId74"/>
          <w:pgSz w:w="11906" w:h="16838" w:code="9"/>
          <w:pgMar w:top="567" w:right="567" w:bottom="567" w:left="567" w:header="0" w:footer="284" w:gutter="0"/>
          <w:cols w:space="708"/>
          <w:docGrid w:linePitch="360"/>
        </w:sectPr>
      </w:pPr>
    </w:p>
    <w:p w14:paraId="54029D85" w14:textId="76A4026A" w:rsidR="00452B58" w:rsidRPr="00452B58" w:rsidRDefault="00452B58" w:rsidP="00F2517A">
      <w:pPr>
        <w:pStyle w:val="ARRBBaseHeadingnonTOC"/>
      </w:pPr>
      <w:r w:rsidRPr="00452B58">
        <w:t>Version Control</w:t>
      </w:r>
    </w:p>
    <w:tbl>
      <w:tblPr>
        <w:tblStyle w:val="ARRBTableStyle"/>
        <w:tblW w:w="9638" w:type="dxa"/>
        <w:tblLayout w:type="fixed"/>
        <w:tblLook w:val="04A0" w:firstRow="1" w:lastRow="0" w:firstColumn="1" w:lastColumn="0" w:noHBand="0" w:noVBand="1"/>
      </w:tblPr>
      <w:tblGrid>
        <w:gridCol w:w="1560"/>
        <w:gridCol w:w="1554"/>
        <w:gridCol w:w="2415"/>
        <w:gridCol w:w="4109"/>
      </w:tblGrid>
      <w:tr w:rsidR="00452B58" w:rsidRPr="00452B58" w14:paraId="4BCE6F08" w14:textId="77777777" w:rsidTr="00452B58">
        <w:trPr>
          <w:cnfStyle w:val="100000000000" w:firstRow="1" w:lastRow="0" w:firstColumn="0" w:lastColumn="0" w:oddVBand="0" w:evenVBand="0" w:oddHBand="0" w:evenHBand="0" w:firstRowFirstColumn="0" w:firstRowLastColumn="0" w:lastRowFirstColumn="0" w:lastRowLastColumn="0"/>
        </w:trPr>
        <w:tc>
          <w:tcPr>
            <w:tcW w:w="1560" w:type="dxa"/>
          </w:tcPr>
          <w:p w14:paraId="0361ECE2" w14:textId="77777777" w:rsidR="00452B58" w:rsidRPr="00452B58" w:rsidRDefault="00452B58" w:rsidP="00452B58">
            <w:pPr>
              <w:keepNext/>
              <w:suppressAutoHyphens w:val="0"/>
              <w:spacing w:before="40" w:after="40"/>
              <w:rPr>
                <w:rFonts w:eastAsia="Calibri"/>
                <w:kern w:val="0"/>
                <w:szCs w:val="22"/>
              </w:rPr>
            </w:pPr>
            <w:bookmarkStart w:id="195" w:name="_Hlk137718816"/>
            <w:r w:rsidRPr="00452B58">
              <w:rPr>
                <w:rFonts w:eastAsia="Calibri"/>
                <w:kern w:val="0"/>
                <w:szCs w:val="22"/>
              </w:rPr>
              <w:t>Report version no.</w:t>
            </w:r>
          </w:p>
        </w:tc>
        <w:tc>
          <w:tcPr>
            <w:tcW w:w="1554" w:type="dxa"/>
          </w:tcPr>
          <w:p w14:paraId="5EC94D5A"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Date</w:t>
            </w:r>
          </w:p>
        </w:tc>
        <w:tc>
          <w:tcPr>
            <w:tcW w:w="2415" w:type="dxa"/>
          </w:tcPr>
          <w:p w14:paraId="6BA958D3"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Released to client by</w:t>
            </w:r>
          </w:p>
        </w:tc>
        <w:tc>
          <w:tcPr>
            <w:tcW w:w="4109" w:type="dxa"/>
          </w:tcPr>
          <w:p w14:paraId="5AC17C6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Nature of revision</w:t>
            </w:r>
          </w:p>
        </w:tc>
      </w:tr>
      <w:tr w:rsidR="00452B58" w:rsidRPr="00452B58" w14:paraId="104342ED" w14:textId="77777777" w:rsidTr="00452B58">
        <w:tc>
          <w:tcPr>
            <w:tcW w:w="1560" w:type="dxa"/>
          </w:tcPr>
          <w:p w14:paraId="49866A2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1554" w:type="dxa"/>
          </w:tcPr>
          <w:p w14:paraId="44A3821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21 June 2022</w:t>
            </w:r>
          </w:p>
        </w:tc>
        <w:tc>
          <w:tcPr>
            <w:tcW w:w="2415" w:type="dxa"/>
          </w:tcPr>
          <w:p w14:paraId="4FC23BA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6976DE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Report for Review</w:t>
            </w:r>
          </w:p>
        </w:tc>
      </w:tr>
      <w:tr w:rsidR="00452B58" w:rsidRPr="00452B58" w14:paraId="49618305" w14:textId="77777777" w:rsidTr="00452B58">
        <w:tc>
          <w:tcPr>
            <w:tcW w:w="1560" w:type="dxa"/>
          </w:tcPr>
          <w:p w14:paraId="7F6B30D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1554" w:type="dxa"/>
          </w:tcPr>
          <w:p w14:paraId="4E3CE75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 June 2022</w:t>
            </w:r>
          </w:p>
        </w:tc>
        <w:tc>
          <w:tcPr>
            <w:tcW w:w="2415" w:type="dxa"/>
          </w:tcPr>
          <w:p w14:paraId="1184DD6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312DE97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report with comments addressed</w:t>
            </w:r>
          </w:p>
        </w:tc>
      </w:tr>
      <w:tr w:rsidR="00452B58" w:rsidRPr="00452B58" w14:paraId="2EDFD4B3" w14:textId="77777777" w:rsidTr="00452B58">
        <w:tc>
          <w:tcPr>
            <w:tcW w:w="1560" w:type="dxa"/>
          </w:tcPr>
          <w:p w14:paraId="3CEC310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1554" w:type="dxa"/>
          </w:tcPr>
          <w:p w14:paraId="4C21CE0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28 June 2022</w:t>
            </w:r>
          </w:p>
        </w:tc>
        <w:tc>
          <w:tcPr>
            <w:tcW w:w="2415" w:type="dxa"/>
          </w:tcPr>
          <w:p w14:paraId="47EADA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17C2FFE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reformatted</w:t>
            </w:r>
          </w:p>
        </w:tc>
      </w:tr>
      <w:tr w:rsidR="00452B58" w:rsidRPr="00452B58" w14:paraId="5AD8D515" w14:textId="77777777" w:rsidTr="00452B58">
        <w:tc>
          <w:tcPr>
            <w:tcW w:w="1560" w:type="dxa"/>
          </w:tcPr>
          <w:p w14:paraId="5BEFAF1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1554" w:type="dxa"/>
          </w:tcPr>
          <w:p w14:paraId="151C096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30 June 2022</w:t>
            </w:r>
          </w:p>
        </w:tc>
        <w:tc>
          <w:tcPr>
            <w:tcW w:w="2415" w:type="dxa"/>
          </w:tcPr>
          <w:p w14:paraId="6FA263C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43DB9B1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Provisional Final Report</w:t>
            </w:r>
          </w:p>
        </w:tc>
      </w:tr>
      <w:tr w:rsidR="00452B58" w:rsidRPr="00452B58" w14:paraId="349A55AA" w14:textId="77777777" w:rsidTr="00452B58">
        <w:tc>
          <w:tcPr>
            <w:tcW w:w="1560" w:type="dxa"/>
          </w:tcPr>
          <w:p w14:paraId="4B7374C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554" w:type="dxa"/>
          </w:tcPr>
          <w:p w14:paraId="2753AA3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11 July 2022</w:t>
            </w:r>
          </w:p>
        </w:tc>
        <w:tc>
          <w:tcPr>
            <w:tcW w:w="2415" w:type="dxa"/>
          </w:tcPr>
          <w:p w14:paraId="4FB5FB7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137CC4E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1</w:t>
            </w:r>
          </w:p>
        </w:tc>
      </w:tr>
      <w:tr w:rsidR="00452B58" w:rsidRPr="00452B58" w14:paraId="3391241B" w14:textId="77777777" w:rsidTr="00452B58">
        <w:tc>
          <w:tcPr>
            <w:tcW w:w="1560" w:type="dxa"/>
          </w:tcPr>
          <w:p w14:paraId="1FD537B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w:t>
            </w:r>
          </w:p>
        </w:tc>
        <w:tc>
          <w:tcPr>
            <w:tcW w:w="1554" w:type="dxa"/>
          </w:tcPr>
          <w:p w14:paraId="51C85D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 July 2022</w:t>
            </w:r>
          </w:p>
        </w:tc>
        <w:tc>
          <w:tcPr>
            <w:tcW w:w="2415" w:type="dxa"/>
          </w:tcPr>
          <w:p w14:paraId="0EC42D6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170EF31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2</w:t>
            </w:r>
          </w:p>
        </w:tc>
      </w:tr>
      <w:tr w:rsidR="00452B58" w:rsidRPr="00452B58" w14:paraId="78DC2717" w14:textId="77777777" w:rsidTr="00452B58">
        <w:tc>
          <w:tcPr>
            <w:tcW w:w="1560" w:type="dxa"/>
          </w:tcPr>
          <w:p w14:paraId="6222FCB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w:t>
            </w:r>
          </w:p>
        </w:tc>
        <w:tc>
          <w:tcPr>
            <w:tcW w:w="1554" w:type="dxa"/>
          </w:tcPr>
          <w:p w14:paraId="734601A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 August 2022</w:t>
            </w:r>
          </w:p>
        </w:tc>
        <w:tc>
          <w:tcPr>
            <w:tcW w:w="2415" w:type="dxa"/>
          </w:tcPr>
          <w:p w14:paraId="5FBB13B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26F0A44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3</w:t>
            </w:r>
          </w:p>
        </w:tc>
      </w:tr>
      <w:tr w:rsidR="00452B58" w:rsidRPr="00452B58" w14:paraId="01B85ABD" w14:textId="77777777" w:rsidTr="00452B58">
        <w:tc>
          <w:tcPr>
            <w:tcW w:w="1560" w:type="dxa"/>
          </w:tcPr>
          <w:p w14:paraId="30D486A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554" w:type="dxa"/>
          </w:tcPr>
          <w:p w14:paraId="643DB04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12 August 2022</w:t>
            </w:r>
          </w:p>
        </w:tc>
        <w:tc>
          <w:tcPr>
            <w:tcW w:w="2415" w:type="dxa"/>
          </w:tcPr>
          <w:p w14:paraId="2DA0227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735793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4 - Content Restructure</w:t>
            </w:r>
          </w:p>
        </w:tc>
      </w:tr>
      <w:tr w:rsidR="00452B58" w:rsidRPr="00452B58" w14:paraId="123652FF" w14:textId="77777777" w:rsidTr="00452B58">
        <w:tc>
          <w:tcPr>
            <w:tcW w:w="1560" w:type="dxa"/>
          </w:tcPr>
          <w:p w14:paraId="187DB48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554" w:type="dxa"/>
          </w:tcPr>
          <w:p w14:paraId="2983EE9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 August 2022</w:t>
            </w:r>
          </w:p>
        </w:tc>
        <w:tc>
          <w:tcPr>
            <w:tcW w:w="2415" w:type="dxa"/>
          </w:tcPr>
          <w:p w14:paraId="4565339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56799AD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5</w:t>
            </w:r>
          </w:p>
        </w:tc>
      </w:tr>
      <w:tr w:rsidR="00452B58" w:rsidRPr="00452B58" w14:paraId="622D0E56" w14:textId="77777777" w:rsidTr="00452B58">
        <w:tc>
          <w:tcPr>
            <w:tcW w:w="1560" w:type="dxa"/>
          </w:tcPr>
          <w:p w14:paraId="491AC42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w:t>
            </w:r>
          </w:p>
        </w:tc>
        <w:tc>
          <w:tcPr>
            <w:tcW w:w="1554" w:type="dxa"/>
          </w:tcPr>
          <w:p w14:paraId="22E3B28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 September 2022</w:t>
            </w:r>
          </w:p>
        </w:tc>
        <w:tc>
          <w:tcPr>
            <w:tcW w:w="2415" w:type="dxa"/>
          </w:tcPr>
          <w:p w14:paraId="1444E54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321B738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w:t>
            </w:r>
          </w:p>
        </w:tc>
      </w:tr>
      <w:tr w:rsidR="00452B58" w:rsidRPr="00452B58" w14:paraId="6B1BD676" w14:textId="77777777" w:rsidTr="00452B58">
        <w:tc>
          <w:tcPr>
            <w:tcW w:w="1560" w:type="dxa"/>
          </w:tcPr>
          <w:p w14:paraId="758BEDD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11</w:t>
            </w:r>
          </w:p>
        </w:tc>
        <w:tc>
          <w:tcPr>
            <w:tcW w:w="1554" w:type="dxa"/>
          </w:tcPr>
          <w:p w14:paraId="142FD02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 September 2022</w:t>
            </w:r>
          </w:p>
        </w:tc>
        <w:tc>
          <w:tcPr>
            <w:tcW w:w="2415" w:type="dxa"/>
          </w:tcPr>
          <w:p w14:paraId="0950746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6E8E7B4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 with Dept. Analysis</w:t>
            </w:r>
          </w:p>
        </w:tc>
      </w:tr>
      <w:tr w:rsidR="00452B58" w:rsidRPr="00452B58" w14:paraId="7DE0D838" w14:textId="77777777" w:rsidTr="00452B58">
        <w:tc>
          <w:tcPr>
            <w:tcW w:w="1560" w:type="dxa"/>
          </w:tcPr>
          <w:p w14:paraId="25FF695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12</w:t>
            </w:r>
          </w:p>
        </w:tc>
        <w:tc>
          <w:tcPr>
            <w:tcW w:w="1554" w:type="dxa"/>
          </w:tcPr>
          <w:p w14:paraId="527863C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 October 2022</w:t>
            </w:r>
          </w:p>
        </w:tc>
        <w:tc>
          <w:tcPr>
            <w:tcW w:w="2415" w:type="dxa"/>
          </w:tcPr>
          <w:p w14:paraId="6F97AB5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14:paraId="28952C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 with further adjustments</w:t>
            </w:r>
          </w:p>
        </w:tc>
      </w:tr>
      <w:bookmarkEnd w:id="195"/>
    </w:tbl>
    <w:p w14:paraId="195C743B"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0AE3B7D4" w14:textId="77777777" w:rsidR="00452B58" w:rsidRPr="00452B58" w:rsidRDefault="00452B58" w:rsidP="00F2517A">
      <w:pPr>
        <w:pStyle w:val="ARRBBaseHeadingnonTOC"/>
      </w:pPr>
      <w:r w:rsidRPr="00452B58">
        <w:t>Summary</w:t>
      </w:r>
    </w:p>
    <w:p w14:paraId="365460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project undertook an analysis of the costs and benefits of four proposed options for amendments to Australian Design Rules (ADR) allowing for wider freight vehicles (&gt; 2.50 m) accompanied by the mandating of safety feature technologies for these wider models.</w:t>
      </w:r>
    </w:p>
    <w:p w14:paraId="5DF96BD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Principles adopted in this assessment follow the guidance provided in the following documents:</w:t>
      </w:r>
    </w:p>
    <w:p w14:paraId="44AC0A3A" w14:textId="77777777" w:rsidR="00452B58" w:rsidRPr="00452B58" w:rsidRDefault="00452B58" w:rsidP="00452B58">
      <w:pPr>
        <w:pStyle w:val="ARRBBulletLevel1"/>
      </w:pPr>
      <w:r w:rsidRPr="00452B58">
        <w:rPr>
          <w:i/>
          <w:iCs/>
        </w:rPr>
        <w:t>O7 Cost Benefit Analysis of Transport Regulatory Initiatives</w:t>
      </w:r>
      <w:r w:rsidRPr="00452B58">
        <w:t xml:space="preserve"> – a guideline for economic evaluations of regulatory changes in the transport sector issued by the Australian Transport Assessment and Planning (ATAP) in October 2020. </w:t>
      </w:r>
    </w:p>
    <w:p w14:paraId="17112019" w14:textId="77777777" w:rsidR="00452B58" w:rsidRPr="00452B58" w:rsidRDefault="00452B58" w:rsidP="00452B58">
      <w:pPr>
        <w:pStyle w:val="ARRBBulletLevel1"/>
      </w:pPr>
      <w:r w:rsidRPr="00452B58">
        <w:t>OBPR Guidelines (2020) in relation to broader principles of undertaking BCAs for the purposes of supporting Regulatory Impact Statements (RIS).</w:t>
      </w:r>
    </w:p>
    <w:p w14:paraId="07092E6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BCA is based on the incremental changes in costs and benefits caused by the proposed ADR changes, which are described in two regulatory packages: </w:t>
      </w:r>
    </w:p>
    <w:p w14:paraId="06471984" w14:textId="77777777" w:rsidR="00452B58" w:rsidRPr="00452B58" w:rsidRDefault="00452B58" w:rsidP="00452B58">
      <w:pPr>
        <w:pStyle w:val="ARRBBulletLevel1"/>
      </w:pPr>
      <w:r w:rsidRPr="00452B58">
        <w:rPr>
          <w:b/>
        </w:rPr>
        <w:t>Regulatory Package 2</w:t>
      </w:r>
      <w:r w:rsidRPr="00452B58">
        <w:t xml:space="preserve"> (Safer Freight Vehicles Amendment No 2, 2021) includes both new definitions and amendments to existing definitions related to determining vehicle dimensions when particular safety features that protrude from the body of the vehicle are installed. The effect of this regulatory package relevant to this analysis is to exclude these devices from the measurement of the vehicle width. </w:t>
      </w:r>
    </w:p>
    <w:p w14:paraId="70AA917A" w14:textId="77777777" w:rsidR="00452B58" w:rsidRPr="00452B58" w:rsidRDefault="00452B58" w:rsidP="00452B58">
      <w:pPr>
        <w:pStyle w:val="ARRBBulletLevel1"/>
      </w:pPr>
      <w:r w:rsidRPr="00452B58">
        <w:rPr>
          <w:b/>
        </w:rPr>
        <w:t>Regulatory Package 3</w:t>
      </w:r>
      <w:r w:rsidRPr="00452B58">
        <w:t xml:space="preserve"> (Safer Freight Vehicles Amendment No. 3 2021) includes amendments to relax the current 2.50 m width requirement to 2.55 or 2.60 m for both heavy vehicles (&gt; 4.5 tonnes tare weight) and heavy trailers (&gt; 4.5 tonnes tare weight). </w:t>
      </w:r>
    </w:p>
    <w:p w14:paraId="5A9BDBD2" w14:textId="77777777" w:rsidR="00452B58" w:rsidRPr="00452B58" w:rsidRDefault="00452B58" w:rsidP="00452B58">
      <w:pPr>
        <w:pStyle w:val="ARRBBulletLevel1"/>
      </w:pPr>
      <w:r w:rsidRPr="00452B58">
        <w:t>The effect of both proposed regulatory packages is to allow heavy vehicles and trailers to increase from 2.50 m to 2.55 or 2.6 m if they are fitted with a set of mandatory safety features.</w:t>
      </w:r>
    </w:p>
    <w:p w14:paraId="284CF3B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options for the amendments are:</w:t>
      </w:r>
    </w:p>
    <w:p w14:paraId="2B2E6097" w14:textId="77777777" w:rsidR="00452B58" w:rsidRPr="00452B58" w:rsidRDefault="00452B58" w:rsidP="00452B58">
      <w:pPr>
        <w:pStyle w:val="ARRBBulletLevel1"/>
      </w:pPr>
      <w:r w:rsidRPr="00452B58">
        <w:rPr>
          <w:b/>
          <w:bCs/>
          <w:color w:val="00A1DE"/>
        </w:rPr>
        <w:t>Option 1</w:t>
      </w:r>
      <w:r w:rsidRPr="00452B58">
        <w:rPr>
          <w:color w:val="00A1DE"/>
        </w:rPr>
        <w:tab/>
      </w:r>
      <w:r w:rsidRPr="00452B58">
        <w:t>Width limit of 2.55 m for goods vehicles and trailers over 4.5 tonnes</w:t>
      </w:r>
    </w:p>
    <w:p w14:paraId="2D3C41AB" w14:textId="77777777" w:rsidR="00452B58" w:rsidRPr="00452B58" w:rsidRDefault="00452B58" w:rsidP="00452B58">
      <w:pPr>
        <w:pStyle w:val="ARRBBulletLevel1"/>
      </w:pPr>
      <w:r w:rsidRPr="00452B58">
        <w:rPr>
          <w:b/>
          <w:bCs/>
          <w:color w:val="00A1DE"/>
        </w:rPr>
        <w:t>Option 2</w:t>
      </w:r>
      <w:r w:rsidRPr="00452B58">
        <w:rPr>
          <w:color w:val="00A1DE"/>
        </w:rPr>
        <w:tab/>
      </w:r>
      <w:r w:rsidRPr="00452B58">
        <w:t>Width limit of 2.55 m for goods vehicles over 4.5 tonnes only</w:t>
      </w:r>
    </w:p>
    <w:p w14:paraId="7BB01B87" w14:textId="77777777" w:rsidR="00452B58" w:rsidRPr="00452B58" w:rsidRDefault="00452B58" w:rsidP="00452B58">
      <w:pPr>
        <w:pStyle w:val="ARRBBulletLevel1"/>
      </w:pPr>
      <w:r w:rsidRPr="00452B58">
        <w:rPr>
          <w:b/>
          <w:bCs/>
          <w:color w:val="00A1DE"/>
        </w:rPr>
        <w:t>Option 3</w:t>
      </w:r>
      <w:r w:rsidRPr="00452B58">
        <w:rPr>
          <w:color w:val="00A1DE"/>
        </w:rPr>
        <w:tab/>
      </w:r>
      <w:r w:rsidRPr="00452B58">
        <w:t>Width limit of 2.60 m for goods vehicles and trailers over 4.5 tonnes</w:t>
      </w:r>
    </w:p>
    <w:p w14:paraId="2E1D0527" w14:textId="77777777" w:rsidR="00452B58" w:rsidRPr="00452B58" w:rsidRDefault="00452B58" w:rsidP="00452B58">
      <w:pPr>
        <w:pStyle w:val="ARRBBulletLevel1"/>
      </w:pPr>
      <w:r w:rsidRPr="00452B58">
        <w:rPr>
          <w:b/>
          <w:bCs/>
          <w:color w:val="00A1DE"/>
        </w:rPr>
        <w:t>Option 4</w:t>
      </w:r>
      <w:r w:rsidRPr="00452B58">
        <w:rPr>
          <w:color w:val="00A1DE"/>
        </w:rPr>
        <w:tab/>
      </w:r>
      <w:r w:rsidRPr="00452B58">
        <w:t>Width limit of 2.60 m for goods vehicles over 4.5 tonnes only.</w:t>
      </w:r>
    </w:p>
    <w:p w14:paraId="2A5B6D6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four BCA analyses are to include seven mandated safety features:</w:t>
      </w:r>
    </w:p>
    <w:p w14:paraId="1081DAA6" w14:textId="68444DFD" w:rsidR="00452B58" w:rsidRDefault="00452B58" w:rsidP="0001274E">
      <w:pPr>
        <w:pStyle w:val="ARRBBulletLevel1"/>
        <w:spacing w:after="0"/>
      </w:pPr>
      <w:r w:rsidRPr="00452B58">
        <w:rPr>
          <w:b/>
          <w:bCs/>
          <w:color w:val="00A1DE"/>
        </w:rPr>
        <w:t>Devices for indirect vision</w:t>
      </w:r>
      <w:r w:rsidRPr="00452B58">
        <w:rPr>
          <w:color w:val="00A1DE"/>
        </w:rPr>
        <w:t xml:space="preserve"> – </w:t>
      </w:r>
      <w:r w:rsidRPr="00452B58">
        <w:t>Mirrors and/or camera systems designed to increase a driver’s field of view.</w:t>
      </w:r>
    </w:p>
    <w:tbl>
      <w:tblPr>
        <w:tblStyle w:val="TableGrid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0" w:type="dxa"/>
          <w:right w:w="0" w:type="dxa"/>
        </w:tblCellMar>
        <w:tblLook w:val="04A0" w:firstRow="1" w:lastRow="0" w:firstColumn="1" w:lastColumn="0" w:noHBand="0" w:noVBand="1"/>
      </w:tblPr>
      <w:tblGrid>
        <w:gridCol w:w="9638"/>
      </w:tblGrid>
      <w:tr w:rsidR="0001274E" w:rsidRPr="00452B58" w14:paraId="6EABD7F5" w14:textId="77777777" w:rsidTr="00C63FCA">
        <w:tc>
          <w:tcPr>
            <w:tcW w:w="5000" w:type="pct"/>
            <w:vAlign w:val="bottom"/>
          </w:tcPr>
          <w:p w14:paraId="457E46F8" w14:textId="77777777" w:rsidR="0001274E" w:rsidRPr="00452B58" w:rsidRDefault="0001274E" w:rsidP="00C63FCA">
            <w:pPr>
              <w:keepNext/>
              <w:suppressAutoHyphens w:val="0"/>
              <w:spacing w:before="0" w:after="120"/>
              <w:outlineLvl w:val="0"/>
              <w:rPr>
                <w:rFonts w:ascii="Arial Bold" w:eastAsia="Calibri" w:hAnsi="Arial Bold" w:cs="Times New Roman"/>
                <w:color w:val="00A1DE"/>
                <w:kern w:val="0"/>
                <w:sz w:val="28"/>
                <w:szCs w:val="22"/>
              </w:rPr>
            </w:pPr>
            <w:r w:rsidRPr="00452B58">
              <w:rPr>
                <w:rFonts w:ascii="Arial Bold" w:eastAsia="Calibri" w:hAnsi="Arial Bold" w:cs="Times New Roman"/>
                <w:color w:val="00A1DE"/>
                <w:kern w:val="0"/>
                <w:sz w:val="28"/>
                <w:szCs w:val="22"/>
              </w:rPr>
              <w:t>Acknowledgements</w:t>
            </w:r>
          </w:p>
          <w:p w14:paraId="18757F93" w14:textId="77777777" w:rsidR="0001274E" w:rsidRPr="00452B58" w:rsidRDefault="0001274E" w:rsidP="00C63FCA">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ARRB would like to acknowledge the Truck Industry Council (TIC), the Australian Trucking Association (ATA), Heavy Vehicle Industry Australia (HVIA), and 3M for their assistance in providing data for this analysis.</w:t>
            </w:r>
          </w:p>
        </w:tc>
      </w:tr>
      <w:tr w:rsidR="0001274E" w:rsidRPr="00452B58" w14:paraId="2CC978D9" w14:textId="77777777" w:rsidTr="00C63FCA">
        <w:tc>
          <w:tcPr>
            <w:tcW w:w="5000" w:type="pct"/>
            <w:vAlign w:val="bottom"/>
          </w:tcPr>
          <w:p w14:paraId="5188BCA0"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Although the report is believed to be correct at the time of publication, the Australian Road Research Board,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p w14:paraId="05B93240"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p>
        </w:tc>
      </w:tr>
      <w:tr w:rsidR="0001274E" w:rsidRPr="00452B58" w14:paraId="086DD6E9" w14:textId="77777777" w:rsidTr="00C63FCA">
        <w:tc>
          <w:tcPr>
            <w:tcW w:w="5000" w:type="pct"/>
            <w:vAlign w:val="bottom"/>
          </w:tcPr>
          <w:p w14:paraId="482DEE21" w14:textId="77777777" w:rsidR="0001274E" w:rsidRPr="00452B58" w:rsidRDefault="0001274E" w:rsidP="00C63FCA">
            <w:pPr>
              <w:suppressAutoHyphens w:val="0"/>
              <w:spacing w:before="0" w:after="120"/>
              <w:jc w:val="center"/>
              <w:rPr>
                <w:rFonts w:ascii="Arial" w:eastAsia="Calibri" w:hAnsi="Arial" w:cs="Times New Roman"/>
                <w:color w:val="00A1DE"/>
                <w:kern w:val="0"/>
                <w:sz w:val="14"/>
                <w:szCs w:val="22"/>
              </w:rPr>
            </w:pPr>
            <w:r w:rsidRPr="00452B58">
              <w:rPr>
                <w:rFonts w:ascii="Arial" w:eastAsia="Calibri" w:hAnsi="Arial" w:cs="Times New Roman"/>
                <w:color w:val="00A1DE"/>
                <w:kern w:val="0"/>
                <w:sz w:val="14"/>
                <w:szCs w:val="22"/>
              </w:rPr>
              <w:t>ARRB – YOUR NATIONAL TRANSPORT RESEARCH ORGANISATION</w:t>
            </w:r>
          </w:p>
          <w:p w14:paraId="251544E7"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ABN 68 004 620 651</w:t>
            </w:r>
          </w:p>
          <w:p w14:paraId="3C010E63"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National Transport Research Centre and Head Office: 80a Turner St, Port Melbourne, 3207 VIC, Australia</w:t>
            </w:r>
          </w:p>
          <w:p w14:paraId="0F91B5D9"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With offices in Brisbane, Sydney, Adelaide, Perth.</w:t>
            </w:r>
          </w:p>
          <w:p w14:paraId="63F9FD0D" w14:textId="77777777" w:rsidR="0001274E" w:rsidRPr="00452B58" w:rsidRDefault="0001274E" w:rsidP="00C63FCA">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arrb.com.au</w:t>
            </w:r>
          </w:p>
        </w:tc>
      </w:tr>
    </w:tbl>
    <w:p w14:paraId="1F70CD3C" w14:textId="77777777" w:rsidR="0001274E" w:rsidRPr="00452B58" w:rsidRDefault="0001274E" w:rsidP="0001274E">
      <w:pPr>
        <w:pStyle w:val="ARRBBulletLevel1"/>
        <w:numPr>
          <w:ilvl w:val="0"/>
          <w:numId w:val="0"/>
        </w:numPr>
      </w:pPr>
    </w:p>
    <w:p w14:paraId="60ADC2EE" w14:textId="77777777" w:rsidR="00452B58" w:rsidRPr="00452B58" w:rsidRDefault="00452B58" w:rsidP="00452B58">
      <w:pPr>
        <w:pStyle w:val="ARRBBulletLevel1"/>
      </w:pPr>
      <w:r w:rsidRPr="00452B58">
        <w:rPr>
          <w:b/>
          <w:bCs/>
          <w:color w:val="00A1DE"/>
        </w:rPr>
        <w:t>Commercial vehicle brake systems</w:t>
      </w:r>
      <w:r w:rsidRPr="00452B58">
        <w:rPr>
          <w:color w:val="00A1DE"/>
        </w:rPr>
        <w:t xml:space="preserve"> – </w:t>
      </w:r>
      <w:r w:rsidRPr="00452B58">
        <w:t xml:space="preserve">Automated systems to detect unsafe turning performance and apply braking. </w:t>
      </w:r>
    </w:p>
    <w:p w14:paraId="051C203F" w14:textId="77777777" w:rsidR="00452B58" w:rsidRPr="00452B58" w:rsidRDefault="00452B58" w:rsidP="00452B58">
      <w:pPr>
        <w:pStyle w:val="ARRBBulletLevel1"/>
      </w:pPr>
      <w:r w:rsidRPr="00452B58">
        <w:rPr>
          <w:b/>
          <w:bCs/>
          <w:color w:val="00A1DE"/>
        </w:rPr>
        <w:t>Advanced emergency braking systems</w:t>
      </w:r>
      <w:r w:rsidRPr="00452B58">
        <w:rPr>
          <w:color w:val="00A1DE"/>
        </w:rPr>
        <w:t xml:space="preserve"> – </w:t>
      </w:r>
      <w:r w:rsidRPr="00452B58">
        <w:t>Automated systems to apply braking when risk of a forward collision is detected.</w:t>
      </w:r>
    </w:p>
    <w:p w14:paraId="230DC710" w14:textId="77777777" w:rsidR="00452B58" w:rsidRPr="00452B58" w:rsidRDefault="00452B58" w:rsidP="00452B58">
      <w:pPr>
        <w:pStyle w:val="ARRBBulletLevel1"/>
      </w:pPr>
      <w:r w:rsidRPr="00452B58">
        <w:rPr>
          <w:b/>
          <w:bCs/>
          <w:color w:val="00A1DE"/>
        </w:rPr>
        <w:t>Lane departure warning systems</w:t>
      </w:r>
      <w:r w:rsidRPr="00452B58">
        <w:rPr>
          <w:color w:val="00A1DE"/>
        </w:rPr>
        <w:t xml:space="preserve"> – </w:t>
      </w:r>
      <w:r w:rsidRPr="00452B58">
        <w:t>Alert systems to inform a driver when the vehicle is drifting out of the marked lane.</w:t>
      </w:r>
    </w:p>
    <w:p w14:paraId="629A70CD" w14:textId="77777777" w:rsidR="00452B58" w:rsidRPr="00452B58" w:rsidRDefault="00452B58" w:rsidP="00452B58">
      <w:pPr>
        <w:pStyle w:val="ARRBBulletLevel1"/>
      </w:pPr>
      <w:r w:rsidRPr="00452B58">
        <w:rPr>
          <w:b/>
          <w:bCs/>
          <w:color w:val="00A1DE"/>
        </w:rPr>
        <w:t>Blind spot information systems</w:t>
      </w:r>
      <w:r w:rsidRPr="00452B58">
        <w:rPr>
          <w:color w:val="00A1DE"/>
        </w:rPr>
        <w:t xml:space="preserve"> – </w:t>
      </w:r>
      <w:r w:rsidRPr="00452B58">
        <w:t>Detection and alert systems for areas outside of the driver’s field on view.</w:t>
      </w:r>
    </w:p>
    <w:p w14:paraId="59E646F5" w14:textId="77777777" w:rsidR="00452B58" w:rsidRPr="00452B58" w:rsidRDefault="00452B58" w:rsidP="00452B58">
      <w:pPr>
        <w:pStyle w:val="ARRBBulletLevel1"/>
      </w:pPr>
      <w:r w:rsidRPr="00452B58">
        <w:rPr>
          <w:b/>
          <w:bCs/>
          <w:color w:val="00A1DE"/>
        </w:rPr>
        <w:t>Side underrun protection</w:t>
      </w:r>
      <w:r w:rsidRPr="00452B58">
        <w:rPr>
          <w:color w:val="00A1DE"/>
        </w:rPr>
        <w:t xml:space="preserve"> – </w:t>
      </w:r>
      <w:r w:rsidRPr="00452B58">
        <w:t>Physical barriers to prevent motorcyclists/cyclists/pedestrians falling under the vehicle or trailer.</w:t>
      </w:r>
    </w:p>
    <w:p w14:paraId="723D00B7" w14:textId="77777777" w:rsidR="00452B58" w:rsidRPr="00452B58" w:rsidRDefault="00452B58" w:rsidP="00452B58">
      <w:pPr>
        <w:pStyle w:val="ARRBBulletLevel1"/>
      </w:pPr>
      <w:proofErr w:type="spellStart"/>
      <w:r w:rsidRPr="00452B58">
        <w:rPr>
          <w:b/>
          <w:bCs/>
          <w:color w:val="00A1DE"/>
        </w:rPr>
        <w:t>Conspicuity</w:t>
      </w:r>
      <w:proofErr w:type="spellEnd"/>
      <w:r w:rsidRPr="00452B58">
        <w:rPr>
          <w:b/>
          <w:bCs/>
          <w:color w:val="00A1DE"/>
        </w:rPr>
        <w:t xml:space="preserve"> markings</w:t>
      </w:r>
      <w:r w:rsidRPr="00452B58">
        <w:rPr>
          <w:color w:val="00A1DE"/>
        </w:rPr>
        <w:t xml:space="preserve"> – </w:t>
      </w:r>
      <w:r w:rsidRPr="00452B58">
        <w:t>Reflective material designed to increase the visibility of the vehicle or trailer in low light conditions.</w:t>
      </w:r>
    </w:p>
    <w:p w14:paraId="295152E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analysis period in all cases was for 40 years beginning in 2023, with a 15-year regulatory period. Vehicle life was assumed to be 25 years. </w:t>
      </w:r>
    </w:p>
    <w:p w14:paraId="2FE673CF" w14:textId="14D29CB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196" w:name="_Toc117646431"/>
      <w:r w:rsidRPr="00452B58">
        <w:rPr>
          <w:rFonts w:ascii="Calibri" w:eastAsia="Calibri" w:hAnsi="Calibri" w:cs="Times New Roman"/>
          <w:b/>
          <w:bCs/>
          <w:color w:val="67696A"/>
          <w:kern w:val="0"/>
          <w:sz w:val="18"/>
          <w:szCs w:val="22"/>
        </w:rPr>
        <w:t>Figure S.</w:t>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color w:val="67696A"/>
          <w:kern w:val="0"/>
          <w:sz w:val="18"/>
          <w:szCs w:val="22"/>
        </w:rPr>
        <w:tab/>
        <w:t>Analysis period showing the fleet of vehicles in the analysis</w:t>
      </w:r>
      <w:bookmarkEnd w:id="196"/>
    </w:p>
    <w:p w14:paraId="36F5AAC2"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50C2CACE" wp14:editId="046560B9">
            <wp:extent cx="6120130" cy="2477876"/>
            <wp:effectExtent l="0" t="0" r="0" b="0"/>
            <wp:docPr id="2780" name="Picture 2780" descr="Diagram showing the number of 2023 regulation compliant vehicles from 2023 to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6120130" cy="2477876"/>
                    </a:xfrm>
                    <a:prstGeom prst="rect">
                      <a:avLst/>
                    </a:prstGeom>
                    <a:noFill/>
                    <a:ln>
                      <a:noFill/>
                    </a:ln>
                  </pic:spPr>
                </pic:pic>
              </a:graphicData>
            </a:graphic>
          </wp:inline>
        </w:drawing>
      </w:r>
    </w:p>
    <w:p w14:paraId="09A4B72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key benefits of the analysis included:</w:t>
      </w:r>
    </w:p>
    <w:p w14:paraId="0F135BD7" w14:textId="77777777" w:rsidR="00452B58" w:rsidRPr="00452B58" w:rsidRDefault="00452B58" w:rsidP="00452B58">
      <w:pPr>
        <w:pStyle w:val="ARRBBulletLevel1"/>
      </w:pPr>
      <w:r w:rsidRPr="00452B58">
        <w:t>overseas manufacturers no longer needing to adapt 2.50 m models for the Australian market</w:t>
      </w:r>
    </w:p>
    <w:p w14:paraId="74B70691" w14:textId="77777777" w:rsidR="00452B58" w:rsidRPr="00452B58" w:rsidRDefault="00452B58" w:rsidP="00452B58">
      <w:pPr>
        <w:pStyle w:val="ARRBBulletLevel1"/>
      </w:pPr>
      <w:r w:rsidRPr="00452B58">
        <w:t xml:space="preserve">productivity benefits conferred by: </w:t>
      </w:r>
    </w:p>
    <w:p w14:paraId="2C83E31C" w14:textId="77777777" w:rsidR="00452B58" w:rsidRPr="00452B58" w:rsidRDefault="00452B58" w:rsidP="00452B58">
      <w:pPr>
        <w:pStyle w:val="ARRBBulletLevel2"/>
      </w:pPr>
      <w:r w:rsidRPr="00452B58">
        <w:t>increased payload volume (where commodities are not already mass-limited)</w:t>
      </w:r>
    </w:p>
    <w:p w14:paraId="5AAC7B84" w14:textId="77777777" w:rsidR="00452B58" w:rsidRPr="00452B58" w:rsidRDefault="00452B58" w:rsidP="00452B58">
      <w:pPr>
        <w:pStyle w:val="ARRBBulletLevel2"/>
      </w:pPr>
      <w:r w:rsidRPr="00452B58">
        <w:t>ease of loading/unloading</w:t>
      </w:r>
    </w:p>
    <w:p w14:paraId="260B68B2" w14:textId="77777777" w:rsidR="00452B58" w:rsidRPr="00452B58" w:rsidRDefault="00452B58" w:rsidP="00452B58">
      <w:pPr>
        <w:pStyle w:val="ARRBBulletLevel2"/>
      </w:pPr>
      <w:r w:rsidRPr="00452B58">
        <w:t>thermal efficiency of refrigerated vehicles (leading to lower vehicle operating costs)</w:t>
      </w:r>
    </w:p>
    <w:p w14:paraId="1EBC442A" w14:textId="77777777" w:rsidR="00452B58" w:rsidRPr="00452B58" w:rsidRDefault="00452B58" w:rsidP="00452B58">
      <w:pPr>
        <w:pStyle w:val="ARRBBulletLevel1"/>
      </w:pPr>
      <w:r w:rsidRPr="00452B58">
        <w:t>reduced vehicle trips resulting in:</w:t>
      </w:r>
    </w:p>
    <w:p w14:paraId="378FCE62" w14:textId="77777777" w:rsidR="00452B58" w:rsidRPr="00452B58" w:rsidRDefault="00452B58" w:rsidP="00452B58">
      <w:pPr>
        <w:pStyle w:val="ARRBBulletLevel2"/>
      </w:pPr>
      <w:r w:rsidRPr="00452B58">
        <w:t>reduced crash risk</w:t>
      </w:r>
    </w:p>
    <w:p w14:paraId="22ED5840" w14:textId="77777777" w:rsidR="00452B58" w:rsidRPr="00452B58" w:rsidRDefault="00452B58" w:rsidP="00452B58">
      <w:pPr>
        <w:pStyle w:val="ARRBBulletLevel2"/>
      </w:pPr>
      <w:r w:rsidRPr="00452B58">
        <w:t>reduced greenhouse gas emissions</w:t>
      </w:r>
    </w:p>
    <w:p w14:paraId="065F5024" w14:textId="77777777" w:rsidR="00452B58" w:rsidRPr="00452B58" w:rsidRDefault="00452B58" w:rsidP="00452B58">
      <w:pPr>
        <w:pStyle w:val="ARRBBulletLevel2"/>
      </w:pPr>
      <w:r w:rsidRPr="00452B58">
        <w:t>reduced pavement maintenance</w:t>
      </w:r>
    </w:p>
    <w:p w14:paraId="11923419" w14:textId="77777777" w:rsidR="00452B58" w:rsidRPr="00452B58" w:rsidRDefault="00452B58" w:rsidP="00452B58">
      <w:pPr>
        <w:pStyle w:val="ARRBBulletLevel1"/>
      </w:pPr>
      <w:r w:rsidRPr="00452B58">
        <w:t>reduced crash risk due to mandated safety features.</w:t>
      </w:r>
    </w:p>
    <w:p w14:paraId="30E54D5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Key costs included:</w:t>
      </w:r>
    </w:p>
    <w:p w14:paraId="67D4ED87" w14:textId="77777777" w:rsidR="00452B58" w:rsidRPr="00452B58" w:rsidRDefault="00452B58" w:rsidP="00452B58">
      <w:pPr>
        <w:pStyle w:val="ARRBBulletLevel1"/>
      </w:pPr>
      <w:r w:rsidRPr="00452B58">
        <w:t>regulatory costs</w:t>
      </w:r>
    </w:p>
    <w:p w14:paraId="6EA93599" w14:textId="77777777" w:rsidR="00452B58" w:rsidRPr="00452B58" w:rsidRDefault="00452B58" w:rsidP="00452B58">
      <w:pPr>
        <w:pStyle w:val="ARRBBulletLevel1"/>
      </w:pPr>
      <w:r w:rsidRPr="00452B58">
        <w:t>modification costs for local manufacturing industry</w:t>
      </w:r>
    </w:p>
    <w:p w14:paraId="6C7A1B73" w14:textId="77777777" w:rsidR="00452B58" w:rsidRPr="00452B58" w:rsidRDefault="00452B58" w:rsidP="00452B58">
      <w:pPr>
        <w:pStyle w:val="ARRBBulletLevel1"/>
      </w:pPr>
      <w:r w:rsidRPr="00452B58">
        <w:t>safety feature fitment and maintenance costs</w:t>
      </w:r>
    </w:p>
    <w:p w14:paraId="237C0822" w14:textId="77777777" w:rsidR="00452B58" w:rsidRPr="00452B58" w:rsidRDefault="00452B58" w:rsidP="00452B58">
      <w:pPr>
        <w:pStyle w:val="ARRBBulletLevel1"/>
      </w:pPr>
      <w:r w:rsidRPr="00452B58">
        <w:t>voluntary infrastructure updates to increase safety margins for wider vehicles at intersections.</w:t>
      </w:r>
    </w:p>
    <w:p w14:paraId="6850D5D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outcomes of the analysis showed a productivity benefit in all cases (Table S.1).</w:t>
      </w:r>
    </w:p>
    <w:p w14:paraId="0028A2FA" w14:textId="1074119A"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197" w:name="_Toc117646405"/>
      <w:r w:rsidRPr="00452B58">
        <w:rPr>
          <w:rFonts w:ascii="Calibri" w:eastAsia="Calibri" w:hAnsi="Calibri" w:cs="Times New Roman"/>
          <w:b/>
          <w:bCs/>
          <w:color w:val="67696A"/>
          <w:kern w:val="0"/>
          <w:sz w:val="18"/>
          <w:szCs w:val="22"/>
        </w:rPr>
        <w:t>Table S.</w:t>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Vehicle widening options with mandated safety features</w:t>
      </w:r>
      <w:bookmarkEnd w:id="197"/>
    </w:p>
    <w:tbl>
      <w:tblPr>
        <w:tblStyle w:val="ARRBTableStyle"/>
        <w:tblW w:w="9638" w:type="dxa"/>
        <w:tblLook w:val="04A0" w:firstRow="1" w:lastRow="0" w:firstColumn="1" w:lastColumn="0" w:noHBand="0" w:noVBand="1"/>
      </w:tblPr>
      <w:tblGrid>
        <w:gridCol w:w="1553"/>
        <w:gridCol w:w="1998"/>
        <w:gridCol w:w="2091"/>
        <w:gridCol w:w="1998"/>
        <w:gridCol w:w="1998"/>
      </w:tblGrid>
      <w:tr w:rsidR="00452B58" w:rsidRPr="00452B58" w14:paraId="335C95B5"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553" w:type="dxa"/>
            <w:noWrap/>
          </w:tcPr>
          <w:p w14:paraId="32010CB0" w14:textId="77777777" w:rsidR="00452B58" w:rsidRPr="00452B58" w:rsidRDefault="00452B58" w:rsidP="00452B58">
            <w:pPr>
              <w:keepNext/>
              <w:suppressAutoHyphens w:val="0"/>
              <w:spacing w:before="40" w:after="40"/>
              <w:jc w:val="center"/>
              <w:rPr>
                <w:rFonts w:eastAsia="Calibri"/>
                <w:kern w:val="0"/>
                <w:szCs w:val="22"/>
                <w:lang w:eastAsia="en-AU"/>
              </w:rPr>
            </w:pPr>
          </w:p>
        </w:tc>
        <w:tc>
          <w:tcPr>
            <w:tcW w:w="1998" w:type="dxa"/>
            <w:noWrap/>
          </w:tcPr>
          <w:p w14:paraId="6D509ACC"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r w:rsidRPr="00452B58">
              <w:rPr>
                <w:rFonts w:eastAsia="Calibri"/>
                <w:kern w:val="0"/>
                <w:szCs w:val="22"/>
                <w:lang w:eastAsia="en-AU"/>
              </w:rPr>
              <w:br/>
              <w:t>2.55 m</w:t>
            </w:r>
            <w:r w:rsidRPr="00452B58">
              <w:rPr>
                <w:rFonts w:eastAsia="Calibri"/>
                <w:kern w:val="0"/>
                <w:szCs w:val="22"/>
                <w:lang w:eastAsia="en-AU"/>
              </w:rPr>
              <w:br/>
              <w:t>Vehicle and trailer</w:t>
            </w:r>
          </w:p>
        </w:tc>
        <w:tc>
          <w:tcPr>
            <w:tcW w:w="2091" w:type="dxa"/>
          </w:tcPr>
          <w:p w14:paraId="484F6AB0"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r w:rsidRPr="00452B58">
              <w:rPr>
                <w:rFonts w:eastAsia="Calibri"/>
                <w:kern w:val="0"/>
                <w:szCs w:val="22"/>
                <w:lang w:eastAsia="en-AU"/>
              </w:rPr>
              <w:br/>
              <w:t>2.55 m</w:t>
            </w:r>
            <w:r w:rsidRPr="00452B58">
              <w:rPr>
                <w:rFonts w:eastAsia="Calibri"/>
                <w:kern w:val="0"/>
                <w:szCs w:val="22"/>
                <w:lang w:eastAsia="en-AU"/>
              </w:rPr>
              <w:br/>
              <w:t>Vehicle only</w:t>
            </w:r>
          </w:p>
        </w:tc>
        <w:tc>
          <w:tcPr>
            <w:tcW w:w="1998" w:type="dxa"/>
          </w:tcPr>
          <w:p w14:paraId="29BCAF0A"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r w:rsidRPr="00452B58">
              <w:rPr>
                <w:rFonts w:eastAsia="Calibri"/>
                <w:kern w:val="0"/>
                <w:szCs w:val="22"/>
                <w:lang w:eastAsia="en-AU"/>
              </w:rPr>
              <w:br/>
              <w:t>2.60 m</w:t>
            </w:r>
            <w:r w:rsidRPr="00452B58">
              <w:rPr>
                <w:rFonts w:eastAsia="Calibri"/>
                <w:kern w:val="0"/>
                <w:szCs w:val="22"/>
                <w:lang w:eastAsia="en-AU"/>
              </w:rPr>
              <w:br/>
              <w:t>Vehicle and trailer</w:t>
            </w:r>
          </w:p>
        </w:tc>
        <w:tc>
          <w:tcPr>
            <w:tcW w:w="1998" w:type="dxa"/>
          </w:tcPr>
          <w:p w14:paraId="4693E8F3"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r w:rsidRPr="00452B58">
              <w:rPr>
                <w:rFonts w:eastAsia="Calibri"/>
                <w:kern w:val="0"/>
                <w:szCs w:val="22"/>
                <w:lang w:eastAsia="en-AU"/>
              </w:rPr>
              <w:br/>
              <w:t>2.60 m</w:t>
            </w:r>
            <w:r w:rsidRPr="00452B58">
              <w:rPr>
                <w:rFonts w:eastAsia="Calibri"/>
                <w:kern w:val="0"/>
                <w:szCs w:val="22"/>
                <w:lang w:eastAsia="en-AU"/>
              </w:rPr>
              <w:br/>
              <w:t>Vehicle only</w:t>
            </w:r>
          </w:p>
        </w:tc>
      </w:tr>
      <w:tr w:rsidR="00452B58" w:rsidRPr="00452B58" w14:paraId="5E1C2774" w14:textId="77777777" w:rsidTr="00452B58">
        <w:trPr>
          <w:trHeight w:val="300"/>
        </w:trPr>
        <w:tc>
          <w:tcPr>
            <w:tcW w:w="1553" w:type="dxa"/>
            <w:noWrap/>
          </w:tcPr>
          <w:p w14:paraId="01E81C0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BCR</w:t>
            </w:r>
          </w:p>
        </w:tc>
        <w:tc>
          <w:tcPr>
            <w:tcW w:w="1998" w:type="dxa"/>
            <w:noWrap/>
          </w:tcPr>
          <w:p w14:paraId="4087A86F"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3.0</w:t>
            </w:r>
          </w:p>
        </w:tc>
        <w:tc>
          <w:tcPr>
            <w:tcW w:w="2091" w:type="dxa"/>
          </w:tcPr>
          <w:p w14:paraId="2F558225"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3.0</w:t>
            </w:r>
          </w:p>
        </w:tc>
        <w:tc>
          <w:tcPr>
            <w:tcW w:w="1998" w:type="dxa"/>
          </w:tcPr>
          <w:p w14:paraId="7E6E8B6C"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4.2</w:t>
            </w:r>
          </w:p>
        </w:tc>
        <w:tc>
          <w:tcPr>
            <w:tcW w:w="1998" w:type="dxa"/>
          </w:tcPr>
          <w:p w14:paraId="71E7A119"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4.4</w:t>
            </w:r>
          </w:p>
        </w:tc>
      </w:tr>
      <w:tr w:rsidR="00452B58" w:rsidRPr="00452B58" w14:paraId="6B5AD357" w14:textId="77777777" w:rsidTr="00452B58">
        <w:trPr>
          <w:trHeight w:val="300"/>
        </w:trPr>
        <w:tc>
          <w:tcPr>
            <w:tcW w:w="1553" w:type="dxa"/>
            <w:noWrap/>
            <w:hideMark/>
          </w:tcPr>
          <w:p w14:paraId="7922723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NPV</w:t>
            </w:r>
          </w:p>
        </w:tc>
        <w:tc>
          <w:tcPr>
            <w:tcW w:w="1998" w:type="dxa"/>
            <w:noWrap/>
          </w:tcPr>
          <w:p w14:paraId="3984A975"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$654 M</w:t>
            </w:r>
          </w:p>
        </w:tc>
        <w:tc>
          <w:tcPr>
            <w:tcW w:w="2091" w:type="dxa"/>
          </w:tcPr>
          <w:p w14:paraId="3165C28C"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$588 M</w:t>
            </w:r>
          </w:p>
        </w:tc>
        <w:tc>
          <w:tcPr>
            <w:tcW w:w="1998" w:type="dxa"/>
          </w:tcPr>
          <w:p w14:paraId="27E554EB"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$1,038 M</w:t>
            </w:r>
          </w:p>
        </w:tc>
        <w:tc>
          <w:tcPr>
            <w:tcW w:w="1998" w:type="dxa"/>
          </w:tcPr>
          <w:p w14:paraId="23F78FF8"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$931 M</w:t>
            </w:r>
          </w:p>
        </w:tc>
      </w:tr>
      <w:tr w:rsidR="00452B58" w:rsidRPr="00452B58" w14:paraId="75A2A396" w14:textId="77777777" w:rsidTr="00452B58">
        <w:trPr>
          <w:trHeight w:val="300"/>
        </w:trPr>
        <w:tc>
          <w:tcPr>
            <w:tcW w:w="1553" w:type="dxa"/>
            <w:noWrap/>
            <w:hideMark/>
          </w:tcPr>
          <w:p w14:paraId="166A9DE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costs</w:t>
            </w:r>
          </w:p>
        </w:tc>
        <w:tc>
          <w:tcPr>
            <w:tcW w:w="1998" w:type="dxa"/>
            <w:noWrap/>
          </w:tcPr>
          <w:p w14:paraId="1339678A"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$334 M</w:t>
            </w:r>
          </w:p>
        </w:tc>
        <w:tc>
          <w:tcPr>
            <w:tcW w:w="2091" w:type="dxa"/>
          </w:tcPr>
          <w:p w14:paraId="1C45D5D4"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$289 M</w:t>
            </w:r>
          </w:p>
        </w:tc>
        <w:tc>
          <w:tcPr>
            <w:tcW w:w="1998" w:type="dxa"/>
          </w:tcPr>
          <w:p w14:paraId="3E28DE70"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$321 M</w:t>
            </w:r>
          </w:p>
        </w:tc>
        <w:tc>
          <w:tcPr>
            <w:tcW w:w="1998" w:type="dxa"/>
          </w:tcPr>
          <w:p w14:paraId="40EA3FE9"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$275 M</w:t>
            </w:r>
          </w:p>
        </w:tc>
      </w:tr>
      <w:tr w:rsidR="00452B58" w:rsidRPr="00452B58" w14:paraId="348D1A57" w14:textId="77777777" w:rsidTr="00452B58">
        <w:trPr>
          <w:trHeight w:val="300"/>
        </w:trPr>
        <w:tc>
          <w:tcPr>
            <w:tcW w:w="1553" w:type="dxa"/>
            <w:noWrap/>
            <w:hideMark/>
          </w:tcPr>
          <w:p w14:paraId="7B6A987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benefits</w:t>
            </w:r>
          </w:p>
        </w:tc>
        <w:tc>
          <w:tcPr>
            <w:tcW w:w="1998" w:type="dxa"/>
            <w:noWrap/>
          </w:tcPr>
          <w:p w14:paraId="43671712"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$988 M</w:t>
            </w:r>
          </w:p>
        </w:tc>
        <w:tc>
          <w:tcPr>
            <w:tcW w:w="2091" w:type="dxa"/>
          </w:tcPr>
          <w:p w14:paraId="64ECD64B"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$877 M</w:t>
            </w:r>
          </w:p>
        </w:tc>
        <w:tc>
          <w:tcPr>
            <w:tcW w:w="1998" w:type="dxa"/>
          </w:tcPr>
          <w:p w14:paraId="6CE5E365"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$1,360 M</w:t>
            </w:r>
          </w:p>
        </w:tc>
        <w:tc>
          <w:tcPr>
            <w:tcW w:w="1998" w:type="dxa"/>
          </w:tcPr>
          <w:p w14:paraId="4A5185F6" w14:textId="77777777"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$1,206 M</w:t>
            </w:r>
          </w:p>
        </w:tc>
      </w:tr>
    </w:tbl>
    <w:p w14:paraId="24384BA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BA390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results of the main analysis show a positive outcome for the proposed options. </w:t>
      </w:r>
    </w:p>
    <w:p w14:paraId="692A9DB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sensitivity analysis identified no threats to viability of the proposed changes to ADRs to allow wider vehicles with mandated safety features. However, the following factors demonstrated greater sensitivity:</w:t>
      </w:r>
    </w:p>
    <w:p w14:paraId="22F0EC44" w14:textId="77777777" w:rsidR="00452B58" w:rsidRPr="00452B58" w:rsidRDefault="00452B58" w:rsidP="00452B58">
      <w:pPr>
        <w:pStyle w:val="ARRBBulletLevel1"/>
      </w:pPr>
      <w:r w:rsidRPr="00452B58">
        <w:t xml:space="preserve">discount rate </w:t>
      </w:r>
    </w:p>
    <w:p w14:paraId="0FA4B96F" w14:textId="77777777" w:rsidR="00452B58" w:rsidRPr="00452B58" w:rsidRDefault="00452B58" w:rsidP="00452B58">
      <w:pPr>
        <w:pStyle w:val="ARRBBulletLevel1"/>
      </w:pPr>
      <w:r w:rsidRPr="00452B58">
        <w:t>cost of safety features</w:t>
      </w:r>
    </w:p>
    <w:p w14:paraId="3D6A8ACD" w14:textId="77777777" w:rsidR="00452B58" w:rsidRPr="00452B58" w:rsidRDefault="00452B58" w:rsidP="00452B58">
      <w:pPr>
        <w:pStyle w:val="ARRBBulletLevel1"/>
      </w:pPr>
      <w:r w:rsidRPr="00452B58">
        <w:t>effectiveness of safety features</w:t>
      </w:r>
    </w:p>
    <w:p w14:paraId="3B5BAC25" w14:textId="77777777" w:rsidR="00452B58" w:rsidRPr="00452B58" w:rsidRDefault="00452B58" w:rsidP="00452B58">
      <w:pPr>
        <w:pStyle w:val="ARRBBulletLevel1"/>
      </w:pPr>
      <w:r w:rsidRPr="00452B58">
        <w:t>trip reductions.</w:t>
      </w:r>
    </w:p>
    <w:p w14:paraId="46E7E0D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shows that any barriers or concerns surrounding the widening of goods vehicles on Australian roads do not come from questions about high-level productivity or safety. The increased productivity that comes from larger vehicles is well-demonstrated, and current and emerging safety technologies continue to make these vehicles safer to operate on Australian roads.</w:t>
      </w:r>
    </w:p>
    <w:p w14:paraId="48A9199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the analysis conducted here was necessarily high-level, the following related issues bear further investigation:</w:t>
      </w:r>
    </w:p>
    <w:p w14:paraId="1A481B10" w14:textId="77777777" w:rsidR="00452B58" w:rsidRPr="00452B58" w:rsidRDefault="00452B58" w:rsidP="00452B58">
      <w:pPr>
        <w:pStyle w:val="ARRBBulletLevel1"/>
      </w:pPr>
      <w:r w:rsidRPr="00452B58">
        <w:t>Assessments are required of the risks and benefits related to different designs of trailers, which are built to purpose and may present different issues.</w:t>
      </w:r>
    </w:p>
    <w:p w14:paraId="5B4300CA" w14:textId="77777777" w:rsidR="00452B58" w:rsidRPr="00452B58" w:rsidRDefault="00452B58" w:rsidP="00452B58">
      <w:pPr>
        <w:pStyle w:val="ARRBBulletLevel1"/>
      </w:pPr>
      <w:r w:rsidRPr="00452B58">
        <w:t xml:space="preserve">Many other road users already have a poor understanding of the size and manoeuvrability of heavy vehicles, and there may be an increase in the impact of poor decisions made by other road users interacting with wider vehicles. </w:t>
      </w:r>
    </w:p>
    <w:p w14:paraId="34822644" w14:textId="77777777" w:rsidR="00452B58" w:rsidRPr="00452B58" w:rsidRDefault="00452B58" w:rsidP="00452B58">
      <w:pPr>
        <w:pStyle w:val="ARRBBulletLevel1"/>
      </w:pPr>
      <w:r w:rsidRPr="00452B58">
        <w:t xml:space="preserve">While it was beyond the scope of this project to undertake a detailed infrastructure analysis, developing an assessment of infrastructure requirements – primarily at intersections – for wider vehicles will assist road managers to ensure the productivity benefits of these vehicles can be achieved safely. </w:t>
      </w:r>
    </w:p>
    <w:p w14:paraId="0002D33A" w14:textId="77777777" w:rsidR="00452B58" w:rsidRPr="00452B58" w:rsidRDefault="00452B58" w:rsidP="00452B58">
      <w:pPr>
        <w:pStyle w:val="ARRBBulletLevel1"/>
      </w:pPr>
      <w:r w:rsidRPr="00452B58">
        <w:t>The design of the road pavement infrastructure is based on the utilisation of the lane by a known axle width, if this distribution changes there will be impacts on the pavement engineering calculations required for road structures.</w:t>
      </w:r>
    </w:p>
    <w:p w14:paraId="076E075B" w14:textId="77777777" w:rsidR="00452B58" w:rsidRPr="00452B58" w:rsidRDefault="00452B58" w:rsidP="00452B58">
      <w:pPr>
        <w:pStyle w:val="ARRBBulletLevel1"/>
      </w:pPr>
      <w:r w:rsidRPr="00452B58">
        <w:t>There are likely to be community concerns about wider goods vehicles on the roads, despite the safety features. Ongoing research into clearances along the road corridor, especially in urban areas, would provide a basis for both informing decision makers about heavy vehicle access and investment, as well as allaying community concerns.</w:t>
      </w:r>
    </w:p>
    <w:p w14:paraId="5A530111" w14:textId="77777777" w:rsidR="00452B58" w:rsidRPr="00452B58" w:rsidRDefault="00452B58" w:rsidP="00452B58">
      <w:pPr>
        <w:tabs>
          <w:tab w:val="num" w:pos="340"/>
        </w:tabs>
        <w:suppressAutoHyphens w:val="0"/>
        <w:spacing w:before="0" w:after="160" w:line="259" w:lineRule="auto"/>
        <w:ind w:left="340" w:hanging="340"/>
        <w:contextualSpacing/>
        <w:rPr>
          <w:rFonts w:ascii="Calibri" w:eastAsia="Times New Roman" w:hAnsi="Calibri" w:cs="Times New Roman"/>
          <w:color w:val="auto"/>
          <w:kern w:val="0"/>
          <w:sz w:val="22"/>
          <w:szCs w:val="22"/>
          <w:lang w:eastAsia="en-AU"/>
        </w:rPr>
        <w:sectPr w:rsidR="00452B58" w:rsidRPr="00452B58" w:rsidSect="00766699">
          <w:headerReference w:type="default" r:id="rId77"/>
          <w:footerReference w:type="default" r:id="rId78"/>
          <w:pgSz w:w="11906" w:h="16838" w:code="9"/>
          <w:pgMar w:top="1134" w:right="1134" w:bottom="1134" w:left="1134" w:header="680" w:footer="283" w:gutter="0"/>
          <w:cols w:space="708"/>
          <w:docGrid w:linePitch="360"/>
        </w:sectPr>
      </w:pPr>
    </w:p>
    <w:p w14:paraId="3D5CE243" w14:textId="77777777" w:rsidR="00452B58" w:rsidRDefault="00452B58" w:rsidP="00452B58">
      <w:pPr>
        <w:suppressAutoHyphens w:val="0"/>
        <w:spacing w:before="0" w:after="160" w:line="259" w:lineRule="auto"/>
        <w:rPr>
          <w:rFonts w:ascii="Calibri" w:eastAsia="Calibri" w:hAnsi="Calibri" w:cs="Times New Roman"/>
          <w:b/>
          <w:bCs/>
          <w:color w:val="00A1DE"/>
          <w:kern w:val="0"/>
          <w:sz w:val="40"/>
          <w:szCs w:val="40"/>
        </w:rPr>
      </w:pPr>
      <w:r w:rsidRPr="00452B58">
        <w:rPr>
          <w:rFonts w:ascii="Calibri" w:eastAsia="Calibri" w:hAnsi="Calibri" w:cs="Times New Roman" w:hint="eastAsia"/>
          <w:b/>
          <w:bCs/>
          <w:color w:val="00A1DE"/>
          <w:kern w:val="0"/>
          <w:sz w:val="40"/>
          <w:szCs w:val="40"/>
        </w:rPr>
        <w:t>Contents</w:t>
      </w:r>
    </w:p>
    <w:p w14:paraId="2F60EC33" w14:textId="77777777" w:rsidR="00B730AF" w:rsidRPr="000F5356" w:rsidRDefault="00B730AF" w:rsidP="000F5356">
      <w:pPr>
        <w:pStyle w:val="ARRBContentsTitle"/>
      </w:pPr>
      <w:r w:rsidRPr="000F5356">
        <w:t>1.</w:t>
      </w:r>
      <w:r w:rsidRPr="000F5356">
        <w:tab/>
        <w:t>Introduction</w:t>
      </w:r>
      <w:r w:rsidRPr="000F5356">
        <w:tab/>
        <w:t>1</w:t>
      </w:r>
    </w:p>
    <w:p w14:paraId="34521B6C" w14:textId="77777777" w:rsidR="00B730AF" w:rsidRPr="00B730AF" w:rsidRDefault="00B730AF" w:rsidP="000F5356">
      <w:pPr>
        <w:pStyle w:val="ARRBContentsSubTitle"/>
      </w:pPr>
      <w:r w:rsidRPr="00B730AF">
        <w:t>1.1</w:t>
      </w:r>
      <w:r w:rsidRPr="00B730AF">
        <w:tab/>
        <w:t>Overview of the Analysis</w:t>
      </w:r>
      <w:r w:rsidRPr="00B730AF">
        <w:tab/>
        <w:t>1</w:t>
      </w:r>
    </w:p>
    <w:p w14:paraId="4CF2CF3B" w14:textId="77777777" w:rsidR="00B730AF" w:rsidRPr="00B730AF" w:rsidRDefault="00B730AF" w:rsidP="000F5356">
      <w:pPr>
        <w:pStyle w:val="ARRBContentsSubTitle"/>
      </w:pPr>
      <w:r w:rsidRPr="00B730AF">
        <w:t>1.2</w:t>
      </w:r>
      <w:r w:rsidRPr="00B730AF">
        <w:tab/>
        <w:t>Comparison of Base Case and Option Cases</w:t>
      </w:r>
      <w:r w:rsidRPr="00B730AF">
        <w:tab/>
        <w:t>1</w:t>
      </w:r>
    </w:p>
    <w:p w14:paraId="1A04F1D6" w14:textId="77777777" w:rsidR="00B730AF" w:rsidRPr="00B730AF" w:rsidRDefault="00B730AF" w:rsidP="000F5356">
      <w:pPr>
        <w:pStyle w:val="ARRBContentsSubTitle"/>
      </w:pPr>
      <w:r w:rsidRPr="00B730AF">
        <w:t>1.3</w:t>
      </w:r>
      <w:r w:rsidRPr="00B730AF">
        <w:tab/>
        <w:t>Reference Material</w:t>
      </w:r>
      <w:r w:rsidRPr="00B730AF">
        <w:tab/>
        <w:t>1</w:t>
      </w:r>
    </w:p>
    <w:p w14:paraId="4ABE6BB1" w14:textId="77777777" w:rsidR="00B730AF" w:rsidRPr="00B730AF" w:rsidRDefault="00B730AF" w:rsidP="000F5356">
      <w:pPr>
        <w:pStyle w:val="ARRBContentsSubTitle"/>
      </w:pPr>
      <w:r w:rsidRPr="00B730AF">
        <w:t>1.4</w:t>
      </w:r>
      <w:r w:rsidRPr="00B730AF">
        <w:tab/>
        <w:t>Requirements of the Proposed Regulatory Changes</w:t>
      </w:r>
      <w:r w:rsidRPr="00B730AF">
        <w:tab/>
        <w:t>2</w:t>
      </w:r>
    </w:p>
    <w:p w14:paraId="0636540C" w14:textId="77777777" w:rsidR="00B730AF" w:rsidRPr="00B730AF" w:rsidRDefault="00B730AF" w:rsidP="000F5356">
      <w:pPr>
        <w:pStyle w:val="ARRBContentsTitle"/>
      </w:pPr>
      <w:r w:rsidRPr="00B730AF">
        <w:t>2.</w:t>
      </w:r>
      <w:r w:rsidRPr="00B730AF">
        <w:tab/>
        <w:t>Benefit-Cost Analysis Setup</w:t>
      </w:r>
      <w:r w:rsidRPr="00B730AF">
        <w:tab/>
        <w:t>4</w:t>
      </w:r>
    </w:p>
    <w:p w14:paraId="6D4315AA" w14:textId="77777777" w:rsidR="00B730AF" w:rsidRPr="00B730AF" w:rsidRDefault="00B730AF" w:rsidP="000F5356">
      <w:pPr>
        <w:pStyle w:val="ARRBContentsSubTitle"/>
      </w:pPr>
      <w:r w:rsidRPr="00B730AF">
        <w:t>2.1</w:t>
      </w:r>
      <w:r w:rsidRPr="00B730AF">
        <w:tab/>
        <w:t>Identification of the Base Case</w:t>
      </w:r>
      <w:r w:rsidRPr="00B730AF">
        <w:tab/>
        <w:t>4</w:t>
      </w:r>
    </w:p>
    <w:p w14:paraId="41A31BA2" w14:textId="77777777" w:rsidR="00B730AF" w:rsidRPr="00B730AF" w:rsidRDefault="00B730AF" w:rsidP="000F5356">
      <w:pPr>
        <w:pStyle w:val="ARRBContentsSubTitle"/>
      </w:pPr>
      <w:r w:rsidRPr="00B730AF">
        <w:t>2.2</w:t>
      </w:r>
      <w:r w:rsidRPr="00B730AF">
        <w:tab/>
        <w:t>Establishing the Assessment Period</w:t>
      </w:r>
      <w:r w:rsidRPr="00B730AF">
        <w:tab/>
        <w:t>4</w:t>
      </w:r>
    </w:p>
    <w:p w14:paraId="2967FFE0" w14:textId="77777777" w:rsidR="00B730AF" w:rsidRPr="00B730AF" w:rsidRDefault="00B730AF" w:rsidP="000F5356">
      <w:pPr>
        <w:pStyle w:val="ARRBContentsSubTitle"/>
      </w:pPr>
      <w:r w:rsidRPr="00B730AF">
        <w:t>2.3</w:t>
      </w:r>
      <w:r w:rsidRPr="00B730AF">
        <w:tab/>
        <w:t>Modelling of the Fleet</w:t>
      </w:r>
      <w:r w:rsidRPr="00B730AF">
        <w:tab/>
        <w:t>5</w:t>
      </w:r>
    </w:p>
    <w:p w14:paraId="15D00F0B" w14:textId="77777777" w:rsidR="00B730AF" w:rsidRPr="00B730AF" w:rsidRDefault="00B730AF" w:rsidP="000F5356">
      <w:pPr>
        <w:pStyle w:val="ARRBContentsTitle"/>
      </w:pPr>
      <w:r w:rsidRPr="00B730AF">
        <w:t>3.</w:t>
      </w:r>
      <w:r w:rsidRPr="00B730AF">
        <w:tab/>
        <w:t>Costs</w:t>
      </w:r>
      <w:r w:rsidRPr="00B730AF">
        <w:tab/>
        <w:t>7</w:t>
      </w:r>
    </w:p>
    <w:p w14:paraId="69DDC43A" w14:textId="77777777" w:rsidR="00B730AF" w:rsidRPr="00B730AF" w:rsidRDefault="00B730AF" w:rsidP="000F5356">
      <w:pPr>
        <w:pStyle w:val="ARRBContentsSubTitle"/>
      </w:pPr>
      <w:r w:rsidRPr="00B730AF">
        <w:t>3.1</w:t>
      </w:r>
      <w:r w:rsidRPr="00B730AF">
        <w:tab/>
        <w:t>Government Costs</w:t>
      </w:r>
      <w:r w:rsidRPr="00B730AF">
        <w:tab/>
        <w:t>7</w:t>
      </w:r>
    </w:p>
    <w:p w14:paraId="7BBDDDDA" w14:textId="77777777" w:rsidR="00B730AF" w:rsidRPr="00B730AF" w:rsidRDefault="00B730AF" w:rsidP="000F5356">
      <w:pPr>
        <w:pStyle w:val="ARRBContentsSubTitle"/>
      </w:pPr>
      <w:r w:rsidRPr="00B730AF">
        <w:t>3.2</w:t>
      </w:r>
      <w:r w:rsidRPr="00B730AF">
        <w:tab/>
        <w:t>Modification Costs</w:t>
      </w:r>
      <w:r w:rsidRPr="00B730AF">
        <w:tab/>
        <w:t>7</w:t>
      </w:r>
    </w:p>
    <w:p w14:paraId="3DF4ECE8" w14:textId="77777777" w:rsidR="00B730AF" w:rsidRPr="00B730AF" w:rsidRDefault="00B730AF" w:rsidP="00837D8F">
      <w:pPr>
        <w:pStyle w:val="ARRBContentsSubsubTitle"/>
      </w:pPr>
      <w:r w:rsidRPr="00B730AF">
        <w:t>3.2.1</w:t>
      </w:r>
      <w:r w:rsidRPr="00B730AF">
        <w:tab/>
        <w:t>Modification Cost for Heavy Vehicles (Options 1, 2, 3, and 4)</w:t>
      </w:r>
      <w:r w:rsidRPr="00B730AF">
        <w:tab/>
        <w:t>7</w:t>
      </w:r>
    </w:p>
    <w:p w14:paraId="78314BBB" w14:textId="77777777" w:rsidR="00B730AF" w:rsidRPr="00B730AF" w:rsidRDefault="00B730AF" w:rsidP="00837D8F">
      <w:pPr>
        <w:pStyle w:val="ARRBContentsSubsubTitle"/>
      </w:pPr>
      <w:r w:rsidRPr="00B730AF">
        <w:t>3.2.2</w:t>
      </w:r>
      <w:r w:rsidRPr="00B730AF">
        <w:tab/>
        <w:t>Modification Cost for Heavy Trailers (Options 1 and 3)</w:t>
      </w:r>
      <w:r w:rsidRPr="00B730AF">
        <w:tab/>
        <w:t>7</w:t>
      </w:r>
    </w:p>
    <w:p w14:paraId="163341C4" w14:textId="77777777" w:rsidR="00B730AF" w:rsidRPr="00B730AF" w:rsidRDefault="00B730AF" w:rsidP="000F5356">
      <w:pPr>
        <w:pStyle w:val="ARRBContentsSubTitle"/>
      </w:pPr>
      <w:r w:rsidRPr="00B730AF">
        <w:t>3.3</w:t>
      </w:r>
      <w:r w:rsidRPr="00B730AF">
        <w:tab/>
        <w:t>Safety Feature Fitment Costs</w:t>
      </w:r>
      <w:r w:rsidRPr="00B730AF">
        <w:tab/>
        <w:t>8</w:t>
      </w:r>
    </w:p>
    <w:p w14:paraId="476EC75B" w14:textId="77777777" w:rsidR="00B730AF" w:rsidRPr="00B730AF" w:rsidRDefault="00B730AF" w:rsidP="000F5356">
      <w:pPr>
        <w:pStyle w:val="ARRBContentsSubTitle"/>
      </w:pPr>
      <w:r w:rsidRPr="00B730AF">
        <w:t>3.4</w:t>
      </w:r>
      <w:r w:rsidRPr="00B730AF">
        <w:tab/>
        <w:t>Safety Feature Maintenance and Repair Costs</w:t>
      </w:r>
      <w:r w:rsidRPr="00B730AF">
        <w:tab/>
        <w:t>8</w:t>
      </w:r>
    </w:p>
    <w:p w14:paraId="7FE2CF03" w14:textId="77777777" w:rsidR="00B730AF" w:rsidRPr="00B730AF" w:rsidRDefault="00B730AF" w:rsidP="000F5356">
      <w:pPr>
        <w:pStyle w:val="ARRBContentsSubTitle"/>
      </w:pPr>
      <w:r w:rsidRPr="00B730AF">
        <w:t>3.5</w:t>
      </w:r>
      <w:r w:rsidRPr="00B730AF">
        <w:tab/>
        <w:t>Infrastructure Update Costs</w:t>
      </w:r>
      <w:r w:rsidRPr="00B730AF">
        <w:tab/>
        <w:t>8</w:t>
      </w:r>
    </w:p>
    <w:p w14:paraId="3B2CA7F1" w14:textId="77777777" w:rsidR="00B730AF" w:rsidRPr="00B730AF" w:rsidRDefault="00B730AF" w:rsidP="000F5356">
      <w:pPr>
        <w:pStyle w:val="ARRBContentsSubTitle"/>
      </w:pPr>
      <w:r w:rsidRPr="00B730AF">
        <w:t>3.6</w:t>
      </w:r>
      <w:r w:rsidRPr="00B730AF">
        <w:tab/>
        <w:t>Summary of Costs</w:t>
      </w:r>
      <w:r w:rsidRPr="00B730AF">
        <w:tab/>
        <w:t>9</w:t>
      </w:r>
    </w:p>
    <w:p w14:paraId="3B339A26" w14:textId="77777777" w:rsidR="00B730AF" w:rsidRPr="00B730AF" w:rsidRDefault="00B730AF" w:rsidP="000F5356">
      <w:pPr>
        <w:pStyle w:val="ARRBContentsTitle"/>
      </w:pPr>
      <w:r w:rsidRPr="00B730AF">
        <w:t>4.</w:t>
      </w:r>
      <w:r w:rsidRPr="00B730AF">
        <w:tab/>
        <w:t>Demand Forecasts</w:t>
      </w:r>
      <w:r w:rsidRPr="00B730AF">
        <w:tab/>
        <w:t>10</w:t>
      </w:r>
    </w:p>
    <w:p w14:paraId="45AD763A" w14:textId="77777777" w:rsidR="00B730AF" w:rsidRPr="00B730AF" w:rsidRDefault="00B730AF" w:rsidP="000F5356">
      <w:pPr>
        <w:pStyle w:val="ARRBContentsSubTitle"/>
      </w:pPr>
      <w:r w:rsidRPr="00B730AF">
        <w:t>4.1</w:t>
      </w:r>
      <w:r w:rsidRPr="00B730AF">
        <w:tab/>
        <w:t>Key Assumption</w:t>
      </w:r>
      <w:r w:rsidRPr="00B730AF">
        <w:tab/>
        <w:t>10</w:t>
      </w:r>
    </w:p>
    <w:p w14:paraId="2A9D616B" w14:textId="77777777" w:rsidR="00B730AF" w:rsidRPr="00B730AF" w:rsidRDefault="00B730AF" w:rsidP="000F5356">
      <w:pPr>
        <w:pStyle w:val="ARRBContentsSubTitle"/>
      </w:pPr>
      <w:r w:rsidRPr="00B730AF">
        <w:t>4.2</w:t>
      </w:r>
      <w:r w:rsidRPr="00B730AF">
        <w:tab/>
        <w:t>Projected Total Fleet Size</w:t>
      </w:r>
      <w:r w:rsidRPr="00B730AF">
        <w:tab/>
        <w:t>10</w:t>
      </w:r>
    </w:p>
    <w:p w14:paraId="72AF113F" w14:textId="77777777" w:rsidR="00B730AF" w:rsidRPr="00B730AF" w:rsidRDefault="00B730AF" w:rsidP="000F5356">
      <w:pPr>
        <w:pStyle w:val="ARRBContentsSubTitle"/>
      </w:pPr>
      <w:r w:rsidRPr="00B730AF">
        <w:t>4.3</w:t>
      </w:r>
      <w:r w:rsidRPr="00B730AF">
        <w:tab/>
        <w:t>Projected Uptake of new Width Vehicles</w:t>
      </w:r>
      <w:r w:rsidRPr="00B730AF">
        <w:tab/>
        <w:t>11</w:t>
      </w:r>
    </w:p>
    <w:p w14:paraId="413593C0" w14:textId="77777777" w:rsidR="00B730AF" w:rsidRPr="00B730AF" w:rsidRDefault="00B730AF" w:rsidP="000F5356">
      <w:pPr>
        <w:pStyle w:val="ARRBContentsTitle"/>
      </w:pPr>
      <w:r w:rsidRPr="00B730AF">
        <w:t>5.</w:t>
      </w:r>
      <w:r w:rsidRPr="00B730AF">
        <w:tab/>
        <w:t>Benefits</w:t>
      </w:r>
      <w:r w:rsidRPr="00B730AF">
        <w:tab/>
        <w:t>15</w:t>
      </w:r>
    </w:p>
    <w:p w14:paraId="3F71FBF3" w14:textId="77777777" w:rsidR="00B730AF" w:rsidRPr="00B730AF" w:rsidRDefault="00B730AF" w:rsidP="000F5356">
      <w:pPr>
        <w:pStyle w:val="ARRBContentsSubTitle"/>
      </w:pPr>
      <w:r w:rsidRPr="00B730AF">
        <w:t>5.1</w:t>
      </w:r>
      <w:r w:rsidRPr="00B730AF">
        <w:tab/>
        <w:t>Included Benefits</w:t>
      </w:r>
      <w:r w:rsidRPr="00B730AF">
        <w:tab/>
        <w:t>15</w:t>
      </w:r>
    </w:p>
    <w:p w14:paraId="12DB72E5" w14:textId="77777777" w:rsidR="00B730AF" w:rsidRPr="00B730AF" w:rsidRDefault="00B730AF" w:rsidP="000F5356">
      <w:pPr>
        <w:pStyle w:val="ARRBContentsSubTitle"/>
      </w:pPr>
      <w:r w:rsidRPr="00B730AF">
        <w:t>5.2</w:t>
      </w:r>
      <w:r w:rsidRPr="00B730AF">
        <w:tab/>
        <w:t>Safety Benefits</w:t>
      </w:r>
      <w:r w:rsidRPr="00B730AF">
        <w:tab/>
        <w:t>15</w:t>
      </w:r>
    </w:p>
    <w:p w14:paraId="07D377F6" w14:textId="77777777" w:rsidR="00B730AF" w:rsidRPr="00B730AF" w:rsidRDefault="00B730AF" w:rsidP="00837D8F">
      <w:pPr>
        <w:pStyle w:val="ARRBContentsSubsubTitle"/>
      </w:pPr>
      <w:r w:rsidRPr="00B730AF">
        <w:t>5.2.1</w:t>
      </w:r>
      <w:r w:rsidRPr="00B730AF">
        <w:tab/>
        <w:t>Trip Reduction (Crash Exposure and Productivity)</w:t>
      </w:r>
      <w:r w:rsidRPr="00B730AF">
        <w:tab/>
        <w:t>15</w:t>
      </w:r>
    </w:p>
    <w:p w14:paraId="56ADD7C1" w14:textId="77777777" w:rsidR="00B730AF" w:rsidRPr="00B730AF" w:rsidRDefault="00B730AF" w:rsidP="00837D8F">
      <w:pPr>
        <w:pStyle w:val="ARRBContentsSubsubTitle"/>
      </w:pPr>
      <w:r w:rsidRPr="00B730AF">
        <w:t>5.2.2</w:t>
      </w:r>
      <w:r w:rsidRPr="00B730AF">
        <w:tab/>
        <w:t>Crash Rates for Wider Vehicles</w:t>
      </w:r>
      <w:r w:rsidRPr="00B730AF">
        <w:tab/>
        <w:t>16</w:t>
      </w:r>
    </w:p>
    <w:p w14:paraId="663AFA93" w14:textId="77777777" w:rsidR="00B730AF" w:rsidRPr="00B730AF" w:rsidRDefault="00B730AF" w:rsidP="00837D8F">
      <w:pPr>
        <w:pStyle w:val="ARRBContentsSubsubTitle"/>
      </w:pPr>
      <w:r w:rsidRPr="00B730AF">
        <w:t>5.2.3</w:t>
      </w:r>
      <w:r w:rsidRPr="00B730AF">
        <w:tab/>
        <w:t>Crash Modification Factors</w:t>
      </w:r>
      <w:r w:rsidRPr="00B730AF">
        <w:tab/>
        <w:t>16</w:t>
      </w:r>
    </w:p>
    <w:p w14:paraId="7FABD614" w14:textId="77777777" w:rsidR="00B730AF" w:rsidRPr="00B730AF" w:rsidRDefault="00B730AF" w:rsidP="000F5356">
      <w:pPr>
        <w:pStyle w:val="ARRBContentsSubTitle"/>
      </w:pPr>
      <w:r w:rsidRPr="00B730AF">
        <w:t>5.3</w:t>
      </w:r>
      <w:r w:rsidRPr="00B730AF">
        <w:tab/>
        <w:t>Asset Preservation Benefits</w:t>
      </w:r>
      <w:r w:rsidRPr="00B730AF">
        <w:tab/>
        <w:t>19</w:t>
      </w:r>
    </w:p>
    <w:p w14:paraId="7E40C70E" w14:textId="77777777" w:rsidR="00B730AF" w:rsidRPr="00B730AF" w:rsidRDefault="00B730AF" w:rsidP="000F5356">
      <w:pPr>
        <w:pStyle w:val="ARRBContentsSubTitle"/>
      </w:pPr>
      <w:r w:rsidRPr="00B730AF">
        <w:t>5.4</w:t>
      </w:r>
      <w:r w:rsidRPr="00B730AF">
        <w:tab/>
        <w:t>VOC Benefits</w:t>
      </w:r>
      <w:r w:rsidRPr="00B730AF">
        <w:tab/>
        <w:t>19</w:t>
      </w:r>
    </w:p>
    <w:p w14:paraId="162165CA" w14:textId="77777777" w:rsidR="00B730AF" w:rsidRPr="00B730AF" w:rsidRDefault="00B730AF" w:rsidP="000F5356">
      <w:pPr>
        <w:pStyle w:val="ARRBContentsSubTitle"/>
      </w:pPr>
      <w:r w:rsidRPr="00B730AF">
        <w:t>5.5</w:t>
      </w:r>
      <w:r w:rsidRPr="00B730AF">
        <w:tab/>
        <w:t>Environmental Benefits</w:t>
      </w:r>
      <w:r w:rsidRPr="00B730AF">
        <w:tab/>
        <w:t>20</w:t>
      </w:r>
    </w:p>
    <w:p w14:paraId="1A4ABA0C" w14:textId="77777777" w:rsidR="00B730AF" w:rsidRPr="00B730AF" w:rsidRDefault="00B730AF" w:rsidP="000F5356">
      <w:pPr>
        <w:pStyle w:val="ARRBContentsSubTitle"/>
      </w:pPr>
      <w:r w:rsidRPr="00B730AF">
        <w:t>5.6</w:t>
      </w:r>
      <w:r w:rsidRPr="00B730AF">
        <w:tab/>
        <w:t>Discounting and Other Modelling Assumptions</w:t>
      </w:r>
      <w:r w:rsidRPr="00B730AF">
        <w:tab/>
        <w:t>20</w:t>
      </w:r>
    </w:p>
    <w:p w14:paraId="3FD012A9" w14:textId="77777777" w:rsidR="00B730AF" w:rsidRPr="00B730AF" w:rsidRDefault="00B730AF" w:rsidP="000F5356">
      <w:pPr>
        <w:pStyle w:val="ARRBContentsTitle"/>
      </w:pPr>
      <w:r w:rsidRPr="00B730AF">
        <w:t>6.</w:t>
      </w:r>
      <w:r w:rsidRPr="00B730AF">
        <w:tab/>
        <w:t>Analysis Outcomes</w:t>
      </w:r>
      <w:r w:rsidRPr="00B730AF">
        <w:tab/>
        <w:t>22</w:t>
      </w:r>
    </w:p>
    <w:p w14:paraId="2C68AEFE" w14:textId="77777777" w:rsidR="00B730AF" w:rsidRPr="00B730AF" w:rsidRDefault="00B730AF" w:rsidP="000F5356">
      <w:pPr>
        <w:pStyle w:val="ARRBContentsSubTitle"/>
      </w:pPr>
      <w:r w:rsidRPr="00B730AF">
        <w:t>6.1</w:t>
      </w:r>
      <w:r w:rsidRPr="00B730AF">
        <w:tab/>
        <w:t>BCA Results</w:t>
      </w:r>
      <w:r w:rsidRPr="00B730AF">
        <w:tab/>
        <w:t>22</w:t>
      </w:r>
    </w:p>
    <w:p w14:paraId="470E18B2" w14:textId="77777777" w:rsidR="00B730AF" w:rsidRPr="00B730AF" w:rsidRDefault="00B730AF" w:rsidP="000F5356">
      <w:pPr>
        <w:pStyle w:val="ARRBContentsSubTitle"/>
      </w:pPr>
      <w:r w:rsidRPr="00B730AF">
        <w:t>6.2</w:t>
      </w:r>
      <w:r w:rsidRPr="00B730AF">
        <w:tab/>
        <w:t>Sensitivity Analysis</w:t>
      </w:r>
      <w:r w:rsidRPr="00B730AF">
        <w:tab/>
        <w:t>22</w:t>
      </w:r>
    </w:p>
    <w:p w14:paraId="02D63704" w14:textId="77777777" w:rsidR="00B730AF" w:rsidRPr="00B730AF" w:rsidRDefault="00B730AF" w:rsidP="000F5356">
      <w:pPr>
        <w:pStyle w:val="ARRBContentsSubTitle"/>
      </w:pPr>
      <w:r w:rsidRPr="00B730AF">
        <w:t>6.3</w:t>
      </w:r>
      <w:r w:rsidRPr="00B730AF">
        <w:tab/>
        <w:t>Findings</w:t>
      </w:r>
      <w:r w:rsidRPr="00B730AF">
        <w:tab/>
        <w:t>26</w:t>
      </w:r>
    </w:p>
    <w:p w14:paraId="6F093977" w14:textId="77777777" w:rsidR="006749B1" w:rsidRDefault="006749B1">
      <w:pPr>
        <w:suppressAutoHyphens w:val="0"/>
        <w:rPr>
          <w:color w:val="22B3ED" w:themeColor="accent3" w:themeShade="BF"/>
          <w:kern w:val="0"/>
          <w:sz w:val="22"/>
          <w:szCs w:val="22"/>
        </w:rPr>
      </w:pPr>
      <w:r>
        <w:br w:type="page"/>
      </w:r>
    </w:p>
    <w:p w14:paraId="4FEE8018" w14:textId="77777777" w:rsidR="00B730AF" w:rsidRPr="00B730AF" w:rsidRDefault="00B730AF" w:rsidP="000F5356">
      <w:pPr>
        <w:pStyle w:val="ARRBContentsTitle"/>
      </w:pPr>
      <w:r w:rsidRPr="00B730AF">
        <w:t>References</w:t>
      </w:r>
      <w:r w:rsidRPr="00B730AF">
        <w:tab/>
        <w:t>28</w:t>
      </w:r>
    </w:p>
    <w:p w14:paraId="0BB4FED9" w14:textId="77777777" w:rsidR="00B730AF" w:rsidRPr="00B730AF" w:rsidRDefault="00B730AF" w:rsidP="00837D8F">
      <w:pPr>
        <w:pStyle w:val="ARRBContentsTitle"/>
      </w:pPr>
      <w:r w:rsidRPr="00B730AF">
        <w:t>Appendix A.</w:t>
      </w:r>
      <w:r w:rsidR="00837D8F">
        <w:t xml:space="preserve"> </w:t>
      </w:r>
      <w:r w:rsidRPr="00B730AF">
        <w:t>Average Vehicle Operating Costs</w:t>
      </w:r>
      <w:r w:rsidRPr="00B730AF">
        <w:tab/>
        <w:t>31</w:t>
      </w:r>
    </w:p>
    <w:p w14:paraId="39A1946A" w14:textId="77777777" w:rsidR="00B730AF" w:rsidRPr="00B730AF" w:rsidRDefault="00B730AF" w:rsidP="00837D8F">
      <w:pPr>
        <w:pStyle w:val="ARRBContentsTitle"/>
      </w:pPr>
      <w:r w:rsidRPr="00B730AF">
        <w:t>Appendix B.</w:t>
      </w:r>
      <w:r w:rsidR="00837D8F">
        <w:t xml:space="preserve"> </w:t>
      </w:r>
      <w:r w:rsidRPr="00B730AF">
        <w:t>Discussion of Infrastructure Impact</w:t>
      </w:r>
      <w:r w:rsidRPr="00B730AF">
        <w:tab/>
        <w:t>33</w:t>
      </w:r>
    </w:p>
    <w:p w14:paraId="06C76839" w14:textId="77777777" w:rsidR="00B730AF" w:rsidRPr="00B730AF" w:rsidRDefault="00B730AF" w:rsidP="00837D8F">
      <w:pPr>
        <w:pStyle w:val="ARRBContentsTitle"/>
      </w:pPr>
      <w:r w:rsidRPr="00B730AF">
        <w:t>Appendix C.</w:t>
      </w:r>
      <w:r w:rsidR="00837D8F">
        <w:t xml:space="preserve"> </w:t>
      </w:r>
      <w:r w:rsidRPr="00B730AF">
        <w:t>Calculation of Average VKT</w:t>
      </w:r>
      <w:r w:rsidRPr="00B730AF">
        <w:tab/>
        <w:t>36</w:t>
      </w:r>
    </w:p>
    <w:p w14:paraId="2AF611A6" w14:textId="77777777" w:rsidR="00B730AF" w:rsidRPr="00B730AF" w:rsidRDefault="00B730AF" w:rsidP="00837D8F">
      <w:pPr>
        <w:pStyle w:val="ARRBContentsTitle"/>
      </w:pPr>
      <w:r w:rsidRPr="00B730AF">
        <w:t>Appendix D.</w:t>
      </w:r>
      <w:r w:rsidR="00837D8F">
        <w:t xml:space="preserve"> </w:t>
      </w:r>
      <w:r w:rsidRPr="00B730AF">
        <w:t>Estimated Crash Rates of Wider Vehicles</w:t>
      </w:r>
      <w:r w:rsidRPr="00B730AF">
        <w:tab/>
        <w:t>38</w:t>
      </w:r>
    </w:p>
    <w:p w14:paraId="3D0FD6F6" w14:textId="77777777" w:rsidR="00B730AF" w:rsidRPr="00B730AF" w:rsidRDefault="00B730AF" w:rsidP="00837D8F">
      <w:pPr>
        <w:pStyle w:val="ARRBContentsTitle"/>
      </w:pPr>
      <w:r w:rsidRPr="00B730AF">
        <w:t>Appendix E.</w:t>
      </w:r>
      <w:r w:rsidR="00837D8F">
        <w:t xml:space="preserve"> </w:t>
      </w:r>
      <w:r w:rsidRPr="00B730AF">
        <w:t>Crash Types and Crash Modification Factors</w:t>
      </w:r>
      <w:r w:rsidRPr="00B730AF">
        <w:tab/>
        <w:t>40</w:t>
      </w:r>
    </w:p>
    <w:p w14:paraId="23B6640D" w14:textId="77777777" w:rsidR="00B730AF" w:rsidRPr="00B730AF" w:rsidRDefault="00B730AF" w:rsidP="00837D8F">
      <w:pPr>
        <w:pStyle w:val="ARRBContentsTitle"/>
      </w:pPr>
      <w:r w:rsidRPr="00B730AF">
        <w:t>Appendix F.</w:t>
      </w:r>
      <w:r w:rsidR="00837D8F">
        <w:t xml:space="preserve"> </w:t>
      </w:r>
      <w:r w:rsidRPr="00B730AF">
        <w:t>BCA Model Data Sources</w:t>
      </w:r>
      <w:r w:rsidRPr="00B730AF">
        <w:tab/>
        <w:t>43</w:t>
      </w:r>
    </w:p>
    <w:p w14:paraId="2729018B" w14:textId="77777777" w:rsidR="00003ACF" w:rsidRDefault="00B730AF">
      <w:pPr>
        <w:suppressAutoHyphens w:val="0"/>
        <w:rPr>
          <w:color w:val="auto"/>
          <w:kern w:val="0"/>
          <w:sz w:val="22"/>
          <w:szCs w:val="22"/>
        </w:rPr>
      </w:pPr>
      <w:r w:rsidRPr="00B730AF">
        <w:cr/>
      </w:r>
      <w:r w:rsidR="00003ACF">
        <w:br w:type="page"/>
      </w:r>
    </w:p>
    <w:p w14:paraId="6B2CFB86" w14:textId="77777777" w:rsidR="00B730AF" w:rsidRPr="006749B1" w:rsidRDefault="00B730AF" w:rsidP="006749B1">
      <w:pPr>
        <w:suppressAutoHyphens w:val="0"/>
        <w:spacing w:before="0" w:after="160" w:line="259" w:lineRule="auto"/>
        <w:rPr>
          <w:rFonts w:ascii="Calibri" w:eastAsia="Calibri" w:hAnsi="Calibri" w:cs="Times New Roman"/>
          <w:b/>
          <w:bCs/>
          <w:color w:val="00A1DE"/>
          <w:kern w:val="0"/>
          <w:sz w:val="40"/>
          <w:szCs w:val="40"/>
        </w:rPr>
      </w:pPr>
      <w:r w:rsidRPr="006749B1">
        <w:rPr>
          <w:rFonts w:ascii="Calibri" w:eastAsia="Calibri" w:hAnsi="Calibri" w:cs="Times New Roman"/>
          <w:b/>
          <w:bCs/>
          <w:color w:val="00A1DE"/>
          <w:kern w:val="0"/>
          <w:sz w:val="40"/>
          <w:szCs w:val="40"/>
        </w:rPr>
        <w:t>Tables</w:t>
      </w:r>
    </w:p>
    <w:p w14:paraId="37BA2F34" w14:textId="77777777" w:rsidR="00B730AF" w:rsidRPr="00B730AF" w:rsidRDefault="00B730AF" w:rsidP="00837D8F">
      <w:pPr>
        <w:pStyle w:val="ARRBContentsTable"/>
      </w:pPr>
      <w:r w:rsidRPr="00B730AF">
        <w:t>Table S.1:</w:t>
      </w:r>
      <w:r w:rsidRPr="00B730AF">
        <w:tab/>
        <w:t>Vehicle widening options with mandated safety features</w:t>
      </w:r>
      <w:r w:rsidRPr="00B730AF">
        <w:tab/>
        <w:t>5</w:t>
      </w:r>
    </w:p>
    <w:p w14:paraId="7CB1AA8A" w14:textId="77777777" w:rsidR="00B730AF" w:rsidRPr="00B730AF" w:rsidRDefault="00B730AF" w:rsidP="00837D8F">
      <w:pPr>
        <w:pStyle w:val="ARRBContentsTable"/>
      </w:pPr>
      <w:r w:rsidRPr="00B730AF">
        <w:t>Table 2.1:</w:t>
      </w:r>
      <w:r w:rsidRPr="00B730AF">
        <w:tab/>
        <w:t>Representative vehicle and trailer operating costs</w:t>
      </w:r>
      <w:r w:rsidRPr="00B730AF">
        <w:tab/>
        <w:t>5</w:t>
      </w:r>
    </w:p>
    <w:p w14:paraId="46E8695E" w14:textId="77777777" w:rsidR="00B730AF" w:rsidRPr="00B730AF" w:rsidRDefault="00B730AF" w:rsidP="00837D8F">
      <w:pPr>
        <w:pStyle w:val="ARRBContentsTable"/>
      </w:pPr>
      <w:r w:rsidRPr="00B730AF">
        <w:t>Table 3.1:</w:t>
      </w:r>
      <w:r w:rsidRPr="00B730AF">
        <w:tab/>
        <w:t>Unit fitment cost of safety features</w:t>
      </w:r>
      <w:r w:rsidRPr="00B730AF">
        <w:tab/>
        <w:t>8</w:t>
      </w:r>
    </w:p>
    <w:p w14:paraId="5D1F1117" w14:textId="77777777" w:rsidR="00B730AF" w:rsidRPr="00B730AF" w:rsidRDefault="00B730AF" w:rsidP="00837D8F">
      <w:pPr>
        <w:pStyle w:val="ARRBContentsTable"/>
      </w:pPr>
      <w:r w:rsidRPr="00B730AF">
        <w:t>Table 3.2:</w:t>
      </w:r>
      <w:r w:rsidRPr="00B730AF">
        <w:tab/>
        <w:t>Summary of costs associated with the analysis</w:t>
      </w:r>
      <w:r w:rsidRPr="00B730AF">
        <w:tab/>
        <w:t>9</w:t>
      </w:r>
    </w:p>
    <w:p w14:paraId="0BDF864F" w14:textId="77777777" w:rsidR="00B730AF" w:rsidRPr="00B730AF" w:rsidRDefault="00B730AF" w:rsidP="00837D8F">
      <w:pPr>
        <w:pStyle w:val="ARRBContentsTable"/>
      </w:pPr>
      <w:r w:rsidRPr="00B730AF">
        <w:t>Table 4.1:</w:t>
      </w:r>
      <w:r w:rsidRPr="00B730AF">
        <w:tab/>
        <w:t>Market share of vehicles and trailers by country of origin</w:t>
      </w:r>
      <w:r w:rsidRPr="00B730AF">
        <w:tab/>
        <w:t>14</w:t>
      </w:r>
    </w:p>
    <w:p w14:paraId="19304E35" w14:textId="77777777" w:rsidR="00B730AF" w:rsidRPr="00B730AF" w:rsidRDefault="00B730AF" w:rsidP="00837D8F">
      <w:pPr>
        <w:pStyle w:val="ARRBContentsTable"/>
      </w:pPr>
      <w:r w:rsidRPr="00B730AF">
        <w:t>Table 5.1:</w:t>
      </w:r>
      <w:r w:rsidRPr="00B730AF">
        <w:tab/>
        <w:t>Average annual km travelled per vehicle type in the analysis</w:t>
      </w:r>
      <w:r w:rsidRPr="00B730AF">
        <w:tab/>
        <w:t>16</w:t>
      </w:r>
    </w:p>
    <w:p w14:paraId="6D3501FF" w14:textId="77777777" w:rsidR="00B730AF" w:rsidRPr="00B730AF" w:rsidRDefault="00B730AF" w:rsidP="00837D8F">
      <w:pPr>
        <w:pStyle w:val="ARRBContentsTable"/>
      </w:pPr>
      <w:r w:rsidRPr="00B730AF">
        <w:t>Table 5.2:</w:t>
      </w:r>
      <w:r w:rsidRPr="00B730AF">
        <w:tab/>
        <w:t>Crash risks mitigated by safety features</w:t>
      </w:r>
      <w:r w:rsidRPr="00B730AF">
        <w:tab/>
        <w:t>18</w:t>
      </w:r>
    </w:p>
    <w:p w14:paraId="259A7D10" w14:textId="77777777" w:rsidR="00B730AF" w:rsidRPr="00B730AF" w:rsidRDefault="00B730AF" w:rsidP="00837D8F">
      <w:pPr>
        <w:pStyle w:val="ARRBContentsTable"/>
      </w:pPr>
      <w:r w:rsidRPr="00B730AF">
        <w:t>Table 5.3:</w:t>
      </w:r>
      <w:r w:rsidRPr="00B730AF">
        <w:tab/>
        <w:t>Crash modification factors of safety features</w:t>
      </w:r>
      <w:r w:rsidRPr="00B730AF">
        <w:tab/>
        <w:t>18</w:t>
      </w:r>
    </w:p>
    <w:p w14:paraId="32BC982B" w14:textId="77777777" w:rsidR="00B730AF" w:rsidRPr="00B730AF" w:rsidRDefault="00B730AF" w:rsidP="00837D8F">
      <w:pPr>
        <w:pStyle w:val="ARRBContentsTable"/>
      </w:pPr>
      <w:r w:rsidRPr="00B730AF">
        <w:t>Table 5.4:</w:t>
      </w:r>
      <w:r w:rsidRPr="00B730AF">
        <w:tab/>
        <w:t>Unit crash cost at 2023-dollar values</w:t>
      </w:r>
      <w:r w:rsidRPr="00B730AF">
        <w:tab/>
        <w:t>18</w:t>
      </w:r>
    </w:p>
    <w:p w14:paraId="08267CCC" w14:textId="77777777" w:rsidR="00B730AF" w:rsidRPr="00B730AF" w:rsidRDefault="00B730AF" w:rsidP="00837D8F">
      <w:pPr>
        <w:pStyle w:val="ARRBContentsTable"/>
      </w:pPr>
      <w:r w:rsidRPr="00B730AF">
        <w:t>Table 5.5:</w:t>
      </w:r>
      <w:r w:rsidRPr="00B730AF">
        <w:tab/>
        <w:t>VOC parameter values</w:t>
      </w:r>
      <w:r w:rsidRPr="00B730AF">
        <w:tab/>
        <w:t>19</w:t>
      </w:r>
    </w:p>
    <w:p w14:paraId="478E430D" w14:textId="77777777" w:rsidR="00B730AF" w:rsidRPr="00B730AF" w:rsidRDefault="00B730AF" w:rsidP="00837D8F">
      <w:pPr>
        <w:pStyle w:val="ARRBContentsTable"/>
      </w:pPr>
      <w:r w:rsidRPr="00B730AF">
        <w:t>Table 5.6:</w:t>
      </w:r>
      <w:r w:rsidRPr="00B730AF">
        <w:tab/>
        <w:t>Environmental parameter values</w:t>
      </w:r>
      <w:r w:rsidRPr="00B730AF">
        <w:tab/>
        <w:t>20</w:t>
      </w:r>
    </w:p>
    <w:p w14:paraId="37AF1241" w14:textId="77777777" w:rsidR="00B730AF" w:rsidRPr="00B730AF" w:rsidRDefault="00B730AF" w:rsidP="00837D8F">
      <w:pPr>
        <w:pStyle w:val="ARRBContentsTable"/>
      </w:pPr>
      <w:r w:rsidRPr="00B730AF">
        <w:t>Table 5.7:</w:t>
      </w:r>
      <w:r w:rsidRPr="00B730AF">
        <w:tab/>
        <w:t>Parameter variations in primary and sensitivity analysis</w:t>
      </w:r>
      <w:r w:rsidRPr="00B730AF">
        <w:tab/>
        <w:t>21</w:t>
      </w:r>
    </w:p>
    <w:p w14:paraId="525C1ADC" w14:textId="77777777" w:rsidR="00B730AF" w:rsidRPr="00B730AF" w:rsidRDefault="00B730AF" w:rsidP="00837D8F">
      <w:pPr>
        <w:pStyle w:val="ARRBContentsTable"/>
      </w:pPr>
      <w:r w:rsidRPr="00B730AF">
        <w:t>Table 6.1:</w:t>
      </w:r>
      <w:r w:rsidRPr="00B730AF">
        <w:tab/>
        <w:t>Vehicle widening options with mandated safety features</w:t>
      </w:r>
      <w:r w:rsidRPr="00B730AF">
        <w:tab/>
        <w:t>22</w:t>
      </w:r>
    </w:p>
    <w:p w14:paraId="327F3C32" w14:textId="77777777" w:rsidR="00B730AF" w:rsidRPr="00B730AF" w:rsidRDefault="00B730AF" w:rsidP="00837D8F">
      <w:pPr>
        <w:pStyle w:val="ARRBContentsTable"/>
      </w:pPr>
      <w:r w:rsidRPr="00B730AF">
        <w:t>Table 6.2:</w:t>
      </w:r>
      <w:r w:rsidRPr="00B730AF">
        <w:tab/>
        <w:t>Sensitivity in discount rate for vehicle widening options</w:t>
      </w:r>
      <w:r w:rsidRPr="00B730AF">
        <w:tab/>
        <w:t>22</w:t>
      </w:r>
    </w:p>
    <w:p w14:paraId="56350E93" w14:textId="77777777" w:rsidR="00B730AF" w:rsidRPr="00B730AF" w:rsidRDefault="00B730AF" w:rsidP="00837D8F">
      <w:pPr>
        <w:pStyle w:val="ARRBContentsTable"/>
      </w:pPr>
      <w:r w:rsidRPr="00B730AF">
        <w:t>Table 6.3:</w:t>
      </w:r>
      <w:r w:rsidRPr="00B730AF">
        <w:tab/>
        <w:t>Sensitivity in infrastructure update cost for vehicle widening options</w:t>
      </w:r>
      <w:r w:rsidRPr="00B730AF">
        <w:tab/>
        <w:t>23</w:t>
      </w:r>
    </w:p>
    <w:p w14:paraId="4C7CF106" w14:textId="77777777" w:rsidR="00B730AF" w:rsidRPr="00B730AF" w:rsidRDefault="00B730AF" w:rsidP="00837D8F">
      <w:pPr>
        <w:pStyle w:val="ARRBContentsTable"/>
      </w:pPr>
      <w:r w:rsidRPr="00B730AF">
        <w:t>Table 6.4:</w:t>
      </w:r>
      <w:r w:rsidRPr="00B730AF">
        <w:tab/>
        <w:t>Sensitivity in the cost of safety features for vehicle widening options</w:t>
      </w:r>
      <w:r w:rsidRPr="00B730AF">
        <w:tab/>
        <w:t>23</w:t>
      </w:r>
    </w:p>
    <w:p w14:paraId="703741ED" w14:textId="77777777" w:rsidR="00B730AF" w:rsidRPr="00B730AF" w:rsidRDefault="00B730AF" w:rsidP="00837D8F">
      <w:pPr>
        <w:pStyle w:val="ARRBContentsTable"/>
      </w:pPr>
      <w:r w:rsidRPr="00B730AF">
        <w:t>Table 6.5:</w:t>
      </w:r>
      <w:r w:rsidRPr="00B730AF">
        <w:tab/>
        <w:t>Sensitivity in projected total fleet annual growth rates for vehicle and trailer widening options</w:t>
      </w:r>
      <w:r w:rsidRPr="00B730AF">
        <w:tab/>
        <w:t>23</w:t>
      </w:r>
    </w:p>
    <w:p w14:paraId="12E91DA2" w14:textId="77777777" w:rsidR="00B730AF" w:rsidRPr="00B730AF" w:rsidRDefault="00B730AF" w:rsidP="00837D8F">
      <w:pPr>
        <w:pStyle w:val="ARRBContentsTable"/>
      </w:pPr>
      <w:r w:rsidRPr="00B730AF">
        <w:t>Table 6.6:</w:t>
      </w:r>
      <w:r w:rsidRPr="00B730AF">
        <w:tab/>
        <w:t>Sensitivity in change in crash reduction factors (effectiveness of safety features)</w:t>
      </w:r>
      <w:r w:rsidRPr="00B730AF">
        <w:tab/>
        <w:t>23</w:t>
      </w:r>
    </w:p>
    <w:p w14:paraId="14227F22" w14:textId="77777777" w:rsidR="00B730AF" w:rsidRPr="00B730AF" w:rsidRDefault="00B730AF" w:rsidP="00837D8F">
      <w:pPr>
        <w:pStyle w:val="ARRBContentsTable"/>
      </w:pPr>
      <w:r w:rsidRPr="00B730AF">
        <w:t>Table 6.7:</w:t>
      </w:r>
      <w:r w:rsidRPr="00B730AF">
        <w:tab/>
        <w:t>Sensitivity in Change in Crash Risk for wider vehicles</w:t>
      </w:r>
      <w:r w:rsidRPr="00B730AF">
        <w:tab/>
        <w:t>24</w:t>
      </w:r>
    </w:p>
    <w:p w14:paraId="0A74066F" w14:textId="77777777" w:rsidR="00B730AF" w:rsidRPr="00B730AF" w:rsidRDefault="00B730AF" w:rsidP="00837D8F">
      <w:pPr>
        <w:pStyle w:val="ARRBContentsTable"/>
      </w:pPr>
      <w:r w:rsidRPr="00B730AF">
        <w:t>Table 6.8:</w:t>
      </w:r>
      <w:r w:rsidRPr="00B730AF">
        <w:tab/>
        <w:t>Sensitivity in voluntary uptake (years to reach 100%) – vehicles from Europe/USA for vehicle widening options</w:t>
      </w:r>
      <w:r w:rsidRPr="00B730AF">
        <w:tab/>
        <w:t>24</w:t>
      </w:r>
    </w:p>
    <w:p w14:paraId="202783F4" w14:textId="77777777" w:rsidR="00B730AF" w:rsidRPr="00B730AF" w:rsidRDefault="00B730AF" w:rsidP="00837D8F">
      <w:pPr>
        <w:pStyle w:val="ARRBContentsTable"/>
      </w:pPr>
      <w:r w:rsidRPr="00B730AF">
        <w:t>Table 6.9:</w:t>
      </w:r>
      <w:r w:rsidRPr="00B730AF">
        <w:tab/>
        <w:t>Sensitivity in voluntary uptake (years to reach 100%) – vehicles from Japan/South Korea for vehicle widening options</w:t>
      </w:r>
      <w:r w:rsidRPr="00B730AF">
        <w:tab/>
        <w:t>24</w:t>
      </w:r>
    </w:p>
    <w:p w14:paraId="26FDE0E3" w14:textId="77777777" w:rsidR="00B730AF" w:rsidRPr="00B730AF" w:rsidRDefault="00B730AF" w:rsidP="00837D8F">
      <w:pPr>
        <w:pStyle w:val="ARRBContentsTable"/>
      </w:pPr>
      <w:r w:rsidRPr="00B730AF">
        <w:t>Table 6.10:</w:t>
      </w:r>
      <w:r w:rsidRPr="00B730AF">
        <w:tab/>
        <w:t>Sensitivity in voluntary uptake (years to reach 100%) – Australian vehicle body builders for vehicle widening options</w:t>
      </w:r>
      <w:r w:rsidRPr="00B730AF">
        <w:tab/>
        <w:t>25</w:t>
      </w:r>
    </w:p>
    <w:p w14:paraId="74A9359C" w14:textId="77777777" w:rsidR="00B730AF" w:rsidRPr="00B730AF" w:rsidRDefault="00B730AF" w:rsidP="00837D8F">
      <w:pPr>
        <w:pStyle w:val="ARRBContentsTable"/>
      </w:pPr>
      <w:r w:rsidRPr="00B730AF">
        <w:t>Table 6.11:</w:t>
      </w:r>
      <w:r w:rsidRPr="00B730AF">
        <w:tab/>
        <w:t>Sensitivity in voluntary uptake (years to reach 100%) – imported trailers for vehicle widening options</w:t>
      </w:r>
      <w:r w:rsidRPr="00B730AF">
        <w:tab/>
        <w:t>25</w:t>
      </w:r>
    </w:p>
    <w:p w14:paraId="1A7A9703" w14:textId="77777777" w:rsidR="00B730AF" w:rsidRPr="00B730AF" w:rsidRDefault="00B730AF" w:rsidP="00837D8F">
      <w:pPr>
        <w:pStyle w:val="ARRBContentsTable"/>
      </w:pPr>
      <w:r w:rsidRPr="00B730AF">
        <w:t>Table 6.12:</w:t>
      </w:r>
      <w:r w:rsidRPr="00B730AF">
        <w:tab/>
        <w:t>Sensitivity in voluntary uptake (years to reach 100%) – locally manufactured trailers for vehicle widening options</w:t>
      </w:r>
      <w:r w:rsidRPr="00B730AF">
        <w:tab/>
        <w:t>25</w:t>
      </w:r>
    </w:p>
    <w:p w14:paraId="6C0012F2" w14:textId="77777777" w:rsidR="00B730AF" w:rsidRPr="00B730AF" w:rsidRDefault="00B730AF" w:rsidP="00837D8F">
      <w:pPr>
        <w:pStyle w:val="ARRBContentsTable"/>
      </w:pPr>
      <w:r w:rsidRPr="00B730AF">
        <w:t>Table 6.13:</w:t>
      </w:r>
      <w:r w:rsidRPr="00B730AF">
        <w:tab/>
        <w:t>Sensitivity in change of refrigerated freight task</w:t>
      </w:r>
      <w:r w:rsidRPr="00B730AF">
        <w:tab/>
        <w:t>26</w:t>
      </w:r>
    </w:p>
    <w:p w14:paraId="59E3CB58" w14:textId="77777777" w:rsidR="00B730AF" w:rsidRPr="00B730AF" w:rsidRDefault="00B730AF" w:rsidP="00837D8F">
      <w:pPr>
        <w:pStyle w:val="ARRBContentsTable"/>
      </w:pPr>
      <w:r w:rsidRPr="00B730AF">
        <w:t>Table 6.14:</w:t>
      </w:r>
      <w:r w:rsidRPr="00B730AF">
        <w:tab/>
        <w:t>Sensitivity in trip reduction due to widening</w:t>
      </w:r>
      <w:r w:rsidRPr="00B730AF">
        <w:tab/>
        <w:t>26</w:t>
      </w:r>
    </w:p>
    <w:p w14:paraId="12FCCB82" w14:textId="77777777" w:rsidR="00003ACF" w:rsidRDefault="00B730AF">
      <w:pPr>
        <w:suppressAutoHyphens w:val="0"/>
        <w:rPr>
          <w:color w:val="auto"/>
          <w:kern w:val="0"/>
          <w:sz w:val="22"/>
          <w:szCs w:val="22"/>
        </w:rPr>
      </w:pPr>
      <w:r w:rsidRPr="00B730AF">
        <w:cr/>
      </w:r>
      <w:r w:rsidR="00003ACF">
        <w:br w:type="page"/>
      </w:r>
    </w:p>
    <w:p w14:paraId="0717FA38" w14:textId="77777777" w:rsidR="00B730AF" w:rsidRPr="006749B1" w:rsidRDefault="00B730AF" w:rsidP="006749B1">
      <w:pPr>
        <w:suppressAutoHyphens w:val="0"/>
        <w:spacing w:before="0" w:after="160" w:line="259" w:lineRule="auto"/>
        <w:rPr>
          <w:rFonts w:ascii="Calibri" w:eastAsia="Calibri" w:hAnsi="Calibri" w:cs="Times New Roman"/>
          <w:b/>
          <w:bCs/>
          <w:color w:val="00A1DE"/>
          <w:kern w:val="0"/>
          <w:sz w:val="40"/>
          <w:szCs w:val="40"/>
        </w:rPr>
      </w:pPr>
      <w:r w:rsidRPr="006749B1">
        <w:rPr>
          <w:rFonts w:ascii="Calibri" w:eastAsia="Calibri" w:hAnsi="Calibri" w:cs="Times New Roman"/>
          <w:b/>
          <w:bCs/>
          <w:color w:val="00A1DE"/>
          <w:kern w:val="0"/>
          <w:sz w:val="40"/>
          <w:szCs w:val="40"/>
        </w:rPr>
        <w:t>Figures</w:t>
      </w:r>
    </w:p>
    <w:p w14:paraId="3DE6EE77" w14:textId="77777777" w:rsidR="00B730AF" w:rsidRPr="00B730AF" w:rsidRDefault="00B730AF" w:rsidP="006749B1">
      <w:pPr>
        <w:pStyle w:val="ARRBContentsTable"/>
      </w:pPr>
      <w:r w:rsidRPr="00B730AF">
        <w:t>Figure S.1</w:t>
      </w:r>
      <w:r w:rsidRPr="00B730AF">
        <w:tab/>
        <w:t>Analysis period showing the fleet of vehicles in the analysis</w:t>
      </w:r>
      <w:r w:rsidRPr="00B730AF">
        <w:tab/>
        <w:t>4</w:t>
      </w:r>
    </w:p>
    <w:p w14:paraId="5F5726F1" w14:textId="77777777" w:rsidR="00B730AF" w:rsidRPr="00B730AF" w:rsidRDefault="00B730AF" w:rsidP="006749B1">
      <w:pPr>
        <w:pStyle w:val="ARRBContentsTable"/>
      </w:pPr>
      <w:r w:rsidRPr="00B730AF">
        <w:t>Figure 2.1:</w:t>
      </w:r>
      <w:r w:rsidRPr="00B730AF">
        <w:tab/>
        <w:t>Number of vehicles compliant with 2023 regulation over the assessment period</w:t>
      </w:r>
      <w:r w:rsidRPr="00B730AF">
        <w:tab/>
        <w:t>5</w:t>
      </w:r>
    </w:p>
    <w:p w14:paraId="2D7DD1FB" w14:textId="77777777" w:rsidR="00B730AF" w:rsidRPr="00B730AF" w:rsidRDefault="00B730AF" w:rsidP="006749B1">
      <w:pPr>
        <w:pStyle w:val="ARRBContentsTable"/>
      </w:pPr>
      <w:r w:rsidRPr="00B730AF">
        <w:t>Figure 4.1:</w:t>
      </w:r>
      <w:r w:rsidRPr="00B730AF">
        <w:tab/>
        <w:t>Projected total fleet size over the analysis period</w:t>
      </w:r>
      <w:r w:rsidRPr="00B730AF">
        <w:tab/>
        <w:t>11</w:t>
      </w:r>
    </w:p>
    <w:p w14:paraId="4EED4946" w14:textId="77777777" w:rsidR="00B730AF" w:rsidRPr="00B730AF" w:rsidRDefault="00B730AF" w:rsidP="006749B1">
      <w:pPr>
        <w:pStyle w:val="ARRBContentsTable"/>
      </w:pPr>
      <w:r w:rsidRPr="00B730AF">
        <w:t>Figure 4.2:</w:t>
      </w:r>
      <w:r w:rsidRPr="00B730AF">
        <w:tab/>
        <w:t>Adoption rate of new width by heavy vehicles manufactured in USA and Europe in Option 1</w:t>
      </w:r>
      <w:r w:rsidRPr="00B730AF">
        <w:tab/>
        <w:t>13</w:t>
      </w:r>
    </w:p>
    <w:p w14:paraId="0020DA06" w14:textId="77777777" w:rsidR="00B730AF" w:rsidRPr="00B730AF" w:rsidRDefault="00B730AF" w:rsidP="006749B1">
      <w:pPr>
        <w:pStyle w:val="ARRBContentsTable"/>
      </w:pPr>
      <w:r w:rsidRPr="00B730AF">
        <w:t>Figure 4.3:</w:t>
      </w:r>
      <w:r w:rsidRPr="00B730AF">
        <w:tab/>
        <w:t>Adoption rate of new width by heavy vehicles manufactured in Japan and South Korea in Option 1</w:t>
      </w:r>
      <w:r w:rsidRPr="00B730AF">
        <w:tab/>
        <w:t>13</w:t>
      </w:r>
    </w:p>
    <w:p w14:paraId="0758D89F" w14:textId="77777777" w:rsidR="00B730AF" w:rsidRPr="00B730AF" w:rsidRDefault="00B730AF" w:rsidP="006749B1">
      <w:pPr>
        <w:pStyle w:val="ARRBContentsTable"/>
      </w:pPr>
      <w:r w:rsidRPr="00B730AF">
        <w:t>Figure 4.4:</w:t>
      </w:r>
      <w:r w:rsidRPr="00B730AF">
        <w:tab/>
        <w:t>Adoption rate of new width by heavy vehicles manufactured in Australia in Option 1</w:t>
      </w:r>
      <w:r w:rsidRPr="00B730AF">
        <w:tab/>
        <w:t>13</w:t>
      </w:r>
    </w:p>
    <w:p w14:paraId="767B0754" w14:textId="77777777" w:rsidR="00B730AF" w:rsidRPr="00B730AF" w:rsidRDefault="00B730AF" w:rsidP="006749B1">
      <w:pPr>
        <w:pStyle w:val="ARRBContentsTable"/>
      </w:pPr>
      <w:r w:rsidRPr="00B730AF">
        <w:t>Figure 4.5:</w:t>
      </w:r>
      <w:r w:rsidRPr="00B730AF">
        <w:tab/>
        <w:t>Adoption rate of new width by imported trailers in Option 1</w:t>
      </w:r>
      <w:r w:rsidRPr="00B730AF">
        <w:tab/>
        <w:t>14</w:t>
      </w:r>
    </w:p>
    <w:p w14:paraId="68D5193D" w14:textId="77777777" w:rsidR="00B730AF" w:rsidRPr="00B730AF" w:rsidRDefault="00B730AF" w:rsidP="006749B1">
      <w:pPr>
        <w:pStyle w:val="ARRBContentsTable"/>
      </w:pPr>
      <w:r w:rsidRPr="00B730AF">
        <w:t>Figure 4.6:</w:t>
      </w:r>
      <w:r w:rsidRPr="00B730AF">
        <w:tab/>
        <w:t>Adoption rate of new width by heavy trailer manufacturers in Australia in Option 1</w:t>
      </w:r>
      <w:r w:rsidRPr="00B730AF">
        <w:tab/>
        <w:t>14</w:t>
      </w:r>
    </w:p>
    <w:p w14:paraId="52363444" w14:textId="77777777" w:rsidR="00B730AF" w:rsidRPr="00B730AF" w:rsidRDefault="00B730AF" w:rsidP="006749B1">
      <w:pPr>
        <w:pStyle w:val="ARRBContentsTable"/>
      </w:pPr>
      <w:r w:rsidRPr="00B730AF">
        <w:t>Figure 5.1:</w:t>
      </w:r>
      <w:r w:rsidRPr="00B730AF">
        <w:tab/>
        <w:t>BAU adoption rate of safety features by heavy vehicles and trailers</w:t>
      </w:r>
      <w:r w:rsidRPr="00B730AF">
        <w:tab/>
        <w:t>17</w:t>
      </w:r>
    </w:p>
    <w:p w14:paraId="047FFF41" w14:textId="77777777" w:rsidR="00B730AF" w:rsidRPr="00452B58" w:rsidRDefault="00B730AF" w:rsidP="00B730AF">
      <w:pPr>
        <w:pStyle w:val="ARRBBase"/>
      </w:pPr>
      <w:r w:rsidRPr="00B730AF">
        <w:cr/>
      </w:r>
    </w:p>
    <w:bookmarkStart w:id="198" w:name="BM_SectionBreakToC" w:displacedByCustomXml="next"/>
    <w:sdt>
      <w:sdtPr>
        <w:rPr>
          <w:rFonts w:ascii="Arial" w:eastAsia="Calibri" w:hAnsi="Arial" w:cs="Arial"/>
          <w:color w:val="000000"/>
          <w:kern w:val="0"/>
          <w:szCs w:val="18"/>
          <w:lang w:val="en-GB"/>
        </w:rPr>
        <w:alias w:val="Locked Section Break"/>
        <w:tag w:val="Locked Section Break"/>
        <w:id w:val="-1929188143"/>
        <w:lock w:val="contentLocked"/>
        <w:placeholder>
          <w:docPart w:val="3F12B014E2CF4ABB935D789691EC9584"/>
        </w:placeholder>
      </w:sdtPr>
      <w:sdtEndPr>
        <w:rPr>
          <w:sz w:val="18"/>
        </w:rPr>
      </w:sdtEndPr>
      <w:sdtContent>
        <w:p w14:paraId="3D701F54" w14:textId="77777777" w:rsidR="00452B58" w:rsidRPr="00452B58" w:rsidRDefault="00452B58" w:rsidP="00452B58">
          <w:pPr>
            <w:numPr>
              <w:ilvl w:val="0"/>
              <w:numId w:val="83"/>
            </w:numPr>
            <w:suppressAutoHyphens w:val="0"/>
            <w:spacing w:before="0" w:after="0" w:line="288" w:lineRule="auto"/>
            <w:ind w:left="0" w:firstLine="0"/>
            <w:rPr>
              <w:rFonts w:ascii="Arial" w:eastAsia="Calibri" w:hAnsi="Arial" w:cs="Times New Roman"/>
              <w:color w:val="auto"/>
              <w:kern w:val="0"/>
              <w:sz w:val="2"/>
              <w:szCs w:val="22"/>
            </w:rPr>
          </w:pPr>
        </w:p>
        <w:p w14:paraId="116EB4A2" w14:textId="77777777" w:rsidR="00452B58" w:rsidRPr="00452B58" w:rsidRDefault="00AB344F" w:rsidP="00452B58">
          <w:pPr>
            <w:suppressAutoHyphens w:val="0"/>
            <w:spacing w:before="0" w:after="0" w:line="288" w:lineRule="auto"/>
            <w:rPr>
              <w:rFonts w:ascii="Arial" w:eastAsia="Calibri" w:hAnsi="Arial" w:cs="Arial"/>
              <w:color w:val="000000"/>
              <w:kern w:val="0"/>
              <w:sz w:val="18"/>
              <w:szCs w:val="18"/>
              <w:lang w:val="en-GB"/>
            </w:rPr>
            <w:sectPr w:rsidR="00452B58" w:rsidRPr="00452B58" w:rsidSect="00452B58">
              <w:pgSz w:w="11906" w:h="16838" w:code="9"/>
              <w:pgMar w:top="1134" w:right="1134" w:bottom="1134" w:left="1134" w:header="680" w:footer="284" w:gutter="0"/>
              <w:cols w:space="708"/>
              <w:docGrid w:linePitch="360"/>
            </w:sectPr>
          </w:pPr>
        </w:p>
      </w:sdtContent>
    </w:sdt>
    <w:bookmarkEnd w:id="198" w:displacedByCustomXml="prev"/>
    <w:p w14:paraId="5F145988" w14:textId="77777777" w:rsidR="00452B58" w:rsidRPr="00452B58" w:rsidRDefault="00452B58" w:rsidP="00452B58">
      <w:pPr>
        <w:pStyle w:val="ARRBBaseHeading1"/>
      </w:pPr>
      <w:bookmarkStart w:id="199" w:name="_Toc11745933"/>
      <w:bookmarkStart w:id="200" w:name="_Toc137731654"/>
      <w:r w:rsidRPr="00452B58">
        <w:t>Introduction</w:t>
      </w:r>
      <w:bookmarkEnd w:id="199"/>
      <w:bookmarkEnd w:id="200"/>
    </w:p>
    <w:p w14:paraId="2ABB9677" w14:textId="77777777" w:rsidR="00452B58" w:rsidRPr="00452B58" w:rsidRDefault="00452B58" w:rsidP="00452B58">
      <w:pPr>
        <w:pStyle w:val="ARRBBaseHeading2"/>
      </w:pPr>
      <w:bookmarkStart w:id="201" w:name="_Toc137731655"/>
      <w:r w:rsidRPr="00452B58">
        <w:t>Overview of the Analysis</w:t>
      </w:r>
      <w:bookmarkEnd w:id="201"/>
    </w:p>
    <w:p w14:paraId="798827D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project undertook an analysis of the costs and benefits of proposed changes to the Australian Design Rules (ADRs) based on two regulatory packages involving allowing wider freight vehicles (&gt; 2.50 m) and the mandating of safety feature technologies.</w:t>
      </w:r>
    </w:p>
    <w:p w14:paraId="776CA64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involved benefit-cost analyses (BCA) of four proposed options:</w:t>
      </w:r>
    </w:p>
    <w:p w14:paraId="1E3345AA" w14:textId="77777777" w:rsidR="00452B58" w:rsidRPr="00452B58" w:rsidRDefault="00452B58" w:rsidP="00452B58">
      <w:pPr>
        <w:pStyle w:val="ARRBBulletLevel1"/>
        <w:rPr>
          <w:b/>
          <w:bCs/>
        </w:rPr>
      </w:pPr>
      <w:r w:rsidRPr="00452B58">
        <w:rPr>
          <w:b/>
          <w:bCs/>
          <w:color w:val="00A1DE"/>
        </w:rPr>
        <w:t>Option 1</w:t>
      </w:r>
      <w:r w:rsidRPr="00452B58">
        <w:tab/>
        <w:t>Width limit of 2.55 m for goods vehicles and trailers over 4.5 tonnes</w:t>
      </w:r>
    </w:p>
    <w:p w14:paraId="30043ED6" w14:textId="77777777" w:rsidR="00452B58" w:rsidRPr="00452B58" w:rsidRDefault="00452B58" w:rsidP="00452B58">
      <w:pPr>
        <w:pStyle w:val="ARRBBulletLevel1"/>
        <w:rPr>
          <w:b/>
          <w:bCs/>
        </w:rPr>
      </w:pPr>
      <w:r w:rsidRPr="00452B58">
        <w:rPr>
          <w:b/>
          <w:bCs/>
          <w:color w:val="00A1DE"/>
        </w:rPr>
        <w:t>Option 2</w:t>
      </w:r>
      <w:r w:rsidRPr="00452B58">
        <w:tab/>
        <w:t>Width limit of 2.55 m for goods vehicles over 4.5 tonnes only</w:t>
      </w:r>
    </w:p>
    <w:p w14:paraId="2DEB546F" w14:textId="77777777" w:rsidR="00452B58" w:rsidRPr="00452B58" w:rsidRDefault="00452B58" w:rsidP="00452B58">
      <w:pPr>
        <w:pStyle w:val="ARRBBulletLevel1"/>
        <w:rPr>
          <w:b/>
          <w:bCs/>
        </w:rPr>
      </w:pPr>
      <w:r w:rsidRPr="00452B58">
        <w:rPr>
          <w:b/>
          <w:bCs/>
          <w:color w:val="00A1DE"/>
        </w:rPr>
        <w:t>Option 3</w:t>
      </w:r>
      <w:r w:rsidRPr="00452B58">
        <w:tab/>
        <w:t>Width limit of 2.60 m for goods vehicles and trailers over 4.5 tonnes</w:t>
      </w:r>
    </w:p>
    <w:p w14:paraId="3813051C" w14:textId="77777777" w:rsidR="00452B58" w:rsidRPr="00452B58" w:rsidRDefault="00452B58" w:rsidP="00452B58">
      <w:pPr>
        <w:pStyle w:val="ARRBBulletLevel1"/>
        <w:rPr>
          <w:b/>
          <w:bCs/>
        </w:rPr>
      </w:pPr>
      <w:r w:rsidRPr="00452B58">
        <w:rPr>
          <w:b/>
          <w:bCs/>
          <w:color w:val="00A1DE"/>
        </w:rPr>
        <w:t>Option 4</w:t>
      </w:r>
      <w:r w:rsidRPr="00452B58">
        <w:tab/>
        <w:t>Width limit of 2.60 m for goods vehicles over 4.5 tonnes only.</w:t>
      </w:r>
    </w:p>
    <w:p w14:paraId="4CB7D465" w14:textId="77777777" w:rsidR="00452B58" w:rsidRPr="00452B58" w:rsidRDefault="00452B58" w:rsidP="00452B58">
      <w:pPr>
        <w:suppressAutoHyphens w:val="0"/>
        <w:spacing w:before="0" w:after="160" w:line="259" w:lineRule="auto"/>
        <w:rPr>
          <w:rFonts w:ascii="Calibri" w:eastAsia="Calibri" w:hAnsi="Calibri" w:cs="Calibri"/>
          <w:b/>
          <w:bCs/>
          <w:color w:val="auto"/>
          <w:kern w:val="0"/>
          <w:sz w:val="22"/>
          <w:szCs w:val="22"/>
        </w:rPr>
      </w:pPr>
      <w:r w:rsidRPr="00452B58">
        <w:rPr>
          <w:rFonts w:ascii="Calibri" w:eastAsia="Calibri" w:hAnsi="Calibri" w:cs="Calibri"/>
          <w:color w:val="auto"/>
          <w:kern w:val="0"/>
          <w:sz w:val="22"/>
          <w:szCs w:val="22"/>
        </w:rPr>
        <w:t>The four BCA analyses included seven mandated safety features:</w:t>
      </w:r>
    </w:p>
    <w:p w14:paraId="435BFCA2" w14:textId="77777777" w:rsidR="00452B58" w:rsidRPr="00452B58" w:rsidRDefault="00452B58" w:rsidP="00452B58">
      <w:pPr>
        <w:pStyle w:val="ARRBBulletLevel1"/>
        <w:rPr>
          <w:b/>
          <w:bCs/>
        </w:rPr>
      </w:pPr>
      <w:r w:rsidRPr="00452B58">
        <w:t>devices for indirect vision (DIV)</w:t>
      </w:r>
    </w:p>
    <w:p w14:paraId="3AF7B9CE" w14:textId="77777777" w:rsidR="00452B58" w:rsidRPr="00452B58" w:rsidRDefault="00452B58" w:rsidP="00452B58">
      <w:pPr>
        <w:pStyle w:val="ARRBBulletLevel1"/>
        <w:rPr>
          <w:b/>
          <w:bCs/>
        </w:rPr>
      </w:pPr>
      <w:r w:rsidRPr="00452B58">
        <w:t>commercial vehicle brake systems (CVB)</w:t>
      </w:r>
    </w:p>
    <w:p w14:paraId="4C9FDD57" w14:textId="77777777" w:rsidR="00452B58" w:rsidRPr="00452B58" w:rsidRDefault="00452B58" w:rsidP="00452B58">
      <w:pPr>
        <w:pStyle w:val="ARRBBulletLevel1"/>
        <w:rPr>
          <w:b/>
          <w:bCs/>
        </w:rPr>
      </w:pPr>
      <w:r w:rsidRPr="00452B58">
        <w:t>advanced emergency braking systems (AEB)</w:t>
      </w:r>
    </w:p>
    <w:p w14:paraId="2BFB33B7" w14:textId="77777777" w:rsidR="00452B58" w:rsidRPr="00452B58" w:rsidRDefault="00452B58" w:rsidP="00452B58">
      <w:pPr>
        <w:pStyle w:val="ARRBBulletLevel1"/>
        <w:rPr>
          <w:b/>
          <w:bCs/>
        </w:rPr>
      </w:pPr>
      <w:r w:rsidRPr="00452B58">
        <w:t>lane departure warning systems (LDW)</w:t>
      </w:r>
    </w:p>
    <w:p w14:paraId="5EFBB68A" w14:textId="77777777" w:rsidR="00452B58" w:rsidRPr="00452B58" w:rsidRDefault="00452B58" w:rsidP="00452B58">
      <w:pPr>
        <w:pStyle w:val="ARRBBulletLevel1"/>
        <w:rPr>
          <w:b/>
          <w:bCs/>
        </w:rPr>
      </w:pPr>
      <w:r w:rsidRPr="00452B58">
        <w:t>blind spot information systems (BSI)</w:t>
      </w:r>
    </w:p>
    <w:p w14:paraId="7996BBC6" w14:textId="77777777" w:rsidR="00452B58" w:rsidRPr="00452B58" w:rsidRDefault="00452B58" w:rsidP="00452B58">
      <w:pPr>
        <w:pStyle w:val="ARRBBulletLevel1"/>
        <w:rPr>
          <w:b/>
          <w:bCs/>
        </w:rPr>
      </w:pPr>
      <w:r w:rsidRPr="00452B58">
        <w:t>side underrun protection (SUP)</w:t>
      </w:r>
    </w:p>
    <w:p w14:paraId="26AE8D7F" w14:textId="77777777" w:rsidR="00452B58" w:rsidRPr="00452B58" w:rsidRDefault="00452B58" w:rsidP="00452B58">
      <w:pPr>
        <w:pStyle w:val="ARRBBulletLevel1"/>
        <w:rPr>
          <w:b/>
          <w:bCs/>
        </w:rPr>
      </w:pPr>
      <w:proofErr w:type="spellStart"/>
      <w:r w:rsidRPr="00452B58">
        <w:t>conspicuity</w:t>
      </w:r>
      <w:proofErr w:type="spellEnd"/>
      <w:r w:rsidRPr="00452B58">
        <w:t xml:space="preserve"> markings (CP).</w:t>
      </w:r>
    </w:p>
    <w:p w14:paraId="117710A4" w14:textId="72C1C8AA" w:rsidR="00452B58" w:rsidRPr="00452B58" w:rsidRDefault="00452B58" w:rsidP="00452B58">
      <w:pPr>
        <w:suppressAutoHyphens w:val="0"/>
        <w:spacing w:before="0" w:after="160" w:line="259" w:lineRule="auto"/>
        <w:rPr>
          <w:rFonts w:ascii="Calibri" w:eastAsia="Calibri" w:hAnsi="Calibri" w:cs="Calibri"/>
          <w:b/>
          <w:bCs/>
          <w:color w:val="auto"/>
          <w:kern w:val="0"/>
          <w:sz w:val="22"/>
          <w:szCs w:val="22"/>
        </w:rPr>
      </w:pPr>
      <w:r w:rsidRPr="00452B58">
        <w:rPr>
          <w:rFonts w:ascii="Calibri" w:eastAsia="Calibri" w:hAnsi="Calibri" w:cs="Calibri"/>
          <w:color w:val="auto"/>
          <w:kern w:val="0"/>
          <w:sz w:val="22"/>
          <w:szCs w:val="22"/>
        </w:rPr>
        <w:t>Descriptions of these safety technologies are provided in Section 1.4.</w:t>
      </w:r>
    </w:p>
    <w:p w14:paraId="1FC60C57" w14:textId="77777777" w:rsidR="00452B58" w:rsidRPr="00452B58" w:rsidRDefault="00452B58" w:rsidP="00452B58">
      <w:pPr>
        <w:pStyle w:val="ARRBBaseHeading2"/>
      </w:pPr>
      <w:bookmarkStart w:id="202" w:name="_Toc137731656"/>
      <w:r w:rsidRPr="00452B58">
        <w:t>Comparison of Base Case and Option Cases</w:t>
      </w:r>
      <w:bookmarkEnd w:id="202"/>
    </w:p>
    <w:p w14:paraId="0BD4384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the economic impacts of individual option cases, it was necessary to first define the base case or business-as-usual (BAU) case to represent the future scenario in which the proposed options cases are absent. </w:t>
      </w:r>
    </w:p>
    <w:p w14:paraId="677ED68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For this analysis, the BAU case was defined as a future in which the current vehicle width limits for goods vehicles and trailers remained unchanged at 2.50 m. In this future, heavy vehicles and trailers will continue to comply with all current ADR standards and the seven mandated safety features are adopted on a voluntary basis. </w:t>
      </w:r>
    </w:p>
    <w:p w14:paraId="07F7D1E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 the option cases, eligible vehicles (and trailers in Options 1 and 3) will increase vehicle width to comply with the higher width limit on a voluntary basis but comply with the mandated safety feature requirements once they do so.</w:t>
      </w:r>
    </w:p>
    <w:p w14:paraId="493B755C" w14:textId="77777777" w:rsidR="00452B58" w:rsidRPr="00452B58" w:rsidRDefault="00452B58" w:rsidP="00452B58">
      <w:pPr>
        <w:pStyle w:val="ARRBBaseHeading2"/>
      </w:pPr>
      <w:bookmarkStart w:id="203" w:name="_Toc137731657"/>
      <w:r w:rsidRPr="00452B58">
        <w:t>Reference Material</w:t>
      </w:r>
      <w:bookmarkEnd w:id="203"/>
    </w:p>
    <w:p w14:paraId="0912355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Assessment principles adopted in this assessment follow the guidance provided in the following documents:</w:t>
      </w:r>
    </w:p>
    <w:p w14:paraId="1A955287" w14:textId="77777777" w:rsidR="00452B58" w:rsidRPr="00452B58" w:rsidRDefault="00452B58" w:rsidP="00452B58">
      <w:pPr>
        <w:pStyle w:val="ARRBBulletLevel1"/>
      </w:pPr>
      <w:r w:rsidRPr="00452B58">
        <w:rPr>
          <w:i/>
          <w:iCs/>
        </w:rPr>
        <w:t>O7 Cost Benefit Analysis of Transport Regulatory Initiatives</w:t>
      </w:r>
      <w:r w:rsidRPr="00452B58">
        <w:t xml:space="preserve"> – a guideline for economic evaluations of regulatory changes in the transport sector issued by the Australian Transport Assessment and Planning (ATAP) in October 2020. </w:t>
      </w:r>
    </w:p>
    <w:p w14:paraId="6D8BCB8C" w14:textId="77777777" w:rsidR="00452B58" w:rsidRPr="00452B58" w:rsidRDefault="00452B58" w:rsidP="00452B58">
      <w:pPr>
        <w:pStyle w:val="ARRBBulletLevel1"/>
      </w:pPr>
      <w:r w:rsidRPr="00452B58">
        <w:t>OBPR Guidelines (2020) in relation to broader principles of undertaking BCAs for the purposes of supporting regulatory impact statements (RIS).</w:t>
      </w:r>
    </w:p>
    <w:p w14:paraId="270CB72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ATAP principles were applied to complement assessment assumptions and parameters that have been stipulated by the Department. </w:t>
      </w:r>
    </w:p>
    <w:p w14:paraId="2DDAAE8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also built on previous analysis conducted for a 2021 issues paper on wider freight vehicle access conducted by ARRB for Transport for New South Wales (</w:t>
      </w:r>
      <w:proofErr w:type="spellStart"/>
      <w:r w:rsidRPr="00452B58">
        <w:rPr>
          <w:rFonts w:ascii="Calibri" w:eastAsia="Calibri" w:hAnsi="Calibri" w:cs="Calibri"/>
          <w:color w:val="auto"/>
          <w:kern w:val="0"/>
          <w:sz w:val="22"/>
          <w:szCs w:val="22"/>
        </w:rPr>
        <w:t>TfNSW</w:t>
      </w:r>
      <w:proofErr w:type="spellEnd"/>
      <w:r w:rsidRPr="00452B58">
        <w:rPr>
          <w:rFonts w:ascii="Calibri" w:eastAsia="Calibri" w:hAnsi="Calibri" w:cs="Calibri"/>
          <w:color w:val="auto"/>
          <w:kern w:val="0"/>
          <w:sz w:val="22"/>
          <w:szCs w:val="22"/>
        </w:rPr>
        <w:t>).</w:t>
      </w:r>
    </w:p>
    <w:p w14:paraId="396651B4" w14:textId="77777777" w:rsidR="00452B58" w:rsidRPr="00452B58" w:rsidRDefault="00452B58" w:rsidP="00452B58">
      <w:pPr>
        <w:pStyle w:val="ARRBBaseHeading2"/>
      </w:pPr>
      <w:bookmarkStart w:id="204" w:name="_Ref110831562"/>
      <w:bookmarkStart w:id="205" w:name="_Toc137731658"/>
      <w:r w:rsidRPr="00452B58">
        <w:t>Requirements of the Proposed Regulatory Changes</w:t>
      </w:r>
      <w:bookmarkEnd w:id="204"/>
      <w:bookmarkEnd w:id="205"/>
    </w:p>
    <w:p w14:paraId="2559260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BCA was based on the incremental changes in costs and benefits caused by the proposed ADR changes, which are described in two regulatory packages: </w:t>
      </w:r>
    </w:p>
    <w:p w14:paraId="6813D65E" w14:textId="77777777" w:rsidR="00452B58" w:rsidRPr="00452B58" w:rsidRDefault="00452B58" w:rsidP="00E248BF">
      <w:pPr>
        <w:pStyle w:val="ARRBNumberList1"/>
        <w:numPr>
          <w:ilvl w:val="0"/>
          <w:numId w:val="89"/>
        </w:numPr>
        <w:rPr>
          <w:b/>
        </w:rPr>
      </w:pPr>
      <w:r w:rsidRPr="00452B58">
        <w:rPr>
          <w:b/>
        </w:rPr>
        <w:t xml:space="preserve">Regulatory Package 2 </w:t>
      </w:r>
      <w:r w:rsidRPr="00452B58">
        <w:t xml:space="preserve">(Safer Freight Vehicles Amendment No 2, 2021) includes both new definitions and amendments to existing definitions related to determining vehicle dimensions when particular safety features that protrude from the body of the vehicle are installed. The effect of this regulatory package relevant to this analysis is to exclude these devices from the measurement of the vehicle width. </w:t>
      </w:r>
    </w:p>
    <w:p w14:paraId="5C13C477" w14:textId="77777777" w:rsidR="00452B58" w:rsidRPr="00452B58" w:rsidRDefault="00452B58" w:rsidP="00E248BF">
      <w:pPr>
        <w:pStyle w:val="ARRBNumberList1"/>
        <w:numPr>
          <w:ilvl w:val="0"/>
          <w:numId w:val="89"/>
        </w:numPr>
        <w:rPr>
          <w:b/>
        </w:rPr>
      </w:pPr>
      <w:r w:rsidRPr="00452B58">
        <w:rPr>
          <w:b/>
        </w:rPr>
        <w:t xml:space="preserve">Regulatory Package 3 </w:t>
      </w:r>
      <w:r w:rsidRPr="00452B58">
        <w:t>(Safer Freight Vehicles Amendment No. 3 2021) includes amendments to relax the current 2.50 m width requirement to 2.55 or 2.60 m for both heavy vehicles (&gt; 4.5 tonnes tare weight) and heavy trailers (&gt; 4.5 tonnes tare weight).</w:t>
      </w:r>
      <w:r w:rsidRPr="00452B58">
        <w:rPr>
          <w:b/>
        </w:rPr>
        <w:t xml:space="preserve"> </w:t>
      </w:r>
    </w:p>
    <w:p w14:paraId="7D64EDC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effect of both proposed regulatory packages is to allow heavy vehicles and trailers to increase from 2.50 m to 2.55 or 2.6 m if they are fitted with a set of mandatory safety features.</w:t>
      </w:r>
    </w:p>
    <w:p w14:paraId="240308B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all goods vehicles (rigid trucks and prime movers) that exceed the current 2.50 m width limit, the following safety features will be required:</w:t>
      </w:r>
    </w:p>
    <w:p w14:paraId="23724673" w14:textId="77777777" w:rsidR="00452B58" w:rsidRPr="00452B58" w:rsidRDefault="00452B58" w:rsidP="00F2517A">
      <w:pPr>
        <w:pStyle w:val="ARRBBulletLevel1"/>
      </w:pPr>
      <w:r w:rsidRPr="00452B58">
        <w:rPr>
          <w:b/>
        </w:rPr>
        <w:t>Devices for indirect vision</w:t>
      </w:r>
      <w:r w:rsidRPr="00452B58">
        <w:t xml:space="preserve"> (DIV) – ADR 14/03 – this new ADR provides requirements for a number of mirror and/or camera systems designed to increase a driver’s field of view on all sides of the vehicle. These include:</w:t>
      </w:r>
    </w:p>
    <w:p w14:paraId="720567D1" w14:textId="77777777" w:rsidR="00452B58" w:rsidRPr="00452B58" w:rsidRDefault="00452B58" w:rsidP="00F2517A">
      <w:pPr>
        <w:pStyle w:val="ARRBBulletLevel2"/>
      </w:pPr>
      <w:r w:rsidRPr="00452B58">
        <w:t>main rear-view devices on both sides of the vehicle</w:t>
      </w:r>
    </w:p>
    <w:p w14:paraId="546CA60D" w14:textId="77777777" w:rsidR="00452B58" w:rsidRPr="00452B58" w:rsidRDefault="00452B58" w:rsidP="00F2517A">
      <w:pPr>
        <w:pStyle w:val="ARRBBulletLevel2"/>
      </w:pPr>
      <w:r w:rsidRPr="00452B58">
        <w:t>wide-angle view device on both sides of the vehicle</w:t>
      </w:r>
    </w:p>
    <w:p w14:paraId="672B1491" w14:textId="77777777" w:rsidR="00452B58" w:rsidRPr="00452B58" w:rsidRDefault="00452B58" w:rsidP="00F2517A">
      <w:pPr>
        <w:pStyle w:val="ARRBBulletLevel2"/>
      </w:pPr>
      <w:r w:rsidRPr="00452B58">
        <w:t>a view of close proximity of the passenger side (driver’s side optional)</w:t>
      </w:r>
    </w:p>
    <w:p w14:paraId="7AC0E254" w14:textId="77777777" w:rsidR="00452B58" w:rsidRPr="00452B58" w:rsidRDefault="00452B58" w:rsidP="00F2517A">
      <w:pPr>
        <w:pStyle w:val="ARRBBulletLevel2"/>
      </w:pPr>
      <w:r w:rsidRPr="00452B58">
        <w:t>front-view device (of the area immediately in front of the vehicle) for vehicles over 7.5 tonnes.</w:t>
      </w:r>
    </w:p>
    <w:p w14:paraId="54B7A0AF" w14:textId="77777777" w:rsidR="00452B58" w:rsidRPr="00452B58" w:rsidRDefault="00452B58" w:rsidP="00F2517A">
      <w:pPr>
        <w:pStyle w:val="ARRBBulletLevel1"/>
      </w:pPr>
      <w:r w:rsidRPr="00452B58">
        <w:rPr>
          <w:b/>
        </w:rPr>
        <w:t>Commercial vehicle brake systems</w:t>
      </w:r>
      <w:r w:rsidRPr="00452B58">
        <w:t xml:space="preserve"> (CVB) – ADR 35/07 – this new ADR is based on requirements for existing electronic stability control systems designed to monitor the vehicle via a number of sensors as it makes a turn and slowing the vehicle when it detects slipping or potential rollover.</w:t>
      </w:r>
    </w:p>
    <w:p w14:paraId="239C3045" w14:textId="77777777" w:rsidR="00452B58" w:rsidRPr="00452B58" w:rsidRDefault="00452B58" w:rsidP="00F2517A">
      <w:pPr>
        <w:pStyle w:val="ARRBBulletLevel1"/>
      </w:pPr>
      <w:r w:rsidRPr="00452B58">
        <w:rPr>
          <w:b/>
        </w:rPr>
        <w:t>Advanced emergency braking systems</w:t>
      </w:r>
      <w:r w:rsidRPr="00452B58">
        <w:t xml:space="preserve"> (AEB) – ADR 97/00 – this new ADR provides requirements for electronic systems designed to automatically provide braking when a forward-facing camera or radar system detects an obstacle, avoiding or mitigating the severity of a rear-end impact.</w:t>
      </w:r>
    </w:p>
    <w:p w14:paraId="39F4809D" w14:textId="77777777" w:rsidR="00452B58" w:rsidRPr="00452B58" w:rsidRDefault="00452B58" w:rsidP="00F2517A">
      <w:pPr>
        <w:pStyle w:val="ARRBBulletLevel1"/>
      </w:pPr>
      <w:r w:rsidRPr="00452B58">
        <w:rPr>
          <w:b/>
        </w:rPr>
        <w:t>Lane departure warning systems</w:t>
      </w:r>
      <w:r w:rsidRPr="00452B58">
        <w:t xml:space="preserve"> (LDW) – ADR 99/00 – this new ADR provides requirements for systems that monitor road markings and activates an escalating series of driver alerts such as lights, sounds and vibrations when an unintentional movement out of a lane is detected (i.e. drifting out of the lane without the indicator being activated).</w:t>
      </w:r>
    </w:p>
    <w:p w14:paraId="73F6CDB1" w14:textId="77777777" w:rsidR="00452B58" w:rsidRPr="00452B58" w:rsidRDefault="00452B58" w:rsidP="00F2517A">
      <w:pPr>
        <w:pStyle w:val="ARRBBulletLevel1"/>
      </w:pPr>
      <w:r w:rsidRPr="00452B58">
        <w:rPr>
          <w:b/>
        </w:rPr>
        <w:t>Blind spot information systems</w:t>
      </w:r>
      <w:r w:rsidRPr="00452B58">
        <w:t xml:space="preserve"> (BSI) – ADR 105/00 – this new ADR provides requirements for a camera/radar-based information system that alerts drivers when a vehicle, bicycle or pedestrian is detected in any of a vehicle’s blind spots (i.e. areas not covered by indirect vision devices).</w:t>
      </w:r>
    </w:p>
    <w:p w14:paraId="5E3DE427" w14:textId="77777777" w:rsidR="00452B58" w:rsidRPr="00452B58" w:rsidRDefault="00452B58" w:rsidP="00F2517A">
      <w:pPr>
        <w:pStyle w:val="ARRBBulletLevel1"/>
      </w:pPr>
      <w:r w:rsidRPr="00452B58">
        <w:rPr>
          <w:b/>
        </w:rPr>
        <w:t>Side underrun protection</w:t>
      </w:r>
      <w:r w:rsidRPr="00452B58">
        <w:t xml:space="preserve"> (SUP) – ADR 106/00 – this new ADR provides requirements for lateral protection devices, smooth, longitudinal barriers over gaps between wheels and other body fixtures designed to reduce the risk of pedestrians, cyclists or motorcyclists falling under the chassis and wheels of the vehicle. </w:t>
      </w:r>
    </w:p>
    <w:p w14:paraId="076698E5" w14:textId="77777777" w:rsidR="00452B58" w:rsidRPr="00452B58" w:rsidRDefault="00452B58" w:rsidP="00F2517A">
      <w:pPr>
        <w:pStyle w:val="ARRBBulletLevel1"/>
      </w:pPr>
      <w:proofErr w:type="spellStart"/>
      <w:r w:rsidRPr="00452B58">
        <w:rPr>
          <w:b/>
        </w:rPr>
        <w:t>Conspicuity</w:t>
      </w:r>
      <w:proofErr w:type="spellEnd"/>
      <w:r w:rsidRPr="00452B58">
        <w:rPr>
          <w:b/>
        </w:rPr>
        <w:t xml:space="preserve"> markings</w:t>
      </w:r>
      <w:r w:rsidRPr="00452B58">
        <w:t xml:space="preserve"> (CP) – ADR 13/00 (for Vehicles over 7.5 t) – this amended ADR provides requirements for reflective markings designed to make the presence and in some cases the outline of the heavy vehicle or trailer more visible in low-light conditions.</w:t>
      </w:r>
    </w:p>
    <w:p w14:paraId="06042BD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all heavy trailers that exceed the current 2.50 m width limit under each regulation option, the following safety features from the definitions above would be required:</w:t>
      </w:r>
    </w:p>
    <w:p w14:paraId="69117AE4" w14:textId="77777777" w:rsidR="00452B58" w:rsidRPr="00452B58" w:rsidRDefault="00452B58" w:rsidP="00F2517A">
      <w:pPr>
        <w:pStyle w:val="ARRBBulletLevel1"/>
      </w:pPr>
      <w:r w:rsidRPr="00452B58">
        <w:t>side underrun protection (SUP) – ADR 106/00</w:t>
      </w:r>
    </w:p>
    <w:p w14:paraId="5EA45CBC" w14:textId="77777777" w:rsidR="00452B58" w:rsidRPr="00452B58" w:rsidRDefault="00452B58" w:rsidP="00F2517A">
      <w:pPr>
        <w:pStyle w:val="ARRBBulletLevel1"/>
      </w:pPr>
      <w:proofErr w:type="spellStart"/>
      <w:r w:rsidRPr="00452B58">
        <w:t>conspicuity</w:t>
      </w:r>
      <w:proofErr w:type="spellEnd"/>
      <w:r w:rsidRPr="00452B58">
        <w:t xml:space="preserve"> markings and reversing lamps (CP) - ADR 13/00</w:t>
      </w:r>
    </w:p>
    <w:p w14:paraId="62868551" w14:textId="77777777" w:rsidR="00452B58" w:rsidRPr="00452B58" w:rsidRDefault="00452B58" w:rsidP="00F2517A">
      <w:pPr>
        <w:pStyle w:val="ARRBBulletLevel1"/>
      </w:pPr>
      <w:r w:rsidRPr="00452B58">
        <w:t>trailer brake systems via existing ADR 38/05.</w:t>
      </w:r>
    </w:p>
    <w:p w14:paraId="5DB55947"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112EE55E" w14:textId="77777777" w:rsidR="00452B58" w:rsidRPr="00452B58" w:rsidRDefault="00452B58" w:rsidP="00F2517A">
      <w:pPr>
        <w:pStyle w:val="ARRBBaseHeading1"/>
      </w:pPr>
      <w:bookmarkStart w:id="206" w:name="_Toc137731659"/>
      <w:r w:rsidRPr="00452B58">
        <w:t>Benefit-Cost Analysis Setup</w:t>
      </w:r>
      <w:bookmarkEnd w:id="206"/>
    </w:p>
    <w:p w14:paraId="4F220231" w14:textId="77777777" w:rsidR="00452B58" w:rsidRPr="00452B58" w:rsidRDefault="00452B58" w:rsidP="00F2517A">
      <w:pPr>
        <w:pStyle w:val="ARRBBaseHeading2"/>
      </w:pPr>
      <w:bookmarkStart w:id="207" w:name="_Toc137731660"/>
      <w:r w:rsidRPr="00452B58">
        <w:t>Identification of the Base Case</w:t>
      </w:r>
      <w:bookmarkEnd w:id="207"/>
    </w:p>
    <w:p w14:paraId="66BAF0B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base case in this analysis is the status quo which can be defined as:</w:t>
      </w:r>
    </w:p>
    <w:p w14:paraId="2CB23B75" w14:textId="77777777" w:rsidR="00452B58" w:rsidRPr="00452B58" w:rsidRDefault="00452B58" w:rsidP="00F2517A">
      <w:pPr>
        <w:pStyle w:val="ARRBBulletLevel1"/>
      </w:pPr>
      <w:r w:rsidRPr="00452B58">
        <w:t>The width limit for all heavy vehicles is 2.50 m.</w:t>
      </w:r>
    </w:p>
    <w:p w14:paraId="4C9FC534" w14:textId="77777777" w:rsidR="00452B58" w:rsidRPr="00452B58" w:rsidRDefault="00452B58" w:rsidP="00F2517A">
      <w:pPr>
        <w:pStyle w:val="ARRBBulletLevel1"/>
      </w:pPr>
      <w:r w:rsidRPr="00452B58">
        <w:t>Regulatory Package 2 (which provides new and revised definitions for safety features) is assumed to apply to the base case. This means that in the base case there will be a voluntary uptake of vehicles with protruding safety features that were previously not allowed; AND a further uptake when wider vehicles are purchased.</w:t>
      </w:r>
    </w:p>
    <w:p w14:paraId="285D439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Proposed regulation options will only affect new vehicles and trailers in Australia, and where relevant, trailers that are modified (i.e. widened and with required safety features installed). As all proposed changes to the width limit represent a loosening of restrictions by the ADR, it is expected that the shift in fleet share among new vehicles to the wider vehicle allowance may be voluntary and gradual. </w:t>
      </w:r>
    </w:p>
    <w:p w14:paraId="1CF6E0A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mandated safety features have separate costs and benefits that have been assessed in addition to those assessed based on the increases to the vehicle width limit. It is also assumed that there will be additional exclusions for devices for indirect vision and blind spot information systems from vehicle width and length measurements and that this will increase the rate of fitment of these systems to all new goods vehicles, including vehicles not exceeding 2.50 m in width (in both the base case and regulated options).</w:t>
      </w:r>
    </w:p>
    <w:p w14:paraId="4616517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Two of the seven safety features, CVB and AEB, are being mandated by separate ADRs for heavy vehicles within the scope of the current assessment. Specifically, relevant ADRs are:</w:t>
      </w:r>
    </w:p>
    <w:p w14:paraId="614055C3" w14:textId="77777777" w:rsidR="00452B58" w:rsidRPr="00452B58" w:rsidRDefault="00452B58" w:rsidP="00F2517A">
      <w:pPr>
        <w:pStyle w:val="ARRBBulletLevel1"/>
      </w:pPr>
      <w:r w:rsidRPr="00452B58">
        <w:t xml:space="preserve">ADR 97/00 – Mandatory AEB systems for all heavy goods vehicles included in this assessment. </w:t>
      </w:r>
    </w:p>
    <w:p w14:paraId="7C270CA0" w14:textId="77777777" w:rsidR="00452B58" w:rsidRPr="00452B58" w:rsidRDefault="00452B58" w:rsidP="00F2517A">
      <w:pPr>
        <w:pStyle w:val="ARRBBulletLevel1"/>
      </w:pPr>
      <w:r w:rsidRPr="00452B58">
        <w:t>ADR 35/07 – Mandatory CVB Systems for all heavy goods vehicles included in this assessment.</w:t>
      </w:r>
    </w:p>
    <w:p w14:paraId="011C60D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These two ADRs have commenced at the time of preparing this assessment but their compliance by new vehicles will not be required until 1 February 2025. This assessment will therefore allow for the impact of these ADRs on the take-up of AEB and CVB systems in the base case to accurately assess the incremental impacts of the SFV ADR. </w:t>
      </w:r>
    </w:p>
    <w:p w14:paraId="38BB1428" w14:textId="77777777" w:rsidR="00452B58" w:rsidRPr="00452B58" w:rsidRDefault="00452B58" w:rsidP="00F2517A">
      <w:pPr>
        <w:pStyle w:val="ARRBBaseHeading2"/>
      </w:pPr>
      <w:bookmarkStart w:id="208" w:name="_Toc137731661"/>
      <w:r w:rsidRPr="00452B58">
        <w:t>Establishing the Assessment Period</w:t>
      </w:r>
      <w:bookmarkEnd w:id="208"/>
    </w:p>
    <w:p w14:paraId="7C01216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assessment period for this analysis commences from 2023 which is based on the proposed policy commencement date of 1 July 2023. </w:t>
      </w:r>
    </w:p>
    <w:p w14:paraId="526ADCF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total assessment period is 40 years, including 15 years of the proposed regulation plus 25 years vehicle life for the last of the compliant vehicles and trailers (including modified in-service trailers) entering the market. </w:t>
      </w:r>
    </w:p>
    <w:p w14:paraId="68AC7980" w14:textId="6A6C4AA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fleet of compliant vehicles begins close to zero at the beginning of the analysis, and peaks at 15 years and remains constant as new vehicles after this time may be subject to new regulations. The numbers of vehicles in the analysis remain constant until the first new vehicles under the -proposed regulations reach end of life after 25 years, the numbers thereafter start to decline, reaching zero in year 40 of the analysis. The change in the number of regulation-compliant vehicles is illustrated in Figure </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3BBE080E" w14:textId="7FBBBBF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09" w:name="_Ref107498514"/>
      <w:bookmarkStart w:id="210" w:name="_Toc117646432"/>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0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Number of vehicles compliant with 2023 regulation over the assessment period</w:t>
      </w:r>
      <w:bookmarkEnd w:id="210"/>
    </w:p>
    <w:p w14:paraId="0447D1CA"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655CD12A" wp14:editId="6370B197">
            <wp:extent cx="6120130" cy="2477770"/>
            <wp:effectExtent l="0" t="0" r="0" b="0"/>
            <wp:docPr id="2781" name="Picture 2781" descr="Diagram showing the number of 2023 regulation compliant vehicles from 2023 to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75" r:link="rId76" cstate="hqprint">
                      <a:extLst>
                        <a:ext uri="{28A0092B-C50C-407E-A947-70E740481C1C}">
                          <a14:useLocalDpi xmlns:a14="http://schemas.microsoft.com/office/drawing/2010/main" val="0"/>
                        </a:ext>
                      </a:extLst>
                    </a:blip>
                    <a:srcRect/>
                    <a:stretch>
                      <a:fillRect/>
                    </a:stretch>
                  </pic:blipFill>
                  <pic:spPr bwMode="auto">
                    <a:xfrm>
                      <a:off x="0" y="0"/>
                      <a:ext cx="6120130" cy="2477770"/>
                    </a:xfrm>
                    <a:prstGeom prst="rect">
                      <a:avLst/>
                    </a:prstGeom>
                    <a:noFill/>
                    <a:ln>
                      <a:noFill/>
                    </a:ln>
                  </pic:spPr>
                </pic:pic>
              </a:graphicData>
            </a:graphic>
          </wp:inline>
        </w:drawing>
      </w:r>
    </w:p>
    <w:p w14:paraId="5247D78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924F34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Costs related to the establishment and maintenance of the regulation apply during the 15-year regulatory period. After this time (in an unknown regulatory environment), ongoing costs are related to any investment and maintenance based on already existing vehicles and road infrastructure that exists because of the regulatory change in the first 15 years (e.g. maintenance costs associated with safety features, and ongoing investment and maintenance of the road network in response to the presence of wider vehicles).</w:t>
      </w:r>
    </w:p>
    <w:p w14:paraId="0996717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Benefits are proportional to the number of new compliant vehicles considered in the analysis, i.e. increasing with adoption over the 15-year regulatory period, remaining constant for an additional ten years, and then declining as the compliant vehicles age out of the fleet. </w:t>
      </w:r>
    </w:p>
    <w:p w14:paraId="6B8CC22B" w14:textId="77777777" w:rsidR="00452B58" w:rsidRPr="00452B58" w:rsidRDefault="00452B58" w:rsidP="00F2517A">
      <w:pPr>
        <w:pStyle w:val="ARRBBaseHeading2"/>
      </w:pPr>
      <w:bookmarkStart w:id="211" w:name="_Toc137731662"/>
      <w:r w:rsidRPr="00452B58">
        <w:t>Modelling of the Fleet</w:t>
      </w:r>
      <w:bookmarkEnd w:id="211"/>
    </w:p>
    <w:p w14:paraId="1201CBD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(rigid truck and prime mover) and trailer kilometres travelled (VKT) was modelled for each year of the analysis. The model treats vehicles and trailers as units, attributing averaged costs and benefits to each, and does not consider individual configurations.</w:t>
      </w:r>
    </w:p>
    <w:p w14:paraId="69F5668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both vehicles and trailers, the model uses a representative vehicle and a representative trailer based on averages in terms of operating costs, environmental costs, asset preservation, safety feature costs, productivity, crash exposure, and safety feature efficacy.</w:t>
      </w:r>
    </w:p>
    <w:p w14:paraId="066BDD3C" w14:textId="7CA6950B"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representative operating costs for vehicles and trailers (called VOCs for convenience, even when applying to trailers) are calculated based on parameters provided in the ATAP PV2 Guidelines (2016). These are shown in Table </w:t>
      </w:r>
      <w:r w:rsidRPr="00452B58">
        <w:rPr>
          <w:rFonts w:ascii="Calibri" w:eastAsia="Calibri" w:hAnsi="Calibri" w:cs="Calibri"/>
          <w:noProof/>
          <w:color w:val="auto"/>
          <w:kern w:val="0"/>
          <w:sz w:val="22"/>
          <w:szCs w:val="22"/>
        </w:rPr>
        <w:t>2.1</w:t>
      </w:r>
      <w:r w:rsidRPr="00452B58">
        <w:rPr>
          <w:rFonts w:ascii="Calibri" w:eastAsia="Calibri" w:hAnsi="Calibri" w:cs="Calibri"/>
          <w:color w:val="auto"/>
          <w:kern w:val="0"/>
          <w:sz w:val="22"/>
          <w:szCs w:val="22"/>
        </w:rPr>
        <w:t>.</w:t>
      </w:r>
    </w:p>
    <w:p w14:paraId="7312E823" w14:textId="6B8DCAD6"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12" w:name="_Ref109660208"/>
      <w:bookmarkStart w:id="213" w:name="_Toc117646406"/>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1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vehicle and trailer operating costs</w:t>
      </w:r>
      <w:bookmarkEnd w:id="213"/>
    </w:p>
    <w:tbl>
      <w:tblPr>
        <w:tblStyle w:val="ARRBTableStyle"/>
        <w:tblW w:w="0" w:type="auto"/>
        <w:tblLook w:val="04A0" w:firstRow="1" w:lastRow="0" w:firstColumn="1" w:lastColumn="0" w:noHBand="0" w:noVBand="1"/>
      </w:tblPr>
      <w:tblGrid>
        <w:gridCol w:w="3686"/>
        <w:gridCol w:w="3685"/>
      </w:tblGrid>
      <w:tr w:rsidR="00452B58" w:rsidRPr="00452B58" w14:paraId="5AA0FDE6" w14:textId="77777777" w:rsidTr="00452B58">
        <w:trPr>
          <w:cnfStyle w:val="100000000000" w:firstRow="1" w:lastRow="0" w:firstColumn="0" w:lastColumn="0" w:oddVBand="0" w:evenVBand="0" w:oddHBand="0" w:evenHBand="0" w:firstRowFirstColumn="0" w:firstRowLastColumn="0" w:lastRowFirstColumn="0" w:lastRowLastColumn="0"/>
        </w:trPr>
        <w:tc>
          <w:tcPr>
            <w:tcW w:w="3686" w:type="dxa"/>
          </w:tcPr>
          <w:p w14:paraId="3760806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Average vehicle VOC</w:t>
            </w:r>
          </w:p>
        </w:tc>
        <w:tc>
          <w:tcPr>
            <w:tcW w:w="3685" w:type="dxa"/>
          </w:tcPr>
          <w:p w14:paraId="0C2AA24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Average trailer VOC</w:t>
            </w:r>
          </w:p>
        </w:tc>
      </w:tr>
      <w:tr w:rsidR="00452B58" w:rsidRPr="00452B58" w14:paraId="48C6B3B4" w14:textId="77777777" w:rsidTr="00452B58">
        <w:tc>
          <w:tcPr>
            <w:tcW w:w="3686" w:type="dxa"/>
          </w:tcPr>
          <w:p w14:paraId="6D39348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74 cents per km</w:t>
            </w:r>
          </w:p>
        </w:tc>
        <w:tc>
          <w:tcPr>
            <w:tcW w:w="3685" w:type="dxa"/>
          </w:tcPr>
          <w:p w14:paraId="46A1D07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60 cents per km</w:t>
            </w:r>
          </w:p>
        </w:tc>
      </w:tr>
    </w:tbl>
    <w:p w14:paraId="09E8D7C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4A9FF60" w14:textId="4CB5069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basis for these average VOCs is explained in Appendix A </w:t>
      </w:r>
    </w:p>
    <w:p w14:paraId="48B6CDC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VOCs are the basis for wider 2.55 and 2.60 m vehicles and trailers, and refrigerated vehicles and trailers when calculating:</w:t>
      </w:r>
    </w:p>
    <w:p w14:paraId="28024010" w14:textId="74659E07" w:rsidR="00452B58" w:rsidRPr="00452B58" w:rsidRDefault="00452B58" w:rsidP="00F2517A">
      <w:pPr>
        <w:pStyle w:val="ARRBBulletLevel1"/>
      </w:pPr>
      <w:r w:rsidRPr="00452B58">
        <w:t>VOC, discussed in Section 5.4</w:t>
      </w:r>
    </w:p>
    <w:p w14:paraId="796072B0" w14:textId="460EF74F" w:rsidR="00452B58" w:rsidRPr="00452B58" w:rsidRDefault="00452B58" w:rsidP="00F2517A">
      <w:pPr>
        <w:pStyle w:val="ARRBBulletLevel1"/>
      </w:pPr>
      <w:r w:rsidRPr="00452B58">
        <w:t>environmental benefits, discussed in Section 5.5.</w:t>
      </w:r>
    </w:p>
    <w:p w14:paraId="041CB1B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Changes in operating, environment and asset preservation costs were calculated for rigid trucks and trailers only (as it was assumed there would be no change in VKT for wider prime movers). Safety feature costs and benefits were modelled for rigid trucks, prime movers and trailers, based on the modelled fitment of mandatory safety features to vehicles in the fleet.</w:t>
      </w:r>
    </w:p>
    <w:p w14:paraId="5BDA82FC"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68DFDEA7" w14:textId="77777777" w:rsidR="00452B58" w:rsidRPr="00452B58" w:rsidRDefault="00452B58" w:rsidP="00F2517A">
      <w:pPr>
        <w:pStyle w:val="ARRBBaseHeading1"/>
      </w:pPr>
      <w:bookmarkStart w:id="214" w:name="_Toc137731663"/>
      <w:r w:rsidRPr="00452B58">
        <w:t>Costs</w:t>
      </w:r>
      <w:bookmarkEnd w:id="214"/>
    </w:p>
    <w:p w14:paraId="6F6D9617" w14:textId="77777777" w:rsidR="00452B58" w:rsidRPr="00452B58" w:rsidRDefault="00452B58" w:rsidP="00F2517A">
      <w:pPr>
        <w:pStyle w:val="ARRBBaseHeading2"/>
      </w:pPr>
      <w:bookmarkStart w:id="215" w:name="_Toc137731664"/>
      <w:r w:rsidRPr="00452B58">
        <w:t>Government Costs</w:t>
      </w:r>
      <w:bookmarkEnd w:id="215"/>
    </w:p>
    <w:p w14:paraId="5A23DFF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was assumed there would be an estimated annual cost of $50,000 per annum for the Department to create, implement and maintain each of the proposed changes. This includes the initial development cost, as well as ongoing standards maintenance and interpretation advice. The value of this cost has been used in other BCA assessments by the Department such as for assessing the ADR for lane-departure warning systems for light vehicles (Department of Infrastructure, Transport, Regional Development and Communications 2021).</w:t>
      </w:r>
    </w:p>
    <w:p w14:paraId="2D552C5A" w14:textId="77777777" w:rsidR="00452B58" w:rsidRPr="00F2517A" w:rsidRDefault="00452B58" w:rsidP="00F2517A">
      <w:pPr>
        <w:pStyle w:val="ARRBBaseHeading2"/>
      </w:pPr>
      <w:bookmarkStart w:id="216" w:name="_Toc137731665"/>
      <w:r w:rsidRPr="00F2517A">
        <w:t>Modification Costs</w:t>
      </w:r>
      <w:bookmarkEnd w:id="216"/>
    </w:p>
    <w:p w14:paraId="3793560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Modification costs represent the costs to heavy vehicle and trailer manufacturers for the design, production line floor area allocation, and other overheads, in order to increase the width of vehicles and trailers from 2.50 m to the higher width limits of 2.55 m or 2.6 m in the option cases. </w:t>
      </w:r>
    </w:p>
    <w:p w14:paraId="2A593D5D" w14:textId="77777777" w:rsidR="00452B58" w:rsidRPr="00452B58" w:rsidRDefault="00452B58" w:rsidP="009F313A">
      <w:pPr>
        <w:pStyle w:val="ARRBBaseHeading3"/>
      </w:pPr>
      <w:bookmarkStart w:id="217" w:name="_Toc137731666"/>
      <w:r w:rsidRPr="00452B58">
        <w:t>Modification Cost for Heavy Vehicles (Options 1, 2, 3, and 4)</w:t>
      </w:r>
      <w:bookmarkEnd w:id="217"/>
    </w:p>
    <w:p w14:paraId="3C93F04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heavy vehicles, an aggregate-level modification cost of negative $23.75 million per annum was assumed if 100% of the eligible new heavy vehicles were to adopt the higher width limit. This value represents annual cost savings to heavy vehicle manufacturers and it is based on the mid-value of a range estimate (15–‍30 million 2018 AUD) for this cost provided by the Truck Industry Council (Department of Infrastructure, Transport, Regional Development and Communications 2021) and adjusted to 2022 AUD. Advice was received that there may be greater savings for allowing 2.6 m wide vehicles compared to 2.55 m vehicles – in the absence of any specific data, the average above was adjusted by ±10% to provide this distinction.</w:t>
      </w:r>
    </w:p>
    <w:p w14:paraId="127699CF" w14:textId="549C99D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This cost saving is said to be due to the avoidance of redesigning heavy vehicles currently manufactured overseas based on US and European models which already have the wider width. However, it is anticipated that the new width limit will not be adopted by the entire fleet of heavy vehicles at once but rather will be adopted gradually over time. To reflect this anticipation, the annual value of this cost in each assessable year was adjusted to be proportional to the projected share of new heavy vehicles that increase their width in that year. Corresponding assumptions on the yearly adoption rates of new vehicle width is documented in Section 4.3. </w:t>
      </w:r>
    </w:p>
    <w:p w14:paraId="6AF759E3" w14:textId="77777777" w:rsidR="00452B58" w:rsidRPr="009F313A" w:rsidRDefault="00452B58" w:rsidP="009F313A">
      <w:pPr>
        <w:pStyle w:val="ARRBBaseHeading3"/>
      </w:pPr>
      <w:bookmarkStart w:id="218" w:name="_Toc137731667"/>
      <w:r w:rsidRPr="009F313A">
        <w:t>Modification Cost for Heavy Trailers (Options 1 and 3)</w:t>
      </w:r>
      <w:bookmarkEnd w:id="218"/>
    </w:p>
    <w:p w14:paraId="2E40427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trailers, modification cost will comprise of a once-off retooling cost of the current production line for domestically produced trailers to be able to be produced at 2.55 or 2.6 m width. The full retooling cost was advised by the Heavy Vehicle Industry Australia (HVIA) to be $31 million. For consistency with the vehicle analysis, a distinction between unspecified costs for manufacturing 2.55 or 2.60 m wide trailers was created by varying the full retooling cost by ±10% (i.e. $27.9 million for 2.55 m, and 34.1 million for 2.60 m wide trailers).</w:t>
      </w:r>
    </w:p>
    <w:p w14:paraId="7241AEF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yearly value of modification costs for trailer manufacturers assumes the full retooling process (or setup of new local businesses entering the sector) will be completed by the Australian trailer industry over a 40-year period which equates to $697,500 per year for 2.55 m, and $852,500 per year for 2.6 m.</w:t>
      </w:r>
    </w:p>
    <w:p w14:paraId="5CE1D8E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Imported 2.55 or 2.6 m trailers are assumed to be readily available to enter the Australian market once the current width limit is relaxed. </w:t>
      </w:r>
    </w:p>
    <w:p w14:paraId="5F4ADEF9" w14:textId="77777777" w:rsidR="00452B58" w:rsidRPr="00F2517A" w:rsidRDefault="00452B58" w:rsidP="00F2517A">
      <w:pPr>
        <w:pStyle w:val="ARRBBaseHeading2"/>
      </w:pPr>
      <w:bookmarkStart w:id="219" w:name="_Toc137731668"/>
      <w:r w:rsidRPr="00F2517A">
        <w:t>Safety Feature Fitment Costs</w:t>
      </w:r>
      <w:bookmarkEnd w:id="219"/>
    </w:p>
    <w:p w14:paraId="5658D41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safety feature fitment cost represents the average incremental wholesale cost of fitting a safety feature. In this analysis, incremental fitment cost of one or more of the seven safety features will be incurred if a heavy vehicle or trailer will increase its width and would have not otherwise taken up the mandated safety feature on a voluntary basis. </w:t>
      </w:r>
    </w:p>
    <w:p w14:paraId="28CE5EB0" w14:textId="51C85EA5"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incremental safety feature fitment cost in a particular assessment year will therefore depend on the incremental demand for individual safety features in a particular year and the unit fitment cost of each safety feature. Unit fitment costs for safety features are presented in Table </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The information needed to determine the incremental demand of safety features including total new vehicles to be sold in an assessment year, the share of new vehicles that take up the new width in that year, and the share of new vehicles that will voluntarily take up individual safety features are presented in Section 4.2.</w:t>
      </w:r>
    </w:p>
    <w:p w14:paraId="10134CF9" w14:textId="3808B17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20" w:name="_Ref107163117"/>
      <w:bookmarkStart w:id="221" w:name="_Toc117646407"/>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2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Unit fitment cost of safety features</w:t>
      </w:r>
      <w:bookmarkEnd w:id="221"/>
    </w:p>
    <w:tbl>
      <w:tblPr>
        <w:tblStyle w:val="ARRBTableStyle"/>
        <w:tblW w:w="4925" w:type="pct"/>
        <w:tblLayout w:type="fixed"/>
        <w:tblLook w:val="04A0" w:firstRow="1" w:lastRow="0" w:firstColumn="1" w:lastColumn="0" w:noHBand="0" w:noVBand="1"/>
      </w:tblPr>
      <w:tblGrid>
        <w:gridCol w:w="1266"/>
        <w:gridCol w:w="1984"/>
        <w:gridCol w:w="2270"/>
        <w:gridCol w:w="1701"/>
        <w:gridCol w:w="2263"/>
      </w:tblGrid>
      <w:tr w:rsidR="00452B58" w:rsidRPr="00452B58" w14:paraId="12DA15CE" w14:textId="77777777" w:rsidTr="00452B58">
        <w:trPr>
          <w:cnfStyle w:val="100000000000" w:firstRow="1" w:lastRow="0" w:firstColumn="0" w:lastColumn="0" w:oddVBand="0" w:evenVBand="0" w:oddHBand="0" w:evenHBand="0" w:firstRowFirstColumn="0" w:firstRowLastColumn="0" w:lastRowFirstColumn="0" w:lastRowLastColumn="0"/>
          <w:trHeight w:val="235"/>
        </w:trPr>
        <w:tc>
          <w:tcPr>
            <w:tcW w:w="667" w:type="pct"/>
          </w:tcPr>
          <w:p w14:paraId="4F7CA76D"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Safety feature </w:t>
            </w:r>
          </w:p>
        </w:tc>
        <w:tc>
          <w:tcPr>
            <w:tcW w:w="1046" w:type="pct"/>
          </w:tcPr>
          <w:p w14:paraId="7C2FD88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rigid truck</w:t>
            </w:r>
          </w:p>
        </w:tc>
        <w:tc>
          <w:tcPr>
            <w:tcW w:w="1197" w:type="pct"/>
          </w:tcPr>
          <w:p w14:paraId="5293EF9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prime mover</w:t>
            </w:r>
          </w:p>
        </w:tc>
        <w:tc>
          <w:tcPr>
            <w:tcW w:w="897" w:type="pct"/>
          </w:tcPr>
          <w:p w14:paraId="105B679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trailer</w:t>
            </w:r>
          </w:p>
        </w:tc>
        <w:tc>
          <w:tcPr>
            <w:tcW w:w="1193" w:type="pct"/>
          </w:tcPr>
          <w:p w14:paraId="1DA30A9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Source</w:t>
            </w:r>
            <w:r w:rsidRPr="00452B58">
              <w:rPr>
                <w:rFonts w:eastAsia="Calibri"/>
                <w:kern w:val="0"/>
                <w:szCs w:val="22"/>
                <w:vertAlign w:val="superscript"/>
              </w:rPr>
              <w:t xml:space="preserve"> (1)</w:t>
            </w:r>
          </w:p>
        </w:tc>
      </w:tr>
      <w:tr w:rsidR="00452B58" w:rsidRPr="00452B58" w14:paraId="3F75676B" w14:textId="77777777" w:rsidTr="00452B58">
        <w:trPr>
          <w:trHeight w:val="180"/>
        </w:trPr>
        <w:tc>
          <w:tcPr>
            <w:tcW w:w="667" w:type="pct"/>
          </w:tcPr>
          <w:p w14:paraId="538336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DIV</w:t>
            </w:r>
          </w:p>
        </w:tc>
        <w:tc>
          <w:tcPr>
            <w:tcW w:w="1046" w:type="pct"/>
          </w:tcPr>
          <w:p w14:paraId="6BC470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$1,300</w:t>
            </w:r>
          </w:p>
        </w:tc>
        <w:tc>
          <w:tcPr>
            <w:tcW w:w="1197" w:type="pct"/>
          </w:tcPr>
          <w:p w14:paraId="6A24086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$1,300</w:t>
            </w:r>
          </w:p>
        </w:tc>
        <w:tc>
          <w:tcPr>
            <w:tcW w:w="897" w:type="pct"/>
          </w:tcPr>
          <w:p w14:paraId="0363F41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2C97326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Review of market prices</w:t>
            </w:r>
          </w:p>
        </w:tc>
      </w:tr>
      <w:tr w:rsidR="00452B58" w:rsidRPr="00452B58" w14:paraId="4E6C5149" w14:textId="77777777" w:rsidTr="00452B58">
        <w:trPr>
          <w:trHeight w:val="180"/>
        </w:trPr>
        <w:tc>
          <w:tcPr>
            <w:tcW w:w="667" w:type="pct"/>
          </w:tcPr>
          <w:p w14:paraId="160D511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CVB</w:t>
            </w:r>
          </w:p>
        </w:tc>
        <w:tc>
          <w:tcPr>
            <w:tcW w:w="1046" w:type="pct"/>
          </w:tcPr>
          <w:p w14:paraId="17EC6AF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$1,444</w:t>
            </w:r>
          </w:p>
        </w:tc>
        <w:tc>
          <w:tcPr>
            <w:tcW w:w="1197" w:type="pct"/>
          </w:tcPr>
          <w:p w14:paraId="63D08BD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$1,444</w:t>
            </w:r>
          </w:p>
        </w:tc>
        <w:tc>
          <w:tcPr>
            <w:tcW w:w="897" w:type="pct"/>
          </w:tcPr>
          <w:p w14:paraId="5292094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477AD5E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ATA (2016)</w:t>
            </w:r>
          </w:p>
        </w:tc>
      </w:tr>
      <w:tr w:rsidR="00452B58" w:rsidRPr="00452B58" w14:paraId="36CEBBEF" w14:textId="77777777" w:rsidTr="00452B58">
        <w:trPr>
          <w:trHeight w:val="180"/>
        </w:trPr>
        <w:tc>
          <w:tcPr>
            <w:tcW w:w="667" w:type="pct"/>
          </w:tcPr>
          <w:p w14:paraId="2C7745F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AEB</w:t>
            </w:r>
          </w:p>
        </w:tc>
        <w:tc>
          <w:tcPr>
            <w:tcW w:w="1046" w:type="pct"/>
          </w:tcPr>
          <w:p w14:paraId="76C41CD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$1,804</w:t>
            </w:r>
          </w:p>
        </w:tc>
        <w:tc>
          <w:tcPr>
            <w:tcW w:w="1197" w:type="pct"/>
          </w:tcPr>
          <w:p w14:paraId="5C9498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$1,804</w:t>
            </w:r>
          </w:p>
        </w:tc>
        <w:tc>
          <w:tcPr>
            <w:tcW w:w="897" w:type="pct"/>
          </w:tcPr>
          <w:p w14:paraId="4BB647F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2AF291C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Prime Mover Magazine (2020)</w:t>
            </w:r>
          </w:p>
        </w:tc>
      </w:tr>
      <w:tr w:rsidR="00452B58" w:rsidRPr="00452B58" w14:paraId="351C7863" w14:textId="77777777" w:rsidTr="00452B58">
        <w:trPr>
          <w:trHeight w:val="180"/>
        </w:trPr>
        <w:tc>
          <w:tcPr>
            <w:tcW w:w="667" w:type="pct"/>
          </w:tcPr>
          <w:p w14:paraId="340C8E5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LDW</w:t>
            </w:r>
          </w:p>
        </w:tc>
        <w:tc>
          <w:tcPr>
            <w:tcW w:w="1046" w:type="pct"/>
          </w:tcPr>
          <w:p w14:paraId="60BDD3F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$2,560</w:t>
            </w:r>
          </w:p>
        </w:tc>
        <w:tc>
          <w:tcPr>
            <w:tcW w:w="1197" w:type="pct"/>
          </w:tcPr>
          <w:p w14:paraId="6D793FD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$2,560</w:t>
            </w:r>
          </w:p>
        </w:tc>
        <w:tc>
          <w:tcPr>
            <w:tcW w:w="897" w:type="pct"/>
          </w:tcPr>
          <w:p w14:paraId="5F93BD4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41D21FD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US DOT (2012)</w:t>
            </w:r>
          </w:p>
        </w:tc>
      </w:tr>
      <w:tr w:rsidR="00452B58" w:rsidRPr="00452B58" w14:paraId="43ACFCF0" w14:textId="77777777" w:rsidTr="00452B58">
        <w:trPr>
          <w:trHeight w:val="180"/>
        </w:trPr>
        <w:tc>
          <w:tcPr>
            <w:tcW w:w="667" w:type="pct"/>
          </w:tcPr>
          <w:p w14:paraId="20433C6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BSI</w:t>
            </w:r>
          </w:p>
        </w:tc>
        <w:tc>
          <w:tcPr>
            <w:tcW w:w="1046" w:type="pct"/>
          </w:tcPr>
          <w:p w14:paraId="4E718F2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w:t>
            </w:r>
          </w:p>
        </w:tc>
        <w:tc>
          <w:tcPr>
            <w:tcW w:w="1197" w:type="pct"/>
          </w:tcPr>
          <w:p w14:paraId="758E243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w:t>
            </w:r>
          </w:p>
        </w:tc>
        <w:tc>
          <w:tcPr>
            <w:tcW w:w="897" w:type="pct"/>
          </w:tcPr>
          <w:p w14:paraId="6910F3C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14:paraId="4A65EFC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US DOT (2013)</w:t>
            </w:r>
          </w:p>
        </w:tc>
      </w:tr>
      <w:tr w:rsidR="00452B58" w:rsidRPr="00452B58" w14:paraId="50BF15A4" w14:textId="77777777" w:rsidTr="00452B58">
        <w:trPr>
          <w:trHeight w:val="180"/>
        </w:trPr>
        <w:tc>
          <w:tcPr>
            <w:tcW w:w="667" w:type="pct"/>
          </w:tcPr>
          <w:p w14:paraId="5E7053E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SUP</w:t>
            </w:r>
          </w:p>
        </w:tc>
        <w:tc>
          <w:tcPr>
            <w:tcW w:w="1046" w:type="pct"/>
          </w:tcPr>
          <w:p w14:paraId="164EF6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$1,000</w:t>
            </w:r>
          </w:p>
        </w:tc>
        <w:tc>
          <w:tcPr>
            <w:tcW w:w="1197" w:type="pct"/>
          </w:tcPr>
          <w:p w14:paraId="6E664B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897" w:type="pct"/>
          </w:tcPr>
          <w:p w14:paraId="65734B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$2,000</w:t>
            </w:r>
          </w:p>
        </w:tc>
        <w:tc>
          <w:tcPr>
            <w:tcW w:w="1193" w:type="pct"/>
          </w:tcPr>
          <w:p w14:paraId="13376F8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Review of market prices</w:t>
            </w:r>
          </w:p>
        </w:tc>
      </w:tr>
      <w:tr w:rsidR="00452B58" w:rsidRPr="00452B58" w14:paraId="44357380" w14:textId="77777777" w:rsidTr="00452B58">
        <w:trPr>
          <w:trHeight w:val="180"/>
        </w:trPr>
        <w:tc>
          <w:tcPr>
            <w:tcW w:w="667" w:type="pct"/>
          </w:tcPr>
          <w:p w14:paraId="4DAE0E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CP</w:t>
            </w:r>
          </w:p>
        </w:tc>
        <w:tc>
          <w:tcPr>
            <w:tcW w:w="1046" w:type="pct"/>
          </w:tcPr>
          <w:p w14:paraId="297D2FC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$700</w:t>
            </w:r>
          </w:p>
        </w:tc>
        <w:tc>
          <w:tcPr>
            <w:tcW w:w="1197" w:type="pct"/>
          </w:tcPr>
          <w:p w14:paraId="429E593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897" w:type="pct"/>
          </w:tcPr>
          <w:p w14:paraId="4FD1FCE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$1,000</w:t>
            </w:r>
          </w:p>
        </w:tc>
        <w:tc>
          <w:tcPr>
            <w:tcW w:w="1193" w:type="pct"/>
          </w:tcPr>
          <w:p w14:paraId="45E02D4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Provided by 3M</w:t>
            </w:r>
          </w:p>
        </w:tc>
      </w:tr>
    </w:tbl>
    <w:p w14:paraId="519CE19F" w14:textId="77777777" w:rsidR="00452B58" w:rsidRPr="00452B58" w:rsidRDefault="00452B58" w:rsidP="00452B58">
      <w:pPr>
        <w:tabs>
          <w:tab w:val="left" w:pos="284"/>
        </w:tabs>
        <w:suppressAutoHyphens w:val="0"/>
        <w:spacing w:before="60" w:after="160"/>
        <w:ind w:left="284" w:hanging="284"/>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All sourced costs converted and indexed to 2022 AUD. </w:t>
      </w:r>
    </w:p>
    <w:p w14:paraId="0A886EB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Costs for CVB and AEB are largely provided here for reference. As these technologies are mandated from 2025 onwards in the base case, the costs do not appear within the analysis cases after 2025.</w:t>
      </w:r>
    </w:p>
    <w:p w14:paraId="2F0C8081" w14:textId="77777777" w:rsidR="00452B58" w:rsidRPr="00F2517A" w:rsidRDefault="00452B58" w:rsidP="00F2517A">
      <w:pPr>
        <w:pStyle w:val="ARRBBaseHeading2"/>
      </w:pPr>
      <w:bookmarkStart w:id="222" w:name="_Toc137731669"/>
      <w:r w:rsidRPr="00F2517A">
        <w:t>Safety Feature Maintenance and Repair Costs</w:t>
      </w:r>
      <w:bookmarkEnd w:id="222"/>
    </w:p>
    <w:p w14:paraId="0DAAB1C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Once safety features are fitted to a heavy vehicle or trailers, there is additional cost associated with maintenance such as replacement and repairs to ensure they will continue to operate as expected. The maintenance and operating cost of safety features was assumed to be recurring annually at a rate of 1% of their initial fitment cost. </w:t>
      </w:r>
    </w:p>
    <w:p w14:paraId="6872DBC2" w14:textId="77777777" w:rsidR="00452B58" w:rsidRPr="00F2517A" w:rsidRDefault="00452B58" w:rsidP="00F2517A">
      <w:pPr>
        <w:pStyle w:val="ARRBBaseHeading2"/>
      </w:pPr>
      <w:bookmarkStart w:id="223" w:name="_Toc137731670"/>
      <w:r w:rsidRPr="00F2517A">
        <w:t>Infrastructure Update Costs</w:t>
      </w:r>
      <w:bookmarkEnd w:id="223"/>
    </w:p>
    <w:p w14:paraId="196591B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 this analysis, no calculation has been made on the impacts for pavement engineering outcomes for two key reasons:</w:t>
      </w:r>
    </w:p>
    <w:p w14:paraId="68941D6D" w14:textId="77777777" w:rsidR="00452B58" w:rsidRPr="009F313A" w:rsidRDefault="00452B58" w:rsidP="00E248BF">
      <w:pPr>
        <w:pStyle w:val="ARRBNumberList1"/>
        <w:numPr>
          <w:ilvl w:val="0"/>
          <w:numId w:val="90"/>
        </w:numPr>
      </w:pPr>
      <w:r w:rsidRPr="009F313A">
        <w:t>Initial research and analysis indicate that wider vehicles will not have a dramatic effect on infrastructure and will only impact existing infrastructure issues that already need to be addressed for 2.50 m-wide heavy vehicles</w:t>
      </w:r>
    </w:p>
    <w:p w14:paraId="1539D9C8" w14:textId="77777777" w:rsidR="00452B58" w:rsidRPr="009F313A" w:rsidRDefault="00452B58" w:rsidP="00E248BF">
      <w:pPr>
        <w:pStyle w:val="ARRBNumberList1"/>
        <w:numPr>
          <w:ilvl w:val="0"/>
          <w:numId w:val="90"/>
        </w:numPr>
      </w:pPr>
      <w:r w:rsidRPr="009F313A">
        <w:t>The extent of any required treatments is likely to be very small and are expected to lie within the range of existing treatments, meaning that calculations of any additional costs would require a more significant study and detailed analysis.</w:t>
      </w:r>
    </w:p>
    <w:p w14:paraId="676498CF" w14:textId="19A83406" w:rsidR="00452B58" w:rsidRPr="00452B58" w:rsidRDefault="00452B58" w:rsidP="00452B58">
      <w:pPr>
        <w:suppressAutoHyphens w:val="0"/>
        <w:spacing w:before="0" w:after="160" w:line="259" w:lineRule="auto"/>
        <w:rPr>
          <w:rFonts w:ascii="Calibri" w:eastAsia="Calibri" w:hAnsi="Calibri" w:cs="Calibri"/>
          <w:color w:val="auto"/>
          <w:kern w:val="0"/>
          <w:sz w:val="22"/>
          <w:szCs w:val="22"/>
          <w:vertAlign w:val="subscript"/>
        </w:rPr>
      </w:pPr>
      <w:r w:rsidRPr="00452B58">
        <w:rPr>
          <w:rFonts w:ascii="Calibri" w:eastAsia="Calibri" w:hAnsi="Calibri" w:cs="Calibri"/>
          <w:color w:val="auto"/>
          <w:kern w:val="0"/>
          <w:sz w:val="22"/>
          <w:szCs w:val="22"/>
        </w:rPr>
        <w:t>A brief discussion of three of the most prominent potential impacts related to widening over the longer term are in Appendix B.</w:t>
      </w:r>
      <w:r w:rsidRPr="00452B58">
        <w:rPr>
          <w:rFonts w:ascii="Calibri" w:eastAsia="Calibri" w:hAnsi="Calibri" w:cs="Calibri"/>
          <w:color w:val="auto"/>
          <w:kern w:val="0"/>
          <w:sz w:val="22"/>
          <w:szCs w:val="22"/>
          <w:vertAlign w:val="subscript"/>
        </w:rPr>
        <w:t xml:space="preserve"> </w:t>
      </w:r>
    </w:p>
    <w:p w14:paraId="19471E2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However, it was deemed reasonable to include a small amount of infrastructure investment in response to wider vehicles. Over the 40-year analysis period road managers can reasonably be expected to take some actions in some circumstances. This has been included in the analysis as follows:</w:t>
      </w:r>
    </w:p>
    <w:p w14:paraId="585CC004" w14:textId="77777777" w:rsidR="00452B58" w:rsidRPr="00452B58" w:rsidRDefault="00452B58" w:rsidP="009F313A">
      <w:pPr>
        <w:pStyle w:val="ARRBBulletLevel1"/>
      </w:pPr>
      <w:r w:rsidRPr="00452B58">
        <w:t xml:space="preserve">The annual infrastructure update cost is $10 per wider heavy vehicle entering the network. The $10 per additional vehicle is based on typical annualised lifecycle sealing costs and annualised maintenance costs from </w:t>
      </w:r>
      <w:proofErr w:type="spellStart"/>
      <w:r w:rsidRPr="00452B58">
        <w:t>Holtrop</w:t>
      </w:r>
      <w:proofErr w:type="spellEnd"/>
      <w:r w:rsidRPr="00452B58">
        <w:t xml:space="preserve"> (2000) adjusted to 2022 AUD.</w:t>
      </w:r>
    </w:p>
    <w:p w14:paraId="793F5156" w14:textId="77777777" w:rsidR="00452B58" w:rsidRPr="00452B58" w:rsidRDefault="00452B58" w:rsidP="009F313A">
      <w:pPr>
        <w:pStyle w:val="ARRBBulletLevel1"/>
      </w:pPr>
      <w:r w:rsidRPr="00452B58">
        <w:t xml:space="preserve">A sensitivity analysis of ±20% is applied to this value. </w:t>
      </w:r>
    </w:p>
    <w:p w14:paraId="0D20421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applies to both 2.55 and 2.60 m wide vehicles due to the insignificance of the 0.05 m margin compared to the efficiency requirements of infrastructure upgrades (i.e. both the decision to upgrade and the scale of the upgrade will not be affected by the slight vehicle width difference between these scenarios).</w:t>
      </w:r>
    </w:p>
    <w:p w14:paraId="29930FFE" w14:textId="77777777" w:rsidR="00452B58" w:rsidRPr="00F2517A" w:rsidRDefault="00452B58" w:rsidP="00F2517A">
      <w:pPr>
        <w:pStyle w:val="ARRBBaseHeading2"/>
      </w:pPr>
      <w:bookmarkStart w:id="224" w:name="_Toc137731671"/>
      <w:r w:rsidRPr="00F2517A">
        <w:t>Summary of Costs</w:t>
      </w:r>
      <w:bookmarkEnd w:id="224"/>
    </w:p>
    <w:p w14:paraId="09D95540" w14:textId="6A8C8748"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xml:space="preserve"> provides a summary of the costs associated with implementing the option cases.</w:t>
      </w:r>
    </w:p>
    <w:p w14:paraId="71A820C9" w14:textId="74A3A2D6"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25" w:name="_Ref107168211"/>
      <w:bookmarkStart w:id="226" w:name="_Toc117646408"/>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2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Summary of costs associated with the analysis</w:t>
      </w:r>
      <w:bookmarkEnd w:id="226"/>
    </w:p>
    <w:tbl>
      <w:tblPr>
        <w:tblStyle w:val="ARRBTableStyle"/>
        <w:tblW w:w="4995" w:type="pct"/>
        <w:tblLayout w:type="fixed"/>
        <w:tblLook w:val="04A0" w:firstRow="1" w:lastRow="0" w:firstColumn="1" w:lastColumn="0" w:noHBand="0" w:noVBand="1"/>
      </w:tblPr>
      <w:tblGrid>
        <w:gridCol w:w="3815"/>
        <w:gridCol w:w="1556"/>
        <w:gridCol w:w="2691"/>
        <w:gridCol w:w="1556"/>
      </w:tblGrid>
      <w:tr w:rsidR="00452B58" w:rsidRPr="00452B58" w14:paraId="3E42DFDC" w14:textId="77777777" w:rsidTr="00452B58">
        <w:trPr>
          <w:cnfStyle w:val="100000000000" w:firstRow="1" w:lastRow="0" w:firstColumn="0" w:lastColumn="0" w:oddVBand="0" w:evenVBand="0" w:oddHBand="0" w:evenHBand="0" w:firstRowFirstColumn="0" w:firstRowLastColumn="0" w:lastRowFirstColumn="0" w:lastRowLastColumn="0"/>
          <w:trHeight w:val="226"/>
        </w:trPr>
        <w:tc>
          <w:tcPr>
            <w:tcW w:w="1983" w:type="pct"/>
          </w:tcPr>
          <w:p w14:paraId="59FEA31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Cost related to </w:t>
            </w:r>
          </w:p>
        </w:tc>
        <w:tc>
          <w:tcPr>
            <w:tcW w:w="809" w:type="pct"/>
          </w:tcPr>
          <w:p w14:paraId="18C4CFE1"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Value</w:t>
            </w:r>
          </w:p>
        </w:tc>
        <w:tc>
          <w:tcPr>
            <w:tcW w:w="1399" w:type="pct"/>
          </w:tcPr>
          <w:p w14:paraId="5167A8A1"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Applicability </w:t>
            </w:r>
          </w:p>
        </w:tc>
        <w:tc>
          <w:tcPr>
            <w:tcW w:w="809" w:type="pct"/>
          </w:tcPr>
          <w:p w14:paraId="10BD03AE"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Impact </w:t>
            </w:r>
          </w:p>
        </w:tc>
      </w:tr>
      <w:tr w:rsidR="00452B58" w:rsidRPr="00452B58" w14:paraId="2D46053B" w14:textId="77777777" w:rsidTr="00452B58">
        <w:trPr>
          <w:trHeight w:val="173"/>
        </w:trPr>
        <w:tc>
          <w:tcPr>
            <w:tcW w:w="1983" w:type="pct"/>
          </w:tcPr>
          <w:p w14:paraId="2692D6D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Regulation implementation and maintenance</w:t>
            </w:r>
          </w:p>
        </w:tc>
        <w:tc>
          <w:tcPr>
            <w:tcW w:w="809" w:type="pct"/>
          </w:tcPr>
          <w:p w14:paraId="6A498AE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$50,000</w:t>
            </w:r>
          </w:p>
        </w:tc>
        <w:tc>
          <w:tcPr>
            <w:tcW w:w="1399" w:type="pct"/>
          </w:tcPr>
          <w:p w14:paraId="226225E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14:paraId="2A55811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Government</w:t>
            </w:r>
          </w:p>
        </w:tc>
      </w:tr>
      <w:tr w:rsidR="00452B58" w:rsidRPr="00452B58" w14:paraId="2E15C718" w14:textId="77777777" w:rsidTr="00452B58">
        <w:trPr>
          <w:trHeight w:val="173"/>
        </w:trPr>
        <w:tc>
          <w:tcPr>
            <w:tcW w:w="1983" w:type="pct"/>
          </w:tcPr>
          <w:p w14:paraId="724372E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vehicles (2.55 m)</w:t>
            </w:r>
          </w:p>
        </w:tc>
        <w:tc>
          <w:tcPr>
            <w:tcW w:w="809" w:type="pct"/>
          </w:tcPr>
          <w:p w14:paraId="209C439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−$213,750</w:t>
            </w:r>
          </w:p>
        </w:tc>
        <w:tc>
          <w:tcPr>
            <w:tcW w:w="1399" w:type="pct"/>
          </w:tcPr>
          <w:p w14:paraId="25DAB85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For every 1% of total HVs per year </w:t>
            </w:r>
          </w:p>
        </w:tc>
        <w:tc>
          <w:tcPr>
            <w:tcW w:w="809" w:type="pct"/>
          </w:tcPr>
          <w:p w14:paraId="52DE1D4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14:paraId="05FD7053" w14:textId="77777777" w:rsidTr="00452B58">
        <w:trPr>
          <w:trHeight w:val="173"/>
        </w:trPr>
        <w:tc>
          <w:tcPr>
            <w:tcW w:w="1983" w:type="pct"/>
          </w:tcPr>
          <w:p w14:paraId="1483B43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vehicles (2.60 m)</w:t>
            </w:r>
          </w:p>
        </w:tc>
        <w:tc>
          <w:tcPr>
            <w:tcW w:w="809" w:type="pct"/>
          </w:tcPr>
          <w:p w14:paraId="1BA498C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−$261,250</w:t>
            </w:r>
          </w:p>
        </w:tc>
        <w:tc>
          <w:tcPr>
            <w:tcW w:w="1399" w:type="pct"/>
          </w:tcPr>
          <w:p w14:paraId="148640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For every 1% of total HVs per year </w:t>
            </w:r>
          </w:p>
        </w:tc>
        <w:tc>
          <w:tcPr>
            <w:tcW w:w="809" w:type="pct"/>
          </w:tcPr>
          <w:p w14:paraId="7D717E0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14:paraId="1D52A2D0" w14:textId="77777777" w:rsidTr="00452B58">
        <w:trPr>
          <w:trHeight w:val="173"/>
        </w:trPr>
        <w:tc>
          <w:tcPr>
            <w:tcW w:w="1983" w:type="pct"/>
          </w:tcPr>
          <w:p w14:paraId="66CACB3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trailers (2.55 m)</w:t>
            </w:r>
          </w:p>
        </w:tc>
        <w:tc>
          <w:tcPr>
            <w:tcW w:w="809" w:type="pct"/>
          </w:tcPr>
          <w:p w14:paraId="0CE3A7A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$697,500</w:t>
            </w:r>
          </w:p>
        </w:tc>
        <w:tc>
          <w:tcPr>
            <w:tcW w:w="1399" w:type="pct"/>
          </w:tcPr>
          <w:p w14:paraId="14A33F8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14:paraId="55C90F0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14:paraId="4650CD0B" w14:textId="77777777" w:rsidTr="00452B58">
        <w:trPr>
          <w:trHeight w:val="173"/>
        </w:trPr>
        <w:tc>
          <w:tcPr>
            <w:tcW w:w="1983" w:type="pct"/>
          </w:tcPr>
          <w:p w14:paraId="063CD78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trailers (2.60 m)</w:t>
            </w:r>
          </w:p>
        </w:tc>
        <w:tc>
          <w:tcPr>
            <w:tcW w:w="809" w:type="pct"/>
          </w:tcPr>
          <w:p w14:paraId="672571A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$852,500</w:t>
            </w:r>
          </w:p>
        </w:tc>
        <w:tc>
          <w:tcPr>
            <w:tcW w:w="1399" w:type="pct"/>
          </w:tcPr>
          <w:p w14:paraId="2286913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14:paraId="1F7E2B5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14:paraId="3F02B40D" w14:textId="77777777" w:rsidTr="00452B58">
        <w:trPr>
          <w:trHeight w:val="173"/>
        </w:trPr>
        <w:tc>
          <w:tcPr>
            <w:tcW w:w="1983" w:type="pct"/>
          </w:tcPr>
          <w:p w14:paraId="24D6FA3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Safety feature fitment </w:t>
            </w:r>
          </w:p>
        </w:tc>
        <w:tc>
          <w:tcPr>
            <w:tcW w:w="809" w:type="pct"/>
          </w:tcPr>
          <w:p w14:paraId="6648B916" w14:textId="398250FD"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Refer to Table 3.1</w:t>
            </w:r>
          </w:p>
        </w:tc>
        <w:tc>
          <w:tcPr>
            <w:tcW w:w="1399" w:type="pct"/>
          </w:tcPr>
          <w:p w14:paraId="0EF15CE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Per vehicle </w:t>
            </w:r>
          </w:p>
        </w:tc>
        <w:tc>
          <w:tcPr>
            <w:tcW w:w="809" w:type="pct"/>
          </w:tcPr>
          <w:p w14:paraId="5C86EB6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14:paraId="4BFB45BA" w14:textId="77777777" w:rsidTr="00452B58">
        <w:trPr>
          <w:trHeight w:val="173"/>
        </w:trPr>
        <w:tc>
          <w:tcPr>
            <w:tcW w:w="1983" w:type="pct"/>
          </w:tcPr>
          <w:p w14:paraId="65C22F7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Safety feature maintenance and repair </w:t>
            </w:r>
          </w:p>
        </w:tc>
        <w:tc>
          <w:tcPr>
            <w:tcW w:w="809" w:type="pct"/>
          </w:tcPr>
          <w:p w14:paraId="65A2B7E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of fitment cost</w:t>
            </w:r>
          </w:p>
        </w:tc>
        <w:tc>
          <w:tcPr>
            <w:tcW w:w="1399" w:type="pct"/>
          </w:tcPr>
          <w:p w14:paraId="2E76C99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vehicle per year</w:t>
            </w:r>
          </w:p>
        </w:tc>
        <w:tc>
          <w:tcPr>
            <w:tcW w:w="809" w:type="pct"/>
          </w:tcPr>
          <w:p w14:paraId="1E1FFB6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14:paraId="26870828" w14:textId="77777777" w:rsidTr="00452B58">
        <w:trPr>
          <w:trHeight w:val="173"/>
        </w:trPr>
        <w:tc>
          <w:tcPr>
            <w:tcW w:w="1983" w:type="pct"/>
          </w:tcPr>
          <w:p w14:paraId="01AEBEB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Updating road infrastructure to support wider HV fleet </w:t>
            </w:r>
          </w:p>
        </w:tc>
        <w:tc>
          <w:tcPr>
            <w:tcW w:w="809" w:type="pct"/>
          </w:tcPr>
          <w:p w14:paraId="27D783F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w:t>
            </w:r>
          </w:p>
        </w:tc>
        <w:tc>
          <w:tcPr>
            <w:tcW w:w="1399" w:type="pct"/>
          </w:tcPr>
          <w:p w14:paraId="11EF776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Per vehicle per year </w:t>
            </w:r>
          </w:p>
        </w:tc>
        <w:tc>
          <w:tcPr>
            <w:tcW w:w="809" w:type="pct"/>
          </w:tcPr>
          <w:p w14:paraId="2AC36F0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Government</w:t>
            </w:r>
          </w:p>
        </w:tc>
      </w:tr>
    </w:tbl>
    <w:p w14:paraId="2550AB3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2C632A8"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2892154C" w14:textId="77777777" w:rsidR="00452B58" w:rsidRPr="00452B58" w:rsidRDefault="00452B58" w:rsidP="00F2517A">
      <w:pPr>
        <w:pStyle w:val="ARRBBaseHeading1"/>
      </w:pPr>
      <w:bookmarkStart w:id="227" w:name="_Toc137731672"/>
      <w:r w:rsidRPr="00452B58">
        <w:t>Demand Forecasts</w:t>
      </w:r>
      <w:bookmarkEnd w:id="227"/>
    </w:p>
    <w:p w14:paraId="0747DC47" w14:textId="77777777" w:rsidR="00452B58" w:rsidRPr="00F2517A" w:rsidRDefault="00452B58" w:rsidP="00F2517A">
      <w:pPr>
        <w:pStyle w:val="ARRBBaseHeading2"/>
      </w:pPr>
      <w:bookmarkStart w:id="228" w:name="_Toc137731673"/>
      <w:r w:rsidRPr="00F2517A">
        <w:t>Key Assumption</w:t>
      </w:r>
      <w:bookmarkEnd w:id="228"/>
    </w:p>
    <w:p w14:paraId="6ADA573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Demand forecasts are the projected number of vehicles and trailers that will adopt the wider widths in the option cases.</w:t>
      </w:r>
    </w:p>
    <w:p w14:paraId="55501D5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account for the impact of proposed ADR changes on the uptake of new vehicle width and safety features, projected total vehicle numbers were established first which was used as the basis for differentiating fleet share by vehicle width and safety features for each option case. </w:t>
      </w:r>
    </w:p>
    <w:p w14:paraId="7D8255F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key assumption for projected vehicle numbers under all ADR options was that the total fleet size is same as the base case. All projections were made for new vehicles.</w:t>
      </w:r>
    </w:p>
    <w:p w14:paraId="0C28C9E3" w14:textId="77777777" w:rsidR="00452B58" w:rsidRPr="00F2517A" w:rsidRDefault="00452B58" w:rsidP="00F2517A">
      <w:pPr>
        <w:pStyle w:val="ARRBBaseHeading2"/>
      </w:pPr>
      <w:bookmarkStart w:id="229" w:name="_Ref107374908"/>
      <w:bookmarkStart w:id="230" w:name="_Toc137731674"/>
      <w:r w:rsidRPr="00F2517A">
        <w:t>Projected Total Fleet Size</w:t>
      </w:r>
      <w:bookmarkEnd w:id="229"/>
      <w:bookmarkEnd w:id="230"/>
    </w:p>
    <w:p w14:paraId="13D5C55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this analysis, the total fleet of heavy vehicles is projected to grow at 2% per annum and the total fleet of trailers at 3.3% per annum. As the policy effective year is only assumed to be 15 years, new heavy vehicles and trailers that will have entered into the fleet after 2038 were not included for analysis. From 2048, new vehicles that entered the fleet at the start of the assessment (2023) will begin exiting the assessable fleet as they reach the end of their assumed 25-year life. The initial total heavy vehicle fleet size in 2023 was calculated based on historical heavy vehicle sales data provided directly by the Truck Industry Council. The initial trailer fleet size in 2023 was calculated based on historical trailer registration data sourced from Australian Bureau of Statistics (2021).  </w:t>
      </w:r>
    </w:p>
    <w:p w14:paraId="0B002CBE" w14:textId="4389384F"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addition to new vehicles and trailers that may choose to adopt new widths, some existing trailers (10%) may also choose to adopt a higher width in the option case.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xml:space="preserve"> presents the projected fleet of heavy vehicles and trailers that may respond to the new width included in the options cases. The incremental costs and benefits associated with each option case are based only on the fleet size shown in this Figure. </w:t>
      </w:r>
    </w:p>
    <w:p w14:paraId="20C126D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2CFC4B05" w14:textId="1B5FC643"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1" w:name="_Ref107377237"/>
      <w:bookmarkStart w:id="232" w:name="_Toc117646433"/>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3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Projected total fleet size over the analysis period</w:t>
      </w:r>
      <w:bookmarkEnd w:id="232"/>
    </w:p>
    <w:p w14:paraId="65D6BFC7"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p>
    <w:p w14:paraId="7A8821A3"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56B557F7" wp14:editId="7C77A3DC">
            <wp:extent cx="6120130" cy="3238500"/>
            <wp:effectExtent l="0" t="0" r="13970" b="0"/>
            <wp:docPr id="2782" name="Chart 2782" descr="Figure 4.1 graph showing the projected total fleet size over the analysis period, 2023 to 2063.">
              <a:extLst xmlns:a="http://schemas.openxmlformats.org/drawingml/2006/main">
                <a:ext uri="{FF2B5EF4-FFF2-40B4-BE49-F238E27FC236}">
                  <a16:creationId xmlns:a16="http://schemas.microsoft.com/office/drawing/2014/main" id="{9110E96A-8B4B-95A9-E7D3-931279509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37F5D14" w14:textId="77777777" w:rsidR="00452B58" w:rsidRPr="00F2517A" w:rsidRDefault="00452B58" w:rsidP="00F2517A">
      <w:pPr>
        <w:pStyle w:val="ARRBBaseHeading2"/>
      </w:pPr>
      <w:bookmarkStart w:id="233" w:name="_Ref107381567"/>
      <w:bookmarkStart w:id="234" w:name="_Toc137731675"/>
      <w:bookmarkStart w:id="235" w:name="_Ref107374169"/>
      <w:r w:rsidRPr="00F2517A">
        <w:t>Projected Uptake of new Width Vehicles</w:t>
      </w:r>
      <w:bookmarkEnd w:id="233"/>
      <w:bookmarkEnd w:id="234"/>
      <w:r w:rsidRPr="00F2517A">
        <w:t xml:space="preserve"> </w:t>
      </w:r>
      <w:bookmarkEnd w:id="235"/>
    </w:p>
    <w:p w14:paraId="5822B3A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 key driver of the impact of regulation changes proposed in this analysis is the number of heavy vehicles and trailers adopting a higher width under the new width limits. To simplify the analysis, it was assumed that width increases under each option case will be for the full allowable width, rather than a variety of intermediate widths. </w:t>
      </w:r>
    </w:p>
    <w:p w14:paraId="4652593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Further, in the BAU, 1 and 2 option cases, there is between 0.5% and 1% of the fleet that will exceed the width limit due to the either non-compliance or exemptions. In the BAU case, 99% of the total fleet was assumed to have a 2.50 m width throughout the assessment period with the remaining 1% of the total fleet split in half at 2.55 m and 2.6 m. </w:t>
      </w:r>
    </w:p>
    <w:p w14:paraId="60358D7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the option cases, the adoption rate of new width is assumed to depend on the country of origin of heavy vehicles and trailers. This is because the higher width limit represents a concessional regulatory change and the adoption of new widths in response by manufacturers will therefore be voluntary on a profit-maximising basis. </w:t>
      </w:r>
    </w:p>
    <w:p w14:paraId="0181CD9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Fully imported models, or base chassis from Europe and the US will cease to be offered at 2.50 m as overseas manufacturers elect to forego the expense of the modifications or alternative production lines. This is expected to occur over a very short time frame, for which 2 years has been selected.</w:t>
      </w:r>
    </w:p>
    <w:p w14:paraId="6BB8601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Japanese and South Korean manufacturers will continue to provide 2.50 m wide vehicles and chassis as the Australian market is only a fraction of their customer base and there will still be a demand in Australia for 2.50 m wide vehicles. Over the 40-year analysis period there will be a modest move by these manufacturers towards offering some wider models.</w:t>
      </w:r>
    </w:p>
    <w:p w14:paraId="1B4B041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Australian manufacturers (body builders, etc.) will increasingly adapt to wider vehicles due to:</w:t>
      </w:r>
    </w:p>
    <w:p w14:paraId="27E97C91" w14:textId="77777777" w:rsidR="00452B58" w:rsidRPr="00452B58" w:rsidRDefault="00452B58" w:rsidP="0012775D">
      <w:pPr>
        <w:pStyle w:val="ARRBBulletLevel1"/>
      </w:pPr>
      <w:r w:rsidRPr="00452B58">
        <w:t>European and US chassis quickly becoming available only at the wider limit while there will still be a demand for these popular vehicle makes (i.e. cannot switch over entirely to Japanese and South Korean chassis)</w:t>
      </w:r>
    </w:p>
    <w:p w14:paraId="435C8AB6" w14:textId="77777777" w:rsidR="00452B58" w:rsidRPr="00452B58" w:rsidRDefault="00452B58" w:rsidP="0012775D">
      <w:pPr>
        <w:pStyle w:val="ARRBBulletLevel1"/>
      </w:pPr>
      <w:r w:rsidRPr="00452B58">
        <w:t xml:space="preserve">The significant benefits of widening to refrigerated vehicles will ensure an immediate and sustained demand for wider vehicles, with more modest benefits to other vehicle types. </w:t>
      </w:r>
    </w:p>
    <w:p w14:paraId="50423F4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Trailer fleet growth rate by importation status was taken as:</w:t>
      </w:r>
    </w:p>
    <w:p w14:paraId="1881AA56" w14:textId="77777777" w:rsidR="00452B58" w:rsidRPr="00452B58" w:rsidRDefault="00452B58" w:rsidP="009F313A">
      <w:pPr>
        <w:pStyle w:val="ARRBBulletLevel1"/>
      </w:pPr>
      <w:r w:rsidRPr="00452B58">
        <w:t>Imported: 4% (from a current market share of 7.5%)</w:t>
      </w:r>
    </w:p>
    <w:p w14:paraId="4170532C" w14:textId="77777777" w:rsidR="00452B58" w:rsidRPr="00452B58" w:rsidRDefault="00452B58" w:rsidP="009F313A">
      <w:pPr>
        <w:pStyle w:val="ARRBBulletLevel1"/>
      </w:pPr>
      <w:r w:rsidRPr="00452B58">
        <w:t>Domestic: 3% (from a current market share of 92.5%).</w:t>
      </w:r>
    </w:p>
    <w:p w14:paraId="0D33A61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is due to supply of wider trailers via import being more readily available from the outset of the analysis period than from local trailer manufacturers. The result is a shift in the market share towards imported trailers; however, it is assumed that this will not be dramatic because:</w:t>
      </w:r>
    </w:p>
    <w:p w14:paraId="11777170" w14:textId="77777777" w:rsidR="00452B58" w:rsidRPr="00452B58" w:rsidRDefault="00452B58" w:rsidP="009F313A">
      <w:pPr>
        <w:pStyle w:val="ARRBBulletLevel1"/>
      </w:pPr>
      <w:r w:rsidRPr="00452B58">
        <w:t>Overseas manufacturers are already capable of bringing cheaper 2.50 m wide trailers to the Australian market, but this has not resulted in a dominant market share.</w:t>
      </w:r>
    </w:p>
    <w:p w14:paraId="2E478831" w14:textId="77777777" w:rsidR="00452B58" w:rsidRPr="00452B58" w:rsidRDefault="00452B58" w:rsidP="009F313A">
      <w:pPr>
        <w:pStyle w:val="ARRBBulletLevel1"/>
      </w:pPr>
      <w:r w:rsidRPr="00452B58">
        <w:t>As domestic manufacture adapts over time to have the capability to produce (or modify) wider trailers, the current local market demand for quality, customised trailers produced locally will reassert itself.</w:t>
      </w:r>
    </w:p>
    <w:p w14:paraId="0940839D" w14:textId="24B67290"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 an illustration of this approach,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xml:space="preserve"> to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present the projected distribution of width for heavy vehicles manufactured in USA/Europe, Japan/South Korea, and Australia respectively for Option 1. Similarly,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 xml:space="preserve"> and 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 xml:space="preserve"> present the projected distribution of width of imported and domestically manufactured trailers due to Option 1. In all these charts, the assumed trends were applied for the 15-year regulatory period only and held to be constant thereafter for the remainder of the analysis period to capture the impact of the currently proposed ADR changes. The same approach is used for Options 2, 3, and 4.</w:t>
      </w:r>
    </w:p>
    <w:p w14:paraId="14E36FC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80"/>
          <w:footerReference w:type="default" r:id="rId81"/>
          <w:pgSz w:w="11906" w:h="16838" w:code="9"/>
          <w:pgMar w:top="1134" w:right="1134" w:bottom="1134" w:left="1134" w:header="680" w:footer="284" w:gutter="0"/>
          <w:pgNumType w:start="1"/>
          <w:cols w:space="567"/>
          <w:docGrid w:linePitch="360"/>
        </w:sectPr>
      </w:pPr>
    </w:p>
    <w:p w14:paraId="74442C9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6705E85" w14:textId="7777777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sectPr w:rsidR="00452B58" w:rsidRPr="00452B58" w:rsidSect="00452B58">
          <w:pgSz w:w="16838" w:h="11906" w:orient="landscape" w:code="9"/>
          <w:pgMar w:top="1134" w:right="1134" w:bottom="1134" w:left="1134" w:header="680" w:footer="284" w:gutter="0"/>
          <w:cols w:space="567"/>
          <w:docGrid w:linePitch="360"/>
        </w:sectPr>
      </w:pPr>
      <w:bookmarkStart w:id="236" w:name="_Ref107390679"/>
    </w:p>
    <w:p w14:paraId="4FE70C47" w14:textId="3B7064F3"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7" w:name="_Ref112326093"/>
      <w:bookmarkStart w:id="238" w:name="_Toc117646434"/>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36"/>
      <w:bookmarkEnd w:id="23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USA and Europe in Option 1</w:t>
      </w:r>
      <w:bookmarkEnd w:id="238"/>
    </w:p>
    <w:p w14:paraId="6DCED24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423164A2" wp14:editId="693FB0F7">
            <wp:extent cx="3562350" cy="1990725"/>
            <wp:effectExtent l="0" t="0" r="0" b="9525"/>
            <wp:docPr id="2783" name="Chart 2783" descr="Figure 4.2 graph showing the adoption rate of new width by heavy vehicles manufactured in USA and Europe in Option 1.">
              <a:extLst xmlns:a="http://schemas.openxmlformats.org/drawingml/2006/main">
                <a:ext uri="{FF2B5EF4-FFF2-40B4-BE49-F238E27FC236}">
                  <a16:creationId xmlns:a16="http://schemas.microsoft.com/office/drawing/2014/main" id="{34E3672F-4EC7-C6AA-3C2A-8BD53CB96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2663A33" w14:textId="25FCC838"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9" w:name="_Toc117646435"/>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Japan and South Korea in Option 1</w:t>
      </w:r>
      <w:bookmarkEnd w:id="239"/>
    </w:p>
    <w:p w14:paraId="16D37DC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05A65FFC" wp14:editId="71510B0C">
            <wp:extent cx="3571875" cy="1990725"/>
            <wp:effectExtent l="0" t="0" r="9525" b="9525"/>
            <wp:docPr id="2784" name="Chart 2784" descr="Figure 4.3 graph showing the adoption rate of new width by heavy vehicles manufactured in Japan and South Korea in Option 1.">
              <a:extLst xmlns:a="http://schemas.openxmlformats.org/drawingml/2006/main">
                <a:ext uri="{FF2B5EF4-FFF2-40B4-BE49-F238E27FC236}">
                  <a16:creationId xmlns:a16="http://schemas.microsoft.com/office/drawing/2014/main" id="{5A94CB27-BC1C-7D1C-28AC-C713CAAB0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Start w:id="240" w:name="_Ref107390698"/>
    </w:p>
    <w:p w14:paraId="4A8D57E5" w14:textId="77777777"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Note:</w:t>
      </w:r>
      <w:r w:rsidRPr="00452B58">
        <w:rPr>
          <w:rFonts w:ascii="Calibri" w:eastAsia="Calibri" w:hAnsi="Calibri" w:cs="Times New Roman"/>
          <w:iCs/>
          <w:color w:val="454647"/>
          <w:kern w:val="0"/>
          <w:sz w:val="18"/>
          <w:szCs w:val="22"/>
        </w:rPr>
        <w:tab/>
        <w:t xml:space="preserve">The analysis assumes 100% adaption of 2.55 m imported models from Japan and South Korea over 25 years. </w:t>
      </w:r>
      <w:proofErr w:type="gramStart"/>
      <w:r w:rsidRPr="00452B58">
        <w:rPr>
          <w:rFonts w:ascii="Calibri" w:eastAsia="Calibri" w:hAnsi="Calibri" w:cs="Times New Roman"/>
          <w:iCs/>
          <w:color w:val="454647"/>
          <w:kern w:val="0"/>
          <w:sz w:val="18"/>
          <w:szCs w:val="22"/>
        </w:rPr>
        <w:t>Therefore</w:t>
      </w:r>
      <w:proofErr w:type="gramEnd"/>
      <w:r w:rsidRPr="00452B58">
        <w:rPr>
          <w:rFonts w:ascii="Calibri" w:eastAsia="Calibri" w:hAnsi="Calibri" w:cs="Times New Roman"/>
          <w:iCs/>
          <w:color w:val="454647"/>
          <w:kern w:val="0"/>
          <w:sz w:val="18"/>
          <w:szCs w:val="22"/>
        </w:rPr>
        <w:t xml:space="preserve"> there is a 60% increase during the 15-year regulatory period, held constant thereafter due to the unknown regulatory environment (i.e. beyond the impact of the currently proposed ADRs).</w:t>
      </w:r>
    </w:p>
    <w:p w14:paraId="2B71B7CC" w14:textId="520593B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1" w:name="_Ref112326100"/>
      <w:bookmarkStart w:id="242" w:name="_Toc117646436"/>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240"/>
      <w:bookmarkEnd w:id="24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Australia in Option 1</w:t>
      </w:r>
      <w:bookmarkEnd w:id="242"/>
    </w:p>
    <w:p w14:paraId="44A4CB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20A7F4A5" wp14:editId="4EC6281A">
            <wp:extent cx="3562350" cy="2038350"/>
            <wp:effectExtent l="0" t="0" r="0" b="0"/>
            <wp:docPr id="2785" name="Chart 2785" descr="Figure 4.4 graph showing the adoption rate of new width by heavy vehicles manufactured in Australia in Option 1. ">
              <a:extLst xmlns:a="http://schemas.openxmlformats.org/drawingml/2006/main">
                <a:ext uri="{FF2B5EF4-FFF2-40B4-BE49-F238E27FC236}">
                  <a16:creationId xmlns:a16="http://schemas.microsoft.com/office/drawing/2014/main" id="{3D221F32-5E93-544F-1152-6A194F331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11259E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3810D33B" w14:textId="17C5889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3" w:name="_Ref107390726"/>
      <w:bookmarkStart w:id="244" w:name="_Toc117646437"/>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bookmarkEnd w:id="24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imported trailers in Option 1</w:t>
      </w:r>
      <w:bookmarkEnd w:id="244"/>
    </w:p>
    <w:p w14:paraId="78845B1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37082EF9" wp14:editId="49C134AF">
            <wp:extent cx="3571875" cy="1905000"/>
            <wp:effectExtent l="0" t="0" r="9525" b="0"/>
            <wp:docPr id="15" name="Chart 15" descr="Figure 4.5 graph showing the adoption rate of new width by imported trailers in Option 1.">
              <a:extLst xmlns:a="http://schemas.openxmlformats.org/drawingml/2006/main">
                <a:ext uri="{FF2B5EF4-FFF2-40B4-BE49-F238E27FC236}">
                  <a16:creationId xmlns:a16="http://schemas.microsoft.com/office/drawing/2014/main" id="{F57F7FD5-FAAE-C0AE-6578-32BE1FB8B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A88DA8" w14:textId="25B517C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5" w:name="_Ref107390745"/>
      <w:bookmarkStart w:id="246" w:name="_Toc117646438"/>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bookmarkEnd w:id="24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trailer manufacturers in Australia in Option 1</w:t>
      </w:r>
      <w:bookmarkEnd w:id="246"/>
    </w:p>
    <w:p w14:paraId="454F0DF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7D82B136" wp14:editId="1A30B3D4">
            <wp:extent cx="3476625" cy="1828800"/>
            <wp:effectExtent l="0" t="0" r="9525" b="0"/>
            <wp:docPr id="2786" name="Chart 2786" descr="Figure 4.6 graph showing the adoption rate of new width by heavy trailer manufacturers in Australia in Option 1.">
              <a:extLst xmlns:a="http://schemas.openxmlformats.org/drawingml/2006/main">
                <a:ext uri="{FF2B5EF4-FFF2-40B4-BE49-F238E27FC236}">
                  <a16:creationId xmlns:a16="http://schemas.microsoft.com/office/drawing/2014/main" id="{375D0835-3676-DE95-1590-217113246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4D7B5D2" w14:textId="77777777"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sectPr w:rsidR="00452B58" w:rsidRPr="00452B58" w:rsidSect="00452B58">
          <w:type w:val="continuous"/>
          <w:pgSz w:w="16838" w:h="11906" w:orient="landscape" w:code="9"/>
          <w:pgMar w:top="1134" w:right="1134" w:bottom="1134" w:left="1134" w:header="680" w:footer="284" w:gutter="0"/>
          <w:cols w:num="2" w:space="567"/>
          <w:docGrid w:linePitch="360"/>
        </w:sectPr>
      </w:pPr>
      <w:r w:rsidRPr="00452B58">
        <w:rPr>
          <w:rFonts w:ascii="Calibri" w:eastAsia="Calibri" w:hAnsi="Calibri" w:cs="Times New Roman"/>
          <w:iCs/>
          <w:color w:val="454647"/>
          <w:kern w:val="0"/>
          <w:sz w:val="18"/>
          <w:szCs w:val="22"/>
        </w:rPr>
        <w:t>Note:</w:t>
      </w:r>
      <w:r w:rsidRPr="00452B58">
        <w:rPr>
          <w:rFonts w:ascii="Calibri" w:eastAsia="Calibri" w:hAnsi="Calibri" w:cs="Times New Roman"/>
          <w:iCs/>
          <w:color w:val="454647"/>
          <w:kern w:val="0"/>
          <w:sz w:val="18"/>
          <w:szCs w:val="22"/>
        </w:rPr>
        <w:tab/>
        <w:t xml:space="preserve">The analysis assumes 100% adaption of 2.55 m </w:t>
      </w:r>
      <w:proofErr w:type="spellStart"/>
      <w:proofErr w:type="gramStart"/>
      <w:r w:rsidRPr="00452B58">
        <w:rPr>
          <w:rFonts w:ascii="Calibri" w:eastAsia="Calibri" w:hAnsi="Calibri" w:cs="Times New Roman"/>
          <w:iCs/>
          <w:color w:val="454647"/>
          <w:kern w:val="0"/>
          <w:sz w:val="18"/>
          <w:szCs w:val="22"/>
        </w:rPr>
        <w:t>locally,manufactured</w:t>
      </w:r>
      <w:proofErr w:type="spellEnd"/>
      <w:proofErr w:type="gramEnd"/>
      <w:r w:rsidRPr="00452B58">
        <w:rPr>
          <w:rFonts w:ascii="Calibri" w:eastAsia="Calibri" w:hAnsi="Calibri" w:cs="Times New Roman"/>
          <w:iCs/>
          <w:color w:val="454647"/>
          <w:kern w:val="0"/>
          <w:sz w:val="18"/>
          <w:szCs w:val="22"/>
        </w:rPr>
        <w:t xml:space="preserve"> over 40 years. </w:t>
      </w:r>
      <w:proofErr w:type="gramStart"/>
      <w:r w:rsidRPr="00452B58">
        <w:rPr>
          <w:rFonts w:ascii="Calibri" w:eastAsia="Calibri" w:hAnsi="Calibri" w:cs="Times New Roman"/>
          <w:iCs/>
          <w:color w:val="454647"/>
          <w:kern w:val="0"/>
          <w:sz w:val="18"/>
          <w:szCs w:val="22"/>
        </w:rPr>
        <w:t>Therefore</w:t>
      </w:r>
      <w:proofErr w:type="gramEnd"/>
      <w:r w:rsidRPr="00452B58">
        <w:rPr>
          <w:rFonts w:ascii="Calibri" w:eastAsia="Calibri" w:hAnsi="Calibri" w:cs="Times New Roman"/>
          <w:iCs/>
          <w:color w:val="454647"/>
          <w:kern w:val="0"/>
          <w:sz w:val="18"/>
          <w:szCs w:val="22"/>
        </w:rPr>
        <w:t xml:space="preserve"> there is a 38% increase during the 15-year regulatory period, held constant thereafter due to the unknown regulatory environment (i.e. beyond the impact of the currently proposed ADRs).</w:t>
      </w:r>
    </w:p>
    <w:p w14:paraId="6266DAC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E40BE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type w:val="continuous"/>
          <w:pgSz w:w="16838" w:h="11906" w:orient="landscape" w:code="9"/>
          <w:pgMar w:top="1134" w:right="1134" w:bottom="1134" w:left="1134" w:header="680" w:footer="284" w:gutter="0"/>
          <w:pgNumType w:start="1"/>
          <w:cols w:space="567"/>
          <w:docGrid w:linePitch="360"/>
        </w:sectPr>
      </w:pPr>
    </w:p>
    <w:p w14:paraId="2DA9E102" w14:textId="3E1B1BE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Finally, the market shares by country of origin in Table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xml:space="preserve"> are used to the estimate fleet size. Together with projected new width uptake rates for each country of origin and project total fleet size, projected fleet size by width can then be aggregated across the countries of origin with the same width in each year.     </w:t>
      </w:r>
    </w:p>
    <w:p w14:paraId="6929CAC3" w14:textId="7320446D"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7" w:name="_Ref107390578"/>
      <w:bookmarkStart w:id="248" w:name="_Toc11764640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4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Market share of vehicles and trailers by country of origin</w:t>
      </w:r>
      <w:bookmarkEnd w:id="248"/>
    </w:p>
    <w:tbl>
      <w:tblPr>
        <w:tblStyle w:val="ARRBTableStyle"/>
        <w:tblW w:w="5000" w:type="pct"/>
        <w:tblLayout w:type="fixed"/>
        <w:tblLook w:val="04A0" w:firstRow="1" w:lastRow="0" w:firstColumn="1" w:lastColumn="0" w:noHBand="0" w:noVBand="1"/>
      </w:tblPr>
      <w:tblGrid>
        <w:gridCol w:w="3480"/>
        <w:gridCol w:w="2942"/>
        <w:gridCol w:w="3206"/>
      </w:tblGrid>
      <w:tr w:rsidR="00452B58" w:rsidRPr="00452B58" w14:paraId="16C00EF2"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807" w:type="pct"/>
          </w:tcPr>
          <w:p w14:paraId="03548E29"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Type </w:t>
            </w:r>
          </w:p>
        </w:tc>
        <w:tc>
          <w:tcPr>
            <w:tcW w:w="1528" w:type="pct"/>
          </w:tcPr>
          <w:p w14:paraId="5DDE5CE9"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Countries of origin</w:t>
            </w:r>
          </w:p>
        </w:tc>
        <w:tc>
          <w:tcPr>
            <w:tcW w:w="1665" w:type="pct"/>
          </w:tcPr>
          <w:p w14:paraId="369F4252"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Market share</w:t>
            </w:r>
          </w:p>
        </w:tc>
      </w:tr>
      <w:tr w:rsidR="00452B58" w:rsidRPr="00452B58" w14:paraId="089361D2" w14:textId="77777777" w:rsidTr="00452B58">
        <w:trPr>
          <w:trHeight w:val="144"/>
        </w:trPr>
        <w:tc>
          <w:tcPr>
            <w:tcW w:w="1807" w:type="pct"/>
            <w:vMerge w:val="restart"/>
          </w:tcPr>
          <w:p w14:paraId="610A148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Heavy vehicles</w:t>
            </w:r>
          </w:p>
        </w:tc>
        <w:tc>
          <w:tcPr>
            <w:tcW w:w="1528" w:type="pct"/>
          </w:tcPr>
          <w:p w14:paraId="5AC19AB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USA and Europe </w:t>
            </w:r>
          </w:p>
        </w:tc>
        <w:tc>
          <w:tcPr>
            <w:tcW w:w="1665" w:type="pct"/>
          </w:tcPr>
          <w:p w14:paraId="5059300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27.5%</w:t>
            </w:r>
          </w:p>
        </w:tc>
      </w:tr>
      <w:tr w:rsidR="00452B58" w:rsidRPr="00452B58" w14:paraId="7AB64E4D" w14:textId="77777777" w:rsidTr="00452B58">
        <w:trPr>
          <w:trHeight w:val="144"/>
        </w:trPr>
        <w:tc>
          <w:tcPr>
            <w:tcW w:w="1807" w:type="pct"/>
            <w:vMerge/>
          </w:tcPr>
          <w:p w14:paraId="191C6565" w14:textId="77777777" w:rsidR="00452B58" w:rsidRPr="00452B58" w:rsidRDefault="00452B58" w:rsidP="00452B58">
            <w:pPr>
              <w:keepNext/>
              <w:suppressAutoHyphens w:val="0"/>
              <w:spacing w:before="40" w:after="40"/>
              <w:rPr>
                <w:rFonts w:eastAsia="Calibri" w:cs="Times New Roman"/>
                <w:kern w:val="0"/>
                <w:szCs w:val="22"/>
              </w:rPr>
            </w:pPr>
          </w:p>
        </w:tc>
        <w:tc>
          <w:tcPr>
            <w:tcW w:w="1528" w:type="pct"/>
          </w:tcPr>
          <w:p w14:paraId="716A9EB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Japan and Korea</w:t>
            </w:r>
          </w:p>
        </w:tc>
        <w:tc>
          <w:tcPr>
            <w:tcW w:w="1665" w:type="pct"/>
          </w:tcPr>
          <w:p w14:paraId="2256E5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37.4%</w:t>
            </w:r>
          </w:p>
        </w:tc>
      </w:tr>
      <w:tr w:rsidR="00452B58" w:rsidRPr="00452B58" w14:paraId="1E64AFBA" w14:textId="77777777" w:rsidTr="00452B58">
        <w:trPr>
          <w:trHeight w:val="144"/>
        </w:trPr>
        <w:tc>
          <w:tcPr>
            <w:tcW w:w="1807" w:type="pct"/>
            <w:vMerge/>
          </w:tcPr>
          <w:p w14:paraId="3EE6D71C" w14:textId="77777777" w:rsidR="00452B58" w:rsidRPr="00452B58" w:rsidRDefault="00452B58" w:rsidP="00452B58">
            <w:pPr>
              <w:keepNext/>
              <w:suppressAutoHyphens w:val="0"/>
              <w:spacing w:before="40" w:after="40"/>
              <w:rPr>
                <w:rFonts w:eastAsia="Calibri" w:cs="Times New Roman"/>
                <w:kern w:val="0"/>
                <w:szCs w:val="22"/>
              </w:rPr>
            </w:pPr>
          </w:p>
        </w:tc>
        <w:tc>
          <w:tcPr>
            <w:tcW w:w="1528" w:type="pct"/>
          </w:tcPr>
          <w:p w14:paraId="38D71F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Australia</w:t>
            </w:r>
          </w:p>
        </w:tc>
        <w:tc>
          <w:tcPr>
            <w:tcW w:w="1665" w:type="pct"/>
          </w:tcPr>
          <w:p w14:paraId="2FEC7C2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35.1%</w:t>
            </w:r>
          </w:p>
        </w:tc>
      </w:tr>
      <w:tr w:rsidR="00452B58" w:rsidRPr="00452B58" w14:paraId="094F38B7" w14:textId="77777777" w:rsidTr="00452B58">
        <w:trPr>
          <w:trHeight w:val="144"/>
        </w:trPr>
        <w:tc>
          <w:tcPr>
            <w:tcW w:w="1807" w:type="pct"/>
            <w:vMerge w:val="restart"/>
          </w:tcPr>
          <w:p w14:paraId="17B6433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Trailers</w:t>
            </w:r>
          </w:p>
        </w:tc>
        <w:tc>
          <w:tcPr>
            <w:tcW w:w="1528" w:type="pct"/>
          </w:tcPr>
          <w:p w14:paraId="463C99B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Imported </w:t>
            </w:r>
          </w:p>
        </w:tc>
        <w:tc>
          <w:tcPr>
            <w:tcW w:w="1665" w:type="pct"/>
          </w:tcPr>
          <w:p w14:paraId="1DE22FC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7.5%</w:t>
            </w:r>
          </w:p>
        </w:tc>
      </w:tr>
      <w:tr w:rsidR="00452B58" w:rsidRPr="00452B58" w14:paraId="0270C37C" w14:textId="77777777" w:rsidTr="00452B58">
        <w:trPr>
          <w:trHeight w:val="144"/>
        </w:trPr>
        <w:tc>
          <w:tcPr>
            <w:tcW w:w="1807" w:type="pct"/>
            <w:vMerge/>
          </w:tcPr>
          <w:p w14:paraId="3F3F7509" w14:textId="77777777" w:rsidR="00452B58" w:rsidRPr="00452B58" w:rsidRDefault="00452B58" w:rsidP="00452B58">
            <w:pPr>
              <w:keepNext/>
              <w:suppressAutoHyphens w:val="0"/>
              <w:spacing w:before="40" w:after="40"/>
              <w:rPr>
                <w:rFonts w:eastAsia="Calibri" w:cs="Times New Roman"/>
                <w:kern w:val="0"/>
                <w:szCs w:val="22"/>
              </w:rPr>
            </w:pPr>
          </w:p>
        </w:tc>
        <w:tc>
          <w:tcPr>
            <w:tcW w:w="1528" w:type="pct"/>
          </w:tcPr>
          <w:p w14:paraId="0079A8B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Australia</w:t>
            </w:r>
          </w:p>
        </w:tc>
        <w:tc>
          <w:tcPr>
            <w:tcW w:w="1665" w:type="pct"/>
          </w:tcPr>
          <w:p w14:paraId="564A7B8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92.5%</w:t>
            </w:r>
          </w:p>
        </w:tc>
      </w:tr>
    </w:tbl>
    <w:p w14:paraId="3B080CCB" w14:textId="77777777"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w:t>
      </w:r>
      <w:r w:rsidRPr="00452B58">
        <w:rPr>
          <w:rFonts w:ascii="Calibri" w:eastAsia="Calibri" w:hAnsi="Calibri" w:cs="Times New Roman"/>
          <w:iCs/>
          <w:color w:val="454647"/>
          <w:kern w:val="0"/>
          <w:sz w:val="18"/>
          <w:szCs w:val="22"/>
        </w:rPr>
        <w:tab/>
        <w:t>Department of Infrastructure, Transport, Regional Development and Communications (2021).</w:t>
      </w:r>
    </w:p>
    <w:p w14:paraId="3EDF89B0" w14:textId="77777777" w:rsidR="00452B58" w:rsidRPr="00452B58" w:rsidRDefault="00452B58" w:rsidP="00452B58">
      <w:pPr>
        <w:suppressAutoHyphens w:val="0"/>
        <w:spacing w:before="120" w:after="60" w:line="288" w:lineRule="auto"/>
        <w:rPr>
          <w:rFonts w:ascii="Arial" w:eastAsia="Calibri" w:hAnsi="Arial" w:cs="Arial"/>
          <w:color w:val="000000"/>
          <w:kern w:val="0"/>
          <w:sz w:val="18"/>
          <w:szCs w:val="18"/>
        </w:rPr>
      </w:pPr>
      <w:r w:rsidRPr="00452B58">
        <w:rPr>
          <w:rFonts w:ascii="Calibri" w:eastAsia="Calibri" w:hAnsi="Calibri" w:cs="Times New Roman"/>
          <w:color w:val="auto"/>
          <w:kern w:val="0"/>
          <w:sz w:val="22"/>
          <w:szCs w:val="22"/>
        </w:rPr>
        <w:br w:type="page"/>
      </w:r>
    </w:p>
    <w:p w14:paraId="20B1E96D" w14:textId="77777777" w:rsidR="00452B58" w:rsidRPr="00452B58" w:rsidRDefault="00452B58" w:rsidP="00F2517A">
      <w:pPr>
        <w:pStyle w:val="ARRBBaseHeading1"/>
      </w:pPr>
      <w:bookmarkStart w:id="249" w:name="_Toc137731676"/>
      <w:r w:rsidRPr="00452B58">
        <w:t>Benefits</w:t>
      </w:r>
      <w:bookmarkEnd w:id="249"/>
    </w:p>
    <w:p w14:paraId="6454AED2" w14:textId="77777777" w:rsidR="00452B58" w:rsidRPr="00F2517A" w:rsidRDefault="00452B58" w:rsidP="00F2517A">
      <w:pPr>
        <w:pStyle w:val="ARRBBaseHeading2"/>
      </w:pPr>
      <w:bookmarkStart w:id="250" w:name="_Toc137731677"/>
      <w:r w:rsidRPr="00F2517A">
        <w:t>Included Benefits</w:t>
      </w:r>
      <w:bookmarkEnd w:id="250"/>
    </w:p>
    <w:p w14:paraId="1FC39F4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type and scale of the benefits depend on the exact change in each ADR option and the level of compliance or take-up of the proposed ADR change. </w:t>
      </w:r>
    </w:p>
    <w:p w14:paraId="2EC263B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With the introduction of a higher width limit, the following benefits are expected:</w:t>
      </w:r>
    </w:p>
    <w:p w14:paraId="72779BFF" w14:textId="77777777" w:rsidR="00452B58" w:rsidRPr="00452B58" w:rsidRDefault="00452B58" w:rsidP="009F313A">
      <w:pPr>
        <w:pStyle w:val="ARRBBulletLevel1"/>
      </w:pPr>
      <w:r w:rsidRPr="00452B58">
        <w:t xml:space="preserve">Safety – crash reduction due to mandatory fitment of safety features for HVs and trailers that adopt the new width AND lower probability of crashes due to reduced need for travel as a result of more productive vehicle configurations. </w:t>
      </w:r>
    </w:p>
    <w:p w14:paraId="71A87AE6" w14:textId="77777777" w:rsidR="00452B58" w:rsidRPr="00452B58" w:rsidRDefault="00452B58" w:rsidP="009F313A">
      <w:pPr>
        <w:pStyle w:val="ARRBBulletLevel1"/>
      </w:pPr>
      <w:r w:rsidRPr="00452B58">
        <w:t xml:space="preserve">Asset preservation – reduction in pavement maintenance cost due to less road use as a result of more productive (wider) vehicles. </w:t>
      </w:r>
    </w:p>
    <w:p w14:paraId="677FADBB" w14:textId="77777777" w:rsidR="00452B58" w:rsidRPr="00452B58" w:rsidRDefault="00452B58" w:rsidP="009F313A">
      <w:pPr>
        <w:pStyle w:val="ARRBBulletLevel1"/>
      </w:pPr>
      <w:r w:rsidRPr="00452B58">
        <w:t>Environment – reduction in environmental pollution due to more productive and more efficient vehicle configurations.</w:t>
      </w:r>
    </w:p>
    <w:p w14:paraId="2838D998" w14:textId="77777777" w:rsidR="00452B58" w:rsidRPr="00452B58" w:rsidRDefault="00452B58" w:rsidP="009F313A">
      <w:pPr>
        <w:pStyle w:val="ARRBBulletLevel1"/>
      </w:pPr>
      <w:r w:rsidRPr="00452B58">
        <w:t>Vehicle operating cost (VOC) – reduction in the cost to maintain and fuel freight movements due to more productive vehicle configurations.</w:t>
      </w:r>
    </w:p>
    <w:p w14:paraId="28005CF5" w14:textId="77777777" w:rsidR="00452B58" w:rsidRPr="00F2517A" w:rsidRDefault="00452B58" w:rsidP="00F2517A">
      <w:pPr>
        <w:pStyle w:val="ARRBBaseHeading2"/>
      </w:pPr>
      <w:bookmarkStart w:id="251" w:name="_Toc137731678"/>
      <w:r w:rsidRPr="00F2517A">
        <w:t>Safety Benefits</w:t>
      </w:r>
      <w:bookmarkEnd w:id="251"/>
    </w:p>
    <w:p w14:paraId="30FAFA7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Crash cost refers to the fatality and injury costs associated with traffic accidents that involve heavy vehicles and trailers. The expected crash cost of a single heavy vehicle or trailer in a year can be estimated by multiplying the average crash rate of a particular type of crash (number of crashes per distance travelled) by the total distance travelled by a vehicle or trailer in a year. The expected crash cost of one vehicle in a year can then be estimated by multiplying the average cost per crash by the expected number of crashes per vehicle per year. Finally, the total crash cost of the entire fleet in a year can be estimated by multiplying the crash cost of a single vehicle to the fleet size in a year.</w:t>
      </w:r>
    </w:p>
    <w:p w14:paraId="2766C04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Compared to the BAU case, the adoption of new widths by some vehicles in the assessable fleet can affect the safety outcome in two ways. First, wider vehicles could mean more productive freight movement or carrying more freight per trip, and this would translate to a lower distance of travel made by a widened vehicle per year assuming the total moveable freight task is fixed in both scenarios. Second, the proposed regulation requires the fitment of seven safety features on a widened vehicle. This will generate additional benefit if the mandated safety features have not been adopted voluntarily by the widened vehicles prior. </w:t>
      </w:r>
    </w:p>
    <w:p w14:paraId="2BEB4DF8" w14:textId="77777777" w:rsidR="00452B58" w:rsidRPr="00452B58" w:rsidRDefault="00452B58" w:rsidP="009F313A">
      <w:pPr>
        <w:pStyle w:val="ARRBBaseHeading3"/>
      </w:pPr>
      <w:bookmarkStart w:id="252" w:name="_Toc137731679"/>
      <w:r w:rsidRPr="00452B58">
        <w:t>Trip Reduction (Crash Exposure and Productivity)</w:t>
      </w:r>
      <w:bookmarkEnd w:id="252"/>
    </w:p>
    <w:p w14:paraId="7D1AE554" w14:textId="5A5CA89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the first channel of safety impact, average yearly travel for a vehicle before and after widening is required. The calculations to determine these are shown in Appendix C, and the results presented in 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0BDCB73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2D6E4C0B" w14:textId="42E1118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3" w:name="_Ref111139415"/>
      <w:bookmarkStart w:id="254" w:name="_Ref111139411"/>
      <w:bookmarkStart w:id="255" w:name="_Toc11764641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5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Average annual km travelled per vehicle type in the analysis</w:t>
      </w:r>
      <w:bookmarkEnd w:id="254"/>
      <w:bookmarkEnd w:id="255"/>
    </w:p>
    <w:tbl>
      <w:tblPr>
        <w:tblStyle w:val="ARRBTableStyle"/>
        <w:tblW w:w="9639" w:type="dxa"/>
        <w:tblLayout w:type="fixed"/>
        <w:tblLook w:val="04A0" w:firstRow="1" w:lastRow="0" w:firstColumn="1" w:lastColumn="0" w:noHBand="0" w:noVBand="1"/>
      </w:tblPr>
      <w:tblGrid>
        <w:gridCol w:w="2552"/>
        <w:gridCol w:w="1303"/>
        <w:gridCol w:w="1446"/>
        <w:gridCol w:w="1446"/>
        <w:gridCol w:w="1446"/>
        <w:gridCol w:w="1446"/>
      </w:tblGrid>
      <w:tr w:rsidR="00452B58" w:rsidRPr="00452B58" w14:paraId="453AA7EA"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2552" w:type="dxa"/>
            <w:noWrap/>
            <w:hideMark/>
          </w:tcPr>
          <w:p w14:paraId="7B681444" w14:textId="77777777" w:rsidR="00452B58" w:rsidRPr="00452B58" w:rsidRDefault="00452B58" w:rsidP="00452B58">
            <w:pPr>
              <w:keepNext/>
              <w:suppressAutoHyphens w:val="0"/>
              <w:spacing w:before="40" w:after="40"/>
              <w:jc w:val="center"/>
              <w:rPr>
                <w:rFonts w:eastAsia="Calibri"/>
                <w:kern w:val="0"/>
                <w:szCs w:val="22"/>
                <w:lang w:eastAsia="en-AU"/>
              </w:rPr>
            </w:pPr>
          </w:p>
        </w:tc>
        <w:tc>
          <w:tcPr>
            <w:tcW w:w="1303" w:type="dxa"/>
            <w:noWrap/>
            <w:hideMark/>
          </w:tcPr>
          <w:p w14:paraId="62DE5F7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Base case</w:t>
            </w:r>
          </w:p>
        </w:tc>
        <w:tc>
          <w:tcPr>
            <w:tcW w:w="1446" w:type="dxa"/>
            <w:noWrap/>
            <w:hideMark/>
          </w:tcPr>
          <w:p w14:paraId="08019F05"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p>
        </w:tc>
        <w:tc>
          <w:tcPr>
            <w:tcW w:w="1446" w:type="dxa"/>
            <w:noWrap/>
            <w:hideMark/>
          </w:tcPr>
          <w:p w14:paraId="413E322C"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p>
        </w:tc>
        <w:tc>
          <w:tcPr>
            <w:tcW w:w="1446" w:type="dxa"/>
            <w:noWrap/>
            <w:hideMark/>
          </w:tcPr>
          <w:p w14:paraId="0A17940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p>
        </w:tc>
        <w:tc>
          <w:tcPr>
            <w:tcW w:w="1446" w:type="dxa"/>
            <w:noWrap/>
            <w:hideMark/>
          </w:tcPr>
          <w:p w14:paraId="4596CCC6"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p>
        </w:tc>
      </w:tr>
      <w:tr w:rsidR="00452B58" w:rsidRPr="00452B58" w14:paraId="20D45881" w14:textId="77777777" w:rsidTr="00452B58">
        <w:trPr>
          <w:trHeight w:val="300"/>
        </w:trPr>
        <w:tc>
          <w:tcPr>
            <w:tcW w:w="2552" w:type="dxa"/>
            <w:noWrap/>
            <w:hideMark/>
          </w:tcPr>
          <w:p w14:paraId="764889A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Refrigerated HV (&gt; 4.5 t)</w:t>
            </w:r>
          </w:p>
        </w:tc>
        <w:tc>
          <w:tcPr>
            <w:tcW w:w="1303" w:type="dxa"/>
            <w:noWrap/>
            <w:hideMark/>
          </w:tcPr>
          <w:p w14:paraId="57D4EC9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1E84FD2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6EF07FA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1B5E3C9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0947C16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r>
      <w:tr w:rsidR="00452B58" w:rsidRPr="00452B58" w14:paraId="6F19136A" w14:textId="77777777" w:rsidTr="00452B58">
        <w:trPr>
          <w:trHeight w:val="300"/>
        </w:trPr>
        <w:tc>
          <w:tcPr>
            <w:tcW w:w="2552" w:type="dxa"/>
            <w:noWrap/>
            <w:hideMark/>
          </w:tcPr>
          <w:p w14:paraId="0D54018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Non-refrigerated HV (&gt; 4.5 t)</w:t>
            </w:r>
          </w:p>
        </w:tc>
        <w:tc>
          <w:tcPr>
            <w:tcW w:w="1303" w:type="dxa"/>
            <w:noWrap/>
            <w:hideMark/>
          </w:tcPr>
          <w:p w14:paraId="6ACBD93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14:paraId="2958AA6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63,823</w:t>
            </w:r>
          </w:p>
        </w:tc>
        <w:tc>
          <w:tcPr>
            <w:tcW w:w="1446" w:type="dxa"/>
            <w:noWrap/>
            <w:hideMark/>
          </w:tcPr>
          <w:p w14:paraId="498F389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63,095</w:t>
            </w:r>
          </w:p>
        </w:tc>
        <w:tc>
          <w:tcPr>
            <w:tcW w:w="1446" w:type="dxa"/>
            <w:noWrap/>
            <w:hideMark/>
          </w:tcPr>
          <w:p w14:paraId="167BEC8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63,309</w:t>
            </w:r>
          </w:p>
        </w:tc>
        <w:tc>
          <w:tcPr>
            <w:tcW w:w="1446" w:type="dxa"/>
            <w:noWrap/>
            <w:hideMark/>
          </w:tcPr>
          <w:p w14:paraId="2B2CC1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61,882</w:t>
            </w:r>
          </w:p>
        </w:tc>
      </w:tr>
      <w:tr w:rsidR="00452B58" w:rsidRPr="00452B58" w14:paraId="404EAB7D" w14:textId="77777777" w:rsidTr="00452B58">
        <w:trPr>
          <w:trHeight w:val="300"/>
        </w:trPr>
        <w:tc>
          <w:tcPr>
            <w:tcW w:w="2552" w:type="dxa"/>
            <w:noWrap/>
            <w:hideMark/>
          </w:tcPr>
          <w:p w14:paraId="300AB3A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Refrigerated trailers (&gt; 4.5 t)</w:t>
            </w:r>
          </w:p>
        </w:tc>
        <w:tc>
          <w:tcPr>
            <w:tcW w:w="1303" w:type="dxa"/>
            <w:noWrap/>
            <w:hideMark/>
          </w:tcPr>
          <w:p w14:paraId="259C02E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noWrap/>
            <w:hideMark/>
          </w:tcPr>
          <w:p w14:paraId="6D278EC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vMerge w:val="restart"/>
            <w:noWrap/>
            <w:hideMark/>
          </w:tcPr>
          <w:p w14:paraId="219DAA6F"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p w14:paraId="38A03014"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446" w:type="dxa"/>
            <w:noWrap/>
            <w:hideMark/>
          </w:tcPr>
          <w:p w14:paraId="74613B3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vMerge w:val="restart"/>
            <w:noWrap/>
            <w:hideMark/>
          </w:tcPr>
          <w:p w14:paraId="512A9A68"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p w14:paraId="6A725C5F"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6A387B92" w14:textId="77777777" w:rsidTr="00452B58">
        <w:trPr>
          <w:trHeight w:val="300"/>
        </w:trPr>
        <w:tc>
          <w:tcPr>
            <w:tcW w:w="2552" w:type="dxa"/>
            <w:noWrap/>
            <w:hideMark/>
          </w:tcPr>
          <w:p w14:paraId="2515A15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Non-refrigerated trailers (&gt; 4.5 t)</w:t>
            </w:r>
          </w:p>
        </w:tc>
        <w:tc>
          <w:tcPr>
            <w:tcW w:w="1303" w:type="dxa"/>
            <w:noWrap/>
            <w:hideMark/>
          </w:tcPr>
          <w:p w14:paraId="49DC6D8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noWrap/>
            <w:hideMark/>
          </w:tcPr>
          <w:p w14:paraId="286216A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85,286</w:t>
            </w:r>
          </w:p>
        </w:tc>
        <w:tc>
          <w:tcPr>
            <w:tcW w:w="1446" w:type="dxa"/>
            <w:vMerge/>
            <w:noWrap/>
            <w:hideMark/>
          </w:tcPr>
          <w:p w14:paraId="560CCDC1"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446" w:type="dxa"/>
            <w:noWrap/>
            <w:hideMark/>
          </w:tcPr>
          <w:p w14:paraId="443E35F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84,600</w:t>
            </w:r>
          </w:p>
        </w:tc>
        <w:tc>
          <w:tcPr>
            <w:tcW w:w="1446" w:type="dxa"/>
            <w:vMerge/>
            <w:noWrap/>
            <w:hideMark/>
          </w:tcPr>
          <w:p w14:paraId="21A8F7D5" w14:textId="77777777" w:rsidR="00452B58" w:rsidRPr="00452B58" w:rsidRDefault="00452B58" w:rsidP="00452B58">
            <w:pPr>
              <w:keepNext/>
              <w:suppressAutoHyphens w:val="0"/>
              <w:spacing w:before="40" w:after="40"/>
              <w:rPr>
                <w:rFonts w:eastAsia="Calibri" w:cs="Times New Roman"/>
                <w:kern w:val="0"/>
                <w:szCs w:val="22"/>
                <w:lang w:eastAsia="en-AU"/>
              </w:rPr>
            </w:pPr>
          </w:p>
        </w:tc>
      </w:tr>
    </w:tbl>
    <w:p w14:paraId="13E97E0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F94EB9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Since trip reduction is an important factor in the analysis, this has been included in the sensitivity analysis.</w:t>
      </w:r>
    </w:p>
    <w:p w14:paraId="0F201020" w14:textId="77777777" w:rsidR="00452B58" w:rsidRPr="00452B58" w:rsidRDefault="00452B58" w:rsidP="009F313A">
      <w:pPr>
        <w:pStyle w:val="ARRBBaseHeading3"/>
      </w:pPr>
      <w:bookmarkStart w:id="256" w:name="_Toc137731680"/>
      <w:r w:rsidRPr="00452B58">
        <w:t>Crash Rates for Wider Vehicles</w:t>
      </w:r>
      <w:bookmarkEnd w:id="256"/>
      <w:r w:rsidRPr="00452B58">
        <w:t xml:space="preserve"> </w:t>
      </w:r>
    </w:p>
    <w:p w14:paraId="5C175BB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An increase in crashes due to wider vehicles has not been demonstrated (e.g. in NZ 2.55 m wide heavy vehicles have operated since 2017 without any reported increase in accident rates). However, it was decided to provide a sensitivity analysis for crash rates in wider vehicles based on:</w:t>
      </w:r>
    </w:p>
    <w:p w14:paraId="07255465" w14:textId="77777777" w:rsidR="00452B58" w:rsidRPr="00452B58" w:rsidRDefault="00452B58" w:rsidP="009F313A">
      <w:pPr>
        <w:pStyle w:val="ARRBBulletLevel1"/>
      </w:pPr>
      <w:r w:rsidRPr="00452B58">
        <w:t>a possible increase in crash rates due to vehicles being wider due to driver misjudgement and increased errors by other motorists</w:t>
      </w:r>
    </w:p>
    <w:p w14:paraId="3E2357EB" w14:textId="77777777" w:rsidR="00452B58" w:rsidRPr="00452B58" w:rsidRDefault="00452B58" w:rsidP="009F313A">
      <w:pPr>
        <w:pStyle w:val="ARRBBulletLevel1"/>
      </w:pPr>
      <w:r w:rsidRPr="00452B58">
        <w:t>a possible reduction in some crash types, particularly roll overs due to the greater stability in wider vehicles and potential lowering of the centre of gravity through some design changes.</w:t>
      </w:r>
    </w:p>
    <w:p w14:paraId="6CF0B92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Both of these possibilities lack data to quantify their impact, but an estimate was conducted to determine the potential magnitude of each effect and a result of ±0.05% to the crash rate for the 2.50 m fleet of 9.17 fatalities per billion VKT (BITRE 2020) was estimated.  As these effects are opposed they cancel each other out.</w:t>
      </w:r>
    </w:p>
    <w:p w14:paraId="69FCAEEA" w14:textId="55473E5B"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Appendix D describes how the ±0.5% impact was determined.</w:t>
      </w:r>
    </w:p>
    <w:p w14:paraId="1DCF306F" w14:textId="77777777" w:rsidR="00452B58" w:rsidRPr="00452B58" w:rsidRDefault="00452B58" w:rsidP="009F313A">
      <w:pPr>
        <w:pStyle w:val="ARRBBaseHeading3"/>
      </w:pPr>
      <w:bookmarkStart w:id="257" w:name="_Toc137731681"/>
      <w:r w:rsidRPr="00452B58">
        <w:t>Crash Modification Factors</w:t>
      </w:r>
      <w:bookmarkEnd w:id="257"/>
    </w:p>
    <w:p w14:paraId="3081DB9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account for the impact of safety features, it is necessary to first estimate the BAU adoption rate of each of the safety features in order to establish the incremental impact of mandating them as a condition for adopting the new width. The BAU safety feature adoption rates are derived from a variety of sources including the Truck Industry Council for the adoption rates of CVB, AEB, and LDW. The BAU adoption rate of CP is based on private correspondence with a large CP provider (3M). </w:t>
      </w:r>
      <w:proofErr w:type="gramStart"/>
      <w:r w:rsidRPr="00452B58">
        <w:rPr>
          <w:rFonts w:ascii="Calibri" w:eastAsia="Calibri" w:hAnsi="Calibri" w:cs="Calibri"/>
          <w:color w:val="auto"/>
          <w:kern w:val="0"/>
          <w:sz w:val="22"/>
          <w:szCs w:val="22"/>
        </w:rPr>
        <w:t>However</w:t>
      </w:r>
      <w:proofErr w:type="gramEnd"/>
      <w:r w:rsidRPr="00452B58">
        <w:rPr>
          <w:rFonts w:ascii="Calibri" w:eastAsia="Calibri" w:hAnsi="Calibri" w:cs="Calibri"/>
          <w:color w:val="auto"/>
          <w:kern w:val="0"/>
          <w:sz w:val="22"/>
          <w:szCs w:val="22"/>
        </w:rPr>
        <w:t xml:space="preserve"> there is a lack of data that can be used for establishing the BAU adoption rates of DIV. BSI and SUP. To move forward, it was assumed that DIV and BSI will be adopted at 50% of the rate of AEB and SUP will be adopted at the same rate as CP.</w:t>
      </w:r>
    </w:p>
    <w:p w14:paraId="00D29584" w14:textId="598A10D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5.1</w:t>
      </w:r>
      <w:r w:rsidRPr="00452B58">
        <w:rPr>
          <w:rFonts w:ascii="Calibri" w:eastAsia="Calibri" w:hAnsi="Calibri" w:cs="Calibri"/>
          <w:color w:val="auto"/>
          <w:kern w:val="0"/>
          <w:sz w:val="22"/>
          <w:szCs w:val="22"/>
        </w:rPr>
        <w:t xml:space="preserve"> presents the BAU adoption rates of the seven safety features within the assessment period. The adoption rates for CVB and AEB in this Figure account for the fact that they will become mandatory in their separate ADRs from 2023 (new models) and 2025 (for new vehicles).</w:t>
      </w:r>
    </w:p>
    <w:p w14:paraId="29BE920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0EF46B9D" w14:textId="176C714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8" w:name="_Ref107498299"/>
      <w:bookmarkStart w:id="259" w:name="_Toc117646439"/>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5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BAU adoption rate of safety features by heavy vehicles and trailers</w:t>
      </w:r>
      <w:bookmarkEnd w:id="259"/>
      <w:r w:rsidRPr="00452B58">
        <w:rPr>
          <w:rFonts w:ascii="Calibri" w:eastAsia="Calibri" w:hAnsi="Calibri" w:cs="Times New Roman"/>
          <w:b/>
          <w:bCs/>
          <w:color w:val="67696A"/>
          <w:kern w:val="0"/>
          <w:sz w:val="18"/>
          <w:szCs w:val="22"/>
        </w:rPr>
        <w:t xml:space="preserve"> </w:t>
      </w:r>
    </w:p>
    <w:p w14:paraId="51D121F1"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 xml:space="preserve"> </w:t>
      </w:r>
    </w:p>
    <w:p w14:paraId="5F0FE9B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2BA3515D" wp14:editId="4930BF50">
            <wp:extent cx="5108389" cy="3119718"/>
            <wp:effectExtent l="0" t="0" r="16510" b="5080"/>
            <wp:docPr id="2787" name="Chart 2787" descr="Figure 5.1 graph showing the business as usual adoption rate of safety features by heavy vehicles.">
              <a:extLst xmlns:a="http://schemas.openxmlformats.org/drawingml/2006/main">
                <a:ext uri="{FF2B5EF4-FFF2-40B4-BE49-F238E27FC236}">
                  <a16:creationId xmlns:a16="http://schemas.microsoft.com/office/drawing/2014/main" id="{9E976C98-752E-1BC0-1247-C997D45F9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085D47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934C1E8" w14:textId="4BCD5119"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Due to the mandatory nature of their fitment in the option cases for vehicles that adopt the new widths, the projected adoption rates of safety features under each option case are not shown here as they will mirror the adoption rates of new widths discussed in Section 4.3.</w:t>
      </w:r>
    </w:p>
    <w:p w14:paraId="67FFB19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Once the incremental change in freight movement fitted with the safety features between the BAU and options cases are established, the incremental crash risk reduction due to safety features can then be calculated with the crash modification factor (CMF) of individual safety features. CMF are the expected impact a safety feature is expected to have on crash risk. It is expressed as a percentage of total unmitigated crash risk which is measured as 100%. A CMF of 95% means that the crash risk is reduced by 5% by a safety feature. </w:t>
      </w:r>
    </w:p>
    <w:p w14:paraId="574D61DC" w14:textId="5D25CD8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CMFs for each safety feature are determined by sourcing the efficacy (crash reduction factor – CRF) of each technology in reducing specific types of crashes. These CRFs were multiplied by the proportions of the crashes that they were considered to affect, as shown in Table 5.2.</w:t>
      </w:r>
    </w:p>
    <w:p w14:paraId="4EB00F4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53473F9B" w14:textId="70DF3519"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0" w:name="_Ref107343627"/>
      <w:bookmarkStart w:id="261" w:name="_Toc117646411"/>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6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risks mitigated by safety features</w:t>
      </w:r>
      <w:bookmarkEnd w:id="261"/>
      <w:r w:rsidRPr="00452B58">
        <w:rPr>
          <w:rFonts w:ascii="Calibri" w:eastAsia="Calibri" w:hAnsi="Calibri" w:cs="Times New Roman"/>
          <w:b/>
          <w:bCs/>
          <w:color w:val="67696A"/>
          <w:kern w:val="0"/>
          <w:sz w:val="18"/>
          <w:szCs w:val="22"/>
        </w:rPr>
        <w:t xml:space="preserve"> </w:t>
      </w:r>
    </w:p>
    <w:tbl>
      <w:tblPr>
        <w:tblStyle w:val="ARRBTableStyle"/>
        <w:tblW w:w="5000" w:type="pct"/>
        <w:tblLayout w:type="fixed"/>
        <w:tblLook w:val="04A0" w:firstRow="1" w:lastRow="0" w:firstColumn="1" w:lastColumn="0" w:noHBand="0" w:noVBand="1"/>
      </w:tblPr>
      <w:tblGrid>
        <w:gridCol w:w="4814"/>
        <w:gridCol w:w="4814"/>
      </w:tblGrid>
      <w:tr w:rsidR="00452B58" w:rsidRPr="00452B58" w14:paraId="6446B48E" w14:textId="77777777" w:rsidTr="00452B58">
        <w:trPr>
          <w:cnfStyle w:val="100000000000" w:firstRow="1" w:lastRow="0" w:firstColumn="0" w:lastColumn="0" w:oddVBand="0" w:evenVBand="0" w:oddHBand="0" w:evenHBand="0" w:firstRowFirstColumn="0" w:firstRowLastColumn="0" w:lastRowFirstColumn="0" w:lastRowLastColumn="0"/>
          <w:trHeight w:val="156"/>
        </w:trPr>
        <w:tc>
          <w:tcPr>
            <w:tcW w:w="2500" w:type="pct"/>
          </w:tcPr>
          <w:p w14:paraId="6F600036"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Safety feature </w:t>
            </w:r>
          </w:p>
        </w:tc>
        <w:tc>
          <w:tcPr>
            <w:tcW w:w="2500" w:type="pct"/>
          </w:tcPr>
          <w:p w14:paraId="50F50ED4"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Crash risk mitigated </w:t>
            </w:r>
          </w:p>
        </w:tc>
      </w:tr>
      <w:tr w:rsidR="00452B58" w:rsidRPr="00452B58" w14:paraId="05E32C21" w14:textId="77777777" w:rsidTr="00452B58">
        <w:trPr>
          <w:trHeight w:val="119"/>
        </w:trPr>
        <w:tc>
          <w:tcPr>
            <w:tcW w:w="2500" w:type="pct"/>
          </w:tcPr>
          <w:p w14:paraId="078987C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p>
        </w:tc>
        <w:tc>
          <w:tcPr>
            <w:tcW w:w="2500" w:type="pct"/>
          </w:tcPr>
          <w:p w14:paraId="4229944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 collision with pedestrian</w:t>
            </w:r>
          </w:p>
          <w:p w14:paraId="50299B1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p w14:paraId="672EB50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 collisions with pedestrians in road area</w:t>
            </w:r>
          </w:p>
        </w:tc>
      </w:tr>
      <w:tr w:rsidR="00452B58" w:rsidRPr="00452B58" w14:paraId="2ACAB2F7" w14:textId="77777777" w:rsidTr="00452B58">
        <w:trPr>
          <w:trHeight w:val="65"/>
        </w:trPr>
        <w:tc>
          <w:tcPr>
            <w:tcW w:w="2500" w:type="pct"/>
          </w:tcPr>
          <w:p w14:paraId="7720A10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p>
        </w:tc>
        <w:tc>
          <w:tcPr>
            <w:tcW w:w="2500" w:type="pct"/>
          </w:tcPr>
          <w:p w14:paraId="39CDE4A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 (loss of control, or rollover)</w:t>
            </w:r>
          </w:p>
        </w:tc>
      </w:tr>
      <w:tr w:rsidR="00452B58" w:rsidRPr="00452B58" w14:paraId="60A142BB" w14:textId="77777777" w:rsidTr="00452B58">
        <w:trPr>
          <w:trHeight w:val="119"/>
        </w:trPr>
        <w:tc>
          <w:tcPr>
            <w:tcW w:w="2500" w:type="pct"/>
          </w:tcPr>
          <w:p w14:paraId="3D4079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p>
        </w:tc>
        <w:tc>
          <w:tcPr>
            <w:tcW w:w="2500" w:type="pct"/>
          </w:tcPr>
          <w:p w14:paraId="6D89F5A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Rear end collisions after failing to slow/stop</w:t>
            </w:r>
          </w:p>
        </w:tc>
      </w:tr>
      <w:tr w:rsidR="00452B58" w:rsidRPr="00452B58" w14:paraId="36BD639C" w14:textId="77777777" w:rsidTr="00452B58">
        <w:trPr>
          <w:trHeight w:val="119"/>
        </w:trPr>
        <w:tc>
          <w:tcPr>
            <w:tcW w:w="2500" w:type="pct"/>
          </w:tcPr>
          <w:p w14:paraId="2589FBF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p>
        </w:tc>
        <w:tc>
          <w:tcPr>
            <w:tcW w:w="2500" w:type="pct"/>
          </w:tcPr>
          <w:p w14:paraId="399317A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 (fatigue, inattention)</w:t>
            </w:r>
          </w:p>
          <w:p w14:paraId="5AFE557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Head-on collision after drifting into opposing lane</w:t>
            </w:r>
          </w:p>
          <w:p w14:paraId="6A2208E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tc>
      </w:tr>
      <w:tr w:rsidR="00452B58" w:rsidRPr="00452B58" w14:paraId="455F2995" w14:textId="77777777" w:rsidTr="00452B58">
        <w:trPr>
          <w:trHeight w:val="119"/>
        </w:trPr>
        <w:tc>
          <w:tcPr>
            <w:tcW w:w="2500" w:type="pct"/>
          </w:tcPr>
          <w:p w14:paraId="1AA326A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p>
        </w:tc>
        <w:tc>
          <w:tcPr>
            <w:tcW w:w="2500" w:type="pct"/>
          </w:tcPr>
          <w:p w14:paraId="000E730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tc>
      </w:tr>
      <w:tr w:rsidR="00452B58" w:rsidRPr="00452B58" w14:paraId="767AC8AB" w14:textId="77777777" w:rsidTr="00452B58">
        <w:trPr>
          <w:trHeight w:val="119"/>
        </w:trPr>
        <w:tc>
          <w:tcPr>
            <w:tcW w:w="2500" w:type="pct"/>
          </w:tcPr>
          <w:p w14:paraId="6ECB1DC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Side underrun protection </w:t>
            </w:r>
          </w:p>
        </w:tc>
        <w:tc>
          <w:tcPr>
            <w:tcW w:w="2500" w:type="pct"/>
          </w:tcPr>
          <w:p w14:paraId="014180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 collision with pedestrian</w:t>
            </w:r>
          </w:p>
          <w:p w14:paraId="48F6424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 turning into traffic/cyclist</w:t>
            </w:r>
          </w:p>
          <w:p w14:paraId="2A5ABFB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 collisions with pedestrians in road area</w:t>
            </w:r>
          </w:p>
        </w:tc>
      </w:tr>
      <w:tr w:rsidR="00452B58" w:rsidRPr="00452B58" w14:paraId="634A8852" w14:textId="77777777" w:rsidTr="00452B58">
        <w:trPr>
          <w:trHeight w:val="119"/>
        </w:trPr>
        <w:tc>
          <w:tcPr>
            <w:tcW w:w="2500" w:type="pct"/>
          </w:tcPr>
          <w:p w14:paraId="5F71307F" w14:textId="77777777" w:rsidR="00452B58" w:rsidRPr="00452B58" w:rsidRDefault="00452B58" w:rsidP="00452B58">
            <w:pPr>
              <w:keepNext/>
              <w:suppressAutoHyphens w:val="0"/>
              <w:spacing w:before="40" w:after="40"/>
              <w:rPr>
                <w:rFonts w:eastAsia="Calibri" w:cs="Times New Roman"/>
                <w:kern w:val="0"/>
                <w:szCs w:val="22"/>
              </w:rPr>
            </w:pPr>
            <w:proofErr w:type="spellStart"/>
            <w:r w:rsidRPr="00452B58">
              <w:rPr>
                <w:rFonts w:eastAsia="Calibri" w:cs="Times New Roman"/>
                <w:kern w:val="0"/>
                <w:szCs w:val="22"/>
              </w:rPr>
              <w:t>Conspicuity</w:t>
            </w:r>
            <w:proofErr w:type="spellEnd"/>
            <w:r w:rsidRPr="00452B58">
              <w:rPr>
                <w:rFonts w:eastAsia="Calibri" w:cs="Times New Roman"/>
                <w:kern w:val="0"/>
                <w:szCs w:val="22"/>
              </w:rPr>
              <w:t xml:space="preserve"> markings (in low light/visibility conditions)</w:t>
            </w:r>
          </w:p>
        </w:tc>
        <w:tc>
          <w:tcPr>
            <w:tcW w:w="2500" w:type="pct"/>
          </w:tcPr>
          <w:p w14:paraId="145E530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 turning into traffic/cyclist</w:t>
            </w:r>
          </w:p>
          <w:p w14:paraId="01A3F3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Cross traffic collision</w:t>
            </w:r>
          </w:p>
          <w:p w14:paraId="09C846A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through when turning across opposing traffic stream.</w:t>
            </w:r>
          </w:p>
        </w:tc>
      </w:tr>
    </w:tbl>
    <w:p w14:paraId="3D5CA47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61E5654" w14:textId="2325EFBC"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discussion of the calculations for associating the crash types and sub-groups with the safety features is included in Appendix E.</w:t>
      </w:r>
    </w:p>
    <w:p w14:paraId="74E299F9" w14:textId="7965A7A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5.3</w:t>
      </w:r>
      <w:r w:rsidRPr="00452B58">
        <w:rPr>
          <w:rFonts w:ascii="Calibri" w:eastAsia="Calibri" w:hAnsi="Calibri" w:cs="Calibri"/>
          <w:color w:val="auto"/>
          <w:kern w:val="0"/>
          <w:sz w:val="22"/>
          <w:szCs w:val="22"/>
        </w:rPr>
        <w:t xml:space="preserve"> presents the CMF of safety features for these crashes involving heavy vehicles based on the CRF weighted by the proportion of affected crash types. As crashes are considered to occur for whole combinations, trailers are treated as benefiting from safety features fitted to the leading vehicle.</w:t>
      </w:r>
    </w:p>
    <w:p w14:paraId="3439CDE8" w14:textId="7D4AE9CD"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2" w:name="_Ref106880439"/>
      <w:bookmarkStart w:id="263" w:name="_Toc117646412"/>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26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modification factors of safety features</w:t>
      </w:r>
      <w:bookmarkEnd w:id="263"/>
    </w:p>
    <w:tbl>
      <w:tblPr>
        <w:tblStyle w:val="ARRBTableStyle"/>
        <w:tblW w:w="6809" w:type="dxa"/>
        <w:tblLook w:val="04A0" w:firstRow="1" w:lastRow="0" w:firstColumn="1" w:lastColumn="0" w:noHBand="0" w:noVBand="1"/>
      </w:tblPr>
      <w:tblGrid>
        <w:gridCol w:w="3974"/>
        <w:gridCol w:w="1418"/>
        <w:gridCol w:w="1417"/>
      </w:tblGrid>
      <w:tr w:rsidR="00452B58" w:rsidRPr="00452B58" w14:paraId="14134369" w14:textId="77777777" w:rsidTr="00452B58">
        <w:trPr>
          <w:cnfStyle w:val="100000000000" w:firstRow="1" w:lastRow="0" w:firstColumn="0" w:lastColumn="0" w:oddVBand="0" w:evenVBand="0" w:oddHBand="0" w:evenHBand="0" w:firstRowFirstColumn="0" w:firstRowLastColumn="0" w:lastRowFirstColumn="0" w:lastRowLastColumn="0"/>
        </w:trPr>
        <w:tc>
          <w:tcPr>
            <w:tcW w:w="3974" w:type="dxa"/>
            <w:vMerge w:val="restart"/>
          </w:tcPr>
          <w:p w14:paraId="289D1F3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Safety feature</w:t>
            </w:r>
          </w:p>
        </w:tc>
        <w:tc>
          <w:tcPr>
            <w:tcW w:w="2835" w:type="dxa"/>
            <w:gridSpan w:val="2"/>
          </w:tcPr>
          <w:p w14:paraId="2EC343F8"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Heavy vehicles and trailers</w:t>
            </w:r>
          </w:p>
        </w:tc>
      </w:tr>
      <w:tr w:rsidR="00452B58" w:rsidRPr="00452B58" w14:paraId="69CF8AF4" w14:textId="77777777" w:rsidTr="009F313A">
        <w:tc>
          <w:tcPr>
            <w:tcW w:w="3974" w:type="dxa"/>
            <w:vMerge/>
          </w:tcPr>
          <w:p w14:paraId="420DBD1B" w14:textId="77777777" w:rsidR="00452B58" w:rsidRPr="00452B58" w:rsidRDefault="00452B58" w:rsidP="00452B58">
            <w:pPr>
              <w:keepNext/>
              <w:suppressAutoHyphens w:val="0"/>
              <w:spacing w:before="40" w:after="40"/>
              <w:rPr>
                <w:rFonts w:eastAsia="Calibri" w:cs="Times New Roman"/>
                <w:color w:val="FFFFFF"/>
                <w:kern w:val="0"/>
                <w:szCs w:val="22"/>
              </w:rPr>
            </w:pPr>
          </w:p>
        </w:tc>
        <w:tc>
          <w:tcPr>
            <w:tcW w:w="1418" w:type="dxa"/>
            <w:shd w:val="clear" w:color="auto" w:fill="00A1DE"/>
          </w:tcPr>
          <w:p w14:paraId="241C83D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Fatality</w:t>
            </w:r>
          </w:p>
        </w:tc>
        <w:tc>
          <w:tcPr>
            <w:tcW w:w="1417" w:type="dxa"/>
            <w:shd w:val="clear" w:color="auto" w:fill="00A1DE"/>
          </w:tcPr>
          <w:p w14:paraId="74FB5A9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Serious injury</w:t>
            </w:r>
          </w:p>
        </w:tc>
      </w:tr>
      <w:tr w:rsidR="00452B58" w:rsidRPr="00452B58" w14:paraId="1262106C" w14:textId="77777777" w:rsidTr="00452B58">
        <w:tc>
          <w:tcPr>
            <w:tcW w:w="3974" w:type="dxa"/>
          </w:tcPr>
          <w:p w14:paraId="5A1297B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r w:rsidRPr="00452B58">
              <w:rPr>
                <w:rFonts w:eastAsia="Calibri" w:cs="Times New Roman"/>
                <w:kern w:val="0"/>
                <w:szCs w:val="22"/>
                <w:vertAlign w:val="superscript"/>
              </w:rPr>
              <w:t xml:space="preserve"> (1)</w:t>
            </w:r>
          </w:p>
        </w:tc>
        <w:tc>
          <w:tcPr>
            <w:tcW w:w="1418" w:type="dxa"/>
          </w:tcPr>
          <w:p w14:paraId="165348F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1417" w:type="dxa"/>
          </w:tcPr>
          <w:p w14:paraId="1422B40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627EFAF6" w14:textId="77777777" w:rsidTr="00452B58">
        <w:tc>
          <w:tcPr>
            <w:tcW w:w="3974" w:type="dxa"/>
          </w:tcPr>
          <w:p w14:paraId="571CAD7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r w:rsidRPr="00452B58">
              <w:rPr>
                <w:rFonts w:eastAsia="Calibri" w:cs="Times New Roman"/>
                <w:kern w:val="0"/>
                <w:szCs w:val="22"/>
                <w:vertAlign w:val="superscript"/>
              </w:rPr>
              <w:t xml:space="preserve"> (2)</w:t>
            </w:r>
          </w:p>
        </w:tc>
        <w:tc>
          <w:tcPr>
            <w:tcW w:w="1418" w:type="dxa"/>
          </w:tcPr>
          <w:p w14:paraId="02378AD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1417" w:type="dxa"/>
          </w:tcPr>
          <w:p w14:paraId="27D6476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49ABE61E" w14:textId="77777777" w:rsidTr="00452B58">
        <w:tc>
          <w:tcPr>
            <w:tcW w:w="3974" w:type="dxa"/>
          </w:tcPr>
          <w:p w14:paraId="3C6EA27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r w:rsidRPr="00452B58">
              <w:rPr>
                <w:rFonts w:eastAsia="Calibri" w:cs="Times New Roman"/>
                <w:kern w:val="0"/>
                <w:szCs w:val="22"/>
                <w:vertAlign w:val="superscript"/>
              </w:rPr>
              <w:t xml:space="preserve"> (2)</w:t>
            </w:r>
          </w:p>
        </w:tc>
        <w:tc>
          <w:tcPr>
            <w:tcW w:w="1418" w:type="dxa"/>
          </w:tcPr>
          <w:p w14:paraId="7B5B3C5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1417" w:type="dxa"/>
          </w:tcPr>
          <w:p w14:paraId="7626CDA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63096BC7" w14:textId="77777777" w:rsidTr="00452B58">
        <w:tc>
          <w:tcPr>
            <w:tcW w:w="3974" w:type="dxa"/>
          </w:tcPr>
          <w:p w14:paraId="62A7E92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r w:rsidRPr="00452B58">
              <w:rPr>
                <w:rFonts w:eastAsia="Calibri" w:cs="Times New Roman"/>
                <w:kern w:val="0"/>
                <w:szCs w:val="22"/>
                <w:vertAlign w:val="superscript"/>
              </w:rPr>
              <w:t xml:space="preserve"> (3)</w:t>
            </w:r>
          </w:p>
        </w:tc>
        <w:tc>
          <w:tcPr>
            <w:tcW w:w="1418" w:type="dxa"/>
          </w:tcPr>
          <w:p w14:paraId="5EA7AE3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c>
          <w:tcPr>
            <w:tcW w:w="1417" w:type="dxa"/>
          </w:tcPr>
          <w:p w14:paraId="61D27CC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r>
      <w:tr w:rsidR="00452B58" w:rsidRPr="00452B58" w14:paraId="4765CB31" w14:textId="77777777" w:rsidTr="00452B58">
        <w:tc>
          <w:tcPr>
            <w:tcW w:w="3974" w:type="dxa"/>
          </w:tcPr>
          <w:p w14:paraId="7B78A5C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r w:rsidRPr="00452B58">
              <w:rPr>
                <w:rFonts w:eastAsia="Calibri" w:cs="Times New Roman"/>
                <w:kern w:val="0"/>
                <w:szCs w:val="22"/>
                <w:vertAlign w:val="superscript"/>
              </w:rPr>
              <w:t xml:space="preserve"> (1)</w:t>
            </w:r>
          </w:p>
        </w:tc>
        <w:tc>
          <w:tcPr>
            <w:tcW w:w="1418" w:type="dxa"/>
          </w:tcPr>
          <w:p w14:paraId="5E7DBAF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1417" w:type="dxa"/>
          </w:tcPr>
          <w:p w14:paraId="187B25C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235C13A2" w14:textId="77777777" w:rsidTr="00452B58">
        <w:tc>
          <w:tcPr>
            <w:tcW w:w="3974" w:type="dxa"/>
          </w:tcPr>
          <w:p w14:paraId="2730E69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underrun protection – pedestrians and cyclists</w:t>
            </w:r>
            <w:r w:rsidRPr="00452B58">
              <w:rPr>
                <w:rFonts w:eastAsia="Calibri" w:cs="Times New Roman"/>
                <w:kern w:val="0"/>
                <w:szCs w:val="22"/>
                <w:vertAlign w:val="superscript"/>
              </w:rPr>
              <w:t xml:space="preserve"> (4)</w:t>
            </w:r>
          </w:p>
        </w:tc>
        <w:tc>
          <w:tcPr>
            <w:tcW w:w="1418" w:type="dxa"/>
          </w:tcPr>
          <w:p w14:paraId="1A0B669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98.6%</w:t>
            </w:r>
          </w:p>
        </w:tc>
        <w:tc>
          <w:tcPr>
            <w:tcW w:w="1417" w:type="dxa"/>
          </w:tcPr>
          <w:p w14:paraId="426B244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99.9%</w:t>
            </w:r>
          </w:p>
        </w:tc>
      </w:tr>
      <w:tr w:rsidR="00452B58" w:rsidRPr="00452B58" w14:paraId="77020329" w14:textId="77777777" w:rsidTr="00452B58">
        <w:tc>
          <w:tcPr>
            <w:tcW w:w="3974" w:type="dxa"/>
          </w:tcPr>
          <w:p w14:paraId="1E6A0525" w14:textId="77777777" w:rsidR="00452B58" w:rsidRPr="00452B58" w:rsidRDefault="00452B58" w:rsidP="00452B58">
            <w:pPr>
              <w:keepNext/>
              <w:suppressAutoHyphens w:val="0"/>
              <w:spacing w:before="40" w:after="40"/>
              <w:rPr>
                <w:rFonts w:eastAsia="Calibri" w:cs="Times New Roman"/>
                <w:kern w:val="0"/>
                <w:szCs w:val="22"/>
              </w:rPr>
            </w:pPr>
            <w:proofErr w:type="spellStart"/>
            <w:r w:rsidRPr="00452B58">
              <w:rPr>
                <w:rFonts w:eastAsia="Calibri" w:cs="Times New Roman"/>
                <w:kern w:val="0"/>
                <w:szCs w:val="22"/>
              </w:rPr>
              <w:t>Conspicuity</w:t>
            </w:r>
            <w:proofErr w:type="spellEnd"/>
            <w:r w:rsidRPr="00452B58">
              <w:rPr>
                <w:rFonts w:eastAsia="Calibri" w:cs="Times New Roman"/>
                <w:kern w:val="0"/>
                <w:szCs w:val="22"/>
              </w:rPr>
              <w:t xml:space="preserve"> markings</w:t>
            </w:r>
            <w:r w:rsidRPr="00452B58">
              <w:rPr>
                <w:rFonts w:eastAsia="Calibri" w:cs="Times New Roman"/>
                <w:kern w:val="0"/>
                <w:szCs w:val="22"/>
                <w:vertAlign w:val="superscript"/>
              </w:rPr>
              <w:t xml:space="preserve"> (5,6)</w:t>
            </w:r>
          </w:p>
        </w:tc>
        <w:tc>
          <w:tcPr>
            <w:tcW w:w="1418" w:type="dxa"/>
          </w:tcPr>
          <w:p w14:paraId="6454275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r w:rsidRPr="00452B58">
              <w:rPr>
                <w:rFonts w:eastAsia="Calibri" w:cs="Times New Roman"/>
                <w:kern w:val="0"/>
                <w:sz w:val="20"/>
                <w:szCs w:val="22"/>
              </w:rPr>
              <w:t>%</w:t>
            </w:r>
          </w:p>
        </w:tc>
        <w:tc>
          <w:tcPr>
            <w:tcW w:w="1417" w:type="dxa"/>
          </w:tcPr>
          <w:p w14:paraId="0B77339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r w:rsidRPr="00452B58">
              <w:rPr>
                <w:rFonts w:eastAsia="Calibri" w:cs="Times New Roman"/>
                <w:kern w:val="0"/>
                <w:sz w:val="20"/>
                <w:szCs w:val="22"/>
              </w:rPr>
              <w:t>%</w:t>
            </w:r>
          </w:p>
        </w:tc>
      </w:tr>
    </w:tbl>
    <w:p w14:paraId="234032A8" w14:textId="77777777"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Sources:</w:t>
      </w:r>
    </w:p>
    <w:p w14:paraId="70E42D1F"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IIHS-HLDI (2020) </w:t>
      </w:r>
    </w:p>
    <w:p w14:paraId="7CA3F325"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Department of Infrastructure, Transport, Regional Development and </w:t>
      </w:r>
      <w:proofErr w:type="gramStart"/>
      <w:r w:rsidRPr="00452B58">
        <w:rPr>
          <w:rFonts w:ascii="Calibri" w:eastAsia="Calibri" w:hAnsi="Calibri" w:cs="Times New Roman"/>
          <w:iCs/>
          <w:color w:val="454647"/>
          <w:kern w:val="0"/>
          <w:sz w:val="18"/>
          <w:szCs w:val="22"/>
        </w:rPr>
        <w:t>Communications  (</w:t>
      </w:r>
      <w:proofErr w:type="gramEnd"/>
      <w:r w:rsidRPr="00452B58">
        <w:rPr>
          <w:rFonts w:ascii="Calibri" w:eastAsia="Calibri" w:hAnsi="Calibri" w:cs="Times New Roman"/>
          <w:iCs/>
          <w:color w:val="454647"/>
          <w:kern w:val="0"/>
          <w:sz w:val="18"/>
          <w:szCs w:val="22"/>
        </w:rPr>
        <w:t xml:space="preserve">2018) </w:t>
      </w:r>
    </w:p>
    <w:p w14:paraId="38B3E06E"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Department of Infrastructure, Transport, Regional Development and </w:t>
      </w:r>
      <w:proofErr w:type="gramStart"/>
      <w:r w:rsidRPr="00452B58">
        <w:rPr>
          <w:rFonts w:ascii="Calibri" w:eastAsia="Calibri" w:hAnsi="Calibri" w:cs="Times New Roman"/>
          <w:iCs/>
          <w:color w:val="454647"/>
          <w:kern w:val="0"/>
          <w:sz w:val="18"/>
          <w:szCs w:val="22"/>
        </w:rPr>
        <w:t>Communications  (</w:t>
      </w:r>
      <w:proofErr w:type="gramEnd"/>
      <w:r w:rsidRPr="00452B58">
        <w:rPr>
          <w:rFonts w:ascii="Calibri" w:eastAsia="Calibri" w:hAnsi="Calibri" w:cs="Times New Roman"/>
          <w:iCs/>
          <w:color w:val="454647"/>
          <w:kern w:val="0"/>
          <w:sz w:val="18"/>
          <w:szCs w:val="22"/>
        </w:rPr>
        <w:t xml:space="preserve">2022) </w:t>
      </w:r>
    </w:p>
    <w:p w14:paraId="67B5BDE4"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proofErr w:type="spellStart"/>
      <w:r w:rsidRPr="00452B58">
        <w:rPr>
          <w:rFonts w:ascii="Calibri" w:eastAsia="Calibri" w:hAnsi="Calibri" w:cs="Times New Roman"/>
          <w:iCs/>
          <w:color w:val="454647"/>
          <w:kern w:val="0"/>
          <w:sz w:val="18"/>
          <w:szCs w:val="22"/>
        </w:rPr>
        <w:t>Badgley</w:t>
      </w:r>
      <w:proofErr w:type="spellEnd"/>
      <w:r w:rsidRPr="00452B58">
        <w:rPr>
          <w:rFonts w:ascii="Calibri" w:eastAsia="Calibri" w:hAnsi="Calibri" w:cs="Times New Roman"/>
          <w:iCs/>
          <w:color w:val="454647"/>
          <w:kern w:val="0"/>
          <w:sz w:val="18"/>
          <w:szCs w:val="22"/>
        </w:rPr>
        <w:t xml:space="preserve"> et al (2020) </w:t>
      </w:r>
    </w:p>
    <w:p w14:paraId="4242BD2D" w14:textId="77777777"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Blackman and Haworth (2015) Desktop Review of </w:t>
      </w:r>
      <w:proofErr w:type="spellStart"/>
      <w:r w:rsidRPr="00452B58">
        <w:rPr>
          <w:rFonts w:ascii="Calibri" w:eastAsia="Calibri" w:hAnsi="Calibri" w:cs="Times New Roman"/>
          <w:iCs/>
          <w:color w:val="454647"/>
          <w:kern w:val="0"/>
          <w:sz w:val="18"/>
          <w:szCs w:val="22"/>
        </w:rPr>
        <w:t>Conspicuity</w:t>
      </w:r>
      <w:proofErr w:type="spellEnd"/>
      <w:r w:rsidRPr="00452B58">
        <w:rPr>
          <w:rFonts w:ascii="Calibri" w:eastAsia="Calibri" w:hAnsi="Calibri" w:cs="Times New Roman"/>
          <w:iCs/>
          <w:color w:val="454647"/>
          <w:kern w:val="0"/>
          <w:sz w:val="18"/>
          <w:szCs w:val="22"/>
        </w:rPr>
        <w:t xml:space="preserve"> Markings for heavy vehicles.</w:t>
      </w:r>
    </w:p>
    <w:p w14:paraId="15605007" w14:textId="229B8F40"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Morgan (2001). Finally, incremental safety benefits will need to be monetised with unit crash costs for fatal and serious injury crashes which are presented in Table 5.4.</w:t>
      </w:r>
    </w:p>
    <w:p w14:paraId="2AEAC681" w14:textId="1EAB0A2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4" w:name="_Ref107186956"/>
      <w:bookmarkStart w:id="265" w:name="_Toc117646413"/>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26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Unit crash cost at 2023-dollar values</w:t>
      </w:r>
      <w:bookmarkEnd w:id="265"/>
    </w:p>
    <w:tbl>
      <w:tblPr>
        <w:tblStyle w:val="ARRBTableStyle"/>
        <w:tblW w:w="3334" w:type="pct"/>
        <w:tblLayout w:type="fixed"/>
        <w:tblLook w:val="04A0" w:firstRow="1" w:lastRow="0" w:firstColumn="1" w:lastColumn="0" w:noHBand="0" w:noVBand="1"/>
      </w:tblPr>
      <w:tblGrid>
        <w:gridCol w:w="3210"/>
        <w:gridCol w:w="3210"/>
      </w:tblGrid>
      <w:tr w:rsidR="00452B58" w:rsidRPr="00452B58" w14:paraId="2C8A69F3"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2500" w:type="pct"/>
          </w:tcPr>
          <w:p w14:paraId="0BCE11EB"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Fatal crashes ($ per crash)</w:t>
            </w:r>
          </w:p>
        </w:tc>
        <w:tc>
          <w:tcPr>
            <w:tcW w:w="2500" w:type="pct"/>
          </w:tcPr>
          <w:p w14:paraId="7B9209A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Serious injury crashes ($ per crash)</w:t>
            </w:r>
          </w:p>
        </w:tc>
      </w:tr>
      <w:tr w:rsidR="00452B58" w:rsidRPr="00452B58" w14:paraId="13597F03" w14:textId="77777777" w:rsidTr="00452B58">
        <w:trPr>
          <w:trHeight w:val="144"/>
        </w:trPr>
        <w:tc>
          <w:tcPr>
            <w:tcW w:w="2500" w:type="pct"/>
          </w:tcPr>
          <w:p w14:paraId="550F4DF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$8,978,147</w:t>
            </w:r>
          </w:p>
        </w:tc>
        <w:tc>
          <w:tcPr>
            <w:tcW w:w="2500" w:type="pct"/>
          </w:tcPr>
          <w:p w14:paraId="472FE46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$333,144</w:t>
            </w:r>
          </w:p>
        </w:tc>
      </w:tr>
    </w:tbl>
    <w:p w14:paraId="6B6A4FC8" w14:textId="77777777"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Note: Both fatal and serious injury crash cost rates are based on willingness-to-pay. </w:t>
      </w:r>
    </w:p>
    <w:p w14:paraId="6883A69D" w14:textId="4B562B29"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w:t>
      </w:r>
      <w:r w:rsidRPr="00452B58">
        <w:rPr>
          <w:rFonts w:ascii="Calibri" w:eastAsia="Calibri" w:hAnsi="Calibri" w:cs="Times New Roman"/>
          <w:iCs/>
          <w:color w:val="454647"/>
          <w:kern w:val="0"/>
          <w:sz w:val="18"/>
          <w:szCs w:val="22"/>
        </w:rPr>
        <w:tab/>
        <w:t xml:space="preserve">Weighted average based on urban and rural unit crash cost rate sourced from Australian Transport Assessment and Planning Steering Committee (2016) and urban-rural freight task share sourced from </w:t>
      </w:r>
      <w:proofErr w:type="gramStart"/>
      <w:r w:rsidRPr="00452B58">
        <w:rPr>
          <w:rFonts w:ascii="Calibri" w:eastAsia="Calibri" w:hAnsi="Calibri" w:cs="Times New Roman"/>
          <w:iCs/>
          <w:color w:val="454647"/>
          <w:kern w:val="0"/>
          <w:sz w:val="18"/>
          <w:szCs w:val="22"/>
        </w:rPr>
        <w:t>BITRE  (</w:t>
      </w:r>
      <w:proofErr w:type="gramEnd"/>
      <w:r w:rsidRPr="00452B58">
        <w:rPr>
          <w:rFonts w:ascii="Calibri" w:eastAsia="Calibri" w:hAnsi="Calibri" w:cs="Times New Roman"/>
          <w:iCs/>
          <w:color w:val="454647"/>
          <w:kern w:val="0"/>
          <w:sz w:val="18"/>
          <w:szCs w:val="22"/>
        </w:rPr>
        <w:t>2019)..</w:t>
      </w:r>
    </w:p>
    <w:p w14:paraId="1D9BB1B9"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this assessment, the safety benefits of individual safety features were assessed first in each assessment year and then weighted and summed together to represent the aggregate safety benefits of the use of multiple safety features adopted by the entire fleet. The safety benefit in a particular year is assessed as the incremental reduction in the residual risk between the BAU case and an option case. The residual risk is the difference between unmitigated crash risk and the reduction in risk after the adoption of a safety feature. This approach is adopted because safety features are expected to be adopted both in the BAU case and the option case but at different rates. </w:t>
      </w:r>
    </w:p>
    <w:p w14:paraId="78FDD421" w14:textId="77777777" w:rsidR="00452B58" w:rsidRPr="00F2517A" w:rsidRDefault="00452B58" w:rsidP="00F2517A">
      <w:pPr>
        <w:pStyle w:val="ARRBBaseHeading2"/>
      </w:pPr>
      <w:bookmarkStart w:id="266" w:name="_Toc137731682"/>
      <w:r w:rsidRPr="00F2517A">
        <w:t>Asset Preservation Benefits</w:t>
      </w:r>
      <w:bookmarkEnd w:id="266"/>
    </w:p>
    <w:p w14:paraId="3CBFF29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Asset preservation benefits stem from the productivity benefits of wider vehicles as they will demand less road usage to deliver the same freight task. Incremental changes in asset preservation cost are calculated based on the incremental change in freight movement between the BAU and the option cases and the unit asset preservation cost per VKT. Incremental changes in freight movement are assessed using the same approach as for assessing safety benefits. </w:t>
      </w:r>
    </w:p>
    <w:p w14:paraId="2ACA8DC2"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unit asset preservation cost is estimated at approximately $0.004 per VKT per annum. This is based on maintenance costs of $3,850 per lane-km, based on 4.0+ MESA/lane/year (</w:t>
      </w:r>
      <w:proofErr w:type="spellStart"/>
      <w:r w:rsidRPr="00452B58">
        <w:rPr>
          <w:rFonts w:ascii="Calibri" w:eastAsia="Calibri" w:hAnsi="Calibri" w:cs="Calibri"/>
          <w:color w:val="auto"/>
          <w:kern w:val="0"/>
          <w:sz w:val="22"/>
          <w:szCs w:val="22"/>
        </w:rPr>
        <w:t>Holtrop</w:t>
      </w:r>
      <w:proofErr w:type="spellEnd"/>
      <w:r w:rsidRPr="00452B58">
        <w:rPr>
          <w:rFonts w:ascii="Calibri" w:eastAsia="Calibri" w:hAnsi="Calibri" w:cs="Calibri"/>
          <w:color w:val="auto"/>
          <w:kern w:val="0"/>
          <w:sz w:val="22"/>
          <w:szCs w:val="22"/>
        </w:rPr>
        <w:t xml:space="preserve"> 2000, indexed to 2022).</w:t>
      </w:r>
    </w:p>
    <w:p w14:paraId="37AD0B77" w14:textId="77777777" w:rsidR="00452B58" w:rsidRPr="00F2517A" w:rsidRDefault="00452B58" w:rsidP="00F2517A">
      <w:pPr>
        <w:pStyle w:val="ARRBBaseHeading2"/>
      </w:pPr>
      <w:bookmarkStart w:id="267" w:name="_Ref108452534"/>
      <w:bookmarkStart w:id="268" w:name="_Toc137731683"/>
      <w:r w:rsidRPr="00F2517A">
        <w:t>VOC Benefits</w:t>
      </w:r>
      <w:bookmarkEnd w:id="267"/>
      <w:bookmarkEnd w:id="268"/>
    </w:p>
    <w:p w14:paraId="049DB2B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operating cost (VOC) benefits are due to the productivity impact of wider vehicles and trailers through two effects:</w:t>
      </w:r>
    </w:p>
    <w:p w14:paraId="30DDF232" w14:textId="77777777" w:rsidR="00452B58" w:rsidRPr="009F313A" w:rsidRDefault="00452B58" w:rsidP="00E248BF">
      <w:pPr>
        <w:pStyle w:val="ARRBNumberList1"/>
        <w:numPr>
          <w:ilvl w:val="0"/>
          <w:numId w:val="91"/>
        </w:numPr>
      </w:pPr>
      <w:r w:rsidRPr="009F313A">
        <w:t>greater payload volume for vehicles and combinations that are not already mass-limited resulting in less vehicles needed to deliver the freight task</w:t>
      </w:r>
    </w:p>
    <w:p w14:paraId="4DA1283A" w14:textId="77777777" w:rsidR="00452B58" w:rsidRPr="009F313A" w:rsidRDefault="00452B58" w:rsidP="00E248BF">
      <w:pPr>
        <w:pStyle w:val="ARRBNumberList1"/>
        <w:numPr>
          <w:ilvl w:val="0"/>
          <w:numId w:val="91"/>
        </w:numPr>
      </w:pPr>
      <w:r w:rsidRPr="009F313A">
        <w:t>increased thermal insulation of refrigerated vehicles resulting in less fuel consumed to run the refrigeration units of wider vehicles compared to existing 2.50 m wide refrigerated vehicles.</w:t>
      </w:r>
    </w:p>
    <w:p w14:paraId="3A911E86" w14:textId="3C7C87C0"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VOCs of heavy vehicles and trailers are based on parameter values published by Australian Transport Assessment and Planning Steering Committee (2016) in the PV2 Road Parameter Guidelines, which provide VOCs for 20 standard vehicle types and configurations. These VOCs are based on the underlying consumption of fuel, oil and tyres, and maintenance and repair costs; expressed in $ per vehicle km.</w:t>
      </w:r>
    </w:p>
    <w:p w14:paraId="6C4CD245" w14:textId="13A506A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included vehicle types and configurations in PV2 are 2.50 m wide and non-refrigerated. The rationale for the calculations of these additional VOCs are in the second section of Appendix A.</w:t>
      </w:r>
    </w:p>
    <w:p w14:paraId="5A2B87DE" w14:textId="6FC2282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 xml:space="preserve"> presents the VOC parameter values for calculating the operating cost of refrigerated and non</w:t>
      </w:r>
      <w:r w:rsidRPr="00452B58">
        <w:rPr>
          <w:rFonts w:ascii="Calibri" w:eastAsia="Calibri" w:hAnsi="Calibri" w:cs="Calibri"/>
          <w:color w:val="auto"/>
          <w:kern w:val="0"/>
          <w:sz w:val="22"/>
          <w:szCs w:val="22"/>
        </w:rPr>
        <w:noBreakHyphen/>
        <w:t xml:space="preserve">refrigerated freight tasks before and after widening. </w:t>
      </w:r>
    </w:p>
    <w:p w14:paraId="53083194" w14:textId="42F56A4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9" w:name="_Ref107190446"/>
      <w:bookmarkStart w:id="270" w:name="_Toc117646414"/>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bookmarkEnd w:id="26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VOC parameter values</w:t>
      </w:r>
      <w:bookmarkEnd w:id="270"/>
      <w:r w:rsidRPr="00452B58">
        <w:rPr>
          <w:rFonts w:ascii="Calibri" w:eastAsia="Calibri" w:hAnsi="Calibri" w:cs="Times New Roman"/>
          <w:b/>
          <w:bCs/>
          <w:color w:val="67696A"/>
          <w:kern w:val="0"/>
          <w:sz w:val="18"/>
          <w:szCs w:val="22"/>
        </w:rPr>
        <w:t xml:space="preserve">  </w:t>
      </w:r>
    </w:p>
    <w:tbl>
      <w:tblPr>
        <w:tblStyle w:val="ARRBTableStyle"/>
        <w:tblW w:w="4990" w:type="pct"/>
        <w:tblLayout w:type="fixed"/>
        <w:tblLook w:val="04A0" w:firstRow="1" w:lastRow="0" w:firstColumn="1" w:lastColumn="0" w:noHBand="0" w:noVBand="1"/>
      </w:tblPr>
      <w:tblGrid>
        <w:gridCol w:w="3201"/>
        <w:gridCol w:w="3204"/>
        <w:gridCol w:w="3204"/>
      </w:tblGrid>
      <w:tr w:rsidR="00452B58" w:rsidRPr="00452B58" w14:paraId="24AD348C"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14:paraId="7C62E41D"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VOC parameter </w:t>
            </w:r>
          </w:p>
        </w:tc>
        <w:tc>
          <w:tcPr>
            <w:tcW w:w="1667" w:type="pct"/>
          </w:tcPr>
          <w:p w14:paraId="78D6153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14:paraId="47F8890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14:paraId="2EDB60A1" w14:textId="77777777" w:rsidTr="00452B58">
        <w:trPr>
          <w:trHeight w:val="144"/>
        </w:trPr>
        <w:tc>
          <w:tcPr>
            <w:tcW w:w="1666" w:type="pct"/>
          </w:tcPr>
          <w:p w14:paraId="23C5AD6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14:paraId="7199703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$0.744</w:t>
            </w:r>
          </w:p>
        </w:tc>
        <w:tc>
          <w:tcPr>
            <w:tcW w:w="1667" w:type="pct"/>
          </w:tcPr>
          <w:p w14:paraId="267342E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$0.599</w:t>
            </w:r>
          </w:p>
        </w:tc>
      </w:tr>
      <w:tr w:rsidR="00452B58" w:rsidRPr="00452B58" w14:paraId="18AA4071" w14:textId="77777777" w:rsidTr="00452B58">
        <w:trPr>
          <w:trHeight w:val="144"/>
        </w:trPr>
        <w:tc>
          <w:tcPr>
            <w:tcW w:w="1666" w:type="pct"/>
          </w:tcPr>
          <w:p w14:paraId="3116D4D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14:paraId="53F0C3A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$0.748</w:t>
            </w:r>
          </w:p>
        </w:tc>
        <w:tc>
          <w:tcPr>
            <w:tcW w:w="1667" w:type="pct"/>
          </w:tcPr>
          <w:p w14:paraId="568DCAC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$0.602</w:t>
            </w:r>
          </w:p>
        </w:tc>
      </w:tr>
      <w:tr w:rsidR="00452B58" w:rsidRPr="00452B58" w14:paraId="24B7B2E9" w14:textId="77777777" w:rsidTr="00452B58">
        <w:trPr>
          <w:trHeight w:val="144"/>
        </w:trPr>
        <w:tc>
          <w:tcPr>
            <w:tcW w:w="1666" w:type="pct"/>
          </w:tcPr>
          <w:p w14:paraId="5676EF5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14:paraId="2BC8B09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$0.752</w:t>
            </w:r>
          </w:p>
        </w:tc>
        <w:tc>
          <w:tcPr>
            <w:tcW w:w="1667" w:type="pct"/>
          </w:tcPr>
          <w:p w14:paraId="4D2BCF2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$0.605</w:t>
            </w:r>
          </w:p>
        </w:tc>
      </w:tr>
      <w:tr w:rsidR="00452B58" w:rsidRPr="00452B58" w14:paraId="2790ED55" w14:textId="77777777" w:rsidTr="00452B58">
        <w:trPr>
          <w:trHeight w:val="144"/>
        </w:trPr>
        <w:tc>
          <w:tcPr>
            <w:tcW w:w="1666" w:type="pct"/>
          </w:tcPr>
          <w:p w14:paraId="36576C0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14:paraId="52D780F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$0.856</w:t>
            </w:r>
          </w:p>
        </w:tc>
        <w:tc>
          <w:tcPr>
            <w:tcW w:w="1667" w:type="pct"/>
          </w:tcPr>
          <w:p w14:paraId="307C31D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$0.711</w:t>
            </w:r>
          </w:p>
        </w:tc>
      </w:tr>
      <w:tr w:rsidR="00452B58" w:rsidRPr="00452B58" w14:paraId="373216FD" w14:textId="77777777" w:rsidTr="00452B58">
        <w:trPr>
          <w:trHeight w:val="144"/>
        </w:trPr>
        <w:tc>
          <w:tcPr>
            <w:tcW w:w="1666" w:type="pct"/>
          </w:tcPr>
          <w:p w14:paraId="7DEDA2C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14:paraId="2089ADE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$0.838</w:t>
            </w:r>
          </w:p>
        </w:tc>
        <w:tc>
          <w:tcPr>
            <w:tcW w:w="1667" w:type="pct"/>
          </w:tcPr>
          <w:p w14:paraId="5CE0CD5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$0.692</w:t>
            </w:r>
          </w:p>
        </w:tc>
      </w:tr>
      <w:tr w:rsidR="00452B58" w:rsidRPr="00452B58" w14:paraId="6A77C6B5" w14:textId="77777777" w:rsidTr="00452B58">
        <w:trPr>
          <w:trHeight w:val="144"/>
        </w:trPr>
        <w:tc>
          <w:tcPr>
            <w:tcW w:w="1666" w:type="pct"/>
          </w:tcPr>
          <w:p w14:paraId="17A8AAF9" w14:textId="77777777" w:rsidR="00452B58" w:rsidRPr="00452B58" w:rsidRDefault="00452B58" w:rsidP="00452B58">
            <w:pPr>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14:paraId="3CB3DB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$0.827</w:t>
            </w:r>
          </w:p>
        </w:tc>
        <w:tc>
          <w:tcPr>
            <w:tcW w:w="1667" w:type="pct"/>
          </w:tcPr>
          <w:p w14:paraId="5B01ADD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$0.680</w:t>
            </w:r>
          </w:p>
        </w:tc>
      </w:tr>
    </w:tbl>
    <w:p w14:paraId="100EFC47" w14:textId="77777777" w:rsidR="00452B58" w:rsidRPr="00F2517A" w:rsidRDefault="00452B58" w:rsidP="00F2517A">
      <w:pPr>
        <w:pStyle w:val="ARRBBaseHeading2"/>
      </w:pPr>
      <w:bookmarkStart w:id="271" w:name="_Ref109661342"/>
      <w:bookmarkStart w:id="272" w:name="_Toc137731684"/>
      <w:r w:rsidRPr="00F2517A">
        <w:t>Environmental Benefits</w:t>
      </w:r>
      <w:bookmarkEnd w:id="271"/>
      <w:bookmarkEnd w:id="272"/>
    </w:p>
    <w:p w14:paraId="29F0E033" w14:textId="3BCFB69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Environmental benefits are also a result of the productivity benefits of wider vehicles and trailers. Environmental cost of freight movements by heavy vehicles and trailers can be estimated by multiplying the incremental change in freight movement between BAU and option cases with the environmental parameter values published by Australian Transport Assessment and Planning Steering Committee (2020). </w:t>
      </w:r>
    </w:p>
    <w:p w14:paraId="18D5C50B" w14:textId="629F8BC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further benefit of higher width limits is available for refrigerated heavy vehicles and trailers. The increase in vehicle width allows them to increase the thickness of their insulation layers in their containers and this change is likely to result in lower environmental impact due to lowered energy needed to maintain low refrigeration temperatures. This is brought into the calculation through the VOCs calculated in Section 5.4.</w:t>
      </w:r>
    </w:p>
    <w:p w14:paraId="5BF4F988" w14:textId="66D7104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 xml:space="preserve"> presents the environmental parameter values for calculating the environmental cost of refrigerated and non-refrigerated freight tasks before and after widening. </w:t>
      </w:r>
    </w:p>
    <w:p w14:paraId="6015BBA2" w14:textId="321E898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73" w:name="_Ref108478277"/>
      <w:bookmarkStart w:id="274" w:name="_Toc11764641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bookmarkEnd w:id="27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Environmental parameter values</w:t>
      </w:r>
      <w:bookmarkEnd w:id="274"/>
      <w:r w:rsidRPr="00452B58">
        <w:rPr>
          <w:rFonts w:ascii="Calibri" w:eastAsia="Calibri" w:hAnsi="Calibri" w:cs="Times New Roman"/>
          <w:b/>
          <w:bCs/>
          <w:color w:val="67696A"/>
          <w:kern w:val="0"/>
          <w:sz w:val="18"/>
          <w:szCs w:val="22"/>
        </w:rPr>
        <w:t xml:space="preserve">  </w:t>
      </w:r>
    </w:p>
    <w:tbl>
      <w:tblPr>
        <w:tblStyle w:val="ARRBTableStyle"/>
        <w:tblW w:w="4995" w:type="pct"/>
        <w:tblLayout w:type="fixed"/>
        <w:tblLook w:val="04A0" w:firstRow="1" w:lastRow="0" w:firstColumn="1" w:lastColumn="0" w:noHBand="0" w:noVBand="1"/>
      </w:tblPr>
      <w:tblGrid>
        <w:gridCol w:w="3204"/>
        <w:gridCol w:w="3207"/>
        <w:gridCol w:w="3207"/>
      </w:tblGrid>
      <w:tr w:rsidR="00452B58" w:rsidRPr="00452B58" w14:paraId="4AD26B38"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14:paraId="3CCC1EE7"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Freight task by </w:t>
            </w:r>
          </w:p>
        </w:tc>
        <w:tc>
          <w:tcPr>
            <w:tcW w:w="1667" w:type="pct"/>
          </w:tcPr>
          <w:p w14:paraId="7DCA50B7"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14:paraId="558783A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14:paraId="06733552" w14:textId="77777777" w:rsidTr="00452B58">
        <w:trPr>
          <w:trHeight w:val="144"/>
        </w:trPr>
        <w:tc>
          <w:tcPr>
            <w:tcW w:w="1666" w:type="pct"/>
          </w:tcPr>
          <w:p w14:paraId="05681D1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14:paraId="063185E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$0.385</w:t>
            </w:r>
          </w:p>
        </w:tc>
        <w:tc>
          <w:tcPr>
            <w:tcW w:w="1667" w:type="pct"/>
          </w:tcPr>
          <w:p w14:paraId="34E9BFE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$0.310</w:t>
            </w:r>
          </w:p>
        </w:tc>
      </w:tr>
      <w:tr w:rsidR="00452B58" w:rsidRPr="00452B58" w14:paraId="3FEC6657" w14:textId="77777777" w:rsidTr="00452B58">
        <w:trPr>
          <w:trHeight w:val="144"/>
        </w:trPr>
        <w:tc>
          <w:tcPr>
            <w:tcW w:w="1666" w:type="pct"/>
          </w:tcPr>
          <w:p w14:paraId="0CD133B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14:paraId="50B93A9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$0.387</w:t>
            </w:r>
          </w:p>
        </w:tc>
        <w:tc>
          <w:tcPr>
            <w:tcW w:w="1667" w:type="pct"/>
          </w:tcPr>
          <w:p w14:paraId="6D0A51A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$0.311</w:t>
            </w:r>
          </w:p>
        </w:tc>
      </w:tr>
      <w:tr w:rsidR="00452B58" w:rsidRPr="00452B58" w14:paraId="2B0116C6" w14:textId="77777777" w:rsidTr="00452B58">
        <w:trPr>
          <w:trHeight w:val="144"/>
        </w:trPr>
        <w:tc>
          <w:tcPr>
            <w:tcW w:w="1666" w:type="pct"/>
          </w:tcPr>
          <w:p w14:paraId="6B1EE14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14:paraId="1AB4900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$0.389</w:t>
            </w:r>
          </w:p>
        </w:tc>
        <w:tc>
          <w:tcPr>
            <w:tcW w:w="1667" w:type="pct"/>
          </w:tcPr>
          <w:p w14:paraId="1C05F12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$0.313</w:t>
            </w:r>
          </w:p>
        </w:tc>
      </w:tr>
      <w:tr w:rsidR="00452B58" w:rsidRPr="00452B58" w14:paraId="668EC82E" w14:textId="77777777" w:rsidTr="00452B58">
        <w:trPr>
          <w:trHeight w:val="144"/>
        </w:trPr>
        <w:tc>
          <w:tcPr>
            <w:tcW w:w="1666" w:type="pct"/>
          </w:tcPr>
          <w:p w14:paraId="63D366D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14:paraId="401D602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$0.443</w:t>
            </w:r>
          </w:p>
        </w:tc>
        <w:tc>
          <w:tcPr>
            <w:tcW w:w="1667" w:type="pct"/>
          </w:tcPr>
          <w:p w14:paraId="41FEC9C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$0.356</w:t>
            </w:r>
          </w:p>
        </w:tc>
      </w:tr>
      <w:tr w:rsidR="00452B58" w:rsidRPr="00452B58" w14:paraId="11D10B40" w14:textId="77777777" w:rsidTr="00452B58">
        <w:trPr>
          <w:trHeight w:val="144"/>
        </w:trPr>
        <w:tc>
          <w:tcPr>
            <w:tcW w:w="1666" w:type="pct"/>
          </w:tcPr>
          <w:p w14:paraId="0EA2691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14:paraId="07A6BC8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$0.433</w:t>
            </w:r>
          </w:p>
        </w:tc>
        <w:tc>
          <w:tcPr>
            <w:tcW w:w="1667" w:type="pct"/>
          </w:tcPr>
          <w:p w14:paraId="229A3AD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$0.347</w:t>
            </w:r>
          </w:p>
        </w:tc>
      </w:tr>
      <w:tr w:rsidR="00452B58" w:rsidRPr="00452B58" w14:paraId="7E7D115B" w14:textId="77777777" w:rsidTr="00452B58">
        <w:trPr>
          <w:trHeight w:val="144"/>
        </w:trPr>
        <w:tc>
          <w:tcPr>
            <w:tcW w:w="1666" w:type="pct"/>
          </w:tcPr>
          <w:p w14:paraId="1BA95D5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14:paraId="4B6F545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$0.428</w:t>
            </w:r>
          </w:p>
        </w:tc>
        <w:tc>
          <w:tcPr>
            <w:tcW w:w="1667" w:type="pct"/>
          </w:tcPr>
          <w:p w14:paraId="0904214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$0.341</w:t>
            </w:r>
          </w:p>
        </w:tc>
      </w:tr>
    </w:tbl>
    <w:p w14:paraId="1F0FC03B" w14:textId="77777777" w:rsidR="00452B58" w:rsidRPr="00F2517A" w:rsidRDefault="00452B58" w:rsidP="00F2517A">
      <w:pPr>
        <w:pStyle w:val="ARRBBaseHeading2"/>
      </w:pPr>
      <w:bookmarkStart w:id="275" w:name="_Toc98291397"/>
      <w:bookmarkStart w:id="276" w:name="_Toc107195883"/>
      <w:bookmarkStart w:id="277" w:name="_Toc137731685"/>
      <w:r w:rsidRPr="00F2517A">
        <w:t>Discounting and Other Modelling Assumptions</w:t>
      </w:r>
      <w:bookmarkEnd w:id="275"/>
      <w:bookmarkEnd w:id="276"/>
      <w:bookmarkEnd w:id="277"/>
    </w:p>
    <w:p w14:paraId="3A4E47C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each analysis, gross benefits, gross costs and net benefits are reported as discounted present values on their policy commencement date of 1 July 2023.</w:t>
      </w:r>
    </w:p>
    <w:p w14:paraId="6823E3B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BCA is based on a primary analysis and a set of sensitivity analyses to accommodate uncertainties surrounding input parameters, including benefits, costs and discount rates.</w:t>
      </w:r>
    </w:p>
    <w:p w14:paraId="43E50368" w14:textId="05A39C4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Parameter variations for the BCA primary and sensitivity analyses are summarised in 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7</w:t>
      </w:r>
      <w:r w:rsidRPr="00452B58">
        <w:rPr>
          <w:rFonts w:ascii="Calibri" w:eastAsia="Calibri" w:hAnsi="Calibri" w:cs="Calibri"/>
          <w:color w:val="auto"/>
          <w:kern w:val="0"/>
          <w:sz w:val="22"/>
          <w:szCs w:val="22"/>
        </w:rPr>
        <w:t>.</w:t>
      </w:r>
    </w:p>
    <w:p w14:paraId="43C091A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4D9FE06C" w14:textId="4FD43EF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78" w:name="_Ref98102079"/>
      <w:bookmarkStart w:id="279" w:name="_Toc98291419"/>
      <w:bookmarkStart w:id="280" w:name="_Toc106721497"/>
      <w:bookmarkStart w:id="281" w:name="_Toc117646416"/>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7</w:t>
      </w:r>
      <w:bookmarkEnd w:id="27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Parameter variations in primary and sensitivity analysis</w:t>
      </w:r>
      <w:bookmarkEnd w:id="279"/>
      <w:bookmarkEnd w:id="280"/>
      <w:bookmarkEnd w:id="281"/>
    </w:p>
    <w:tbl>
      <w:tblPr>
        <w:tblStyle w:val="ARRBTableStyle"/>
        <w:tblW w:w="5005" w:type="pct"/>
        <w:tblLayout w:type="fixed"/>
        <w:tblLook w:val="04A0" w:firstRow="1" w:lastRow="0" w:firstColumn="1" w:lastColumn="0" w:noHBand="0" w:noVBand="1"/>
      </w:tblPr>
      <w:tblGrid>
        <w:gridCol w:w="3965"/>
        <w:gridCol w:w="3258"/>
        <w:gridCol w:w="2415"/>
      </w:tblGrid>
      <w:tr w:rsidR="00452B58" w:rsidRPr="00452B58" w14:paraId="6B3FC573" w14:textId="77777777" w:rsidTr="00452B58">
        <w:trPr>
          <w:cnfStyle w:val="100000000000" w:firstRow="1" w:lastRow="0" w:firstColumn="0" w:lastColumn="0" w:oddVBand="0" w:evenVBand="0" w:oddHBand="0" w:evenHBand="0" w:firstRowFirstColumn="0" w:firstRowLastColumn="0" w:lastRowFirstColumn="0" w:lastRowLastColumn="0"/>
          <w:trHeight w:val="187"/>
        </w:trPr>
        <w:tc>
          <w:tcPr>
            <w:tcW w:w="2057" w:type="pct"/>
          </w:tcPr>
          <w:p w14:paraId="097170A5"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Modelling parameter </w:t>
            </w:r>
          </w:p>
        </w:tc>
        <w:tc>
          <w:tcPr>
            <w:tcW w:w="1690" w:type="pct"/>
          </w:tcPr>
          <w:p w14:paraId="5FFB2283"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Primary analysis</w:t>
            </w:r>
          </w:p>
        </w:tc>
        <w:tc>
          <w:tcPr>
            <w:tcW w:w="1253" w:type="pct"/>
          </w:tcPr>
          <w:p w14:paraId="4067DAC0"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Sensitivity analysis</w:t>
            </w:r>
          </w:p>
        </w:tc>
      </w:tr>
      <w:tr w:rsidR="00452B58" w:rsidRPr="00452B58" w14:paraId="5159E232" w14:textId="77777777" w:rsidTr="00452B58">
        <w:trPr>
          <w:trHeight w:val="147"/>
        </w:trPr>
        <w:tc>
          <w:tcPr>
            <w:tcW w:w="2057" w:type="pct"/>
          </w:tcPr>
          <w:p w14:paraId="0886B47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Discount rate </w:t>
            </w:r>
          </w:p>
        </w:tc>
        <w:tc>
          <w:tcPr>
            <w:tcW w:w="1690" w:type="pct"/>
          </w:tcPr>
          <w:p w14:paraId="32C6952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w:t>
            </w:r>
          </w:p>
        </w:tc>
        <w:tc>
          <w:tcPr>
            <w:tcW w:w="1253" w:type="pct"/>
          </w:tcPr>
          <w:p w14:paraId="07548AB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 and 10%</w:t>
            </w:r>
          </w:p>
        </w:tc>
      </w:tr>
      <w:tr w:rsidR="00452B58" w:rsidRPr="00452B58" w14:paraId="75BA9F86" w14:textId="77777777" w:rsidTr="00452B58">
        <w:trPr>
          <w:trHeight w:val="147"/>
        </w:trPr>
        <w:tc>
          <w:tcPr>
            <w:tcW w:w="2057" w:type="pct"/>
          </w:tcPr>
          <w:p w14:paraId="00478AF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Infrastructure update cost</w:t>
            </w:r>
          </w:p>
        </w:tc>
        <w:tc>
          <w:tcPr>
            <w:tcW w:w="1690" w:type="pct"/>
          </w:tcPr>
          <w:p w14:paraId="53AA96F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14:paraId="526E8A4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14:paraId="31804CBB" w14:textId="77777777" w:rsidTr="00452B58">
        <w:trPr>
          <w:trHeight w:val="147"/>
        </w:trPr>
        <w:tc>
          <w:tcPr>
            <w:tcW w:w="2057" w:type="pct"/>
          </w:tcPr>
          <w:p w14:paraId="1386D59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Cost of safety features </w:t>
            </w:r>
          </w:p>
        </w:tc>
        <w:tc>
          <w:tcPr>
            <w:tcW w:w="1690" w:type="pct"/>
          </w:tcPr>
          <w:p w14:paraId="36BBAE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14:paraId="592D14B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14:paraId="1CB8B055" w14:textId="77777777" w:rsidTr="00452B58">
        <w:trPr>
          <w:trHeight w:val="147"/>
        </w:trPr>
        <w:tc>
          <w:tcPr>
            <w:tcW w:w="2057" w:type="pct"/>
          </w:tcPr>
          <w:p w14:paraId="220C67C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Projected total vehicle fleet annual growth rate</w:t>
            </w:r>
          </w:p>
        </w:tc>
        <w:tc>
          <w:tcPr>
            <w:tcW w:w="1690" w:type="pct"/>
          </w:tcPr>
          <w:p w14:paraId="50F5AF2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w:t>
            </w:r>
          </w:p>
        </w:tc>
        <w:tc>
          <w:tcPr>
            <w:tcW w:w="1253" w:type="pct"/>
          </w:tcPr>
          <w:p w14:paraId="7C4C788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3%</w:t>
            </w:r>
          </w:p>
        </w:tc>
      </w:tr>
      <w:tr w:rsidR="00452B58" w:rsidRPr="00452B58" w14:paraId="521B6475" w14:textId="77777777" w:rsidTr="00452B58">
        <w:trPr>
          <w:trHeight w:val="147"/>
        </w:trPr>
        <w:tc>
          <w:tcPr>
            <w:tcW w:w="2057" w:type="pct"/>
          </w:tcPr>
          <w:p w14:paraId="745165E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Projected total trailer fleet annual growth rate</w:t>
            </w:r>
          </w:p>
        </w:tc>
        <w:tc>
          <w:tcPr>
            <w:tcW w:w="1690" w:type="pct"/>
          </w:tcPr>
          <w:p w14:paraId="71BF0B2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3.3%</w:t>
            </w:r>
          </w:p>
        </w:tc>
        <w:tc>
          <w:tcPr>
            <w:tcW w:w="1253" w:type="pct"/>
          </w:tcPr>
          <w:p w14:paraId="491BFF3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 4%</w:t>
            </w:r>
          </w:p>
        </w:tc>
      </w:tr>
      <w:tr w:rsidR="00452B58" w:rsidRPr="00452B58" w14:paraId="7B04DD6B" w14:textId="77777777" w:rsidTr="00452B58">
        <w:trPr>
          <w:trHeight w:val="147"/>
        </w:trPr>
        <w:tc>
          <w:tcPr>
            <w:tcW w:w="2057" w:type="pct"/>
          </w:tcPr>
          <w:p w14:paraId="7FE9B72A"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Change in efficacy of safety features</w:t>
            </w:r>
          </w:p>
        </w:tc>
        <w:tc>
          <w:tcPr>
            <w:tcW w:w="1690" w:type="pct"/>
          </w:tcPr>
          <w:p w14:paraId="4424BE3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14:paraId="50A23CD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14:paraId="52131F37" w14:textId="77777777" w:rsidTr="00452B58">
        <w:trPr>
          <w:trHeight w:val="147"/>
        </w:trPr>
        <w:tc>
          <w:tcPr>
            <w:tcW w:w="2057" w:type="pct"/>
          </w:tcPr>
          <w:p w14:paraId="04AF3F7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Voluntary uptake of new widths in new vehicle fleet share</w:t>
            </w:r>
          </w:p>
        </w:tc>
        <w:tc>
          <w:tcPr>
            <w:tcW w:w="1690" w:type="pct"/>
          </w:tcPr>
          <w:p w14:paraId="522394B9"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HV by country of origin</w:t>
            </w:r>
          </w:p>
          <w:p w14:paraId="3A0D4FC7"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EU/US: fleet share with new width reaching 100% in 2 years after policy commencement</w:t>
            </w:r>
          </w:p>
          <w:p w14:paraId="2BBA6594"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 xml:space="preserve">AUS: fleet share with new width reaching 100% in 15 years after policy commencement </w:t>
            </w:r>
          </w:p>
          <w:p w14:paraId="28D7A1E7"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Japan/S. Korea: fleet share with new width reaching 100% in 25 years after policy commencement</w:t>
            </w:r>
          </w:p>
          <w:p w14:paraId="736AEB2A"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Trailer by importation status:</w:t>
            </w:r>
          </w:p>
          <w:p w14:paraId="67CC98B3"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Imported: fleet share with new width reaching 100% in 2 years after policy commencement</w:t>
            </w:r>
          </w:p>
          <w:p w14:paraId="2F0B0157"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Domestic: fleet share with new width reaching 100% in 40 years after policy commencement</w:t>
            </w:r>
          </w:p>
        </w:tc>
        <w:tc>
          <w:tcPr>
            <w:tcW w:w="1253" w:type="pct"/>
          </w:tcPr>
          <w:p w14:paraId="543F392D"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HV by country of origin</w:t>
            </w:r>
          </w:p>
          <w:p w14:paraId="188153A2"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EU/US: ±1 year</w:t>
            </w:r>
          </w:p>
          <w:p w14:paraId="347230FD"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 xml:space="preserve">AUS: ±10 years </w:t>
            </w:r>
          </w:p>
          <w:p w14:paraId="1BCE2A29"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Japan/S. Korea: ±10 years</w:t>
            </w:r>
          </w:p>
          <w:p w14:paraId="4F342EFA" w14:textId="77777777"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Trailer by importation status:</w:t>
            </w:r>
          </w:p>
          <w:p w14:paraId="1FFAFC9F"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Imported: ±1 year</w:t>
            </w:r>
          </w:p>
          <w:p w14:paraId="7ABA2465" w14:textId="77777777"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Domestic: ±20 years</w:t>
            </w:r>
          </w:p>
        </w:tc>
      </w:tr>
      <w:tr w:rsidR="00452B58" w:rsidRPr="00452B58" w14:paraId="78FCBA40" w14:textId="77777777" w:rsidTr="00452B58">
        <w:trPr>
          <w:trHeight w:val="147"/>
        </w:trPr>
        <w:tc>
          <w:tcPr>
            <w:tcW w:w="2057" w:type="pct"/>
          </w:tcPr>
          <w:p w14:paraId="42A169C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Change in crash rates for wider vehicles</w:t>
            </w:r>
          </w:p>
        </w:tc>
        <w:tc>
          <w:tcPr>
            <w:tcW w:w="1690" w:type="pct"/>
          </w:tcPr>
          <w:p w14:paraId="4564E21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w:t>
            </w:r>
          </w:p>
        </w:tc>
        <w:tc>
          <w:tcPr>
            <w:tcW w:w="1253" w:type="pct"/>
          </w:tcPr>
          <w:p w14:paraId="4A429FE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±0.5%</w:t>
            </w:r>
          </w:p>
        </w:tc>
      </w:tr>
      <w:tr w:rsidR="00452B58" w:rsidRPr="00452B58" w14:paraId="39B8F125" w14:textId="77777777" w:rsidTr="00452B58">
        <w:trPr>
          <w:trHeight w:val="147"/>
        </w:trPr>
        <w:tc>
          <w:tcPr>
            <w:tcW w:w="2057" w:type="pct"/>
          </w:tcPr>
          <w:p w14:paraId="128233F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of freight task laden km that is refrigerated</w:t>
            </w:r>
          </w:p>
        </w:tc>
        <w:tc>
          <w:tcPr>
            <w:tcW w:w="1690" w:type="pct"/>
          </w:tcPr>
          <w:p w14:paraId="280F86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w:t>
            </w:r>
          </w:p>
        </w:tc>
        <w:tc>
          <w:tcPr>
            <w:tcW w:w="1253" w:type="pct"/>
          </w:tcPr>
          <w:p w14:paraId="76B285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3%</w:t>
            </w:r>
          </w:p>
        </w:tc>
      </w:tr>
      <w:tr w:rsidR="00452B58" w:rsidRPr="00452B58" w14:paraId="303C6D94" w14:textId="77777777" w:rsidTr="00452B58">
        <w:trPr>
          <w:trHeight w:val="147"/>
        </w:trPr>
        <w:tc>
          <w:tcPr>
            <w:tcW w:w="2057" w:type="pct"/>
          </w:tcPr>
          <w:p w14:paraId="0707EA5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Trip reduction due to widening</w:t>
            </w:r>
          </w:p>
        </w:tc>
        <w:tc>
          <w:tcPr>
            <w:tcW w:w="1690" w:type="pct"/>
          </w:tcPr>
          <w:p w14:paraId="55B5D38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0.83%</w:t>
            </w:r>
          </w:p>
          <w:p w14:paraId="3B8116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1.62%</w:t>
            </w:r>
          </w:p>
        </w:tc>
        <w:tc>
          <w:tcPr>
            <w:tcW w:w="1253" w:type="pct"/>
          </w:tcPr>
          <w:p w14:paraId="625C01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0.66%, 1%</w:t>
            </w:r>
          </w:p>
          <w:p w14:paraId="7EB2E65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1.3%, 1.94%</w:t>
            </w:r>
          </w:p>
        </w:tc>
      </w:tr>
    </w:tbl>
    <w:p w14:paraId="1944A0E8"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78DDAB76" w14:textId="77777777" w:rsidR="00452B58" w:rsidRPr="00452B58" w:rsidRDefault="00452B58" w:rsidP="00452B58">
      <w:pPr>
        <w:suppressAutoHyphens w:val="0"/>
        <w:spacing w:before="120" w:after="60" w:line="288" w:lineRule="auto"/>
        <w:rPr>
          <w:rFonts w:ascii="Arial" w:eastAsia="Calibri" w:hAnsi="Arial" w:cs="Arial"/>
          <w:color w:val="000000"/>
          <w:kern w:val="0"/>
          <w:sz w:val="18"/>
          <w:szCs w:val="18"/>
          <w:lang w:val="en-GB"/>
        </w:rPr>
      </w:pPr>
      <w:r w:rsidRPr="00452B58">
        <w:rPr>
          <w:rFonts w:ascii="Calibri" w:eastAsia="Calibri" w:hAnsi="Calibri" w:cs="Times New Roman"/>
          <w:color w:val="auto"/>
          <w:kern w:val="0"/>
          <w:sz w:val="22"/>
          <w:szCs w:val="22"/>
        </w:rPr>
        <w:br w:type="page"/>
      </w:r>
    </w:p>
    <w:p w14:paraId="6B07BD22" w14:textId="77777777" w:rsidR="00452B58" w:rsidRPr="00452B58" w:rsidRDefault="00452B58" w:rsidP="00F2517A">
      <w:pPr>
        <w:pStyle w:val="ARRBBaseHeading1"/>
      </w:pPr>
      <w:bookmarkStart w:id="282" w:name="_Toc137731686"/>
      <w:r w:rsidRPr="00452B58">
        <w:t>Analysis Outcomes</w:t>
      </w:r>
      <w:bookmarkEnd w:id="282"/>
    </w:p>
    <w:p w14:paraId="22EFB784" w14:textId="77777777" w:rsidR="00452B58" w:rsidRPr="00F2517A" w:rsidRDefault="00452B58" w:rsidP="00F2517A">
      <w:pPr>
        <w:pStyle w:val="ARRBBaseHeading2"/>
      </w:pPr>
      <w:bookmarkStart w:id="283" w:name="_Toc137731687"/>
      <w:r w:rsidRPr="00F2517A">
        <w:t>BCA Results</w:t>
      </w:r>
      <w:bookmarkEnd w:id="283"/>
    </w:p>
    <w:p w14:paraId="616007A9" w14:textId="2460E058"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outcomes of the Department-modified analysis are shown in 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rounded to the nearest million.</w:t>
      </w:r>
    </w:p>
    <w:p w14:paraId="3C12CDE3" w14:textId="7A21D20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4" w:name="_Ref106877818"/>
      <w:bookmarkStart w:id="285" w:name="_Toc106721498"/>
      <w:bookmarkStart w:id="286" w:name="_Toc117646417"/>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28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Vehicle widening options with mandated safety features</w:t>
      </w:r>
      <w:bookmarkEnd w:id="285"/>
      <w:bookmarkEnd w:id="286"/>
    </w:p>
    <w:tbl>
      <w:tblPr>
        <w:tblStyle w:val="ARRBTableStyle"/>
        <w:tblW w:w="9638" w:type="dxa"/>
        <w:tblLook w:val="04A0" w:firstRow="1" w:lastRow="0" w:firstColumn="1" w:lastColumn="0" w:noHBand="0" w:noVBand="1"/>
      </w:tblPr>
      <w:tblGrid>
        <w:gridCol w:w="1553"/>
        <w:gridCol w:w="1998"/>
        <w:gridCol w:w="2091"/>
        <w:gridCol w:w="1998"/>
        <w:gridCol w:w="1998"/>
      </w:tblGrid>
      <w:tr w:rsidR="00452B58" w:rsidRPr="00452B58" w14:paraId="27371CA3"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553" w:type="dxa"/>
            <w:noWrap/>
          </w:tcPr>
          <w:p w14:paraId="38716218" w14:textId="77777777" w:rsidR="00452B58" w:rsidRPr="00452B58" w:rsidRDefault="00452B58" w:rsidP="00452B58">
            <w:pPr>
              <w:keepNext/>
              <w:suppressAutoHyphens w:val="0"/>
              <w:spacing w:before="40" w:after="40"/>
              <w:jc w:val="center"/>
              <w:rPr>
                <w:rFonts w:eastAsia="Calibri"/>
                <w:kern w:val="0"/>
                <w:szCs w:val="22"/>
                <w:lang w:eastAsia="en-AU"/>
              </w:rPr>
            </w:pPr>
          </w:p>
        </w:tc>
        <w:tc>
          <w:tcPr>
            <w:tcW w:w="1998" w:type="dxa"/>
            <w:noWrap/>
          </w:tcPr>
          <w:p w14:paraId="70CD0A62"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r w:rsidRPr="00452B58">
              <w:rPr>
                <w:rFonts w:eastAsia="Calibri"/>
                <w:kern w:val="0"/>
                <w:szCs w:val="22"/>
                <w:lang w:eastAsia="en-AU"/>
              </w:rPr>
              <w:br/>
              <w:t>2.55 m</w:t>
            </w:r>
            <w:r w:rsidRPr="00452B58">
              <w:rPr>
                <w:rFonts w:eastAsia="Calibri"/>
                <w:kern w:val="0"/>
                <w:szCs w:val="22"/>
                <w:lang w:eastAsia="en-AU"/>
              </w:rPr>
              <w:br/>
              <w:t>Vehicle and trailer</w:t>
            </w:r>
          </w:p>
        </w:tc>
        <w:tc>
          <w:tcPr>
            <w:tcW w:w="2091" w:type="dxa"/>
          </w:tcPr>
          <w:p w14:paraId="05143F60"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r w:rsidRPr="00452B58">
              <w:rPr>
                <w:rFonts w:eastAsia="Calibri"/>
                <w:kern w:val="0"/>
                <w:szCs w:val="22"/>
                <w:lang w:eastAsia="en-AU"/>
              </w:rPr>
              <w:br/>
              <w:t>2.55 m</w:t>
            </w:r>
            <w:r w:rsidRPr="00452B58">
              <w:rPr>
                <w:rFonts w:eastAsia="Calibri"/>
                <w:kern w:val="0"/>
                <w:szCs w:val="22"/>
                <w:lang w:eastAsia="en-AU"/>
              </w:rPr>
              <w:br/>
              <w:t>Vehicle only</w:t>
            </w:r>
          </w:p>
        </w:tc>
        <w:tc>
          <w:tcPr>
            <w:tcW w:w="1998" w:type="dxa"/>
          </w:tcPr>
          <w:p w14:paraId="74CFFD65"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r w:rsidRPr="00452B58">
              <w:rPr>
                <w:rFonts w:eastAsia="Calibri"/>
                <w:kern w:val="0"/>
                <w:szCs w:val="22"/>
                <w:lang w:eastAsia="en-AU"/>
              </w:rPr>
              <w:br/>
              <w:t>2.60 m</w:t>
            </w:r>
            <w:r w:rsidRPr="00452B58">
              <w:rPr>
                <w:rFonts w:eastAsia="Calibri"/>
                <w:kern w:val="0"/>
                <w:szCs w:val="22"/>
                <w:lang w:eastAsia="en-AU"/>
              </w:rPr>
              <w:br/>
              <w:t>Vehicle and trailer</w:t>
            </w:r>
          </w:p>
        </w:tc>
        <w:tc>
          <w:tcPr>
            <w:tcW w:w="1998" w:type="dxa"/>
          </w:tcPr>
          <w:p w14:paraId="6A38FC62"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r w:rsidRPr="00452B58">
              <w:rPr>
                <w:rFonts w:eastAsia="Calibri"/>
                <w:kern w:val="0"/>
                <w:szCs w:val="22"/>
                <w:lang w:eastAsia="en-AU"/>
              </w:rPr>
              <w:br/>
              <w:t>2.60 m</w:t>
            </w:r>
            <w:r w:rsidRPr="00452B58">
              <w:rPr>
                <w:rFonts w:eastAsia="Calibri"/>
                <w:kern w:val="0"/>
                <w:szCs w:val="22"/>
                <w:lang w:eastAsia="en-AU"/>
              </w:rPr>
              <w:br/>
              <w:t>Vehicle only</w:t>
            </w:r>
          </w:p>
        </w:tc>
      </w:tr>
      <w:tr w:rsidR="00452B58" w:rsidRPr="00452B58" w14:paraId="191CFF1C" w14:textId="77777777" w:rsidTr="00452B58">
        <w:trPr>
          <w:trHeight w:val="300"/>
        </w:trPr>
        <w:tc>
          <w:tcPr>
            <w:tcW w:w="1553" w:type="dxa"/>
            <w:noWrap/>
          </w:tcPr>
          <w:p w14:paraId="0852555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BCR</w:t>
            </w:r>
          </w:p>
        </w:tc>
        <w:tc>
          <w:tcPr>
            <w:tcW w:w="1998" w:type="dxa"/>
            <w:noWrap/>
          </w:tcPr>
          <w:p w14:paraId="599F8519"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3.0</w:t>
            </w:r>
          </w:p>
        </w:tc>
        <w:tc>
          <w:tcPr>
            <w:tcW w:w="2091" w:type="dxa"/>
          </w:tcPr>
          <w:p w14:paraId="57C20246"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3.0</w:t>
            </w:r>
          </w:p>
        </w:tc>
        <w:tc>
          <w:tcPr>
            <w:tcW w:w="1998" w:type="dxa"/>
          </w:tcPr>
          <w:p w14:paraId="48DE0A60"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4.2</w:t>
            </w:r>
          </w:p>
        </w:tc>
        <w:tc>
          <w:tcPr>
            <w:tcW w:w="1998" w:type="dxa"/>
          </w:tcPr>
          <w:p w14:paraId="0940E1A4"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4.4</w:t>
            </w:r>
          </w:p>
        </w:tc>
      </w:tr>
      <w:tr w:rsidR="00452B58" w:rsidRPr="00452B58" w14:paraId="3AE0436B" w14:textId="77777777" w:rsidTr="00452B58">
        <w:trPr>
          <w:trHeight w:val="300"/>
        </w:trPr>
        <w:tc>
          <w:tcPr>
            <w:tcW w:w="1553" w:type="dxa"/>
            <w:noWrap/>
            <w:hideMark/>
          </w:tcPr>
          <w:p w14:paraId="0873A74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NPV</w:t>
            </w:r>
          </w:p>
        </w:tc>
        <w:tc>
          <w:tcPr>
            <w:tcW w:w="1998" w:type="dxa"/>
            <w:noWrap/>
          </w:tcPr>
          <w:p w14:paraId="57E5C515"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$654 M</w:t>
            </w:r>
          </w:p>
        </w:tc>
        <w:tc>
          <w:tcPr>
            <w:tcW w:w="2091" w:type="dxa"/>
          </w:tcPr>
          <w:p w14:paraId="24C6927E"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$588 M</w:t>
            </w:r>
          </w:p>
        </w:tc>
        <w:tc>
          <w:tcPr>
            <w:tcW w:w="1998" w:type="dxa"/>
          </w:tcPr>
          <w:p w14:paraId="70EEB9C5"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$1,038 M</w:t>
            </w:r>
          </w:p>
        </w:tc>
        <w:tc>
          <w:tcPr>
            <w:tcW w:w="1998" w:type="dxa"/>
          </w:tcPr>
          <w:p w14:paraId="1159BE25"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$931 M</w:t>
            </w:r>
          </w:p>
        </w:tc>
      </w:tr>
      <w:tr w:rsidR="00452B58" w:rsidRPr="00452B58" w14:paraId="1830B01C" w14:textId="77777777" w:rsidTr="00452B58">
        <w:trPr>
          <w:trHeight w:val="300"/>
        </w:trPr>
        <w:tc>
          <w:tcPr>
            <w:tcW w:w="1553" w:type="dxa"/>
            <w:noWrap/>
            <w:hideMark/>
          </w:tcPr>
          <w:p w14:paraId="48873FA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costs</w:t>
            </w:r>
          </w:p>
        </w:tc>
        <w:tc>
          <w:tcPr>
            <w:tcW w:w="1998" w:type="dxa"/>
            <w:noWrap/>
          </w:tcPr>
          <w:p w14:paraId="07A0E293"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$334 M</w:t>
            </w:r>
          </w:p>
        </w:tc>
        <w:tc>
          <w:tcPr>
            <w:tcW w:w="2091" w:type="dxa"/>
          </w:tcPr>
          <w:p w14:paraId="4220E823"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$289 M</w:t>
            </w:r>
          </w:p>
        </w:tc>
        <w:tc>
          <w:tcPr>
            <w:tcW w:w="1998" w:type="dxa"/>
          </w:tcPr>
          <w:p w14:paraId="03764C2D"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$321 M</w:t>
            </w:r>
          </w:p>
        </w:tc>
        <w:tc>
          <w:tcPr>
            <w:tcW w:w="1998" w:type="dxa"/>
          </w:tcPr>
          <w:p w14:paraId="6C551C6F"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$275 M</w:t>
            </w:r>
          </w:p>
        </w:tc>
      </w:tr>
      <w:tr w:rsidR="00452B58" w:rsidRPr="00452B58" w14:paraId="260567A1" w14:textId="77777777" w:rsidTr="00452B58">
        <w:trPr>
          <w:trHeight w:val="300"/>
        </w:trPr>
        <w:tc>
          <w:tcPr>
            <w:tcW w:w="1553" w:type="dxa"/>
            <w:noWrap/>
            <w:hideMark/>
          </w:tcPr>
          <w:p w14:paraId="1EE0D74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benefits</w:t>
            </w:r>
          </w:p>
        </w:tc>
        <w:tc>
          <w:tcPr>
            <w:tcW w:w="1998" w:type="dxa"/>
            <w:noWrap/>
          </w:tcPr>
          <w:p w14:paraId="32B05022"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$988 M</w:t>
            </w:r>
          </w:p>
        </w:tc>
        <w:tc>
          <w:tcPr>
            <w:tcW w:w="2091" w:type="dxa"/>
          </w:tcPr>
          <w:p w14:paraId="30FEF3CE"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$877 M</w:t>
            </w:r>
          </w:p>
        </w:tc>
        <w:tc>
          <w:tcPr>
            <w:tcW w:w="1998" w:type="dxa"/>
          </w:tcPr>
          <w:p w14:paraId="3FDBFC4E"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$1,360 M</w:t>
            </w:r>
          </w:p>
        </w:tc>
        <w:tc>
          <w:tcPr>
            <w:tcW w:w="1998" w:type="dxa"/>
          </w:tcPr>
          <w:p w14:paraId="756B0756" w14:textId="77777777"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$1,206 M</w:t>
            </w:r>
          </w:p>
        </w:tc>
      </w:tr>
    </w:tbl>
    <w:p w14:paraId="386548D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0A8CA5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All analysis options show a favourable outcome with benefits outweighing costs.  The ratio of benefits to costs seems to be tied to the amount of widening rather than whether trailers are included or not, but the Net Present Value is approximately 11% greater in Options 1 and 3 where trailers are included. </w:t>
      </w:r>
    </w:p>
    <w:p w14:paraId="0666F16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key drivers of benefit are the safety impact of wider vehicles due to reduced trips (i.e. crash exposure) and their adoption of mandatory safety features (i.e. crash reduction).</w:t>
      </w:r>
    </w:p>
    <w:p w14:paraId="3646C931" w14:textId="77777777" w:rsidR="00452B58" w:rsidRPr="00F2517A" w:rsidRDefault="00452B58" w:rsidP="00F2517A">
      <w:pPr>
        <w:pStyle w:val="ARRBBaseHeading2"/>
      </w:pPr>
      <w:bookmarkStart w:id="287" w:name="_Toc137731688"/>
      <w:r w:rsidRPr="00F2517A">
        <w:t>Sensitivity Analysis</w:t>
      </w:r>
      <w:bookmarkEnd w:id="287"/>
    </w:p>
    <w:p w14:paraId="54A1240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sensitivity analysis provides insight into some of the aspects of the analysis where there is a lack of data for the parameters included in the main analysis, as well as indicating how sensitive the results are to variations of key parameters.</w:t>
      </w:r>
    </w:p>
    <w:p w14:paraId="44F1235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each of the sensitivity tests undertaken below, the parameter values are increased or decreased relative to the main analysis. No value judgement is made as to whether a higher or lower result is a better outcome.</w:t>
      </w:r>
    </w:p>
    <w:p w14:paraId="71E4F2C1" w14:textId="51E8327F"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xml:space="preserve"> shows the sensitivity of the results to the discount rate, which varies from 10% to 3 %, around the main analysis value of 7%.</w:t>
      </w:r>
    </w:p>
    <w:p w14:paraId="7741BA84" w14:textId="6C55E63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8" w:name="_Ref110850526"/>
      <w:bookmarkStart w:id="289" w:name="_Toc117646418"/>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28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discount rate for vehicle widening options</w:t>
      </w:r>
      <w:bookmarkEnd w:id="289"/>
    </w:p>
    <w:tbl>
      <w:tblPr>
        <w:tblStyle w:val="ARRBTableStyle"/>
        <w:tblW w:w="9639" w:type="dxa"/>
        <w:tblLook w:val="04A0" w:firstRow="1" w:lastRow="0" w:firstColumn="1" w:lastColumn="0" w:noHBand="0" w:noVBand="1"/>
      </w:tblPr>
      <w:tblGrid>
        <w:gridCol w:w="960"/>
        <w:gridCol w:w="2159"/>
        <w:gridCol w:w="709"/>
        <w:gridCol w:w="2268"/>
        <w:gridCol w:w="708"/>
        <w:gridCol w:w="2127"/>
        <w:gridCol w:w="708"/>
      </w:tblGrid>
      <w:tr w:rsidR="00452B58" w:rsidRPr="00452B58" w14:paraId="71DA33E7"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2F9D431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868" w:type="dxa"/>
            <w:gridSpan w:val="2"/>
            <w:tcBorders>
              <w:left w:val="single" w:sz="8" w:space="0" w:color="FFFFFF"/>
              <w:bottom w:val="single" w:sz="8" w:space="0" w:color="FFFFFF"/>
            </w:tcBorders>
            <w:noWrap/>
            <w:hideMark/>
          </w:tcPr>
          <w:p w14:paraId="3F232A1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10%</w:t>
            </w:r>
          </w:p>
        </w:tc>
        <w:tc>
          <w:tcPr>
            <w:tcW w:w="2976" w:type="dxa"/>
            <w:gridSpan w:val="2"/>
            <w:tcBorders>
              <w:bottom w:val="single" w:sz="8" w:space="0" w:color="FFFFFF"/>
            </w:tcBorders>
            <w:noWrap/>
            <w:hideMark/>
          </w:tcPr>
          <w:p w14:paraId="431357D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7%</w:t>
            </w:r>
          </w:p>
        </w:tc>
        <w:tc>
          <w:tcPr>
            <w:tcW w:w="2835" w:type="dxa"/>
            <w:gridSpan w:val="2"/>
            <w:tcBorders>
              <w:bottom w:val="single" w:sz="8" w:space="0" w:color="FFFFFF"/>
            </w:tcBorders>
            <w:noWrap/>
            <w:hideMark/>
          </w:tcPr>
          <w:p w14:paraId="581D29D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3%</w:t>
            </w:r>
          </w:p>
        </w:tc>
      </w:tr>
      <w:tr w:rsidR="00452B58" w:rsidRPr="00452B58" w14:paraId="370ABF3B" w14:textId="77777777" w:rsidTr="00452B58">
        <w:trPr>
          <w:trHeight w:val="300"/>
        </w:trPr>
        <w:tc>
          <w:tcPr>
            <w:tcW w:w="960" w:type="dxa"/>
            <w:vMerge/>
            <w:tcBorders>
              <w:right w:val="single" w:sz="8" w:space="0" w:color="FFFFFF"/>
            </w:tcBorders>
            <w:hideMark/>
          </w:tcPr>
          <w:p w14:paraId="5B06243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59" w:type="dxa"/>
            <w:tcBorders>
              <w:top w:val="single" w:sz="8" w:space="0" w:color="FFFFFF"/>
              <w:left w:val="single" w:sz="8" w:space="0" w:color="FFFFFF"/>
              <w:right w:val="single" w:sz="8" w:space="0" w:color="FFFFFF"/>
            </w:tcBorders>
            <w:shd w:val="clear" w:color="auto" w:fill="00A1DE"/>
            <w:noWrap/>
            <w:hideMark/>
          </w:tcPr>
          <w:p w14:paraId="15A8699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9" w:type="dxa"/>
            <w:tcBorders>
              <w:top w:val="single" w:sz="8" w:space="0" w:color="FFFFFF"/>
              <w:left w:val="single" w:sz="8" w:space="0" w:color="FFFFFF"/>
              <w:right w:val="single" w:sz="8" w:space="0" w:color="FFFFFF"/>
            </w:tcBorders>
            <w:shd w:val="clear" w:color="auto" w:fill="00A1DE"/>
            <w:noWrap/>
            <w:hideMark/>
          </w:tcPr>
          <w:p w14:paraId="78E67E6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268" w:type="dxa"/>
            <w:tcBorders>
              <w:top w:val="single" w:sz="8" w:space="0" w:color="FFFFFF"/>
              <w:left w:val="single" w:sz="8" w:space="0" w:color="FFFFFF"/>
              <w:right w:val="single" w:sz="8" w:space="0" w:color="FFFFFF"/>
            </w:tcBorders>
            <w:shd w:val="clear" w:color="auto" w:fill="00A1DE"/>
            <w:noWrap/>
            <w:hideMark/>
          </w:tcPr>
          <w:p w14:paraId="3D8BD4A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8" w:type="dxa"/>
            <w:tcBorders>
              <w:left w:val="single" w:sz="8" w:space="0" w:color="FFFFFF"/>
              <w:right w:val="single" w:sz="8" w:space="0" w:color="FFFFFF"/>
            </w:tcBorders>
            <w:shd w:val="clear" w:color="auto" w:fill="00A1DE"/>
            <w:noWrap/>
            <w:hideMark/>
          </w:tcPr>
          <w:p w14:paraId="386A4DD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27" w:type="dxa"/>
            <w:tcBorders>
              <w:top w:val="single" w:sz="8" w:space="0" w:color="FFFFFF"/>
              <w:left w:val="single" w:sz="8" w:space="0" w:color="FFFFFF"/>
              <w:right w:val="single" w:sz="8" w:space="0" w:color="FFFFFF"/>
            </w:tcBorders>
            <w:shd w:val="clear" w:color="auto" w:fill="00A1DE"/>
            <w:noWrap/>
            <w:hideMark/>
          </w:tcPr>
          <w:p w14:paraId="6139AB1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8" w:type="dxa"/>
            <w:tcBorders>
              <w:top w:val="single" w:sz="8" w:space="0" w:color="FFFFFF"/>
              <w:left w:val="single" w:sz="8" w:space="0" w:color="FFFFFF"/>
            </w:tcBorders>
            <w:shd w:val="clear" w:color="auto" w:fill="00A1DE"/>
            <w:noWrap/>
            <w:hideMark/>
          </w:tcPr>
          <w:p w14:paraId="7C64833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35504E5D" w14:textId="77777777" w:rsidTr="00452B58">
        <w:trPr>
          <w:trHeight w:val="300"/>
        </w:trPr>
        <w:tc>
          <w:tcPr>
            <w:tcW w:w="960" w:type="dxa"/>
            <w:noWrap/>
            <w:hideMark/>
          </w:tcPr>
          <w:p w14:paraId="325703C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59" w:type="dxa"/>
            <w:noWrap/>
          </w:tcPr>
          <w:p w14:paraId="4F392F8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$372 M</w:t>
            </w:r>
          </w:p>
        </w:tc>
        <w:tc>
          <w:tcPr>
            <w:tcW w:w="709" w:type="dxa"/>
            <w:noWrap/>
          </w:tcPr>
          <w:p w14:paraId="5FE225E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c>
          <w:tcPr>
            <w:tcW w:w="2268" w:type="dxa"/>
            <w:noWrap/>
          </w:tcPr>
          <w:p w14:paraId="01D4645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708" w:type="dxa"/>
            <w:noWrap/>
          </w:tcPr>
          <w:p w14:paraId="4C1AF0A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27" w:type="dxa"/>
            <w:noWrap/>
          </w:tcPr>
          <w:p w14:paraId="408FA26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$1,497 M</w:t>
            </w:r>
          </w:p>
        </w:tc>
        <w:tc>
          <w:tcPr>
            <w:tcW w:w="708" w:type="dxa"/>
            <w:noWrap/>
          </w:tcPr>
          <w:p w14:paraId="6155D81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3.9</w:t>
            </w:r>
          </w:p>
        </w:tc>
      </w:tr>
      <w:tr w:rsidR="00452B58" w:rsidRPr="00452B58" w14:paraId="6B5DE456" w14:textId="77777777" w:rsidTr="00452B58">
        <w:trPr>
          <w:trHeight w:val="300"/>
        </w:trPr>
        <w:tc>
          <w:tcPr>
            <w:tcW w:w="960" w:type="dxa"/>
            <w:noWrap/>
            <w:hideMark/>
          </w:tcPr>
          <w:p w14:paraId="64DB155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59" w:type="dxa"/>
            <w:noWrap/>
          </w:tcPr>
          <w:p w14:paraId="43CF408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$338 M</w:t>
            </w:r>
          </w:p>
        </w:tc>
        <w:tc>
          <w:tcPr>
            <w:tcW w:w="709" w:type="dxa"/>
            <w:noWrap/>
          </w:tcPr>
          <w:p w14:paraId="00EAD67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2.6</w:t>
            </w:r>
          </w:p>
        </w:tc>
        <w:tc>
          <w:tcPr>
            <w:tcW w:w="2268" w:type="dxa"/>
            <w:noWrap/>
          </w:tcPr>
          <w:p w14:paraId="4C32EDF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708" w:type="dxa"/>
            <w:noWrap/>
          </w:tcPr>
          <w:p w14:paraId="58DF3EC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27" w:type="dxa"/>
            <w:noWrap/>
          </w:tcPr>
          <w:p w14:paraId="0777F96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$1,330 M</w:t>
            </w:r>
          </w:p>
        </w:tc>
        <w:tc>
          <w:tcPr>
            <w:tcW w:w="708" w:type="dxa"/>
            <w:noWrap/>
          </w:tcPr>
          <w:p w14:paraId="20A815E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14:paraId="6136C669" w14:textId="77777777" w:rsidTr="00452B58">
        <w:trPr>
          <w:trHeight w:val="300"/>
        </w:trPr>
        <w:tc>
          <w:tcPr>
            <w:tcW w:w="960" w:type="dxa"/>
            <w:noWrap/>
            <w:hideMark/>
          </w:tcPr>
          <w:p w14:paraId="0C0D9CC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59" w:type="dxa"/>
            <w:noWrap/>
          </w:tcPr>
          <w:p w14:paraId="014410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$611 M</w:t>
            </w:r>
          </w:p>
        </w:tc>
        <w:tc>
          <w:tcPr>
            <w:tcW w:w="709" w:type="dxa"/>
            <w:noWrap/>
          </w:tcPr>
          <w:p w14:paraId="2B2E5E2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3.5</w:t>
            </w:r>
          </w:p>
        </w:tc>
        <w:tc>
          <w:tcPr>
            <w:tcW w:w="2268" w:type="dxa"/>
            <w:noWrap/>
          </w:tcPr>
          <w:p w14:paraId="2CDFC28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708" w:type="dxa"/>
            <w:noWrap/>
          </w:tcPr>
          <w:p w14:paraId="1F36CD1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27" w:type="dxa"/>
            <w:noWrap/>
          </w:tcPr>
          <w:p w14:paraId="14678A5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$2298 M</w:t>
            </w:r>
          </w:p>
        </w:tc>
        <w:tc>
          <w:tcPr>
            <w:tcW w:w="708" w:type="dxa"/>
            <w:noWrap/>
          </w:tcPr>
          <w:p w14:paraId="63341C8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5.6</w:t>
            </w:r>
          </w:p>
        </w:tc>
      </w:tr>
      <w:tr w:rsidR="00452B58" w:rsidRPr="00452B58" w14:paraId="7581E477" w14:textId="77777777" w:rsidTr="00452B58">
        <w:trPr>
          <w:trHeight w:val="300"/>
        </w:trPr>
        <w:tc>
          <w:tcPr>
            <w:tcW w:w="960" w:type="dxa"/>
            <w:noWrap/>
            <w:hideMark/>
          </w:tcPr>
          <w:p w14:paraId="0D66933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59" w:type="dxa"/>
            <w:noWrap/>
          </w:tcPr>
          <w:p w14:paraId="3329B1F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$553 M</w:t>
            </w:r>
          </w:p>
        </w:tc>
        <w:tc>
          <w:tcPr>
            <w:tcW w:w="709" w:type="dxa"/>
            <w:noWrap/>
          </w:tcPr>
          <w:p w14:paraId="619D318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3.7</w:t>
            </w:r>
          </w:p>
        </w:tc>
        <w:tc>
          <w:tcPr>
            <w:tcW w:w="2268" w:type="dxa"/>
            <w:noWrap/>
          </w:tcPr>
          <w:p w14:paraId="668248A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708" w:type="dxa"/>
            <w:noWrap/>
          </w:tcPr>
          <w:p w14:paraId="2F2B3B5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27" w:type="dxa"/>
            <w:noWrap/>
          </w:tcPr>
          <w:p w14:paraId="2890435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$2039 M</w:t>
            </w:r>
          </w:p>
        </w:tc>
        <w:tc>
          <w:tcPr>
            <w:tcW w:w="708" w:type="dxa"/>
            <w:noWrap/>
          </w:tcPr>
          <w:p w14:paraId="41730B3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w:t>
            </w:r>
          </w:p>
        </w:tc>
      </w:tr>
    </w:tbl>
    <w:p w14:paraId="13269ED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BA98B6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discount rates.</w:t>
      </w:r>
    </w:p>
    <w:p w14:paraId="4254F52F" w14:textId="14A16F8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 xml:space="preserve"> shows the sensitivity of the results to the infrastructure update cost based on the minimal, voluntary response from road managers, which varies from $12 to $8 around the main analysis value of $10 (±20%).</w:t>
      </w:r>
    </w:p>
    <w:p w14:paraId="504EE9F5" w14:textId="3E28DA1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0" w:name="_Ref110850716"/>
      <w:bookmarkStart w:id="291" w:name="_Toc11764641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29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infrastructure update cost for vehicle widening options</w:t>
      </w:r>
      <w:bookmarkEnd w:id="291"/>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14:paraId="0A23447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7E724CB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14:paraId="01F529B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w:t>
            </w:r>
          </w:p>
        </w:tc>
        <w:tc>
          <w:tcPr>
            <w:tcW w:w="2714" w:type="dxa"/>
            <w:gridSpan w:val="2"/>
            <w:tcBorders>
              <w:bottom w:val="single" w:sz="8" w:space="0" w:color="FFFFFF"/>
            </w:tcBorders>
            <w:noWrap/>
            <w:hideMark/>
          </w:tcPr>
          <w:p w14:paraId="354D743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w:t>
            </w:r>
          </w:p>
        </w:tc>
        <w:tc>
          <w:tcPr>
            <w:tcW w:w="2960" w:type="dxa"/>
            <w:gridSpan w:val="2"/>
            <w:tcBorders>
              <w:bottom w:val="single" w:sz="8" w:space="0" w:color="FFFFFF"/>
            </w:tcBorders>
            <w:noWrap/>
            <w:hideMark/>
          </w:tcPr>
          <w:p w14:paraId="776F7688"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w:t>
            </w:r>
          </w:p>
        </w:tc>
      </w:tr>
      <w:tr w:rsidR="00452B58" w:rsidRPr="00452B58" w14:paraId="3CB3BE65" w14:textId="77777777" w:rsidTr="00452B58">
        <w:trPr>
          <w:trHeight w:val="300"/>
        </w:trPr>
        <w:tc>
          <w:tcPr>
            <w:tcW w:w="960" w:type="dxa"/>
            <w:vMerge/>
            <w:tcBorders>
              <w:right w:val="single" w:sz="8" w:space="0" w:color="FFFFFF"/>
            </w:tcBorders>
            <w:hideMark/>
          </w:tcPr>
          <w:p w14:paraId="0606ECF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14:paraId="52BC8D4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683B6D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2609B00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5CB3655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6943C88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870713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2BA070C1" w14:textId="77777777" w:rsidTr="00452B58">
        <w:trPr>
          <w:trHeight w:val="300"/>
        </w:trPr>
        <w:tc>
          <w:tcPr>
            <w:tcW w:w="960" w:type="dxa"/>
            <w:noWrap/>
            <w:hideMark/>
          </w:tcPr>
          <w:p w14:paraId="569BEEC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14:paraId="37230F3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$650 M</w:t>
            </w:r>
          </w:p>
        </w:tc>
        <w:tc>
          <w:tcPr>
            <w:tcW w:w="607" w:type="dxa"/>
            <w:noWrap/>
          </w:tcPr>
          <w:p w14:paraId="570BBE8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c>
          <w:tcPr>
            <w:tcW w:w="2107" w:type="dxa"/>
            <w:noWrap/>
          </w:tcPr>
          <w:p w14:paraId="7898D2B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9D8FE5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4A12DB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$657 M</w:t>
            </w:r>
          </w:p>
        </w:tc>
        <w:tc>
          <w:tcPr>
            <w:tcW w:w="607" w:type="dxa"/>
            <w:noWrap/>
          </w:tcPr>
          <w:p w14:paraId="26627E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07381FD8" w14:textId="77777777" w:rsidTr="00452B58">
        <w:trPr>
          <w:trHeight w:val="300"/>
        </w:trPr>
        <w:tc>
          <w:tcPr>
            <w:tcW w:w="960" w:type="dxa"/>
            <w:noWrap/>
            <w:hideMark/>
          </w:tcPr>
          <w:p w14:paraId="4512718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14:paraId="6F9A4AF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$585 M</w:t>
            </w:r>
          </w:p>
        </w:tc>
        <w:tc>
          <w:tcPr>
            <w:tcW w:w="607" w:type="dxa"/>
            <w:noWrap/>
          </w:tcPr>
          <w:p w14:paraId="0D39E5E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0135AD8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034FE3E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AE5C03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$591 M</w:t>
            </w:r>
          </w:p>
        </w:tc>
        <w:tc>
          <w:tcPr>
            <w:tcW w:w="607" w:type="dxa"/>
            <w:noWrap/>
          </w:tcPr>
          <w:p w14:paraId="4B0B2FD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14:paraId="6A9B2056" w14:textId="77777777" w:rsidTr="00452B58">
        <w:trPr>
          <w:trHeight w:val="300"/>
        </w:trPr>
        <w:tc>
          <w:tcPr>
            <w:tcW w:w="960" w:type="dxa"/>
            <w:noWrap/>
            <w:hideMark/>
          </w:tcPr>
          <w:p w14:paraId="0F2A688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14:paraId="68F7D7D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$1,035 M</w:t>
            </w:r>
          </w:p>
        </w:tc>
        <w:tc>
          <w:tcPr>
            <w:tcW w:w="607" w:type="dxa"/>
            <w:noWrap/>
          </w:tcPr>
          <w:p w14:paraId="071FDE5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6CA1B93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134C999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7CAC87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$1,042 M</w:t>
            </w:r>
          </w:p>
        </w:tc>
        <w:tc>
          <w:tcPr>
            <w:tcW w:w="607" w:type="dxa"/>
            <w:noWrap/>
          </w:tcPr>
          <w:p w14:paraId="01DBDC3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14:paraId="0B9188C9" w14:textId="77777777" w:rsidTr="00452B58">
        <w:trPr>
          <w:trHeight w:val="300"/>
        </w:trPr>
        <w:tc>
          <w:tcPr>
            <w:tcW w:w="960" w:type="dxa"/>
            <w:noWrap/>
            <w:hideMark/>
          </w:tcPr>
          <w:p w14:paraId="5C34699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14:paraId="61C3E1B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$928 M</w:t>
            </w:r>
          </w:p>
        </w:tc>
        <w:tc>
          <w:tcPr>
            <w:tcW w:w="607" w:type="dxa"/>
            <w:noWrap/>
          </w:tcPr>
          <w:p w14:paraId="32B6AF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14:paraId="2573C34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65186CB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750F791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$934 M</w:t>
            </w:r>
          </w:p>
        </w:tc>
        <w:tc>
          <w:tcPr>
            <w:tcW w:w="607" w:type="dxa"/>
            <w:noWrap/>
          </w:tcPr>
          <w:p w14:paraId="6DA5C55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r>
    </w:tbl>
    <w:p w14:paraId="69392E3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1AE810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infrastructure update costs.</w:t>
      </w:r>
    </w:p>
    <w:p w14:paraId="2E986785" w14:textId="3B50DD91"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shows the sensitivity of the results to the safety feature costs, which varies from 120% to 80%, around the main analysis value of 100% (±20%).</w:t>
      </w:r>
    </w:p>
    <w:p w14:paraId="27C836D4" w14:textId="775943D5"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2" w:name="_Ref110850784"/>
      <w:bookmarkStart w:id="293" w:name="_Toc11764642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29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the cost of safety features for vehicle widening options</w:t>
      </w:r>
      <w:bookmarkEnd w:id="293"/>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14:paraId="000A5F54"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46EC30DE"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14:paraId="6E1B83E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120%</w:t>
            </w:r>
          </w:p>
        </w:tc>
        <w:tc>
          <w:tcPr>
            <w:tcW w:w="2714" w:type="dxa"/>
            <w:gridSpan w:val="2"/>
            <w:tcBorders>
              <w:bottom w:val="single" w:sz="8" w:space="0" w:color="FFFFFF"/>
            </w:tcBorders>
            <w:noWrap/>
            <w:hideMark/>
          </w:tcPr>
          <w:p w14:paraId="30A0D55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100%</w:t>
            </w:r>
          </w:p>
        </w:tc>
        <w:tc>
          <w:tcPr>
            <w:tcW w:w="2960" w:type="dxa"/>
            <w:gridSpan w:val="2"/>
            <w:noWrap/>
            <w:hideMark/>
          </w:tcPr>
          <w:p w14:paraId="2524638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80%</w:t>
            </w:r>
          </w:p>
        </w:tc>
      </w:tr>
      <w:tr w:rsidR="00452B58" w:rsidRPr="00452B58" w14:paraId="13923622" w14:textId="77777777" w:rsidTr="00452B58">
        <w:trPr>
          <w:trHeight w:val="300"/>
        </w:trPr>
        <w:tc>
          <w:tcPr>
            <w:tcW w:w="960" w:type="dxa"/>
            <w:vMerge/>
            <w:tcBorders>
              <w:right w:val="single" w:sz="8" w:space="0" w:color="FFFFFF"/>
            </w:tcBorders>
            <w:hideMark/>
          </w:tcPr>
          <w:p w14:paraId="28F7B89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14:paraId="4272212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F6D91A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197A9DE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8" w:space="0" w:color="FFFFFF"/>
            </w:tcBorders>
            <w:shd w:val="clear" w:color="auto" w:fill="00A1DE"/>
            <w:noWrap/>
            <w:hideMark/>
          </w:tcPr>
          <w:p w14:paraId="10074FC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038D328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5AD7603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5287641B" w14:textId="77777777" w:rsidTr="00452B58">
        <w:trPr>
          <w:trHeight w:val="300"/>
        </w:trPr>
        <w:tc>
          <w:tcPr>
            <w:tcW w:w="960" w:type="dxa"/>
            <w:noWrap/>
            <w:hideMark/>
          </w:tcPr>
          <w:p w14:paraId="6B33734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14:paraId="2FD9EB6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$579 M</w:t>
            </w:r>
          </w:p>
        </w:tc>
        <w:tc>
          <w:tcPr>
            <w:tcW w:w="607" w:type="dxa"/>
            <w:noWrap/>
          </w:tcPr>
          <w:p w14:paraId="5628468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2.4</w:t>
            </w:r>
          </w:p>
        </w:tc>
        <w:tc>
          <w:tcPr>
            <w:tcW w:w="2107" w:type="dxa"/>
            <w:noWrap/>
          </w:tcPr>
          <w:p w14:paraId="6227664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C8C014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42198C7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$728 M</w:t>
            </w:r>
          </w:p>
        </w:tc>
        <w:tc>
          <w:tcPr>
            <w:tcW w:w="607" w:type="dxa"/>
            <w:noWrap/>
          </w:tcPr>
          <w:p w14:paraId="692F316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3.8</w:t>
            </w:r>
          </w:p>
        </w:tc>
      </w:tr>
      <w:tr w:rsidR="00452B58" w:rsidRPr="00452B58" w14:paraId="6BC21BE0" w14:textId="77777777" w:rsidTr="00452B58">
        <w:trPr>
          <w:trHeight w:val="300"/>
        </w:trPr>
        <w:tc>
          <w:tcPr>
            <w:tcW w:w="960" w:type="dxa"/>
            <w:noWrap/>
            <w:hideMark/>
          </w:tcPr>
          <w:p w14:paraId="2F184D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14:paraId="5259851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$521 M</w:t>
            </w:r>
          </w:p>
        </w:tc>
        <w:tc>
          <w:tcPr>
            <w:tcW w:w="607" w:type="dxa"/>
            <w:noWrap/>
          </w:tcPr>
          <w:p w14:paraId="4F53BD9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c>
          <w:tcPr>
            <w:tcW w:w="2107" w:type="dxa"/>
            <w:noWrap/>
          </w:tcPr>
          <w:p w14:paraId="5A9C20F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32A993E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E9BB52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$655 M</w:t>
            </w:r>
          </w:p>
        </w:tc>
        <w:tc>
          <w:tcPr>
            <w:tcW w:w="607" w:type="dxa"/>
            <w:noWrap/>
          </w:tcPr>
          <w:p w14:paraId="268231E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14:paraId="5EF6AF27" w14:textId="77777777" w:rsidTr="00452B58">
        <w:trPr>
          <w:trHeight w:val="300"/>
        </w:trPr>
        <w:tc>
          <w:tcPr>
            <w:tcW w:w="960" w:type="dxa"/>
            <w:noWrap/>
            <w:hideMark/>
          </w:tcPr>
          <w:p w14:paraId="10B444D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14:paraId="6EC24F5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$964 M</w:t>
            </w:r>
          </w:p>
        </w:tc>
        <w:tc>
          <w:tcPr>
            <w:tcW w:w="607" w:type="dxa"/>
            <w:noWrap/>
          </w:tcPr>
          <w:p w14:paraId="2F6B79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3.4</w:t>
            </w:r>
          </w:p>
        </w:tc>
        <w:tc>
          <w:tcPr>
            <w:tcW w:w="2107" w:type="dxa"/>
            <w:noWrap/>
          </w:tcPr>
          <w:p w14:paraId="491D3D5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01C7BD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66B2320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$1,113 M</w:t>
            </w:r>
          </w:p>
        </w:tc>
        <w:tc>
          <w:tcPr>
            <w:tcW w:w="607" w:type="dxa"/>
            <w:noWrap/>
          </w:tcPr>
          <w:p w14:paraId="5D35407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w:t>
            </w:r>
          </w:p>
        </w:tc>
      </w:tr>
      <w:tr w:rsidR="00452B58" w:rsidRPr="00452B58" w14:paraId="56144FA0" w14:textId="77777777" w:rsidTr="00452B58">
        <w:trPr>
          <w:trHeight w:val="300"/>
        </w:trPr>
        <w:tc>
          <w:tcPr>
            <w:tcW w:w="960" w:type="dxa"/>
            <w:noWrap/>
            <w:hideMark/>
          </w:tcPr>
          <w:p w14:paraId="38AA658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14:paraId="7C05B74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$864 M</w:t>
            </w:r>
          </w:p>
        </w:tc>
        <w:tc>
          <w:tcPr>
            <w:tcW w:w="607" w:type="dxa"/>
            <w:noWrap/>
          </w:tcPr>
          <w:p w14:paraId="0254B9F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3.5</w:t>
            </w:r>
          </w:p>
        </w:tc>
        <w:tc>
          <w:tcPr>
            <w:tcW w:w="2107" w:type="dxa"/>
            <w:noWrap/>
          </w:tcPr>
          <w:p w14:paraId="07701CB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730A715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72AB3E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$998 M</w:t>
            </w:r>
          </w:p>
        </w:tc>
        <w:tc>
          <w:tcPr>
            <w:tcW w:w="607" w:type="dxa"/>
            <w:noWrap/>
          </w:tcPr>
          <w:p w14:paraId="2E7B951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w:t>
            </w:r>
          </w:p>
        </w:tc>
      </w:tr>
    </w:tbl>
    <w:p w14:paraId="643FA20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83734B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safety feature costs.</w:t>
      </w:r>
    </w:p>
    <w:p w14:paraId="78EE3255" w14:textId="15D5B5B9"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 xml:space="preserve"> shows the sensitivity of the results to the vehicle and trailer growth rates, which vary from 3% and 4% respectively, to 1% and 2.6%, around the main analysis value of 2% and 3.3% (±20%).</w:t>
      </w:r>
    </w:p>
    <w:p w14:paraId="650DEFC5" w14:textId="78CE360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4" w:name="_Ref110850912"/>
      <w:bookmarkStart w:id="295" w:name="_Toc117646421"/>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bookmarkEnd w:id="29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projected total fleet annual growth rates for vehicle and trailer widening options</w:t>
      </w:r>
      <w:bookmarkEnd w:id="295"/>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14:paraId="5B2B77F6"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62B4535F"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14:paraId="3AEF588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4%</w:t>
            </w:r>
          </w:p>
        </w:tc>
        <w:tc>
          <w:tcPr>
            <w:tcW w:w="2714" w:type="dxa"/>
            <w:gridSpan w:val="2"/>
            <w:tcBorders>
              <w:bottom w:val="single" w:sz="8" w:space="0" w:color="FFFFFF"/>
            </w:tcBorders>
            <w:noWrap/>
            <w:hideMark/>
          </w:tcPr>
          <w:p w14:paraId="0B24E86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3.3%</w:t>
            </w:r>
          </w:p>
        </w:tc>
        <w:tc>
          <w:tcPr>
            <w:tcW w:w="2960" w:type="dxa"/>
            <w:gridSpan w:val="2"/>
            <w:noWrap/>
            <w:hideMark/>
          </w:tcPr>
          <w:p w14:paraId="21F550D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2.6%</w:t>
            </w:r>
          </w:p>
        </w:tc>
      </w:tr>
      <w:tr w:rsidR="00452B58" w:rsidRPr="00452B58" w14:paraId="07D41DBC" w14:textId="77777777" w:rsidTr="00452B58">
        <w:trPr>
          <w:trHeight w:val="300"/>
        </w:trPr>
        <w:tc>
          <w:tcPr>
            <w:tcW w:w="960" w:type="dxa"/>
            <w:vMerge/>
            <w:tcBorders>
              <w:right w:val="single" w:sz="8" w:space="0" w:color="FFFFFF"/>
            </w:tcBorders>
            <w:hideMark/>
          </w:tcPr>
          <w:p w14:paraId="2DA5FE1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14:paraId="5412B85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6D379E1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09B92EE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04822B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0A688A1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78581D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5D45FCD3" w14:textId="77777777" w:rsidTr="00452B58">
        <w:trPr>
          <w:trHeight w:val="300"/>
        </w:trPr>
        <w:tc>
          <w:tcPr>
            <w:tcW w:w="960" w:type="dxa"/>
            <w:noWrap/>
            <w:hideMark/>
          </w:tcPr>
          <w:p w14:paraId="6F8560F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14:paraId="6AE6530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$708 M</w:t>
            </w:r>
          </w:p>
        </w:tc>
        <w:tc>
          <w:tcPr>
            <w:tcW w:w="607" w:type="dxa"/>
            <w:noWrap/>
          </w:tcPr>
          <w:p w14:paraId="210CF9D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c>
          <w:tcPr>
            <w:tcW w:w="2107" w:type="dxa"/>
            <w:noWrap/>
          </w:tcPr>
          <w:p w14:paraId="09DA223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05EB7A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1CB7385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$605 M</w:t>
            </w:r>
          </w:p>
        </w:tc>
        <w:tc>
          <w:tcPr>
            <w:tcW w:w="607" w:type="dxa"/>
            <w:noWrap/>
          </w:tcPr>
          <w:p w14:paraId="3BF9127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58DC234A" w14:textId="77777777" w:rsidTr="00452B58">
        <w:trPr>
          <w:trHeight w:val="300"/>
        </w:trPr>
        <w:tc>
          <w:tcPr>
            <w:tcW w:w="960" w:type="dxa"/>
            <w:noWrap/>
            <w:hideMark/>
          </w:tcPr>
          <w:p w14:paraId="6101213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14:paraId="036315E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$638 M</w:t>
            </w:r>
          </w:p>
        </w:tc>
        <w:tc>
          <w:tcPr>
            <w:tcW w:w="607" w:type="dxa"/>
            <w:noWrap/>
          </w:tcPr>
          <w:p w14:paraId="0B4C85E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11BABFB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4459E1E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473BBED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$544 M</w:t>
            </w:r>
          </w:p>
        </w:tc>
        <w:tc>
          <w:tcPr>
            <w:tcW w:w="607" w:type="dxa"/>
            <w:noWrap/>
          </w:tcPr>
          <w:p w14:paraId="5A1453B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14:paraId="393024F2" w14:textId="77777777" w:rsidTr="00452B58">
        <w:trPr>
          <w:trHeight w:val="300"/>
        </w:trPr>
        <w:tc>
          <w:tcPr>
            <w:tcW w:w="960" w:type="dxa"/>
            <w:noWrap/>
            <w:hideMark/>
          </w:tcPr>
          <w:p w14:paraId="1042B43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14:paraId="6A09404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$1,131 M</w:t>
            </w:r>
          </w:p>
        </w:tc>
        <w:tc>
          <w:tcPr>
            <w:tcW w:w="607" w:type="dxa"/>
            <w:noWrap/>
          </w:tcPr>
          <w:p w14:paraId="7FF3E5D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c>
          <w:tcPr>
            <w:tcW w:w="2107" w:type="dxa"/>
            <w:noWrap/>
          </w:tcPr>
          <w:p w14:paraId="4AC65C1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6C72A6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11B39C8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$954 M</w:t>
            </w:r>
          </w:p>
        </w:tc>
        <w:tc>
          <w:tcPr>
            <w:tcW w:w="607" w:type="dxa"/>
            <w:noWrap/>
          </w:tcPr>
          <w:p w14:paraId="32887D0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14:paraId="6AC4CC0B" w14:textId="77777777" w:rsidTr="00452B58">
        <w:trPr>
          <w:trHeight w:val="300"/>
        </w:trPr>
        <w:tc>
          <w:tcPr>
            <w:tcW w:w="960" w:type="dxa"/>
            <w:noWrap/>
            <w:hideMark/>
          </w:tcPr>
          <w:p w14:paraId="0706176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14:paraId="0FBBB85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$1,016 M</w:t>
            </w:r>
          </w:p>
        </w:tc>
        <w:tc>
          <w:tcPr>
            <w:tcW w:w="607" w:type="dxa"/>
            <w:noWrap/>
          </w:tcPr>
          <w:p w14:paraId="2F9A80E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14:paraId="554FB4F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6DDF726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3033C19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$854 M</w:t>
            </w:r>
          </w:p>
        </w:tc>
        <w:tc>
          <w:tcPr>
            <w:tcW w:w="607" w:type="dxa"/>
            <w:noWrap/>
          </w:tcPr>
          <w:p w14:paraId="4C977DE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4.5</w:t>
            </w:r>
          </w:p>
        </w:tc>
      </w:tr>
    </w:tbl>
    <w:p w14:paraId="1AD4C1C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F19B10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growth rates.</w:t>
      </w:r>
    </w:p>
    <w:p w14:paraId="47AA1271" w14:textId="113E5EB0"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 xml:space="preserve"> shows the sensitivity of the results to the efficacy of the safety features as expressed through the crash reduction factors, each value of which are varied by ±20%. </w:t>
      </w:r>
    </w:p>
    <w:p w14:paraId="62926745" w14:textId="4EADBAD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6" w:name="_Ref110851236"/>
      <w:bookmarkStart w:id="297" w:name="_Toc117646422"/>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bookmarkEnd w:id="296"/>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in crash reduction factors (effectiveness of safety features)</w:t>
      </w:r>
      <w:bookmarkEnd w:id="297"/>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3B5138A3"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2590A35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tcBorders>
            <w:noWrap/>
            <w:hideMark/>
          </w:tcPr>
          <w:p w14:paraId="38D67827"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120%</w:t>
            </w:r>
          </w:p>
        </w:tc>
        <w:tc>
          <w:tcPr>
            <w:tcW w:w="2714" w:type="dxa"/>
            <w:gridSpan w:val="2"/>
            <w:noWrap/>
            <w:hideMark/>
          </w:tcPr>
          <w:p w14:paraId="16CC313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100%</w:t>
            </w:r>
          </w:p>
        </w:tc>
        <w:tc>
          <w:tcPr>
            <w:tcW w:w="2960" w:type="dxa"/>
            <w:gridSpan w:val="2"/>
            <w:noWrap/>
            <w:hideMark/>
          </w:tcPr>
          <w:p w14:paraId="32888B3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80%</w:t>
            </w:r>
          </w:p>
        </w:tc>
      </w:tr>
      <w:tr w:rsidR="00452B58" w:rsidRPr="00452B58" w14:paraId="507976A0" w14:textId="77777777" w:rsidTr="00452B58">
        <w:trPr>
          <w:trHeight w:val="300"/>
        </w:trPr>
        <w:tc>
          <w:tcPr>
            <w:tcW w:w="960" w:type="dxa"/>
            <w:vMerge/>
            <w:tcBorders>
              <w:right w:val="single" w:sz="8" w:space="0" w:color="FFFFFF"/>
            </w:tcBorders>
            <w:hideMark/>
          </w:tcPr>
          <w:p w14:paraId="35F68A8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left w:val="single" w:sz="8" w:space="0" w:color="FFFFFF"/>
              <w:right w:val="single" w:sz="8" w:space="0" w:color="FFFFFF"/>
            </w:tcBorders>
            <w:shd w:val="clear" w:color="auto" w:fill="00A1DE"/>
            <w:noWrap/>
            <w:hideMark/>
          </w:tcPr>
          <w:p w14:paraId="4E2D113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left w:val="single" w:sz="8" w:space="0" w:color="FFFFFF"/>
              <w:right w:val="single" w:sz="8" w:space="0" w:color="FFFFFF"/>
            </w:tcBorders>
            <w:shd w:val="clear" w:color="auto" w:fill="00A1DE"/>
            <w:noWrap/>
            <w:hideMark/>
          </w:tcPr>
          <w:p w14:paraId="31F96ED3"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left w:val="single" w:sz="8" w:space="0" w:color="FFFFFF"/>
              <w:right w:val="single" w:sz="8" w:space="0" w:color="FFFFFF"/>
            </w:tcBorders>
            <w:shd w:val="clear" w:color="auto" w:fill="00A1DE"/>
            <w:noWrap/>
            <w:hideMark/>
          </w:tcPr>
          <w:p w14:paraId="491D6F5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8" w:space="0" w:color="FFFFFF"/>
            </w:tcBorders>
            <w:shd w:val="clear" w:color="auto" w:fill="00A1DE"/>
            <w:noWrap/>
            <w:hideMark/>
          </w:tcPr>
          <w:p w14:paraId="0944480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left w:val="single" w:sz="8" w:space="0" w:color="FFFFFF"/>
              <w:right w:val="single" w:sz="8" w:space="0" w:color="FFFFFF"/>
            </w:tcBorders>
            <w:shd w:val="clear" w:color="auto" w:fill="00A1DE"/>
            <w:noWrap/>
            <w:hideMark/>
          </w:tcPr>
          <w:p w14:paraId="1B8BE09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4" w:space="0" w:color="8B8D8E"/>
            </w:tcBorders>
            <w:shd w:val="clear" w:color="auto" w:fill="00A1DE"/>
            <w:noWrap/>
            <w:hideMark/>
          </w:tcPr>
          <w:p w14:paraId="6034464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11A5322C" w14:textId="77777777" w:rsidTr="00452B58">
        <w:trPr>
          <w:trHeight w:val="300"/>
        </w:trPr>
        <w:tc>
          <w:tcPr>
            <w:tcW w:w="960" w:type="dxa"/>
            <w:noWrap/>
            <w:hideMark/>
          </w:tcPr>
          <w:p w14:paraId="5EC8A79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52D3744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$762 M</w:t>
            </w:r>
          </w:p>
        </w:tc>
        <w:tc>
          <w:tcPr>
            <w:tcW w:w="573" w:type="dxa"/>
            <w:noWrap/>
          </w:tcPr>
          <w:p w14:paraId="151F8DE6"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3.3</w:t>
            </w:r>
          </w:p>
        </w:tc>
        <w:tc>
          <w:tcPr>
            <w:tcW w:w="2107" w:type="dxa"/>
            <w:noWrap/>
          </w:tcPr>
          <w:p w14:paraId="7693717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1173E16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59C09A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$545 M</w:t>
            </w:r>
          </w:p>
        </w:tc>
        <w:tc>
          <w:tcPr>
            <w:tcW w:w="607" w:type="dxa"/>
            <w:tcBorders>
              <w:right w:val="single" w:sz="4" w:space="0" w:color="8B8D8E"/>
            </w:tcBorders>
            <w:noWrap/>
          </w:tcPr>
          <w:p w14:paraId="6E2B63E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w:t>
            </w:r>
          </w:p>
        </w:tc>
      </w:tr>
      <w:tr w:rsidR="00452B58" w:rsidRPr="00452B58" w14:paraId="476FB176" w14:textId="77777777" w:rsidTr="00452B58">
        <w:trPr>
          <w:trHeight w:val="300"/>
        </w:trPr>
        <w:tc>
          <w:tcPr>
            <w:tcW w:w="960" w:type="dxa"/>
            <w:noWrap/>
            <w:hideMark/>
          </w:tcPr>
          <w:p w14:paraId="098288F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6FCC5FE9"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$686 M</w:t>
            </w:r>
          </w:p>
        </w:tc>
        <w:tc>
          <w:tcPr>
            <w:tcW w:w="573" w:type="dxa"/>
            <w:noWrap/>
          </w:tcPr>
          <w:p w14:paraId="0E887019"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3.4</w:t>
            </w:r>
          </w:p>
        </w:tc>
        <w:tc>
          <w:tcPr>
            <w:tcW w:w="2107" w:type="dxa"/>
            <w:noWrap/>
          </w:tcPr>
          <w:p w14:paraId="23412BB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163649D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BBBB8D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$491 M</w:t>
            </w:r>
          </w:p>
        </w:tc>
        <w:tc>
          <w:tcPr>
            <w:tcW w:w="607" w:type="dxa"/>
            <w:noWrap/>
          </w:tcPr>
          <w:p w14:paraId="2BADD9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2.7</w:t>
            </w:r>
          </w:p>
        </w:tc>
      </w:tr>
      <w:tr w:rsidR="00452B58" w:rsidRPr="00452B58" w14:paraId="435CF80A" w14:textId="77777777" w:rsidTr="00452B58">
        <w:trPr>
          <w:trHeight w:val="300"/>
        </w:trPr>
        <w:tc>
          <w:tcPr>
            <w:tcW w:w="960" w:type="dxa"/>
            <w:noWrap/>
            <w:hideMark/>
          </w:tcPr>
          <w:p w14:paraId="22F7D9F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19722B0F"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$1,144 M</w:t>
            </w:r>
          </w:p>
        </w:tc>
        <w:tc>
          <w:tcPr>
            <w:tcW w:w="573" w:type="dxa"/>
            <w:noWrap/>
          </w:tcPr>
          <w:p w14:paraId="4BEA8CC1"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4.6</w:t>
            </w:r>
          </w:p>
        </w:tc>
        <w:tc>
          <w:tcPr>
            <w:tcW w:w="2107" w:type="dxa"/>
            <w:noWrap/>
          </w:tcPr>
          <w:p w14:paraId="0026AB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66958E8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12889F3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$933 M</w:t>
            </w:r>
          </w:p>
        </w:tc>
        <w:tc>
          <w:tcPr>
            <w:tcW w:w="607" w:type="dxa"/>
            <w:noWrap/>
          </w:tcPr>
          <w:p w14:paraId="1E51CE1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3.9</w:t>
            </w:r>
          </w:p>
        </w:tc>
      </w:tr>
      <w:tr w:rsidR="00452B58" w:rsidRPr="00452B58" w14:paraId="182EA914" w14:textId="77777777" w:rsidTr="00452B58">
        <w:trPr>
          <w:trHeight w:val="300"/>
        </w:trPr>
        <w:tc>
          <w:tcPr>
            <w:tcW w:w="960" w:type="dxa"/>
            <w:noWrap/>
            <w:hideMark/>
          </w:tcPr>
          <w:p w14:paraId="60A478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20B8D416"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$1,026 M</w:t>
            </w:r>
          </w:p>
        </w:tc>
        <w:tc>
          <w:tcPr>
            <w:tcW w:w="573" w:type="dxa"/>
            <w:noWrap/>
          </w:tcPr>
          <w:p w14:paraId="6DAD1945"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4.7</w:t>
            </w:r>
          </w:p>
        </w:tc>
        <w:tc>
          <w:tcPr>
            <w:tcW w:w="2107" w:type="dxa"/>
            <w:noWrap/>
          </w:tcPr>
          <w:p w14:paraId="24AF5EA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76CE3C5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60EE17D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$836 M</w:t>
            </w:r>
          </w:p>
        </w:tc>
        <w:tc>
          <w:tcPr>
            <w:tcW w:w="607" w:type="dxa"/>
            <w:noWrap/>
          </w:tcPr>
          <w:p w14:paraId="2914A5F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bl>
    <w:p w14:paraId="5119234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6B51C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safety feature efficacy.</w:t>
      </w:r>
    </w:p>
    <w:p w14:paraId="4C2D2A37" w14:textId="70EE20D4"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7</w:t>
      </w:r>
      <w:r w:rsidRPr="00452B58">
        <w:rPr>
          <w:rFonts w:ascii="Calibri" w:eastAsia="Calibri" w:hAnsi="Calibri" w:cs="Calibri"/>
          <w:color w:val="auto"/>
          <w:kern w:val="0"/>
          <w:sz w:val="22"/>
          <w:szCs w:val="22"/>
        </w:rPr>
        <w:t xml:space="preserve"> shows the sensitivity of the results to an increased or decreased crash risk for wider vehicles, included as -0.5 % and +0.5% respectively (see Appendix D for explanation of these quantities). </w:t>
      </w:r>
    </w:p>
    <w:p w14:paraId="7BB96189" w14:textId="0797D8F1"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8" w:name="_Ref117644920"/>
      <w:bookmarkStart w:id="299" w:name="_Toc117646423"/>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7</w:t>
      </w:r>
      <w:bookmarkEnd w:id="29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in Crash Risk for wider vehicles</w:t>
      </w:r>
      <w:bookmarkEnd w:id="299"/>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09178FFD"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11DFB1A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14:paraId="4DAEB79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by-0.5%</w:t>
            </w:r>
          </w:p>
        </w:tc>
        <w:tc>
          <w:tcPr>
            <w:tcW w:w="2714" w:type="dxa"/>
            <w:gridSpan w:val="2"/>
            <w:tcBorders>
              <w:bottom w:val="single" w:sz="8" w:space="0" w:color="FFFFFF"/>
            </w:tcBorders>
            <w:noWrap/>
            <w:hideMark/>
          </w:tcPr>
          <w:p w14:paraId="42C5317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0%</w:t>
            </w:r>
          </w:p>
        </w:tc>
        <w:tc>
          <w:tcPr>
            <w:tcW w:w="2960" w:type="dxa"/>
            <w:gridSpan w:val="2"/>
            <w:tcBorders>
              <w:bottom w:val="single" w:sz="8" w:space="0" w:color="FFFFFF"/>
            </w:tcBorders>
            <w:noWrap/>
            <w:hideMark/>
          </w:tcPr>
          <w:p w14:paraId="2207320B"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by 0.5%</w:t>
            </w:r>
          </w:p>
        </w:tc>
      </w:tr>
      <w:tr w:rsidR="00452B58" w:rsidRPr="00452B58" w14:paraId="3D6D73C3" w14:textId="77777777" w:rsidTr="00452B58">
        <w:trPr>
          <w:trHeight w:val="300"/>
        </w:trPr>
        <w:tc>
          <w:tcPr>
            <w:tcW w:w="960" w:type="dxa"/>
            <w:vMerge/>
            <w:tcBorders>
              <w:right w:val="single" w:sz="8" w:space="0" w:color="FFFFFF"/>
            </w:tcBorders>
            <w:hideMark/>
          </w:tcPr>
          <w:p w14:paraId="67FB950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39912F9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14:paraId="11DCA6D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58F8D21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5CA12D6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2E5788D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F2A1B7D"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3FE9FAAC" w14:textId="77777777" w:rsidTr="00452B58">
        <w:trPr>
          <w:trHeight w:val="300"/>
        </w:trPr>
        <w:tc>
          <w:tcPr>
            <w:tcW w:w="960" w:type="dxa"/>
            <w:noWrap/>
            <w:hideMark/>
          </w:tcPr>
          <w:p w14:paraId="2AFEC24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0A70E23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$721 M</w:t>
            </w:r>
          </w:p>
        </w:tc>
        <w:tc>
          <w:tcPr>
            <w:tcW w:w="573" w:type="dxa"/>
            <w:noWrap/>
          </w:tcPr>
          <w:p w14:paraId="27A3DE9B"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3.2</w:t>
            </w:r>
          </w:p>
        </w:tc>
        <w:tc>
          <w:tcPr>
            <w:tcW w:w="2107" w:type="dxa"/>
            <w:noWrap/>
          </w:tcPr>
          <w:p w14:paraId="549FACB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0CB28CA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8C9B84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$586 M</w:t>
            </w:r>
          </w:p>
        </w:tc>
        <w:tc>
          <w:tcPr>
            <w:tcW w:w="607" w:type="dxa"/>
            <w:noWrap/>
          </w:tcPr>
          <w:p w14:paraId="2DAF7A0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2.8</w:t>
            </w:r>
          </w:p>
        </w:tc>
      </w:tr>
      <w:tr w:rsidR="00452B58" w:rsidRPr="00452B58" w14:paraId="244F83E7" w14:textId="77777777" w:rsidTr="00452B58">
        <w:trPr>
          <w:trHeight w:val="300"/>
        </w:trPr>
        <w:tc>
          <w:tcPr>
            <w:tcW w:w="960" w:type="dxa"/>
            <w:noWrap/>
            <w:hideMark/>
          </w:tcPr>
          <w:p w14:paraId="0E4269E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24E6BA50"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$647 M</w:t>
            </w:r>
          </w:p>
        </w:tc>
        <w:tc>
          <w:tcPr>
            <w:tcW w:w="573" w:type="dxa"/>
            <w:noWrap/>
          </w:tcPr>
          <w:p w14:paraId="4286434A"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3.2</w:t>
            </w:r>
          </w:p>
        </w:tc>
        <w:tc>
          <w:tcPr>
            <w:tcW w:w="2107" w:type="dxa"/>
            <w:noWrap/>
          </w:tcPr>
          <w:p w14:paraId="33D0388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5614D0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77817A5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$530 M</w:t>
            </w:r>
          </w:p>
        </w:tc>
        <w:tc>
          <w:tcPr>
            <w:tcW w:w="607" w:type="dxa"/>
            <w:noWrap/>
          </w:tcPr>
          <w:p w14:paraId="3D3E910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2.8</w:t>
            </w:r>
          </w:p>
        </w:tc>
      </w:tr>
      <w:tr w:rsidR="00452B58" w:rsidRPr="00452B58" w14:paraId="34FD46D3" w14:textId="77777777" w:rsidTr="00452B58">
        <w:trPr>
          <w:trHeight w:val="300"/>
        </w:trPr>
        <w:tc>
          <w:tcPr>
            <w:tcW w:w="960" w:type="dxa"/>
            <w:noWrap/>
            <w:hideMark/>
          </w:tcPr>
          <w:p w14:paraId="1984092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795F63D8"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$1,106 M</w:t>
            </w:r>
          </w:p>
        </w:tc>
        <w:tc>
          <w:tcPr>
            <w:tcW w:w="573" w:type="dxa"/>
            <w:noWrap/>
          </w:tcPr>
          <w:p w14:paraId="5B865765"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4.4</w:t>
            </w:r>
          </w:p>
        </w:tc>
        <w:tc>
          <w:tcPr>
            <w:tcW w:w="2107" w:type="dxa"/>
            <w:noWrap/>
          </w:tcPr>
          <w:p w14:paraId="4BD3965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0F3B102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67E750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$971 M</w:t>
            </w:r>
          </w:p>
        </w:tc>
        <w:tc>
          <w:tcPr>
            <w:tcW w:w="607" w:type="dxa"/>
            <w:noWrap/>
          </w:tcPr>
          <w:p w14:paraId="30046E0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14:paraId="43D35C3D" w14:textId="77777777" w:rsidTr="00452B58">
        <w:trPr>
          <w:trHeight w:val="300"/>
        </w:trPr>
        <w:tc>
          <w:tcPr>
            <w:tcW w:w="960" w:type="dxa"/>
            <w:noWrap/>
            <w:hideMark/>
          </w:tcPr>
          <w:p w14:paraId="7392EF6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66F7520E"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$989 M</w:t>
            </w:r>
          </w:p>
        </w:tc>
        <w:tc>
          <w:tcPr>
            <w:tcW w:w="573" w:type="dxa"/>
            <w:noWrap/>
          </w:tcPr>
          <w:p w14:paraId="3913C4DE"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4.6</w:t>
            </w:r>
          </w:p>
        </w:tc>
        <w:tc>
          <w:tcPr>
            <w:tcW w:w="2107" w:type="dxa"/>
            <w:noWrap/>
          </w:tcPr>
          <w:p w14:paraId="4674541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77C9B45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101949B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$873 M</w:t>
            </w:r>
          </w:p>
        </w:tc>
        <w:tc>
          <w:tcPr>
            <w:tcW w:w="607" w:type="dxa"/>
            <w:noWrap/>
          </w:tcPr>
          <w:p w14:paraId="352E147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bl>
    <w:p w14:paraId="1E866F8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6720A1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This test shows that all the widening options remain economically viable even when there is a variation in crash risk for wider </w:t>
      </w:r>
      <w:proofErr w:type="spellStart"/>
      <w:r w:rsidRPr="00452B58">
        <w:rPr>
          <w:rFonts w:ascii="Calibri" w:eastAsia="Calibri" w:hAnsi="Calibri" w:cs="Calibri"/>
          <w:color w:val="auto"/>
          <w:kern w:val="0"/>
          <w:sz w:val="22"/>
          <w:szCs w:val="22"/>
        </w:rPr>
        <w:t>vehiicles</w:t>
      </w:r>
      <w:proofErr w:type="spellEnd"/>
      <w:r w:rsidRPr="00452B58">
        <w:rPr>
          <w:rFonts w:ascii="Calibri" w:eastAsia="Calibri" w:hAnsi="Calibri" w:cs="Calibri"/>
          <w:color w:val="auto"/>
          <w:kern w:val="0"/>
          <w:sz w:val="22"/>
          <w:szCs w:val="22"/>
        </w:rPr>
        <w:t>.</w:t>
      </w:r>
    </w:p>
    <w:p w14:paraId="7FFA62C8" w14:textId="584B79B2"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8</w:t>
      </w:r>
      <w:r w:rsidRPr="00452B58">
        <w:rPr>
          <w:rFonts w:ascii="Calibri" w:eastAsia="Calibri" w:hAnsi="Calibri" w:cs="Calibri"/>
          <w:color w:val="auto"/>
          <w:kern w:val="0"/>
          <w:sz w:val="22"/>
          <w:szCs w:val="22"/>
        </w:rPr>
        <w:t xml:space="preserve"> shows the sensitivity of the results to the supply of wider vehicles to the Australian market from Europe and the USA. These manufacturers are expected to quickly stop producing 2.50 m width models and only supply 2.55 and 2.60 m wide models (or chassis) over 1 to 3 years, around the main analysis value of 2 years. </w:t>
      </w:r>
    </w:p>
    <w:p w14:paraId="43AC7C9B" w14:textId="76DA311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0" w:name="_Ref110861831"/>
      <w:bookmarkStart w:id="301" w:name="_Toc117646424"/>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8</w:t>
      </w:r>
      <w:bookmarkEnd w:id="30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vehicles from Europe/USA for vehicle widening options</w:t>
      </w:r>
      <w:bookmarkEnd w:id="301"/>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7C1F8A33"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4B351A27"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4F392DD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years</w:t>
            </w:r>
          </w:p>
        </w:tc>
        <w:tc>
          <w:tcPr>
            <w:tcW w:w="2714" w:type="dxa"/>
            <w:gridSpan w:val="2"/>
            <w:tcBorders>
              <w:bottom w:val="single" w:sz="8" w:space="0" w:color="FFFFFF"/>
            </w:tcBorders>
            <w:noWrap/>
            <w:hideMark/>
          </w:tcPr>
          <w:p w14:paraId="5F9FC17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years</w:t>
            </w:r>
          </w:p>
        </w:tc>
        <w:tc>
          <w:tcPr>
            <w:tcW w:w="2960" w:type="dxa"/>
            <w:gridSpan w:val="2"/>
            <w:tcBorders>
              <w:bottom w:val="single" w:sz="8" w:space="0" w:color="FFFFFF"/>
            </w:tcBorders>
            <w:noWrap/>
            <w:hideMark/>
          </w:tcPr>
          <w:p w14:paraId="0ECD7C2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year</w:t>
            </w:r>
          </w:p>
        </w:tc>
      </w:tr>
      <w:tr w:rsidR="00452B58" w:rsidRPr="00452B58" w14:paraId="6F17EA82" w14:textId="77777777" w:rsidTr="00452B58">
        <w:trPr>
          <w:trHeight w:val="300"/>
        </w:trPr>
        <w:tc>
          <w:tcPr>
            <w:tcW w:w="960" w:type="dxa"/>
            <w:vMerge/>
            <w:tcBorders>
              <w:right w:val="single" w:sz="8" w:space="0" w:color="FFFFFF"/>
            </w:tcBorders>
            <w:hideMark/>
          </w:tcPr>
          <w:p w14:paraId="6105B7A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3363FFC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1E57406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144F104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3830519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30B76AA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0784074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6FE20794" w14:textId="77777777" w:rsidTr="00452B58">
        <w:trPr>
          <w:trHeight w:val="300"/>
        </w:trPr>
        <w:tc>
          <w:tcPr>
            <w:tcW w:w="960" w:type="dxa"/>
            <w:noWrap/>
            <w:hideMark/>
          </w:tcPr>
          <w:p w14:paraId="038C748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3E5EA60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noWrap/>
          </w:tcPr>
          <w:p w14:paraId="5014054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2B1A56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tcBorders>
              <w:right w:val="single" w:sz="8" w:space="0" w:color="FFFFFF"/>
            </w:tcBorders>
            <w:noWrap/>
          </w:tcPr>
          <w:p w14:paraId="2C79DA9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tcBorders>
              <w:left w:val="single" w:sz="8" w:space="0" w:color="FFFFFF"/>
            </w:tcBorders>
            <w:noWrap/>
          </w:tcPr>
          <w:p w14:paraId="59C3C1F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$665 M</w:t>
            </w:r>
          </w:p>
        </w:tc>
        <w:tc>
          <w:tcPr>
            <w:tcW w:w="607" w:type="dxa"/>
            <w:noWrap/>
          </w:tcPr>
          <w:p w14:paraId="45F5559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14:paraId="2F78D397" w14:textId="77777777" w:rsidTr="00452B58">
        <w:trPr>
          <w:trHeight w:val="300"/>
        </w:trPr>
        <w:tc>
          <w:tcPr>
            <w:tcW w:w="960" w:type="dxa"/>
            <w:noWrap/>
            <w:hideMark/>
          </w:tcPr>
          <w:p w14:paraId="4D49A4A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1D3ED6D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$573 M</w:t>
            </w:r>
          </w:p>
        </w:tc>
        <w:tc>
          <w:tcPr>
            <w:tcW w:w="607" w:type="dxa"/>
            <w:noWrap/>
          </w:tcPr>
          <w:p w14:paraId="0EC3C73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07BEB17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39AC1C2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1AC17EF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$599 M</w:t>
            </w:r>
          </w:p>
        </w:tc>
        <w:tc>
          <w:tcPr>
            <w:tcW w:w="607" w:type="dxa"/>
            <w:noWrap/>
          </w:tcPr>
          <w:p w14:paraId="0C302E9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128110DA" w14:textId="77777777" w:rsidTr="00452B58">
        <w:trPr>
          <w:trHeight w:val="300"/>
        </w:trPr>
        <w:tc>
          <w:tcPr>
            <w:tcW w:w="960" w:type="dxa"/>
            <w:noWrap/>
            <w:hideMark/>
          </w:tcPr>
          <w:p w14:paraId="495A152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1FEB70F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$1,015 M</w:t>
            </w:r>
          </w:p>
        </w:tc>
        <w:tc>
          <w:tcPr>
            <w:tcW w:w="607" w:type="dxa"/>
            <w:noWrap/>
          </w:tcPr>
          <w:p w14:paraId="265857E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2630A23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2CBF06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54D2396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$1,058 M</w:t>
            </w:r>
          </w:p>
        </w:tc>
        <w:tc>
          <w:tcPr>
            <w:tcW w:w="607" w:type="dxa"/>
            <w:noWrap/>
          </w:tcPr>
          <w:p w14:paraId="1FF198D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r w:rsidR="00452B58" w:rsidRPr="00452B58" w14:paraId="51F061BB" w14:textId="77777777" w:rsidTr="00452B58">
        <w:trPr>
          <w:trHeight w:val="300"/>
        </w:trPr>
        <w:tc>
          <w:tcPr>
            <w:tcW w:w="960" w:type="dxa"/>
            <w:noWrap/>
            <w:hideMark/>
          </w:tcPr>
          <w:p w14:paraId="7C703D2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78E6153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$908 M</w:t>
            </w:r>
          </w:p>
        </w:tc>
        <w:tc>
          <w:tcPr>
            <w:tcW w:w="607" w:type="dxa"/>
            <w:noWrap/>
          </w:tcPr>
          <w:p w14:paraId="2DC802E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07" w:type="dxa"/>
            <w:noWrap/>
          </w:tcPr>
          <w:p w14:paraId="6D23DC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13BD451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5F10A56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$950 M</w:t>
            </w:r>
          </w:p>
        </w:tc>
        <w:tc>
          <w:tcPr>
            <w:tcW w:w="607" w:type="dxa"/>
            <w:noWrap/>
          </w:tcPr>
          <w:p w14:paraId="1CA71C2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bl>
    <w:p w14:paraId="0DE2210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71A823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due to the short time frame.</w:t>
      </w:r>
    </w:p>
    <w:p w14:paraId="0F02E61B" w14:textId="1FF1EF9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9</w:t>
      </w:r>
      <w:r w:rsidRPr="00452B58">
        <w:rPr>
          <w:rFonts w:ascii="Calibri" w:eastAsia="Calibri" w:hAnsi="Calibri" w:cs="Calibri"/>
          <w:color w:val="auto"/>
          <w:kern w:val="0"/>
          <w:sz w:val="22"/>
          <w:szCs w:val="22"/>
        </w:rPr>
        <w:t xml:space="preserve"> shows the sensitivity of the results to the supply of wider vehicles to the Australian market from Japan and South Korea. These manufacturers provide 2.50 m wide vehicles and chassis to their own and other international markets and are therefore expected to gradually provide wider models (or chassis). The sensitivity numbers are 15 and 35 years, around the main analysis value of 25 years.</w:t>
      </w:r>
    </w:p>
    <w:p w14:paraId="7D425706" w14:textId="3955B51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2" w:name="_Ref110862097"/>
      <w:bookmarkStart w:id="303" w:name="_Toc117646425"/>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9</w:t>
      </w:r>
      <w:bookmarkEnd w:id="30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vehicles from Japan/South Korea for vehicle widening options</w:t>
      </w:r>
      <w:bookmarkEnd w:id="303"/>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47518151"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75116A6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382AE5F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35 years</w:t>
            </w:r>
          </w:p>
        </w:tc>
        <w:tc>
          <w:tcPr>
            <w:tcW w:w="2714" w:type="dxa"/>
            <w:gridSpan w:val="2"/>
            <w:tcBorders>
              <w:bottom w:val="single" w:sz="8" w:space="0" w:color="FFFFFF"/>
            </w:tcBorders>
            <w:noWrap/>
            <w:hideMark/>
          </w:tcPr>
          <w:p w14:paraId="60C5807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25 years</w:t>
            </w:r>
          </w:p>
        </w:tc>
        <w:tc>
          <w:tcPr>
            <w:tcW w:w="2960" w:type="dxa"/>
            <w:gridSpan w:val="2"/>
            <w:noWrap/>
            <w:hideMark/>
          </w:tcPr>
          <w:p w14:paraId="13DE0423"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15 years</w:t>
            </w:r>
          </w:p>
        </w:tc>
      </w:tr>
      <w:tr w:rsidR="00452B58" w:rsidRPr="00452B58" w14:paraId="0C959A54" w14:textId="77777777" w:rsidTr="00452B58">
        <w:trPr>
          <w:trHeight w:val="300"/>
        </w:trPr>
        <w:tc>
          <w:tcPr>
            <w:tcW w:w="960" w:type="dxa"/>
            <w:vMerge/>
            <w:tcBorders>
              <w:right w:val="single" w:sz="8" w:space="0" w:color="FFFFFF"/>
            </w:tcBorders>
            <w:hideMark/>
          </w:tcPr>
          <w:p w14:paraId="1CDAC8A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1050B2C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02E6EBF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6FF6FF4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71AC288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749AA20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B468CD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7CF25788" w14:textId="77777777" w:rsidTr="00452B58">
        <w:trPr>
          <w:trHeight w:val="300"/>
        </w:trPr>
        <w:tc>
          <w:tcPr>
            <w:tcW w:w="960" w:type="dxa"/>
            <w:noWrap/>
            <w:hideMark/>
          </w:tcPr>
          <w:p w14:paraId="624E3EF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6ED34BC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$622 M</w:t>
            </w:r>
          </w:p>
        </w:tc>
        <w:tc>
          <w:tcPr>
            <w:tcW w:w="607" w:type="dxa"/>
            <w:noWrap/>
          </w:tcPr>
          <w:p w14:paraId="3B0EB8E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3ED95FB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343B01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56BCE54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$729 M</w:t>
            </w:r>
          </w:p>
        </w:tc>
        <w:tc>
          <w:tcPr>
            <w:tcW w:w="607" w:type="dxa"/>
            <w:noWrap/>
          </w:tcPr>
          <w:p w14:paraId="27B59A6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7CDEA8CC" w14:textId="77777777" w:rsidTr="00452B58">
        <w:trPr>
          <w:trHeight w:val="300"/>
        </w:trPr>
        <w:tc>
          <w:tcPr>
            <w:tcW w:w="960" w:type="dxa"/>
            <w:noWrap/>
            <w:hideMark/>
          </w:tcPr>
          <w:p w14:paraId="7814F9F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57C722D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$556 M</w:t>
            </w:r>
          </w:p>
        </w:tc>
        <w:tc>
          <w:tcPr>
            <w:tcW w:w="607" w:type="dxa"/>
            <w:noWrap/>
          </w:tcPr>
          <w:p w14:paraId="0D9195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2517F36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22E246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5DA58BE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$663 M</w:t>
            </w:r>
          </w:p>
        </w:tc>
        <w:tc>
          <w:tcPr>
            <w:tcW w:w="607" w:type="dxa"/>
            <w:noWrap/>
          </w:tcPr>
          <w:p w14:paraId="32F5057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4F714EBD" w14:textId="77777777" w:rsidTr="00452B58">
        <w:trPr>
          <w:trHeight w:val="300"/>
        </w:trPr>
        <w:tc>
          <w:tcPr>
            <w:tcW w:w="960" w:type="dxa"/>
            <w:noWrap/>
            <w:hideMark/>
          </w:tcPr>
          <w:p w14:paraId="04FE97C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3611053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$987 M</w:t>
            </w:r>
          </w:p>
        </w:tc>
        <w:tc>
          <w:tcPr>
            <w:tcW w:w="607" w:type="dxa"/>
            <w:noWrap/>
          </w:tcPr>
          <w:p w14:paraId="4601954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45C8822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8362FA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11CF859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$1,158 M</w:t>
            </w:r>
          </w:p>
        </w:tc>
        <w:tc>
          <w:tcPr>
            <w:tcW w:w="607" w:type="dxa"/>
            <w:noWrap/>
          </w:tcPr>
          <w:p w14:paraId="6145D7B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r w:rsidR="00452B58" w:rsidRPr="00452B58" w14:paraId="37F99699" w14:textId="77777777" w:rsidTr="00452B58">
        <w:trPr>
          <w:trHeight w:val="300"/>
        </w:trPr>
        <w:tc>
          <w:tcPr>
            <w:tcW w:w="960" w:type="dxa"/>
            <w:noWrap/>
            <w:hideMark/>
          </w:tcPr>
          <w:p w14:paraId="48E6788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4CAAEB5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$879 M</w:t>
            </w:r>
          </w:p>
        </w:tc>
        <w:tc>
          <w:tcPr>
            <w:tcW w:w="607" w:type="dxa"/>
            <w:noWrap/>
          </w:tcPr>
          <w:p w14:paraId="54147F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07" w:type="dxa"/>
            <w:noWrap/>
          </w:tcPr>
          <w:p w14:paraId="317C1D2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0176752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387802F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$1,051 M</w:t>
            </w:r>
          </w:p>
        </w:tc>
        <w:tc>
          <w:tcPr>
            <w:tcW w:w="607" w:type="dxa"/>
            <w:noWrap/>
          </w:tcPr>
          <w:p w14:paraId="6F15F2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r>
    </w:tbl>
    <w:p w14:paraId="7D13400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68C1B3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20-year variation.</w:t>
      </w:r>
    </w:p>
    <w:p w14:paraId="27FD02B2" w14:textId="4B3C3A26"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10</w:t>
      </w:r>
      <w:r w:rsidRPr="00452B58">
        <w:rPr>
          <w:rFonts w:ascii="Calibri" w:eastAsia="Calibri" w:hAnsi="Calibri" w:cs="Calibri"/>
          <w:color w:val="auto"/>
          <w:kern w:val="0"/>
          <w:sz w:val="22"/>
          <w:szCs w:val="22"/>
        </w:rPr>
        <w:t xml:space="preserve"> shows the sensitivity of the results to the supply of wider vehicles from local body manufacturers. The sensitivity numbers are 5 and 25 years, around the main analysis value of 15 years.</w:t>
      </w:r>
    </w:p>
    <w:p w14:paraId="305D27DA" w14:textId="21CAECF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4" w:name="_Ref110868113"/>
      <w:bookmarkStart w:id="305" w:name="_Toc117646426"/>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10</w:t>
      </w:r>
      <w:bookmarkEnd w:id="30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Australian vehicle body builders for vehicle widening options</w:t>
      </w:r>
      <w:bookmarkEnd w:id="305"/>
    </w:p>
    <w:tbl>
      <w:tblPr>
        <w:tblStyle w:val="ARRBTableStyle"/>
        <w:tblW w:w="9628" w:type="dxa"/>
        <w:tblLook w:val="04A0" w:firstRow="1" w:lastRow="0" w:firstColumn="1" w:lastColumn="0" w:noHBand="0" w:noVBand="1"/>
      </w:tblPr>
      <w:tblGrid>
        <w:gridCol w:w="955"/>
        <w:gridCol w:w="2121"/>
        <w:gridCol w:w="907"/>
        <w:gridCol w:w="2095"/>
        <w:gridCol w:w="605"/>
        <w:gridCol w:w="2340"/>
        <w:gridCol w:w="605"/>
      </w:tblGrid>
      <w:tr w:rsidR="00452B58" w:rsidRPr="00452B58" w14:paraId="2E0AA85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55" w:type="dxa"/>
            <w:vMerge w:val="restart"/>
            <w:tcBorders>
              <w:right w:val="single" w:sz="8" w:space="0" w:color="FFFFFF"/>
            </w:tcBorders>
            <w:noWrap/>
            <w:hideMark/>
          </w:tcPr>
          <w:p w14:paraId="00CEB11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3028" w:type="dxa"/>
            <w:gridSpan w:val="2"/>
            <w:tcBorders>
              <w:left w:val="single" w:sz="8" w:space="0" w:color="FFFFFF"/>
              <w:bottom w:val="single" w:sz="8" w:space="0" w:color="FFFFFF"/>
            </w:tcBorders>
            <w:noWrap/>
            <w:hideMark/>
          </w:tcPr>
          <w:p w14:paraId="146C592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25 years</w:t>
            </w:r>
          </w:p>
        </w:tc>
        <w:tc>
          <w:tcPr>
            <w:tcW w:w="2700" w:type="dxa"/>
            <w:gridSpan w:val="2"/>
            <w:tcBorders>
              <w:bottom w:val="single" w:sz="8" w:space="0" w:color="FFFFFF"/>
            </w:tcBorders>
            <w:noWrap/>
            <w:hideMark/>
          </w:tcPr>
          <w:p w14:paraId="1BA4336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15 years</w:t>
            </w:r>
          </w:p>
        </w:tc>
        <w:tc>
          <w:tcPr>
            <w:tcW w:w="2945" w:type="dxa"/>
            <w:gridSpan w:val="2"/>
            <w:tcBorders>
              <w:bottom w:val="single" w:sz="8" w:space="0" w:color="FFFFFF"/>
            </w:tcBorders>
            <w:noWrap/>
            <w:hideMark/>
          </w:tcPr>
          <w:p w14:paraId="0555221F"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5 years</w:t>
            </w:r>
          </w:p>
        </w:tc>
      </w:tr>
      <w:tr w:rsidR="00452B58" w:rsidRPr="00452B58" w14:paraId="663A73BD" w14:textId="77777777" w:rsidTr="00452B58">
        <w:trPr>
          <w:trHeight w:val="300"/>
        </w:trPr>
        <w:tc>
          <w:tcPr>
            <w:tcW w:w="955" w:type="dxa"/>
            <w:vMerge/>
            <w:tcBorders>
              <w:right w:val="single" w:sz="8" w:space="0" w:color="FFFFFF"/>
            </w:tcBorders>
            <w:hideMark/>
          </w:tcPr>
          <w:p w14:paraId="69E9B03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21" w:type="dxa"/>
            <w:tcBorders>
              <w:top w:val="single" w:sz="8" w:space="0" w:color="FFFFFF"/>
              <w:left w:val="single" w:sz="8" w:space="0" w:color="FFFFFF"/>
              <w:right w:val="single" w:sz="8" w:space="0" w:color="FFFFFF"/>
            </w:tcBorders>
            <w:shd w:val="clear" w:color="auto" w:fill="00A1DE"/>
            <w:noWrap/>
            <w:hideMark/>
          </w:tcPr>
          <w:p w14:paraId="451B226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907" w:type="dxa"/>
            <w:tcBorders>
              <w:top w:val="single" w:sz="8" w:space="0" w:color="FFFFFF"/>
              <w:left w:val="single" w:sz="8" w:space="0" w:color="FFFFFF"/>
              <w:right w:val="single" w:sz="8" w:space="0" w:color="FFFFFF"/>
            </w:tcBorders>
            <w:shd w:val="clear" w:color="auto" w:fill="00A1DE"/>
            <w:noWrap/>
            <w:hideMark/>
          </w:tcPr>
          <w:p w14:paraId="3D03FD3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095" w:type="dxa"/>
            <w:tcBorders>
              <w:top w:val="single" w:sz="8" w:space="0" w:color="FFFFFF"/>
              <w:left w:val="single" w:sz="8" w:space="0" w:color="FFFFFF"/>
              <w:right w:val="single" w:sz="8" w:space="0" w:color="FFFFFF"/>
            </w:tcBorders>
            <w:shd w:val="clear" w:color="auto" w:fill="00A1DE"/>
            <w:noWrap/>
            <w:hideMark/>
          </w:tcPr>
          <w:p w14:paraId="5D17315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5" w:type="dxa"/>
            <w:tcBorders>
              <w:top w:val="single" w:sz="8" w:space="0" w:color="FFFFFF"/>
              <w:left w:val="single" w:sz="8" w:space="0" w:color="FFFFFF"/>
              <w:right w:val="single" w:sz="8" w:space="0" w:color="FFFFFF"/>
            </w:tcBorders>
            <w:shd w:val="clear" w:color="auto" w:fill="00A1DE"/>
            <w:noWrap/>
            <w:hideMark/>
          </w:tcPr>
          <w:p w14:paraId="5DCC3C6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40" w:type="dxa"/>
            <w:tcBorders>
              <w:top w:val="single" w:sz="8" w:space="0" w:color="FFFFFF"/>
              <w:left w:val="single" w:sz="8" w:space="0" w:color="FFFFFF"/>
              <w:right w:val="single" w:sz="8" w:space="0" w:color="FFFFFF"/>
            </w:tcBorders>
            <w:shd w:val="clear" w:color="auto" w:fill="00A1DE"/>
            <w:noWrap/>
            <w:hideMark/>
          </w:tcPr>
          <w:p w14:paraId="7F353F6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5" w:type="dxa"/>
            <w:tcBorders>
              <w:top w:val="single" w:sz="8" w:space="0" w:color="FFFFFF"/>
              <w:left w:val="single" w:sz="8" w:space="0" w:color="FFFFFF"/>
            </w:tcBorders>
            <w:shd w:val="clear" w:color="auto" w:fill="00A1DE"/>
            <w:noWrap/>
            <w:hideMark/>
          </w:tcPr>
          <w:p w14:paraId="38CE87B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6F23A448" w14:textId="77777777" w:rsidTr="00452B58">
        <w:trPr>
          <w:trHeight w:val="300"/>
        </w:trPr>
        <w:tc>
          <w:tcPr>
            <w:tcW w:w="955" w:type="dxa"/>
            <w:noWrap/>
            <w:hideMark/>
          </w:tcPr>
          <w:p w14:paraId="6B77133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21" w:type="dxa"/>
            <w:noWrap/>
          </w:tcPr>
          <w:p w14:paraId="5228307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$584 M</w:t>
            </w:r>
          </w:p>
        </w:tc>
        <w:tc>
          <w:tcPr>
            <w:tcW w:w="907" w:type="dxa"/>
            <w:noWrap/>
          </w:tcPr>
          <w:p w14:paraId="6AD8343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095" w:type="dxa"/>
            <w:noWrap/>
          </w:tcPr>
          <w:p w14:paraId="035762B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5" w:type="dxa"/>
            <w:noWrap/>
          </w:tcPr>
          <w:p w14:paraId="4A73E12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40" w:type="dxa"/>
            <w:noWrap/>
          </w:tcPr>
          <w:p w14:paraId="5A92402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$797 M</w:t>
            </w:r>
          </w:p>
        </w:tc>
        <w:tc>
          <w:tcPr>
            <w:tcW w:w="605" w:type="dxa"/>
            <w:noWrap/>
          </w:tcPr>
          <w:p w14:paraId="37B3287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41BCD8F4" w14:textId="77777777" w:rsidTr="00452B58">
        <w:trPr>
          <w:trHeight w:val="300"/>
        </w:trPr>
        <w:tc>
          <w:tcPr>
            <w:tcW w:w="955" w:type="dxa"/>
            <w:noWrap/>
            <w:hideMark/>
          </w:tcPr>
          <w:p w14:paraId="45625C8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21" w:type="dxa"/>
            <w:noWrap/>
          </w:tcPr>
          <w:p w14:paraId="6985C44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$518 M</w:t>
            </w:r>
          </w:p>
        </w:tc>
        <w:tc>
          <w:tcPr>
            <w:tcW w:w="907" w:type="dxa"/>
            <w:noWrap/>
          </w:tcPr>
          <w:p w14:paraId="4BC7819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095" w:type="dxa"/>
            <w:noWrap/>
          </w:tcPr>
          <w:p w14:paraId="3FC3D86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5" w:type="dxa"/>
            <w:noWrap/>
          </w:tcPr>
          <w:p w14:paraId="57527B2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40" w:type="dxa"/>
            <w:noWrap/>
          </w:tcPr>
          <w:p w14:paraId="124B71C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$732 M</w:t>
            </w:r>
          </w:p>
        </w:tc>
        <w:tc>
          <w:tcPr>
            <w:tcW w:w="605" w:type="dxa"/>
            <w:noWrap/>
          </w:tcPr>
          <w:p w14:paraId="73593E6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14:paraId="7E54B734" w14:textId="77777777" w:rsidTr="00452B58">
        <w:trPr>
          <w:trHeight w:val="300"/>
        </w:trPr>
        <w:tc>
          <w:tcPr>
            <w:tcW w:w="955" w:type="dxa"/>
            <w:noWrap/>
            <w:hideMark/>
          </w:tcPr>
          <w:p w14:paraId="04DBDE2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21" w:type="dxa"/>
            <w:noWrap/>
          </w:tcPr>
          <w:p w14:paraId="01E5A1D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$926 M</w:t>
            </w:r>
          </w:p>
        </w:tc>
        <w:tc>
          <w:tcPr>
            <w:tcW w:w="907" w:type="dxa"/>
            <w:noWrap/>
          </w:tcPr>
          <w:p w14:paraId="617F30C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095" w:type="dxa"/>
            <w:noWrap/>
          </w:tcPr>
          <w:p w14:paraId="677F943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5" w:type="dxa"/>
            <w:noWrap/>
          </w:tcPr>
          <w:p w14:paraId="2466FDB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40" w:type="dxa"/>
            <w:noWrap/>
          </w:tcPr>
          <w:p w14:paraId="1E20449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$1,261 M</w:t>
            </w:r>
          </w:p>
        </w:tc>
        <w:tc>
          <w:tcPr>
            <w:tcW w:w="605" w:type="dxa"/>
            <w:noWrap/>
          </w:tcPr>
          <w:p w14:paraId="56F489B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14:paraId="7868475C" w14:textId="77777777" w:rsidTr="00452B58">
        <w:trPr>
          <w:trHeight w:val="300"/>
        </w:trPr>
        <w:tc>
          <w:tcPr>
            <w:tcW w:w="955" w:type="dxa"/>
            <w:noWrap/>
            <w:hideMark/>
          </w:tcPr>
          <w:p w14:paraId="130531C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21" w:type="dxa"/>
            <w:noWrap/>
          </w:tcPr>
          <w:p w14:paraId="4953DB7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$818 M</w:t>
            </w:r>
          </w:p>
        </w:tc>
        <w:tc>
          <w:tcPr>
            <w:tcW w:w="907" w:type="dxa"/>
            <w:noWrap/>
          </w:tcPr>
          <w:p w14:paraId="3116355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095" w:type="dxa"/>
            <w:noWrap/>
          </w:tcPr>
          <w:p w14:paraId="3C09731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5" w:type="dxa"/>
            <w:noWrap/>
          </w:tcPr>
          <w:p w14:paraId="5192334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40" w:type="dxa"/>
            <w:noWrap/>
          </w:tcPr>
          <w:p w14:paraId="70C6A59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$1,154 M</w:t>
            </w:r>
          </w:p>
        </w:tc>
        <w:tc>
          <w:tcPr>
            <w:tcW w:w="605" w:type="dxa"/>
            <w:noWrap/>
          </w:tcPr>
          <w:p w14:paraId="0FCAF6B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4.5</w:t>
            </w:r>
          </w:p>
        </w:tc>
      </w:tr>
    </w:tbl>
    <w:p w14:paraId="5386960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D372D7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20-year variation.</w:t>
      </w:r>
    </w:p>
    <w:p w14:paraId="78D8FA29" w14:textId="0BABFB0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11</w:t>
      </w:r>
      <w:r w:rsidRPr="00452B58">
        <w:rPr>
          <w:rFonts w:ascii="Calibri" w:eastAsia="Calibri" w:hAnsi="Calibri" w:cs="Calibri"/>
          <w:color w:val="auto"/>
          <w:kern w:val="0"/>
          <w:sz w:val="22"/>
          <w:szCs w:val="22"/>
        </w:rPr>
        <w:t xml:space="preserve"> shows the sensitivity of the results to the supply of wider trailers from overseas manufacturers. The sensitivity numbers are 1 and 3 years, around the main analysis value of 2 years, reflecting the ability of these manufacturers to readily bring wider trailers to the Australian market.</w:t>
      </w:r>
    </w:p>
    <w:p w14:paraId="3701EA82" w14:textId="3BF91C2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6" w:name="_Ref110868291"/>
      <w:bookmarkStart w:id="307" w:name="_Toc117646427"/>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11</w:t>
      </w:r>
      <w:bookmarkEnd w:id="306"/>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imported trailers for vehicle widening options</w:t>
      </w:r>
      <w:bookmarkEnd w:id="307"/>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0B29E21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5F8E618E"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744166B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years</w:t>
            </w:r>
          </w:p>
        </w:tc>
        <w:tc>
          <w:tcPr>
            <w:tcW w:w="2714" w:type="dxa"/>
            <w:gridSpan w:val="2"/>
            <w:noWrap/>
            <w:hideMark/>
          </w:tcPr>
          <w:p w14:paraId="0C0F5EEB"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years</w:t>
            </w:r>
          </w:p>
        </w:tc>
        <w:tc>
          <w:tcPr>
            <w:tcW w:w="2960" w:type="dxa"/>
            <w:gridSpan w:val="2"/>
            <w:noWrap/>
            <w:hideMark/>
          </w:tcPr>
          <w:p w14:paraId="44B9136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year</w:t>
            </w:r>
          </w:p>
        </w:tc>
      </w:tr>
      <w:tr w:rsidR="00452B58" w:rsidRPr="00452B58" w14:paraId="0EC08ECD" w14:textId="77777777" w:rsidTr="00452B58">
        <w:trPr>
          <w:trHeight w:val="300"/>
        </w:trPr>
        <w:tc>
          <w:tcPr>
            <w:tcW w:w="960" w:type="dxa"/>
            <w:vMerge/>
            <w:tcBorders>
              <w:right w:val="single" w:sz="8" w:space="0" w:color="FFFFFF"/>
            </w:tcBorders>
            <w:hideMark/>
          </w:tcPr>
          <w:p w14:paraId="60D40C8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41F1BEBC"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722EF96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0F22CCB9"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451482B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3EE67D9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2B6CFA0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777D3842" w14:textId="77777777" w:rsidTr="00452B58">
        <w:trPr>
          <w:trHeight w:val="300"/>
        </w:trPr>
        <w:tc>
          <w:tcPr>
            <w:tcW w:w="960" w:type="dxa"/>
            <w:noWrap/>
            <w:hideMark/>
          </w:tcPr>
          <w:p w14:paraId="0C33010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1BBC1A8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$653 M</w:t>
            </w:r>
          </w:p>
        </w:tc>
        <w:tc>
          <w:tcPr>
            <w:tcW w:w="607" w:type="dxa"/>
            <w:noWrap/>
          </w:tcPr>
          <w:p w14:paraId="1A5184F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14:paraId="44675A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4C1792A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3F62141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$655 M</w:t>
            </w:r>
          </w:p>
        </w:tc>
        <w:tc>
          <w:tcPr>
            <w:tcW w:w="607" w:type="dxa"/>
            <w:noWrap/>
          </w:tcPr>
          <w:p w14:paraId="30A9A72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6FFC96B8" w14:textId="77777777" w:rsidTr="00452B58">
        <w:trPr>
          <w:trHeight w:val="300"/>
        </w:trPr>
        <w:tc>
          <w:tcPr>
            <w:tcW w:w="960" w:type="dxa"/>
            <w:noWrap/>
            <w:hideMark/>
          </w:tcPr>
          <w:p w14:paraId="19E440A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6491FA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$1,037 M</w:t>
            </w:r>
          </w:p>
        </w:tc>
        <w:tc>
          <w:tcPr>
            <w:tcW w:w="607" w:type="dxa"/>
            <w:noWrap/>
          </w:tcPr>
          <w:p w14:paraId="4F4B744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14:paraId="1CB98E8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159EBC9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05B5F95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$1,040 M</w:t>
            </w:r>
          </w:p>
        </w:tc>
        <w:tc>
          <w:tcPr>
            <w:tcW w:w="607" w:type="dxa"/>
            <w:noWrap/>
          </w:tcPr>
          <w:p w14:paraId="312B94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bl>
    <w:p w14:paraId="482EF6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A5D97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3-year variation, due to the short time frame and the initial very low market share.</w:t>
      </w:r>
    </w:p>
    <w:p w14:paraId="11944C8D" w14:textId="363375E3"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12</w:t>
      </w:r>
      <w:r w:rsidRPr="00452B58">
        <w:rPr>
          <w:rFonts w:ascii="Calibri" w:eastAsia="Calibri" w:hAnsi="Calibri" w:cs="Calibri"/>
          <w:color w:val="auto"/>
          <w:kern w:val="0"/>
          <w:sz w:val="22"/>
          <w:szCs w:val="22"/>
        </w:rPr>
        <w:t xml:space="preserve"> shows the sensitivity of the results to the supply of wider trailers from local manufacturers. The sensitivity numbers are 20 and 60 years, around the main analysis value of 40 years. This is a very large range to reflect the uncertainty in how quickly the local industry can respond.</w:t>
      </w:r>
    </w:p>
    <w:p w14:paraId="0149780C" w14:textId="3DBF41BB"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8" w:name="_Ref110868451"/>
      <w:bookmarkStart w:id="309" w:name="_Toc117646428"/>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12</w:t>
      </w:r>
      <w:bookmarkEnd w:id="30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locally manufactured trailers for vehicle widening options</w:t>
      </w:r>
      <w:bookmarkEnd w:id="309"/>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14:paraId="058E789B"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7A8F080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14:paraId="5C33B9B4"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60 years</w:t>
            </w:r>
          </w:p>
        </w:tc>
        <w:tc>
          <w:tcPr>
            <w:tcW w:w="2714" w:type="dxa"/>
            <w:gridSpan w:val="2"/>
            <w:tcBorders>
              <w:bottom w:val="single" w:sz="8" w:space="0" w:color="FFFFFF"/>
            </w:tcBorders>
            <w:noWrap/>
            <w:hideMark/>
          </w:tcPr>
          <w:p w14:paraId="47680695"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40 years</w:t>
            </w:r>
          </w:p>
        </w:tc>
        <w:tc>
          <w:tcPr>
            <w:tcW w:w="2960" w:type="dxa"/>
            <w:gridSpan w:val="2"/>
            <w:noWrap/>
            <w:hideMark/>
          </w:tcPr>
          <w:p w14:paraId="7CD153F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20 years</w:t>
            </w:r>
          </w:p>
        </w:tc>
      </w:tr>
      <w:tr w:rsidR="00452B58" w:rsidRPr="00452B58" w14:paraId="62D27290" w14:textId="77777777" w:rsidTr="00452B58">
        <w:trPr>
          <w:trHeight w:val="300"/>
        </w:trPr>
        <w:tc>
          <w:tcPr>
            <w:tcW w:w="960" w:type="dxa"/>
            <w:vMerge/>
            <w:tcBorders>
              <w:right w:val="single" w:sz="8" w:space="0" w:color="FFFFFF"/>
            </w:tcBorders>
            <w:hideMark/>
          </w:tcPr>
          <w:p w14:paraId="45B5985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62A3219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274D919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65D692CF"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73CB0A4E"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4F573CE2"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0C78F54"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797D41B0" w14:textId="77777777" w:rsidTr="00452B58">
        <w:trPr>
          <w:trHeight w:val="300"/>
        </w:trPr>
        <w:tc>
          <w:tcPr>
            <w:tcW w:w="960" w:type="dxa"/>
            <w:noWrap/>
            <w:hideMark/>
          </w:tcPr>
          <w:p w14:paraId="3E81F17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1A19B62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tcBorders>
              <w:right w:val="single" w:sz="8" w:space="0" w:color="8B8D8E"/>
            </w:tcBorders>
            <w:noWrap/>
          </w:tcPr>
          <w:p w14:paraId="676CDD8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tcBorders>
              <w:left w:val="single" w:sz="8" w:space="0" w:color="8B8D8E"/>
            </w:tcBorders>
            <w:noWrap/>
          </w:tcPr>
          <w:p w14:paraId="567BD0E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6709D24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7ED40B7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$698 M</w:t>
            </w:r>
          </w:p>
        </w:tc>
        <w:tc>
          <w:tcPr>
            <w:tcW w:w="607" w:type="dxa"/>
            <w:noWrap/>
          </w:tcPr>
          <w:p w14:paraId="27C988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14:paraId="3F7851F8" w14:textId="77777777" w:rsidTr="00452B58">
        <w:trPr>
          <w:trHeight w:val="300"/>
        </w:trPr>
        <w:tc>
          <w:tcPr>
            <w:tcW w:w="960" w:type="dxa"/>
            <w:noWrap/>
            <w:hideMark/>
          </w:tcPr>
          <w:p w14:paraId="554DE47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28436A7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$1,014 M</w:t>
            </w:r>
          </w:p>
        </w:tc>
        <w:tc>
          <w:tcPr>
            <w:tcW w:w="607" w:type="dxa"/>
            <w:tcBorders>
              <w:right w:val="single" w:sz="8" w:space="0" w:color="8B8D8E"/>
            </w:tcBorders>
            <w:noWrap/>
          </w:tcPr>
          <w:p w14:paraId="3D578BD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tcBorders>
              <w:left w:val="single" w:sz="8" w:space="0" w:color="8B8D8E"/>
            </w:tcBorders>
            <w:noWrap/>
          </w:tcPr>
          <w:p w14:paraId="629D0E5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3E3D4D1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50C371D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$1,111 M</w:t>
            </w:r>
          </w:p>
        </w:tc>
        <w:tc>
          <w:tcPr>
            <w:tcW w:w="607" w:type="dxa"/>
            <w:noWrap/>
          </w:tcPr>
          <w:p w14:paraId="74F393C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r>
    </w:tbl>
    <w:p w14:paraId="05ED5E8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E4F324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40-year variation, due to the dominant market share, which despite decreasing is modelled as remaining in the majority.</w:t>
      </w:r>
    </w:p>
    <w:p w14:paraId="3F49EA6C" w14:textId="7EA3A1C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13</w:t>
      </w:r>
      <w:r w:rsidRPr="00452B58">
        <w:rPr>
          <w:rFonts w:ascii="Calibri" w:eastAsia="Calibri" w:hAnsi="Calibri" w:cs="Calibri"/>
          <w:color w:val="auto"/>
          <w:kern w:val="0"/>
          <w:sz w:val="22"/>
          <w:szCs w:val="22"/>
        </w:rPr>
        <w:t xml:space="preserve"> shows the sensitivity of the results to variation in the freight task share of refrigerated vehicles. While refrigerated vehicles are considered to be a driver of immediate uptake of wider vehicles, they form a small part of the freight task in terms of laden km travelled (2% in the main analysis), varied from 1% to 3%.</w:t>
      </w:r>
    </w:p>
    <w:p w14:paraId="11B3167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7195EB" w14:textId="583C4E4A"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10" w:name="_Ref110873100"/>
      <w:bookmarkStart w:id="311" w:name="_Toc11764642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13</w:t>
      </w:r>
      <w:bookmarkEnd w:id="31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of refrigerated freight task</w:t>
      </w:r>
      <w:bookmarkEnd w:id="311"/>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587FA494"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0691252D"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14:paraId="094BE9C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w:t>
            </w:r>
          </w:p>
        </w:tc>
        <w:tc>
          <w:tcPr>
            <w:tcW w:w="2714" w:type="dxa"/>
            <w:gridSpan w:val="2"/>
            <w:tcBorders>
              <w:bottom w:val="single" w:sz="8" w:space="0" w:color="FFFFFF"/>
            </w:tcBorders>
            <w:noWrap/>
            <w:hideMark/>
          </w:tcPr>
          <w:p w14:paraId="4054DE4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w:t>
            </w:r>
          </w:p>
        </w:tc>
        <w:tc>
          <w:tcPr>
            <w:tcW w:w="2960" w:type="dxa"/>
            <w:gridSpan w:val="2"/>
            <w:tcBorders>
              <w:bottom w:val="single" w:sz="8" w:space="0" w:color="FFFFFF"/>
            </w:tcBorders>
            <w:noWrap/>
            <w:hideMark/>
          </w:tcPr>
          <w:p w14:paraId="12E0E36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w:t>
            </w:r>
          </w:p>
        </w:tc>
      </w:tr>
      <w:tr w:rsidR="00452B58" w:rsidRPr="00452B58" w14:paraId="45546BB4" w14:textId="77777777" w:rsidTr="00452B58">
        <w:trPr>
          <w:trHeight w:val="300"/>
        </w:trPr>
        <w:tc>
          <w:tcPr>
            <w:tcW w:w="960" w:type="dxa"/>
            <w:vMerge/>
            <w:tcBorders>
              <w:right w:val="single" w:sz="8" w:space="0" w:color="FFFFFF"/>
            </w:tcBorders>
            <w:hideMark/>
          </w:tcPr>
          <w:p w14:paraId="33D99F4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3EC034A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14:paraId="6EB06D3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015AB79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1040EE66"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260685CA"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6347675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020EFBB7" w14:textId="77777777" w:rsidTr="00452B58">
        <w:trPr>
          <w:trHeight w:val="300"/>
        </w:trPr>
        <w:tc>
          <w:tcPr>
            <w:tcW w:w="960" w:type="dxa"/>
            <w:noWrap/>
            <w:hideMark/>
          </w:tcPr>
          <w:p w14:paraId="52B4BA8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7A6564BF"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$674 M</w:t>
            </w:r>
          </w:p>
        </w:tc>
        <w:tc>
          <w:tcPr>
            <w:tcW w:w="573" w:type="dxa"/>
            <w:noWrap/>
          </w:tcPr>
          <w:p w14:paraId="1ED6F610"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3.0</w:t>
            </w:r>
          </w:p>
        </w:tc>
        <w:tc>
          <w:tcPr>
            <w:tcW w:w="2107" w:type="dxa"/>
            <w:noWrap/>
          </w:tcPr>
          <w:p w14:paraId="37AA95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262CEFD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24F94C3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$634 M</w:t>
            </w:r>
          </w:p>
        </w:tc>
        <w:tc>
          <w:tcPr>
            <w:tcW w:w="607" w:type="dxa"/>
            <w:noWrap/>
          </w:tcPr>
          <w:p w14:paraId="0AEEB12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14:paraId="68FF91ED" w14:textId="77777777" w:rsidTr="00452B58">
        <w:trPr>
          <w:trHeight w:val="300"/>
        </w:trPr>
        <w:tc>
          <w:tcPr>
            <w:tcW w:w="960" w:type="dxa"/>
            <w:noWrap/>
            <w:hideMark/>
          </w:tcPr>
          <w:p w14:paraId="13DB471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5E430C41"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$605 M</w:t>
            </w:r>
          </w:p>
        </w:tc>
        <w:tc>
          <w:tcPr>
            <w:tcW w:w="573" w:type="dxa"/>
            <w:noWrap/>
          </w:tcPr>
          <w:p w14:paraId="4D3A14B8"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3.1</w:t>
            </w:r>
          </w:p>
        </w:tc>
        <w:tc>
          <w:tcPr>
            <w:tcW w:w="2107" w:type="dxa"/>
            <w:noWrap/>
          </w:tcPr>
          <w:p w14:paraId="4839C16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6ABCFE6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6F78B6E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$571 M</w:t>
            </w:r>
          </w:p>
        </w:tc>
        <w:tc>
          <w:tcPr>
            <w:tcW w:w="607" w:type="dxa"/>
            <w:noWrap/>
          </w:tcPr>
          <w:p w14:paraId="050D443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14:paraId="5BB984F4" w14:textId="77777777" w:rsidTr="00452B58">
        <w:trPr>
          <w:trHeight w:val="300"/>
        </w:trPr>
        <w:tc>
          <w:tcPr>
            <w:tcW w:w="960" w:type="dxa"/>
            <w:noWrap/>
            <w:hideMark/>
          </w:tcPr>
          <w:p w14:paraId="2F8E330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7D4845A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$1,069 M</w:t>
            </w:r>
          </w:p>
        </w:tc>
        <w:tc>
          <w:tcPr>
            <w:tcW w:w="573" w:type="dxa"/>
            <w:noWrap/>
          </w:tcPr>
          <w:p w14:paraId="58A59ED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14:paraId="64CA8EC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49D3E30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60BA282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$1,008 M</w:t>
            </w:r>
          </w:p>
        </w:tc>
        <w:tc>
          <w:tcPr>
            <w:tcW w:w="607" w:type="dxa"/>
            <w:noWrap/>
          </w:tcPr>
          <w:p w14:paraId="60A2AC5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r>
      <w:tr w:rsidR="00452B58" w:rsidRPr="00452B58" w14:paraId="21A7B38F" w14:textId="77777777" w:rsidTr="00452B58">
        <w:trPr>
          <w:trHeight w:val="300"/>
        </w:trPr>
        <w:tc>
          <w:tcPr>
            <w:tcW w:w="960" w:type="dxa"/>
            <w:noWrap/>
            <w:hideMark/>
          </w:tcPr>
          <w:p w14:paraId="772E633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49A07E35"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$957 M</w:t>
            </w:r>
          </w:p>
        </w:tc>
        <w:tc>
          <w:tcPr>
            <w:tcW w:w="573" w:type="dxa"/>
            <w:noWrap/>
          </w:tcPr>
          <w:p w14:paraId="2D1699A3"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4.5</w:t>
            </w:r>
          </w:p>
        </w:tc>
        <w:tc>
          <w:tcPr>
            <w:tcW w:w="2107" w:type="dxa"/>
            <w:noWrap/>
          </w:tcPr>
          <w:p w14:paraId="5710C8A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39EE5841"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07BC8830"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$905 M</w:t>
            </w:r>
          </w:p>
        </w:tc>
        <w:tc>
          <w:tcPr>
            <w:tcW w:w="607" w:type="dxa"/>
            <w:noWrap/>
          </w:tcPr>
          <w:p w14:paraId="66C1535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bl>
    <w:p w14:paraId="39A0453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48B7D9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despite the change in the fleet share of refrigerated vehicles.</w:t>
      </w:r>
    </w:p>
    <w:p w14:paraId="065E9979" w14:textId="5B46734C"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14</w:t>
      </w:r>
      <w:r w:rsidRPr="00452B58">
        <w:rPr>
          <w:rFonts w:ascii="Calibri" w:eastAsia="Calibri" w:hAnsi="Calibri" w:cs="Calibri"/>
          <w:color w:val="auto"/>
          <w:kern w:val="0"/>
          <w:sz w:val="22"/>
          <w:szCs w:val="22"/>
        </w:rPr>
        <w:t xml:space="preserve"> shows the sensitivity of the results to variation in trip reduction due to widening. The size of this effect in the main analysis is approximately 1% or 2% for 2.55 m and 2.60 m vehicles and trailers respectively. These have been varied by ±20% in the analysis below.</w:t>
      </w:r>
    </w:p>
    <w:p w14:paraId="76327B97" w14:textId="7E01BE7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12" w:name="_Ref111802521"/>
      <w:bookmarkStart w:id="313" w:name="_Toc11764643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14</w:t>
      </w:r>
      <w:bookmarkEnd w:id="31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trip reduction due to widening</w:t>
      </w:r>
      <w:bookmarkEnd w:id="313"/>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14:paraId="1D6A2B8C"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14:paraId="09BC386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14:paraId="14CBCA1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 1.9%</w:t>
            </w:r>
          </w:p>
        </w:tc>
        <w:tc>
          <w:tcPr>
            <w:tcW w:w="2714" w:type="dxa"/>
            <w:gridSpan w:val="2"/>
            <w:tcBorders>
              <w:bottom w:val="single" w:sz="8" w:space="0" w:color="FFFFFF"/>
            </w:tcBorders>
            <w:noWrap/>
            <w:hideMark/>
          </w:tcPr>
          <w:p w14:paraId="6913A612"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0.8%, 1.6%</w:t>
            </w:r>
          </w:p>
        </w:tc>
        <w:tc>
          <w:tcPr>
            <w:tcW w:w="2960" w:type="dxa"/>
            <w:gridSpan w:val="2"/>
            <w:tcBorders>
              <w:bottom w:val="single" w:sz="8" w:space="0" w:color="FFFFFF"/>
            </w:tcBorders>
            <w:noWrap/>
            <w:hideMark/>
          </w:tcPr>
          <w:p w14:paraId="31D6EDB6"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0.7%, 1.3%</w:t>
            </w:r>
          </w:p>
        </w:tc>
      </w:tr>
      <w:tr w:rsidR="00452B58" w:rsidRPr="00452B58" w14:paraId="7D1FA0B1" w14:textId="77777777" w:rsidTr="00452B58">
        <w:trPr>
          <w:trHeight w:val="300"/>
        </w:trPr>
        <w:tc>
          <w:tcPr>
            <w:tcW w:w="960" w:type="dxa"/>
            <w:vMerge/>
            <w:tcBorders>
              <w:right w:val="single" w:sz="8" w:space="0" w:color="FFFFFF"/>
            </w:tcBorders>
            <w:hideMark/>
          </w:tcPr>
          <w:p w14:paraId="0D1557D4" w14:textId="77777777" w:rsidR="00452B58" w:rsidRPr="00452B58" w:rsidRDefault="00452B58" w:rsidP="00452B58">
            <w:pPr>
              <w:keepNext/>
              <w:suppressAutoHyphens w:val="0"/>
              <w:spacing w:before="40" w:after="40"/>
              <w:jc w:val="center"/>
              <w:rPr>
                <w:rFonts w:eastAsia="Calibri" w:cs="Times New Roman"/>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14:paraId="06D71BD0"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14:paraId="0552AC18"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14:paraId="4FA0CAAB"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14:paraId="668BD391"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14:paraId="1D404C87"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14:paraId="46C48B45" w14:textId="77777777"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14:paraId="4476AC87" w14:textId="77777777" w:rsidTr="00452B58">
        <w:trPr>
          <w:trHeight w:val="300"/>
        </w:trPr>
        <w:tc>
          <w:tcPr>
            <w:tcW w:w="960" w:type="dxa"/>
            <w:noWrap/>
            <w:hideMark/>
          </w:tcPr>
          <w:p w14:paraId="4164A33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14:paraId="4CD5FA4D"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$823 M</w:t>
            </w:r>
          </w:p>
        </w:tc>
        <w:tc>
          <w:tcPr>
            <w:tcW w:w="573" w:type="dxa"/>
            <w:noWrap/>
          </w:tcPr>
          <w:p w14:paraId="47F031D7"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3.5</w:t>
            </w:r>
          </w:p>
        </w:tc>
        <w:tc>
          <w:tcPr>
            <w:tcW w:w="2107" w:type="dxa"/>
            <w:noWrap/>
          </w:tcPr>
          <w:p w14:paraId="64B4E51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14:paraId="0AC570F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538C2DE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$485 M</w:t>
            </w:r>
          </w:p>
        </w:tc>
        <w:tc>
          <w:tcPr>
            <w:tcW w:w="607" w:type="dxa"/>
            <w:noWrap/>
          </w:tcPr>
          <w:p w14:paraId="43CA56F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r>
      <w:tr w:rsidR="00452B58" w:rsidRPr="00452B58" w14:paraId="362DFADD" w14:textId="77777777" w:rsidTr="00452B58">
        <w:trPr>
          <w:trHeight w:val="300"/>
        </w:trPr>
        <w:tc>
          <w:tcPr>
            <w:tcW w:w="960" w:type="dxa"/>
            <w:noWrap/>
            <w:hideMark/>
          </w:tcPr>
          <w:p w14:paraId="17C5816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14:paraId="0F00FA8C"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$737 M</w:t>
            </w:r>
          </w:p>
        </w:tc>
        <w:tc>
          <w:tcPr>
            <w:tcW w:w="573" w:type="dxa"/>
            <w:noWrap/>
          </w:tcPr>
          <w:p w14:paraId="339888F4"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3.6</w:t>
            </w:r>
          </w:p>
        </w:tc>
        <w:tc>
          <w:tcPr>
            <w:tcW w:w="2107" w:type="dxa"/>
            <w:noWrap/>
          </w:tcPr>
          <w:p w14:paraId="7DCAC60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14:paraId="671C5FD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14:paraId="4694F49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$439 M</w:t>
            </w:r>
          </w:p>
        </w:tc>
        <w:tc>
          <w:tcPr>
            <w:tcW w:w="607" w:type="dxa"/>
            <w:noWrap/>
          </w:tcPr>
          <w:p w14:paraId="5B786E58"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r>
      <w:tr w:rsidR="00452B58" w:rsidRPr="00452B58" w14:paraId="08D30F1B" w14:textId="77777777" w:rsidTr="00452B58">
        <w:trPr>
          <w:trHeight w:val="300"/>
        </w:trPr>
        <w:tc>
          <w:tcPr>
            <w:tcW w:w="960" w:type="dxa"/>
            <w:noWrap/>
            <w:hideMark/>
          </w:tcPr>
          <w:p w14:paraId="1CFDC26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14:paraId="4E17EC9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$1,369 M</w:t>
            </w:r>
          </w:p>
        </w:tc>
        <w:tc>
          <w:tcPr>
            <w:tcW w:w="573" w:type="dxa"/>
            <w:noWrap/>
          </w:tcPr>
          <w:p w14:paraId="06DD454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5.3</w:t>
            </w:r>
          </w:p>
        </w:tc>
        <w:tc>
          <w:tcPr>
            <w:tcW w:w="2107" w:type="dxa"/>
            <w:noWrap/>
          </w:tcPr>
          <w:p w14:paraId="71B6E95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14:paraId="11228BD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14:paraId="755AA94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$708 M</w:t>
            </w:r>
          </w:p>
        </w:tc>
        <w:tc>
          <w:tcPr>
            <w:tcW w:w="607" w:type="dxa"/>
            <w:noWrap/>
          </w:tcPr>
          <w:p w14:paraId="321C757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3.2</w:t>
            </w:r>
          </w:p>
        </w:tc>
      </w:tr>
      <w:tr w:rsidR="00452B58" w:rsidRPr="00452B58" w14:paraId="30051892" w14:textId="77777777" w:rsidTr="00452B58">
        <w:trPr>
          <w:trHeight w:val="300"/>
        </w:trPr>
        <w:tc>
          <w:tcPr>
            <w:tcW w:w="960" w:type="dxa"/>
            <w:noWrap/>
            <w:hideMark/>
          </w:tcPr>
          <w:p w14:paraId="23F72D1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14:paraId="5C8A951D"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$1,223 M</w:t>
            </w:r>
          </w:p>
        </w:tc>
        <w:tc>
          <w:tcPr>
            <w:tcW w:w="573" w:type="dxa"/>
            <w:noWrap/>
          </w:tcPr>
          <w:p w14:paraId="4B8762BC" w14:textId="77777777"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5.5</w:t>
            </w:r>
          </w:p>
        </w:tc>
        <w:tc>
          <w:tcPr>
            <w:tcW w:w="2107" w:type="dxa"/>
            <w:noWrap/>
          </w:tcPr>
          <w:p w14:paraId="23E3A1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14:paraId="6EA5AED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14:paraId="6531160A"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noWrap/>
          </w:tcPr>
          <w:p w14:paraId="272776CB"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3.3</w:t>
            </w:r>
          </w:p>
        </w:tc>
      </w:tr>
    </w:tbl>
    <w:p w14:paraId="4E8C762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D9E6DB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over this range of variation but does demonstrate a significant amount of sensitivity.</w:t>
      </w:r>
    </w:p>
    <w:p w14:paraId="41E40FB9" w14:textId="77777777" w:rsidR="00452B58" w:rsidRPr="00F2517A" w:rsidRDefault="00452B58" w:rsidP="00F2517A">
      <w:pPr>
        <w:pStyle w:val="ARRBBaseHeading2"/>
      </w:pPr>
      <w:bookmarkStart w:id="314" w:name="_Toc137731689"/>
      <w:r w:rsidRPr="00F2517A">
        <w:t>Findings</w:t>
      </w:r>
      <w:bookmarkEnd w:id="314"/>
    </w:p>
    <w:p w14:paraId="653C0AF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results of the main analysis show a positive outcome for each of the proposed options. </w:t>
      </w:r>
    </w:p>
    <w:p w14:paraId="4B7E837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sensitivity analysis identified no threats to viability of the proposed changes to ADRs to allow wider vehicles with mandated safety features. However, the following factors demonstrated greater sensitivity:</w:t>
      </w:r>
    </w:p>
    <w:p w14:paraId="4F877514" w14:textId="77777777" w:rsidR="00452B58" w:rsidRPr="00452B58" w:rsidRDefault="00452B58" w:rsidP="00E248BF">
      <w:pPr>
        <w:pStyle w:val="ARRBBulletLevel1"/>
      </w:pPr>
      <w:r w:rsidRPr="00452B58">
        <w:t xml:space="preserve">discount rate </w:t>
      </w:r>
    </w:p>
    <w:p w14:paraId="1AA36738" w14:textId="77777777" w:rsidR="00452B58" w:rsidRPr="00452B58" w:rsidRDefault="00452B58" w:rsidP="00E248BF">
      <w:pPr>
        <w:pStyle w:val="ARRBBulletLevel1"/>
      </w:pPr>
      <w:r w:rsidRPr="00452B58">
        <w:t>cost of safety features</w:t>
      </w:r>
    </w:p>
    <w:p w14:paraId="09BB98DA" w14:textId="77777777" w:rsidR="00452B58" w:rsidRPr="00452B58" w:rsidRDefault="00452B58" w:rsidP="00E248BF">
      <w:pPr>
        <w:pStyle w:val="ARRBBulletLevel1"/>
      </w:pPr>
      <w:r w:rsidRPr="00452B58">
        <w:t>effectiveness of safety features</w:t>
      </w:r>
    </w:p>
    <w:p w14:paraId="7CE39DF0" w14:textId="77777777" w:rsidR="00452B58" w:rsidRPr="00452B58" w:rsidRDefault="00452B58" w:rsidP="00E248BF">
      <w:pPr>
        <w:pStyle w:val="ARRBBulletLevel1"/>
      </w:pPr>
      <w:r w:rsidRPr="00452B58">
        <w:t>trip reduction.</w:t>
      </w:r>
    </w:p>
    <w:p w14:paraId="432EE99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shows that any barriers or concerns to the widening of good vehicles on Australian roads do not come from questions about high-level productivity or safety. The increased productivity that comes from larger vehicles is well-demonstrated, and current and emerging safety technologies continue to make these vehicles safer to operate on Australian roads.</w:t>
      </w:r>
    </w:p>
    <w:p w14:paraId="79C4F56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the analysis conducted here was necessarily high-level, the following related issues bear further investigation:</w:t>
      </w:r>
    </w:p>
    <w:p w14:paraId="1406D080" w14:textId="77777777" w:rsidR="00452B58" w:rsidRPr="00452B58" w:rsidRDefault="00452B58" w:rsidP="00E248BF">
      <w:pPr>
        <w:pStyle w:val="ARRBBulletLevel1"/>
      </w:pPr>
      <w:r w:rsidRPr="00452B58">
        <w:t>Assessments are desirable of the risks and benefits related to different designs of trailers, which are built for purpose and may present different issues.</w:t>
      </w:r>
    </w:p>
    <w:p w14:paraId="647989F3" w14:textId="77777777" w:rsidR="00452B58" w:rsidRPr="00452B58" w:rsidRDefault="00452B58" w:rsidP="00E248BF">
      <w:pPr>
        <w:pStyle w:val="ARRBBulletLevel1"/>
      </w:pPr>
      <w:r w:rsidRPr="00452B58">
        <w:t xml:space="preserve">Many other road users already have a poor understanding of the size and manoeuvrability of heavy vehicles, and there may be an increase in the impact of misjudgements made by other road users interacting with wider vehicles. </w:t>
      </w:r>
    </w:p>
    <w:p w14:paraId="25AE2C1C" w14:textId="77777777" w:rsidR="00452B58" w:rsidRPr="00452B58" w:rsidRDefault="00452B58" w:rsidP="00E248BF">
      <w:pPr>
        <w:pStyle w:val="ARRBBulletLevel1"/>
      </w:pPr>
      <w:r w:rsidRPr="00452B58">
        <w:t xml:space="preserve">While it was beyond the scope of this project to undertake a detailed infrastructure analysis, developing an assessment of infrastructure requirements – primarily at intersections – for wider vehicles will assist road managers to ensure the productivity benefits of these vehicles can be achieved safely. </w:t>
      </w:r>
    </w:p>
    <w:p w14:paraId="25DEF92D" w14:textId="77777777" w:rsidR="00452B58" w:rsidRPr="00452B58" w:rsidRDefault="00452B58" w:rsidP="00E248BF">
      <w:pPr>
        <w:pStyle w:val="ARRBBulletLevel1"/>
      </w:pPr>
      <w:r w:rsidRPr="00452B58">
        <w:t>The design of the road pavement infrastructure is based on the utilisation of the lane by a known axle width. If this distribution changes there will be impacts on the pavement engineering calculations required for road structures.</w:t>
      </w:r>
    </w:p>
    <w:p w14:paraId="760A065D" w14:textId="77777777" w:rsidR="00452B58" w:rsidRPr="00452B58" w:rsidRDefault="00452B58" w:rsidP="00E248BF">
      <w:pPr>
        <w:pStyle w:val="ARRBBulletLevel1"/>
      </w:pPr>
      <w:r w:rsidRPr="00452B58">
        <w:t>There are likely to be community concerns about wider goods vehicles on the roads, despite the safety features. Ongoing research into clearances of the road corridor, especially in urban areas, would provide a basis for both informing decision makers about current and future heavy vehicle access and investment, as well as allaying community concerns.</w:t>
      </w:r>
    </w:p>
    <w:p w14:paraId="79A327E0"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033DB397"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711F5B07"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sectPr w:rsidR="00452B58" w:rsidRPr="00452B58" w:rsidSect="00452B58">
          <w:pgSz w:w="11906" w:h="16838" w:code="9"/>
          <w:pgMar w:top="1134" w:right="1134" w:bottom="1134" w:left="1134" w:header="680" w:footer="284" w:gutter="0"/>
          <w:pgNumType w:start="14"/>
          <w:cols w:space="567"/>
          <w:docGrid w:linePitch="360"/>
        </w:sectPr>
      </w:pPr>
    </w:p>
    <w:p w14:paraId="5AF41E12" w14:textId="77777777" w:rsidR="00452B58" w:rsidRPr="00452B58" w:rsidRDefault="00452B58" w:rsidP="00F2517A">
      <w:pPr>
        <w:pStyle w:val="ARRBBaseHeadingReferences"/>
      </w:pPr>
      <w:bookmarkStart w:id="315" w:name="_Toc11745934"/>
      <w:bookmarkStart w:id="316" w:name="_Toc137731690"/>
      <w:r w:rsidRPr="00452B58">
        <w:t>References</w:t>
      </w:r>
      <w:bookmarkEnd w:id="315"/>
      <w:bookmarkEnd w:id="316"/>
    </w:p>
    <w:p w14:paraId="62327320"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Bureau of Statistics 2014, </w:t>
      </w:r>
      <w:r w:rsidRPr="00452B58">
        <w:rPr>
          <w:rFonts w:ascii="Calibri" w:eastAsia="Calibri" w:hAnsi="Calibri" w:cs="Calibri"/>
          <w:i/>
          <w:iCs/>
          <w:color w:val="auto"/>
          <w:kern w:val="0"/>
          <w:sz w:val="22"/>
          <w:szCs w:val="22"/>
        </w:rPr>
        <w:t>Road freight movements Australia</w:t>
      </w:r>
      <w:r w:rsidRPr="00452B58">
        <w:rPr>
          <w:rFonts w:ascii="Calibri" w:eastAsia="Calibri" w:hAnsi="Calibri" w:cs="Calibri"/>
          <w:color w:val="auto"/>
          <w:kern w:val="0"/>
          <w:sz w:val="22"/>
          <w:szCs w:val="22"/>
        </w:rPr>
        <w:t xml:space="preserve">, </w:t>
      </w:r>
      <w:r w:rsidRPr="00452B58">
        <w:rPr>
          <w:rFonts w:ascii="Calibri" w:eastAsia="Calibri" w:hAnsi="Calibri" w:cs="Calibri"/>
          <w:i/>
          <w:iCs/>
          <w:color w:val="auto"/>
          <w:kern w:val="0"/>
          <w:sz w:val="22"/>
          <w:szCs w:val="22"/>
        </w:rPr>
        <w:t>12 months ended 31 October 2014</w:t>
      </w:r>
      <w:r w:rsidRPr="00452B58">
        <w:rPr>
          <w:rFonts w:ascii="Calibri" w:eastAsia="Calibri" w:hAnsi="Calibri" w:cs="Calibri"/>
          <w:color w:val="auto"/>
          <w:kern w:val="0"/>
          <w:sz w:val="22"/>
          <w:szCs w:val="22"/>
        </w:rPr>
        <w:t>, ABS website, Canberra, ACT, accessed 23 August 2022, &lt;https://www.abs.gov.au/AUSSTATS/abs@.nsf/DetailsPage/9223.012%20months%20ended%2031%20October%202014?OpenDocument&gt;.</w:t>
      </w:r>
    </w:p>
    <w:p w14:paraId="4477839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Bureau of Statistics 2021, </w:t>
      </w:r>
      <w:r w:rsidRPr="00452B58">
        <w:rPr>
          <w:rFonts w:ascii="Calibri" w:eastAsia="Calibri" w:hAnsi="Calibri" w:cs="Calibri"/>
          <w:i/>
          <w:iCs/>
          <w:color w:val="auto"/>
          <w:kern w:val="0"/>
          <w:sz w:val="22"/>
          <w:szCs w:val="22"/>
        </w:rPr>
        <w:t>Motor vehicle census, Australia: data to 31 January 2021</w:t>
      </w:r>
      <w:r w:rsidRPr="00452B58">
        <w:rPr>
          <w:rFonts w:ascii="Calibri" w:eastAsia="Calibri" w:hAnsi="Calibri" w:cs="Calibri"/>
          <w:color w:val="auto"/>
          <w:kern w:val="0"/>
          <w:sz w:val="22"/>
          <w:szCs w:val="22"/>
        </w:rPr>
        <w:t>, ABS website, Canberra, ACT, accessed 23 August 2022, &lt;https://www.abs.gov.au/statistics/industry/tourism-and-transport/motor-vehicle-census-australia/latest-release&gt;.</w:t>
      </w:r>
    </w:p>
    <w:p w14:paraId="38011AF1"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ARRB 2021, ‘Freight vehicle access issues paper’, developed for Transport for NSW, ARRB, Port Melbourne, Vic.</w:t>
      </w:r>
    </w:p>
    <w:p w14:paraId="1D736186"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ATA 2016, </w:t>
      </w:r>
      <w:r w:rsidRPr="00452B58">
        <w:rPr>
          <w:rFonts w:ascii="Calibri" w:eastAsia="Calibri" w:hAnsi="Calibri" w:cs="Calibri"/>
          <w:i/>
          <w:iCs/>
          <w:color w:val="auto"/>
          <w:kern w:val="0"/>
          <w:sz w:val="22"/>
          <w:szCs w:val="22"/>
        </w:rPr>
        <w:t>RSC and ESC systems for trucks and trailers: technical advisory procedure</w:t>
      </w:r>
      <w:r w:rsidRPr="00452B58">
        <w:rPr>
          <w:rFonts w:ascii="Calibri" w:eastAsia="Calibri" w:hAnsi="Calibri" w:cs="Calibri"/>
          <w:color w:val="auto"/>
          <w:kern w:val="0"/>
          <w:sz w:val="22"/>
          <w:szCs w:val="22"/>
        </w:rPr>
        <w:t xml:space="preserve">, Australian Trucking Association, Forrest, ACT, accessed 27 June 2022, &lt;https://www.truck.net.au/system/files/industry-resources/TAPs%20-%20RSC%20and%20ESC%20for%20Trucks%20and%20Trailers%20Final%20May%202016.pdf&gt;. </w:t>
      </w:r>
    </w:p>
    <w:p w14:paraId="6E712094"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ATA 2021, </w:t>
      </w:r>
      <w:r w:rsidRPr="00452B58">
        <w:rPr>
          <w:rFonts w:ascii="Calibri" w:eastAsia="Calibri" w:hAnsi="Calibri" w:cs="Calibri"/>
          <w:i/>
          <w:iCs/>
          <w:color w:val="auto"/>
          <w:kern w:val="0"/>
          <w:sz w:val="22"/>
          <w:szCs w:val="22"/>
        </w:rPr>
        <w:t>Safer freight vehicles discussion paper</w:t>
      </w:r>
      <w:r w:rsidRPr="00452B58">
        <w:rPr>
          <w:rFonts w:ascii="Calibri" w:eastAsia="Calibri" w:hAnsi="Calibri" w:cs="Calibri"/>
          <w:color w:val="auto"/>
          <w:kern w:val="0"/>
          <w:sz w:val="22"/>
          <w:szCs w:val="22"/>
        </w:rPr>
        <w:t>, submission to the Department of Infrastructure, Transport, Regional Development and Communications, 30 June 2021, Australian Trucking Association, Forrest, ACT, accessed 29 June 2022, &lt;https://www.truck.net.au/sites/default/files/submissions/20210630ATAsubmissionSaferFreightVehicles.pdf&gt;.</w:t>
      </w:r>
    </w:p>
    <w:p w14:paraId="04FBB1E0"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Transport Assessment and Planning Steering Committee 2016, </w:t>
      </w:r>
      <w:r w:rsidRPr="00452B58">
        <w:rPr>
          <w:rFonts w:ascii="Calibri" w:eastAsia="Calibri" w:hAnsi="Calibri" w:cs="Calibri"/>
          <w:i/>
          <w:iCs/>
          <w:color w:val="auto"/>
          <w:kern w:val="0"/>
          <w:sz w:val="22"/>
          <w:szCs w:val="22"/>
        </w:rPr>
        <w:t>Australian Transport Assessment and Planning (ATAP) guidelines: PV2 road parameter values</w:t>
      </w:r>
      <w:r w:rsidRPr="00452B58">
        <w:rPr>
          <w:rFonts w:ascii="Calibri" w:eastAsia="Calibri" w:hAnsi="Calibri" w:cs="Calibri"/>
          <w:color w:val="auto"/>
          <w:kern w:val="0"/>
          <w:sz w:val="22"/>
          <w:szCs w:val="22"/>
        </w:rPr>
        <w:t>, ATAP website, Canberra, ACT, accessed 29 June 2022, &lt;https://www.atap.gov.au/sites/default/files/pv2_road_parameter_values.pdf&gt;.</w:t>
      </w:r>
    </w:p>
    <w:p w14:paraId="46E38543"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Transport Assessment and Planning Steering Committee 2020, </w:t>
      </w:r>
      <w:r w:rsidRPr="00452B58">
        <w:rPr>
          <w:rFonts w:ascii="Calibri" w:eastAsia="Calibri" w:hAnsi="Calibri" w:cs="Calibri"/>
          <w:i/>
          <w:iCs/>
          <w:color w:val="auto"/>
          <w:kern w:val="0"/>
          <w:sz w:val="22"/>
          <w:szCs w:val="22"/>
        </w:rPr>
        <w:t>O7 Cost benefit analysis of transport regulatory initiatives</w:t>
      </w:r>
      <w:r w:rsidRPr="00452B58">
        <w:rPr>
          <w:rFonts w:ascii="Calibri" w:eastAsia="Calibri" w:hAnsi="Calibri" w:cs="Calibri"/>
          <w:color w:val="auto"/>
          <w:kern w:val="0"/>
          <w:sz w:val="22"/>
          <w:szCs w:val="22"/>
        </w:rPr>
        <w:t>, ATAP website, Canberra, ACT, accessed 29 June 2022, &lt;https://www.atap.gov.au/sites/default/files/documents/atap-o7-cost-benefit-analysis-of-transport-regulatory-initiatives.pdf&gt;.</w:t>
      </w:r>
    </w:p>
    <w:p w14:paraId="217C3F99"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Austroads 2017, Guide to pavement technology – part 2 – pavement structural design, </w:t>
      </w:r>
      <w:r w:rsidRPr="00452B58">
        <w:rPr>
          <w:rFonts w:ascii="Calibri" w:eastAsia="Calibri" w:hAnsi="Calibri" w:cs="Calibri"/>
          <w:color w:val="auto"/>
          <w:kern w:val="0"/>
          <w:sz w:val="22"/>
          <w:szCs w:val="22"/>
          <w:highlight w:val="white"/>
        </w:rPr>
        <w:t>AGPT02-17</w:t>
      </w:r>
      <w:r w:rsidRPr="00452B58">
        <w:rPr>
          <w:rFonts w:ascii="Calibri" w:eastAsia="Calibri" w:hAnsi="Calibri" w:cs="Calibri"/>
          <w:color w:val="auto"/>
          <w:kern w:val="0"/>
          <w:sz w:val="22"/>
          <w:szCs w:val="22"/>
        </w:rPr>
        <w:t>, Austroads, Sydney, NSW.</w:t>
      </w:r>
    </w:p>
    <w:p w14:paraId="36A08568"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Badgley</w:t>
      </w:r>
      <w:proofErr w:type="spellEnd"/>
      <w:r w:rsidRPr="00452B58">
        <w:rPr>
          <w:rFonts w:ascii="Calibri" w:eastAsia="Calibri" w:hAnsi="Calibri" w:cs="Calibri"/>
          <w:color w:val="auto"/>
          <w:kern w:val="0"/>
          <w:sz w:val="22"/>
          <w:szCs w:val="22"/>
        </w:rPr>
        <w:t xml:space="preserve">, J, Breck, A, Dawes, M, Epstein, AK, Welty, K, McNally, A &amp; Peirce, S 2020, </w:t>
      </w:r>
      <w:r w:rsidRPr="00452B58">
        <w:rPr>
          <w:rFonts w:ascii="Calibri" w:eastAsia="Calibri" w:hAnsi="Calibri" w:cs="Calibri"/>
          <w:i/>
          <w:iCs/>
          <w:color w:val="auto"/>
          <w:kern w:val="0"/>
          <w:sz w:val="22"/>
          <w:szCs w:val="22"/>
        </w:rPr>
        <w:t>A literature review of lateral protection devices on trucks intended for reducing pedestrian and cyclist fatalities</w:t>
      </w:r>
      <w:r w:rsidRPr="00452B58">
        <w:rPr>
          <w:rFonts w:ascii="Calibri" w:eastAsia="Calibri" w:hAnsi="Calibri" w:cs="Calibri"/>
          <w:color w:val="auto"/>
          <w:kern w:val="0"/>
          <w:sz w:val="22"/>
          <w:szCs w:val="22"/>
        </w:rPr>
        <w:t>, FMCSA-RRR-19-004, Federal Motor Carrier Safety Administration, Washington, DC, USA, accessed 29 June 2022, &lt;https://www1.nyc.gov/assets/dcas/downloads/pdf/fleet/US-DOT-FMCSA-Truck-Lateral-Protection-Literature-Review.pdf&gt;.</w:t>
      </w:r>
    </w:p>
    <w:p w14:paraId="472AC2CB"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BITRE 2019, Australian aggregate freight forecasts – 2019 update, Bureau of Infrastructure, Transport, Regional Development and Communications, Canberra, ACT, accessed 29 June 2022, &lt; https://www.bitre.gov.au/sites/default/files/documents/research_report_152-final.pdf&gt;</w:t>
      </w:r>
    </w:p>
    <w:p w14:paraId="4E7FC1AF"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BITRE 2020, </w:t>
      </w:r>
      <w:r w:rsidRPr="00452B58">
        <w:rPr>
          <w:rFonts w:ascii="Calibri" w:eastAsia="Calibri" w:hAnsi="Calibri" w:cs="Calibri"/>
          <w:i/>
          <w:iCs/>
          <w:color w:val="auto"/>
          <w:kern w:val="0"/>
          <w:sz w:val="22"/>
          <w:szCs w:val="22"/>
        </w:rPr>
        <w:t>Road trauma involving heavy vehicles: 2020 statistical summary</w:t>
      </w:r>
      <w:r w:rsidRPr="00452B58">
        <w:rPr>
          <w:rFonts w:ascii="Calibri" w:eastAsia="Calibri" w:hAnsi="Calibri" w:cs="Calibri"/>
          <w:color w:val="auto"/>
          <w:kern w:val="0"/>
          <w:sz w:val="22"/>
          <w:szCs w:val="22"/>
        </w:rPr>
        <w:t>, Bureau of Infrastructure, Transport, Regional Development and Communications, Canberra, ACT, accessed 29 June 2022, &lt;https://www.bitre.gov.au/sites/default/files/documents/hv_annual_2020.pdf&gt;.</w:t>
      </w:r>
    </w:p>
    <w:p w14:paraId="16362B8C"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BITRE 2021, </w:t>
      </w:r>
      <w:r w:rsidRPr="00452B58">
        <w:rPr>
          <w:rFonts w:ascii="Calibri" w:eastAsia="Calibri" w:hAnsi="Calibri" w:cs="Calibri"/>
          <w:i/>
          <w:iCs/>
          <w:color w:val="auto"/>
          <w:kern w:val="0"/>
          <w:sz w:val="22"/>
          <w:szCs w:val="22"/>
        </w:rPr>
        <w:t>Hospitalised injury</w:t>
      </w:r>
      <w:r w:rsidRPr="00452B58">
        <w:rPr>
          <w:rFonts w:ascii="Calibri" w:eastAsia="Calibri" w:hAnsi="Calibri" w:cs="Calibri"/>
          <w:color w:val="auto"/>
          <w:kern w:val="0"/>
          <w:sz w:val="22"/>
          <w:szCs w:val="22"/>
        </w:rPr>
        <w:t>, Bureau of Infrastructure, Transport, Regional Development and Communications, Canberra, ACT, accessed 29 June 2022, &lt;https://www.bitre.gov.au/sites/default/files/documents/hospitalised_injury_publication_aug2021.xlsm&gt;.</w:t>
      </w:r>
    </w:p>
    <w:p w14:paraId="37314C96"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Blackman, R &amp; Haworth, N 2015, Desktop review of </w:t>
      </w:r>
      <w:proofErr w:type="spellStart"/>
      <w:r w:rsidRPr="00452B58">
        <w:rPr>
          <w:rFonts w:ascii="Calibri" w:eastAsia="Calibri" w:hAnsi="Calibri" w:cs="Calibri"/>
          <w:color w:val="auto"/>
          <w:kern w:val="0"/>
          <w:sz w:val="22"/>
          <w:szCs w:val="22"/>
        </w:rPr>
        <w:t>conspicuity</w:t>
      </w:r>
      <w:proofErr w:type="spellEnd"/>
      <w:r w:rsidRPr="00452B58">
        <w:rPr>
          <w:rFonts w:ascii="Calibri" w:eastAsia="Calibri" w:hAnsi="Calibri" w:cs="Calibri"/>
          <w:color w:val="auto"/>
          <w:kern w:val="0"/>
          <w:sz w:val="22"/>
          <w:szCs w:val="22"/>
        </w:rPr>
        <w:t xml:space="preserve"> markings for heavy vehicles, CARRS-Q, Brisbane, Qld.</w:t>
      </w:r>
    </w:p>
    <w:p w14:paraId="7953EF34"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Buiter</w:t>
      </w:r>
      <w:proofErr w:type="spellEnd"/>
      <w:r w:rsidRPr="00452B58">
        <w:rPr>
          <w:rFonts w:ascii="Calibri" w:eastAsia="Calibri" w:hAnsi="Calibri" w:cs="Calibri"/>
          <w:color w:val="auto"/>
          <w:kern w:val="0"/>
          <w:sz w:val="22"/>
          <w:szCs w:val="22"/>
        </w:rPr>
        <w:t xml:space="preserve">, R, </w:t>
      </w:r>
      <w:proofErr w:type="spellStart"/>
      <w:r w:rsidRPr="00452B58">
        <w:rPr>
          <w:rFonts w:ascii="Calibri" w:eastAsia="Calibri" w:hAnsi="Calibri" w:cs="Calibri"/>
          <w:color w:val="auto"/>
          <w:kern w:val="0"/>
          <w:sz w:val="22"/>
          <w:szCs w:val="22"/>
        </w:rPr>
        <w:t>Cortenraad</w:t>
      </w:r>
      <w:proofErr w:type="spellEnd"/>
      <w:r w:rsidRPr="00452B58">
        <w:rPr>
          <w:rFonts w:ascii="Calibri" w:eastAsia="Calibri" w:hAnsi="Calibri" w:cs="Calibri"/>
          <w:color w:val="auto"/>
          <w:kern w:val="0"/>
          <w:sz w:val="22"/>
          <w:szCs w:val="22"/>
        </w:rPr>
        <w:t xml:space="preserve">, W, van Eck, A &amp; van </w:t>
      </w:r>
      <w:proofErr w:type="spellStart"/>
      <w:r w:rsidRPr="00452B58">
        <w:rPr>
          <w:rFonts w:ascii="Calibri" w:eastAsia="Calibri" w:hAnsi="Calibri" w:cs="Calibri"/>
          <w:color w:val="auto"/>
          <w:kern w:val="0"/>
          <w:sz w:val="22"/>
          <w:szCs w:val="22"/>
        </w:rPr>
        <w:t>Rij</w:t>
      </w:r>
      <w:proofErr w:type="spellEnd"/>
      <w:r w:rsidRPr="00452B58">
        <w:rPr>
          <w:rFonts w:ascii="Calibri" w:eastAsia="Calibri" w:hAnsi="Calibri" w:cs="Calibri"/>
          <w:color w:val="auto"/>
          <w:kern w:val="0"/>
          <w:sz w:val="22"/>
          <w:szCs w:val="22"/>
        </w:rPr>
        <w:t xml:space="preserve">, H 1989, ‘Effects of transverse distribution of heavy vehicles on thickness design of full-depth asphalt pavements.’ </w:t>
      </w:r>
      <w:r w:rsidRPr="00452B58">
        <w:rPr>
          <w:rFonts w:ascii="Calibri" w:eastAsia="Calibri" w:hAnsi="Calibri" w:cs="Calibri"/>
          <w:i/>
          <w:iCs/>
          <w:color w:val="auto"/>
          <w:kern w:val="0"/>
          <w:sz w:val="22"/>
          <w:szCs w:val="22"/>
        </w:rPr>
        <w:t>Transportation Research Record,</w:t>
      </w:r>
      <w:r w:rsidRPr="00452B58">
        <w:rPr>
          <w:rFonts w:ascii="Calibri" w:eastAsia="Calibri" w:hAnsi="Calibri" w:cs="Calibri"/>
          <w:color w:val="auto"/>
          <w:kern w:val="0"/>
          <w:sz w:val="22"/>
          <w:szCs w:val="22"/>
        </w:rPr>
        <w:t xml:space="preserve"> no. 1227, pp. 66-74.</w:t>
      </w:r>
    </w:p>
    <w:p w14:paraId="240CA07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Cicchino</w:t>
      </w:r>
      <w:proofErr w:type="spellEnd"/>
      <w:r w:rsidRPr="00452B58">
        <w:rPr>
          <w:rFonts w:ascii="Calibri" w:eastAsia="Calibri" w:hAnsi="Calibri" w:cs="Calibri"/>
          <w:color w:val="auto"/>
          <w:kern w:val="0"/>
          <w:sz w:val="22"/>
          <w:szCs w:val="22"/>
        </w:rPr>
        <w:t xml:space="preserve">, JB 2018, ‘Effects of blind spot monitoring systems on police-reported lane-change crashes’, </w:t>
      </w:r>
      <w:r w:rsidRPr="00452B58">
        <w:rPr>
          <w:rFonts w:ascii="Calibri" w:eastAsia="Calibri" w:hAnsi="Calibri" w:cs="Calibri"/>
          <w:i/>
          <w:iCs/>
          <w:color w:val="auto"/>
          <w:kern w:val="0"/>
          <w:sz w:val="22"/>
          <w:szCs w:val="22"/>
        </w:rPr>
        <w:t>Traffic Injury Prevention</w:t>
      </w:r>
      <w:r w:rsidRPr="00452B58">
        <w:rPr>
          <w:rFonts w:ascii="Calibri" w:eastAsia="Calibri" w:hAnsi="Calibri" w:cs="Calibri"/>
          <w:color w:val="auto"/>
          <w:kern w:val="0"/>
          <w:sz w:val="22"/>
          <w:szCs w:val="22"/>
        </w:rPr>
        <w:t>, vol. 19, no. 6, pp. 615-22.</w:t>
      </w:r>
    </w:p>
    <w:p w14:paraId="1375CC55"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Department of Infrastructure, Transport, Regional Development and Communications</w:t>
      </w:r>
      <w:proofErr w:type="gramStart"/>
      <w:r w:rsidRPr="00452B58">
        <w:rPr>
          <w:rFonts w:ascii="Calibri" w:eastAsia="Calibri" w:hAnsi="Calibri" w:cs="Calibri"/>
          <w:color w:val="auto"/>
          <w:kern w:val="0"/>
          <w:sz w:val="22"/>
          <w:szCs w:val="22"/>
        </w:rPr>
        <w:t xml:space="preserve">   (</w:t>
      </w:r>
      <w:proofErr w:type="gramEnd"/>
      <w:r w:rsidRPr="00452B58">
        <w:rPr>
          <w:rFonts w:ascii="Calibri" w:eastAsia="Calibri" w:hAnsi="Calibri" w:cs="Calibri"/>
          <w:color w:val="auto"/>
          <w:kern w:val="0"/>
          <w:sz w:val="22"/>
          <w:szCs w:val="22"/>
        </w:rPr>
        <w:t>2018), Regulatory Impact Statement National Heavy Vehicle Braking Strategy Phase II – Improving the Stability and Control of Heavy Vehicles, DITRDC, Canberra, ACT.</w:t>
      </w:r>
    </w:p>
    <w:p w14:paraId="292C8217"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shd w:val="clear" w:color="auto" w:fill="FFFFFF"/>
        </w:rPr>
        <w:t>Department of Infrastructure, Transport, Regional Development and Communications</w:t>
      </w:r>
      <w:r w:rsidRPr="00452B58">
        <w:rPr>
          <w:rFonts w:ascii="Calibri" w:eastAsia="Calibri" w:hAnsi="Calibri" w:cs="Calibri"/>
          <w:color w:val="auto"/>
          <w:kern w:val="0"/>
          <w:sz w:val="22"/>
          <w:szCs w:val="22"/>
        </w:rPr>
        <w:t xml:space="preserve"> 2021, ‘Safer freight vehicles: discussion paper’, DITRDC, Canberra, ACT.</w:t>
      </w:r>
    </w:p>
    <w:p w14:paraId="2B878273"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000000"/>
          <w:kern w:val="0"/>
          <w:sz w:val="22"/>
          <w:szCs w:val="22"/>
          <w:shd w:val="clear" w:color="auto" w:fill="FFFFFF"/>
        </w:rPr>
        <w:t>Department of Infrastructure, Transport, Regional Development and Communications</w:t>
      </w:r>
      <w:r w:rsidRPr="00452B58">
        <w:rPr>
          <w:rFonts w:ascii="Calibri" w:eastAsia="Calibri" w:hAnsi="Calibri" w:cs="Calibri"/>
          <w:color w:val="auto"/>
          <w:kern w:val="0"/>
          <w:sz w:val="22"/>
          <w:szCs w:val="22"/>
        </w:rPr>
        <w:t xml:space="preserve"> 2022, </w:t>
      </w:r>
      <w:r w:rsidRPr="00452B58">
        <w:rPr>
          <w:rFonts w:ascii="Calibri" w:eastAsia="Calibri" w:hAnsi="Calibri" w:cs="Calibri"/>
          <w:i/>
          <w:iCs/>
          <w:color w:val="auto"/>
          <w:kern w:val="0"/>
          <w:sz w:val="22"/>
          <w:szCs w:val="22"/>
        </w:rPr>
        <w:t>Reducing heavy vehicle lane departure crashes: consultation regulation impact statement</w:t>
      </w:r>
      <w:r w:rsidRPr="00452B58">
        <w:rPr>
          <w:rFonts w:ascii="Calibri" w:eastAsia="Calibri" w:hAnsi="Calibri" w:cs="Calibri"/>
          <w:color w:val="auto"/>
          <w:kern w:val="0"/>
          <w:sz w:val="22"/>
          <w:szCs w:val="22"/>
        </w:rPr>
        <w:t>, DITRDC, Canberra, ACT, accessed 29 June 2022, &lt;https://www.infrastructure.gov.au/sites/default/files/documents/consultation-ris-ldws.pdf&gt;.</w:t>
      </w:r>
    </w:p>
    <w:p w14:paraId="08A4444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Hart, P 2014, ‘The size and nature of the Australian truck and trailer fleet’, PowerPoint presentation, </w:t>
      </w:r>
      <w:r w:rsidRPr="00452B58">
        <w:rPr>
          <w:rFonts w:ascii="Calibri" w:eastAsia="Calibri" w:hAnsi="Calibri" w:cs="Calibri"/>
          <w:i/>
          <w:iCs/>
          <w:color w:val="auto"/>
          <w:kern w:val="0"/>
          <w:sz w:val="22"/>
          <w:szCs w:val="22"/>
        </w:rPr>
        <w:t xml:space="preserve">Global Truck &amp; Trailer </w:t>
      </w:r>
      <w:proofErr w:type="spellStart"/>
      <w:r w:rsidRPr="00452B58">
        <w:rPr>
          <w:rFonts w:ascii="Calibri" w:eastAsia="Calibri" w:hAnsi="Calibri" w:cs="Calibri"/>
          <w:i/>
          <w:iCs/>
          <w:color w:val="auto"/>
          <w:kern w:val="0"/>
          <w:sz w:val="22"/>
          <w:szCs w:val="22"/>
        </w:rPr>
        <w:t>Leaders</w:t>
      </w:r>
      <w:proofErr w:type="spellEnd"/>
      <w:r w:rsidRPr="00452B58">
        <w:rPr>
          <w:rFonts w:ascii="Calibri" w:eastAsia="Calibri" w:hAnsi="Calibri" w:cs="Calibri"/>
          <w:i/>
          <w:iCs/>
          <w:color w:val="auto"/>
          <w:kern w:val="0"/>
          <w:sz w:val="22"/>
          <w:szCs w:val="22"/>
        </w:rPr>
        <w:t xml:space="preserve"> summit, Melbourne, Australia,</w:t>
      </w:r>
      <w:r w:rsidRPr="00452B58">
        <w:rPr>
          <w:rFonts w:ascii="Calibri" w:eastAsia="Calibri" w:hAnsi="Calibri" w:cs="Calibri"/>
          <w:color w:val="auto"/>
          <w:kern w:val="0"/>
          <w:sz w:val="22"/>
          <w:szCs w:val="22"/>
        </w:rPr>
        <w:t xml:space="preserve"> ARTSA, accessed 29 June 2022, &lt;https://www.artsa.com.au/assets/pdf/2014/s05_03_peter_hart.pdf&gt;.</w:t>
      </w:r>
    </w:p>
    <w:p w14:paraId="20DD259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proofErr w:type="spellStart"/>
      <w:r w:rsidRPr="00452B58">
        <w:rPr>
          <w:rFonts w:ascii="Calibri" w:eastAsia="Calibri" w:hAnsi="Calibri" w:cs="Calibri"/>
          <w:color w:val="auto"/>
          <w:kern w:val="0"/>
          <w:sz w:val="22"/>
          <w:szCs w:val="22"/>
        </w:rPr>
        <w:t>Holtrop</w:t>
      </w:r>
      <w:proofErr w:type="spellEnd"/>
      <w:r w:rsidRPr="00452B58">
        <w:rPr>
          <w:rFonts w:ascii="Calibri" w:eastAsia="Calibri" w:hAnsi="Calibri" w:cs="Calibri"/>
          <w:color w:val="auto"/>
          <w:kern w:val="0"/>
          <w:sz w:val="22"/>
          <w:szCs w:val="22"/>
        </w:rPr>
        <w:t xml:space="preserve"> A, 2000, personal email communication with Martin T.</w:t>
      </w:r>
    </w:p>
    <w:p w14:paraId="5EF84070"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IIHS-HLDI 2020, </w:t>
      </w:r>
      <w:r w:rsidRPr="00452B58">
        <w:rPr>
          <w:rFonts w:ascii="Calibri" w:eastAsia="Calibri" w:hAnsi="Calibri" w:cs="Calibri"/>
          <w:i/>
          <w:iCs/>
          <w:color w:val="auto"/>
          <w:kern w:val="0"/>
          <w:sz w:val="22"/>
          <w:szCs w:val="22"/>
        </w:rPr>
        <w:t>Real-world benefits of crash avoidance technologies</w:t>
      </w:r>
      <w:r w:rsidRPr="00452B58">
        <w:rPr>
          <w:rFonts w:ascii="Calibri" w:eastAsia="Calibri" w:hAnsi="Calibri" w:cs="Calibri"/>
          <w:color w:val="auto"/>
          <w:kern w:val="0"/>
          <w:sz w:val="22"/>
          <w:szCs w:val="22"/>
        </w:rPr>
        <w:t>, Insurance Institute for Highway Safety, Highway Loss Data Institute, accessed 29 June 2022, &lt;https://www.iihs.org/media/259e5bbd-f859-42a7-bd54-3888f7a2d3ef/e9boUQ/Topics/ADVANCED%20DRIVER%20ASSISTANCE/IIHS-real-world-CA-benefits.pdf&gt;.</w:t>
      </w:r>
    </w:p>
    <w:p w14:paraId="74CCEB11"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Jameson, GW, Sharp, KG &amp; </w:t>
      </w:r>
      <w:proofErr w:type="spellStart"/>
      <w:r w:rsidRPr="00452B58">
        <w:rPr>
          <w:rFonts w:ascii="Calibri" w:eastAsia="Calibri" w:hAnsi="Calibri" w:cs="Calibri"/>
          <w:color w:val="auto"/>
          <w:kern w:val="0"/>
          <w:sz w:val="22"/>
          <w:szCs w:val="22"/>
        </w:rPr>
        <w:t>Vertessy</w:t>
      </w:r>
      <w:proofErr w:type="spellEnd"/>
      <w:r w:rsidRPr="00452B58">
        <w:rPr>
          <w:rFonts w:ascii="Calibri" w:eastAsia="Calibri" w:hAnsi="Calibri" w:cs="Calibri"/>
          <w:color w:val="auto"/>
          <w:kern w:val="0"/>
          <w:sz w:val="22"/>
          <w:szCs w:val="22"/>
        </w:rPr>
        <w:t xml:space="preserve">, NJ 1992, </w:t>
      </w:r>
      <w:r w:rsidRPr="00452B58">
        <w:rPr>
          <w:rFonts w:ascii="Calibri" w:eastAsia="Calibri" w:hAnsi="Calibri" w:cs="Calibri"/>
          <w:i/>
          <w:iCs/>
          <w:color w:val="auto"/>
          <w:kern w:val="0"/>
          <w:sz w:val="22"/>
          <w:szCs w:val="22"/>
        </w:rPr>
        <w:t>Full-depth asphalt pavement fatigue under accelerated loading: the Mulgrave (Victoria) ALF trial, 1989/91</w:t>
      </w:r>
      <w:r w:rsidRPr="00452B58">
        <w:rPr>
          <w:rFonts w:ascii="Calibri" w:eastAsia="Calibri" w:hAnsi="Calibri" w:cs="Calibri"/>
          <w:color w:val="auto"/>
          <w:kern w:val="0"/>
          <w:sz w:val="22"/>
          <w:szCs w:val="22"/>
        </w:rPr>
        <w:t>, research report ARR 224, Australian Road Research Board, Vermont South, Vic.</w:t>
      </w:r>
    </w:p>
    <w:p w14:paraId="7462D7F8"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Miller, EJ &amp; </w:t>
      </w:r>
      <w:proofErr w:type="spellStart"/>
      <w:r w:rsidRPr="00452B58">
        <w:rPr>
          <w:rFonts w:ascii="Calibri" w:eastAsia="Calibri" w:hAnsi="Calibri" w:cs="Calibri"/>
          <w:color w:val="auto"/>
          <w:kern w:val="0"/>
          <w:sz w:val="22"/>
          <w:szCs w:val="22"/>
        </w:rPr>
        <w:t>Steuart</w:t>
      </w:r>
      <w:proofErr w:type="spellEnd"/>
      <w:r w:rsidRPr="00452B58">
        <w:rPr>
          <w:rFonts w:ascii="Calibri" w:eastAsia="Calibri" w:hAnsi="Calibri" w:cs="Calibri"/>
          <w:color w:val="auto"/>
          <w:kern w:val="0"/>
          <w:sz w:val="22"/>
          <w:szCs w:val="22"/>
        </w:rPr>
        <w:t xml:space="preserve">, GN 1982, ‘Vehicle lateral placements on urban roads’, </w:t>
      </w:r>
      <w:r w:rsidRPr="00452B58">
        <w:rPr>
          <w:rFonts w:ascii="Calibri" w:eastAsia="Calibri" w:hAnsi="Calibri" w:cs="Calibri"/>
          <w:i/>
          <w:iCs/>
          <w:color w:val="auto"/>
          <w:kern w:val="0"/>
          <w:sz w:val="22"/>
          <w:szCs w:val="22"/>
        </w:rPr>
        <w:t>Transportation Engineering Journal of the American Society of Civil Engineers</w:t>
      </w:r>
      <w:r w:rsidRPr="00452B58">
        <w:rPr>
          <w:rFonts w:ascii="Calibri" w:eastAsia="Calibri" w:hAnsi="Calibri" w:cs="Calibri"/>
          <w:color w:val="auto"/>
          <w:kern w:val="0"/>
          <w:sz w:val="22"/>
          <w:szCs w:val="22"/>
        </w:rPr>
        <w:t>, vol. 108, no. 5, pp. 495-508</w:t>
      </w:r>
    </w:p>
    <w:p w14:paraId="0F043B69"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Morgan, C 2001, </w:t>
      </w:r>
      <w:r w:rsidRPr="00452B58">
        <w:rPr>
          <w:rFonts w:ascii="Calibri" w:eastAsia="Calibri" w:hAnsi="Calibri" w:cs="Calibri"/>
          <w:i/>
          <w:iCs/>
          <w:color w:val="auto"/>
          <w:kern w:val="0"/>
          <w:sz w:val="22"/>
          <w:szCs w:val="22"/>
        </w:rPr>
        <w:t>The effectiveness of retroreflective tape on heavy trailers,</w:t>
      </w:r>
      <w:r w:rsidRPr="00452B58">
        <w:rPr>
          <w:rFonts w:ascii="Calibri" w:eastAsia="Calibri" w:hAnsi="Calibri" w:cs="Calibri"/>
          <w:color w:val="auto"/>
          <w:kern w:val="0"/>
          <w:sz w:val="22"/>
          <w:szCs w:val="22"/>
        </w:rPr>
        <w:t xml:space="preserve"> National Highway Traffic and Safety Administration (NHTSA), Washington, DC, USA.</w:t>
      </w:r>
    </w:p>
    <w:p w14:paraId="3067D76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NTARC 2021, </w:t>
      </w:r>
      <w:r w:rsidRPr="00452B58">
        <w:rPr>
          <w:rFonts w:ascii="Calibri" w:eastAsia="Calibri" w:hAnsi="Calibri" w:cs="Calibri"/>
          <w:i/>
          <w:iCs/>
          <w:color w:val="auto"/>
          <w:kern w:val="0"/>
          <w:sz w:val="22"/>
          <w:szCs w:val="22"/>
        </w:rPr>
        <w:t xml:space="preserve">Review of major crash rates for Australian higher productivity vehicles: 2015 – 2019, </w:t>
      </w:r>
      <w:r w:rsidRPr="00452B58">
        <w:rPr>
          <w:rFonts w:ascii="Calibri" w:eastAsia="Calibri" w:hAnsi="Calibri" w:cs="Calibri"/>
          <w:color w:val="auto"/>
          <w:kern w:val="0"/>
          <w:sz w:val="22"/>
          <w:szCs w:val="22"/>
        </w:rPr>
        <w:t xml:space="preserve">report prepared for National Heavy Vehicle Regulator, </w:t>
      </w:r>
      <w:r w:rsidRPr="00452B58">
        <w:rPr>
          <w:rFonts w:ascii="Calibri" w:eastAsia="Calibri" w:hAnsi="Calibri" w:cs="Calibri"/>
          <w:color w:val="auto"/>
          <w:kern w:val="0"/>
          <w:sz w:val="22"/>
          <w:szCs w:val="22"/>
          <w:shd w:val="clear" w:color="auto" w:fill="FFFFFF"/>
        </w:rPr>
        <w:t>National Truck Accident Research Centre.</w:t>
      </w:r>
    </w:p>
    <w:p w14:paraId="1AC057D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OBPR 2020, </w:t>
      </w:r>
      <w:r w:rsidRPr="00452B58">
        <w:rPr>
          <w:rFonts w:ascii="Calibri" w:eastAsia="Calibri" w:hAnsi="Calibri" w:cs="Calibri"/>
          <w:i/>
          <w:iCs/>
          <w:color w:val="auto"/>
          <w:kern w:val="0"/>
          <w:sz w:val="22"/>
          <w:szCs w:val="22"/>
        </w:rPr>
        <w:t>Australian Government guide to regulatory impact analysis</w:t>
      </w:r>
      <w:r w:rsidRPr="00452B58">
        <w:rPr>
          <w:rFonts w:ascii="Calibri" w:eastAsia="Calibri" w:hAnsi="Calibri" w:cs="Calibri"/>
          <w:color w:val="auto"/>
          <w:kern w:val="0"/>
          <w:sz w:val="22"/>
          <w:szCs w:val="22"/>
        </w:rPr>
        <w:t>, Office of Best Practice Regulation website, Canberra, ACT, accessed 29 June 2022, &lt;https://obpr.pmc.gov.au/resources/guidance-impact-analysis/australian-government-guide-regulatory-impact-analysis&gt;.</w:t>
      </w:r>
    </w:p>
    <w:p w14:paraId="5FF70535"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Pauls, J 1925, ‘Transverse distributions of motor vehicle traffic on paved highways’, </w:t>
      </w:r>
      <w:r w:rsidRPr="00452B58">
        <w:rPr>
          <w:rFonts w:ascii="Calibri" w:eastAsia="Calibri" w:hAnsi="Calibri" w:cs="Calibri"/>
          <w:i/>
          <w:iCs/>
          <w:color w:val="auto"/>
          <w:kern w:val="0"/>
          <w:sz w:val="22"/>
          <w:szCs w:val="22"/>
        </w:rPr>
        <w:t>Public Roads</w:t>
      </w:r>
      <w:r w:rsidRPr="00452B58">
        <w:rPr>
          <w:rFonts w:ascii="Calibri" w:eastAsia="Calibri" w:hAnsi="Calibri" w:cs="Calibri"/>
          <w:color w:val="auto"/>
          <w:kern w:val="0"/>
          <w:sz w:val="22"/>
          <w:szCs w:val="22"/>
        </w:rPr>
        <w:t>, vol. 6, no. 1, pp. 1-13.</w:t>
      </w:r>
    </w:p>
    <w:p w14:paraId="228FB93E"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Power Torque 2022, ‘Truck and trailer data released’, </w:t>
      </w:r>
      <w:r w:rsidRPr="00452B58">
        <w:rPr>
          <w:rFonts w:ascii="Calibri" w:eastAsia="Calibri" w:hAnsi="Calibri" w:cs="Calibri"/>
          <w:i/>
          <w:iCs/>
          <w:color w:val="auto"/>
          <w:kern w:val="0"/>
          <w:sz w:val="22"/>
          <w:szCs w:val="22"/>
        </w:rPr>
        <w:t>Power Torque</w:t>
      </w:r>
      <w:r w:rsidRPr="00452B58">
        <w:rPr>
          <w:rFonts w:ascii="Calibri" w:eastAsia="Calibri" w:hAnsi="Calibri" w:cs="Calibri"/>
          <w:color w:val="auto"/>
          <w:kern w:val="0"/>
          <w:sz w:val="22"/>
          <w:szCs w:val="22"/>
        </w:rPr>
        <w:t xml:space="preserve">, accessed 29 June 2022, &lt;https://powertorque.com.au/truck-trailer-data-released/&gt;. </w:t>
      </w:r>
    </w:p>
    <w:p w14:paraId="7EC24414"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Prime Mover Magazine 2020, ‘Autonomous Emergency Braking System (AEBS)’, </w:t>
      </w:r>
      <w:r w:rsidRPr="00452B58">
        <w:rPr>
          <w:rFonts w:ascii="Calibri" w:eastAsia="Calibri" w:hAnsi="Calibri" w:cs="Calibri"/>
          <w:i/>
          <w:iCs/>
          <w:color w:val="auto"/>
          <w:kern w:val="0"/>
          <w:sz w:val="22"/>
          <w:szCs w:val="22"/>
        </w:rPr>
        <w:t>Prime Mover</w:t>
      </w:r>
      <w:r w:rsidRPr="00452B58">
        <w:rPr>
          <w:rFonts w:ascii="Calibri" w:eastAsia="Calibri" w:hAnsi="Calibri" w:cs="Calibri"/>
          <w:color w:val="auto"/>
          <w:kern w:val="0"/>
          <w:sz w:val="22"/>
          <w:szCs w:val="22"/>
        </w:rPr>
        <w:t>, 13 February 2020, accessed 27 June 2022, &lt;https://www.primemovermag.com.au/autonomous-emergency-braking-system-aebs/&gt;.</w:t>
      </w:r>
    </w:p>
    <w:p w14:paraId="7DBABB2F"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USDOT 2012, ‘Cost of driver assistance packages that include vision-based departure warning systems range from $295 to $2800’, </w:t>
      </w:r>
      <w:r w:rsidRPr="00452B58">
        <w:rPr>
          <w:rFonts w:ascii="Calibri" w:eastAsia="Calibri" w:hAnsi="Calibri" w:cs="Calibri"/>
          <w:i/>
          <w:iCs/>
          <w:color w:val="auto"/>
          <w:kern w:val="0"/>
          <w:sz w:val="22"/>
          <w:szCs w:val="22"/>
        </w:rPr>
        <w:t>Intelligent Transportation Systems Joint Program Office</w:t>
      </w:r>
      <w:r w:rsidRPr="00452B58">
        <w:rPr>
          <w:rFonts w:ascii="Calibri" w:eastAsia="Calibri" w:hAnsi="Calibri" w:cs="Calibri"/>
          <w:color w:val="auto"/>
          <w:kern w:val="0"/>
          <w:sz w:val="22"/>
          <w:szCs w:val="22"/>
        </w:rPr>
        <w:t>, 2 October 2012, accessed 29 June 2022, &lt;https://www.itskrs.its.dot.gov/its/benecost.nsf/ID/20de3ff778a1450a85257a77005e2fca#:~:text=Cost%20of%20Driver%20Assistance%20packages,range%20from%20%24295%20to%20%242800&gt;.</w:t>
      </w:r>
    </w:p>
    <w:p w14:paraId="7FABE717"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USDOT 2013, ‘Blind spot monitoring systems’, </w:t>
      </w:r>
      <w:r w:rsidRPr="00452B58">
        <w:rPr>
          <w:rFonts w:ascii="Calibri" w:eastAsia="Calibri" w:hAnsi="Calibri" w:cs="Calibri"/>
          <w:i/>
          <w:iCs/>
          <w:color w:val="auto"/>
          <w:kern w:val="0"/>
          <w:sz w:val="22"/>
          <w:szCs w:val="22"/>
        </w:rPr>
        <w:t>Intelligent Transportation Systems Joint Program Office</w:t>
      </w:r>
      <w:r w:rsidRPr="00452B58">
        <w:rPr>
          <w:rFonts w:ascii="Calibri" w:eastAsia="Calibri" w:hAnsi="Calibri" w:cs="Calibri"/>
          <w:color w:val="auto"/>
          <w:kern w:val="0"/>
          <w:sz w:val="22"/>
          <w:szCs w:val="22"/>
        </w:rPr>
        <w:t>, 19 November 2013, accessed 29 June 2022, &lt;https://www.itskrs.its.dot.gov/its/benecost.nsf/ID/ed0b2c09ba1da34f85257c070064f703#:~:text=Home%20%2F-,Blind%20spot%20monitoring%20systems%20can%20range%20f rom%20%24200%20%2D%20%24395%20</w:t>
      </w:r>
      <w:proofErr w:type="gramStart"/>
      <w:r w:rsidRPr="00452B58">
        <w:rPr>
          <w:rFonts w:ascii="Calibri" w:eastAsia="Calibri" w:hAnsi="Calibri" w:cs="Calibri"/>
          <w:color w:val="auto"/>
          <w:kern w:val="0"/>
          <w:sz w:val="22"/>
          <w:szCs w:val="22"/>
        </w:rPr>
        <w:t>and,Change</w:t>
      </w:r>
      <w:proofErr w:type="gramEnd"/>
      <w:r w:rsidRPr="00452B58">
        <w:rPr>
          <w:rFonts w:ascii="Calibri" w:eastAsia="Calibri" w:hAnsi="Calibri" w:cs="Calibri"/>
          <w:color w:val="auto"/>
          <w:kern w:val="0"/>
          <w:sz w:val="22"/>
          <w:szCs w:val="22"/>
        </w:rPr>
        <w:t>%20Assist%20(LCA)%20systems&gt;.</w:t>
      </w:r>
    </w:p>
    <w:p w14:paraId="00CD68A7" w14:textId="77777777" w:rsidR="00452B58" w:rsidRPr="00452B58" w:rsidRDefault="00452B58" w:rsidP="00452B58">
      <w:pPr>
        <w:suppressAutoHyphens w:val="0"/>
        <w:spacing w:before="0" w:after="160" w:line="259" w:lineRule="auto"/>
        <w:rPr>
          <w:rFonts w:ascii="Calibri" w:eastAsia="Calibri" w:hAnsi="Calibri" w:cs="Times New Roman"/>
          <w:color w:val="auto"/>
          <w:kern w:val="0"/>
          <w:sz w:val="22"/>
          <w:szCs w:val="22"/>
        </w:rPr>
      </w:pPr>
      <w:r w:rsidRPr="00452B58">
        <w:rPr>
          <w:rFonts w:ascii="Calibri" w:eastAsia="Calibri" w:hAnsi="Calibri" w:cs="Times New Roman"/>
          <w:color w:val="auto"/>
          <w:kern w:val="0"/>
          <w:sz w:val="22"/>
          <w:szCs w:val="22"/>
        </w:rPr>
        <w:br w:type="page"/>
      </w:r>
    </w:p>
    <w:p w14:paraId="6334758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E8EACD7" w14:textId="77777777" w:rsidR="00452B58" w:rsidRPr="00452B58" w:rsidRDefault="00452B58" w:rsidP="00F2517A">
      <w:pPr>
        <w:pStyle w:val="ARRBBaseHeadingApp"/>
      </w:pPr>
      <w:bookmarkStart w:id="317" w:name="_Ref111140114"/>
      <w:bookmarkStart w:id="318" w:name="_Ref111140118"/>
      <w:bookmarkStart w:id="319" w:name="_Toc137731691"/>
      <w:bookmarkStart w:id="320" w:name="BM_LastPage"/>
      <w:r w:rsidRPr="00452B58">
        <w:t>Average Vehicle Operating Costs</w:t>
      </w:r>
      <w:bookmarkEnd w:id="317"/>
      <w:bookmarkEnd w:id="318"/>
      <w:bookmarkEnd w:id="319"/>
    </w:p>
    <w:p w14:paraId="72899AC1" w14:textId="77777777" w:rsidR="00452B58" w:rsidRPr="00452B58" w:rsidRDefault="00452B58" w:rsidP="00F2517A">
      <w:pPr>
        <w:pStyle w:val="ARRBBaseHeadingAppsub"/>
        <w:rPr>
          <w:rFonts w:hint="eastAsia"/>
        </w:rPr>
      </w:pPr>
      <w:r w:rsidRPr="00452B58">
        <w:t>VOCs for Non-refrigerated 2.50 m Wide Vehicles and Trailers</w:t>
      </w:r>
    </w:p>
    <w:p w14:paraId="2402D8A0" w14:textId="2622ABEA"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vehicle operating costs used in this analysis are sourced from ATAP PV2 Road Parameter Values. The average VOC used for vehicles is the average of medium and heavy rigid trucks taken from this source as shown in 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1C3D2501" w14:textId="0E727C1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1" w:name="_Ref112327498"/>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32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(rigid) vehicle operating costs</w:t>
      </w:r>
    </w:p>
    <w:tbl>
      <w:tblPr>
        <w:tblStyle w:val="ARRBTableStyle"/>
        <w:tblW w:w="0" w:type="auto"/>
        <w:tblLook w:val="04A0" w:firstRow="1" w:lastRow="0" w:firstColumn="1" w:lastColumn="0" w:noHBand="0" w:noVBand="1"/>
      </w:tblPr>
      <w:tblGrid>
        <w:gridCol w:w="3208"/>
        <w:gridCol w:w="3210"/>
        <w:gridCol w:w="3210"/>
      </w:tblGrid>
      <w:tr w:rsidR="00452B58" w:rsidRPr="00452B58" w14:paraId="039D1C59" w14:textId="77777777" w:rsidTr="00452B58">
        <w:trPr>
          <w:cnfStyle w:val="100000000000" w:firstRow="1" w:lastRow="0" w:firstColumn="0" w:lastColumn="0" w:oddVBand="0" w:evenVBand="0" w:oddHBand="0" w:evenHBand="0" w:firstRowFirstColumn="0" w:firstRowLastColumn="0" w:lastRowFirstColumn="0" w:lastRowLastColumn="0"/>
        </w:trPr>
        <w:tc>
          <w:tcPr>
            <w:tcW w:w="3212" w:type="dxa"/>
          </w:tcPr>
          <w:p w14:paraId="70C157A6" w14:textId="77777777" w:rsidR="00452B58" w:rsidRPr="00452B58" w:rsidRDefault="00452B58" w:rsidP="00452B58">
            <w:pPr>
              <w:keepNext/>
              <w:suppressAutoHyphens w:val="0"/>
              <w:spacing w:before="40" w:after="40"/>
              <w:rPr>
                <w:rFonts w:eastAsia="Calibri"/>
                <w:kern w:val="0"/>
                <w:szCs w:val="22"/>
              </w:rPr>
            </w:pPr>
          </w:p>
        </w:tc>
        <w:tc>
          <w:tcPr>
            <w:tcW w:w="3213" w:type="dxa"/>
          </w:tcPr>
          <w:p w14:paraId="444C75AA"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Included vehicles</w:t>
            </w:r>
          </w:p>
        </w:tc>
        <w:tc>
          <w:tcPr>
            <w:tcW w:w="3213" w:type="dxa"/>
          </w:tcPr>
          <w:p w14:paraId="444AC610"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Parameter values (cents per km)</w:t>
            </w:r>
          </w:p>
        </w:tc>
      </w:tr>
      <w:tr w:rsidR="00452B58" w:rsidRPr="00452B58" w14:paraId="06426ECE" w14:textId="77777777" w:rsidTr="00452B58">
        <w:tc>
          <w:tcPr>
            <w:tcW w:w="3212" w:type="dxa"/>
            <w:vMerge w:val="restart"/>
          </w:tcPr>
          <w:p w14:paraId="3D552F3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VOCs</w:t>
            </w:r>
          </w:p>
        </w:tc>
        <w:tc>
          <w:tcPr>
            <w:tcW w:w="3213" w:type="dxa"/>
          </w:tcPr>
          <w:p w14:paraId="0801234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07. Medium rigid</w:t>
            </w:r>
          </w:p>
        </w:tc>
        <w:tc>
          <w:tcPr>
            <w:tcW w:w="3213" w:type="dxa"/>
          </w:tcPr>
          <w:p w14:paraId="2EB2390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65.80</w:t>
            </w:r>
          </w:p>
        </w:tc>
      </w:tr>
      <w:tr w:rsidR="00452B58" w:rsidRPr="00452B58" w14:paraId="6EA5073A" w14:textId="77777777" w:rsidTr="00452B58">
        <w:tc>
          <w:tcPr>
            <w:tcW w:w="3212" w:type="dxa"/>
            <w:vMerge/>
            <w:tcBorders>
              <w:bottom w:val="single" w:sz="12" w:space="0" w:color="8B8D8E"/>
            </w:tcBorders>
          </w:tcPr>
          <w:p w14:paraId="3DA17D39"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Borders>
              <w:bottom w:val="single" w:sz="12" w:space="0" w:color="8B8D8E"/>
            </w:tcBorders>
          </w:tcPr>
          <w:p w14:paraId="774DC9D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08. Heavy rigid</w:t>
            </w:r>
          </w:p>
        </w:tc>
        <w:tc>
          <w:tcPr>
            <w:tcW w:w="3213" w:type="dxa"/>
            <w:tcBorders>
              <w:bottom w:val="single" w:sz="12" w:space="0" w:color="8B8D8E"/>
            </w:tcBorders>
          </w:tcPr>
          <w:p w14:paraId="7E466BD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83.09</w:t>
            </w:r>
          </w:p>
        </w:tc>
      </w:tr>
      <w:tr w:rsidR="00452B58" w:rsidRPr="00452B58" w14:paraId="4A80DB2A" w14:textId="77777777" w:rsidTr="00452B58">
        <w:tc>
          <w:tcPr>
            <w:tcW w:w="6425" w:type="dxa"/>
            <w:gridSpan w:val="2"/>
            <w:tcBorders>
              <w:top w:val="single" w:sz="12" w:space="0" w:color="8B8D8E"/>
            </w:tcBorders>
          </w:tcPr>
          <w:p w14:paraId="4C13255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Average:</w:t>
            </w:r>
          </w:p>
        </w:tc>
        <w:tc>
          <w:tcPr>
            <w:tcW w:w="3213" w:type="dxa"/>
            <w:tcBorders>
              <w:top w:val="single" w:sz="12" w:space="0" w:color="8B8D8E"/>
            </w:tcBorders>
          </w:tcPr>
          <w:p w14:paraId="158C82C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74.45</w:t>
            </w:r>
          </w:p>
        </w:tc>
      </w:tr>
    </w:tbl>
    <w:p w14:paraId="4C64A4D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138F23" w14:textId="21C45EB2"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determine the average operating cost of trailers in the analysis, a standard three-axle semitrailer was used. Data from two sources suggested that semi-trailers comprise about two-thirds of all in-service trailers, and therefore an even greater percentage of goods trailers. These are shown in 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w:t>
      </w:r>
    </w:p>
    <w:p w14:paraId="256707CF" w14:textId="6246880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2" w:name="_Ref112327504"/>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32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Trailer type share in the trailer fleet</w:t>
      </w:r>
    </w:p>
    <w:tbl>
      <w:tblPr>
        <w:tblStyle w:val="ARRBTableStyle"/>
        <w:tblW w:w="9634" w:type="dxa"/>
        <w:tblLook w:val="04A0" w:firstRow="1" w:lastRow="0" w:firstColumn="1" w:lastColumn="0" w:noHBand="0" w:noVBand="1"/>
      </w:tblPr>
      <w:tblGrid>
        <w:gridCol w:w="1980"/>
        <w:gridCol w:w="1873"/>
        <w:gridCol w:w="1954"/>
        <w:gridCol w:w="1900"/>
        <w:gridCol w:w="1927"/>
      </w:tblGrid>
      <w:tr w:rsidR="00452B58" w:rsidRPr="00452B58" w14:paraId="2E4B5198"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14:paraId="7CA35EB8" w14:textId="77777777"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Trailer type</w:t>
            </w:r>
          </w:p>
        </w:tc>
        <w:tc>
          <w:tcPr>
            <w:tcW w:w="1873" w:type="dxa"/>
            <w:hideMark/>
          </w:tcPr>
          <w:p w14:paraId="2275C6D6"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In-service fleet</w:t>
            </w:r>
          </w:p>
        </w:tc>
        <w:tc>
          <w:tcPr>
            <w:tcW w:w="1954" w:type="dxa"/>
            <w:hideMark/>
          </w:tcPr>
          <w:p w14:paraId="1B59BB50"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w:t>
            </w:r>
          </w:p>
        </w:tc>
        <w:tc>
          <w:tcPr>
            <w:tcW w:w="1900" w:type="dxa"/>
            <w:hideMark/>
          </w:tcPr>
          <w:p w14:paraId="5C73AF0C"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In-service fleet</w:t>
            </w:r>
          </w:p>
        </w:tc>
        <w:tc>
          <w:tcPr>
            <w:tcW w:w="1927" w:type="dxa"/>
            <w:hideMark/>
          </w:tcPr>
          <w:p w14:paraId="5D0F4808"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w:t>
            </w:r>
          </w:p>
        </w:tc>
      </w:tr>
      <w:tr w:rsidR="00452B58" w:rsidRPr="00452B58" w14:paraId="01765A5E" w14:textId="77777777" w:rsidTr="00452B58">
        <w:trPr>
          <w:trHeight w:val="300"/>
        </w:trPr>
        <w:tc>
          <w:tcPr>
            <w:tcW w:w="1980" w:type="dxa"/>
            <w:hideMark/>
          </w:tcPr>
          <w:p w14:paraId="1A86034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Semi-trailers</w:t>
            </w:r>
          </w:p>
        </w:tc>
        <w:tc>
          <w:tcPr>
            <w:tcW w:w="1873" w:type="dxa"/>
            <w:hideMark/>
          </w:tcPr>
          <w:p w14:paraId="223839B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148,000</w:t>
            </w:r>
          </w:p>
        </w:tc>
        <w:tc>
          <w:tcPr>
            <w:tcW w:w="1954" w:type="dxa"/>
            <w:hideMark/>
          </w:tcPr>
          <w:p w14:paraId="620C196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65%</w:t>
            </w:r>
          </w:p>
        </w:tc>
        <w:tc>
          <w:tcPr>
            <w:tcW w:w="1900" w:type="dxa"/>
            <w:hideMark/>
          </w:tcPr>
          <w:p w14:paraId="05371CB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&gt; 150,000</w:t>
            </w:r>
          </w:p>
        </w:tc>
        <w:tc>
          <w:tcPr>
            <w:tcW w:w="1927" w:type="dxa"/>
            <w:hideMark/>
          </w:tcPr>
          <w:p w14:paraId="2E54ACC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w:t>
            </w:r>
          </w:p>
        </w:tc>
      </w:tr>
      <w:tr w:rsidR="00452B58" w:rsidRPr="00452B58" w14:paraId="2511F206" w14:textId="77777777" w:rsidTr="00452B58">
        <w:trPr>
          <w:trHeight w:val="300"/>
        </w:trPr>
        <w:tc>
          <w:tcPr>
            <w:tcW w:w="1980" w:type="dxa"/>
            <w:hideMark/>
          </w:tcPr>
          <w:p w14:paraId="3475817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Lead trailers</w:t>
            </w:r>
          </w:p>
        </w:tc>
        <w:tc>
          <w:tcPr>
            <w:tcW w:w="1873" w:type="dxa"/>
            <w:hideMark/>
          </w:tcPr>
          <w:p w14:paraId="1AF4B0B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21,000</w:t>
            </w:r>
          </w:p>
        </w:tc>
        <w:tc>
          <w:tcPr>
            <w:tcW w:w="1954" w:type="dxa"/>
            <w:hideMark/>
          </w:tcPr>
          <w:p w14:paraId="382C0C7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900" w:type="dxa"/>
            <w:hideMark/>
          </w:tcPr>
          <w:p w14:paraId="0CE751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&gt; 22,000</w:t>
            </w:r>
          </w:p>
        </w:tc>
        <w:tc>
          <w:tcPr>
            <w:tcW w:w="1927" w:type="dxa"/>
            <w:hideMark/>
          </w:tcPr>
          <w:p w14:paraId="2135B94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14:paraId="506E1CBC" w14:textId="77777777" w:rsidTr="00452B58">
        <w:trPr>
          <w:trHeight w:val="300"/>
        </w:trPr>
        <w:tc>
          <w:tcPr>
            <w:tcW w:w="1980" w:type="dxa"/>
            <w:hideMark/>
          </w:tcPr>
          <w:p w14:paraId="3C7E951D"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Dog trailers</w:t>
            </w:r>
          </w:p>
        </w:tc>
        <w:tc>
          <w:tcPr>
            <w:tcW w:w="1873" w:type="dxa"/>
            <w:hideMark/>
          </w:tcPr>
          <w:p w14:paraId="5F2B579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18,000</w:t>
            </w:r>
          </w:p>
        </w:tc>
        <w:tc>
          <w:tcPr>
            <w:tcW w:w="1954" w:type="dxa"/>
            <w:hideMark/>
          </w:tcPr>
          <w:p w14:paraId="1CCB54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900" w:type="dxa"/>
            <w:hideMark/>
          </w:tcPr>
          <w:p w14:paraId="3F6E0D2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18,691</w:t>
            </w:r>
          </w:p>
        </w:tc>
        <w:tc>
          <w:tcPr>
            <w:tcW w:w="1927" w:type="dxa"/>
            <w:hideMark/>
          </w:tcPr>
          <w:p w14:paraId="7BFA67D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022E5877" w14:textId="77777777" w:rsidTr="00452B58">
        <w:trPr>
          <w:trHeight w:val="300"/>
        </w:trPr>
        <w:tc>
          <w:tcPr>
            <w:tcW w:w="1980" w:type="dxa"/>
            <w:hideMark/>
          </w:tcPr>
          <w:p w14:paraId="2B5147B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Pig trailers</w:t>
            </w:r>
          </w:p>
        </w:tc>
        <w:tc>
          <w:tcPr>
            <w:tcW w:w="1873" w:type="dxa"/>
            <w:hideMark/>
          </w:tcPr>
          <w:p w14:paraId="6839152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12,000</w:t>
            </w:r>
          </w:p>
        </w:tc>
        <w:tc>
          <w:tcPr>
            <w:tcW w:w="1954" w:type="dxa"/>
            <w:hideMark/>
          </w:tcPr>
          <w:p w14:paraId="70ECE1D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c>
          <w:tcPr>
            <w:tcW w:w="1900" w:type="dxa"/>
            <w:vMerge w:val="restart"/>
            <w:vAlign w:val="center"/>
            <w:hideMark/>
          </w:tcPr>
          <w:p w14:paraId="4AA1C8A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&lt; 43,568</w:t>
            </w:r>
          </w:p>
        </w:tc>
        <w:tc>
          <w:tcPr>
            <w:tcW w:w="1927" w:type="dxa"/>
            <w:vMerge w:val="restart"/>
            <w:vAlign w:val="center"/>
            <w:hideMark/>
          </w:tcPr>
          <w:p w14:paraId="3B9C9C8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r>
      <w:tr w:rsidR="00452B58" w:rsidRPr="00452B58" w14:paraId="71EB2507" w14:textId="77777777" w:rsidTr="00452B58">
        <w:trPr>
          <w:trHeight w:val="300"/>
        </w:trPr>
        <w:tc>
          <w:tcPr>
            <w:tcW w:w="1980" w:type="dxa"/>
            <w:hideMark/>
          </w:tcPr>
          <w:p w14:paraId="47048A2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Dolly trailers</w:t>
            </w:r>
          </w:p>
        </w:tc>
        <w:tc>
          <w:tcPr>
            <w:tcW w:w="1873" w:type="dxa"/>
            <w:hideMark/>
          </w:tcPr>
          <w:p w14:paraId="1434A12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22,000</w:t>
            </w:r>
          </w:p>
        </w:tc>
        <w:tc>
          <w:tcPr>
            <w:tcW w:w="1954" w:type="dxa"/>
            <w:hideMark/>
          </w:tcPr>
          <w:p w14:paraId="4216713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900" w:type="dxa"/>
            <w:vMerge/>
            <w:hideMark/>
          </w:tcPr>
          <w:p w14:paraId="720218FA"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27" w:type="dxa"/>
            <w:vMerge/>
            <w:hideMark/>
          </w:tcPr>
          <w:p w14:paraId="55853265"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2F62F72D" w14:textId="77777777" w:rsidTr="00452B58">
        <w:trPr>
          <w:trHeight w:val="300"/>
        </w:trPr>
        <w:tc>
          <w:tcPr>
            <w:tcW w:w="1980" w:type="dxa"/>
            <w:hideMark/>
          </w:tcPr>
          <w:p w14:paraId="64F883AA"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 (e.g. specialty)</w:t>
            </w:r>
          </w:p>
        </w:tc>
        <w:tc>
          <w:tcPr>
            <w:tcW w:w="1873" w:type="dxa"/>
            <w:hideMark/>
          </w:tcPr>
          <w:p w14:paraId="2CDFEFF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6,000</w:t>
            </w:r>
          </w:p>
        </w:tc>
        <w:tc>
          <w:tcPr>
            <w:tcW w:w="1954" w:type="dxa"/>
            <w:hideMark/>
          </w:tcPr>
          <w:p w14:paraId="2606B7F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900" w:type="dxa"/>
            <w:vMerge/>
            <w:hideMark/>
          </w:tcPr>
          <w:p w14:paraId="6ACB7C21"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27" w:type="dxa"/>
            <w:vMerge/>
            <w:hideMark/>
          </w:tcPr>
          <w:p w14:paraId="1B65E7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3EE3C377" w14:textId="77777777" w:rsidTr="00452B58">
        <w:trPr>
          <w:trHeight w:val="300"/>
        </w:trPr>
        <w:tc>
          <w:tcPr>
            <w:tcW w:w="1980" w:type="dxa"/>
            <w:hideMark/>
          </w:tcPr>
          <w:p w14:paraId="02B151E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TOTAL</w:t>
            </w:r>
          </w:p>
        </w:tc>
        <w:tc>
          <w:tcPr>
            <w:tcW w:w="1873" w:type="dxa"/>
            <w:hideMark/>
          </w:tcPr>
          <w:p w14:paraId="67A04C4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227,000</w:t>
            </w:r>
          </w:p>
        </w:tc>
        <w:tc>
          <w:tcPr>
            <w:tcW w:w="1954" w:type="dxa"/>
            <w:hideMark/>
          </w:tcPr>
          <w:p w14:paraId="0B9C456D"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00" w:type="dxa"/>
            <w:hideMark/>
          </w:tcPr>
          <w:p w14:paraId="05201F1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234,259</w:t>
            </w:r>
          </w:p>
        </w:tc>
        <w:tc>
          <w:tcPr>
            <w:tcW w:w="1927" w:type="dxa"/>
            <w:hideMark/>
          </w:tcPr>
          <w:p w14:paraId="3C55B3E9"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27724E74" w14:textId="77777777" w:rsidTr="00452B58">
        <w:trPr>
          <w:trHeight w:val="300"/>
        </w:trPr>
        <w:tc>
          <w:tcPr>
            <w:tcW w:w="1980" w:type="dxa"/>
            <w:noWrap/>
            <w:hideMark/>
          </w:tcPr>
          <w:p w14:paraId="42CE938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Sources:</w:t>
            </w:r>
          </w:p>
        </w:tc>
        <w:tc>
          <w:tcPr>
            <w:tcW w:w="3827" w:type="dxa"/>
            <w:gridSpan w:val="2"/>
            <w:hideMark/>
          </w:tcPr>
          <w:p w14:paraId="09FF9AF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Hart (2014)</w:t>
            </w:r>
          </w:p>
        </w:tc>
        <w:tc>
          <w:tcPr>
            <w:tcW w:w="3827" w:type="dxa"/>
            <w:gridSpan w:val="2"/>
            <w:hideMark/>
          </w:tcPr>
          <w:p w14:paraId="2DE78F5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Power Torque (2022)</w:t>
            </w:r>
          </w:p>
        </w:tc>
      </w:tr>
    </w:tbl>
    <w:p w14:paraId="67386FC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B2656D3" w14:textId="05E9B4EE"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VOC parameters for the vehicle combinations in ATAP PV2 were analysed to isolate an average cost of a semi-trailer as shown in 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p>
    <w:p w14:paraId="08DDDBCF" w14:textId="07AEF4B0"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3" w:name="_Ref112327563"/>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32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trailer operating costs</w:t>
      </w:r>
    </w:p>
    <w:tbl>
      <w:tblPr>
        <w:tblStyle w:val="ARRBTableStyle"/>
        <w:tblW w:w="9638" w:type="dxa"/>
        <w:tblLook w:val="04A0" w:firstRow="1" w:lastRow="0" w:firstColumn="1" w:lastColumn="0" w:noHBand="0" w:noVBand="1"/>
      </w:tblPr>
      <w:tblGrid>
        <w:gridCol w:w="3212"/>
        <w:gridCol w:w="3213"/>
        <w:gridCol w:w="3213"/>
      </w:tblGrid>
      <w:tr w:rsidR="00452B58" w:rsidRPr="00452B58" w14:paraId="58B24387" w14:textId="77777777" w:rsidTr="00452B58">
        <w:trPr>
          <w:cnfStyle w:val="100000000000" w:firstRow="1" w:lastRow="0" w:firstColumn="0" w:lastColumn="0" w:oddVBand="0" w:evenVBand="0" w:oddHBand="0" w:evenHBand="0" w:firstRowFirstColumn="0" w:firstRowLastColumn="0" w:lastRowFirstColumn="0" w:lastRowLastColumn="0"/>
        </w:trPr>
        <w:tc>
          <w:tcPr>
            <w:tcW w:w="3212" w:type="dxa"/>
          </w:tcPr>
          <w:p w14:paraId="4246511E" w14:textId="77777777" w:rsidR="00452B58" w:rsidRPr="00452B58" w:rsidRDefault="00452B58" w:rsidP="00452B58">
            <w:pPr>
              <w:keepNext/>
              <w:suppressAutoHyphens w:val="0"/>
              <w:spacing w:before="40" w:after="40"/>
              <w:rPr>
                <w:rFonts w:eastAsia="Calibri"/>
                <w:kern w:val="0"/>
                <w:szCs w:val="22"/>
              </w:rPr>
            </w:pPr>
          </w:p>
        </w:tc>
        <w:tc>
          <w:tcPr>
            <w:tcW w:w="3213" w:type="dxa"/>
          </w:tcPr>
          <w:p w14:paraId="1EA2B93A"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Included vehicle parameters</w:t>
            </w:r>
          </w:p>
        </w:tc>
        <w:tc>
          <w:tcPr>
            <w:tcW w:w="3213" w:type="dxa"/>
          </w:tcPr>
          <w:p w14:paraId="63A8AAED"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Parameter values (cents per km)</w:t>
            </w:r>
          </w:p>
        </w:tc>
      </w:tr>
      <w:tr w:rsidR="00452B58" w:rsidRPr="00452B58" w14:paraId="77098DE8" w14:textId="77777777" w:rsidTr="00452B58">
        <w:tc>
          <w:tcPr>
            <w:tcW w:w="3212" w:type="dxa"/>
            <w:vMerge w:val="restart"/>
          </w:tcPr>
          <w:p w14:paraId="49D56E6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Included combinations</w:t>
            </w:r>
          </w:p>
        </w:tc>
        <w:tc>
          <w:tcPr>
            <w:tcW w:w="3213" w:type="dxa"/>
          </w:tcPr>
          <w:p w14:paraId="1BFA4A6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12. Articulated 6 axle (semi-trailer)</w:t>
            </w:r>
          </w:p>
        </w:tc>
        <w:tc>
          <w:tcPr>
            <w:tcW w:w="3213" w:type="dxa"/>
          </w:tcPr>
          <w:p w14:paraId="6C042B9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135.41</w:t>
            </w:r>
          </w:p>
        </w:tc>
      </w:tr>
      <w:tr w:rsidR="00452B58" w:rsidRPr="00452B58" w14:paraId="54B0C6A0" w14:textId="77777777" w:rsidTr="00452B58">
        <w:tc>
          <w:tcPr>
            <w:tcW w:w="3212" w:type="dxa"/>
            <w:vMerge/>
          </w:tcPr>
          <w:p w14:paraId="4495EAE7"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46616F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 B-double</w:t>
            </w:r>
          </w:p>
        </w:tc>
        <w:tc>
          <w:tcPr>
            <w:tcW w:w="3213" w:type="dxa"/>
          </w:tcPr>
          <w:p w14:paraId="230D6A3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161.48</w:t>
            </w:r>
          </w:p>
        </w:tc>
      </w:tr>
      <w:tr w:rsidR="00452B58" w:rsidRPr="00452B58" w14:paraId="215C77CE" w14:textId="77777777" w:rsidTr="00452B58">
        <w:tc>
          <w:tcPr>
            <w:tcW w:w="3212" w:type="dxa"/>
            <w:vMerge/>
          </w:tcPr>
          <w:p w14:paraId="1CC0D1A0"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2C36B76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16. A-double</w:t>
            </w:r>
          </w:p>
        </w:tc>
        <w:tc>
          <w:tcPr>
            <w:tcW w:w="3213" w:type="dxa"/>
          </w:tcPr>
          <w:p w14:paraId="4A25A5F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195.11</w:t>
            </w:r>
          </w:p>
        </w:tc>
      </w:tr>
      <w:tr w:rsidR="00452B58" w:rsidRPr="00452B58" w14:paraId="03EA5C79" w14:textId="77777777" w:rsidTr="00452B58">
        <w:tc>
          <w:tcPr>
            <w:tcW w:w="3212" w:type="dxa"/>
            <w:vMerge/>
          </w:tcPr>
          <w:p w14:paraId="736CDE78"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329F8A1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17. B-triple</w:t>
            </w:r>
          </w:p>
        </w:tc>
        <w:tc>
          <w:tcPr>
            <w:tcW w:w="3213" w:type="dxa"/>
          </w:tcPr>
          <w:p w14:paraId="2D8289B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224.15</w:t>
            </w:r>
          </w:p>
        </w:tc>
      </w:tr>
      <w:tr w:rsidR="00452B58" w:rsidRPr="00452B58" w14:paraId="4AA4A744" w14:textId="77777777" w:rsidTr="00452B58">
        <w:tc>
          <w:tcPr>
            <w:tcW w:w="3212" w:type="dxa"/>
            <w:vMerge/>
          </w:tcPr>
          <w:p w14:paraId="50EA2E66"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4302F1D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 A-triple</w:t>
            </w:r>
          </w:p>
        </w:tc>
        <w:tc>
          <w:tcPr>
            <w:tcW w:w="3213" w:type="dxa"/>
          </w:tcPr>
          <w:p w14:paraId="6304CFC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252.42</w:t>
            </w:r>
          </w:p>
        </w:tc>
      </w:tr>
      <w:tr w:rsidR="00452B58" w:rsidRPr="00452B58" w14:paraId="4C4B3A0B" w14:textId="77777777" w:rsidTr="00452B58">
        <w:tc>
          <w:tcPr>
            <w:tcW w:w="3212" w:type="dxa"/>
            <w:vMerge w:val="restart"/>
          </w:tcPr>
          <w:p w14:paraId="29B1B39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Isolation of trailer operating costs</w:t>
            </w:r>
          </w:p>
        </w:tc>
        <w:tc>
          <w:tcPr>
            <w:tcW w:w="3213" w:type="dxa"/>
          </w:tcPr>
          <w:p w14:paraId="2143AA8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A-double minus articulated 6-axle </w:t>
            </w:r>
          </w:p>
        </w:tc>
        <w:tc>
          <w:tcPr>
            <w:tcW w:w="3213" w:type="dxa"/>
          </w:tcPr>
          <w:p w14:paraId="3BF1F4D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60</w:t>
            </w:r>
          </w:p>
        </w:tc>
      </w:tr>
      <w:tr w:rsidR="00452B58" w:rsidRPr="00452B58" w14:paraId="057266D0" w14:textId="77777777" w:rsidTr="00452B58">
        <w:tc>
          <w:tcPr>
            <w:tcW w:w="3212" w:type="dxa"/>
            <w:vMerge/>
          </w:tcPr>
          <w:p w14:paraId="7CFE9295"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4D4A4F1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B-triple minus B-double</w:t>
            </w:r>
          </w:p>
        </w:tc>
        <w:tc>
          <w:tcPr>
            <w:tcW w:w="3213" w:type="dxa"/>
          </w:tcPr>
          <w:p w14:paraId="36CA2EC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63</w:t>
            </w:r>
          </w:p>
        </w:tc>
      </w:tr>
      <w:tr w:rsidR="00452B58" w:rsidRPr="00452B58" w14:paraId="496FEF31" w14:textId="77777777" w:rsidTr="00452B58">
        <w:tc>
          <w:tcPr>
            <w:tcW w:w="3212" w:type="dxa"/>
            <w:vMerge/>
          </w:tcPr>
          <w:p w14:paraId="10DEE21A" w14:textId="77777777" w:rsidR="00452B58" w:rsidRPr="00452B58" w:rsidRDefault="00452B58" w:rsidP="00452B58">
            <w:pPr>
              <w:keepNext/>
              <w:suppressAutoHyphens w:val="0"/>
              <w:spacing w:before="40" w:after="40"/>
              <w:rPr>
                <w:rFonts w:eastAsia="Calibri" w:cs="Times New Roman"/>
                <w:kern w:val="0"/>
                <w:szCs w:val="22"/>
              </w:rPr>
            </w:pPr>
          </w:p>
        </w:tc>
        <w:tc>
          <w:tcPr>
            <w:tcW w:w="3213" w:type="dxa"/>
          </w:tcPr>
          <w:p w14:paraId="5194BD2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A-triple minus A-double</w:t>
            </w:r>
          </w:p>
        </w:tc>
        <w:tc>
          <w:tcPr>
            <w:tcW w:w="3213" w:type="dxa"/>
          </w:tcPr>
          <w:p w14:paraId="522AA7B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57</w:t>
            </w:r>
          </w:p>
        </w:tc>
      </w:tr>
      <w:tr w:rsidR="00452B58" w:rsidRPr="00452B58" w14:paraId="5E8CB7AB" w14:textId="77777777" w:rsidTr="00452B58">
        <w:tc>
          <w:tcPr>
            <w:tcW w:w="6425" w:type="dxa"/>
            <w:gridSpan w:val="2"/>
          </w:tcPr>
          <w:p w14:paraId="663805F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Average:</w:t>
            </w:r>
          </w:p>
        </w:tc>
        <w:tc>
          <w:tcPr>
            <w:tcW w:w="3213" w:type="dxa"/>
          </w:tcPr>
          <w:p w14:paraId="0E4A96E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60</w:t>
            </w:r>
          </w:p>
        </w:tc>
      </w:tr>
    </w:tbl>
    <w:p w14:paraId="576F167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BBD393B" w14:textId="77777777" w:rsidR="00452B58" w:rsidRPr="00F2517A" w:rsidRDefault="00452B58" w:rsidP="00F2517A">
      <w:pPr>
        <w:pStyle w:val="ARRBBaseHeadingAppsub"/>
        <w:rPr>
          <w:rFonts w:hint="eastAsia"/>
        </w:rPr>
      </w:pPr>
      <w:r w:rsidRPr="00F2517A">
        <w:t>VOCs for Refrigerated Vehicles and Trailers and Wider Options</w:t>
      </w:r>
    </w:p>
    <w:p w14:paraId="0549652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Estimates of the VOCs needed in this analysis were calculated as follows.</w:t>
      </w:r>
    </w:p>
    <w:p w14:paraId="6BBA3F0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VOCs</w:t>
      </w:r>
    </w:p>
    <w:p w14:paraId="63115379" w14:textId="579704C3" w:rsidR="00452B58" w:rsidRPr="00452B58" w:rsidRDefault="00452B58" w:rsidP="00E248BF">
      <w:pPr>
        <w:pStyle w:val="ARRBBulletLevel1"/>
      </w:pPr>
      <w:r w:rsidRPr="00452B58">
        <w:t xml:space="preserve">2.50 m non-refrigerated heavy goods vehicles VOC are the average of vehicle type/configuration VOCs 07 and 08 (medium and heavy rigids) as shown in Table </w:t>
      </w:r>
      <w:r w:rsidRPr="00452B58">
        <w:rPr>
          <w:noProof/>
        </w:rPr>
        <w:t>2</w:t>
      </w:r>
      <w:r w:rsidRPr="00452B58">
        <w:t>.</w:t>
      </w:r>
      <w:r w:rsidRPr="00452B58">
        <w:rPr>
          <w:noProof/>
        </w:rPr>
        <w:t>1</w:t>
      </w:r>
      <w:r w:rsidRPr="00452B58">
        <w:t>.</w:t>
      </w:r>
    </w:p>
    <w:p w14:paraId="2ABC3814" w14:textId="77777777" w:rsidR="00452B58" w:rsidRPr="00452B58" w:rsidRDefault="00452B58" w:rsidP="00E248BF">
      <w:pPr>
        <w:pStyle w:val="ARRBBulletLevel1"/>
      </w:pPr>
      <w:r w:rsidRPr="00452B58">
        <w:t xml:space="preserve">2.55 m and 2.6 m wide non-refrigerated vehicles are assumed to have increased VOCs of +0.5% and 1% of the 2.50 m average non-refrigerated heavy vehicle VOC.  </w:t>
      </w:r>
    </w:p>
    <w:p w14:paraId="11C0190E" w14:textId="77777777" w:rsidR="00452B58" w:rsidRPr="00452B58" w:rsidRDefault="00452B58" w:rsidP="00E248BF">
      <w:pPr>
        <w:pStyle w:val="ARRBBulletLevel1"/>
      </w:pPr>
      <w:r w:rsidRPr="00452B58">
        <w:t>2.50 m refrigerated vehicles are estimated to be 115% of the non-refrigerated counterpart to reflect the higher fuel, oil, and maintenance usage, based on a review of fuel consumption in refrigerated vehicles and containers.</w:t>
      </w:r>
    </w:p>
    <w:p w14:paraId="118DF3FF" w14:textId="77777777" w:rsidR="00452B58" w:rsidRPr="00452B58" w:rsidRDefault="00452B58" w:rsidP="00E248BF">
      <w:pPr>
        <w:pStyle w:val="ARRBBulletLevel1"/>
      </w:pPr>
      <w:r w:rsidRPr="00452B58">
        <w:t>2.55 m and 2.60 m refrigerated vehicles are calculated to have a respective VOC of 113% and 111% of the non-refrigerated 2.50 m counterpart (which includes the 0.5% and 1% increase for the wider options) based on thermal efficiency data from ATA (2021).</w:t>
      </w:r>
    </w:p>
    <w:p w14:paraId="0DD6432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Trailer VOCs</w:t>
      </w:r>
    </w:p>
    <w:p w14:paraId="6FDBB809" w14:textId="77777777" w:rsidR="00452B58" w:rsidRPr="00452B58" w:rsidRDefault="00452B58" w:rsidP="00E248BF">
      <w:pPr>
        <w:pStyle w:val="ARRBBulletLevel1"/>
      </w:pPr>
      <w:r w:rsidRPr="00452B58">
        <w:t>2.50 m non-refrigerated heavy trailer VOC was calculated by analysing the VOCs of combination parts to isolate heavy trailers.</w:t>
      </w:r>
    </w:p>
    <w:p w14:paraId="5B30354B" w14:textId="77777777" w:rsidR="00452B58" w:rsidRPr="00452B58" w:rsidRDefault="00452B58" w:rsidP="00E248BF">
      <w:pPr>
        <w:pStyle w:val="ARRBBulletLevel1"/>
      </w:pPr>
      <w:r w:rsidRPr="00452B58">
        <w:t xml:space="preserve">The VOCs of 2.55 m and 2.60 m non-refrigerated heavy trailers are assumed to have increased VOCs of +0.5% and 1% of the 2.50 m average non-refrigerated heavy trailer VOC.  </w:t>
      </w:r>
    </w:p>
    <w:p w14:paraId="63795A2E" w14:textId="77777777" w:rsidR="00452B58" w:rsidRPr="00452B58" w:rsidRDefault="00452B58" w:rsidP="00E248BF">
      <w:pPr>
        <w:pStyle w:val="ARRBBulletLevel1"/>
      </w:pPr>
      <w:r w:rsidRPr="00452B58">
        <w:t>The VOCs for refrigerated and non-refrigerated heavy vehicles were compared to isolate the operating costs of the refrigeration for 2.50 m, 2.55 m, and 2,60 m trailers.</w:t>
      </w:r>
    </w:p>
    <w:p w14:paraId="4185920B" w14:textId="77777777" w:rsidR="00452B58" w:rsidRPr="00452B58" w:rsidRDefault="00452B58" w:rsidP="00E248BF">
      <w:pPr>
        <w:pStyle w:val="ARRBBulletLevel1"/>
      </w:pPr>
      <w:r w:rsidRPr="00452B58">
        <w:t>The VOCs of refrigerated trailers for 2.5m 2.55 m and 2.6 m widths were calculated by adding the non</w:t>
      </w:r>
      <w:r w:rsidRPr="00452B58">
        <w:noBreakHyphen/>
        <w:t>refrigerated VOC to the refrigeration unit operating cost for each width.</w:t>
      </w:r>
    </w:p>
    <w:p w14:paraId="3C408916" w14:textId="19D2ECF2"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presents the VOC parameter values for calculating the operating cost of refrigerated and non</w:t>
      </w:r>
      <w:r w:rsidRPr="00452B58">
        <w:rPr>
          <w:rFonts w:ascii="Calibri" w:eastAsia="Calibri" w:hAnsi="Calibri" w:cs="Calibri"/>
          <w:color w:val="auto"/>
          <w:kern w:val="0"/>
          <w:sz w:val="22"/>
          <w:szCs w:val="22"/>
        </w:rPr>
        <w:noBreakHyphen/>
        <w:t xml:space="preserve">refrigerated freight tasks before and after widening. </w:t>
      </w:r>
    </w:p>
    <w:p w14:paraId="12D7E9B6" w14:textId="69D8D7E5"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4" w:name="_Ref11232761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32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VOC parameter values  </w:t>
      </w:r>
    </w:p>
    <w:tbl>
      <w:tblPr>
        <w:tblStyle w:val="ARRBTableStyle"/>
        <w:tblW w:w="4990" w:type="pct"/>
        <w:tblLayout w:type="fixed"/>
        <w:tblLook w:val="04A0" w:firstRow="1" w:lastRow="0" w:firstColumn="1" w:lastColumn="0" w:noHBand="0" w:noVBand="1"/>
      </w:tblPr>
      <w:tblGrid>
        <w:gridCol w:w="3201"/>
        <w:gridCol w:w="3204"/>
        <w:gridCol w:w="3204"/>
      </w:tblGrid>
      <w:tr w:rsidR="00452B58" w:rsidRPr="00452B58" w14:paraId="3BCA2985" w14:textId="77777777"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14:paraId="002DA0FF"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VOC Parameter </w:t>
            </w:r>
          </w:p>
        </w:tc>
        <w:tc>
          <w:tcPr>
            <w:tcW w:w="1667" w:type="pct"/>
          </w:tcPr>
          <w:p w14:paraId="7185FAC0"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14:paraId="3BF186B9"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14:paraId="76D713A1" w14:textId="77777777" w:rsidTr="00452B58">
        <w:trPr>
          <w:trHeight w:val="144"/>
        </w:trPr>
        <w:tc>
          <w:tcPr>
            <w:tcW w:w="1666" w:type="pct"/>
          </w:tcPr>
          <w:p w14:paraId="55A7A3A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14:paraId="1B3D99A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$0.744</w:t>
            </w:r>
          </w:p>
        </w:tc>
        <w:tc>
          <w:tcPr>
            <w:tcW w:w="1667" w:type="pct"/>
          </w:tcPr>
          <w:p w14:paraId="253B81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$0.599</w:t>
            </w:r>
          </w:p>
        </w:tc>
      </w:tr>
      <w:tr w:rsidR="00452B58" w:rsidRPr="00452B58" w14:paraId="5E59F074" w14:textId="77777777" w:rsidTr="00452B58">
        <w:trPr>
          <w:trHeight w:val="144"/>
        </w:trPr>
        <w:tc>
          <w:tcPr>
            <w:tcW w:w="1666" w:type="pct"/>
          </w:tcPr>
          <w:p w14:paraId="3418EC7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14:paraId="3B3571E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$0.748</w:t>
            </w:r>
          </w:p>
        </w:tc>
        <w:tc>
          <w:tcPr>
            <w:tcW w:w="1667" w:type="pct"/>
          </w:tcPr>
          <w:p w14:paraId="0C601D8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$0.602</w:t>
            </w:r>
          </w:p>
        </w:tc>
      </w:tr>
      <w:tr w:rsidR="00452B58" w:rsidRPr="00452B58" w14:paraId="1BA33AFE" w14:textId="77777777" w:rsidTr="00452B58">
        <w:trPr>
          <w:trHeight w:val="144"/>
        </w:trPr>
        <w:tc>
          <w:tcPr>
            <w:tcW w:w="1666" w:type="pct"/>
          </w:tcPr>
          <w:p w14:paraId="3B6A6A4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14:paraId="7C7B30D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$0.752</w:t>
            </w:r>
          </w:p>
        </w:tc>
        <w:tc>
          <w:tcPr>
            <w:tcW w:w="1667" w:type="pct"/>
          </w:tcPr>
          <w:p w14:paraId="1D0D207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$0.605</w:t>
            </w:r>
          </w:p>
        </w:tc>
      </w:tr>
      <w:tr w:rsidR="00452B58" w:rsidRPr="00452B58" w14:paraId="1056A382" w14:textId="77777777" w:rsidTr="00452B58">
        <w:trPr>
          <w:trHeight w:val="144"/>
        </w:trPr>
        <w:tc>
          <w:tcPr>
            <w:tcW w:w="1666" w:type="pct"/>
          </w:tcPr>
          <w:p w14:paraId="601AD9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14:paraId="0125115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$0.856</w:t>
            </w:r>
          </w:p>
        </w:tc>
        <w:tc>
          <w:tcPr>
            <w:tcW w:w="1667" w:type="pct"/>
          </w:tcPr>
          <w:p w14:paraId="0615E09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$0.711</w:t>
            </w:r>
          </w:p>
        </w:tc>
      </w:tr>
      <w:tr w:rsidR="00452B58" w:rsidRPr="00452B58" w14:paraId="1D6A8DA0" w14:textId="77777777" w:rsidTr="00452B58">
        <w:trPr>
          <w:trHeight w:val="144"/>
        </w:trPr>
        <w:tc>
          <w:tcPr>
            <w:tcW w:w="1666" w:type="pct"/>
          </w:tcPr>
          <w:p w14:paraId="66CB613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14:paraId="235E45C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$0.838</w:t>
            </w:r>
          </w:p>
        </w:tc>
        <w:tc>
          <w:tcPr>
            <w:tcW w:w="1667" w:type="pct"/>
          </w:tcPr>
          <w:p w14:paraId="72A7761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$0.692</w:t>
            </w:r>
          </w:p>
        </w:tc>
      </w:tr>
      <w:tr w:rsidR="00452B58" w:rsidRPr="00452B58" w14:paraId="4C8FE295" w14:textId="77777777" w:rsidTr="00452B58">
        <w:trPr>
          <w:trHeight w:val="144"/>
        </w:trPr>
        <w:tc>
          <w:tcPr>
            <w:tcW w:w="1666" w:type="pct"/>
          </w:tcPr>
          <w:p w14:paraId="1BC8065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14:paraId="63A93CC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$0.827</w:t>
            </w:r>
          </w:p>
        </w:tc>
        <w:tc>
          <w:tcPr>
            <w:tcW w:w="1667" w:type="pct"/>
          </w:tcPr>
          <w:p w14:paraId="6E8DAF6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$0.680</w:t>
            </w:r>
          </w:p>
        </w:tc>
      </w:tr>
    </w:tbl>
    <w:p w14:paraId="46F43CE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2D059E8"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2E15EEC7" w14:textId="77777777" w:rsidR="00452B58" w:rsidRPr="00452B58" w:rsidRDefault="00452B58" w:rsidP="00F2517A">
      <w:pPr>
        <w:pStyle w:val="ARRBBaseHeadingApp"/>
      </w:pPr>
      <w:bookmarkStart w:id="325" w:name="_Ref111137937"/>
      <w:bookmarkStart w:id="326" w:name="_Toc137731692"/>
      <w:r w:rsidRPr="00452B58">
        <w:t>Discussion of Infrastructure Impact</w:t>
      </w:r>
      <w:bookmarkEnd w:id="325"/>
      <w:bookmarkEnd w:id="326"/>
    </w:p>
    <w:p w14:paraId="1A76057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discussion presents three potential issues related to infrastructure impacts that may be experienced over the longer term.</w:t>
      </w:r>
    </w:p>
    <w:p w14:paraId="3CBB558E" w14:textId="77777777" w:rsidR="00452B58" w:rsidRPr="00F2517A" w:rsidRDefault="00452B58" w:rsidP="00F2517A">
      <w:pPr>
        <w:pStyle w:val="ARRBBaseHeadingAppsub"/>
        <w:rPr>
          <w:rFonts w:hint="eastAsia"/>
        </w:rPr>
      </w:pPr>
      <w:r w:rsidRPr="00F2517A">
        <w:t>Consideration of Geometry</w:t>
      </w:r>
    </w:p>
    <w:p w14:paraId="79CE077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Assessments undertaken for </w:t>
      </w:r>
      <w:proofErr w:type="spellStart"/>
      <w:r w:rsidRPr="00452B58">
        <w:rPr>
          <w:rFonts w:ascii="Calibri" w:eastAsia="Calibri" w:hAnsi="Calibri" w:cs="Calibri"/>
          <w:color w:val="auto"/>
          <w:kern w:val="0"/>
          <w:sz w:val="22"/>
          <w:szCs w:val="22"/>
        </w:rPr>
        <w:t>TfNSW</w:t>
      </w:r>
      <w:proofErr w:type="spellEnd"/>
      <w:r w:rsidRPr="00452B58">
        <w:rPr>
          <w:rFonts w:ascii="Calibri" w:eastAsia="Calibri" w:hAnsi="Calibri" w:cs="Calibri"/>
          <w:color w:val="auto"/>
          <w:kern w:val="0"/>
          <w:sz w:val="22"/>
          <w:szCs w:val="22"/>
        </w:rPr>
        <w:t xml:space="preserve"> (ARRB 2021) indicated that with the inclusion of a 20% factor of safety, minimum lane widths for 2.50 m vehicles would need to be increased by:</w:t>
      </w:r>
    </w:p>
    <w:p w14:paraId="7000789A" w14:textId="77777777" w:rsidR="00452B58" w:rsidRPr="00452B58" w:rsidRDefault="00452B58" w:rsidP="00E248BF">
      <w:pPr>
        <w:pStyle w:val="ARRBBulletLevel1"/>
      </w:pPr>
      <w:r w:rsidRPr="00452B58">
        <w:t>60 mm for a 2.55 m wide vehicle</w:t>
      </w:r>
    </w:p>
    <w:p w14:paraId="5D1FA434" w14:textId="77777777" w:rsidR="00452B58" w:rsidRPr="00452B58" w:rsidRDefault="00452B58" w:rsidP="00E248BF">
      <w:pPr>
        <w:pStyle w:val="ARRBBulletLevel1"/>
      </w:pPr>
      <w:r w:rsidRPr="00452B58">
        <w:t>120 mm for a 2.6 m wide vehicle.</w:t>
      </w:r>
    </w:p>
    <w:p w14:paraId="21EB4D4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includes both high speed tracking and swept paths.</w:t>
      </w:r>
    </w:p>
    <w:p w14:paraId="5AFFCC2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However, road managers are extremely unlikely to widen lanes by such small amounts due to escalating costs per m</w:t>
      </w:r>
      <w:r w:rsidRPr="00452B58">
        <w:rPr>
          <w:rFonts w:ascii="Calibri" w:eastAsia="Calibri" w:hAnsi="Calibri" w:cs="Calibri"/>
          <w:color w:val="auto"/>
          <w:kern w:val="0"/>
          <w:sz w:val="22"/>
          <w:szCs w:val="22"/>
          <w:vertAlign w:val="superscript"/>
        </w:rPr>
        <w:t>2</w:t>
      </w:r>
      <w:r w:rsidRPr="00452B58">
        <w:rPr>
          <w:rFonts w:ascii="Calibri" w:eastAsia="Calibri" w:hAnsi="Calibri" w:cs="Calibri"/>
          <w:color w:val="auto"/>
          <w:kern w:val="0"/>
          <w:sz w:val="22"/>
          <w:szCs w:val="22"/>
        </w:rPr>
        <w:t xml:space="preserve"> for widths narrower than 2 m of lane length. Furthermore, this widening would only be required on roads that are already well below the recommended 3.5 m lane widths in Australia. While narrower lanes than this exist, these are less likely to be freight routes.</w:t>
      </w:r>
    </w:p>
    <w:p w14:paraId="22487CB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anticipated that any issues arising from wider vehicles on specific routes would be managed on a voluntary basis by road managers considering localised industry and community concerns through means such as:</w:t>
      </w:r>
    </w:p>
    <w:p w14:paraId="51E646CF" w14:textId="77777777" w:rsidR="00452B58" w:rsidRPr="00452B58" w:rsidRDefault="00452B58" w:rsidP="00E248BF">
      <w:pPr>
        <w:pStyle w:val="ARRBBulletLevel1"/>
      </w:pPr>
      <w:r w:rsidRPr="00452B58">
        <w:t>restricting access</w:t>
      </w:r>
    </w:p>
    <w:p w14:paraId="0A375F79" w14:textId="77777777" w:rsidR="00452B58" w:rsidRPr="00452B58" w:rsidRDefault="00452B58" w:rsidP="00E248BF">
      <w:pPr>
        <w:pStyle w:val="ARRBBulletLevel1"/>
      </w:pPr>
      <w:r w:rsidRPr="00452B58">
        <w:t>repainting line markings (where room is available on shoulders or painted out traffic islands).</w:t>
      </w:r>
    </w:p>
    <w:p w14:paraId="09566A7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therefore assumed in the analysis that there will be no mandatory lane widening in response to wider vehicles. Estimating the nature and scale of voluntary responses and their impacts is beyond the scope of the current analysis.</w:t>
      </w:r>
    </w:p>
    <w:p w14:paraId="53402CD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Infrastructure upgrades are anticipated to occur on some intersections where clearance issues are real or perceived with wider vehicles. Although swept-path simulations have concluded that the swept path wide for a wider vehicle is increased only by the amount of greater vehicle width, it is unreasonable to assume that no upgrades to account for wider vehicles would take place over 40 years. </w:t>
      </w:r>
    </w:p>
    <w:p w14:paraId="60049EA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anticipated that road managers will experience some industry or community pressure to undertake voluntary updates at intersections to improve real or perceived margins of safety but will resist this until the number of wider vehicles on the network provides sufficient productivity justification for the expenditure from their existing budgets. Therefore, to acknowledge a voluntary response by road managers in aggregate to the presence of wider vehicles in the fleet, it is assumed that:</w:t>
      </w:r>
    </w:p>
    <w:p w14:paraId="2C482EA3" w14:textId="77777777" w:rsidR="00452B58" w:rsidRPr="00452B58" w:rsidRDefault="00452B58" w:rsidP="00E248BF">
      <w:pPr>
        <w:pStyle w:val="ARRBBulletLevel1"/>
      </w:pPr>
      <w:r w:rsidRPr="00452B58">
        <w:t>Infrastructure upgrades follow the adoption rate of wider vehicles with a two-year delay.</w:t>
      </w:r>
    </w:p>
    <w:p w14:paraId="6831EA3F" w14:textId="77777777" w:rsidR="00452B58" w:rsidRPr="00452B58" w:rsidRDefault="00452B58" w:rsidP="00E248BF">
      <w:pPr>
        <w:pStyle w:val="ARRBBulletLevel1"/>
      </w:pPr>
      <w:r w:rsidRPr="00452B58">
        <w:t>Construction of expanded pavement and the change to relevant roadside infrastructure is estimated at a rate of $100 per m</w:t>
      </w:r>
      <w:r w:rsidRPr="00452B58">
        <w:rPr>
          <w:vertAlign w:val="superscript"/>
        </w:rPr>
        <w:t>2</w:t>
      </w:r>
      <w:r w:rsidRPr="00452B58">
        <w:t xml:space="preserve"> (estimated by ARRB pavement practitioners from a $65 to $135 per m</w:t>
      </w:r>
      <w:r w:rsidRPr="00452B58">
        <w:rPr>
          <w:vertAlign w:val="superscript"/>
        </w:rPr>
        <w:t>2</w:t>
      </w:r>
      <w:r w:rsidRPr="00452B58">
        <w:t xml:space="preserve"> range).</w:t>
      </w:r>
    </w:p>
    <w:p w14:paraId="5DF45438" w14:textId="77777777" w:rsidR="00452B58" w:rsidRPr="00452B58" w:rsidRDefault="00452B58" w:rsidP="00E248BF">
      <w:pPr>
        <w:pStyle w:val="ARRBBulletLevel1"/>
      </w:pPr>
      <w:r w:rsidRPr="00452B58">
        <w:t>The minimum amount of investment is for 100 m</w:t>
      </w:r>
      <w:r w:rsidRPr="00452B58">
        <w:rPr>
          <w:vertAlign w:val="superscript"/>
        </w:rPr>
        <w:t>2</w:t>
      </w:r>
      <w:r w:rsidRPr="00452B58">
        <w:t>. The 100 m</w:t>
      </w:r>
      <w:r w:rsidRPr="00452B58">
        <w:rPr>
          <w:vertAlign w:val="superscript"/>
        </w:rPr>
        <w:t>2</w:t>
      </w:r>
      <w:r w:rsidRPr="00452B58">
        <w:t xml:space="preserve"> represents widening each intersecting road by 2 m for a length of 25 m to provide greater clearances for right turns through an intersection.</w:t>
      </w:r>
    </w:p>
    <w:p w14:paraId="014FC050" w14:textId="77777777" w:rsidR="00452B58" w:rsidRPr="00452B58" w:rsidRDefault="00452B58" w:rsidP="00E248BF">
      <w:pPr>
        <w:pStyle w:val="ARRBBulletLevel1"/>
      </w:pPr>
      <w:r w:rsidRPr="00452B58">
        <w:t>This investment is triggered by every 1,000 wider vehicles entering the fleet nationwide. This value represents an increment to the number of wider vehicles on the network sufficient to prompt the upgrade of a single intersection across Australia.</w:t>
      </w:r>
    </w:p>
    <w:p w14:paraId="6B9179FA" w14:textId="77777777" w:rsidR="00452B58" w:rsidRPr="00452B58" w:rsidRDefault="00452B58" w:rsidP="00E248BF">
      <w:pPr>
        <w:pStyle w:val="ARRBBulletLevel1"/>
      </w:pPr>
      <w:r w:rsidRPr="00452B58">
        <w:t xml:space="preserve">The average infrastructure update cost is therefore approximately $10 per wider heavy vehicle. The $10 per additional vehicle is based on typical annualised lifecycle sealing costs and annualised maintenance costs from </w:t>
      </w:r>
      <w:proofErr w:type="spellStart"/>
      <w:r w:rsidRPr="00452B58">
        <w:t>Holtrop</w:t>
      </w:r>
      <w:proofErr w:type="spellEnd"/>
      <w:r w:rsidRPr="00452B58">
        <w:t xml:space="preserve"> (2000) adjusted to 2022 AUD.</w:t>
      </w:r>
    </w:p>
    <w:p w14:paraId="47015F83" w14:textId="77777777" w:rsidR="00452B58" w:rsidRPr="00452B58" w:rsidRDefault="00452B58" w:rsidP="00E248BF">
      <w:pPr>
        <w:pStyle w:val="ARRBBulletLevel1"/>
      </w:pPr>
      <w:r w:rsidRPr="00452B58">
        <w:t xml:space="preserve">A sensitivity analysis of ±20% has been applied to this value. </w:t>
      </w:r>
    </w:p>
    <w:p w14:paraId="1AB9F4F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applies to both 2.55 and 2.60 m wide vehicles due to the insignificance of the 0.05 m margin compared to the efficiency requirements of infrastructure upgrades (i.e. both the decision to upgrade, and the scale of the upgrade, will not be affected by the slight vehicle width difference between these scenarios).</w:t>
      </w:r>
    </w:p>
    <w:p w14:paraId="6AF863ED" w14:textId="77777777" w:rsidR="00452B58" w:rsidRPr="00F2517A" w:rsidRDefault="00452B58" w:rsidP="00F2517A">
      <w:pPr>
        <w:pStyle w:val="ARRBBaseHeadingAppsub"/>
        <w:rPr>
          <w:rFonts w:hint="eastAsia"/>
        </w:rPr>
      </w:pPr>
      <w:r w:rsidRPr="00F2517A">
        <w:t xml:space="preserve">Consideration of </w:t>
      </w:r>
      <w:proofErr w:type="spellStart"/>
      <w:r w:rsidRPr="00F2517A">
        <w:t>Channelisation</w:t>
      </w:r>
      <w:proofErr w:type="spellEnd"/>
    </w:p>
    <w:p w14:paraId="561E690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performance of road pavements subjected to trafficking is dependent on the number and magnitude of loads applied by heavy vehicles. Light vehicles, such as passenger vehicles, are not considered to result in any significant wear of pavement structures in both Australian pavement design procedures and asset deterioration predictive models.</w:t>
      </w:r>
    </w:p>
    <w:p w14:paraId="67AFAA4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Any increase in the width </w:t>
      </w:r>
      <w:proofErr w:type="gramStart"/>
      <w:r w:rsidRPr="00452B58">
        <w:rPr>
          <w:rFonts w:ascii="Calibri" w:eastAsia="Calibri" w:hAnsi="Calibri" w:cs="Calibri"/>
          <w:color w:val="auto"/>
          <w:kern w:val="0"/>
          <w:sz w:val="22"/>
          <w:szCs w:val="22"/>
        </w:rPr>
        <w:t>of  a</w:t>
      </w:r>
      <w:proofErr w:type="gramEnd"/>
      <w:r w:rsidRPr="00452B58">
        <w:rPr>
          <w:rFonts w:ascii="Calibri" w:eastAsia="Calibri" w:hAnsi="Calibri" w:cs="Calibri"/>
          <w:color w:val="auto"/>
          <w:kern w:val="0"/>
          <w:sz w:val="22"/>
          <w:szCs w:val="22"/>
        </w:rPr>
        <w:t xml:space="preserve"> heavy vehicle will have no significant effect on pavement performance unless the gross mass of the  vehicle and payload is dramatically increased because of the extra width. However, widening many vehicles will affect the lateral locations at which those loads are applied across the width of pavements. It is well-established that the lateral position of vehicles travelling within a lane will vary from vehicle to vehicle (</w:t>
      </w:r>
      <w:proofErr w:type="spellStart"/>
      <w:r w:rsidRPr="00452B58">
        <w:rPr>
          <w:rFonts w:ascii="Calibri" w:eastAsia="Calibri" w:hAnsi="Calibri" w:cs="Calibri"/>
          <w:color w:val="auto"/>
          <w:kern w:val="0"/>
          <w:sz w:val="22"/>
          <w:szCs w:val="22"/>
        </w:rPr>
        <w:t>Buiter</w:t>
      </w:r>
      <w:proofErr w:type="spellEnd"/>
      <w:r w:rsidRPr="00452B58">
        <w:rPr>
          <w:rFonts w:ascii="Calibri" w:eastAsia="Calibri" w:hAnsi="Calibri" w:cs="Calibri"/>
          <w:color w:val="auto"/>
          <w:kern w:val="0"/>
          <w:sz w:val="22"/>
          <w:szCs w:val="22"/>
        </w:rPr>
        <w:t xml:space="preserve"> et al. 1989; Miller &amp; Stewart 1982). Selected studies have demonstrated that the distribution of lateral positions trafficked by large traffic volumes is dependent upon road width and the lane width (</w:t>
      </w:r>
      <w:proofErr w:type="spellStart"/>
      <w:r w:rsidRPr="00452B58">
        <w:rPr>
          <w:rFonts w:ascii="Calibri" w:eastAsia="Calibri" w:hAnsi="Calibri" w:cs="Calibri"/>
          <w:color w:val="auto"/>
          <w:kern w:val="0"/>
          <w:sz w:val="22"/>
          <w:szCs w:val="22"/>
        </w:rPr>
        <w:t>Buiter</w:t>
      </w:r>
      <w:proofErr w:type="spellEnd"/>
      <w:r w:rsidRPr="00452B58">
        <w:rPr>
          <w:rFonts w:ascii="Calibri" w:eastAsia="Calibri" w:hAnsi="Calibri" w:cs="Calibri"/>
          <w:color w:val="auto"/>
          <w:kern w:val="0"/>
          <w:sz w:val="22"/>
          <w:szCs w:val="22"/>
        </w:rPr>
        <w:t xml:space="preserve"> et al. 1989; Miller &amp; Stewart 1982,).</w:t>
      </w:r>
    </w:p>
    <w:p w14:paraId="592427E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It is expected that any increase in the width of heavy goods vehicles would have some decreasing effect on the width of the distribution of lateral positions within a lane, as wider vehicles would have less scope to wander within a lane than narrower vehicles, and therefore a narrower distribution would occur. Large-scale narrowing of the loading distribution (e.g. narrowing of the distribution edge-to-edge of the order of 500 mm) is known to increase pavement deterioration (Jameson et al. 1992); </w:t>
      </w:r>
      <w:proofErr w:type="gramStart"/>
      <w:r w:rsidRPr="00452B58">
        <w:rPr>
          <w:rFonts w:ascii="Calibri" w:eastAsia="Calibri" w:hAnsi="Calibri" w:cs="Calibri"/>
          <w:color w:val="auto"/>
          <w:kern w:val="0"/>
          <w:sz w:val="22"/>
          <w:szCs w:val="22"/>
        </w:rPr>
        <w:t>however</w:t>
      </w:r>
      <w:proofErr w:type="gramEnd"/>
      <w:r w:rsidRPr="00452B58">
        <w:rPr>
          <w:rFonts w:ascii="Calibri" w:eastAsia="Calibri" w:hAnsi="Calibri" w:cs="Calibri"/>
          <w:color w:val="auto"/>
          <w:kern w:val="0"/>
          <w:sz w:val="22"/>
          <w:szCs w:val="22"/>
        </w:rPr>
        <w:t xml:space="preserve"> the distribution widths that could result from the vehicle widths being considered here are an order of magnitude lower.</w:t>
      </w:r>
    </w:p>
    <w:p w14:paraId="5B1AC48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Australian road pavement design procedures implicitly assume ‘normal transverse load distribution’ (Austroads 2017) and note that standard deviations of traffic wander of 200 to 230 mm have been reported in various studies. The procedures do not relate different levels of pavement wear to different lane widths (Austroads 2017). A 50–100 mm vehicle width increase is considerably lower than the range of lane widths over which the pavement design procedures assume no change in wearing to occur. These procedures are based on empirical observations of vehicles up to 2.50 m wide. As the proportion of vehicles wider than this increases there may come a point in the future where these long-standing empirical relationships may no longer be adequate.</w:t>
      </w:r>
    </w:p>
    <w:p w14:paraId="2CF1FDB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Road pavements deteriorate under long-term trafficking, with the gradual accumulation of damage resulting from the cumulative passage of many millions of heavy vehicle axles (Austroads 2017). Any impact on pavement damage caused by the introduction of wider heavy goods vehicle will not be immediate, and may only develop, if at all, over the passage of time, since:</w:t>
      </w:r>
    </w:p>
    <w:p w14:paraId="5A9FB97C" w14:textId="77777777" w:rsidR="00452B58" w:rsidRPr="00E248BF" w:rsidRDefault="00452B58" w:rsidP="00E248BF">
      <w:pPr>
        <w:pStyle w:val="ARRBNumberList1"/>
        <w:numPr>
          <w:ilvl w:val="0"/>
          <w:numId w:val="92"/>
        </w:numPr>
      </w:pPr>
      <w:r w:rsidRPr="00E248BF">
        <w:t>adoption of wider vehicles is expected to be a gradual process</w:t>
      </w:r>
    </w:p>
    <w:p w14:paraId="3C9BBFFC" w14:textId="77777777" w:rsidR="00452B58" w:rsidRPr="00E248BF" w:rsidRDefault="00452B58" w:rsidP="00E248BF">
      <w:pPr>
        <w:pStyle w:val="ARRBNumberList1"/>
        <w:numPr>
          <w:ilvl w:val="0"/>
          <w:numId w:val="92"/>
        </w:numPr>
      </w:pPr>
      <w:r w:rsidRPr="00E248BF">
        <w:t>accumulation of any additional pavement wear would take place over a significantly extended period.</w:t>
      </w:r>
    </w:p>
    <w:p w14:paraId="3E20FCA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Whilst limited studies have examined the effect of vehicle width on the lateral distribution of tyre loads, a variety of studies (as referenced </w:t>
      </w:r>
      <w:proofErr w:type="gramStart"/>
      <w:r w:rsidRPr="00452B58">
        <w:rPr>
          <w:rFonts w:ascii="Calibri" w:eastAsia="Calibri" w:hAnsi="Calibri" w:cs="Calibri"/>
          <w:color w:val="auto"/>
          <w:kern w:val="0"/>
          <w:sz w:val="22"/>
          <w:szCs w:val="22"/>
        </w:rPr>
        <w:t>above)have</w:t>
      </w:r>
      <w:proofErr w:type="gramEnd"/>
      <w:r w:rsidRPr="00452B58">
        <w:rPr>
          <w:rFonts w:ascii="Calibri" w:eastAsia="Calibri" w:hAnsi="Calibri" w:cs="Calibri"/>
          <w:color w:val="auto"/>
          <w:kern w:val="0"/>
          <w:sz w:val="22"/>
          <w:szCs w:val="22"/>
        </w:rPr>
        <w:t xml:space="preserve"> examined the effect of lane width on load distributions. By considering the narrowing of a lane to be analogous to the widening of a vehicle, these studies may provide some initial insight into the potential magnitude of the change in traffic wander.</w:t>
      </w:r>
    </w:p>
    <w:p w14:paraId="1288EE1B" w14:textId="77777777" w:rsidR="00452B58" w:rsidRPr="00F2517A" w:rsidRDefault="00452B58" w:rsidP="00F2517A">
      <w:pPr>
        <w:pStyle w:val="ARRBBaseHeadingAppsub"/>
        <w:rPr>
          <w:rFonts w:hint="eastAsia"/>
        </w:rPr>
      </w:pPr>
      <w:r w:rsidRPr="00F2517A">
        <w:t>Roadside Infrastructure</w:t>
      </w:r>
    </w:p>
    <w:p w14:paraId="2A23431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analysis for </w:t>
      </w:r>
      <w:proofErr w:type="spellStart"/>
      <w:r w:rsidRPr="00452B58">
        <w:rPr>
          <w:rFonts w:ascii="Calibri" w:eastAsia="Calibri" w:hAnsi="Calibri" w:cs="Calibri"/>
          <w:color w:val="auto"/>
          <w:kern w:val="0"/>
          <w:sz w:val="22"/>
          <w:szCs w:val="22"/>
        </w:rPr>
        <w:t>TfNSW</w:t>
      </w:r>
      <w:proofErr w:type="spellEnd"/>
      <w:r w:rsidRPr="00452B58">
        <w:rPr>
          <w:rFonts w:ascii="Calibri" w:eastAsia="Calibri" w:hAnsi="Calibri" w:cs="Calibri"/>
          <w:color w:val="auto"/>
          <w:kern w:val="0"/>
          <w:sz w:val="22"/>
          <w:szCs w:val="22"/>
        </w:rPr>
        <w:t xml:space="preserve"> (ARRB 2021) found that </w:t>
      </w:r>
      <w:proofErr w:type="gramStart"/>
      <w:r w:rsidRPr="00452B58">
        <w:rPr>
          <w:rFonts w:ascii="Calibri" w:eastAsia="Calibri" w:hAnsi="Calibri" w:cs="Calibri"/>
          <w:color w:val="auto"/>
          <w:kern w:val="0"/>
          <w:sz w:val="22"/>
          <w:szCs w:val="22"/>
        </w:rPr>
        <w:t>the  likelihood</w:t>
      </w:r>
      <w:proofErr w:type="gramEnd"/>
      <w:r w:rsidRPr="00452B58">
        <w:rPr>
          <w:rFonts w:ascii="Calibri" w:eastAsia="Calibri" w:hAnsi="Calibri" w:cs="Calibri"/>
          <w:color w:val="auto"/>
          <w:kern w:val="0"/>
          <w:sz w:val="22"/>
          <w:szCs w:val="22"/>
        </w:rPr>
        <w:t xml:space="preserve"> of wider vehicles colliding with roadside infrastructure was low but would present a cost. In this analysis this is assumed to be managed by:</w:t>
      </w:r>
    </w:p>
    <w:p w14:paraId="25D0EB66" w14:textId="77777777" w:rsidR="00452B58" w:rsidRPr="00452B58" w:rsidRDefault="00452B58" w:rsidP="00E248BF">
      <w:pPr>
        <w:pStyle w:val="ARRBBulletLevel1"/>
      </w:pPr>
      <w:r w:rsidRPr="00452B58">
        <w:t>road managers restricting access to wider vehicles where there are obvious risks (e.g. power poles at immediate roadside, etc.)</w:t>
      </w:r>
    </w:p>
    <w:p w14:paraId="5AE36412" w14:textId="77777777" w:rsidR="00452B58" w:rsidRPr="00452B58" w:rsidRDefault="00452B58" w:rsidP="00E248BF">
      <w:pPr>
        <w:pStyle w:val="ARRBBulletLevel1"/>
      </w:pPr>
      <w:r w:rsidRPr="00452B58">
        <w:t>replacement costs of damaged roadside infrastructure being bundled under the more general ‘infrastructure update’ costs for the upgrade of intersections where turning issues have been encountered (such as collisions with roadside infrastructure).</w:t>
      </w:r>
    </w:p>
    <w:p w14:paraId="6082F35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more detailed estimate would require an inventory assessment of roadside furniture on top of the geometry analysis of intersections discussed above.</w:t>
      </w:r>
    </w:p>
    <w:p w14:paraId="1ABDFA31"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0533FC60" w14:textId="77777777" w:rsidR="00452B58" w:rsidRPr="00452B58" w:rsidRDefault="00452B58" w:rsidP="00F2517A">
      <w:pPr>
        <w:pStyle w:val="ARRBBaseHeadingApp"/>
      </w:pPr>
      <w:bookmarkStart w:id="327" w:name="_Ref111126248"/>
      <w:bookmarkStart w:id="328" w:name="_Toc137731693"/>
      <w:r w:rsidRPr="00452B58">
        <w:t>Calculation of</w:t>
      </w:r>
      <w:bookmarkEnd w:id="327"/>
      <w:r w:rsidRPr="00452B58">
        <w:t xml:space="preserve"> Average VKT</w:t>
      </w:r>
      <w:bookmarkEnd w:id="328"/>
    </w:p>
    <w:p w14:paraId="3665A8CC" w14:textId="3B7DE46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assess safety impact due to reduced crash exposure, average yearly travel for a vehicle before and after widening is required. This was based on the average annual km for different vehicle types from Australian Transport Assessment and Planning Steering Committee (2016) PV2, adjusted using the distribution of rigids by weight from the ABS Motor Vehicle Census (2021). This is shown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75095D3E" w14:textId="032A39E9"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9" w:name="_Ref11232780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32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Annual km for vehicles and trailers</w:t>
      </w:r>
    </w:p>
    <w:tbl>
      <w:tblPr>
        <w:tblStyle w:val="ARRBTableStyle"/>
        <w:tblW w:w="9628" w:type="dxa"/>
        <w:tblLook w:val="04A0" w:firstRow="1" w:lastRow="0" w:firstColumn="1" w:lastColumn="0" w:noHBand="0" w:noVBand="1"/>
      </w:tblPr>
      <w:tblGrid>
        <w:gridCol w:w="2830"/>
        <w:gridCol w:w="1276"/>
        <w:gridCol w:w="1134"/>
        <w:gridCol w:w="2693"/>
        <w:gridCol w:w="1695"/>
      </w:tblGrid>
      <w:tr w:rsidR="00452B58" w:rsidRPr="00452B58" w14:paraId="2EFC99DF" w14:textId="77777777" w:rsidTr="00452B58">
        <w:trPr>
          <w:cnfStyle w:val="100000000000" w:firstRow="1" w:lastRow="0" w:firstColumn="0" w:lastColumn="0" w:oddVBand="0" w:evenVBand="0" w:oddHBand="0" w:evenHBand="0" w:firstRowFirstColumn="0" w:firstRowLastColumn="0" w:lastRowFirstColumn="0" w:lastRowLastColumn="0"/>
          <w:trHeight w:val="573"/>
        </w:trPr>
        <w:tc>
          <w:tcPr>
            <w:tcW w:w="2830" w:type="dxa"/>
            <w:noWrap/>
            <w:vAlign w:val="top"/>
            <w:hideMark/>
          </w:tcPr>
          <w:p w14:paraId="034B0A24"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Vehicle type</w:t>
            </w:r>
          </w:p>
        </w:tc>
        <w:tc>
          <w:tcPr>
            <w:tcW w:w="1276" w:type="dxa"/>
            <w:noWrap/>
            <w:vAlign w:val="top"/>
            <w:hideMark/>
          </w:tcPr>
          <w:p w14:paraId="70D0A8DE"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GMC (t)</w:t>
            </w:r>
          </w:p>
        </w:tc>
        <w:tc>
          <w:tcPr>
            <w:tcW w:w="1134" w:type="dxa"/>
            <w:noWrap/>
            <w:vAlign w:val="top"/>
            <w:hideMark/>
          </w:tcPr>
          <w:p w14:paraId="0FEB49C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Annual km</w:t>
            </w:r>
          </w:p>
        </w:tc>
        <w:tc>
          <w:tcPr>
            <w:tcW w:w="2693" w:type="dxa"/>
            <w:vAlign w:val="top"/>
            <w:hideMark/>
          </w:tcPr>
          <w:p w14:paraId="507A553F"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 xml:space="preserve">Proportion of rigids by weight </w:t>
            </w:r>
            <w:r w:rsidRPr="00452B58">
              <w:rPr>
                <w:rFonts w:eastAsia="Calibri"/>
                <w:kern w:val="0"/>
                <w:szCs w:val="22"/>
                <w:lang w:eastAsia="en-AU"/>
              </w:rPr>
              <w:br/>
              <w:t>(2012-2021)</w:t>
            </w:r>
          </w:p>
        </w:tc>
        <w:tc>
          <w:tcPr>
            <w:tcW w:w="1695" w:type="dxa"/>
            <w:vAlign w:val="top"/>
            <w:hideMark/>
          </w:tcPr>
          <w:p w14:paraId="002538B1"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Adjusted annual km</w:t>
            </w:r>
          </w:p>
        </w:tc>
      </w:tr>
      <w:tr w:rsidR="00452B58" w:rsidRPr="00452B58" w14:paraId="2EB76C14" w14:textId="77777777" w:rsidTr="00452B58">
        <w:trPr>
          <w:trHeight w:val="300"/>
        </w:trPr>
        <w:tc>
          <w:tcPr>
            <w:tcW w:w="2830" w:type="dxa"/>
            <w:noWrap/>
            <w:hideMark/>
          </w:tcPr>
          <w:p w14:paraId="2BA7C30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07. Medium rigid</w:t>
            </w:r>
          </w:p>
        </w:tc>
        <w:tc>
          <w:tcPr>
            <w:tcW w:w="1276" w:type="dxa"/>
            <w:noWrap/>
            <w:hideMark/>
          </w:tcPr>
          <w:p w14:paraId="5DF0A7B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10.4</w:t>
            </w:r>
          </w:p>
        </w:tc>
        <w:tc>
          <w:tcPr>
            <w:tcW w:w="1134" w:type="dxa"/>
            <w:noWrap/>
            <w:hideMark/>
          </w:tcPr>
          <w:p w14:paraId="745E498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40,000</w:t>
            </w:r>
          </w:p>
        </w:tc>
        <w:tc>
          <w:tcPr>
            <w:tcW w:w="2693" w:type="dxa"/>
            <w:noWrap/>
            <w:hideMark/>
          </w:tcPr>
          <w:p w14:paraId="6038AA0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47%</w:t>
            </w:r>
          </w:p>
        </w:tc>
        <w:tc>
          <w:tcPr>
            <w:tcW w:w="1695" w:type="dxa"/>
            <w:vMerge w:val="restart"/>
            <w:noWrap/>
            <w:hideMark/>
          </w:tcPr>
          <w:p w14:paraId="78DF6F2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r>
      <w:tr w:rsidR="00452B58" w:rsidRPr="00452B58" w14:paraId="288A19E6" w14:textId="77777777" w:rsidTr="00452B58">
        <w:trPr>
          <w:trHeight w:val="300"/>
        </w:trPr>
        <w:tc>
          <w:tcPr>
            <w:tcW w:w="2830" w:type="dxa"/>
            <w:noWrap/>
            <w:hideMark/>
          </w:tcPr>
          <w:p w14:paraId="4DBA178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08. Heavy rigid</w:t>
            </w:r>
          </w:p>
        </w:tc>
        <w:tc>
          <w:tcPr>
            <w:tcW w:w="1276" w:type="dxa"/>
            <w:noWrap/>
            <w:hideMark/>
          </w:tcPr>
          <w:p w14:paraId="77247A5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22.5</w:t>
            </w:r>
          </w:p>
        </w:tc>
        <w:tc>
          <w:tcPr>
            <w:tcW w:w="1134" w:type="dxa"/>
            <w:noWrap/>
            <w:hideMark/>
          </w:tcPr>
          <w:p w14:paraId="4D764A9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2693" w:type="dxa"/>
            <w:noWrap/>
            <w:hideMark/>
          </w:tcPr>
          <w:p w14:paraId="4E17C3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53%</w:t>
            </w:r>
          </w:p>
        </w:tc>
        <w:tc>
          <w:tcPr>
            <w:tcW w:w="1695" w:type="dxa"/>
            <w:vMerge/>
            <w:hideMark/>
          </w:tcPr>
          <w:p w14:paraId="00BB326C"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14:paraId="478B8C98" w14:textId="77777777" w:rsidTr="00452B58">
        <w:trPr>
          <w:trHeight w:val="300"/>
        </w:trPr>
        <w:tc>
          <w:tcPr>
            <w:tcW w:w="2830" w:type="dxa"/>
            <w:noWrap/>
            <w:hideMark/>
          </w:tcPr>
          <w:p w14:paraId="55105D0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10. – 20. Articulated combinations</w:t>
            </w:r>
          </w:p>
        </w:tc>
        <w:tc>
          <w:tcPr>
            <w:tcW w:w="1276" w:type="dxa"/>
            <w:noWrap/>
            <w:hideMark/>
          </w:tcPr>
          <w:p w14:paraId="6FCDBE0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31.5 to 119</w:t>
            </w:r>
          </w:p>
        </w:tc>
        <w:tc>
          <w:tcPr>
            <w:tcW w:w="1134" w:type="dxa"/>
            <w:noWrap/>
            <w:hideMark/>
          </w:tcPr>
          <w:p w14:paraId="43000B0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2693" w:type="dxa"/>
            <w:noWrap/>
            <w:hideMark/>
          </w:tcPr>
          <w:p w14:paraId="73B3E86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695" w:type="dxa"/>
            <w:noWrap/>
            <w:hideMark/>
          </w:tcPr>
          <w:p w14:paraId="57E6AD1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r>
      <w:tr w:rsidR="00452B58" w:rsidRPr="00452B58" w14:paraId="09BAC730" w14:textId="77777777" w:rsidTr="00452B58">
        <w:trPr>
          <w:trHeight w:val="300"/>
        </w:trPr>
        <w:tc>
          <w:tcPr>
            <w:tcW w:w="2830" w:type="dxa"/>
            <w:noWrap/>
            <w:hideMark/>
          </w:tcPr>
          <w:p w14:paraId="4F9D8E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Sources:</w:t>
            </w:r>
          </w:p>
        </w:tc>
        <w:tc>
          <w:tcPr>
            <w:tcW w:w="2410" w:type="dxa"/>
            <w:gridSpan w:val="2"/>
            <w:noWrap/>
            <w:hideMark/>
          </w:tcPr>
          <w:p w14:paraId="6A6B7C3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ATAP PV2, 5.2, Table 24</w:t>
            </w:r>
          </w:p>
        </w:tc>
        <w:tc>
          <w:tcPr>
            <w:tcW w:w="2693" w:type="dxa"/>
            <w:hideMark/>
          </w:tcPr>
          <w:p w14:paraId="388A5D6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ABS Motor Vehicle Census 2021</w:t>
            </w:r>
          </w:p>
        </w:tc>
        <w:tc>
          <w:tcPr>
            <w:tcW w:w="1695" w:type="dxa"/>
            <w:noWrap/>
            <w:hideMark/>
          </w:tcPr>
          <w:p w14:paraId="2F2DC3BC" w14:textId="77777777" w:rsidR="00452B58" w:rsidRPr="00452B58" w:rsidRDefault="00452B58" w:rsidP="00452B58">
            <w:pPr>
              <w:keepNext/>
              <w:suppressAutoHyphens w:val="0"/>
              <w:spacing w:before="40" w:after="40"/>
              <w:jc w:val="center"/>
              <w:rPr>
                <w:rFonts w:eastAsia="Calibri" w:cs="Times New Roman"/>
                <w:kern w:val="0"/>
                <w:szCs w:val="22"/>
                <w:lang w:eastAsia="en-AU"/>
              </w:rPr>
            </w:pPr>
          </w:p>
        </w:tc>
      </w:tr>
    </w:tbl>
    <w:p w14:paraId="5D781F4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454D26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reduction in VKT for vehicles and trailers based on their width was calculated through an analysis of freight task by load and vehicle type using data from the Australian Bureau of Statistics report on Road Freight Movements (2014).</w:t>
      </w:r>
    </w:p>
    <w:p w14:paraId="251819E0" w14:textId="17FA0F21"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volume of freight by type was first considered, as shown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 where the tonnes and percentages of each freight type are shown. Solid and liquid bulk freight is mass-limited and gains no benefit from wider vehicles or trailers. Containerised freight uses containers that comply with international standards and practices and likewise gain no benefit from wider vehicles and trailers. This leaves 42% of ‘Other’ freight which may benefit from greater volume.</w:t>
      </w:r>
    </w:p>
    <w:p w14:paraId="28A56E28" w14:textId="68CBFC7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0" w:name="_Ref112327859"/>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bookmarkEnd w:id="33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Type of freight transported across Australia</w:t>
      </w:r>
    </w:p>
    <w:tbl>
      <w:tblPr>
        <w:tblStyle w:val="ARRBTableStyle"/>
        <w:tblW w:w="9200" w:type="dxa"/>
        <w:tblLook w:val="04A0" w:firstRow="1" w:lastRow="0" w:firstColumn="1" w:lastColumn="0" w:noHBand="0" w:noVBand="1"/>
      </w:tblPr>
      <w:tblGrid>
        <w:gridCol w:w="2980"/>
        <w:gridCol w:w="2980"/>
        <w:gridCol w:w="3240"/>
      </w:tblGrid>
      <w:tr w:rsidR="00452B58" w:rsidRPr="00452B58" w14:paraId="72FD5CAB" w14:textId="77777777" w:rsidTr="00452B58">
        <w:trPr>
          <w:cnfStyle w:val="100000000000" w:firstRow="1" w:lastRow="0" w:firstColumn="0" w:lastColumn="0" w:oddVBand="0" w:evenVBand="0" w:oddHBand="0" w:evenHBand="0" w:firstRowFirstColumn="0" w:firstRowLastColumn="0" w:lastRowFirstColumn="0" w:lastRowLastColumn="0"/>
          <w:trHeight w:val="255"/>
        </w:trPr>
        <w:tc>
          <w:tcPr>
            <w:tcW w:w="2980" w:type="dxa"/>
            <w:noWrap/>
            <w:hideMark/>
          </w:tcPr>
          <w:p w14:paraId="6D7FCED1" w14:textId="77777777"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Type of freight</w:t>
            </w:r>
          </w:p>
        </w:tc>
        <w:tc>
          <w:tcPr>
            <w:tcW w:w="2980" w:type="dxa"/>
            <w:noWrap/>
            <w:hideMark/>
          </w:tcPr>
          <w:p w14:paraId="5B2E2368"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Tonnes carried (tonnes) (‘000)</w:t>
            </w:r>
          </w:p>
        </w:tc>
        <w:tc>
          <w:tcPr>
            <w:tcW w:w="3240" w:type="dxa"/>
            <w:noWrap/>
            <w:hideMark/>
          </w:tcPr>
          <w:p w14:paraId="141133D0"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of total tonnes carried</w:t>
            </w:r>
          </w:p>
        </w:tc>
      </w:tr>
      <w:tr w:rsidR="00452B58" w:rsidRPr="00452B58" w14:paraId="5D42C37F" w14:textId="77777777" w:rsidTr="00452B58">
        <w:trPr>
          <w:trHeight w:val="255"/>
        </w:trPr>
        <w:tc>
          <w:tcPr>
            <w:tcW w:w="2980" w:type="dxa"/>
            <w:noWrap/>
            <w:hideMark/>
          </w:tcPr>
          <w:p w14:paraId="7CD90F7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Solid bulk</w:t>
            </w:r>
          </w:p>
        </w:tc>
        <w:tc>
          <w:tcPr>
            <w:tcW w:w="2980" w:type="dxa"/>
            <w:noWrap/>
            <w:hideMark/>
          </w:tcPr>
          <w:p w14:paraId="2E33587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869,188</w:t>
            </w:r>
          </w:p>
        </w:tc>
        <w:tc>
          <w:tcPr>
            <w:tcW w:w="3240" w:type="dxa"/>
            <w:noWrap/>
            <w:hideMark/>
          </w:tcPr>
          <w:p w14:paraId="02D5C06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41%</w:t>
            </w:r>
          </w:p>
        </w:tc>
      </w:tr>
      <w:tr w:rsidR="00452B58" w:rsidRPr="00452B58" w14:paraId="598A2B7A" w14:textId="77777777" w:rsidTr="00452B58">
        <w:trPr>
          <w:trHeight w:val="255"/>
        </w:trPr>
        <w:tc>
          <w:tcPr>
            <w:tcW w:w="2980" w:type="dxa"/>
            <w:noWrap/>
            <w:hideMark/>
          </w:tcPr>
          <w:p w14:paraId="6552D30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Liquid bulk</w:t>
            </w:r>
          </w:p>
        </w:tc>
        <w:tc>
          <w:tcPr>
            <w:tcW w:w="2980" w:type="dxa"/>
            <w:noWrap/>
            <w:hideMark/>
          </w:tcPr>
          <w:p w14:paraId="35778A7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207,528</w:t>
            </w:r>
          </w:p>
        </w:tc>
        <w:tc>
          <w:tcPr>
            <w:tcW w:w="3240" w:type="dxa"/>
            <w:noWrap/>
            <w:hideMark/>
          </w:tcPr>
          <w:p w14:paraId="4608C56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w:t>
            </w:r>
          </w:p>
        </w:tc>
      </w:tr>
      <w:tr w:rsidR="00452B58" w:rsidRPr="00452B58" w14:paraId="5B000092" w14:textId="77777777" w:rsidTr="00452B58">
        <w:trPr>
          <w:trHeight w:val="255"/>
        </w:trPr>
        <w:tc>
          <w:tcPr>
            <w:tcW w:w="2980" w:type="dxa"/>
            <w:noWrap/>
            <w:hideMark/>
          </w:tcPr>
          <w:p w14:paraId="24B2DB7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Containerised</w:t>
            </w:r>
          </w:p>
        </w:tc>
        <w:tc>
          <w:tcPr>
            <w:tcW w:w="2980" w:type="dxa"/>
            <w:noWrap/>
            <w:hideMark/>
          </w:tcPr>
          <w:p w14:paraId="7C9A06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152,449</w:t>
            </w:r>
          </w:p>
        </w:tc>
        <w:tc>
          <w:tcPr>
            <w:tcW w:w="3240" w:type="dxa"/>
            <w:noWrap/>
            <w:hideMark/>
          </w:tcPr>
          <w:p w14:paraId="3BEBAAB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w:t>
            </w:r>
          </w:p>
        </w:tc>
      </w:tr>
      <w:tr w:rsidR="00452B58" w:rsidRPr="00452B58" w14:paraId="1633C4C8" w14:textId="77777777" w:rsidTr="00452B58">
        <w:trPr>
          <w:trHeight w:val="255"/>
        </w:trPr>
        <w:tc>
          <w:tcPr>
            <w:tcW w:w="2980" w:type="dxa"/>
            <w:noWrap/>
            <w:hideMark/>
          </w:tcPr>
          <w:p w14:paraId="2A22CAB1"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Other</w:t>
            </w:r>
          </w:p>
        </w:tc>
        <w:tc>
          <w:tcPr>
            <w:tcW w:w="2980" w:type="dxa"/>
            <w:noWrap/>
            <w:hideMark/>
          </w:tcPr>
          <w:p w14:paraId="13C6A02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902,539</w:t>
            </w:r>
          </w:p>
        </w:tc>
        <w:tc>
          <w:tcPr>
            <w:tcW w:w="3240" w:type="dxa"/>
            <w:noWrap/>
            <w:hideMark/>
          </w:tcPr>
          <w:p w14:paraId="45F9AB7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42%</w:t>
            </w:r>
          </w:p>
        </w:tc>
      </w:tr>
      <w:tr w:rsidR="00452B58" w:rsidRPr="00452B58" w14:paraId="5DE077A3" w14:textId="77777777" w:rsidTr="00452B58">
        <w:trPr>
          <w:trHeight w:val="255"/>
        </w:trPr>
        <w:tc>
          <w:tcPr>
            <w:tcW w:w="2980" w:type="dxa"/>
            <w:noWrap/>
            <w:hideMark/>
          </w:tcPr>
          <w:p w14:paraId="5B10EA3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Total</w:t>
            </w:r>
          </w:p>
        </w:tc>
        <w:tc>
          <w:tcPr>
            <w:tcW w:w="2980" w:type="dxa"/>
            <w:noWrap/>
            <w:hideMark/>
          </w:tcPr>
          <w:p w14:paraId="32F7589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2,131,704</w:t>
            </w:r>
          </w:p>
        </w:tc>
        <w:tc>
          <w:tcPr>
            <w:tcW w:w="3240" w:type="dxa"/>
            <w:noWrap/>
            <w:hideMark/>
          </w:tcPr>
          <w:p w14:paraId="560D78C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100%</w:t>
            </w:r>
          </w:p>
        </w:tc>
      </w:tr>
    </w:tbl>
    <w:p w14:paraId="075A8B4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79DB4DA" w14:textId="120BE0F1"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heavy vehicle fleet was also considered by type in terms of freight task, and the mass of ‘other’ freight allocated by vehicle type as shown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 with this mass converted to volume based on the average density of 53 commodities with a 1.25 multiplier (or an average of 80% of available volume used) to account for packing space, the full height of the load space not being used, palleted freight, and empty runs (ARRB 2021).</w:t>
      </w:r>
    </w:p>
    <w:p w14:paraId="382FE06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1FC13ED1" w14:textId="1260F0E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1" w:name="_Ref11232788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bookmarkEnd w:id="33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Estimated mass and volume transported by vehicle type</w:t>
      </w:r>
    </w:p>
    <w:tbl>
      <w:tblPr>
        <w:tblStyle w:val="ARRBTableStyle"/>
        <w:tblW w:w="8642" w:type="dxa"/>
        <w:tblLook w:val="04A0" w:firstRow="1" w:lastRow="0" w:firstColumn="1" w:lastColumn="0" w:noHBand="0" w:noVBand="1"/>
      </w:tblPr>
      <w:tblGrid>
        <w:gridCol w:w="2689"/>
        <w:gridCol w:w="1275"/>
        <w:gridCol w:w="1418"/>
        <w:gridCol w:w="1417"/>
        <w:gridCol w:w="1843"/>
      </w:tblGrid>
      <w:tr w:rsidR="00452B58" w:rsidRPr="00452B58" w14:paraId="7C3D63FC" w14:textId="77777777" w:rsidTr="00452B58">
        <w:trPr>
          <w:cnfStyle w:val="100000000000" w:firstRow="1" w:lastRow="0" w:firstColumn="0" w:lastColumn="0" w:oddVBand="0" w:evenVBand="0" w:oddHBand="0" w:evenHBand="0" w:firstRowFirstColumn="0" w:firstRowLastColumn="0" w:lastRowFirstColumn="0" w:lastRowLastColumn="0"/>
          <w:trHeight w:val="510"/>
        </w:trPr>
        <w:tc>
          <w:tcPr>
            <w:tcW w:w="2689" w:type="dxa"/>
            <w:vAlign w:val="top"/>
            <w:hideMark/>
          </w:tcPr>
          <w:p w14:paraId="53939883"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Vehicle type</w:t>
            </w:r>
          </w:p>
        </w:tc>
        <w:tc>
          <w:tcPr>
            <w:tcW w:w="1275" w:type="dxa"/>
            <w:vAlign w:val="top"/>
            <w:hideMark/>
          </w:tcPr>
          <w:p w14:paraId="604EC975"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of total freight task</w:t>
            </w:r>
          </w:p>
        </w:tc>
        <w:tc>
          <w:tcPr>
            <w:tcW w:w="1418" w:type="dxa"/>
            <w:vAlign w:val="top"/>
            <w:hideMark/>
          </w:tcPr>
          <w:p w14:paraId="49936E9C"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Mass of ‘Other’ freight (‘000)</w:t>
            </w:r>
          </w:p>
        </w:tc>
        <w:tc>
          <w:tcPr>
            <w:tcW w:w="1417" w:type="dxa"/>
            <w:vAlign w:val="top"/>
            <w:hideMark/>
          </w:tcPr>
          <w:p w14:paraId="38074019"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Volume of ‘Other’ freight (m</w:t>
            </w:r>
            <w:r w:rsidRPr="00452B58">
              <w:rPr>
                <w:rFonts w:eastAsia="Calibri"/>
                <w:kern w:val="0"/>
                <w:szCs w:val="22"/>
                <w:vertAlign w:val="superscript"/>
              </w:rPr>
              <w:t>3</w:t>
            </w:r>
            <w:r w:rsidRPr="00452B58">
              <w:rPr>
                <w:rFonts w:eastAsia="Calibri"/>
                <w:kern w:val="0"/>
                <w:szCs w:val="22"/>
              </w:rPr>
              <w:t>) (‘000)</w:t>
            </w:r>
          </w:p>
        </w:tc>
        <w:tc>
          <w:tcPr>
            <w:tcW w:w="1843" w:type="dxa"/>
            <w:vAlign w:val="top"/>
            <w:hideMark/>
          </w:tcPr>
          <w:p w14:paraId="0932C85E"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Adjusted volume of ‘Other’ freight (m</w:t>
            </w:r>
            <w:r w:rsidRPr="00452B58">
              <w:rPr>
                <w:rFonts w:eastAsia="Calibri"/>
                <w:kern w:val="0"/>
                <w:szCs w:val="22"/>
                <w:vertAlign w:val="superscript"/>
              </w:rPr>
              <w:t>3</w:t>
            </w:r>
            <w:r w:rsidRPr="00452B58">
              <w:rPr>
                <w:rFonts w:eastAsia="Calibri"/>
                <w:kern w:val="0"/>
                <w:szCs w:val="22"/>
              </w:rPr>
              <w:t>)</w:t>
            </w:r>
          </w:p>
        </w:tc>
      </w:tr>
      <w:tr w:rsidR="00452B58" w:rsidRPr="00452B58" w14:paraId="418484C2" w14:textId="77777777" w:rsidTr="00452B58">
        <w:trPr>
          <w:trHeight w:val="255"/>
        </w:trPr>
        <w:tc>
          <w:tcPr>
            <w:tcW w:w="0" w:type="dxa"/>
            <w:noWrap/>
            <w:hideMark/>
          </w:tcPr>
          <w:p w14:paraId="5A31B05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Rigid truck</w:t>
            </w:r>
          </w:p>
        </w:tc>
        <w:tc>
          <w:tcPr>
            <w:tcW w:w="0" w:type="dxa"/>
            <w:noWrap/>
            <w:hideMark/>
          </w:tcPr>
          <w:p w14:paraId="3F469B6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0" w:type="dxa"/>
            <w:noWrap/>
            <w:hideMark/>
          </w:tcPr>
          <w:p w14:paraId="12C46ED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294,456</w:t>
            </w:r>
          </w:p>
        </w:tc>
        <w:tc>
          <w:tcPr>
            <w:tcW w:w="0" w:type="dxa"/>
            <w:noWrap/>
            <w:hideMark/>
          </w:tcPr>
          <w:p w14:paraId="14DC55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354,208</w:t>
            </w:r>
          </w:p>
        </w:tc>
        <w:tc>
          <w:tcPr>
            <w:tcW w:w="0" w:type="dxa"/>
            <w:noWrap/>
            <w:hideMark/>
          </w:tcPr>
          <w:p w14:paraId="63BC1528" w14:textId="77777777"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354,208,397</w:t>
            </w:r>
          </w:p>
        </w:tc>
      </w:tr>
      <w:tr w:rsidR="00452B58" w:rsidRPr="00452B58" w14:paraId="0B0D2A01" w14:textId="77777777" w:rsidTr="00452B58">
        <w:trPr>
          <w:trHeight w:val="255"/>
        </w:trPr>
        <w:tc>
          <w:tcPr>
            <w:tcW w:w="0" w:type="dxa"/>
            <w:noWrap/>
            <w:hideMark/>
          </w:tcPr>
          <w:p w14:paraId="13E5EF8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Truck and dog</w:t>
            </w:r>
          </w:p>
        </w:tc>
        <w:tc>
          <w:tcPr>
            <w:tcW w:w="0" w:type="dxa"/>
            <w:noWrap/>
            <w:hideMark/>
          </w:tcPr>
          <w:p w14:paraId="7722DAD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17%</w:t>
            </w:r>
          </w:p>
        </w:tc>
        <w:tc>
          <w:tcPr>
            <w:tcW w:w="0" w:type="dxa"/>
            <w:noWrap/>
            <w:hideMark/>
          </w:tcPr>
          <w:p w14:paraId="0F3271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155,232</w:t>
            </w:r>
          </w:p>
        </w:tc>
        <w:tc>
          <w:tcPr>
            <w:tcW w:w="0" w:type="dxa"/>
            <w:noWrap/>
            <w:hideMark/>
          </w:tcPr>
          <w:p w14:paraId="1D307E5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186,732</w:t>
            </w:r>
          </w:p>
        </w:tc>
        <w:tc>
          <w:tcPr>
            <w:tcW w:w="0" w:type="dxa"/>
            <w:noWrap/>
            <w:hideMark/>
          </w:tcPr>
          <w:p w14:paraId="686BCFBB" w14:textId="77777777"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186,732,245</w:t>
            </w:r>
          </w:p>
        </w:tc>
      </w:tr>
      <w:tr w:rsidR="00452B58" w:rsidRPr="00452B58" w14:paraId="73596D76" w14:textId="77777777" w:rsidTr="00452B58">
        <w:trPr>
          <w:trHeight w:val="255"/>
        </w:trPr>
        <w:tc>
          <w:tcPr>
            <w:tcW w:w="0" w:type="dxa"/>
            <w:noWrap/>
            <w:hideMark/>
          </w:tcPr>
          <w:p w14:paraId="13111F8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Semi-single trailer</w:t>
            </w:r>
          </w:p>
        </w:tc>
        <w:tc>
          <w:tcPr>
            <w:tcW w:w="0" w:type="dxa"/>
            <w:noWrap/>
            <w:hideMark/>
          </w:tcPr>
          <w:p w14:paraId="12F2B27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w:t>
            </w:r>
          </w:p>
        </w:tc>
        <w:tc>
          <w:tcPr>
            <w:tcW w:w="0" w:type="dxa"/>
            <w:noWrap/>
            <w:hideMark/>
          </w:tcPr>
          <w:p w14:paraId="03B4685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234,923</w:t>
            </w:r>
          </w:p>
        </w:tc>
        <w:tc>
          <w:tcPr>
            <w:tcW w:w="0" w:type="dxa"/>
            <w:noWrap/>
            <w:hideMark/>
          </w:tcPr>
          <w:p w14:paraId="3B1318B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282,598</w:t>
            </w:r>
          </w:p>
        </w:tc>
        <w:tc>
          <w:tcPr>
            <w:tcW w:w="0" w:type="dxa"/>
            <w:noWrap/>
            <w:hideMark/>
          </w:tcPr>
          <w:p w14:paraId="66A8C34E" w14:textId="77777777"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282,598,051</w:t>
            </w:r>
          </w:p>
        </w:tc>
      </w:tr>
      <w:tr w:rsidR="00452B58" w:rsidRPr="00452B58" w14:paraId="4D6FDDB5" w14:textId="77777777" w:rsidTr="00452B58">
        <w:trPr>
          <w:trHeight w:val="255"/>
        </w:trPr>
        <w:tc>
          <w:tcPr>
            <w:tcW w:w="2689" w:type="dxa"/>
            <w:noWrap/>
            <w:hideMark/>
          </w:tcPr>
          <w:p w14:paraId="48C937C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B-double</w:t>
            </w:r>
          </w:p>
        </w:tc>
        <w:tc>
          <w:tcPr>
            <w:tcW w:w="1275" w:type="dxa"/>
            <w:noWrap/>
            <w:hideMark/>
          </w:tcPr>
          <w:p w14:paraId="6A6EE86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w:t>
            </w:r>
          </w:p>
        </w:tc>
        <w:tc>
          <w:tcPr>
            <w:tcW w:w="1418" w:type="dxa"/>
            <w:noWrap/>
            <w:hideMark/>
          </w:tcPr>
          <w:p w14:paraId="3BD76A7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114,918</w:t>
            </w:r>
          </w:p>
        </w:tc>
        <w:tc>
          <w:tcPr>
            <w:tcW w:w="1417" w:type="dxa"/>
            <w:noWrap/>
            <w:hideMark/>
          </w:tcPr>
          <w:p w14:paraId="521C8BB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138,238</w:t>
            </w:r>
          </w:p>
        </w:tc>
        <w:tc>
          <w:tcPr>
            <w:tcW w:w="1843" w:type="dxa"/>
            <w:noWrap/>
            <w:hideMark/>
          </w:tcPr>
          <w:p w14:paraId="2C2974B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138,237,790</w:t>
            </w:r>
          </w:p>
        </w:tc>
      </w:tr>
      <w:tr w:rsidR="00452B58" w:rsidRPr="00452B58" w14:paraId="3F84F81E" w14:textId="77777777" w:rsidTr="00452B58">
        <w:trPr>
          <w:trHeight w:val="255"/>
        </w:trPr>
        <w:tc>
          <w:tcPr>
            <w:tcW w:w="2689" w:type="dxa"/>
            <w:noWrap/>
            <w:hideMark/>
          </w:tcPr>
          <w:p w14:paraId="5799564C"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B-triple</w:t>
            </w:r>
          </w:p>
        </w:tc>
        <w:tc>
          <w:tcPr>
            <w:tcW w:w="1275" w:type="dxa"/>
            <w:noWrap/>
            <w:hideMark/>
          </w:tcPr>
          <w:p w14:paraId="309090E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0.2%</w:t>
            </w:r>
          </w:p>
        </w:tc>
        <w:tc>
          <w:tcPr>
            <w:tcW w:w="1418" w:type="dxa"/>
            <w:noWrap/>
            <w:hideMark/>
          </w:tcPr>
          <w:p w14:paraId="3512D77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1,836</w:t>
            </w:r>
          </w:p>
        </w:tc>
        <w:tc>
          <w:tcPr>
            <w:tcW w:w="1417" w:type="dxa"/>
            <w:noWrap/>
            <w:hideMark/>
          </w:tcPr>
          <w:p w14:paraId="2EE0ADE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2,209</w:t>
            </w:r>
          </w:p>
        </w:tc>
        <w:tc>
          <w:tcPr>
            <w:tcW w:w="1843" w:type="dxa"/>
            <w:noWrap/>
            <w:hideMark/>
          </w:tcPr>
          <w:p w14:paraId="7C7C16D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2,208,947</w:t>
            </w:r>
          </w:p>
        </w:tc>
      </w:tr>
      <w:tr w:rsidR="00452B58" w:rsidRPr="00452B58" w14:paraId="021FC8BF" w14:textId="77777777" w:rsidTr="00452B58">
        <w:trPr>
          <w:trHeight w:val="255"/>
        </w:trPr>
        <w:tc>
          <w:tcPr>
            <w:tcW w:w="2689" w:type="dxa"/>
            <w:noWrap/>
            <w:hideMark/>
          </w:tcPr>
          <w:p w14:paraId="6B2F71C9"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Road train with two trailers</w:t>
            </w:r>
          </w:p>
        </w:tc>
        <w:tc>
          <w:tcPr>
            <w:tcW w:w="1275" w:type="dxa"/>
            <w:noWrap/>
            <w:hideMark/>
          </w:tcPr>
          <w:p w14:paraId="162D128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418" w:type="dxa"/>
            <w:noWrap/>
            <w:hideMark/>
          </w:tcPr>
          <w:p w14:paraId="5A2C64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72,198</w:t>
            </w:r>
          </w:p>
        </w:tc>
        <w:tc>
          <w:tcPr>
            <w:tcW w:w="1417" w:type="dxa"/>
            <w:noWrap/>
            <w:hideMark/>
          </w:tcPr>
          <w:p w14:paraId="74217A2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86,849</w:t>
            </w:r>
          </w:p>
        </w:tc>
        <w:tc>
          <w:tcPr>
            <w:tcW w:w="1843" w:type="dxa"/>
            <w:noWrap/>
            <w:hideMark/>
          </w:tcPr>
          <w:p w14:paraId="43572B2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86,848,947</w:t>
            </w:r>
          </w:p>
        </w:tc>
      </w:tr>
      <w:tr w:rsidR="00452B58" w:rsidRPr="00452B58" w14:paraId="2F0FA068" w14:textId="77777777" w:rsidTr="00452B58">
        <w:trPr>
          <w:trHeight w:val="255"/>
        </w:trPr>
        <w:tc>
          <w:tcPr>
            <w:tcW w:w="2689" w:type="dxa"/>
            <w:noWrap/>
            <w:hideMark/>
          </w:tcPr>
          <w:p w14:paraId="1864FCB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Road train with three trailers</w:t>
            </w:r>
          </w:p>
        </w:tc>
        <w:tc>
          <w:tcPr>
            <w:tcW w:w="1275" w:type="dxa"/>
            <w:noWrap/>
            <w:hideMark/>
          </w:tcPr>
          <w:p w14:paraId="75409EB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1418" w:type="dxa"/>
            <w:noWrap/>
            <w:hideMark/>
          </w:tcPr>
          <w:p w14:paraId="4B161BA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28,972</w:t>
            </w:r>
          </w:p>
        </w:tc>
        <w:tc>
          <w:tcPr>
            <w:tcW w:w="1417" w:type="dxa"/>
            <w:noWrap/>
            <w:hideMark/>
          </w:tcPr>
          <w:p w14:paraId="2A30175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34,852</w:t>
            </w:r>
          </w:p>
        </w:tc>
        <w:tc>
          <w:tcPr>
            <w:tcW w:w="1843" w:type="dxa"/>
            <w:noWrap/>
            <w:hideMark/>
          </w:tcPr>
          <w:p w14:paraId="11FCECA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34,851,557</w:t>
            </w:r>
          </w:p>
        </w:tc>
      </w:tr>
      <w:tr w:rsidR="00452B58" w:rsidRPr="00452B58" w14:paraId="5B43F8F9" w14:textId="77777777" w:rsidTr="00452B58">
        <w:trPr>
          <w:trHeight w:val="255"/>
        </w:trPr>
        <w:tc>
          <w:tcPr>
            <w:tcW w:w="2689" w:type="dxa"/>
            <w:noWrap/>
            <w:hideMark/>
          </w:tcPr>
          <w:p w14:paraId="0589722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Total</w:t>
            </w:r>
          </w:p>
        </w:tc>
        <w:tc>
          <w:tcPr>
            <w:tcW w:w="1275" w:type="dxa"/>
            <w:noWrap/>
            <w:hideMark/>
          </w:tcPr>
          <w:p w14:paraId="04EDEB4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100%</w:t>
            </w:r>
          </w:p>
        </w:tc>
        <w:tc>
          <w:tcPr>
            <w:tcW w:w="1418" w:type="dxa"/>
            <w:noWrap/>
            <w:hideMark/>
          </w:tcPr>
          <w:p w14:paraId="366724A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902,539</w:t>
            </w:r>
          </w:p>
        </w:tc>
        <w:tc>
          <w:tcPr>
            <w:tcW w:w="1417" w:type="dxa"/>
            <w:noWrap/>
            <w:hideMark/>
          </w:tcPr>
          <w:p w14:paraId="2DF7220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1,085,686</w:t>
            </w:r>
          </w:p>
        </w:tc>
        <w:tc>
          <w:tcPr>
            <w:tcW w:w="1843" w:type="dxa"/>
            <w:noWrap/>
            <w:hideMark/>
          </w:tcPr>
          <w:p w14:paraId="7CE0E87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1,085,685,933</w:t>
            </w:r>
          </w:p>
        </w:tc>
      </w:tr>
    </w:tbl>
    <w:p w14:paraId="59B3422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CFD6F8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By calculating the interior volume of each vehicle type (including trailers) for 2.5, 2.55 and 2.6 m widths, an equivalent number of trips was able to be calculated for the transport of ‘other’ freight. This allowed the percentage reduction in trip numbers to be determined for these combinations (assuming 80% volume usage). </w:t>
      </w:r>
    </w:p>
    <w:p w14:paraId="31ACE2C4" w14:textId="29F4343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VKT values in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 xml:space="preserve"> were determined by using the calculated 64,357 total VKT for goods vehicles taken from ATAP PV2 and multiplying it by the 42% for freight types that allow a greater load in wider vehicles. The percentage reductions were then applied to determine the reduction in VKT due to wider vehicles (based on an averaged VKT per trip).</w:t>
      </w:r>
    </w:p>
    <w:p w14:paraId="508446AE" w14:textId="419578F3"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2" w:name="_Ref11232792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bookmarkEnd w:id="33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Simplified estimated trip reduction if vehicles achieve 80% volume usage</w:t>
      </w:r>
    </w:p>
    <w:tbl>
      <w:tblPr>
        <w:tblStyle w:val="ARRBTableStyle"/>
        <w:tblW w:w="9638" w:type="dxa"/>
        <w:tblLook w:val="04A0" w:firstRow="1" w:lastRow="0" w:firstColumn="1" w:lastColumn="0" w:noHBand="0" w:noVBand="1"/>
      </w:tblPr>
      <w:tblGrid>
        <w:gridCol w:w="1980"/>
        <w:gridCol w:w="1848"/>
        <w:gridCol w:w="1984"/>
        <w:gridCol w:w="2552"/>
        <w:gridCol w:w="1274"/>
      </w:tblGrid>
      <w:tr w:rsidR="00452B58" w:rsidRPr="00452B58" w14:paraId="208F3AD6" w14:textId="77777777" w:rsidTr="00452B58">
        <w:trPr>
          <w:cnfStyle w:val="100000000000" w:firstRow="1" w:lastRow="0" w:firstColumn="0" w:lastColumn="0" w:oddVBand="0" w:evenVBand="0" w:oddHBand="0" w:evenHBand="0" w:firstRowFirstColumn="0" w:firstRowLastColumn="0" w:lastRowFirstColumn="0" w:lastRowLastColumn="0"/>
          <w:trHeight w:val="510"/>
        </w:trPr>
        <w:tc>
          <w:tcPr>
            <w:tcW w:w="1980" w:type="dxa"/>
            <w:vAlign w:val="top"/>
            <w:hideMark/>
          </w:tcPr>
          <w:p w14:paraId="7D985401"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Vehicle width</w:t>
            </w:r>
          </w:p>
        </w:tc>
        <w:tc>
          <w:tcPr>
            <w:tcW w:w="1848" w:type="dxa"/>
            <w:vAlign w:val="top"/>
            <w:hideMark/>
          </w:tcPr>
          <w:p w14:paraId="57DB9F8D"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Total trips required for ‘Other’ freight task</w:t>
            </w:r>
          </w:p>
        </w:tc>
        <w:tc>
          <w:tcPr>
            <w:tcW w:w="1984" w:type="dxa"/>
            <w:vAlign w:val="top"/>
            <w:hideMark/>
          </w:tcPr>
          <w:p w14:paraId="1F84C15C"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Trip reduction for ‘other freight’ compared to 2.50 m wide vehicle</w:t>
            </w:r>
          </w:p>
        </w:tc>
        <w:tc>
          <w:tcPr>
            <w:tcW w:w="2552" w:type="dxa"/>
            <w:vAlign w:val="top"/>
            <w:hideMark/>
          </w:tcPr>
          <w:p w14:paraId="42FAB7CB"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reduction in trips (all freight) compared to 2.50 m wide vehicle</w:t>
            </w:r>
          </w:p>
        </w:tc>
        <w:tc>
          <w:tcPr>
            <w:tcW w:w="1274" w:type="dxa"/>
            <w:vAlign w:val="top"/>
          </w:tcPr>
          <w:p w14:paraId="2769CAA1"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Equivalent km</w:t>
            </w:r>
          </w:p>
        </w:tc>
      </w:tr>
      <w:tr w:rsidR="00452B58" w:rsidRPr="00452B58" w14:paraId="533FC768" w14:textId="77777777" w:rsidTr="00452B58">
        <w:trPr>
          <w:trHeight w:val="255"/>
        </w:trPr>
        <w:tc>
          <w:tcPr>
            <w:tcW w:w="1980" w:type="dxa"/>
            <w:noWrap/>
            <w:hideMark/>
          </w:tcPr>
          <w:p w14:paraId="31D0EDF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2.50 m </w:t>
            </w:r>
          </w:p>
        </w:tc>
        <w:tc>
          <w:tcPr>
            <w:tcW w:w="1848" w:type="dxa"/>
            <w:noWrap/>
            <w:hideMark/>
          </w:tcPr>
          <w:p w14:paraId="374729B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7,869,442</w:t>
            </w:r>
          </w:p>
        </w:tc>
        <w:tc>
          <w:tcPr>
            <w:tcW w:w="1984" w:type="dxa"/>
            <w:noWrap/>
            <w:hideMark/>
          </w:tcPr>
          <w:p w14:paraId="40179E9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2552" w:type="dxa"/>
            <w:noWrap/>
            <w:hideMark/>
          </w:tcPr>
          <w:p w14:paraId="652C6D5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1274" w:type="dxa"/>
          </w:tcPr>
          <w:p w14:paraId="746B4B9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64,357</w:t>
            </w:r>
          </w:p>
        </w:tc>
      </w:tr>
      <w:tr w:rsidR="00452B58" w:rsidRPr="00452B58" w14:paraId="7208ACB4" w14:textId="77777777" w:rsidTr="00452B58">
        <w:trPr>
          <w:trHeight w:val="255"/>
        </w:trPr>
        <w:tc>
          <w:tcPr>
            <w:tcW w:w="1980" w:type="dxa"/>
            <w:noWrap/>
            <w:hideMark/>
          </w:tcPr>
          <w:p w14:paraId="50D1BBD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2.55 m </w:t>
            </w:r>
          </w:p>
        </w:tc>
        <w:tc>
          <w:tcPr>
            <w:tcW w:w="1848" w:type="dxa"/>
            <w:noWrap/>
            <w:hideMark/>
          </w:tcPr>
          <w:p w14:paraId="191F355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7,715,139</w:t>
            </w:r>
          </w:p>
        </w:tc>
        <w:tc>
          <w:tcPr>
            <w:tcW w:w="1984" w:type="dxa"/>
            <w:noWrap/>
            <w:hideMark/>
          </w:tcPr>
          <w:p w14:paraId="5D4F14F6"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−154,303</w:t>
            </w:r>
          </w:p>
        </w:tc>
        <w:tc>
          <w:tcPr>
            <w:tcW w:w="2552" w:type="dxa"/>
            <w:noWrap/>
            <w:hideMark/>
          </w:tcPr>
          <w:p w14:paraId="3DE41BF3"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0.83%</w:t>
            </w:r>
          </w:p>
        </w:tc>
        <w:tc>
          <w:tcPr>
            <w:tcW w:w="1274" w:type="dxa"/>
          </w:tcPr>
          <w:p w14:paraId="7311196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63,823</w:t>
            </w:r>
          </w:p>
        </w:tc>
      </w:tr>
      <w:tr w:rsidR="00452B58" w:rsidRPr="00452B58" w14:paraId="24CF1B97" w14:textId="77777777" w:rsidTr="00452B58">
        <w:trPr>
          <w:trHeight w:val="255"/>
        </w:trPr>
        <w:tc>
          <w:tcPr>
            <w:tcW w:w="1980" w:type="dxa"/>
            <w:noWrap/>
            <w:hideMark/>
          </w:tcPr>
          <w:p w14:paraId="51D6746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2.60 m </w:t>
            </w:r>
          </w:p>
        </w:tc>
        <w:tc>
          <w:tcPr>
            <w:tcW w:w="1848" w:type="dxa"/>
            <w:noWrap/>
            <w:hideMark/>
          </w:tcPr>
          <w:p w14:paraId="2B3C1C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7,566,771</w:t>
            </w:r>
          </w:p>
        </w:tc>
        <w:tc>
          <w:tcPr>
            <w:tcW w:w="1984" w:type="dxa"/>
            <w:noWrap/>
            <w:hideMark/>
          </w:tcPr>
          <w:p w14:paraId="3C0C5AD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−302,671</w:t>
            </w:r>
          </w:p>
        </w:tc>
        <w:tc>
          <w:tcPr>
            <w:tcW w:w="2552" w:type="dxa"/>
            <w:noWrap/>
            <w:hideMark/>
          </w:tcPr>
          <w:p w14:paraId="4105AE37"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1.63%</w:t>
            </w:r>
          </w:p>
        </w:tc>
        <w:tc>
          <w:tcPr>
            <w:tcW w:w="1274" w:type="dxa"/>
          </w:tcPr>
          <w:p w14:paraId="11F9521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63,309</w:t>
            </w:r>
          </w:p>
        </w:tc>
      </w:tr>
    </w:tbl>
    <w:p w14:paraId="3862448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CEBAC4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refrigerated vehicles are expected to use all additional width for increasing insulation, there is no volume benefit for wider refrigerated vehicles (average annual km per refrigerated vehicle = 64,357).</w:t>
      </w:r>
    </w:p>
    <w:p w14:paraId="683C492C"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VKT for trailers was calculated in the same way (see Table C.5). The numbers for the trailers captured a greater productivity benefit than for vehicles through having greater volume, greater annual kms, greater trip reduction – even through the percentage reductions between trailer widening options are the same as for vehicles.</w:t>
      </w:r>
    </w:p>
    <w:p w14:paraId="6BD01E15" w14:textId="706E68A1"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Simplified estimated trip reduction if trailers achieve 80% volume usage</w:t>
      </w:r>
    </w:p>
    <w:tbl>
      <w:tblPr>
        <w:tblStyle w:val="ARRBTableStyle"/>
        <w:tblW w:w="9638" w:type="dxa"/>
        <w:tblLook w:val="04A0" w:firstRow="1" w:lastRow="0" w:firstColumn="1" w:lastColumn="0" w:noHBand="0" w:noVBand="1"/>
      </w:tblPr>
      <w:tblGrid>
        <w:gridCol w:w="1980"/>
        <w:gridCol w:w="1848"/>
        <w:gridCol w:w="1984"/>
        <w:gridCol w:w="2552"/>
        <w:gridCol w:w="1274"/>
      </w:tblGrid>
      <w:tr w:rsidR="00452B58" w:rsidRPr="00452B58" w14:paraId="070A7266" w14:textId="77777777" w:rsidTr="00452B58">
        <w:trPr>
          <w:cnfStyle w:val="100000000000" w:firstRow="1" w:lastRow="0" w:firstColumn="0" w:lastColumn="0" w:oddVBand="0" w:evenVBand="0" w:oddHBand="0" w:evenHBand="0" w:firstRowFirstColumn="0" w:firstRowLastColumn="0" w:lastRowFirstColumn="0" w:lastRowLastColumn="0"/>
          <w:trHeight w:val="510"/>
        </w:trPr>
        <w:tc>
          <w:tcPr>
            <w:tcW w:w="1980" w:type="dxa"/>
            <w:vAlign w:val="top"/>
            <w:hideMark/>
          </w:tcPr>
          <w:p w14:paraId="2A1F0A8F"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Trailer width</w:t>
            </w:r>
          </w:p>
        </w:tc>
        <w:tc>
          <w:tcPr>
            <w:tcW w:w="1848" w:type="dxa"/>
            <w:vAlign w:val="top"/>
            <w:hideMark/>
          </w:tcPr>
          <w:p w14:paraId="03E4DE67"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Total trips required for ‘Other’ freight task</w:t>
            </w:r>
          </w:p>
        </w:tc>
        <w:tc>
          <w:tcPr>
            <w:tcW w:w="1984" w:type="dxa"/>
            <w:vAlign w:val="top"/>
            <w:hideMark/>
          </w:tcPr>
          <w:p w14:paraId="7E34CFB5"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Trip reduction for ‘other freight’ compared to 2.50 m wide trailer</w:t>
            </w:r>
          </w:p>
        </w:tc>
        <w:tc>
          <w:tcPr>
            <w:tcW w:w="2552" w:type="dxa"/>
            <w:vAlign w:val="top"/>
            <w:hideMark/>
          </w:tcPr>
          <w:p w14:paraId="4B115F18"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reduction in trips (all freight) compared to 2.50 m wide trailer</w:t>
            </w:r>
          </w:p>
        </w:tc>
        <w:tc>
          <w:tcPr>
            <w:tcW w:w="1274" w:type="dxa"/>
            <w:vAlign w:val="top"/>
          </w:tcPr>
          <w:p w14:paraId="7479FDCC"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Equivalent km</w:t>
            </w:r>
          </w:p>
        </w:tc>
      </w:tr>
      <w:tr w:rsidR="00452B58" w:rsidRPr="00452B58" w14:paraId="79F4C0AD" w14:textId="77777777" w:rsidTr="00452B58">
        <w:trPr>
          <w:trHeight w:val="255"/>
        </w:trPr>
        <w:tc>
          <w:tcPr>
            <w:tcW w:w="1980" w:type="dxa"/>
            <w:noWrap/>
            <w:hideMark/>
          </w:tcPr>
          <w:p w14:paraId="36D36D2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2.50 m </w:t>
            </w:r>
          </w:p>
        </w:tc>
        <w:tc>
          <w:tcPr>
            <w:tcW w:w="1848" w:type="dxa"/>
            <w:noWrap/>
            <w:hideMark/>
          </w:tcPr>
          <w:p w14:paraId="680E35B2"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8,572,420</w:t>
            </w:r>
          </w:p>
        </w:tc>
        <w:tc>
          <w:tcPr>
            <w:tcW w:w="1984" w:type="dxa"/>
            <w:noWrap/>
            <w:hideMark/>
          </w:tcPr>
          <w:p w14:paraId="042EDC0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2552" w:type="dxa"/>
            <w:noWrap/>
            <w:hideMark/>
          </w:tcPr>
          <w:p w14:paraId="14BC0E1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1274" w:type="dxa"/>
          </w:tcPr>
          <w:p w14:paraId="0D75C434"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86,000</w:t>
            </w:r>
          </w:p>
        </w:tc>
      </w:tr>
      <w:tr w:rsidR="00452B58" w:rsidRPr="00452B58" w14:paraId="5397084B" w14:textId="77777777" w:rsidTr="00452B58">
        <w:trPr>
          <w:trHeight w:val="255"/>
        </w:trPr>
        <w:tc>
          <w:tcPr>
            <w:tcW w:w="1980" w:type="dxa"/>
            <w:noWrap/>
            <w:hideMark/>
          </w:tcPr>
          <w:p w14:paraId="3D90991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2.55 m </w:t>
            </w:r>
          </w:p>
        </w:tc>
        <w:tc>
          <w:tcPr>
            <w:tcW w:w="1848" w:type="dxa"/>
            <w:noWrap/>
            <w:hideMark/>
          </w:tcPr>
          <w:p w14:paraId="6F4EFFDE"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8,404,333</w:t>
            </w:r>
          </w:p>
        </w:tc>
        <w:tc>
          <w:tcPr>
            <w:tcW w:w="1984" w:type="dxa"/>
            <w:noWrap/>
            <w:hideMark/>
          </w:tcPr>
          <w:p w14:paraId="44BADE09"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-168,087</w:t>
            </w:r>
          </w:p>
        </w:tc>
        <w:tc>
          <w:tcPr>
            <w:tcW w:w="2552" w:type="dxa"/>
            <w:noWrap/>
            <w:hideMark/>
          </w:tcPr>
          <w:p w14:paraId="4FE4D8CF"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0.83%</w:t>
            </w:r>
          </w:p>
        </w:tc>
        <w:tc>
          <w:tcPr>
            <w:tcW w:w="1274" w:type="dxa"/>
          </w:tcPr>
          <w:p w14:paraId="195E595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85,268</w:t>
            </w:r>
          </w:p>
        </w:tc>
      </w:tr>
      <w:tr w:rsidR="00452B58" w:rsidRPr="00452B58" w14:paraId="417237B7" w14:textId="77777777" w:rsidTr="00452B58">
        <w:trPr>
          <w:trHeight w:val="255"/>
        </w:trPr>
        <w:tc>
          <w:tcPr>
            <w:tcW w:w="1980" w:type="dxa"/>
            <w:noWrap/>
            <w:hideMark/>
          </w:tcPr>
          <w:p w14:paraId="6426185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2.60 m </w:t>
            </w:r>
          </w:p>
        </w:tc>
        <w:tc>
          <w:tcPr>
            <w:tcW w:w="1848" w:type="dxa"/>
            <w:noWrap/>
            <w:hideMark/>
          </w:tcPr>
          <w:p w14:paraId="24807515"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8,242,711</w:t>
            </w:r>
          </w:p>
        </w:tc>
        <w:tc>
          <w:tcPr>
            <w:tcW w:w="1984" w:type="dxa"/>
            <w:noWrap/>
            <w:hideMark/>
          </w:tcPr>
          <w:p w14:paraId="6F18784C"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-329,708</w:t>
            </w:r>
          </w:p>
        </w:tc>
        <w:tc>
          <w:tcPr>
            <w:tcW w:w="2552" w:type="dxa"/>
            <w:noWrap/>
            <w:hideMark/>
          </w:tcPr>
          <w:p w14:paraId="18CBFB5D" w14:textId="77777777"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1.63%</w:t>
            </w:r>
          </w:p>
        </w:tc>
        <w:tc>
          <w:tcPr>
            <w:tcW w:w="1274" w:type="dxa"/>
          </w:tcPr>
          <w:p w14:paraId="6476ED1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84,600</w:t>
            </w:r>
          </w:p>
        </w:tc>
      </w:tr>
    </w:tbl>
    <w:p w14:paraId="55D02F5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EB4D78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refrigerated trailers are expected to use all additional width for increasing insulation, there is no volume benefit for wider refrigerated trailers (average annual km per refrigerated trailer = 86,000).</w:t>
      </w:r>
    </w:p>
    <w:p w14:paraId="6ABC1A7F"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4D51618A" w14:textId="77777777" w:rsidR="00452B58" w:rsidRPr="00452B58" w:rsidRDefault="00452B58" w:rsidP="00F2517A">
      <w:pPr>
        <w:pStyle w:val="ARRBBaseHeadingApp"/>
      </w:pPr>
      <w:bookmarkStart w:id="333" w:name="_Ref111127220"/>
      <w:bookmarkStart w:id="334" w:name="_Toc137731694"/>
      <w:r w:rsidRPr="00452B58">
        <w:t>Estimated Crash Rates</w:t>
      </w:r>
      <w:bookmarkEnd w:id="333"/>
      <w:r w:rsidRPr="00452B58">
        <w:t xml:space="preserve"> of Wider Vehicles</w:t>
      </w:r>
      <w:bookmarkEnd w:id="334"/>
    </w:p>
    <w:p w14:paraId="4617B816" w14:textId="77777777" w:rsidR="00452B58" w:rsidRPr="00F2517A" w:rsidRDefault="00452B58" w:rsidP="00F2517A">
      <w:pPr>
        <w:pStyle w:val="ARRBBaseHeadingAppsub"/>
        <w:rPr>
          <w:rFonts w:hint="eastAsia"/>
        </w:rPr>
      </w:pPr>
      <w:r w:rsidRPr="00F2517A">
        <w:t>Crash Rate Increase in Wider Vehicles</w:t>
      </w:r>
    </w:p>
    <w:p w14:paraId="16FDEC6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be conservative and acknowledge potential differences in roads and vehicle operations that can occur between different countries, a small but significant increase in the crash rate has been calculated based on the proportion of crashes that may be increased with wider vehicles on the road. To be clear, this is not an estimate of the number of crashes that are expected to occur involving wider vehicles, it is the maximum number of crashes possible based on an analysis that considers current crash rates for heavy vehicles and crash types where widening could be a factor. Therefore, the increased crash rate for wider vehicles used in this analysis will be in excess of the true number that would occur if vehicle widening does increase crash rates.</w:t>
      </w:r>
    </w:p>
    <w:p w14:paraId="2661E43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process was undertaken to determine a +0.5% crash rate for wider vehicles and combinations.</w:t>
      </w:r>
    </w:p>
    <w:p w14:paraId="147BB99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Data and analysis on crash rates (NTARC 2021) was used to determine a crash rate of 16.4 per 100 million km in higher productivity vehicles, which may be more representative of wider vehicles than the general heavy vehicle fleet. </w:t>
      </w:r>
    </w:p>
    <w:p w14:paraId="698B9983" w14:textId="33162A58"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average annual km for a heavy vehicle or combination in this analysis is 76,736 km (see 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 or 1,303 average vehicles accounting for 100 million km in a 12-month period. This provides an average annualised expression of this crash rate: for every 1,303 average vehicles in each year there will be 16.4 crashes (assuming no more than one crash per vehicle in any year) or 1.3% of these vehicles and combinations experiencing a crash in any year.</w:t>
      </w:r>
    </w:p>
    <w:p w14:paraId="2B8D379E" w14:textId="55DE9D6D"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other factor that needs to be considered is the risk associated with wider vehicles as not all crash types are potentially impacted by vehicle width. Data from BITRE (2020, 2021) was used to determine the number of fatalities and serious injuries associated with different crash types. Where there were subgroups for each crash type, the assigned proportion of fatalities and serious injuries was divided evenly between sub-groups. These are shown in Table </w:t>
      </w:r>
      <w:r w:rsidRPr="00452B58">
        <w:rPr>
          <w:rFonts w:ascii="Calibri" w:eastAsia="Calibri" w:hAnsi="Calibri" w:cs="Calibri"/>
          <w:noProof/>
          <w:color w:val="auto"/>
          <w:kern w:val="0"/>
          <w:sz w:val="22"/>
          <w:szCs w:val="22"/>
        </w:rPr>
        <w:t>D</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t>.</w:t>
      </w:r>
    </w:p>
    <w:p w14:paraId="639B79FE" w14:textId="41B8B7DE"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5" w:name="_Ref11232807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D</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bookmarkEnd w:id="33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Fatalities and serious injuries by crash type involving heavy vehicles</w:t>
      </w:r>
    </w:p>
    <w:tbl>
      <w:tblPr>
        <w:tblStyle w:val="ARRBTableStyle"/>
        <w:tblW w:w="9634" w:type="dxa"/>
        <w:tblLook w:val="04A0" w:firstRow="1" w:lastRow="0" w:firstColumn="1" w:lastColumn="0" w:noHBand="0" w:noVBand="1"/>
      </w:tblPr>
      <w:tblGrid>
        <w:gridCol w:w="1980"/>
        <w:gridCol w:w="2268"/>
        <w:gridCol w:w="1276"/>
        <w:gridCol w:w="1275"/>
        <w:gridCol w:w="1245"/>
        <w:gridCol w:w="1590"/>
      </w:tblGrid>
      <w:tr w:rsidR="00452B58" w:rsidRPr="00452B58" w14:paraId="2E7D93C5"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14:paraId="5EA3FE0E" w14:textId="77777777" w:rsidR="00452B58" w:rsidRPr="00452B58" w:rsidRDefault="00452B58" w:rsidP="00452B58">
            <w:pPr>
              <w:keepNext/>
              <w:suppressAutoHyphens w:val="0"/>
              <w:spacing w:before="40" w:after="40"/>
              <w:rPr>
                <w:rFonts w:eastAsia="Calibri"/>
                <w:b w:val="0"/>
                <w:kern w:val="0"/>
                <w:szCs w:val="22"/>
              </w:rPr>
            </w:pPr>
            <w:r w:rsidRPr="00452B58">
              <w:rPr>
                <w:rFonts w:eastAsia="Calibri"/>
                <w:kern w:val="0"/>
                <w:szCs w:val="22"/>
              </w:rPr>
              <w:t>Main crash type</w:t>
            </w:r>
          </w:p>
        </w:tc>
        <w:tc>
          <w:tcPr>
            <w:tcW w:w="2268" w:type="dxa"/>
            <w:hideMark/>
          </w:tcPr>
          <w:p w14:paraId="545657CB" w14:textId="77777777" w:rsidR="00452B58" w:rsidRPr="00452B58" w:rsidRDefault="00452B58" w:rsidP="00452B58">
            <w:pPr>
              <w:keepNext/>
              <w:suppressAutoHyphens w:val="0"/>
              <w:spacing w:before="40" w:after="40"/>
              <w:rPr>
                <w:rFonts w:eastAsia="Calibri"/>
                <w:b w:val="0"/>
                <w:kern w:val="0"/>
                <w:szCs w:val="22"/>
              </w:rPr>
            </w:pPr>
            <w:r w:rsidRPr="00452B58">
              <w:rPr>
                <w:rFonts w:eastAsia="Calibri"/>
                <w:kern w:val="0"/>
                <w:szCs w:val="22"/>
              </w:rPr>
              <w:t>Sub-group</w:t>
            </w:r>
          </w:p>
        </w:tc>
        <w:tc>
          <w:tcPr>
            <w:tcW w:w="2551" w:type="dxa"/>
            <w:gridSpan w:val="2"/>
            <w:noWrap/>
            <w:hideMark/>
          </w:tcPr>
          <w:p w14:paraId="0F72F87E"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Fatalities</w:t>
            </w:r>
          </w:p>
        </w:tc>
        <w:tc>
          <w:tcPr>
            <w:tcW w:w="2835" w:type="dxa"/>
            <w:gridSpan w:val="2"/>
            <w:noWrap/>
            <w:hideMark/>
          </w:tcPr>
          <w:p w14:paraId="48B3A2E9" w14:textId="77777777"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Serious injuries</w:t>
            </w:r>
          </w:p>
        </w:tc>
      </w:tr>
      <w:tr w:rsidR="00452B58" w:rsidRPr="00452B58" w14:paraId="1A64D9BA" w14:textId="77777777" w:rsidTr="00452B58">
        <w:trPr>
          <w:trHeight w:val="300"/>
        </w:trPr>
        <w:tc>
          <w:tcPr>
            <w:tcW w:w="1980" w:type="dxa"/>
            <w:noWrap/>
            <w:vAlign w:val="center"/>
            <w:hideMark/>
          </w:tcPr>
          <w:p w14:paraId="229ABF3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w:t>
            </w:r>
          </w:p>
        </w:tc>
        <w:tc>
          <w:tcPr>
            <w:tcW w:w="2268" w:type="dxa"/>
            <w:noWrap/>
            <w:hideMark/>
          </w:tcPr>
          <w:p w14:paraId="25A661DF"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All (straight and curve)</w:t>
            </w:r>
          </w:p>
        </w:tc>
        <w:tc>
          <w:tcPr>
            <w:tcW w:w="1276" w:type="dxa"/>
            <w:noWrap/>
            <w:hideMark/>
          </w:tcPr>
          <w:p w14:paraId="7B05670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w:t>
            </w:r>
          </w:p>
        </w:tc>
        <w:tc>
          <w:tcPr>
            <w:tcW w:w="1275" w:type="dxa"/>
            <w:noWrap/>
            <w:hideMark/>
          </w:tcPr>
          <w:p w14:paraId="194E48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16%</w:t>
            </w:r>
          </w:p>
        </w:tc>
        <w:tc>
          <w:tcPr>
            <w:tcW w:w="1245" w:type="dxa"/>
            <w:noWrap/>
            <w:hideMark/>
          </w:tcPr>
          <w:p w14:paraId="6B335E2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260</w:t>
            </w:r>
          </w:p>
        </w:tc>
        <w:tc>
          <w:tcPr>
            <w:tcW w:w="1590" w:type="dxa"/>
            <w:noWrap/>
            <w:hideMark/>
          </w:tcPr>
          <w:p w14:paraId="2CB0EC4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16%</w:t>
            </w:r>
          </w:p>
        </w:tc>
      </w:tr>
      <w:tr w:rsidR="00452B58" w:rsidRPr="00452B58" w14:paraId="35AC07F1" w14:textId="77777777" w:rsidTr="00452B58">
        <w:trPr>
          <w:trHeight w:val="300"/>
        </w:trPr>
        <w:tc>
          <w:tcPr>
            <w:tcW w:w="1980" w:type="dxa"/>
            <w:vMerge w:val="restart"/>
            <w:noWrap/>
            <w:vAlign w:val="center"/>
            <w:hideMark/>
          </w:tcPr>
          <w:p w14:paraId="2A01731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Opposing directions</w:t>
            </w:r>
          </w:p>
        </w:tc>
        <w:tc>
          <w:tcPr>
            <w:tcW w:w="2268" w:type="dxa"/>
            <w:noWrap/>
            <w:hideMark/>
          </w:tcPr>
          <w:p w14:paraId="14A7F306"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Head on</w:t>
            </w:r>
          </w:p>
        </w:tc>
        <w:tc>
          <w:tcPr>
            <w:tcW w:w="1276" w:type="dxa"/>
            <w:noWrap/>
            <w:hideMark/>
          </w:tcPr>
          <w:p w14:paraId="0A22E83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1275" w:type="dxa"/>
            <w:noWrap/>
            <w:hideMark/>
          </w:tcPr>
          <w:p w14:paraId="7833B1A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c>
          <w:tcPr>
            <w:tcW w:w="1245" w:type="dxa"/>
            <w:noWrap/>
            <w:hideMark/>
          </w:tcPr>
          <w:p w14:paraId="7232BFB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293</w:t>
            </w:r>
          </w:p>
        </w:tc>
        <w:tc>
          <w:tcPr>
            <w:tcW w:w="1590" w:type="dxa"/>
            <w:noWrap/>
            <w:hideMark/>
          </w:tcPr>
          <w:p w14:paraId="1FF2838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r>
      <w:tr w:rsidR="00452B58" w:rsidRPr="00452B58" w14:paraId="232B1132" w14:textId="77777777" w:rsidTr="00452B58">
        <w:trPr>
          <w:trHeight w:val="300"/>
        </w:trPr>
        <w:tc>
          <w:tcPr>
            <w:tcW w:w="1980" w:type="dxa"/>
            <w:vMerge/>
            <w:vAlign w:val="center"/>
            <w:hideMark/>
          </w:tcPr>
          <w:p w14:paraId="23B969BE"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1B1A528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through</w:t>
            </w:r>
          </w:p>
        </w:tc>
        <w:tc>
          <w:tcPr>
            <w:tcW w:w="1276" w:type="dxa"/>
            <w:noWrap/>
            <w:hideMark/>
          </w:tcPr>
          <w:p w14:paraId="5BDDAB5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1275" w:type="dxa"/>
            <w:noWrap/>
            <w:hideMark/>
          </w:tcPr>
          <w:p w14:paraId="6203D4D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c>
          <w:tcPr>
            <w:tcW w:w="1245" w:type="dxa"/>
            <w:noWrap/>
            <w:hideMark/>
          </w:tcPr>
          <w:p w14:paraId="480935F0"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293</w:t>
            </w:r>
          </w:p>
        </w:tc>
        <w:tc>
          <w:tcPr>
            <w:tcW w:w="1590" w:type="dxa"/>
            <w:noWrap/>
            <w:hideMark/>
          </w:tcPr>
          <w:p w14:paraId="24671F5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r>
      <w:tr w:rsidR="00452B58" w:rsidRPr="00452B58" w14:paraId="5819CAFD" w14:textId="77777777" w:rsidTr="00452B58">
        <w:trPr>
          <w:trHeight w:val="300"/>
        </w:trPr>
        <w:tc>
          <w:tcPr>
            <w:tcW w:w="1980" w:type="dxa"/>
            <w:vMerge w:val="restart"/>
            <w:noWrap/>
            <w:vAlign w:val="center"/>
            <w:hideMark/>
          </w:tcPr>
          <w:p w14:paraId="463F7FE8"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Same direction</w:t>
            </w:r>
          </w:p>
        </w:tc>
        <w:tc>
          <w:tcPr>
            <w:tcW w:w="2268" w:type="dxa"/>
            <w:noWrap/>
            <w:hideMark/>
          </w:tcPr>
          <w:p w14:paraId="0D1AD1D5"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Rear end</w:t>
            </w:r>
          </w:p>
        </w:tc>
        <w:tc>
          <w:tcPr>
            <w:tcW w:w="1276" w:type="dxa"/>
            <w:noWrap/>
            <w:hideMark/>
          </w:tcPr>
          <w:p w14:paraId="58F0971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75" w:type="dxa"/>
            <w:noWrap/>
            <w:hideMark/>
          </w:tcPr>
          <w:p w14:paraId="20E14ED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45" w:type="dxa"/>
            <w:noWrap/>
            <w:hideMark/>
          </w:tcPr>
          <w:p w14:paraId="7E9A166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132</w:t>
            </w:r>
          </w:p>
        </w:tc>
        <w:tc>
          <w:tcPr>
            <w:tcW w:w="1590" w:type="dxa"/>
            <w:noWrap/>
            <w:hideMark/>
          </w:tcPr>
          <w:p w14:paraId="785B0D4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r>
      <w:tr w:rsidR="00452B58" w:rsidRPr="00452B58" w14:paraId="37BDD989" w14:textId="77777777" w:rsidTr="00452B58">
        <w:trPr>
          <w:trHeight w:val="300"/>
        </w:trPr>
        <w:tc>
          <w:tcPr>
            <w:tcW w:w="1980" w:type="dxa"/>
            <w:vMerge/>
            <w:vAlign w:val="center"/>
            <w:hideMark/>
          </w:tcPr>
          <w:p w14:paraId="708D3688"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7471EB7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w:t>
            </w:r>
          </w:p>
        </w:tc>
        <w:tc>
          <w:tcPr>
            <w:tcW w:w="1276" w:type="dxa"/>
            <w:noWrap/>
            <w:hideMark/>
          </w:tcPr>
          <w:p w14:paraId="516298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75" w:type="dxa"/>
            <w:noWrap/>
            <w:hideMark/>
          </w:tcPr>
          <w:p w14:paraId="4E78E59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45" w:type="dxa"/>
            <w:noWrap/>
            <w:hideMark/>
          </w:tcPr>
          <w:p w14:paraId="0F0C86C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132</w:t>
            </w:r>
          </w:p>
        </w:tc>
        <w:tc>
          <w:tcPr>
            <w:tcW w:w="1590" w:type="dxa"/>
            <w:noWrap/>
            <w:hideMark/>
          </w:tcPr>
          <w:p w14:paraId="6E9A7D1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r>
      <w:tr w:rsidR="00452B58" w:rsidRPr="00452B58" w14:paraId="471FF415" w14:textId="77777777" w:rsidTr="00452B58">
        <w:trPr>
          <w:trHeight w:val="300"/>
        </w:trPr>
        <w:tc>
          <w:tcPr>
            <w:tcW w:w="1980" w:type="dxa"/>
            <w:vMerge w:val="restart"/>
            <w:noWrap/>
            <w:vAlign w:val="center"/>
            <w:hideMark/>
          </w:tcPr>
          <w:p w14:paraId="094F321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Adjacent direction</w:t>
            </w:r>
          </w:p>
        </w:tc>
        <w:tc>
          <w:tcPr>
            <w:tcW w:w="2268" w:type="dxa"/>
            <w:noWrap/>
            <w:hideMark/>
          </w:tcPr>
          <w:p w14:paraId="3E42581B"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w:t>
            </w:r>
          </w:p>
        </w:tc>
        <w:tc>
          <w:tcPr>
            <w:tcW w:w="1276" w:type="dxa"/>
            <w:noWrap/>
            <w:hideMark/>
          </w:tcPr>
          <w:p w14:paraId="123AC7E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275" w:type="dxa"/>
            <w:noWrap/>
            <w:hideMark/>
          </w:tcPr>
          <w:p w14:paraId="7414607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4CC62DE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w:t>
            </w:r>
          </w:p>
        </w:tc>
        <w:tc>
          <w:tcPr>
            <w:tcW w:w="1590" w:type="dxa"/>
            <w:noWrap/>
            <w:hideMark/>
          </w:tcPr>
          <w:p w14:paraId="69DC651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55ECE9EA" w14:textId="77777777" w:rsidTr="00452B58">
        <w:trPr>
          <w:trHeight w:val="300"/>
        </w:trPr>
        <w:tc>
          <w:tcPr>
            <w:tcW w:w="1980" w:type="dxa"/>
            <w:vMerge/>
            <w:vAlign w:val="center"/>
            <w:hideMark/>
          </w:tcPr>
          <w:p w14:paraId="2FE3AEB5"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4CB230D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Cross traffic</w:t>
            </w:r>
          </w:p>
        </w:tc>
        <w:tc>
          <w:tcPr>
            <w:tcW w:w="1276" w:type="dxa"/>
            <w:noWrap/>
            <w:hideMark/>
          </w:tcPr>
          <w:p w14:paraId="6B0989B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275" w:type="dxa"/>
            <w:noWrap/>
            <w:hideMark/>
          </w:tcPr>
          <w:p w14:paraId="67F42B5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1D303D2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w:t>
            </w:r>
          </w:p>
        </w:tc>
        <w:tc>
          <w:tcPr>
            <w:tcW w:w="1590" w:type="dxa"/>
            <w:noWrap/>
            <w:hideMark/>
          </w:tcPr>
          <w:p w14:paraId="5EA75ECE"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0C65FE6F" w14:textId="77777777" w:rsidTr="00452B58">
        <w:trPr>
          <w:trHeight w:val="300"/>
        </w:trPr>
        <w:tc>
          <w:tcPr>
            <w:tcW w:w="1980" w:type="dxa"/>
            <w:vMerge w:val="restart"/>
            <w:noWrap/>
            <w:vAlign w:val="center"/>
            <w:hideMark/>
          </w:tcPr>
          <w:p w14:paraId="7CD6911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Pedestrian</w:t>
            </w:r>
          </w:p>
        </w:tc>
        <w:tc>
          <w:tcPr>
            <w:tcW w:w="2268" w:type="dxa"/>
            <w:noWrap/>
            <w:hideMark/>
          </w:tcPr>
          <w:p w14:paraId="4E8A274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w:t>
            </w:r>
          </w:p>
        </w:tc>
        <w:tc>
          <w:tcPr>
            <w:tcW w:w="1276" w:type="dxa"/>
            <w:noWrap/>
            <w:hideMark/>
          </w:tcPr>
          <w:p w14:paraId="2512BB79"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75" w:type="dxa"/>
            <w:noWrap/>
            <w:hideMark/>
          </w:tcPr>
          <w:p w14:paraId="5AAEC62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7DF4C50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77</w:t>
            </w:r>
          </w:p>
        </w:tc>
        <w:tc>
          <w:tcPr>
            <w:tcW w:w="1590" w:type="dxa"/>
            <w:noWrap/>
            <w:hideMark/>
          </w:tcPr>
          <w:p w14:paraId="32373E8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7351F83E" w14:textId="77777777" w:rsidTr="00452B58">
        <w:trPr>
          <w:trHeight w:val="300"/>
        </w:trPr>
        <w:tc>
          <w:tcPr>
            <w:tcW w:w="1980" w:type="dxa"/>
            <w:vMerge/>
            <w:vAlign w:val="center"/>
            <w:hideMark/>
          </w:tcPr>
          <w:p w14:paraId="3FDEAFCE" w14:textId="77777777"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14:paraId="5D0B569D"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w:t>
            </w:r>
          </w:p>
        </w:tc>
        <w:tc>
          <w:tcPr>
            <w:tcW w:w="1276" w:type="dxa"/>
            <w:noWrap/>
            <w:hideMark/>
          </w:tcPr>
          <w:p w14:paraId="1706AAA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75" w:type="dxa"/>
            <w:noWrap/>
            <w:hideMark/>
          </w:tcPr>
          <w:p w14:paraId="75CD14BD"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14:paraId="57A19B9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77</w:t>
            </w:r>
          </w:p>
        </w:tc>
        <w:tc>
          <w:tcPr>
            <w:tcW w:w="1590" w:type="dxa"/>
            <w:noWrap/>
            <w:hideMark/>
          </w:tcPr>
          <w:p w14:paraId="6DDA85F5"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14:paraId="0238175A" w14:textId="77777777" w:rsidTr="00452B58">
        <w:trPr>
          <w:trHeight w:val="300"/>
        </w:trPr>
        <w:tc>
          <w:tcPr>
            <w:tcW w:w="1980" w:type="dxa"/>
            <w:noWrap/>
            <w:vAlign w:val="center"/>
            <w:hideMark/>
          </w:tcPr>
          <w:p w14:paraId="2AAD66A0"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Other</w:t>
            </w:r>
          </w:p>
        </w:tc>
        <w:tc>
          <w:tcPr>
            <w:tcW w:w="2268" w:type="dxa"/>
            <w:noWrap/>
            <w:hideMark/>
          </w:tcPr>
          <w:p w14:paraId="5946C49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All (single and multiple </w:t>
            </w:r>
            <w:proofErr w:type="spellStart"/>
            <w:r w:rsidRPr="00452B58">
              <w:rPr>
                <w:rFonts w:eastAsia="Calibri" w:cs="Times New Roman"/>
                <w:kern w:val="0"/>
                <w:szCs w:val="22"/>
              </w:rPr>
              <w:t>veh</w:t>
            </w:r>
            <w:proofErr w:type="spellEnd"/>
            <w:r w:rsidRPr="00452B58">
              <w:rPr>
                <w:rFonts w:eastAsia="Calibri" w:cs="Times New Roman"/>
                <w:kern w:val="0"/>
                <w:szCs w:val="22"/>
              </w:rPr>
              <w:t>.)</w:t>
            </w:r>
          </w:p>
        </w:tc>
        <w:tc>
          <w:tcPr>
            <w:tcW w:w="1276" w:type="dxa"/>
            <w:noWrap/>
            <w:hideMark/>
          </w:tcPr>
          <w:p w14:paraId="0AF0C51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25</w:t>
            </w:r>
          </w:p>
        </w:tc>
        <w:tc>
          <w:tcPr>
            <w:tcW w:w="1275" w:type="dxa"/>
            <w:noWrap/>
            <w:hideMark/>
          </w:tcPr>
          <w:p w14:paraId="51C62DAB"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45" w:type="dxa"/>
            <w:noWrap/>
            <w:hideMark/>
          </w:tcPr>
          <w:p w14:paraId="3AD2CDF1"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228</w:t>
            </w:r>
          </w:p>
        </w:tc>
        <w:tc>
          <w:tcPr>
            <w:tcW w:w="1590" w:type="dxa"/>
            <w:noWrap/>
            <w:hideMark/>
          </w:tcPr>
          <w:p w14:paraId="443361B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r>
    </w:tbl>
    <w:p w14:paraId="3CE48CD2" w14:textId="77777777" w:rsidR="00452B58" w:rsidRPr="00452B58" w:rsidRDefault="00452B58" w:rsidP="00E248BF">
      <w:p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BITRE (2020, 2021). Fatality numbers are the 3-year average from 2018–2020, serious injury numbers are 3-year average 2016–</w:t>
      </w:r>
      <w:r w:rsidRPr="00452B58">
        <w:rPr>
          <w:rFonts w:ascii="Arial" w:eastAsia="Calibri" w:hAnsi="Arial" w:cs="Arial"/>
          <w:iCs/>
          <w:color w:val="454647"/>
          <w:kern w:val="0"/>
          <w:sz w:val="18"/>
          <w:szCs w:val="22"/>
        </w:rPr>
        <w:t>‍</w:t>
      </w:r>
      <w:r w:rsidRPr="00452B58">
        <w:rPr>
          <w:rFonts w:ascii="Calibri" w:eastAsia="Calibri" w:hAnsi="Calibri" w:cs="Times New Roman"/>
          <w:iCs/>
          <w:color w:val="454647"/>
          <w:kern w:val="0"/>
          <w:sz w:val="18"/>
          <w:szCs w:val="22"/>
        </w:rPr>
        <w:t>2018.</w:t>
      </w:r>
    </w:p>
    <w:p w14:paraId="26FB25D1"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0BE67F0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Increased vehicle width is assumed to only have an effect on:</w:t>
      </w:r>
    </w:p>
    <w:p w14:paraId="24A3B038" w14:textId="77777777" w:rsidR="00452B58" w:rsidRPr="00452B58" w:rsidRDefault="00452B58" w:rsidP="00E248BF">
      <w:pPr>
        <w:pStyle w:val="ARRBBulletLevel1"/>
      </w:pPr>
      <w:r w:rsidRPr="00452B58">
        <w:t>head on crashes – where increased width may result in greater encroachment of an opposing lane</w:t>
      </w:r>
    </w:p>
    <w:p w14:paraId="36AC202C" w14:textId="77777777" w:rsidR="00452B58" w:rsidRPr="00452B58" w:rsidRDefault="00452B58" w:rsidP="00E248BF">
      <w:pPr>
        <w:pStyle w:val="ARRBBulletLevel1"/>
      </w:pPr>
      <w:r w:rsidRPr="00452B58">
        <w:t>side swipe crashes – where increased width may result in contact with other vehicles travelling in the same direction.</w:t>
      </w:r>
    </w:p>
    <w:p w14:paraId="045B0AEF"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two crash types account for 26% or approximately one-quarter of all fatalities. Multiplying this by the 1.3% of heavy vehicles or combinations expected to experience a crash each year, the result is 0.32%, which has been rounded up to 0.5%. This value is used as the maximum increase in crash rates due to wider vehicles (both 2.55 and 2.60 m). Again, this percentage is well in excess of any expected increase in crashes due to wider vehicles.</w:t>
      </w:r>
    </w:p>
    <w:p w14:paraId="33BF2939" w14:textId="77777777" w:rsidR="00452B58" w:rsidRPr="00F2517A" w:rsidRDefault="00452B58" w:rsidP="00F2517A">
      <w:pPr>
        <w:pStyle w:val="ARRBBaseHeadingAppsub"/>
        <w:rPr>
          <w:rFonts w:hint="eastAsia"/>
        </w:rPr>
      </w:pPr>
      <w:r w:rsidRPr="00F2517A">
        <w:t>Crash Rate Decrease in Wider Vehicles</w:t>
      </w:r>
    </w:p>
    <w:p w14:paraId="479D449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Estimates from the ATA and TIC suggest a 2% and 4% improvement in stability for 2.55 m and 2.60 m vehicles and trailers respectively. With an estimate of 10% of all heavy vehicle crashes being rollovers, a 4% improvement represents 0.4% reduction in the crash rate. This was rounded up to 0.5% to mirror the estimate of the crash increase due to widening and should therefore be taken as representing the best-case scenario.</w:t>
      </w:r>
    </w:p>
    <w:p w14:paraId="775D9A10" w14:textId="77777777"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14:paraId="5CEC5B03" w14:textId="77777777" w:rsidR="00452B58" w:rsidRPr="00452B58" w:rsidRDefault="00452B58" w:rsidP="00F2517A">
      <w:pPr>
        <w:pStyle w:val="ARRBBaseHeadingApp"/>
      </w:pPr>
      <w:bookmarkStart w:id="336" w:name="_Ref111138708"/>
      <w:bookmarkStart w:id="337" w:name="_Toc137731695"/>
      <w:r w:rsidRPr="00452B58">
        <w:t>Crash Types and Crash Modification Factors</w:t>
      </w:r>
      <w:bookmarkEnd w:id="336"/>
      <w:bookmarkEnd w:id="337"/>
    </w:p>
    <w:p w14:paraId="726C5E0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data was used to determine the number of fatalities and serious injuries caused by different crash types involving heavy vehicles in order to apply the crash reduction effect of different safety features applicable to those crash types.</w:t>
      </w:r>
    </w:p>
    <w:p w14:paraId="4260078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source of the data shown in Table E.1 and the first three columns of Table E.2 and Table E.3 was the </w:t>
      </w:r>
      <w:r w:rsidRPr="00452B58">
        <w:rPr>
          <w:rFonts w:ascii="Calibri" w:eastAsia="Calibri" w:hAnsi="Calibri" w:cs="Calibri"/>
          <w:i/>
          <w:iCs/>
          <w:color w:val="auto"/>
          <w:kern w:val="0"/>
          <w:sz w:val="22"/>
          <w:szCs w:val="22"/>
        </w:rPr>
        <w:t>Road Trauma Involving Heavy Vehicles – 2020 Statistical Summary</w:t>
      </w:r>
      <w:r w:rsidRPr="00452B58">
        <w:rPr>
          <w:rFonts w:ascii="Calibri" w:eastAsia="Calibri" w:hAnsi="Calibri" w:cs="Calibri"/>
          <w:color w:val="auto"/>
          <w:kern w:val="0"/>
          <w:sz w:val="22"/>
          <w:szCs w:val="22"/>
        </w:rPr>
        <w:t xml:space="preserve"> from the Bureau of Infrastructure and Transport Research Economics (BITRE 2020).</w:t>
      </w:r>
    </w:p>
    <w:p w14:paraId="790D05D4" w14:textId="3AEFAAC7"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Deaths by crash type 2018–2020</w:t>
      </w:r>
    </w:p>
    <w:tbl>
      <w:tblPr>
        <w:tblStyle w:val="ARRBTableStyle"/>
        <w:tblW w:w="9691" w:type="dxa"/>
        <w:tblLook w:val="04A0" w:firstRow="1" w:lastRow="0" w:firstColumn="1" w:lastColumn="0" w:noHBand="0" w:noVBand="1"/>
      </w:tblPr>
      <w:tblGrid>
        <w:gridCol w:w="2694"/>
        <w:gridCol w:w="1842"/>
        <w:gridCol w:w="1843"/>
        <w:gridCol w:w="1701"/>
        <w:gridCol w:w="1611"/>
      </w:tblGrid>
      <w:tr w:rsidR="00452B58" w:rsidRPr="00452B58" w14:paraId="23A08A46" w14:textId="77777777" w:rsidTr="00452B58">
        <w:trPr>
          <w:cnfStyle w:val="100000000000" w:firstRow="1" w:lastRow="0" w:firstColumn="0" w:lastColumn="0" w:oddVBand="0" w:evenVBand="0" w:oddHBand="0" w:evenHBand="0" w:firstRowFirstColumn="0" w:firstRowLastColumn="0" w:lastRowFirstColumn="0" w:lastRowLastColumn="0"/>
          <w:trHeight w:val="324"/>
        </w:trPr>
        <w:tc>
          <w:tcPr>
            <w:tcW w:w="2694" w:type="dxa"/>
            <w:noWrap/>
            <w:hideMark/>
          </w:tcPr>
          <w:p w14:paraId="03A57CAC"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 </w:t>
            </w:r>
          </w:p>
        </w:tc>
        <w:tc>
          <w:tcPr>
            <w:tcW w:w="1842" w:type="dxa"/>
            <w:noWrap/>
            <w:hideMark/>
          </w:tcPr>
          <w:p w14:paraId="7EAC8043" w14:textId="77777777"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Year</w:t>
            </w:r>
          </w:p>
        </w:tc>
        <w:tc>
          <w:tcPr>
            <w:tcW w:w="1843" w:type="dxa"/>
            <w:noWrap/>
            <w:hideMark/>
          </w:tcPr>
          <w:p w14:paraId="3AC189DE"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Multiple vehicle</w:t>
            </w:r>
          </w:p>
        </w:tc>
        <w:tc>
          <w:tcPr>
            <w:tcW w:w="1701" w:type="dxa"/>
            <w:noWrap/>
            <w:hideMark/>
          </w:tcPr>
          <w:p w14:paraId="2DD2E97C"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Single vehicle</w:t>
            </w:r>
          </w:p>
        </w:tc>
        <w:tc>
          <w:tcPr>
            <w:tcW w:w="1611" w:type="dxa"/>
            <w:noWrap/>
            <w:hideMark/>
          </w:tcPr>
          <w:p w14:paraId="0F53F9BD"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All</w:t>
            </w:r>
          </w:p>
        </w:tc>
      </w:tr>
      <w:tr w:rsidR="00452B58" w:rsidRPr="00452B58" w14:paraId="061A1DDE" w14:textId="77777777" w:rsidTr="00452B58">
        <w:trPr>
          <w:trHeight w:val="324"/>
        </w:trPr>
        <w:tc>
          <w:tcPr>
            <w:tcW w:w="2694" w:type="dxa"/>
            <w:vMerge w:val="restart"/>
            <w:noWrap/>
            <w:vAlign w:val="center"/>
            <w:hideMark/>
          </w:tcPr>
          <w:p w14:paraId="60E5654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Articulated truck involved</w:t>
            </w:r>
          </w:p>
        </w:tc>
        <w:tc>
          <w:tcPr>
            <w:tcW w:w="1842" w:type="dxa"/>
            <w:noWrap/>
            <w:hideMark/>
          </w:tcPr>
          <w:p w14:paraId="5B6AA04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2018</w:t>
            </w:r>
          </w:p>
        </w:tc>
        <w:tc>
          <w:tcPr>
            <w:tcW w:w="1843" w:type="dxa"/>
            <w:noWrap/>
            <w:hideMark/>
          </w:tcPr>
          <w:p w14:paraId="2493443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76</w:t>
            </w:r>
          </w:p>
        </w:tc>
        <w:tc>
          <w:tcPr>
            <w:tcW w:w="1701" w:type="dxa"/>
            <w:noWrap/>
            <w:hideMark/>
          </w:tcPr>
          <w:p w14:paraId="40ADDBC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13</w:t>
            </w:r>
          </w:p>
        </w:tc>
        <w:tc>
          <w:tcPr>
            <w:tcW w:w="1611" w:type="dxa"/>
            <w:noWrap/>
            <w:hideMark/>
          </w:tcPr>
          <w:p w14:paraId="68D6738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89</w:t>
            </w:r>
          </w:p>
        </w:tc>
      </w:tr>
      <w:tr w:rsidR="00452B58" w:rsidRPr="00452B58" w14:paraId="25F4999D" w14:textId="77777777" w:rsidTr="00452B58">
        <w:trPr>
          <w:trHeight w:val="324"/>
        </w:trPr>
        <w:tc>
          <w:tcPr>
            <w:tcW w:w="2694" w:type="dxa"/>
            <w:vMerge/>
            <w:vAlign w:val="center"/>
            <w:hideMark/>
          </w:tcPr>
          <w:p w14:paraId="32F886BF"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0356109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2019</w:t>
            </w:r>
          </w:p>
        </w:tc>
        <w:tc>
          <w:tcPr>
            <w:tcW w:w="1843" w:type="dxa"/>
            <w:noWrap/>
            <w:hideMark/>
          </w:tcPr>
          <w:p w14:paraId="17C794C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80</w:t>
            </w:r>
          </w:p>
        </w:tc>
        <w:tc>
          <w:tcPr>
            <w:tcW w:w="1701" w:type="dxa"/>
            <w:noWrap/>
            <w:hideMark/>
          </w:tcPr>
          <w:p w14:paraId="5EA4406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611" w:type="dxa"/>
            <w:noWrap/>
            <w:hideMark/>
          </w:tcPr>
          <w:p w14:paraId="5E48B27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w:t>
            </w:r>
          </w:p>
        </w:tc>
      </w:tr>
      <w:tr w:rsidR="00452B58" w:rsidRPr="00452B58" w14:paraId="04126FC6" w14:textId="77777777" w:rsidTr="00452B58">
        <w:trPr>
          <w:trHeight w:val="324"/>
        </w:trPr>
        <w:tc>
          <w:tcPr>
            <w:tcW w:w="2694" w:type="dxa"/>
            <w:vMerge/>
            <w:vAlign w:val="center"/>
            <w:hideMark/>
          </w:tcPr>
          <w:p w14:paraId="33B5EFF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65C34E4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2020</w:t>
            </w:r>
          </w:p>
        </w:tc>
        <w:tc>
          <w:tcPr>
            <w:tcW w:w="1843" w:type="dxa"/>
            <w:noWrap/>
            <w:hideMark/>
          </w:tcPr>
          <w:p w14:paraId="109E4C6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89</w:t>
            </w:r>
          </w:p>
        </w:tc>
        <w:tc>
          <w:tcPr>
            <w:tcW w:w="1701" w:type="dxa"/>
            <w:noWrap/>
            <w:hideMark/>
          </w:tcPr>
          <w:p w14:paraId="23E548F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1611" w:type="dxa"/>
            <w:noWrap/>
            <w:hideMark/>
          </w:tcPr>
          <w:p w14:paraId="2E2CB46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104</w:t>
            </w:r>
          </w:p>
        </w:tc>
      </w:tr>
      <w:tr w:rsidR="00452B58" w:rsidRPr="00452B58" w14:paraId="280924AA" w14:textId="77777777" w:rsidTr="00452B58">
        <w:trPr>
          <w:trHeight w:val="324"/>
        </w:trPr>
        <w:tc>
          <w:tcPr>
            <w:tcW w:w="2694" w:type="dxa"/>
            <w:vMerge/>
            <w:vAlign w:val="center"/>
            <w:hideMark/>
          </w:tcPr>
          <w:p w14:paraId="5256BEEB"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64E71BD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14:paraId="11247C4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82</w:t>
            </w:r>
          </w:p>
        </w:tc>
        <w:tc>
          <w:tcPr>
            <w:tcW w:w="1701" w:type="dxa"/>
            <w:noWrap/>
            <w:hideMark/>
          </w:tcPr>
          <w:p w14:paraId="3FC0497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611" w:type="dxa"/>
            <w:noWrap/>
            <w:hideMark/>
          </w:tcPr>
          <w:p w14:paraId="4ED04C3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w:t>
            </w:r>
          </w:p>
        </w:tc>
      </w:tr>
      <w:tr w:rsidR="00452B58" w:rsidRPr="00452B58" w14:paraId="39649CCD" w14:textId="77777777" w:rsidTr="00452B58">
        <w:trPr>
          <w:trHeight w:val="324"/>
        </w:trPr>
        <w:tc>
          <w:tcPr>
            <w:tcW w:w="2694" w:type="dxa"/>
            <w:vMerge w:val="restart"/>
            <w:noWrap/>
            <w:vAlign w:val="center"/>
            <w:hideMark/>
          </w:tcPr>
          <w:p w14:paraId="01D04E3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Heavy rigid truck involved</w:t>
            </w:r>
          </w:p>
        </w:tc>
        <w:tc>
          <w:tcPr>
            <w:tcW w:w="1842" w:type="dxa"/>
            <w:noWrap/>
            <w:hideMark/>
          </w:tcPr>
          <w:p w14:paraId="2F54B61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2018</w:t>
            </w:r>
          </w:p>
        </w:tc>
        <w:tc>
          <w:tcPr>
            <w:tcW w:w="1843" w:type="dxa"/>
            <w:noWrap/>
            <w:hideMark/>
          </w:tcPr>
          <w:p w14:paraId="5FDAA01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72</w:t>
            </w:r>
          </w:p>
        </w:tc>
        <w:tc>
          <w:tcPr>
            <w:tcW w:w="1701" w:type="dxa"/>
            <w:noWrap/>
            <w:hideMark/>
          </w:tcPr>
          <w:p w14:paraId="613BABD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611" w:type="dxa"/>
            <w:noWrap/>
            <w:hideMark/>
          </w:tcPr>
          <w:p w14:paraId="493CB7D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83</w:t>
            </w:r>
          </w:p>
        </w:tc>
      </w:tr>
      <w:tr w:rsidR="00452B58" w:rsidRPr="00452B58" w14:paraId="7032BCD7" w14:textId="77777777" w:rsidTr="00452B58">
        <w:trPr>
          <w:trHeight w:val="324"/>
        </w:trPr>
        <w:tc>
          <w:tcPr>
            <w:tcW w:w="2694" w:type="dxa"/>
            <w:vMerge/>
            <w:vAlign w:val="center"/>
            <w:hideMark/>
          </w:tcPr>
          <w:p w14:paraId="63E03013"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2AA12D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2019</w:t>
            </w:r>
          </w:p>
        </w:tc>
        <w:tc>
          <w:tcPr>
            <w:tcW w:w="1843" w:type="dxa"/>
            <w:noWrap/>
            <w:hideMark/>
          </w:tcPr>
          <w:p w14:paraId="0453F27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74</w:t>
            </w:r>
          </w:p>
        </w:tc>
        <w:tc>
          <w:tcPr>
            <w:tcW w:w="1701" w:type="dxa"/>
            <w:noWrap/>
            <w:hideMark/>
          </w:tcPr>
          <w:p w14:paraId="23896CA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w:t>
            </w:r>
          </w:p>
        </w:tc>
        <w:tc>
          <w:tcPr>
            <w:tcW w:w="1611" w:type="dxa"/>
            <w:noWrap/>
            <w:hideMark/>
          </w:tcPr>
          <w:p w14:paraId="6A1985E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94</w:t>
            </w:r>
          </w:p>
        </w:tc>
      </w:tr>
      <w:tr w:rsidR="00452B58" w:rsidRPr="00452B58" w14:paraId="5F258E36" w14:textId="77777777" w:rsidTr="00452B58">
        <w:trPr>
          <w:trHeight w:val="324"/>
        </w:trPr>
        <w:tc>
          <w:tcPr>
            <w:tcW w:w="2694" w:type="dxa"/>
            <w:vMerge/>
            <w:vAlign w:val="center"/>
            <w:hideMark/>
          </w:tcPr>
          <w:p w14:paraId="658380B6"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00EDA2A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2020</w:t>
            </w:r>
          </w:p>
        </w:tc>
        <w:tc>
          <w:tcPr>
            <w:tcW w:w="1843" w:type="dxa"/>
            <w:noWrap/>
            <w:hideMark/>
          </w:tcPr>
          <w:p w14:paraId="3785C70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66</w:t>
            </w:r>
          </w:p>
        </w:tc>
        <w:tc>
          <w:tcPr>
            <w:tcW w:w="1701" w:type="dxa"/>
            <w:noWrap/>
            <w:hideMark/>
          </w:tcPr>
          <w:p w14:paraId="2230E94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611" w:type="dxa"/>
            <w:noWrap/>
            <w:hideMark/>
          </w:tcPr>
          <w:p w14:paraId="4973162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75</w:t>
            </w:r>
          </w:p>
        </w:tc>
      </w:tr>
      <w:tr w:rsidR="00452B58" w:rsidRPr="00452B58" w14:paraId="37479C9E" w14:textId="77777777" w:rsidTr="00452B58">
        <w:trPr>
          <w:trHeight w:val="324"/>
        </w:trPr>
        <w:tc>
          <w:tcPr>
            <w:tcW w:w="2694" w:type="dxa"/>
            <w:vMerge/>
            <w:vAlign w:val="center"/>
            <w:hideMark/>
          </w:tcPr>
          <w:p w14:paraId="3ECDA8BA"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14:paraId="72CEABC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14:paraId="7D9FF03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71</w:t>
            </w:r>
          </w:p>
        </w:tc>
        <w:tc>
          <w:tcPr>
            <w:tcW w:w="1701" w:type="dxa"/>
            <w:noWrap/>
            <w:hideMark/>
          </w:tcPr>
          <w:p w14:paraId="7BCE62F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13</w:t>
            </w:r>
          </w:p>
        </w:tc>
        <w:tc>
          <w:tcPr>
            <w:tcW w:w="1611" w:type="dxa"/>
            <w:noWrap/>
            <w:hideMark/>
          </w:tcPr>
          <w:p w14:paraId="37B85FF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w:t>
            </w:r>
          </w:p>
        </w:tc>
      </w:tr>
      <w:tr w:rsidR="00452B58" w:rsidRPr="00452B58" w14:paraId="37E92201" w14:textId="77777777" w:rsidTr="00452B58">
        <w:trPr>
          <w:trHeight w:val="324"/>
        </w:trPr>
        <w:tc>
          <w:tcPr>
            <w:tcW w:w="2694" w:type="dxa"/>
            <w:noWrap/>
            <w:vAlign w:val="center"/>
            <w:hideMark/>
          </w:tcPr>
          <w:p w14:paraId="5150313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Total HV (Sum)</w:t>
            </w:r>
          </w:p>
        </w:tc>
        <w:tc>
          <w:tcPr>
            <w:tcW w:w="1842" w:type="dxa"/>
            <w:noWrap/>
            <w:hideMark/>
          </w:tcPr>
          <w:p w14:paraId="0C7CE05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14:paraId="2DB6A5B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152</w:t>
            </w:r>
          </w:p>
        </w:tc>
        <w:tc>
          <w:tcPr>
            <w:tcW w:w="1701" w:type="dxa"/>
            <w:noWrap/>
            <w:hideMark/>
          </w:tcPr>
          <w:p w14:paraId="53006E5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29</w:t>
            </w:r>
          </w:p>
        </w:tc>
        <w:tc>
          <w:tcPr>
            <w:tcW w:w="1611" w:type="dxa"/>
            <w:noWrap/>
            <w:hideMark/>
          </w:tcPr>
          <w:p w14:paraId="5294F78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181</w:t>
            </w:r>
          </w:p>
        </w:tc>
      </w:tr>
    </w:tbl>
    <w:p w14:paraId="05CA5509" w14:textId="77777777"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Table 1.4, Page 5 of BITRE (2020).</w:t>
      </w:r>
    </w:p>
    <w:p w14:paraId="3E2CF77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E1F393F" w14:textId="4066C8FF"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Single heavy vehicle crash statistics</w:t>
      </w:r>
    </w:p>
    <w:tbl>
      <w:tblPr>
        <w:tblStyle w:val="ARRBTableStyle"/>
        <w:tblW w:w="9633" w:type="dxa"/>
        <w:tblLook w:val="04A0" w:firstRow="1" w:lastRow="0" w:firstColumn="1" w:lastColumn="0" w:noHBand="0" w:noVBand="1"/>
      </w:tblPr>
      <w:tblGrid>
        <w:gridCol w:w="1483"/>
        <w:gridCol w:w="2340"/>
        <w:gridCol w:w="1134"/>
        <w:gridCol w:w="1417"/>
        <w:gridCol w:w="1559"/>
        <w:gridCol w:w="1700"/>
      </w:tblGrid>
      <w:tr w:rsidR="00452B58" w:rsidRPr="00452B58" w14:paraId="25BAD201" w14:textId="77777777" w:rsidTr="00452B58">
        <w:trPr>
          <w:cnfStyle w:val="100000000000" w:firstRow="1" w:lastRow="0" w:firstColumn="0" w:lastColumn="0" w:oddVBand="0" w:evenVBand="0" w:oddHBand="0" w:evenHBand="0" w:firstRowFirstColumn="0" w:firstRowLastColumn="0" w:lastRowFirstColumn="0" w:lastRowLastColumn="0"/>
          <w:trHeight w:val="719"/>
        </w:trPr>
        <w:tc>
          <w:tcPr>
            <w:tcW w:w="1483" w:type="dxa"/>
            <w:hideMark/>
          </w:tcPr>
          <w:p w14:paraId="6EE4009F" w14:textId="77777777"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Main crash type</w:t>
            </w:r>
          </w:p>
        </w:tc>
        <w:tc>
          <w:tcPr>
            <w:tcW w:w="2340" w:type="dxa"/>
            <w:hideMark/>
          </w:tcPr>
          <w:p w14:paraId="3BF8D2B1"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 of crashes involving a heavy vehicle</w:t>
            </w:r>
          </w:p>
        </w:tc>
        <w:tc>
          <w:tcPr>
            <w:tcW w:w="1134" w:type="dxa"/>
            <w:hideMark/>
          </w:tcPr>
          <w:p w14:paraId="53B79EC0"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Sub-group</w:t>
            </w:r>
          </w:p>
        </w:tc>
        <w:tc>
          <w:tcPr>
            <w:tcW w:w="1417" w:type="dxa"/>
            <w:noWrap/>
            <w:hideMark/>
          </w:tcPr>
          <w:p w14:paraId="46520C68"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Assumed subgroup ratio</w:t>
            </w:r>
          </w:p>
        </w:tc>
        <w:tc>
          <w:tcPr>
            <w:tcW w:w="1559" w:type="dxa"/>
            <w:hideMark/>
          </w:tcPr>
          <w:p w14:paraId="54B2D7C2"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Assumed crash %</w:t>
            </w:r>
          </w:p>
        </w:tc>
        <w:tc>
          <w:tcPr>
            <w:tcW w:w="1700" w:type="dxa"/>
            <w:hideMark/>
          </w:tcPr>
          <w:p w14:paraId="6C0C0F7B" w14:textId="77777777"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Number of fatalities</w:t>
            </w:r>
          </w:p>
        </w:tc>
      </w:tr>
      <w:tr w:rsidR="00452B58" w:rsidRPr="00452B58" w14:paraId="3C934E7C" w14:textId="77777777" w:rsidTr="00452B58">
        <w:trPr>
          <w:trHeight w:val="312"/>
        </w:trPr>
        <w:tc>
          <w:tcPr>
            <w:tcW w:w="1483" w:type="dxa"/>
            <w:vMerge w:val="restart"/>
            <w:noWrap/>
            <w:vAlign w:val="center"/>
            <w:hideMark/>
          </w:tcPr>
          <w:p w14:paraId="0B172EA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Non-collision (curve)</w:t>
            </w:r>
          </w:p>
        </w:tc>
        <w:tc>
          <w:tcPr>
            <w:tcW w:w="2340" w:type="dxa"/>
            <w:noWrap/>
            <w:hideMark/>
          </w:tcPr>
          <w:p w14:paraId="1364AE2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52%</w:t>
            </w:r>
          </w:p>
        </w:tc>
        <w:tc>
          <w:tcPr>
            <w:tcW w:w="1134" w:type="dxa"/>
            <w:noWrap/>
            <w:hideMark/>
          </w:tcPr>
          <w:p w14:paraId="1879FB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left</w:t>
            </w:r>
          </w:p>
        </w:tc>
        <w:tc>
          <w:tcPr>
            <w:tcW w:w="1417" w:type="dxa"/>
            <w:noWrap/>
            <w:hideMark/>
          </w:tcPr>
          <w:p w14:paraId="1AC3040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467D375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26%</w:t>
            </w:r>
          </w:p>
        </w:tc>
        <w:tc>
          <w:tcPr>
            <w:tcW w:w="1700" w:type="dxa"/>
            <w:noWrap/>
            <w:hideMark/>
          </w:tcPr>
          <w:p w14:paraId="4CC1A99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190F3768" w14:textId="77777777" w:rsidTr="00452B58">
        <w:trPr>
          <w:trHeight w:val="312"/>
        </w:trPr>
        <w:tc>
          <w:tcPr>
            <w:tcW w:w="1483" w:type="dxa"/>
            <w:vMerge/>
            <w:vAlign w:val="center"/>
            <w:hideMark/>
          </w:tcPr>
          <w:p w14:paraId="7A36BBF7"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340" w:type="dxa"/>
            <w:noWrap/>
            <w:hideMark/>
          </w:tcPr>
          <w:p w14:paraId="20D5F98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52%</w:t>
            </w:r>
          </w:p>
        </w:tc>
        <w:tc>
          <w:tcPr>
            <w:tcW w:w="1134" w:type="dxa"/>
            <w:noWrap/>
            <w:hideMark/>
          </w:tcPr>
          <w:p w14:paraId="4BD281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right</w:t>
            </w:r>
          </w:p>
        </w:tc>
        <w:tc>
          <w:tcPr>
            <w:tcW w:w="1417" w:type="dxa"/>
            <w:noWrap/>
            <w:hideMark/>
          </w:tcPr>
          <w:p w14:paraId="65B303C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1FA4AE0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26%</w:t>
            </w:r>
          </w:p>
        </w:tc>
        <w:tc>
          <w:tcPr>
            <w:tcW w:w="1700" w:type="dxa"/>
            <w:noWrap/>
            <w:hideMark/>
          </w:tcPr>
          <w:p w14:paraId="0BB4257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49E56595" w14:textId="77777777" w:rsidTr="00452B58">
        <w:trPr>
          <w:trHeight w:val="312"/>
        </w:trPr>
        <w:tc>
          <w:tcPr>
            <w:tcW w:w="1483" w:type="dxa"/>
            <w:vMerge w:val="restart"/>
            <w:noWrap/>
            <w:vAlign w:val="center"/>
            <w:hideMark/>
          </w:tcPr>
          <w:p w14:paraId="77CD421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Non-collision (straight)</w:t>
            </w:r>
          </w:p>
        </w:tc>
        <w:tc>
          <w:tcPr>
            <w:tcW w:w="2340" w:type="dxa"/>
            <w:noWrap/>
            <w:hideMark/>
          </w:tcPr>
          <w:p w14:paraId="186D0D6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46%</w:t>
            </w:r>
          </w:p>
        </w:tc>
        <w:tc>
          <w:tcPr>
            <w:tcW w:w="1134" w:type="dxa"/>
            <w:noWrap/>
            <w:hideMark/>
          </w:tcPr>
          <w:p w14:paraId="2AA7DF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left</w:t>
            </w:r>
          </w:p>
        </w:tc>
        <w:tc>
          <w:tcPr>
            <w:tcW w:w="1417" w:type="dxa"/>
            <w:noWrap/>
            <w:hideMark/>
          </w:tcPr>
          <w:p w14:paraId="0546EAE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0CAD9AC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1700" w:type="dxa"/>
            <w:noWrap/>
            <w:hideMark/>
          </w:tcPr>
          <w:p w14:paraId="7B175A0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r>
      <w:tr w:rsidR="00452B58" w:rsidRPr="00452B58" w14:paraId="4EF8A0C2" w14:textId="77777777" w:rsidTr="00452B58">
        <w:trPr>
          <w:trHeight w:val="312"/>
        </w:trPr>
        <w:tc>
          <w:tcPr>
            <w:tcW w:w="1483" w:type="dxa"/>
            <w:vMerge/>
            <w:vAlign w:val="center"/>
            <w:hideMark/>
          </w:tcPr>
          <w:p w14:paraId="0076D109"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340" w:type="dxa"/>
            <w:noWrap/>
            <w:hideMark/>
          </w:tcPr>
          <w:p w14:paraId="693DF9D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46%</w:t>
            </w:r>
          </w:p>
        </w:tc>
        <w:tc>
          <w:tcPr>
            <w:tcW w:w="1134" w:type="dxa"/>
            <w:noWrap/>
            <w:hideMark/>
          </w:tcPr>
          <w:p w14:paraId="09A5C5E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right</w:t>
            </w:r>
          </w:p>
        </w:tc>
        <w:tc>
          <w:tcPr>
            <w:tcW w:w="1417" w:type="dxa"/>
            <w:noWrap/>
            <w:hideMark/>
          </w:tcPr>
          <w:p w14:paraId="37A71C3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20F170C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1700" w:type="dxa"/>
            <w:noWrap/>
            <w:hideMark/>
          </w:tcPr>
          <w:p w14:paraId="697F2D4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r>
      <w:tr w:rsidR="00452B58" w:rsidRPr="00452B58" w14:paraId="1091FADC" w14:textId="77777777" w:rsidTr="00452B58">
        <w:trPr>
          <w:trHeight w:val="312"/>
        </w:trPr>
        <w:tc>
          <w:tcPr>
            <w:tcW w:w="1483" w:type="dxa"/>
            <w:noWrap/>
            <w:vAlign w:val="center"/>
            <w:hideMark/>
          </w:tcPr>
          <w:p w14:paraId="333C138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340" w:type="dxa"/>
            <w:noWrap/>
            <w:hideMark/>
          </w:tcPr>
          <w:p w14:paraId="22C544A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1134" w:type="dxa"/>
            <w:noWrap/>
            <w:hideMark/>
          </w:tcPr>
          <w:p w14:paraId="04E8BAF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417" w:type="dxa"/>
            <w:noWrap/>
            <w:hideMark/>
          </w:tcPr>
          <w:p w14:paraId="6F59D4A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1559" w:type="dxa"/>
            <w:noWrap/>
            <w:hideMark/>
          </w:tcPr>
          <w:p w14:paraId="643FB74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1700" w:type="dxa"/>
            <w:noWrap/>
            <w:hideMark/>
          </w:tcPr>
          <w:p w14:paraId="7B65EF1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r>
    </w:tbl>
    <w:p w14:paraId="4B5171B5" w14:textId="77777777" w:rsidR="00452B58" w:rsidRPr="00452B58" w:rsidRDefault="00452B58"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for columns 1-3: Figure 1.7, Page 11 of BITRE (2020).</w:t>
      </w:r>
    </w:p>
    <w:p w14:paraId="0E8417E8" w14:textId="77777777" w:rsidR="00452B58" w:rsidRPr="00452B58" w:rsidRDefault="00E248BF"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Pr>
          <w:rFonts w:ascii="Calibri" w:eastAsia="Calibri" w:hAnsi="Calibri" w:cs="Times New Roman"/>
          <w:iCs/>
          <w:color w:val="454647"/>
          <w:kern w:val="0"/>
          <w:sz w:val="18"/>
          <w:szCs w:val="22"/>
        </w:rPr>
        <w:t>*</w:t>
      </w:r>
      <w:r w:rsidR="00452B58" w:rsidRPr="00452B58">
        <w:rPr>
          <w:rFonts w:ascii="Calibri" w:eastAsia="Calibri" w:hAnsi="Calibri" w:cs="Times New Roman"/>
          <w:iCs/>
          <w:color w:val="454647"/>
          <w:kern w:val="0"/>
          <w:sz w:val="18"/>
          <w:szCs w:val="22"/>
        </w:rPr>
        <w:t>The Source lists this value (2%) as 6%, which seems to be an error.</w:t>
      </w:r>
    </w:p>
    <w:p w14:paraId="7C95C903"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194D7EF7" w14:textId="5D694314"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Multiple vehicle crash statistics</w:t>
      </w:r>
    </w:p>
    <w:tbl>
      <w:tblPr>
        <w:tblStyle w:val="ARRBTableStyle"/>
        <w:tblW w:w="9440" w:type="dxa"/>
        <w:tblLook w:val="04A0" w:firstRow="1" w:lastRow="0" w:firstColumn="1" w:lastColumn="0" w:noHBand="0" w:noVBand="1"/>
      </w:tblPr>
      <w:tblGrid>
        <w:gridCol w:w="1560"/>
        <w:gridCol w:w="2268"/>
        <w:gridCol w:w="1134"/>
        <w:gridCol w:w="1417"/>
        <w:gridCol w:w="1559"/>
        <w:gridCol w:w="1502"/>
      </w:tblGrid>
      <w:tr w:rsidR="00452B58" w:rsidRPr="00452B58" w14:paraId="19A99EEB" w14:textId="77777777" w:rsidTr="00452B58">
        <w:trPr>
          <w:cnfStyle w:val="100000000000" w:firstRow="1" w:lastRow="0" w:firstColumn="0" w:lastColumn="0" w:oddVBand="0" w:evenVBand="0" w:oddHBand="0" w:evenHBand="0" w:firstRowFirstColumn="0" w:firstRowLastColumn="0" w:lastRowFirstColumn="0" w:lastRowLastColumn="0"/>
          <w:trHeight w:val="594"/>
        </w:trPr>
        <w:tc>
          <w:tcPr>
            <w:tcW w:w="1560" w:type="dxa"/>
            <w:hideMark/>
          </w:tcPr>
          <w:p w14:paraId="4D0C7B68"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Main crash type</w:t>
            </w:r>
          </w:p>
        </w:tc>
        <w:tc>
          <w:tcPr>
            <w:tcW w:w="2268" w:type="dxa"/>
            <w:hideMark/>
          </w:tcPr>
          <w:p w14:paraId="72E72F07"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Percentage of crashes involving a heavy vehicle</w:t>
            </w:r>
          </w:p>
        </w:tc>
        <w:tc>
          <w:tcPr>
            <w:tcW w:w="1134" w:type="dxa"/>
            <w:hideMark/>
          </w:tcPr>
          <w:p w14:paraId="2A040F1D"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Sub-group</w:t>
            </w:r>
          </w:p>
        </w:tc>
        <w:tc>
          <w:tcPr>
            <w:tcW w:w="1417" w:type="dxa"/>
            <w:noWrap/>
            <w:hideMark/>
          </w:tcPr>
          <w:p w14:paraId="78C490D7"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Assumed subgroup ratio</w:t>
            </w:r>
          </w:p>
        </w:tc>
        <w:tc>
          <w:tcPr>
            <w:tcW w:w="1559" w:type="dxa"/>
            <w:hideMark/>
          </w:tcPr>
          <w:p w14:paraId="27F588FC"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Assumed crash %</w:t>
            </w:r>
          </w:p>
        </w:tc>
        <w:tc>
          <w:tcPr>
            <w:tcW w:w="1502" w:type="dxa"/>
            <w:hideMark/>
          </w:tcPr>
          <w:p w14:paraId="1194EF36"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Number of fatalities</w:t>
            </w:r>
          </w:p>
        </w:tc>
      </w:tr>
      <w:tr w:rsidR="00452B58" w:rsidRPr="00452B58" w14:paraId="46DCCF4F" w14:textId="77777777" w:rsidTr="00452B58">
        <w:trPr>
          <w:trHeight w:val="300"/>
        </w:trPr>
        <w:tc>
          <w:tcPr>
            <w:tcW w:w="1560" w:type="dxa"/>
            <w:vMerge w:val="restart"/>
            <w:noWrap/>
            <w:vAlign w:val="center"/>
            <w:hideMark/>
          </w:tcPr>
          <w:p w14:paraId="1B426EF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Opposing directions</w:t>
            </w:r>
          </w:p>
        </w:tc>
        <w:tc>
          <w:tcPr>
            <w:tcW w:w="2268" w:type="dxa"/>
            <w:noWrap/>
            <w:hideMark/>
          </w:tcPr>
          <w:p w14:paraId="5EA7F28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w:t>
            </w:r>
          </w:p>
        </w:tc>
        <w:tc>
          <w:tcPr>
            <w:tcW w:w="1134" w:type="dxa"/>
            <w:noWrap/>
            <w:hideMark/>
          </w:tcPr>
          <w:p w14:paraId="6C0F844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Head on</w:t>
            </w:r>
          </w:p>
        </w:tc>
        <w:tc>
          <w:tcPr>
            <w:tcW w:w="1417" w:type="dxa"/>
            <w:noWrap/>
            <w:hideMark/>
          </w:tcPr>
          <w:p w14:paraId="2A5349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5831D15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w:t>
            </w:r>
          </w:p>
        </w:tc>
        <w:tc>
          <w:tcPr>
            <w:tcW w:w="1502" w:type="dxa"/>
            <w:noWrap/>
            <w:hideMark/>
          </w:tcPr>
          <w:p w14:paraId="0A38FA0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r>
      <w:tr w:rsidR="00452B58" w:rsidRPr="00452B58" w14:paraId="62AE3DEA" w14:textId="77777777" w:rsidTr="00452B58">
        <w:trPr>
          <w:trHeight w:val="300"/>
        </w:trPr>
        <w:tc>
          <w:tcPr>
            <w:tcW w:w="1560" w:type="dxa"/>
            <w:vMerge/>
            <w:vAlign w:val="center"/>
            <w:hideMark/>
          </w:tcPr>
          <w:p w14:paraId="2009F1B4"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388A3E5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w:t>
            </w:r>
          </w:p>
        </w:tc>
        <w:tc>
          <w:tcPr>
            <w:tcW w:w="1134" w:type="dxa"/>
            <w:noWrap/>
            <w:hideMark/>
          </w:tcPr>
          <w:p w14:paraId="2A87439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Right through</w:t>
            </w:r>
          </w:p>
        </w:tc>
        <w:tc>
          <w:tcPr>
            <w:tcW w:w="1417" w:type="dxa"/>
            <w:noWrap/>
            <w:hideMark/>
          </w:tcPr>
          <w:p w14:paraId="2237B39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4DF2991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w:t>
            </w:r>
          </w:p>
        </w:tc>
        <w:tc>
          <w:tcPr>
            <w:tcW w:w="1502" w:type="dxa"/>
            <w:noWrap/>
            <w:hideMark/>
          </w:tcPr>
          <w:p w14:paraId="6EE8591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r>
      <w:tr w:rsidR="00452B58" w:rsidRPr="00452B58" w14:paraId="670951B4" w14:textId="77777777" w:rsidTr="00452B58">
        <w:trPr>
          <w:trHeight w:val="300"/>
        </w:trPr>
        <w:tc>
          <w:tcPr>
            <w:tcW w:w="1560" w:type="dxa"/>
            <w:vMerge w:val="restart"/>
            <w:noWrap/>
            <w:vAlign w:val="center"/>
            <w:hideMark/>
          </w:tcPr>
          <w:p w14:paraId="518A185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Same direction</w:t>
            </w:r>
          </w:p>
        </w:tc>
        <w:tc>
          <w:tcPr>
            <w:tcW w:w="2268" w:type="dxa"/>
            <w:noWrap/>
            <w:hideMark/>
          </w:tcPr>
          <w:p w14:paraId="39D4B5B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134" w:type="dxa"/>
            <w:noWrap/>
            <w:hideMark/>
          </w:tcPr>
          <w:p w14:paraId="304D28B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Rear end</w:t>
            </w:r>
          </w:p>
        </w:tc>
        <w:tc>
          <w:tcPr>
            <w:tcW w:w="1417" w:type="dxa"/>
            <w:noWrap/>
            <w:hideMark/>
          </w:tcPr>
          <w:p w14:paraId="1B1EF3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0D5D4C0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502" w:type="dxa"/>
            <w:noWrap/>
            <w:hideMark/>
          </w:tcPr>
          <w:p w14:paraId="4F395F4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r w:rsidR="00452B58" w:rsidRPr="00452B58" w14:paraId="7B50A283" w14:textId="77777777" w:rsidTr="00452B58">
        <w:trPr>
          <w:trHeight w:val="300"/>
        </w:trPr>
        <w:tc>
          <w:tcPr>
            <w:tcW w:w="1560" w:type="dxa"/>
            <w:vMerge/>
            <w:vAlign w:val="center"/>
            <w:hideMark/>
          </w:tcPr>
          <w:p w14:paraId="6B904C97"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19D733C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134" w:type="dxa"/>
            <w:noWrap/>
            <w:hideMark/>
          </w:tcPr>
          <w:p w14:paraId="6FE9CA3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Side swipe</w:t>
            </w:r>
          </w:p>
        </w:tc>
        <w:tc>
          <w:tcPr>
            <w:tcW w:w="1417" w:type="dxa"/>
            <w:noWrap/>
            <w:hideMark/>
          </w:tcPr>
          <w:p w14:paraId="7700261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5BC1B5C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502" w:type="dxa"/>
            <w:noWrap/>
            <w:hideMark/>
          </w:tcPr>
          <w:p w14:paraId="3167EF3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r w:rsidR="00452B58" w:rsidRPr="00452B58" w14:paraId="0FCAA72E" w14:textId="77777777" w:rsidTr="00452B58">
        <w:trPr>
          <w:trHeight w:val="300"/>
        </w:trPr>
        <w:tc>
          <w:tcPr>
            <w:tcW w:w="1560" w:type="dxa"/>
            <w:vMerge w:val="restart"/>
            <w:noWrap/>
            <w:vAlign w:val="center"/>
            <w:hideMark/>
          </w:tcPr>
          <w:p w14:paraId="5F7768C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Adjacent direction</w:t>
            </w:r>
          </w:p>
        </w:tc>
        <w:tc>
          <w:tcPr>
            <w:tcW w:w="2268" w:type="dxa"/>
            <w:noWrap/>
            <w:hideMark/>
          </w:tcPr>
          <w:p w14:paraId="02FACD5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1134" w:type="dxa"/>
            <w:noWrap/>
            <w:hideMark/>
          </w:tcPr>
          <w:p w14:paraId="6AA46DE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Right near</w:t>
            </w:r>
          </w:p>
        </w:tc>
        <w:tc>
          <w:tcPr>
            <w:tcW w:w="1417" w:type="dxa"/>
            <w:noWrap/>
            <w:hideMark/>
          </w:tcPr>
          <w:p w14:paraId="411914F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7A45C3E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617991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14:paraId="0808902B" w14:textId="77777777" w:rsidTr="00452B58">
        <w:trPr>
          <w:trHeight w:val="300"/>
        </w:trPr>
        <w:tc>
          <w:tcPr>
            <w:tcW w:w="1560" w:type="dxa"/>
            <w:vMerge/>
            <w:vAlign w:val="center"/>
            <w:hideMark/>
          </w:tcPr>
          <w:p w14:paraId="6C7C55FE"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78FBD9A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1134" w:type="dxa"/>
            <w:noWrap/>
            <w:hideMark/>
          </w:tcPr>
          <w:p w14:paraId="70D990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Cross traffic</w:t>
            </w:r>
          </w:p>
        </w:tc>
        <w:tc>
          <w:tcPr>
            <w:tcW w:w="1417" w:type="dxa"/>
            <w:noWrap/>
            <w:hideMark/>
          </w:tcPr>
          <w:p w14:paraId="657D8E6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1CCBEC5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56369BE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14:paraId="00810AA0" w14:textId="77777777" w:rsidTr="00452B58">
        <w:trPr>
          <w:trHeight w:val="300"/>
        </w:trPr>
        <w:tc>
          <w:tcPr>
            <w:tcW w:w="1560" w:type="dxa"/>
            <w:vMerge w:val="restart"/>
            <w:noWrap/>
            <w:vAlign w:val="center"/>
            <w:hideMark/>
          </w:tcPr>
          <w:p w14:paraId="4B8F768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Pedestrian</w:t>
            </w:r>
          </w:p>
        </w:tc>
        <w:tc>
          <w:tcPr>
            <w:tcW w:w="2268" w:type="dxa"/>
            <w:noWrap/>
            <w:hideMark/>
          </w:tcPr>
          <w:p w14:paraId="59C2AF4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134" w:type="dxa"/>
            <w:noWrap/>
            <w:hideMark/>
          </w:tcPr>
          <w:p w14:paraId="1CCBCE6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Near side</w:t>
            </w:r>
          </w:p>
        </w:tc>
        <w:tc>
          <w:tcPr>
            <w:tcW w:w="1417" w:type="dxa"/>
            <w:noWrap/>
            <w:hideMark/>
          </w:tcPr>
          <w:p w14:paraId="51BB00F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0E1FF31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7ABEB0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7FBA883A" w14:textId="77777777" w:rsidTr="00452B58">
        <w:trPr>
          <w:trHeight w:val="300"/>
        </w:trPr>
        <w:tc>
          <w:tcPr>
            <w:tcW w:w="1560" w:type="dxa"/>
            <w:vMerge/>
            <w:vAlign w:val="center"/>
            <w:hideMark/>
          </w:tcPr>
          <w:p w14:paraId="718154FE"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14:paraId="09A68F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134" w:type="dxa"/>
            <w:noWrap/>
            <w:hideMark/>
          </w:tcPr>
          <w:p w14:paraId="55D4927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Play/work</w:t>
            </w:r>
          </w:p>
        </w:tc>
        <w:tc>
          <w:tcPr>
            <w:tcW w:w="1417" w:type="dxa"/>
            <w:noWrap/>
            <w:hideMark/>
          </w:tcPr>
          <w:p w14:paraId="5703544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14:paraId="35C5872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14:paraId="75DECF1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138114EA" w14:textId="77777777" w:rsidTr="00452B58">
        <w:trPr>
          <w:trHeight w:val="300"/>
        </w:trPr>
        <w:tc>
          <w:tcPr>
            <w:tcW w:w="1560" w:type="dxa"/>
            <w:noWrap/>
            <w:vAlign w:val="center"/>
            <w:hideMark/>
          </w:tcPr>
          <w:p w14:paraId="32091D2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268" w:type="dxa"/>
            <w:noWrap/>
            <w:hideMark/>
          </w:tcPr>
          <w:p w14:paraId="22B0DD7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134" w:type="dxa"/>
            <w:noWrap/>
            <w:hideMark/>
          </w:tcPr>
          <w:p w14:paraId="762C750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417" w:type="dxa"/>
            <w:noWrap/>
            <w:hideMark/>
          </w:tcPr>
          <w:p w14:paraId="22921E6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1559" w:type="dxa"/>
            <w:noWrap/>
            <w:hideMark/>
          </w:tcPr>
          <w:p w14:paraId="5AA52A4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502" w:type="dxa"/>
            <w:noWrap/>
            <w:hideMark/>
          </w:tcPr>
          <w:p w14:paraId="0D55113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r>
    </w:tbl>
    <w:p w14:paraId="5A0C0A81" w14:textId="77777777" w:rsidR="00452B58" w:rsidRPr="00452B58" w:rsidRDefault="00452B58"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Source for columns 1-3: Figure 1.7, Page 10 (BITRE 2020). </w:t>
      </w:r>
    </w:p>
    <w:p w14:paraId="1AFBEB3B"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D7BED4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above data, numbers of fatalities and the proportions of fatalities by crash type, were used to determine fatality proportions by crash type across single and multiple vehicle crashes involving heavy vehicles, as shown in Table E.4.</w:t>
      </w:r>
    </w:p>
    <w:p w14:paraId="264ABB80" w14:textId="25625236"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Total heavy vehicle crashes by type </w:t>
      </w:r>
    </w:p>
    <w:tbl>
      <w:tblPr>
        <w:tblStyle w:val="ARRBTableStyle"/>
        <w:tblW w:w="9351" w:type="dxa"/>
        <w:tblLook w:val="04A0" w:firstRow="1" w:lastRow="0" w:firstColumn="1" w:lastColumn="0" w:noHBand="0" w:noVBand="1"/>
      </w:tblPr>
      <w:tblGrid>
        <w:gridCol w:w="1985"/>
        <w:gridCol w:w="2977"/>
        <w:gridCol w:w="2126"/>
        <w:gridCol w:w="2263"/>
      </w:tblGrid>
      <w:tr w:rsidR="00452B58" w:rsidRPr="00452B58" w14:paraId="78326080"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1985" w:type="dxa"/>
            <w:hideMark/>
          </w:tcPr>
          <w:p w14:paraId="1C07D6E6"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Main crash type</w:t>
            </w:r>
          </w:p>
        </w:tc>
        <w:tc>
          <w:tcPr>
            <w:tcW w:w="2977" w:type="dxa"/>
            <w:hideMark/>
          </w:tcPr>
          <w:p w14:paraId="73CBEE46"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Sub-group</w:t>
            </w:r>
          </w:p>
        </w:tc>
        <w:tc>
          <w:tcPr>
            <w:tcW w:w="4389" w:type="dxa"/>
            <w:gridSpan w:val="2"/>
            <w:noWrap/>
            <w:hideMark/>
          </w:tcPr>
          <w:p w14:paraId="7180E086"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Fatalities</w:t>
            </w:r>
          </w:p>
        </w:tc>
      </w:tr>
      <w:tr w:rsidR="00452B58" w:rsidRPr="00452B58" w14:paraId="22CA3354" w14:textId="77777777" w:rsidTr="00452B58">
        <w:trPr>
          <w:trHeight w:val="300"/>
        </w:trPr>
        <w:tc>
          <w:tcPr>
            <w:tcW w:w="1985" w:type="dxa"/>
            <w:noWrap/>
            <w:vAlign w:val="center"/>
            <w:hideMark/>
          </w:tcPr>
          <w:p w14:paraId="3FACF70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2977" w:type="dxa"/>
            <w:noWrap/>
            <w:hideMark/>
          </w:tcPr>
          <w:p w14:paraId="698D8A0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All (straight and curve)</w:t>
            </w:r>
          </w:p>
        </w:tc>
        <w:tc>
          <w:tcPr>
            <w:tcW w:w="2126" w:type="dxa"/>
            <w:noWrap/>
            <w:hideMark/>
          </w:tcPr>
          <w:p w14:paraId="75F4269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28</w:t>
            </w:r>
          </w:p>
        </w:tc>
        <w:tc>
          <w:tcPr>
            <w:tcW w:w="2263" w:type="dxa"/>
            <w:noWrap/>
            <w:hideMark/>
          </w:tcPr>
          <w:p w14:paraId="327A8EE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r>
      <w:tr w:rsidR="00452B58" w:rsidRPr="00452B58" w14:paraId="6088251D" w14:textId="77777777" w:rsidTr="00452B58">
        <w:trPr>
          <w:trHeight w:val="300"/>
        </w:trPr>
        <w:tc>
          <w:tcPr>
            <w:tcW w:w="1985" w:type="dxa"/>
            <w:vMerge w:val="restart"/>
            <w:noWrap/>
            <w:vAlign w:val="center"/>
            <w:hideMark/>
          </w:tcPr>
          <w:p w14:paraId="421FE27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Opposing directions</w:t>
            </w:r>
          </w:p>
        </w:tc>
        <w:tc>
          <w:tcPr>
            <w:tcW w:w="2977" w:type="dxa"/>
            <w:noWrap/>
            <w:hideMark/>
          </w:tcPr>
          <w:p w14:paraId="5C3F33D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Head on</w:t>
            </w:r>
          </w:p>
        </w:tc>
        <w:tc>
          <w:tcPr>
            <w:tcW w:w="2126" w:type="dxa"/>
            <w:noWrap/>
            <w:hideMark/>
          </w:tcPr>
          <w:p w14:paraId="7FB38AD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c>
          <w:tcPr>
            <w:tcW w:w="2263" w:type="dxa"/>
            <w:noWrap/>
            <w:hideMark/>
          </w:tcPr>
          <w:p w14:paraId="25E1BFC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w:t>
            </w:r>
          </w:p>
        </w:tc>
      </w:tr>
      <w:tr w:rsidR="00452B58" w:rsidRPr="00452B58" w14:paraId="0EA14E1F" w14:textId="77777777" w:rsidTr="00452B58">
        <w:trPr>
          <w:trHeight w:val="300"/>
        </w:trPr>
        <w:tc>
          <w:tcPr>
            <w:tcW w:w="1985" w:type="dxa"/>
            <w:vMerge/>
            <w:vAlign w:val="center"/>
            <w:hideMark/>
          </w:tcPr>
          <w:p w14:paraId="6204BD39"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6ADC1EED"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through</w:t>
            </w:r>
          </w:p>
        </w:tc>
        <w:tc>
          <w:tcPr>
            <w:tcW w:w="2126" w:type="dxa"/>
            <w:noWrap/>
            <w:hideMark/>
          </w:tcPr>
          <w:p w14:paraId="199B678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c>
          <w:tcPr>
            <w:tcW w:w="2263" w:type="dxa"/>
            <w:noWrap/>
            <w:hideMark/>
          </w:tcPr>
          <w:p w14:paraId="79DF829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w:t>
            </w:r>
          </w:p>
        </w:tc>
      </w:tr>
      <w:tr w:rsidR="00452B58" w:rsidRPr="00452B58" w14:paraId="0F24D99E" w14:textId="77777777" w:rsidTr="00452B58">
        <w:trPr>
          <w:trHeight w:val="300"/>
        </w:trPr>
        <w:tc>
          <w:tcPr>
            <w:tcW w:w="1985" w:type="dxa"/>
            <w:vMerge w:val="restart"/>
            <w:noWrap/>
            <w:vAlign w:val="center"/>
            <w:hideMark/>
          </w:tcPr>
          <w:p w14:paraId="5D3EB38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Same direction</w:t>
            </w:r>
          </w:p>
        </w:tc>
        <w:tc>
          <w:tcPr>
            <w:tcW w:w="2977" w:type="dxa"/>
            <w:noWrap/>
            <w:hideMark/>
          </w:tcPr>
          <w:p w14:paraId="497A520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Rear end</w:t>
            </w:r>
          </w:p>
        </w:tc>
        <w:tc>
          <w:tcPr>
            <w:tcW w:w="2126" w:type="dxa"/>
            <w:noWrap/>
            <w:hideMark/>
          </w:tcPr>
          <w:p w14:paraId="74AAC14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2263" w:type="dxa"/>
            <w:noWrap/>
            <w:hideMark/>
          </w:tcPr>
          <w:p w14:paraId="55C55A4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094BFD64" w14:textId="77777777" w:rsidTr="00452B58">
        <w:trPr>
          <w:trHeight w:val="300"/>
        </w:trPr>
        <w:tc>
          <w:tcPr>
            <w:tcW w:w="1985" w:type="dxa"/>
            <w:vMerge/>
            <w:vAlign w:val="center"/>
            <w:hideMark/>
          </w:tcPr>
          <w:p w14:paraId="13BD3FFE"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5E4CB29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2126" w:type="dxa"/>
            <w:noWrap/>
            <w:hideMark/>
          </w:tcPr>
          <w:p w14:paraId="3F6C10F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2263" w:type="dxa"/>
            <w:noWrap/>
            <w:hideMark/>
          </w:tcPr>
          <w:p w14:paraId="2FD494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14:paraId="2B07773C" w14:textId="77777777" w:rsidTr="00452B58">
        <w:trPr>
          <w:trHeight w:val="300"/>
        </w:trPr>
        <w:tc>
          <w:tcPr>
            <w:tcW w:w="1985" w:type="dxa"/>
            <w:vMerge w:val="restart"/>
            <w:noWrap/>
            <w:vAlign w:val="center"/>
            <w:hideMark/>
          </w:tcPr>
          <w:p w14:paraId="43449DC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Adjacent direction</w:t>
            </w:r>
          </w:p>
        </w:tc>
        <w:tc>
          <w:tcPr>
            <w:tcW w:w="2977" w:type="dxa"/>
            <w:noWrap/>
            <w:hideMark/>
          </w:tcPr>
          <w:p w14:paraId="3A649FF9"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2126" w:type="dxa"/>
            <w:noWrap/>
            <w:hideMark/>
          </w:tcPr>
          <w:p w14:paraId="4159E96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2263" w:type="dxa"/>
            <w:noWrap/>
            <w:hideMark/>
          </w:tcPr>
          <w:p w14:paraId="315BD5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095BF8A4" w14:textId="77777777" w:rsidTr="00452B58">
        <w:trPr>
          <w:trHeight w:val="300"/>
        </w:trPr>
        <w:tc>
          <w:tcPr>
            <w:tcW w:w="1985" w:type="dxa"/>
            <w:vMerge/>
            <w:vAlign w:val="center"/>
            <w:hideMark/>
          </w:tcPr>
          <w:p w14:paraId="5875F38A"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400CDE8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Cross traffic</w:t>
            </w:r>
          </w:p>
        </w:tc>
        <w:tc>
          <w:tcPr>
            <w:tcW w:w="2126" w:type="dxa"/>
            <w:noWrap/>
            <w:hideMark/>
          </w:tcPr>
          <w:p w14:paraId="48C2DD3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2263" w:type="dxa"/>
            <w:noWrap/>
            <w:hideMark/>
          </w:tcPr>
          <w:p w14:paraId="76ADECA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6BC6BCF8" w14:textId="77777777" w:rsidTr="00452B58">
        <w:trPr>
          <w:trHeight w:val="300"/>
        </w:trPr>
        <w:tc>
          <w:tcPr>
            <w:tcW w:w="1985" w:type="dxa"/>
            <w:vMerge w:val="restart"/>
            <w:noWrap/>
            <w:vAlign w:val="center"/>
            <w:hideMark/>
          </w:tcPr>
          <w:p w14:paraId="285E73B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Pedestrian</w:t>
            </w:r>
          </w:p>
        </w:tc>
        <w:tc>
          <w:tcPr>
            <w:tcW w:w="2977" w:type="dxa"/>
            <w:noWrap/>
            <w:hideMark/>
          </w:tcPr>
          <w:p w14:paraId="4A8ACA1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2126" w:type="dxa"/>
            <w:noWrap/>
            <w:hideMark/>
          </w:tcPr>
          <w:p w14:paraId="4976AEB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2263" w:type="dxa"/>
            <w:noWrap/>
            <w:hideMark/>
          </w:tcPr>
          <w:p w14:paraId="69187ED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1A4E2235" w14:textId="77777777" w:rsidTr="00452B58">
        <w:trPr>
          <w:trHeight w:val="300"/>
        </w:trPr>
        <w:tc>
          <w:tcPr>
            <w:tcW w:w="1985" w:type="dxa"/>
            <w:vMerge/>
            <w:vAlign w:val="center"/>
            <w:hideMark/>
          </w:tcPr>
          <w:p w14:paraId="424C5F2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14:paraId="06EADB66"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2126" w:type="dxa"/>
            <w:noWrap/>
            <w:hideMark/>
          </w:tcPr>
          <w:p w14:paraId="7AEF7A1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2263" w:type="dxa"/>
            <w:noWrap/>
            <w:hideMark/>
          </w:tcPr>
          <w:p w14:paraId="502AF03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14:paraId="5EC77762" w14:textId="77777777" w:rsidTr="00452B58">
        <w:trPr>
          <w:trHeight w:val="300"/>
        </w:trPr>
        <w:tc>
          <w:tcPr>
            <w:tcW w:w="1985" w:type="dxa"/>
            <w:noWrap/>
            <w:vAlign w:val="center"/>
            <w:hideMark/>
          </w:tcPr>
          <w:p w14:paraId="428315E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977" w:type="dxa"/>
            <w:noWrap/>
            <w:hideMark/>
          </w:tcPr>
          <w:p w14:paraId="39EB55A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All (single and multiple vehicles.)</w:t>
            </w:r>
          </w:p>
        </w:tc>
        <w:tc>
          <w:tcPr>
            <w:tcW w:w="2126" w:type="dxa"/>
            <w:noWrap/>
            <w:hideMark/>
          </w:tcPr>
          <w:p w14:paraId="14416CE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25</w:t>
            </w:r>
          </w:p>
        </w:tc>
        <w:tc>
          <w:tcPr>
            <w:tcW w:w="2263" w:type="dxa"/>
            <w:noWrap/>
            <w:hideMark/>
          </w:tcPr>
          <w:p w14:paraId="2CFC1BE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bl>
    <w:p w14:paraId="253BDE3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4C8C83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efficacy of safety features, as determined by a review of the literature relating these to specific crash types is shown in Table E.5. Where the crash reduction factors (CRF) are identified as applying to a specific crash sub-group, these CRFs are applied in full. If the sub-types are not mentioned, the CRF for the crash type is divided evenly between the crash sub-groups. It should be noted that these CRFs are for the specific crash types listed, not all crashes.</w:t>
      </w:r>
    </w:p>
    <w:p w14:paraId="25B680FD"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14:paraId="657F1F8F" w14:textId="16797631"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E.5:</w:t>
      </w:r>
      <w:r w:rsidRPr="00452B58">
        <w:rPr>
          <w:rFonts w:ascii="Calibri" w:eastAsia="Calibri" w:hAnsi="Calibri" w:cs="Times New Roman"/>
          <w:b/>
          <w:bCs/>
          <w:color w:val="67696A"/>
          <w:kern w:val="0"/>
          <w:sz w:val="18"/>
          <w:szCs w:val="22"/>
        </w:rPr>
        <w:tab/>
        <w:t>Crash reduction factors applied to crash type sub-groups</w:t>
      </w:r>
    </w:p>
    <w:tbl>
      <w:tblPr>
        <w:tblStyle w:val="ARRBTableStyle"/>
        <w:tblW w:w="8642" w:type="dxa"/>
        <w:tblLook w:val="04A0" w:firstRow="1" w:lastRow="0" w:firstColumn="1" w:lastColumn="0" w:noHBand="0" w:noVBand="1"/>
      </w:tblPr>
      <w:tblGrid>
        <w:gridCol w:w="3397"/>
        <w:gridCol w:w="1276"/>
        <w:gridCol w:w="851"/>
        <w:gridCol w:w="567"/>
        <w:gridCol w:w="992"/>
        <w:gridCol w:w="1559"/>
      </w:tblGrid>
      <w:tr w:rsidR="00452B58" w:rsidRPr="00452B58" w14:paraId="76E61B64"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3397" w:type="dxa"/>
            <w:vMerge w:val="restart"/>
            <w:tcBorders>
              <w:right w:val="single" w:sz="8" w:space="0" w:color="FFFFFF"/>
            </w:tcBorders>
            <w:noWrap/>
            <w:hideMark/>
          </w:tcPr>
          <w:p w14:paraId="58EA8CE3"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Safety feature</w:t>
            </w:r>
          </w:p>
        </w:tc>
        <w:tc>
          <w:tcPr>
            <w:tcW w:w="1276" w:type="dxa"/>
            <w:vMerge w:val="restart"/>
            <w:tcBorders>
              <w:left w:val="single" w:sz="8" w:space="0" w:color="FFFFFF"/>
              <w:right w:val="single" w:sz="8" w:space="0" w:color="FFFFFF"/>
            </w:tcBorders>
            <w:noWrap/>
            <w:hideMark/>
          </w:tcPr>
          <w:p w14:paraId="392BB56F"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Mitigated crash types</w:t>
            </w:r>
          </w:p>
        </w:tc>
        <w:tc>
          <w:tcPr>
            <w:tcW w:w="1418" w:type="dxa"/>
            <w:gridSpan w:val="2"/>
            <w:tcBorders>
              <w:left w:val="single" w:sz="8" w:space="0" w:color="FFFFFF"/>
            </w:tcBorders>
            <w:noWrap/>
            <w:hideMark/>
          </w:tcPr>
          <w:p w14:paraId="5CDC3C6A"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Crash reduction</w:t>
            </w:r>
          </w:p>
        </w:tc>
        <w:tc>
          <w:tcPr>
            <w:tcW w:w="992" w:type="dxa"/>
            <w:vMerge w:val="restart"/>
            <w:tcBorders>
              <w:right w:val="single" w:sz="8" w:space="0" w:color="FFFFFF"/>
            </w:tcBorders>
            <w:noWrap/>
            <w:hideMark/>
          </w:tcPr>
          <w:p w14:paraId="0806873A"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Average CRF</w:t>
            </w:r>
          </w:p>
        </w:tc>
        <w:tc>
          <w:tcPr>
            <w:tcW w:w="1559" w:type="dxa"/>
            <w:vMerge w:val="restart"/>
            <w:tcBorders>
              <w:left w:val="single" w:sz="8" w:space="0" w:color="FFFFFF"/>
            </w:tcBorders>
            <w:noWrap/>
            <w:hideMark/>
          </w:tcPr>
          <w:p w14:paraId="7D7E71F1"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Note</w:t>
            </w:r>
          </w:p>
        </w:tc>
      </w:tr>
      <w:tr w:rsidR="00452B58" w:rsidRPr="00452B58" w14:paraId="06B919AF" w14:textId="77777777" w:rsidTr="00452B58">
        <w:trPr>
          <w:trHeight w:val="300"/>
        </w:trPr>
        <w:tc>
          <w:tcPr>
            <w:tcW w:w="3397" w:type="dxa"/>
            <w:vMerge/>
            <w:tcBorders>
              <w:right w:val="single" w:sz="8" w:space="0" w:color="FFFFFF"/>
            </w:tcBorders>
            <w:hideMark/>
          </w:tcPr>
          <w:p w14:paraId="74B5BA72" w14:textId="77777777" w:rsidR="00452B58" w:rsidRPr="00452B58" w:rsidRDefault="00452B58" w:rsidP="00452B58">
            <w:pPr>
              <w:suppressAutoHyphens w:val="0"/>
              <w:spacing w:before="40" w:after="40"/>
              <w:rPr>
                <w:rFonts w:ascii="Calibri" w:eastAsia="Calibri" w:hAnsi="Calibri" w:cs="Times New Roman"/>
                <w:kern w:val="0"/>
                <w:szCs w:val="22"/>
                <w:lang w:eastAsia="en-AU"/>
              </w:rPr>
            </w:pPr>
          </w:p>
        </w:tc>
        <w:tc>
          <w:tcPr>
            <w:tcW w:w="1276" w:type="dxa"/>
            <w:vMerge/>
            <w:tcBorders>
              <w:left w:val="single" w:sz="8" w:space="0" w:color="FFFFFF"/>
              <w:right w:val="single" w:sz="8" w:space="0" w:color="FFFFFF"/>
            </w:tcBorders>
            <w:shd w:val="clear" w:color="auto" w:fill="00A1DE"/>
            <w:hideMark/>
          </w:tcPr>
          <w:p w14:paraId="7ABE8FA3" w14:textId="77777777"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c>
          <w:tcPr>
            <w:tcW w:w="851" w:type="dxa"/>
            <w:tcBorders>
              <w:top w:val="single" w:sz="8" w:space="0" w:color="FFFFFF"/>
              <w:left w:val="single" w:sz="8" w:space="0" w:color="FFFFFF"/>
              <w:right w:val="single" w:sz="8" w:space="0" w:color="FFFFFF"/>
            </w:tcBorders>
            <w:shd w:val="clear" w:color="auto" w:fill="00A1DE"/>
            <w:noWrap/>
            <w:hideMark/>
          </w:tcPr>
          <w:p w14:paraId="7B995387" w14:textId="77777777" w:rsidR="00452B58" w:rsidRPr="00452B58" w:rsidRDefault="00452B58" w:rsidP="00452B58">
            <w:pPr>
              <w:keepNext/>
              <w:suppressAutoHyphens w:val="0"/>
              <w:spacing w:before="40" w:after="40"/>
              <w:jc w:val="center"/>
              <w:rPr>
                <w:rFonts w:eastAsia="Calibri" w:cs="Times New Roman"/>
                <w:color w:val="FFFFFF"/>
                <w:kern w:val="0"/>
                <w:szCs w:val="22"/>
                <w:lang w:eastAsia="en-AU"/>
              </w:rPr>
            </w:pPr>
            <w:r w:rsidRPr="00452B58">
              <w:rPr>
                <w:rFonts w:eastAsia="Calibri" w:cs="Times New Roman"/>
                <w:color w:val="FFFFFF"/>
                <w:kern w:val="0"/>
                <w:szCs w:val="22"/>
                <w:lang w:eastAsia="en-AU"/>
              </w:rPr>
              <w:t>Min.</w:t>
            </w:r>
          </w:p>
        </w:tc>
        <w:tc>
          <w:tcPr>
            <w:tcW w:w="567" w:type="dxa"/>
            <w:tcBorders>
              <w:top w:val="single" w:sz="8" w:space="0" w:color="FFFFFF"/>
              <w:left w:val="single" w:sz="8" w:space="0" w:color="FFFFFF"/>
              <w:right w:val="single" w:sz="8" w:space="0" w:color="FFFFFF"/>
            </w:tcBorders>
            <w:shd w:val="clear" w:color="auto" w:fill="00A1DE"/>
            <w:noWrap/>
            <w:hideMark/>
          </w:tcPr>
          <w:p w14:paraId="442650DD" w14:textId="77777777" w:rsidR="00452B58" w:rsidRPr="00452B58" w:rsidRDefault="00452B58" w:rsidP="00452B58">
            <w:pPr>
              <w:keepNext/>
              <w:suppressAutoHyphens w:val="0"/>
              <w:spacing w:before="40" w:after="40"/>
              <w:jc w:val="center"/>
              <w:rPr>
                <w:rFonts w:eastAsia="Calibri" w:cs="Times New Roman"/>
                <w:color w:val="FFFFFF"/>
                <w:kern w:val="0"/>
                <w:szCs w:val="22"/>
                <w:lang w:eastAsia="en-AU"/>
              </w:rPr>
            </w:pPr>
            <w:r w:rsidRPr="00452B58">
              <w:rPr>
                <w:rFonts w:eastAsia="Calibri" w:cs="Times New Roman"/>
                <w:color w:val="FFFFFF"/>
                <w:kern w:val="0"/>
                <w:szCs w:val="22"/>
                <w:lang w:eastAsia="en-AU"/>
              </w:rPr>
              <w:t>Max.</w:t>
            </w:r>
          </w:p>
        </w:tc>
        <w:tc>
          <w:tcPr>
            <w:tcW w:w="992" w:type="dxa"/>
            <w:vMerge/>
            <w:tcBorders>
              <w:left w:val="single" w:sz="8" w:space="0" w:color="FFFFFF"/>
              <w:right w:val="single" w:sz="8" w:space="0" w:color="FFFFFF"/>
            </w:tcBorders>
            <w:hideMark/>
          </w:tcPr>
          <w:p w14:paraId="0CF8FAA4" w14:textId="77777777"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c>
          <w:tcPr>
            <w:tcW w:w="1559" w:type="dxa"/>
            <w:vMerge/>
            <w:tcBorders>
              <w:left w:val="single" w:sz="8" w:space="0" w:color="FFFFFF"/>
            </w:tcBorders>
            <w:hideMark/>
          </w:tcPr>
          <w:p w14:paraId="46B41C93" w14:textId="77777777"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r>
      <w:tr w:rsidR="00452B58" w:rsidRPr="00452B58" w14:paraId="29A7D07D" w14:textId="77777777" w:rsidTr="00452B58">
        <w:trPr>
          <w:trHeight w:val="300"/>
        </w:trPr>
        <w:tc>
          <w:tcPr>
            <w:tcW w:w="3397" w:type="dxa"/>
            <w:vMerge w:val="restart"/>
            <w:noWrap/>
            <w:vAlign w:val="center"/>
            <w:hideMark/>
          </w:tcPr>
          <w:p w14:paraId="061AFFB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Lane departure warning</w:t>
            </w:r>
          </w:p>
        </w:tc>
        <w:tc>
          <w:tcPr>
            <w:tcW w:w="1276" w:type="dxa"/>
            <w:noWrap/>
            <w:hideMark/>
          </w:tcPr>
          <w:p w14:paraId="54D1626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851" w:type="dxa"/>
            <w:noWrap/>
            <w:hideMark/>
          </w:tcPr>
          <w:p w14:paraId="7FB8EF7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567" w:type="dxa"/>
            <w:noWrap/>
            <w:hideMark/>
          </w:tcPr>
          <w:p w14:paraId="74C7B79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53%</w:t>
            </w:r>
          </w:p>
        </w:tc>
        <w:tc>
          <w:tcPr>
            <w:tcW w:w="992" w:type="dxa"/>
            <w:noWrap/>
            <w:hideMark/>
          </w:tcPr>
          <w:p w14:paraId="2CDA21F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38%</w:t>
            </w:r>
          </w:p>
        </w:tc>
        <w:tc>
          <w:tcPr>
            <w:tcW w:w="1559" w:type="dxa"/>
            <w:noWrap/>
            <w:hideMark/>
          </w:tcPr>
          <w:p w14:paraId="47552CE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5059FB14" w14:textId="77777777" w:rsidTr="00452B58">
        <w:trPr>
          <w:trHeight w:val="300"/>
        </w:trPr>
        <w:tc>
          <w:tcPr>
            <w:tcW w:w="3397" w:type="dxa"/>
            <w:vMerge/>
            <w:vAlign w:val="center"/>
            <w:hideMark/>
          </w:tcPr>
          <w:p w14:paraId="25F624F4"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6EF45A7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Head on</w:t>
            </w:r>
          </w:p>
        </w:tc>
        <w:tc>
          <w:tcPr>
            <w:tcW w:w="851" w:type="dxa"/>
            <w:noWrap/>
            <w:hideMark/>
          </w:tcPr>
          <w:p w14:paraId="2F3E649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c>
          <w:tcPr>
            <w:tcW w:w="567" w:type="dxa"/>
            <w:noWrap/>
            <w:hideMark/>
          </w:tcPr>
          <w:p w14:paraId="07A4B51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14:paraId="54C4FA5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37%</w:t>
            </w:r>
          </w:p>
        </w:tc>
        <w:tc>
          <w:tcPr>
            <w:tcW w:w="1559" w:type="dxa"/>
            <w:noWrap/>
            <w:hideMark/>
          </w:tcPr>
          <w:p w14:paraId="23C4CF8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66C372C3" w14:textId="77777777" w:rsidTr="00452B58">
        <w:trPr>
          <w:trHeight w:val="300"/>
        </w:trPr>
        <w:tc>
          <w:tcPr>
            <w:tcW w:w="3397" w:type="dxa"/>
            <w:vMerge/>
            <w:vAlign w:val="center"/>
            <w:hideMark/>
          </w:tcPr>
          <w:p w14:paraId="27021F56"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1778DD64"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14:paraId="12D2132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c>
          <w:tcPr>
            <w:tcW w:w="567" w:type="dxa"/>
            <w:noWrap/>
            <w:hideMark/>
          </w:tcPr>
          <w:p w14:paraId="20369AF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14:paraId="69E4962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37%</w:t>
            </w:r>
          </w:p>
        </w:tc>
        <w:tc>
          <w:tcPr>
            <w:tcW w:w="1559" w:type="dxa"/>
            <w:noWrap/>
            <w:hideMark/>
          </w:tcPr>
          <w:p w14:paraId="01604F00"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4401AE3A" w14:textId="77777777" w:rsidTr="00452B58">
        <w:trPr>
          <w:trHeight w:val="300"/>
        </w:trPr>
        <w:tc>
          <w:tcPr>
            <w:tcW w:w="3397" w:type="dxa"/>
            <w:noWrap/>
            <w:vAlign w:val="center"/>
            <w:hideMark/>
          </w:tcPr>
          <w:p w14:paraId="731692C8"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Autonomous emergency braking system</w:t>
            </w:r>
          </w:p>
        </w:tc>
        <w:tc>
          <w:tcPr>
            <w:tcW w:w="1276" w:type="dxa"/>
            <w:noWrap/>
            <w:hideMark/>
          </w:tcPr>
          <w:p w14:paraId="4409F63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Rear end</w:t>
            </w:r>
          </w:p>
        </w:tc>
        <w:tc>
          <w:tcPr>
            <w:tcW w:w="851" w:type="dxa"/>
            <w:noWrap/>
            <w:hideMark/>
          </w:tcPr>
          <w:p w14:paraId="4D36B99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w:t>
            </w:r>
          </w:p>
        </w:tc>
        <w:tc>
          <w:tcPr>
            <w:tcW w:w="567" w:type="dxa"/>
            <w:noWrap/>
            <w:hideMark/>
          </w:tcPr>
          <w:p w14:paraId="477B0FD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14:paraId="571B0B6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35%</w:t>
            </w:r>
          </w:p>
        </w:tc>
        <w:tc>
          <w:tcPr>
            <w:tcW w:w="1559" w:type="dxa"/>
            <w:noWrap/>
            <w:hideMark/>
          </w:tcPr>
          <w:p w14:paraId="43919B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28C263BA" w14:textId="77777777" w:rsidTr="00452B58">
        <w:trPr>
          <w:trHeight w:val="300"/>
        </w:trPr>
        <w:tc>
          <w:tcPr>
            <w:tcW w:w="3397" w:type="dxa"/>
            <w:noWrap/>
            <w:vAlign w:val="center"/>
            <w:hideMark/>
          </w:tcPr>
          <w:p w14:paraId="0F85BB7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Commercial braking systems (ESC, RSC, ABS)</w:t>
            </w:r>
          </w:p>
        </w:tc>
        <w:tc>
          <w:tcPr>
            <w:tcW w:w="1276" w:type="dxa"/>
            <w:noWrap/>
            <w:hideMark/>
          </w:tcPr>
          <w:p w14:paraId="1874A5C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851" w:type="dxa"/>
            <w:noWrap/>
            <w:hideMark/>
          </w:tcPr>
          <w:p w14:paraId="4E07D6C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567" w:type="dxa"/>
            <w:noWrap/>
            <w:hideMark/>
          </w:tcPr>
          <w:p w14:paraId="1DC829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40%</w:t>
            </w:r>
          </w:p>
        </w:tc>
        <w:tc>
          <w:tcPr>
            <w:tcW w:w="992" w:type="dxa"/>
            <w:noWrap/>
            <w:hideMark/>
          </w:tcPr>
          <w:p w14:paraId="22E721F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27%</w:t>
            </w:r>
          </w:p>
        </w:tc>
        <w:tc>
          <w:tcPr>
            <w:tcW w:w="1559" w:type="dxa"/>
            <w:noWrap/>
            <w:hideMark/>
          </w:tcPr>
          <w:p w14:paraId="180F948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773B6074" w14:textId="77777777" w:rsidTr="00452B58">
        <w:trPr>
          <w:trHeight w:val="300"/>
        </w:trPr>
        <w:tc>
          <w:tcPr>
            <w:tcW w:w="3397" w:type="dxa"/>
            <w:vMerge w:val="restart"/>
            <w:noWrap/>
            <w:vAlign w:val="center"/>
            <w:hideMark/>
          </w:tcPr>
          <w:p w14:paraId="44789822"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Devices for indirect vision</w:t>
            </w:r>
          </w:p>
        </w:tc>
        <w:tc>
          <w:tcPr>
            <w:tcW w:w="1276" w:type="dxa"/>
            <w:noWrap/>
            <w:hideMark/>
          </w:tcPr>
          <w:p w14:paraId="617127B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851" w:type="dxa"/>
            <w:noWrap/>
            <w:hideMark/>
          </w:tcPr>
          <w:p w14:paraId="4D0D8FB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14:paraId="1C5033F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14:paraId="4BE5FFD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14:paraId="5195B48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0928A104" w14:textId="77777777" w:rsidTr="00452B58">
        <w:trPr>
          <w:trHeight w:val="300"/>
        </w:trPr>
        <w:tc>
          <w:tcPr>
            <w:tcW w:w="3397" w:type="dxa"/>
            <w:vMerge/>
            <w:vAlign w:val="center"/>
            <w:hideMark/>
          </w:tcPr>
          <w:p w14:paraId="3BF031EF"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08B877F7"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14:paraId="27DF05E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14:paraId="31F2AAE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14:paraId="4593A2B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14:paraId="4BD6C3F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4E04BE74" w14:textId="77777777" w:rsidTr="00452B58">
        <w:trPr>
          <w:trHeight w:val="300"/>
        </w:trPr>
        <w:tc>
          <w:tcPr>
            <w:tcW w:w="3397" w:type="dxa"/>
            <w:vMerge/>
            <w:vAlign w:val="center"/>
            <w:hideMark/>
          </w:tcPr>
          <w:p w14:paraId="76B5D876"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393E280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851" w:type="dxa"/>
            <w:noWrap/>
            <w:hideMark/>
          </w:tcPr>
          <w:p w14:paraId="20930D8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14:paraId="447AE49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14:paraId="39A0219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14:paraId="4F35623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36659B65" w14:textId="77777777" w:rsidTr="00452B58">
        <w:trPr>
          <w:trHeight w:val="300"/>
        </w:trPr>
        <w:tc>
          <w:tcPr>
            <w:tcW w:w="3397" w:type="dxa"/>
            <w:noWrap/>
            <w:vAlign w:val="center"/>
            <w:hideMark/>
          </w:tcPr>
          <w:p w14:paraId="270B3B03"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Blind spot information systems</w:t>
            </w:r>
          </w:p>
        </w:tc>
        <w:tc>
          <w:tcPr>
            <w:tcW w:w="1276" w:type="dxa"/>
            <w:noWrap/>
            <w:hideMark/>
          </w:tcPr>
          <w:p w14:paraId="74E3B7E1"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14:paraId="5F12321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567" w:type="dxa"/>
            <w:noWrap/>
            <w:hideMark/>
          </w:tcPr>
          <w:p w14:paraId="58197AA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992" w:type="dxa"/>
            <w:noWrap/>
            <w:hideMark/>
          </w:tcPr>
          <w:p w14:paraId="6482EC4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0DB01015"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14:paraId="7855835F" w14:textId="77777777" w:rsidTr="00452B58">
        <w:trPr>
          <w:trHeight w:val="300"/>
        </w:trPr>
        <w:tc>
          <w:tcPr>
            <w:tcW w:w="3397" w:type="dxa"/>
            <w:vMerge w:val="restart"/>
            <w:noWrap/>
            <w:vAlign w:val="center"/>
            <w:hideMark/>
          </w:tcPr>
          <w:p w14:paraId="73073A2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underrun protection</w:t>
            </w:r>
          </w:p>
        </w:tc>
        <w:tc>
          <w:tcPr>
            <w:tcW w:w="1276" w:type="dxa"/>
            <w:noWrap/>
            <w:hideMark/>
          </w:tcPr>
          <w:p w14:paraId="774E9014"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851" w:type="dxa"/>
            <w:noWrap/>
            <w:hideMark/>
          </w:tcPr>
          <w:p w14:paraId="1BFA4C2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14:paraId="6C49060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14:paraId="487936C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14:paraId="6D372A0F"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2B6EBC8E" w14:textId="77777777" w:rsidTr="00452B58">
        <w:trPr>
          <w:trHeight w:val="300"/>
        </w:trPr>
        <w:tc>
          <w:tcPr>
            <w:tcW w:w="3397" w:type="dxa"/>
            <w:vMerge/>
            <w:vAlign w:val="center"/>
            <w:hideMark/>
          </w:tcPr>
          <w:p w14:paraId="039DD28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58A1E74C"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851" w:type="dxa"/>
            <w:noWrap/>
            <w:hideMark/>
          </w:tcPr>
          <w:p w14:paraId="5633242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14:paraId="02FFBCD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14:paraId="27FBA267"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14:paraId="7B92024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51DAC96F" w14:textId="77777777" w:rsidTr="00452B58">
        <w:trPr>
          <w:trHeight w:val="300"/>
        </w:trPr>
        <w:tc>
          <w:tcPr>
            <w:tcW w:w="3397" w:type="dxa"/>
            <w:vMerge/>
            <w:vAlign w:val="center"/>
            <w:hideMark/>
          </w:tcPr>
          <w:p w14:paraId="52446E2C"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26437EFA"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851" w:type="dxa"/>
            <w:noWrap/>
            <w:hideMark/>
          </w:tcPr>
          <w:p w14:paraId="066B135E"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14:paraId="54D2A8C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14:paraId="30A0E96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14:paraId="2825EBF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3DEF6494" w14:textId="77777777" w:rsidTr="00452B58">
        <w:trPr>
          <w:trHeight w:val="300"/>
        </w:trPr>
        <w:tc>
          <w:tcPr>
            <w:tcW w:w="3397" w:type="dxa"/>
            <w:vMerge w:val="restart"/>
            <w:noWrap/>
            <w:vAlign w:val="center"/>
            <w:hideMark/>
          </w:tcPr>
          <w:p w14:paraId="516E8B94" w14:textId="77777777" w:rsidR="00452B58" w:rsidRPr="00452B58" w:rsidRDefault="00452B58" w:rsidP="00452B58">
            <w:pPr>
              <w:keepNext/>
              <w:suppressAutoHyphens w:val="0"/>
              <w:spacing w:before="40" w:after="40"/>
              <w:rPr>
                <w:rFonts w:eastAsia="Calibri" w:cs="Times New Roman"/>
                <w:kern w:val="0"/>
                <w:szCs w:val="22"/>
                <w:lang w:eastAsia="en-AU"/>
              </w:rPr>
            </w:pPr>
            <w:proofErr w:type="spellStart"/>
            <w:r w:rsidRPr="00452B58">
              <w:rPr>
                <w:rFonts w:eastAsia="Calibri" w:cs="Times New Roman"/>
                <w:kern w:val="0"/>
                <w:szCs w:val="22"/>
                <w:lang w:eastAsia="en-AU"/>
              </w:rPr>
              <w:t>Conspicuity</w:t>
            </w:r>
            <w:proofErr w:type="spellEnd"/>
            <w:r w:rsidRPr="00452B58">
              <w:rPr>
                <w:rFonts w:eastAsia="Calibri" w:cs="Times New Roman"/>
                <w:kern w:val="0"/>
                <w:szCs w:val="22"/>
                <w:lang w:eastAsia="en-AU"/>
              </w:rPr>
              <w:t xml:space="preserve"> markings</w:t>
            </w:r>
          </w:p>
        </w:tc>
        <w:tc>
          <w:tcPr>
            <w:tcW w:w="1276" w:type="dxa"/>
            <w:noWrap/>
            <w:hideMark/>
          </w:tcPr>
          <w:p w14:paraId="18ED87F5"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851" w:type="dxa"/>
            <w:noWrap/>
            <w:hideMark/>
          </w:tcPr>
          <w:p w14:paraId="6B8577A6"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14:paraId="7A4C1D9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14:paraId="5518985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2B9994D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0D00477A" w14:textId="77777777" w:rsidTr="00452B58">
        <w:trPr>
          <w:trHeight w:val="300"/>
        </w:trPr>
        <w:tc>
          <w:tcPr>
            <w:tcW w:w="3397" w:type="dxa"/>
            <w:vMerge/>
            <w:hideMark/>
          </w:tcPr>
          <w:p w14:paraId="23F25A42"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237D5D4F"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Cross traffic</w:t>
            </w:r>
          </w:p>
        </w:tc>
        <w:tc>
          <w:tcPr>
            <w:tcW w:w="851" w:type="dxa"/>
            <w:noWrap/>
            <w:hideMark/>
          </w:tcPr>
          <w:p w14:paraId="1B71768B"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14:paraId="6ADD79F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14:paraId="4D9D509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2729E343"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14:paraId="624C83AE" w14:textId="77777777" w:rsidTr="00452B58">
        <w:trPr>
          <w:trHeight w:val="300"/>
        </w:trPr>
        <w:tc>
          <w:tcPr>
            <w:tcW w:w="3397" w:type="dxa"/>
            <w:vMerge/>
            <w:hideMark/>
          </w:tcPr>
          <w:p w14:paraId="5EC2C765" w14:textId="77777777"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14:paraId="716850B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through</w:t>
            </w:r>
          </w:p>
        </w:tc>
        <w:tc>
          <w:tcPr>
            <w:tcW w:w="851" w:type="dxa"/>
            <w:noWrap/>
            <w:hideMark/>
          </w:tcPr>
          <w:p w14:paraId="49EE8E2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14:paraId="5FD0FF4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14:paraId="6FDE4A1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14:paraId="3DCC51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bl>
    <w:p w14:paraId="2C648EC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8C5C5E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apply the above crash reduction factors to all crashes, they are weighed by the proportion of the crash types they apply to as listed in Table E.4. The results are shown in Table E.6 to determine crash modification factors (CMF = 1- CRF).</w:t>
      </w:r>
    </w:p>
    <w:p w14:paraId="4645FA72" w14:textId="3ABB9005"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Literature-based crash modification factors </w:t>
      </w:r>
    </w:p>
    <w:tbl>
      <w:tblPr>
        <w:tblStyle w:val="ARRBTableStyle"/>
        <w:tblW w:w="9214" w:type="dxa"/>
        <w:tblLook w:val="04A0" w:firstRow="1" w:lastRow="0" w:firstColumn="1" w:lastColumn="0" w:noHBand="0" w:noVBand="1"/>
      </w:tblPr>
      <w:tblGrid>
        <w:gridCol w:w="4180"/>
        <w:gridCol w:w="2057"/>
        <w:gridCol w:w="2977"/>
      </w:tblGrid>
      <w:tr w:rsidR="00452B58" w:rsidRPr="00452B58" w14:paraId="6446D39A" w14:textId="77777777" w:rsidTr="00452B58">
        <w:trPr>
          <w:cnfStyle w:val="100000000000" w:firstRow="1" w:lastRow="0" w:firstColumn="0" w:lastColumn="0" w:oddVBand="0" w:evenVBand="0" w:oddHBand="0" w:evenHBand="0" w:firstRowFirstColumn="0" w:firstRowLastColumn="0" w:lastRowFirstColumn="0" w:lastRowLastColumn="0"/>
          <w:trHeight w:val="300"/>
        </w:trPr>
        <w:tc>
          <w:tcPr>
            <w:tcW w:w="4180" w:type="dxa"/>
            <w:noWrap/>
            <w:hideMark/>
          </w:tcPr>
          <w:p w14:paraId="05A5C4DB" w14:textId="77777777"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Safety feature</w:t>
            </w:r>
          </w:p>
        </w:tc>
        <w:tc>
          <w:tcPr>
            <w:tcW w:w="2057" w:type="dxa"/>
            <w:noWrap/>
            <w:hideMark/>
          </w:tcPr>
          <w:p w14:paraId="437DA614"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CRF</w:t>
            </w:r>
          </w:p>
        </w:tc>
        <w:tc>
          <w:tcPr>
            <w:tcW w:w="2977" w:type="dxa"/>
            <w:noWrap/>
            <w:hideMark/>
          </w:tcPr>
          <w:p w14:paraId="465920A9" w14:textId="77777777"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CMF</w:t>
            </w:r>
          </w:p>
        </w:tc>
      </w:tr>
      <w:tr w:rsidR="00452B58" w:rsidRPr="00452B58" w14:paraId="139C830D" w14:textId="77777777" w:rsidTr="00452B58">
        <w:trPr>
          <w:trHeight w:val="300"/>
        </w:trPr>
        <w:tc>
          <w:tcPr>
            <w:tcW w:w="4180" w:type="dxa"/>
            <w:noWrap/>
            <w:hideMark/>
          </w:tcPr>
          <w:p w14:paraId="0C309D7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Lane departure warning</w:t>
            </w:r>
          </w:p>
        </w:tc>
        <w:tc>
          <w:tcPr>
            <w:tcW w:w="2057" w:type="dxa"/>
            <w:noWrap/>
            <w:hideMark/>
          </w:tcPr>
          <w:p w14:paraId="401625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15.44%</w:t>
            </w:r>
          </w:p>
        </w:tc>
        <w:tc>
          <w:tcPr>
            <w:tcW w:w="2977" w:type="dxa"/>
            <w:noWrap/>
            <w:hideMark/>
          </w:tcPr>
          <w:p w14:paraId="2CB0BF0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84.6%</w:t>
            </w:r>
          </w:p>
        </w:tc>
      </w:tr>
      <w:tr w:rsidR="00452B58" w:rsidRPr="00452B58" w14:paraId="707683B6" w14:textId="77777777" w:rsidTr="00452B58">
        <w:trPr>
          <w:trHeight w:val="300"/>
        </w:trPr>
        <w:tc>
          <w:tcPr>
            <w:tcW w:w="4180" w:type="dxa"/>
            <w:noWrap/>
            <w:hideMark/>
          </w:tcPr>
          <w:p w14:paraId="765C3C99"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Autonomous emergency braking system</w:t>
            </w:r>
          </w:p>
        </w:tc>
        <w:tc>
          <w:tcPr>
            <w:tcW w:w="2057" w:type="dxa"/>
            <w:noWrap/>
            <w:hideMark/>
          </w:tcPr>
          <w:p w14:paraId="4B8DA03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2.79%</w:t>
            </w:r>
          </w:p>
        </w:tc>
        <w:tc>
          <w:tcPr>
            <w:tcW w:w="2977" w:type="dxa"/>
            <w:noWrap/>
            <w:hideMark/>
          </w:tcPr>
          <w:p w14:paraId="1348F1F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97.2%</w:t>
            </w:r>
          </w:p>
        </w:tc>
      </w:tr>
      <w:tr w:rsidR="00452B58" w:rsidRPr="00452B58" w14:paraId="717977E8" w14:textId="77777777" w:rsidTr="00452B58">
        <w:trPr>
          <w:trHeight w:val="300"/>
        </w:trPr>
        <w:tc>
          <w:tcPr>
            <w:tcW w:w="4180" w:type="dxa"/>
            <w:noWrap/>
            <w:hideMark/>
          </w:tcPr>
          <w:p w14:paraId="0DA7E32B"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Commercial braking systems (ESC, RSC, ABS)</w:t>
            </w:r>
          </w:p>
        </w:tc>
        <w:tc>
          <w:tcPr>
            <w:tcW w:w="2057" w:type="dxa"/>
            <w:noWrap/>
            <w:hideMark/>
          </w:tcPr>
          <w:p w14:paraId="7CC29A7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4.23%</w:t>
            </w:r>
          </w:p>
        </w:tc>
        <w:tc>
          <w:tcPr>
            <w:tcW w:w="2977" w:type="dxa"/>
            <w:noWrap/>
            <w:hideMark/>
          </w:tcPr>
          <w:p w14:paraId="50ABFF99"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95.8%</w:t>
            </w:r>
          </w:p>
        </w:tc>
      </w:tr>
      <w:tr w:rsidR="00452B58" w:rsidRPr="00452B58" w14:paraId="4769E712" w14:textId="77777777" w:rsidTr="00452B58">
        <w:trPr>
          <w:trHeight w:val="300"/>
        </w:trPr>
        <w:tc>
          <w:tcPr>
            <w:tcW w:w="4180" w:type="dxa"/>
            <w:noWrap/>
            <w:hideMark/>
          </w:tcPr>
          <w:p w14:paraId="5BF9EBA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Devices for indirect vision</w:t>
            </w:r>
          </w:p>
        </w:tc>
        <w:tc>
          <w:tcPr>
            <w:tcW w:w="2057" w:type="dxa"/>
            <w:noWrap/>
            <w:hideMark/>
          </w:tcPr>
          <w:p w14:paraId="1DD14C2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0.57%</w:t>
            </w:r>
          </w:p>
        </w:tc>
        <w:tc>
          <w:tcPr>
            <w:tcW w:w="2977" w:type="dxa"/>
            <w:noWrap/>
            <w:hideMark/>
          </w:tcPr>
          <w:p w14:paraId="0162D3F4"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99.4%</w:t>
            </w:r>
          </w:p>
        </w:tc>
      </w:tr>
      <w:tr w:rsidR="00452B58" w:rsidRPr="00452B58" w14:paraId="504E2F89" w14:textId="77777777" w:rsidTr="00452B58">
        <w:trPr>
          <w:trHeight w:val="300"/>
        </w:trPr>
        <w:tc>
          <w:tcPr>
            <w:tcW w:w="4180" w:type="dxa"/>
            <w:noWrap/>
            <w:hideMark/>
          </w:tcPr>
          <w:p w14:paraId="44D2768E"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Blind spot information systems</w:t>
            </w:r>
          </w:p>
        </w:tc>
        <w:tc>
          <w:tcPr>
            <w:tcW w:w="2057" w:type="dxa"/>
            <w:noWrap/>
            <w:hideMark/>
          </w:tcPr>
          <w:p w14:paraId="591B02CC"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0.64%</w:t>
            </w:r>
          </w:p>
        </w:tc>
        <w:tc>
          <w:tcPr>
            <w:tcW w:w="2977" w:type="dxa"/>
            <w:noWrap/>
            <w:hideMark/>
          </w:tcPr>
          <w:p w14:paraId="7C472472"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99.4%</w:t>
            </w:r>
          </w:p>
        </w:tc>
      </w:tr>
      <w:tr w:rsidR="00452B58" w:rsidRPr="00452B58" w14:paraId="07DDF140" w14:textId="77777777" w:rsidTr="00452B58">
        <w:trPr>
          <w:trHeight w:val="300"/>
        </w:trPr>
        <w:tc>
          <w:tcPr>
            <w:tcW w:w="4180" w:type="dxa"/>
            <w:noWrap/>
            <w:hideMark/>
          </w:tcPr>
          <w:p w14:paraId="62827A00" w14:textId="77777777"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underrun protection</w:t>
            </w:r>
          </w:p>
        </w:tc>
        <w:tc>
          <w:tcPr>
            <w:tcW w:w="2057" w:type="dxa"/>
            <w:noWrap/>
            <w:hideMark/>
          </w:tcPr>
          <w:p w14:paraId="428F4D08"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0.43%</w:t>
            </w:r>
          </w:p>
        </w:tc>
        <w:tc>
          <w:tcPr>
            <w:tcW w:w="2977" w:type="dxa"/>
            <w:noWrap/>
            <w:hideMark/>
          </w:tcPr>
          <w:p w14:paraId="0E8B0F7D"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99.6%</w:t>
            </w:r>
          </w:p>
        </w:tc>
      </w:tr>
      <w:tr w:rsidR="00452B58" w:rsidRPr="00452B58" w14:paraId="170884AB" w14:textId="77777777" w:rsidTr="00452B58">
        <w:trPr>
          <w:trHeight w:val="300"/>
        </w:trPr>
        <w:tc>
          <w:tcPr>
            <w:tcW w:w="4180" w:type="dxa"/>
            <w:noWrap/>
            <w:hideMark/>
          </w:tcPr>
          <w:p w14:paraId="687CD89F" w14:textId="77777777" w:rsidR="00452B58" w:rsidRPr="00452B58" w:rsidRDefault="00452B58" w:rsidP="00452B58">
            <w:pPr>
              <w:keepNext/>
              <w:suppressAutoHyphens w:val="0"/>
              <w:spacing w:before="40" w:after="40"/>
              <w:rPr>
                <w:rFonts w:eastAsia="Calibri" w:cs="Times New Roman"/>
                <w:kern w:val="0"/>
                <w:szCs w:val="22"/>
                <w:lang w:eastAsia="en-AU"/>
              </w:rPr>
            </w:pPr>
            <w:proofErr w:type="spellStart"/>
            <w:r w:rsidRPr="00452B58">
              <w:rPr>
                <w:rFonts w:eastAsia="Calibri" w:cs="Times New Roman"/>
                <w:kern w:val="0"/>
                <w:szCs w:val="22"/>
                <w:lang w:eastAsia="en-AU"/>
              </w:rPr>
              <w:t>Conspicuity</w:t>
            </w:r>
            <w:proofErr w:type="spellEnd"/>
            <w:r w:rsidRPr="00452B58">
              <w:rPr>
                <w:rFonts w:eastAsia="Calibri" w:cs="Times New Roman"/>
                <w:kern w:val="0"/>
                <w:szCs w:val="22"/>
                <w:lang w:eastAsia="en-AU"/>
              </w:rPr>
              <w:t xml:space="preserve"> markings</w:t>
            </w:r>
          </w:p>
        </w:tc>
        <w:tc>
          <w:tcPr>
            <w:tcW w:w="2057" w:type="dxa"/>
            <w:noWrap/>
            <w:hideMark/>
          </w:tcPr>
          <w:p w14:paraId="188F4AB1"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2.17%</w:t>
            </w:r>
          </w:p>
        </w:tc>
        <w:tc>
          <w:tcPr>
            <w:tcW w:w="2977" w:type="dxa"/>
            <w:noWrap/>
            <w:hideMark/>
          </w:tcPr>
          <w:p w14:paraId="4C31369A" w14:textId="77777777"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97.8%</w:t>
            </w:r>
          </w:p>
        </w:tc>
      </w:tr>
    </w:tbl>
    <w:p w14:paraId="3CD65BF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693671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bookmarkStart w:id="338" w:name="_Hlk137195436"/>
      <w:r w:rsidRPr="00452B58">
        <w:rPr>
          <w:rFonts w:ascii="Calibri" w:eastAsia="Calibri" w:hAnsi="Calibri" w:cs="Calibri"/>
          <w:color w:val="auto"/>
          <w:kern w:val="0"/>
          <w:sz w:val="22"/>
          <w:szCs w:val="22"/>
        </w:rPr>
        <w:t xml:space="preserve">Some </w:t>
      </w:r>
      <w:bookmarkEnd w:id="338"/>
      <w:r w:rsidRPr="00452B58">
        <w:rPr>
          <w:rFonts w:ascii="Calibri" w:eastAsia="Calibri" w:hAnsi="Calibri" w:cs="Calibri"/>
          <w:color w:val="auto"/>
          <w:kern w:val="0"/>
          <w:sz w:val="22"/>
          <w:szCs w:val="22"/>
        </w:rPr>
        <w:t xml:space="preserve">of these (LDW, </w:t>
      </w:r>
      <w:bookmarkStart w:id="339" w:name="_Hlk137195407"/>
      <w:r w:rsidRPr="00452B58">
        <w:rPr>
          <w:rFonts w:ascii="Calibri" w:eastAsia="Calibri" w:hAnsi="Calibri" w:cs="Calibri"/>
          <w:color w:val="auto"/>
          <w:kern w:val="0"/>
          <w:sz w:val="22"/>
          <w:szCs w:val="22"/>
        </w:rPr>
        <w:t xml:space="preserve">AEB </w:t>
      </w:r>
      <w:bookmarkEnd w:id="339"/>
      <w:r w:rsidRPr="00452B58">
        <w:rPr>
          <w:rFonts w:ascii="Calibri" w:eastAsia="Calibri" w:hAnsi="Calibri" w:cs="Calibri"/>
          <w:color w:val="auto"/>
          <w:kern w:val="0"/>
          <w:sz w:val="22"/>
          <w:szCs w:val="22"/>
        </w:rPr>
        <w:t>and CBS) were modified for the analysis to align with CMFs used by the Department in previous regulatory impact statements. The final CMFs used in the analysis are listed in Table E.7.</w:t>
      </w:r>
    </w:p>
    <w:p w14:paraId="5FE63B43" w14:textId="65037B7C"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t>7</w:t>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Conservative crash modification factors used in the analysis</w:t>
      </w:r>
    </w:p>
    <w:tbl>
      <w:tblPr>
        <w:tblStyle w:val="ARRBTableStyle"/>
        <w:tblW w:w="9356" w:type="dxa"/>
        <w:tblLook w:val="04A0" w:firstRow="1" w:lastRow="0" w:firstColumn="1" w:lastColumn="0" w:noHBand="0" w:noVBand="1"/>
      </w:tblPr>
      <w:tblGrid>
        <w:gridCol w:w="4111"/>
        <w:gridCol w:w="2126"/>
        <w:gridCol w:w="3119"/>
      </w:tblGrid>
      <w:tr w:rsidR="00452B58" w:rsidRPr="00452B58" w14:paraId="7BF5B033" w14:textId="77777777" w:rsidTr="00452B58">
        <w:trPr>
          <w:cnfStyle w:val="100000000000" w:firstRow="1" w:lastRow="0" w:firstColumn="0" w:lastColumn="0" w:oddVBand="0" w:evenVBand="0" w:oddHBand="0" w:evenHBand="0" w:firstRowFirstColumn="0" w:firstRowLastColumn="0" w:lastRowFirstColumn="0" w:lastRowLastColumn="0"/>
        </w:trPr>
        <w:tc>
          <w:tcPr>
            <w:tcW w:w="4111" w:type="dxa"/>
            <w:vMerge w:val="restart"/>
            <w:tcBorders>
              <w:right w:val="single" w:sz="8" w:space="0" w:color="FFFFFF"/>
            </w:tcBorders>
          </w:tcPr>
          <w:p w14:paraId="1E7C60BE" w14:textId="77777777" w:rsidR="00452B58" w:rsidRPr="00452B58" w:rsidRDefault="00452B58" w:rsidP="00452B58">
            <w:pPr>
              <w:keepNext/>
              <w:suppressAutoHyphens w:val="0"/>
              <w:spacing w:before="40" w:after="40"/>
              <w:rPr>
                <w:rFonts w:eastAsia="Calibri"/>
                <w:kern w:val="0"/>
                <w:szCs w:val="22"/>
              </w:rPr>
            </w:pPr>
            <w:bookmarkStart w:id="340" w:name="_Hlk137195106"/>
            <w:r w:rsidRPr="00452B58">
              <w:rPr>
                <w:rFonts w:eastAsia="Calibri"/>
                <w:kern w:val="0"/>
                <w:szCs w:val="22"/>
              </w:rPr>
              <w:t>Safety feature</w:t>
            </w:r>
          </w:p>
        </w:tc>
        <w:tc>
          <w:tcPr>
            <w:tcW w:w="5245" w:type="dxa"/>
            <w:gridSpan w:val="2"/>
            <w:tcBorders>
              <w:left w:val="single" w:sz="8" w:space="0" w:color="FFFFFF"/>
              <w:bottom w:val="single" w:sz="8" w:space="0" w:color="FFFFFF"/>
            </w:tcBorders>
          </w:tcPr>
          <w:p w14:paraId="249825FA" w14:textId="77777777"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Heavy vehicles and trailers</w:t>
            </w:r>
          </w:p>
        </w:tc>
      </w:tr>
      <w:tr w:rsidR="00452B58" w:rsidRPr="00452B58" w14:paraId="7C64CD95" w14:textId="77777777" w:rsidTr="00452B58">
        <w:tc>
          <w:tcPr>
            <w:tcW w:w="4111" w:type="dxa"/>
            <w:vMerge/>
            <w:tcBorders>
              <w:right w:val="single" w:sz="8" w:space="0" w:color="FFFFFF"/>
            </w:tcBorders>
          </w:tcPr>
          <w:p w14:paraId="1B758034" w14:textId="77777777" w:rsidR="00452B58" w:rsidRPr="00452B58" w:rsidRDefault="00452B58" w:rsidP="00452B58">
            <w:pPr>
              <w:keepNext/>
              <w:suppressAutoHyphens w:val="0"/>
              <w:spacing w:before="40" w:after="40"/>
              <w:rPr>
                <w:rFonts w:eastAsia="Calibri" w:cs="Times New Roman"/>
                <w:color w:val="FFFFFF"/>
                <w:kern w:val="0"/>
                <w:szCs w:val="22"/>
              </w:rPr>
            </w:pPr>
          </w:p>
        </w:tc>
        <w:tc>
          <w:tcPr>
            <w:tcW w:w="2126" w:type="dxa"/>
            <w:tcBorders>
              <w:top w:val="single" w:sz="8" w:space="0" w:color="FFFFFF"/>
              <w:left w:val="single" w:sz="8" w:space="0" w:color="FFFFFF"/>
              <w:right w:val="single" w:sz="8" w:space="0" w:color="FFFFFF"/>
            </w:tcBorders>
            <w:shd w:val="clear" w:color="auto" w:fill="00A1DE"/>
          </w:tcPr>
          <w:p w14:paraId="05C3FF1F" w14:textId="77777777" w:rsidR="00452B58" w:rsidRPr="00452B58" w:rsidRDefault="00452B58" w:rsidP="00452B58">
            <w:pPr>
              <w:keepNext/>
              <w:suppressAutoHyphens w:val="0"/>
              <w:spacing w:before="40" w:after="40"/>
              <w:jc w:val="center"/>
              <w:rPr>
                <w:rFonts w:eastAsia="Calibri" w:cs="Times New Roman"/>
                <w:color w:val="FFFFFF"/>
                <w:kern w:val="0"/>
                <w:szCs w:val="22"/>
              </w:rPr>
            </w:pPr>
            <w:r w:rsidRPr="00452B58">
              <w:rPr>
                <w:rFonts w:eastAsia="Calibri" w:cs="Times New Roman"/>
                <w:color w:val="FFFFFF"/>
                <w:kern w:val="0"/>
                <w:szCs w:val="22"/>
              </w:rPr>
              <w:t>Fatality</w:t>
            </w:r>
          </w:p>
        </w:tc>
        <w:tc>
          <w:tcPr>
            <w:tcW w:w="3119" w:type="dxa"/>
            <w:tcBorders>
              <w:top w:val="single" w:sz="8" w:space="0" w:color="FFFFFF"/>
              <w:left w:val="single" w:sz="8" w:space="0" w:color="FFFFFF"/>
            </w:tcBorders>
            <w:shd w:val="clear" w:color="auto" w:fill="00A1DE"/>
          </w:tcPr>
          <w:p w14:paraId="4B1EEC87" w14:textId="77777777" w:rsidR="00452B58" w:rsidRPr="00452B58" w:rsidRDefault="00452B58" w:rsidP="00452B58">
            <w:pPr>
              <w:keepNext/>
              <w:suppressAutoHyphens w:val="0"/>
              <w:spacing w:before="40" w:after="40"/>
              <w:jc w:val="center"/>
              <w:rPr>
                <w:rFonts w:eastAsia="Calibri" w:cs="Times New Roman"/>
                <w:color w:val="FFFFFF"/>
                <w:kern w:val="0"/>
                <w:szCs w:val="22"/>
              </w:rPr>
            </w:pPr>
            <w:r w:rsidRPr="00452B58">
              <w:rPr>
                <w:rFonts w:eastAsia="Calibri" w:cs="Times New Roman"/>
                <w:color w:val="FFFFFF"/>
                <w:kern w:val="0"/>
                <w:szCs w:val="22"/>
              </w:rPr>
              <w:t>Serious injury</w:t>
            </w:r>
          </w:p>
        </w:tc>
      </w:tr>
      <w:tr w:rsidR="00452B58" w:rsidRPr="00452B58" w14:paraId="34D594C1" w14:textId="77777777" w:rsidTr="00452B58">
        <w:tc>
          <w:tcPr>
            <w:tcW w:w="4111" w:type="dxa"/>
          </w:tcPr>
          <w:p w14:paraId="422FC577"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p>
        </w:tc>
        <w:tc>
          <w:tcPr>
            <w:tcW w:w="2126" w:type="dxa"/>
          </w:tcPr>
          <w:p w14:paraId="3DB73548"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c>
          <w:tcPr>
            <w:tcW w:w="3119" w:type="dxa"/>
          </w:tcPr>
          <w:p w14:paraId="3883D6D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r>
      <w:tr w:rsidR="00452B58" w:rsidRPr="00452B58" w14:paraId="7C74DF39" w14:textId="77777777" w:rsidTr="00452B58">
        <w:tc>
          <w:tcPr>
            <w:tcW w:w="4111" w:type="dxa"/>
          </w:tcPr>
          <w:p w14:paraId="00B86EC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p>
        </w:tc>
        <w:tc>
          <w:tcPr>
            <w:tcW w:w="2126" w:type="dxa"/>
          </w:tcPr>
          <w:p w14:paraId="3E7DB642"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3119" w:type="dxa"/>
          </w:tcPr>
          <w:p w14:paraId="77C5DB2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656B5916" w14:textId="77777777" w:rsidTr="00452B58">
        <w:tc>
          <w:tcPr>
            <w:tcW w:w="4111" w:type="dxa"/>
          </w:tcPr>
          <w:p w14:paraId="2AA48452"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p>
        </w:tc>
        <w:tc>
          <w:tcPr>
            <w:tcW w:w="2126" w:type="dxa"/>
          </w:tcPr>
          <w:p w14:paraId="047505F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3119" w:type="dxa"/>
          </w:tcPr>
          <w:p w14:paraId="1871EBA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14:paraId="59F90284" w14:textId="77777777" w:rsidTr="00452B58">
        <w:tc>
          <w:tcPr>
            <w:tcW w:w="4111" w:type="dxa"/>
          </w:tcPr>
          <w:p w14:paraId="624589E4"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p>
        </w:tc>
        <w:tc>
          <w:tcPr>
            <w:tcW w:w="2126" w:type="dxa"/>
          </w:tcPr>
          <w:p w14:paraId="20C7D50F"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3119" w:type="dxa"/>
          </w:tcPr>
          <w:p w14:paraId="2D45632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5159C16C" w14:textId="77777777" w:rsidTr="00452B58">
        <w:tc>
          <w:tcPr>
            <w:tcW w:w="4111" w:type="dxa"/>
          </w:tcPr>
          <w:p w14:paraId="40E262C3"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p>
        </w:tc>
        <w:tc>
          <w:tcPr>
            <w:tcW w:w="2126" w:type="dxa"/>
          </w:tcPr>
          <w:p w14:paraId="47F3A064"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3119" w:type="dxa"/>
          </w:tcPr>
          <w:p w14:paraId="685CF617"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14:paraId="340A0BC7" w14:textId="77777777" w:rsidTr="00452B58">
        <w:tc>
          <w:tcPr>
            <w:tcW w:w="4111" w:type="dxa"/>
          </w:tcPr>
          <w:p w14:paraId="7B5E29BE" w14:textId="77777777"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Side underrun protection </w:t>
            </w:r>
          </w:p>
        </w:tc>
        <w:tc>
          <w:tcPr>
            <w:tcW w:w="2126" w:type="dxa"/>
          </w:tcPr>
          <w:p w14:paraId="6674523C"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98.6%</w:t>
            </w:r>
          </w:p>
        </w:tc>
        <w:tc>
          <w:tcPr>
            <w:tcW w:w="3119" w:type="dxa"/>
          </w:tcPr>
          <w:p w14:paraId="1783BD83"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99.9%</w:t>
            </w:r>
          </w:p>
        </w:tc>
      </w:tr>
      <w:tr w:rsidR="00452B58" w:rsidRPr="00452B58" w14:paraId="414F9191" w14:textId="77777777" w:rsidTr="00452B58">
        <w:tc>
          <w:tcPr>
            <w:tcW w:w="4111" w:type="dxa"/>
          </w:tcPr>
          <w:p w14:paraId="0072AC2F" w14:textId="77777777" w:rsidR="00452B58" w:rsidRPr="00452B58" w:rsidRDefault="00452B58" w:rsidP="00452B58">
            <w:pPr>
              <w:keepNext/>
              <w:suppressAutoHyphens w:val="0"/>
              <w:spacing w:before="40" w:after="40"/>
              <w:rPr>
                <w:rFonts w:eastAsia="Calibri" w:cs="Times New Roman"/>
                <w:kern w:val="0"/>
                <w:szCs w:val="22"/>
              </w:rPr>
            </w:pPr>
            <w:proofErr w:type="spellStart"/>
            <w:r w:rsidRPr="00452B58">
              <w:rPr>
                <w:rFonts w:eastAsia="Calibri" w:cs="Times New Roman"/>
                <w:kern w:val="0"/>
                <w:szCs w:val="22"/>
              </w:rPr>
              <w:t>Conspicuity</w:t>
            </w:r>
            <w:proofErr w:type="spellEnd"/>
            <w:r w:rsidRPr="00452B58">
              <w:rPr>
                <w:rFonts w:eastAsia="Calibri" w:cs="Times New Roman"/>
                <w:kern w:val="0"/>
                <w:szCs w:val="22"/>
              </w:rPr>
              <w:t xml:space="preserve"> markings</w:t>
            </w:r>
          </w:p>
        </w:tc>
        <w:tc>
          <w:tcPr>
            <w:tcW w:w="2126" w:type="dxa"/>
          </w:tcPr>
          <w:p w14:paraId="4A444736"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p>
        </w:tc>
        <w:tc>
          <w:tcPr>
            <w:tcW w:w="3119" w:type="dxa"/>
          </w:tcPr>
          <w:p w14:paraId="386CCF0A" w14:textId="77777777"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p>
        </w:tc>
      </w:tr>
    </w:tbl>
    <w:p w14:paraId="249046D6" w14:textId="77777777" w:rsidR="00452B58" w:rsidRPr="00452B58" w:rsidRDefault="00452B58" w:rsidP="00452B58">
      <w:pPr>
        <w:suppressAutoHyphens w:val="0"/>
        <w:spacing w:before="120" w:after="60" w:line="288" w:lineRule="auto"/>
        <w:rPr>
          <w:rFonts w:ascii="Calibri" w:eastAsia="Calibri" w:hAnsi="Calibri" w:cs="Times New Roman"/>
          <w:color w:val="auto"/>
          <w:kern w:val="0"/>
          <w:sz w:val="22"/>
          <w:szCs w:val="22"/>
        </w:rPr>
      </w:pPr>
      <w:r w:rsidRPr="00452B58">
        <w:rPr>
          <w:rFonts w:ascii="Calibri" w:eastAsia="Calibri" w:hAnsi="Calibri" w:cs="Times New Roman"/>
          <w:color w:val="auto"/>
          <w:kern w:val="0"/>
          <w:sz w:val="22"/>
          <w:szCs w:val="22"/>
        </w:rPr>
        <w:br w:type="page"/>
      </w:r>
    </w:p>
    <w:p w14:paraId="4DFA4D71" w14:textId="77777777" w:rsidR="00452B58" w:rsidRPr="00452B58" w:rsidRDefault="00452B58" w:rsidP="00F2517A">
      <w:pPr>
        <w:pStyle w:val="ARRBBaseHeadingApp"/>
      </w:pPr>
      <w:bookmarkStart w:id="341" w:name="_Toc137731696"/>
      <w:bookmarkEnd w:id="340"/>
      <w:r w:rsidRPr="00452B58">
        <w:t>BCA Model Data Sources</w:t>
      </w:r>
      <w:bookmarkEnd w:id="341"/>
    </w:p>
    <w:p w14:paraId="1679CFC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additional references listed below were used in the modelling supporting the analysis.</w:t>
      </w:r>
    </w:p>
    <w:p w14:paraId="5A23E193"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ATA 2016, ‘Stability control the key to improving truck safety’, media release, 22 September 2016, Australian Trucking Association, accessed 27 June 2022, &lt;https://www.truck.net.au/media/media-releases/stability-control-key-improving-truck-safety/&gt;.</w:t>
      </w:r>
    </w:p>
    <w:p w14:paraId="2D91A2A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Blower, D 2007, </w:t>
      </w:r>
      <w:r w:rsidRPr="00452B58">
        <w:rPr>
          <w:rFonts w:ascii="Calibri" w:eastAsia="Calibri" w:hAnsi="Calibri" w:cs="Calibri"/>
          <w:i/>
          <w:iCs/>
          <w:color w:val="auto"/>
          <w:kern w:val="0"/>
          <w:sz w:val="22"/>
          <w:szCs w:val="22"/>
        </w:rPr>
        <w:t xml:space="preserve">Truck mirrors, field of view, and serious truck crashes, </w:t>
      </w:r>
      <w:r w:rsidRPr="00452B58">
        <w:rPr>
          <w:rFonts w:ascii="Calibri" w:eastAsia="Calibri" w:hAnsi="Calibri" w:cs="Calibri"/>
          <w:color w:val="auto"/>
          <w:kern w:val="0"/>
          <w:sz w:val="22"/>
          <w:szCs w:val="22"/>
        </w:rPr>
        <w:t>UMTRI-2007-25, University of Michigan Transportation Research Institute, Ann Arbor, MI, USA.</w:t>
      </w:r>
    </w:p>
    <w:p w14:paraId="471A1A91"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Budd, L &amp; Newstead, S 2014, </w:t>
      </w:r>
      <w:r w:rsidRPr="00452B58">
        <w:rPr>
          <w:rFonts w:ascii="Calibri" w:eastAsia="Calibri" w:hAnsi="Calibri" w:cs="Calibri"/>
          <w:i/>
          <w:iCs/>
          <w:color w:val="auto"/>
          <w:kern w:val="0"/>
          <w:sz w:val="22"/>
          <w:szCs w:val="22"/>
        </w:rPr>
        <w:t>Potential safety benefits of emerging crash avoidance technologies in Australasian heavy vehicles,</w:t>
      </w:r>
      <w:r w:rsidRPr="00452B58">
        <w:rPr>
          <w:rFonts w:ascii="Calibri" w:eastAsia="Calibri" w:hAnsi="Calibri" w:cs="Calibri"/>
          <w:color w:val="auto"/>
          <w:kern w:val="0"/>
          <w:sz w:val="22"/>
          <w:szCs w:val="22"/>
        </w:rPr>
        <w:t xml:space="preserve"> report no. 324, MUARC, Monash University, Clayton, Vic, accessed 29 June 2022, &lt;https://www.monash.edu/__data/assets/pdf_file/0003/216489/ Potential-Safety-Benefits-of-Emerging-Crash-Avoidance-Technologies-in-Australasian-Heavy-Vehicles.pdf&gt;. </w:t>
      </w:r>
    </w:p>
    <w:p w14:paraId="4F79F91A"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Budd, L, Newstead, S &amp; Watson, L 2021, </w:t>
      </w:r>
      <w:r w:rsidRPr="00452B58">
        <w:rPr>
          <w:rFonts w:ascii="Calibri" w:eastAsia="Calibri" w:hAnsi="Calibri" w:cs="Calibri"/>
          <w:i/>
          <w:iCs/>
          <w:color w:val="auto"/>
          <w:kern w:val="0"/>
          <w:sz w:val="22"/>
          <w:szCs w:val="22"/>
        </w:rPr>
        <w:t>An analysis of heavy vehicle safety performance in Australia</w:t>
      </w:r>
      <w:r w:rsidRPr="00452B58">
        <w:rPr>
          <w:rFonts w:ascii="Calibri" w:eastAsia="Calibri" w:hAnsi="Calibri" w:cs="Calibri"/>
          <w:color w:val="auto"/>
          <w:kern w:val="0"/>
          <w:sz w:val="22"/>
          <w:szCs w:val="22"/>
        </w:rPr>
        <w:t>, report no. 354, MUARC, Monash University, Clayton, Vic, accessed 29 June 2022, &lt;https://www.monash.edu/__data/assets/pdf_file/0008/2575601/VSRG-Analysis-of-Heavy-vehicle-Safety-in-Australia-MUARC-Report-354.pdf&gt;.</w:t>
      </w:r>
    </w:p>
    <w:p w14:paraId="15563EC7"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Lambert, J &amp; </w:t>
      </w:r>
      <w:proofErr w:type="spellStart"/>
      <w:r w:rsidRPr="00452B58">
        <w:rPr>
          <w:rFonts w:ascii="Calibri" w:eastAsia="Calibri" w:hAnsi="Calibri" w:cs="Calibri"/>
          <w:color w:val="auto"/>
          <w:kern w:val="0"/>
          <w:sz w:val="22"/>
          <w:szCs w:val="22"/>
        </w:rPr>
        <w:t>Rechnitzer</w:t>
      </w:r>
      <w:proofErr w:type="spellEnd"/>
      <w:r w:rsidRPr="00452B58">
        <w:rPr>
          <w:rFonts w:ascii="Calibri" w:eastAsia="Calibri" w:hAnsi="Calibri" w:cs="Calibri"/>
          <w:color w:val="auto"/>
          <w:kern w:val="0"/>
          <w:sz w:val="22"/>
          <w:szCs w:val="22"/>
        </w:rPr>
        <w:t xml:space="preserve">, G 2002, </w:t>
      </w:r>
      <w:r w:rsidRPr="00452B58">
        <w:rPr>
          <w:rFonts w:ascii="Calibri" w:eastAsia="Calibri" w:hAnsi="Calibri" w:cs="Calibri"/>
          <w:i/>
          <w:iCs/>
          <w:color w:val="auto"/>
          <w:kern w:val="0"/>
          <w:sz w:val="22"/>
          <w:szCs w:val="22"/>
        </w:rPr>
        <w:t>Review of truck safety: stage 1: frontal, side and rear underrun protection,</w:t>
      </w:r>
      <w:r w:rsidRPr="00452B58">
        <w:rPr>
          <w:rFonts w:ascii="Calibri" w:eastAsia="Calibri" w:hAnsi="Calibri" w:cs="Calibri"/>
          <w:color w:val="auto"/>
          <w:kern w:val="0"/>
          <w:sz w:val="22"/>
          <w:szCs w:val="22"/>
        </w:rPr>
        <w:t xml:space="preserve"> report no. 194, MUARC, Monash University, Clayton, Vic, accessed 29 June 2022, &lt;https://www.monash.edu/__data/assets/pdf_file/0017/217124/Review-of-truck-safety-stage-1-frontal,-side-and-rear-underrun-protection&gt;.</w:t>
      </w:r>
    </w:p>
    <w:p w14:paraId="28B31416" w14:textId="77777777"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NHVR 2022, </w:t>
      </w:r>
      <w:r w:rsidRPr="00452B58">
        <w:rPr>
          <w:rFonts w:ascii="Calibri" w:eastAsia="Calibri" w:hAnsi="Calibri" w:cs="Calibri"/>
          <w:i/>
          <w:iCs/>
          <w:color w:val="auto"/>
          <w:kern w:val="0"/>
          <w:sz w:val="22"/>
          <w:szCs w:val="22"/>
        </w:rPr>
        <w:t>National roadworthiness baseline survey</w:t>
      </w:r>
      <w:r w:rsidRPr="00452B58">
        <w:rPr>
          <w:rFonts w:ascii="Calibri" w:eastAsia="Calibri" w:hAnsi="Calibri" w:cs="Calibri"/>
          <w:color w:val="auto"/>
          <w:kern w:val="0"/>
          <w:sz w:val="22"/>
          <w:szCs w:val="22"/>
        </w:rPr>
        <w:t>, National Heavy Vehicle Regulator website, Newstead, Qld, accessed 29 June 2022, &lt;https://www.nhvr.gov.au/safety-accreditation-compliance/vehicle-standards-and-modifications/roadworthiness-program/national-roadworthiness-baseline-survey&gt;.</w:t>
      </w:r>
    </w:p>
    <w:p w14:paraId="605424F4"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88"/>
          <w:pgSz w:w="11906" w:h="16838" w:code="9"/>
          <w:pgMar w:top="1134" w:right="1134" w:bottom="1134" w:left="1134" w:header="680" w:footer="284" w:gutter="0"/>
          <w:cols w:space="282"/>
          <w:docGrid w:linePitch="360"/>
        </w:sectPr>
      </w:pPr>
    </w:p>
    <w:p w14:paraId="171A8F9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bookmarkEnd w:id="320" w:displacedByCustomXml="next"/>
    <w:sdt>
      <w:sdtPr>
        <w:rPr>
          <w:rFonts w:ascii="Calibri" w:eastAsia="SimSun" w:hAnsi="Calibri" w:cs="Times New Roman"/>
          <w:color w:val="3572BB"/>
          <w:kern w:val="0"/>
          <w:sz w:val="22"/>
          <w:szCs w:val="22"/>
          <w:lang w:eastAsia="zh-TW"/>
        </w:rPr>
        <w:alias w:val="Locked Back Page"/>
        <w:tag w:val="Locked Back Page"/>
        <w:id w:val="1819306739"/>
        <w:placeholder>
          <w:docPart w:val="C1C00120311141709E08A47DDA35A198"/>
        </w:placeholder>
      </w:sdtPr>
      <w:sdtEndPr>
        <w:rPr>
          <w:rFonts w:eastAsia="Calibri" w:cs="Calibri"/>
          <w:color w:val="auto"/>
          <w:lang w:eastAsia="en-US"/>
        </w:rPr>
      </w:sdtEndPr>
      <w:sdtContent>
        <w:tbl>
          <w:tblPr>
            <w:tblW w:w="0" w:type="auto"/>
            <w:tblLook w:val="04A0" w:firstRow="1" w:lastRow="0" w:firstColumn="1" w:lastColumn="0" w:noHBand="0" w:noVBand="1"/>
          </w:tblPr>
          <w:tblGrid>
            <w:gridCol w:w="4535"/>
          </w:tblGrid>
          <w:tr w:rsidR="00452B58" w:rsidRPr="00452B58" w14:paraId="047DF986" w14:textId="77777777" w:rsidTr="00452B58">
            <w:tc>
              <w:tcPr>
                <w:tcW w:w="4535" w:type="dxa"/>
              </w:tcPr>
              <w:p w14:paraId="710268DE"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 xml:space="preserve">      </w:t>
                </w:r>
              </w:p>
            </w:tc>
          </w:tr>
        </w:tbl>
        <w:p w14:paraId="6FDA3A4E" w14:textId="0217FC85"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65A9902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50BF18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63D74DA"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1EB89A8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B0BE90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2F7AB2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26DC970"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8D5B876"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3A12717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098B48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D52A35E"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56521E98"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276C9811"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0C129EC5"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41618FD5" w14:textId="77777777" w:rsidR="00452B58" w:rsidRPr="00452B58" w:rsidRDefault="00AB344F" w:rsidP="00452B58">
          <w:pPr>
            <w:suppressAutoHyphens w:val="0"/>
            <w:spacing w:before="0" w:after="160" w:line="259" w:lineRule="auto"/>
            <w:rPr>
              <w:rFonts w:ascii="Calibri" w:eastAsia="Calibri" w:hAnsi="Calibri" w:cs="Calibri"/>
              <w:color w:val="auto"/>
              <w:kern w:val="0"/>
              <w:sz w:val="22"/>
              <w:szCs w:val="22"/>
            </w:rPr>
          </w:pPr>
        </w:p>
      </w:sdtContent>
    </w:sdt>
    <w:p w14:paraId="56D7B4EC" w14:textId="77777777" w:rsidR="00452B58" w:rsidRPr="00452B58" w:rsidRDefault="00452B58" w:rsidP="00452B58">
      <w:pPr>
        <w:keepNext/>
        <w:suppressAutoHyphens w:val="0"/>
        <w:spacing w:before="360" w:after="120"/>
        <w:outlineLvl w:val="0"/>
        <w:rPr>
          <w:rFonts w:ascii="Arial Bold" w:eastAsia="Calibri" w:hAnsi="Arial Bold" w:cs="Times New Roman"/>
          <w:b/>
          <w:color w:val="00A1DE"/>
          <w:kern w:val="0"/>
          <w:sz w:val="28"/>
          <w:szCs w:val="22"/>
        </w:rPr>
      </w:pPr>
      <w:r w:rsidRPr="00452B58">
        <w:rPr>
          <w:rFonts w:ascii="Arial Bold" w:eastAsia="Calibri" w:hAnsi="Arial Bold" w:cs="Times New Roman"/>
          <w:b/>
          <w:color w:val="00A1DE"/>
          <w:kern w:val="0"/>
          <w:sz w:val="28"/>
          <w:szCs w:val="22"/>
        </w:rPr>
        <w:t>CONTACT US</w:t>
      </w:r>
    </w:p>
    <w:p w14:paraId="2C4493B5" w14:textId="77777777"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14:paraId="5DE355A7" w14:textId="77777777"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14:paraId="7559CBC5" w14:textId="77777777" w:rsidR="00452B58" w:rsidRPr="00452B58" w:rsidRDefault="00452B58" w:rsidP="00452B58">
      <w:pPr>
        <w:suppressAutoHyphens w:val="0"/>
        <w:spacing w:before="0" w:after="160" w:line="259" w:lineRule="auto"/>
        <w:rPr>
          <w:rFonts w:ascii="Calibri" w:eastAsia="Calibri" w:hAnsi="Calibri" w:cs="Times New Roman"/>
          <w:b/>
          <w:color w:val="00A1DE"/>
          <w:kern w:val="0"/>
          <w:sz w:val="22"/>
          <w:szCs w:val="22"/>
        </w:rPr>
      </w:pPr>
      <w:r w:rsidRPr="00452B58">
        <w:rPr>
          <w:rFonts w:ascii="Calibri" w:eastAsia="Calibri" w:hAnsi="Calibri" w:cs="Times New Roman"/>
          <w:b/>
          <w:color w:val="00A1DE"/>
          <w:kern w:val="0"/>
          <w:sz w:val="22"/>
          <w:szCs w:val="22"/>
        </w:rPr>
        <w:t>Ulysses Ai</w:t>
      </w:r>
    </w:p>
    <w:p w14:paraId="10EB382F" w14:textId="77777777" w:rsidR="00452B58" w:rsidRPr="00452B58" w:rsidRDefault="00452B58" w:rsidP="00452B58">
      <w:pPr>
        <w:suppressAutoHyphens w:val="0"/>
        <w:spacing w:before="0" w:after="0" w:line="288" w:lineRule="auto"/>
        <w:rPr>
          <w:rFonts w:ascii="Arial" w:eastAsia="Calibri" w:hAnsi="Arial" w:cs="Times New Roman"/>
          <w:color w:val="8B8D8E"/>
          <w:kern w:val="0"/>
          <w:sz w:val="18"/>
          <w:szCs w:val="22"/>
        </w:rPr>
      </w:pPr>
      <w:r w:rsidRPr="00452B58">
        <w:rPr>
          <w:rFonts w:ascii="Arial" w:eastAsia="Calibri" w:hAnsi="Arial" w:cs="Times New Roman"/>
          <w:color w:val="8B8D8E"/>
          <w:kern w:val="0"/>
          <w:sz w:val="18"/>
          <w:szCs w:val="22"/>
        </w:rPr>
        <w:t>Senior Technology Leader</w:t>
      </w:r>
    </w:p>
    <w:p w14:paraId="2AD7210B" w14:textId="77777777" w:rsidR="00452B58" w:rsidRPr="00452B58" w:rsidRDefault="00452B58" w:rsidP="00452B58">
      <w:pPr>
        <w:suppressAutoHyphens w:val="0"/>
        <w:spacing w:before="0" w:after="0" w:line="288" w:lineRule="auto"/>
        <w:rPr>
          <w:rFonts w:ascii="Arial" w:eastAsia="Calibri" w:hAnsi="Arial" w:cs="Times New Roman"/>
          <w:color w:val="8B8D8E"/>
          <w:kern w:val="0"/>
          <w:sz w:val="18"/>
          <w:szCs w:val="18"/>
        </w:rPr>
      </w:pPr>
      <w:r w:rsidRPr="00452B58">
        <w:rPr>
          <w:rFonts w:ascii="Arial" w:eastAsia="Calibri" w:hAnsi="Arial" w:cs="Times New Roman"/>
          <w:color w:val="8B8D8E"/>
          <w:kern w:val="0"/>
          <w:sz w:val="18"/>
          <w:szCs w:val="18"/>
        </w:rPr>
        <w:t>Leader Infrastructure Planning and Performance Portfolio</w:t>
      </w:r>
    </w:p>
    <w:p w14:paraId="1A1B5ECB"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Safer Smarter Infrastructure</w:t>
      </w:r>
    </w:p>
    <w:p w14:paraId="27104347" w14:textId="77777777"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E: ulysses.ai@arrb.com.au</w:t>
      </w:r>
      <w:bookmarkStart w:id="342" w:name="_Hlk137815215"/>
      <w:bookmarkEnd w:id="193"/>
      <w:bookmarkEnd w:id="194"/>
    </w:p>
    <w:bookmarkEnd w:id="342"/>
    <w:p w14:paraId="35F1B0BE" w14:textId="4BAE9033" w:rsidR="00C47D1D" w:rsidRDefault="00C47D1D" w:rsidP="00E03F5E"/>
    <w:p w14:paraId="02DEC8D3" w14:textId="012B9B70" w:rsidR="00090EC8" w:rsidRDefault="00090EC8" w:rsidP="00E03F5E"/>
    <w:p w14:paraId="00F6D270" w14:textId="17F3C663" w:rsidR="00090EC8" w:rsidRDefault="00090EC8" w:rsidP="00E03F5E"/>
    <w:p w14:paraId="7E0E710D" w14:textId="0B13EEC0" w:rsidR="00090EC8" w:rsidRDefault="00090EC8" w:rsidP="00E03F5E"/>
    <w:p w14:paraId="16BAFE84" w14:textId="1EC2BB5D" w:rsidR="00090EC8" w:rsidRDefault="00090EC8" w:rsidP="00E03F5E"/>
    <w:p w14:paraId="2F9A951C" w14:textId="58572119" w:rsidR="00090EC8" w:rsidRDefault="00090EC8" w:rsidP="00E03F5E"/>
    <w:p w14:paraId="219D9254" w14:textId="2B8DB7B8" w:rsidR="00090EC8" w:rsidRPr="00E03F5E" w:rsidRDefault="00090EC8" w:rsidP="00E03F5E">
      <w:r w:rsidRPr="00452B58">
        <w:rPr>
          <w:rFonts w:ascii="Calibri" w:eastAsia="Calibri" w:hAnsi="Calibri" w:cs="Calibri"/>
          <w:noProof/>
          <w:color w:val="auto"/>
          <w:kern w:val="0"/>
          <w:sz w:val="22"/>
          <w:szCs w:val="22"/>
          <w:lang w:eastAsia="en-GB"/>
        </w:rPr>
        <mc:AlternateContent>
          <mc:Choice Requires="wps">
            <w:drawing>
              <wp:inline distT="0" distB="0" distL="0" distR="0" wp14:anchorId="76CDCBBB" wp14:editId="157CB63F">
                <wp:extent cx="2970530" cy="354170"/>
                <wp:effectExtent l="0" t="0" r="1270" b="0"/>
                <wp:docPr id="2779" name="Rectangle 2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0530" cy="354170"/>
                        </a:xfrm>
                        <a:prstGeom prst="rect">
                          <a:avLst/>
                        </a:prstGeom>
                        <a:noFill/>
                        <a:ln w="12700" cap="flat" cmpd="sng" algn="ctr">
                          <a:noFill/>
                          <a:prstDash val="solid"/>
                          <a:miter lim="800000"/>
                        </a:ln>
                        <a:effectLst/>
                      </wps:spPr>
                      <wps:txbx>
                        <w:txbxContent>
                          <w:tbl>
                            <w:tblPr>
                              <w:tblW w:w="0" w:type="auto"/>
                              <w:tblInd w:w="-34" w:type="dxa"/>
                              <w:tblLook w:val="04A0" w:firstRow="1" w:lastRow="0" w:firstColumn="1" w:lastColumn="0" w:noHBand="0" w:noVBand="1"/>
                            </w:tblPr>
                            <w:tblGrid>
                              <w:gridCol w:w="680"/>
                              <w:gridCol w:w="744"/>
                              <w:gridCol w:w="744"/>
                              <w:gridCol w:w="745"/>
                            </w:tblGrid>
                            <w:tr w:rsidR="00AB344F" w:rsidRPr="00785CEE" w14:paraId="2DC39FCA" w14:textId="77777777" w:rsidTr="00452B58">
                              <w:tc>
                                <w:tcPr>
                                  <w:tcW w:w="2913" w:type="dxa"/>
                                  <w:gridSpan w:val="4"/>
                                </w:tcPr>
                                <w:p w14:paraId="6D3F3AE7" w14:textId="77777777" w:rsidR="00AB344F" w:rsidRPr="00785CEE" w:rsidRDefault="00AB344F" w:rsidP="00452B58">
                                  <w:pPr>
                                    <w:pStyle w:val="ARRBBaseBodyText"/>
                                  </w:pPr>
                                  <w:r w:rsidRPr="00785CEE">
                                    <w:rPr>
                                      <w:noProof/>
                                    </w:rPr>
                                    <w:drawing>
                                      <wp:inline distT="0" distB="0" distL="0" distR="0" wp14:anchorId="33605F22" wp14:editId="132E5F64">
                                        <wp:extent cx="1133475" cy="17502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l="11207" t="64683" r="10632" b="18651"/>
                                                <a:stretch/>
                                              </pic:blipFill>
                                              <pic:spPr bwMode="auto">
                                                <a:xfrm>
                                                  <a:off x="0" y="0"/>
                                                  <a:ext cx="1271900" cy="19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344F" w:rsidRPr="00785CEE" w14:paraId="50BC1261" w14:textId="77777777" w:rsidTr="00452B58">
                              <w:tc>
                                <w:tcPr>
                                  <w:tcW w:w="680" w:type="dxa"/>
                                </w:tcPr>
                                <w:p w14:paraId="44D5DA21" w14:textId="77777777" w:rsidR="00AB344F" w:rsidRPr="00785CEE" w:rsidRDefault="00AB344F" w:rsidP="00452B58">
                                  <w:pPr>
                                    <w:pStyle w:val="ARRBBaseBodyText"/>
                                  </w:pPr>
                                  <w:r w:rsidRPr="00785CEE">
                                    <w:rPr>
                                      <w:noProof/>
                                    </w:rPr>
                                    <w:drawing>
                                      <wp:inline distT="0" distB="0" distL="0" distR="0" wp14:anchorId="750E301B" wp14:editId="3C585F2A">
                                        <wp:extent cx="295200" cy="295200"/>
                                        <wp:effectExtent l="0" t="0" r="0" b="0"/>
                                        <wp:docPr id="12" name="Picture 12">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90"/>
                                                </pic:cNvPr>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5B1E0458" w14:textId="77777777" w:rsidR="00AB344F" w:rsidRPr="00785CEE" w:rsidRDefault="00AB344F" w:rsidP="00452B58">
                                  <w:pPr>
                                    <w:pStyle w:val="ARRBBaseBodyText"/>
                                  </w:pPr>
                                  <w:r w:rsidRPr="00785CEE">
                                    <w:rPr>
                                      <w:noProof/>
                                    </w:rPr>
                                    <w:drawing>
                                      <wp:inline distT="0" distB="0" distL="0" distR="0" wp14:anchorId="2547A2B4" wp14:editId="4839A211">
                                        <wp:extent cx="295200" cy="295200"/>
                                        <wp:effectExtent l="0" t="0" r="0" b="0"/>
                                        <wp:docPr id="17" name="Picture 17">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2"/>
                                                </pic:cNvPr>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29999470" w14:textId="77777777" w:rsidR="00AB344F" w:rsidRPr="00785CEE" w:rsidRDefault="00AB344F" w:rsidP="00452B58">
                                  <w:pPr>
                                    <w:pStyle w:val="ARRBBaseBodyText"/>
                                  </w:pPr>
                                  <w:r w:rsidRPr="00785CEE">
                                    <w:rPr>
                                      <w:noProof/>
                                    </w:rPr>
                                    <w:drawing>
                                      <wp:inline distT="0" distB="0" distL="0" distR="0" wp14:anchorId="660B355F" wp14:editId="570B7D7D">
                                        <wp:extent cx="295200" cy="295200"/>
                                        <wp:effectExtent l="0" t="0" r="0" b="0"/>
                                        <wp:docPr id="20" name="Picture 20">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94"/>
                                                </pic:cNvPr>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5" w:type="dxa"/>
                                </w:tcPr>
                                <w:p w14:paraId="03E058D2" w14:textId="77777777" w:rsidR="00AB344F" w:rsidRPr="00785CEE" w:rsidRDefault="00AB344F" w:rsidP="00452B58">
                                  <w:pPr>
                                    <w:pStyle w:val="ARRBBaseBodyText"/>
                                  </w:pPr>
                                  <w:r w:rsidRPr="00785CEE">
                                    <w:rPr>
                                      <w:noProof/>
                                    </w:rPr>
                                    <w:drawing>
                                      <wp:inline distT="0" distB="0" distL="0" distR="0" wp14:anchorId="6EDA078A" wp14:editId="3D601EE3">
                                        <wp:extent cx="295200" cy="295200"/>
                                        <wp:effectExtent l="0" t="0" r="0" b="0"/>
                                        <wp:docPr id="21" name="Picture 21">
                                          <a:hlinkClick xmlns:a="http://schemas.openxmlformats.org/drawingml/2006/main" r:id="rId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96"/>
                                                </pic:cNvPr>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r>
                          </w:tbl>
                          <w:p w14:paraId="5A1A05E1" w14:textId="77777777" w:rsidR="00AB344F" w:rsidRDefault="00AB344F" w:rsidP="00090EC8">
                            <w:pPr>
                              <w:pStyle w:val="Spac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rect w14:anchorId="76CDCBBB" id="Rectangle 2779" o:spid="_x0000_s1027" style="width:233.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" filled="f" stroked="f" strokeweight="1pt">
                <v:textbox style="mso-fit-shape-to-text:t" inset="0,0,0,0">
                  <w:txbxContent>
                    <w:tbl>
                      <w:tblPr>
                        <w:tblW w:w="0" w:type="auto"/>
                        <w:tblInd w:w="-34" w:type="dxa"/>
                        <w:tblLook w:val="04A0" w:firstRow="1" w:lastRow="0" w:firstColumn="1" w:lastColumn="0" w:noHBand="0" w:noVBand="1"/>
                      </w:tblPr>
                      <w:tblGrid>
                        <w:gridCol w:w="680"/>
                        <w:gridCol w:w="744"/>
                        <w:gridCol w:w="744"/>
                        <w:gridCol w:w="745"/>
                      </w:tblGrid>
                      <w:tr w:rsidR="00AB344F" w:rsidRPr="00785CEE" w14:paraId="2DC39FCA" w14:textId="77777777" w:rsidTr="00452B58">
                        <w:tc>
                          <w:tcPr>
                            <w:tcW w:w="2913" w:type="dxa"/>
                            <w:gridSpan w:val="4"/>
                          </w:tcPr>
                          <w:p w14:paraId="6D3F3AE7" w14:textId="77777777" w:rsidR="00AB344F" w:rsidRPr="00785CEE" w:rsidRDefault="00AB344F" w:rsidP="00452B58">
                            <w:pPr>
                              <w:pStyle w:val="ARRBBaseBodyText"/>
                            </w:pPr>
                            <w:r w:rsidRPr="00785CEE">
                              <w:rPr>
                                <w:noProof/>
                              </w:rPr>
                              <w:drawing>
                                <wp:inline distT="0" distB="0" distL="0" distR="0" wp14:anchorId="33605F22" wp14:editId="132E5F64">
                                  <wp:extent cx="1133475" cy="17502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l="11207" t="64683" r="10632" b="18651"/>
                                          <a:stretch/>
                                        </pic:blipFill>
                                        <pic:spPr bwMode="auto">
                                          <a:xfrm>
                                            <a:off x="0" y="0"/>
                                            <a:ext cx="1271900" cy="19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344F" w:rsidRPr="00785CEE" w14:paraId="50BC1261" w14:textId="77777777" w:rsidTr="00452B58">
                        <w:tc>
                          <w:tcPr>
                            <w:tcW w:w="680" w:type="dxa"/>
                          </w:tcPr>
                          <w:p w14:paraId="44D5DA21" w14:textId="77777777" w:rsidR="00AB344F" w:rsidRPr="00785CEE" w:rsidRDefault="00AB344F" w:rsidP="00452B58">
                            <w:pPr>
                              <w:pStyle w:val="ARRBBaseBodyText"/>
                            </w:pPr>
                            <w:r w:rsidRPr="00785CEE">
                              <w:rPr>
                                <w:noProof/>
                              </w:rPr>
                              <w:drawing>
                                <wp:inline distT="0" distB="0" distL="0" distR="0" wp14:anchorId="750E301B" wp14:editId="3C585F2A">
                                  <wp:extent cx="295200" cy="295200"/>
                                  <wp:effectExtent l="0" t="0" r="0" b="0"/>
                                  <wp:docPr id="12" name="Picture 12">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90"/>
                                          </pic:cNvPr>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5B1E0458" w14:textId="77777777" w:rsidR="00AB344F" w:rsidRPr="00785CEE" w:rsidRDefault="00AB344F" w:rsidP="00452B58">
                            <w:pPr>
                              <w:pStyle w:val="ARRBBaseBodyText"/>
                            </w:pPr>
                            <w:r w:rsidRPr="00785CEE">
                              <w:rPr>
                                <w:noProof/>
                              </w:rPr>
                              <w:drawing>
                                <wp:inline distT="0" distB="0" distL="0" distR="0" wp14:anchorId="2547A2B4" wp14:editId="4839A211">
                                  <wp:extent cx="295200" cy="295200"/>
                                  <wp:effectExtent l="0" t="0" r="0" b="0"/>
                                  <wp:docPr id="17" name="Picture 17">
                                    <a:hlinkClick xmlns:a="http://schemas.openxmlformats.org/drawingml/2006/main" r:id="rId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2"/>
                                          </pic:cNvPr>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14:paraId="29999470" w14:textId="77777777" w:rsidR="00AB344F" w:rsidRPr="00785CEE" w:rsidRDefault="00AB344F" w:rsidP="00452B58">
                            <w:pPr>
                              <w:pStyle w:val="ARRBBaseBodyText"/>
                            </w:pPr>
                            <w:r w:rsidRPr="00785CEE">
                              <w:rPr>
                                <w:noProof/>
                              </w:rPr>
                              <w:drawing>
                                <wp:inline distT="0" distB="0" distL="0" distR="0" wp14:anchorId="660B355F" wp14:editId="570B7D7D">
                                  <wp:extent cx="295200" cy="295200"/>
                                  <wp:effectExtent l="0" t="0" r="0" b="0"/>
                                  <wp:docPr id="20" name="Picture 20">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94"/>
                                          </pic:cNvPr>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5" w:type="dxa"/>
                          </w:tcPr>
                          <w:p w14:paraId="03E058D2" w14:textId="77777777" w:rsidR="00AB344F" w:rsidRPr="00785CEE" w:rsidRDefault="00AB344F" w:rsidP="00452B58">
                            <w:pPr>
                              <w:pStyle w:val="ARRBBaseBodyText"/>
                            </w:pPr>
                            <w:r w:rsidRPr="00785CEE">
                              <w:rPr>
                                <w:noProof/>
                              </w:rPr>
                              <w:drawing>
                                <wp:inline distT="0" distB="0" distL="0" distR="0" wp14:anchorId="6EDA078A" wp14:editId="3D601EE3">
                                  <wp:extent cx="295200" cy="295200"/>
                                  <wp:effectExtent l="0" t="0" r="0" b="0"/>
                                  <wp:docPr id="21" name="Picture 21">
                                    <a:hlinkClick xmlns:a="http://schemas.openxmlformats.org/drawingml/2006/main" r:id="rId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96"/>
                                          </pic:cNvPr>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r>
                    </w:tbl>
                    <w:p w14:paraId="5A1A05E1" w14:textId="77777777" w:rsidR="00AB344F" w:rsidRDefault="00AB344F" w:rsidP="00090EC8">
                      <w:pPr>
                        <w:pStyle w:val="Spacer"/>
                      </w:pPr>
                    </w:p>
                  </w:txbxContent>
                </v:textbox>
                <w10:anchorlock/>
              </v:rect>
            </w:pict>
          </mc:Fallback>
        </mc:AlternateContent>
      </w:r>
    </w:p>
    <w:sectPr w:rsidR="00090EC8" w:rsidRPr="00E03F5E" w:rsidSect="00452B58">
      <w:pgSz w:w="11906" w:h="16838" w:code="9"/>
      <w:pgMar w:top="1134" w:right="1134" w:bottom="1134" w:left="1134" w:header="680" w:footer="284"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D1B35" w14:textId="77777777" w:rsidR="00AB344F" w:rsidRDefault="00AB344F" w:rsidP="008456D5">
      <w:pPr>
        <w:spacing w:before="0" w:after="0"/>
      </w:pPr>
      <w:r>
        <w:separator/>
      </w:r>
    </w:p>
  </w:endnote>
  <w:endnote w:type="continuationSeparator" w:id="0">
    <w:p w14:paraId="172996CD" w14:textId="77777777" w:rsidR="00AB344F" w:rsidRDefault="00AB344F"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7E9C5" w14:textId="77777777" w:rsidR="00AB344F" w:rsidRDefault="00AB344F"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579114AE" wp14:editId="73D34341">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71874D22" w14:textId="77777777" w:rsidR="00AB344F" w:rsidRPr="007A05BE" w:rsidRDefault="00AB344F"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14AE" id="_x0000_t202" coordsize="21600,21600" o:spt="202" path="m,l,21600r21600,l21600,xe">
              <v:stroke joinstyle="miter"/>
              <v:path gradientshapeok="t" o:connecttype="rect"/>
            </v:shapetype>
            <v:shape id="Text Box 16" o:spid="_x0000_s1028" type="#_x0000_t202" alt="Title: background - Description: background"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71874D22" w14:textId="77777777" w:rsidR="00AB344F" w:rsidRPr="007A05BE" w:rsidRDefault="00AB344F"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0AC811F9" wp14:editId="38662C96">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7C35309C" w14:textId="35CD150C" w:rsidR="00AB344F" w:rsidRDefault="00AB344F" w:rsidP="00E50D64">
                          <w:pPr>
                            <w:pStyle w:val="Footer"/>
                          </w:pPr>
                          <w:r>
                            <w:t>SAFER FREIGHT VEHICLES</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11F9" id="Text Box 18" o:spid="_x0000_s1029" type="#_x0000_t202" alt="Title: background - Description: background"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p w14:paraId="7C35309C" w14:textId="35CD150C" w:rsidR="00AB344F" w:rsidRDefault="00AB344F" w:rsidP="00E50D64">
                    <w:pPr>
                      <w:pStyle w:val="Footer"/>
                    </w:pPr>
                    <w:r>
                      <w:t>SAFER FREIGHT VEHICLES</w:t>
                    </w:r>
                  </w:p>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2C959FF" wp14:editId="418E6DDE">
          <wp:simplePos x="0" y="0"/>
          <wp:positionH relativeFrom="page">
            <wp:align>right</wp:align>
          </wp:positionH>
          <wp:positionV relativeFrom="page">
            <wp:align>bottom</wp:align>
          </wp:positionV>
          <wp:extent cx="10692000" cy="183240"/>
          <wp:effectExtent l="0" t="0" r="0" b="7620"/>
          <wp:wrapNone/>
          <wp:docPr id="19" name="Picture 1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B08FA" w14:textId="77777777" w:rsidR="00AB344F" w:rsidRDefault="00AB344F"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1019BC83" wp14:editId="46619F6B">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6BFCBDF" w14:textId="77777777" w:rsidR="00AB344F" w:rsidRPr="007A05BE" w:rsidRDefault="00AB344F"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BC83" id="_x0000_t202" coordsize="21600,21600" o:spt="202" path="m,l,21600r21600,l21600,xe">
              <v:stroke joinstyle="miter"/>
              <v:path gradientshapeok="t" o:connecttype="rect"/>
            </v:shapetype>
            <v:shape id="Text Box 4" o:spid="_x0000_s1030"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36BFCBDF" w14:textId="77777777" w:rsidR="00AB344F" w:rsidRPr="007A05BE" w:rsidRDefault="00AB344F"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2A2D9DB2" wp14:editId="330776A1">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905FBC0" w14:textId="6B525B10" w:rsidR="00AB344F" w:rsidRDefault="00AB344F" w:rsidP="007A05BE">
                          <w:pPr>
                            <w:pStyle w:val="Footer"/>
                            <w:jc w:val="right"/>
                          </w:pPr>
                          <w:r>
                            <w:t>SAFER FREIGHT VEHICLES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9DB2" id="Text Box 3" o:spid="_x0000_s1031"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p w14:paraId="7905FBC0" w14:textId="6B525B10" w:rsidR="00AB344F" w:rsidRDefault="00AB344F" w:rsidP="007A05BE">
                    <w:pPr>
                      <w:pStyle w:val="Footer"/>
                      <w:jc w:val="right"/>
                    </w:pPr>
                    <w:r>
                      <w:t>SAFER FREIGHT VEHICLES</w:t>
                    </w:r>
                  </w:p>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405EC479" wp14:editId="0EA42276">
          <wp:simplePos x="0" y="0"/>
          <wp:positionH relativeFrom="page">
            <wp:align>right</wp:align>
          </wp:positionH>
          <wp:positionV relativeFrom="page">
            <wp:align>bottom</wp:align>
          </wp:positionV>
          <wp:extent cx="10692000" cy="183240"/>
          <wp:effectExtent l="0" t="0" r="0" b="7620"/>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920436"/>
      <w:docPartObj>
        <w:docPartGallery w:val="Page Numbers (Bottom of Page)"/>
        <w:docPartUnique/>
      </w:docPartObj>
    </w:sdtPr>
    <w:sdtEndPr>
      <w:rPr>
        <w:noProof/>
      </w:rPr>
    </w:sdtEndPr>
    <w:sdtContent>
      <w:p w14:paraId="68E350C3" w14:textId="77777777" w:rsidR="00AB344F" w:rsidRDefault="00AB344F">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739E3D80" w14:textId="77777777" w:rsidR="00AB344F" w:rsidRPr="00CD1797" w:rsidRDefault="00AB344F" w:rsidP="00CD17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FCEDA" w14:textId="77777777" w:rsidR="00AB344F" w:rsidRDefault="00AB344F"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1941D0E8" wp14:editId="0CF80B95">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DCEF40B" w14:textId="77777777" w:rsidR="00AB344F" w:rsidRPr="007A05BE" w:rsidRDefault="00AB34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1D0E8" id="_x0000_t202" coordsize="21600,21600" o:spt="202" path="m,l,21600r21600,l21600,xe">
              <v:stroke joinstyle="miter"/>
              <v:path gradientshapeok="t" o:connecttype="rect"/>
            </v:shapetype>
            <v:shape id="Text Box 8" o:spid="_x0000_s1032" type="#_x0000_t202" alt="Title: background - Description: background"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B7QwIAAHg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9RPAe0MCAAB4BAAA&#10;DgAAAAAAAAAAAAAAAAAuAgAAZHJzL2Uyb0RvYy54bWxQSwECLQAUAAYACAAAACEARenxuNwAAAAE&#10;AQAADwAAAAAAAAAAAAAAAACdBAAAZHJzL2Rvd25yZXYueG1sUEsFBgAAAAAEAAQA8wAAAKYFAAAA&#10;AA==&#10;" filled="f" stroked="f" strokeweight=".5pt">
              <v:textbox inset="0,0,18mm,10mm">
                <w:txbxContent>
                  <w:p w14:paraId="3DCEF40B" w14:textId="77777777" w:rsidR="00AB344F" w:rsidRPr="007A05BE" w:rsidRDefault="00AB344F"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22E1088E" wp14:editId="2E11F69F">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76EF694E" w14:textId="2B99CF1F" w:rsidR="00AB344F" w:rsidRDefault="00AB344F" w:rsidP="00546218">
                          <w:pPr>
                            <w:pStyle w:val="Footer"/>
                            <w:jc w:val="right"/>
                          </w:pPr>
                          <w:r>
                            <w:t>SAFER FREIGHT VEHICLES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88E" id="Text Box 9" o:spid="_x0000_s1033" type="#_x0000_t202" alt="Title: background - Description: background"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s0QbbUICAAB5BAAADgAA&#10;AAAAAAAAAAAAAAAuAgAAZHJzL2Uyb0RvYy54bWxQSwECLQAUAAYACAAAACEA+rQKg9oAAAAEAQAA&#10;DwAAAAAAAAAAAAAAAACcBAAAZHJzL2Rvd25yZXYueG1sUEsFBgAAAAAEAAQA8wAAAKMFAAAAAA==&#10;" filled="f" stroked="f" strokeweight=".5pt">
              <v:textbox inset="0,0,28mm,10mm">
                <w:txbxContent>
                  <w:p w14:paraId="76EF694E" w14:textId="2B99CF1F" w:rsidR="00AB344F" w:rsidRDefault="00AB344F" w:rsidP="00546218">
                    <w:pPr>
                      <w:pStyle w:val="Footer"/>
                      <w:jc w:val="right"/>
                    </w:pPr>
                    <w:r>
                      <w:t>SAFER FREIGHT VEHICLES</w:t>
                    </w:r>
                  </w:p>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022EECBC" wp14:editId="5D3C99E6">
          <wp:simplePos x="0" y="0"/>
          <wp:positionH relativeFrom="page">
            <wp:align>right</wp:align>
          </wp:positionH>
          <wp:positionV relativeFrom="page">
            <wp:align>bottom</wp:align>
          </wp:positionV>
          <wp:extent cx="10692000" cy="183240"/>
          <wp:effectExtent l="0" t="0" r="0" b="7620"/>
          <wp:wrapNone/>
          <wp:docPr id="2904" name="Picture 290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4F69E" w14:textId="77777777" w:rsidR="00AB344F" w:rsidRDefault="00AB344F" w:rsidP="00B53C81">
    <w:pPr>
      <w:pStyle w:val="Footer"/>
      <w:tabs>
        <w:tab w:val="clear" w:pos="9026"/>
        <w:tab w:val="center" w:pos="9356"/>
      </w:tabs>
      <w:spacing w:before="720"/>
    </w:pPr>
    <w:r>
      <w:rPr>
        <w:noProof/>
        <w:lang w:eastAsia="en-AU"/>
      </w:rPr>
      <w:drawing>
        <wp:anchor distT="0" distB="0" distL="114300" distR="114300" simplePos="0" relativeHeight="251678720" behindDoc="1" locked="1" layoutInCell="1" allowOverlap="1" wp14:anchorId="4122ED47" wp14:editId="66F863A4">
          <wp:simplePos x="0" y="0"/>
          <wp:positionH relativeFrom="page">
            <wp:posOffset>-3121660</wp:posOffset>
          </wp:positionH>
          <wp:positionV relativeFrom="page">
            <wp:posOffset>10501630</wp:posOffset>
          </wp:positionV>
          <wp:extent cx="10691495" cy="182880"/>
          <wp:effectExtent l="0" t="0" r="1905" b="0"/>
          <wp:wrapNone/>
          <wp:docPr id="2905" name="Picture 2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053056">
      <w:t>Department of Infrastructure, Transport, Regional Development, Communications and the Arts</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CD5F9D">
      <w:rPr>
        <w:b/>
        <w:bCs/>
        <w:noProof/>
      </w:rPr>
      <w:t>29</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FD77" w14:textId="6EC2A43E" w:rsidR="00AB344F" w:rsidRDefault="00AB344F" w:rsidP="00E227B0">
    <w:pPr>
      <w:pStyle w:val="Footer"/>
      <w:tabs>
        <w:tab w:val="clear" w:pos="9026"/>
        <w:tab w:val="center" w:pos="9356"/>
      </w:tabs>
      <w:spacing w:before="360"/>
    </w:pPr>
    <w:r>
      <w:rPr>
        <w:noProof/>
        <w:lang w:eastAsia="en-AU"/>
      </w:rPr>
      <w:drawing>
        <wp:anchor distT="0" distB="0" distL="114300" distR="114300" simplePos="0" relativeHeight="251680768" behindDoc="1" locked="1" layoutInCell="1" allowOverlap="1" wp14:anchorId="20B02795" wp14:editId="44ABF3C5">
          <wp:simplePos x="0" y="0"/>
          <wp:positionH relativeFrom="page">
            <wp:posOffset>-3121660</wp:posOffset>
          </wp:positionH>
          <wp:positionV relativeFrom="page">
            <wp:posOffset>10501630</wp:posOffset>
          </wp:positionV>
          <wp:extent cx="10691495" cy="182880"/>
          <wp:effectExtent l="0" t="0" r="1905" b="0"/>
          <wp:wrapNone/>
          <wp:docPr id="2906" name="Picture 290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4B5759">
      <w:t>Department of Infrastructure, Transport, Regional Development, Communications and the Arts</w:t>
    </w:r>
    <w:r>
      <w:tab/>
    </w:r>
    <w:r>
      <w:tab/>
    </w:r>
    <w:r>
      <w:tab/>
    </w:r>
    <w:r>
      <w:tab/>
    </w:r>
    <w:r>
      <w:tab/>
    </w:r>
    <w:r>
      <w:tab/>
    </w:r>
    <w:r>
      <w:tab/>
    </w:r>
    <w:r>
      <w:tab/>
    </w:r>
    <w:r>
      <w:tab/>
    </w:r>
    <w:r>
      <w:tab/>
    </w:r>
    <w:r>
      <w:tab/>
    </w:r>
    <w:r>
      <w:tab/>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C0350E">
      <w:rPr>
        <w:b/>
        <w:bCs/>
        <w:noProof/>
      </w:rPr>
      <w:t>89</w:t>
    </w:r>
    <w:r>
      <w:rPr>
        <w:b/>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68417" w14:textId="63801829" w:rsidR="00AB344F" w:rsidRPr="00AB344F" w:rsidRDefault="00AB344F" w:rsidP="00AB34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0E96" w14:textId="77777777" w:rsidR="00AB344F" w:rsidRPr="008965EE" w:rsidRDefault="00AB344F" w:rsidP="00452B58">
    <w:pPr>
      <w:tabs>
        <w:tab w:val="center" w:pos="4513"/>
        <w:tab w:val="right" w:pos="9026"/>
      </w:tabs>
      <w:spacing w:after="0"/>
      <w:jc w:val="right"/>
      <w:rPr>
        <w:rFonts w:ascii="Calibri" w:eastAsia="Calibri" w:hAnsi="Calibri" w:cs="Times New Roman"/>
        <w:color w:val="9AA3AF"/>
        <w:sz w:val="16"/>
      </w:rPr>
    </w:pPr>
    <w:r w:rsidRPr="008965EE">
      <w:rPr>
        <w:rFonts w:ascii="Calibri" w:eastAsia="Calibri" w:hAnsi="Calibri" w:cs="Times New Roman"/>
        <w:color w:val="9AA3AF"/>
        <w:sz w:val="16"/>
      </w:rPr>
      <w:t xml:space="preserve">Final </w:t>
    </w:r>
    <w:proofErr w:type="gramStart"/>
    <w:r w:rsidRPr="008965EE">
      <w:rPr>
        <w:rFonts w:ascii="Calibri" w:eastAsia="Calibri" w:hAnsi="Calibri" w:cs="Times New Roman"/>
        <w:color w:val="9AA3AF"/>
        <w:sz w:val="16"/>
      </w:rPr>
      <w:t>Report  |</w:t>
    </w:r>
    <w:proofErr w:type="gramEnd"/>
    <w:r w:rsidRPr="008965EE">
      <w:rPr>
        <w:rFonts w:ascii="Calibri" w:eastAsia="Calibri" w:hAnsi="Calibri" w:cs="Times New Roman"/>
        <w:color w:val="9AA3AF"/>
        <w:sz w:val="16"/>
      </w:rPr>
      <w:t xml:space="preserve">  </w:t>
    </w:r>
    <w:r w:rsidRPr="008965EE">
      <w:rPr>
        <w:rFonts w:ascii="Calibri" w:eastAsia="Calibri" w:hAnsi="Calibri" w:cs="Times New Roman"/>
        <w:b/>
        <w:color w:val="9AA3AF"/>
        <w:sz w:val="16"/>
      </w:rPr>
      <w:t xml:space="preserve">Benefit Cost Analysis of Vehicle Widening Options </w:t>
    </w:r>
    <w:r w:rsidRPr="008965EE">
      <w:rPr>
        <w:rFonts w:ascii="Calibri" w:eastAsia="Calibri" w:hAnsi="Calibri" w:cs="Times New Roman"/>
        <w:b/>
        <w:color w:val="9AA3AF"/>
        <w:sz w:val="16"/>
      </w:rPr>
      <w:fldChar w:fldCharType="begin"/>
    </w:r>
    <w:r w:rsidRPr="008965EE">
      <w:rPr>
        <w:rFonts w:ascii="Calibri" w:eastAsia="Calibri" w:hAnsi="Calibri" w:cs="Times New Roman"/>
        <w:b/>
        <w:color w:val="9AA3AF"/>
        <w:sz w:val="16"/>
      </w:rPr>
      <w:instrText xml:space="preserve"> PAGE  \* roman  \* MERGEFORMAT </w:instrText>
    </w:r>
    <w:r w:rsidRPr="008965EE">
      <w:rPr>
        <w:rFonts w:ascii="Calibri" w:eastAsia="Calibri" w:hAnsi="Calibri" w:cs="Times New Roman"/>
        <w:b/>
        <w:color w:val="9AA3AF"/>
        <w:sz w:val="16"/>
      </w:rPr>
      <w:fldChar w:fldCharType="separate"/>
    </w:r>
    <w:r w:rsidRPr="008965EE">
      <w:rPr>
        <w:rFonts w:ascii="Calibri" w:eastAsia="Calibri" w:hAnsi="Calibri" w:cs="Times New Roman"/>
        <w:b/>
        <w:color w:val="9AA3AF"/>
        <w:sz w:val="16"/>
      </w:rPr>
      <w:t>ii</w:t>
    </w:r>
    <w:r w:rsidRPr="008965EE">
      <w:rPr>
        <w:rFonts w:ascii="Calibri" w:eastAsia="Calibri" w:hAnsi="Calibri" w:cs="Times New Roman"/>
        <w:b/>
        <w:color w:val="9AA3AF"/>
        <w:sz w:val="16"/>
      </w:rPr>
      <w:fldChar w:fldCharType="end"/>
    </w:r>
  </w:p>
  <w:p w14:paraId="14EF4BD7" w14:textId="77777777" w:rsidR="00AB344F" w:rsidRPr="008965EE" w:rsidRDefault="00AB344F" w:rsidP="00452B58">
    <w:pPr>
      <w:spacing w:after="0" w:line="288" w:lineRule="auto"/>
      <w:rPr>
        <w:rFonts w:ascii="Arial" w:eastAsia="Calibri" w:hAnsi="Arial" w:cs="Times New Roman"/>
        <w:color w:val="9AA3AF"/>
        <w:sz w:val="12"/>
        <w:szCs w:val="12"/>
      </w:rPr>
    </w:pPr>
    <w:r w:rsidRPr="008965EE">
      <w:rPr>
        <w:rFonts w:ascii="Arial" w:eastAsia="Calibri" w:hAnsi="Arial" w:cs="Times New Roman"/>
        <w:color w:val="9AA3AF"/>
        <w:sz w:val="12"/>
        <w:szCs w:val="12"/>
      </w:rPr>
      <w:t>TC-423-1-3-2b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6340" w14:textId="77777777" w:rsidR="00AB344F" w:rsidRPr="008965EE" w:rsidRDefault="00AB344F" w:rsidP="00D86D55">
    <w:pPr>
      <w:tabs>
        <w:tab w:val="center" w:pos="4513"/>
        <w:tab w:val="right" w:pos="9026"/>
      </w:tabs>
      <w:spacing w:after="0"/>
      <w:jc w:val="right"/>
      <w:rPr>
        <w:rFonts w:ascii="Calibri" w:eastAsia="Calibri" w:hAnsi="Calibri" w:cs="Times New Roman"/>
        <w:color w:val="9AA3AF"/>
        <w:sz w:val="16"/>
      </w:rPr>
    </w:pPr>
    <w:r w:rsidRPr="008965EE">
      <w:rPr>
        <w:rFonts w:ascii="Calibri" w:eastAsia="Calibri" w:hAnsi="Calibri" w:cs="Times New Roman"/>
        <w:color w:val="9AA3AF"/>
        <w:sz w:val="16"/>
      </w:rPr>
      <w:t xml:space="preserve">Final </w:t>
    </w:r>
    <w:proofErr w:type="gramStart"/>
    <w:r w:rsidRPr="008965EE">
      <w:rPr>
        <w:rFonts w:ascii="Calibri" w:eastAsia="Calibri" w:hAnsi="Calibri" w:cs="Times New Roman"/>
        <w:color w:val="9AA3AF"/>
        <w:sz w:val="16"/>
      </w:rPr>
      <w:t>Report  |</w:t>
    </w:r>
    <w:proofErr w:type="gramEnd"/>
    <w:r w:rsidRPr="008965EE">
      <w:rPr>
        <w:rFonts w:ascii="Calibri" w:eastAsia="Calibri" w:hAnsi="Calibri" w:cs="Times New Roman"/>
        <w:color w:val="9AA3AF"/>
        <w:sz w:val="16"/>
      </w:rPr>
      <w:t xml:space="preserve">  </w:t>
    </w:r>
    <w:r w:rsidRPr="008965EE">
      <w:rPr>
        <w:rFonts w:ascii="Calibri" w:eastAsia="Calibri" w:hAnsi="Calibri" w:cs="Times New Roman"/>
        <w:b/>
        <w:color w:val="9AA3AF"/>
        <w:sz w:val="16"/>
      </w:rPr>
      <w:t xml:space="preserve">Benefit Cost Analysis of Vehicle Widening Options </w:t>
    </w:r>
    <w:r>
      <w:rPr>
        <w:rFonts w:ascii="Calibri" w:eastAsia="Calibri" w:hAnsi="Calibri" w:cs="Times New Roman"/>
        <w:b/>
        <w:color w:val="9AA3AF"/>
        <w:sz w:val="16"/>
      </w:rPr>
      <w:fldChar w:fldCharType="begin"/>
    </w:r>
    <w:r>
      <w:rPr>
        <w:rFonts w:ascii="Calibri" w:eastAsia="Calibri" w:hAnsi="Calibri" w:cs="Times New Roman"/>
        <w:b/>
        <w:color w:val="9AA3AF"/>
        <w:sz w:val="16"/>
      </w:rPr>
      <w:instrText xml:space="preserve"> PAGE  \* Arabic </w:instrText>
    </w:r>
    <w:r>
      <w:rPr>
        <w:rFonts w:ascii="Calibri" w:eastAsia="Calibri" w:hAnsi="Calibri" w:cs="Times New Roman"/>
        <w:b/>
        <w:color w:val="9AA3AF"/>
        <w:sz w:val="16"/>
      </w:rPr>
      <w:fldChar w:fldCharType="separate"/>
    </w:r>
    <w:r>
      <w:rPr>
        <w:rFonts w:ascii="Calibri" w:eastAsia="Calibri" w:hAnsi="Calibri" w:cs="Times New Roman"/>
        <w:b/>
        <w:noProof/>
        <w:color w:val="9AA3AF"/>
        <w:sz w:val="16"/>
      </w:rPr>
      <w:t>1</w:t>
    </w:r>
    <w:r>
      <w:rPr>
        <w:rFonts w:ascii="Calibri" w:eastAsia="Calibri" w:hAnsi="Calibri" w:cs="Times New Roman"/>
        <w:b/>
        <w:color w:val="9AA3AF"/>
        <w:sz w:val="16"/>
      </w:rPr>
      <w:fldChar w:fldCharType="end"/>
    </w:r>
  </w:p>
  <w:p w14:paraId="4B0B8B15" w14:textId="77777777" w:rsidR="00AB344F" w:rsidRPr="00D86D55" w:rsidRDefault="00AB344F" w:rsidP="00D86D55">
    <w:pPr>
      <w:spacing w:after="0" w:line="288" w:lineRule="auto"/>
      <w:rPr>
        <w:rFonts w:ascii="Arial" w:eastAsia="Calibri" w:hAnsi="Arial" w:cs="Times New Roman"/>
        <w:color w:val="9AA3AF"/>
        <w:sz w:val="12"/>
        <w:szCs w:val="12"/>
      </w:rPr>
    </w:pPr>
    <w:r w:rsidRPr="008965EE">
      <w:rPr>
        <w:rFonts w:ascii="Arial" w:eastAsia="Calibri" w:hAnsi="Arial" w:cs="Times New Roman"/>
        <w:color w:val="9AA3AF"/>
        <w:sz w:val="12"/>
        <w:szCs w:val="12"/>
      </w:rPr>
      <w:t>TC-423-1-3-2b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63A79" w14:textId="77777777" w:rsidR="00AB344F" w:rsidRPr="005912BE" w:rsidRDefault="00AB344F" w:rsidP="005912BE">
      <w:pPr>
        <w:spacing w:before="300"/>
        <w:rPr>
          <w:color w:val="4BB3B5" w:themeColor="accent2"/>
        </w:rPr>
      </w:pPr>
      <w:r>
        <w:rPr>
          <w:color w:val="4BB3B5" w:themeColor="accent2"/>
        </w:rPr>
        <w:t>----------</w:t>
      </w:r>
    </w:p>
  </w:footnote>
  <w:footnote w:type="continuationSeparator" w:id="0">
    <w:p w14:paraId="33CDF871" w14:textId="77777777" w:rsidR="00AB344F" w:rsidRDefault="00AB344F" w:rsidP="008456D5">
      <w:pPr>
        <w:spacing w:before="0" w:after="0"/>
      </w:pPr>
      <w:r>
        <w:continuationSeparator/>
      </w:r>
    </w:p>
  </w:footnote>
  <w:footnote w:id="1">
    <w:p w14:paraId="7FC0E1A3" w14:textId="77777777" w:rsidR="00AB344F" w:rsidRPr="00C4112C" w:rsidRDefault="00AB344F" w:rsidP="00BF6FCB">
      <w:pPr>
        <w:pStyle w:val="FootnoteText"/>
        <w:rPr>
          <w:lang w:val="en-US"/>
        </w:rPr>
      </w:pPr>
      <w:r>
        <w:rPr>
          <w:rStyle w:val="FootnoteReference"/>
        </w:rPr>
        <w:footnoteRef/>
      </w:r>
      <w:r>
        <w:t xml:space="preserve"> </w:t>
      </w:r>
      <w:r>
        <w:tab/>
        <w:t>Rear vision mirrors are already excluded from the measurement of the vehicle width and would continue to be excluded under this proposal.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F1D3" w14:textId="77777777" w:rsidR="00AB344F" w:rsidRDefault="00AB344F" w:rsidP="00D87AD8">
    <w:pPr>
      <w:pStyle w:val="Header"/>
      <w:spacing w:after="1320"/>
      <w:jc w:val="left"/>
    </w:pPr>
    <w:fldSimple w:instr=" STYLEREF  &quot;Heading 1&quot;  \* MERGEFORMAT ">
      <w:r>
        <w:rPr>
          <w:noProof/>
        </w:rPr>
        <w:t>Executive Summary</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9A6C8" w14:textId="77777777" w:rsidR="00AB344F" w:rsidRPr="000C669D" w:rsidRDefault="00AB344F" w:rsidP="00452B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2569" w14:textId="77777777" w:rsidR="00AB344F" w:rsidRPr="000C669D" w:rsidRDefault="00AB344F" w:rsidP="00452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2A26" w14:textId="77777777" w:rsidR="00AB344F" w:rsidRDefault="00AB344F"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543A" w14:textId="77777777" w:rsidR="00AB344F" w:rsidRPr="005912BE" w:rsidRDefault="00AB344F"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5259" w14:textId="77777777" w:rsidR="00AB344F" w:rsidRDefault="00AB344F"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84F6" w14:textId="77777777" w:rsidR="00AB344F" w:rsidRPr="002D7327" w:rsidRDefault="00AB344F" w:rsidP="00B53C81">
    <w:pPr>
      <w:pStyle w:val="Header"/>
      <w:spacing w:after="1320"/>
      <w:jc w:val="left"/>
      <w:rPr>
        <w:lang w:val="en-US"/>
      </w:rPr>
    </w:pPr>
    <w:r w:rsidRPr="00053056">
      <w:rPr>
        <w:lang w:val="en-US"/>
      </w:rPr>
      <w:t xml:space="preserve">Safer Freight Vehicles: </w:t>
    </w:r>
    <w:r>
      <w:rPr>
        <w:lang w:val="en-US"/>
      </w:rPr>
      <w:t>Impact a</w:t>
    </w:r>
    <w:r w:rsidRPr="00053056">
      <w:rPr>
        <w:lang w:val="en-US"/>
      </w:rPr>
      <w:t xml:space="preserve">nalysis of options for </w:t>
    </w:r>
    <w:r>
      <w:rPr>
        <w:lang w:val="en-US"/>
      </w:rPr>
      <w:t>maximum overall</w:t>
    </w:r>
    <w:r w:rsidRPr="00053056">
      <w:rPr>
        <w:lang w:val="en-US"/>
      </w:rPr>
      <w:t xml:space="preserve"> width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ADB32" w14:textId="77777777" w:rsidR="00AB344F" w:rsidRDefault="00AB344F" w:rsidP="005912BE">
    <w:pPr>
      <w:pStyle w:val="Header"/>
      <w:spacing w:after="1320"/>
    </w:pPr>
    <w:fldSimple w:instr=" STYLEREF  &quot;Heading 1&quot;  \* MERGEFORMAT ">
      <w:r>
        <w:rPr>
          <w:noProof/>
        </w:rPr>
        <w:t>Executive Summary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7E3C" w14:textId="77777777" w:rsidR="00AB344F" w:rsidRPr="002D7327" w:rsidRDefault="00AB344F" w:rsidP="00E227B0">
    <w:pPr>
      <w:pStyle w:val="Header"/>
      <w:spacing w:after="360"/>
      <w:jc w:val="left"/>
      <w:rPr>
        <w:lang w:val="en-US"/>
      </w:rPr>
    </w:pPr>
    <w:r w:rsidRPr="00053056">
      <w:rPr>
        <w:lang w:val="en-US"/>
      </w:rPr>
      <w:t xml:space="preserve">Safer Freight Vehicles: </w:t>
    </w:r>
    <w:r>
      <w:rPr>
        <w:lang w:val="en-US"/>
      </w:rPr>
      <w:t>Impact analysis of options</w:t>
    </w:r>
    <w:r w:rsidRPr="00053056">
      <w:rPr>
        <w:lang w:val="en-US"/>
      </w:rPr>
      <w:t xml:space="preserve"> for </w:t>
    </w:r>
    <w:r>
      <w:rPr>
        <w:lang w:val="en-US"/>
      </w:rPr>
      <w:t>maximum overall</w:t>
    </w:r>
    <w:r w:rsidRPr="00053056">
      <w:rPr>
        <w:lang w:val="en-US"/>
      </w:rPr>
      <w:t xml:space="preserve"> width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D8AD" w14:textId="77777777" w:rsidR="00AB344F" w:rsidRPr="00EF6F9D" w:rsidRDefault="00AB344F" w:rsidP="00EF6F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4A94" w14:textId="77777777" w:rsidR="00AB344F" w:rsidRPr="00EF6F9D" w:rsidRDefault="00AB344F" w:rsidP="00EF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F43"/>
    <w:multiLevelType w:val="hybridMultilevel"/>
    <w:tmpl w:val="4BA69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E051F"/>
    <w:multiLevelType w:val="multilevel"/>
    <w:tmpl w:val="25800C7C"/>
    <w:name w:val="AppHeadList5"/>
    <w:lvl w:ilvl="0">
      <w:start w:val="1"/>
      <w:numFmt w:val="upperLetter"/>
      <w:lvlText w:val="Appendix %1"/>
      <w:lvlJc w:val="left"/>
      <w:pPr>
        <w:tabs>
          <w:tab w:val="num" w:pos="2410"/>
        </w:tabs>
        <w:ind w:left="2410" w:hanging="241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AC536E"/>
    <w:multiLevelType w:val="hybridMultilevel"/>
    <w:tmpl w:val="C7FE0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B47D25"/>
    <w:multiLevelType w:val="hybridMultilevel"/>
    <w:tmpl w:val="0D3054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DC7064"/>
    <w:multiLevelType w:val="hybridMultilevel"/>
    <w:tmpl w:val="E48C6C40"/>
    <w:lvl w:ilvl="0" w:tplc="5D643910">
      <w:start w:val="1"/>
      <w:numFmt w:val="decimal"/>
      <w:pStyle w:val="ARRBTableFigureKeyedNotes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91DEC"/>
    <w:multiLevelType w:val="hybridMultilevel"/>
    <w:tmpl w:val="A650E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079B6D82"/>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08E27647"/>
    <w:multiLevelType w:val="multilevel"/>
    <w:tmpl w:val="24540594"/>
    <w:styleLink w:val="Listoftables"/>
    <w:lvl w:ilvl="0">
      <w:start w:val="1"/>
      <w:numFmt w:val="decimal"/>
      <w:lvlText w:val="Table %1:"/>
      <w:lvlJc w:val="left"/>
      <w:pPr>
        <w:tabs>
          <w:tab w:val="num" w:pos="1134"/>
        </w:tabs>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D9423E"/>
    <w:multiLevelType w:val="multilevel"/>
    <w:tmpl w:val="6C543E70"/>
    <w:name w:val="CommHeadList"/>
    <w:styleLink w:val="CommListStyle"/>
    <w:lvl w:ilvl="0">
      <w:start w:val="1"/>
      <w:numFmt w:val="decimal"/>
      <w:lvlText w:val="C%1."/>
      <w:lvlJc w:val="left"/>
      <w:pPr>
        <w:tabs>
          <w:tab w:val="num" w:pos="851"/>
        </w:tabs>
        <w:ind w:left="851" w:hanging="851"/>
      </w:pPr>
      <w:rPr>
        <w:rFonts w:hint="default"/>
      </w:rPr>
    </w:lvl>
    <w:lvl w:ilvl="1">
      <w:start w:val="1"/>
      <w:numFmt w:val="decimal"/>
      <w:lvlText w:val="C%1.%2"/>
      <w:lvlJc w:val="left"/>
      <w:pPr>
        <w:tabs>
          <w:tab w:val="num" w:pos="851"/>
        </w:tabs>
        <w:ind w:left="851" w:hanging="851"/>
      </w:pPr>
      <w:rPr>
        <w:rFonts w:hint="default"/>
      </w:rPr>
    </w:lvl>
    <w:lvl w:ilvl="2">
      <w:start w:val="1"/>
      <w:numFmt w:val="decimal"/>
      <w:lvlText w:val="C%1.%2.%3"/>
      <w:lvlJc w:val="left"/>
      <w:pPr>
        <w:tabs>
          <w:tab w:val="num" w:pos="851"/>
        </w:tabs>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0E016AAE"/>
    <w:multiLevelType w:val="hybridMultilevel"/>
    <w:tmpl w:val="B202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031C0"/>
    <w:multiLevelType w:val="hybridMultilevel"/>
    <w:tmpl w:val="F048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418" w:hanging="1418"/>
      </w:pPr>
      <w:rPr>
        <w:rFonts w:hint="default"/>
      </w:r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2957ECD"/>
    <w:multiLevelType w:val="multilevel"/>
    <w:tmpl w:val="DBD07310"/>
    <w:styleLink w:val="TCAlphaNumBullet"/>
    <w:lvl w:ilvl="0">
      <w:start w:val="1"/>
      <w:numFmt w:val="decimal"/>
      <w:pStyle w:val="ARRBTCAlphaNumBullet1"/>
      <w:lvlText w:val="%1."/>
      <w:lvlJc w:val="left"/>
      <w:pPr>
        <w:tabs>
          <w:tab w:val="num" w:pos="284"/>
        </w:tabs>
        <w:ind w:left="284" w:hanging="284"/>
      </w:pPr>
      <w:rPr>
        <w:rFonts w:hint="default"/>
      </w:rPr>
    </w:lvl>
    <w:lvl w:ilvl="1">
      <w:start w:val="1"/>
      <w:numFmt w:val="lowerLetter"/>
      <w:pStyle w:val="ARRBTCAlphaNumBullet2"/>
      <w:lvlText w:val="%2."/>
      <w:lvlJc w:val="left"/>
      <w:pPr>
        <w:tabs>
          <w:tab w:val="num" w:pos="567"/>
        </w:tabs>
        <w:ind w:left="567" w:hanging="283"/>
      </w:pPr>
      <w:rPr>
        <w:rFonts w:hint="default"/>
      </w:rPr>
    </w:lvl>
    <w:lvl w:ilvl="2">
      <w:start w:val="1"/>
      <w:numFmt w:val="lowerRoman"/>
      <w:pStyle w:val="ARRBTCAlphaNumBullet3"/>
      <w:lvlText w:val="%3."/>
      <w:lvlJc w:val="left"/>
      <w:pPr>
        <w:tabs>
          <w:tab w:val="num" w:pos="851"/>
        </w:tabs>
        <w:ind w:left="851" w:hanging="28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2FC0832"/>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40418B1"/>
    <w:multiLevelType w:val="hybridMultilevel"/>
    <w:tmpl w:val="319812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42E52F1"/>
    <w:multiLevelType w:val="hybridMultilevel"/>
    <w:tmpl w:val="9B76A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4A0BCF"/>
    <w:multiLevelType w:val="multilevel"/>
    <w:tmpl w:val="A4D4FD2E"/>
    <w:styleLink w:val="ListofMaps"/>
    <w:lvl w:ilvl="0">
      <w:start w:val="1"/>
      <w:numFmt w:val="decimal"/>
      <w:lvlText w:val="Map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2" w15:restartNumberingAfterBreak="0">
    <w:nsid w:val="23C901BF"/>
    <w:multiLevelType w:val="hybridMultilevel"/>
    <w:tmpl w:val="7BDE6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F52B8C"/>
    <w:multiLevelType w:val="hybridMultilevel"/>
    <w:tmpl w:val="808A8CB2"/>
    <w:lvl w:ilvl="0" w:tplc="086ECC00">
      <w:start w:val="1"/>
      <w:numFmt w:val="decimal"/>
      <w:pStyle w:val="Appendix-Heading"/>
      <w:suff w:val="nothing"/>
      <w:lvlText w:val="Appendix %1"/>
      <w:lvlJc w:val="left"/>
      <w:pPr>
        <w:ind w:left="7002"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424" w:hanging="360"/>
      </w:pPr>
    </w:lvl>
    <w:lvl w:ilvl="2" w:tplc="0C09001B" w:tentative="1">
      <w:start w:val="1"/>
      <w:numFmt w:val="lowerRoman"/>
      <w:lvlText w:val="%3."/>
      <w:lvlJc w:val="right"/>
      <w:pPr>
        <w:ind w:left="4144" w:hanging="180"/>
      </w:pPr>
    </w:lvl>
    <w:lvl w:ilvl="3" w:tplc="0C09000F" w:tentative="1">
      <w:start w:val="1"/>
      <w:numFmt w:val="decimal"/>
      <w:lvlText w:val="%4."/>
      <w:lvlJc w:val="left"/>
      <w:pPr>
        <w:ind w:left="4864" w:hanging="360"/>
      </w:pPr>
    </w:lvl>
    <w:lvl w:ilvl="4" w:tplc="0C090019" w:tentative="1">
      <w:start w:val="1"/>
      <w:numFmt w:val="lowerLetter"/>
      <w:lvlText w:val="%5."/>
      <w:lvlJc w:val="left"/>
      <w:pPr>
        <w:ind w:left="5584" w:hanging="360"/>
      </w:pPr>
    </w:lvl>
    <w:lvl w:ilvl="5" w:tplc="0C09001B" w:tentative="1">
      <w:start w:val="1"/>
      <w:numFmt w:val="lowerRoman"/>
      <w:lvlText w:val="%6."/>
      <w:lvlJc w:val="right"/>
      <w:pPr>
        <w:ind w:left="6304" w:hanging="180"/>
      </w:pPr>
    </w:lvl>
    <w:lvl w:ilvl="6" w:tplc="0C09000F">
      <w:start w:val="1"/>
      <w:numFmt w:val="decimal"/>
      <w:pStyle w:val="Appendix-Heading"/>
      <w:lvlText w:val="%7."/>
      <w:lvlJc w:val="left"/>
      <w:pPr>
        <w:ind w:left="7024" w:hanging="360"/>
      </w:pPr>
    </w:lvl>
    <w:lvl w:ilvl="7" w:tplc="0C090019" w:tentative="1">
      <w:start w:val="1"/>
      <w:numFmt w:val="lowerLetter"/>
      <w:lvlText w:val="%8."/>
      <w:lvlJc w:val="left"/>
      <w:pPr>
        <w:ind w:left="7744" w:hanging="360"/>
      </w:pPr>
    </w:lvl>
    <w:lvl w:ilvl="8" w:tplc="0C09001B" w:tentative="1">
      <w:start w:val="1"/>
      <w:numFmt w:val="lowerRoman"/>
      <w:lvlText w:val="%9."/>
      <w:lvlJc w:val="right"/>
      <w:pPr>
        <w:ind w:left="8464" w:hanging="180"/>
      </w:pPr>
    </w:lvl>
  </w:abstractNum>
  <w:abstractNum w:abstractNumId="24" w15:restartNumberingAfterBreak="0">
    <w:nsid w:val="240173B7"/>
    <w:multiLevelType w:val="hybridMultilevel"/>
    <w:tmpl w:val="4F4C8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51E18FB"/>
    <w:multiLevelType w:val="hybridMultilevel"/>
    <w:tmpl w:val="5BECBF66"/>
    <w:lvl w:ilvl="0" w:tplc="2AE874F4">
      <w:start w:val="1"/>
      <w:numFmt w:val="bullet"/>
      <w:pStyle w:val="ARRBTableFigureNotes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C55AB6"/>
    <w:multiLevelType w:val="multilevel"/>
    <w:tmpl w:val="3BE63D0C"/>
    <w:styleLink w:val="TASTightbulletliststyle"/>
    <w:lvl w:ilvl="0">
      <w:start w:val="1"/>
      <w:numFmt w:val="bullet"/>
      <w:lvlText w:val="■"/>
      <w:lvlJc w:val="left"/>
      <w:pPr>
        <w:tabs>
          <w:tab w:val="num" w:pos="288"/>
        </w:tabs>
        <w:ind w:left="288" w:hanging="288"/>
      </w:pPr>
      <w:rPr>
        <w:rFonts w:ascii="Arial" w:hAnsi="Arial" w:hint="default"/>
        <w:b w:val="0"/>
        <w:i w:val="0"/>
        <w:color w:val="auto"/>
        <w:spacing w:val="0"/>
        <w:w w:val="70"/>
        <w:position w:val="0"/>
        <w:sz w:val="20"/>
      </w:rPr>
    </w:lvl>
    <w:lvl w:ilvl="1">
      <w:start w:val="1"/>
      <w:numFmt w:val="bullet"/>
      <w:lvlText w:val="■"/>
      <w:lvlJc w:val="left"/>
      <w:pPr>
        <w:tabs>
          <w:tab w:val="num" w:pos="576"/>
        </w:tabs>
        <w:ind w:left="576" w:hanging="288"/>
      </w:pPr>
      <w:rPr>
        <w:rFonts w:ascii="Arial" w:hAnsi="Arial" w:hint="default"/>
        <w:b w:val="0"/>
        <w:i w:val="0"/>
        <w:color w:val="auto"/>
        <w:spacing w:val="0"/>
        <w:w w:val="100"/>
        <w:position w:val="0"/>
        <w:sz w:val="2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27" w15:restartNumberingAfterBreak="0">
    <w:nsid w:val="28EC1359"/>
    <w:multiLevelType w:val="hybridMultilevel"/>
    <w:tmpl w:val="BC2802CE"/>
    <w:lvl w:ilvl="0" w:tplc="E8A80B0C">
      <w:start w:val="1"/>
      <w:numFmt w:val="bullet"/>
      <w:lvlText w:val=""/>
      <w:lvlJc w:val="left"/>
      <w:pPr>
        <w:ind w:left="720" w:hanging="360"/>
      </w:pPr>
      <w:rPr>
        <w:rFonts w:ascii="Symbol" w:hAnsi="Symbol" w:hint="default"/>
      </w:rPr>
    </w:lvl>
    <w:lvl w:ilvl="1" w:tplc="D868CC0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211076"/>
    <w:multiLevelType w:val="hybridMultilevel"/>
    <w:tmpl w:val="CC508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2B6C07"/>
    <w:multiLevelType w:val="hybridMultilevel"/>
    <w:tmpl w:val="D3FA9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7C7712"/>
    <w:multiLevelType w:val="hybridMultilevel"/>
    <w:tmpl w:val="2550E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075A8C"/>
    <w:multiLevelType w:val="hybridMultilevel"/>
    <w:tmpl w:val="50147D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160C5E"/>
    <w:multiLevelType w:val="multilevel"/>
    <w:tmpl w:val="298C34E4"/>
    <w:styleLink w:val="AppendixNumbers"/>
    <w:lvl w:ilvl="0">
      <w:start w:val="1"/>
      <w:numFmt w:val="upperLetter"/>
      <w:suff w:val="space"/>
      <w:lvlText w:val="Appendix %1 –"/>
      <w:lvlJc w:val="left"/>
      <w:pPr>
        <w:ind w:left="3544"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0E45FC8"/>
    <w:multiLevelType w:val="hybridMultilevel"/>
    <w:tmpl w:val="2F0A1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3C7069B"/>
    <w:multiLevelType w:val="multilevel"/>
    <w:tmpl w:val="EECE1CA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360F19A7"/>
    <w:multiLevelType w:val="hybridMultilevel"/>
    <w:tmpl w:val="406029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83B7E6D"/>
    <w:multiLevelType w:val="multilevel"/>
    <w:tmpl w:val="ABFC807C"/>
    <w:name w:val="AppHeadList"/>
    <w:styleLink w:val="AppListStyle"/>
    <w:lvl w:ilvl="0">
      <w:start w:val="1"/>
      <w:numFmt w:val="upperLetter"/>
      <w:lvlText w:val="Appendix %1"/>
      <w:lvlJc w:val="left"/>
      <w:pPr>
        <w:tabs>
          <w:tab w:val="num" w:pos="2410"/>
        </w:tabs>
        <w:ind w:left="2410" w:hanging="241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384D1E54"/>
    <w:multiLevelType w:val="hybridMultilevel"/>
    <w:tmpl w:val="27C41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5C6E45"/>
    <w:multiLevelType w:val="hybridMultilevel"/>
    <w:tmpl w:val="A2B8E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9D39D7"/>
    <w:multiLevelType w:val="hybridMultilevel"/>
    <w:tmpl w:val="F0C8C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CB06A49"/>
    <w:multiLevelType w:val="hybridMultilevel"/>
    <w:tmpl w:val="8402A9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CFA7D27"/>
    <w:multiLevelType w:val="hybridMultilevel"/>
    <w:tmpl w:val="C2525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43" w15:restartNumberingAfterBreak="0">
    <w:nsid w:val="3EDD6C07"/>
    <w:multiLevelType w:val="multilevel"/>
    <w:tmpl w:val="224055DC"/>
    <w:lvl w:ilvl="0">
      <w:start w:val="1"/>
      <w:numFmt w:val="decimal"/>
      <w:pStyle w:val="ARRBTableNumberList1"/>
      <w:lvlText w:val="%1."/>
      <w:lvlJc w:val="left"/>
      <w:pPr>
        <w:tabs>
          <w:tab w:val="num" w:pos="284"/>
        </w:tabs>
        <w:ind w:left="284" w:hanging="284"/>
      </w:pPr>
      <w:rPr>
        <w:rFonts w:hint="default"/>
        <w:color w:val="081E3E" w:themeColor="text2"/>
      </w:rPr>
    </w:lvl>
    <w:lvl w:ilvl="1">
      <w:start w:val="1"/>
      <w:numFmt w:val="lowerLetter"/>
      <w:pStyle w:val="ARRBTableNumberLista"/>
      <w:lvlText w:val="%2."/>
      <w:lvlJc w:val="left"/>
      <w:pPr>
        <w:tabs>
          <w:tab w:val="num" w:pos="567"/>
        </w:tabs>
        <w:ind w:left="567" w:hanging="283"/>
      </w:pPr>
      <w:rPr>
        <w:rFonts w:hint="default"/>
        <w:color w:val="081E3E" w:themeColor="text2"/>
      </w:rPr>
    </w:lvl>
    <w:lvl w:ilvl="2">
      <w:start w:val="1"/>
      <w:numFmt w:val="lowerRoman"/>
      <w:pStyle w:val="ARRBTableNumberListi"/>
      <w:lvlText w:val="%3."/>
      <w:lvlJc w:val="left"/>
      <w:pPr>
        <w:tabs>
          <w:tab w:val="num" w:pos="851"/>
        </w:tabs>
        <w:ind w:left="851" w:hanging="284"/>
      </w:pPr>
      <w:rPr>
        <w:rFonts w:hint="default"/>
        <w:color w:val="081E3E" w:themeColor="text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F16012B"/>
    <w:multiLevelType w:val="hybridMultilevel"/>
    <w:tmpl w:val="B0D0C98C"/>
    <w:lvl w:ilvl="0" w:tplc="99C817B2">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73295E"/>
    <w:multiLevelType w:val="multilevel"/>
    <w:tmpl w:val="DC44A01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7" w15:restartNumberingAfterBreak="0">
    <w:nsid w:val="41D13126"/>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431B21DC"/>
    <w:multiLevelType w:val="hybridMultilevel"/>
    <w:tmpl w:val="67CA1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7FB34D5"/>
    <w:multiLevelType w:val="multilevel"/>
    <w:tmpl w:val="119284F4"/>
    <w:name w:val="SecHeadList"/>
    <w:styleLink w:val="SecListStyle"/>
    <w:lvl w:ilvl="0">
      <w:start w:val="1"/>
      <w:numFmt w:val="decimal"/>
      <w:lvlText w:val="%1."/>
      <w:lvlJc w:val="left"/>
      <w:pPr>
        <w:tabs>
          <w:tab w:val="num" w:pos="794"/>
        </w:tabs>
        <w:ind w:left="0" w:firstLine="0"/>
      </w:pPr>
      <w:rPr>
        <w:rFonts w:hint="default"/>
      </w:rPr>
    </w:lvl>
    <w:lvl w:ilvl="1">
      <w:start w:val="1"/>
      <w:numFmt w:val="decimal"/>
      <w:isLgl/>
      <w:lvlText w:val="%1.%2"/>
      <w:lvlJc w:val="left"/>
      <w:pPr>
        <w:tabs>
          <w:tab w:val="num" w:pos="794"/>
        </w:tabs>
        <w:ind w:left="0" w:firstLine="0"/>
      </w:pPr>
      <w:rPr>
        <w:rFonts w:hint="default"/>
      </w:rPr>
    </w:lvl>
    <w:lvl w:ilvl="2">
      <w:start w:val="1"/>
      <w:numFmt w:val="decimal"/>
      <w:isLgl/>
      <w:lvlText w:val="%1.%2.%3"/>
      <w:lvlJc w:val="left"/>
      <w:pPr>
        <w:tabs>
          <w:tab w:val="num" w:pos="794"/>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asciiTheme="majorHAnsi" w:hAnsiTheme="majorHAnsi" w:hint="default"/>
      </w:rPr>
    </w:lvl>
    <w:lvl w:ilvl="5">
      <w:start w:val="1"/>
      <w:numFmt w:val="none"/>
      <w:suff w:val="nothing"/>
      <w:lvlText w:val=""/>
      <w:lvlJc w:val="left"/>
      <w:pPr>
        <w:ind w:left="0" w:firstLine="0"/>
      </w:pPr>
      <w:rPr>
        <w:rFonts w:asciiTheme="majorHAnsi" w:hAnsiTheme="majorHAnsi" w:hint="default"/>
      </w:rPr>
    </w:lvl>
    <w:lvl w:ilvl="6">
      <w:start w:val="1"/>
      <w:numFmt w:val="none"/>
      <w:suff w:val="nothing"/>
      <w:lvlText w:val=""/>
      <w:lvlJc w:val="left"/>
      <w:pPr>
        <w:ind w:left="0" w:firstLine="0"/>
      </w:pPr>
      <w:rPr>
        <w:rFonts w:asciiTheme="majorHAnsi" w:hAnsiTheme="majorHAnsi" w:hint="default"/>
      </w:rPr>
    </w:lvl>
    <w:lvl w:ilvl="7">
      <w:start w:val="1"/>
      <w:numFmt w:val="none"/>
      <w:suff w:val="nothing"/>
      <w:lvlText w:val=""/>
      <w:lvlJc w:val="left"/>
      <w:pPr>
        <w:ind w:left="0" w:firstLine="0"/>
      </w:pPr>
      <w:rPr>
        <w:rFonts w:asciiTheme="majorHAnsi" w:hAnsiTheme="majorHAnsi" w:hint="default"/>
      </w:rPr>
    </w:lvl>
    <w:lvl w:ilvl="8">
      <w:start w:val="1"/>
      <w:numFmt w:val="none"/>
      <w:suff w:val="nothing"/>
      <w:lvlText w:val=""/>
      <w:lvlJc w:val="left"/>
      <w:pPr>
        <w:ind w:left="0" w:firstLine="0"/>
      </w:pPr>
      <w:rPr>
        <w:rFonts w:asciiTheme="majorHAnsi" w:hAnsiTheme="majorHAnsi" w:hint="default"/>
      </w:rPr>
    </w:lvl>
  </w:abstractNum>
  <w:abstractNum w:abstractNumId="50" w15:restartNumberingAfterBreak="0">
    <w:nsid w:val="48B51B0E"/>
    <w:multiLevelType w:val="hybridMultilevel"/>
    <w:tmpl w:val="BEB4969C"/>
    <w:lvl w:ilvl="0" w:tplc="414C5748">
      <w:start w:val="1"/>
      <w:numFmt w:val="decimal"/>
      <w:pStyle w:val="Heading71"/>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8C74567"/>
    <w:multiLevelType w:val="multilevel"/>
    <w:tmpl w:val="D0FE3A7A"/>
    <w:lvl w:ilvl="0">
      <w:start w:val="1"/>
      <w:numFmt w:val="bullet"/>
      <w:pStyle w:val="ARRBBulletLevel1"/>
      <w:lvlText w:val=""/>
      <w:lvlJc w:val="left"/>
      <w:pPr>
        <w:tabs>
          <w:tab w:val="num" w:pos="340"/>
        </w:tabs>
        <w:ind w:left="340" w:hanging="340"/>
      </w:pPr>
      <w:rPr>
        <w:rFonts w:ascii="Symbol" w:hAnsi="Symbol" w:hint="default"/>
        <w:color w:val="22B3ED" w:themeColor="accent3" w:themeShade="BF"/>
        <w:sz w:val="20"/>
        <w:szCs w:val="20"/>
      </w:rPr>
    </w:lvl>
    <w:lvl w:ilvl="1">
      <w:start w:val="1"/>
      <w:numFmt w:val="bullet"/>
      <w:pStyle w:val="ARRBBulletLevel2"/>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4A0744BE"/>
    <w:multiLevelType w:val="multilevel"/>
    <w:tmpl w:val="F8741DD6"/>
    <w:lvl w:ilvl="0">
      <w:start w:val="1"/>
      <w:numFmt w:val="bullet"/>
      <w:pStyle w:val="BulletLevel1"/>
      <w:lvlText w:val=""/>
      <w:lvlJc w:val="left"/>
      <w:pPr>
        <w:tabs>
          <w:tab w:val="num" w:pos="340"/>
        </w:tabs>
        <w:ind w:left="340" w:hanging="340"/>
      </w:pPr>
      <w:rPr>
        <w:rFonts w:ascii="Symbol" w:hAnsi="Symbol" w:cs="Symbol" w:hint="default"/>
        <w:color w:val="081E3E" w:themeColor="text2"/>
      </w:rPr>
    </w:lvl>
    <w:lvl w:ilvl="1">
      <w:start w:val="1"/>
      <w:numFmt w:val="bullet"/>
      <w:pStyle w:val="BulletLevel2"/>
      <w:lvlText w:val="–"/>
      <w:lvlJc w:val="left"/>
      <w:pPr>
        <w:tabs>
          <w:tab w:val="num" w:pos="680"/>
        </w:tabs>
        <w:ind w:left="680" w:hanging="340"/>
      </w:pPr>
      <w:rPr>
        <w:rFonts w:hint="default"/>
        <w:color w:val="081E3E" w:themeColor="text2"/>
      </w:rPr>
    </w:lvl>
    <w:lvl w:ilvl="2">
      <w:start w:val="1"/>
      <w:numFmt w:val="bullet"/>
      <w:pStyle w:val="BulletLevel3"/>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4A9C0F01"/>
    <w:multiLevelType w:val="multilevel"/>
    <w:tmpl w:val="E40A0BD4"/>
    <w:styleLink w:val="ARRBBaseHeadings"/>
    <w:lvl w:ilvl="0">
      <w:start w:val="1"/>
      <w:numFmt w:val="decimal"/>
      <w:pStyle w:val="ARRBBaseHeading1"/>
      <w:lvlText w:val="%1."/>
      <w:lvlJc w:val="left"/>
      <w:pPr>
        <w:tabs>
          <w:tab w:val="num" w:pos="794"/>
        </w:tabs>
        <w:ind w:left="0" w:firstLine="0"/>
      </w:pPr>
      <w:rPr>
        <w:rFonts w:hint="default"/>
      </w:rPr>
    </w:lvl>
    <w:lvl w:ilvl="1">
      <w:start w:val="1"/>
      <w:numFmt w:val="decimal"/>
      <w:pStyle w:val="ARRBBaseHeading2"/>
      <w:lvlText w:val="%1.%2"/>
      <w:lvlJc w:val="left"/>
      <w:pPr>
        <w:tabs>
          <w:tab w:val="num" w:pos="794"/>
        </w:tabs>
        <w:ind w:left="0" w:firstLine="0"/>
      </w:pPr>
      <w:rPr>
        <w:rFonts w:hint="default"/>
      </w:rPr>
    </w:lvl>
    <w:lvl w:ilvl="2">
      <w:start w:val="1"/>
      <w:numFmt w:val="decimal"/>
      <w:pStyle w:val="ARRBBaseHeading3"/>
      <w:lvlText w:val="%1.%2.%3"/>
      <w:lvlJc w:val="left"/>
      <w:pPr>
        <w:tabs>
          <w:tab w:val="num" w:pos="794"/>
        </w:tabs>
        <w:ind w:left="0" w:firstLine="0"/>
      </w:pPr>
      <w:rPr>
        <w:rFonts w:hint="default"/>
      </w:rPr>
    </w:lvl>
    <w:lvl w:ilvl="3">
      <w:start w:val="1"/>
      <w:numFmt w:val="upperRoman"/>
      <w:lvlText w:val="(%4)"/>
      <w:lvlJc w:val="left"/>
      <w:pPr>
        <w:tabs>
          <w:tab w:val="num" w:pos="794"/>
        </w:tabs>
        <w:ind w:left="0" w:firstLine="0"/>
      </w:pPr>
      <w:rPr>
        <w:rFonts w:hint="default"/>
      </w:rPr>
    </w:lvl>
    <w:lvl w:ilvl="4">
      <w:start w:val="1"/>
      <w:numFmt w:val="lowerLetter"/>
      <w:lvlText w:val="(%5)"/>
      <w:lvlJc w:val="left"/>
      <w:pPr>
        <w:tabs>
          <w:tab w:val="num" w:pos="794"/>
        </w:tabs>
        <w:ind w:left="0" w:firstLine="0"/>
      </w:pPr>
      <w:rPr>
        <w:rFonts w:hint="default"/>
      </w:rPr>
    </w:lvl>
    <w:lvl w:ilvl="5">
      <w:start w:val="1"/>
      <w:numFmt w:val="lowerRoman"/>
      <w:lvlText w:val="(%6)"/>
      <w:lvlJc w:val="left"/>
      <w:pPr>
        <w:tabs>
          <w:tab w:val="num" w:pos="794"/>
        </w:tabs>
        <w:ind w:left="0" w:firstLine="0"/>
      </w:pPr>
      <w:rPr>
        <w:rFonts w:hint="default"/>
      </w:rPr>
    </w:lvl>
    <w:lvl w:ilvl="6">
      <w:start w:val="1"/>
      <w:numFmt w:val="upperLetter"/>
      <w:pStyle w:val="ARRBBaseHeadingApp"/>
      <w:lvlText w:val="Appendix %7."/>
      <w:lvlJc w:val="left"/>
      <w:pPr>
        <w:tabs>
          <w:tab w:val="num" w:pos="2410"/>
        </w:tabs>
        <w:ind w:left="0" w:firstLine="0"/>
      </w:pPr>
      <w:rPr>
        <w:rFonts w:hint="default"/>
      </w:rPr>
    </w:lvl>
    <w:lvl w:ilvl="7">
      <w:start w:val="1"/>
      <w:numFmt w:val="lowerLetter"/>
      <w:lvlText w:val="%8."/>
      <w:lvlJc w:val="left"/>
      <w:pPr>
        <w:tabs>
          <w:tab w:val="num" w:pos="794"/>
        </w:tabs>
        <w:ind w:left="0" w:firstLine="0"/>
      </w:pPr>
      <w:rPr>
        <w:rFonts w:hint="default"/>
      </w:rPr>
    </w:lvl>
    <w:lvl w:ilvl="8">
      <w:start w:val="1"/>
      <w:numFmt w:val="lowerRoman"/>
      <w:lvlText w:val="%9."/>
      <w:lvlJc w:val="left"/>
      <w:pPr>
        <w:tabs>
          <w:tab w:val="num" w:pos="794"/>
        </w:tabs>
        <w:ind w:left="0" w:firstLine="0"/>
      </w:pPr>
      <w:rPr>
        <w:rFonts w:hint="default"/>
      </w:rPr>
    </w:lvl>
  </w:abstractNum>
  <w:abstractNum w:abstractNumId="54" w15:restartNumberingAfterBreak="0">
    <w:nsid w:val="4E780985"/>
    <w:multiLevelType w:val="hybridMultilevel"/>
    <w:tmpl w:val="2788D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DB5A8F"/>
    <w:multiLevelType w:val="hybridMultilevel"/>
    <w:tmpl w:val="BA222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7262634"/>
    <w:multiLevelType w:val="hybridMultilevel"/>
    <w:tmpl w:val="228A5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F7506F"/>
    <w:multiLevelType w:val="multilevel"/>
    <w:tmpl w:val="7882B440"/>
    <w:lvl w:ilvl="0">
      <w:start w:val="1"/>
      <w:numFmt w:val="decimal"/>
      <w:pStyle w:val="MainHeadding"/>
      <w:lvlText w:val="%1."/>
      <w:lvlJc w:val="left"/>
      <w:pPr>
        <w:tabs>
          <w:tab w:val="num" w:pos="851"/>
        </w:tabs>
        <w:ind w:left="851" w:hanging="851"/>
      </w:pPr>
      <w:rPr>
        <w:rFonts w:hint="default"/>
      </w:rPr>
    </w:lvl>
    <w:lvl w:ilvl="1">
      <w:start w:val="1"/>
      <w:numFmt w:val="decimal"/>
      <w:pStyle w:val="Subsection"/>
      <w:lvlText w:val="%1.%2."/>
      <w:lvlJc w:val="left"/>
      <w:pPr>
        <w:tabs>
          <w:tab w:val="num" w:pos="3545"/>
        </w:tabs>
        <w:ind w:left="3545" w:hanging="851"/>
      </w:pPr>
      <w:rPr>
        <w:rFonts w:hint="default"/>
      </w:rPr>
    </w:lvl>
    <w:lvl w:ilvl="2">
      <w:start w:val="1"/>
      <w:numFmt w:val="decimal"/>
      <w:pStyle w:val="Subsubsection"/>
      <w:lvlText w:val="%1.%2.%3."/>
      <w:lvlJc w:val="left"/>
      <w:pPr>
        <w:tabs>
          <w:tab w:val="num" w:pos="851"/>
        </w:tabs>
        <w:ind w:left="851" w:hanging="851"/>
      </w:pPr>
      <w:rPr>
        <w:rFonts w:hint="default"/>
      </w:rPr>
    </w:lvl>
    <w:lvl w:ilvl="3">
      <w:start w:val="1"/>
      <w:numFmt w:val="decimal"/>
      <w:pStyle w:val="Subsubsubsection"/>
      <w:lvlText w:val="%1.%2.%3.%4."/>
      <w:lvlJc w:val="left"/>
      <w:pPr>
        <w:tabs>
          <w:tab w:val="num" w:pos="851"/>
        </w:tabs>
        <w:ind w:left="851" w:hanging="851"/>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5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892BFF"/>
    <w:multiLevelType w:val="hybridMultilevel"/>
    <w:tmpl w:val="E0800B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AF556B"/>
    <w:multiLevelType w:val="hybridMultilevel"/>
    <w:tmpl w:val="B5C02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1F364F4"/>
    <w:multiLevelType w:val="hybridMultilevel"/>
    <w:tmpl w:val="42DA2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BB5E3C"/>
    <w:multiLevelType w:val="multilevel"/>
    <w:tmpl w:val="695EC0A0"/>
    <w:numStyleLink w:val="DepartmentChapterHeadersNumbered"/>
  </w:abstractNum>
  <w:abstractNum w:abstractNumId="63"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4B426B6"/>
    <w:multiLevelType w:val="multilevel"/>
    <w:tmpl w:val="2000FAFA"/>
    <w:styleLink w:val="ARRBBlueBulletList"/>
    <w:lvl w:ilvl="0">
      <w:start w:val="1"/>
      <w:numFmt w:val="bullet"/>
      <w:lvlText w:val=""/>
      <w:lvlJc w:val="left"/>
      <w:pPr>
        <w:tabs>
          <w:tab w:val="num" w:pos="340"/>
        </w:tabs>
        <w:ind w:left="340" w:hanging="340"/>
      </w:pPr>
      <w:rPr>
        <w:rFonts w:ascii="Symbol" w:hAnsi="Symbol" w:hint="default"/>
        <w:color w:val="081E3E" w:themeColor="text2"/>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5" w15:restartNumberingAfterBreak="0">
    <w:nsid w:val="6543163B"/>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661F05B7"/>
    <w:multiLevelType w:val="hybridMultilevel"/>
    <w:tmpl w:val="1ADCA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1654BA"/>
    <w:multiLevelType w:val="hybridMultilevel"/>
    <w:tmpl w:val="98F472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C473215"/>
    <w:multiLevelType w:val="hybridMultilevel"/>
    <w:tmpl w:val="F0C8C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CD15583"/>
    <w:multiLevelType w:val="multilevel"/>
    <w:tmpl w:val="CAFCD9E2"/>
    <w:styleLink w:val="ListofFigures"/>
    <w:lvl w:ilvl="0">
      <w:start w:val="1"/>
      <w:numFmt w:val="decimal"/>
      <w:lvlText w:val="Figure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CFB37FB"/>
    <w:multiLevelType w:val="hybridMultilevel"/>
    <w:tmpl w:val="D3FA9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EE3444F"/>
    <w:multiLevelType w:val="multilevel"/>
    <w:tmpl w:val="FD067348"/>
    <w:lvl w:ilvl="0">
      <w:start w:val="1"/>
      <w:numFmt w:val="bullet"/>
      <w:pStyle w:val="ARRBBaseTableBullet1"/>
      <w:lvlText w:val=""/>
      <w:lvlJc w:val="left"/>
      <w:pPr>
        <w:tabs>
          <w:tab w:val="num" w:pos="170"/>
        </w:tabs>
        <w:ind w:left="170" w:hanging="170"/>
      </w:pPr>
      <w:rPr>
        <w:rFonts w:ascii="Symbol" w:hAnsi="Symbol" w:hint="default"/>
        <w:color w:val="081E3E" w:themeColor="text2"/>
      </w:rPr>
    </w:lvl>
    <w:lvl w:ilvl="1">
      <w:start w:val="1"/>
      <w:numFmt w:val="bullet"/>
      <w:pStyle w:val="ARRBBaseTableBullet2"/>
      <w:lvlText w:val="–"/>
      <w:lvlJc w:val="left"/>
      <w:pPr>
        <w:tabs>
          <w:tab w:val="num" w:pos="340"/>
        </w:tabs>
        <w:ind w:left="340" w:hanging="170"/>
      </w:pPr>
      <w:rPr>
        <w:rFonts w:hint="default"/>
        <w:color w:val="081E3E" w:themeColor="text2"/>
      </w:rPr>
    </w:lvl>
    <w:lvl w:ilvl="2">
      <w:start w:val="1"/>
      <w:numFmt w:val="bullet"/>
      <w:pStyle w:val="ARRBBaseTableBullet3"/>
      <w:lvlText w:val="–"/>
      <w:lvlJc w:val="left"/>
      <w:pPr>
        <w:tabs>
          <w:tab w:val="num" w:pos="510"/>
        </w:tabs>
        <w:ind w:left="510" w:hanging="170"/>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72" w15:restartNumberingAfterBreak="0">
    <w:nsid w:val="723C48AA"/>
    <w:multiLevelType w:val="multilevel"/>
    <w:tmpl w:val="51708A40"/>
    <w:styleLink w:val="TASBulletliststyle"/>
    <w:lvl w:ilvl="0">
      <w:numFmt w:val="decimal"/>
      <w:lvlRestart w:val="0"/>
      <w:lvlText w:val="%1."/>
      <w:lvlJc w:val="left"/>
      <w:pPr>
        <w:tabs>
          <w:tab w:val="num" w:pos="850"/>
        </w:tabs>
        <w:ind w:left="850" w:hanging="850"/>
      </w:pPr>
      <w:rPr>
        <w:rFonts w:ascii="EYInterstate Light" w:eastAsia="Times New Roman" w:hAnsi="EYInterstate Light" w:cs="Arial"/>
        <w:b/>
        <w:i w:val="0"/>
        <w:color w:val="7F7E82"/>
        <w:sz w:val="40"/>
      </w:rPr>
    </w:lvl>
    <w:lvl w:ilvl="1">
      <w:start w:val="1"/>
      <w:numFmt w:val="decimal"/>
      <w:lvlText w:val="%1.%2"/>
      <w:lvlJc w:val="left"/>
      <w:pPr>
        <w:tabs>
          <w:tab w:val="num" w:pos="992"/>
        </w:tabs>
        <w:ind w:left="992" w:hanging="992"/>
      </w:pPr>
      <w:rPr>
        <w:rFonts w:ascii="EYInterstate Light" w:hAnsi="EYInterstate Light" w:hint="default"/>
        <w:b/>
        <w:i w:val="0"/>
        <w:color w:val="000000"/>
        <w:sz w:val="28"/>
      </w:rPr>
    </w:lvl>
    <w:lvl w:ilvl="2">
      <w:start w:val="1"/>
      <w:numFmt w:val="decimal"/>
      <w:lvlText w:val="%1.%2.%3"/>
      <w:lvlJc w:val="left"/>
      <w:pPr>
        <w:tabs>
          <w:tab w:val="num" w:pos="992"/>
        </w:tabs>
        <w:ind w:left="992" w:hanging="992"/>
      </w:pPr>
      <w:rPr>
        <w:rFonts w:ascii="EYInterstate Light" w:hAnsi="EYInterstate Light" w:hint="default"/>
        <w:b/>
        <w:i w:val="0"/>
        <w:color w:val="000000"/>
        <w:sz w:val="24"/>
      </w:rPr>
    </w:lvl>
    <w:lvl w:ilvl="3">
      <w:start w:val="1"/>
      <w:numFmt w:val="decimal"/>
      <w:lvlText w:val="%1.%2.%3.%4"/>
      <w:lvlJc w:val="left"/>
      <w:pPr>
        <w:tabs>
          <w:tab w:val="num" w:pos="1276"/>
        </w:tabs>
        <w:ind w:left="1276" w:hanging="850"/>
      </w:pPr>
      <w:rPr>
        <w:rFonts w:ascii="EYInterstate" w:hAnsi="EYInterstate" w:hint="default"/>
        <w:b w:val="0"/>
        <w:i w:val="0"/>
        <w:color w:val="000000"/>
        <w:sz w:val="20"/>
      </w:rPr>
    </w:lvl>
    <w:lvl w:ilvl="4">
      <w:start w:val="1"/>
      <w:numFmt w:val="none"/>
      <w:lvlText w:val=""/>
      <w:lvlJc w:val="left"/>
      <w:pPr>
        <w:tabs>
          <w:tab w:val="num" w:pos="850"/>
        </w:tabs>
        <w:ind w:left="850" w:firstLine="0"/>
      </w:pPr>
      <w:rPr>
        <w:rFonts w:hint="default"/>
      </w:rPr>
    </w:lvl>
    <w:lvl w:ilvl="5">
      <w:start w:val="1"/>
      <w:numFmt w:val="none"/>
      <w:pStyle w:val="Heading6"/>
      <w:lvlText w:val=""/>
      <w:lvlJc w:val="left"/>
      <w:pPr>
        <w:tabs>
          <w:tab w:val="num" w:pos="850"/>
        </w:tabs>
        <w:ind w:left="850" w:firstLine="0"/>
      </w:pPr>
      <w:rPr>
        <w:rFonts w:hint="default"/>
      </w:rPr>
    </w:lvl>
    <w:lvl w:ilvl="6">
      <w:start w:val="1"/>
      <w:numFmt w:val="none"/>
      <w:pStyle w:val="Heading7"/>
      <w:lvlText w:val=""/>
      <w:lvlJc w:val="left"/>
      <w:pPr>
        <w:tabs>
          <w:tab w:val="num" w:pos="850"/>
        </w:tabs>
        <w:ind w:left="850" w:firstLine="0"/>
      </w:pPr>
      <w:rPr>
        <w:rFonts w:hint="default"/>
      </w:rPr>
    </w:lvl>
    <w:lvl w:ilvl="7">
      <w:start w:val="1"/>
      <w:numFmt w:val="none"/>
      <w:pStyle w:val="Heading8"/>
      <w:lvlText w:val=""/>
      <w:lvlJc w:val="left"/>
      <w:pPr>
        <w:tabs>
          <w:tab w:val="num" w:pos="850"/>
        </w:tabs>
        <w:ind w:left="850" w:firstLine="0"/>
      </w:pPr>
      <w:rPr>
        <w:rFonts w:hint="default"/>
      </w:rPr>
    </w:lvl>
    <w:lvl w:ilvl="8">
      <w:start w:val="1"/>
      <w:numFmt w:val="none"/>
      <w:pStyle w:val="Heading9"/>
      <w:lvlText w:val=""/>
      <w:lvlJc w:val="left"/>
      <w:pPr>
        <w:tabs>
          <w:tab w:val="num" w:pos="850"/>
        </w:tabs>
        <w:ind w:left="850" w:firstLine="0"/>
      </w:pPr>
      <w:rPr>
        <w:rFonts w:hint="default"/>
      </w:rPr>
    </w:lvl>
  </w:abstractNum>
  <w:abstractNum w:abstractNumId="73" w15:restartNumberingAfterBreak="0">
    <w:nsid w:val="72B13F40"/>
    <w:multiLevelType w:val="hybridMultilevel"/>
    <w:tmpl w:val="27C41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5923AE6"/>
    <w:multiLevelType w:val="hybridMultilevel"/>
    <w:tmpl w:val="561269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6D10226"/>
    <w:multiLevelType w:val="hybridMultilevel"/>
    <w:tmpl w:val="2C983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89A0CFF"/>
    <w:multiLevelType w:val="hybridMultilevel"/>
    <w:tmpl w:val="87EAA7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A810B38"/>
    <w:multiLevelType w:val="hybridMultilevel"/>
    <w:tmpl w:val="2E42FC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E2D5925"/>
    <w:multiLevelType w:val="hybridMultilevel"/>
    <w:tmpl w:val="577ED7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46"/>
  </w:num>
  <w:num w:numId="2">
    <w:abstractNumId w:val="80"/>
  </w:num>
  <w:num w:numId="3">
    <w:abstractNumId w:val="6"/>
  </w:num>
  <w:num w:numId="4">
    <w:abstractNumId w:val="45"/>
  </w:num>
  <w:num w:numId="5">
    <w:abstractNumId w:val="12"/>
  </w:num>
  <w:num w:numId="6">
    <w:abstractNumId w:val="32"/>
  </w:num>
  <w:num w:numId="7">
    <w:abstractNumId w:val="58"/>
  </w:num>
  <w:num w:numId="8">
    <w:abstractNumId w:val="14"/>
  </w:num>
  <w:num w:numId="9">
    <w:abstractNumId w:val="13"/>
  </w:num>
  <w:num w:numId="10">
    <w:abstractNumId w:val="57"/>
  </w:num>
  <w:num w:numId="11">
    <w:abstractNumId w:val="42"/>
  </w:num>
  <w:num w:numId="12">
    <w:abstractNumId w:val="7"/>
  </w:num>
  <w:num w:numId="13">
    <w:abstractNumId w:val="23"/>
  </w:num>
  <w:num w:numId="14">
    <w:abstractNumId w:val="50"/>
  </w:num>
  <w:num w:numId="15">
    <w:abstractNumId w:val="72"/>
  </w:num>
  <w:num w:numId="16">
    <w:abstractNumId w:val="26"/>
  </w:num>
  <w:num w:numId="17">
    <w:abstractNumId w:val="34"/>
  </w:num>
  <w:num w:numId="18">
    <w:abstractNumId w:val="78"/>
  </w:num>
  <w:num w:numId="19">
    <w:abstractNumId w:val="63"/>
  </w:num>
  <w:num w:numId="20">
    <w:abstractNumId w:val="10"/>
  </w:num>
  <w:num w:numId="21">
    <w:abstractNumId w:val="20"/>
  </w:num>
  <w:num w:numId="22">
    <w:abstractNumId w:val="69"/>
  </w:num>
  <w:num w:numId="23">
    <w:abstractNumId w:val="15"/>
  </w:num>
  <w:num w:numId="24">
    <w:abstractNumId w:val="21"/>
  </w:num>
  <w:num w:numId="25">
    <w:abstractNumId w:val="62"/>
    <w:lvlOverride w:ilvl="0">
      <w:lvl w:ilvl="0">
        <w:start w:val="1"/>
        <w:numFmt w:val="decimal"/>
        <w:pStyle w:val="NumberedHeading1"/>
        <w:lvlText w:val="Chapter %1:"/>
        <w:lvlJc w:val="left"/>
        <w:pPr>
          <w:ind w:left="1559" w:hanging="1134"/>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8"/>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7"/>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6"/>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pStyle w:val="Bullet2"/>
        <w:lvlText w:val="–"/>
        <w:lvlJc w:val="left"/>
        <w:pPr>
          <w:ind w:left="568" w:hanging="284"/>
        </w:pPr>
        <w:rPr>
          <w:rFonts w:ascii="Calibri" w:hAnsi="Calibri" w:hint="default"/>
          <w:color w:val="auto"/>
        </w:rPr>
      </w:lvl>
    </w:lvlOverride>
    <w:lvlOverride w:ilvl="2">
      <w:lvl w:ilvl="2">
        <w:start w:val="1"/>
        <w:numFmt w:val="bullet"/>
        <w:pStyle w:val="Bullet3"/>
        <w:lvlText w:val="›"/>
        <w:lvlJc w:val="left"/>
        <w:pPr>
          <w:ind w:left="852" w:hanging="284"/>
        </w:pPr>
        <w:rPr>
          <w:rFonts w:ascii="Calibri" w:hAnsi="Calibri" w:hint="default"/>
          <w:color w:val="auto"/>
        </w:rPr>
      </w:lvl>
    </w:lvlOverride>
    <w:lvlOverride w:ilvl="3">
      <w:lvl w:ilvl="3">
        <w:start w:val="1"/>
        <w:numFmt w:val="bullet"/>
        <w:lvlText w:val="▫"/>
        <w:lvlJc w:val="left"/>
        <w:pPr>
          <w:ind w:left="1136" w:hanging="284"/>
        </w:pPr>
        <w:rPr>
          <w:rFonts w:ascii="Calibri" w:hAnsi="Calibri" w:hint="default"/>
          <w:color w:val="auto"/>
        </w:rPr>
      </w:lvl>
    </w:lvlOverride>
    <w:lvlOverride w:ilvl="4">
      <w:lvl w:ilvl="4">
        <w:start w:val="1"/>
        <w:numFmt w:val="bullet"/>
        <w:lvlText w:val="—"/>
        <w:lvlJc w:val="left"/>
        <w:pPr>
          <w:ind w:left="1420" w:hanging="284"/>
        </w:pPr>
        <w:rPr>
          <w:rFonts w:ascii="Calibri" w:hAnsi="Calibri" w:hint="default"/>
          <w:color w:val="auto"/>
        </w:rPr>
      </w:lvl>
    </w:lvlOverride>
    <w:lvlOverride w:ilvl="5">
      <w:lvl w:ilvl="5">
        <w:start w:val="1"/>
        <w:numFmt w:val="bullet"/>
        <w:lvlText w:val="»"/>
        <w:lvlJc w:val="left"/>
        <w:pPr>
          <w:ind w:left="1704" w:hanging="284"/>
        </w:pPr>
        <w:rPr>
          <w:rFonts w:ascii="Calibri" w:hAnsi="Calibri" w:hint="default"/>
          <w:color w:val="auto"/>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9">
    <w:abstractNumId w:val="73"/>
  </w:num>
  <w:num w:numId="40">
    <w:abstractNumId w:val="46"/>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1">
    <w:abstractNumId w:val="39"/>
  </w:num>
  <w:num w:numId="42">
    <w:abstractNumId w:val="46"/>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3">
    <w:abstractNumId w:val="48"/>
  </w:num>
  <w:num w:numId="44">
    <w:abstractNumId w:val="60"/>
  </w:num>
  <w:num w:numId="45">
    <w:abstractNumId w:val="31"/>
  </w:num>
  <w:num w:numId="46">
    <w:abstractNumId w:val="5"/>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79"/>
  </w:num>
  <w:num w:numId="50">
    <w:abstractNumId w:val="18"/>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56"/>
  </w:num>
  <w:num w:numId="54">
    <w:abstractNumId w:val="33"/>
  </w:num>
  <w:num w:numId="55">
    <w:abstractNumId w:val="35"/>
  </w:num>
  <w:num w:numId="56">
    <w:abstractNumId w:val="66"/>
  </w:num>
  <w:num w:numId="57">
    <w:abstractNumId w:val="54"/>
  </w:num>
  <w:num w:numId="58">
    <w:abstractNumId w:val="61"/>
  </w:num>
  <w:num w:numId="59">
    <w:abstractNumId w:val="77"/>
  </w:num>
  <w:num w:numId="60">
    <w:abstractNumId w:val="22"/>
  </w:num>
  <w:num w:numId="61">
    <w:abstractNumId w:val="19"/>
  </w:num>
  <w:num w:numId="62">
    <w:abstractNumId w:val="55"/>
  </w:num>
  <w:num w:numId="63">
    <w:abstractNumId w:val="2"/>
  </w:num>
  <w:num w:numId="64">
    <w:abstractNumId w:val="24"/>
  </w:num>
  <w:num w:numId="65">
    <w:abstractNumId w:val="37"/>
  </w:num>
  <w:num w:numId="66">
    <w:abstractNumId w:val="28"/>
  </w:num>
  <w:num w:numId="67">
    <w:abstractNumId w:val="0"/>
  </w:num>
  <w:num w:numId="68">
    <w:abstractNumId w:val="59"/>
  </w:num>
  <w:num w:numId="69">
    <w:abstractNumId w:val="75"/>
  </w:num>
  <w:num w:numId="70">
    <w:abstractNumId w:val="41"/>
  </w:num>
  <w:num w:numId="71">
    <w:abstractNumId w:val="27"/>
  </w:num>
  <w:num w:numId="72">
    <w:abstractNumId w:val="52"/>
  </w:num>
  <w:num w:numId="73">
    <w:abstractNumId w:val="44"/>
  </w:num>
  <w:num w:numId="74">
    <w:abstractNumId w:val="74"/>
  </w:num>
  <w:num w:numId="75">
    <w:abstractNumId w:val="40"/>
  </w:num>
  <w:num w:numId="76">
    <w:abstractNumId w:val="76"/>
  </w:num>
  <w:num w:numId="77">
    <w:abstractNumId w:val="36"/>
  </w:num>
  <w:num w:numId="78">
    <w:abstractNumId w:val="49"/>
  </w:num>
  <w:num w:numId="79">
    <w:abstractNumId w:val="71"/>
  </w:num>
  <w:num w:numId="80">
    <w:abstractNumId w:val="16"/>
  </w:num>
  <w:num w:numId="81">
    <w:abstractNumId w:val="11"/>
  </w:num>
  <w:num w:numId="82">
    <w:abstractNumId w:val="43"/>
  </w:num>
  <w:num w:numId="83">
    <w:abstractNumId w:val="4"/>
  </w:num>
  <w:num w:numId="84">
    <w:abstractNumId w:val="25"/>
  </w:num>
  <w:num w:numId="85">
    <w:abstractNumId w:val="51"/>
  </w:num>
  <w:num w:numId="86">
    <w:abstractNumId w:val="4"/>
    <w:lvlOverride w:ilvl="0">
      <w:startOverride w:val="1"/>
    </w:lvlOverride>
  </w:num>
  <w:num w:numId="87">
    <w:abstractNumId w:val="64"/>
  </w:num>
  <w:num w:numId="88">
    <w:abstractNumId w:val="53"/>
  </w:num>
  <w:num w:numId="89">
    <w:abstractNumId w:val="47"/>
  </w:num>
  <w:num w:numId="90">
    <w:abstractNumId w:val="17"/>
  </w:num>
  <w:num w:numId="91">
    <w:abstractNumId w:val="65"/>
  </w:num>
  <w:num w:numId="92">
    <w:abstractNumId w:val="9"/>
  </w:num>
  <w:num w:numId="93">
    <w:abstractNumId w:val="1"/>
    <w:lvlOverride w:ilvl="0">
      <w:lvl w:ilvl="0">
        <w:start w:val="1"/>
        <w:numFmt w:val="upperLetter"/>
        <w:lvlText w:val="Appendix %1"/>
        <w:lvlJc w:val="left"/>
        <w:pPr>
          <w:tabs>
            <w:tab w:val="num" w:pos="2410"/>
          </w:tabs>
          <w:ind w:left="2410" w:hanging="241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hideSpellingErrors/>
  <w:hideGrammaticalErrors/>
  <w:proofState w:spelling="clean" w:grammar="clean"/>
  <w:defaultTabStop w:val="34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6AD"/>
    <w:rsid w:val="00001567"/>
    <w:rsid w:val="00001B26"/>
    <w:rsid w:val="000021CF"/>
    <w:rsid w:val="00002C1F"/>
    <w:rsid w:val="00003344"/>
    <w:rsid w:val="000039EC"/>
    <w:rsid w:val="00003ACF"/>
    <w:rsid w:val="00003CF2"/>
    <w:rsid w:val="00003F50"/>
    <w:rsid w:val="00004393"/>
    <w:rsid w:val="00004D82"/>
    <w:rsid w:val="00005E2B"/>
    <w:rsid w:val="00006DA4"/>
    <w:rsid w:val="000074E6"/>
    <w:rsid w:val="00007634"/>
    <w:rsid w:val="00007667"/>
    <w:rsid w:val="00007FBA"/>
    <w:rsid w:val="0001108A"/>
    <w:rsid w:val="000118E6"/>
    <w:rsid w:val="00011E7B"/>
    <w:rsid w:val="000120A2"/>
    <w:rsid w:val="000126E2"/>
    <w:rsid w:val="0001274E"/>
    <w:rsid w:val="00012ABC"/>
    <w:rsid w:val="000131CF"/>
    <w:rsid w:val="00013879"/>
    <w:rsid w:val="00013D4E"/>
    <w:rsid w:val="0001430B"/>
    <w:rsid w:val="00014D1D"/>
    <w:rsid w:val="000150C0"/>
    <w:rsid w:val="0001512E"/>
    <w:rsid w:val="000151A3"/>
    <w:rsid w:val="00015E30"/>
    <w:rsid w:val="0001778F"/>
    <w:rsid w:val="000179FA"/>
    <w:rsid w:val="000206BC"/>
    <w:rsid w:val="0002173B"/>
    <w:rsid w:val="00022247"/>
    <w:rsid w:val="0002277E"/>
    <w:rsid w:val="0002330A"/>
    <w:rsid w:val="000233BC"/>
    <w:rsid w:val="000248F9"/>
    <w:rsid w:val="00024D04"/>
    <w:rsid w:val="00025153"/>
    <w:rsid w:val="00026744"/>
    <w:rsid w:val="00026B6E"/>
    <w:rsid w:val="000271B7"/>
    <w:rsid w:val="0002738F"/>
    <w:rsid w:val="00027994"/>
    <w:rsid w:val="00030207"/>
    <w:rsid w:val="000306A0"/>
    <w:rsid w:val="000308CF"/>
    <w:rsid w:val="00030A6A"/>
    <w:rsid w:val="00030AEA"/>
    <w:rsid w:val="00033532"/>
    <w:rsid w:val="00033B7E"/>
    <w:rsid w:val="00033C15"/>
    <w:rsid w:val="00033FBA"/>
    <w:rsid w:val="00034052"/>
    <w:rsid w:val="00034A58"/>
    <w:rsid w:val="00034AD3"/>
    <w:rsid w:val="00035E18"/>
    <w:rsid w:val="000360F9"/>
    <w:rsid w:val="00036515"/>
    <w:rsid w:val="0003671B"/>
    <w:rsid w:val="00036D76"/>
    <w:rsid w:val="00037653"/>
    <w:rsid w:val="00040252"/>
    <w:rsid w:val="000404F6"/>
    <w:rsid w:val="00040C02"/>
    <w:rsid w:val="000411D5"/>
    <w:rsid w:val="00041608"/>
    <w:rsid w:val="00041A6D"/>
    <w:rsid w:val="00041AED"/>
    <w:rsid w:val="00041EE0"/>
    <w:rsid w:val="00042060"/>
    <w:rsid w:val="000420A0"/>
    <w:rsid w:val="0004281A"/>
    <w:rsid w:val="00042BF9"/>
    <w:rsid w:val="000431FB"/>
    <w:rsid w:val="00043BA4"/>
    <w:rsid w:val="000443CD"/>
    <w:rsid w:val="00044540"/>
    <w:rsid w:val="00044A90"/>
    <w:rsid w:val="00044B73"/>
    <w:rsid w:val="00045453"/>
    <w:rsid w:val="00045ABE"/>
    <w:rsid w:val="00046393"/>
    <w:rsid w:val="0004658C"/>
    <w:rsid w:val="00046B5E"/>
    <w:rsid w:val="000477B7"/>
    <w:rsid w:val="00047B86"/>
    <w:rsid w:val="00050051"/>
    <w:rsid w:val="00050609"/>
    <w:rsid w:val="00050DE8"/>
    <w:rsid w:val="00050F30"/>
    <w:rsid w:val="00050F3D"/>
    <w:rsid w:val="00053056"/>
    <w:rsid w:val="0005325E"/>
    <w:rsid w:val="00053277"/>
    <w:rsid w:val="00053C2B"/>
    <w:rsid w:val="000548A0"/>
    <w:rsid w:val="0005586D"/>
    <w:rsid w:val="00055971"/>
    <w:rsid w:val="00055B7C"/>
    <w:rsid w:val="00055FAD"/>
    <w:rsid w:val="0005600D"/>
    <w:rsid w:val="00056CD3"/>
    <w:rsid w:val="00056D61"/>
    <w:rsid w:val="00056ECB"/>
    <w:rsid w:val="00057158"/>
    <w:rsid w:val="000603AA"/>
    <w:rsid w:val="0006043B"/>
    <w:rsid w:val="00060498"/>
    <w:rsid w:val="000606B3"/>
    <w:rsid w:val="00060B3C"/>
    <w:rsid w:val="00062168"/>
    <w:rsid w:val="00062233"/>
    <w:rsid w:val="00064530"/>
    <w:rsid w:val="00064E5D"/>
    <w:rsid w:val="00065306"/>
    <w:rsid w:val="00065A99"/>
    <w:rsid w:val="00065B66"/>
    <w:rsid w:val="000668C2"/>
    <w:rsid w:val="000670EE"/>
    <w:rsid w:val="000676D1"/>
    <w:rsid w:val="00070381"/>
    <w:rsid w:val="00070B6D"/>
    <w:rsid w:val="00071228"/>
    <w:rsid w:val="00071640"/>
    <w:rsid w:val="00071788"/>
    <w:rsid w:val="00071AFE"/>
    <w:rsid w:val="00071B02"/>
    <w:rsid w:val="00071F45"/>
    <w:rsid w:val="00074961"/>
    <w:rsid w:val="000758CF"/>
    <w:rsid w:val="00077716"/>
    <w:rsid w:val="000804AD"/>
    <w:rsid w:val="00081AA4"/>
    <w:rsid w:val="00081B8B"/>
    <w:rsid w:val="00082135"/>
    <w:rsid w:val="0008305E"/>
    <w:rsid w:val="00083E4F"/>
    <w:rsid w:val="00084430"/>
    <w:rsid w:val="000851AF"/>
    <w:rsid w:val="000852D1"/>
    <w:rsid w:val="0008538D"/>
    <w:rsid w:val="00085462"/>
    <w:rsid w:val="00085622"/>
    <w:rsid w:val="000856E9"/>
    <w:rsid w:val="00085CC9"/>
    <w:rsid w:val="000860C4"/>
    <w:rsid w:val="00086CC9"/>
    <w:rsid w:val="000874E4"/>
    <w:rsid w:val="00090446"/>
    <w:rsid w:val="0009055C"/>
    <w:rsid w:val="00090603"/>
    <w:rsid w:val="00090EC8"/>
    <w:rsid w:val="00091022"/>
    <w:rsid w:val="000910B7"/>
    <w:rsid w:val="0009119B"/>
    <w:rsid w:val="00091A84"/>
    <w:rsid w:val="00091D13"/>
    <w:rsid w:val="00092874"/>
    <w:rsid w:val="00092EF0"/>
    <w:rsid w:val="000938AB"/>
    <w:rsid w:val="00093964"/>
    <w:rsid w:val="00094693"/>
    <w:rsid w:val="00094AED"/>
    <w:rsid w:val="0009690C"/>
    <w:rsid w:val="00097074"/>
    <w:rsid w:val="00097C30"/>
    <w:rsid w:val="00097DB5"/>
    <w:rsid w:val="000A0D2C"/>
    <w:rsid w:val="000A0EB7"/>
    <w:rsid w:val="000A10DB"/>
    <w:rsid w:val="000A19FA"/>
    <w:rsid w:val="000A1C98"/>
    <w:rsid w:val="000A1DF8"/>
    <w:rsid w:val="000A3A4D"/>
    <w:rsid w:val="000A55DB"/>
    <w:rsid w:val="000A5AE3"/>
    <w:rsid w:val="000A6675"/>
    <w:rsid w:val="000A7DD7"/>
    <w:rsid w:val="000A7F9C"/>
    <w:rsid w:val="000B1F17"/>
    <w:rsid w:val="000B29EB"/>
    <w:rsid w:val="000B372E"/>
    <w:rsid w:val="000B3805"/>
    <w:rsid w:val="000B3C51"/>
    <w:rsid w:val="000B3CD7"/>
    <w:rsid w:val="000B3DF0"/>
    <w:rsid w:val="000B46D4"/>
    <w:rsid w:val="000B4BB0"/>
    <w:rsid w:val="000B521D"/>
    <w:rsid w:val="000B5EFA"/>
    <w:rsid w:val="000B61A1"/>
    <w:rsid w:val="000B652C"/>
    <w:rsid w:val="000B6729"/>
    <w:rsid w:val="000B6B0F"/>
    <w:rsid w:val="000B6BB3"/>
    <w:rsid w:val="000B6E6A"/>
    <w:rsid w:val="000B73EB"/>
    <w:rsid w:val="000B784A"/>
    <w:rsid w:val="000B7973"/>
    <w:rsid w:val="000C017A"/>
    <w:rsid w:val="000C1257"/>
    <w:rsid w:val="000C17C2"/>
    <w:rsid w:val="000C1AC6"/>
    <w:rsid w:val="000C2986"/>
    <w:rsid w:val="000C2A8F"/>
    <w:rsid w:val="000C2AB6"/>
    <w:rsid w:val="000C2ECF"/>
    <w:rsid w:val="000C32E7"/>
    <w:rsid w:val="000C3B08"/>
    <w:rsid w:val="000C3CD0"/>
    <w:rsid w:val="000C5069"/>
    <w:rsid w:val="000C54DA"/>
    <w:rsid w:val="000C5E51"/>
    <w:rsid w:val="000C601C"/>
    <w:rsid w:val="000C6044"/>
    <w:rsid w:val="000C6BB7"/>
    <w:rsid w:val="000C6DC0"/>
    <w:rsid w:val="000C7A24"/>
    <w:rsid w:val="000D016C"/>
    <w:rsid w:val="000D0F4A"/>
    <w:rsid w:val="000D1315"/>
    <w:rsid w:val="000D1D80"/>
    <w:rsid w:val="000D20B9"/>
    <w:rsid w:val="000D21EE"/>
    <w:rsid w:val="000D22B5"/>
    <w:rsid w:val="000D25AA"/>
    <w:rsid w:val="000D2AED"/>
    <w:rsid w:val="000D3271"/>
    <w:rsid w:val="000D32B5"/>
    <w:rsid w:val="000D3911"/>
    <w:rsid w:val="000D4B1C"/>
    <w:rsid w:val="000D4DA2"/>
    <w:rsid w:val="000D5324"/>
    <w:rsid w:val="000D56E9"/>
    <w:rsid w:val="000D64DD"/>
    <w:rsid w:val="000D6FF2"/>
    <w:rsid w:val="000D7194"/>
    <w:rsid w:val="000D7248"/>
    <w:rsid w:val="000D76EE"/>
    <w:rsid w:val="000E0DCC"/>
    <w:rsid w:val="000E160C"/>
    <w:rsid w:val="000E24BA"/>
    <w:rsid w:val="000E42C6"/>
    <w:rsid w:val="000E4C62"/>
    <w:rsid w:val="000E4E88"/>
    <w:rsid w:val="000E544A"/>
    <w:rsid w:val="000E5674"/>
    <w:rsid w:val="000E5B1A"/>
    <w:rsid w:val="000E639A"/>
    <w:rsid w:val="000E780F"/>
    <w:rsid w:val="000E7EBD"/>
    <w:rsid w:val="000F0568"/>
    <w:rsid w:val="000F0B93"/>
    <w:rsid w:val="000F124D"/>
    <w:rsid w:val="000F18E0"/>
    <w:rsid w:val="000F1B96"/>
    <w:rsid w:val="000F4FAA"/>
    <w:rsid w:val="000F5008"/>
    <w:rsid w:val="000F5030"/>
    <w:rsid w:val="000F530A"/>
    <w:rsid w:val="000F5356"/>
    <w:rsid w:val="000F5A59"/>
    <w:rsid w:val="000F5B09"/>
    <w:rsid w:val="000F5D72"/>
    <w:rsid w:val="000F6E4D"/>
    <w:rsid w:val="0010181D"/>
    <w:rsid w:val="0010248E"/>
    <w:rsid w:val="001033AD"/>
    <w:rsid w:val="001035CB"/>
    <w:rsid w:val="001047DD"/>
    <w:rsid w:val="0010637F"/>
    <w:rsid w:val="00106450"/>
    <w:rsid w:val="001073A1"/>
    <w:rsid w:val="001079B9"/>
    <w:rsid w:val="00107F25"/>
    <w:rsid w:val="001100FF"/>
    <w:rsid w:val="00110215"/>
    <w:rsid w:val="001103B6"/>
    <w:rsid w:val="00111346"/>
    <w:rsid w:val="00111955"/>
    <w:rsid w:val="001119D5"/>
    <w:rsid w:val="00111FAE"/>
    <w:rsid w:val="00112418"/>
    <w:rsid w:val="001128A8"/>
    <w:rsid w:val="001141C4"/>
    <w:rsid w:val="001144EE"/>
    <w:rsid w:val="00114780"/>
    <w:rsid w:val="001148D3"/>
    <w:rsid w:val="00114B1A"/>
    <w:rsid w:val="00114BD0"/>
    <w:rsid w:val="00115143"/>
    <w:rsid w:val="0011554D"/>
    <w:rsid w:val="0011579B"/>
    <w:rsid w:val="00115CA7"/>
    <w:rsid w:val="0011647F"/>
    <w:rsid w:val="001168FB"/>
    <w:rsid w:val="00116C09"/>
    <w:rsid w:val="00117361"/>
    <w:rsid w:val="00117A3C"/>
    <w:rsid w:val="00117C5A"/>
    <w:rsid w:val="00120447"/>
    <w:rsid w:val="0012097A"/>
    <w:rsid w:val="00120C6B"/>
    <w:rsid w:val="00120E88"/>
    <w:rsid w:val="00121711"/>
    <w:rsid w:val="00121C62"/>
    <w:rsid w:val="00122126"/>
    <w:rsid w:val="00122567"/>
    <w:rsid w:val="001229EC"/>
    <w:rsid w:val="001243B4"/>
    <w:rsid w:val="0012440B"/>
    <w:rsid w:val="00124838"/>
    <w:rsid w:val="00125136"/>
    <w:rsid w:val="00125654"/>
    <w:rsid w:val="0012578C"/>
    <w:rsid w:val="00125A8E"/>
    <w:rsid w:val="00125C88"/>
    <w:rsid w:val="00126410"/>
    <w:rsid w:val="0012649D"/>
    <w:rsid w:val="0012775D"/>
    <w:rsid w:val="00127935"/>
    <w:rsid w:val="00127D76"/>
    <w:rsid w:val="00127F5D"/>
    <w:rsid w:val="0013026D"/>
    <w:rsid w:val="00130859"/>
    <w:rsid w:val="0013089D"/>
    <w:rsid w:val="0013161F"/>
    <w:rsid w:val="00131B32"/>
    <w:rsid w:val="0013211D"/>
    <w:rsid w:val="00132946"/>
    <w:rsid w:val="00133C19"/>
    <w:rsid w:val="001349C6"/>
    <w:rsid w:val="00134ABB"/>
    <w:rsid w:val="00134ED8"/>
    <w:rsid w:val="00135B52"/>
    <w:rsid w:val="00136719"/>
    <w:rsid w:val="00136F63"/>
    <w:rsid w:val="00137B66"/>
    <w:rsid w:val="00137D5E"/>
    <w:rsid w:val="0014298E"/>
    <w:rsid w:val="001432AE"/>
    <w:rsid w:val="00143BFE"/>
    <w:rsid w:val="00144486"/>
    <w:rsid w:val="00144725"/>
    <w:rsid w:val="00144913"/>
    <w:rsid w:val="00144F90"/>
    <w:rsid w:val="001450BA"/>
    <w:rsid w:val="001450E2"/>
    <w:rsid w:val="00145811"/>
    <w:rsid w:val="001458E9"/>
    <w:rsid w:val="00146363"/>
    <w:rsid w:val="00146DEB"/>
    <w:rsid w:val="001478E9"/>
    <w:rsid w:val="0014790B"/>
    <w:rsid w:val="00147E6E"/>
    <w:rsid w:val="00150EAF"/>
    <w:rsid w:val="00151384"/>
    <w:rsid w:val="00151AD0"/>
    <w:rsid w:val="00152595"/>
    <w:rsid w:val="00152EEB"/>
    <w:rsid w:val="0015425C"/>
    <w:rsid w:val="001543B8"/>
    <w:rsid w:val="001543D9"/>
    <w:rsid w:val="001554F6"/>
    <w:rsid w:val="00155E9E"/>
    <w:rsid w:val="001569BE"/>
    <w:rsid w:val="00156B43"/>
    <w:rsid w:val="00160041"/>
    <w:rsid w:val="00160260"/>
    <w:rsid w:val="001602E1"/>
    <w:rsid w:val="001614F7"/>
    <w:rsid w:val="0016177C"/>
    <w:rsid w:val="00162350"/>
    <w:rsid w:val="0016249B"/>
    <w:rsid w:val="001626EF"/>
    <w:rsid w:val="00162CAF"/>
    <w:rsid w:val="0016354D"/>
    <w:rsid w:val="00163D15"/>
    <w:rsid w:val="0016406E"/>
    <w:rsid w:val="00164075"/>
    <w:rsid w:val="001640F6"/>
    <w:rsid w:val="00164159"/>
    <w:rsid w:val="00164A05"/>
    <w:rsid w:val="00166617"/>
    <w:rsid w:val="00166833"/>
    <w:rsid w:val="00166BC4"/>
    <w:rsid w:val="00167271"/>
    <w:rsid w:val="00167D04"/>
    <w:rsid w:val="00167DF3"/>
    <w:rsid w:val="00170998"/>
    <w:rsid w:val="00171935"/>
    <w:rsid w:val="00172672"/>
    <w:rsid w:val="00172BFA"/>
    <w:rsid w:val="00173328"/>
    <w:rsid w:val="00173D4F"/>
    <w:rsid w:val="00173E70"/>
    <w:rsid w:val="00174171"/>
    <w:rsid w:val="001743D7"/>
    <w:rsid w:val="00174BF2"/>
    <w:rsid w:val="00174D1C"/>
    <w:rsid w:val="00174EC2"/>
    <w:rsid w:val="00175931"/>
    <w:rsid w:val="00175E92"/>
    <w:rsid w:val="0017627C"/>
    <w:rsid w:val="00176512"/>
    <w:rsid w:val="00176843"/>
    <w:rsid w:val="00176F2F"/>
    <w:rsid w:val="00177EF5"/>
    <w:rsid w:val="00180904"/>
    <w:rsid w:val="00180EF6"/>
    <w:rsid w:val="001812BF"/>
    <w:rsid w:val="00181B98"/>
    <w:rsid w:val="00183585"/>
    <w:rsid w:val="00183C43"/>
    <w:rsid w:val="00185919"/>
    <w:rsid w:val="00186988"/>
    <w:rsid w:val="00187698"/>
    <w:rsid w:val="001904D2"/>
    <w:rsid w:val="00191296"/>
    <w:rsid w:val="0019132A"/>
    <w:rsid w:val="00191856"/>
    <w:rsid w:val="00191D60"/>
    <w:rsid w:val="001922BD"/>
    <w:rsid w:val="00192553"/>
    <w:rsid w:val="00192CB0"/>
    <w:rsid w:val="00194071"/>
    <w:rsid w:val="00194F3A"/>
    <w:rsid w:val="00195087"/>
    <w:rsid w:val="00195EE9"/>
    <w:rsid w:val="00195F03"/>
    <w:rsid w:val="0019635A"/>
    <w:rsid w:val="001972C6"/>
    <w:rsid w:val="00197A56"/>
    <w:rsid w:val="00197BA7"/>
    <w:rsid w:val="00197DAC"/>
    <w:rsid w:val="00197FFB"/>
    <w:rsid w:val="001A0096"/>
    <w:rsid w:val="001A13D0"/>
    <w:rsid w:val="001A1988"/>
    <w:rsid w:val="001A28F9"/>
    <w:rsid w:val="001A3703"/>
    <w:rsid w:val="001A3B39"/>
    <w:rsid w:val="001A3BD6"/>
    <w:rsid w:val="001A3C46"/>
    <w:rsid w:val="001A4DD0"/>
    <w:rsid w:val="001A68C5"/>
    <w:rsid w:val="001A7411"/>
    <w:rsid w:val="001B0607"/>
    <w:rsid w:val="001B0996"/>
    <w:rsid w:val="001B0F03"/>
    <w:rsid w:val="001B1236"/>
    <w:rsid w:val="001B13AA"/>
    <w:rsid w:val="001B13B3"/>
    <w:rsid w:val="001B25E6"/>
    <w:rsid w:val="001B2D80"/>
    <w:rsid w:val="001B495C"/>
    <w:rsid w:val="001B4CB6"/>
    <w:rsid w:val="001B5F45"/>
    <w:rsid w:val="001B763A"/>
    <w:rsid w:val="001B78EF"/>
    <w:rsid w:val="001B7E3F"/>
    <w:rsid w:val="001C0769"/>
    <w:rsid w:val="001C0B42"/>
    <w:rsid w:val="001C0DFD"/>
    <w:rsid w:val="001C1CBC"/>
    <w:rsid w:val="001C31DE"/>
    <w:rsid w:val="001C34C7"/>
    <w:rsid w:val="001C37FB"/>
    <w:rsid w:val="001C3CA6"/>
    <w:rsid w:val="001C41BD"/>
    <w:rsid w:val="001C43ED"/>
    <w:rsid w:val="001C4E24"/>
    <w:rsid w:val="001C5C07"/>
    <w:rsid w:val="001C6FB2"/>
    <w:rsid w:val="001C73E1"/>
    <w:rsid w:val="001D08B7"/>
    <w:rsid w:val="001D2011"/>
    <w:rsid w:val="001D2336"/>
    <w:rsid w:val="001D38FC"/>
    <w:rsid w:val="001D3BCF"/>
    <w:rsid w:val="001D4537"/>
    <w:rsid w:val="001D4BAB"/>
    <w:rsid w:val="001D718D"/>
    <w:rsid w:val="001D79A4"/>
    <w:rsid w:val="001E09F7"/>
    <w:rsid w:val="001E156C"/>
    <w:rsid w:val="001E1BA6"/>
    <w:rsid w:val="001E2650"/>
    <w:rsid w:val="001E35C9"/>
    <w:rsid w:val="001E3B0F"/>
    <w:rsid w:val="001E41B0"/>
    <w:rsid w:val="001E4DAE"/>
    <w:rsid w:val="001E6050"/>
    <w:rsid w:val="001E6810"/>
    <w:rsid w:val="001F06E7"/>
    <w:rsid w:val="001F07B1"/>
    <w:rsid w:val="001F292A"/>
    <w:rsid w:val="001F3B10"/>
    <w:rsid w:val="001F693D"/>
    <w:rsid w:val="001F76CB"/>
    <w:rsid w:val="001F7AB9"/>
    <w:rsid w:val="001F7E8D"/>
    <w:rsid w:val="00200F57"/>
    <w:rsid w:val="002019D7"/>
    <w:rsid w:val="00201BF9"/>
    <w:rsid w:val="002023BF"/>
    <w:rsid w:val="00202907"/>
    <w:rsid w:val="00203013"/>
    <w:rsid w:val="0020323C"/>
    <w:rsid w:val="00205028"/>
    <w:rsid w:val="002054F1"/>
    <w:rsid w:val="00206410"/>
    <w:rsid w:val="00206837"/>
    <w:rsid w:val="002103C4"/>
    <w:rsid w:val="002112A6"/>
    <w:rsid w:val="00211801"/>
    <w:rsid w:val="00212E16"/>
    <w:rsid w:val="002133CD"/>
    <w:rsid w:val="00213965"/>
    <w:rsid w:val="00213E3D"/>
    <w:rsid w:val="00213F67"/>
    <w:rsid w:val="00214BF6"/>
    <w:rsid w:val="00215141"/>
    <w:rsid w:val="00215C67"/>
    <w:rsid w:val="002168B1"/>
    <w:rsid w:val="00216902"/>
    <w:rsid w:val="00216CEC"/>
    <w:rsid w:val="00216DD8"/>
    <w:rsid w:val="00217097"/>
    <w:rsid w:val="00217290"/>
    <w:rsid w:val="002174FF"/>
    <w:rsid w:val="00217C9B"/>
    <w:rsid w:val="00217F90"/>
    <w:rsid w:val="0022064A"/>
    <w:rsid w:val="002210EE"/>
    <w:rsid w:val="002218D5"/>
    <w:rsid w:val="00223F09"/>
    <w:rsid w:val="002246F5"/>
    <w:rsid w:val="0022480C"/>
    <w:rsid w:val="002250AB"/>
    <w:rsid w:val="002253FE"/>
    <w:rsid w:val="002254D5"/>
    <w:rsid w:val="0022611D"/>
    <w:rsid w:val="00226D06"/>
    <w:rsid w:val="00226F55"/>
    <w:rsid w:val="0022783D"/>
    <w:rsid w:val="0023087C"/>
    <w:rsid w:val="002310C0"/>
    <w:rsid w:val="0023124D"/>
    <w:rsid w:val="0023262A"/>
    <w:rsid w:val="002327CB"/>
    <w:rsid w:val="00232FA5"/>
    <w:rsid w:val="00233166"/>
    <w:rsid w:val="00234460"/>
    <w:rsid w:val="00234529"/>
    <w:rsid w:val="00234F1A"/>
    <w:rsid w:val="002358FE"/>
    <w:rsid w:val="002359BD"/>
    <w:rsid w:val="00235B1D"/>
    <w:rsid w:val="00235C4A"/>
    <w:rsid w:val="00236D0A"/>
    <w:rsid w:val="00236D95"/>
    <w:rsid w:val="00237D88"/>
    <w:rsid w:val="00240432"/>
    <w:rsid w:val="002408C7"/>
    <w:rsid w:val="0024221C"/>
    <w:rsid w:val="0024270A"/>
    <w:rsid w:val="00243707"/>
    <w:rsid w:val="00244610"/>
    <w:rsid w:val="00244A67"/>
    <w:rsid w:val="002452D8"/>
    <w:rsid w:val="00245DEB"/>
    <w:rsid w:val="00247806"/>
    <w:rsid w:val="00250522"/>
    <w:rsid w:val="00250EFB"/>
    <w:rsid w:val="00250FE3"/>
    <w:rsid w:val="002519AD"/>
    <w:rsid w:val="0025215C"/>
    <w:rsid w:val="00252AD5"/>
    <w:rsid w:val="0025314A"/>
    <w:rsid w:val="0025347F"/>
    <w:rsid w:val="00253642"/>
    <w:rsid w:val="00253937"/>
    <w:rsid w:val="0025431D"/>
    <w:rsid w:val="002553A0"/>
    <w:rsid w:val="0025613C"/>
    <w:rsid w:val="0025667A"/>
    <w:rsid w:val="002570D3"/>
    <w:rsid w:val="00257112"/>
    <w:rsid w:val="00257D17"/>
    <w:rsid w:val="00257E51"/>
    <w:rsid w:val="00257E8E"/>
    <w:rsid w:val="00260248"/>
    <w:rsid w:val="002602D9"/>
    <w:rsid w:val="00261967"/>
    <w:rsid w:val="00262533"/>
    <w:rsid w:val="0026262B"/>
    <w:rsid w:val="00262774"/>
    <w:rsid w:val="00264085"/>
    <w:rsid w:val="0026447A"/>
    <w:rsid w:val="002647CB"/>
    <w:rsid w:val="002648F6"/>
    <w:rsid w:val="00264DD1"/>
    <w:rsid w:val="00266A6B"/>
    <w:rsid w:val="00266D31"/>
    <w:rsid w:val="00267050"/>
    <w:rsid w:val="002676E9"/>
    <w:rsid w:val="00267D10"/>
    <w:rsid w:val="00267F80"/>
    <w:rsid w:val="002702E9"/>
    <w:rsid w:val="00270A9B"/>
    <w:rsid w:val="00270B0C"/>
    <w:rsid w:val="002713B2"/>
    <w:rsid w:val="002721D5"/>
    <w:rsid w:val="0027221B"/>
    <w:rsid w:val="00274C1D"/>
    <w:rsid w:val="002769B2"/>
    <w:rsid w:val="00276ADF"/>
    <w:rsid w:val="00276BAF"/>
    <w:rsid w:val="00277958"/>
    <w:rsid w:val="00280224"/>
    <w:rsid w:val="002806E0"/>
    <w:rsid w:val="00280D43"/>
    <w:rsid w:val="00281135"/>
    <w:rsid w:val="00281D46"/>
    <w:rsid w:val="00281EAB"/>
    <w:rsid w:val="00283044"/>
    <w:rsid w:val="0028375E"/>
    <w:rsid w:val="00283BF1"/>
    <w:rsid w:val="00284164"/>
    <w:rsid w:val="00285C81"/>
    <w:rsid w:val="002864E8"/>
    <w:rsid w:val="00286E85"/>
    <w:rsid w:val="00287090"/>
    <w:rsid w:val="002903F2"/>
    <w:rsid w:val="002909BE"/>
    <w:rsid w:val="00290B3E"/>
    <w:rsid w:val="00291050"/>
    <w:rsid w:val="00291283"/>
    <w:rsid w:val="00292035"/>
    <w:rsid w:val="0029422B"/>
    <w:rsid w:val="002943C4"/>
    <w:rsid w:val="002959AA"/>
    <w:rsid w:val="00295A55"/>
    <w:rsid w:val="00296A7B"/>
    <w:rsid w:val="002976DD"/>
    <w:rsid w:val="002A0467"/>
    <w:rsid w:val="002A0A2D"/>
    <w:rsid w:val="002A11B3"/>
    <w:rsid w:val="002A1355"/>
    <w:rsid w:val="002A3B31"/>
    <w:rsid w:val="002A3D59"/>
    <w:rsid w:val="002A496E"/>
    <w:rsid w:val="002A5B2E"/>
    <w:rsid w:val="002A5E64"/>
    <w:rsid w:val="002A624E"/>
    <w:rsid w:val="002A638C"/>
    <w:rsid w:val="002A6402"/>
    <w:rsid w:val="002A6769"/>
    <w:rsid w:val="002A6ABD"/>
    <w:rsid w:val="002A6D71"/>
    <w:rsid w:val="002A7D4A"/>
    <w:rsid w:val="002B0051"/>
    <w:rsid w:val="002B14A5"/>
    <w:rsid w:val="002B186C"/>
    <w:rsid w:val="002B24B8"/>
    <w:rsid w:val="002B30DC"/>
    <w:rsid w:val="002B3190"/>
    <w:rsid w:val="002B3569"/>
    <w:rsid w:val="002B43B2"/>
    <w:rsid w:val="002B44A7"/>
    <w:rsid w:val="002B4CDE"/>
    <w:rsid w:val="002B5004"/>
    <w:rsid w:val="002B52A7"/>
    <w:rsid w:val="002B5BC2"/>
    <w:rsid w:val="002B5D38"/>
    <w:rsid w:val="002B6956"/>
    <w:rsid w:val="002B6AC7"/>
    <w:rsid w:val="002B7197"/>
    <w:rsid w:val="002B7593"/>
    <w:rsid w:val="002B7608"/>
    <w:rsid w:val="002B78B6"/>
    <w:rsid w:val="002B7A71"/>
    <w:rsid w:val="002B7F4C"/>
    <w:rsid w:val="002C005B"/>
    <w:rsid w:val="002C00C8"/>
    <w:rsid w:val="002C1585"/>
    <w:rsid w:val="002C16EA"/>
    <w:rsid w:val="002C1AB0"/>
    <w:rsid w:val="002C24D8"/>
    <w:rsid w:val="002C28C3"/>
    <w:rsid w:val="002C2DEF"/>
    <w:rsid w:val="002C3B46"/>
    <w:rsid w:val="002C45C3"/>
    <w:rsid w:val="002C468F"/>
    <w:rsid w:val="002C4968"/>
    <w:rsid w:val="002C4C7B"/>
    <w:rsid w:val="002C5144"/>
    <w:rsid w:val="002C5726"/>
    <w:rsid w:val="002C6DA4"/>
    <w:rsid w:val="002C6F0A"/>
    <w:rsid w:val="002C7A8B"/>
    <w:rsid w:val="002D2CDF"/>
    <w:rsid w:val="002D3A3C"/>
    <w:rsid w:val="002D3DC4"/>
    <w:rsid w:val="002D4497"/>
    <w:rsid w:val="002D4A92"/>
    <w:rsid w:val="002D50A6"/>
    <w:rsid w:val="002D5567"/>
    <w:rsid w:val="002D5DB9"/>
    <w:rsid w:val="002D6115"/>
    <w:rsid w:val="002D623F"/>
    <w:rsid w:val="002D728F"/>
    <w:rsid w:val="002D7327"/>
    <w:rsid w:val="002D7457"/>
    <w:rsid w:val="002D7939"/>
    <w:rsid w:val="002D7DAD"/>
    <w:rsid w:val="002D7DE0"/>
    <w:rsid w:val="002D7F41"/>
    <w:rsid w:val="002E034E"/>
    <w:rsid w:val="002E0819"/>
    <w:rsid w:val="002E0FB6"/>
    <w:rsid w:val="002E117B"/>
    <w:rsid w:val="002E11CA"/>
    <w:rsid w:val="002E1ADA"/>
    <w:rsid w:val="002E23ED"/>
    <w:rsid w:val="002E26D3"/>
    <w:rsid w:val="002E2700"/>
    <w:rsid w:val="002E3026"/>
    <w:rsid w:val="002E371B"/>
    <w:rsid w:val="002E4553"/>
    <w:rsid w:val="002E45FD"/>
    <w:rsid w:val="002E506F"/>
    <w:rsid w:val="002E5BAB"/>
    <w:rsid w:val="002E67AF"/>
    <w:rsid w:val="002E67C4"/>
    <w:rsid w:val="002E7B9E"/>
    <w:rsid w:val="002F07C7"/>
    <w:rsid w:val="002F0F1B"/>
    <w:rsid w:val="002F16B9"/>
    <w:rsid w:val="002F23D2"/>
    <w:rsid w:val="002F35C5"/>
    <w:rsid w:val="002F3806"/>
    <w:rsid w:val="002F3BF4"/>
    <w:rsid w:val="002F497E"/>
    <w:rsid w:val="002F4A6E"/>
    <w:rsid w:val="002F4B37"/>
    <w:rsid w:val="002F5C2A"/>
    <w:rsid w:val="002F62AC"/>
    <w:rsid w:val="002F6354"/>
    <w:rsid w:val="002F651B"/>
    <w:rsid w:val="002F67B4"/>
    <w:rsid w:val="002F6E4D"/>
    <w:rsid w:val="002F6F94"/>
    <w:rsid w:val="002F73F6"/>
    <w:rsid w:val="003009EC"/>
    <w:rsid w:val="0030153A"/>
    <w:rsid w:val="00301BBC"/>
    <w:rsid w:val="00302773"/>
    <w:rsid w:val="00303B38"/>
    <w:rsid w:val="00303B5E"/>
    <w:rsid w:val="00303C47"/>
    <w:rsid w:val="00303DA5"/>
    <w:rsid w:val="00303FC6"/>
    <w:rsid w:val="00304CF3"/>
    <w:rsid w:val="00305061"/>
    <w:rsid w:val="00305F57"/>
    <w:rsid w:val="00306AC3"/>
    <w:rsid w:val="003071FF"/>
    <w:rsid w:val="00307EBF"/>
    <w:rsid w:val="003105E5"/>
    <w:rsid w:val="00310CFF"/>
    <w:rsid w:val="0031101D"/>
    <w:rsid w:val="003110AE"/>
    <w:rsid w:val="003113CC"/>
    <w:rsid w:val="00312DD8"/>
    <w:rsid w:val="00313785"/>
    <w:rsid w:val="003147B2"/>
    <w:rsid w:val="00314A68"/>
    <w:rsid w:val="0031530C"/>
    <w:rsid w:val="00315909"/>
    <w:rsid w:val="003159BB"/>
    <w:rsid w:val="00315F17"/>
    <w:rsid w:val="0031620E"/>
    <w:rsid w:val="003169E3"/>
    <w:rsid w:val="003176CC"/>
    <w:rsid w:val="0031778D"/>
    <w:rsid w:val="00317DB3"/>
    <w:rsid w:val="003204BB"/>
    <w:rsid w:val="00320E79"/>
    <w:rsid w:val="00320F71"/>
    <w:rsid w:val="00321738"/>
    <w:rsid w:val="00321C88"/>
    <w:rsid w:val="00321DEA"/>
    <w:rsid w:val="00321FEB"/>
    <w:rsid w:val="0032247F"/>
    <w:rsid w:val="00322F42"/>
    <w:rsid w:val="0032338C"/>
    <w:rsid w:val="0032380B"/>
    <w:rsid w:val="00323DD4"/>
    <w:rsid w:val="00323FF6"/>
    <w:rsid w:val="00324827"/>
    <w:rsid w:val="00325F77"/>
    <w:rsid w:val="003261CF"/>
    <w:rsid w:val="00326FD2"/>
    <w:rsid w:val="003278AB"/>
    <w:rsid w:val="00330B51"/>
    <w:rsid w:val="00332165"/>
    <w:rsid w:val="00332533"/>
    <w:rsid w:val="00332BB0"/>
    <w:rsid w:val="00332F16"/>
    <w:rsid w:val="00333D3D"/>
    <w:rsid w:val="0033432B"/>
    <w:rsid w:val="003343FD"/>
    <w:rsid w:val="003349C9"/>
    <w:rsid w:val="00335E95"/>
    <w:rsid w:val="0033693C"/>
    <w:rsid w:val="00336C9C"/>
    <w:rsid w:val="00337076"/>
    <w:rsid w:val="003371E9"/>
    <w:rsid w:val="003377E1"/>
    <w:rsid w:val="00337B6B"/>
    <w:rsid w:val="00337E48"/>
    <w:rsid w:val="00340192"/>
    <w:rsid w:val="00341F44"/>
    <w:rsid w:val="00342AD4"/>
    <w:rsid w:val="00343261"/>
    <w:rsid w:val="003435D5"/>
    <w:rsid w:val="003447C3"/>
    <w:rsid w:val="00344B23"/>
    <w:rsid w:val="00344ED0"/>
    <w:rsid w:val="00345892"/>
    <w:rsid w:val="0034594D"/>
    <w:rsid w:val="0034596F"/>
    <w:rsid w:val="00346147"/>
    <w:rsid w:val="003461DF"/>
    <w:rsid w:val="00346A4A"/>
    <w:rsid w:val="00346AEA"/>
    <w:rsid w:val="00346C53"/>
    <w:rsid w:val="00347BC2"/>
    <w:rsid w:val="00350CF7"/>
    <w:rsid w:val="00351D69"/>
    <w:rsid w:val="00352039"/>
    <w:rsid w:val="00352150"/>
    <w:rsid w:val="0035251B"/>
    <w:rsid w:val="00352C22"/>
    <w:rsid w:val="0035326D"/>
    <w:rsid w:val="003532D8"/>
    <w:rsid w:val="00353E02"/>
    <w:rsid w:val="003546E2"/>
    <w:rsid w:val="00354A20"/>
    <w:rsid w:val="00355341"/>
    <w:rsid w:val="003556F5"/>
    <w:rsid w:val="003568E3"/>
    <w:rsid w:val="003568EF"/>
    <w:rsid w:val="003569A0"/>
    <w:rsid w:val="00357395"/>
    <w:rsid w:val="0036018B"/>
    <w:rsid w:val="00361000"/>
    <w:rsid w:val="0036145C"/>
    <w:rsid w:val="00361475"/>
    <w:rsid w:val="003618B8"/>
    <w:rsid w:val="003622D6"/>
    <w:rsid w:val="00362706"/>
    <w:rsid w:val="00362791"/>
    <w:rsid w:val="00362B9F"/>
    <w:rsid w:val="00363533"/>
    <w:rsid w:val="00363E28"/>
    <w:rsid w:val="003648C1"/>
    <w:rsid w:val="003655B7"/>
    <w:rsid w:val="003666D9"/>
    <w:rsid w:val="003673ED"/>
    <w:rsid w:val="00367FC3"/>
    <w:rsid w:val="00370071"/>
    <w:rsid w:val="003702DF"/>
    <w:rsid w:val="0037147A"/>
    <w:rsid w:val="00371CD5"/>
    <w:rsid w:val="00371F45"/>
    <w:rsid w:val="003720E9"/>
    <w:rsid w:val="00372C61"/>
    <w:rsid w:val="00373A8C"/>
    <w:rsid w:val="00373AC2"/>
    <w:rsid w:val="00373B08"/>
    <w:rsid w:val="00376448"/>
    <w:rsid w:val="00376756"/>
    <w:rsid w:val="003774A7"/>
    <w:rsid w:val="00377627"/>
    <w:rsid w:val="00377781"/>
    <w:rsid w:val="0038050E"/>
    <w:rsid w:val="0038137D"/>
    <w:rsid w:val="003814B3"/>
    <w:rsid w:val="003814C1"/>
    <w:rsid w:val="003822C7"/>
    <w:rsid w:val="00383596"/>
    <w:rsid w:val="00383A74"/>
    <w:rsid w:val="00383BCA"/>
    <w:rsid w:val="0038416E"/>
    <w:rsid w:val="003845DE"/>
    <w:rsid w:val="00384836"/>
    <w:rsid w:val="00386F60"/>
    <w:rsid w:val="00387E43"/>
    <w:rsid w:val="003904FD"/>
    <w:rsid w:val="00390513"/>
    <w:rsid w:val="00390E82"/>
    <w:rsid w:val="0039123B"/>
    <w:rsid w:val="003927CF"/>
    <w:rsid w:val="003934FC"/>
    <w:rsid w:val="0039389C"/>
    <w:rsid w:val="00393C1B"/>
    <w:rsid w:val="00393E1E"/>
    <w:rsid w:val="003940A2"/>
    <w:rsid w:val="003940FC"/>
    <w:rsid w:val="0039464C"/>
    <w:rsid w:val="00395CFD"/>
    <w:rsid w:val="003964D3"/>
    <w:rsid w:val="00396737"/>
    <w:rsid w:val="00397727"/>
    <w:rsid w:val="003A01CA"/>
    <w:rsid w:val="003A03B3"/>
    <w:rsid w:val="003A0938"/>
    <w:rsid w:val="003A0ECE"/>
    <w:rsid w:val="003A12AB"/>
    <w:rsid w:val="003A28CE"/>
    <w:rsid w:val="003A2E8A"/>
    <w:rsid w:val="003A4C6E"/>
    <w:rsid w:val="003A55BC"/>
    <w:rsid w:val="003A6AF0"/>
    <w:rsid w:val="003A6C76"/>
    <w:rsid w:val="003A6DFA"/>
    <w:rsid w:val="003A703A"/>
    <w:rsid w:val="003A71A0"/>
    <w:rsid w:val="003A759B"/>
    <w:rsid w:val="003A7899"/>
    <w:rsid w:val="003A7C7C"/>
    <w:rsid w:val="003B1B00"/>
    <w:rsid w:val="003B1B9F"/>
    <w:rsid w:val="003B3229"/>
    <w:rsid w:val="003B3572"/>
    <w:rsid w:val="003B3B11"/>
    <w:rsid w:val="003B3BA8"/>
    <w:rsid w:val="003B3CAF"/>
    <w:rsid w:val="003B3CEE"/>
    <w:rsid w:val="003B3F53"/>
    <w:rsid w:val="003B4612"/>
    <w:rsid w:val="003B6A5B"/>
    <w:rsid w:val="003B6F6A"/>
    <w:rsid w:val="003C036C"/>
    <w:rsid w:val="003C05BD"/>
    <w:rsid w:val="003C1B61"/>
    <w:rsid w:val="003C1D09"/>
    <w:rsid w:val="003C2841"/>
    <w:rsid w:val="003C35BD"/>
    <w:rsid w:val="003C4621"/>
    <w:rsid w:val="003C498E"/>
    <w:rsid w:val="003C5F16"/>
    <w:rsid w:val="003C6183"/>
    <w:rsid w:val="003C625A"/>
    <w:rsid w:val="003C6E25"/>
    <w:rsid w:val="003C7556"/>
    <w:rsid w:val="003D06DB"/>
    <w:rsid w:val="003D0FCB"/>
    <w:rsid w:val="003D112A"/>
    <w:rsid w:val="003D12DC"/>
    <w:rsid w:val="003D1945"/>
    <w:rsid w:val="003D1D68"/>
    <w:rsid w:val="003D31D1"/>
    <w:rsid w:val="003D3978"/>
    <w:rsid w:val="003D39A1"/>
    <w:rsid w:val="003D3D12"/>
    <w:rsid w:val="003D4751"/>
    <w:rsid w:val="003D4BF3"/>
    <w:rsid w:val="003D51BB"/>
    <w:rsid w:val="003D535D"/>
    <w:rsid w:val="003D5CC5"/>
    <w:rsid w:val="003D664B"/>
    <w:rsid w:val="003D733B"/>
    <w:rsid w:val="003E0306"/>
    <w:rsid w:val="003E07F2"/>
    <w:rsid w:val="003E0BAB"/>
    <w:rsid w:val="003E0F31"/>
    <w:rsid w:val="003E1334"/>
    <w:rsid w:val="003E16AD"/>
    <w:rsid w:val="003E366B"/>
    <w:rsid w:val="003E4263"/>
    <w:rsid w:val="003E462C"/>
    <w:rsid w:val="003E5CD8"/>
    <w:rsid w:val="003E5D07"/>
    <w:rsid w:val="003E6110"/>
    <w:rsid w:val="003E69DD"/>
    <w:rsid w:val="003E6AC5"/>
    <w:rsid w:val="003E6D3F"/>
    <w:rsid w:val="003E70E9"/>
    <w:rsid w:val="003E7945"/>
    <w:rsid w:val="003E7D7C"/>
    <w:rsid w:val="003E7F89"/>
    <w:rsid w:val="003F0186"/>
    <w:rsid w:val="003F05F7"/>
    <w:rsid w:val="003F0701"/>
    <w:rsid w:val="003F0F5B"/>
    <w:rsid w:val="003F15A9"/>
    <w:rsid w:val="003F1FAA"/>
    <w:rsid w:val="003F2432"/>
    <w:rsid w:val="003F25FE"/>
    <w:rsid w:val="003F26D4"/>
    <w:rsid w:val="003F27FE"/>
    <w:rsid w:val="003F3954"/>
    <w:rsid w:val="003F4540"/>
    <w:rsid w:val="003F554A"/>
    <w:rsid w:val="003F58E6"/>
    <w:rsid w:val="003F6478"/>
    <w:rsid w:val="003F6F0F"/>
    <w:rsid w:val="003F775D"/>
    <w:rsid w:val="003F7E22"/>
    <w:rsid w:val="004008E4"/>
    <w:rsid w:val="00400C38"/>
    <w:rsid w:val="00401839"/>
    <w:rsid w:val="00401E64"/>
    <w:rsid w:val="00401FA9"/>
    <w:rsid w:val="004024AD"/>
    <w:rsid w:val="00402C98"/>
    <w:rsid w:val="004030CA"/>
    <w:rsid w:val="0040360B"/>
    <w:rsid w:val="004041C6"/>
    <w:rsid w:val="004042CD"/>
    <w:rsid w:val="004049D9"/>
    <w:rsid w:val="00404B97"/>
    <w:rsid w:val="004055EF"/>
    <w:rsid w:val="00405C31"/>
    <w:rsid w:val="0040606B"/>
    <w:rsid w:val="00406764"/>
    <w:rsid w:val="00406A12"/>
    <w:rsid w:val="00406D2F"/>
    <w:rsid w:val="00407B25"/>
    <w:rsid w:val="0041073A"/>
    <w:rsid w:val="0041183D"/>
    <w:rsid w:val="004118E1"/>
    <w:rsid w:val="004124EF"/>
    <w:rsid w:val="00414723"/>
    <w:rsid w:val="00414A2F"/>
    <w:rsid w:val="00414CED"/>
    <w:rsid w:val="0041514B"/>
    <w:rsid w:val="00415204"/>
    <w:rsid w:val="00415205"/>
    <w:rsid w:val="00415F03"/>
    <w:rsid w:val="00416244"/>
    <w:rsid w:val="0041631E"/>
    <w:rsid w:val="004163B6"/>
    <w:rsid w:val="004166F6"/>
    <w:rsid w:val="00417F55"/>
    <w:rsid w:val="0042001D"/>
    <w:rsid w:val="0042007A"/>
    <w:rsid w:val="0042093B"/>
    <w:rsid w:val="00420D55"/>
    <w:rsid w:val="00420F04"/>
    <w:rsid w:val="00421CAA"/>
    <w:rsid w:val="00422B9A"/>
    <w:rsid w:val="0042302E"/>
    <w:rsid w:val="00423FC6"/>
    <w:rsid w:val="00426895"/>
    <w:rsid w:val="004270D7"/>
    <w:rsid w:val="004271F1"/>
    <w:rsid w:val="004277F1"/>
    <w:rsid w:val="00427A0F"/>
    <w:rsid w:val="00427EBE"/>
    <w:rsid w:val="00430252"/>
    <w:rsid w:val="004306A9"/>
    <w:rsid w:val="00430D9F"/>
    <w:rsid w:val="00430FD0"/>
    <w:rsid w:val="004311D2"/>
    <w:rsid w:val="0043173E"/>
    <w:rsid w:val="00431AE9"/>
    <w:rsid w:val="00432692"/>
    <w:rsid w:val="00432DF7"/>
    <w:rsid w:val="00433E91"/>
    <w:rsid w:val="004345C7"/>
    <w:rsid w:val="00434E45"/>
    <w:rsid w:val="00436034"/>
    <w:rsid w:val="004363D2"/>
    <w:rsid w:val="00436EB4"/>
    <w:rsid w:val="00437E2B"/>
    <w:rsid w:val="0044238F"/>
    <w:rsid w:val="00442574"/>
    <w:rsid w:val="004425A8"/>
    <w:rsid w:val="00442A82"/>
    <w:rsid w:val="00442C30"/>
    <w:rsid w:val="00442FC7"/>
    <w:rsid w:val="00443158"/>
    <w:rsid w:val="0044329F"/>
    <w:rsid w:val="00443830"/>
    <w:rsid w:val="00443BE1"/>
    <w:rsid w:val="00443CCA"/>
    <w:rsid w:val="0044414C"/>
    <w:rsid w:val="004448A9"/>
    <w:rsid w:val="0044497C"/>
    <w:rsid w:val="00444A2D"/>
    <w:rsid w:val="00445D5D"/>
    <w:rsid w:val="004467AC"/>
    <w:rsid w:val="00447D59"/>
    <w:rsid w:val="00447EA5"/>
    <w:rsid w:val="00450297"/>
    <w:rsid w:val="0045061D"/>
    <w:rsid w:val="00450ADD"/>
    <w:rsid w:val="00451001"/>
    <w:rsid w:val="00451301"/>
    <w:rsid w:val="00452B58"/>
    <w:rsid w:val="00453E08"/>
    <w:rsid w:val="00453FBD"/>
    <w:rsid w:val="004549C2"/>
    <w:rsid w:val="004551C6"/>
    <w:rsid w:val="004555DD"/>
    <w:rsid w:val="004565F7"/>
    <w:rsid w:val="00457871"/>
    <w:rsid w:val="00457C84"/>
    <w:rsid w:val="00457EFC"/>
    <w:rsid w:val="00460106"/>
    <w:rsid w:val="004606CF"/>
    <w:rsid w:val="00460770"/>
    <w:rsid w:val="004607D5"/>
    <w:rsid w:val="00460E05"/>
    <w:rsid w:val="00461615"/>
    <w:rsid w:val="0046337F"/>
    <w:rsid w:val="004653A4"/>
    <w:rsid w:val="00467477"/>
    <w:rsid w:val="004676CF"/>
    <w:rsid w:val="004703CF"/>
    <w:rsid w:val="004709E0"/>
    <w:rsid w:val="00470CEB"/>
    <w:rsid w:val="0047103E"/>
    <w:rsid w:val="004715C4"/>
    <w:rsid w:val="0047162F"/>
    <w:rsid w:val="0047168D"/>
    <w:rsid w:val="00471A4A"/>
    <w:rsid w:val="0047211C"/>
    <w:rsid w:val="004725A9"/>
    <w:rsid w:val="00472BC4"/>
    <w:rsid w:val="0047307A"/>
    <w:rsid w:val="00473961"/>
    <w:rsid w:val="00473D2A"/>
    <w:rsid w:val="00473D49"/>
    <w:rsid w:val="00474516"/>
    <w:rsid w:val="004749DA"/>
    <w:rsid w:val="004765DC"/>
    <w:rsid w:val="00477222"/>
    <w:rsid w:val="004772E6"/>
    <w:rsid w:val="00477E77"/>
    <w:rsid w:val="004826AB"/>
    <w:rsid w:val="004832B7"/>
    <w:rsid w:val="00483371"/>
    <w:rsid w:val="00483B08"/>
    <w:rsid w:val="00483D77"/>
    <w:rsid w:val="004841B0"/>
    <w:rsid w:val="0048457C"/>
    <w:rsid w:val="00484B2B"/>
    <w:rsid w:val="00484B5F"/>
    <w:rsid w:val="00485573"/>
    <w:rsid w:val="004871C1"/>
    <w:rsid w:val="00487F1C"/>
    <w:rsid w:val="00487FEF"/>
    <w:rsid w:val="00492C92"/>
    <w:rsid w:val="00492F07"/>
    <w:rsid w:val="00493389"/>
    <w:rsid w:val="004934AF"/>
    <w:rsid w:val="00493B1D"/>
    <w:rsid w:val="0049404F"/>
    <w:rsid w:val="00494C28"/>
    <w:rsid w:val="00494FFB"/>
    <w:rsid w:val="00495887"/>
    <w:rsid w:val="00496A94"/>
    <w:rsid w:val="00496B81"/>
    <w:rsid w:val="00496BF4"/>
    <w:rsid w:val="00496FA1"/>
    <w:rsid w:val="0049770E"/>
    <w:rsid w:val="004A057F"/>
    <w:rsid w:val="004A0E84"/>
    <w:rsid w:val="004A1EB1"/>
    <w:rsid w:val="004A1FAF"/>
    <w:rsid w:val="004A2A05"/>
    <w:rsid w:val="004A30B8"/>
    <w:rsid w:val="004A34D2"/>
    <w:rsid w:val="004A5311"/>
    <w:rsid w:val="004A6799"/>
    <w:rsid w:val="004A67E2"/>
    <w:rsid w:val="004A69AD"/>
    <w:rsid w:val="004A6C78"/>
    <w:rsid w:val="004A7732"/>
    <w:rsid w:val="004A7783"/>
    <w:rsid w:val="004A7F27"/>
    <w:rsid w:val="004B0F18"/>
    <w:rsid w:val="004B1AE5"/>
    <w:rsid w:val="004B1C8C"/>
    <w:rsid w:val="004B1FA1"/>
    <w:rsid w:val="004B278B"/>
    <w:rsid w:val="004B3092"/>
    <w:rsid w:val="004B3690"/>
    <w:rsid w:val="004B444E"/>
    <w:rsid w:val="004B5088"/>
    <w:rsid w:val="004B559A"/>
    <w:rsid w:val="004B5759"/>
    <w:rsid w:val="004B5EBF"/>
    <w:rsid w:val="004B6EE8"/>
    <w:rsid w:val="004B7342"/>
    <w:rsid w:val="004B737A"/>
    <w:rsid w:val="004B776C"/>
    <w:rsid w:val="004C0001"/>
    <w:rsid w:val="004C0165"/>
    <w:rsid w:val="004C0DBC"/>
    <w:rsid w:val="004C1151"/>
    <w:rsid w:val="004C17A2"/>
    <w:rsid w:val="004C2077"/>
    <w:rsid w:val="004C2246"/>
    <w:rsid w:val="004C2611"/>
    <w:rsid w:val="004C3624"/>
    <w:rsid w:val="004C395F"/>
    <w:rsid w:val="004C40D8"/>
    <w:rsid w:val="004C41D3"/>
    <w:rsid w:val="004C4CDC"/>
    <w:rsid w:val="004C5497"/>
    <w:rsid w:val="004C5B38"/>
    <w:rsid w:val="004C662F"/>
    <w:rsid w:val="004C74C7"/>
    <w:rsid w:val="004D0FDB"/>
    <w:rsid w:val="004D110C"/>
    <w:rsid w:val="004D110E"/>
    <w:rsid w:val="004D12C6"/>
    <w:rsid w:val="004D1759"/>
    <w:rsid w:val="004D1D88"/>
    <w:rsid w:val="004D2B98"/>
    <w:rsid w:val="004D2BD8"/>
    <w:rsid w:val="004D31E2"/>
    <w:rsid w:val="004D3595"/>
    <w:rsid w:val="004D3622"/>
    <w:rsid w:val="004D3BE5"/>
    <w:rsid w:val="004D3C23"/>
    <w:rsid w:val="004D4397"/>
    <w:rsid w:val="004D47E4"/>
    <w:rsid w:val="004D492B"/>
    <w:rsid w:val="004D4AA6"/>
    <w:rsid w:val="004D5B88"/>
    <w:rsid w:val="004D63B7"/>
    <w:rsid w:val="004E01D6"/>
    <w:rsid w:val="004E0323"/>
    <w:rsid w:val="004E0724"/>
    <w:rsid w:val="004E0834"/>
    <w:rsid w:val="004E10E4"/>
    <w:rsid w:val="004E115A"/>
    <w:rsid w:val="004E15FF"/>
    <w:rsid w:val="004E1E4C"/>
    <w:rsid w:val="004E49F9"/>
    <w:rsid w:val="004E4B71"/>
    <w:rsid w:val="004E6C14"/>
    <w:rsid w:val="004E7359"/>
    <w:rsid w:val="004F026C"/>
    <w:rsid w:val="004F0642"/>
    <w:rsid w:val="004F16D0"/>
    <w:rsid w:val="004F3BF9"/>
    <w:rsid w:val="004F41A5"/>
    <w:rsid w:val="004F4A94"/>
    <w:rsid w:val="004F5564"/>
    <w:rsid w:val="004F675A"/>
    <w:rsid w:val="004F76B6"/>
    <w:rsid w:val="00500739"/>
    <w:rsid w:val="0050105C"/>
    <w:rsid w:val="00502812"/>
    <w:rsid w:val="00502AD3"/>
    <w:rsid w:val="00502E60"/>
    <w:rsid w:val="00502F3A"/>
    <w:rsid w:val="00502F43"/>
    <w:rsid w:val="00503257"/>
    <w:rsid w:val="00503261"/>
    <w:rsid w:val="005046F1"/>
    <w:rsid w:val="005057D2"/>
    <w:rsid w:val="00505B19"/>
    <w:rsid w:val="00505EF6"/>
    <w:rsid w:val="0050606E"/>
    <w:rsid w:val="005066BA"/>
    <w:rsid w:val="005100FD"/>
    <w:rsid w:val="005102DF"/>
    <w:rsid w:val="00510C24"/>
    <w:rsid w:val="00510F44"/>
    <w:rsid w:val="00511C3B"/>
    <w:rsid w:val="005127FB"/>
    <w:rsid w:val="00512ABF"/>
    <w:rsid w:val="0051385F"/>
    <w:rsid w:val="00513F0F"/>
    <w:rsid w:val="005141E1"/>
    <w:rsid w:val="00514931"/>
    <w:rsid w:val="005149E2"/>
    <w:rsid w:val="005165CD"/>
    <w:rsid w:val="00517184"/>
    <w:rsid w:val="005209CB"/>
    <w:rsid w:val="00520A56"/>
    <w:rsid w:val="005215D4"/>
    <w:rsid w:val="00522508"/>
    <w:rsid w:val="00523E9E"/>
    <w:rsid w:val="00524131"/>
    <w:rsid w:val="00524A6D"/>
    <w:rsid w:val="00525810"/>
    <w:rsid w:val="005300CF"/>
    <w:rsid w:val="00530671"/>
    <w:rsid w:val="005308A4"/>
    <w:rsid w:val="00530EB0"/>
    <w:rsid w:val="00530FE0"/>
    <w:rsid w:val="00531382"/>
    <w:rsid w:val="00531858"/>
    <w:rsid w:val="005344EE"/>
    <w:rsid w:val="00534814"/>
    <w:rsid w:val="00536B85"/>
    <w:rsid w:val="0053774D"/>
    <w:rsid w:val="005377E8"/>
    <w:rsid w:val="00540148"/>
    <w:rsid w:val="00540F95"/>
    <w:rsid w:val="00541213"/>
    <w:rsid w:val="00541AA5"/>
    <w:rsid w:val="00542570"/>
    <w:rsid w:val="005425D7"/>
    <w:rsid w:val="00542B53"/>
    <w:rsid w:val="0054303B"/>
    <w:rsid w:val="005447BD"/>
    <w:rsid w:val="0054565B"/>
    <w:rsid w:val="005458DC"/>
    <w:rsid w:val="00546218"/>
    <w:rsid w:val="005464F7"/>
    <w:rsid w:val="00547078"/>
    <w:rsid w:val="005505F9"/>
    <w:rsid w:val="00550A4F"/>
    <w:rsid w:val="00550A89"/>
    <w:rsid w:val="005510C4"/>
    <w:rsid w:val="00551228"/>
    <w:rsid w:val="005512E7"/>
    <w:rsid w:val="005515F8"/>
    <w:rsid w:val="00551BED"/>
    <w:rsid w:val="005529BF"/>
    <w:rsid w:val="00552A2E"/>
    <w:rsid w:val="00552BD7"/>
    <w:rsid w:val="005533E1"/>
    <w:rsid w:val="00553750"/>
    <w:rsid w:val="00555B18"/>
    <w:rsid w:val="005571C4"/>
    <w:rsid w:val="0055741B"/>
    <w:rsid w:val="00560A3B"/>
    <w:rsid w:val="0056113C"/>
    <w:rsid w:val="005613D4"/>
    <w:rsid w:val="00561999"/>
    <w:rsid w:val="005619F7"/>
    <w:rsid w:val="00561D83"/>
    <w:rsid w:val="00562542"/>
    <w:rsid w:val="00562765"/>
    <w:rsid w:val="00562ABA"/>
    <w:rsid w:val="00562B18"/>
    <w:rsid w:val="00562D40"/>
    <w:rsid w:val="005637CE"/>
    <w:rsid w:val="0056381F"/>
    <w:rsid w:val="00563999"/>
    <w:rsid w:val="00564A8B"/>
    <w:rsid w:val="00564EAE"/>
    <w:rsid w:val="005657DD"/>
    <w:rsid w:val="00565DA0"/>
    <w:rsid w:val="0056655C"/>
    <w:rsid w:val="0056668B"/>
    <w:rsid w:val="0056796D"/>
    <w:rsid w:val="00570F43"/>
    <w:rsid w:val="005718FF"/>
    <w:rsid w:val="00572006"/>
    <w:rsid w:val="00572489"/>
    <w:rsid w:val="00572931"/>
    <w:rsid w:val="00572AE3"/>
    <w:rsid w:val="005730F0"/>
    <w:rsid w:val="00573FCC"/>
    <w:rsid w:val="0057489C"/>
    <w:rsid w:val="00574CF4"/>
    <w:rsid w:val="005753A9"/>
    <w:rsid w:val="005753F8"/>
    <w:rsid w:val="0057559C"/>
    <w:rsid w:val="005757ED"/>
    <w:rsid w:val="005760AB"/>
    <w:rsid w:val="00576AEE"/>
    <w:rsid w:val="00576C98"/>
    <w:rsid w:val="00580657"/>
    <w:rsid w:val="00580D0F"/>
    <w:rsid w:val="00580D46"/>
    <w:rsid w:val="00580D55"/>
    <w:rsid w:val="00580F00"/>
    <w:rsid w:val="005812D9"/>
    <w:rsid w:val="005819BD"/>
    <w:rsid w:val="00582044"/>
    <w:rsid w:val="00582832"/>
    <w:rsid w:val="005828E7"/>
    <w:rsid w:val="00582E2B"/>
    <w:rsid w:val="00583199"/>
    <w:rsid w:val="00583843"/>
    <w:rsid w:val="00583A0F"/>
    <w:rsid w:val="00583C93"/>
    <w:rsid w:val="00583E58"/>
    <w:rsid w:val="00583F01"/>
    <w:rsid w:val="00583FFF"/>
    <w:rsid w:val="00584B6C"/>
    <w:rsid w:val="00584BE9"/>
    <w:rsid w:val="005859A5"/>
    <w:rsid w:val="005863E7"/>
    <w:rsid w:val="00586725"/>
    <w:rsid w:val="00586C54"/>
    <w:rsid w:val="005872F4"/>
    <w:rsid w:val="0059035C"/>
    <w:rsid w:val="005906DA"/>
    <w:rsid w:val="005912BE"/>
    <w:rsid w:val="00591360"/>
    <w:rsid w:val="005918A2"/>
    <w:rsid w:val="005927AA"/>
    <w:rsid w:val="00593A23"/>
    <w:rsid w:val="00593BC3"/>
    <w:rsid w:val="00593C2D"/>
    <w:rsid w:val="00594CB4"/>
    <w:rsid w:val="0059526E"/>
    <w:rsid w:val="0059549A"/>
    <w:rsid w:val="005954DB"/>
    <w:rsid w:val="00595EF9"/>
    <w:rsid w:val="0059636B"/>
    <w:rsid w:val="005964CD"/>
    <w:rsid w:val="00596709"/>
    <w:rsid w:val="00596830"/>
    <w:rsid w:val="00597019"/>
    <w:rsid w:val="005971DE"/>
    <w:rsid w:val="00597BD6"/>
    <w:rsid w:val="005A015A"/>
    <w:rsid w:val="005A03BD"/>
    <w:rsid w:val="005A071D"/>
    <w:rsid w:val="005A074D"/>
    <w:rsid w:val="005A07AC"/>
    <w:rsid w:val="005A09F8"/>
    <w:rsid w:val="005A0A1C"/>
    <w:rsid w:val="005A0A3F"/>
    <w:rsid w:val="005A0A91"/>
    <w:rsid w:val="005A1731"/>
    <w:rsid w:val="005A2233"/>
    <w:rsid w:val="005A26A5"/>
    <w:rsid w:val="005A3B81"/>
    <w:rsid w:val="005A467F"/>
    <w:rsid w:val="005A5564"/>
    <w:rsid w:val="005A5805"/>
    <w:rsid w:val="005A5872"/>
    <w:rsid w:val="005A5EA4"/>
    <w:rsid w:val="005A5FA1"/>
    <w:rsid w:val="005A6421"/>
    <w:rsid w:val="005A74BF"/>
    <w:rsid w:val="005B07B7"/>
    <w:rsid w:val="005B111E"/>
    <w:rsid w:val="005B115B"/>
    <w:rsid w:val="005B2116"/>
    <w:rsid w:val="005B2A57"/>
    <w:rsid w:val="005B3E11"/>
    <w:rsid w:val="005B4049"/>
    <w:rsid w:val="005B405D"/>
    <w:rsid w:val="005B52F7"/>
    <w:rsid w:val="005B53E9"/>
    <w:rsid w:val="005B69E2"/>
    <w:rsid w:val="005B6BEE"/>
    <w:rsid w:val="005B758B"/>
    <w:rsid w:val="005B7FCC"/>
    <w:rsid w:val="005C0744"/>
    <w:rsid w:val="005C0753"/>
    <w:rsid w:val="005C0AA1"/>
    <w:rsid w:val="005C0ED6"/>
    <w:rsid w:val="005C18CA"/>
    <w:rsid w:val="005C53BD"/>
    <w:rsid w:val="005C5A6E"/>
    <w:rsid w:val="005C68FC"/>
    <w:rsid w:val="005C72E8"/>
    <w:rsid w:val="005C7B23"/>
    <w:rsid w:val="005D0185"/>
    <w:rsid w:val="005D0919"/>
    <w:rsid w:val="005D10D7"/>
    <w:rsid w:val="005D1375"/>
    <w:rsid w:val="005D162D"/>
    <w:rsid w:val="005D1779"/>
    <w:rsid w:val="005D1D0D"/>
    <w:rsid w:val="005D21E9"/>
    <w:rsid w:val="005D223F"/>
    <w:rsid w:val="005D2249"/>
    <w:rsid w:val="005D22FA"/>
    <w:rsid w:val="005D234F"/>
    <w:rsid w:val="005D2866"/>
    <w:rsid w:val="005D3366"/>
    <w:rsid w:val="005D3DBD"/>
    <w:rsid w:val="005D44B8"/>
    <w:rsid w:val="005D4950"/>
    <w:rsid w:val="005D50A8"/>
    <w:rsid w:val="005D587A"/>
    <w:rsid w:val="005D6479"/>
    <w:rsid w:val="005D7016"/>
    <w:rsid w:val="005E08B8"/>
    <w:rsid w:val="005E1DD6"/>
    <w:rsid w:val="005E1FA1"/>
    <w:rsid w:val="005E24C3"/>
    <w:rsid w:val="005E29AD"/>
    <w:rsid w:val="005E2E77"/>
    <w:rsid w:val="005E2FA8"/>
    <w:rsid w:val="005E379A"/>
    <w:rsid w:val="005E3848"/>
    <w:rsid w:val="005E3DFD"/>
    <w:rsid w:val="005E4846"/>
    <w:rsid w:val="005E4A32"/>
    <w:rsid w:val="005E5A2E"/>
    <w:rsid w:val="005E5C9B"/>
    <w:rsid w:val="005E6AA4"/>
    <w:rsid w:val="005E7747"/>
    <w:rsid w:val="005E7E3D"/>
    <w:rsid w:val="005F1096"/>
    <w:rsid w:val="005F1C91"/>
    <w:rsid w:val="005F20D2"/>
    <w:rsid w:val="005F23C3"/>
    <w:rsid w:val="005F2921"/>
    <w:rsid w:val="005F2C63"/>
    <w:rsid w:val="005F33C1"/>
    <w:rsid w:val="005F33ED"/>
    <w:rsid w:val="005F3799"/>
    <w:rsid w:val="005F385B"/>
    <w:rsid w:val="005F4074"/>
    <w:rsid w:val="005F4A5B"/>
    <w:rsid w:val="005F5A5D"/>
    <w:rsid w:val="005F5B06"/>
    <w:rsid w:val="005F6EBA"/>
    <w:rsid w:val="005F6F58"/>
    <w:rsid w:val="005F793F"/>
    <w:rsid w:val="005F794B"/>
    <w:rsid w:val="00601A9A"/>
    <w:rsid w:val="00601C16"/>
    <w:rsid w:val="00601D09"/>
    <w:rsid w:val="006028B7"/>
    <w:rsid w:val="00602D3D"/>
    <w:rsid w:val="006032A5"/>
    <w:rsid w:val="00603432"/>
    <w:rsid w:val="006039EF"/>
    <w:rsid w:val="00603AC0"/>
    <w:rsid w:val="00604147"/>
    <w:rsid w:val="00604A5C"/>
    <w:rsid w:val="00604D9C"/>
    <w:rsid w:val="0060549E"/>
    <w:rsid w:val="00605533"/>
    <w:rsid w:val="00606F04"/>
    <w:rsid w:val="006070BD"/>
    <w:rsid w:val="006102F0"/>
    <w:rsid w:val="006126DF"/>
    <w:rsid w:val="006134A9"/>
    <w:rsid w:val="006136A6"/>
    <w:rsid w:val="00614374"/>
    <w:rsid w:val="00614D2D"/>
    <w:rsid w:val="006151F2"/>
    <w:rsid w:val="00615602"/>
    <w:rsid w:val="00615B91"/>
    <w:rsid w:val="006161FC"/>
    <w:rsid w:val="00616327"/>
    <w:rsid w:val="00616B01"/>
    <w:rsid w:val="00616BA3"/>
    <w:rsid w:val="00617715"/>
    <w:rsid w:val="00617C93"/>
    <w:rsid w:val="00617D36"/>
    <w:rsid w:val="006202AC"/>
    <w:rsid w:val="0062067E"/>
    <w:rsid w:val="00620770"/>
    <w:rsid w:val="00623B72"/>
    <w:rsid w:val="00623D1E"/>
    <w:rsid w:val="0062487F"/>
    <w:rsid w:val="00624A2D"/>
    <w:rsid w:val="00624B69"/>
    <w:rsid w:val="00625D10"/>
    <w:rsid w:val="00630679"/>
    <w:rsid w:val="006312A6"/>
    <w:rsid w:val="00631493"/>
    <w:rsid w:val="00631639"/>
    <w:rsid w:val="00632E03"/>
    <w:rsid w:val="00633124"/>
    <w:rsid w:val="006331FE"/>
    <w:rsid w:val="00633A35"/>
    <w:rsid w:val="00634656"/>
    <w:rsid w:val="00634D8C"/>
    <w:rsid w:val="00636EAE"/>
    <w:rsid w:val="00637112"/>
    <w:rsid w:val="0063721F"/>
    <w:rsid w:val="00637394"/>
    <w:rsid w:val="00637CF5"/>
    <w:rsid w:val="006403D4"/>
    <w:rsid w:val="00640FD2"/>
    <w:rsid w:val="006419F7"/>
    <w:rsid w:val="00642905"/>
    <w:rsid w:val="00642959"/>
    <w:rsid w:val="0064391F"/>
    <w:rsid w:val="00643D47"/>
    <w:rsid w:val="00643E94"/>
    <w:rsid w:val="00644128"/>
    <w:rsid w:val="006442A1"/>
    <w:rsid w:val="00644D6E"/>
    <w:rsid w:val="00644DFB"/>
    <w:rsid w:val="00644EE6"/>
    <w:rsid w:val="0064521C"/>
    <w:rsid w:val="006455CB"/>
    <w:rsid w:val="00646DDD"/>
    <w:rsid w:val="00647538"/>
    <w:rsid w:val="00647B0F"/>
    <w:rsid w:val="00647F84"/>
    <w:rsid w:val="0065065A"/>
    <w:rsid w:val="006506C5"/>
    <w:rsid w:val="006507A1"/>
    <w:rsid w:val="006539EC"/>
    <w:rsid w:val="00653EE5"/>
    <w:rsid w:val="00654055"/>
    <w:rsid w:val="00654C75"/>
    <w:rsid w:val="0065515A"/>
    <w:rsid w:val="006552BD"/>
    <w:rsid w:val="006554F6"/>
    <w:rsid w:val="00655AEE"/>
    <w:rsid w:val="00655C0B"/>
    <w:rsid w:val="006563A2"/>
    <w:rsid w:val="00656959"/>
    <w:rsid w:val="00656D2F"/>
    <w:rsid w:val="00657105"/>
    <w:rsid w:val="0065717C"/>
    <w:rsid w:val="00657808"/>
    <w:rsid w:val="0066010B"/>
    <w:rsid w:val="0066049C"/>
    <w:rsid w:val="006606E7"/>
    <w:rsid w:val="006614DD"/>
    <w:rsid w:val="00661EC3"/>
    <w:rsid w:val="00662BAD"/>
    <w:rsid w:val="00662D1A"/>
    <w:rsid w:val="00662FB3"/>
    <w:rsid w:val="0066363A"/>
    <w:rsid w:val="0066371F"/>
    <w:rsid w:val="00663979"/>
    <w:rsid w:val="00663F9E"/>
    <w:rsid w:val="00664B6E"/>
    <w:rsid w:val="0066500C"/>
    <w:rsid w:val="006657CD"/>
    <w:rsid w:val="00665A36"/>
    <w:rsid w:val="00666342"/>
    <w:rsid w:val="006666A7"/>
    <w:rsid w:val="0066695E"/>
    <w:rsid w:val="00667959"/>
    <w:rsid w:val="00667FE5"/>
    <w:rsid w:val="0067057A"/>
    <w:rsid w:val="00670E1B"/>
    <w:rsid w:val="006710AF"/>
    <w:rsid w:val="00671D84"/>
    <w:rsid w:val="006728EB"/>
    <w:rsid w:val="00672959"/>
    <w:rsid w:val="0067389C"/>
    <w:rsid w:val="00673FDB"/>
    <w:rsid w:val="006749B1"/>
    <w:rsid w:val="006750FF"/>
    <w:rsid w:val="006759EE"/>
    <w:rsid w:val="00675A1F"/>
    <w:rsid w:val="00675FF3"/>
    <w:rsid w:val="00676CA7"/>
    <w:rsid w:val="00677646"/>
    <w:rsid w:val="00677C75"/>
    <w:rsid w:val="00680230"/>
    <w:rsid w:val="006815F8"/>
    <w:rsid w:val="00681B89"/>
    <w:rsid w:val="006820A4"/>
    <w:rsid w:val="006822B1"/>
    <w:rsid w:val="00682405"/>
    <w:rsid w:val="00682422"/>
    <w:rsid w:val="00682FEF"/>
    <w:rsid w:val="00683140"/>
    <w:rsid w:val="00683401"/>
    <w:rsid w:val="0068370D"/>
    <w:rsid w:val="00683953"/>
    <w:rsid w:val="0068471B"/>
    <w:rsid w:val="00685EEE"/>
    <w:rsid w:val="00686208"/>
    <w:rsid w:val="00686C38"/>
    <w:rsid w:val="00686E27"/>
    <w:rsid w:val="006871B1"/>
    <w:rsid w:val="006878D5"/>
    <w:rsid w:val="00687E4F"/>
    <w:rsid w:val="00690A7B"/>
    <w:rsid w:val="00690EBC"/>
    <w:rsid w:val="0069133D"/>
    <w:rsid w:val="0069146A"/>
    <w:rsid w:val="0069165A"/>
    <w:rsid w:val="006924F2"/>
    <w:rsid w:val="00692FDE"/>
    <w:rsid w:val="006935A6"/>
    <w:rsid w:val="0069495D"/>
    <w:rsid w:val="00694A84"/>
    <w:rsid w:val="00694CA1"/>
    <w:rsid w:val="00697B2A"/>
    <w:rsid w:val="006A0067"/>
    <w:rsid w:val="006A0488"/>
    <w:rsid w:val="006A0795"/>
    <w:rsid w:val="006A0845"/>
    <w:rsid w:val="006A185E"/>
    <w:rsid w:val="006A19DB"/>
    <w:rsid w:val="006A1A13"/>
    <w:rsid w:val="006A24C4"/>
    <w:rsid w:val="006A3A32"/>
    <w:rsid w:val="006A4731"/>
    <w:rsid w:val="006A4EBE"/>
    <w:rsid w:val="006A6413"/>
    <w:rsid w:val="006A6604"/>
    <w:rsid w:val="006A67FE"/>
    <w:rsid w:val="006A7209"/>
    <w:rsid w:val="006A754F"/>
    <w:rsid w:val="006B03E8"/>
    <w:rsid w:val="006B0EA5"/>
    <w:rsid w:val="006B208D"/>
    <w:rsid w:val="006B2325"/>
    <w:rsid w:val="006B3284"/>
    <w:rsid w:val="006B3DD0"/>
    <w:rsid w:val="006B4150"/>
    <w:rsid w:val="006B608A"/>
    <w:rsid w:val="006B6B4A"/>
    <w:rsid w:val="006B6DCA"/>
    <w:rsid w:val="006B708B"/>
    <w:rsid w:val="006B7116"/>
    <w:rsid w:val="006B7373"/>
    <w:rsid w:val="006B7AC9"/>
    <w:rsid w:val="006B7C78"/>
    <w:rsid w:val="006C080C"/>
    <w:rsid w:val="006C0BD8"/>
    <w:rsid w:val="006C1340"/>
    <w:rsid w:val="006C14F6"/>
    <w:rsid w:val="006C1D95"/>
    <w:rsid w:val="006C2AB9"/>
    <w:rsid w:val="006C2BCA"/>
    <w:rsid w:val="006C2C91"/>
    <w:rsid w:val="006C3071"/>
    <w:rsid w:val="006C31D9"/>
    <w:rsid w:val="006C39F6"/>
    <w:rsid w:val="006C3F0B"/>
    <w:rsid w:val="006C4A3D"/>
    <w:rsid w:val="006C4B80"/>
    <w:rsid w:val="006C5DB9"/>
    <w:rsid w:val="006C5E94"/>
    <w:rsid w:val="006C5F12"/>
    <w:rsid w:val="006C63B0"/>
    <w:rsid w:val="006C6ADE"/>
    <w:rsid w:val="006C6C12"/>
    <w:rsid w:val="006C6C4C"/>
    <w:rsid w:val="006C6CCB"/>
    <w:rsid w:val="006C7CDE"/>
    <w:rsid w:val="006C7E1C"/>
    <w:rsid w:val="006C7E58"/>
    <w:rsid w:val="006C7FE5"/>
    <w:rsid w:val="006D0BAA"/>
    <w:rsid w:val="006D1274"/>
    <w:rsid w:val="006D141B"/>
    <w:rsid w:val="006D332F"/>
    <w:rsid w:val="006D34B1"/>
    <w:rsid w:val="006D3CE3"/>
    <w:rsid w:val="006D3E4D"/>
    <w:rsid w:val="006D47E0"/>
    <w:rsid w:val="006D4F83"/>
    <w:rsid w:val="006D5006"/>
    <w:rsid w:val="006D5165"/>
    <w:rsid w:val="006D610D"/>
    <w:rsid w:val="006D6A09"/>
    <w:rsid w:val="006D7157"/>
    <w:rsid w:val="006D7376"/>
    <w:rsid w:val="006E07CD"/>
    <w:rsid w:val="006E1ECA"/>
    <w:rsid w:val="006E289D"/>
    <w:rsid w:val="006E2AC4"/>
    <w:rsid w:val="006E2E0E"/>
    <w:rsid w:val="006E37EF"/>
    <w:rsid w:val="006E38C3"/>
    <w:rsid w:val="006E4628"/>
    <w:rsid w:val="006E47F7"/>
    <w:rsid w:val="006E59BA"/>
    <w:rsid w:val="006E5B8F"/>
    <w:rsid w:val="006E7006"/>
    <w:rsid w:val="006E727B"/>
    <w:rsid w:val="006E7590"/>
    <w:rsid w:val="006E761F"/>
    <w:rsid w:val="006F0972"/>
    <w:rsid w:val="006F1595"/>
    <w:rsid w:val="006F2379"/>
    <w:rsid w:val="006F2400"/>
    <w:rsid w:val="006F274C"/>
    <w:rsid w:val="006F3778"/>
    <w:rsid w:val="006F3926"/>
    <w:rsid w:val="006F4297"/>
    <w:rsid w:val="006F42D3"/>
    <w:rsid w:val="006F44B3"/>
    <w:rsid w:val="006F45D2"/>
    <w:rsid w:val="006F535F"/>
    <w:rsid w:val="006F58BB"/>
    <w:rsid w:val="006F6683"/>
    <w:rsid w:val="006F7759"/>
    <w:rsid w:val="006F790F"/>
    <w:rsid w:val="007000C9"/>
    <w:rsid w:val="00700927"/>
    <w:rsid w:val="00700C2C"/>
    <w:rsid w:val="00701E01"/>
    <w:rsid w:val="00702250"/>
    <w:rsid w:val="00703914"/>
    <w:rsid w:val="007041C3"/>
    <w:rsid w:val="00704593"/>
    <w:rsid w:val="00704770"/>
    <w:rsid w:val="0070501A"/>
    <w:rsid w:val="00705486"/>
    <w:rsid w:val="007055E0"/>
    <w:rsid w:val="00705BC4"/>
    <w:rsid w:val="00705BD1"/>
    <w:rsid w:val="007062D8"/>
    <w:rsid w:val="00706329"/>
    <w:rsid w:val="007066A4"/>
    <w:rsid w:val="007067B3"/>
    <w:rsid w:val="00706D8A"/>
    <w:rsid w:val="00710009"/>
    <w:rsid w:val="00710136"/>
    <w:rsid w:val="00710A9C"/>
    <w:rsid w:val="007110D5"/>
    <w:rsid w:val="00711101"/>
    <w:rsid w:val="00711783"/>
    <w:rsid w:val="007127B3"/>
    <w:rsid w:val="00712F5A"/>
    <w:rsid w:val="00712FAB"/>
    <w:rsid w:val="007134DD"/>
    <w:rsid w:val="0071351B"/>
    <w:rsid w:val="00714CDD"/>
    <w:rsid w:val="00714D3D"/>
    <w:rsid w:val="007158F6"/>
    <w:rsid w:val="00715ED7"/>
    <w:rsid w:val="00717983"/>
    <w:rsid w:val="00717A6A"/>
    <w:rsid w:val="00720743"/>
    <w:rsid w:val="00721032"/>
    <w:rsid w:val="00721232"/>
    <w:rsid w:val="007213E4"/>
    <w:rsid w:val="007214CC"/>
    <w:rsid w:val="0072298C"/>
    <w:rsid w:val="00723284"/>
    <w:rsid w:val="00723A8C"/>
    <w:rsid w:val="00726783"/>
    <w:rsid w:val="00726BF0"/>
    <w:rsid w:val="00726E40"/>
    <w:rsid w:val="007279AC"/>
    <w:rsid w:val="00730A79"/>
    <w:rsid w:val="007311C0"/>
    <w:rsid w:val="00731C0C"/>
    <w:rsid w:val="00732533"/>
    <w:rsid w:val="0073429A"/>
    <w:rsid w:val="00735646"/>
    <w:rsid w:val="007356DD"/>
    <w:rsid w:val="007359D5"/>
    <w:rsid w:val="00735D96"/>
    <w:rsid w:val="00736D58"/>
    <w:rsid w:val="00740D47"/>
    <w:rsid w:val="00740E6A"/>
    <w:rsid w:val="00741492"/>
    <w:rsid w:val="00741591"/>
    <w:rsid w:val="00741BCE"/>
    <w:rsid w:val="00743007"/>
    <w:rsid w:val="00743982"/>
    <w:rsid w:val="00744221"/>
    <w:rsid w:val="00744DB3"/>
    <w:rsid w:val="00745A45"/>
    <w:rsid w:val="007469A6"/>
    <w:rsid w:val="00747079"/>
    <w:rsid w:val="00747117"/>
    <w:rsid w:val="00750184"/>
    <w:rsid w:val="0075073D"/>
    <w:rsid w:val="00750CD8"/>
    <w:rsid w:val="0075102B"/>
    <w:rsid w:val="0075188D"/>
    <w:rsid w:val="00752AEA"/>
    <w:rsid w:val="00752D44"/>
    <w:rsid w:val="00753F9D"/>
    <w:rsid w:val="00754043"/>
    <w:rsid w:val="0075534A"/>
    <w:rsid w:val="0075577F"/>
    <w:rsid w:val="00755E00"/>
    <w:rsid w:val="007562EF"/>
    <w:rsid w:val="00757135"/>
    <w:rsid w:val="00757490"/>
    <w:rsid w:val="007575A6"/>
    <w:rsid w:val="00757F15"/>
    <w:rsid w:val="00760331"/>
    <w:rsid w:val="007603A1"/>
    <w:rsid w:val="00760447"/>
    <w:rsid w:val="0076081E"/>
    <w:rsid w:val="007612FA"/>
    <w:rsid w:val="007618E2"/>
    <w:rsid w:val="007625B9"/>
    <w:rsid w:val="00762872"/>
    <w:rsid w:val="00762C29"/>
    <w:rsid w:val="00762CC1"/>
    <w:rsid w:val="00762DE0"/>
    <w:rsid w:val="007633AD"/>
    <w:rsid w:val="00763AAE"/>
    <w:rsid w:val="00764DF6"/>
    <w:rsid w:val="007655F3"/>
    <w:rsid w:val="007657A6"/>
    <w:rsid w:val="00766479"/>
    <w:rsid w:val="00766699"/>
    <w:rsid w:val="0076686E"/>
    <w:rsid w:val="0076730E"/>
    <w:rsid w:val="007673D3"/>
    <w:rsid w:val="00767B11"/>
    <w:rsid w:val="007710E0"/>
    <w:rsid w:val="0077120E"/>
    <w:rsid w:val="007718C0"/>
    <w:rsid w:val="0077201D"/>
    <w:rsid w:val="0077398A"/>
    <w:rsid w:val="0077403A"/>
    <w:rsid w:val="007740C1"/>
    <w:rsid w:val="007740F3"/>
    <w:rsid w:val="007743CE"/>
    <w:rsid w:val="007746E4"/>
    <w:rsid w:val="007749F2"/>
    <w:rsid w:val="00776492"/>
    <w:rsid w:val="00776BE7"/>
    <w:rsid w:val="00776F2B"/>
    <w:rsid w:val="00777C39"/>
    <w:rsid w:val="007809EA"/>
    <w:rsid w:val="007810F0"/>
    <w:rsid w:val="007813F4"/>
    <w:rsid w:val="00781597"/>
    <w:rsid w:val="007818CE"/>
    <w:rsid w:val="00781EC9"/>
    <w:rsid w:val="0078330E"/>
    <w:rsid w:val="007833DB"/>
    <w:rsid w:val="0078384C"/>
    <w:rsid w:val="007842EB"/>
    <w:rsid w:val="00784BB9"/>
    <w:rsid w:val="00784CC4"/>
    <w:rsid w:val="00785375"/>
    <w:rsid w:val="00785A42"/>
    <w:rsid w:val="00786281"/>
    <w:rsid w:val="00786546"/>
    <w:rsid w:val="0078661C"/>
    <w:rsid w:val="00786674"/>
    <w:rsid w:val="00787644"/>
    <w:rsid w:val="00787698"/>
    <w:rsid w:val="0079009A"/>
    <w:rsid w:val="007901FB"/>
    <w:rsid w:val="0079032E"/>
    <w:rsid w:val="00790338"/>
    <w:rsid w:val="007908D9"/>
    <w:rsid w:val="007908F8"/>
    <w:rsid w:val="00790BAB"/>
    <w:rsid w:val="007910E7"/>
    <w:rsid w:val="00792027"/>
    <w:rsid w:val="00792BC5"/>
    <w:rsid w:val="00792DD6"/>
    <w:rsid w:val="007936D3"/>
    <w:rsid w:val="00793A1E"/>
    <w:rsid w:val="007943C2"/>
    <w:rsid w:val="00794446"/>
    <w:rsid w:val="007944AD"/>
    <w:rsid w:val="0079519A"/>
    <w:rsid w:val="007963E4"/>
    <w:rsid w:val="00796800"/>
    <w:rsid w:val="00797466"/>
    <w:rsid w:val="00797F63"/>
    <w:rsid w:val="007A05BE"/>
    <w:rsid w:val="007A0949"/>
    <w:rsid w:val="007A0C88"/>
    <w:rsid w:val="007A2F64"/>
    <w:rsid w:val="007A3E05"/>
    <w:rsid w:val="007A3FD2"/>
    <w:rsid w:val="007A4371"/>
    <w:rsid w:val="007A47C9"/>
    <w:rsid w:val="007A4B96"/>
    <w:rsid w:val="007A5F77"/>
    <w:rsid w:val="007A631C"/>
    <w:rsid w:val="007A6D36"/>
    <w:rsid w:val="007A7E3D"/>
    <w:rsid w:val="007A7FB3"/>
    <w:rsid w:val="007B0719"/>
    <w:rsid w:val="007B07F5"/>
    <w:rsid w:val="007B0B44"/>
    <w:rsid w:val="007B2205"/>
    <w:rsid w:val="007B2D91"/>
    <w:rsid w:val="007B310D"/>
    <w:rsid w:val="007B3670"/>
    <w:rsid w:val="007B3A3D"/>
    <w:rsid w:val="007B3F74"/>
    <w:rsid w:val="007B46DF"/>
    <w:rsid w:val="007B5225"/>
    <w:rsid w:val="007B53DE"/>
    <w:rsid w:val="007B545C"/>
    <w:rsid w:val="007B69DB"/>
    <w:rsid w:val="007B6E69"/>
    <w:rsid w:val="007B6EB1"/>
    <w:rsid w:val="007C01D8"/>
    <w:rsid w:val="007C035A"/>
    <w:rsid w:val="007C0516"/>
    <w:rsid w:val="007C097D"/>
    <w:rsid w:val="007C1AC1"/>
    <w:rsid w:val="007C1ADE"/>
    <w:rsid w:val="007C205D"/>
    <w:rsid w:val="007C3381"/>
    <w:rsid w:val="007C3439"/>
    <w:rsid w:val="007C577C"/>
    <w:rsid w:val="007C5979"/>
    <w:rsid w:val="007C5DEA"/>
    <w:rsid w:val="007C6341"/>
    <w:rsid w:val="007C64C0"/>
    <w:rsid w:val="007C7262"/>
    <w:rsid w:val="007C747F"/>
    <w:rsid w:val="007C7524"/>
    <w:rsid w:val="007C7812"/>
    <w:rsid w:val="007D005C"/>
    <w:rsid w:val="007D00B0"/>
    <w:rsid w:val="007D1556"/>
    <w:rsid w:val="007D2138"/>
    <w:rsid w:val="007D2C53"/>
    <w:rsid w:val="007D2F57"/>
    <w:rsid w:val="007D4899"/>
    <w:rsid w:val="007D4BF0"/>
    <w:rsid w:val="007D4F16"/>
    <w:rsid w:val="007D57A3"/>
    <w:rsid w:val="007D5908"/>
    <w:rsid w:val="007D74FF"/>
    <w:rsid w:val="007E0C3C"/>
    <w:rsid w:val="007E14E2"/>
    <w:rsid w:val="007E267D"/>
    <w:rsid w:val="007E2B56"/>
    <w:rsid w:val="007E3795"/>
    <w:rsid w:val="007E4C6B"/>
    <w:rsid w:val="007E70B2"/>
    <w:rsid w:val="007E7FEE"/>
    <w:rsid w:val="007F0F5C"/>
    <w:rsid w:val="007F2ABA"/>
    <w:rsid w:val="007F4D2F"/>
    <w:rsid w:val="007F4F5A"/>
    <w:rsid w:val="007F6C74"/>
    <w:rsid w:val="007F718A"/>
    <w:rsid w:val="007F74DC"/>
    <w:rsid w:val="007F7A33"/>
    <w:rsid w:val="00800050"/>
    <w:rsid w:val="008008B1"/>
    <w:rsid w:val="00800B2A"/>
    <w:rsid w:val="0080222D"/>
    <w:rsid w:val="00802918"/>
    <w:rsid w:val="00803971"/>
    <w:rsid w:val="00803A6C"/>
    <w:rsid w:val="00804AC9"/>
    <w:rsid w:val="00804E87"/>
    <w:rsid w:val="00805C43"/>
    <w:rsid w:val="0080609A"/>
    <w:rsid w:val="008062A9"/>
    <w:rsid w:val="008067A1"/>
    <w:rsid w:val="00806A90"/>
    <w:rsid w:val="0080729F"/>
    <w:rsid w:val="00807DD9"/>
    <w:rsid w:val="008100C1"/>
    <w:rsid w:val="008102BA"/>
    <w:rsid w:val="00810956"/>
    <w:rsid w:val="0081105A"/>
    <w:rsid w:val="00811478"/>
    <w:rsid w:val="008124AA"/>
    <w:rsid w:val="00812B5E"/>
    <w:rsid w:val="008130B1"/>
    <w:rsid w:val="00813B92"/>
    <w:rsid w:val="00814551"/>
    <w:rsid w:val="00814AD7"/>
    <w:rsid w:val="008151F6"/>
    <w:rsid w:val="0081523C"/>
    <w:rsid w:val="0081546B"/>
    <w:rsid w:val="00816145"/>
    <w:rsid w:val="0081629F"/>
    <w:rsid w:val="00816B35"/>
    <w:rsid w:val="00817470"/>
    <w:rsid w:val="00817C22"/>
    <w:rsid w:val="0082009E"/>
    <w:rsid w:val="008200FD"/>
    <w:rsid w:val="00820E63"/>
    <w:rsid w:val="00821111"/>
    <w:rsid w:val="00821E86"/>
    <w:rsid w:val="00821FAA"/>
    <w:rsid w:val="00822448"/>
    <w:rsid w:val="00823691"/>
    <w:rsid w:val="00823DDC"/>
    <w:rsid w:val="00823F9C"/>
    <w:rsid w:val="00824610"/>
    <w:rsid w:val="00825726"/>
    <w:rsid w:val="00826DAD"/>
    <w:rsid w:val="0082762D"/>
    <w:rsid w:val="008278F8"/>
    <w:rsid w:val="00830660"/>
    <w:rsid w:val="00830E11"/>
    <w:rsid w:val="00830E64"/>
    <w:rsid w:val="00831745"/>
    <w:rsid w:val="00831BAA"/>
    <w:rsid w:val="0083212C"/>
    <w:rsid w:val="0083336E"/>
    <w:rsid w:val="008341A2"/>
    <w:rsid w:val="00834540"/>
    <w:rsid w:val="0083460A"/>
    <w:rsid w:val="00834E59"/>
    <w:rsid w:val="008359BF"/>
    <w:rsid w:val="0083682B"/>
    <w:rsid w:val="00837BBB"/>
    <w:rsid w:val="00837D8F"/>
    <w:rsid w:val="0084160B"/>
    <w:rsid w:val="008418F7"/>
    <w:rsid w:val="00842227"/>
    <w:rsid w:val="008423AE"/>
    <w:rsid w:val="0084240B"/>
    <w:rsid w:val="0084287E"/>
    <w:rsid w:val="008432D8"/>
    <w:rsid w:val="0084376F"/>
    <w:rsid w:val="00843997"/>
    <w:rsid w:val="00843EC7"/>
    <w:rsid w:val="00844063"/>
    <w:rsid w:val="008444FB"/>
    <w:rsid w:val="008445F7"/>
    <w:rsid w:val="008456D5"/>
    <w:rsid w:val="00846006"/>
    <w:rsid w:val="0084634B"/>
    <w:rsid w:val="008465A8"/>
    <w:rsid w:val="00846EE6"/>
    <w:rsid w:val="008471BE"/>
    <w:rsid w:val="008471D1"/>
    <w:rsid w:val="00847F53"/>
    <w:rsid w:val="00850327"/>
    <w:rsid w:val="00850392"/>
    <w:rsid w:val="008509AA"/>
    <w:rsid w:val="00851252"/>
    <w:rsid w:val="00851772"/>
    <w:rsid w:val="00852C01"/>
    <w:rsid w:val="00852F3E"/>
    <w:rsid w:val="00854904"/>
    <w:rsid w:val="00854A01"/>
    <w:rsid w:val="0085546E"/>
    <w:rsid w:val="0086034B"/>
    <w:rsid w:val="00861252"/>
    <w:rsid w:val="0086139F"/>
    <w:rsid w:val="0086168A"/>
    <w:rsid w:val="00861978"/>
    <w:rsid w:val="00861B59"/>
    <w:rsid w:val="008621AD"/>
    <w:rsid w:val="00863996"/>
    <w:rsid w:val="00863E3C"/>
    <w:rsid w:val="00863E9A"/>
    <w:rsid w:val="00863F34"/>
    <w:rsid w:val="0086539A"/>
    <w:rsid w:val="008653F9"/>
    <w:rsid w:val="0086564C"/>
    <w:rsid w:val="00865CF2"/>
    <w:rsid w:val="0086657E"/>
    <w:rsid w:val="00867983"/>
    <w:rsid w:val="00870846"/>
    <w:rsid w:val="00871EF0"/>
    <w:rsid w:val="00872745"/>
    <w:rsid w:val="008728B7"/>
    <w:rsid w:val="00873EA6"/>
    <w:rsid w:val="008742A6"/>
    <w:rsid w:val="0087542A"/>
    <w:rsid w:val="00876F53"/>
    <w:rsid w:val="0087766C"/>
    <w:rsid w:val="00877803"/>
    <w:rsid w:val="00880973"/>
    <w:rsid w:val="008813BD"/>
    <w:rsid w:val="0088169A"/>
    <w:rsid w:val="008820F1"/>
    <w:rsid w:val="0088319F"/>
    <w:rsid w:val="00883BFB"/>
    <w:rsid w:val="008843BC"/>
    <w:rsid w:val="0088444C"/>
    <w:rsid w:val="008847D0"/>
    <w:rsid w:val="00887FE7"/>
    <w:rsid w:val="0089042C"/>
    <w:rsid w:val="0089093D"/>
    <w:rsid w:val="00891613"/>
    <w:rsid w:val="008916CF"/>
    <w:rsid w:val="00892579"/>
    <w:rsid w:val="00893230"/>
    <w:rsid w:val="00894AB1"/>
    <w:rsid w:val="0089525B"/>
    <w:rsid w:val="008960C5"/>
    <w:rsid w:val="00896453"/>
    <w:rsid w:val="00896802"/>
    <w:rsid w:val="00896C25"/>
    <w:rsid w:val="00897288"/>
    <w:rsid w:val="0089762D"/>
    <w:rsid w:val="008A04F6"/>
    <w:rsid w:val="008A0DBB"/>
    <w:rsid w:val="008A1887"/>
    <w:rsid w:val="008A18D7"/>
    <w:rsid w:val="008A2068"/>
    <w:rsid w:val="008A20C8"/>
    <w:rsid w:val="008A20D1"/>
    <w:rsid w:val="008A23AD"/>
    <w:rsid w:val="008A2546"/>
    <w:rsid w:val="008A30D9"/>
    <w:rsid w:val="008A4712"/>
    <w:rsid w:val="008A4826"/>
    <w:rsid w:val="008A4932"/>
    <w:rsid w:val="008A4C96"/>
    <w:rsid w:val="008A52A2"/>
    <w:rsid w:val="008A5EDB"/>
    <w:rsid w:val="008A7ABC"/>
    <w:rsid w:val="008A7CA4"/>
    <w:rsid w:val="008A7F0D"/>
    <w:rsid w:val="008A7F1D"/>
    <w:rsid w:val="008A7F3C"/>
    <w:rsid w:val="008B1350"/>
    <w:rsid w:val="008B1419"/>
    <w:rsid w:val="008B1541"/>
    <w:rsid w:val="008B1F32"/>
    <w:rsid w:val="008B20B2"/>
    <w:rsid w:val="008B22BD"/>
    <w:rsid w:val="008B23CA"/>
    <w:rsid w:val="008B31D3"/>
    <w:rsid w:val="008B3289"/>
    <w:rsid w:val="008B3450"/>
    <w:rsid w:val="008B3839"/>
    <w:rsid w:val="008B4BB5"/>
    <w:rsid w:val="008B4D75"/>
    <w:rsid w:val="008B52F3"/>
    <w:rsid w:val="008B5DB5"/>
    <w:rsid w:val="008B602A"/>
    <w:rsid w:val="008B6A81"/>
    <w:rsid w:val="008B76A8"/>
    <w:rsid w:val="008B7E1D"/>
    <w:rsid w:val="008C0753"/>
    <w:rsid w:val="008C084D"/>
    <w:rsid w:val="008C09E3"/>
    <w:rsid w:val="008C0A45"/>
    <w:rsid w:val="008C21AE"/>
    <w:rsid w:val="008C224F"/>
    <w:rsid w:val="008C262A"/>
    <w:rsid w:val="008C26B6"/>
    <w:rsid w:val="008C2EA1"/>
    <w:rsid w:val="008C33C8"/>
    <w:rsid w:val="008C3688"/>
    <w:rsid w:val="008C3B0A"/>
    <w:rsid w:val="008C3B33"/>
    <w:rsid w:val="008C4173"/>
    <w:rsid w:val="008C458D"/>
    <w:rsid w:val="008C56E5"/>
    <w:rsid w:val="008C6150"/>
    <w:rsid w:val="008C616F"/>
    <w:rsid w:val="008C6CF5"/>
    <w:rsid w:val="008C714D"/>
    <w:rsid w:val="008D0151"/>
    <w:rsid w:val="008D0786"/>
    <w:rsid w:val="008D0DA1"/>
    <w:rsid w:val="008D1081"/>
    <w:rsid w:val="008D2171"/>
    <w:rsid w:val="008D3038"/>
    <w:rsid w:val="008D4507"/>
    <w:rsid w:val="008D47AD"/>
    <w:rsid w:val="008D49D8"/>
    <w:rsid w:val="008D49EE"/>
    <w:rsid w:val="008D4D9B"/>
    <w:rsid w:val="008D4FF2"/>
    <w:rsid w:val="008D5D02"/>
    <w:rsid w:val="008D632A"/>
    <w:rsid w:val="008D6CD1"/>
    <w:rsid w:val="008D7007"/>
    <w:rsid w:val="008D71A3"/>
    <w:rsid w:val="008E07C6"/>
    <w:rsid w:val="008E1486"/>
    <w:rsid w:val="008E154D"/>
    <w:rsid w:val="008E1A8A"/>
    <w:rsid w:val="008E226D"/>
    <w:rsid w:val="008E2312"/>
    <w:rsid w:val="008E2A0D"/>
    <w:rsid w:val="008E3309"/>
    <w:rsid w:val="008E3C0C"/>
    <w:rsid w:val="008E4083"/>
    <w:rsid w:val="008E4AC7"/>
    <w:rsid w:val="008E4C72"/>
    <w:rsid w:val="008E5F5F"/>
    <w:rsid w:val="008E5FBA"/>
    <w:rsid w:val="008E616D"/>
    <w:rsid w:val="008E69F7"/>
    <w:rsid w:val="008E6D1F"/>
    <w:rsid w:val="008E79A6"/>
    <w:rsid w:val="008E7D81"/>
    <w:rsid w:val="008F04FD"/>
    <w:rsid w:val="008F06C3"/>
    <w:rsid w:val="008F13FE"/>
    <w:rsid w:val="008F1C3C"/>
    <w:rsid w:val="008F252A"/>
    <w:rsid w:val="008F3056"/>
    <w:rsid w:val="008F42D0"/>
    <w:rsid w:val="008F4A34"/>
    <w:rsid w:val="008F518A"/>
    <w:rsid w:val="008F5A83"/>
    <w:rsid w:val="008F6126"/>
    <w:rsid w:val="008F7FCA"/>
    <w:rsid w:val="0090057E"/>
    <w:rsid w:val="00900673"/>
    <w:rsid w:val="00900AAD"/>
    <w:rsid w:val="00903E65"/>
    <w:rsid w:val="00904B3B"/>
    <w:rsid w:val="0090552B"/>
    <w:rsid w:val="00905563"/>
    <w:rsid w:val="009062B0"/>
    <w:rsid w:val="00907208"/>
    <w:rsid w:val="00910F75"/>
    <w:rsid w:val="00911559"/>
    <w:rsid w:val="00911851"/>
    <w:rsid w:val="00911E08"/>
    <w:rsid w:val="009129AE"/>
    <w:rsid w:val="00913100"/>
    <w:rsid w:val="0091315A"/>
    <w:rsid w:val="009133CD"/>
    <w:rsid w:val="009148A5"/>
    <w:rsid w:val="0091594E"/>
    <w:rsid w:val="00916BFD"/>
    <w:rsid w:val="009178AC"/>
    <w:rsid w:val="00917B44"/>
    <w:rsid w:val="00917D76"/>
    <w:rsid w:val="00920065"/>
    <w:rsid w:val="00920E89"/>
    <w:rsid w:val="00921F58"/>
    <w:rsid w:val="00921FD9"/>
    <w:rsid w:val="00922031"/>
    <w:rsid w:val="00922405"/>
    <w:rsid w:val="00922A44"/>
    <w:rsid w:val="00922FBF"/>
    <w:rsid w:val="00923E06"/>
    <w:rsid w:val="00924465"/>
    <w:rsid w:val="00924941"/>
    <w:rsid w:val="009255D5"/>
    <w:rsid w:val="0092563A"/>
    <w:rsid w:val="00925ED6"/>
    <w:rsid w:val="009262E2"/>
    <w:rsid w:val="009275E7"/>
    <w:rsid w:val="009277D8"/>
    <w:rsid w:val="00930749"/>
    <w:rsid w:val="00930B20"/>
    <w:rsid w:val="00931198"/>
    <w:rsid w:val="00931498"/>
    <w:rsid w:val="00932203"/>
    <w:rsid w:val="0093261E"/>
    <w:rsid w:val="0093385A"/>
    <w:rsid w:val="00933B6B"/>
    <w:rsid w:val="00933DE6"/>
    <w:rsid w:val="009342D0"/>
    <w:rsid w:val="00934E33"/>
    <w:rsid w:val="00934FF1"/>
    <w:rsid w:val="0093529C"/>
    <w:rsid w:val="0093636A"/>
    <w:rsid w:val="00936788"/>
    <w:rsid w:val="00936BDA"/>
    <w:rsid w:val="00937A52"/>
    <w:rsid w:val="0094071C"/>
    <w:rsid w:val="009407BD"/>
    <w:rsid w:val="00940B2A"/>
    <w:rsid w:val="009420D1"/>
    <w:rsid w:val="00942962"/>
    <w:rsid w:val="00942DB1"/>
    <w:rsid w:val="009438FE"/>
    <w:rsid w:val="00944A94"/>
    <w:rsid w:val="00944BFC"/>
    <w:rsid w:val="00945710"/>
    <w:rsid w:val="00945CA6"/>
    <w:rsid w:val="00946172"/>
    <w:rsid w:val="0094780F"/>
    <w:rsid w:val="00947A42"/>
    <w:rsid w:val="00947E02"/>
    <w:rsid w:val="0095005E"/>
    <w:rsid w:val="009507E6"/>
    <w:rsid w:val="00950E38"/>
    <w:rsid w:val="00951A42"/>
    <w:rsid w:val="009527E8"/>
    <w:rsid w:val="00953EC4"/>
    <w:rsid w:val="009558F4"/>
    <w:rsid w:val="00955CFD"/>
    <w:rsid w:val="00956C03"/>
    <w:rsid w:val="00956EC3"/>
    <w:rsid w:val="009570CD"/>
    <w:rsid w:val="009576F6"/>
    <w:rsid w:val="0095775C"/>
    <w:rsid w:val="009579D8"/>
    <w:rsid w:val="00957B40"/>
    <w:rsid w:val="009611B7"/>
    <w:rsid w:val="0096248D"/>
    <w:rsid w:val="009629F8"/>
    <w:rsid w:val="00962F16"/>
    <w:rsid w:val="0096341F"/>
    <w:rsid w:val="00963BDE"/>
    <w:rsid w:val="00965007"/>
    <w:rsid w:val="00965B57"/>
    <w:rsid w:val="00966648"/>
    <w:rsid w:val="009705E8"/>
    <w:rsid w:val="009718A9"/>
    <w:rsid w:val="0097198A"/>
    <w:rsid w:val="00971E51"/>
    <w:rsid w:val="009720EB"/>
    <w:rsid w:val="00973040"/>
    <w:rsid w:val="00973603"/>
    <w:rsid w:val="00975B8E"/>
    <w:rsid w:val="0097687D"/>
    <w:rsid w:val="0097692D"/>
    <w:rsid w:val="009769B9"/>
    <w:rsid w:val="00976F3E"/>
    <w:rsid w:val="009774FA"/>
    <w:rsid w:val="00977CA5"/>
    <w:rsid w:val="00977DE9"/>
    <w:rsid w:val="00981172"/>
    <w:rsid w:val="00981C36"/>
    <w:rsid w:val="00981DD6"/>
    <w:rsid w:val="00982580"/>
    <w:rsid w:val="00982B6F"/>
    <w:rsid w:val="00982BDE"/>
    <w:rsid w:val="009830D8"/>
    <w:rsid w:val="00983309"/>
    <w:rsid w:val="0098344D"/>
    <w:rsid w:val="009836FD"/>
    <w:rsid w:val="00983E76"/>
    <w:rsid w:val="00984620"/>
    <w:rsid w:val="00985730"/>
    <w:rsid w:val="00985C00"/>
    <w:rsid w:val="0098632A"/>
    <w:rsid w:val="009868D3"/>
    <w:rsid w:val="009873B9"/>
    <w:rsid w:val="00987900"/>
    <w:rsid w:val="009879FE"/>
    <w:rsid w:val="00987EB2"/>
    <w:rsid w:val="009905BE"/>
    <w:rsid w:val="009906C1"/>
    <w:rsid w:val="00990B3E"/>
    <w:rsid w:val="00990E26"/>
    <w:rsid w:val="00992237"/>
    <w:rsid w:val="00992268"/>
    <w:rsid w:val="00992F55"/>
    <w:rsid w:val="00997804"/>
    <w:rsid w:val="00997B65"/>
    <w:rsid w:val="009A0137"/>
    <w:rsid w:val="009A1792"/>
    <w:rsid w:val="009A1CD9"/>
    <w:rsid w:val="009A2B7B"/>
    <w:rsid w:val="009A2F0A"/>
    <w:rsid w:val="009A2F3E"/>
    <w:rsid w:val="009A3817"/>
    <w:rsid w:val="009A4739"/>
    <w:rsid w:val="009A5D89"/>
    <w:rsid w:val="009A69F7"/>
    <w:rsid w:val="009A7B0F"/>
    <w:rsid w:val="009B00F2"/>
    <w:rsid w:val="009B023B"/>
    <w:rsid w:val="009B12E0"/>
    <w:rsid w:val="009B2BD0"/>
    <w:rsid w:val="009B353E"/>
    <w:rsid w:val="009B4048"/>
    <w:rsid w:val="009B41FB"/>
    <w:rsid w:val="009B4292"/>
    <w:rsid w:val="009B43E4"/>
    <w:rsid w:val="009B4485"/>
    <w:rsid w:val="009B4AFF"/>
    <w:rsid w:val="009B5E90"/>
    <w:rsid w:val="009B63A9"/>
    <w:rsid w:val="009B6B52"/>
    <w:rsid w:val="009B6DEB"/>
    <w:rsid w:val="009C19FD"/>
    <w:rsid w:val="009C1D0E"/>
    <w:rsid w:val="009C2101"/>
    <w:rsid w:val="009C21D5"/>
    <w:rsid w:val="009C2CCC"/>
    <w:rsid w:val="009C31BE"/>
    <w:rsid w:val="009C32B2"/>
    <w:rsid w:val="009C35E1"/>
    <w:rsid w:val="009C3624"/>
    <w:rsid w:val="009C37DE"/>
    <w:rsid w:val="009C3E65"/>
    <w:rsid w:val="009C45AB"/>
    <w:rsid w:val="009C51E5"/>
    <w:rsid w:val="009C580C"/>
    <w:rsid w:val="009C5BE2"/>
    <w:rsid w:val="009D0173"/>
    <w:rsid w:val="009D0EE2"/>
    <w:rsid w:val="009D166B"/>
    <w:rsid w:val="009D2AC4"/>
    <w:rsid w:val="009D3395"/>
    <w:rsid w:val="009D5E0C"/>
    <w:rsid w:val="009D6548"/>
    <w:rsid w:val="009D69DE"/>
    <w:rsid w:val="009D7181"/>
    <w:rsid w:val="009D7B2F"/>
    <w:rsid w:val="009D7D1D"/>
    <w:rsid w:val="009E00FA"/>
    <w:rsid w:val="009E025B"/>
    <w:rsid w:val="009E04E9"/>
    <w:rsid w:val="009E0BB3"/>
    <w:rsid w:val="009E0DF5"/>
    <w:rsid w:val="009E2C20"/>
    <w:rsid w:val="009E2F20"/>
    <w:rsid w:val="009E322A"/>
    <w:rsid w:val="009E34C2"/>
    <w:rsid w:val="009E55C9"/>
    <w:rsid w:val="009E717E"/>
    <w:rsid w:val="009E7727"/>
    <w:rsid w:val="009E7FD5"/>
    <w:rsid w:val="009F0300"/>
    <w:rsid w:val="009F14B1"/>
    <w:rsid w:val="009F174D"/>
    <w:rsid w:val="009F1B54"/>
    <w:rsid w:val="009F1F6C"/>
    <w:rsid w:val="009F2857"/>
    <w:rsid w:val="009F313A"/>
    <w:rsid w:val="009F3379"/>
    <w:rsid w:val="009F42D8"/>
    <w:rsid w:val="009F64D1"/>
    <w:rsid w:val="009F676B"/>
    <w:rsid w:val="009F7003"/>
    <w:rsid w:val="009F70C3"/>
    <w:rsid w:val="00A004E9"/>
    <w:rsid w:val="00A007B4"/>
    <w:rsid w:val="00A02305"/>
    <w:rsid w:val="00A0278D"/>
    <w:rsid w:val="00A02F4B"/>
    <w:rsid w:val="00A03989"/>
    <w:rsid w:val="00A04822"/>
    <w:rsid w:val="00A04B46"/>
    <w:rsid w:val="00A062E4"/>
    <w:rsid w:val="00A06F54"/>
    <w:rsid w:val="00A070A2"/>
    <w:rsid w:val="00A07EBE"/>
    <w:rsid w:val="00A11244"/>
    <w:rsid w:val="00A12E2F"/>
    <w:rsid w:val="00A1332D"/>
    <w:rsid w:val="00A13F97"/>
    <w:rsid w:val="00A13FC1"/>
    <w:rsid w:val="00A146C1"/>
    <w:rsid w:val="00A149EF"/>
    <w:rsid w:val="00A14A51"/>
    <w:rsid w:val="00A14E0B"/>
    <w:rsid w:val="00A1656F"/>
    <w:rsid w:val="00A165C7"/>
    <w:rsid w:val="00A16892"/>
    <w:rsid w:val="00A17D76"/>
    <w:rsid w:val="00A20144"/>
    <w:rsid w:val="00A206D3"/>
    <w:rsid w:val="00A20E11"/>
    <w:rsid w:val="00A213F2"/>
    <w:rsid w:val="00A213F3"/>
    <w:rsid w:val="00A21426"/>
    <w:rsid w:val="00A21CDF"/>
    <w:rsid w:val="00A22043"/>
    <w:rsid w:val="00A226AE"/>
    <w:rsid w:val="00A2315E"/>
    <w:rsid w:val="00A23AAE"/>
    <w:rsid w:val="00A23BA0"/>
    <w:rsid w:val="00A24DF0"/>
    <w:rsid w:val="00A25716"/>
    <w:rsid w:val="00A268F5"/>
    <w:rsid w:val="00A27811"/>
    <w:rsid w:val="00A30083"/>
    <w:rsid w:val="00A30214"/>
    <w:rsid w:val="00A30434"/>
    <w:rsid w:val="00A304B3"/>
    <w:rsid w:val="00A30AF6"/>
    <w:rsid w:val="00A32057"/>
    <w:rsid w:val="00A333E7"/>
    <w:rsid w:val="00A3360B"/>
    <w:rsid w:val="00A3379A"/>
    <w:rsid w:val="00A339C2"/>
    <w:rsid w:val="00A34DBE"/>
    <w:rsid w:val="00A34E5E"/>
    <w:rsid w:val="00A3606A"/>
    <w:rsid w:val="00A36337"/>
    <w:rsid w:val="00A364A1"/>
    <w:rsid w:val="00A36EE5"/>
    <w:rsid w:val="00A37B11"/>
    <w:rsid w:val="00A40419"/>
    <w:rsid w:val="00A40480"/>
    <w:rsid w:val="00A409AB"/>
    <w:rsid w:val="00A41E6F"/>
    <w:rsid w:val="00A42052"/>
    <w:rsid w:val="00A42723"/>
    <w:rsid w:val="00A42C6E"/>
    <w:rsid w:val="00A42EB6"/>
    <w:rsid w:val="00A430AC"/>
    <w:rsid w:val="00A43F01"/>
    <w:rsid w:val="00A44545"/>
    <w:rsid w:val="00A448B6"/>
    <w:rsid w:val="00A45BEA"/>
    <w:rsid w:val="00A45CB4"/>
    <w:rsid w:val="00A45D35"/>
    <w:rsid w:val="00A46193"/>
    <w:rsid w:val="00A462B2"/>
    <w:rsid w:val="00A46493"/>
    <w:rsid w:val="00A4669B"/>
    <w:rsid w:val="00A47553"/>
    <w:rsid w:val="00A4772F"/>
    <w:rsid w:val="00A47A43"/>
    <w:rsid w:val="00A47F09"/>
    <w:rsid w:val="00A504C9"/>
    <w:rsid w:val="00A505AC"/>
    <w:rsid w:val="00A50857"/>
    <w:rsid w:val="00A51545"/>
    <w:rsid w:val="00A51A48"/>
    <w:rsid w:val="00A52A6A"/>
    <w:rsid w:val="00A52F74"/>
    <w:rsid w:val="00A53145"/>
    <w:rsid w:val="00A547AA"/>
    <w:rsid w:val="00A552FE"/>
    <w:rsid w:val="00A5707D"/>
    <w:rsid w:val="00A57C96"/>
    <w:rsid w:val="00A60DD6"/>
    <w:rsid w:val="00A623B2"/>
    <w:rsid w:val="00A62603"/>
    <w:rsid w:val="00A631E3"/>
    <w:rsid w:val="00A631FD"/>
    <w:rsid w:val="00A634C3"/>
    <w:rsid w:val="00A63DB0"/>
    <w:rsid w:val="00A65C10"/>
    <w:rsid w:val="00A66617"/>
    <w:rsid w:val="00A66A41"/>
    <w:rsid w:val="00A671A8"/>
    <w:rsid w:val="00A67B00"/>
    <w:rsid w:val="00A67BEA"/>
    <w:rsid w:val="00A70107"/>
    <w:rsid w:val="00A703DC"/>
    <w:rsid w:val="00A72FBF"/>
    <w:rsid w:val="00A730D3"/>
    <w:rsid w:val="00A738BE"/>
    <w:rsid w:val="00A74BFB"/>
    <w:rsid w:val="00A75BD3"/>
    <w:rsid w:val="00A75FE5"/>
    <w:rsid w:val="00A7691C"/>
    <w:rsid w:val="00A76D9B"/>
    <w:rsid w:val="00A76F1D"/>
    <w:rsid w:val="00A77881"/>
    <w:rsid w:val="00A7788A"/>
    <w:rsid w:val="00A77C0E"/>
    <w:rsid w:val="00A803B0"/>
    <w:rsid w:val="00A81AF6"/>
    <w:rsid w:val="00A81EA1"/>
    <w:rsid w:val="00A82026"/>
    <w:rsid w:val="00A82970"/>
    <w:rsid w:val="00A83013"/>
    <w:rsid w:val="00A8357C"/>
    <w:rsid w:val="00A83E0F"/>
    <w:rsid w:val="00A84860"/>
    <w:rsid w:val="00A8498D"/>
    <w:rsid w:val="00A85A74"/>
    <w:rsid w:val="00A85F48"/>
    <w:rsid w:val="00A86662"/>
    <w:rsid w:val="00A87853"/>
    <w:rsid w:val="00A90944"/>
    <w:rsid w:val="00A9120E"/>
    <w:rsid w:val="00A9151F"/>
    <w:rsid w:val="00A918F1"/>
    <w:rsid w:val="00A9207C"/>
    <w:rsid w:val="00A92263"/>
    <w:rsid w:val="00A92328"/>
    <w:rsid w:val="00A923CD"/>
    <w:rsid w:val="00A930E6"/>
    <w:rsid w:val="00A9359F"/>
    <w:rsid w:val="00A93839"/>
    <w:rsid w:val="00A93CA3"/>
    <w:rsid w:val="00A93D3F"/>
    <w:rsid w:val="00A93EBD"/>
    <w:rsid w:val="00A94051"/>
    <w:rsid w:val="00A95970"/>
    <w:rsid w:val="00A960E9"/>
    <w:rsid w:val="00A9632E"/>
    <w:rsid w:val="00A9641C"/>
    <w:rsid w:val="00A96562"/>
    <w:rsid w:val="00A96685"/>
    <w:rsid w:val="00A9727A"/>
    <w:rsid w:val="00A97355"/>
    <w:rsid w:val="00A9793F"/>
    <w:rsid w:val="00AA160D"/>
    <w:rsid w:val="00AA1EDE"/>
    <w:rsid w:val="00AA2EC5"/>
    <w:rsid w:val="00AA3690"/>
    <w:rsid w:val="00AA3897"/>
    <w:rsid w:val="00AA4482"/>
    <w:rsid w:val="00AA5BA5"/>
    <w:rsid w:val="00AA6EFB"/>
    <w:rsid w:val="00AA758C"/>
    <w:rsid w:val="00AA78F2"/>
    <w:rsid w:val="00AB02A3"/>
    <w:rsid w:val="00AB097A"/>
    <w:rsid w:val="00AB0CC1"/>
    <w:rsid w:val="00AB1885"/>
    <w:rsid w:val="00AB2450"/>
    <w:rsid w:val="00AB2A5B"/>
    <w:rsid w:val="00AB2FDD"/>
    <w:rsid w:val="00AB302E"/>
    <w:rsid w:val="00AB344F"/>
    <w:rsid w:val="00AB3647"/>
    <w:rsid w:val="00AB3CF5"/>
    <w:rsid w:val="00AB407E"/>
    <w:rsid w:val="00AB5345"/>
    <w:rsid w:val="00AB540B"/>
    <w:rsid w:val="00AB587F"/>
    <w:rsid w:val="00AB58C2"/>
    <w:rsid w:val="00AB5981"/>
    <w:rsid w:val="00AB5B7C"/>
    <w:rsid w:val="00AB6BB9"/>
    <w:rsid w:val="00AB7A94"/>
    <w:rsid w:val="00AB7B71"/>
    <w:rsid w:val="00AC01CD"/>
    <w:rsid w:val="00AC0FB3"/>
    <w:rsid w:val="00AC110B"/>
    <w:rsid w:val="00AC3A73"/>
    <w:rsid w:val="00AC404E"/>
    <w:rsid w:val="00AC4185"/>
    <w:rsid w:val="00AC6075"/>
    <w:rsid w:val="00AC65B3"/>
    <w:rsid w:val="00AC7DA2"/>
    <w:rsid w:val="00AD084C"/>
    <w:rsid w:val="00AD08D0"/>
    <w:rsid w:val="00AD1C9E"/>
    <w:rsid w:val="00AD2B2D"/>
    <w:rsid w:val="00AD2F57"/>
    <w:rsid w:val="00AD3485"/>
    <w:rsid w:val="00AD465A"/>
    <w:rsid w:val="00AD4997"/>
    <w:rsid w:val="00AD4C1A"/>
    <w:rsid w:val="00AD4FB1"/>
    <w:rsid w:val="00AD5702"/>
    <w:rsid w:val="00AD601F"/>
    <w:rsid w:val="00AD679F"/>
    <w:rsid w:val="00AD7398"/>
    <w:rsid w:val="00AD7703"/>
    <w:rsid w:val="00AE03CB"/>
    <w:rsid w:val="00AE07C7"/>
    <w:rsid w:val="00AE0862"/>
    <w:rsid w:val="00AE0B65"/>
    <w:rsid w:val="00AE1036"/>
    <w:rsid w:val="00AE1895"/>
    <w:rsid w:val="00AE1996"/>
    <w:rsid w:val="00AE2547"/>
    <w:rsid w:val="00AE2A8D"/>
    <w:rsid w:val="00AE33A0"/>
    <w:rsid w:val="00AE34CC"/>
    <w:rsid w:val="00AE3C20"/>
    <w:rsid w:val="00AE4063"/>
    <w:rsid w:val="00AE4CC8"/>
    <w:rsid w:val="00AE4D58"/>
    <w:rsid w:val="00AE4E0D"/>
    <w:rsid w:val="00AE55BF"/>
    <w:rsid w:val="00AE6164"/>
    <w:rsid w:val="00AE7364"/>
    <w:rsid w:val="00AE7680"/>
    <w:rsid w:val="00AF04A0"/>
    <w:rsid w:val="00AF09F1"/>
    <w:rsid w:val="00AF0F0F"/>
    <w:rsid w:val="00AF1281"/>
    <w:rsid w:val="00AF1EED"/>
    <w:rsid w:val="00AF21C4"/>
    <w:rsid w:val="00AF2958"/>
    <w:rsid w:val="00AF3413"/>
    <w:rsid w:val="00AF35BB"/>
    <w:rsid w:val="00AF36C5"/>
    <w:rsid w:val="00AF3A98"/>
    <w:rsid w:val="00AF3CA4"/>
    <w:rsid w:val="00AF4070"/>
    <w:rsid w:val="00AF42DB"/>
    <w:rsid w:val="00AF43B1"/>
    <w:rsid w:val="00AF4684"/>
    <w:rsid w:val="00AF4710"/>
    <w:rsid w:val="00AF472B"/>
    <w:rsid w:val="00AF5BBD"/>
    <w:rsid w:val="00AF63C7"/>
    <w:rsid w:val="00AF6729"/>
    <w:rsid w:val="00AF6FDE"/>
    <w:rsid w:val="00AF716C"/>
    <w:rsid w:val="00AF73DF"/>
    <w:rsid w:val="00AF74B6"/>
    <w:rsid w:val="00AF74C4"/>
    <w:rsid w:val="00B01207"/>
    <w:rsid w:val="00B01993"/>
    <w:rsid w:val="00B019A4"/>
    <w:rsid w:val="00B01FAF"/>
    <w:rsid w:val="00B027DC"/>
    <w:rsid w:val="00B02991"/>
    <w:rsid w:val="00B02D64"/>
    <w:rsid w:val="00B02F7C"/>
    <w:rsid w:val="00B033B5"/>
    <w:rsid w:val="00B033F6"/>
    <w:rsid w:val="00B04937"/>
    <w:rsid w:val="00B04B1E"/>
    <w:rsid w:val="00B04B26"/>
    <w:rsid w:val="00B07685"/>
    <w:rsid w:val="00B10E9C"/>
    <w:rsid w:val="00B11BAC"/>
    <w:rsid w:val="00B12C07"/>
    <w:rsid w:val="00B12E29"/>
    <w:rsid w:val="00B1357D"/>
    <w:rsid w:val="00B13777"/>
    <w:rsid w:val="00B13CFA"/>
    <w:rsid w:val="00B13D57"/>
    <w:rsid w:val="00B14405"/>
    <w:rsid w:val="00B14F1F"/>
    <w:rsid w:val="00B14F96"/>
    <w:rsid w:val="00B16414"/>
    <w:rsid w:val="00B205BB"/>
    <w:rsid w:val="00B20687"/>
    <w:rsid w:val="00B217BF"/>
    <w:rsid w:val="00B222F0"/>
    <w:rsid w:val="00B23B09"/>
    <w:rsid w:val="00B23BDC"/>
    <w:rsid w:val="00B24191"/>
    <w:rsid w:val="00B24A1F"/>
    <w:rsid w:val="00B24ABC"/>
    <w:rsid w:val="00B24DD2"/>
    <w:rsid w:val="00B25928"/>
    <w:rsid w:val="00B25CED"/>
    <w:rsid w:val="00B26377"/>
    <w:rsid w:val="00B26A20"/>
    <w:rsid w:val="00B26A99"/>
    <w:rsid w:val="00B2704A"/>
    <w:rsid w:val="00B3083D"/>
    <w:rsid w:val="00B31B57"/>
    <w:rsid w:val="00B31F2D"/>
    <w:rsid w:val="00B336D2"/>
    <w:rsid w:val="00B34190"/>
    <w:rsid w:val="00B348A0"/>
    <w:rsid w:val="00B364B9"/>
    <w:rsid w:val="00B36FD1"/>
    <w:rsid w:val="00B37CD8"/>
    <w:rsid w:val="00B37D18"/>
    <w:rsid w:val="00B4084D"/>
    <w:rsid w:val="00B410E5"/>
    <w:rsid w:val="00B41FFF"/>
    <w:rsid w:val="00B42AC2"/>
    <w:rsid w:val="00B42D45"/>
    <w:rsid w:val="00B436FD"/>
    <w:rsid w:val="00B4462B"/>
    <w:rsid w:val="00B4465C"/>
    <w:rsid w:val="00B44940"/>
    <w:rsid w:val="00B45149"/>
    <w:rsid w:val="00B4565C"/>
    <w:rsid w:val="00B47893"/>
    <w:rsid w:val="00B501A5"/>
    <w:rsid w:val="00B50E95"/>
    <w:rsid w:val="00B51189"/>
    <w:rsid w:val="00B5134B"/>
    <w:rsid w:val="00B515C2"/>
    <w:rsid w:val="00B523DF"/>
    <w:rsid w:val="00B5297D"/>
    <w:rsid w:val="00B532F8"/>
    <w:rsid w:val="00B53C81"/>
    <w:rsid w:val="00B54022"/>
    <w:rsid w:val="00B54397"/>
    <w:rsid w:val="00B54776"/>
    <w:rsid w:val="00B550E8"/>
    <w:rsid w:val="00B5561B"/>
    <w:rsid w:val="00B55D55"/>
    <w:rsid w:val="00B55D63"/>
    <w:rsid w:val="00B564D9"/>
    <w:rsid w:val="00B57323"/>
    <w:rsid w:val="00B575AE"/>
    <w:rsid w:val="00B62F5B"/>
    <w:rsid w:val="00B62F87"/>
    <w:rsid w:val="00B630AF"/>
    <w:rsid w:val="00B63181"/>
    <w:rsid w:val="00B6485F"/>
    <w:rsid w:val="00B64FBE"/>
    <w:rsid w:val="00B6527E"/>
    <w:rsid w:val="00B673B1"/>
    <w:rsid w:val="00B677BF"/>
    <w:rsid w:val="00B677E8"/>
    <w:rsid w:val="00B67A1C"/>
    <w:rsid w:val="00B67A47"/>
    <w:rsid w:val="00B702A7"/>
    <w:rsid w:val="00B7037C"/>
    <w:rsid w:val="00B7049A"/>
    <w:rsid w:val="00B70D2E"/>
    <w:rsid w:val="00B70F41"/>
    <w:rsid w:val="00B71C36"/>
    <w:rsid w:val="00B72317"/>
    <w:rsid w:val="00B725D2"/>
    <w:rsid w:val="00B7301B"/>
    <w:rsid w:val="00B730AF"/>
    <w:rsid w:val="00B730BC"/>
    <w:rsid w:val="00B73D60"/>
    <w:rsid w:val="00B74502"/>
    <w:rsid w:val="00B7469F"/>
    <w:rsid w:val="00B74842"/>
    <w:rsid w:val="00B74E6F"/>
    <w:rsid w:val="00B751D4"/>
    <w:rsid w:val="00B75AD0"/>
    <w:rsid w:val="00B76846"/>
    <w:rsid w:val="00B77280"/>
    <w:rsid w:val="00B775C9"/>
    <w:rsid w:val="00B80052"/>
    <w:rsid w:val="00B80D4C"/>
    <w:rsid w:val="00B81A98"/>
    <w:rsid w:val="00B81D76"/>
    <w:rsid w:val="00B82BDE"/>
    <w:rsid w:val="00B837C7"/>
    <w:rsid w:val="00B83EE3"/>
    <w:rsid w:val="00B841DD"/>
    <w:rsid w:val="00B85C41"/>
    <w:rsid w:val="00B86743"/>
    <w:rsid w:val="00B875F3"/>
    <w:rsid w:val="00B87B09"/>
    <w:rsid w:val="00B90410"/>
    <w:rsid w:val="00B909FF"/>
    <w:rsid w:val="00B91469"/>
    <w:rsid w:val="00B9347B"/>
    <w:rsid w:val="00B93ECC"/>
    <w:rsid w:val="00B940D1"/>
    <w:rsid w:val="00B946D9"/>
    <w:rsid w:val="00B94761"/>
    <w:rsid w:val="00B94B4E"/>
    <w:rsid w:val="00B94C72"/>
    <w:rsid w:val="00B961F5"/>
    <w:rsid w:val="00B96ABB"/>
    <w:rsid w:val="00B97317"/>
    <w:rsid w:val="00BA02B7"/>
    <w:rsid w:val="00BA041B"/>
    <w:rsid w:val="00BA1C46"/>
    <w:rsid w:val="00BA2B7D"/>
    <w:rsid w:val="00BA2BFE"/>
    <w:rsid w:val="00BA2EB9"/>
    <w:rsid w:val="00BA4744"/>
    <w:rsid w:val="00BA5245"/>
    <w:rsid w:val="00BA5AF3"/>
    <w:rsid w:val="00BA693D"/>
    <w:rsid w:val="00BA6BEC"/>
    <w:rsid w:val="00BA6C31"/>
    <w:rsid w:val="00BA7387"/>
    <w:rsid w:val="00BA7D7E"/>
    <w:rsid w:val="00BA7FBF"/>
    <w:rsid w:val="00BB03BD"/>
    <w:rsid w:val="00BB0E7E"/>
    <w:rsid w:val="00BB0F52"/>
    <w:rsid w:val="00BB1B9F"/>
    <w:rsid w:val="00BB21FF"/>
    <w:rsid w:val="00BB23F2"/>
    <w:rsid w:val="00BB28DD"/>
    <w:rsid w:val="00BB3331"/>
    <w:rsid w:val="00BB3464"/>
    <w:rsid w:val="00BB3AAC"/>
    <w:rsid w:val="00BB4565"/>
    <w:rsid w:val="00BB45BD"/>
    <w:rsid w:val="00BB4701"/>
    <w:rsid w:val="00BB48F0"/>
    <w:rsid w:val="00BB4E5B"/>
    <w:rsid w:val="00BB4F4C"/>
    <w:rsid w:val="00BB5083"/>
    <w:rsid w:val="00BB533C"/>
    <w:rsid w:val="00BB5FCF"/>
    <w:rsid w:val="00BB7EC6"/>
    <w:rsid w:val="00BC0408"/>
    <w:rsid w:val="00BC06A0"/>
    <w:rsid w:val="00BC09AE"/>
    <w:rsid w:val="00BC0EB4"/>
    <w:rsid w:val="00BC138B"/>
    <w:rsid w:val="00BC2016"/>
    <w:rsid w:val="00BC2511"/>
    <w:rsid w:val="00BC2949"/>
    <w:rsid w:val="00BC2E8B"/>
    <w:rsid w:val="00BC3154"/>
    <w:rsid w:val="00BC3DC9"/>
    <w:rsid w:val="00BC4301"/>
    <w:rsid w:val="00BC53D6"/>
    <w:rsid w:val="00BC58C5"/>
    <w:rsid w:val="00BC5B90"/>
    <w:rsid w:val="00BC66F2"/>
    <w:rsid w:val="00BC70A9"/>
    <w:rsid w:val="00BC7411"/>
    <w:rsid w:val="00BC79FE"/>
    <w:rsid w:val="00BD18F7"/>
    <w:rsid w:val="00BD194A"/>
    <w:rsid w:val="00BD224C"/>
    <w:rsid w:val="00BD27F0"/>
    <w:rsid w:val="00BD3478"/>
    <w:rsid w:val="00BD3882"/>
    <w:rsid w:val="00BD4740"/>
    <w:rsid w:val="00BD4A5D"/>
    <w:rsid w:val="00BD4E90"/>
    <w:rsid w:val="00BD4EF9"/>
    <w:rsid w:val="00BD5D4F"/>
    <w:rsid w:val="00BD6414"/>
    <w:rsid w:val="00BD6E54"/>
    <w:rsid w:val="00BD72C8"/>
    <w:rsid w:val="00BD7FD9"/>
    <w:rsid w:val="00BE0042"/>
    <w:rsid w:val="00BE08E1"/>
    <w:rsid w:val="00BE1F3D"/>
    <w:rsid w:val="00BE2852"/>
    <w:rsid w:val="00BE44F0"/>
    <w:rsid w:val="00BE4708"/>
    <w:rsid w:val="00BE471C"/>
    <w:rsid w:val="00BE5700"/>
    <w:rsid w:val="00BE6F5C"/>
    <w:rsid w:val="00BE6FF7"/>
    <w:rsid w:val="00BF05E5"/>
    <w:rsid w:val="00BF09DA"/>
    <w:rsid w:val="00BF128F"/>
    <w:rsid w:val="00BF130F"/>
    <w:rsid w:val="00BF1C8C"/>
    <w:rsid w:val="00BF3C99"/>
    <w:rsid w:val="00BF4002"/>
    <w:rsid w:val="00BF44CF"/>
    <w:rsid w:val="00BF489A"/>
    <w:rsid w:val="00BF4E0B"/>
    <w:rsid w:val="00BF4F73"/>
    <w:rsid w:val="00BF5447"/>
    <w:rsid w:val="00BF59C5"/>
    <w:rsid w:val="00BF6FCB"/>
    <w:rsid w:val="00C00417"/>
    <w:rsid w:val="00C004EF"/>
    <w:rsid w:val="00C01028"/>
    <w:rsid w:val="00C0108C"/>
    <w:rsid w:val="00C02289"/>
    <w:rsid w:val="00C0284F"/>
    <w:rsid w:val="00C028E5"/>
    <w:rsid w:val="00C02978"/>
    <w:rsid w:val="00C030CF"/>
    <w:rsid w:val="00C0350E"/>
    <w:rsid w:val="00C0365F"/>
    <w:rsid w:val="00C03807"/>
    <w:rsid w:val="00C053C5"/>
    <w:rsid w:val="00C06695"/>
    <w:rsid w:val="00C06C86"/>
    <w:rsid w:val="00C06EE5"/>
    <w:rsid w:val="00C108E8"/>
    <w:rsid w:val="00C10B15"/>
    <w:rsid w:val="00C10E06"/>
    <w:rsid w:val="00C11792"/>
    <w:rsid w:val="00C11A3B"/>
    <w:rsid w:val="00C12642"/>
    <w:rsid w:val="00C12912"/>
    <w:rsid w:val="00C13061"/>
    <w:rsid w:val="00C130A2"/>
    <w:rsid w:val="00C136F9"/>
    <w:rsid w:val="00C14C74"/>
    <w:rsid w:val="00C15309"/>
    <w:rsid w:val="00C1542C"/>
    <w:rsid w:val="00C157AE"/>
    <w:rsid w:val="00C163D7"/>
    <w:rsid w:val="00C1688A"/>
    <w:rsid w:val="00C17E9E"/>
    <w:rsid w:val="00C211E6"/>
    <w:rsid w:val="00C21DC9"/>
    <w:rsid w:val="00C21F3B"/>
    <w:rsid w:val="00C22FCA"/>
    <w:rsid w:val="00C23179"/>
    <w:rsid w:val="00C23DDF"/>
    <w:rsid w:val="00C240FD"/>
    <w:rsid w:val="00C24390"/>
    <w:rsid w:val="00C2534D"/>
    <w:rsid w:val="00C255C9"/>
    <w:rsid w:val="00C25775"/>
    <w:rsid w:val="00C268E4"/>
    <w:rsid w:val="00C270B6"/>
    <w:rsid w:val="00C306E6"/>
    <w:rsid w:val="00C31C6C"/>
    <w:rsid w:val="00C32008"/>
    <w:rsid w:val="00C32554"/>
    <w:rsid w:val="00C325B7"/>
    <w:rsid w:val="00C32741"/>
    <w:rsid w:val="00C32ED4"/>
    <w:rsid w:val="00C34297"/>
    <w:rsid w:val="00C34E23"/>
    <w:rsid w:val="00C3531E"/>
    <w:rsid w:val="00C35C1B"/>
    <w:rsid w:val="00C35EF4"/>
    <w:rsid w:val="00C36785"/>
    <w:rsid w:val="00C36DD9"/>
    <w:rsid w:val="00C37011"/>
    <w:rsid w:val="00C407AF"/>
    <w:rsid w:val="00C4128C"/>
    <w:rsid w:val="00C420BE"/>
    <w:rsid w:val="00C421B1"/>
    <w:rsid w:val="00C4295D"/>
    <w:rsid w:val="00C42EC6"/>
    <w:rsid w:val="00C42FA6"/>
    <w:rsid w:val="00C4309C"/>
    <w:rsid w:val="00C4388D"/>
    <w:rsid w:val="00C43F7E"/>
    <w:rsid w:val="00C451A3"/>
    <w:rsid w:val="00C45516"/>
    <w:rsid w:val="00C45600"/>
    <w:rsid w:val="00C45EE7"/>
    <w:rsid w:val="00C46510"/>
    <w:rsid w:val="00C46BFC"/>
    <w:rsid w:val="00C475C0"/>
    <w:rsid w:val="00C47D1D"/>
    <w:rsid w:val="00C500AB"/>
    <w:rsid w:val="00C50BC9"/>
    <w:rsid w:val="00C50BD4"/>
    <w:rsid w:val="00C51D17"/>
    <w:rsid w:val="00C5239D"/>
    <w:rsid w:val="00C52C44"/>
    <w:rsid w:val="00C53609"/>
    <w:rsid w:val="00C53999"/>
    <w:rsid w:val="00C54F57"/>
    <w:rsid w:val="00C550B1"/>
    <w:rsid w:val="00C551D0"/>
    <w:rsid w:val="00C55CC5"/>
    <w:rsid w:val="00C56329"/>
    <w:rsid w:val="00C564D0"/>
    <w:rsid w:val="00C5678B"/>
    <w:rsid w:val="00C57631"/>
    <w:rsid w:val="00C57673"/>
    <w:rsid w:val="00C57F60"/>
    <w:rsid w:val="00C60087"/>
    <w:rsid w:val="00C60125"/>
    <w:rsid w:val="00C60D57"/>
    <w:rsid w:val="00C60DDD"/>
    <w:rsid w:val="00C616F3"/>
    <w:rsid w:val="00C62263"/>
    <w:rsid w:val="00C6254C"/>
    <w:rsid w:val="00C62831"/>
    <w:rsid w:val="00C62BD2"/>
    <w:rsid w:val="00C63384"/>
    <w:rsid w:val="00C63A7F"/>
    <w:rsid w:val="00C63FCA"/>
    <w:rsid w:val="00C6432A"/>
    <w:rsid w:val="00C64C80"/>
    <w:rsid w:val="00C64F8C"/>
    <w:rsid w:val="00C65244"/>
    <w:rsid w:val="00C65550"/>
    <w:rsid w:val="00C6584D"/>
    <w:rsid w:val="00C65F56"/>
    <w:rsid w:val="00C66624"/>
    <w:rsid w:val="00C66D0C"/>
    <w:rsid w:val="00C6727B"/>
    <w:rsid w:val="00C6748A"/>
    <w:rsid w:val="00C7003B"/>
    <w:rsid w:val="00C70064"/>
    <w:rsid w:val="00C713AB"/>
    <w:rsid w:val="00C71AB5"/>
    <w:rsid w:val="00C72C63"/>
    <w:rsid w:val="00C72DAA"/>
    <w:rsid w:val="00C73581"/>
    <w:rsid w:val="00C73875"/>
    <w:rsid w:val="00C73BC7"/>
    <w:rsid w:val="00C74A83"/>
    <w:rsid w:val="00C74B6D"/>
    <w:rsid w:val="00C75086"/>
    <w:rsid w:val="00C75483"/>
    <w:rsid w:val="00C7560A"/>
    <w:rsid w:val="00C7561E"/>
    <w:rsid w:val="00C76566"/>
    <w:rsid w:val="00C766D1"/>
    <w:rsid w:val="00C76DFB"/>
    <w:rsid w:val="00C77288"/>
    <w:rsid w:val="00C77555"/>
    <w:rsid w:val="00C777C9"/>
    <w:rsid w:val="00C77E9F"/>
    <w:rsid w:val="00C77FDD"/>
    <w:rsid w:val="00C80843"/>
    <w:rsid w:val="00C81D06"/>
    <w:rsid w:val="00C8322A"/>
    <w:rsid w:val="00C83F75"/>
    <w:rsid w:val="00C843EA"/>
    <w:rsid w:val="00C8442E"/>
    <w:rsid w:val="00C85CB4"/>
    <w:rsid w:val="00C8610A"/>
    <w:rsid w:val="00C86172"/>
    <w:rsid w:val="00C86989"/>
    <w:rsid w:val="00C86BC6"/>
    <w:rsid w:val="00C86CCB"/>
    <w:rsid w:val="00C874C0"/>
    <w:rsid w:val="00C87EF3"/>
    <w:rsid w:val="00C90133"/>
    <w:rsid w:val="00C90F36"/>
    <w:rsid w:val="00C94010"/>
    <w:rsid w:val="00C9463A"/>
    <w:rsid w:val="00C9483C"/>
    <w:rsid w:val="00C94A25"/>
    <w:rsid w:val="00C9510B"/>
    <w:rsid w:val="00C9540A"/>
    <w:rsid w:val="00C95D31"/>
    <w:rsid w:val="00C96A81"/>
    <w:rsid w:val="00C97821"/>
    <w:rsid w:val="00C97ACD"/>
    <w:rsid w:val="00CA04BF"/>
    <w:rsid w:val="00CA09CA"/>
    <w:rsid w:val="00CA1257"/>
    <w:rsid w:val="00CA24F3"/>
    <w:rsid w:val="00CA2CAB"/>
    <w:rsid w:val="00CA317D"/>
    <w:rsid w:val="00CA4174"/>
    <w:rsid w:val="00CA47B2"/>
    <w:rsid w:val="00CA5A7B"/>
    <w:rsid w:val="00CA68AC"/>
    <w:rsid w:val="00CA7255"/>
    <w:rsid w:val="00CA7487"/>
    <w:rsid w:val="00CA77E5"/>
    <w:rsid w:val="00CA79E2"/>
    <w:rsid w:val="00CB0342"/>
    <w:rsid w:val="00CB0459"/>
    <w:rsid w:val="00CB0804"/>
    <w:rsid w:val="00CB0D65"/>
    <w:rsid w:val="00CB10A8"/>
    <w:rsid w:val="00CB2B98"/>
    <w:rsid w:val="00CB47C0"/>
    <w:rsid w:val="00CB4A60"/>
    <w:rsid w:val="00CB55F4"/>
    <w:rsid w:val="00CB5A00"/>
    <w:rsid w:val="00CB6128"/>
    <w:rsid w:val="00CB76AD"/>
    <w:rsid w:val="00CB7D10"/>
    <w:rsid w:val="00CC25F1"/>
    <w:rsid w:val="00CC2B33"/>
    <w:rsid w:val="00CC2D2D"/>
    <w:rsid w:val="00CC3345"/>
    <w:rsid w:val="00CC3596"/>
    <w:rsid w:val="00CC3C76"/>
    <w:rsid w:val="00CC43DF"/>
    <w:rsid w:val="00CC4C26"/>
    <w:rsid w:val="00CC4EA2"/>
    <w:rsid w:val="00CC4F00"/>
    <w:rsid w:val="00CC54E2"/>
    <w:rsid w:val="00CC5A05"/>
    <w:rsid w:val="00CC6133"/>
    <w:rsid w:val="00CC66CC"/>
    <w:rsid w:val="00CC6E82"/>
    <w:rsid w:val="00CC6F65"/>
    <w:rsid w:val="00CC7358"/>
    <w:rsid w:val="00CC7C92"/>
    <w:rsid w:val="00CD0353"/>
    <w:rsid w:val="00CD1509"/>
    <w:rsid w:val="00CD1797"/>
    <w:rsid w:val="00CD1F99"/>
    <w:rsid w:val="00CD2002"/>
    <w:rsid w:val="00CD2331"/>
    <w:rsid w:val="00CD233E"/>
    <w:rsid w:val="00CD23A1"/>
    <w:rsid w:val="00CD2A59"/>
    <w:rsid w:val="00CD2C0D"/>
    <w:rsid w:val="00CD2D84"/>
    <w:rsid w:val="00CD2E1D"/>
    <w:rsid w:val="00CD56AB"/>
    <w:rsid w:val="00CD5F9D"/>
    <w:rsid w:val="00CD63D7"/>
    <w:rsid w:val="00CD64CC"/>
    <w:rsid w:val="00CD712B"/>
    <w:rsid w:val="00CD71B0"/>
    <w:rsid w:val="00CD74CE"/>
    <w:rsid w:val="00CE0727"/>
    <w:rsid w:val="00CE1830"/>
    <w:rsid w:val="00CE1F78"/>
    <w:rsid w:val="00CE208B"/>
    <w:rsid w:val="00CE3695"/>
    <w:rsid w:val="00CE3C65"/>
    <w:rsid w:val="00CE3D5E"/>
    <w:rsid w:val="00CE4140"/>
    <w:rsid w:val="00CE5E0A"/>
    <w:rsid w:val="00CE651F"/>
    <w:rsid w:val="00CE68AC"/>
    <w:rsid w:val="00CE6DB9"/>
    <w:rsid w:val="00CE7389"/>
    <w:rsid w:val="00CE7AF9"/>
    <w:rsid w:val="00CE7C57"/>
    <w:rsid w:val="00CF0004"/>
    <w:rsid w:val="00CF0842"/>
    <w:rsid w:val="00CF0D88"/>
    <w:rsid w:val="00CF0F52"/>
    <w:rsid w:val="00CF19B3"/>
    <w:rsid w:val="00CF1F6F"/>
    <w:rsid w:val="00CF2155"/>
    <w:rsid w:val="00CF2374"/>
    <w:rsid w:val="00CF267B"/>
    <w:rsid w:val="00CF329D"/>
    <w:rsid w:val="00CF3A37"/>
    <w:rsid w:val="00CF4FE2"/>
    <w:rsid w:val="00CF5551"/>
    <w:rsid w:val="00CF57BC"/>
    <w:rsid w:val="00CF5F6D"/>
    <w:rsid w:val="00CF6CFD"/>
    <w:rsid w:val="00CF7B5B"/>
    <w:rsid w:val="00CF7CFD"/>
    <w:rsid w:val="00CF7DE9"/>
    <w:rsid w:val="00D00325"/>
    <w:rsid w:val="00D00B81"/>
    <w:rsid w:val="00D00FAD"/>
    <w:rsid w:val="00D00FFC"/>
    <w:rsid w:val="00D01015"/>
    <w:rsid w:val="00D01623"/>
    <w:rsid w:val="00D029D2"/>
    <w:rsid w:val="00D030C1"/>
    <w:rsid w:val="00D03373"/>
    <w:rsid w:val="00D047AC"/>
    <w:rsid w:val="00D04FFE"/>
    <w:rsid w:val="00D05204"/>
    <w:rsid w:val="00D054DF"/>
    <w:rsid w:val="00D05786"/>
    <w:rsid w:val="00D05D90"/>
    <w:rsid w:val="00D064EE"/>
    <w:rsid w:val="00D06826"/>
    <w:rsid w:val="00D07167"/>
    <w:rsid w:val="00D0719C"/>
    <w:rsid w:val="00D0737B"/>
    <w:rsid w:val="00D07E4E"/>
    <w:rsid w:val="00D07FA8"/>
    <w:rsid w:val="00D103D7"/>
    <w:rsid w:val="00D11838"/>
    <w:rsid w:val="00D12A45"/>
    <w:rsid w:val="00D12D75"/>
    <w:rsid w:val="00D13588"/>
    <w:rsid w:val="00D13715"/>
    <w:rsid w:val="00D14966"/>
    <w:rsid w:val="00D161EB"/>
    <w:rsid w:val="00D1742E"/>
    <w:rsid w:val="00D17801"/>
    <w:rsid w:val="00D17970"/>
    <w:rsid w:val="00D17B53"/>
    <w:rsid w:val="00D20288"/>
    <w:rsid w:val="00D209BF"/>
    <w:rsid w:val="00D20A17"/>
    <w:rsid w:val="00D213F2"/>
    <w:rsid w:val="00D21627"/>
    <w:rsid w:val="00D21CB1"/>
    <w:rsid w:val="00D22481"/>
    <w:rsid w:val="00D231AF"/>
    <w:rsid w:val="00D2346F"/>
    <w:rsid w:val="00D2466A"/>
    <w:rsid w:val="00D24CEE"/>
    <w:rsid w:val="00D25C05"/>
    <w:rsid w:val="00D2678F"/>
    <w:rsid w:val="00D26BBE"/>
    <w:rsid w:val="00D26C32"/>
    <w:rsid w:val="00D276C9"/>
    <w:rsid w:val="00D27B8E"/>
    <w:rsid w:val="00D27C4C"/>
    <w:rsid w:val="00D30D0E"/>
    <w:rsid w:val="00D30DA7"/>
    <w:rsid w:val="00D30E19"/>
    <w:rsid w:val="00D3189B"/>
    <w:rsid w:val="00D318B6"/>
    <w:rsid w:val="00D331A6"/>
    <w:rsid w:val="00D337F2"/>
    <w:rsid w:val="00D33D17"/>
    <w:rsid w:val="00D33E0D"/>
    <w:rsid w:val="00D3520F"/>
    <w:rsid w:val="00D37BF1"/>
    <w:rsid w:val="00D37C29"/>
    <w:rsid w:val="00D40216"/>
    <w:rsid w:val="00D40861"/>
    <w:rsid w:val="00D41188"/>
    <w:rsid w:val="00D41486"/>
    <w:rsid w:val="00D416D7"/>
    <w:rsid w:val="00D42B8F"/>
    <w:rsid w:val="00D433F9"/>
    <w:rsid w:val="00D44DCC"/>
    <w:rsid w:val="00D451C6"/>
    <w:rsid w:val="00D46C6A"/>
    <w:rsid w:val="00D46F17"/>
    <w:rsid w:val="00D4706E"/>
    <w:rsid w:val="00D477C7"/>
    <w:rsid w:val="00D479B4"/>
    <w:rsid w:val="00D47D55"/>
    <w:rsid w:val="00D5008D"/>
    <w:rsid w:val="00D50827"/>
    <w:rsid w:val="00D509A5"/>
    <w:rsid w:val="00D50F83"/>
    <w:rsid w:val="00D5453B"/>
    <w:rsid w:val="00D54919"/>
    <w:rsid w:val="00D54E0F"/>
    <w:rsid w:val="00D551FF"/>
    <w:rsid w:val="00D5520C"/>
    <w:rsid w:val="00D5557F"/>
    <w:rsid w:val="00D55889"/>
    <w:rsid w:val="00D55B27"/>
    <w:rsid w:val="00D55FBA"/>
    <w:rsid w:val="00D5655E"/>
    <w:rsid w:val="00D5686F"/>
    <w:rsid w:val="00D57C0F"/>
    <w:rsid w:val="00D57C3B"/>
    <w:rsid w:val="00D57FC5"/>
    <w:rsid w:val="00D60DF7"/>
    <w:rsid w:val="00D61E5E"/>
    <w:rsid w:val="00D6220B"/>
    <w:rsid w:val="00D631AC"/>
    <w:rsid w:val="00D63AD3"/>
    <w:rsid w:val="00D6423B"/>
    <w:rsid w:val="00D6429D"/>
    <w:rsid w:val="00D64ED5"/>
    <w:rsid w:val="00D64F44"/>
    <w:rsid w:val="00D66300"/>
    <w:rsid w:val="00D67416"/>
    <w:rsid w:val="00D67D28"/>
    <w:rsid w:val="00D70041"/>
    <w:rsid w:val="00D70150"/>
    <w:rsid w:val="00D74AD5"/>
    <w:rsid w:val="00D757E9"/>
    <w:rsid w:val="00D75986"/>
    <w:rsid w:val="00D75BB3"/>
    <w:rsid w:val="00D762EA"/>
    <w:rsid w:val="00D7633A"/>
    <w:rsid w:val="00D76CCB"/>
    <w:rsid w:val="00D77C14"/>
    <w:rsid w:val="00D801E8"/>
    <w:rsid w:val="00D80B35"/>
    <w:rsid w:val="00D8167F"/>
    <w:rsid w:val="00D82C86"/>
    <w:rsid w:val="00D83250"/>
    <w:rsid w:val="00D83318"/>
    <w:rsid w:val="00D8384F"/>
    <w:rsid w:val="00D8452F"/>
    <w:rsid w:val="00D84D3A"/>
    <w:rsid w:val="00D85F9E"/>
    <w:rsid w:val="00D8651F"/>
    <w:rsid w:val="00D8676F"/>
    <w:rsid w:val="00D86806"/>
    <w:rsid w:val="00D86D55"/>
    <w:rsid w:val="00D87223"/>
    <w:rsid w:val="00D87AD8"/>
    <w:rsid w:val="00D90213"/>
    <w:rsid w:val="00D902A9"/>
    <w:rsid w:val="00D903D7"/>
    <w:rsid w:val="00D90629"/>
    <w:rsid w:val="00D90890"/>
    <w:rsid w:val="00D90BD0"/>
    <w:rsid w:val="00D9137E"/>
    <w:rsid w:val="00D91DB2"/>
    <w:rsid w:val="00D92559"/>
    <w:rsid w:val="00D926F1"/>
    <w:rsid w:val="00D92DD3"/>
    <w:rsid w:val="00D931BF"/>
    <w:rsid w:val="00D937D1"/>
    <w:rsid w:val="00D93806"/>
    <w:rsid w:val="00D93ED7"/>
    <w:rsid w:val="00D943CB"/>
    <w:rsid w:val="00D944FF"/>
    <w:rsid w:val="00D94E32"/>
    <w:rsid w:val="00D95D18"/>
    <w:rsid w:val="00D96A35"/>
    <w:rsid w:val="00D96EC3"/>
    <w:rsid w:val="00D9738E"/>
    <w:rsid w:val="00D97B92"/>
    <w:rsid w:val="00DA04D9"/>
    <w:rsid w:val="00DA0E8B"/>
    <w:rsid w:val="00DA2035"/>
    <w:rsid w:val="00DA2099"/>
    <w:rsid w:val="00DA29A0"/>
    <w:rsid w:val="00DA2B90"/>
    <w:rsid w:val="00DA32CD"/>
    <w:rsid w:val="00DA344A"/>
    <w:rsid w:val="00DA3E85"/>
    <w:rsid w:val="00DA428A"/>
    <w:rsid w:val="00DA5226"/>
    <w:rsid w:val="00DA60BA"/>
    <w:rsid w:val="00DA60D2"/>
    <w:rsid w:val="00DA6EC0"/>
    <w:rsid w:val="00DA7A80"/>
    <w:rsid w:val="00DB07D4"/>
    <w:rsid w:val="00DB0C8E"/>
    <w:rsid w:val="00DB0DCF"/>
    <w:rsid w:val="00DB2B5A"/>
    <w:rsid w:val="00DB2C5E"/>
    <w:rsid w:val="00DB2EE0"/>
    <w:rsid w:val="00DB3A55"/>
    <w:rsid w:val="00DB4550"/>
    <w:rsid w:val="00DB4B0B"/>
    <w:rsid w:val="00DB4B94"/>
    <w:rsid w:val="00DB5464"/>
    <w:rsid w:val="00DB5843"/>
    <w:rsid w:val="00DB5DC2"/>
    <w:rsid w:val="00DB7552"/>
    <w:rsid w:val="00DB7D0C"/>
    <w:rsid w:val="00DC0862"/>
    <w:rsid w:val="00DC0C3E"/>
    <w:rsid w:val="00DC0E26"/>
    <w:rsid w:val="00DC12FF"/>
    <w:rsid w:val="00DC29C7"/>
    <w:rsid w:val="00DC3CA1"/>
    <w:rsid w:val="00DC42A2"/>
    <w:rsid w:val="00DC48EF"/>
    <w:rsid w:val="00DC49FE"/>
    <w:rsid w:val="00DC503C"/>
    <w:rsid w:val="00DC56FF"/>
    <w:rsid w:val="00DC5B76"/>
    <w:rsid w:val="00DC691C"/>
    <w:rsid w:val="00DC6E57"/>
    <w:rsid w:val="00DC745E"/>
    <w:rsid w:val="00DC7772"/>
    <w:rsid w:val="00DD05A5"/>
    <w:rsid w:val="00DD0ADA"/>
    <w:rsid w:val="00DD1697"/>
    <w:rsid w:val="00DD1AF6"/>
    <w:rsid w:val="00DD208E"/>
    <w:rsid w:val="00DD21F3"/>
    <w:rsid w:val="00DD2E10"/>
    <w:rsid w:val="00DD3172"/>
    <w:rsid w:val="00DD31A2"/>
    <w:rsid w:val="00DD31F3"/>
    <w:rsid w:val="00DD463F"/>
    <w:rsid w:val="00DD4825"/>
    <w:rsid w:val="00DD5365"/>
    <w:rsid w:val="00DD56E3"/>
    <w:rsid w:val="00DD5E11"/>
    <w:rsid w:val="00DD5FDC"/>
    <w:rsid w:val="00DD6CD5"/>
    <w:rsid w:val="00DE05FD"/>
    <w:rsid w:val="00DE1EA6"/>
    <w:rsid w:val="00DE1F81"/>
    <w:rsid w:val="00DE2E22"/>
    <w:rsid w:val="00DE3DD5"/>
    <w:rsid w:val="00DE3EBA"/>
    <w:rsid w:val="00DE3FE4"/>
    <w:rsid w:val="00DE4362"/>
    <w:rsid w:val="00DE4FE2"/>
    <w:rsid w:val="00DE52E5"/>
    <w:rsid w:val="00DE57F0"/>
    <w:rsid w:val="00DE6B99"/>
    <w:rsid w:val="00DE71BA"/>
    <w:rsid w:val="00DE7FA3"/>
    <w:rsid w:val="00DF0CD0"/>
    <w:rsid w:val="00DF0F8C"/>
    <w:rsid w:val="00DF1079"/>
    <w:rsid w:val="00DF146B"/>
    <w:rsid w:val="00DF14D9"/>
    <w:rsid w:val="00DF1FA0"/>
    <w:rsid w:val="00DF2C99"/>
    <w:rsid w:val="00DF32E3"/>
    <w:rsid w:val="00DF39A4"/>
    <w:rsid w:val="00DF3F5B"/>
    <w:rsid w:val="00DF4399"/>
    <w:rsid w:val="00DF50AE"/>
    <w:rsid w:val="00DF5612"/>
    <w:rsid w:val="00DF62B5"/>
    <w:rsid w:val="00DF631F"/>
    <w:rsid w:val="00DF6491"/>
    <w:rsid w:val="00DF75B1"/>
    <w:rsid w:val="00DF7998"/>
    <w:rsid w:val="00E0001A"/>
    <w:rsid w:val="00E005A2"/>
    <w:rsid w:val="00E00A45"/>
    <w:rsid w:val="00E024FE"/>
    <w:rsid w:val="00E035C9"/>
    <w:rsid w:val="00E03716"/>
    <w:rsid w:val="00E03F5E"/>
    <w:rsid w:val="00E0408A"/>
    <w:rsid w:val="00E04908"/>
    <w:rsid w:val="00E05184"/>
    <w:rsid w:val="00E05D56"/>
    <w:rsid w:val="00E066EB"/>
    <w:rsid w:val="00E06B97"/>
    <w:rsid w:val="00E07B26"/>
    <w:rsid w:val="00E07EFE"/>
    <w:rsid w:val="00E110F7"/>
    <w:rsid w:val="00E13A9C"/>
    <w:rsid w:val="00E13D3A"/>
    <w:rsid w:val="00E1462D"/>
    <w:rsid w:val="00E14A0B"/>
    <w:rsid w:val="00E14AAA"/>
    <w:rsid w:val="00E14CF5"/>
    <w:rsid w:val="00E1642E"/>
    <w:rsid w:val="00E16B4E"/>
    <w:rsid w:val="00E16C80"/>
    <w:rsid w:val="00E17D0D"/>
    <w:rsid w:val="00E2145D"/>
    <w:rsid w:val="00E227B0"/>
    <w:rsid w:val="00E233BA"/>
    <w:rsid w:val="00E240F2"/>
    <w:rsid w:val="00E24177"/>
    <w:rsid w:val="00E24301"/>
    <w:rsid w:val="00E248BF"/>
    <w:rsid w:val="00E24BD9"/>
    <w:rsid w:val="00E26700"/>
    <w:rsid w:val="00E27B88"/>
    <w:rsid w:val="00E27C8A"/>
    <w:rsid w:val="00E27DE4"/>
    <w:rsid w:val="00E303D0"/>
    <w:rsid w:val="00E32027"/>
    <w:rsid w:val="00E3235F"/>
    <w:rsid w:val="00E32E27"/>
    <w:rsid w:val="00E3364A"/>
    <w:rsid w:val="00E336E5"/>
    <w:rsid w:val="00E33A23"/>
    <w:rsid w:val="00E35201"/>
    <w:rsid w:val="00E35A93"/>
    <w:rsid w:val="00E35FC7"/>
    <w:rsid w:val="00E3654F"/>
    <w:rsid w:val="00E3699B"/>
    <w:rsid w:val="00E36C71"/>
    <w:rsid w:val="00E36DFA"/>
    <w:rsid w:val="00E375ED"/>
    <w:rsid w:val="00E3797C"/>
    <w:rsid w:val="00E37CA8"/>
    <w:rsid w:val="00E40378"/>
    <w:rsid w:val="00E40773"/>
    <w:rsid w:val="00E40786"/>
    <w:rsid w:val="00E41099"/>
    <w:rsid w:val="00E41354"/>
    <w:rsid w:val="00E41754"/>
    <w:rsid w:val="00E420B7"/>
    <w:rsid w:val="00E436F3"/>
    <w:rsid w:val="00E445E7"/>
    <w:rsid w:val="00E4474A"/>
    <w:rsid w:val="00E45A6C"/>
    <w:rsid w:val="00E46178"/>
    <w:rsid w:val="00E47160"/>
    <w:rsid w:val="00E5089B"/>
    <w:rsid w:val="00E50D64"/>
    <w:rsid w:val="00E5146A"/>
    <w:rsid w:val="00E5263B"/>
    <w:rsid w:val="00E52A92"/>
    <w:rsid w:val="00E52AF1"/>
    <w:rsid w:val="00E52E85"/>
    <w:rsid w:val="00E53EFB"/>
    <w:rsid w:val="00E54146"/>
    <w:rsid w:val="00E54329"/>
    <w:rsid w:val="00E543B2"/>
    <w:rsid w:val="00E54F28"/>
    <w:rsid w:val="00E55928"/>
    <w:rsid w:val="00E55E7E"/>
    <w:rsid w:val="00E5640A"/>
    <w:rsid w:val="00E56DCD"/>
    <w:rsid w:val="00E57C9D"/>
    <w:rsid w:val="00E57EC7"/>
    <w:rsid w:val="00E608B3"/>
    <w:rsid w:val="00E618E6"/>
    <w:rsid w:val="00E61A07"/>
    <w:rsid w:val="00E624A6"/>
    <w:rsid w:val="00E630E6"/>
    <w:rsid w:val="00E6330B"/>
    <w:rsid w:val="00E63590"/>
    <w:rsid w:val="00E642C9"/>
    <w:rsid w:val="00E64482"/>
    <w:rsid w:val="00E6489A"/>
    <w:rsid w:val="00E64AD4"/>
    <w:rsid w:val="00E64D75"/>
    <w:rsid w:val="00E65FD5"/>
    <w:rsid w:val="00E66062"/>
    <w:rsid w:val="00E66CB6"/>
    <w:rsid w:val="00E670E7"/>
    <w:rsid w:val="00E67CD3"/>
    <w:rsid w:val="00E7160C"/>
    <w:rsid w:val="00E71781"/>
    <w:rsid w:val="00E71B86"/>
    <w:rsid w:val="00E71C68"/>
    <w:rsid w:val="00E7200A"/>
    <w:rsid w:val="00E72116"/>
    <w:rsid w:val="00E721DE"/>
    <w:rsid w:val="00E729F2"/>
    <w:rsid w:val="00E73E97"/>
    <w:rsid w:val="00E7445C"/>
    <w:rsid w:val="00E74785"/>
    <w:rsid w:val="00E74BBD"/>
    <w:rsid w:val="00E74BD1"/>
    <w:rsid w:val="00E74F4F"/>
    <w:rsid w:val="00E754F5"/>
    <w:rsid w:val="00E758AD"/>
    <w:rsid w:val="00E77416"/>
    <w:rsid w:val="00E800AA"/>
    <w:rsid w:val="00E80324"/>
    <w:rsid w:val="00E807D1"/>
    <w:rsid w:val="00E80CD2"/>
    <w:rsid w:val="00E81F59"/>
    <w:rsid w:val="00E82218"/>
    <w:rsid w:val="00E828EE"/>
    <w:rsid w:val="00E828F1"/>
    <w:rsid w:val="00E82F72"/>
    <w:rsid w:val="00E83477"/>
    <w:rsid w:val="00E8422E"/>
    <w:rsid w:val="00E8510E"/>
    <w:rsid w:val="00E856F5"/>
    <w:rsid w:val="00E859D9"/>
    <w:rsid w:val="00E86F19"/>
    <w:rsid w:val="00E87E35"/>
    <w:rsid w:val="00E87E48"/>
    <w:rsid w:val="00E9051B"/>
    <w:rsid w:val="00E905EF"/>
    <w:rsid w:val="00E90F37"/>
    <w:rsid w:val="00E92098"/>
    <w:rsid w:val="00E926D8"/>
    <w:rsid w:val="00E92C85"/>
    <w:rsid w:val="00E9334A"/>
    <w:rsid w:val="00E93872"/>
    <w:rsid w:val="00E940FA"/>
    <w:rsid w:val="00E94ADD"/>
    <w:rsid w:val="00E9551E"/>
    <w:rsid w:val="00E96FB1"/>
    <w:rsid w:val="00E9717F"/>
    <w:rsid w:val="00EA0737"/>
    <w:rsid w:val="00EA0F86"/>
    <w:rsid w:val="00EA1421"/>
    <w:rsid w:val="00EA1E17"/>
    <w:rsid w:val="00EA354A"/>
    <w:rsid w:val="00EA37B3"/>
    <w:rsid w:val="00EA4580"/>
    <w:rsid w:val="00EA4E3E"/>
    <w:rsid w:val="00EA66AC"/>
    <w:rsid w:val="00EA6912"/>
    <w:rsid w:val="00EA6B21"/>
    <w:rsid w:val="00EA7A28"/>
    <w:rsid w:val="00EB0C1E"/>
    <w:rsid w:val="00EB128F"/>
    <w:rsid w:val="00EB1507"/>
    <w:rsid w:val="00EB1659"/>
    <w:rsid w:val="00EB2934"/>
    <w:rsid w:val="00EB29FD"/>
    <w:rsid w:val="00EB2B42"/>
    <w:rsid w:val="00EB2F86"/>
    <w:rsid w:val="00EB3685"/>
    <w:rsid w:val="00EB38BB"/>
    <w:rsid w:val="00EB40B5"/>
    <w:rsid w:val="00EB47F2"/>
    <w:rsid w:val="00EB504C"/>
    <w:rsid w:val="00EB5229"/>
    <w:rsid w:val="00EB5C80"/>
    <w:rsid w:val="00EB78CF"/>
    <w:rsid w:val="00EC08C1"/>
    <w:rsid w:val="00EC136D"/>
    <w:rsid w:val="00EC163E"/>
    <w:rsid w:val="00EC23DE"/>
    <w:rsid w:val="00EC2993"/>
    <w:rsid w:val="00EC2B4D"/>
    <w:rsid w:val="00EC3528"/>
    <w:rsid w:val="00EC371E"/>
    <w:rsid w:val="00EC504E"/>
    <w:rsid w:val="00EC5D19"/>
    <w:rsid w:val="00EC6AEA"/>
    <w:rsid w:val="00EC72D6"/>
    <w:rsid w:val="00EC72D8"/>
    <w:rsid w:val="00EC74F7"/>
    <w:rsid w:val="00EC792D"/>
    <w:rsid w:val="00ED009B"/>
    <w:rsid w:val="00ED0295"/>
    <w:rsid w:val="00ED06A3"/>
    <w:rsid w:val="00ED1084"/>
    <w:rsid w:val="00ED16E5"/>
    <w:rsid w:val="00ED1D29"/>
    <w:rsid w:val="00ED3D64"/>
    <w:rsid w:val="00ED4161"/>
    <w:rsid w:val="00ED4193"/>
    <w:rsid w:val="00ED432B"/>
    <w:rsid w:val="00ED4A57"/>
    <w:rsid w:val="00ED4E8A"/>
    <w:rsid w:val="00ED4F66"/>
    <w:rsid w:val="00ED51F0"/>
    <w:rsid w:val="00ED523D"/>
    <w:rsid w:val="00ED535E"/>
    <w:rsid w:val="00ED6C5F"/>
    <w:rsid w:val="00ED75FB"/>
    <w:rsid w:val="00EE01DF"/>
    <w:rsid w:val="00EE106A"/>
    <w:rsid w:val="00EE177E"/>
    <w:rsid w:val="00EE18DA"/>
    <w:rsid w:val="00EE1BED"/>
    <w:rsid w:val="00EE1F11"/>
    <w:rsid w:val="00EE4AC5"/>
    <w:rsid w:val="00EE4E5A"/>
    <w:rsid w:val="00EE5519"/>
    <w:rsid w:val="00EE5CB7"/>
    <w:rsid w:val="00EE61FF"/>
    <w:rsid w:val="00EE6A16"/>
    <w:rsid w:val="00EE6A8A"/>
    <w:rsid w:val="00EE76F0"/>
    <w:rsid w:val="00EF05FD"/>
    <w:rsid w:val="00EF1AB9"/>
    <w:rsid w:val="00EF22A9"/>
    <w:rsid w:val="00EF2465"/>
    <w:rsid w:val="00EF24EF"/>
    <w:rsid w:val="00EF2827"/>
    <w:rsid w:val="00EF2C7F"/>
    <w:rsid w:val="00EF3274"/>
    <w:rsid w:val="00EF3365"/>
    <w:rsid w:val="00EF35F2"/>
    <w:rsid w:val="00EF5156"/>
    <w:rsid w:val="00EF6F9D"/>
    <w:rsid w:val="00EF7AA9"/>
    <w:rsid w:val="00F004CA"/>
    <w:rsid w:val="00F00B9B"/>
    <w:rsid w:val="00F01498"/>
    <w:rsid w:val="00F01D76"/>
    <w:rsid w:val="00F01D89"/>
    <w:rsid w:val="00F04016"/>
    <w:rsid w:val="00F04321"/>
    <w:rsid w:val="00F045C5"/>
    <w:rsid w:val="00F046E3"/>
    <w:rsid w:val="00F04C0E"/>
    <w:rsid w:val="00F06010"/>
    <w:rsid w:val="00F066A2"/>
    <w:rsid w:val="00F10B3C"/>
    <w:rsid w:val="00F11D48"/>
    <w:rsid w:val="00F12928"/>
    <w:rsid w:val="00F13028"/>
    <w:rsid w:val="00F1337E"/>
    <w:rsid w:val="00F1428D"/>
    <w:rsid w:val="00F145FC"/>
    <w:rsid w:val="00F14D55"/>
    <w:rsid w:val="00F16D21"/>
    <w:rsid w:val="00F16D3C"/>
    <w:rsid w:val="00F20388"/>
    <w:rsid w:val="00F20572"/>
    <w:rsid w:val="00F20B00"/>
    <w:rsid w:val="00F20D91"/>
    <w:rsid w:val="00F21E81"/>
    <w:rsid w:val="00F2274C"/>
    <w:rsid w:val="00F249C8"/>
    <w:rsid w:val="00F24B8E"/>
    <w:rsid w:val="00F2517A"/>
    <w:rsid w:val="00F2542C"/>
    <w:rsid w:val="00F25AD9"/>
    <w:rsid w:val="00F26318"/>
    <w:rsid w:val="00F268D1"/>
    <w:rsid w:val="00F27032"/>
    <w:rsid w:val="00F2764E"/>
    <w:rsid w:val="00F3010A"/>
    <w:rsid w:val="00F3086A"/>
    <w:rsid w:val="00F311DF"/>
    <w:rsid w:val="00F31CA4"/>
    <w:rsid w:val="00F32D28"/>
    <w:rsid w:val="00F331F2"/>
    <w:rsid w:val="00F33352"/>
    <w:rsid w:val="00F33EC0"/>
    <w:rsid w:val="00F34ECE"/>
    <w:rsid w:val="00F351D5"/>
    <w:rsid w:val="00F35D1E"/>
    <w:rsid w:val="00F35D27"/>
    <w:rsid w:val="00F4024D"/>
    <w:rsid w:val="00F4063A"/>
    <w:rsid w:val="00F408E0"/>
    <w:rsid w:val="00F408FA"/>
    <w:rsid w:val="00F4178C"/>
    <w:rsid w:val="00F417B6"/>
    <w:rsid w:val="00F41877"/>
    <w:rsid w:val="00F41B09"/>
    <w:rsid w:val="00F42BCC"/>
    <w:rsid w:val="00F431E2"/>
    <w:rsid w:val="00F437C8"/>
    <w:rsid w:val="00F43BE6"/>
    <w:rsid w:val="00F43CC2"/>
    <w:rsid w:val="00F43D7B"/>
    <w:rsid w:val="00F4476F"/>
    <w:rsid w:val="00F460F0"/>
    <w:rsid w:val="00F4691A"/>
    <w:rsid w:val="00F47199"/>
    <w:rsid w:val="00F47A20"/>
    <w:rsid w:val="00F47C27"/>
    <w:rsid w:val="00F51399"/>
    <w:rsid w:val="00F514B5"/>
    <w:rsid w:val="00F515C3"/>
    <w:rsid w:val="00F515D4"/>
    <w:rsid w:val="00F52567"/>
    <w:rsid w:val="00F52AF4"/>
    <w:rsid w:val="00F532D7"/>
    <w:rsid w:val="00F53F14"/>
    <w:rsid w:val="00F546A2"/>
    <w:rsid w:val="00F54E96"/>
    <w:rsid w:val="00F54FED"/>
    <w:rsid w:val="00F55534"/>
    <w:rsid w:val="00F55805"/>
    <w:rsid w:val="00F55FD9"/>
    <w:rsid w:val="00F560FB"/>
    <w:rsid w:val="00F56E39"/>
    <w:rsid w:val="00F5704D"/>
    <w:rsid w:val="00F57184"/>
    <w:rsid w:val="00F576DB"/>
    <w:rsid w:val="00F60554"/>
    <w:rsid w:val="00F606E3"/>
    <w:rsid w:val="00F607CD"/>
    <w:rsid w:val="00F608BE"/>
    <w:rsid w:val="00F624BB"/>
    <w:rsid w:val="00F6347E"/>
    <w:rsid w:val="00F6376C"/>
    <w:rsid w:val="00F64C22"/>
    <w:rsid w:val="00F65BAA"/>
    <w:rsid w:val="00F67C96"/>
    <w:rsid w:val="00F67CDB"/>
    <w:rsid w:val="00F701BF"/>
    <w:rsid w:val="00F70728"/>
    <w:rsid w:val="00F70CA8"/>
    <w:rsid w:val="00F70D16"/>
    <w:rsid w:val="00F70D23"/>
    <w:rsid w:val="00F70F0D"/>
    <w:rsid w:val="00F71345"/>
    <w:rsid w:val="00F72D01"/>
    <w:rsid w:val="00F7312F"/>
    <w:rsid w:val="00F7314B"/>
    <w:rsid w:val="00F73153"/>
    <w:rsid w:val="00F73629"/>
    <w:rsid w:val="00F73F6F"/>
    <w:rsid w:val="00F73FBD"/>
    <w:rsid w:val="00F75DDA"/>
    <w:rsid w:val="00F763DD"/>
    <w:rsid w:val="00F80934"/>
    <w:rsid w:val="00F80D21"/>
    <w:rsid w:val="00F818A6"/>
    <w:rsid w:val="00F82529"/>
    <w:rsid w:val="00F82C1C"/>
    <w:rsid w:val="00F830FB"/>
    <w:rsid w:val="00F8369E"/>
    <w:rsid w:val="00F83979"/>
    <w:rsid w:val="00F83F07"/>
    <w:rsid w:val="00F844F2"/>
    <w:rsid w:val="00F84914"/>
    <w:rsid w:val="00F84948"/>
    <w:rsid w:val="00F84B43"/>
    <w:rsid w:val="00F85409"/>
    <w:rsid w:val="00F863AA"/>
    <w:rsid w:val="00F869CA"/>
    <w:rsid w:val="00F878D0"/>
    <w:rsid w:val="00F9197B"/>
    <w:rsid w:val="00F92D08"/>
    <w:rsid w:val="00F9302F"/>
    <w:rsid w:val="00F94708"/>
    <w:rsid w:val="00F94B17"/>
    <w:rsid w:val="00F951EF"/>
    <w:rsid w:val="00F9670E"/>
    <w:rsid w:val="00F96F6A"/>
    <w:rsid w:val="00F97573"/>
    <w:rsid w:val="00F9768D"/>
    <w:rsid w:val="00F97AAD"/>
    <w:rsid w:val="00FA00AC"/>
    <w:rsid w:val="00FA0416"/>
    <w:rsid w:val="00FA06BD"/>
    <w:rsid w:val="00FA0D3E"/>
    <w:rsid w:val="00FA1612"/>
    <w:rsid w:val="00FA31D8"/>
    <w:rsid w:val="00FA3ED6"/>
    <w:rsid w:val="00FA44C5"/>
    <w:rsid w:val="00FA474B"/>
    <w:rsid w:val="00FA4E9C"/>
    <w:rsid w:val="00FA50CF"/>
    <w:rsid w:val="00FA57DF"/>
    <w:rsid w:val="00FA5F1A"/>
    <w:rsid w:val="00FA5FCA"/>
    <w:rsid w:val="00FA6122"/>
    <w:rsid w:val="00FA6868"/>
    <w:rsid w:val="00FA68F2"/>
    <w:rsid w:val="00FA7005"/>
    <w:rsid w:val="00FA760A"/>
    <w:rsid w:val="00FA7B40"/>
    <w:rsid w:val="00FB0484"/>
    <w:rsid w:val="00FB0A25"/>
    <w:rsid w:val="00FB1623"/>
    <w:rsid w:val="00FB1DAC"/>
    <w:rsid w:val="00FB1EEE"/>
    <w:rsid w:val="00FB2ED7"/>
    <w:rsid w:val="00FB35E5"/>
    <w:rsid w:val="00FB3AEA"/>
    <w:rsid w:val="00FB3BFA"/>
    <w:rsid w:val="00FB3CD0"/>
    <w:rsid w:val="00FB3F0E"/>
    <w:rsid w:val="00FB4019"/>
    <w:rsid w:val="00FB43A0"/>
    <w:rsid w:val="00FB43DE"/>
    <w:rsid w:val="00FB45BB"/>
    <w:rsid w:val="00FB4CD1"/>
    <w:rsid w:val="00FB6173"/>
    <w:rsid w:val="00FB71FC"/>
    <w:rsid w:val="00FC2288"/>
    <w:rsid w:val="00FC29FA"/>
    <w:rsid w:val="00FC2E21"/>
    <w:rsid w:val="00FC2E86"/>
    <w:rsid w:val="00FC2EB9"/>
    <w:rsid w:val="00FC32B2"/>
    <w:rsid w:val="00FC34AF"/>
    <w:rsid w:val="00FC372D"/>
    <w:rsid w:val="00FC3B63"/>
    <w:rsid w:val="00FC3E58"/>
    <w:rsid w:val="00FC47BD"/>
    <w:rsid w:val="00FC69A6"/>
    <w:rsid w:val="00FC6F1C"/>
    <w:rsid w:val="00FC700A"/>
    <w:rsid w:val="00FC7E4A"/>
    <w:rsid w:val="00FD03FE"/>
    <w:rsid w:val="00FD0587"/>
    <w:rsid w:val="00FD0713"/>
    <w:rsid w:val="00FD17AC"/>
    <w:rsid w:val="00FD2B38"/>
    <w:rsid w:val="00FD2B9F"/>
    <w:rsid w:val="00FD2CC3"/>
    <w:rsid w:val="00FD3068"/>
    <w:rsid w:val="00FD318B"/>
    <w:rsid w:val="00FD320D"/>
    <w:rsid w:val="00FD3FF4"/>
    <w:rsid w:val="00FD45D7"/>
    <w:rsid w:val="00FD47DA"/>
    <w:rsid w:val="00FD4B7E"/>
    <w:rsid w:val="00FD6A9F"/>
    <w:rsid w:val="00FD6FE4"/>
    <w:rsid w:val="00FD75A0"/>
    <w:rsid w:val="00FD76C3"/>
    <w:rsid w:val="00FD79B3"/>
    <w:rsid w:val="00FD7E11"/>
    <w:rsid w:val="00FE00E4"/>
    <w:rsid w:val="00FE06C8"/>
    <w:rsid w:val="00FE0A97"/>
    <w:rsid w:val="00FE17D3"/>
    <w:rsid w:val="00FE1A84"/>
    <w:rsid w:val="00FE1B46"/>
    <w:rsid w:val="00FE21EA"/>
    <w:rsid w:val="00FE2D46"/>
    <w:rsid w:val="00FE2F57"/>
    <w:rsid w:val="00FE378D"/>
    <w:rsid w:val="00FE37DB"/>
    <w:rsid w:val="00FE3C30"/>
    <w:rsid w:val="00FE3E22"/>
    <w:rsid w:val="00FE5705"/>
    <w:rsid w:val="00FE5E6C"/>
    <w:rsid w:val="00FE6024"/>
    <w:rsid w:val="00FE6CF4"/>
    <w:rsid w:val="00FE7598"/>
    <w:rsid w:val="00FE7FBE"/>
    <w:rsid w:val="00FF0101"/>
    <w:rsid w:val="00FF0594"/>
    <w:rsid w:val="00FF0664"/>
    <w:rsid w:val="00FF0E4C"/>
    <w:rsid w:val="00FF27D8"/>
    <w:rsid w:val="00FF2A22"/>
    <w:rsid w:val="00FF3991"/>
    <w:rsid w:val="00FF44A9"/>
    <w:rsid w:val="00FF4665"/>
    <w:rsid w:val="00FF46B0"/>
    <w:rsid w:val="00FF5E60"/>
    <w:rsid w:val="00FF68C2"/>
    <w:rsid w:val="00FF6D1F"/>
    <w:rsid w:val="00FF6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4834D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iPriority="34" w:unhideWhenUsed="1"/>
    <w:lsdException w:name="endnote reference" w:semiHidden="1" w:uiPriority="3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3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D8F"/>
    <w:pPr>
      <w:suppressAutoHyphens/>
    </w:pPr>
    <w:rPr>
      <w:kern w:val="12"/>
    </w:rPr>
  </w:style>
  <w:style w:type="paragraph" w:styleId="Heading1">
    <w:name w:val="heading 1"/>
    <w:aliases w:val="ARRB Heading 1,±Head1"/>
    <w:basedOn w:val="Normal"/>
    <w:next w:val="Normal"/>
    <w:link w:val="Heading1Char"/>
    <w:uiPriority w:val="4"/>
    <w:qFormat/>
    <w:rsid w:val="00E13D3A"/>
    <w:pPr>
      <w:keepNext/>
      <w:keepLines/>
      <w:spacing w:before="0" w:after="160"/>
      <w:ind w:left="850" w:hanging="850"/>
      <w:contextualSpacing/>
      <w:outlineLvl w:val="0"/>
    </w:pPr>
    <w:rPr>
      <w:rFonts w:asciiTheme="majorHAnsi" w:eastAsiaTheme="majorEastAsia" w:hAnsiTheme="majorHAnsi" w:cstheme="majorBidi"/>
      <w:color w:val="081E3E" w:themeColor="text2"/>
      <w:sz w:val="44"/>
      <w:szCs w:val="32"/>
    </w:rPr>
  </w:style>
  <w:style w:type="paragraph" w:styleId="Heading2">
    <w:name w:val="heading 2"/>
    <w:aliases w:val="ARRB Heading 2,±Head2"/>
    <w:basedOn w:val="Normal"/>
    <w:next w:val="Normal"/>
    <w:link w:val="Heading2Char"/>
    <w:uiPriority w:val="4"/>
    <w:unhideWhenUsed/>
    <w:qFormat/>
    <w:rsid w:val="00E13D3A"/>
    <w:pPr>
      <w:keepNext/>
      <w:keepLines/>
      <w:spacing w:before="320" w:after="160"/>
      <w:ind w:left="992" w:hanging="992"/>
      <w:outlineLvl w:val="1"/>
    </w:pPr>
    <w:rPr>
      <w:rFonts w:asciiTheme="majorHAnsi" w:eastAsiaTheme="majorEastAsia" w:hAnsiTheme="majorHAnsi" w:cstheme="majorBidi"/>
      <w:color w:val="081E3E" w:themeColor="text2"/>
      <w:sz w:val="36"/>
      <w:szCs w:val="26"/>
      <w:lang w:val="en-US"/>
    </w:rPr>
  </w:style>
  <w:style w:type="paragraph" w:styleId="Heading3">
    <w:name w:val="heading 3"/>
    <w:aliases w:val="ARRB Heading 3,±Head3"/>
    <w:basedOn w:val="Normal"/>
    <w:next w:val="Normal"/>
    <w:link w:val="Heading3Char"/>
    <w:uiPriority w:val="4"/>
    <w:unhideWhenUsed/>
    <w:qFormat/>
    <w:rsid w:val="00A738BE"/>
    <w:pPr>
      <w:keepNext/>
      <w:keepLines/>
      <w:spacing w:before="240" w:after="160"/>
      <w:outlineLvl w:val="2"/>
    </w:pPr>
    <w:rPr>
      <w:rFonts w:asciiTheme="majorHAnsi" w:eastAsiaTheme="majorEastAsia" w:hAnsiTheme="majorHAnsi" w:cstheme="majorBidi"/>
      <w:color w:val="081E3E" w:themeColor="text2"/>
      <w:sz w:val="28"/>
      <w:szCs w:val="28"/>
      <w:lang w:val="en-US"/>
    </w:rPr>
  </w:style>
  <w:style w:type="paragraph" w:styleId="Heading4">
    <w:name w:val="heading 4"/>
    <w:aliases w:val="ARRB Heading 4,±Head4"/>
    <w:basedOn w:val="Heading3"/>
    <w:next w:val="Normal"/>
    <w:link w:val="Heading4Char"/>
    <w:uiPriority w:val="4"/>
    <w:unhideWhenUsed/>
    <w:qFormat/>
    <w:rsid w:val="00907208"/>
    <w:pPr>
      <w:outlineLvl w:val="3"/>
    </w:pPr>
    <w:rPr>
      <w:sz w:val="24"/>
      <w:szCs w:val="24"/>
    </w:rPr>
  </w:style>
  <w:style w:type="paragraph" w:styleId="Heading5">
    <w:name w:val="heading 5"/>
    <w:aliases w:val="ARRB Heading 5"/>
    <w:basedOn w:val="Heading4"/>
    <w:next w:val="Normal"/>
    <w:link w:val="Heading5Char"/>
    <w:uiPriority w:val="4"/>
    <w:unhideWhenUsed/>
    <w:qFormat/>
    <w:rsid w:val="00907208"/>
    <w:pPr>
      <w:outlineLvl w:val="4"/>
    </w:pPr>
    <w:rPr>
      <w:b/>
      <w:color w:val="auto"/>
      <w:sz w:val="20"/>
      <w:szCs w:val="20"/>
    </w:rPr>
  </w:style>
  <w:style w:type="paragraph" w:styleId="Heading6">
    <w:name w:val="heading 6"/>
    <w:aliases w:val="ARRB Heading 6"/>
    <w:basedOn w:val="Normal"/>
    <w:next w:val="Normal"/>
    <w:link w:val="Heading6Char"/>
    <w:uiPriority w:val="4"/>
    <w:unhideWhenUsed/>
    <w:qFormat/>
    <w:rsid w:val="005F794B"/>
    <w:pPr>
      <w:keepNext/>
      <w:keepLines/>
      <w:numPr>
        <w:ilvl w:val="5"/>
        <w:numId w:val="15"/>
      </w:numPr>
      <w:spacing w:before="240" w:after="160"/>
      <w:outlineLvl w:val="5"/>
    </w:pPr>
    <w:rPr>
      <w:rFonts w:asciiTheme="majorHAnsi" w:eastAsiaTheme="majorEastAsia" w:hAnsiTheme="majorHAnsi" w:cstheme="majorBidi"/>
      <w:i/>
      <w:color w:val="081E3E" w:themeColor="text2"/>
      <w:sz w:val="22"/>
    </w:rPr>
  </w:style>
  <w:style w:type="paragraph" w:styleId="Heading7">
    <w:name w:val="heading 7"/>
    <w:aliases w:val="ARRB Heading 7,±AppHead1"/>
    <w:basedOn w:val="Normal"/>
    <w:next w:val="Normal"/>
    <w:link w:val="Heading7Char"/>
    <w:uiPriority w:val="4"/>
    <w:unhideWhenUsed/>
    <w:qFormat/>
    <w:rsid w:val="00620770"/>
    <w:pPr>
      <w:keepNext/>
      <w:keepLines/>
      <w:numPr>
        <w:ilvl w:val="6"/>
        <w:numId w:val="15"/>
      </w:numPr>
      <w:spacing w:before="40" w:after="0"/>
      <w:outlineLvl w:val="6"/>
    </w:pPr>
    <w:rPr>
      <w:rFonts w:ascii="Cambria" w:eastAsia="Times New Roman" w:hAnsi="Cambria" w:cs="Times New Roman"/>
      <w:b/>
      <w:bCs/>
      <w:caps/>
      <w:kern w:val="0"/>
      <w:sz w:val="24"/>
      <w:szCs w:val="28"/>
    </w:rPr>
  </w:style>
  <w:style w:type="paragraph" w:styleId="Heading8">
    <w:name w:val="heading 8"/>
    <w:aliases w:val="ARRB Heading 8,±AppHead2"/>
    <w:basedOn w:val="Normal"/>
    <w:next w:val="Normal"/>
    <w:link w:val="Heading8Char"/>
    <w:uiPriority w:val="4"/>
    <w:unhideWhenUsed/>
    <w:qFormat/>
    <w:rsid w:val="00620770"/>
    <w:pPr>
      <w:keepNext/>
      <w:keepLines/>
      <w:numPr>
        <w:ilvl w:val="7"/>
        <w:numId w:val="15"/>
      </w:numPr>
      <w:tabs>
        <w:tab w:val="clear" w:pos="850"/>
        <w:tab w:val="left" w:pos="720"/>
        <w:tab w:val="left" w:pos="851"/>
      </w:tabs>
      <w:suppressAutoHyphens w:val="0"/>
      <w:spacing w:before="200" w:after="0" w:line="264" w:lineRule="auto"/>
      <w:outlineLvl w:val="7"/>
    </w:pPr>
    <w:rPr>
      <w:rFonts w:ascii="Cambria" w:eastAsia="Times New Roman" w:hAnsi="Cambria" w:cs="Times New Roman"/>
      <w:color w:val="404040"/>
      <w:kern w:val="0"/>
    </w:rPr>
  </w:style>
  <w:style w:type="paragraph" w:styleId="Heading9">
    <w:name w:val="heading 9"/>
    <w:aliases w:val="ARRB Heading 9,±AppHead3"/>
    <w:basedOn w:val="Normal"/>
    <w:next w:val="Normal"/>
    <w:link w:val="Heading9Char"/>
    <w:uiPriority w:val="4"/>
    <w:unhideWhenUsed/>
    <w:qFormat/>
    <w:rsid w:val="00620770"/>
    <w:pPr>
      <w:keepNext/>
      <w:keepLines/>
      <w:numPr>
        <w:ilvl w:val="8"/>
        <w:numId w:val="15"/>
      </w:numPr>
      <w:tabs>
        <w:tab w:val="clear" w:pos="850"/>
        <w:tab w:val="left" w:pos="720"/>
        <w:tab w:val="left" w:pos="851"/>
      </w:tabs>
      <w:suppressAutoHyphens w:val="0"/>
      <w:spacing w:before="200" w:after="0" w:line="264" w:lineRule="auto"/>
      <w:outlineLvl w:val="8"/>
    </w:pPr>
    <w:rPr>
      <w:rFonts w:ascii="Cambria" w:eastAsia="Times New Roman" w:hAnsi="Cambria" w:cs="Times New Roman"/>
      <w:i/>
      <w:iCs/>
      <w:color w:val="404040"/>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0"/>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1"/>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aliases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aliases w:val="±Header Char"/>
    <w:basedOn w:val="DefaultParagraphFont"/>
    <w:link w:val="Header"/>
    <w:uiPriority w:val="99"/>
    <w:rsid w:val="005912BE"/>
    <w:rPr>
      <w:kern w:val="12"/>
      <w:sz w:val="16"/>
    </w:rPr>
  </w:style>
  <w:style w:type="paragraph" w:styleId="Footer">
    <w:name w:val="footer"/>
    <w:aliases w:val="±Footer"/>
    <w:basedOn w:val="Normal"/>
    <w:link w:val="FooterChar"/>
    <w:uiPriority w:val="99"/>
    <w:unhideWhenUsed/>
    <w:qFormat/>
    <w:rsid w:val="007A05BE"/>
    <w:pPr>
      <w:tabs>
        <w:tab w:val="center" w:pos="4513"/>
        <w:tab w:val="right" w:pos="9026"/>
      </w:tabs>
      <w:spacing w:before="0" w:after="0"/>
    </w:pPr>
    <w:rPr>
      <w:sz w:val="16"/>
    </w:rPr>
  </w:style>
  <w:style w:type="character" w:customStyle="1" w:styleId="FooterChar">
    <w:name w:val="Footer Char"/>
    <w:aliases w:val="±Footer Char"/>
    <w:basedOn w:val="DefaultParagraphFont"/>
    <w:link w:val="Footer"/>
    <w:uiPriority w:val="99"/>
    <w:rsid w:val="007A05BE"/>
    <w:rPr>
      <w:kern w:val="12"/>
      <w:sz w:val="16"/>
    </w:rPr>
  </w:style>
  <w:style w:type="character" w:styleId="PageNumber">
    <w:name w:val="page number"/>
    <w:basedOn w:val="DefaultParagraphFont"/>
    <w:uiPriority w:val="34"/>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aliases w:val="No Spacing ±BaseStyle"/>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aliases w:val="ARRB Hyperlink,±HyperLink"/>
    <w:basedOn w:val="DefaultParagraphFont"/>
    <w:uiPriority w:val="99"/>
    <w:unhideWhenUsed/>
    <w:qFormat/>
    <w:rsid w:val="000E5674"/>
    <w:rPr>
      <w:color w:val="0046FF" w:themeColor="hyperlink"/>
      <w:u w:val="single"/>
    </w:rPr>
  </w:style>
  <w:style w:type="table" w:styleId="TableGrid">
    <w:name w:val="Table Grid"/>
    <w:aliases w:val="none,McLL Table General Text,SGS Numeric Table,GTA"/>
    <w:basedOn w:val="TableNormal"/>
    <w:uiPriority w:val="5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Text"/>
    <w:basedOn w:val="Normal"/>
    <w:link w:val="FootnoteTextChar"/>
    <w:uiPriority w:val="35"/>
    <w:qFormat/>
    <w:rsid w:val="005912BE"/>
    <w:pPr>
      <w:spacing w:before="0" w:after="0"/>
      <w:ind w:left="284" w:hanging="284"/>
    </w:pPr>
    <w:rPr>
      <w:sz w:val="18"/>
    </w:rPr>
  </w:style>
  <w:style w:type="character" w:customStyle="1" w:styleId="FootnoteTextChar">
    <w:name w:val="Footnote Text Char"/>
    <w:aliases w:val="±FootnoteText Char"/>
    <w:basedOn w:val="DefaultParagraphFont"/>
    <w:link w:val="FootnoteText"/>
    <w:uiPriority w:val="35"/>
    <w:rsid w:val="005912BE"/>
    <w:rPr>
      <w:kern w:val="12"/>
      <w:sz w:val="18"/>
    </w:rPr>
  </w:style>
  <w:style w:type="character" w:styleId="FootnoteReference">
    <w:name w:val="footnote reference"/>
    <w:basedOn w:val="DefaultParagraphFont"/>
    <w:uiPriority w:val="35"/>
    <w:unhideWhenUsed/>
    <w:rsid w:val="005F794B"/>
    <w:rPr>
      <w:vertAlign w:val="superscript"/>
    </w:rPr>
  </w:style>
  <w:style w:type="character" w:customStyle="1" w:styleId="Heading1Char">
    <w:name w:val="Heading 1 Char"/>
    <w:aliases w:val="ARRB Heading 1 Char,±Head1 Char"/>
    <w:basedOn w:val="DefaultParagraphFont"/>
    <w:link w:val="Heading1"/>
    <w:uiPriority w:val="4"/>
    <w:rsid w:val="00E13D3A"/>
    <w:rPr>
      <w:rFonts w:asciiTheme="majorHAnsi" w:eastAsiaTheme="majorEastAsia" w:hAnsiTheme="majorHAnsi" w:cstheme="majorBidi"/>
      <w:color w:val="081E3E" w:themeColor="text2"/>
      <w:kern w:val="12"/>
      <w:sz w:val="44"/>
      <w:szCs w:val="32"/>
    </w:rPr>
  </w:style>
  <w:style w:type="character" w:customStyle="1" w:styleId="Heading2Char">
    <w:name w:val="Heading 2 Char"/>
    <w:aliases w:val="ARRB Heading 2 Char,±Head2 Char"/>
    <w:basedOn w:val="DefaultParagraphFont"/>
    <w:link w:val="Heading2"/>
    <w:uiPriority w:val="4"/>
    <w:rsid w:val="00E13D3A"/>
    <w:rPr>
      <w:rFonts w:asciiTheme="majorHAnsi" w:eastAsiaTheme="majorEastAsia" w:hAnsiTheme="majorHAnsi" w:cstheme="majorBidi"/>
      <w:color w:val="081E3E" w:themeColor="text2"/>
      <w:kern w:val="12"/>
      <w:sz w:val="36"/>
      <w:szCs w:val="26"/>
      <w:lang w:val="en-US"/>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aliases w:val="ARRB Heading 3 Char,±Head3 Char"/>
    <w:basedOn w:val="DefaultParagraphFont"/>
    <w:link w:val="Heading3"/>
    <w:uiPriority w:val="4"/>
    <w:rsid w:val="00A738BE"/>
    <w:rPr>
      <w:rFonts w:asciiTheme="majorHAnsi" w:eastAsiaTheme="majorEastAsia" w:hAnsiTheme="majorHAnsi" w:cstheme="majorBidi"/>
      <w:color w:val="081E3E" w:themeColor="text2"/>
      <w:kern w:val="12"/>
      <w:sz w:val="28"/>
      <w:szCs w:val="28"/>
      <w:lang w:val="en-US"/>
    </w:rPr>
  </w:style>
  <w:style w:type="character" w:customStyle="1" w:styleId="Heading4Char">
    <w:name w:val="Heading 4 Char"/>
    <w:aliases w:val="ARRB Heading 4 Char,±Head4 Char"/>
    <w:basedOn w:val="DefaultParagraphFont"/>
    <w:link w:val="Heading4"/>
    <w:uiPriority w:val="4"/>
    <w:rsid w:val="00907208"/>
    <w:rPr>
      <w:rFonts w:asciiTheme="majorHAnsi" w:eastAsiaTheme="majorEastAsia" w:hAnsiTheme="majorHAnsi" w:cstheme="majorBidi"/>
      <w:color w:val="081E3E" w:themeColor="text2"/>
      <w:kern w:val="12"/>
      <w:sz w:val="24"/>
      <w:szCs w:val="24"/>
      <w:lang w:val="en-US"/>
    </w:rPr>
  </w:style>
  <w:style w:type="character" w:customStyle="1" w:styleId="Heading5Char">
    <w:name w:val="Heading 5 Char"/>
    <w:aliases w:val="ARRB Heading 5 Char"/>
    <w:basedOn w:val="DefaultParagraphFont"/>
    <w:link w:val="Heading5"/>
    <w:uiPriority w:val="4"/>
    <w:rsid w:val="00907208"/>
    <w:rPr>
      <w:rFonts w:asciiTheme="majorHAnsi" w:eastAsiaTheme="majorEastAsia" w:hAnsiTheme="majorHAnsi" w:cstheme="majorBidi"/>
      <w:b/>
      <w:color w:val="auto"/>
      <w:kern w:val="12"/>
      <w:lang w:val="en-US"/>
    </w:rPr>
  </w:style>
  <w:style w:type="character" w:customStyle="1" w:styleId="Heading6Char">
    <w:name w:val="Heading 6 Char"/>
    <w:aliases w:val="ARRB Heading 6 Char"/>
    <w:basedOn w:val="DefaultParagraphFont"/>
    <w:link w:val="Heading6"/>
    <w:uiPriority w:val="4"/>
    <w:rsid w:val="005F794B"/>
    <w:rPr>
      <w:rFonts w:asciiTheme="majorHAnsi" w:eastAsiaTheme="majorEastAsia" w:hAnsiTheme="majorHAnsi" w:cstheme="majorBidi"/>
      <w:i/>
      <w:color w:val="081E3E" w:themeColor="text2"/>
      <w:kern w:val="12"/>
      <w:sz w:val="22"/>
    </w:rPr>
  </w:style>
  <w:style w:type="paragraph" w:styleId="Caption">
    <w:name w:val="caption"/>
    <w:aliases w:val="ARRB Caption,±Table/Figure Caption,~Caption,±Caption"/>
    <w:basedOn w:val="Normal"/>
    <w:next w:val="Normal"/>
    <w:link w:val="CaptionChar"/>
    <w:uiPriority w:val="6"/>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next w:val="Normal"/>
    <w:uiPriority w:val="39"/>
    <w:qFormat/>
    <w:rsid w:val="00A45D35"/>
    <w:rPr>
      <w:rFonts w:asciiTheme="majorHAnsi" w:eastAsiaTheme="majorEastAsia" w:hAnsiTheme="majorHAnsi" w:cstheme="majorBidi"/>
      <w:color w:val="081E3E" w:themeColor="text2"/>
      <w:kern w:val="12"/>
      <w:sz w:val="44"/>
      <w:szCs w:val="32"/>
    </w:r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ind w:left="567" w:hanging="567"/>
    </w:pPr>
  </w:style>
  <w:style w:type="paragraph" w:customStyle="1" w:styleId="Heading5Numbered">
    <w:name w:val="Heading 5 Numbered"/>
    <w:basedOn w:val="Heading5"/>
    <w:uiPriority w:val="10"/>
    <w:rsid w:val="003F775D"/>
    <w:pPr>
      <w:ind w:left="567" w:hanging="567"/>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197BA7"/>
    <w:pPr>
      <w:spacing w:before="240" w:after="240"/>
      <w:ind w:left="0" w:firstLine="0"/>
    </w:pPr>
  </w:style>
  <w:style w:type="paragraph" w:customStyle="1" w:styleId="AppendixHeading2">
    <w:name w:val="Appendix Heading 2"/>
    <w:basedOn w:val="Heading2"/>
    <w:qFormat/>
    <w:rsid w:val="00EE18DA"/>
  </w:style>
  <w:style w:type="paragraph" w:customStyle="1" w:styleId="AttachmentHeading1">
    <w:name w:val="Attachment Heading 1"/>
    <w:basedOn w:val="Heading1"/>
    <w:uiPriority w:val="11"/>
    <w:qFormat/>
    <w:rsid w:val="0001430B"/>
    <w:pPr>
      <w:numPr>
        <w:numId w:val="7"/>
      </w:numPr>
    </w:pPr>
  </w:style>
  <w:style w:type="paragraph" w:customStyle="1" w:styleId="AttachmentHeading2">
    <w:name w:val="Attachment Heading 2"/>
    <w:basedOn w:val="Heading2"/>
    <w:uiPriority w:val="11"/>
    <w:rsid w:val="0001430B"/>
    <w:pPr>
      <w:numPr>
        <w:ilvl w:val="1"/>
        <w:numId w:val="7"/>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7"/>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aliases w:val="Contents Level 1,ARRB TOC 1,±Heads1"/>
    <w:basedOn w:val="Normal"/>
    <w:next w:val="Normal"/>
    <w:autoRedefine/>
    <w:uiPriority w:val="39"/>
    <w:qFormat/>
    <w:rsid w:val="00DF631F"/>
    <w:pPr>
      <w:keepLines/>
      <w:tabs>
        <w:tab w:val="right" w:pos="9854"/>
      </w:tabs>
      <w:ind w:left="567" w:hanging="567"/>
    </w:pPr>
    <w:rPr>
      <w:b/>
      <w:sz w:val="24"/>
      <w:u w:val="single" w:color="4BB3B5" w:themeColor="accent2"/>
    </w:rPr>
  </w:style>
  <w:style w:type="paragraph" w:styleId="TOC2">
    <w:name w:val="toc 2"/>
    <w:aliases w:val="ARRB TOC 2,±Heads2"/>
    <w:basedOn w:val="Normal"/>
    <w:next w:val="Normal"/>
    <w:autoRedefine/>
    <w:uiPriority w:val="39"/>
    <w:qFormat/>
    <w:rsid w:val="00D95D18"/>
    <w:pPr>
      <w:keepLines/>
      <w:tabs>
        <w:tab w:val="left" w:pos="0"/>
        <w:tab w:val="right" w:pos="9854"/>
      </w:tabs>
      <w:spacing w:before="80"/>
      <w:ind w:left="567" w:hanging="567"/>
    </w:pPr>
  </w:style>
  <w:style w:type="paragraph" w:styleId="TOC3">
    <w:name w:val="toc 3"/>
    <w:aliases w:val="ARRB TOC 3,±Heads3"/>
    <w:basedOn w:val="Normal"/>
    <w:next w:val="Normal"/>
    <w:autoRedefine/>
    <w:uiPriority w:val="39"/>
    <w:qFormat/>
    <w:rsid w:val="00DB4B94"/>
    <w:pPr>
      <w:tabs>
        <w:tab w:val="right" w:pos="9854"/>
      </w:tabs>
      <w:spacing w:before="80"/>
      <w:ind w:left="1134" w:hanging="567"/>
    </w:pPr>
    <w:rPr>
      <w:noProof/>
    </w:rPr>
  </w:style>
  <w:style w:type="paragraph" w:styleId="TableofFigures">
    <w:name w:val="table of figures"/>
    <w:aliases w:val="ARRB 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character" w:styleId="FollowedHyperlink">
    <w:name w:val="FollowedHyperlink"/>
    <w:aliases w:val="±FollowedHyperlink"/>
    <w:basedOn w:val="DefaultParagraphFont"/>
    <w:uiPriority w:val="37"/>
    <w:semiHidden/>
    <w:unhideWhenUsed/>
    <w:rsid w:val="001F3B10"/>
    <w:rPr>
      <w:color w:val="0046FF" w:themeColor="followedHyperlink"/>
      <w:u w:val="single"/>
    </w:rPr>
  </w:style>
  <w:style w:type="paragraph" w:customStyle="1" w:styleId="references">
    <w:name w:val="references"/>
    <w:basedOn w:val="Normal"/>
    <w:link w:val="referencesChar"/>
    <w:qFormat/>
    <w:rsid w:val="002F4B37"/>
    <w:pPr>
      <w:tabs>
        <w:tab w:val="left" w:pos="720"/>
        <w:tab w:val="left" w:pos="851"/>
      </w:tabs>
      <w:suppressAutoHyphens w:val="0"/>
      <w:spacing w:before="240" w:after="240" w:line="264" w:lineRule="auto"/>
      <w:ind w:left="720" w:hanging="720"/>
    </w:pPr>
    <w:rPr>
      <w:rFonts w:ascii="Times New Roman" w:eastAsia="Calibri" w:hAnsi="Times New Roman" w:cs="Times New Roman"/>
      <w:color w:val="auto"/>
      <w:kern w:val="0"/>
      <w:sz w:val="24"/>
      <w:szCs w:val="22"/>
    </w:rPr>
  </w:style>
  <w:style w:type="character" w:customStyle="1" w:styleId="referencesChar">
    <w:name w:val="references Char"/>
    <w:basedOn w:val="DefaultParagraphFont"/>
    <w:link w:val="references"/>
    <w:rsid w:val="002F4B37"/>
    <w:rPr>
      <w:rFonts w:ascii="Times New Roman" w:eastAsia="Calibri" w:hAnsi="Times New Roman" w:cs="Times New Roman"/>
      <w:color w:val="auto"/>
      <w:sz w:val="24"/>
      <w:szCs w:val="22"/>
    </w:rPr>
  </w:style>
  <w:style w:type="paragraph" w:customStyle="1" w:styleId="Glossarylist">
    <w:name w:val="Glossary list"/>
    <w:qFormat/>
    <w:rsid w:val="00EE18DA"/>
    <w:pPr>
      <w:tabs>
        <w:tab w:val="left" w:pos="3119"/>
      </w:tabs>
      <w:spacing w:before="0" w:after="0" w:line="300" w:lineRule="auto"/>
      <w:ind w:left="3119" w:hanging="3119"/>
    </w:pPr>
    <w:rPr>
      <w:rFonts w:eastAsia="Calibri" w:cstheme="minorHAnsi"/>
      <w:color w:val="auto"/>
    </w:rPr>
  </w:style>
  <w:style w:type="paragraph" w:customStyle="1" w:styleId="Table1">
    <w:name w:val="Table 1"/>
    <w:basedOn w:val="Normal"/>
    <w:next w:val="Normal"/>
    <w:link w:val="Table1Char"/>
    <w:qFormat/>
    <w:rsid w:val="00D509A5"/>
    <w:pPr>
      <w:tabs>
        <w:tab w:val="left" w:pos="720"/>
        <w:tab w:val="left" w:pos="851"/>
      </w:tabs>
      <w:suppressAutoHyphens w:val="0"/>
      <w:spacing w:before="30" w:after="30"/>
    </w:pPr>
    <w:rPr>
      <w:rFonts w:ascii="Times New Roman" w:eastAsia="Calibri" w:hAnsi="Times New Roman" w:cs="Times New Roman"/>
      <w:color w:val="auto"/>
      <w:kern w:val="0"/>
      <w:sz w:val="24"/>
      <w:szCs w:val="22"/>
    </w:rPr>
  </w:style>
  <w:style w:type="character" w:customStyle="1" w:styleId="Table1Char">
    <w:name w:val="Table 1 Char"/>
    <w:basedOn w:val="DefaultParagraphFont"/>
    <w:link w:val="Table1"/>
    <w:rsid w:val="00D509A5"/>
    <w:rPr>
      <w:rFonts w:ascii="Times New Roman" w:eastAsia="Calibri" w:hAnsi="Times New Roman" w:cs="Times New Roman"/>
      <w:color w:val="auto"/>
      <w:sz w:val="24"/>
      <w:szCs w:val="22"/>
    </w:rPr>
  </w:style>
  <w:style w:type="paragraph" w:styleId="ListParagraph">
    <w:name w:val="List Paragraph"/>
    <w:aliases w:val="ARRB List Paragraph"/>
    <w:basedOn w:val="Normal"/>
    <w:link w:val="ListParagraphChar"/>
    <w:uiPriority w:val="34"/>
    <w:qFormat/>
    <w:rsid w:val="005E1DD6"/>
    <w:pPr>
      <w:autoSpaceDE w:val="0"/>
      <w:autoSpaceDN w:val="0"/>
      <w:adjustRightInd w:val="0"/>
      <w:spacing w:before="120" w:after="120" w:line="264" w:lineRule="auto"/>
      <w:ind w:left="284" w:hanging="284"/>
      <w:textAlignment w:val="center"/>
    </w:pPr>
    <w:rPr>
      <w:rFonts w:cs="FranklinGothic-Book"/>
      <w:color w:val="000000"/>
      <w:kern w:val="0"/>
      <w:szCs w:val="22"/>
    </w:rPr>
  </w:style>
  <w:style w:type="character" w:customStyle="1" w:styleId="ListParagraphChar">
    <w:name w:val="List Paragraph Char"/>
    <w:aliases w:val="ARRB List Paragraph Char"/>
    <w:link w:val="ListParagraph"/>
    <w:uiPriority w:val="34"/>
    <w:rsid w:val="005E1DD6"/>
    <w:rPr>
      <w:rFonts w:cs="FranklinGothic-Book"/>
      <w:color w:val="000000"/>
      <w:szCs w:val="22"/>
    </w:rPr>
  </w:style>
  <w:style w:type="character" w:styleId="CommentReference">
    <w:name w:val="annotation reference"/>
    <w:basedOn w:val="DefaultParagraphFont"/>
    <w:uiPriority w:val="99"/>
    <w:semiHidden/>
    <w:unhideWhenUsed/>
    <w:rsid w:val="008130B1"/>
    <w:rPr>
      <w:sz w:val="16"/>
      <w:szCs w:val="16"/>
    </w:rPr>
  </w:style>
  <w:style w:type="paragraph" w:styleId="CommentText">
    <w:name w:val="annotation text"/>
    <w:aliases w:val="ARRB Comment Text"/>
    <w:basedOn w:val="Normal"/>
    <w:link w:val="CommentTextChar"/>
    <w:uiPriority w:val="99"/>
    <w:unhideWhenUsed/>
    <w:rsid w:val="008130B1"/>
  </w:style>
  <w:style w:type="character" w:customStyle="1" w:styleId="CommentTextChar">
    <w:name w:val="Comment Text Char"/>
    <w:aliases w:val="ARRB Comment Text Char"/>
    <w:basedOn w:val="DefaultParagraphFont"/>
    <w:link w:val="CommentText"/>
    <w:uiPriority w:val="99"/>
    <w:rsid w:val="008130B1"/>
    <w:rPr>
      <w:kern w:val="12"/>
    </w:rPr>
  </w:style>
  <w:style w:type="paragraph" w:styleId="CommentSubject">
    <w:name w:val="annotation subject"/>
    <w:basedOn w:val="CommentText"/>
    <w:next w:val="CommentText"/>
    <w:link w:val="CommentSubjectChar"/>
    <w:uiPriority w:val="99"/>
    <w:semiHidden/>
    <w:unhideWhenUsed/>
    <w:rsid w:val="008130B1"/>
    <w:rPr>
      <w:b/>
      <w:bCs/>
    </w:rPr>
  </w:style>
  <w:style w:type="character" w:customStyle="1" w:styleId="CommentSubjectChar">
    <w:name w:val="Comment Subject Char"/>
    <w:basedOn w:val="CommentTextChar"/>
    <w:link w:val="CommentSubject"/>
    <w:uiPriority w:val="99"/>
    <w:semiHidden/>
    <w:rsid w:val="008130B1"/>
    <w:rPr>
      <w:b/>
      <w:bCs/>
      <w:kern w:val="12"/>
    </w:rPr>
  </w:style>
  <w:style w:type="paragraph" w:styleId="BalloonText">
    <w:name w:val="Balloon Text"/>
    <w:basedOn w:val="Normal"/>
    <w:link w:val="BalloonTextChar"/>
    <w:uiPriority w:val="99"/>
    <w:semiHidden/>
    <w:unhideWhenUsed/>
    <w:rsid w:val="008130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0B1"/>
    <w:rPr>
      <w:rFonts w:ascii="Segoe UI" w:hAnsi="Segoe UI" w:cs="Segoe UI"/>
      <w:kern w:val="12"/>
      <w:sz w:val="18"/>
      <w:szCs w:val="18"/>
    </w:rPr>
  </w:style>
  <w:style w:type="paragraph" w:customStyle="1" w:styleId="MainHeadding">
    <w:name w:val="Main Headding"/>
    <w:basedOn w:val="Normal"/>
    <w:next w:val="Normal"/>
    <w:rsid w:val="00A57C96"/>
    <w:pPr>
      <w:numPr>
        <w:numId w:val="10"/>
      </w:numPr>
      <w:suppressAutoHyphens w:val="0"/>
      <w:spacing w:before="240" w:after="120"/>
      <w:outlineLvl w:val="0"/>
    </w:pPr>
    <w:rPr>
      <w:rFonts w:ascii="Times New Roman" w:eastAsia="Times New Roman" w:hAnsi="Times New Roman" w:cs="Times New Roman"/>
      <w:b/>
      <w:caps/>
      <w:color w:val="auto"/>
      <w:kern w:val="0"/>
      <w:sz w:val="24"/>
      <w:szCs w:val="24"/>
      <w:lang w:eastAsia="en-AU"/>
    </w:rPr>
  </w:style>
  <w:style w:type="paragraph" w:customStyle="1" w:styleId="Subsection">
    <w:name w:val="Sub section"/>
    <w:basedOn w:val="Normal"/>
    <w:next w:val="Normal"/>
    <w:rsid w:val="00A57C96"/>
    <w:pPr>
      <w:numPr>
        <w:ilvl w:val="1"/>
        <w:numId w:val="10"/>
      </w:numPr>
      <w:suppressAutoHyphens w:val="0"/>
      <w:spacing w:before="120" w:after="120"/>
      <w:outlineLvl w:val="1"/>
    </w:pPr>
    <w:rPr>
      <w:rFonts w:ascii="Times New Roman" w:eastAsia="Times New Roman" w:hAnsi="Times New Roman" w:cs="Times New Roman"/>
      <w:color w:val="auto"/>
      <w:kern w:val="0"/>
      <w:sz w:val="24"/>
      <w:szCs w:val="24"/>
      <w:lang w:eastAsia="en-AU"/>
    </w:rPr>
  </w:style>
  <w:style w:type="paragraph" w:customStyle="1" w:styleId="Subsubsection">
    <w:name w:val="Subsub section"/>
    <w:basedOn w:val="Normal"/>
    <w:next w:val="Normal"/>
    <w:rsid w:val="00A57C96"/>
    <w:pPr>
      <w:numPr>
        <w:ilvl w:val="2"/>
        <w:numId w:val="10"/>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Subsubsubsection">
    <w:name w:val="Subsubsub section"/>
    <w:basedOn w:val="Normal"/>
    <w:next w:val="Normal"/>
    <w:rsid w:val="00A57C96"/>
    <w:pPr>
      <w:numPr>
        <w:ilvl w:val="3"/>
        <w:numId w:val="10"/>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Heading71">
    <w:name w:val="Heading 71"/>
    <w:basedOn w:val="Heading1"/>
    <w:next w:val="Normal"/>
    <w:uiPriority w:val="9"/>
    <w:unhideWhenUsed/>
    <w:rsid w:val="00620770"/>
    <w:pPr>
      <w:numPr>
        <w:numId w:val="14"/>
      </w:numPr>
      <w:tabs>
        <w:tab w:val="num" w:pos="643"/>
        <w:tab w:val="left" w:pos="720"/>
        <w:tab w:val="left" w:pos="851"/>
      </w:tabs>
      <w:suppressAutoHyphens w:val="0"/>
      <w:spacing w:before="240" w:after="240"/>
      <w:ind w:left="643" w:hanging="360"/>
      <w:contextualSpacing w:val="0"/>
      <w:outlineLvl w:val="6"/>
    </w:pPr>
    <w:rPr>
      <w:rFonts w:eastAsia="Times New Roman" w:cs="Times New Roman"/>
      <w:b/>
      <w:bCs/>
      <w:caps/>
      <w:color w:val="auto"/>
      <w:kern w:val="0"/>
      <w:sz w:val="24"/>
      <w:szCs w:val="28"/>
    </w:rPr>
  </w:style>
  <w:style w:type="character" w:customStyle="1" w:styleId="Heading8Char">
    <w:name w:val="Heading 8 Char"/>
    <w:aliases w:val="ARRB Heading 8 Char,±AppHead2 Char"/>
    <w:basedOn w:val="DefaultParagraphFont"/>
    <w:link w:val="Heading8"/>
    <w:uiPriority w:val="4"/>
    <w:rsid w:val="00620770"/>
    <w:rPr>
      <w:rFonts w:ascii="Cambria" w:eastAsia="Times New Roman" w:hAnsi="Cambria" w:cs="Times New Roman"/>
      <w:color w:val="404040"/>
    </w:rPr>
  </w:style>
  <w:style w:type="character" w:customStyle="1" w:styleId="Heading9Char">
    <w:name w:val="Heading 9 Char"/>
    <w:aliases w:val="ARRB Heading 9 Char,±AppHead3 Char"/>
    <w:basedOn w:val="DefaultParagraphFont"/>
    <w:link w:val="Heading9"/>
    <w:uiPriority w:val="4"/>
    <w:rsid w:val="00620770"/>
    <w:rPr>
      <w:rFonts w:ascii="Cambria" w:eastAsia="Times New Roman" w:hAnsi="Cambria" w:cs="Times New Roman"/>
      <w:i/>
      <w:iCs/>
      <w:color w:val="404040"/>
    </w:rPr>
  </w:style>
  <w:style w:type="numbering" w:customStyle="1" w:styleId="NoList1">
    <w:name w:val="No List1"/>
    <w:next w:val="NoList"/>
    <w:uiPriority w:val="99"/>
    <w:semiHidden/>
    <w:unhideWhenUsed/>
    <w:rsid w:val="00620770"/>
  </w:style>
  <w:style w:type="character" w:customStyle="1" w:styleId="Heading7Char">
    <w:name w:val="Heading 7 Char"/>
    <w:aliases w:val="ARRB Heading 7 Char,±AppHead1 Char"/>
    <w:basedOn w:val="DefaultParagraphFont"/>
    <w:link w:val="Heading7"/>
    <w:uiPriority w:val="4"/>
    <w:rsid w:val="00620770"/>
    <w:rPr>
      <w:rFonts w:ascii="Cambria" w:eastAsia="Times New Roman" w:hAnsi="Cambria" w:cs="Times New Roman"/>
      <w:b/>
      <w:bCs/>
      <w:caps/>
      <w:sz w:val="24"/>
      <w:szCs w:val="28"/>
    </w:rPr>
  </w:style>
  <w:style w:type="paragraph" w:customStyle="1" w:styleId="SubTitle1">
    <w:name w:val="SubTitle1"/>
    <w:basedOn w:val="Normal"/>
    <w:next w:val="Normal"/>
    <w:uiPriority w:val="99"/>
    <w:qFormat/>
    <w:rsid w:val="00620770"/>
    <w:pPr>
      <w:tabs>
        <w:tab w:val="left" w:pos="720"/>
        <w:tab w:val="left" w:pos="851"/>
      </w:tabs>
      <w:suppressAutoHyphens w:val="0"/>
      <w:spacing w:before="240" w:after="240" w:line="264" w:lineRule="auto"/>
      <w:jc w:val="center"/>
    </w:pPr>
    <w:rPr>
      <w:rFonts w:ascii="Cambria" w:eastAsia="Calibri" w:hAnsi="Cambria" w:cs="Times New Roman"/>
      <w:color w:val="auto"/>
      <w:kern w:val="0"/>
      <w:sz w:val="28"/>
      <w:szCs w:val="22"/>
    </w:rPr>
  </w:style>
  <w:style w:type="paragraph" w:customStyle="1" w:styleId="headertabs">
    <w:name w:val="header_tabs"/>
    <w:basedOn w:val="Header"/>
    <w:link w:val="headertabsChar"/>
    <w:rsid w:val="00620770"/>
    <w:pPr>
      <w:tabs>
        <w:tab w:val="clear" w:pos="4513"/>
        <w:tab w:val="clear" w:pos="9026"/>
        <w:tab w:val="left" w:pos="720"/>
        <w:tab w:val="left" w:leader="hyphen" w:pos="9027"/>
      </w:tabs>
      <w:suppressAutoHyphens w:val="0"/>
      <w:spacing w:after="240"/>
      <w:jc w:val="left"/>
    </w:pPr>
    <w:rPr>
      <w:rFonts w:ascii="Times New Roman" w:eastAsia="Calibri" w:hAnsi="Times New Roman" w:cs="Times New Roman"/>
      <w:color w:val="auto"/>
      <w:kern w:val="0"/>
      <w:sz w:val="20"/>
      <w:szCs w:val="22"/>
    </w:rPr>
  </w:style>
  <w:style w:type="character" w:customStyle="1" w:styleId="headertabsChar">
    <w:name w:val="header_tabs Char"/>
    <w:link w:val="headertabs"/>
    <w:rsid w:val="00620770"/>
    <w:rPr>
      <w:rFonts w:ascii="Times New Roman" w:eastAsia="Calibri" w:hAnsi="Times New Roman" w:cs="Times New Roman"/>
      <w:color w:val="auto"/>
      <w:szCs w:val="22"/>
    </w:rPr>
  </w:style>
  <w:style w:type="paragraph" w:customStyle="1" w:styleId="boldcentred">
    <w:name w:val="bold&amp;centred"/>
    <w:basedOn w:val="Normal"/>
    <w:next w:val="Normal"/>
    <w:link w:val="boldcentredChar"/>
    <w:qFormat/>
    <w:rsid w:val="00620770"/>
    <w:pPr>
      <w:tabs>
        <w:tab w:val="left" w:pos="720"/>
        <w:tab w:val="left" w:pos="851"/>
      </w:tabs>
      <w:suppressAutoHyphens w:val="0"/>
      <w:spacing w:before="240" w:after="240" w:line="264" w:lineRule="auto"/>
      <w:jc w:val="center"/>
    </w:pPr>
    <w:rPr>
      <w:rFonts w:ascii="Times New Roman" w:eastAsia="Calibri" w:hAnsi="Times New Roman" w:cs="Times New Roman"/>
      <w:b/>
      <w:color w:val="auto"/>
      <w:kern w:val="0"/>
      <w:sz w:val="24"/>
      <w:szCs w:val="22"/>
    </w:rPr>
  </w:style>
  <w:style w:type="character" w:customStyle="1" w:styleId="boldcentredChar">
    <w:name w:val="bold&amp;centred Char"/>
    <w:link w:val="boldcentred"/>
    <w:rsid w:val="00620770"/>
    <w:rPr>
      <w:rFonts w:ascii="Times New Roman" w:eastAsia="Calibri" w:hAnsi="Times New Roman" w:cs="Times New Roman"/>
      <w:b/>
      <w:color w:val="auto"/>
      <w:sz w:val="24"/>
      <w:szCs w:val="22"/>
    </w:rPr>
  </w:style>
  <w:style w:type="table" w:customStyle="1" w:styleId="TableGrid1">
    <w:name w:val="Table Grid1"/>
    <w:basedOn w:val="TableNormal"/>
    <w:next w:val="TableGrid"/>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620770"/>
    <w:pPr>
      <w:tabs>
        <w:tab w:val="left" w:pos="720"/>
        <w:tab w:val="left" w:pos="851"/>
      </w:tabs>
      <w:suppressAutoHyphens w:val="0"/>
      <w:spacing w:before="60" w:after="0"/>
    </w:pPr>
    <w:rPr>
      <w:rFonts w:ascii="Times New Roman" w:eastAsia="Calibri" w:hAnsi="Times New Roman" w:cs="Times New Roman"/>
      <w:color w:val="auto"/>
      <w:kern w:val="0"/>
      <w:sz w:val="18"/>
      <w:szCs w:val="22"/>
    </w:rPr>
  </w:style>
  <w:style w:type="character" w:customStyle="1" w:styleId="rdpheadingsChar">
    <w:name w:val="rdp_headings Char"/>
    <w:link w:val="rdpheadings"/>
    <w:rsid w:val="00620770"/>
    <w:rPr>
      <w:rFonts w:ascii="Times New Roman" w:eastAsia="Calibri" w:hAnsi="Times New Roman" w:cs="Times New Roman"/>
      <w:color w:val="auto"/>
      <w:sz w:val="18"/>
      <w:szCs w:val="22"/>
    </w:rPr>
  </w:style>
  <w:style w:type="paragraph" w:customStyle="1" w:styleId="rdpcontent">
    <w:name w:val="rdp_content"/>
    <w:basedOn w:val="Normal"/>
    <w:next w:val="Normal"/>
    <w:link w:val="rdpcontentChar"/>
    <w:qFormat/>
    <w:rsid w:val="00620770"/>
    <w:pPr>
      <w:tabs>
        <w:tab w:val="left" w:pos="720"/>
        <w:tab w:val="left" w:pos="851"/>
      </w:tabs>
      <w:suppressAutoHyphens w:val="0"/>
      <w:spacing w:before="240" w:after="120"/>
    </w:pPr>
    <w:rPr>
      <w:rFonts w:ascii="Times New Roman" w:eastAsia="Calibri" w:hAnsi="Times New Roman" w:cs="Times New Roman"/>
      <w:color w:val="auto"/>
      <w:kern w:val="0"/>
      <w:sz w:val="24"/>
      <w:szCs w:val="22"/>
    </w:rPr>
  </w:style>
  <w:style w:type="character" w:customStyle="1" w:styleId="rdpcontentChar">
    <w:name w:val="rdp_content Char"/>
    <w:basedOn w:val="DefaultParagraphFont"/>
    <w:link w:val="rdpcontent"/>
    <w:rsid w:val="00620770"/>
    <w:rPr>
      <w:rFonts w:ascii="Times New Roman" w:eastAsia="Calibri" w:hAnsi="Times New Roman" w:cs="Times New Roman"/>
      <w:color w:val="auto"/>
      <w:sz w:val="24"/>
      <w:szCs w:val="22"/>
    </w:rPr>
  </w:style>
  <w:style w:type="character" w:styleId="Strong">
    <w:name w:val="Strong"/>
    <w:uiPriority w:val="22"/>
    <w:qFormat/>
    <w:rsid w:val="00620770"/>
    <w:rPr>
      <w:b/>
      <w:bCs/>
    </w:rPr>
  </w:style>
  <w:style w:type="paragraph" w:customStyle="1" w:styleId="HeadingContents">
    <w:name w:val="Heading_Contents"/>
    <w:basedOn w:val="Normal"/>
    <w:link w:val="HeadingContentsChar"/>
    <w:qFormat/>
    <w:rsid w:val="00620770"/>
    <w:pPr>
      <w:tabs>
        <w:tab w:val="left" w:pos="720"/>
        <w:tab w:val="left" w:pos="851"/>
      </w:tabs>
      <w:suppressAutoHyphens w:val="0"/>
      <w:spacing w:before="120" w:after="280"/>
      <w:jc w:val="center"/>
    </w:pPr>
    <w:rPr>
      <w:rFonts w:ascii="Cambria" w:eastAsia="Calibri" w:hAnsi="Cambria" w:cs="Times New Roman"/>
      <w:b/>
      <w:color w:val="auto"/>
      <w:kern w:val="0"/>
      <w:sz w:val="24"/>
      <w:szCs w:val="22"/>
    </w:rPr>
  </w:style>
  <w:style w:type="character" w:customStyle="1" w:styleId="HeadingContentsChar">
    <w:name w:val="Heading_Contents Char"/>
    <w:link w:val="HeadingContents"/>
    <w:rsid w:val="00620770"/>
    <w:rPr>
      <w:rFonts w:ascii="Cambria" w:eastAsia="Calibri" w:hAnsi="Cambria" w:cs="Times New Roman"/>
      <w:b/>
      <w:color w:val="auto"/>
      <w:sz w:val="24"/>
      <w:szCs w:val="22"/>
    </w:rPr>
  </w:style>
  <w:style w:type="paragraph" w:customStyle="1" w:styleId="Tableheading1">
    <w:name w:val="Table heading 1"/>
    <w:basedOn w:val="Normal"/>
    <w:next w:val="Normal"/>
    <w:link w:val="Tableheading1Char"/>
    <w:qFormat/>
    <w:rsid w:val="00620770"/>
    <w:pPr>
      <w:tabs>
        <w:tab w:val="left" w:pos="720"/>
        <w:tab w:val="left" w:pos="851"/>
      </w:tabs>
      <w:suppressAutoHyphens w:val="0"/>
      <w:spacing w:before="30" w:after="30"/>
      <w:jc w:val="center"/>
    </w:pPr>
    <w:rPr>
      <w:rFonts w:ascii="Times New Roman" w:eastAsia="Calibri" w:hAnsi="Times New Roman" w:cs="Times New Roman"/>
      <w:color w:val="auto"/>
      <w:kern w:val="0"/>
      <w:sz w:val="24"/>
      <w:szCs w:val="22"/>
    </w:rPr>
  </w:style>
  <w:style w:type="character" w:customStyle="1" w:styleId="Tableheading1Char">
    <w:name w:val="Table heading 1 Char"/>
    <w:basedOn w:val="DefaultParagraphFont"/>
    <w:link w:val="Tableheading1"/>
    <w:rsid w:val="00620770"/>
    <w:rPr>
      <w:rFonts w:ascii="Times New Roman" w:eastAsia="Calibri" w:hAnsi="Times New Roman" w:cs="Times New Roman"/>
      <w:color w:val="auto"/>
      <w:sz w:val="24"/>
      <w:szCs w:val="22"/>
    </w:rPr>
  </w:style>
  <w:style w:type="paragraph" w:customStyle="1" w:styleId="Tablesubheading1">
    <w:name w:val="Table sub heading 1"/>
    <w:basedOn w:val="Normal"/>
    <w:next w:val="Normal"/>
    <w:link w:val="Tablesubheading1Char"/>
    <w:qFormat/>
    <w:rsid w:val="00620770"/>
    <w:pPr>
      <w:tabs>
        <w:tab w:val="left" w:pos="720"/>
        <w:tab w:val="left" w:pos="851"/>
      </w:tabs>
      <w:suppressAutoHyphens w:val="0"/>
      <w:spacing w:before="30" w:after="30"/>
    </w:pPr>
    <w:rPr>
      <w:rFonts w:ascii="Times New Roman" w:eastAsia="Calibri" w:hAnsi="Times New Roman" w:cs="Times New Roman"/>
      <w:i/>
      <w:color w:val="auto"/>
      <w:kern w:val="0"/>
      <w:sz w:val="24"/>
      <w:szCs w:val="22"/>
    </w:rPr>
  </w:style>
  <w:style w:type="character" w:customStyle="1" w:styleId="Tablesubheading1Char">
    <w:name w:val="Table sub heading 1 Char"/>
    <w:link w:val="Tablesubheading1"/>
    <w:rsid w:val="00620770"/>
    <w:rPr>
      <w:rFonts w:ascii="Times New Roman" w:eastAsia="Calibri" w:hAnsi="Times New Roman" w:cs="Times New Roman"/>
      <w:i/>
      <w:color w:val="auto"/>
      <w:sz w:val="24"/>
      <w:szCs w:val="22"/>
    </w:rPr>
  </w:style>
  <w:style w:type="paragraph" w:customStyle="1" w:styleId="Subheading1">
    <w:name w:val="Subheading1"/>
    <w:basedOn w:val="Normal"/>
    <w:next w:val="Normal"/>
    <w:link w:val="Subheading1Char"/>
    <w:qFormat/>
    <w:rsid w:val="00620770"/>
    <w:pPr>
      <w:tabs>
        <w:tab w:val="left" w:pos="720"/>
        <w:tab w:val="left" w:pos="851"/>
      </w:tabs>
      <w:suppressAutoHyphens w:val="0"/>
      <w:spacing w:before="240" w:after="240" w:line="264" w:lineRule="auto"/>
    </w:pPr>
    <w:rPr>
      <w:rFonts w:ascii="Times New Roman" w:eastAsia="Calibri" w:hAnsi="Times New Roman" w:cs="Times New Roman"/>
      <w:caps/>
      <w:color w:val="auto"/>
      <w:kern w:val="0"/>
      <w:sz w:val="24"/>
      <w:szCs w:val="22"/>
    </w:rPr>
  </w:style>
  <w:style w:type="character" w:customStyle="1" w:styleId="Subheading1Char">
    <w:name w:val="Subheading1 Char"/>
    <w:link w:val="Subheading1"/>
    <w:rsid w:val="00620770"/>
    <w:rPr>
      <w:rFonts w:ascii="Times New Roman" w:eastAsia="Calibri" w:hAnsi="Times New Roman" w:cs="Times New Roman"/>
      <w:caps/>
      <w:color w:val="auto"/>
      <w:sz w:val="24"/>
      <w:szCs w:val="22"/>
    </w:rPr>
  </w:style>
  <w:style w:type="paragraph" w:customStyle="1" w:styleId="boldleftaligned">
    <w:name w:val="bold&amp;leftaligned"/>
    <w:basedOn w:val="boldcentred"/>
    <w:next w:val="Normal"/>
    <w:link w:val="boldleftalignedChar"/>
    <w:qFormat/>
    <w:rsid w:val="00620770"/>
    <w:pPr>
      <w:jc w:val="left"/>
    </w:pPr>
  </w:style>
  <w:style w:type="character" w:customStyle="1" w:styleId="boldleftalignedChar">
    <w:name w:val="bold&amp;leftaligned Char"/>
    <w:link w:val="boldleftaligned"/>
    <w:rsid w:val="00620770"/>
    <w:rPr>
      <w:rFonts w:ascii="Times New Roman" w:eastAsia="Calibri" w:hAnsi="Times New Roman" w:cs="Times New Roman"/>
      <w:b/>
      <w:color w:val="auto"/>
      <w:sz w:val="24"/>
      <w:szCs w:val="22"/>
    </w:rPr>
  </w:style>
  <w:style w:type="paragraph" w:customStyle="1" w:styleId="Table2">
    <w:name w:val="Table 2"/>
    <w:basedOn w:val="Normal"/>
    <w:link w:val="Table2Char"/>
    <w:qFormat/>
    <w:rsid w:val="00620770"/>
    <w:pPr>
      <w:tabs>
        <w:tab w:val="left" w:pos="720"/>
        <w:tab w:val="left" w:pos="851"/>
      </w:tabs>
      <w:suppressAutoHyphens w:val="0"/>
      <w:spacing w:before="30" w:after="30"/>
    </w:pPr>
    <w:rPr>
      <w:rFonts w:ascii="Times New Roman" w:eastAsia="Calibri" w:hAnsi="Times New Roman" w:cs="Times New Roman"/>
      <w:color w:val="auto"/>
      <w:kern w:val="0"/>
      <w:szCs w:val="22"/>
    </w:rPr>
  </w:style>
  <w:style w:type="character" w:customStyle="1" w:styleId="Table2Char">
    <w:name w:val="Table 2 Char"/>
    <w:link w:val="Table2"/>
    <w:rsid w:val="00620770"/>
    <w:rPr>
      <w:rFonts w:ascii="Times New Roman" w:eastAsia="Calibri" w:hAnsi="Times New Roman" w:cs="Times New Roman"/>
      <w:color w:val="auto"/>
      <w:szCs w:val="22"/>
    </w:rPr>
  </w:style>
  <w:style w:type="paragraph" w:styleId="BodyText">
    <w:name w:val="Body Text"/>
    <w:basedOn w:val="Normal"/>
    <w:link w:val="BodyTextChar"/>
    <w:uiPriority w:val="99"/>
    <w:rsid w:val="00620770"/>
    <w:pPr>
      <w:tabs>
        <w:tab w:val="left" w:pos="720"/>
        <w:tab w:val="left" w:pos="851"/>
      </w:tabs>
      <w:suppressAutoHyphens w:val="0"/>
      <w:spacing w:before="0" w:after="280" w:line="360" w:lineRule="auto"/>
    </w:pPr>
    <w:rPr>
      <w:rFonts w:ascii="Times New Roman" w:eastAsia="Times New Roman" w:hAnsi="Times New Roman" w:cs="Times New Roman"/>
      <w:color w:val="auto"/>
      <w:kern w:val="0"/>
      <w:sz w:val="24"/>
      <w:szCs w:val="24"/>
      <w:lang w:eastAsia="en-AU"/>
    </w:rPr>
  </w:style>
  <w:style w:type="character" w:customStyle="1" w:styleId="BodyTextChar">
    <w:name w:val="Body Text Char"/>
    <w:basedOn w:val="DefaultParagraphFont"/>
    <w:link w:val="BodyText"/>
    <w:uiPriority w:val="99"/>
    <w:rsid w:val="00620770"/>
    <w:rPr>
      <w:rFonts w:ascii="Times New Roman" w:eastAsia="Times New Roman" w:hAnsi="Times New Roman" w:cs="Times New Roman"/>
      <w:color w:val="auto"/>
      <w:sz w:val="24"/>
      <w:szCs w:val="24"/>
      <w:lang w:eastAsia="en-AU"/>
    </w:rPr>
  </w:style>
  <w:style w:type="paragraph" w:customStyle="1" w:styleId="Table2heading">
    <w:name w:val="Table 2 heading"/>
    <w:basedOn w:val="Table2"/>
    <w:link w:val="Table2headingChar"/>
    <w:qFormat/>
    <w:rsid w:val="00620770"/>
    <w:pPr>
      <w:jc w:val="center"/>
    </w:pPr>
    <w:rPr>
      <w:b/>
    </w:rPr>
  </w:style>
  <w:style w:type="character" w:customStyle="1" w:styleId="Table2headingChar">
    <w:name w:val="Table 2 heading Char"/>
    <w:link w:val="Table2heading"/>
    <w:rsid w:val="00620770"/>
    <w:rPr>
      <w:rFonts w:ascii="Times New Roman" w:eastAsia="Calibri" w:hAnsi="Times New Roman" w:cs="Times New Roman"/>
      <w:b/>
      <w:color w:val="auto"/>
      <w:szCs w:val="22"/>
    </w:rPr>
  </w:style>
  <w:style w:type="character" w:styleId="Emphasis">
    <w:name w:val="Emphasis"/>
    <w:uiPriority w:val="20"/>
    <w:qFormat/>
    <w:rsid w:val="00620770"/>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620770"/>
    <w:pPr>
      <w:numPr>
        <w:numId w:val="11"/>
      </w:numPr>
      <w:tabs>
        <w:tab w:val="left" w:pos="720"/>
        <w:tab w:val="left" w:pos="851"/>
      </w:tabs>
      <w:suppressAutoHyphens w:val="0"/>
      <w:spacing w:before="240" w:after="240" w:line="264" w:lineRule="auto"/>
      <w:ind w:left="1797" w:hanging="720"/>
    </w:pPr>
    <w:rPr>
      <w:rFonts w:ascii="Times New Roman" w:eastAsia="Calibri" w:hAnsi="Times New Roman" w:cs="Times New Roman"/>
      <w:color w:val="auto"/>
      <w:kern w:val="0"/>
      <w:sz w:val="24"/>
      <w:szCs w:val="22"/>
    </w:rPr>
  </w:style>
  <w:style w:type="character" w:customStyle="1" w:styleId="ListParagraphIndent1Char">
    <w:name w:val="List Paragraph Indent 1 Char"/>
    <w:basedOn w:val="ListParagraphChar"/>
    <w:link w:val="ListParagraphIndent1"/>
    <w:uiPriority w:val="99"/>
    <w:rsid w:val="00620770"/>
    <w:rPr>
      <w:rFonts w:ascii="Times New Roman" w:eastAsia="Calibri" w:hAnsi="Times New Roman" w:cs="Times New Roman"/>
      <w:color w:val="auto"/>
      <w:sz w:val="24"/>
      <w:szCs w:val="22"/>
    </w:rPr>
  </w:style>
  <w:style w:type="paragraph" w:customStyle="1" w:styleId="AppendixHeading20">
    <w:name w:val="Appendix_Heading_2"/>
    <w:basedOn w:val="Heading3"/>
    <w:next w:val="Normal"/>
    <w:link w:val="AppendixHeading2Char"/>
    <w:qFormat/>
    <w:rsid w:val="00620770"/>
    <w:pPr>
      <w:tabs>
        <w:tab w:val="left" w:pos="720"/>
        <w:tab w:val="left" w:pos="851"/>
      </w:tabs>
      <w:suppressAutoHyphens w:val="0"/>
      <w:spacing w:before="200" w:after="0" w:line="264" w:lineRule="auto"/>
    </w:pPr>
    <w:rPr>
      <w:rFonts w:eastAsia="Times New Roman" w:cs="Times New Roman"/>
      <w:bCs/>
      <w:color w:val="auto"/>
      <w:kern w:val="0"/>
      <w:sz w:val="24"/>
      <w:szCs w:val="22"/>
    </w:rPr>
  </w:style>
  <w:style w:type="character" w:customStyle="1" w:styleId="AppendixHeading2Char">
    <w:name w:val="Appendix_Heading_2 Char"/>
    <w:link w:val="AppendixHeading20"/>
    <w:rsid w:val="00620770"/>
    <w:rPr>
      <w:rFonts w:asciiTheme="majorHAnsi" w:eastAsia="Times New Roman" w:hAnsiTheme="majorHAnsi" w:cs="Times New Roman"/>
      <w:b/>
      <w:bCs/>
      <w:color w:val="auto"/>
      <w:sz w:val="24"/>
      <w:szCs w:val="22"/>
    </w:rPr>
  </w:style>
  <w:style w:type="paragraph" w:customStyle="1" w:styleId="Table3">
    <w:name w:val="Table 3"/>
    <w:basedOn w:val="Table2"/>
    <w:link w:val="Table3Char"/>
    <w:qFormat/>
    <w:rsid w:val="00620770"/>
    <w:pPr>
      <w:spacing w:before="15" w:after="15"/>
    </w:pPr>
    <w:rPr>
      <w:sz w:val="16"/>
    </w:rPr>
  </w:style>
  <w:style w:type="character" w:customStyle="1" w:styleId="Table3Char">
    <w:name w:val="Table 3 Char"/>
    <w:link w:val="Table3"/>
    <w:rsid w:val="00620770"/>
    <w:rPr>
      <w:rFonts w:ascii="Times New Roman" w:eastAsia="Calibri" w:hAnsi="Times New Roman" w:cs="Times New Roman"/>
      <w:color w:val="auto"/>
      <w:sz w:val="16"/>
      <w:szCs w:val="22"/>
    </w:rPr>
  </w:style>
  <w:style w:type="paragraph" w:customStyle="1" w:styleId="Table3heading">
    <w:name w:val="Table 3 heading"/>
    <w:basedOn w:val="Table3"/>
    <w:link w:val="Table3headingChar"/>
    <w:qFormat/>
    <w:rsid w:val="00620770"/>
    <w:pPr>
      <w:spacing w:before="20" w:after="20"/>
    </w:pPr>
    <w:rPr>
      <w:sz w:val="18"/>
    </w:rPr>
  </w:style>
  <w:style w:type="character" w:customStyle="1" w:styleId="Table3headingChar">
    <w:name w:val="Table 3 heading Char"/>
    <w:link w:val="Table3heading"/>
    <w:rsid w:val="00620770"/>
    <w:rPr>
      <w:rFonts w:ascii="Times New Roman" w:eastAsia="Calibri" w:hAnsi="Times New Roman" w:cs="Times New Roman"/>
      <w:color w:val="auto"/>
      <w:sz w:val="18"/>
      <w:szCs w:val="22"/>
    </w:rPr>
  </w:style>
  <w:style w:type="paragraph" w:customStyle="1" w:styleId="Table4">
    <w:name w:val="Table 4"/>
    <w:basedOn w:val="Table2"/>
    <w:link w:val="Table4Char"/>
    <w:qFormat/>
    <w:rsid w:val="00620770"/>
    <w:rPr>
      <w:sz w:val="18"/>
    </w:rPr>
  </w:style>
  <w:style w:type="character" w:customStyle="1" w:styleId="Table4Char">
    <w:name w:val="Table 4 Char"/>
    <w:link w:val="Table4"/>
    <w:rsid w:val="00620770"/>
    <w:rPr>
      <w:rFonts w:ascii="Times New Roman" w:eastAsia="Calibri" w:hAnsi="Times New Roman" w:cs="Times New Roman"/>
      <w:color w:val="auto"/>
      <w:sz w:val="18"/>
      <w:szCs w:val="22"/>
    </w:rPr>
  </w:style>
  <w:style w:type="paragraph" w:customStyle="1" w:styleId="Alphabetlist">
    <w:name w:val="Alphabet list"/>
    <w:basedOn w:val="ListParagraph"/>
    <w:link w:val="AlphabetlistChar"/>
    <w:uiPriority w:val="99"/>
    <w:qFormat/>
    <w:rsid w:val="00620770"/>
    <w:pPr>
      <w:keepLines/>
      <w:tabs>
        <w:tab w:val="left" w:pos="720"/>
      </w:tabs>
      <w:suppressAutoHyphens w:val="0"/>
      <w:autoSpaceDE/>
      <w:autoSpaceDN/>
      <w:adjustRightInd/>
      <w:spacing w:before="240" w:after="240"/>
      <w:ind w:left="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620770"/>
    <w:rPr>
      <w:rFonts w:ascii="Times New Roman" w:eastAsia="Calibri" w:hAnsi="Times New Roman" w:cs="Times New Roman"/>
      <w:snapToGrid w:val="0"/>
      <w:color w:val="auto"/>
      <w:sz w:val="24"/>
      <w:szCs w:val="22"/>
    </w:rPr>
  </w:style>
  <w:style w:type="paragraph" w:customStyle="1" w:styleId="underlinedleft">
    <w:name w:val="underlined&amp;left"/>
    <w:basedOn w:val="Normal"/>
    <w:next w:val="Normal"/>
    <w:link w:val="underlinedleftChar"/>
    <w:qFormat/>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u w:val="single"/>
    </w:rPr>
  </w:style>
  <w:style w:type="character" w:customStyle="1" w:styleId="underlinedleftChar">
    <w:name w:val="underlined&amp;left Char"/>
    <w:link w:val="underlinedleft"/>
    <w:rsid w:val="00620770"/>
    <w:rPr>
      <w:rFonts w:ascii="Times New Roman" w:eastAsia="Calibri" w:hAnsi="Times New Roman" w:cs="Times New Roman"/>
      <w:color w:val="auto"/>
      <w:sz w:val="24"/>
      <w:szCs w:val="22"/>
      <w:u w:val="single"/>
    </w:rPr>
  </w:style>
  <w:style w:type="paragraph" w:styleId="NormalWeb">
    <w:name w:val="Normal (Web)"/>
    <w:basedOn w:val="Normal"/>
    <w:uiPriority w:val="99"/>
    <w:unhideWhenUsed/>
    <w:qFormat/>
    <w:rsid w:val="00620770"/>
    <w:pPr>
      <w:tabs>
        <w:tab w:val="left" w:pos="720"/>
      </w:tabs>
      <w:suppressAutoHyphens w:val="0"/>
      <w:spacing w:before="0" w:after="100" w:afterAutospacing="1"/>
      <w:ind w:left="1800"/>
    </w:pPr>
    <w:rPr>
      <w:rFonts w:ascii="Times New Roman" w:eastAsia="Times New Roman" w:hAnsi="Times New Roman" w:cs="Times New Roman"/>
      <w:color w:val="auto"/>
      <w:kern w:val="0"/>
      <w:sz w:val="24"/>
      <w:szCs w:val="24"/>
      <w:lang w:eastAsia="en-AU"/>
    </w:rPr>
  </w:style>
  <w:style w:type="table" w:customStyle="1" w:styleId="LightShading1">
    <w:name w:val="Light Shading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620770"/>
    <w:pPr>
      <w:spacing w:before="0" w:after="0"/>
    </w:pPr>
    <w:rPr>
      <w:rFonts w:ascii="Times New Roman" w:eastAsia="Calibri" w:hAnsi="Times New Roman" w:cs="Times New Roman"/>
      <w:color w:val="auto"/>
      <w:sz w:val="24"/>
      <w:szCs w:val="22"/>
    </w:rPr>
  </w:style>
  <w:style w:type="paragraph" w:styleId="EndnoteText">
    <w:name w:val="endnote text"/>
    <w:basedOn w:val="Normal"/>
    <w:link w:val="EndnoteText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rPr>
  </w:style>
  <w:style w:type="character" w:customStyle="1" w:styleId="EndnoteTextChar">
    <w:name w:val="Endnote Text Char"/>
    <w:basedOn w:val="DefaultParagraphFont"/>
    <w:link w:val="EndnoteText"/>
    <w:uiPriority w:val="99"/>
    <w:semiHidden/>
    <w:rsid w:val="00620770"/>
    <w:rPr>
      <w:rFonts w:ascii="Times New Roman" w:eastAsia="Calibri" w:hAnsi="Times New Roman" w:cs="Times New Roman"/>
      <w:color w:val="auto"/>
    </w:rPr>
  </w:style>
  <w:style w:type="character" w:styleId="EndnoteReference">
    <w:name w:val="endnote reference"/>
    <w:uiPriority w:val="31"/>
    <w:semiHidden/>
    <w:unhideWhenUsed/>
    <w:rsid w:val="00620770"/>
    <w:rPr>
      <w:vertAlign w:val="superscript"/>
    </w:rPr>
  </w:style>
  <w:style w:type="numbering" w:customStyle="1" w:styleId="NoList11">
    <w:name w:val="No List11"/>
    <w:next w:val="NoList"/>
    <w:uiPriority w:val="99"/>
    <w:semiHidden/>
    <w:unhideWhenUsed/>
    <w:rsid w:val="00620770"/>
  </w:style>
  <w:style w:type="table" w:customStyle="1" w:styleId="LightShading11">
    <w:name w:val="Light Shading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620770"/>
    <w:pPr>
      <w:suppressAutoHyphens w:val="0"/>
      <w:spacing w:before="120" w:after="120"/>
    </w:pPr>
    <w:rPr>
      <w:rFonts w:ascii="Arial" w:eastAsia="Times New Roman" w:hAnsi="Arial" w:cs="Arial"/>
      <w:bCs/>
      <w:color w:val="auto"/>
      <w:kern w:val="0"/>
    </w:rPr>
  </w:style>
  <w:style w:type="table" w:customStyle="1" w:styleId="LightGrid-Accent21">
    <w:name w:val="Light Grid - Accent 21"/>
    <w:basedOn w:val="TableNormal"/>
    <w:next w:val="LightGrid-Accent2"/>
    <w:uiPriority w:val="62"/>
    <w:rsid w:val="00620770"/>
    <w:pPr>
      <w:spacing w:before="0" w:after="0"/>
    </w:pPr>
    <w:rPr>
      <w:rFonts w:eastAsia="Times New Roman"/>
      <w:color w:val="auto"/>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shd w:val="clear" w:color="auto" w:fill="CD0920"/>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Tablefootnote">
    <w:name w:val="Table footnote"/>
    <w:basedOn w:val="Normal"/>
    <w:link w:val="TablefootnoteChar"/>
    <w:qFormat/>
    <w:rsid w:val="00620770"/>
    <w:pPr>
      <w:tabs>
        <w:tab w:val="left" w:pos="720"/>
        <w:tab w:val="left" w:pos="851"/>
      </w:tabs>
      <w:suppressAutoHyphens w:val="0"/>
      <w:spacing w:before="120" w:after="240"/>
    </w:pPr>
    <w:rPr>
      <w:rFonts w:ascii="Arial" w:eastAsia="Calibri" w:hAnsi="Arial" w:cs="Times New Roman"/>
      <w:color w:val="auto"/>
      <w:kern w:val="0"/>
      <w:sz w:val="18"/>
      <w:szCs w:val="22"/>
    </w:rPr>
  </w:style>
  <w:style w:type="character" w:customStyle="1" w:styleId="TablefootnoteChar">
    <w:name w:val="Table footnote Char"/>
    <w:basedOn w:val="DefaultParagraphFont"/>
    <w:link w:val="Tablefootnote"/>
    <w:rsid w:val="00620770"/>
    <w:rPr>
      <w:rFonts w:ascii="Arial" w:eastAsia="Calibri" w:hAnsi="Arial" w:cs="Times New Roman"/>
      <w:color w:val="auto"/>
      <w:sz w:val="18"/>
      <w:szCs w:val="22"/>
    </w:rPr>
  </w:style>
  <w:style w:type="table" w:customStyle="1" w:styleId="TableGrid2">
    <w:name w:val="Table Grid2"/>
    <w:basedOn w:val="TableNormal"/>
    <w:next w:val="TableGrid"/>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20770"/>
  </w:style>
  <w:style w:type="table" w:customStyle="1" w:styleId="TableGrid3">
    <w:name w:val="Table Grid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620770"/>
  </w:style>
  <w:style w:type="table" w:customStyle="1" w:styleId="TableGrid11">
    <w:name w:val="Table Grid1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620770"/>
    <w:pPr>
      <w:widowControl w:val="0"/>
      <w:suppressAutoHyphens w:val="0"/>
      <w:spacing w:before="240" w:after="240" w:line="264" w:lineRule="auto"/>
    </w:pPr>
    <w:rPr>
      <w:rFonts w:ascii="Times New Roman" w:eastAsia="Times New Roman" w:hAnsi="Times New Roman" w:cs="Times New Roman"/>
      <w:color w:val="auto"/>
      <w:kern w:val="0"/>
      <w:sz w:val="24"/>
      <w:szCs w:val="24"/>
      <w:lang w:val="x-none" w:eastAsia="x-none"/>
    </w:rPr>
  </w:style>
  <w:style w:type="character" w:customStyle="1" w:styleId="BodytextChar0">
    <w:name w:val="Body text Char"/>
    <w:link w:val="BodyText1"/>
    <w:rsid w:val="00620770"/>
    <w:rPr>
      <w:rFonts w:ascii="Times New Roman" w:eastAsia="Times New Roman" w:hAnsi="Times New Roman" w:cs="Times New Roman"/>
      <w:color w:val="auto"/>
      <w:sz w:val="24"/>
      <w:szCs w:val="24"/>
      <w:lang w:val="x-none" w:eastAsia="x-none"/>
    </w:rPr>
  </w:style>
  <w:style w:type="table" w:customStyle="1" w:styleId="RIStable">
    <w:name w:val="RIS_table"/>
    <w:basedOn w:val="TableNormal"/>
    <w:uiPriority w:val="99"/>
    <w:rsid w:val="00620770"/>
    <w:pPr>
      <w:spacing w:before="0" w:after="0"/>
    </w:pPr>
    <w:rPr>
      <w:color w:val="auto"/>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BE5F1"/>
      </w:tcPr>
    </w:tblStylePr>
  </w:style>
  <w:style w:type="table" w:customStyle="1" w:styleId="LightShading-Accent11">
    <w:name w:val="Light Shading - Accent 11"/>
    <w:basedOn w:val="TableNormal"/>
    <w:next w:val="LightShading-Accent1"/>
    <w:uiPriority w:val="60"/>
    <w:rsid w:val="00620770"/>
    <w:pPr>
      <w:spacing w:before="0" w:after="0"/>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HEADING2">
    <w:name w:val="SUBHEADING2"/>
    <w:basedOn w:val="Subheading1"/>
    <w:link w:val="SUBHEADING2Char"/>
    <w:qFormat/>
    <w:rsid w:val="00620770"/>
    <w:pPr>
      <w:tabs>
        <w:tab w:val="clear" w:pos="720"/>
      </w:tabs>
    </w:pPr>
    <w:rPr>
      <w:b/>
      <w:u w:val="single"/>
    </w:rPr>
  </w:style>
  <w:style w:type="character" w:customStyle="1" w:styleId="SUBHEADING2Char">
    <w:name w:val="SUBHEADING2 Char"/>
    <w:basedOn w:val="Subheading1Char"/>
    <w:link w:val="SUBHEADING2"/>
    <w:rsid w:val="00620770"/>
    <w:rPr>
      <w:rFonts w:ascii="Times New Roman" w:eastAsia="Calibri" w:hAnsi="Times New Roman" w:cs="Times New Roman"/>
      <w:b/>
      <w:caps/>
      <w:color w:val="auto"/>
      <w:sz w:val="24"/>
      <w:szCs w:val="22"/>
      <w:u w:val="single"/>
    </w:rPr>
  </w:style>
  <w:style w:type="table" w:customStyle="1" w:styleId="LightShading4">
    <w:name w:val="Light Shading4"/>
    <w:basedOn w:val="TableNormal"/>
    <w:next w:val="LightShading"/>
    <w:uiPriority w:val="60"/>
    <w:rsid w:val="00620770"/>
    <w:pPr>
      <w:spacing w:before="0" w:after="0"/>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620770"/>
    <w:pPr>
      <w:spacing w:before="0" w:after="0"/>
    </w:pPr>
    <w:rPr>
      <w:rFonts w:ascii="Cambria" w:eastAsia="Times New Roman" w:hAnsi="Cambria"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620770"/>
  </w:style>
  <w:style w:type="paragraph" w:customStyle="1" w:styleId="TableText0">
    <w:name w:val="Table Text"/>
    <w:basedOn w:val="Normal"/>
    <w:uiPriority w:val="98"/>
    <w:qFormat/>
    <w:rsid w:val="00620770"/>
    <w:pPr>
      <w:suppressAutoHyphens w:val="0"/>
      <w:spacing w:before="0" w:after="0"/>
    </w:pPr>
    <w:rPr>
      <w:rFonts w:ascii="Calibri" w:eastAsia="Times New Roman" w:hAnsi="Calibri" w:cs="Microsoft Sans Serif"/>
      <w:kern w:val="0"/>
      <w:sz w:val="18"/>
      <w:szCs w:val="16"/>
      <w:lang w:eastAsia="en-AU"/>
    </w:rPr>
  </w:style>
  <w:style w:type="paragraph" w:customStyle="1" w:styleId="Comment">
    <w:name w:val="Comment"/>
    <w:basedOn w:val="Normal"/>
    <w:uiPriority w:val="99"/>
    <w:qFormat/>
    <w:rsid w:val="00620770"/>
    <w:pPr>
      <w:pBdr>
        <w:top w:val="single" w:sz="4" w:space="1" w:color="auto"/>
        <w:left w:val="single" w:sz="4" w:space="4" w:color="auto"/>
        <w:bottom w:val="single" w:sz="4" w:space="1" w:color="auto"/>
        <w:right w:val="single" w:sz="4" w:space="4" w:color="auto"/>
      </w:pBdr>
      <w:shd w:val="clear" w:color="auto" w:fill="F2F2F2"/>
      <w:suppressAutoHyphens w:val="0"/>
      <w:spacing w:before="0" w:after="240" w:line="300" w:lineRule="auto"/>
      <w:ind w:left="567" w:right="567"/>
    </w:pPr>
    <w:rPr>
      <w:color w:val="auto"/>
      <w:kern w:val="0"/>
      <w:sz w:val="22"/>
      <w:szCs w:val="22"/>
    </w:rPr>
  </w:style>
  <w:style w:type="paragraph" w:customStyle="1" w:styleId="Title1">
    <w:name w:val="Title 1"/>
    <w:uiPriority w:val="99"/>
    <w:qFormat/>
    <w:rsid w:val="00620770"/>
    <w:pPr>
      <w:spacing w:before="0" w:after="200" w:line="276" w:lineRule="auto"/>
    </w:pPr>
    <w:rPr>
      <w:rFonts w:ascii="Cambria" w:eastAsia="Times New Roman" w:hAnsi="Cambria" w:cs="Times New Roman"/>
      <w:b/>
      <w:bCs/>
      <w:color w:val="365F91"/>
      <w:sz w:val="28"/>
      <w:szCs w:val="28"/>
    </w:rPr>
  </w:style>
  <w:style w:type="paragraph" w:customStyle="1" w:styleId="Title2">
    <w:name w:val="Title 2"/>
    <w:uiPriority w:val="99"/>
    <w:qFormat/>
    <w:rsid w:val="00620770"/>
    <w:pPr>
      <w:spacing w:before="0" w:after="200" w:line="276" w:lineRule="auto"/>
    </w:pPr>
    <w:rPr>
      <w:rFonts w:ascii="Cambria" w:eastAsia="Times New Roman" w:hAnsi="Cambria" w:cs="Times New Roman"/>
      <w:b/>
      <w:bCs/>
      <w:color w:val="4F81BD"/>
      <w:sz w:val="26"/>
      <w:szCs w:val="26"/>
    </w:rPr>
  </w:style>
  <w:style w:type="paragraph" w:customStyle="1" w:styleId="SurveyHeading1">
    <w:name w:val="Survey Heading 1"/>
    <w:basedOn w:val="Heading1"/>
    <w:link w:val="SurveyHeading1Char"/>
    <w:uiPriority w:val="99"/>
    <w:qFormat/>
    <w:rsid w:val="00620770"/>
    <w:pPr>
      <w:suppressAutoHyphens w:val="0"/>
      <w:spacing w:after="0" w:line="300" w:lineRule="auto"/>
      <w:ind w:left="432" w:hanging="432"/>
      <w:contextualSpacing w:val="0"/>
    </w:pPr>
    <w:rPr>
      <w:b/>
      <w:bCs/>
      <w:color w:val="365F91"/>
      <w:sz w:val="28"/>
      <w:szCs w:val="28"/>
    </w:rPr>
  </w:style>
  <w:style w:type="paragraph" w:customStyle="1" w:styleId="SurveyHeading2">
    <w:name w:val="Survey Heading 2"/>
    <w:basedOn w:val="SurveyHeading1"/>
    <w:link w:val="SurveyHeading2Char"/>
    <w:uiPriority w:val="99"/>
    <w:qFormat/>
    <w:rsid w:val="00620770"/>
    <w:pPr>
      <w:ind w:left="431" w:hanging="431"/>
      <w:outlineLvl w:val="9"/>
    </w:pPr>
    <w:rPr>
      <w:sz w:val="24"/>
      <w:szCs w:val="24"/>
    </w:rPr>
  </w:style>
  <w:style w:type="character" w:customStyle="1" w:styleId="SurveyHeading1Char">
    <w:name w:val="Survey Heading 1 Char"/>
    <w:basedOn w:val="Heading1Char"/>
    <w:link w:val="SurveyHeading1"/>
    <w:uiPriority w:val="99"/>
    <w:rsid w:val="00620770"/>
    <w:rPr>
      <w:rFonts w:asciiTheme="majorHAnsi" w:eastAsiaTheme="majorEastAsia" w:hAnsiTheme="majorHAnsi" w:cstheme="majorBidi"/>
      <w:b/>
      <w:bCs/>
      <w:color w:val="365F91"/>
      <w:kern w:val="12"/>
      <w:sz w:val="28"/>
      <w:szCs w:val="28"/>
    </w:rPr>
  </w:style>
  <w:style w:type="character" w:customStyle="1" w:styleId="SurveyHeading2Char">
    <w:name w:val="Survey Heading 2 Char"/>
    <w:basedOn w:val="SurveyHeading1Char"/>
    <w:link w:val="SurveyHeading2"/>
    <w:uiPriority w:val="99"/>
    <w:rsid w:val="00620770"/>
    <w:rPr>
      <w:rFonts w:asciiTheme="majorHAnsi" w:eastAsiaTheme="majorEastAsia" w:hAnsiTheme="majorHAnsi" w:cstheme="majorBidi"/>
      <w:b/>
      <w:bCs/>
      <w:color w:val="365F91"/>
      <w:kern w:val="12"/>
      <w:sz w:val="24"/>
      <w:szCs w:val="24"/>
    </w:rPr>
  </w:style>
  <w:style w:type="paragraph" w:customStyle="1" w:styleId="Heading-ExecutiveSummary">
    <w:name w:val="Heading - Executive Summary"/>
    <w:basedOn w:val="Heading1"/>
    <w:uiPriority w:val="99"/>
    <w:qFormat/>
    <w:rsid w:val="00620770"/>
    <w:pPr>
      <w:tabs>
        <w:tab w:val="left" w:pos="720"/>
        <w:tab w:val="left" w:pos="851"/>
        <w:tab w:val="num" w:pos="926"/>
      </w:tabs>
      <w:suppressAutoHyphens w:val="0"/>
      <w:spacing w:before="240" w:after="240"/>
      <w:ind w:left="851" w:hanging="851"/>
      <w:contextualSpacing w:val="0"/>
    </w:pPr>
    <w:rPr>
      <w:rFonts w:eastAsia="Times New Roman" w:cs="Times New Roman"/>
      <w:b/>
      <w:bCs/>
      <w:caps/>
      <w:color w:val="auto"/>
      <w:kern w:val="0"/>
      <w:sz w:val="24"/>
      <w:szCs w:val="28"/>
    </w:rPr>
  </w:style>
  <w:style w:type="paragraph" w:customStyle="1" w:styleId="Appendix-Heading">
    <w:name w:val="Appendix - Heading"/>
    <w:basedOn w:val="Heading7"/>
    <w:next w:val="Normal"/>
    <w:link w:val="Appendix-HeadingChar"/>
    <w:uiPriority w:val="99"/>
    <w:qFormat/>
    <w:rsid w:val="00620770"/>
    <w:pPr>
      <w:numPr>
        <w:numId w:val="13"/>
      </w:numPr>
      <w:ind w:left="0" w:firstLine="0"/>
    </w:pPr>
    <w:rPr>
      <w:color w:val="081E3E" w:themeColor="text2"/>
      <w:kern w:val="12"/>
    </w:rPr>
  </w:style>
  <w:style w:type="numbering" w:customStyle="1" w:styleId="Appendices">
    <w:name w:val="Appendices"/>
    <w:uiPriority w:val="99"/>
    <w:rsid w:val="00620770"/>
    <w:pPr>
      <w:numPr>
        <w:numId w:val="12"/>
      </w:numPr>
    </w:pPr>
  </w:style>
  <w:style w:type="table" w:customStyle="1" w:styleId="LightShading-Accent61">
    <w:name w:val="Light Shading - Accent 61"/>
    <w:basedOn w:val="TableNormal"/>
    <w:next w:val="LightShading-Accent6"/>
    <w:uiPriority w:val="60"/>
    <w:rsid w:val="00620770"/>
    <w:pPr>
      <w:spacing w:before="0" w:after="0"/>
    </w:pPr>
    <w:rPr>
      <w:rFonts w:ascii="Times New Roman" w:eastAsia="Times New Roman" w:hAnsi="Times New Roman"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1">
    <w:name w:val="Plain Table 2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620770"/>
    <w:pPr>
      <w:keepLines w:val="0"/>
      <w:tabs>
        <w:tab w:val="num" w:pos="1418"/>
      </w:tabs>
      <w:suppressAutoHyphens w:val="0"/>
      <w:spacing w:before="240" w:after="120"/>
      <w:ind w:left="1418" w:hanging="1418"/>
      <w:contextualSpacing w:val="0"/>
    </w:pPr>
    <w:rPr>
      <w:rFonts w:ascii="Times New Roman" w:eastAsia="Times New Roman" w:hAnsi="Times New Roman" w:cs="Arial"/>
      <w:b/>
      <w:bCs/>
      <w:caps/>
      <w:color w:val="auto"/>
      <w:kern w:val="32"/>
      <w:sz w:val="24"/>
      <w:lang w:eastAsia="en-AU"/>
    </w:rPr>
  </w:style>
  <w:style w:type="paragraph" w:customStyle="1" w:styleId="msonormal0">
    <w:name w:val="msonormal"/>
    <w:basedOn w:val="Normal"/>
    <w:rsid w:val="00620770"/>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font5">
    <w:name w:val="font5"/>
    <w:basedOn w:val="Normal"/>
    <w:uiPriority w:val="99"/>
    <w:rsid w:val="00620770"/>
    <w:pPr>
      <w:suppressAutoHyphens w:val="0"/>
      <w:spacing w:before="100" w:beforeAutospacing="1" w:after="100" w:afterAutospacing="1"/>
    </w:pPr>
    <w:rPr>
      <w:rFonts w:ascii="Tahoma" w:eastAsia="Times New Roman" w:hAnsi="Tahoma" w:cs="Tahoma"/>
      <w:color w:val="000000"/>
      <w:kern w:val="0"/>
      <w:sz w:val="18"/>
      <w:szCs w:val="18"/>
      <w:lang w:eastAsia="en-AU"/>
    </w:rPr>
  </w:style>
  <w:style w:type="paragraph" w:customStyle="1" w:styleId="font6">
    <w:name w:val="font6"/>
    <w:basedOn w:val="Normal"/>
    <w:uiPriority w:val="99"/>
    <w:rsid w:val="00620770"/>
    <w:pPr>
      <w:suppressAutoHyphens w:val="0"/>
      <w:spacing w:before="100" w:beforeAutospacing="1" w:after="100" w:afterAutospacing="1"/>
    </w:pPr>
    <w:rPr>
      <w:rFonts w:ascii="Tahoma" w:eastAsia="Times New Roman" w:hAnsi="Tahoma" w:cs="Tahoma"/>
      <w:b/>
      <w:bCs/>
      <w:color w:val="000000"/>
      <w:kern w:val="0"/>
      <w:sz w:val="18"/>
      <w:szCs w:val="18"/>
      <w:lang w:eastAsia="en-AU"/>
    </w:rPr>
  </w:style>
  <w:style w:type="paragraph" w:customStyle="1" w:styleId="xl183">
    <w:name w:val="xl183"/>
    <w:basedOn w:val="Normal"/>
    <w:rsid w:val="00620770"/>
    <w:pPr>
      <w:pBdr>
        <w:top w:val="single" w:sz="8" w:space="0" w:color="auto"/>
        <w:left w:val="single" w:sz="8" w:space="0" w:color="auto"/>
        <w:bottom w:val="single" w:sz="4" w:space="0" w:color="auto"/>
      </w:pBd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xl184">
    <w:name w:val="xl184"/>
    <w:basedOn w:val="Normal"/>
    <w:rsid w:val="00620770"/>
    <w:pP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5">
    <w:name w:val="xl18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6">
    <w:name w:val="xl186"/>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7">
    <w:name w:val="xl187"/>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8">
    <w:name w:val="xl188"/>
    <w:basedOn w:val="Normal"/>
    <w:rsid w:val="00620770"/>
    <w:pPr>
      <w:pBdr>
        <w:left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9">
    <w:name w:val="xl189"/>
    <w:basedOn w:val="Normal"/>
    <w:rsid w:val="00620770"/>
    <w:pPr>
      <w:pBdr>
        <w:left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auto"/>
      <w:kern w:val="0"/>
      <w:lang w:eastAsia="en-AU"/>
    </w:rPr>
  </w:style>
  <w:style w:type="paragraph" w:customStyle="1" w:styleId="xl190">
    <w:name w:val="xl190"/>
    <w:basedOn w:val="Normal"/>
    <w:rsid w:val="00620770"/>
    <w:pPr>
      <w:pBdr>
        <w:left w:val="single" w:sz="8" w:space="0" w:color="auto"/>
        <w:bottom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1">
    <w:name w:val="xl191"/>
    <w:basedOn w:val="Normal"/>
    <w:rsid w:val="00620770"/>
    <w:pPr>
      <w:pBdr>
        <w:lef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2">
    <w:name w:val="xl192"/>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3">
    <w:name w:val="xl193"/>
    <w:basedOn w:val="Normal"/>
    <w:rsid w:val="00620770"/>
    <w:pPr>
      <w:pBdr>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4">
    <w:name w:val="xl194"/>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5">
    <w:name w:val="xl19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6">
    <w:name w:val="xl196"/>
    <w:basedOn w:val="Normal"/>
    <w:rsid w:val="00620770"/>
    <w:pPr>
      <w:pBdr>
        <w:right w:val="single" w:sz="8"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7">
    <w:name w:val="xl197"/>
    <w:basedOn w:val="Normal"/>
    <w:uiPriority w:val="99"/>
    <w:rsid w:val="00620770"/>
    <w:pPr>
      <w:pBdr>
        <w:top w:val="single" w:sz="4" w:space="0" w:color="auto"/>
        <w:left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8">
    <w:name w:val="xl198"/>
    <w:basedOn w:val="Normal"/>
    <w:uiPriority w:val="99"/>
    <w:rsid w:val="00620770"/>
    <w:pPr>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9">
    <w:name w:val="xl199"/>
    <w:basedOn w:val="Normal"/>
    <w:uiPriority w:val="99"/>
    <w:rsid w:val="0062077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0">
    <w:name w:val="xl200"/>
    <w:basedOn w:val="Normal"/>
    <w:uiPriority w:val="99"/>
    <w:rsid w:val="00620770"/>
    <w:pPr>
      <w:pBdr>
        <w:top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1">
    <w:name w:val="xl201"/>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i/>
      <w:iCs/>
      <w:color w:val="auto"/>
      <w:kern w:val="0"/>
      <w:lang w:eastAsia="en-AU"/>
    </w:rPr>
  </w:style>
  <w:style w:type="paragraph" w:customStyle="1" w:styleId="xl202">
    <w:name w:val="xl202"/>
    <w:basedOn w:val="Normal"/>
    <w:uiPriority w:val="99"/>
    <w:rsid w:val="00620770"/>
    <w:pP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3">
    <w:name w:val="xl203"/>
    <w:basedOn w:val="Normal"/>
    <w:uiPriority w:val="99"/>
    <w:rsid w:val="00620770"/>
    <w:pPr>
      <w:pBdr>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4">
    <w:name w:val="xl204"/>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5">
    <w:name w:val="xl205"/>
    <w:basedOn w:val="Normal"/>
    <w:uiPriority w:val="99"/>
    <w:rsid w:val="00620770"/>
    <w:pPr>
      <w:pBdr>
        <w:left w:val="single" w:sz="4" w:space="0" w:color="auto"/>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6">
    <w:name w:val="xl206"/>
    <w:basedOn w:val="Normal"/>
    <w:uiPriority w:val="99"/>
    <w:rsid w:val="00620770"/>
    <w:pPr>
      <w:pBdr>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7">
    <w:name w:val="xl207"/>
    <w:basedOn w:val="Normal"/>
    <w:uiPriority w:val="99"/>
    <w:rsid w:val="00620770"/>
    <w:pPr>
      <w:pBdr>
        <w:bottom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8">
    <w:name w:val="xl208"/>
    <w:basedOn w:val="Normal"/>
    <w:uiPriority w:val="99"/>
    <w:rsid w:val="00620770"/>
    <w:pPr>
      <w:pBdr>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9">
    <w:name w:val="xl209"/>
    <w:basedOn w:val="Normal"/>
    <w:uiPriority w:val="99"/>
    <w:rsid w:val="00620770"/>
    <w:pPr>
      <w:pBdr>
        <w:bottom w:val="single" w:sz="8" w:space="0" w:color="auto"/>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0">
    <w:name w:val="xl210"/>
    <w:basedOn w:val="Normal"/>
    <w:uiPriority w:val="99"/>
    <w:rsid w:val="00620770"/>
    <w:pPr>
      <w:suppressAutoHyphens w:val="0"/>
      <w:spacing w:before="100" w:beforeAutospacing="1" w:after="100" w:afterAutospacing="1"/>
    </w:pPr>
    <w:rPr>
      <w:rFonts w:ascii="Times New Roman" w:eastAsia="Times New Roman" w:hAnsi="Times New Roman" w:cs="Times New Roman"/>
      <w:color w:val="1F497D"/>
      <w:kern w:val="0"/>
      <w:sz w:val="24"/>
      <w:szCs w:val="24"/>
      <w:lang w:eastAsia="en-AU"/>
    </w:rPr>
  </w:style>
  <w:style w:type="paragraph" w:customStyle="1" w:styleId="xl211">
    <w:name w:val="xl211"/>
    <w:basedOn w:val="Normal"/>
    <w:uiPriority w:val="99"/>
    <w:rsid w:val="00620770"/>
    <w:pPr>
      <w:pBdr>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2">
    <w:name w:val="xl212"/>
    <w:basedOn w:val="Normal"/>
    <w:uiPriority w:val="99"/>
    <w:rsid w:val="00620770"/>
    <w:pPr>
      <w:pBdr>
        <w:bottom w:val="single" w:sz="8" w:space="0" w:color="auto"/>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3">
    <w:name w:val="xl213"/>
    <w:basedOn w:val="Normal"/>
    <w:uiPriority w:val="99"/>
    <w:rsid w:val="00620770"/>
    <w:pPr>
      <w:pBdr>
        <w:top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14">
    <w:name w:val="xl214"/>
    <w:basedOn w:val="Normal"/>
    <w:uiPriority w:val="99"/>
    <w:rsid w:val="00620770"/>
    <w:pPr>
      <w:pBdr>
        <w:top w:val="single" w:sz="8"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5">
    <w:name w:val="xl215"/>
    <w:basedOn w:val="Normal"/>
    <w:uiPriority w:val="99"/>
    <w:rsid w:val="00620770"/>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6">
    <w:name w:val="xl216"/>
    <w:basedOn w:val="Normal"/>
    <w:uiPriority w:val="99"/>
    <w:rsid w:val="00620770"/>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7">
    <w:name w:val="xl217"/>
    <w:basedOn w:val="Normal"/>
    <w:uiPriority w:val="99"/>
    <w:rsid w:val="00620770"/>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table" w:customStyle="1" w:styleId="PlainTable211">
    <w:name w:val="Plain Table 21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ppendixHeading">
    <w:name w:val="Appendix Heading"/>
    <w:basedOn w:val="Appendix-Heading"/>
    <w:link w:val="AppendixHeadingChar"/>
    <w:rsid w:val="00620770"/>
  </w:style>
  <w:style w:type="character" w:customStyle="1" w:styleId="Appendix-HeadingChar">
    <w:name w:val="Appendix - Heading Char"/>
    <w:basedOn w:val="Heading1Char"/>
    <w:link w:val="Appendix-Heading"/>
    <w:uiPriority w:val="99"/>
    <w:rsid w:val="00620770"/>
    <w:rPr>
      <w:rFonts w:ascii="Cambria" w:eastAsia="Times New Roman" w:hAnsi="Cambria" w:cs="Times New Roman"/>
      <w:b/>
      <w:bCs/>
      <w:caps/>
      <w:color w:val="081E3E" w:themeColor="text2"/>
      <w:kern w:val="12"/>
      <w:sz w:val="24"/>
      <w:szCs w:val="28"/>
    </w:rPr>
  </w:style>
  <w:style w:type="character" w:customStyle="1" w:styleId="AppendixHeadingChar">
    <w:name w:val="Appendix Heading Char"/>
    <w:basedOn w:val="Appendix-HeadingChar"/>
    <w:link w:val="AppendixHeading"/>
    <w:rsid w:val="00620770"/>
    <w:rPr>
      <w:rFonts w:ascii="Cambria" w:eastAsia="Times New Roman" w:hAnsi="Cambria" w:cs="Times New Roman"/>
      <w:b/>
      <w:bCs/>
      <w:caps/>
      <w:color w:val="081E3E" w:themeColor="text2"/>
      <w:kern w:val="12"/>
      <w:sz w:val="24"/>
      <w:szCs w:val="28"/>
    </w:rPr>
  </w:style>
  <w:style w:type="paragraph" w:styleId="NoteHeading">
    <w:name w:val="Note Heading"/>
    <w:basedOn w:val="Normal"/>
    <w:next w:val="Normal"/>
    <w:link w:val="NoteHeadingChar"/>
    <w:uiPriority w:val="99"/>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NoteHeadingChar">
    <w:name w:val="Note Heading Char"/>
    <w:basedOn w:val="DefaultParagraphFont"/>
    <w:link w:val="NoteHeading"/>
    <w:uiPriority w:val="99"/>
    <w:rsid w:val="00620770"/>
    <w:rPr>
      <w:rFonts w:ascii="Times New Roman" w:eastAsia="Calibri" w:hAnsi="Times New Roman" w:cs="Times New Roman"/>
      <w:color w:val="auto"/>
      <w:sz w:val="24"/>
      <w:szCs w:val="22"/>
    </w:rPr>
  </w:style>
  <w:style w:type="paragraph" w:styleId="BodyTextIndent">
    <w:name w:val="Body Text Indent"/>
    <w:basedOn w:val="Normal"/>
    <w:link w:val="BodyTextIndentChar"/>
    <w:uiPriority w:val="99"/>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24"/>
      <w:szCs w:val="22"/>
    </w:rPr>
  </w:style>
  <w:style w:type="character" w:customStyle="1" w:styleId="BodyTextIndentChar">
    <w:name w:val="Body Text Indent Char"/>
    <w:basedOn w:val="DefaultParagraphFont"/>
    <w:link w:val="BodyTextIndent"/>
    <w:uiPriority w:val="99"/>
    <w:rsid w:val="00620770"/>
    <w:rPr>
      <w:rFonts w:ascii="Times New Roman" w:eastAsia="Calibri" w:hAnsi="Times New Roman" w:cs="Times New Roman"/>
      <w:color w:val="auto"/>
      <w:sz w:val="24"/>
      <w:szCs w:val="22"/>
    </w:rPr>
  </w:style>
  <w:style w:type="numbering" w:customStyle="1" w:styleId="NoList3">
    <w:name w:val="No List3"/>
    <w:next w:val="NoList"/>
    <w:uiPriority w:val="99"/>
    <w:semiHidden/>
    <w:unhideWhenUsed/>
    <w:rsid w:val="00620770"/>
  </w:style>
  <w:style w:type="table" w:customStyle="1" w:styleId="TableGrid4">
    <w:name w:val="Table Grid4"/>
    <w:basedOn w:val="TableNormal"/>
    <w:next w:val="TableGrid"/>
    <w:uiPriority w:val="5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paragraph" w:customStyle="1" w:styleId="BlockText1">
    <w:name w:val="Block Text1"/>
    <w:basedOn w:val="Normal"/>
    <w:next w:val="BlockText"/>
    <w:uiPriority w:val="99"/>
    <w:semiHidden/>
    <w:unhideWhenUsed/>
    <w:rsid w:val="00620770"/>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720"/>
        <w:tab w:val="left" w:pos="851"/>
      </w:tabs>
      <w:suppressAutoHyphens w:val="0"/>
      <w:spacing w:before="240" w:after="240" w:line="264" w:lineRule="auto"/>
      <w:ind w:left="1152" w:right="1152"/>
    </w:pPr>
    <w:rPr>
      <w:rFonts w:eastAsia="Times New Roman"/>
      <w:i/>
      <w:iCs/>
      <w:color w:val="4F81BD"/>
      <w:kern w:val="0"/>
      <w:sz w:val="24"/>
      <w:szCs w:val="22"/>
    </w:rPr>
  </w:style>
  <w:style w:type="paragraph" w:styleId="BodyText2">
    <w:name w:val="Body Text 2"/>
    <w:basedOn w:val="Normal"/>
    <w:link w:val="BodyText2Char"/>
    <w:uiPriority w:val="99"/>
    <w:semiHidden/>
    <w:unhideWhenUsed/>
    <w:rsid w:val="00620770"/>
    <w:pPr>
      <w:tabs>
        <w:tab w:val="left" w:pos="720"/>
        <w:tab w:val="left" w:pos="851"/>
      </w:tabs>
      <w:suppressAutoHyphens w:val="0"/>
      <w:spacing w:before="240" w:after="120" w:line="480" w:lineRule="auto"/>
    </w:pPr>
    <w:rPr>
      <w:rFonts w:ascii="Times New Roman" w:eastAsia="Calibri" w:hAnsi="Times New Roman" w:cs="Times New Roman"/>
      <w:color w:val="auto"/>
      <w:kern w:val="0"/>
      <w:sz w:val="24"/>
      <w:szCs w:val="22"/>
    </w:rPr>
  </w:style>
  <w:style w:type="character" w:customStyle="1" w:styleId="BodyText2Char">
    <w:name w:val="Body Text 2 Char"/>
    <w:basedOn w:val="DefaultParagraphFont"/>
    <w:link w:val="BodyText2"/>
    <w:uiPriority w:val="99"/>
    <w:semiHidden/>
    <w:rsid w:val="00620770"/>
    <w:rPr>
      <w:rFonts w:ascii="Times New Roman" w:eastAsia="Calibri" w:hAnsi="Times New Roman" w:cs="Times New Roman"/>
      <w:color w:val="auto"/>
      <w:sz w:val="24"/>
      <w:szCs w:val="22"/>
    </w:rPr>
  </w:style>
  <w:style w:type="paragraph" w:styleId="BodyText3">
    <w:name w:val="Body Text 3"/>
    <w:basedOn w:val="Normal"/>
    <w:link w:val="BodyText3Char"/>
    <w:uiPriority w:val="99"/>
    <w:semiHidden/>
    <w:unhideWhenUsed/>
    <w:rsid w:val="00620770"/>
    <w:pPr>
      <w:tabs>
        <w:tab w:val="left" w:pos="720"/>
        <w:tab w:val="left" w:pos="851"/>
      </w:tabs>
      <w:suppressAutoHyphens w:val="0"/>
      <w:spacing w:before="240" w:after="120" w:line="264" w:lineRule="auto"/>
    </w:pPr>
    <w:rPr>
      <w:rFonts w:ascii="Times New Roman" w:eastAsia="Calibri" w:hAnsi="Times New Roman" w:cs="Times New Roman"/>
      <w:color w:val="auto"/>
      <w:kern w:val="0"/>
      <w:sz w:val="16"/>
      <w:szCs w:val="16"/>
    </w:rPr>
  </w:style>
  <w:style w:type="character" w:customStyle="1" w:styleId="BodyText3Char">
    <w:name w:val="Body Text 3 Char"/>
    <w:basedOn w:val="DefaultParagraphFont"/>
    <w:link w:val="BodyText3"/>
    <w:uiPriority w:val="99"/>
    <w:semiHidden/>
    <w:rsid w:val="00620770"/>
    <w:rPr>
      <w:rFonts w:ascii="Times New Roman" w:eastAsia="Calibri" w:hAnsi="Times New Roman" w:cs="Times New Roman"/>
      <w:color w:val="auto"/>
      <w:sz w:val="16"/>
      <w:szCs w:val="16"/>
    </w:rPr>
  </w:style>
  <w:style w:type="paragraph" w:styleId="BodyTextFirstIndent">
    <w:name w:val="Body Text First Indent"/>
    <w:basedOn w:val="BodyText"/>
    <w:link w:val="BodyTextFirstIndentChar"/>
    <w:uiPriority w:val="99"/>
    <w:semiHidden/>
    <w:unhideWhenUsed/>
    <w:rsid w:val="00620770"/>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620770"/>
    <w:rPr>
      <w:rFonts w:ascii="Times New Roman" w:eastAsia="Calibri" w:hAnsi="Times New Roman" w:cs="Times New Roman"/>
      <w:color w:val="auto"/>
      <w:sz w:val="24"/>
      <w:szCs w:val="22"/>
      <w:lang w:eastAsia="en-AU"/>
    </w:rPr>
  </w:style>
  <w:style w:type="paragraph" w:styleId="BodyTextFirstIndent2">
    <w:name w:val="Body Text First Indent 2"/>
    <w:basedOn w:val="BodyTextIndent"/>
    <w:link w:val="BodyTextFirstIndent2Char"/>
    <w:uiPriority w:val="99"/>
    <w:semiHidden/>
    <w:unhideWhenUsed/>
    <w:rsid w:val="0062077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20770"/>
    <w:rPr>
      <w:rFonts w:ascii="Times New Roman" w:eastAsia="Calibri" w:hAnsi="Times New Roman" w:cs="Times New Roman"/>
      <w:color w:val="auto"/>
      <w:sz w:val="24"/>
      <w:szCs w:val="22"/>
    </w:rPr>
  </w:style>
  <w:style w:type="paragraph" w:styleId="BodyTextIndent2">
    <w:name w:val="Body Text Indent 2"/>
    <w:basedOn w:val="Normal"/>
    <w:link w:val="BodyTextIndent2Char"/>
    <w:uiPriority w:val="99"/>
    <w:semiHidden/>
    <w:unhideWhenUsed/>
    <w:rsid w:val="00620770"/>
    <w:pPr>
      <w:tabs>
        <w:tab w:val="left" w:pos="720"/>
        <w:tab w:val="left" w:pos="851"/>
      </w:tabs>
      <w:suppressAutoHyphens w:val="0"/>
      <w:spacing w:before="240" w:after="120" w:line="480" w:lineRule="auto"/>
      <w:ind w:left="283"/>
    </w:pPr>
    <w:rPr>
      <w:rFonts w:ascii="Times New Roman" w:eastAsia="Calibri" w:hAnsi="Times New Roman" w:cs="Times New Roman"/>
      <w:color w:val="auto"/>
      <w:kern w:val="0"/>
      <w:sz w:val="24"/>
      <w:szCs w:val="22"/>
    </w:rPr>
  </w:style>
  <w:style w:type="character" w:customStyle="1" w:styleId="BodyTextIndent2Char">
    <w:name w:val="Body Text Indent 2 Char"/>
    <w:basedOn w:val="DefaultParagraphFont"/>
    <w:link w:val="BodyTextIndent2"/>
    <w:uiPriority w:val="99"/>
    <w:semiHidden/>
    <w:rsid w:val="00620770"/>
    <w:rPr>
      <w:rFonts w:ascii="Times New Roman" w:eastAsia="Calibri" w:hAnsi="Times New Roman" w:cs="Times New Roman"/>
      <w:color w:val="auto"/>
      <w:sz w:val="24"/>
      <w:szCs w:val="22"/>
    </w:rPr>
  </w:style>
  <w:style w:type="paragraph" w:styleId="BodyTextIndent3">
    <w:name w:val="Body Text Indent 3"/>
    <w:basedOn w:val="Normal"/>
    <w:link w:val="BodyTextIndent3Char"/>
    <w:uiPriority w:val="99"/>
    <w:semiHidden/>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16"/>
      <w:szCs w:val="16"/>
    </w:rPr>
  </w:style>
  <w:style w:type="character" w:customStyle="1" w:styleId="BodyTextIndent3Char">
    <w:name w:val="Body Text Indent 3 Char"/>
    <w:basedOn w:val="DefaultParagraphFont"/>
    <w:link w:val="BodyTextIndent3"/>
    <w:uiPriority w:val="99"/>
    <w:semiHidden/>
    <w:rsid w:val="00620770"/>
    <w:rPr>
      <w:rFonts w:ascii="Times New Roman" w:eastAsia="Calibri" w:hAnsi="Times New Roman" w:cs="Times New Roman"/>
      <w:color w:val="auto"/>
      <w:sz w:val="16"/>
      <w:szCs w:val="16"/>
    </w:rPr>
  </w:style>
  <w:style w:type="paragraph" w:styleId="Closing">
    <w:name w:val="Closing"/>
    <w:basedOn w:val="Normal"/>
    <w:link w:val="Closing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ClosingChar">
    <w:name w:val="Closing Char"/>
    <w:basedOn w:val="DefaultParagraphFont"/>
    <w:link w:val="Closing"/>
    <w:uiPriority w:val="99"/>
    <w:semiHidden/>
    <w:rsid w:val="00620770"/>
    <w:rPr>
      <w:rFonts w:ascii="Times New Roman" w:eastAsia="Calibri" w:hAnsi="Times New Roman" w:cs="Times New Roman"/>
      <w:color w:val="auto"/>
      <w:sz w:val="24"/>
      <w:szCs w:val="22"/>
    </w:rPr>
  </w:style>
  <w:style w:type="paragraph" w:styleId="Date">
    <w:name w:val="Date"/>
    <w:basedOn w:val="Normal"/>
    <w:next w:val="Normal"/>
    <w:link w:val="Date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DateChar">
    <w:name w:val="Date Char"/>
    <w:basedOn w:val="DefaultParagraphFont"/>
    <w:link w:val="Date"/>
    <w:uiPriority w:val="99"/>
    <w:semiHidden/>
    <w:rsid w:val="00620770"/>
    <w:rPr>
      <w:rFonts w:ascii="Times New Roman" w:eastAsia="Calibri" w:hAnsi="Times New Roman" w:cs="Times New Roman"/>
      <w:color w:val="auto"/>
      <w:sz w:val="24"/>
      <w:szCs w:val="22"/>
    </w:rPr>
  </w:style>
  <w:style w:type="paragraph" w:styleId="DocumentMap">
    <w:name w:val="Document Map"/>
    <w:basedOn w:val="Normal"/>
    <w:link w:val="DocumentMapChar"/>
    <w:uiPriority w:val="99"/>
    <w:semiHidden/>
    <w:unhideWhenUsed/>
    <w:rsid w:val="00620770"/>
    <w:pPr>
      <w:tabs>
        <w:tab w:val="left" w:pos="720"/>
        <w:tab w:val="left" w:pos="851"/>
      </w:tabs>
      <w:suppressAutoHyphens w:val="0"/>
      <w:spacing w:before="0" w:after="0"/>
    </w:pPr>
    <w:rPr>
      <w:rFonts w:ascii="Segoe UI" w:eastAsia="Calibri" w:hAnsi="Segoe UI" w:cs="Segoe UI"/>
      <w:color w:val="auto"/>
      <w:kern w:val="0"/>
      <w:sz w:val="16"/>
      <w:szCs w:val="16"/>
    </w:rPr>
  </w:style>
  <w:style w:type="character" w:customStyle="1" w:styleId="DocumentMapChar">
    <w:name w:val="Document Map Char"/>
    <w:basedOn w:val="DefaultParagraphFont"/>
    <w:link w:val="DocumentMap"/>
    <w:uiPriority w:val="99"/>
    <w:semiHidden/>
    <w:rsid w:val="00620770"/>
    <w:rPr>
      <w:rFonts w:ascii="Segoe UI" w:eastAsia="Calibri" w:hAnsi="Segoe UI" w:cs="Segoe UI"/>
      <w:color w:val="auto"/>
      <w:sz w:val="16"/>
      <w:szCs w:val="16"/>
    </w:rPr>
  </w:style>
  <w:style w:type="paragraph" w:styleId="E-mailSignature">
    <w:name w:val="E-mail Signature"/>
    <w:basedOn w:val="Normal"/>
    <w:link w:val="E-mailSignature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E-mailSignatureChar">
    <w:name w:val="E-mail Signature Char"/>
    <w:basedOn w:val="DefaultParagraphFont"/>
    <w:link w:val="E-mailSignature"/>
    <w:uiPriority w:val="99"/>
    <w:semiHidden/>
    <w:rsid w:val="00620770"/>
    <w:rPr>
      <w:rFonts w:ascii="Times New Roman" w:eastAsia="Calibri" w:hAnsi="Times New Roman" w:cs="Times New Roman"/>
      <w:color w:val="auto"/>
      <w:sz w:val="24"/>
      <w:szCs w:val="22"/>
    </w:rPr>
  </w:style>
  <w:style w:type="paragraph" w:customStyle="1" w:styleId="EnvelopeAddress1">
    <w:name w:val="Envelope Address1"/>
    <w:basedOn w:val="Normal"/>
    <w:next w:val="EnvelopeAddress"/>
    <w:uiPriority w:val="99"/>
    <w:semiHidden/>
    <w:unhideWhenUsed/>
    <w:rsid w:val="00620770"/>
    <w:pPr>
      <w:framePr w:w="7920" w:h="1980" w:hRule="exact" w:hSpace="180" w:wrap="auto" w:hAnchor="page" w:xAlign="center" w:yAlign="bottom"/>
      <w:tabs>
        <w:tab w:val="left" w:pos="720"/>
        <w:tab w:val="left" w:pos="851"/>
      </w:tabs>
      <w:suppressAutoHyphens w:val="0"/>
      <w:spacing w:before="0" w:after="0"/>
      <w:ind w:left="2880"/>
    </w:pPr>
    <w:rPr>
      <w:rFonts w:ascii="Cambria" w:eastAsia="Times New Roman" w:hAnsi="Cambria" w:cs="Times New Roman"/>
      <w:color w:val="auto"/>
      <w:kern w:val="0"/>
      <w:sz w:val="24"/>
      <w:szCs w:val="24"/>
    </w:rPr>
  </w:style>
  <w:style w:type="paragraph" w:customStyle="1" w:styleId="EnvelopeReturn1">
    <w:name w:val="Envelope Return1"/>
    <w:basedOn w:val="Normal"/>
    <w:next w:val="EnvelopeReturn"/>
    <w:uiPriority w:val="99"/>
    <w:semiHidden/>
    <w:unhideWhenUsed/>
    <w:rsid w:val="00620770"/>
    <w:pPr>
      <w:tabs>
        <w:tab w:val="left" w:pos="720"/>
        <w:tab w:val="left" w:pos="851"/>
      </w:tabs>
      <w:suppressAutoHyphens w:val="0"/>
      <w:spacing w:before="0" w:after="0"/>
    </w:pPr>
    <w:rPr>
      <w:rFonts w:ascii="Cambria" w:eastAsia="Times New Roman" w:hAnsi="Cambria" w:cs="Times New Roman"/>
      <w:color w:val="auto"/>
      <w:kern w:val="0"/>
    </w:rPr>
  </w:style>
  <w:style w:type="paragraph" w:styleId="HTMLAddress">
    <w:name w:val="HTML Address"/>
    <w:basedOn w:val="Normal"/>
    <w:link w:val="HTMLAddress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i/>
      <w:iCs/>
      <w:color w:val="auto"/>
      <w:kern w:val="0"/>
      <w:sz w:val="24"/>
      <w:szCs w:val="22"/>
    </w:rPr>
  </w:style>
  <w:style w:type="character" w:customStyle="1" w:styleId="HTMLAddressChar">
    <w:name w:val="HTML Address Char"/>
    <w:basedOn w:val="DefaultParagraphFont"/>
    <w:link w:val="HTMLAddress"/>
    <w:uiPriority w:val="99"/>
    <w:semiHidden/>
    <w:rsid w:val="00620770"/>
    <w:rPr>
      <w:rFonts w:ascii="Times New Roman" w:eastAsia="Calibri" w:hAnsi="Times New Roman" w:cs="Times New Roman"/>
      <w:i/>
      <w:iCs/>
      <w:color w:val="auto"/>
      <w:sz w:val="24"/>
      <w:szCs w:val="22"/>
    </w:rPr>
  </w:style>
  <w:style w:type="paragraph" w:styleId="HTMLPreformatted">
    <w:name w:val="HTML Preformatted"/>
    <w:basedOn w:val="Normal"/>
    <w:link w:val="HTMLPreformatted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rPr>
  </w:style>
  <w:style w:type="character" w:customStyle="1" w:styleId="HTMLPreformattedChar">
    <w:name w:val="HTML Preformatted Char"/>
    <w:basedOn w:val="DefaultParagraphFont"/>
    <w:link w:val="HTMLPreformatted"/>
    <w:uiPriority w:val="99"/>
    <w:semiHidden/>
    <w:rsid w:val="00620770"/>
    <w:rPr>
      <w:rFonts w:ascii="Consolas" w:eastAsia="Calibri" w:hAnsi="Consolas" w:cs="Times New Roman"/>
      <w:color w:val="auto"/>
    </w:rPr>
  </w:style>
  <w:style w:type="paragraph" w:styleId="Index1">
    <w:name w:val="index 1"/>
    <w:basedOn w:val="Normal"/>
    <w:next w:val="Normal"/>
    <w:autoRedefine/>
    <w:uiPriority w:val="99"/>
    <w:semiHidden/>
    <w:unhideWhenUsed/>
    <w:rsid w:val="00620770"/>
    <w:pPr>
      <w:suppressAutoHyphens w:val="0"/>
      <w:spacing w:before="0" w:after="0"/>
      <w:ind w:left="240" w:hanging="240"/>
    </w:pPr>
    <w:rPr>
      <w:rFonts w:ascii="Times New Roman" w:eastAsia="Calibri" w:hAnsi="Times New Roman" w:cs="Times New Roman"/>
      <w:color w:val="auto"/>
      <w:kern w:val="0"/>
      <w:sz w:val="24"/>
      <w:szCs w:val="22"/>
    </w:rPr>
  </w:style>
  <w:style w:type="paragraph" w:styleId="Index2">
    <w:name w:val="index 2"/>
    <w:basedOn w:val="Normal"/>
    <w:next w:val="Normal"/>
    <w:autoRedefine/>
    <w:uiPriority w:val="99"/>
    <w:semiHidden/>
    <w:unhideWhenUsed/>
    <w:rsid w:val="00620770"/>
    <w:pPr>
      <w:suppressAutoHyphens w:val="0"/>
      <w:spacing w:before="0" w:after="0"/>
      <w:ind w:left="480" w:hanging="240"/>
    </w:pPr>
    <w:rPr>
      <w:rFonts w:ascii="Times New Roman" w:eastAsia="Calibri" w:hAnsi="Times New Roman" w:cs="Times New Roman"/>
      <w:color w:val="auto"/>
      <w:kern w:val="0"/>
      <w:sz w:val="24"/>
      <w:szCs w:val="22"/>
    </w:rPr>
  </w:style>
  <w:style w:type="paragraph" w:styleId="Index3">
    <w:name w:val="index 3"/>
    <w:basedOn w:val="Normal"/>
    <w:next w:val="Normal"/>
    <w:autoRedefine/>
    <w:uiPriority w:val="99"/>
    <w:semiHidden/>
    <w:unhideWhenUsed/>
    <w:rsid w:val="00620770"/>
    <w:pPr>
      <w:suppressAutoHyphens w:val="0"/>
      <w:spacing w:before="0" w:after="0"/>
      <w:ind w:left="720" w:hanging="240"/>
    </w:pPr>
    <w:rPr>
      <w:rFonts w:ascii="Times New Roman" w:eastAsia="Calibri" w:hAnsi="Times New Roman" w:cs="Times New Roman"/>
      <w:color w:val="auto"/>
      <w:kern w:val="0"/>
      <w:sz w:val="24"/>
      <w:szCs w:val="22"/>
    </w:rPr>
  </w:style>
  <w:style w:type="paragraph" w:styleId="Index4">
    <w:name w:val="index 4"/>
    <w:basedOn w:val="Normal"/>
    <w:next w:val="Normal"/>
    <w:autoRedefine/>
    <w:uiPriority w:val="99"/>
    <w:semiHidden/>
    <w:unhideWhenUsed/>
    <w:rsid w:val="00620770"/>
    <w:pPr>
      <w:suppressAutoHyphens w:val="0"/>
      <w:spacing w:before="0" w:after="0"/>
      <w:ind w:left="960" w:hanging="240"/>
    </w:pPr>
    <w:rPr>
      <w:rFonts w:ascii="Times New Roman" w:eastAsia="Calibri" w:hAnsi="Times New Roman" w:cs="Times New Roman"/>
      <w:color w:val="auto"/>
      <w:kern w:val="0"/>
      <w:sz w:val="24"/>
      <w:szCs w:val="22"/>
    </w:rPr>
  </w:style>
  <w:style w:type="paragraph" w:styleId="Index5">
    <w:name w:val="index 5"/>
    <w:basedOn w:val="Normal"/>
    <w:next w:val="Normal"/>
    <w:autoRedefine/>
    <w:uiPriority w:val="99"/>
    <w:semiHidden/>
    <w:unhideWhenUsed/>
    <w:rsid w:val="00620770"/>
    <w:pPr>
      <w:suppressAutoHyphens w:val="0"/>
      <w:spacing w:before="0" w:after="0"/>
      <w:ind w:left="1200" w:hanging="240"/>
    </w:pPr>
    <w:rPr>
      <w:rFonts w:ascii="Times New Roman" w:eastAsia="Calibri" w:hAnsi="Times New Roman" w:cs="Times New Roman"/>
      <w:color w:val="auto"/>
      <w:kern w:val="0"/>
      <w:sz w:val="24"/>
      <w:szCs w:val="22"/>
    </w:rPr>
  </w:style>
  <w:style w:type="paragraph" w:styleId="Index6">
    <w:name w:val="index 6"/>
    <w:basedOn w:val="Normal"/>
    <w:next w:val="Normal"/>
    <w:autoRedefine/>
    <w:uiPriority w:val="99"/>
    <w:semiHidden/>
    <w:unhideWhenUsed/>
    <w:rsid w:val="00620770"/>
    <w:pPr>
      <w:suppressAutoHyphens w:val="0"/>
      <w:spacing w:before="0" w:after="0"/>
      <w:ind w:left="1440" w:hanging="240"/>
    </w:pPr>
    <w:rPr>
      <w:rFonts w:ascii="Times New Roman" w:eastAsia="Calibri" w:hAnsi="Times New Roman" w:cs="Times New Roman"/>
      <w:color w:val="auto"/>
      <w:kern w:val="0"/>
      <w:sz w:val="24"/>
      <w:szCs w:val="22"/>
    </w:rPr>
  </w:style>
  <w:style w:type="paragraph" w:styleId="Index7">
    <w:name w:val="index 7"/>
    <w:basedOn w:val="Normal"/>
    <w:next w:val="Normal"/>
    <w:autoRedefine/>
    <w:uiPriority w:val="99"/>
    <w:semiHidden/>
    <w:unhideWhenUsed/>
    <w:rsid w:val="00620770"/>
    <w:pPr>
      <w:suppressAutoHyphens w:val="0"/>
      <w:spacing w:before="0" w:after="0"/>
      <w:ind w:left="1680" w:hanging="240"/>
    </w:pPr>
    <w:rPr>
      <w:rFonts w:ascii="Times New Roman" w:eastAsia="Calibri" w:hAnsi="Times New Roman" w:cs="Times New Roman"/>
      <w:color w:val="auto"/>
      <w:kern w:val="0"/>
      <w:sz w:val="24"/>
      <w:szCs w:val="22"/>
    </w:rPr>
  </w:style>
  <w:style w:type="paragraph" w:styleId="Index8">
    <w:name w:val="index 8"/>
    <w:basedOn w:val="Normal"/>
    <w:next w:val="Normal"/>
    <w:autoRedefine/>
    <w:uiPriority w:val="99"/>
    <w:semiHidden/>
    <w:unhideWhenUsed/>
    <w:rsid w:val="00620770"/>
    <w:pPr>
      <w:suppressAutoHyphens w:val="0"/>
      <w:spacing w:before="0" w:after="0"/>
      <w:ind w:left="1920" w:hanging="240"/>
    </w:pPr>
    <w:rPr>
      <w:rFonts w:ascii="Times New Roman" w:eastAsia="Calibri" w:hAnsi="Times New Roman" w:cs="Times New Roman"/>
      <w:color w:val="auto"/>
      <w:kern w:val="0"/>
      <w:sz w:val="24"/>
      <w:szCs w:val="22"/>
    </w:rPr>
  </w:style>
  <w:style w:type="paragraph" w:styleId="Index9">
    <w:name w:val="index 9"/>
    <w:basedOn w:val="Normal"/>
    <w:next w:val="Normal"/>
    <w:autoRedefine/>
    <w:uiPriority w:val="99"/>
    <w:semiHidden/>
    <w:unhideWhenUsed/>
    <w:rsid w:val="00620770"/>
    <w:pPr>
      <w:suppressAutoHyphens w:val="0"/>
      <w:spacing w:before="0" w:after="0"/>
      <w:ind w:left="2160" w:hanging="240"/>
    </w:pPr>
    <w:rPr>
      <w:rFonts w:ascii="Times New Roman" w:eastAsia="Calibri" w:hAnsi="Times New Roman" w:cs="Times New Roman"/>
      <w:color w:val="auto"/>
      <w:kern w:val="0"/>
      <w:sz w:val="24"/>
      <w:szCs w:val="22"/>
    </w:rPr>
  </w:style>
  <w:style w:type="paragraph" w:customStyle="1" w:styleId="IndexHeading1">
    <w:name w:val="Index Heading1"/>
    <w:basedOn w:val="Normal"/>
    <w:next w:val="Index1"/>
    <w:uiPriority w:val="99"/>
    <w:semiHidden/>
    <w:unhideWhenUsed/>
    <w:rsid w:val="00620770"/>
    <w:pPr>
      <w:tabs>
        <w:tab w:val="left" w:pos="720"/>
        <w:tab w:val="left" w:pos="851"/>
      </w:tabs>
      <w:suppressAutoHyphens w:val="0"/>
      <w:spacing w:before="240" w:after="240" w:line="264" w:lineRule="auto"/>
    </w:pPr>
    <w:rPr>
      <w:rFonts w:ascii="Cambria" w:eastAsia="Times New Roman" w:hAnsi="Cambria" w:cs="Times New Roman"/>
      <w:b/>
      <w:bCs/>
      <w:color w:val="auto"/>
      <w:kern w:val="0"/>
      <w:sz w:val="24"/>
      <w:szCs w:val="22"/>
    </w:rPr>
  </w:style>
  <w:style w:type="paragraph" w:customStyle="1" w:styleId="IntenseQuote1">
    <w:name w:val="Intense Quote1"/>
    <w:basedOn w:val="Normal"/>
    <w:next w:val="Normal"/>
    <w:uiPriority w:val="30"/>
    <w:qFormat/>
    <w:rsid w:val="00620770"/>
    <w:pPr>
      <w:pBdr>
        <w:top w:val="single" w:sz="4" w:space="10" w:color="4F81BD"/>
        <w:bottom w:val="single" w:sz="4" w:space="10" w:color="4F81BD"/>
      </w:pBdr>
      <w:tabs>
        <w:tab w:val="left" w:pos="720"/>
        <w:tab w:val="left" w:pos="851"/>
      </w:tabs>
      <w:suppressAutoHyphens w:val="0"/>
      <w:spacing w:before="360" w:after="360" w:line="264" w:lineRule="auto"/>
      <w:ind w:left="864" w:right="864"/>
      <w:jc w:val="center"/>
    </w:pPr>
    <w:rPr>
      <w:rFonts w:ascii="Times New Roman" w:eastAsia="Calibri" w:hAnsi="Times New Roman" w:cs="Times New Roman"/>
      <w:i/>
      <w:iCs/>
      <w:color w:val="4F81BD"/>
      <w:kern w:val="0"/>
      <w:sz w:val="24"/>
      <w:szCs w:val="22"/>
    </w:rPr>
  </w:style>
  <w:style w:type="character" w:customStyle="1" w:styleId="IntenseQuoteChar">
    <w:name w:val="Intense Quote Char"/>
    <w:basedOn w:val="DefaultParagraphFont"/>
    <w:link w:val="IntenseQuote"/>
    <w:uiPriority w:val="30"/>
    <w:rsid w:val="00620770"/>
    <w:rPr>
      <w:rFonts w:ascii="Times New Roman" w:eastAsia="Calibri" w:hAnsi="Times New Roman" w:cs="Times New Roman"/>
      <w:i/>
      <w:iCs/>
      <w:color w:val="4F81BD"/>
      <w:sz w:val="24"/>
    </w:rPr>
  </w:style>
  <w:style w:type="paragraph" w:styleId="List">
    <w:name w:val="List"/>
    <w:basedOn w:val="Normal"/>
    <w:uiPriority w:val="99"/>
    <w:semiHidden/>
    <w:unhideWhenUsed/>
    <w:rsid w:val="00620770"/>
    <w:pPr>
      <w:tabs>
        <w:tab w:val="left" w:pos="720"/>
        <w:tab w:val="left" w:pos="851"/>
      </w:tabs>
      <w:suppressAutoHyphens w:val="0"/>
      <w:spacing w:before="240" w:after="240" w:line="264" w:lineRule="auto"/>
      <w:ind w:left="283" w:hanging="283"/>
      <w:contextualSpacing/>
    </w:pPr>
    <w:rPr>
      <w:rFonts w:ascii="Times New Roman" w:eastAsia="Calibri" w:hAnsi="Times New Roman" w:cs="Times New Roman"/>
      <w:color w:val="auto"/>
      <w:kern w:val="0"/>
      <w:sz w:val="24"/>
      <w:szCs w:val="22"/>
    </w:rPr>
  </w:style>
  <w:style w:type="paragraph" w:styleId="List2">
    <w:name w:val="List 2"/>
    <w:basedOn w:val="Normal"/>
    <w:uiPriority w:val="99"/>
    <w:semiHidden/>
    <w:unhideWhenUsed/>
    <w:rsid w:val="00620770"/>
    <w:pPr>
      <w:tabs>
        <w:tab w:val="left" w:pos="720"/>
        <w:tab w:val="left" w:pos="851"/>
      </w:tabs>
      <w:suppressAutoHyphens w:val="0"/>
      <w:spacing w:before="240" w:after="240" w:line="264" w:lineRule="auto"/>
      <w:ind w:left="566" w:hanging="283"/>
      <w:contextualSpacing/>
    </w:pPr>
    <w:rPr>
      <w:rFonts w:ascii="Times New Roman" w:eastAsia="Calibri" w:hAnsi="Times New Roman" w:cs="Times New Roman"/>
      <w:color w:val="auto"/>
      <w:kern w:val="0"/>
      <w:sz w:val="24"/>
      <w:szCs w:val="22"/>
    </w:rPr>
  </w:style>
  <w:style w:type="paragraph" w:styleId="List3">
    <w:name w:val="List 3"/>
    <w:basedOn w:val="Normal"/>
    <w:uiPriority w:val="99"/>
    <w:semiHidden/>
    <w:unhideWhenUsed/>
    <w:rsid w:val="00620770"/>
    <w:pPr>
      <w:tabs>
        <w:tab w:val="left" w:pos="720"/>
        <w:tab w:val="left" w:pos="851"/>
      </w:tabs>
      <w:suppressAutoHyphens w:val="0"/>
      <w:spacing w:before="240" w:after="240" w:line="264" w:lineRule="auto"/>
      <w:ind w:left="849" w:hanging="283"/>
      <w:contextualSpacing/>
    </w:pPr>
    <w:rPr>
      <w:rFonts w:ascii="Times New Roman" w:eastAsia="Calibri" w:hAnsi="Times New Roman" w:cs="Times New Roman"/>
      <w:color w:val="auto"/>
      <w:kern w:val="0"/>
      <w:sz w:val="24"/>
      <w:szCs w:val="22"/>
    </w:rPr>
  </w:style>
  <w:style w:type="paragraph" w:styleId="List4">
    <w:name w:val="List 4"/>
    <w:basedOn w:val="Normal"/>
    <w:uiPriority w:val="99"/>
    <w:semiHidden/>
    <w:unhideWhenUsed/>
    <w:rsid w:val="00620770"/>
    <w:pPr>
      <w:tabs>
        <w:tab w:val="left" w:pos="720"/>
        <w:tab w:val="left" w:pos="851"/>
      </w:tabs>
      <w:suppressAutoHyphens w:val="0"/>
      <w:spacing w:before="240" w:after="240" w:line="264" w:lineRule="auto"/>
      <w:ind w:left="1132" w:hanging="283"/>
      <w:contextualSpacing/>
    </w:pPr>
    <w:rPr>
      <w:rFonts w:ascii="Times New Roman" w:eastAsia="Calibri" w:hAnsi="Times New Roman" w:cs="Times New Roman"/>
      <w:color w:val="auto"/>
      <w:kern w:val="0"/>
      <w:sz w:val="24"/>
      <w:szCs w:val="22"/>
    </w:rPr>
  </w:style>
  <w:style w:type="paragraph" w:styleId="List5">
    <w:name w:val="List 5"/>
    <w:basedOn w:val="Normal"/>
    <w:uiPriority w:val="99"/>
    <w:semiHidden/>
    <w:unhideWhenUsed/>
    <w:rsid w:val="00620770"/>
    <w:pPr>
      <w:tabs>
        <w:tab w:val="left" w:pos="720"/>
        <w:tab w:val="left" w:pos="851"/>
      </w:tabs>
      <w:suppressAutoHyphens w:val="0"/>
      <w:spacing w:before="240" w:after="240" w:line="264" w:lineRule="auto"/>
      <w:ind w:left="1415" w:hanging="283"/>
      <w:contextualSpacing/>
    </w:pPr>
    <w:rPr>
      <w:rFonts w:ascii="Times New Roman" w:eastAsia="Calibri" w:hAnsi="Times New Roman" w:cs="Times New Roman"/>
      <w:color w:val="auto"/>
      <w:kern w:val="0"/>
      <w:sz w:val="24"/>
      <w:szCs w:val="22"/>
    </w:rPr>
  </w:style>
  <w:style w:type="paragraph" w:styleId="ListBullet">
    <w:name w:val="List Bullet"/>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Bullet2">
    <w:name w:val="List Bullet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Bullet3">
    <w:name w:val="List Bullet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Bullet4">
    <w:name w:val="List Bullet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Bullet5">
    <w:name w:val="List Bullet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ListContinue">
    <w:name w:val="List Continue"/>
    <w:basedOn w:val="Normal"/>
    <w:uiPriority w:val="99"/>
    <w:semiHidden/>
    <w:unhideWhenUsed/>
    <w:rsid w:val="00620770"/>
    <w:pPr>
      <w:tabs>
        <w:tab w:val="left" w:pos="720"/>
        <w:tab w:val="left" w:pos="851"/>
      </w:tabs>
      <w:suppressAutoHyphens w:val="0"/>
      <w:spacing w:before="240" w:after="120" w:line="264" w:lineRule="auto"/>
      <w:ind w:left="283"/>
      <w:contextualSpacing/>
    </w:pPr>
    <w:rPr>
      <w:rFonts w:ascii="Times New Roman" w:eastAsia="Calibri" w:hAnsi="Times New Roman" w:cs="Times New Roman"/>
      <w:color w:val="auto"/>
      <w:kern w:val="0"/>
      <w:sz w:val="24"/>
      <w:szCs w:val="22"/>
    </w:rPr>
  </w:style>
  <w:style w:type="paragraph" w:styleId="ListContinue2">
    <w:name w:val="List Continue 2"/>
    <w:basedOn w:val="Normal"/>
    <w:uiPriority w:val="99"/>
    <w:semiHidden/>
    <w:unhideWhenUsed/>
    <w:rsid w:val="00620770"/>
    <w:pPr>
      <w:tabs>
        <w:tab w:val="left" w:pos="720"/>
        <w:tab w:val="left" w:pos="851"/>
      </w:tabs>
      <w:suppressAutoHyphens w:val="0"/>
      <w:spacing w:before="240" w:after="120" w:line="264" w:lineRule="auto"/>
      <w:ind w:left="566"/>
      <w:contextualSpacing/>
    </w:pPr>
    <w:rPr>
      <w:rFonts w:ascii="Times New Roman" w:eastAsia="Calibri" w:hAnsi="Times New Roman" w:cs="Times New Roman"/>
      <w:color w:val="auto"/>
      <w:kern w:val="0"/>
      <w:sz w:val="24"/>
      <w:szCs w:val="22"/>
    </w:rPr>
  </w:style>
  <w:style w:type="paragraph" w:styleId="ListContinue3">
    <w:name w:val="List Continue 3"/>
    <w:basedOn w:val="Normal"/>
    <w:uiPriority w:val="99"/>
    <w:semiHidden/>
    <w:unhideWhenUsed/>
    <w:rsid w:val="00620770"/>
    <w:pPr>
      <w:tabs>
        <w:tab w:val="left" w:pos="720"/>
        <w:tab w:val="left" w:pos="851"/>
      </w:tabs>
      <w:suppressAutoHyphens w:val="0"/>
      <w:spacing w:before="240" w:after="120" w:line="264" w:lineRule="auto"/>
      <w:ind w:left="849"/>
      <w:contextualSpacing/>
    </w:pPr>
    <w:rPr>
      <w:rFonts w:ascii="Times New Roman" w:eastAsia="Calibri" w:hAnsi="Times New Roman" w:cs="Times New Roman"/>
      <w:color w:val="auto"/>
      <w:kern w:val="0"/>
      <w:sz w:val="24"/>
      <w:szCs w:val="22"/>
    </w:rPr>
  </w:style>
  <w:style w:type="paragraph" w:styleId="ListContinue4">
    <w:name w:val="List Continue 4"/>
    <w:basedOn w:val="Normal"/>
    <w:uiPriority w:val="99"/>
    <w:semiHidden/>
    <w:unhideWhenUsed/>
    <w:rsid w:val="00620770"/>
    <w:pPr>
      <w:tabs>
        <w:tab w:val="left" w:pos="720"/>
        <w:tab w:val="left" w:pos="851"/>
      </w:tabs>
      <w:suppressAutoHyphens w:val="0"/>
      <w:spacing w:before="240" w:after="120" w:line="264" w:lineRule="auto"/>
      <w:ind w:left="1132"/>
      <w:contextualSpacing/>
    </w:pPr>
    <w:rPr>
      <w:rFonts w:ascii="Times New Roman" w:eastAsia="Calibri" w:hAnsi="Times New Roman" w:cs="Times New Roman"/>
      <w:color w:val="auto"/>
      <w:kern w:val="0"/>
      <w:sz w:val="24"/>
      <w:szCs w:val="22"/>
    </w:rPr>
  </w:style>
  <w:style w:type="paragraph" w:styleId="ListContinue5">
    <w:name w:val="List Continue 5"/>
    <w:basedOn w:val="Normal"/>
    <w:uiPriority w:val="99"/>
    <w:semiHidden/>
    <w:unhideWhenUsed/>
    <w:rsid w:val="00620770"/>
    <w:pPr>
      <w:tabs>
        <w:tab w:val="left" w:pos="720"/>
        <w:tab w:val="left" w:pos="851"/>
      </w:tabs>
      <w:suppressAutoHyphens w:val="0"/>
      <w:spacing w:before="240" w:after="120" w:line="264" w:lineRule="auto"/>
      <w:ind w:left="1415"/>
      <w:contextualSpacing/>
    </w:pPr>
    <w:rPr>
      <w:rFonts w:ascii="Times New Roman" w:eastAsia="Calibri" w:hAnsi="Times New Roman" w:cs="Times New Roman"/>
      <w:color w:val="auto"/>
      <w:kern w:val="0"/>
      <w:sz w:val="24"/>
      <w:szCs w:val="22"/>
    </w:rPr>
  </w:style>
  <w:style w:type="paragraph" w:styleId="ListNumber">
    <w:name w:val="List Number"/>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Number2">
    <w:name w:val="List Number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Number3">
    <w:name w:val="List Number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Number4">
    <w:name w:val="List Number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Number5">
    <w:name w:val="List Number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MacroText">
    <w:name w:val="macro"/>
    <w:link w:val="MacroTextChar"/>
    <w:uiPriority w:val="99"/>
    <w:semiHidden/>
    <w:unhideWhenUsed/>
    <w:rsid w:val="00620770"/>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color w:val="auto"/>
    </w:rPr>
  </w:style>
  <w:style w:type="character" w:customStyle="1" w:styleId="MacroTextChar">
    <w:name w:val="Macro Text Char"/>
    <w:basedOn w:val="DefaultParagraphFont"/>
    <w:link w:val="MacroText"/>
    <w:uiPriority w:val="99"/>
    <w:semiHidden/>
    <w:rsid w:val="00620770"/>
    <w:rPr>
      <w:rFonts w:ascii="Consolas" w:eastAsia="Calibri" w:hAnsi="Consolas" w:cs="Times New Roman"/>
      <w:color w:val="auto"/>
    </w:rPr>
  </w:style>
  <w:style w:type="paragraph" w:customStyle="1" w:styleId="MessageHeader1">
    <w:name w:val="Message Header1"/>
    <w:basedOn w:val="Normal"/>
    <w:next w:val="MessageHeader"/>
    <w:link w:val="MessageHeaderChar"/>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tabs>
        <w:tab w:val="left" w:pos="720"/>
        <w:tab w:val="left" w:pos="851"/>
      </w:tabs>
      <w:suppressAutoHyphens w:val="0"/>
      <w:spacing w:before="0" w:after="0"/>
      <w:ind w:left="1134" w:hanging="1134"/>
    </w:pPr>
    <w:rPr>
      <w:rFonts w:ascii="Cambria" w:eastAsia="Times New Roman" w:hAnsi="Cambria" w:cs="Times New Roman"/>
      <w:kern w:val="0"/>
      <w:sz w:val="24"/>
      <w:szCs w:val="24"/>
    </w:rPr>
  </w:style>
  <w:style w:type="character" w:customStyle="1" w:styleId="MessageHeaderChar">
    <w:name w:val="Message Header Char"/>
    <w:aliases w:val="Boxed text Char"/>
    <w:basedOn w:val="DefaultParagraphFont"/>
    <w:link w:val="MessageHeader1"/>
    <w:uiPriority w:val="99"/>
    <w:rsid w:val="00620770"/>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620770"/>
    <w:pPr>
      <w:tabs>
        <w:tab w:val="left" w:pos="720"/>
        <w:tab w:val="left" w:pos="851"/>
      </w:tabs>
      <w:suppressAutoHyphens w:val="0"/>
      <w:spacing w:before="240" w:after="240" w:line="264" w:lineRule="auto"/>
      <w:ind w:left="720"/>
    </w:pPr>
    <w:rPr>
      <w:rFonts w:ascii="Times New Roman" w:eastAsia="Calibri" w:hAnsi="Times New Roman" w:cs="Times New Roman"/>
      <w:color w:val="auto"/>
      <w:kern w:val="0"/>
      <w:sz w:val="24"/>
      <w:szCs w:val="22"/>
    </w:rPr>
  </w:style>
  <w:style w:type="paragraph" w:styleId="PlainText">
    <w:name w:val="Plain Text"/>
    <w:basedOn w:val="Normal"/>
    <w:link w:val="PlainText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sz w:val="21"/>
      <w:szCs w:val="21"/>
    </w:rPr>
  </w:style>
  <w:style w:type="character" w:customStyle="1" w:styleId="PlainTextChar">
    <w:name w:val="Plain Text Char"/>
    <w:basedOn w:val="DefaultParagraphFont"/>
    <w:link w:val="PlainText"/>
    <w:uiPriority w:val="99"/>
    <w:semiHidden/>
    <w:rsid w:val="00620770"/>
    <w:rPr>
      <w:rFonts w:ascii="Consolas" w:eastAsia="Calibri" w:hAnsi="Consolas" w:cs="Times New Roman"/>
      <w:color w:val="auto"/>
      <w:sz w:val="21"/>
      <w:szCs w:val="21"/>
    </w:rPr>
  </w:style>
  <w:style w:type="paragraph" w:styleId="Salutation">
    <w:name w:val="Salutation"/>
    <w:basedOn w:val="Normal"/>
    <w:next w:val="Normal"/>
    <w:link w:val="Salutation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SalutationChar">
    <w:name w:val="Salutation Char"/>
    <w:basedOn w:val="DefaultParagraphFont"/>
    <w:link w:val="Salutation"/>
    <w:uiPriority w:val="99"/>
    <w:semiHidden/>
    <w:rsid w:val="00620770"/>
    <w:rPr>
      <w:rFonts w:ascii="Times New Roman" w:eastAsia="Calibri" w:hAnsi="Times New Roman" w:cs="Times New Roman"/>
      <w:color w:val="auto"/>
      <w:sz w:val="24"/>
      <w:szCs w:val="22"/>
    </w:rPr>
  </w:style>
  <w:style w:type="paragraph" w:styleId="Signature">
    <w:name w:val="Signature"/>
    <w:basedOn w:val="Normal"/>
    <w:link w:val="Signature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SignatureChar">
    <w:name w:val="Signature Char"/>
    <w:basedOn w:val="DefaultParagraphFont"/>
    <w:link w:val="Signature"/>
    <w:uiPriority w:val="99"/>
    <w:semiHidden/>
    <w:rsid w:val="00620770"/>
    <w:rPr>
      <w:rFonts w:ascii="Times New Roman" w:eastAsia="Calibri" w:hAnsi="Times New Roman" w:cs="Times New Roman"/>
      <w:color w:val="auto"/>
      <w:sz w:val="24"/>
      <w:szCs w:val="22"/>
    </w:rPr>
  </w:style>
  <w:style w:type="paragraph" w:styleId="TableofAuthorities">
    <w:name w:val="table of authorities"/>
    <w:basedOn w:val="Normal"/>
    <w:next w:val="Normal"/>
    <w:uiPriority w:val="99"/>
    <w:semiHidden/>
    <w:unhideWhenUsed/>
    <w:rsid w:val="00620770"/>
    <w:pPr>
      <w:suppressAutoHyphens w:val="0"/>
      <w:spacing w:before="240" w:after="0" w:line="264" w:lineRule="auto"/>
      <w:ind w:left="240" w:hanging="240"/>
    </w:pPr>
    <w:rPr>
      <w:rFonts w:ascii="Times New Roman" w:eastAsia="Calibri" w:hAnsi="Times New Roman" w:cs="Times New Roman"/>
      <w:color w:val="auto"/>
      <w:kern w:val="0"/>
      <w:sz w:val="24"/>
      <w:szCs w:val="22"/>
    </w:rPr>
  </w:style>
  <w:style w:type="paragraph" w:customStyle="1" w:styleId="TOAHeading1">
    <w:name w:val="TOA Heading1"/>
    <w:basedOn w:val="Normal"/>
    <w:next w:val="Normal"/>
    <w:uiPriority w:val="99"/>
    <w:semiHidden/>
    <w:unhideWhenUsed/>
    <w:rsid w:val="00620770"/>
    <w:pPr>
      <w:tabs>
        <w:tab w:val="left" w:pos="720"/>
        <w:tab w:val="left" w:pos="851"/>
      </w:tabs>
      <w:suppressAutoHyphens w:val="0"/>
      <w:spacing w:before="120" w:after="240" w:line="264" w:lineRule="auto"/>
    </w:pPr>
    <w:rPr>
      <w:rFonts w:ascii="Cambria" w:eastAsia="Times New Roman" w:hAnsi="Cambria" w:cs="Times New Roman"/>
      <w:b/>
      <w:bCs/>
      <w:color w:val="auto"/>
      <w:kern w:val="0"/>
      <w:sz w:val="24"/>
      <w:szCs w:val="24"/>
    </w:rPr>
  </w:style>
  <w:style w:type="paragraph" w:styleId="TOC4">
    <w:name w:val="toc 4"/>
    <w:aliases w:val="±Heads4"/>
    <w:basedOn w:val="Normal"/>
    <w:next w:val="Normal"/>
    <w:autoRedefine/>
    <w:uiPriority w:val="39"/>
    <w:unhideWhenUsed/>
    <w:qFormat/>
    <w:rsid w:val="00620770"/>
    <w:pPr>
      <w:suppressAutoHyphens w:val="0"/>
      <w:spacing w:before="240" w:after="100" w:line="264" w:lineRule="auto"/>
      <w:ind w:left="720"/>
    </w:pPr>
    <w:rPr>
      <w:rFonts w:ascii="Times New Roman" w:eastAsia="Calibri" w:hAnsi="Times New Roman" w:cs="Times New Roman"/>
      <w:color w:val="auto"/>
      <w:kern w:val="0"/>
      <w:sz w:val="24"/>
      <w:szCs w:val="22"/>
    </w:rPr>
  </w:style>
  <w:style w:type="paragraph" w:styleId="TOC5">
    <w:name w:val="toc 5"/>
    <w:aliases w:val="ARRB TOC 5,±NoNumHeads"/>
    <w:basedOn w:val="Normal"/>
    <w:next w:val="Normal"/>
    <w:autoRedefine/>
    <w:uiPriority w:val="39"/>
    <w:unhideWhenUsed/>
    <w:rsid w:val="00620770"/>
    <w:pPr>
      <w:suppressAutoHyphens w:val="0"/>
      <w:spacing w:before="240" w:after="100" w:line="264" w:lineRule="auto"/>
      <w:ind w:left="960"/>
    </w:pPr>
    <w:rPr>
      <w:rFonts w:ascii="Times New Roman" w:eastAsia="Calibri" w:hAnsi="Times New Roman" w:cs="Times New Roman"/>
      <w:color w:val="auto"/>
      <w:kern w:val="0"/>
      <w:sz w:val="24"/>
      <w:szCs w:val="22"/>
    </w:rPr>
  </w:style>
  <w:style w:type="paragraph" w:styleId="TOC6">
    <w:name w:val="toc 6"/>
    <w:aliases w:val="±AppDiv"/>
    <w:basedOn w:val="Normal"/>
    <w:next w:val="Normal"/>
    <w:autoRedefine/>
    <w:uiPriority w:val="39"/>
    <w:unhideWhenUsed/>
    <w:rsid w:val="00620770"/>
    <w:pPr>
      <w:suppressAutoHyphens w:val="0"/>
      <w:spacing w:before="240" w:after="100" w:line="264" w:lineRule="auto"/>
      <w:ind w:left="1200"/>
    </w:pPr>
    <w:rPr>
      <w:rFonts w:ascii="Times New Roman" w:eastAsia="Calibri" w:hAnsi="Times New Roman" w:cs="Times New Roman"/>
      <w:color w:val="auto"/>
      <w:kern w:val="0"/>
      <w:sz w:val="24"/>
      <w:szCs w:val="22"/>
    </w:rPr>
  </w:style>
  <w:style w:type="paragraph" w:styleId="TOC7">
    <w:name w:val="toc 7"/>
    <w:aliases w:val="ARRB TOC 7,±AppHeads1"/>
    <w:basedOn w:val="Normal"/>
    <w:next w:val="Normal"/>
    <w:autoRedefine/>
    <w:uiPriority w:val="39"/>
    <w:unhideWhenUsed/>
    <w:rsid w:val="00620770"/>
    <w:pPr>
      <w:suppressAutoHyphens w:val="0"/>
      <w:spacing w:before="240" w:after="100" w:line="264" w:lineRule="auto"/>
      <w:ind w:left="1440"/>
    </w:pPr>
    <w:rPr>
      <w:rFonts w:ascii="Times New Roman" w:eastAsia="Calibri" w:hAnsi="Times New Roman" w:cs="Times New Roman"/>
      <w:color w:val="auto"/>
      <w:kern w:val="0"/>
      <w:sz w:val="24"/>
      <w:szCs w:val="22"/>
    </w:rPr>
  </w:style>
  <w:style w:type="paragraph" w:styleId="TOC8">
    <w:name w:val="toc 8"/>
    <w:aliases w:val="ARRB TOC 8,±AppHeads2"/>
    <w:basedOn w:val="Normal"/>
    <w:next w:val="Normal"/>
    <w:autoRedefine/>
    <w:uiPriority w:val="39"/>
    <w:unhideWhenUsed/>
    <w:rsid w:val="00620770"/>
    <w:pPr>
      <w:suppressAutoHyphens w:val="0"/>
      <w:spacing w:before="240" w:after="100" w:line="264" w:lineRule="auto"/>
      <w:ind w:left="1680"/>
    </w:pPr>
    <w:rPr>
      <w:rFonts w:ascii="Times New Roman" w:eastAsia="Calibri" w:hAnsi="Times New Roman" w:cs="Times New Roman"/>
      <w:color w:val="auto"/>
      <w:kern w:val="0"/>
      <w:sz w:val="24"/>
      <w:szCs w:val="22"/>
    </w:rPr>
  </w:style>
  <w:style w:type="paragraph" w:styleId="TOC9">
    <w:name w:val="toc 9"/>
    <w:aliases w:val="ARRB TOC 9,±AppHeads3"/>
    <w:basedOn w:val="Normal"/>
    <w:next w:val="Normal"/>
    <w:autoRedefine/>
    <w:uiPriority w:val="39"/>
    <w:unhideWhenUsed/>
    <w:rsid w:val="00620770"/>
    <w:pPr>
      <w:suppressAutoHyphens w:val="0"/>
      <w:spacing w:before="240" w:after="100" w:line="264" w:lineRule="auto"/>
      <w:ind w:left="1920"/>
    </w:pPr>
    <w:rPr>
      <w:rFonts w:ascii="Times New Roman" w:eastAsia="Calibri" w:hAnsi="Times New Roman" w:cs="Times New Roman"/>
      <w:color w:val="auto"/>
      <w:kern w:val="0"/>
      <w:sz w:val="24"/>
      <w:szCs w:val="22"/>
    </w:rPr>
  </w:style>
  <w:style w:type="paragraph" w:customStyle="1" w:styleId="Tablenotes">
    <w:name w:val="Table notes"/>
    <w:basedOn w:val="Table2heading"/>
    <w:qFormat/>
    <w:rsid w:val="00620770"/>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620770"/>
    <w:pPr>
      <w:spacing w:before="0" w:after="0"/>
    </w:pPr>
    <w:rPr>
      <w:color w:val="auto"/>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5">
    <w:name w:val="Table Grid5"/>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620770"/>
    <w:pPr>
      <w:tabs>
        <w:tab w:val="left" w:pos="720"/>
        <w:tab w:val="left" w:pos="851"/>
      </w:tabs>
      <w:suppressAutoHyphens w:val="0"/>
      <w:spacing w:before="240" w:after="240"/>
      <w:ind w:left="1474" w:hanging="1474"/>
      <w:contextualSpacing w:val="0"/>
    </w:pPr>
    <w:rPr>
      <w:rFonts w:eastAsia="Times New Roman" w:cs="Times New Roman"/>
      <w:b/>
      <w:bCs/>
      <w:caps/>
      <w:color w:val="auto"/>
      <w:sz w:val="24"/>
      <w:szCs w:val="28"/>
    </w:rPr>
  </w:style>
  <w:style w:type="paragraph" w:customStyle="1" w:styleId="RISAppendixHeading">
    <w:name w:val="RIS Appendix Heading"/>
    <w:basedOn w:val="Heading1"/>
    <w:next w:val="Normal"/>
    <w:link w:val="RISAppendixHeadingChar"/>
    <w:rsid w:val="00620770"/>
    <w:pPr>
      <w:tabs>
        <w:tab w:val="left" w:pos="720"/>
        <w:tab w:val="left" w:pos="851"/>
      </w:tabs>
      <w:suppressAutoHyphens w:val="0"/>
      <w:spacing w:before="240" w:after="240"/>
      <w:ind w:left="357" w:hanging="357"/>
      <w:contextualSpacing w:val="0"/>
    </w:pPr>
    <w:rPr>
      <w:rFonts w:eastAsia="Times New Roman" w:cs="Times New Roman"/>
      <w:b/>
      <w:bCs/>
      <w:caps/>
      <w:color w:val="auto"/>
      <w:sz w:val="24"/>
      <w:szCs w:val="28"/>
    </w:rPr>
  </w:style>
  <w:style w:type="character" w:customStyle="1" w:styleId="RISAppendixChar">
    <w:name w:val="RIS Appendix Char"/>
    <w:basedOn w:val="Appendix-HeadingChar"/>
    <w:link w:val="RISAppendix"/>
    <w:rsid w:val="00620770"/>
    <w:rPr>
      <w:rFonts w:asciiTheme="majorHAnsi" w:eastAsia="Times New Roman" w:hAnsiTheme="majorHAnsi" w:cs="Times New Roman"/>
      <w:b/>
      <w:bCs/>
      <w:caps/>
      <w:color w:val="auto"/>
      <w:kern w:val="12"/>
      <w:sz w:val="24"/>
      <w:szCs w:val="28"/>
    </w:rPr>
  </w:style>
  <w:style w:type="character" w:customStyle="1" w:styleId="RISAppendixHeadingChar">
    <w:name w:val="RIS Appendix Heading Char"/>
    <w:basedOn w:val="Heading1Char"/>
    <w:link w:val="RISAppendixHeading"/>
    <w:rsid w:val="00620770"/>
    <w:rPr>
      <w:rFonts w:asciiTheme="majorHAnsi" w:eastAsia="Times New Roman" w:hAnsiTheme="majorHAnsi" w:cs="Times New Roman"/>
      <w:b/>
      <w:bCs/>
      <w:caps/>
      <w:color w:val="auto"/>
      <w:kern w:val="12"/>
      <w:sz w:val="24"/>
      <w:szCs w:val="28"/>
    </w:rPr>
  </w:style>
  <w:style w:type="character" w:customStyle="1" w:styleId="Heading7Char1">
    <w:name w:val="Heading 7 Char1"/>
    <w:basedOn w:val="DefaultParagraphFont"/>
    <w:uiPriority w:val="9"/>
    <w:semiHidden/>
    <w:rsid w:val="00620770"/>
    <w:rPr>
      <w:rFonts w:asciiTheme="majorHAnsi" w:eastAsiaTheme="majorEastAsia" w:hAnsiTheme="majorHAnsi" w:cstheme="majorBidi"/>
      <w:i/>
      <w:iCs/>
      <w:color w:val="040E1E" w:themeColor="accent1" w:themeShade="7F"/>
      <w:kern w:val="12"/>
    </w:rPr>
  </w:style>
  <w:style w:type="table" w:styleId="LightGrid-Accent2">
    <w:name w:val="Light Grid Accent 2"/>
    <w:basedOn w:val="TableNormal"/>
    <w:uiPriority w:val="62"/>
    <w:unhideWhenUsed/>
    <w:rsid w:val="00620770"/>
    <w:pPr>
      <w:spacing w:before="0" w:after="0"/>
    </w:p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18" w:space="0" w:color="4BB3B5" w:themeColor="accent2"/>
          <w:right w:val="single" w:sz="8" w:space="0" w:color="4BB3B5" w:themeColor="accent2"/>
          <w:insideH w:val="nil"/>
          <w:insideV w:val="single" w:sz="8" w:space="0" w:color="4BB3B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insideH w:val="nil"/>
          <w:insideV w:val="single" w:sz="8" w:space="0" w:color="4BB3B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shd w:val="clear" w:color="auto" w:fill="D2ECEC" w:themeFill="accent2" w:themeFillTint="3F"/>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shd w:val="clear" w:color="auto" w:fill="D2ECEC" w:themeFill="accent2" w:themeFillTint="3F"/>
      </w:tcPr>
    </w:tblStylePr>
    <w:tblStylePr w:type="band2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tcPr>
    </w:tblStylePr>
  </w:style>
  <w:style w:type="table" w:styleId="LightShading-Accent1">
    <w:name w:val="Light Shading Accent 1"/>
    <w:basedOn w:val="TableNormal"/>
    <w:uiPriority w:val="60"/>
    <w:unhideWhenUsed/>
    <w:rsid w:val="00620770"/>
    <w:pPr>
      <w:spacing w:before="0" w:after="0"/>
    </w:pPr>
    <w:rPr>
      <w:color w:val="06162E" w:themeColor="accent1" w:themeShade="BF"/>
    </w:rPr>
    <w:tblPr>
      <w:tblStyleRowBandSize w:val="1"/>
      <w:tblStyleColBandSize w:val="1"/>
      <w:tblBorders>
        <w:top w:val="single" w:sz="8" w:space="0" w:color="081E3E" w:themeColor="accent1"/>
        <w:bottom w:val="single" w:sz="8" w:space="0" w:color="081E3E" w:themeColor="accent1"/>
      </w:tblBorders>
    </w:tblPr>
    <w:tblStylePr w:type="fir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la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left w:val="nil"/>
          <w:right w:val="nil"/>
          <w:insideH w:val="nil"/>
          <w:insideV w:val="nil"/>
        </w:tcBorders>
        <w:shd w:val="clear" w:color="auto" w:fill="9EC0F2" w:themeFill="accent1" w:themeFillTint="3F"/>
      </w:tcPr>
    </w:tblStylePr>
  </w:style>
  <w:style w:type="table" w:styleId="LightShading">
    <w:name w:val="Light Shading"/>
    <w:basedOn w:val="TableNormal"/>
    <w:uiPriority w:val="60"/>
    <w:unhideWhenUsed/>
    <w:rsid w:val="0062077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unhideWhenUsed/>
    <w:rsid w:val="00620770"/>
    <w:pPr>
      <w:spacing w:before="0" w:after="0"/>
    </w:pPr>
    <w:rPr>
      <w:rFonts w:asciiTheme="majorHAnsi" w:eastAsiaTheme="majorEastAsia" w:hAnsiTheme="majorHAnsi" w:cstheme="majorBidi"/>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rPr>
        <w:sz w:val="24"/>
        <w:szCs w:val="24"/>
      </w:rPr>
      <w:tblPr/>
      <w:tcPr>
        <w:tcBorders>
          <w:top w:val="nil"/>
          <w:left w:val="nil"/>
          <w:bottom w:val="single" w:sz="24" w:space="0" w:color="081E3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1E3E" w:themeColor="accent1"/>
          <w:insideH w:val="nil"/>
          <w:insideV w:val="nil"/>
        </w:tcBorders>
        <w:shd w:val="clear" w:color="auto" w:fill="FFFFFF" w:themeFill="background1"/>
      </w:tcPr>
    </w:tblStylePr>
    <w:tblStylePr w:type="lastCol">
      <w:tblPr/>
      <w:tcPr>
        <w:tcBorders>
          <w:top w:val="nil"/>
          <w:left w:val="single" w:sz="8" w:space="0" w:color="081E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top w:val="nil"/>
          <w:bottom w:val="nil"/>
          <w:insideH w:val="nil"/>
          <w:insideV w:val="nil"/>
        </w:tcBorders>
        <w:shd w:val="clear" w:color="auto" w:fill="9EC0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6">
    <w:name w:val="Light Shading Accent 6"/>
    <w:basedOn w:val="TableNormal"/>
    <w:uiPriority w:val="60"/>
    <w:unhideWhenUsed/>
    <w:rsid w:val="00620770"/>
    <w:pPr>
      <w:spacing w:before="0" w:after="0"/>
    </w:pPr>
    <w:rPr>
      <w:color w:val="449F70" w:themeColor="accent6" w:themeShade="BF"/>
    </w:rPr>
    <w:tblPr>
      <w:tblStyleRowBandSize w:val="1"/>
      <w:tblStyleColBandSize w:val="1"/>
      <w:tblBorders>
        <w:top w:val="single" w:sz="8" w:space="0" w:color="6FC197" w:themeColor="accent6"/>
        <w:bottom w:val="single" w:sz="8" w:space="0" w:color="6FC197" w:themeColor="accent6"/>
      </w:tblBorders>
    </w:tblPr>
    <w:tblStylePr w:type="fir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la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left w:val="nil"/>
          <w:right w:val="nil"/>
          <w:insideH w:val="nil"/>
          <w:insideV w:val="nil"/>
        </w:tcBorders>
        <w:shd w:val="clear" w:color="auto" w:fill="DBEFE5" w:themeFill="accent6" w:themeFillTint="3F"/>
      </w:tcPr>
    </w:tblStylePr>
  </w:style>
  <w:style w:type="paragraph" w:styleId="BlockText">
    <w:name w:val="Block Text"/>
    <w:basedOn w:val="Normal"/>
    <w:uiPriority w:val="99"/>
    <w:semiHidden/>
    <w:unhideWhenUsed/>
    <w:rsid w:val="00620770"/>
    <w:pPr>
      <w:pBdr>
        <w:top w:val="single" w:sz="2" w:space="10" w:color="081E3E" w:themeColor="accent1" w:shadow="1"/>
        <w:left w:val="single" w:sz="2" w:space="10" w:color="081E3E" w:themeColor="accent1" w:shadow="1"/>
        <w:bottom w:val="single" w:sz="2" w:space="10" w:color="081E3E" w:themeColor="accent1" w:shadow="1"/>
        <w:right w:val="single" w:sz="2" w:space="10" w:color="081E3E" w:themeColor="accent1" w:shadow="1"/>
      </w:pBdr>
      <w:ind w:left="1152" w:right="1152"/>
    </w:pPr>
    <w:rPr>
      <w:rFonts w:eastAsiaTheme="minorEastAsia"/>
      <w:i/>
      <w:iCs/>
      <w:color w:val="081E3E" w:themeColor="accent1"/>
    </w:rPr>
  </w:style>
  <w:style w:type="paragraph" w:styleId="EnvelopeAddress">
    <w:name w:val="envelope address"/>
    <w:basedOn w:val="Normal"/>
    <w:uiPriority w:val="99"/>
    <w:semiHidden/>
    <w:unhideWhenUsed/>
    <w:rsid w:val="00620770"/>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20770"/>
    <w:pPr>
      <w:spacing w:before="0" w:after="0"/>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620770"/>
    <w:pPr>
      <w:pBdr>
        <w:top w:val="single" w:sz="4" w:space="10" w:color="081E3E" w:themeColor="accent1"/>
        <w:bottom w:val="single" w:sz="4" w:space="10" w:color="081E3E" w:themeColor="accent1"/>
      </w:pBdr>
      <w:spacing w:before="360" w:after="360"/>
      <w:ind w:left="864" w:right="864"/>
      <w:jc w:val="center"/>
    </w:pPr>
    <w:rPr>
      <w:rFonts w:ascii="Times New Roman" w:eastAsia="Calibri" w:hAnsi="Times New Roman" w:cs="Times New Roman"/>
      <w:i/>
      <w:iCs/>
      <w:color w:val="4F81BD"/>
      <w:kern w:val="0"/>
      <w:sz w:val="24"/>
    </w:rPr>
  </w:style>
  <w:style w:type="character" w:customStyle="1" w:styleId="IntenseQuoteChar1">
    <w:name w:val="Intense Quote Char1"/>
    <w:basedOn w:val="DefaultParagraphFont"/>
    <w:uiPriority w:val="30"/>
    <w:semiHidden/>
    <w:rsid w:val="00620770"/>
    <w:rPr>
      <w:i/>
      <w:iCs/>
      <w:color w:val="081E3E" w:themeColor="accent1"/>
      <w:kern w:val="12"/>
    </w:rPr>
  </w:style>
  <w:style w:type="paragraph" w:styleId="MessageHeader">
    <w:name w:val="Message Header"/>
    <w:aliases w:val="Boxed text"/>
    <w:basedOn w:val="Normal"/>
    <w:link w:val="MessageHeaderChar1"/>
    <w:uiPriority w:val="99"/>
    <w:unhideWhenUsed/>
    <w:qFormat/>
    <w:rsid w:val="0062077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1">
    <w:name w:val="Message Header Char1"/>
    <w:aliases w:val="Boxed text Char1"/>
    <w:basedOn w:val="DefaultParagraphFont"/>
    <w:link w:val="MessageHeader"/>
    <w:uiPriority w:val="99"/>
    <w:semiHidden/>
    <w:rsid w:val="00620770"/>
    <w:rPr>
      <w:rFonts w:asciiTheme="majorHAnsi" w:eastAsiaTheme="majorEastAsia" w:hAnsiTheme="majorHAnsi" w:cstheme="majorBidi"/>
      <w:kern w:val="12"/>
      <w:sz w:val="24"/>
      <w:szCs w:val="24"/>
      <w:shd w:val="pct20" w:color="auto" w:fill="auto"/>
    </w:rPr>
  </w:style>
  <w:style w:type="paragraph" w:customStyle="1" w:styleId="citeboxright">
    <w:name w:val="citeboxright"/>
    <w:basedOn w:val="Normal"/>
    <w:rsid w:val="00352C22"/>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SubtleEmphasis">
    <w:name w:val="Subtle Emphasis"/>
    <w:basedOn w:val="DefaultParagraphFont"/>
    <w:uiPriority w:val="19"/>
    <w:qFormat/>
    <w:rsid w:val="00223F09"/>
    <w:rPr>
      <w:i/>
      <w:iCs/>
      <w:color w:val="auto"/>
    </w:rPr>
  </w:style>
  <w:style w:type="character" w:styleId="SubtleReference">
    <w:name w:val="Subtle Reference"/>
    <w:basedOn w:val="DefaultParagraphFont"/>
    <w:uiPriority w:val="31"/>
    <w:qFormat/>
    <w:rsid w:val="00223F09"/>
    <w:rPr>
      <w:smallCaps/>
      <w:color w:val="auto"/>
    </w:rPr>
  </w:style>
  <w:style w:type="paragraph" w:customStyle="1" w:styleId="FootnoteMain">
    <w:name w:val="Footnote (Main)"/>
    <w:qFormat/>
    <w:rsid w:val="00223F09"/>
    <w:pPr>
      <w:suppressAutoHyphens/>
      <w:autoSpaceDE w:val="0"/>
      <w:autoSpaceDN w:val="0"/>
      <w:adjustRightInd w:val="0"/>
      <w:spacing w:before="0" w:after="60" w:line="276" w:lineRule="auto"/>
      <w:textAlignment w:val="center"/>
    </w:pPr>
    <w:rPr>
      <w:rFonts w:eastAsia="Times New Roman" w:cs="FranklinGothic-Book"/>
      <w:color w:val="000000"/>
      <w:sz w:val="16"/>
      <w:szCs w:val="22"/>
    </w:rPr>
  </w:style>
  <w:style w:type="character" w:styleId="IntenseEmphasis">
    <w:name w:val="Intense Emphasis"/>
    <w:basedOn w:val="DefaultParagraphFont"/>
    <w:uiPriority w:val="98"/>
    <w:qFormat/>
    <w:rsid w:val="00223F09"/>
    <w:rPr>
      <w:rFonts w:ascii="Arial" w:hAnsi="Arial"/>
      <w:b/>
      <w:bCs/>
      <w:i/>
      <w:iCs/>
      <w:color w:val="081E3E" w:themeColor="accent1"/>
      <w:sz w:val="20"/>
    </w:rPr>
  </w:style>
  <w:style w:type="paragraph" w:customStyle="1" w:styleId="COVERPUBLICATIONTITLE1">
    <w:name w:val="COVER_PUBLICATION_TITLE_1"/>
    <w:next w:val="Normal"/>
    <w:link w:val="COVERPUBLICATIONTITLE1Char"/>
    <w:qFormat/>
    <w:rsid w:val="00223F09"/>
    <w:pPr>
      <w:spacing w:before="1000" w:after="240"/>
    </w:pPr>
    <w:rPr>
      <w:rFonts w:ascii="Segoe UI" w:hAnsi="Segoe UI" w:cs="FranklinGothic-Book"/>
      <w:noProof/>
      <w:color w:val="FFFFFF" w:themeColor="background1"/>
      <w:sz w:val="40"/>
      <w:szCs w:val="22"/>
      <w:lang w:eastAsia="en-AU"/>
    </w:rPr>
  </w:style>
  <w:style w:type="character" w:customStyle="1" w:styleId="COVERPUBLICATIONTITLE1Char">
    <w:name w:val="COVER_PUBLICATION_TITLE_1 Char"/>
    <w:basedOn w:val="DefaultParagraphFont"/>
    <w:link w:val="COVERPUBLICATIONTITLE1"/>
    <w:rsid w:val="00223F09"/>
    <w:rPr>
      <w:rFonts w:ascii="Segoe UI" w:hAnsi="Segoe UI" w:cs="FranklinGothic-Book"/>
      <w:noProof/>
      <w:color w:val="FFFFFF" w:themeColor="background1"/>
      <w:sz w:val="40"/>
      <w:szCs w:val="22"/>
      <w:lang w:eastAsia="en-AU"/>
    </w:rPr>
  </w:style>
  <w:style w:type="paragraph" w:customStyle="1" w:styleId="Numberedheading2">
    <w:name w:val="Numbered heading 2"/>
    <w:basedOn w:val="Normal"/>
    <w:next w:val="Normal"/>
    <w:link w:val="Numberedheading2Char"/>
    <w:qFormat/>
    <w:rsid w:val="00223F09"/>
    <w:pPr>
      <w:keepLines/>
      <w:numPr>
        <w:ilvl w:val="1"/>
        <w:numId w:val="25"/>
      </w:numPr>
      <w:tabs>
        <w:tab w:val="left" w:pos="1134"/>
      </w:tabs>
      <w:suppressAutoHyphens w:val="0"/>
      <w:spacing w:before="200" w:after="120"/>
    </w:pPr>
    <w:rPr>
      <w:rFonts w:ascii="Segoe UI" w:eastAsiaTheme="majorEastAsia" w:hAnsi="Segoe UI" w:cs="FranklinGothic-BookCnd"/>
      <w:color w:val="081E3E" w:themeColor="accent1"/>
      <w:spacing w:val="-2"/>
      <w:sz w:val="32"/>
      <w:szCs w:val="32"/>
    </w:rPr>
  </w:style>
  <w:style w:type="paragraph" w:customStyle="1" w:styleId="NumberedHeading1">
    <w:name w:val="Numbered Heading 1"/>
    <w:basedOn w:val="Heading1"/>
    <w:next w:val="Normal"/>
    <w:link w:val="NumberedHeading1Char"/>
    <w:qFormat/>
    <w:rsid w:val="00223F09"/>
    <w:pPr>
      <w:pageBreakBefore/>
      <w:numPr>
        <w:numId w:val="25"/>
      </w:numPr>
      <w:suppressAutoHyphens w:val="0"/>
      <w:spacing w:before="200" w:after="120"/>
      <w:ind w:left="1134"/>
      <w:contextualSpacing w:val="0"/>
    </w:pPr>
    <w:rPr>
      <w:rFonts w:ascii="Segoe UI" w:hAnsi="Segoe UI" w:cs="FranklinGothic-BookCnd"/>
      <w:color w:val="000000"/>
      <w:spacing w:val="-2"/>
      <w:sz w:val="40"/>
      <w:szCs w:val="40"/>
    </w:rPr>
  </w:style>
  <w:style w:type="character" w:customStyle="1" w:styleId="Numberedheading2Char">
    <w:name w:val="Numbered heading 2 Char"/>
    <w:basedOn w:val="Heading2Char"/>
    <w:link w:val="Numberedheading2"/>
    <w:rsid w:val="00223F09"/>
    <w:rPr>
      <w:rFonts w:ascii="Segoe UI" w:eastAsiaTheme="majorEastAsia" w:hAnsi="Segoe UI" w:cs="FranklinGothic-BookCnd"/>
      <w:color w:val="081E3E" w:themeColor="accent1"/>
      <w:spacing w:val="-2"/>
      <w:kern w:val="12"/>
      <w:sz w:val="32"/>
      <w:szCs w:val="32"/>
      <w:lang w:val="en-US"/>
    </w:rPr>
  </w:style>
  <w:style w:type="character" w:customStyle="1" w:styleId="NumberedHeading1Char">
    <w:name w:val="Numbered Heading 1 Char"/>
    <w:basedOn w:val="Heading1Char"/>
    <w:link w:val="NumberedHeading1"/>
    <w:rsid w:val="00223F09"/>
    <w:rPr>
      <w:rFonts w:ascii="Segoe UI" w:eastAsiaTheme="majorEastAsia" w:hAnsi="Segoe UI" w:cs="FranklinGothic-BookCnd"/>
      <w:color w:val="000000"/>
      <w:spacing w:val="-2"/>
      <w:kern w:val="12"/>
      <w:sz w:val="40"/>
      <w:szCs w:val="40"/>
    </w:rPr>
  </w:style>
  <w:style w:type="paragraph" w:customStyle="1" w:styleId="ContentsLevel2">
    <w:name w:val="Contents Level 2"/>
    <w:basedOn w:val="Normal"/>
    <w:link w:val="ContentsLevel2Char"/>
    <w:qFormat/>
    <w:rsid w:val="00223F09"/>
    <w:pPr>
      <w:keepLines/>
      <w:tabs>
        <w:tab w:val="right" w:leader="dot" w:pos="9015"/>
      </w:tabs>
      <w:suppressAutoHyphens w:val="0"/>
      <w:spacing w:before="120" w:after="120" w:line="264" w:lineRule="auto"/>
      <w:ind w:left="709"/>
    </w:pPr>
    <w:rPr>
      <w:rFonts w:ascii="Segoe UI" w:eastAsia="Times New Roman" w:hAnsi="Segoe UI" w:cstheme="minorHAnsi"/>
      <w:color w:val="000000"/>
      <w:kern w:val="0"/>
      <w:szCs w:val="22"/>
    </w:rPr>
  </w:style>
  <w:style w:type="character" w:customStyle="1" w:styleId="ContentsLevel2Char">
    <w:name w:val="Contents Level 2 Char"/>
    <w:basedOn w:val="DefaultParagraphFont"/>
    <w:link w:val="ContentsLevel2"/>
    <w:locked/>
    <w:rsid w:val="00223F09"/>
    <w:rPr>
      <w:rFonts w:ascii="Segoe UI" w:eastAsia="Times New Roman" w:hAnsi="Segoe UI" w:cstheme="minorHAnsi"/>
      <w:color w:val="000000"/>
      <w:szCs w:val="22"/>
    </w:rPr>
  </w:style>
  <w:style w:type="paragraph" w:customStyle="1" w:styleId="NumberedHeading3">
    <w:name w:val="Numbered Heading 3"/>
    <w:next w:val="Normal"/>
    <w:link w:val="NumberedHeading3Char"/>
    <w:qFormat/>
    <w:rsid w:val="00223F09"/>
    <w:pPr>
      <w:keepNext/>
      <w:keepLines/>
      <w:numPr>
        <w:ilvl w:val="2"/>
        <w:numId w:val="25"/>
      </w:numPr>
      <w:tabs>
        <w:tab w:val="left" w:pos="1134"/>
        <w:tab w:val="left" w:pos="1701"/>
      </w:tabs>
      <w:spacing w:before="200" w:after="100"/>
      <w:outlineLvl w:val="0"/>
    </w:pPr>
    <w:rPr>
      <w:rFonts w:ascii="Segoe UI Semibold" w:eastAsia="Times New Roman" w:hAnsi="Segoe UI Semibold" w:cs="FranklinGothic-BookCnd"/>
      <w:color w:val="081E3E" w:themeColor="text2"/>
      <w:spacing w:val="1"/>
      <w:kern w:val="12"/>
      <w:sz w:val="28"/>
      <w:szCs w:val="28"/>
    </w:rPr>
  </w:style>
  <w:style w:type="character" w:customStyle="1" w:styleId="NumberedHeading3Char">
    <w:name w:val="Numbered Heading 3 Char"/>
    <w:basedOn w:val="Numberedheading2Char"/>
    <w:link w:val="NumberedHeading3"/>
    <w:locked/>
    <w:rsid w:val="00223F09"/>
    <w:rPr>
      <w:rFonts w:ascii="Segoe UI Semibold" w:eastAsia="Times New Roman" w:hAnsi="Segoe UI Semibold" w:cs="FranklinGothic-BookCnd"/>
      <w:color w:val="081E3E" w:themeColor="text2"/>
      <w:spacing w:val="1"/>
      <w:kern w:val="12"/>
      <w:sz w:val="28"/>
      <w:szCs w:val="28"/>
      <w:lang w:val="en-US"/>
    </w:rPr>
  </w:style>
  <w:style w:type="table" w:customStyle="1" w:styleId="Table-Style3">
    <w:name w:val="Table-Style3"/>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2">
    <w:name w:val="Table-Style32"/>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3">
    <w:name w:val="Table-Style33"/>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numbering" w:customStyle="1" w:styleId="TASTightbulletliststyle">
    <w:name w:val="TAS Tight bullet list style"/>
    <w:uiPriority w:val="99"/>
    <w:rsid w:val="00223F09"/>
    <w:pPr>
      <w:numPr>
        <w:numId w:val="16"/>
      </w:numPr>
    </w:pPr>
  </w:style>
  <w:style w:type="numbering" w:customStyle="1" w:styleId="TASBulletliststyle">
    <w:name w:val="TAS Bullet list style"/>
    <w:uiPriority w:val="99"/>
    <w:rsid w:val="00223F09"/>
    <w:pPr>
      <w:numPr>
        <w:numId w:val="15"/>
      </w:numPr>
    </w:pPr>
  </w:style>
  <w:style w:type="paragraph" w:customStyle="1" w:styleId="Numberedheading4">
    <w:name w:val="Numbered heading 4"/>
    <w:basedOn w:val="NumberedHeading3"/>
    <w:qFormat/>
    <w:rsid w:val="00223F09"/>
    <w:pPr>
      <w:numPr>
        <w:ilvl w:val="3"/>
      </w:numPr>
      <w:ind w:left="2880"/>
    </w:pPr>
    <w:rPr>
      <w:sz w:val="24"/>
      <w:szCs w:val="24"/>
    </w:rPr>
  </w:style>
  <w:style w:type="paragraph" w:customStyle="1" w:styleId="Numberedheading5">
    <w:name w:val="Numbered heading 5"/>
    <w:basedOn w:val="NumberedHeading3"/>
    <w:qFormat/>
    <w:rsid w:val="00223F09"/>
    <w:pPr>
      <w:numPr>
        <w:ilvl w:val="4"/>
      </w:numPr>
      <w:tabs>
        <w:tab w:val="clear" w:pos="1134"/>
        <w:tab w:val="clear" w:pos="1701"/>
        <w:tab w:val="left" w:pos="1418"/>
        <w:tab w:val="left" w:pos="1985"/>
      </w:tabs>
      <w:spacing w:before="100"/>
      <w:ind w:left="1134" w:hanging="1134"/>
    </w:pPr>
    <w:rPr>
      <w:rFonts w:asciiTheme="majorHAnsi" w:hAnsiTheme="majorHAnsi"/>
      <w:sz w:val="22"/>
      <w:szCs w:val="22"/>
    </w:rPr>
  </w:style>
  <w:style w:type="numbering" w:styleId="ArticleSection">
    <w:name w:val="Outline List 3"/>
    <w:basedOn w:val="NoList"/>
    <w:uiPriority w:val="99"/>
    <w:semiHidden/>
    <w:unhideWhenUsed/>
    <w:rsid w:val="00223F09"/>
    <w:pPr>
      <w:numPr>
        <w:numId w:val="17"/>
      </w:numPr>
    </w:pPr>
  </w:style>
  <w:style w:type="table" w:styleId="LightList-Accent1">
    <w:name w:val="Light List Accent 1"/>
    <w:basedOn w:val="TableNormal"/>
    <w:uiPriority w:val="61"/>
    <w:rsid w:val="00223F09"/>
    <w:pPr>
      <w:spacing w:before="0" w:after="0"/>
    </w:pPr>
    <w:rPr>
      <w:color w:val="auto"/>
      <w:sz w:val="22"/>
      <w:szCs w:val="22"/>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pPr>
        <w:spacing w:before="0" w:after="0" w:line="240" w:lineRule="auto"/>
      </w:pPr>
      <w:rPr>
        <w:b/>
        <w:bCs/>
        <w:color w:val="FFFFFF" w:themeColor="background1"/>
      </w:rPr>
      <w:tblPr/>
      <w:tcPr>
        <w:shd w:val="clear" w:color="auto" w:fill="081E3E" w:themeFill="accent1"/>
      </w:tcPr>
    </w:tblStylePr>
    <w:tblStylePr w:type="lastRow">
      <w:pPr>
        <w:spacing w:before="0" w:after="0" w:line="240" w:lineRule="auto"/>
      </w:pPr>
      <w:rPr>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tcBorders>
      </w:tcPr>
    </w:tblStylePr>
    <w:tblStylePr w:type="firstCol">
      <w:rPr>
        <w:b/>
        <w:bCs/>
      </w:rPr>
    </w:tblStylePr>
    <w:tblStylePr w:type="lastCol">
      <w:rPr>
        <w:b/>
        <w:bCs/>
      </w:r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style>
  <w:style w:type="paragraph" w:customStyle="1" w:styleId="Default">
    <w:name w:val="Default"/>
    <w:qFormat/>
    <w:rsid w:val="00223F09"/>
    <w:pPr>
      <w:autoSpaceDE w:val="0"/>
      <w:autoSpaceDN w:val="0"/>
      <w:adjustRightInd w:val="0"/>
      <w:spacing w:before="0" w:after="0"/>
    </w:pPr>
    <w:rPr>
      <w:rFonts w:cs="Times New Roman"/>
      <w:color w:val="000000"/>
      <w:sz w:val="22"/>
      <w:szCs w:val="24"/>
    </w:rPr>
  </w:style>
  <w:style w:type="table" w:customStyle="1" w:styleId="GTA1">
    <w:name w:val="GTA1"/>
    <w:basedOn w:val="TableNormal"/>
    <w:next w:val="TableGrid"/>
    <w:rsid w:val="00223F09"/>
    <w:pPr>
      <w:spacing w:before="0" w:after="0"/>
    </w:pPr>
    <w:rPr>
      <w:rFonts w:ascii="Times New Roman" w:eastAsia="Times New Roman" w:hAnsi="Times New Roman"/>
      <w:color w:val="auto"/>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1">
    <w:name w:val="Figure 1"/>
    <w:basedOn w:val="Normal"/>
    <w:link w:val="Figure1Char"/>
    <w:autoRedefine/>
    <w:qFormat/>
    <w:rsid w:val="00223F09"/>
    <w:pPr>
      <w:keepLines/>
      <w:numPr>
        <w:ilvl w:val="5"/>
        <w:numId w:val="25"/>
      </w:numPr>
      <w:tabs>
        <w:tab w:val="left" w:pos="1134"/>
      </w:tabs>
      <w:suppressAutoHyphens w:val="0"/>
      <w:spacing w:before="300" w:after="200" w:line="276" w:lineRule="auto"/>
    </w:pPr>
    <w:rPr>
      <w:rFonts w:ascii="Segoe UI" w:hAnsi="Segoe UI" w:cs="Arial"/>
      <w:color w:val="081E3E" w:themeColor="accent1"/>
      <w:kern w:val="0"/>
      <w:sz w:val="22"/>
      <w:u w:color="1C68D9" w:themeColor="text2" w:themeTint="99"/>
    </w:rPr>
  </w:style>
  <w:style w:type="character" w:customStyle="1" w:styleId="Figure1Char">
    <w:name w:val="Figure 1 Char"/>
    <w:basedOn w:val="DefaultParagraphFont"/>
    <w:link w:val="Figure1"/>
    <w:rsid w:val="00223F09"/>
    <w:rPr>
      <w:rFonts w:ascii="Segoe UI" w:hAnsi="Segoe UI" w:cs="Arial"/>
      <w:color w:val="081E3E" w:themeColor="accent1"/>
      <w:sz w:val="22"/>
      <w:u w:color="1C68D9" w:themeColor="text2" w:themeTint="99"/>
    </w:rPr>
  </w:style>
  <w:style w:type="numbering" w:customStyle="1" w:styleId="ArticleSection1">
    <w:name w:val="Article / Section1"/>
    <w:basedOn w:val="NoList"/>
    <w:next w:val="ArticleSection"/>
    <w:uiPriority w:val="99"/>
    <w:semiHidden/>
    <w:unhideWhenUsed/>
    <w:rsid w:val="00223F09"/>
  </w:style>
  <w:style w:type="numbering" w:styleId="1ai">
    <w:name w:val="Outline List 1"/>
    <w:basedOn w:val="NoList"/>
    <w:uiPriority w:val="99"/>
    <w:semiHidden/>
    <w:unhideWhenUsed/>
    <w:rsid w:val="00223F09"/>
    <w:pPr>
      <w:numPr>
        <w:numId w:val="18"/>
      </w:numPr>
    </w:pPr>
  </w:style>
  <w:style w:type="paragraph" w:customStyle="1" w:styleId="NormalBase">
    <w:name w:val="Normal Base"/>
    <w:uiPriority w:val="37"/>
    <w:semiHidden/>
    <w:rsid w:val="00223F09"/>
    <w:pPr>
      <w:spacing w:before="140" w:after="140" w:line="280" w:lineRule="atLeast"/>
    </w:pPr>
    <w:rPr>
      <w:rFonts w:ascii="Arial" w:eastAsia="Times New Roman" w:hAnsi="Arial" w:cs="Arial"/>
      <w:color w:val="auto"/>
      <w:sz w:val="22"/>
      <w:szCs w:val="22"/>
      <w:lang w:eastAsia="en-AU"/>
    </w:rPr>
  </w:style>
  <w:style w:type="paragraph" w:customStyle="1" w:styleId="HeadingBase">
    <w:name w:val="Heading Base"/>
    <w:uiPriority w:val="98"/>
    <w:semiHidden/>
    <w:rsid w:val="00223F09"/>
    <w:pPr>
      <w:spacing w:before="200" w:after="0" w:line="280" w:lineRule="atLeast"/>
    </w:pPr>
    <w:rPr>
      <w:rFonts w:ascii="Arial" w:eastAsia="Times New Roman" w:hAnsi="Arial" w:cs="Arial"/>
      <w:color w:val="auto"/>
      <w:szCs w:val="22"/>
      <w:lang w:eastAsia="en-AU"/>
    </w:rPr>
  </w:style>
  <w:style w:type="paragraph" w:customStyle="1" w:styleId="HeaderBase">
    <w:name w:val="Header Base"/>
    <w:next w:val="Normal"/>
    <w:uiPriority w:val="37"/>
    <w:semiHidden/>
    <w:rsid w:val="00223F09"/>
    <w:pPr>
      <w:spacing w:before="0" w:after="0" w:line="200" w:lineRule="atLeast"/>
    </w:pPr>
    <w:rPr>
      <w:rFonts w:ascii="Arial" w:eastAsia="Times New Roman" w:hAnsi="Arial" w:cs="Arial"/>
      <w:color w:val="auto"/>
      <w:szCs w:val="22"/>
      <w:lang w:eastAsia="en-AU"/>
    </w:rPr>
  </w:style>
  <w:style w:type="paragraph" w:customStyle="1" w:styleId="FooterBase">
    <w:name w:val="Footer Base"/>
    <w:next w:val="Footer"/>
    <w:uiPriority w:val="37"/>
    <w:semiHidden/>
    <w:rsid w:val="00223F09"/>
    <w:pPr>
      <w:spacing w:before="0" w:after="0" w:line="200" w:lineRule="atLeast"/>
    </w:pPr>
    <w:rPr>
      <w:rFonts w:ascii="Arial" w:eastAsia="Times New Roman" w:hAnsi="Arial" w:cs="Arial"/>
      <w:color w:val="auto"/>
      <w:sz w:val="16"/>
      <w:szCs w:val="22"/>
      <w:lang w:eastAsia="en-AU"/>
    </w:rPr>
  </w:style>
  <w:style w:type="paragraph" w:customStyle="1" w:styleId="FooterSubject">
    <w:name w:val="Footer Subject"/>
    <w:basedOn w:val="FooterBase"/>
    <w:uiPriority w:val="37"/>
    <w:semiHidden/>
    <w:rsid w:val="00223F09"/>
    <w:pPr>
      <w:ind w:right="1417"/>
    </w:pPr>
  </w:style>
  <w:style w:type="paragraph" w:customStyle="1" w:styleId="FooterLandscape">
    <w:name w:val="Footer Landscape"/>
    <w:basedOn w:val="FooterBase"/>
    <w:uiPriority w:val="37"/>
    <w:semiHidden/>
    <w:rsid w:val="00223F09"/>
    <w:pPr>
      <w:tabs>
        <w:tab w:val="right" w:pos="13175"/>
      </w:tabs>
    </w:pPr>
  </w:style>
  <w:style w:type="paragraph" w:customStyle="1" w:styleId="DraftinHeader">
    <w:name w:val="Draft in Header"/>
    <w:basedOn w:val="HeaderBase"/>
    <w:uiPriority w:val="37"/>
    <w:semiHidden/>
    <w:rsid w:val="00223F09"/>
    <w:pPr>
      <w:tabs>
        <w:tab w:val="right" w:pos="8220"/>
      </w:tabs>
    </w:pPr>
  </w:style>
  <w:style w:type="paragraph" w:customStyle="1" w:styleId="ContentsHeading">
    <w:name w:val="Contents Heading"/>
    <w:basedOn w:val="Heading2"/>
    <w:next w:val="Normal"/>
    <w:uiPriority w:val="10"/>
    <w:qFormat/>
    <w:rsid w:val="00223F09"/>
    <w:pPr>
      <w:tabs>
        <w:tab w:val="left" w:pos="794"/>
        <w:tab w:val="left" w:pos="1020"/>
      </w:tabs>
      <w:suppressAutoHyphens w:val="0"/>
      <w:spacing w:before="240" w:after="240"/>
      <w:ind w:left="0" w:firstLine="0"/>
    </w:pPr>
    <w:rPr>
      <w:rFonts w:ascii="Segoe UI Semibold" w:eastAsiaTheme="minorHAnsi" w:hAnsi="Segoe UI Semibold" w:cs="FranklinGothic-BookCnd"/>
      <w:color w:val="000000" w:themeColor="text1"/>
      <w:spacing w:val="1"/>
      <w:kern w:val="0"/>
      <w:sz w:val="32"/>
      <w:szCs w:val="32"/>
    </w:rPr>
  </w:style>
  <w:style w:type="paragraph" w:customStyle="1" w:styleId="Instruction">
    <w:name w:val="Instruction"/>
    <w:basedOn w:val="Normal"/>
    <w:uiPriority w:val="37"/>
    <w:semiHidden/>
    <w:rsid w:val="00223F09"/>
    <w:pPr>
      <w:keepLines/>
      <w:suppressAutoHyphens w:val="0"/>
      <w:spacing w:before="140" w:after="140" w:line="264" w:lineRule="auto"/>
    </w:pPr>
    <w:rPr>
      <w:rFonts w:ascii="Segoe UI" w:eastAsia="Times New Roman" w:hAnsi="Segoe UI" w:cs="Arial"/>
      <w:vanish/>
      <w:color w:val="0000FF"/>
      <w:kern w:val="0"/>
      <w:szCs w:val="22"/>
      <w:lang w:eastAsia="en-AU"/>
    </w:rPr>
  </w:style>
  <w:style w:type="numbering" w:styleId="111111">
    <w:name w:val="Outline List 2"/>
    <w:basedOn w:val="NoList"/>
    <w:uiPriority w:val="99"/>
    <w:semiHidden/>
    <w:unhideWhenUsed/>
    <w:rsid w:val="00223F09"/>
    <w:pPr>
      <w:numPr>
        <w:numId w:val="19"/>
      </w:numPr>
    </w:pPr>
  </w:style>
  <w:style w:type="table" w:styleId="ColorfulGrid">
    <w:name w:val="Colorful Grid"/>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B1CCF5" w:themeFill="accent1" w:themeFillTint="33"/>
    </w:tcPr>
    <w:tblStylePr w:type="firstRow">
      <w:rPr>
        <w:b/>
        <w:bCs/>
      </w:rPr>
      <w:tblPr/>
      <w:tcPr>
        <w:shd w:val="clear" w:color="auto" w:fill="6399EB" w:themeFill="accent1" w:themeFillTint="66"/>
      </w:tcPr>
    </w:tblStylePr>
    <w:tblStylePr w:type="lastRow">
      <w:rPr>
        <w:b/>
        <w:bCs/>
        <w:color w:val="000000" w:themeColor="text1"/>
      </w:rPr>
      <w:tblPr/>
      <w:tcPr>
        <w:shd w:val="clear" w:color="auto" w:fill="6399EB" w:themeFill="accent1" w:themeFillTint="66"/>
      </w:tcPr>
    </w:tblStylePr>
    <w:tblStylePr w:type="firstCol">
      <w:rPr>
        <w:color w:val="FFFFFF" w:themeColor="background1"/>
      </w:rPr>
      <w:tblPr/>
      <w:tcPr>
        <w:shd w:val="clear" w:color="auto" w:fill="06162E" w:themeFill="accent1" w:themeFillShade="BF"/>
      </w:tcPr>
    </w:tblStylePr>
    <w:tblStylePr w:type="lastCol">
      <w:rPr>
        <w:color w:val="FFFFFF" w:themeColor="background1"/>
      </w:rPr>
      <w:tblPr/>
      <w:tcPr>
        <w:shd w:val="clear" w:color="auto" w:fill="06162E" w:themeFill="accent1" w:themeFillShade="BF"/>
      </w:tc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ColorfulGrid-Accent2">
    <w:name w:val="Colorful Grid Accent 2"/>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DAEFF0" w:themeFill="accent2" w:themeFillTint="33"/>
    </w:tcPr>
    <w:tblStylePr w:type="firstRow">
      <w:rPr>
        <w:b/>
        <w:bCs/>
      </w:rPr>
      <w:tblPr/>
      <w:tcPr>
        <w:shd w:val="clear" w:color="auto" w:fill="B6E0E1" w:themeFill="accent2" w:themeFillTint="66"/>
      </w:tcPr>
    </w:tblStylePr>
    <w:tblStylePr w:type="lastRow">
      <w:rPr>
        <w:b/>
        <w:bCs/>
        <w:color w:val="000000" w:themeColor="text1"/>
      </w:rPr>
      <w:tblPr/>
      <w:tcPr>
        <w:shd w:val="clear" w:color="auto" w:fill="B6E0E1" w:themeFill="accent2" w:themeFillTint="66"/>
      </w:tcPr>
    </w:tblStylePr>
    <w:tblStylePr w:type="firstCol">
      <w:rPr>
        <w:color w:val="FFFFFF" w:themeColor="background1"/>
      </w:rPr>
      <w:tblPr/>
      <w:tcPr>
        <w:shd w:val="clear" w:color="auto" w:fill="388687" w:themeFill="accent2" w:themeFillShade="BF"/>
      </w:tcPr>
    </w:tblStylePr>
    <w:tblStylePr w:type="lastCol">
      <w:rPr>
        <w:color w:val="FFFFFF" w:themeColor="background1"/>
      </w:rPr>
      <w:tblPr/>
      <w:tcPr>
        <w:shd w:val="clear" w:color="auto" w:fill="388687" w:themeFill="accent2" w:themeFillShade="BF"/>
      </w:tcPr>
    </w:tblStylePr>
    <w:tblStylePr w:type="band1Vert">
      <w:tblPr/>
      <w:tcPr>
        <w:shd w:val="clear" w:color="auto" w:fill="A5D9DA" w:themeFill="accent2" w:themeFillTint="7F"/>
      </w:tcPr>
    </w:tblStylePr>
    <w:tblStylePr w:type="band1Horz">
      <w:tblPr/>
      <w:tcPr>
        <w:shd w:val="clear" w:color="auto" w:fill="A5D9DA" w:themeFill="accent2" w:themeFillTint="7F"/>
      </w:tcPr>
    </w:tblStylePr>
  </w:style>
  <w:style w:type="table" w:styleId="ColorfulGrid-Accent3">
    <w:name w:val="Colorful Grid Accent 3"/>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3F5FC" w:themeFill="accent3" w:themeFillTint="33"/>
    </w:tcPr>
    <w:tblStylePr w:type="firstRow">
      <w:rPr>
        <w:b/>
        <w:bCs/>
      </w:rPr>
      <w:tblPr/>
      <w:tcPr>
        <w:shd w:val="clear" w:color="auto" w:fill="C8ECFA" w:themeFill="accent3" w:themeFillTint="66"/>
      </w:tcPr>
    </w:tblStylePr>
    <w:tblStylePr w:type="lastRow">
      <w:rPr>
        <w:b/>
        <w:bCs/>
        <w:color w:val="000000" w:themeColor="text1"/>
      </w:rPr>
      <w:tblPr/>
      <w:tcPr>
        <w:shd w:val="clear" w:color="auto" w:fill="C8ECFA" w:themeFill="accent3" w:themeFillTint="66"/>
      </w:tcPr>
    </w:tblStylePr>
    <w:tblStylePr w:type="firstCol">
      <w:rPr>
        <w:color w:val="FFFFFF" w:themeColor="background1"/>
      </w:rPr>
      <w:tblPr/>
      <w:tcPr>
        <w:shd w:val="clear" w:color="auto" w:fill="22B3ED" w:themeFill="accent3" w:themeFillShade="BF"/>
      </w:tcPr>
    </w:tblStylePr>
    <w:tblStylePr w:type="lastCol">
      <w:rPr>
        <w:color w:val="FFFFFF" w:themeColor="background1"/>
      </w:rPr>
      <w:tblPr/>
      <w:tcPr>
        <w:shd w:val="clear" w:color="auto" w:fill="22B3ED" w:themeFill="accent3" w:themeFillShade="BF"/>
      </w:tc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ColorfulGrid-Accent4">
    <w:name w:val="Colorful Grid Accent 4"/>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AECEF" w:themeFill="accent4" w:themeFillTint="33"/>
    </w:tcPr>
    <w:tblStylePr w:type="firstRow">
      <w:rPr>
        <w:b/>
        <w:bCs/>
      </w:rPr>
      <w:tblPr/>
      <w:tcPr>
        <w:shd w:val="clear" w:color="auto" w:fill="D6DADF" w:themeFill="accent4" w:themeFillTint="66"/>
      </w:tcPr>
    </w:tblStylePr>
    <w:tblStylePr w:type="lastRow">
      <w:rPr>
        <w:b/>
        <w:bCs/>
        <w:color w:val="000000" w:themeColor="text1"/>
      </w:rPr>
      <w:tblPr/>
      <w:tcPr>
        <w:shd w:val="clear" w:color="auto" w:fill="D6DADF" w:themeFill="accent4" w:themeFillTint="66"/>
      </w:tcPr>
    </w:tblStylePr>
    <w:tblStylePr w:type="firstCol">
      <w:rPr>
        <w:color w:val="FFFFFF" w:themeColor="background1"/>
      </w:rPr>
      <w:tblPr/>
      <w:tcPr>
        <w:shd w:val="clear" w:color="auto" w:fill="6D7989" w:themeFill="accent4" w:themeFillShade="BF"/>
      </w:tcPr>
    </w:tblStylePr>
    <w:tblStylePr w:type="lastCol">
      <w:rPr>
        <w:color w:val="FFFFFF" w:themeColor="background1"/>
      </w:rPr>
      <w:tblPr/>
      <w:tcPr>
        <w:shd w:val="clear" w:color="auto" w:fill="6D7989" w:themeFill="accent4" w:themeFillShade="BF"/>
      </w:tc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ColorfulGrid-Accent5">
    <w:name w:val="Colorful Grid Accent 5"/>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F2F6E8" w:themeFill="accent5" w:themeFillTint="33"/>
    </w:tcPr>
    <w:tblStylePr w:type="firstRow">
      <w:rPr>
        <w:b/>
        <w:bCs/>
      </w:rPr>
      <w:tblPr/>
      <w:tcPr>
        <w:shd w:val="clear" w:color="auto" w:fill="E5EDD2" w:themeFill="accent5" w:themeFillTint="66"/>
      </w:tcPr>
    </w:tblStylePr>
    <w:tblStylePr w:type="lastRow">
      <w:rPr>
        <w:b/>
        <w:bCs/>
        <w:color w:val="000000" w:themeColor="text1"/>
      </w:rPr>
      <w:tblPr/>
      <w:tcPr>
        <w:shd w:val="clear" w:color="auto" w:fill="E5EDD2" w:themeFill="accent5" w:themeFillTint="66"/>
      </w:tcPr>
    </w:tblStylePr>
    <w:tblStylePr w:type="firstCol">
      <w:rPr>
        <w:color w:val="FFFFFF" w:themeColor="background1"/>
      </w:rPr>
      <w:tblPr/>
      <w:tcPr>
        <w:shd w:val="clear" w:color="auto" w:fill="9BBB4E" w:themeFill="accent5" w:themeFillShade="BF"/>
      </w:tcPr>
    </w:tblStylePr>
    <w:tblStylePr w:type="lastCol">
      <w:rPr>
        <w:color w:val="FFFFFF" w:themeColor="background1"/>
      </w:rPr>
      <w:tblPr/>
      <w:tcPr>
        <w:shd w:val="clear" w:color="auto" w:fill="9BBB4E" w:themeFill="accent5" w:themeFillShade="BF"/>
      </w:tc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ColorfulGrid-Accent6">
    <w:name w:val="Colorful Grid Accent 6"/>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2F2EA" w:themeFill="accent6" w:themeFillTint="33"/>
    </w:tcPr>
    <w:tblStylePr w:type="firstRow">
      <w:rPr>
        <w:b/>
        <w:bCs/>
      </w:rPr>
      <w:tblPr/>
      <w:tcPr>
        <w:shd w:val="clear" w:color="auto" w:fill="C5E6D5" w:themeFill="accent6" w:themeFillTint="66"/>
      </w:tcPr>
    </w:tblStylePr>
    <w:tblStylePr w:type="lastRow">
      <w:rPr>
        <w:b/>
        <w:bCs/>
        <w:color w:val="000000" w:themeColor="text1"/>
      </w:rPr>
      <w:tblPr/>
      <w:tcPr>
        <w:shd w:val="clear" w:color="auto" w:fill="C5E6D5" w:themeFill="accent6" w:themeFillTint="66"/>
      </w:tcPr>
    </w:tblStylePr>
    <w:tblStylePr w:type="firstCol">
      <w:rPr>
        <w:color w:val="FFFFFF" w:themeColor="background1"/>
      </w:rPr>
      <w:tblPr/>
      <w:tcPr>
        <w:shd w:val="clear" w:color="auto" w:fill="449F70" w:themeFill="accent6" w:themeFillShade="BF"/>
      </w:tcPr>
    </w:tblStylePr>
    <w:tblStylePr w:type="lastCol">
      <w:rPr>
        <w:color w:val="FFFFFF" w:themeColor="background1"/>
      </w:rPr>
      <w:tblPr/>
      <w:tcPr>
        <w:shd w:val="clear" w:color="auto" w:fill="449F70" w:themeFill="accent6" w:themeFillShade="BF"/>
      </w:tc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ColorfulList">
    <w:name w:val="Colorful List"/>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D8E6FA" w:themeFill="accent1"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0F2" w:themeFill="accent1" w:themeFillTint="3F"/>
      </w:tcPr>
    </w:tblStylePr>
    <w:tblStylePr w:type="band1Horz">
      <w:tblPr/>
      <w:tcPr>
        <w:shd w:val="clear" w:color="auto" w:fill="B1CCF5" w:themeFill="accent1" w:themeFillTint="33"/>
      </w:tcPr>
    </w:tblStylePr>
  </w:style>
  <w:style w:type="table" w:styleId="ColorfulList-Accent2">
    <w:name w:val="Colorful List Accent 2"/>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EDF7F7" w:themeFill="accent2"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EC" w:themeFill="accent2" w:themeFillTint="3F"/>
      </w:tcPr>
    </w:tblStylePr>
    <w:tblStylePr w:type="band1Horz">
      <w:tblPr/>
      <w:tcPr>
        <w:shd w:val="clear" w:color="auto" w:fill="DAEFF0" w:themeFill="accent2" w:themeFillTint="33"/>
      </w:tcPr>
    </w:tblStylePr>
  </w:style>
  <w:style w:type="table" w:styleId="ColorfulList-Accent3">
    <w:name w:val="Colorful List Accent 3"/>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1FAFE" w:themeFill="accent3" w:themeFillTint="19"/>
    </w:tcPr>
    <w:tblStylePr w:type="firstRow">
      <w:rPr>
        <w:b/>
        <w:bCs/>
        <w:color w:val="FFFFFF" w:themeColor="background1"/>
      </w:rPr>
      <w:tblPr/>
      <w:tcPr>
        <w:tcBorders>
          <w:bottom w:val="single" w:sz="12" w:space="0" w:color="FFFFFF" w:themeColor="background1"/>
        </w:tcBorders>
        <w:shd w:val="clear" w:color="auto" w:fill="758191" w:themeFill="accent4" w:themeFillShade="CC"/>
      </w:tcPr>
    </w:tblStylePr>
    <w:tblStylePr w:type="lastRow">
      <w:rPr>
        <w:b/>
        <w:bCs/>
        <w:color w:val="7581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3FC" w:themeFill="accent3" w:themeFillTint="3F"/>
      </w:tcPr>
    </w:tblStylePr>
    <w:tblStylePr w:type="band1Horz">
      <w:tblPr/>
      <w:tcPr>
        <w:shd w:val="clear" w:color="auto" w:fill="E3F5FC" w:themeFill="accent3" w:themeFillTint="33"/>
      </w:tcPr>
    </w:tblStylePr>
  </w:style>
  <w:style w:type="table" w:styleId="ColorfulList-Accent4">
    <w:name w:val="Colorful List Accent 4"/>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33B9EE" w:themeFill="accent3" w:themeFillShade="CC"/>
      </w:tcPr>
    </w:tblStylePr>
    <w:tblStylePr w:type="lastRow">
      <w:rPr>
        <w:b/>
        <w:bCs/>
        <w:color w:val="33B9E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F" w:themeFill="accent4" w:themeFillTint="33"/>
      </w:tcPr>
    </w:tblStylePr>
  </w:style>
  <w:style w:type="table" w:styleId="ColorfulList-Accent5">
    <w:name w:val="Colorful List Accent 5"/>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8FAF3" w:themeFill="accent5" w:themeFillTint="19"/>
    </w:tcPr>
    <w:tblStylePr w:type="firstRow">
      <w:rPr>
        <w:b/>
        <w:bCs/>
        <w:color w:val="FFFFFF" w:themeColor="background1"/>
      </w:rPr>
      <w:tblPr/>
      <w:tcPr>
        <w:tcBorders>
          <w:bottom w:val="single" w:sz="12" w:space="0" w:color="FFFFFF" w:themeColor="background1"/>
        </w:tcBorders>
        <w:shd w:val="clear" w:color="auto" w:fill="49A978" w:themeFill="accent6" w:themeFillShade="CC"/>
      </w:tcPr>
    </w:tblStylePr>
    <w:tblStylePr w:type="lastRow">
      <w:rPr>
        <w:b/>
        <w:bCs/>
        <w:color w:val="49A9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4E3" w:themeFill="accent5" w:themeFillTint="3F"/>
      </w:tcPr>
    </w:tblStylePr>
    <w:tblStylePr w:type="band1Horz">
      <w:tblPr/>
      <w:tcPr>
        <w:shd w:val="clear" w:color="auto" w:fill="F2F6E8" w:themeFill="accent5" w:themeFillTint="33"/>
      </w:tcPr>
    </w:tblStylePr>
  </w:style>
  <w:style w:type="table" w:styleId="ColorfulList-Accent6">
    <w:name w:val="Colorful List Accent 6"/>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0F9F4" w:themeFill="accent6" w:themeFillTint="19"/>
    </w:tcPr>
    <w:tblStylePr w:type="firstRow">
      <w:rPr>
        <w:b/>
        <w:bCs/>
        <w:color w:val="FFFFFF" w:themeColor="background1"/>
      </w:rPr>
      <w:tblPr/>
      <w:tcPr>
        <w:tcBorders>
          <w:bottom w:val="single" w:sz="12" w:space="0" w:color="FFFFFF" w:themeColor="background1"/>
        </w:tcBorders>
        <w:shd w:val="clear" w:color="auto" w:fill="A3C05B" w:themeFill="accent5" w:themeFillShade="CC"/>
      </w:tcPr>
    </w:tblStylePr>
    <w:tblStylePr w:type="lastRow">
      <w:rPr>
        <w:b/>
        <w:bCs/>
        <w:color w:val="A3C0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FE5" w:themeFill="accent6" w:themeFillTint="3F"/>
      </w:tcPr>
    </w:tblStylePr>
    <w:tblStylePr w:type="band1Horz">
      <w:tblPr/>
      <w:tcPr>
        <w:shd w:val="clear" w:color="auto" w:fill="E2F2EA" w:themeFill="accent6" w:themeFillTint="33"/>
      </w:tcPr>
    </w:tblStylePr>
  </w:style>
  <w:style w:type="table" w:styleId="ColorfulShading">
    <w:name w:val="Colorful Shading"/>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081E3E" w:themeColor="accent1"/>
        <w:bottom w:val="single" w:sz="4" w:space="0" w:color="081E3E" w:themeColor="accent1"/>
        <w:right w:val="single" w:sz="4" w:space="0" w:color="081E3E" w:themeColor="accent1"/>
        <w:insideH w:val="single" w:sz="4" w:space="0" w:color="FFFFFF" w:themeColor="background1"/>
        <w:insideV w:val="single" w:sz="4" w:space="0" w:color="FFFFFF" w:themeColor="background1"/>
      </w:tblBorders>
    </w:tblPr>
    <w:tcPr>
      <w:shd w:val="clear" w:color="auto" w:fill="D8E6FA" w:themeFill="accent1"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1125" w:themeFill="accent1" w:themeFillShade="99"/>
      </w:tcPr>
    </w:tblStylePr>
    <w:tblStylePr w:type="firstCol">
      <w:rPr>
        <w:color w:val="FFFFFF" w:themeColor="background1"/>
      </w:rPr>
      <w:tblPr/>
      <w:tcPr>
        <w:tcBorders>
          <w:top w:val="nil"/>
          <w:left w:val="nil"/>
          <w:bottom w:val="nil"/>
          <w:right w:val="nil"/>
          <w:insideH w:val="single" w:sz="4" w:space="0" w:color="041125" w:themeColor="accent1" w:themeShade="99"/>
          <w:insideV w:val="nil"/>
        </w:tcBorders>
        <w:shd w:val="clear" w:color="auto" w:fill="0411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41125" w:themeFill="accent1" w:themeFillShade="99"/>
      </w:tcPr>
    </w:tblStylePr>
    <w:tblStylePr w:type="band1Vert">
      <w:tblPr/>
      <w:tcPr>
        <w:shd w:val="clear" w:color="auto" w:fill="6399EB" w:themeFill="accent1" w:themeFillTint="66"/>
      </w:tcPr>
    </w:tblStylePr>
    <w:tblStylePr w:type="band1Horz">
      <w:tblPr/>
      <w:tcPr>
        <w:shd w:val="clear" w:color="auto" w:fill="3C81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4BB3B5" w:themeColor="accent2"/>
        <w:bottom w:val="single" w:sz="4" w:space="0" w:color="4BB3B5" w:themeColor="accent2"/>
        <w:right w:val="single" w:sz="4" w:space="0" w:color="4BB3B5" w:themeColor="accent2"/>
        <w:insideH w:val="single" w:sz="4" w:space="0" w:color="FFFFFF" w:themeColor="background1"/>
        <w:insideV w:val="single" w:sz="4" w:space="0" w:color="FFFFFF" w:themeColor="background1"/>
      </w:tblBorders>
    </w:tblPr>
    <w:tcPr>
      <w:shd w:val="clear" w:color="auto" w:fill="EDF7F7" w:themeFill="accent2"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6B6C" w:themeFill="accent2" w:themeFillShade="99"/>
      </w:tcPr>
    </w:tblStylePr>
    <w:tblStylePr w:type="firstCol">
      <w:rPr>
        <w:color w:val="FFFFFF" w:themeColor="background1"/>
      </w:rPr>
      <w:tblPr/>
      <w:tcPr>
        <w:tcBorders>
          <w:top w:val="nil"/>
          <w:left w:val="nil"/>
          <w:bottom w:val="nil"/>
          <w:right w:val="nil"/>
          <w:insideH w:val="single" w:sz="4" w:space="0" w:color="2C6B6C" w:themeColor="accent2" w:themeShade="99"/>
          <w:insideV w:val="nil"/>
        </w:tcBorders>
        <w:shd w:val="clear" w:color="auto" w:fill="2C6B6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C6B6C" w:themeFill="accent2" w:themeFillShade="99"/>
      </w:tcPr>
    </w:tblStylePr>
    <w:tblStylePr w:type="band1Vert">
      <w:tblPr/>
      <w:tcPr>
        <w:shd w:val="clear" w:color="auto" w:fill="B6E0E1" w:themeFill="accent2" w:themeFillTint="66"/>
      </w:tcPr>
    </w:tblStylePr>
    <w:tblStylePr w:type="band1Horz">
      <w:tblPr/>
      <w:tcPr>
        <w:shd w:val="clear" w:color="auto" w:fill="A5D9D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9AA3AF" w:themeColor="accent4"/>
        <w:left w:val="single" w:sz="4" w:space="0" w:color="77D1F4" w:themeColor="accent3"/>
        <w:bottom w:val="single" w:sz="4" w:space="0" w:color="77D1F4" w:themeColor="accent3"/>
        <w:right w:val="single" w:sz="4" w:space="0" w:color="77D1F4" w:themeColor="accent3"/>
        <w:insideH w:val="single" w:sz="4" w:space="0" w:color="FFFFFF" w:themeColor="background1"/>
        <w:insideV w:val="single" w:sz="4" w:space="0" w:color="FFFFFF" w:themeColor="background1"/>
      </w:tblBorders>
    </w:tblPr>
    <w:tcPr>
      <w:shd w:val="clear" w:color="auto" w:fill="F1FAFE" w:themeFill="accent3" w:themeFillTint="19"/>
    </w:tcPr>
    <w:tblStylePr w:type="firstRow">
      <w:rPr>
        <w:b/>
        <w:bCs/>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95C9" w:themeFill="accent3" w:themeFillShade="99"/>
      </w:tcPr>
    </w:tblStylePr>
    <w:tblStylePr w:type="firstCol">
      <w:rPr>
        <w:color w:val="FFFFFF" w:themeColor="background1"/>
      </w:rPr>
      <w:tblPr/>
      <w:tcPr>
        <w:tcBorders>
          <w:top w:val="nil"/>
          <w:left w:val="nil"/>
          <w:bottom w:val="nil"/>
          <w:right w:val="nil"/>
          <w:insideH w:val="single" w:sz="4" w:space="0" w:color="1095C9" w:themeColor="accent3" w:themeShade="99"/>
          <w:insideV w:val="nil"/>
        </w:tcBorders>
        <w:shd w:val="clear" w:color="auto" w:fill="1095C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95C9" w:themeFill="accent3" w:themeFillShade="99"/>
      </w:tcPr>
    </w:tblStylePr>
    <w:tblStylePr w:type="band1Vert">
      <w:tblPr/>
      <w:tcPr>
        <w:shd w:val="clear" w:color="auto" w:fill="C8ECFA" w:themeFill="accent3" w:themeFillTint="66"/>
      </w:tcPr>
    </w:tblStylePr>
    <w:tblStylePr w:type="band1Horz">
      <w:tblPr/>
      <w:tcPr>
        <w:shd w:val="clear" w:color="auto" w:fill="BBE7F9" w:themeFill="accent3" w:themeFillTint="7F"/>
      </w:tcPr>
    </w:tblStylePr>
  </w:style>
  <w:style w:type="table" w:styleId="ColorfulShading-Accent4">
    <w:name w:val="Colorful Shading Accent 4"/>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77D1F4" w:themeColor="accent3"/>
        <w:left w:val="single" w:sz="4" w:space="0" w:color="9AA3AF" w:themeColor="accent4"/>
        <w:bottom w:val="single" w:sz="4" w:space="0" w:color="9AA3AF" w:themeColor="accent4"/>
        <w:right w:val="single" w:sz="4" w:space="0" w:color="9AA3AF"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16E" w:themeFill="accent4" w:themeFillShade="99"/>
      </w:tcPr>
    </w:tblStylePr>
    <w:tblStylePr w:type="firstCol">
      <w:rPr>
        <w:color w:val="FFFFFF" w:themeColor="background1"/>
      </w:rPr>
      <w:tblPr/>
      <w:tcPr>
        <w:tcBorders>
          <w:top w:val="nil"/>
          <w:left w:val="nil"/>
          <w:bottom w:val="nil"/>
          <w:right w:val="nil"/>
          <w:insideH w:val="single" w:sz="4" w:space="0" w:color="57616E" w:themeColor="accent4" w:themeShade="99"/>
          <w:insideV w:val="nil"/>
        </w:tcBorders>
        <w:shd w:val="clear" w:color="auto" w:fill="57616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616E" w:themeFill="accent4" w:themeFillShade="99"/>
      </w:tcPr>
    </w:tblStylePr>
    <w:tblStylePr w:type="band1Vert">
      <w:tblPr/>
      <w:tcPr>
        <w:shd w:val="clear" w:color="auto" w:fill="D6DADF" w:themeFill="accent4" w:themeFillTint="66"/>
      </w:tcPr>
    </w:tblStylePr>
    <w:tblStylePr w:type="band1Horz">
      <w:tblPr/>
      <w:tcPr>
        <w:shd w:val="clear" w:color="auto" w:fill="CCD1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6FC197" w:themeColor="accent6"/>
        <w:left w:val="single" w:sz="4" w:space="0" w:color="C0D48F" w:themeColor="accent5"/>
        <w:bottom w:val="single" w:sz="4" w:space="0" w:color="C0D48F" w:themeColor="accent5"/>
        <w:right w:val="single" w:sz="4" w:space="0" w:color="C0D48F" w:themeColor="accent5"/>
        <w:insideH w:val="single" w:sz="4" w:space="0" w:color="FFFFFF" w:themeColor="background1"/>
        <w:insideV w:val="single" w:sz="4" w:space="0" w:color="FFFFFF" w:themeColor="background1"/>
      </w:tblBorders>
    </w:tblPr>
    <w:tcPr>
      <w:shd w:val="clear" w:color="auto" w:fill="F8FAF3" w:themeFill="accent5" w:themeFillTint="19"/>
    </w:tcPr>
    <w:tblStylePr w:type="firstRow">
      <w:rPr>
        <w:b/>
        <w:bCs/>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993B" w:themeFill="accent5" w:themeFillShade="99"/>
      </w:tcPr>
    </w:tblStylePr>
    <w:tblStylePr w:type="firstCol">
      <w:rPr>
        <w:color w:val="FFFFFF" w:themeColor="background1"/>
      </w:rPr>
      <w:tblPr/>
      <w:tcPr>
        <w:tcBorders>
          <w:top w:val="nil"/>
          <w:left w:val="nil"/>
          <w:bottom w:val="nil"/>
          <w:right w:val="nil"/>
          <w:insideH w:val="single" w:sz="4" w:space="0" w:color="7E993B" w:themeColor="accent5" w:themeShade="99"/>
          <w:insideV w:val="nil"/>
        </w:tcBorders>
        <w:shd w:val="clear" w:color="auto" w:fill="7E99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E993B" w:themeFill="accent5" w:themeFillShade="99"/>
      </w:tcPr>
    </w:tblStylePr>
    <w:tblStylePr w:type="band1Vert">
      <w:tblPr/>
      <w:tcPr>
        <w:shd w:val="clear" w:color="auto" w:fill="E5EDD2" w:themeFill="accent5" w:themeFillTint="66"/>
      </w:tcPr>
    </w:tblStylePr>
    <w:tblStylePr w:type="band1Horz">
      <w:tblPr/>
      <w:tcPr>
        <w:shd w:val="clear" w:color="auto" w:fill="DFE9C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C0D48F" w:themeColor="accent5"/>
        <w:left w:val="single" w:sz="4" w:space="0" w:color="6FC197" w:themeColor="accent6"/>
        <w:bottom w:val="single" w:sz="4" w:space="0" w:color="6FC197" w:themeColor="accent6"/>
        <w:right w:val="single" w:sz="4" w:space="0" w:color="6FC197" w:themeColor="accent6"/>
        <w:insideH w:val="single" w:sz="4" w:space="0" w:color="FFFFFF" w:themeColor="background1"/>
        <w:insideV w:val="single" w:sz="4" w:space="0" w:color="FFFFFF" w:themeColor="background1"/>
      </w:tblBorders>
    </w:tblPr>
    <w:tcPr>
      <w:shd w:val="clear" w:color="auto" w:fill="F0F9F4" w:themeFill="accent6" w:themeFillTint="19"/>
    </w:tcPr>
    <w:tblStylePr w:type="firstRow">
      <w:rPr>
        <w:b/>
        <w:bCs/>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7F5A" w:themeFill="accent6" w:themeFillShade="99"/>
      </w:tcPr>
    </w:tblStylePr>
    <w:tblStylePr w:type="firstCol">
      <w:rPr>
        <w:color w:val="FFFFFF" w:themeColor="background1"/>
      </w:rPr>
      <w:tblPr/>
      <w:tcPr>
        <w:tcBorders>
          <w:top w:val="nil"/>
          <w:left w:val="nil"/>
          <w:bottom w:val="nil"/>
          <w:right w:val="nil"/>
          <w:insideH w:val="single" w:sz="4" w:space="0" w:color="377F5A" w:themeColor="accent6" w:themeShade="99"/>
          <w:insideV w:val="nil"/>
        </w:tcBorders>
        <w:shd w:val="clear" w:color="auto" w:fill="377F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7F5A" w:themeFill="accent6" w:themeFillShade="99"/>
      </w:tcPr>
    </w:tblStylePr>
    <w:tblStylePr w:type="band1Vert">
      <w:tblPr/>
      <w:tcPr>
        <w:shd w:val="clear" w:color="auto" w:fill="C5E6D5" w:themeFill="accent6" w:themeFillTint="66"/>
      </w:tcPr>
    </w:tblStylePr>
    <w:tblStylePr w:type="band1Horz">
      <w:tblPr/>
      <w:tcPr>
        <w:shd w:val="clear" w:color="auto" w:fill="B7E0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081E3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0E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616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6162E" w:themeFill="accent1" w:themeFillShade="BF"/>
      </w:tcPr>
    </w:tblStylePr>
    <w:tblStylePr w:type="band1Vert">
      <w:tblPr/>
      <w:tcPr>
        <w:tcBorders>
          <w:top w:val="nil"/>
          <w:left w:val="nil"/>
          <w:bottom w:val="nil"/>
          <w:right w:val="nil"/>
          <w:insideH w:val="nil"/>
          <w:insideV w:val="nil"/>
        </w:tcBorders>
        <w:shd w:val="clear" w:color="auto" w:fill="06162E" w:themeFill="accent1" w:themeFillShade="BF"/>
      </w:tcPr>
    </w:tblStylePr>
    <w:tblStylePr w:type="band1Horz">
      <w:tblPr/>
      <w:tcPr>
        <w:tcBorders>
          <w:top w:val="nil"/>
          <w:left w:val="nil"/>
          <w:bottom w:val="nil"/>
          <w:right w:val="nil"/>
          <w:insideH w:val="nil"/>
          <w:insideV w:val="nil"/>
        </w:tcBorders>
        <w:shd w:val="clear" w:color="auto" w:fill="06162E" w:themeFill="accent1" w:themeFillShade="BF"/>
      </w:tcPr>
    </w:tblStylePr>
  </w:style>
  <w:style w:type="table" w:styleId="DarkList-Accent2">
    <w:name w:val="Dark List Accent 2"/>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4BB3B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59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8868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88687" w:themeFill="accent2" w:themeFillShade="BF"/>
      </w:tcPr>
    </w:tblStylePr>
    <w:tblStylePr w:type="band1Vert">
      <w:tblPr/>
      <w:tcPr>
        <w:tcBorders>
          <w:top w:val="nil"/>
          <w:left w:val="nil"/>
          <w:bottom w:val="nil"/>
          <w:right w:val="nil"/>
          <w:insideH w:val="nil"/>
          <w:insideV w:val="nil"/>
        </w:tcBorders>
        <w:shd w:val="clear" w:color="auto" w:fill="388687" w:themeFill="accent2" w:themeFillShade="BF"/>
      </w:tcPr>
    </w:tblStylePr>
    <w:tblStylePr w:type="band1Horz">
      <w:tblPr/>
      <w:tcPr>
        <w:tcBorders>
          <w:top w:val="nil"/>
          <w:left w:val="nil"/>
          <w:bottom w:val="nil"/>
          <w:right w:val="nil"/>
          <w:insideH w:val="nil"/>
          <w:insideV w:val="nil"/>
        </w:tcBorders>
        <w:shd w:val="clear" w:color="auto" w:fill="388687" w:themeFill="accent2" w:themeFillShade="BF"/>
      </w:tcPr>
    </w:tblStylePr>
  </w:style>
  <w:style w:type="table" w:styleId="DarkList-Accent3">
    <w:name w:val="Dark List Accent 3"/>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77D1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7BA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B3E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B3ED" w:themeFill="accent3" w:themeFillShade="BF"/>
      </w:tcPr>
    </w:tblStylePr>
    <w:tblStylePr w:type="band1Vert">
      <w:tblPr/>
      <w:tcPr>
        <w:tcBorders>
          <w:top w:val="nil"/>
          <w:left w:val="nil"/>
          <w:bottom w:val="nil"/>
          <w:right w:val="nil"/>
          <w:insideH w:val="nil"/>
          <w:insideV w:val="nil"/>
        </w:tcBorders>
        <w:shd w:val="clear" w:color="auto" w:fill="22B3ED" w:themeFill="accent3" w:themeFillShade="BF"/>
      </w:tcPr>
    </w:tblStylePr>
    <w:tblStylePr w:type="band1Horz">
      <w:tblPr/>
      <w:tcPr>
        <w:tcBorders>
          <w:top w:val="nil"/>
          <w:left w:val="nil"/>
          <w:bottom w:val="nil"/>
          <w:right w:val="nil"/>
          <w:insideH w:val="nil"/>
          <w:insideV w:val="nil"/>
        </w:tcBorders>
        <w:shd w:val="clear" w:color="auto" w:fill="22B3ED" w:themeFill="accent3" w:themeFillShade="BF"/>
      </w:tcPr>
    </w:tblStylePr>
  </w:style>
  <w:style w:type="table" w:styleId="DarkList-Accent4">
    <w:name w:val="Dark List Accent 4"/>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9AA3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05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798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7989" w:themeFill="accent4" w:themeFillShade="BF"/>
      </w:tcPr>
    </w:tblStylePr>
    <w:tblStylePr w:type="band1Vert">
      <w:tblPr/>
      <w:tcPr>
        <w:tcBorders>
          <w:top w:val="nil"/>
          <w:left w:val="nil"/>
          <w:bottom w:val="nil"/>
          <w:right w:val="nil"/>
          <w:insideH w:val="nil"/>
          <w:insideV w:val="nil"/>
        </w:tcBorders>
        <w:shd w:val="clear" w:color="auto" w:fill="6D7989" w:themeFill="accent4" w:themeFillShade="BF"/>
      </w:tcPr>
    </w:tblStylePr>
    <w:tblStylePr w:type="band1Horz">
      <w:tblPr/>
      <w:tcPr>
        <w:tcBorders>
          <w:top w:val="nil"/>
          <w:left w:val="nil"/>
          <w:bottom w:val="nil"/>
          <w:right w:val="nil"/>
          <w:insideH w:val="nil"/>
          <w:insideV w:val="nil"/>
        </w:tcBorders>
        <w:shd w:val="clear" w:color="auto" w:fill="6D7989" w:themeFill="accent4" w:themeFillShade="BF"/>
      </w:tcPr>
    </w:tblStylePr>
  </w:style>
  <w:style w:type="table" w:styleId="DarkList-Accent5">
    <w:name w:val="Dark List Accent 5"/>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C0D48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F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BBB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BBB4E" w:themeFill="accent5" w:themeFillShade="BF"/>
      </w:tcPr>
    </w:tblStylePr>
    <w:tblStylePr w:type="band1Vert">
      <w:tblPr/>
      <w:tcPr>
        <w:tcBorders>
          <w:top w:val="nil"/>
          <w:left w:val="nil"/>
          <w:bottom w:val="nil"/>
          <w:right w:val="nil"/>
          <w:insideH w:val="nil"/>
          <w:insideV w:val="nil"/>
        </w:tcBorders>
        <w:shd w:val="clear" w:color="auto" w:fill="9BBB4E" w:themeFill="accent5" w:themeFillShade="BF"/>
      </w:tcPr>
    </w:tblStylePr>
    <w:tblStylePr w:type="band1Horz">
      <w:tblPr/>
      <w:tcPr>
        <w:tcBorders>
          <w:top w:val="nil"/>
          <w:left w:val="nil"/>
          <w:bottom w:val="nil"/>
          <w:right w:val="nil"/>
          <w:insideH w:val="nil"/>
          <w:insideV w:val="nil"/>
        </w:tcBorders>
        <w:shd w:val="clear" w:color="auto" w:fill="9BBB4E" w:themeFill="accent5" w:themeFillShade="BF"/>
      </w:tcPr>
    </w:tblStylePr>
  </w:style>
  <w:style w:type="table" w:styleId="DarkList-Accent6">
    <w:name w:val="Dark List Accent 6"/>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6FC1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694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9F7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9F70" w:themeFill="accent6" w:themeFillShade="BF"/>
      </w:tcPr>
    </w:tblStylePr>
    <w:tblStylePr w:type="band1Vert">
      <w:tblPr/>
      <w:tcPr>
        <w:tcBorders>
          <w:top w:val="nil"/>
          <w:left w:val="nil"/>
          <w:bottom w:val="nil"/>
          <w:right w:val="nil"/>
          <w:insideH w:val="nil"/>
          <w:insideV w:val="nil"/>
        </w:tcBorders>
        <w:shd w:val="clear" w:color="auto" w:fill="449F70" w:themeFill="accent6" w:themeFillShade="BF"/>
      </w:tcPr>
    </w:tblStylePr>
    <w:tblStylePr w:type="band1Horz">
      <w:tblPr/>
      <w:tcPr>
        <w:tcBorders>
          <w:top w:val="nil"/>
          <w:left w:val="nil"/>
          <w:bottom w:val="nil"/>
          <w:right w:val="nil"/>
          <w:insideH w:val="nil"/>
          <w:insideV w:val="nil"/>
        </w:tcBorders>
        <w:shd w:val="clear" w:color="auto" w:fill="449F70" w:themeFill="accent6" w:themeFillShade="BF"/>
      </w:tcPr>
    </w:tblStylePr>
  </w:style>
  <w:style w:type="table" w:customStyle="1" w:styleId="GridTable1Light1">
    <w:name w:val="Grid Table 1 Light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399EB" w:themeColor="accent1" w:themeTint="66"/>
        <w:left w:val="single" w:sz="4" w:space="0" w:color="6399EB" w:themeColor="accent1" w:themeTint="66"/>
        <w:bottom w:val="single" w:sz="4" w:space="0" w:color="6399EB" w:themeColor="accent1" w:themeTint="66"/>
        <w:right w:val="single" w:sz="4" w:space="0" w:color="6399EB" w:themeColor="accent1" w:themeTint="66"/>
        <w:insideH w:val="single" w:sz="4" w:space="0" w:color="6399EB" w:themeColor="accent1" w:themeTint="66"/>
        <w:insideV w:val="single" w:sz="4" w:space="0" w:color="6399EB" w:themeColor="accent1" w:themeTint="66"/>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2" w:space="0" w:color="1C68D9"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B6E0E1" w:themeColor="accent2" w:themeTint="66"/>
        <w:left w:val="single" w:sz="4" w:space="0" w:color="B6E0E1" w:themeColor="accent2" w:themeTint="66"/>
        <w:bottom w:val="single" w:sz="4" w:space="0" w:color="B6E0E1" w:themeColor="accent2" w:themeTint="66"/>
        <w:right w:val="single" w:sz="4" w:space="0" w:color="B6E0E1" w:themeColor="accent2" w:themeTint="66"/>
        <w:insideH w:val="single" w:sz="4" w:space="0" w:color="B6E0E1" w:themeColor="accent2" w:themeTint="66"/>
        <w:insideV w:val="single" w:sz="4" w:space="0" w:color="B6E0E1" w:themeColor="accent2" w:themeTint="66"/>
      </w:tblBorders>
    </w:tblPr>
    <w:tblStylePr w:type="firstRow">
      <w:rPr>
        <w:b/>
        <w:bCs/>
      </w:rPr>
      <w:tblPr/>
      <w:tcPr>
        <w:tcBorders>
          <w:bottom w:val="single" w:sz="12" w:space="0" w:color="92D1D2" w:themeColor="accent2" w:themeTint="99"/>
        </w:tcBorders>
      </w:tcPr>
    </w:tblStylePr>
    <w:tblStylePr w:type="lastRow">
      <w:rPr>
        <w:b/>
        <w:bCs/>
      </w:rPr>
      <w:tblPr/>
      <w:tcPr>
        <w:tcBorders>
          <w:top w:val="double" w:sz="2" w:space="0" w:color="92D1D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8ECFA" w:themeColor="accent3" w:themeTint="66"/>
        <w:left w:val="single" w:sz="4" w:space="0" w:color="C8ECFA" w:themeColor="accent3" w:themeTint="66"/>
        <w:bottom w:val="single" w:sz="4" w:space="0" w:color="C8ECFA" w:themeColor="accent3" w:themeTint="66"/>
        <w:right w:val="single" w:sz="4" w:space="0" w:color="C8ECFA" w:themeColor="accent3" w:themeTint="66"/>
        <w:insideH w:val="single" w:sz="4" w:space="0" w:color="C8ECFA" w:themeColor="accent3" w:themeTint="66"/>
        <w:insideV w:val="single" w:sz="4" w:space="0" w:color="C8ECFA" w:themeColor="accent3" w:themeTint="66"/>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2" w:space="0" w:color="ADE3F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E5EDD2" w:themeColor="accent5" w:themeTint="66"/>
        <w:left w:val="single" w:sz="4" w:space="0" w:color="E5EDD2" w:themeColor="accent5" w:themeTint="66"/>
        <w:bottom w:val="single" w:sz="4" w:space="0" w:color="E5EDD2" w:themeColor="accent5" w:themeTint="66"/>
        <w:right w:val="single" w:sz="4" w:space="0" w:color="E5EDD2" w:themeColor="accent5" w:themeTint="66"/>
        <w:insideH w:val="single" w:sz="4" w:space="0" w:color="E5EDD2" w:themeColor="accent5" w:themeTint="66"/>
        <w:insideV w:val="single" w:sz="4" w:space="0" w:color="E5EDD2" w:themeColor="accent5" w:themeTint="66"/>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2" w:space="0" w:color="D9E5B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5E6D5" w:themeColor="accent6" w:themeTint="66"/>
        <w:left w:val="single" w:sz="4" w:space="0" w:color="C5E6D5" w:themeColor="accent6" w:themeTint="66"/>
        <w:bottom w:val="single" w:sz="4" w:space="0" w:color="C5E6D5" w:themeColor="accent6" w:themeTint="66"/>
        <w:right w:val="single" w:sz="4" w:space="0" w:color="C5E6D5" w:themeColor="accent6" w:themeTint="66"/>
        <w:insideH w:val="single" w:sz="4" w:space="0" w:color="C5E6D5" w:themeColor="accent6" w:themeTint="66"/>
        <w:insideV w:val="single" w:sz="4" w:space="0" w:color="C5E6D5" w:themeColor="accent6" w:themeTint="66"/>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2" w:space="0" w:color="A8D9C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21">
    <w:name w:val="Grid Table 2 - Accent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92D1D2" w:themeColor="accent2" w:themeTint="99"/>
        <w:bottom w:val="single" w:sz="2" w:space="0" w:color="92D1D2" w:themeColor="accent2" w:themeTint="99"/>
        <w:insideH w:val="single" w:sz="2" w:space="0" w:color="92D1D2" w:themeColor="accent2" w:themeTint="99"/>
        <w:insideV w:val="single" w:sz="2" w:space="0" w:color="92D1D2" w:themeColor="accent2" w:themeTint="99"/>
      </w:tblBorders>
    </w:tblPr>
    <w:tblStylePr w:type="firstRow">
      <w:rPr>
        <w:b/>
        <w:bCs/>
      </w:rPr>
      <w:tblPr/>
      <w:tcPr>
        <w:tcBorders>
          <w:top w:val="nil"/>
          <w:bottom w:val="single" w:sz="12" w:space="0" w:color="92D1D2" w:themeColor="accent2" w:themeTint="99"/>
          <w:insideH w:val="nil"/>
          <w:insideV w:val="nil"/>
        </w:tcBorders>
        <w:shd w:val="clear" w:color="auto" w:fill="FFFFFF" w:themeFill="background1"/>
      </w:tcPr>
    </w:tblStylePr>
    <w:tblStylePr w:type="lastRow">
      <w:rPr>
        <w:b/>
        <w:bCs/>
      </w:rPr>
      <w:tblPr/>
      <w:tcPr>
        <w:tcBorders>
          <w:top w:val="double" w:sz="2" w:space="0" w:color="92D1D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2-Accent31">
    <w:name w:val="Grid Table 2 - Accent 3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ADE3F8" w:themeColor="accent3" w:themeTint="99"/>
        <w:bottom w:val="single" w:sz="2" w:space="0" w:color="ADE3F8" w:themeColor="accent3" w:themeTint="99"/>
        <w:insideH w:val="single" w:sz="2" w:space="0" w:color="ADE3F8" w:themeColor="accent3" w:themeTint="99"/>
        <w:insideV w:val="single" w:sz="2" w:space="0" w:color="ADE3F8" w:themeColor="accent3" w:themeTint="99"/>
      </w:tblBorders>
    </w:tblPr>
    <w:tblStylePr w:type="firstRow">
      <w:rPr>
        <w:b/>
        <w:bCs/>
      </w:rPr>
      <w:tblPr/>
      <w:tcPr>
        <w:tcBorders>
          <w:top w:val="nil"/>
          <w:bottom w:val="single" w:sz="12" w:space="0" w:color="ADE3F8" w:themeColor="accent3" w:themeTint="99"/>
          <w:insideH w:val="nil"/>
          <w:insideV w:val="nil"/>
        </w:tcBorders>
        <w:shd w:val="clear" w:color="auto" w:fill="FFFFFF" w:themeFill="background1"/>
      </w:tcPr>
    </w:tblStylePr>
    <w:tblStylePr w:type="lastRow">
      <w:rPr>
        <w:b/>
        <w:bCs/>
      </w:rPr>
      <w:tblPr/>
      <w:tcPr>
        <w:tcBorders>
          <w:top w:val="double" w:sz="2" w:space="0" w:color="ADE3F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2-Accent41">
    <w:name w:val="Grid Table 2 - Accent 4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C2C7CF" w:themeColor="accent4" w:themeTint="99"/>
        <w:bottom w:val="single" w:sz="2" w:space="0" w:color="C2C7CF" w:themeColor="accent4" w:themeTint="99"/>
        <w:insideH w:val="single" w:sz="2" w:space="0" w:color="C2C7CF" w:themeColor="accent4" w:themeTint="99"/>
        <w:insideV w:val="single" w:sz="2" w:space="0" w:color="C2C7CF" w:themeColor="accent4" w:themeTint="99"/>
      </w:tblBorders>
    </w:tblPr>
    <w:tblStylePr w:type="firstRow">
      <w:rPr>
        <w:b/>
        <w:bCs/>
      </w:rPr>
      <w:tblPr/>
      <w:tcPr>
        <w:tcBorders>
          <w:top w:val="nil"/>
          <w:bottom w:val="single" w:sz="12" w:space="0" w:color="C2C7CF" w:themeColor="accent4" w:themeTint="99"/>
          <w:insideH w:val="nil"/>
          <w:insideV w:val="nil"/>
        </w:tcBorders>
        <w:shd w:val="clear" w:color="auto" w:fill="FFFFFF" w:themeFill="background1"/>
      </w:tcPr>
    </w:tblStylePr>
    <w:tblStylePr w:type="lastRow">
      <w:rPr>
        <w:b/>
        <w:bCs/>
      </w:rPr>
      <w:tblPr/>
      <w:tcPr>
        <w:tcBorders>
          <w:top w:val="double" w:sz="2" w:space="0" w:color="C2C7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2-Accent51">
    <w:name w:val="Grid Table 2 - Accent 5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D9E5BB" w:themeColor="accent5" w:themeTint="99"/>
        <w:bottom w:val="single" w:sz="2" w:space="0" w:color="D9E5BB" w:themeColor="accent5" w:themeTint="99"/>
        <w:insideH w:val="single" w:sz="2" w:space="0" w:color="D9E5BB" w:themeColor="accent5" w:themeTint="99"/>
        <w:insideV w:val="single" w:sz="2" w:space="0" w:color="D9E5BB" w:themeColor="accent5" w:themeTint="99"/>
      </w:tblBorders>
    </w:tblPr>
    <w:tblStylePr w:type="firstRow">
      <w:rPr>
        <w:b/>
        <w:bCs/>
      </w:rPr>
      <w:tblPr/>
      <w:tcPr>
        <w:tcBorders>
          <w:top w:val="nil"/>
          <w:bottom w:val="single" w:sz="12" w:space="0" w:color="D9E5BB" w:themeColor="accent5" w:themeTint="99"/>
          <w:insideH w:val="nil"/>
          <w:insideV w:val="nil"/>
        </w:tcBorders>
        <w:shd w:val="clear" w:color="auto" w:fill="FFFFFF" w:themeFill="background1"/>
      </w:tcPr>
    </w:tblStylePr>
    <w:tblStylePr w:type="lastRow">
      <w:rPr>
        <w:b/>
        <w:bCs/>
      </w:rPr>
      <w:tblPr/>
      <w:tcPr>
        <w:tcBorders>
          <w:top w:val="double" w:sz="2" w:space="0" w:color="D9E5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2-Accent61">
    <w:name w:val="Grid Table 2 - Accent 6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A8D9C0" w:themeColor="accent6" w:themeTint="99"/>
        <w:bottom w:val="single" w:sz="2" w:space="0" w:color="A8D9C0" w:themeColor="accent6" w:themeTint="99"/>
        <w:insideH w:val="single" w:sz="2" w:space="0" w:color="A8D9C0" w:themeColor="accent6" w:themeTint="99"/>
        <w:insideV w:val="single" w:sz="2" w:space="0" w:color="A8D9C0" w:themeColor="accent6" w:themeTint="99"/>
      </w:tblBorders>
    </w:tblPr>
    <w:tblStylePr w:type="firstRow">
      <w:rPr>
        <w:b/>
        <w:bCs/>
      </w:rPr>
      <w:tblPr/>
      <w:tcPr>
        <w:tcBorders>
          <w:top w:val="nil"/>
          <w:bottom w:val="single" w:sz="12" w:space="0" w:color="A8D9C0" w:themeColor="accent6" w:themeTint="99"/>
          <w:insideH w:val="nil"/>
          <w:insideV w:val="nil"/>
        </w:tcBorders>
        <w:shd w:val="clear" w:color="auto" w:fill="FFFFFF" w:themeFill="background1"/>
      </w:tcPr>
    </w:tblStylePr>
    <w:tblStylePr w:type="lastRow">
      <w:rPr>
        <w:b/>
        <w:bCs/>
      </w:rPr>
      <w:tblPr/>
      <w:tcPr>
        <w:tcBorders>
          <w:top w:val="double" w:sz="2" w:space="0" w:color="A8D9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31">
    <w:name w:val="Grid Table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customStyle="1" w:styleId="GridTable3-Accent21">
    <w:name w:val="Grid Table 3 - Accent 2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bottom w:val="single" w:sz="4" w:space="0" w:color="92D1D2" w:themeColor="accent2" w:themeTint="99"/>
        </w:tcBorders>
      </w:tcPr>
    </w:tblStylePr>
    <w:tblStylePr w:type="nwCell">
      <w:tblPr/>
      <w:tcPr>
        <w:tcBorders>
          <w:bottom w:val="single" w:sz="4" w:space="0" w:color="92D1D2" w:themeColor="accent2" w:themeTint="99"/>
        </w:tcBorders>
      </w:tcPr>
    </w:tblStylePr>
    <w:tblStylePr w:type="seCell">
      <w:tblPr/>
      <w:tcPr>
        <w:tcBorders>
          <w:top w:val="single" w:sz="4" w:space="0" w:color="92D1D2" w:themeColor="accent2" w:themeTint="99"/>
        </w:tcBorders>
      </w:tcPr>
    </w:tblStylePr>
    <w:tblStylePr w:type="swCell">
      <w:tblPr/>
      <w:tcPr>
        <w:tcBorders>
          <w:top w:val="single" w:sz="4" w:space="0" w:color="92D1D2" w:themeColor="accent2" w:themeTint="99"/>
        </w:tcBorders>
      </w:tcPr>
    </w:tblStylePr>
  </w:style>
  <w:style w:type="table" w:customStyle="1" w:styleId="GridTable3-Accent31">
    <w:name w:val="Grid Table 3 - Accent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customStyle="1" w:styleId="GridTable3-Accent41">
    <w:name w:val="Grid Table 3 - Accent 4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customStyle="1" w:styleId="GridTable3-Accent51">
    <w:name w:val="Grid Table 3 - Accent 5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customStyle="1" w:styleId="GridTable3-Accent61">
    <w:name w:val="Grid Table 3 - Accent 6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table" w:customStyle="1" w:styleId="GridTable41">
    <w:name w:val="Grid Table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insideV w:val="nil"/>
        </w:tcBorders>
        <w:shd w:val="clear" w:color="auto" w:fill="081E3E" w:themeFill="accent1"/>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GridTable4-Accent21">
    <w:name w:val="Grid Table 4 - Accent 2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color w:val="FFFFFF" w:themeColor="background1"/>
      </w:rPr>
      <w:tblPr/>
      <w:tcPr>
        <w:tcBorders>
          <w:top w:val="single" w:sz="4" w:space="0" w:color="4BB3B5" w:themeColor="accent2"/>
          <w:left w:val="single" w:sz="4" w:space="0" w:color="4BB3B5" w:themeColor="accent2"/>
          <w:bottom w:val="single" w:sz="4" w:space="0" w:color="4BB3B5" w:themeColor="accent2"/>
          <w:right w:val="single" w:sz="4" w:space="0" w:color="4BB3B5" w:themeColor="accent2"/>
          <w:insideH w:val="nil"/>
          <w:insideV w:val="nil"/>
        </w:tcBorders>
        <w:shd w:val="clear" w:color="auto" w:fill="4BB3B5" w:themeFill="accent2"/>
      </w:tcPr>
    </w:tblStylePr>
    <w:tblStylePr w:type="lastRow">
      <w:rPr>
        <w:b/>
        <w:bCs/>
      </w:rPr>
      <w:tblPr/>
      <w:tcPr>
        <w:tcBorders>
          <w:top w:val="double" w:sz="4" w:space="0" w:color="4BB3B5" w:themeColor="accent2"/>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4-Accent31">
    <w:name w:val="Grid Table 4 - Accent 3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insideV w:val="nil"/>
        </w:tcBorders>
        <w:shd w:val="clear" w:color="auto" w:fill="77D1F4" w:themeFill="accent3"/>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4-Accent41">
    <w:name w:val="Grid Table 4 - Accent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insideV w:val="nil"/>
        </w:tcBorders>
        <w:shd w:val="clear" w:color="auto" w:fill="9AA3AF" w:themeFill="accent4"/>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4-Accent51">
    <w:name w:val="Grid Table 4 - Accent 5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insideV w:val="nil"/>
        </w:tcBorders>
        <w:shd w:val="clear" w:color="auto" w:fill="C0D48F" w:themeFill="accent5"/>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4-Accent61">
    <w:name w:val="Grid Table 4 - Accent 6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insideV w:val="nil"/>
        </w:tcBorders>
        <w:shd w:val="clear" w:color="auto" w:fill="6FC197" w:themeFill="accent6"/>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5Dark1">
    <w:name w:val="Grid Table 5 Dark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CC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1E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1E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1E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1E3E" w:themeFill="accent1"/>
      </w:tcPr>
    </w:tblStylePr>
    <w:tblStylePr w:type="band1Vert">
      <w:tblPr/>
      <w:tcPr>
        <w:shd w:val="clear" w:color="auto" w:fill="6399EB" w:themeFill="accent1" w:themeFillTint="66"/>
      </w:tcPr>
    </w:tblStylePr>
    <w:tblStylePr w:type="band1Horz">
      <w:tblPr/>
      <w:tcPr>
        <w:shd w:val="clear" w:color="auto" w:fill="6399EB" w:themeFill="accent1" w:themeFillTint="66"/>
      </w:tcPr>
    </w:tblStylePr>
  </w:style>
  <w:style w:type="table" w:customStyle="1" w:styleId="GridTable5Dark-Accent21">
    <w:name w:val="Grid Table 5 Dark - Accent 2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3B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3B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3B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3B5" w:themeFill="accent2"/>
      </w:tcPr>
    </w:tblStylePr>
    <w:tblStylePr w:type="band1Vert">
      <w:tblPr/>
      <w:tcPr>
        <w:shd w:val="clear" w:color="auto" w:fill="B6E0E1" w:themeFill="accent2" w:themeFillTint="66"/>
      </w:tcPr>
    </w:tblStylePr>
    <w:tblStylePr w:type="band1Horz">
      <w:tblPr/>
      <w:tcPr>
        <w:shd w:val="clear" w:color="auto" w:fill="B6E0E1" w:themeFill="accent2" w:themeFillTint="66"/>
      </w:tcPr>
    </w:tblStylePr>
  </w:style>
  <w:style w:type="table" w:customStyle="1" w:styleId="GridTable5Dark-Accent31">
    <w:name w:val="Grid Table 5 Dark - Accent 3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D1F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D1F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D1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D1F4" w:themeFill="accent3"/>
      </w:tcPr>
    </w:tblStylePr>
    <w:tblStylePr w:type="band1Vert">
      <w:tblPr/>
      <w:tcPr>
        <w:shd w:val="clear" w:color="auto" w:fill="C8ECFA" w:themeFill="accent3" w:themeFillTint="66"/>
      </w:tcPr>
    </w:tblStylePr>
    <w:tblStylePr w:type="band1Horz">
      <w:tblPr/>
      <w:tcPr>
        <w:shd w:val="clear" w:color="auto" w:fill="C8ECFA" w:themeFill="accent3" w:themeFillTint="66"/>
      </w:tcPr>
    </w:tblStylePr>
  </w:style>
  <w:style w:type="table" w:customStyle="1" w:styleId="GridTable5Dark-Accent41">
    <w:name w:val="Grid Table 5 Dark - Accent 4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A3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A3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A3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A3AF" w:themeFill="accent4"/>
      </w:tcPr>
    </w:tblStylePr>
    <w:tblStylePr w:type="band1Vert">
      <w:tblPr/>
      <w:tcPr>
        <w:shd w:val="clear" w:color="auto" w:fill="D6DADF" w:themeFill="accent4" w:themeFillTint="66"/>
      </w:tcPr>
    </w:tblStylePr>
    <w:tblStylePr w:type="band1Horz">
      <w:tblPr/>
      <w:tcPr>
        <w:shd w:val="clear" w:color="auto" w:fill="D6DADF" w:themeFill="accent4" w:themeFillTint="66"/>
      </w:tcPr>
    </w:tblStylePr>
  </w:style>
  <w:style w:type="table" w:customStyle="1" w:styleId="GridTable5Dark-Accent51">
    <w:name w:val="Grid Table 5 Dark - Accent 5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6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48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48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48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48F" w:themeFill="accent5"/>
      </w:tcPr>
    </w:tblStylePr>
    <w:tblStylePr w:type="band1Vert">
      <w:tblPr/>
      <w:tcPr>
        <w:shd w:val="clear" w:color="auto" w:fill="E5EDD2" w:themeFill="accent5" w:themeFillTint="66"/>
      </w:tcPr>
    </w:tblStylePr>
    <w:tblStylePr w:type="band1Horz">
      <w:tblPr/>
      <w:tcPr>
        <w:shd w:val="clear" w:color="auto" w:fill="E5EDD2" w:themeFill="accent5" w:themeFillTint="66"/>
      </w:tcPr>
    </w:tblStylePr>
  </w:style>
  <w:style w:type="table" w:customStyle="1" w:styleId="GridTable5Dark-Accent61">
    <w:name w:val="Grid Table 5 Dark - Accent 6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2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1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1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1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197" w:themeFill="accent6"/>
      </w:tcPr>
    </w:tblStylePr>
    <w:tblStylePr w:type="band1Vert">
      <w:tblPr/>
      <w:tcPr>
        <w:shd w:val="clear" w:color="auto" w:fill="C5E6D5" w:themeFill="accent6" w:themeFillTint="66"/>
      </w:tcPr>
    </w:tblStylePr>
    <w:tblStylePr w:type="band1Horz">
      <w:tblPr/>
      <w:tcPr>
        <w:shd w:val="clear" w:color="auto" w:fill="C5E6D5" w:themeFill="accent6" w:themeFillTint="66"/>
      </w:tcPr>
    </w:tblStylePr>
  </w:style>
  <w:style w:type="table" w:customStyle="1" w:styleId="GridTable6Colorful1">
    <w:name w:val="Grid Table 6 Colorful1"/>
    <w:basedOn w:val="TableNormal"/>
    <w:uiPriority w:val="51"/>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GridTable6Colorful-Accent21">
    <w:name w:val="Grid Table 6 Colorful - Accent 21"/>
    <w:basedOn w:val="TableNormal"/>
    <w:uiPriority w:val="51"/>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bottom w:val="single" w:sz="12" w:space="0" w:color="92D1D2" w:themeColor="accent2" w:themeTint="99"/>
        </w:tcBorders>
      </w:tcPr>
    </w:tblStylePr>
    <w:tblStylePr w:type="lastRow">
      <w:rPr>
        <w:b/>
        <w:bCs/>
      </w:rPr>
      <w:tblPr/>
      <w:tcPr>
        <w:tcBorders>
          <w:top w:val="doub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6Colorful-Accent31">
    <w:name w:val="Grid Table 6 Colorful - Accent 31"/>
    <w:basedOn w:val="TableNormal"/>
    <w:uiPriority w:val="51"/>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6Colorful-Accent41">
    <w:name w:val="Grid Table 6 Colorful - Accent 41"/>
    <w:basedOn w:val="TableNormal"/>
    <w:uiPriority w:val="51"/>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6Colorful-Accent51">
    <w:name w:val="Grid Table 6 Colorful - Accent 51"/>
    <w:basedOn w:val="TableNormal"/>
    <w:uiPriority w:val="51"/>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6Colorful-Accent61">
    <w:name w:val="Grid Table 6 Colorful - Accent 61"/>
    <w:basedOn w:val="TableNormal"/>
    <w:uiPriority w:val="51"/>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7Colorful1">
    <w:name w:val="Grid Table 7 Colorful1"/>
    <w:basedOn w:val="TableNormal"/>
    <w:uiPriority w:val="52"/>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customStyle="1" w:styleId="GridTable7Colorful-Accent21">
    <w:name w:val="Grid Table 7 Colorful - Accent 21"/>
    <w:basedOn w:val="TableNormal"/>
    <w:uiPriority w:val="52"/>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bottom w:val="single" w:sz="4" w:space="0" w:color="92D1D2" w:themeColor="accent2" w:themeTint="99"/>
        </w:tcBorders>
      </w:tcPr>
    </w:tblStylePr>
    <w:tblStylePr w:type="nwCell">
      <w:tblPr/>
      <w:tcPr>
        <w:tcBorders>
          <w:bottom w:val="single" w:sz="4" w:space="0" w:color="92D1D2" w:themeColor="accent2" w:themeTint="99"/>
        </w:tcBorders>
      </w:tcPr>
    </w:tblStylePr>
    <w:tblStylePr w:type="seCell">
      <w:tblPr/>
      <w:tcPr>
        <w:tcBorders>
          <w:top w:val="single" w:sz="4" w:space="0" w:color="92D1D2" w:themeColor="accent2" w:themeTint="99"/>
        </w:tcBorders>
      </w:tcPr>
    </w:tblStylePr>
    <w:tblStylePr w:type="swCell">
      <w:tblPr/>
      <w:tcPr>
        <w:tcBorders>
          <w:top w:val="single" w:sz="4" w:space="0" w:color="92D1D2" w:themeColor="accent2" w:themeTint="99"/>
        </w:tcBorders>
      </w:tcPr>
    </w:tblStylePr>
  </w:style>
  <w:style w:type="table" w:customStyle="1" w:styleId="GridTable7Colorful-Accent31">
    <w:name w:val="Grid Table 7 Colorful - Accent 31"/>
    <w:basedOn w:val="TableNormal"/>
    <w:uiPriority w:val="52"/>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customStyle="1" w:styleId="GridTable7Colorful-Accent41">
    <w:name w:val="Grid Table 7 Colorful - Accent 41"/>
    <w:basedOn w:val="TableNormal"/>
    <w:uiPriority w:val="52"/>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customStyle="1" w:styleId="GridTable7Colorful-Accent51">
    <w:name w:val="Grid Table 7 Colorful - Accent 51"/>
    <w:basedOn w:val="TableNormal"/>
    <w:uiPriority w:val="52"/>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customStyle="1" w:styleId="GridTable7Colorful-Accent61">
    <w:name w:val="Grid Table 7 Colorful - Accent 61"/>
    <w:basedOn w:val="TableNormal"/>
    <w:uiPriority w:val="52"/>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character" w:styleId="HTMLAcronym">
    <w:name w:val="HTML Acronym"/>
    <w:basedOn w:val="DefaultParagraphFont"/>
    <w:uiPriority w:val="99"/>
    <w:semiHidden/>
    <w:unhideWhenUsed/>
    <w:rsid w:val="00223F09"/>
  </w:style>
  <w:style w:type="character" w:styleId="HTMLCite">
    <w:name w:val="HTML Cite"/>
    <w:basedOn w:val="DefaultParagraphFont"/>
    <w:uiPriority w:val="99"/>
    <w:semiHidden/>
    <w:unhideWhenUsed/>
    <w:rsid w:val="00223F09"/>
    <w:rPr>
      <w:i/>
      <w:iCs/>
    </w:rPr>
  </w:style>
  <w:style w:type="character" w:styleId="HTMLCode">
    <w:name w:val="HTML Code"/>
    <w:basedOn w:val="DefaultParagraphFont"/>
    <w:uiPriority w:val="99"/>
    <w:semiHidden/>
    <w:unhideWhenUsed/>
    <w:rsid w:val="00223F09"/>
    <w:rPr>
      <w:rFonts w:ascii="Courier New" w:hAnsi="Courier New" w:cs="Courier New"/>
      <w:sz w:val="20"/>
      <w:szCs w:val="20"/>
    </w:rPr>
  </w:style>
  <w:style w:type="character" w:styleId="HTMLDefinition">
    <w:name w:val="HTML Definition"/>
    <w:basedOn w:val="DefaultParagraphFont"/>
    <w:uiPriority w:val="99"/>
    <w:semiHidden/>
    <w:unhideWhenUsed/>
    <w:rsid w:val="00223F09"/>
    <w:rPr>
      <w:i/>
      <w:iCs/>
    </w:rPr>
  </w:style>
  <w:style w:type="character" w:styleId="HTMLKeyboard">
    <w:name w:val="HTML Keyboard"/>
    <w:basedOn w:val="DefaultParagraphFont"/>
    <w:uiPriority w:val="99"/>
    <w:semiHidden/>
    <w:unhideWhenUsed/>
    <w:rsid w:val="00223F09"/>
    <w:rPr>
      <w:rFonts w:ascii="Courier New" w:hAnsi="Courier New" w:cs="Courier New"/>
      <w:sz w:val="20"/>
      <w:szCs w:val="20"/>
    </w:rPr>
  </w:style>
  <w:style w:type="character" w:styleId="HTMLSample">
    <w:name w:val="HTML Sample"/>
    <w:basedOn w:val="DefaultParagraphFont"/>
    <w:uiPriority w:val="99"/>
    <w:semiHidden/>
    <w:unhideWhenUsed/>
    <w:rsid w:val="00223F09"/>
    <w:rPr>
      <w:rFonts w:ascii="Courier New" w:hAnsi="Courier New" w:cs="Courier New"/>
    </w:rPr>
  </w:style>
  <w:style w:type="character" w:styleId="HTMLTypewriter">
    <w:name w:val="HTML Typewriter"/>
    <w:basedOn w:val="DefaultParagraphFont"/>
    <w:uiPriority w:val="99"/>
    <w:semiHidden/>
    <w:unhideWhenUsed/>
    <w:rsid w:val="00223F09"/>
    <w:rPr>
      <w:rFonts w:ascii="Courier New" w:hAnsi="Courier New" w:cs="Courier New"/>
      <w:sz w:val="20"/>
      <w:szCs w:val="20"/>
    </w:rPr>
  </w:style>
  <w:style w:type="character" w:styleId="HTMLVariable">
    <w:name w:val="HTML Variable"/>
    <w:basedOn w:val="DefaultParagraphFont"/>
    <w:uiPriority w:val="99"/>
    <w:semiHidden/>
    <w:unhideWhenUsed/>
    <w:rsid w:val="00223F09"/>
    <w:rPr>
      <w:i/>
      <w:iCs/>
    </w:rPr>
  </w:style>
  <w:style w:type="paragraph" w:styleId="IndexHeading">
    <w:name w:val="index heading"/>
    <w:basedOn w:val="Normal"/>
    <w:next w:val="Normal"/>
    <w:uiPriority w:val="99"/>
    <w:semiHidden/>
    <w:unhideWhenUsed/>
    <w:rsid w:val="00223F09"/>
    <w:pPr>
      <w:keepLines/>
      <w:suppressAutoHyphens w:val="0"/>
      <w:spacing w:before="120" w:after="120" w:line="264" w:lineRule="auto"/>
    </w:pPr>
    <w:rPr>
      <w:rFonts w:asciiTheme="majorHAnsi" w:eastAsiaTheme="majorEastAsia" w:hAnsiTheme="majorHAnsi" w:cstheme="majorBidi"/>
      <w:b/>
      <w:bCs/>
      <w:color w:val="000000"/>
      <w:kern w:val="0"/>
      <w:szCs w:val="22"/>
    </w:rPr>
  </w:style>
  <w:style w:type="table" w:styleId="LightGrid">
    <w:name w:val="Light Grid"/>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18" w:space="0" w:color="081E3E" w:themeColor="accent1"/>
          <w:right w:val="single" w:sz="8" w:space="0" w:color="081E3E" w:themeColor="accent1"/>
          <w:insideH w:val="nil"/>
          <w:insideV w:val="single" w:sz="8" w:space="0" w:color="081E3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insideH w:val="nil"/>
          <w:insideV w:val="single" w:sz="8" w:space="0" w:color="081E3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shd w:val="clear" w:color="auto" w:fill="9EC0F2" w:themeFill="accent1" w:themeFillTint="3F"/>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shd w:val="clear" w:color="auto" w:fill="9EC0F2" w:themeFill="accent1" w:themeFillTint="3F"/>
      </w:tcPr>
    </w:tblStylePr>
    <w:tblStylePr w:type="band2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tcPr>
    </w:tblStylePr>
  </w:style>
  <w:style w:type="table" w:styleId="LightGrid-Accent3">
    <w:name w:val="Light Grid Accent 3"/>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18" w:space="0" w:color="77D1F4" w:themeColor="accent3"/>
          <w:right w:val="single" w:sz="8" w:space="0" w:color="77D1F4" w:themeColor="accent3"/>
          <w:insideH w:val="nil"/>
          <w:insideV w:val="single" w:sz="8" w:space="0" w:color="77D1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insideH w:val="nil"/>
          <w:insideV w:val="single" w:sz="8" w:space="0" w:color="77D1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shd w:val="clear" w:color="auto" w:fill="DDF3FC" w:themeFill="accent3" w:themeFillTint="3F"/>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shd w:val="clear" w:color="auto" w:fill="DDF3FC" w:themeFill="accent3" w:themeFillTint="3F"/>
      </w:tcPr>
    </w:tblStylePr>
    <w:tblStylePr w:type="band2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tcPr>
    </w:tblStylePr>
  </w:style>
  <w:style w:type="table" w:styleId="LightGrid-Accent4">
    <w:name w:val="Light Grid Accent 4"/>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18" w:space="0" w:color="9AA3AF" w:themeColor="accent4"/>
          <w:right w:val="single" w:sz="8" w:space="0" w:color="9AA3AF" w:themeColor="accent4"/>
          <w:insideH w:val="nil"/>
          <w:insideV w:val="single" w:sz="8" w:space="0" w:color="9AA3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insideH w:val="nil"/>
          <w:insideV w:val="single" w:sz="8" w:space="0" w:color="9AA3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shd w:val="clear" w:color="auto" w:fill="E5E8EB" w:themeFill="accent4" w:themeFillTint="3F"/>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shd w:val="clear" w:color="auto" w:fill="E5E8EB" w:themeFill="accent4" w:themeFillTint="3F"/>
      </w:tcPr>
    </w:tblStylePr>
    <w:tblStylePr w:type="band2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tcPr>
    </w:tblStylePr>
  </w:style>
  <w:style w:type="table" w:styleId="LightGrid-Accent5">
    <w:name w:val="Light Grid Accent 5"/>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18" w:space="0" w:color="C0D48F" w:themeColor="accent5"/>
          <w:right w:val="single" w:sz="8" w:space="0" w:color="C0D48F" w:themeColor="accent5"/>
          <w:insideH w:val="nil"/>
          <w:insideV w:val="single" w:sz="8" w:space="0" w:color="C0D48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insideH w:val="nil"/>
          <w:insideV w:val="single" w:sz="8" w:space="0" w:color="C0D48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shd w:val="clear" w:color="auto" w:fill="EFF4E3" w:themeFill="accent5" w:themeFillTint="3F"/>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shd w:val="clear" w:color="auto" w:fill="EFF4E3" w:themeFill="accent5" w:themeFillTint="3F"/>
      </w:tcPr>
    </w:tblStylePr>
    <w:tblStylePr w:type="band2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tcPr>
    </w:tblStylePr>
  </w:style>
  <w:style w:type="table" w:styleId="LightGrid-Accent6">
    <w:name w:val="Light Grid Accent 6"/>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18" w:space="0" w:color="6FC197" w:themeColor="accent6"/>
          <w:right w:val="single" w:sz="8" w:space="0" w:color="6FC197" w:themeColor="accent6"/>
          <w:insideH w:val="nil"/>
          <w:insideV w:val="single" w:sz="8" w:space="0" w:color="6FC1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insideH w:val="nil"/>
          <w:insideV w:val="single" w:sz="8" w:space="0" w:color="6FC1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shd w:val="clear" w:color="auto" w:fill="DBEFE5" w:themeFill="accent6" w:themeFillTint="3F"/>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shd w:val="clear" w:color="auto" w:fill="DBEFE5" w:themeFill="accent6" w:themeFillTint="3F"/>
      </w:tcPr>
    </w:tblStylePr>
    <w:tblStylePr w:type="band2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tcPr>
    </w:tblStylePr>
  </w:style>
  <w:style w:type="table" w:styleId="LightList">
    <w:name w:val="Light List"/>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tblBorders>
    </w:tblPr>
    <w:tblStylePr w:type="firstRow">
      <w:pPr>
        <w:spacing w:before="0" w:after="0" w:line="240" w:lineRule="auto"/>
      </w:pPr>
      <w:rPr>
        <w:b/>
        <w:bCs/>
        <w:color w:val="FFFFFF" w:themeColor="background1"/>
      </w:rPr>
      <w:tblPr/>
      <w:tcPr>
        <w:shd w:val="clear" w:color="auto" w:fill="4BB3B5" w:themeFill="accent2"/>
      </w:tcPr>
    </w:tblStylePr>
    <w:tblStylePr w:type="lastRow">
      <w:pPr>
        <w:spacing w:before="0" w:after="0" w:line="240" w:lineRule="auto"/>
      </w:pPr>
      <w:rPr>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tcBorders>
      </w:tcPr>
    </w:tblStylePr>
    <w:tblStylePr w:type="firstCol">
      <w:rPr>
        <w:b/>
        <w:bCs/>
      </w:rPr>
    </w:tblStylePr>
    <w:tblStylePr w:type="lastCol">
      <w:rPr>
        <w:b/>
        <w:bCs/>
      </w:r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style>
  <w:style w:type="table" w:styleId="LightList-Accent3">
    <w:name w:val="Light List Accent 3"/>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pPr>
        <w:spacing w:before="0" w:after="0" w:line="240" w:lineRule="auto"/>
      </w:pPr>
      <w:rPr>
        <w:b/>
        <w:bCs/>
        <w:color w:val="FFFFFF" w:themeColor="background1"/>
      </w:rPr>
      <w:tblPr/>
      <w:tcPr>
        <w:shd w:val="clear" w:color="auto" w:fill="77D1F4" w:themeFill="accent3"/>
      </w:tcPr>
    </w:tblStylePr>
    <w:tblStylePr w:type="lastRow">
      <w:pPr>
        <w:spacing w:before="0" w:after="0" w:line="240" w:lineRule="auto"/>
      </w:pPr>
      <w:rPr>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tcBorders>
      </w:tcPr>
    </w:tblStylePr>
    <w:tblStylePr w:type="firstCol">
      <w:rPr>
        <w:b/>
        <w:bCs/>
      </w:rPr>
    </w:tblStylePr>
    <w:tblStylePr w:type="lastCol">
      <w:rPr>
        <w:b/>
        <w:bCs/>
      </w:r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style>
  <w:style w:type="table" w:styleId="LightList-Accent4">
    <w:name w:val="Light List Accent 4"/>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pPr>
        <w:spacing w:before="0" w:after="0" w:line="240" w:lineRule="auto"/>
      </w:pPr>
      <w:rPr>
        <w:b/>
        <w:bCs/>
        <w:color w:val="FFFFFF" w:themeColor="background1"/>
      </w:rPr>
      <w:tblPr/>
      <w:tcPr>
        <w:shd w:val="clear" w:color="auto" w:fill="9AA3AF" w:themeFill="accent4"/>
      </w:tcPr>
    </w:tblStylePr>
    <w:tblStylePr w:type="lastRow">
      <w:pPr>
        <w:spacing w:before="0" w:after="0" w:line="240" w:lineRule="auto"/>
      </w:pPr>
      <w:rPr>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tcBorders>
      </w:tcPr>
    </w:tblStylePr>
    <w:tblStylePr w:type="firstCol">
      <w:rPr>
        <w:b/>
        <w:bCs/>
      </w:rPr>
    </w:tblStylePr>
    <w:tblStylePr w:type="lastCol">
      <w:rPr>
        <w:b/>
        <w:bCs/>
      </w:r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style>
  <w:style w:type="table" w:styleId="LightList-Accent5">
    <w:name w:val="Light List Accent 5"/>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pPr>
        <w:spacing w:before="0" w:after="0" w:line="240" w:lineRule="auto"/>
      </w:pPr>
      <w:rPr>
        <w:b/>
        <w:bCs/>
        <w:color w:val="FFFFFF" w:themeColor="background1"/>
      </w:rPr>
      <w:tblPr/>
      <w:tcPr>
        <w:shd w:val="clear" w:color="auto" w:fill="C0D48F" w:themeFill="accent5"/>
      </w:tcPr>
    </w:tblStylePr>
    <w:tblStylePr w:type="lastRow">
      <w:pPr>
        <w:spacing w:before="0" w:after="0" w:line="240" w:lineRule="auto"/>
      </w:pPr>
      <w:rPr>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tcBorders>
      </w:tcPr>
    </w:tblStylePr>
    <w:tblStylePr w:type="firstCol">
      <w:rPr>
        <w:b/>
        <w:bCs/>
      </w:rPr>
    </w:tblStylePr>
    <w:tblStylePr w:type="lastCol">
      <w:rPr>
        <w:b/>
        <w:bCs/>
      </w:r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style>
  <w:style w:type="table" w:styleId="LightList-Accent6">
    <w:name w:val="Light List Accent 6"/>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pPr>
        <w:spacing w:before="0" w:after="0" w:line="240" w:lineRule="auto"/>
      </w:pPr>
      <w:rPr>
        <w:b/>
        <w:bCs/>
        <w:color w:val="FFFFFF" w:themeColor="background1"/>
      </w:rPr>
      <w:tblPr/>
      <w:tcPr>
        <w:shd w:val="clear" w:color="auto" w:fill="6FC197" w:themeFill="accent6"/>
      </w:tcPr>
    </w:tblStylePr>
    <w:tblStylePr w:type="lastRow">
      <w:pPr>
        <w:spacing w:before="0" w:after="0" w:line="240" w:lineRule="auto"/>
      </w:pPr>
      <w:rPr>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tcBorders>
      </w:tcPr>
    </w:tblStylePr>
    <w:tblStylePr w:type="firstCol">
      <w:rPr>
        <w:b/>
        <w:bCs/>
      </w:rPr>
    </w:tblStylePr>
    <w:tblStylePr w:type="lastCol">
      <w:rPr>
        <w:b/>
        <w:bCs/>
      </w:r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style>
  <w:style w:type="table" w:styleId="LightShading-Accent2">
    <w:name w:val="Light Shading Accent 2"/>
    <w:basedOn w:val="TableNormal"/>
    <w:uiPriority w:val="60"/>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8" w:space="0" w:color="4BB3B5" w:themeColor="accent2"/>
        <w:bottom w:val="single" w:sz="8" w:space="0" w:color="4BB3B5" w:themeColor="accent2"/>
      </w:tblBorders>
    </w:tblPr>
    <w:tblStylePr w:type="firstRow">
      <w:pPr>
        <w:spacing w:before="0" w:after="0" w:line="240" w:lineRule="auto"/>
      </w:pPr>
      <w:rPr>
        <w:b/>
        <w:bCs/>
      </w:rPr>
      <w:tblPr/>
      <w:tcPr>
        <w:tcBorders>
          <w:top w:val="single" w:sz="8" w:space="0" w:color="4BB3B5" w:themeColor="accent2"/>
          <w:left w:val="nil"/>
          <w:bottom w:val="single" w:sz="8" w:space="0" w:color="4BB3B5" w:themeColor="accent2"/>
          <w:right w:val="nil"/>
          <w:insideH w:val="nil"/>
          <w:insideV w:val="nil"/>
        </w:tcBorders>
      </w:tcPr>
    </w:tblStylePr>
    <w:tblStylePr w:type="lastRow">
      <w:pPr>
        <w:spacing w:before="0" w:after="0" w:line="240" w:lineRule="auto"/>
      </w:pPr>
      <w:rPr>
        <w:b/>
        <w:bCs/>
      </w:rPr>
      <w:tblPr/>
      <w:tcPr>
        <w:tcBorders>
          <w:top w:val="single" w:sz="8" w:space="0" w:color="4BB3B5" w:themeColor="accent2"/>
          <w:left w:val="nil"/>
          <w:bottom w:val="single" w:sz="8" w:space="0" w:color="4BB3B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EC" w:themeFill="accent2" w:themeFillTint="3F"/>
      </w:tcPr>
    </w:tblStylePr>
    <w:tblStylePr w:type="band1Horz">
      <w:tblPr/>
      <w:tcPr>
        <w:tcBorders>
          <w:left w:val="nil"/>
          <w:right w:val="nil"/>
          <w:insideH w:val="nil"/>
          <w:insideV w:val="nil"/>
        </w:tcBorders>
        <w:shd w:val="clear" w:color="auto" w:fill="D2ECEC" w:themeFill="accent2" w:themeFillTint="3F"/>
      </w:tcPr>
    </w:tblStylePr>
  </w:style>
  <w:style w:type="table" w:styleId="LightShading-Accent3">
    <w:name w:val="Light Shading Accent 3"/>
    <w:basedOn w:val="TableNormal"/>
    <w:uiPriority w:val="60"/>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8" w:space="0" w:color="77D1F4" w:themeColor="accent3"/>
        <w:bottom w:val="single" w:sz="8" w:space="0" w:color="77D1F4" w:themeColor="accent3"/>
      </w:tblBorders>
    </w:tblPr>
    <w:tblStylePr w:type="fir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la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left w:val="nil"/>
          <w:right w:val="nil"/>
          <w:insideH w:val="nil"/>
          <w:insideV w:val="nil"/>
        </w:tcBorders>
        <w:shd w:val="clear" w:color="auto" w:fill="DDF3FC" w:themeFill="accent3" w:themeFillTint="3F"/>
      </w:tcPr>
    </w:tblStylePr>
  </w:style>
  <w:style w:type="table" w:styleId="LightShading-Accent4">
    <w:name w:val="Light Shading Accent 4"/>
    <w:basedOn w:val="TableNormal"/>
    <w:uiPriority w:val="60"/>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8" w:space="0" w:color="9AA3AF" w:themeColor="accent4"/>
        <w:bottom w:val="single" w:sz="8" w:space="0" w:color="9AA3AF" w:themeColor="accent4"/>
      </w:tblBorders>
    </w:tblPr>
    <w:tblStylePr w:type="fir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la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8" w:space="0" w:color="C0D48F" w:themeColor="accent5"/>
        <w:bottom w:val="single" w:sz="8" w:space="0" w:color="C0D48F" w:themeColor="accent5"/>
      </w:tblBorders>
    </w:tblPr>
    <w:tblStylePr w:type="fir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la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left w:val="nil"/>
          <w:right w:val="nil"/>
          <w:insideH w:val="nil"/>
          <w:insideV w:val="nil"/>
        </w:tcBorders>
        <w:shd w:val="clear" w:color="auto" w:fill="EFF4E3" w:themeFill="accent5" w:themeFillTint="3F"/>
      </w:tcPr>
    </w:tblStylePr>
  </w:style>
  <w:style w:type="character" w:styleId="LineNumber">
    <w:name w:val="line number"/>
    <w:basedOn w:val="DefaultParagraphFont"/>
    <w:uiPriority w:val="99"/>
    <w:semiHidden/>
    <w:unhideWhenUsed/>
    <w:rsid w:val="00223F09"/>
  </w:style>
  <w:style w:type="table" w:customStyle="1" w:styleId="ListTable1Light1">
    <w:name w:val="List Table 1 Light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1C68D9" w:themeColor="accent1" w:themeTint="99"/>
        </w:tcBorders>
      </w:tcPr>
    </w:tblStylePr>
    <w:tblStylePr w:type="lastRow">
      <w:rPr>
        <w:b/>
        <w:bCs/>
      </w:rPr>
      <w:tblPr/>
      <w:tcPr>
        <w:tcBorders>
          <w:top w:val="sing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1Light-Accent21">
    <w:name w:val="List Table 1 Light - Accent 2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92D1D2" w:themeColor="accent2" w:themeTint="99"/>
        </w:tcBorders>
      </w:tcPr>
    </w:tblStylePr>
    <w:tblStylePr w:type="lastRow">
      <w:rPr>
        <w:b/>
        <w:bCs/>
      </w:rPr>
      <w:tblPr/>
      <w:tcPr>
        <w:tcBorders>
          <w:top w:val="sing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1Light-Accent31">
    <w:name w:val="List Table 1 Light - Accent 3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ADE3F8" w:themeColor="accent3" w:themeTint="99"/>
        </w:tcBorders>
      </w:tcPr>
    </w:tblStylePr>
    <w:tblStylePr w:type="lastRow">
      <w:rPr>
        <w:b/>
        <w:bCs/>
      </w:rPr>
      <w:tblPr/>
      <w:tcPr>
        <w:tcBorders>
          <w:top w:val="sing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1Light-Accent41">
    <w:name w:val="List Table 1 Light - Accent 4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C2C7CF" w:themeColor="accent4" w:themeTint="99"/>
        </w:tcBorders>
      </w:tcPr>
    </w:tblStylePr>
    <w:tblStylePr w:type="lastRow">
      <w:rPr>
        <w:b/>
        <w:bCs/>
      </w:rPr>
      <w:tblPr/>
      <w:tcPr>
        <w:tcBorders>
          <w:top w:val="sing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1Light-Accent51">
    <w:name w:val="List Table 1 Light - Accent 5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D9E5BB" w:themeColor="accent5" w:themeTint="99"/>
        </w:tcBorders>
      </w:tcPr>
    </w:tblStylePr>
    <w:tblStylePr w:type="lastRow">
      <w:rPr>
        <w:b/>
        <w:bCs/>
      </w:rPr>
      <w:tblPr/>
      <w:tcPr>
        <w:tcBorders>
          <w:top w:val="sing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1Light-Accent61">
    <w:name w:val="List Table 1 Light - Accent 6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A8D9C0" w:themeColor="accent6" w:themeTint="99"/>
        </w:tcBorders>
      </w:tcPr>
    </w:tblStylePr>
    <w:tblStylePr w:type="lastRow">
      <w:rPr>
        <w:b/>
        <w:bCs/>
      </w:rPr>
      <w:tblPr/>
      <w:tcPr>
        <w:tcBorders>
          <w:top w:val="sing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21">
    <w:name w:val="List Table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bottom w:val="single" w:sz="4" w:space="0" w:color="1C68D9" w:themeColor="accent1" w:themeTint="99"/>
        <w:insideH w:val="single" w:sz="4" w:space="0" w:color="1C68D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2-Accent21">
    <w:name w:val="List Table 2 - Accent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bottom w:val="single" w:sz="4" w:space="0" w:color="92D1D2" w:themeColor="accent2" w:themeTint="99"/>
        <w:insideH w:val="single" w:sz="4" w:space="0" w:color="92D1D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2-Accent31">
    <w:name w:val="List Table 2 - Accent 3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bottom w:val="single" w:sz="4" w:space="0" w:color="ADE3F8" w:themeColor="accent3" w:themeTint="99"/>
        <w:insideH w:val="single" w:sz="4" w:space="0" w:color="ADE3F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2-Accent41">
    <w:name w:val="List Table 2 - Accent 4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bottom w:val="single" w:sz="4" w:space="0" w:color="C2C7CF" w:themeColor="accent4" w:themeTint="99"/>
        <w:insideH w:val="single" w:sz="4" w:space="0" w:color="C2C7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2-Accent51">
    <w:name w:val="List Table 2 - Accent 5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bottom w:val="single" w:sz="4" w:space="0" w:color="D9E5BB" w:themeColor="accent5" w:themeTint="99"/>
        <w:insideH w:val="single" w:sz="4" w:space="0" w:color="D9E5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2-Accent61">
    <w:name w:val="List Table 2 - Accent 6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bottom w:val="single" w:sz="4" w:space="0" w:color="A8D9C0" w:themeColor="accent6" w:themeTint="99"/>
        <w:insideH w:val="single" w:sz="4" w:space="0" w:color="A8D9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31">
    <w:name w:val="List Table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customStyle="1" w:styleId="ListTable3-Accent21">
    <w:name w:val="List Table 3 - Accent 2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4BB3B5" w:themeColor="accent2"/>
        <w:left w:val="single" w:sz="4" w:space="0" w:color="4BB3B5" w:themeColor="accent2"/>
        <w:bottom w:val="single" w:sz="4" w:space="0" w:color="4BB3B5" w:themeColor="accent2"/>
        <w:right w:val="single" w:sz="4" w:space="0" w:color="4BB3B5" w:themeColor="accent2"/>
      </w:tblBorders>
    </w:tblPr>
    <w:tblStylePr w:type="firstRow">
      <w:rPr>
        <w:b/>
        <w:bCs/>
        <w:color w:val="FFFFFF" w:themeColor="background1"/>
      </w:rPr>
      <w:tblPr/>
      <w:tcPr>
        <w:shd w:val="clear" w:color="auto" w:fill="4BB3B5" w:themeFill="accent2"/>
      </w:tcPr>
    </w:tblStylePr>
    <w:tblStylePr w:type="lastRow">
      <w:rPr>
        <w:b/>
        <w:bCs/>
      </w:rPr>
      <w:tblPr/>
      <w:tcPr>
        <w:tcBorders>
          <w:top w:val="double" w:sz="4" w:space="0" w:color="4BB3B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B3B5" w:themeColor="accent2"/>
          <w:right w:val="single" w:sz="4" w:space="0" w:color="4BB3B5" w:themeColor="accent2"/>
        </w:tcBorders>
      </w:tcPr>
    </w:tblStylePr>
    <w:tblStylePr w:type="band1Horz">
      <w:tblPr/>
      <w:tcPr>
        <w:tcBorders>
          <w:top w:val="single" w:sz="4" w:space="0" w:color="4BB3B5" w:themeColor="accent2"/>
          <w:bottom w:val="single" w:sz="4" w:space="0" w:color="4BB3B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B3B5" w:themeColor="accent2"/>
          <w:left w:val="nil"/>
        </w:tcBorders>
      </w:tcPr>
    </w:tblStylePr>
    <w:tblStylePr w:type="swCell">
      <w:tblPr/>
      <w:tcPr>
        <w:tcBorders>
          <w:top w:val="double" w:sz="4" w:space="0" w:color="4BB3B5" w:themeColor="accent2"/>
          <w:right w:val="nil"/>
        </w:tcBorders>
      </w:tcPr>
    </w:tblStylePr>
  </w:style>
  <w:style w:type="table" w:customStyle="1" w:styleId="ListTable3-Accent31">
    <w:name w:val="List Table 3 - Accent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77D1F4" w:themeColor="accent3"/>
        <w:left w:val="single" w:sz="4" w:space="0" w:color="77D1F4" w:themeColor="accent3"/>
        <w:bottom w:val="single" w:sz="4" w:space="0" w:color="77D1F4" w:themeColor="accent3"/>
        <w:right w:val="single" w:sz="4" w:space="0" w:color="77D1F4" w:themeColor="accent3"/>
      </w:tblBorders>
    </w:tblPr>
    <w:tblStylePr w:type="firstRow">
      <w:rPr>
        <w:b/>
        <w:bCs/>
        <w:color w:val="FFFFFF" w:themeColor="background1"/>
      </w:rPr>
      <w:tblPr/>
      <w:tcPr>
        <w:shd w:val="clear" w:color="auto" w:fill="77D1F4" w:themeFill="accent3"/>
      </w:tcPr>
    </w:tblStylePr>
    <w:tblStylePr w:type="lastRow">
      <w:rPr>
        <w:b/>
        <w:bCs/>
      </w:rPr>
      <w:tblPr/>
      <w:tcPr>
        <w:tcBorders>
          <w:top w:val="double" w:sz="4" w:space="0" w:color="77D1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D1F4" w:themeColor="accent3"/>
          <w:right w:val="single" w:sz="4" w:space="0" w:color="77D1F4" w:themeColor="accent3"/>
        </w:tcBorders>
      </w:tcPr>
    </w:tblStylePr>
    <w:tblStylePr w:type="band1Horz">
      <w:tblPr/>
      <w:tcPr>
        <w:tcBorders>
          <w:top w:val="single" w:sz="4" w:space="0" w:color="77D1F4" w:themeColor="accent3"/>
          <w:bottom w:val="single" w:sz="4" w:space="0" w:color="77D1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F4" w:themeColor="accent3"/>
          <w:left w:val="nil"/>
        </w:tcBorders>
      </w:tcPr>
    </w:tblStylePr>
    <w:tblStylePr w:type="swCell">
      <w:tblPr/>
      <w:tcPr>
        <w:tcBorders>
          <w:top w:val="double" w:sz="4" w:space="0" w:color="77D1F4" w:themeColor="accent3"/>
          <w:right w:val="nil"/>
        </w:tcBorders>
      </w:tcPr>
    </w:tblStylePr>
  </w:style>
  <w:style w:type="table" w:customStyle="1" w:styleId="ListTable3-Accent41">
    <w:name w:val="List Table 3 - Accent 4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AA3AF" w:themeColor="accent4"/>
        <w:left w:val="single" w:sz="4" w:space="0" w:color="9AA3AF" w:themeColor="accent4"/>
        <w:bottom w:val="single" w:sz="4" w:space="0" w:color="9AA3AF" w:themeColor="accent4"/>
        <w:right w:val="single" w:sz="4" w:space="0" w:color="9AA3AF" w:themeColor="accent4"/>
      </w:tblBorders>
    </w:tblPr>
    <w:tblStylePr w:type="firstRow">
      <w:rPr>
        <w:b/>
        <w:bCs/>
        <w:color w:val="FFFFFF" w:themeColor="background1"/>
      </w:rPr>
      <w:tblPr/>
      <w:tcPr>
        <w:shd w:val="clear" w:color="auto" w:fill="9AA3AF" w:themeFill="accent4"/>
      </w:tcPr>
    </w:tblStylePr>
    <w:tblStylePr w:type="lastRow">
      <w:rPr>
        <w:b/>
        <w:bCs/>
      </w:rPr>
      <w:tblPr/>
      <w:tcPr>
        <w:tcBorders>
          <w:top w:val="double" w:sz="4" w:space="0" w:color="9AA3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A3AF" w:themeColor="accent4"/>
          <w:right w:val="single" w:sz="4" w:space="0" w:color="9AA3AF" w:themeColor="accent4"/>
        </w:tcBorders>
      </w:tcPr>
    </w:tblStylePr>
    <w:tblStylePr w:type="band1Horz">
      <w:tblPr/>
      <w:tcPr>
        <w:tcBorders>
          <w:top w:val="single" w:sz="4" w:space="0" w:color="9AA3AF" w:themeColor="accent4"/>
          <w:bottom w:val="single" w:sz="4" w:space="0" w:color="9AA3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A3AF" w:themeColor="accent4"/>
          <w:left w:val="nil"/>
        </w:tcBorders>
      </w:tcPr>
    </w:tblStylePr>
    <w:tblStylePr w:type="swCell">
      <w:tblPr/>
      <w:tcPr>
        <w:tcBorders>
          <w:top w:val="double" w:sz="4" w:space="0" w:color="9AA3AF" w:themeColor="accent4"/>
          <w:right w:val="nil"/>
        </w:tcBorders>
      </w:tcPr>
    </w:tblStylePr>
  </w:style>
  <w:style w:type="table" w:customStyle="1" w:styleId="ListTable3-Accent51">
    <w:name w:val="List Table 3 - Accent 5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0D48F" w:themeColor="accent5"/>
        <w:left w:val="single" w:sz="4" w:space="0" w:color="C0D48F" w:themeColor="accent5"/>
        <w:bottom w:val="single" w:sz="4" w:space="0" w:color="C0D48F" w:themeColor="accent5"/>
        <w:right w:val="single" w:sz="4" w:space="0" w:color="C0D48F" w:themeColor="accent5"/>
      </w:tblBorders>
    </w:tblPr>
    <w:tblStylePr w:type="firstRow">
      <w:rPr>
        <w:b/>
        <w:bCs/>
        <w:color w:val="FFFFFF" w:themeColor="background1"/>
      </w:rPr>
      <w:tblPr/>
      <w:tcPr>
        <w:shd w:val="clear" w:color="auto" w:fill="C0D48F" w:themeFill="accent5"/>
      </w:tcPr>
    </w:tblStylePr>
    <w:tblStylePr w:type="lastRow">
      <w:rPr>
        <w:b/>
        <w:bCs/>
      </w:rPr>
      <w:tblPr/>
      <w:tcPr>
        <w:tcBorders>
          <w:top w:val="double" w:sz="4" w:space="0" w:color="C0D48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D48F" w:themeColor="accent5"/>
          <w:right w:val="single" w:sz="4" w:space="0" w:color="C0D48F" w:themeColor="accent5"/>
        </w:tcBorders>
      </w:tcPr>
    </w:tblStylePr>
    <w:tblStylePr w:type="band1Horz">
      <w:tblPr/>
      <w:tcPr>
        <w:tcBorders>
          <w:top w:val="single" w:sz="4" w:space="0" w:color="C0D48F" w:themeColor="accent5"/>
          <w:bottom w:val="single" w:sz="4" w:space="0" w:color="C0D48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D48F" w:themeColor="accent5"/>
          <w:left w:val="nil"/>
        </w:tcBorders>
      </w:tcPr>
    </w:tblStylePr>
    <w:tblStylePr w:type="swCell">
      <w:tblPr/>
      <w:tcPr>
        <w:tcBorders>
          <w:top w:val="double" w:sz="4" w:space="0" w:color="C0D48F" w:themeColor="accent5"/>
          <w:right w:val="nil"/>
        </w:tcBorders>
      </w:tcPr>
    </w:tblStylePr>
  </w:style>
  <w:style w:type="table" w:customStyle="1" w:styleId="ListTable3-Accent61">
    <w:name w:val="List Table 3 - Accent 6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FC197" w:themeColor="accent6"/>
        <w:left w:val="single" w:sz="4" w:space="0" w:color="6FC197" w:themeColor="accent6"/>
        <w:bottom w:val="single" w:sz="4" w:space="0" w:color="6FC197" w:themeColor="accent6"/>
        <w:right w:val="single" w:sz="4" w:space="0" w:color="6FC197" w:themeColor="accent6"/>
      </w:tblBorders>
    </w:tblPr>
    <w:tblStylePr w:type="firstRow">
      <w:rPr>
        <w:b/>
        <w:bCs/>
        <w:color w:val="FFFFFF" w:themeColor="background1"/>
      </w:rPr>
      <w:tblPr/>
      <w:tcPr>
        <w:shd w:val="clear" w:color="auto" w:fill="6FC197" w:themeFill="accent6"/>
      </w:tcPr>
    </w:tblStylePr>
    <w:tblStylePr w:type="lastRow">
      <w:rPr>
        <w:b/>
        <w:bCs/>
      </w:rPr>
      <w:tblPr/>
      <w:tcPr>
        <w:tcBorders>
          <w:top w:val="double" w:sz="4" w:space="0" w:color="6FC1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197" w:themeColor="accent6"/>
          <w:right w:val="single" w:sz="4" w:space="0" w:color="6FC197" w:themeColor="accent6"/>
        </w:tcBorders>
      </w:tcPr>
    </w:tblStylePr>
    <w:tblStylePr w:type="band1Horz">
      <w:tblPr/>
      <w:tcPr>
        <w:tcBorders>
          <w:top w:val="single" w:sz="4" w:space="0" w:color="6FC197" w:themeColor="accent6"/>
          <w:bottom w:val="single" w:sz="4" w:space="0" w:color="6FC1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197" w:themeColor="accent6"/>
          <w:left w:val="nil"/>
        </w:tcBorders>
      </w:tcPr>
    </w:tblStylePr>
    <w:tblStylePr w:type="swCell">
      <w:tblPr/>
      <w:tcPr>
        <w:tcBorders>
          <w:top w:val="double" w:sz="4" w:space="0" w:color="6FC197" w:themeColor="accent6"/>
          <w:right w:val="nil"/>
        </w:tcBorders>
      </w:tcPr>
    </w:tblStylePr>
  </w:style>
  <w:style w:type="table" w:customStyle="1" w:styleId="ListTable41">
    <w:name w:val="List Table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4-Accent21">
    <w:name w:val="List Table 4 - Accent 2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tblBorders>
    </w:tblPr>
    <w:tblStylePr w:type="firstRow">
      <w:rPr>
        <w:b/>
        <w:bCs/>
        <w:color w:val="FFFFFF" w:themeColor="background1"/>
      </w:rPr>
      <w:tblPr/>
      <w:tcPr>
        <w:tcBorders>
          <w:top w:val="single" w:sz="4" w:space="0" w:color="4BB3B5" w:themeColor="accent2"/>
          <w:left w:val="single" w:sz="4" w:space="0" w:color="4BB3B5" w:themeColor="accent2"/>
          <w:bottom w:val="single" w:sz="4" w:space="0" w:color="4BB3B5" w:themeColor="accent2"/>
          <w:right w:val="single" w:sz="4" w:space="0" w:color="4BB3B5" w:themeColor="accent2"/>
          <w:insideH w:val="nil"/>
        </w:tcBorders>
        <w:shd w:val="clear" w:color="auto" w:fill="4BB3B5" w:themeFill="accent2"/>
      </w:tcPr>
    </w:tblStylePr>
    <w:tblStylePr w:type="lastRow">
      <w:rPr>
        <w:b/>
        <w:bCs/>
      </w:rPr>
      <w:tblPr/>
      <w:tcPr>
        <w:tcBorders>
          <w:top w:val="doub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4-Accent31">
    <w:name w:val="List Table 4 - Accent 3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tcBorders>
        <w:shd w:val="clear" w:color="auto" w:fill="77D1F4" w:themeFill="accent3"/>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4-Accent41">
    <w:name w:val="List Table 4 - Accent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tcBorders>
        <w:shd w:val="clear" w:color="auto" w:fill="9AA3AF" w:themeFill="accent4"/>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4-Accent51">
    <w:name w:val="List Table 4 - Accent 5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tcBorders>
        <w:shd w:val="clear" w:color="auto" w:fill="C0D48F" w:themeFill="accent5"/>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4-Accent61">
    <w:name w:val="List Table 4 - Accent 6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tcBorders>
        <w:shd w:val="clear" w:color="auto" w:fill="6FC197" w:themeFill="accent6"/>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5Dark1">
    <w:name w:val="List Table 5 Dark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081E3E" w:themeColor="accent1"/>
        <w:left w:val="single" w:sz="24" w:space="0" w:color="081E3E" w:themeColor="accent1"/>
        <w:bottom w:val="single" w:sz="24" w:space="0" w:color="081E3E" w:themeColor="accent1"/>
        <w:right w:val="single" w:sz="24" w:space="0" w:color="081E3E" w:themeColor="accent1"/>
      </w:tblBorders>
    </w:tblPr>
    <w:tcPr>
      <w:shd w:val="clear" w:color="auto" w:fill="081E3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4BB3B5" w:themeColor="accent2"/>
        <w:left w:val="single" w:sz="24" w:space="0" w:color="4BB3B5" w:themeColor="accent2"/>
        <w:bottom w:val="single" w:sz="24" w:space="0" w:color="4BB3B5" w:themeColor="accent2"/>
        <w:right w:val="single" w:sz="24" w:space="0" w:color="4BB3B5" w:themeColor="accent2"/>
      </w:tblBorders>
    </w:tblPr>
    <w:tcPr>
      <w:shd w:val="clear" w:color="auto" w:fill="4BB3B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77D1F4" w:themeColor="accent3"/>
        <w:left w:val="single" w:sz="24" w:space="0" w:color="77D1F4" w:themeColor="accent3"/>
        <w:bottom w:val="single" w:sz="24" w:space="0" w:color="77D1F4" w:themeColor="accent3"/>
        <w:right w:val="single" w:sz="24" w:space="0" w:color="77D1F4" w:themeColor="accent3"/>
      </w:tblBorders>
    </w:tblPr>
    <w:tcPr>
      <w:shd w:val="clear" w:color="auto" w:fill="77D1F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9AA3AF" w:themeColor="accent4"/>
        <w:left w:val="single" w:sz="24" w:space="0" w:color="9AA3AF" w:themeColor="accent4"/>
        <w:bottom w:val="single" w:sz="24" w:space="0" w:color="9AA3AF" w:themeColor="accent4"/>
        <w:right w:val="single" w:sz="24" w:space="0" w:color="9AA3AF" w:themeColor="accent4"/>
      </w:tblBorders>
    </w:tblPr>
    <w:tcPr>
      <w:shd w:val="clear" w:color="auto" w:fill="9AA3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C0D48F" w:themeColor="accent5"/>
        <w:left w:val="single" w:sz="24" w:space="0" w:color="C0D48F" w:themeColor="accent5"/>
        <w:bottom w:val="single" w:sz="24" w:space="0" w:color="C0D48F" w:themeColor="accent5"/>
        <w:right w:val="single" w:sz="24" w:space="0" w:color="C0D48F" w:themeColor="accent5"/>
      </w:tblBorders>
    </w:tblPr>
    <w:tcPr>
      <w:shd w:val="clear" w:color="auto" w:fill="C0D48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6FC197" w:themeColor="accent6"/>
        <w:left w:val="single" w:sz="24" w:space="0" w:color="6FC197" w:themeColor="accent6"/>
        <w:bottom w:val="single" w:sz="24" w:space="0" w:color="6FC197" w:themeColor="accent6"/>
        <w:right w:val="single" w:sz="24" w:space="0" w:color="6FC197" w:themeColor="accent6"/>
      </w:tblBorders>
    </w:tblPr>
    <w:tcPr>
      <w:shd w:val="clear" w:color="auto" w:fill="6FC1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081E3E" w:themeColor="accent1"/>
        <w:bottom w:val="single" w:sz="4" w:space="0" w:color="081E3E" w:themeColor="accent1"/>
      </w:tblBorders>
    </w:tblPr>
    <w:tblStylePr w:type="firstRow">
      <w:rPr>
        <w:b/>
        <w:bCs/>
      </w:rPr>
      <w:tblPr/>
      <w:tcPr>
        <w:tcBorders>
          <w:bottom w:val="single" w:sz="4" w:space="0" w:color="081E3E" w:themeColor="accent1"/>
        </w:tcBorders>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6Colorful-Accent21">
    <w:name w:val="List Table 6 Colorful - Accent 21"/>
    <w:basedOn w:val="TableNormal"/>
    <w:uiPriority w:val="51"/>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4BB3B5" w:themeColor="accent2"/>
        <w:bottom w:val="single" w:sz="4" w:space="0" w:color="4BB3B5" w:themeColor="accent2"/>
      </w:tblBorders>
    </w:tblPr>
    <w:tblStylePr w:type="firstRow">
      <w:rPr>
        <w:b/>
        <w:bCs/>
      </w:rPr>
      <w:tblPr/>
      <w:tcPr>
        <w:tcBorders>
          <w:bottom w:val="single" w:sz="4" w:space="0" w:color="4BB3B5" w:themeColor="accent2"/>
        </w:tcBorders>
      </w:tcPr>
    </w:tblStylePr>
    <w:tblStylePr w:type="lastRow">
      <w:rPr>
        <w:b/>
        <w:bCs/>
      </w:rPr>
      <w:tblPr/>
      <w:tcPr>
        <w:tcBorders>
          <w:top w:val="double" w:sz="4" w:space="0" w:color="4BB3B5" w:themeColor="accent2"/>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6Colorful-Accent31">
    <w:name w:val="List Table 6 Colorful - Accent 31"/>
    <w:basedOn w:val="TableNormal"/>
    <w:uiPriority w:val="51"/>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77D1F4" w:themeColor="accent3"/>
        <w:bottom w:val="single" w:sz="4" w:space="0" w:color="77D1F4" w:themeColor="accent3"/>
      </w:tblBorders>
    </w:tblPr>
    <w:tblStylePr w:type="firstRow">
      <w:rPr>
        <w:b/>
        <w:bCs/>
      </w:rPr>
      <w:tblPr/>
      <w:tcPr>
        <w:tcBorders>
          <w:bottom w:val="single" w:sz="4" w:space="0" w:color="77D1F4" w:themeColor="accent3"/>
        </w:tcBorders>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6Colorful-Accent41">
    <w:name w:val="List Table 6 Colorful - Accent 41"/>
    <w:basedOn w:val="TableNormal"/>
    <w:uiPriority w:val="51"/>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9AA3AF" w:themeColor="accent4"/>
        <w:bottom w:val="single" w:sz="4" w:space="0" w:color="9AA3AF" w:themeColor="accent4"/>
      </w:tblBorders>
    </w:tblPr>
    <w:tblStylePr w:type="firstRow">
      <w:rPr>
        <w:b/>
        <w:bCs/>
      </w:rPr>
      <w:tblPr/>
      <w:tcPr>
        <w:tcBorders>
          <w:bottom w:val="single" w:sz="4" w:space="0" w:color="9AA3AF" w:themeColor="accent4"/>
        </w:tcBorders>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6Colorful-Accent51">
    <w:name w:val="List Table 6 Colorful - Accent 51"/>
    <w:basedOn w:val="TableNormal"/>
    <w:uiPriority w:val="51"/>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C0D48F" w:themeColor="accent5"/>
        <w:bottom w:val="single" w:sz="4" w:space="0" w:color="C0D48F" w:themeColor="accent5"/>
      </w:tblBorders>
    </w:tblPr>
    <w:tblStylePr w:type="firstRow">
      <w:rPr>
        <w:b/>
        <w:bCs/>
      </w:rPr>
      <w:tblPr/>
      <w:tcPr>
        <w:tcBorders>
          <w:bottom w:val="single" w:sz="4" w:space="0" w:color="C0D48F" w:themeColor="accent5"/>
        </w:tcBorders>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6Colorful-Accent61">
    <w:name w:val="List Table 6 Colorful - Accent 61"/>
    <w:basedOn w:val="TableNormal"/>
    <w:uiPriority w:val="51"/>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6FC197" w:themeColor="accent6"/>
        <w:bottom w:val="single" w:sz="4" w:space="0" w:color="6FC197" w:themeColor="accent6"/>
      </w:tblBorders>
    </w:tblPr>
    <w:tblStylePr w:type="firstRow">
      <w:rPr>
        <w:b/>
        <w:bCs/>
      </w:rPr>
      <w:tblPr/>
      <w:tcPr>
        <w:tcBorders>
          <w:bottom w:val="single" w:sz="4" w:space="0" w:color="6FC197" w:themeColor="accent6"/>
        </w:tcBorders>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7Colorful1">
    <w:name w:val="List Table 7 Colorful1"/>
    <w:basedOn w:val="TableNormal"/>
    <w:uiPriority w:val="52"/>
    <w:rsid w:val="00223F09"/>
    <w:pPr>
      <w:spacing w:before="0" w:after="0"/>
    </w:pPr>
    <w:rPr>
      <w:rFonts w:ascii="Times New Roman" w:eastAsia="Times New Roman" w:hAnsi="Times New Roman" w:cs="Times New Roman"/>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1E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1E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1E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1E3E" w:themeColor="accent1"/>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B3B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B3B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B3B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B3B5" w:themeColor="accent2"/>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D1F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D1F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D1F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D1F4" w:themeColor="accent3"/>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A3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A3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A3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A3AF" w:themeColor="accent4"/>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D48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D48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D48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D48F" w:themeColor="accent5"/>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C1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C1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C1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C197" w:themeColor="accent6"/>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insideV w:val="single" w:sz="8" w:space="0" w:color="144C9F" w:themeColor="accent1" w:themeTint="BF"/>
      </w:tblBorders>
    </w:tblPr>
    <w:tcPr>
      <w:shd w:val="clear" w:color="auto" w:fill="9EC0F2" w:themeFill="accent1" w:themeFillTint="3F"/>
    </w:tcPr>
    <w:tblStylePr w:type="firstRow">
      <w:rPr>
        <w:b/>
        <w:bCs/>
      </w:rPr>
    </w:tblStylePr>
    <w:tblStylePr w:type="lastRow">
      <w:rPr>
        <w:b/>
        <w:bCs/>
      </w:rPr>
      <w:tblPr/>
      <w:tcPr>
        <w:tcBorders>
          <w:top w:val="single" w:sz="18" w:space="0" w:color="144C9F" w:themeColor="accent1" w:themeTint="BF"/>
        </w:tcBorders>
      </w:tcPr>
    </w:tblStylePr>
    <w:tblStylePr w:type="firstCol">
      <w:rPr>
        <w:b/>
        <w:bCs/>
      </w:rPr>
    </w:tblStylePr>
    <w:tblStylePr w:type="lastCol">
      <w:rPr>
        <w:b/>
        <w:bCs/>
      </w:r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MediumGrid1-Accent2">
    <w:name w:val="Medium Grid 1 Accent 2"/>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single" w:sz="8" w:space="0" w:color="78C6C7" w:themeColor="accent2" w:themeTint="BF"/>
        <w:insideV w:val="single" w:sz="8" w:space="0" w:color="78C6C7" w:themeColor="accent2" w:themeTint="BF"/>
      </w:tblBorders>
    </w:tblPr>
    <w:tcPr>
      <w:shd w:val="clear" w:color="auto" w:fill="D2ECEC" w:themeFill="accent2" w:themeFillTint="3F"/>
    </w:tcPr>
    <w:tblStylePr w:type="firstRow">
      <w:rPr>
        <w:b/>
        <w:bCs/>
      </w:rPr>
    </w:tblStylePr>
    <w:tblStylePr w:type="lastRow">
      <w:rPr>
        <w:b/>
        <w:bCs/>
      </w:rPr>
      <w:tblPr/>
      <w:tcPr>
        <w:tcBorders>
          <w:top w:val="single" w:sz="18" w:space="0" w:color="78C6C7" w:themeColor="accent2" w:themeTint="BF"/>
        </w:tcBorders>
      </w:tcPr>
    </w:tblStylePr>
    <w:tblStylePr w:type="firstCol">
      <w:rPr>
        <w:b/>
        <w:bCs/>
      </w:rPr>
    </w:tblStylePr>
    <w:tblStylePr w:type="lastCol">
      <w:rPr>
        <w:b/>
        <w:bCs/>
      </w:rPr>
    </w:tblStylePr>
    <w:tblStylePr w:type="band1Vert">
      <w:tblPr/>
      <w:tcPr>
        <w:shd w:val="clear" w:color="auto" w:fill="A5D9DA" w:themeFill="accent2" w:themeFillTint="7F"/>
      </w:tcPr>
    </w:tblStylePr>
    <w:tblStylePr w:type="band1Horz">
      <w:tblPr/>
      <w:tcPr>
        <w:shd w:val="clear" w:color="auto" w:fill="A5D9DA" w:themeFill="accent2" w:themeFillTint="7F"/>
      </w:tcPr>
    </w:tblStylePr>
  </w:style>
  <w:style w:type="table" w:styleId="MediumGrid1-Accent3">
    <w:name w:val="Medium Grid 1 Accent 3"/>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insideV w:val="single" w:sz="8" w:space="0" w:color="98DCF6" w:themeColor="accent3" w:themeTint="BF"/>
      </w:tblBorders>
    </w:tblPr>
    <w:tcPr>
      <w:shd w:val="clear" w:color="auto" w:fill="DDF3FC" w:themeFill="accent3" w:themeFillTint="3F"/>
    </w:tcPr>
    <w:tblStylePr w:type="firstRow">
      <w:rPr>
        <w:b/>
        <w:bCs/>
      </w:rPr>
    </w:tblStylePr>
    <w:tblStylePr w:type="lastRow">
      <w:rPr>
        <w:b/>
        <w:bCs/>
      </w:rPr>
      <w:tblPr/>
      <w:tcPr>
        <w:tcBorders>
          <w:top w:val="single" w:sz="18" w:space="0" w:color="98DCF6" w:themeColor="accent3" w:themeTint="BF"/>
        </w:tcBorders>
      </w:tcPr>
    </w:tblStylePr>
    <w:tblStylePr w:type="firstCol">
      <w:rPr>
        <w:b/>
        <w:bCs/>
      </w:rPr>
    </w:tblStylePr>
    <w:tblStylePr w:type="lastCol">
      <w:rPr>
        <w:b/>
        <w:bCs/>
      </w:r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MediumGrid1-Accent4">
    <w:name w:val="Medium Grid 1 Accent 4"/>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insideV w:val="single" w:sz="8" w:space="0" w:color="B3BAC3"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3BAC3" w:themeColor="accent4" w:themeTint="BF"/>
        </w:tcBorders>
      </w:tcPr>
    </w:tblStylePr>
    <w:tblStylePr w:type="firstCol">
      <w:rPr>
        <w:b/>
        <w:bCs/>
      </w:rPr>
    </w:tblStylePr>
    <w:tblStylePr w:type="lastCol">
      <w:rPr>
        <w:b/>
        <w:bCs/>
      </w:r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MediumGrid1-Accent5">
    <w:name w:val="Medium Grid 1 Accent 5"/>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insideV w:val="single" w:sz="8" w:space="0" w:color="CFDEAA" w:themeColor="accent5" w:themeTint="BF"/>
      </w:tblBorders>
    </w:tblPr>
    <w:tcPr>
      <w:shd w:val="clear" w:color="auto" w:fill="EFF4E3" w:themeFill="accent5" w:themeFillTint="3F"/>
    </w:tcPr>
    <w:tblStylePr w:type="firstRow">
      <w:rPr>
        <w:b/>
        <w:bCs/>
      </w:rPr>
    </w:tblStylePr>
    <w:tblStylePr w:type="lastRow">
      <w:rPr>
        <w:b/>
        <w:bCs/>
      </w:rPr>
      <w:tblPr/>
      <w:tcPr>
        <w:tcBorders>
          <w:top w:val="single" w:sz="18" w:space="0" w:color="CFDEAA" w:themeColor="accent5" w:themeTint="BF"/>
        </w:tcBorders>
      </w:tcPr>
    </w:tblStylePr>
    <w:tblStylePr w:type="firstCol">
      <w:rPr>
        <w:b/>
        <w:bCs/>
      </w:rPr>
    </w:tblStylePr>
    <w:tblStylePr w:type="lastCol">
      <w:rPr>
        <w:b/>
        <w:bCs/>
      </w:r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MediumGrid1-Accent6">
    <w:name w:val="Medium Grid 1 Accent 6"/>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insideV w:val="single" w:sz="8" w:space="0" w:color="93D0B0" w:themeColor="accent6" w:themeTint="BF"/>
      </w:tblBorders>
    </w:tblPr>
    <w:tcPr>
      <w:shd w:val="clear" w:color="auto" w:fill="DBEFE5" w:themeFill="accent6" w:themeFillTint="3F"/>
    </w:tcPr>
    <w:tblStylePr w:type="firstRow">
      <w:rPr>
        <w:b/>
        <w:bCs/>
      </w:rPr>
    </w:tblStylePr>
    <w:tblStylePr w:type="lastRow">
      <w:rPr>
        <w:b/>
        <w:bCs/>
      </w:rPr>
      <w:tblPr/>
      <w:tcPr>
        <w:tcBorders>
          <w:top w:val="single" w:sz="18" w:space="0" w:color="93D0B0" w:themeColor="accent6" w:themeTint="BF"/>
        </w:tcBorders>
      </w:tcPr>
    </w:tblStylePr>
    <w:tblStylePr w:type="firstCol">
      <w:rPr>
        <w:b/>
        <w:bCs/>
      </w:rPr>
    </w:tblStylePr>
    <w:tblStylePr w:type="lastCol">
      <w:rPr>
        <w:b/>
        <w:bCs/>
      </w:r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MediumGrid2">
    <w:name w:val="Medium Grid 2"/>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cPr>
      <w:shd w:val="clear" w:color="auto" w:fill="9EC0F2" w:themeFill="accent1" w:themeFillTint="3F"/>
    </w:tcPr>
    <w:tblStylePr w:type="firstRow">
      <w:rPr>
        <w:b/>
        <w:bCs/>
        <w:color w:val="000000" w:themeColor="text1"/>
      </w:rPr>
      <w:tblPr/>
      <w:tcPr>
        <w:shd w:val="clear" w:color="auto" w:fill="D8E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CCF5" w:themeFill="accent1" w:themeFillTint="33"/>
      </w:tcPr>
    </w:tblStylePr>
    <w:tblStylePr w:type="band1Vert">
      <w:tblPr/>
      <w:tcPr>
        <w:shd w:val="clear" w:color="auto" w:fill="3C81E6" w:themeFill="accent1" w:themeFillTint="7F"/>
      </w:tcPr>
    </w:tblStylePr>
    <w:tblStylePr w:type="band1Horz">
      <w:tblPr/>
      <w:tcPr>
        <w:tcBorders>
          <w:insideH w:val="single" w:sz="6" w:space="0" w:color="081E3E" w:themeColor="accent1"/>
          <w:insideV w:val="single" w:sz="6" w:space="0" w:color="081E3E" w:themeColor="accent1"/>
        </w:tcBorders>
        <w:shd w:val="clear" w:color="auto" w:fill="3C81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cPr>
      <w:shd w:val="clear" w:color="auto" w:fill="D2ECEC" w:themeFill="accent2" w:themeFillTint="3F"/>
    </w:tcPr>
    <w:tblStylePr w:type="firstRow">
      <w:rPr>
        <w:b/>
        <w:bCs/>
        <w:color w:val="000000" w:themeColor="text1"/>
      </w:rPr>
      <w:tblPr/>
      <w:tcPr>
        <w:shd w:val="clear" w:color="auto" w:fill="ED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F0" w:themeFill="accent2" w:themeFillTint="33"/>
      </w:tcPr>
    </w:tblStylePr>
    <w:tblStylePr w:type="band1Vert">
      <w:tblPr/>
      <w:tcPr>
        <w:shd w:val="clear" w:color="auto" w:fill="A5D9DA" w:themeFill="accent2" w:themeFillTint="7F"/>
      </w:tcPr>
    </w:tblStylePr>
    <w:tblStylePr w:type="band1Horz">
      <w:tblPr/>
      <w:tcPr>
        <w:tcBorders>
          <w:insideH w:val="single" w:sz="6" w:space="0" w:color="4BB3B5" w:themeColor="accent2"/>
          <w:insideV w:val="single" w:sz="6" w:space="0" w:color="4BB3B5" w:themeColor="accent2"/>
        </w:tcBorders>
        <w:shd w:val="clear" w:color="auto" w:fill="A5D9D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cPr>
      <w:shd w:val="clear" w:color="auto" w:fill="DDF3FC" w:themeFill="accent3" w:themeFillTint="3F"/>
    </w:tcPr>
    <w:tblStylePr w:type="firstRow">
      <w:rPr>
        <w:b/>
        <w:bCs/>
        <w:color w:val="000000" w:themeColor="text1"/>
      </w:rPr>
      <w:tblPr/>
      <w:tcPr>
        <w:shd w:val="clear" w:color="auto" w:fill="F1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C" w:themeFill="accent3" w:themeFillTint="33"/>
      </w:tcPr>
    </w:tblStylePr>
    <w:tblStylePr w:type="band1Vert">
      <w:tblPr/>
      <w:tcPr>
        <w:shd w:val="clear" w:color="auto" w:fill="BBE7F9" w:themeFill="accent3" w:themeFillTint="7F"/>
      </w:tcPr>
    </w:tblStylePr>
    <w:tblStylePr w:type="band1Horz">
      <w:tblPr/>
      <w:tcPr>
        <w:tcBorders>
          <w:insideH w:val="single" w:sz="6" w:space="0" w:color="77D1F4" w:themeColor="accent3"/>
          <w:insideV w:val="single" w:sz="6" w:space="0" w:color="77D1F4" w:themeColor="accent3"/>
        </w:tcBorders>
        <w:shd w:val="clear" w:color="auto" w:fill="BBE7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F" w:themeFill="accent4" w:themeFillTint="33"/>
      </w:tcPr>
    </w:tblStylePr>
    <w:tblStylePr w:type="band1Vert">
      <w:tblPr/>
      <w:tcPr>
        <w:shd w:val="clear" w:color="auto" w:fill="CCD1D7" w:themeFill="accent4" w:themeFillTint="7F"/>
      </w:tcPr>
    </w:tblStylePr>
    <w:tblStylePr w:type="band1Horz">
      <w:tblPr/>
      <w:tcPr>
        <w:tcBorders>
          <w:insideH w:val="single" w:sz="6" w:space="0" w:color="9AA3AF" w:themeColor="accent4"/>
          <w:insideV w:val="single" w:sz="6" w:space="0" w:color="9AA3AF" w:themeColor="accent4"/>
        </w:tcBorders>
        <w:shd w:val="clear" w:color="auto" w:fill="CCD1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cPr>
      <w:shd w:val="clear" w:color="auto" w:fill="EFF4E3" w:themeFill="accent5" w:themeFillTint="3F"/>
    </w:tcPr>
    <w:tblStylePr w:type="firstRow">
      <w:rPr>
        <w:b/>
        <w:bCs/>
        <w:color w:val="000000" w:themeColor="text1"/>
      </w:rPr>
      <w:tblPr/>
      <w:tcPr>
        <w:shd w:val="clear" w:color="auto" w:fill="F8FA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6E8" w:themeFill="accent5" w:themeFillTint="33"/>
      </w:tcPr>
    </w:tblStylePr>
    <w:tblStylePr w:type="band1Vert">
      <w:tblPr/>
      <w:tcPr>
        <w:shd w:val="clear" w:color="auto" w:fill="DFE9C7" w:themeFill="accent5" w:themeFillTint="7F"/>
      </w:tcPr>
    </w:tblStylePr>
    <w:tblStylePr w:type="band1Horz">
      <w:tblPr/>
      <w:tcPr>
        <w:tcBorders>
          <w:insideH w:val="single" w:sz="6" w:space="0" w:color="C0D48F" w:themeColor="accent5"/>
          <w:insideV w:val="single" w:sz="6" w:space="0" w:color="C0D48F" w:themeColor="accent5"/>
        </w:tcBorders>
        <w:shd w:val="clear" w:color="auto" w:fill="DFE9C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cPr>
      <w:shd w:val="clear" w:color="auto" w:fill="DBEFE5" w:themeFill="accent6" w:themeFillTint="3F"/>
    </w:tcPr>
    <w:tblStylePr w:type="firstRow">
      <w:rPr>
        <w:b/>
        <w:bCs/>
        <w:color w:val="000000" w:themeColor="text1"/>
      </w:rPr>
      <w:tblPr/>
      <w:tcPr>
        <w:shd w:val="clear" w:color="auto" w:fill="F0F9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2EA" w:themeFill="accent6" w:themeFillTint="33"/>
      </w:tcPr>
    </w:tblStylePr>
    <w:tblStylePr w:type="band1Vert">
      <w:tblPr/>
      <w:tcPr>
        <w:shd w:val="clear" w:color="auto" w:fill="B7E0CB" w:themeFill="accent6" w:themeFillTint="7F"/>
      </w:tcPr>
    </w:tblStylePr>
    <w:tblStylePr w:type="band1Horz">
      <w:tblPr/>
      <w:tcPr>
        <w:tcBorders>
          <w:insideH w:val="single" w:sz="6" w:space="0" w:color="6FC197" w:themeColor="accent6"/>
          <w:insideV w:val="single" w:sz="6" w:space="0" w:color="6FC197" w:themeColor="accent6"/>
        </w:tcBorders>
        <w:shd w:val="clear" w:color="auto" w:fill="B7E0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C0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1E3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1E3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81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81E6" w:themeFill="accent1" w:themeFillTint="7F"/>
      </w:tcPr>
    </w:tblStylePr>
  </w:style>
  <w:style w:type="table" w:styleId="MediumGrid3-Accent2">
    <w:name w:val="Medium Grid 3 Accent 2"/>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B3B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B3B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B3B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B3B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9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9DA" w:themeFill="accent2" w:themeFillTint="7F"/>
      </w:tcPr>
    </w:tblStylePr>
  </w:style>
  <w:style w:type="table" w:styleId="MediumGrid3-Accent3">
    <w:name w:val="Medium Grid 3 Accent 3"/>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D1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D1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E7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E7F9" w:themeFill="accent3" w:themeFillTint="7F"/>
      </w:tcPr>
    </w:tblStylePr>
  </w:style>
  <w:style w:type="table" w:styleId="MediumGrid3-Accent4">
    <w:name w:val="Medium Grid 3 Accent 4"/>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A3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A3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1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1D7" w:themeFill="accent4" w:themeFillTint="7F"/>
      </w:tcPr>
    </w:tblStylePr>
  </w:style>
  <w:style w:type="table" w:styleId="MediumGrid3-Accent5">
    <w:name w:val="Medium Grid 3 Accent 5"/>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4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D48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D48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9C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9C7" w:themeFill="accent5" w:themeFillTint="7F"/>
      </w:tcPr>
    </w:tblStylePr>
  </w:style>
  <w:style w:type="table" w:styleId="MediumGrid3-Accent6">
    <w:name w:val="Medium Grid 3 Accent 6"/>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F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C1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C1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0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0CB" w:themeFill="accent6" w:themeFillTint="7F"/>
      </w:tcPr>
    </w:tblStylePr>
  </w:style>
  <w:style w:type="table" w:styleId="MediumList1">
    <w:name w:val="Medium List 1"/>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1E3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081E3E" w:themeColor="accent1"/>
        <w:bottom w:val="single" w:sz="8" w:space="0" w:color="081E3E" w:themeColor="accent1"/>
      </w:tblBorders>
    </w:tblPr>
    <w:tblStylePr w:type="firstRow">
      <w:rPr>
        <w:rFonts w:asciiTheme="majorHAnsi" w:eastAsiaTheme="majorEastAsia" w:hAnsiTheme="majorHAnsi" w:cstheme="majorBidi"/>
      </w:rPr>
      <w:tblPr/>
      <w:tcPr>
        <w:tcBorders>
          <w:top w:val="nil"/>
          <w:bottom w:val="single" w:sz="8" w:space="0" w:color="081E3E" w:themeColor="accent1"/>
        </w:tcBorders>
      </w:tcPr>
    </w:tblStylePr>
    <w:tblStylePr w:type="lastRow">
      <w:rPr>
        <w:b/>
        <w:bCs/>
        <w:color w:val="081E3E" w:themeColor="text2"/>
      </w:rPr>
      <w:tblPr/>
      <w:tcPr>
        <w:tcBorders>
          <w:top w:val="single" w:sz="8" w:space="0" w:color="081E3E" w:themeColor="accent1"/>
          <w:bottom w:val="single" w:sz="8" w:space="0" w:color="081E3E" w:themeColor="accent1"/>
        </w:tcBorders>
      </w:tcPr>
    </w:tblStylePr>
    <w:tblStylePr w:type="firstCol">
      <w:rPr>
        <w:b/>
        <w:bCs/>
      </w:rPr>
    </w:tblStylePr>
    <w:tblStylePr w:type="lastCol">
      <w:rPr>
        <w:b/>
        <w:bCs/>
      </w:rPr>
      <w:tblPr/>
      <w:tcPr>
        <w:tcBorders>
          <w:top w:val="single" w:sz="8" w:space="0" w:color="081E3E" w:themeColor="accent1"/>
          <w:bottom w:val="single" w:sz="8" w:space="0" w:color="081E3E" w:themeColor="accent1"/>
        </w:tcBorders>
      </w:tcPr>
    </w:tblStylePr>
    <w:tblStylePr w:type="band1Vert">
      <w:tblPr/>
      <w:tcPr>
        <w:shd w:val="clear" w:color="auto" w:fill="9EC0F2" w:themeFill="accent1" w:themeFillTint="3F"/>
      </w:tcPr>
    </w:tblStylePr>
    <w:tblStylePr w:type="band1Horz">
      <w:tblPr/>
      <w:tcPr>
        <w:shd w:val="clear" w:color="auto" w:fill="9EC0F2" w:themeFill="accent1" w:themeFillTint="3F"/>
      </w:tcPr>
    </w:tblStylePr>
  </w:style>
  <w:style w:type="table" w:styleId="MediumList1-Accent2">
    <w:name w:val="Medium List 1 Accent 2"/>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4BB3B5" w:themeColor="accent2"/>
        <w:bottom w:val="single" w:sz="8" w:space="0" w:color="4BB3B5" w:themeColor="accent2"/>
      </w:tblBorders>
    </w:tblPr>
    <w:tblStylePr w:type="firstRow">
      <w:rPr>
        <w:rFonts w:asciiTheme="majorHAnsi" w:eastAsiaTheme="majorEastAsia" w:hAnsiTheme="majorHAnsi" w:cstheme="majorBidi"/>
      </w:rPr>
      <w:tblPr/>
      <w:tcPr>
        <w:tcBorders>
          <w:top w:val="nil"/>
          <w:bottom w:val="single" w:sz="8" w:space="0" w:color="4BB3B5" w:themeColor="accent2"/>
        </w:tcBorders>
      </w:tcPr>
    </w:tblStylePr>
    <w:tblStylePr w:type="lastRow">
      <w:rPr>
        <w:b/>
        <w:bCs/>
        <w:color w:val="081E3E" w:themeColor="text2"/>
      </w:rPr>
      <w:tblPr/>
      <w:tcPr>
        <w:tcBorders>
          <w:top w:val="single" w:sz="8" w:space="0" w:color="4BB3B5" w:themeColor="accent2"/>
          <w:bottom w:val="single" w:sz="8" w:space="0" w:color="4BB3B5" w:themeColor="accent2"/>
        </w:tcBorders>
      </w:tcPr>
    </w:tblStylePr>
    <w:tblStylePr w:type="firstCol">
      <w:rPr>
        <w:b/>
        <w:bCs/>
      </w:rPr>
    </w:tblStylePr>
    <w:tblStylePr w:type="lastCol">
      <w:rPr>
        <w:b/>
        <w:bCs/>
      </w:rPr>
      <w:tblPr/>
      <w:tcPr>
        <w:tcBorders>
          <w:top w:val="single" w:sz="8" w:space="0" w:color="4BB3B5" w:themeColor="accent2"/>
          <w:bottom w:val="single" w:sz="8" w:space="0" w:color="4BB3B5" w:themeColor="accent2"/>
        </w:tcBorders>
      </w:tcPr>
    </w:tblStylePr>
    <w:tblStylePr w:type="band1Vert">
      <w:tblPr/>
      <w:tcPr>
        <w:shd w:val="clear" w:color="auto" w:fill="D2ECEC" w:themeFill="accent2" w:themeFillTint="3F"/>
      </w:tcPr>
    </w:tblStylePr>
    <w:tblStylePr w:type="band1Horz">
      <w:tblPr/>
      <w:tcPr>
        <w:shd w:val="clear" w:color="auto" w:fill="D2ECEC" w:themeFill="accent2" w:themeFillTint="3F"/>
      </w:tcPr>
    </w:tblStylePr>
  </w:style>
  <w:style w:type="table" w:styleId="MediumList1-Accent3">
    <w:name w:val="Medium List 1 Accent 3"/>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77D1F4" w:themeColor="accent3"/>
        <w:bottom w:val="single" w:sz="8" w:space="0" w:color="77D1F4" w:themeColor="accent3"/>
      </w:tblBorders>
    </w:tblPr>
    <w:tblStylePr w:type="firstRow">
      <w:rPr>
        <w:rFonts w:asciiTheme="majorHAnsi" w:eastAsiaTheme="majorEastAsia" w:hAnsiTheme="majorHAnsi" w:cstheme="majorBidi"/>
      </w:rPr>
      <w:tblPr/>
      <w:tcPr>
        <w:tcBorders>
          <w:top w:val="nil"/>
          <w:bottom w:val="single" w:sz="8" w:space="0" w:color="77D1F4" w:themeColor="accent3"/>
        </w:tcBorders>
      </w:tcPr>
    </w:tblStylePr>
    <w:tblStylePr w:type="lastRow">
      <w:rPr>
        <w:b/>
        <w:bCs/>
        <w:color w:val="081E3E" w:themeColor="text2"/>
      </w:rPr>
      <w:tblPr/>
      <w:tcPr>
        <w:tcBorders>
          <w:top w:val="single" w:sz="8" w:space="0" w:color="77D1F4" w:themeColor="accent3"/>
          <w:bottom w:val="single" w:sz="8" w:space="0" w:color="77D1F4" w:themeColor="accent3"/>
        </w:tcBorders>
      </w:tcPr>
    </w:tblStylePr>
    <w:tblStylePr w:type="firstCol">
      <w:rPr>
        <w:b/>
        <w:bCs/>
      </w:rPr>
    </w:tblStylePr>
    <w:tblStylePr w:type="lastCol">
      <w:rPr>
        <w:b/>
        <w:bCs/>
      </w:rPr>
      <w:tblPr/>
      <w:tcPr>
        <w:tcBorders>
          <w:top w:val="single" w:sz="8" w:space="0" w:color="77D1F4" w:themeColor="accent3"/>
          <w:bottom w:val="single" w:sz="8" w:space="0" w:color="77D1F4" w:themeColor="accent3"/>
        </w:tcBorders>
      </w:tcPr>
    </w:tblStylePr>
    <w:tblStylePr w:type="band1Vert">
      <w:tblPr/>
      <w:tcPr>
        <w:shd w:val="clear" w:color="auto" w:fill="DDF3FC" w:themeFill="accent3" w:themeFillTint="3F"/>
      </w:tcPr>
    </w:tblStylePr>
    <w:tblStylePr w:type="band1Horz">
      <w:tblPr/>
      <w:tcPr>
        <w:shd w:val="clear" w:color="auto" w:fill="DDF3FC" w:themeFill="accent3" w:themeFillTint="3F"/>
      </w:tcPr>
    </w:tblStylePr>
  </w:style>
  <w:style w:type="table" w:styleId="MediumList1-Accent4">
    <w:name w:val="Medium List 1 Accent 4"/>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9AA3AF" w:themeColor="accent4"/>
        <w:bottom w:val="single" w:sz="8" w:space="0" w:color="9AA3AF" w:themeColor="accent4"/>
      </w:tblBorders>
    </w:tblPr>
    <w:tblStylePr w:type="firstRow">
      <w:rPr>
        <w:rFonts w:asciiTheme="majorHAnsi" w:eastAsiaTheme="majorEastAsia" w:hAnsiTheme="majorHAnsi" w:cstheme="majorBidi"/>
      </w:rPr>
      <w:tblPr/>
      <w:tcPr>
        <w:tcBorders>
          <w:top w:val="nil"/>
          <w:bottom w:val="single" w:sz="8" w:space="0" w:color="9AA3AF" w:themeColor="accent4"/>
        </w:tcBorders>
      </w:tcPr>
    </w:tblStylePr>
    <w:tblStylePr w:type="lastRow">
      <w:rPr>
        <w:b/>
        <w:bCs/>
        <w:color w:val="081E3E" w:themeColor="text2"/>
      </w:rPr>
      <w:tblPr/>
      <w:tcPr>
        <w:tcBorders>
          <w:top w:val="single" w:sz="8" w:space="0" w:color="9AA3AF" w:themeColor="accent4"/>
          <w:bottom w:val="single" w:sz="8" w:space="0" w:color="9AA3AF" w:themeColor="accent4"/>
        </w:tcBorders>
      </w:tcPr>
    </w:tblStylePr>
    <w:tblStylePr w:type="firstCol">
      <w:rPr>
        <w:b/>
        <w:bCs/>
      </w:rPr>
    </w:tblStylePr>
    <w:tblStylePr w:type="lastCol">
      <w:rPr>
        <w:b/>
        <w:bCs/>
      </w:rPr>
      <w:tblPr/>
      <w:tcPr>
        <w:tcBorders>
          <w:top w:val="single" w:sz="8" w:space="0" w:color="9AA3AF" w:themeColor="accent4"/>
          <w:bottom w:val="single" w:sz="8" w:space="0" w:color="9AA3AF"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C0D48F" w:themeColor="accent5"/>
        <w:bottom w:val="single" w:sz="8" w:space="0" w:color="C0D48F" w:themeColor="accent5"/>
      </w:tblBorders>
    </w:tblPr>
    <w:tblStylePr w:type="firstRow">
      <w:rPr>
        <w:rFonts w:asciiTheme="majorHAnsi" w:eastAsiaTheme="majorEastAsia" w:hAnsiTheme="majorHAnsi" w:cstheme="majorBidi"/>
      </w:rPr>
      <w:tblPr/>
      <w:tcPr>
        <w:tcBorders>
          <w:top w:val="nil"/>
          <w:bottom w:val="single" w:sz="8" w:space="0" w:color="C0D48F" w:themeColor="accent5"/>
        </w:tcBorders>
      </w:tcPr>
    </w:tblStylePr>
    <w:tblStylePr w:type="lastRow">
      <w:rPr>
        <w:b/>
        <w:bCs/>
        <w:color w:val="081E3E" w:themeColor="text2"/>
      </w:rPr>
      <w:tblPr/>
      <w:tcPr>
        <w:tcBorders>
          <w:top w:val="single" w:sz="8" w:space="0" w:color="C0D48F" w:themeColor="accent5"/>
          <w:bottom w:val="single" w:sz="8" w:space="0" w:color="C0D48F" w:themeColor="accent5"/>
        </w:tcBorders>
      </w:tcPr>
    </w:tblStylePr>
    <w:tblStylePr w:type="firstCol">
      <w:rPr>
        <w:b/>
        <w:bCs/>
      </w:rPr>
    </w:tblStylePr>
    <w:tblStylePr w:type="lastCol">
      <w:rPr>
        <w:b/>
        <w:bCs/>
      </w:rPr>
      <w:tblPr/>
      <w:tcPr>
        <w:tcBorders>
          <w:top w:val="single" w:sz="8" w:space="0" w:color="C0D48F" w:themeColor="accent5"/>
          <w:bottom w:val="single" w:sz="8" w:space="0" w:color="C0D48F" w:themeColor="accent5"/>
        </w:tcBorders>
      </w:tcPr>
    </w:tblStylePr>
    <w:tblStylePr w:type="band1Vert">
      <w:tblPr/>
      <w:tcPr>
        <w:shd w:val="clear" w:color="auto" w:fill="EFF4E3" w:themeFill="accent5" w:themeFillTint="3F"/>
      </w:tcPr>
    </w:tblStylePr>
    <w:tblStylePr w:type="band1Horz">
      <w:tblPr/>
      <w:tcPr>
        <w:shd w:val="clear" w:color="auto" w:fill="EFF4E3" w:themeFill="accent5" w:themeFillTint="3F"/>
      </w:tcPr>
    </w:tblStylePr>
  </w:style>
  <w:style w:type="table" w:styleId="MediumList1-Accent6">
    <w:name w:val="Medium List 1 Accent 6"/>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6FC197" w:themeColor="accent6"/>
        <w:bottom w:val="single" w:sz="8" w:space="0" w:color="6FC197" w:themeColor="accent6"/>
      </w:tblBorders>
    </w:tblPr>
    <w:tblStylePr w:type="firstRow">
      <w:rPr>
        <w:rFonts w:asciiTheme="majorHAnsi" w:eastAsiaTheme="majorEastAsia" w:hAnsiTheme="majorHAnsi" w:cstheme="majorBidi"/>
      </w:rPr>
      <w:tblPr/>
      <w:tcPr>
        <w:tcBorders>
          <w:top w:val="nil"/>
          <w:bottom w:val="single" w:sz="8" w:space="0" w:color="6FC197" w:themeColor="accent6"/>
        </w:tcBorders>
      </w:tcPr>
    </w:tblStylePr>
    <w:tblStylePr w:type="lastRow">
      <w:rPr>
        <w:b/>
        <w:bCs/>
        <w:color w:val="081E3E" w:themeColor="text2"/>
      </w:rPr>
      <w:tblPr/>
      <w:tcPr>
        <w:tcBorders>
          <w:top w:val="single" w:sz="8" w:space="0" w:color="6FC197" w:themeColor="accent6"/>
          <w:bottom w:val="single" w:sz="8" w:space="0" w:color="6FC197" w:themeColor="accent6"/>
        </w:tcBorders>
      </w:tcPr>
    </w:tblStylePr>
    <w:tblStylePr w:type="firstCol">
      <w:rPr>
        <w:b/>
        <w:bCs/>
      </w:rPr>
    </w:tblStylePr>
    <w:tblStylePr w:type="lastCol">
      <w:rPr>
        <w:b/>
        <w:bCs/>
      </w:rPr>
      <w:tblPr/>
      <w:tcPr>
        <w:tcBorders>
          <w:top w:val="single" w:sz="8" w:space="0" w:color="6FC197" w:themeColor="accent6"/>
          <w:bottom w:val="single" w:sz="8" w:space="0" w:color="6FC197" w:themeColor="accent6"/>
        </w:tcBorders>
      </w:tcPr>
    </w:tblStylePr>
    <w:tblStylePr w:type="band1Vert">
      <w:tblPr/>
      <w:tcPr>
        <w:shd w:val="clear" w:color="auto" w:fill="DBEFE5" w:themeFill="accent6" w:themeFillTint="3F"/>
      </w:tcPr>
    </w:tblStylePr>
    <w:tblStylePr w:type="band1Horz">
      <w:tblPr/>
      <w:tcPr>
        <w:shd w:val="clear" w:color="auto" w:fill="DBEFE5" w:themeFill="accent6" w:themeFillTint="3F"/>
      </w:tcPr>
    </w:tblStylePr>
  </w:style>
  <w:style w:type="table" w:styleId="MediumList2">
    <w:name w:val="Medium List 2"/>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tblBorders>
    </w:tblPr>
    <w:tblStylePr w:type="firstRow">
      <w:rPr>
        <w:sz w:val="24"/>
        <w:szCs w:val="24"/>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tblPr/>
      <w:tcPr>
        <w:tcBorders>
          <w:top w:val="single" w:sz="8" w:space="0" w:color="4BB3B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B3B5" w:themeColor="accent2"/>
          <w:insideH w:val="nil"/>
          <w:insideV w:val="nil"/>
        </w:tcBorders>
        <w:shd w:val="clear" w:color="auto" w:fill="FFFFFF" w:themeFill="background1"/>
      </w:tcPr>
    </w:tblStylePr>
    <w:tblStylePr w:type="lastCol">
      <w:tblPr/>
      <w:tcPr>
        <w:tcBorders>
          <w:top w:val="nil"/>
          <w:left w:val="single" w:sz="8" w:space="0" w:color="4BB3B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EC" w:themeFill="accent2" w:themeFillTint="3F"/>
      </w:tcPr>
    </w:tblStylePr>
    <w:tblStylePr w:type="band1Horz">
      <w:tblPr/>
      <w:tcPr>
        <w:tcBorders>
          <w:top w:val="nil"/>
          <w:bottom w:val="nil"/>
          <w:insideH w:val="nil"/>
          <w:insideV w:val="nil"/>
        </w:tcBorders>
        <w:shd w:val="clear" w:color="auto" w:fill="D2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rPr>
        <w:sz w:val="24"/>
        <w:szCs w:val="24"/>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tblPr/>
      <w:tcPr>
        <w:tcBorders>
          <w:top w:val="single" w:sz="8" w:space="0" w:color="77D1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D1F4" w:themeColor="accent3"/>
          <w:insideH w:val="nil"/>
          <w:insideV w:val="nil"/>
        </w:tcBorders>
        <w:shd w:val="clear" w:color="auto" w:fill="FFFFFF" w:themeFill="background1"/>
      </w:tcPr>
    </w:tblStylePr>
    <w:tblStylePr w:type="lastCol">
      <w:tblPr/>
      <w:tcPr>
        <w:tcBorders>
          <w:top w:val="nil"/>
          <w:left w:val="single" w:sz="8" w:space="0" w:color="77D1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top w:val="nil"/>
          <w:bottom w:val="nil"/>
          <w:insideH w:val="nil"/>
          <w:insideV w:val="nil"/>
        </w:tcBorders>
        <w:shd w:val="clear" w:color="auto" w:fill="DD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rPr>
        <w:sz w:val="24"/>
        <w:szCs w:val="24"/>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tblPr/>
      <w:tcPr>
        <w:tcBorders>
          <w:top w:val="single" w:sz="8" w:space="0" w:color="9AA3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A3AF" w:themeColor="accent4"/>
          <w:insideH w:val="nil"/>
          <w:insideV w:val="nil"/>
        </w:tcBorders>
        <w:shd w:val="clear" w:color="auto" w:fill="FFFFFF" w:themeFill="background1"/>
      </w:tcPr>
    </w:tblStylePr>
    <w:tblStylePr w:type="lastCol">
      <w:tblPr/>
      <w:tcPr>
        <w:tcBorders>
          <w:top w:val="nil"/>
          <w:left w:val="single" w:sz="8" w:space="0" w:color="9AA3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rPr>
        <w:sz w:val="24"/>
        <w:szCs w:val="24"/>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tblPr/>
      <w:tcPr>
        <w:tcBorders>
          <w:top w:val="single" w:sz="8" w:space="0" w:color="C0D48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D48F" w:themeColor="accent5"/>
          <w:insideH w:val="nil"/>
          <w:insideV w:val="nil"/>
        </w:tcBorders>
        <w:shd w:val="clear" w:color="auto" w:fill="FFFFFF" w:themeFill="background1"/>
      </w:tcPr>
    </w:tblStylePr>
    <w:tblStylePr w:type="lastCol">
      <w:tblPr/>
      <w:tcPr>
        <w:tcBorders>
          <w:top w:val="nil"/>
          <w:left w:val="single" w:sz="8" w:space="0" w:color="C0D48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top w:val="nil"/>
          <w:bottom w:val="nil"/>
          <w:insideH w:val="nil"/>
          <w:insideV w:val="nil"/>
        </w:tcBorders>
        <w:shd w:val="clear" w:color="auto" w:fill="EFF4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rPr>
        <w:sz w:val="24"/>
        <w:szCs w:val="24"/>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tblPr/>
      <w:tcPr>
        <w:tcBorders>
          <w:top w:val="single" w:sz="8" w:space="0" w:color="6FC1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C197" w:themeColor="accent6"/>
          <w:insideH w:val="nil"/>
          <w:insideV w:val="nil"/>
        </w:tcBorders>
        <w:shd w:val="clear" w:color="auto" w:fill="FFFFFF" w:themeFill="background1"/>
      </w:tcPr>
    </w:tblStylePr>
    <w:tblStylePr w:type="lastCol">
      <w:tblPr/>
      <w:tcPr>
        <w:tcBorders>
          <w:top w:val="nil"/>
          <w:left w:val="single" w:sz="8" w:space="0" w:color="6FC1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top w:val="nil"/>
          <w:bottom w:val="nil"/>
          <w:insideH w:val="nil"/>
          <w:insideV w:val="nil"/>
        </w:tcBorders>
        <w:shd w:val="clear" w:color="auto" w:fill="DBEF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tblBorders>
    </w:tblPr>
    <w:tblStylePr w:type="firstRow">
      <w:pPr>
        <w:spacing w:before="0" w:after="0" w:line="240" w:lineRule="auto"/>
      </w:pPr>
      <w:rPr>
        <w:b/>
        <w:bCs/>
        <w:color w:val="FFFFFF" w:themeColor="background1"/>
      </w:rPr>
      <w:tblPr/>
      <w:tcPr>
        <w:tc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shd w:val="clear" w:color="auto" w:fill="081E3E" w:themeFill="accent1"/>
      </w:tcPr>
    </w:tblStylePr>
    <w:tblStylePr w:type="lastRow">
      <w:pPr>
        <w:spacing w:before="0" w:after="0" w:line="240" w:lineRule="auto"/>
      </w:pPr>
      <w:rPr>
        <w:b/>
        <w:bCs/>
      </w:rPr>
      <w:tblPr/>
      <w:tcPr>
        <w:tcBorders>
          <w:top w:val="double" w:sz="6"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C0F2" w:themeFill="accent1" w:themeFillTint="3F"/>
      </w:tcPr>
    </w:tblStylePr>
    <w:tblStylePr w:type="band1Horz">
      <w:tblPr/>
      <w:tcPr>
        <w:tcBorders>
          <w:insideH w:val="nil"/>
          <w:insideV w:val="nil"/>
        </w:tcBorders>
        <w:shd w:val="clear" w:color="auto" w:fill="9EC0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single" w:sz="8" w:space="0" w:color="78C6C7" w:themeColor="accent2" w:themeTint="BF"/>
      </w:tblBorders>
    </w:tblPr>
    <w:tblStylePr w:type="firstRow">
      <w:pPr>
        <w:spacing w:before="0" w:after="0" w:line="240" w:lineRule="auto"/>
      </w:pPr>
      <w:rPr>
        <w:b/>
        <w:bCs/>
        <w:color w:val="FFFFFF" w:themeColor="background1"/>
      </w:rPr>
      <w:tblPr/>
      <w:tcPr>
        <w:tc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nil"/>
          <w:insideV w:val="nil"/>
        </w:tcBorders>
        <w:shd w:val="clear" w:color="auto" w:fill="4BB3B5" w:themeFill="accent2"/>
      </w:tcPr>
    </w:tblStylePr>
    <w:tblStylePr w:type="lastRow">
      <w:pPr>
        <w:spacing w:before="0" w:after="0" w:line="240" w:lineRule="auto"/>
      </w:pPr>
      <w:rPr>
        <w:b/>
        <w:bCs/>
      </w:rPr>
      <w:tblPr/>
      <w:tcPr>
        <w:tcBorders>
          <w:top w:val="double" w:sz="6"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CEC" w:themeFill="accent2" w:themeFillTint="3F"/>
      </w:tcPr>
    </w:tblStylePr>
    <w:tblStylePr w:type="band1Horz">
      <w:tblPr/>
      <w:tcPr>
        <w:tcBorders>
          <w:insideH w:val="nil"/>
          <w:insideV w:val="nil"/>
        </w:tcBorders>
        <w:shd w:val="clear" w:color="auto" w:fill="D2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tblBorders>
    </w:tblPr>
    <w:tblStylePr w:type="firstRow">
      <w:pPr>
        <w:spacing w:before="0" w:after="0" w:line="240" w:lineRule="auto"/>
      </w:pPr>
      <w:rPr>
        <w:b/>
        <w:bCs/>
        <w:color w:val="FFFFFF" w:themeColor="background1"/>
      </w:rPr>
      <w:tblPr/>
      <w:tcPr>
        <w:tc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shd w:val="clear" w:color="auto" w:fill="77D1F4" w:themeFill="accent3"/>
      </w:tcPr>
    </w:tblStylePr>
    <w:tblStylePr w:type="lastRow">
      <w:pPr>
        <w:spacing w:before="0" w:after="0" w:line="240" w:lineRule="auto"/>
      </w:pPr>
      <w:rPr>
        <w:b/>
        <w:bCs/>
      </w:rPr>
      <w:tblPr/>
      <w:tcPr>
        <w:tcBorders>
          <w:top w:val="double" w:sz="6"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3FC" w:themeFill="accent3" w:themeFillTint="3F"/>
      </w:tcPr>
    </w:tblStylePr>
    <w:tblStylePr w:type="band1Horz">
      <w:tblPr/>
      <w:tcPr>
        <w:tcBorders>
          <w:insideH w:val="nil"/>
          <w:insideV w:val="nil"/>
        </w:tcBorders>
        <w:shd w:val="clear" w:color="auto" w:fill="DD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tblBorders>
    </w:tblPr>
    <w:tblStylePr w:type="firstRow">
      <w:pPr>
        <w:spacing w:before="0" w:after="0" w:line="240" w:lineRule="auto"/>
      </w:pPr>
      <w:rPr>
        <w:b/>
        <w:bCs/>
        <w:color w:val="FFFFFF" w:themeColor="background1"/>
      </w:rPr>
      <w:tblPr/>
      <w:tcPr>
        <w:tc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shd w:val="clear" w:color="auto" w:fill="9AA3AF" w:themeFill="accent4"/>
      </w:tcPr>
    </w:tblStylePr>
    <w:tblStylePr w:type="lastRow">
      <w:pPr>
        <w:spacing w:before="0" w:after="0" w:line="240" w:lineRule="auto"/>
      </w:pPr>
      <w:rPr>
        <w:b/>
        <w:bCs/>
      </w:rPr>
      <w:tblPr/>
      <w:tcPr>
        <w:tcBorders>
          <w:top w:val="double" w:sz="6"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tblBorders>
    </w:tblPr>
    <w:tblStylePr w:type="firstRow">
      <w:pPr>
        <w:spacing w:before="0" w:after="0" w:line="240" w:lineRule="auto"/>
      </w:pPr>
      <w:rPr>
        <w:b/>
        <w:bCs/>
        <w:color w:val="FFFFFF" w:themeColor="background1"/>
      </w:rPr>
      <w:tblPr/>
      <w:tcPr>
        <w:tc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shd w:val="clear" w:color="auto" w:fill="C0D48F" w:themeFill="accent5"/>
      </w:tcPr>
    </w:tblStylePr>
    <w:tblStylePr w:type="lastRow">
      <w:pPr>
        <w:spacing w:before="0" w:after="0" w:line="240" w:lineRule="auto"/>
      </w:pPr>
      <w:rPr>
        <w:b/>
        <w:bCs/>
      </w:rPr>
      <w:tblPr/>
      <w:tcPr>
        <w:tcBorders>
          <w:top w:val="double" w:sz="6"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4E3" w:themeFill="accent5" w:themeFillTint="3F"/>
      </w:tcPr>
    </w:tblStylePr>
    <w:tblStylePr w:type="band1Horz">
      <w:tblPr/>
      <w:tcPr>
        <w:tcBorders>
          <w:insideH w:val="nil"/>
          <w:insideV w:val="nil"/>
        </w:tcBorders>
        <w:shd w:val="clear" w:color="auto" w:fill="EFF4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tblBorders>
    </w:tblPr>
    <w:tblStylePr w:type="firstRow">
      <w:pPr>
        <w:spacing w:before="0" w:after="0" w:line="240" w:lineRule="auto"/>
      </w:pPr>
      <w:rPr>
        <w:b/>
        <w:bCs/>
        <w:color w:val="FFFFFF" w:themeColor="background1"/>
      </w:rPr>
      <w:tblPr/>
      <w:tcPr>
        <w:tc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shd w:val="clear" w:color="auto" w:fill="6FC197" w:themeFill="accent6"/>
      </w:tcPr>
    </w:tblStylePr>
    <w:tblStylePr w:type="lastRow">
      <w:pPr>
        <w:spacing w:before="0" w:after="0" w:line="240" w:lineRule="auto"/>
      </w:pPr>
      <w:rPr>
        <w:b/>
        <w:bCs/>
      </w:rPr>
      <w:tblPr/>
      <w:tcPr>
        <w:tcBorders>
          <w:top w:val="double" w:sz="6"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FE5" w:themeFill="accent6" w:themeFillTint="3F"/>
      </w:tcPr>
    </w:tblStylePr>
    <w:tblStylePr w:type="band1Horz">
      <w:tblPr/>
      <w:tcPr>
        <w:tcBorders>
          <w:insideH w:val="nil"/>
          <w:insideV w:val="nil"/>
        </w:tcBorders>
        <w:shd w:val="clear" w:color="auto" w:fill="DBEF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1E3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1E3E" w:themeFill="accent1"/>
      </w:tcPr>
    </w:tblStylePr>
    <w:tblStylePr w:type="lastCol">
      <w:rPr>
        <w:b/>
        <w:bCs/>
        <w:color w:val="FFFFFF" w:themeColor="background1"/>
      </w:rPr>
      <w:tblPr/>
      <w:tcPr>
        <w:tcBorders>
          <w:left w:val="nil"/>
          <w:right w:val="nil"/>
          <w:insideH w:val="nil"/>
          <w:insideV w:val="nil"/>
        </w:tcBorders>
        <w:shd w:val="clear" w:color="auto" w:fill="081E3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B3B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B3B5" w:themeFill="accent2"/>
      </w:tcPr>
    </w:tblStylePr>
    <w:tblStylePr w:type="lastCol">
      <w:rPr>
        <w:b/>
        <w:bCs/>
        <w:color w:val="FFFFFF" w:themeColor="background1"/>
      </w:rPr>
      <w:tblPr/>
      <w:tcPr>
        <w:tcBorders>
          <w:left w:val="nil"/>
          <w:right w:val="nil"/>
          <w:insideH w:val="nil"/>
          <w:insideV w:val="nil"/>
        </w:tcBorders>
        <w:shd w:val="clear" w:color="auto" w:fill="4BB3B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D1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D1F4" w:themeFill="accent3"/>
      </w:tcPr>
    </w:tblStylePr>
    <w:tblStylePr w:type="lastCol">
      <w:rPr>
        <w:b/>
        <w:bCs/>
        <w:color w:val="FFFFFF" w:themeColor="background1"/>
      </w:rPr>
      <w:tblPr/>
      <w:tcPr>
        <w:tcBorders>
          <w:left w:val="nil"/>
          <w:right w:val="nil"/>
          <w:insideH w:val="nil"/>
          <w:insideV w:val="nil"/>
        </w:tcBorders>
        <w:shd w:val="clear" w:color="auto" w:fill="77D1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A3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A3AF" w:themeFill="accent4"/>
      </w:tcPr>
    </w:tblStylePr>
    <w:tblStylePr w:type="lastCol">
      <w:rPr>
        <w:b/>
        <w:bCs/>
        <w:color w:val="FFFFFF" w:themeColor="background1"/>
      </w:rPr>
      <w:tblPr/>
      <w:tcPr>
        <w:tcBorders>
          <w:left w:val="nil"/>
          <w:right w:val="nil"/>
          <w:insideH w:val="nil"/>
          <w:insideV w:val="nil"/>
        </w:tcBorders>
        <w:shd w:val="clear" w:color="auto" w:fill="9AA3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D4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D48F" w:themeFill="accent5"/>
      </w:tcPr>
    </w:tblStylePr>
    <w:tblStylePr w:type="lastCol">
      <w:rPr>
        <w:b/>
        <w:bCs/>
        <w:color w:val="FFFFFF" w:themeColor="background1"/>
      </w:rPr>
      <w:tblPr/>
      <w:tcPr>
        <w:tcBorders>
          <w:left w:val="nil"/>
          <w:right w:val="nil"/>
          <w:insideH w:val="nil"/>
          <w:insideV w:val="nil"/>
        </w:tcBorders>
        <w:shd w:val="clear" w:color="auto" w:fill="C0D4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C1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C197" w:themeFill="accent6"/>
      </w:tcPr>
    </w:tblStylePr>
    <w:tblStylePr w:type="lastCol">
      <w:rPr>
        <w:b/>
        <w:bCs/>
        <w:color w:val="FFFFFF" w:themeColor="background1"/>
      </w:rPr>
      <w:tblPr/>
      <w:tcPr>
        <w:tcBorders>
          <w:left w:val="nil"/>
          <w:right w:val="nil"/>
          <w:insideH w:val="nil"/>
          <w:insideV w:val="nil"/>
        </w:tcBorders>
        <w:shd w:val="clear" w:color="auto" w:fill="6FC1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23F09"/>
    <w:pPr>
      <w:spacing w:before="0" w:after="0"/>
    </w:pPr>
    <w:rPr>
      <w:rFonts w:ascii="Times New Roman" w:eastAsia="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23F09"/>
    <w:pPr>
      <w:spacing w:before="0" w:after="0"/>
    </w:pPr>
    <w:rPr>
      <w:rFonts w:ascii="Times New Roman" w:eastAsia="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2">
    <w:name w:val="Table Grid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23F09"/>
    <w:pPr>
      <w:spacing w:before="0" w:after="0"/>
    </w:pPr>
    <w:rPr>
      <w:rFonts w:ascii="Times New Roman" w:eastAsia="Times New Roman" w:hAnsi="Times New Roman" w:cs="Times New Roman"/>
      <w:color w:val="auto"/>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223F09"/>
    <w:pPr>
      <w:spacing w:before="0" w:after="0"/>
    </w:pPr>
    <w:rPr>
      <w:rFonts w:ascii="Times New Roman" w:eastAsia="Times New Roman" w:hAnsi="Times New Roman" w:cs="Times New Roman"/>
      <w:color w:val="auto"/>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223F09"/>
    <w:pPr>
      <w:spacing w:before="0" w:after="0"/>
    </w:pPr>
    <w:rPr>
      <w:rFonts w:ascii="Times New Roman" w:eastAsia="Times New Roman" w:hAnsi="Times New Roman" w:cs="Times New Roman"/>
      <w:color w:val="auto"/>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er">
    <w:name w:val="Table header"/>
    <w:next w:val="Normal"/>
    <w:qFormat/>
    <w:rsid w:val="00223F09"/>
    <w:pPr>
      <w:numPr>
        <w:ilvl w:val="7"/>
        <w:numId w:val="25"/>
      </w:numPr>
      <w:tabs>
        <w:tab w:val="left" w:pos="1134"/>
        <w:tab w:val="left" w:pos="1418"/>
      </w:tabs>
      <w:spacing w:before="300" w:after="200"/>
    </w:pPr>
    <w:rPr>
      <w:rFonts w:ascii="Arial" w:hAnsi="Arial" w:cs="Arial"/>
      <w:color w:val="081E3E" w:themeColor="accent1"/>
      <w:sz w:val="22"/>
      <w:u w:color="1C68D9" w:themeColor="text2" w:themeTint="99"/>
    </w:rPr>
  </w:style>
  <w:style w:type="numbering" w:customStyle="1" w:styleId="Listoftables">
    <w:name w:val="List of tables"/>
    <w:uiPriority w:val="99"/>
    <w:rsid w:val="00223F09"/>
    <w:pPr>
      <w:numPr>
        <w:numId w:val="20"/>
      </w:numPr>
    </w:pPr>
  </w:style>
  <w:style w:type="numbering" w:customStyle="1" w:styleId="ListofMaps">
    <w:name w:val="List of Maps"/>
    <w:uiPriority w:val="99"/>
    <w:rsid w:val="00223F09"/>
    <w:pPr>
      <w:numPr>
        <w:numId w:val="21"/>
      </w:numPr>
    </w:pPr>
  </w:style>
  <w:style w:type="numbering" w:customStyle="1" w:styleId="ListofFigures">
    <w:name w:val="List of Figures"/>
    <w:uiPriority w:val="99"/>
    <w:rsid w:val="00223F09"/>
    <w:pPr>
      <w:numPr>
        <w:numId w:val="22"/>
      </w:numPr>
    </w:pPr>
  </w:style>
  <w:style w:type="paragraph" w:customStyle="1" w:styleId="MapHeading">
    <w:name w:val="Map Heading"/>
    <w:qFormat/>
    <w:rsid w:val="00223F09"/>
    <w:pPr>
      <w:numPr>
        <w:ilvl w:val="6"/>
        <w:numId w:val="25"/>
      </w:numPr>
      <w:tabs>
        <w:tab w:val="left" w:pos="1134"/>
        <w:tab w:val="left" w:pos="1418"/>
      </w:tabs>
      <w:spacing w:before="300" w:after="200"/>
    </w:pPr>
    <w:rPr>
      <w:rFonts w:asciiTheme="majorHAnsi" w:hAnsiTheme="majorHAnsi" w:cs="Arial"/>
      <w:sz w:val="22"/>
      <w:u w:color="1C68D9" w:themeColor="text2" w:themeTint="99"/>
    </w:rPr>
  </w:style>
  <w:style w:type="numbering" w:customStyle="1" w:styleId="DepartmentChapterHeadersNumbered">
    <w:name w:val="Department Chapter Headers Numbered"/>
    <w:uiPriority w:val="99"/>
    <w:rsid w:val="00223F09"/>
    <w:pPr>
      <w:numPr>
        <w:numId w:val="23"/>
      </w:numPr>
    </w:pPr>
  </w:style>
  <w:style w:type="paragraph" w:customStyle="1" w:styleId="Monthyearsubtitle">
    <w:name w:val="Month year subtitle"/>
    <w:next w:val="Normal"/>
    <w:qFormat/>
    <w:rsid w:val="00223F09"/>
    <w:pPr>
      <w:spacing w:before="120" w:after="120"/>
    </w:pPr>
    <w:rPr>
      <w:rFonts w:ascii="Segoe UI" w:hAnsi="Segoe UI" w:cs="FranklinGothic-Book"/>
      <w:noProof/>
      <w:color w:val="FFFFFF" w:themeColor="background1"/>
      <w:sz w:val="32"/>
      <w:szCs w:val="32"/>
      <w:lang w:eastAsia="en-AU"/>
    </w:rPr>
  </w:style>
  <w:style w:type="table" w:customStyle="1" w:styleId="PlainTable12">
    <w:name w:val="Plain Table 12"/>
    <w:basedOn w:val="TableNormal"/>
    <w:uiPriority w:val="41"/>
    <w:rsid w:val="00223F09"/>
    <w:pPr>
      <w:spacing w:before="0" w:after="0"/>
    </w:pPr>
    <w:rPr>
      <w:color w:val="auto"/>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dot">
    <w:name w:val="Bullet dot"/>
    <w:basedOn w:val="Normal"/>
    <w:link w:val="BulletdotChar"/>
    <w:qFormat/>
    <w:rsid w:val="000F530A"/>
    <w:pPr>
      <w:spacing w:before="120" w:after="120"/>
      <w:ind w:left="680" w:right="170" w:hanging="340"/>
    </w:pPr>
    <w:rPr>
      <w:lang w:val="en-US"/>
    </w:rPr>
  </w:style>
  <w:style w:type="paragraph" w:customStyle="1" w:styleId="Bulletdotlast">
    <w:name w:val="Bullet dot last"/>
    <w:basedOn w:val="Normal"/>
    <w:link w:val="BulletdotlastChar"/>
    <w:qFormat/>
    <w:rsid w:val="00223F09"/>
    <w:pPr>
      <w:keepLines/>
      <w:numPr>
        <w:numId w:val="24"/>
      </w:numPr>
      <w:suppressAutoHyphens w:val="0"/>
      <w:spacing w:before="120" w:after="120" w:line="264" w:lineRule="auto"/>
      <w:ind w:left="284" w:hanging="284"/>
    </w:pPr>
    <w:rPr>
      <w:rFonts w:ascii="Segoe UI" w:hAnsi="Segoe UI" w:cstheme="minorHAnsi"/>
      <w:color w:val="000000"/>
      <w:kern w:val="0"/>
      <w:szCs w:val="22"/>
    </w:rPr>
  </w:style>
  <w:style w:type="character" w:customStyle="1" w:styleId="BulletdotChar">
    <w:name w:val="Bullet dot Char"/>
    <w:basedOn w:val="DefaultParagraphFont"/>
    <w:link w:val="Bulletdot"/>
    <w:rsid w:val="000F530A"/>
    <w:rPr>
      <w:kern w:val="12"/>
      <w:lang w:val="en-US"/>
    </w:rPr>
  </w:style>
  <w:style w:type="character" w:customStyle="1" w:styleId="BulletdotlastChar">
    <w:name w:val="Bullet dot last Char"/>
    <w:basedOn w:val="DefaultParagraphFont"/>
    <w:link w:val="Bulletdotlast"/>
    <w:rsid w:val="00223F09"/>
    <w:rPr>
      <w:rFonts w:ascii="Segoe UI" w:hAnsi="Segoe UI" w:cstheme="minorHAnsi"/>
      <w:color w:val="000000"/>
      <w:szCs w:val="22"/>
    </w:rPr>
  </w:style>
  <w:style w:type="paragraph" w:customStyle="1" w:styleId="Tabletext1">
    <w:name w:val="Table text"/>
    <w:basedOn w:val="Normal"/>
    <w:qFormat/>
    <w:rsid w:val="00223F09"/>
    <w:pPr>
      <w:keepLines/>
      <w:suppressAutoHyphens w:val="0"/>
      <w:spacing w:before="80" w:after="40"/>
    </w:pPr>
    <w:rPr>
      <w:bCs/>
      <w:color w:val="auto"/>
      <w:kern w:val="0"/>
      <w:sz w:val="18"/>
      <w:szCs w:val="22"/>
    </w:rPr>
  </w:style>
  <w:style w:type="paragraph" w:customStyle="1" w:styleId="TableHeading">
    <w:name w:val="Table Heading"/>
    <w:basedOn w:val="Tabletext1"/>
    <w:qFormat/>
    <w:rsid w:val="00223F09"/>
    <w:rPr>
      <w:b/>
      <w:bCs w:val="0"/>
      <w:color w:val="002D72"/>
    </w:rPr>
  </w:style>
  <w:style w:type="paragraph" w:customStyle="1" w:styleId="Listfiguretableheading">
    <w:name w:val="List/figure/table heading"/>
    <w:next w:val="Normal"/>
    <w:qFormat/>
    <w:rsid w:val="00223F09"/>
    <w:pPr>
      <w:spacing w:before="200" w:after="100" w:line="276" w:lineRule="auto"/>
    </w:pPr>
    <w:rPr>
      <w:rFonts w:asciiTheme="majorHAnsi" w:eastAsiaTheme="majorEastAsia" w:hAnsiTheme="majorHAnsi" w:cstheme="majorBidi"/>
      <w:bCs/>
      <w:color w:val="002D72"/>
      <w:sz w:val="22"/>
      <w:szCs w:val="26"/>
    </w:rPr>
  </w:style>
  <w:style w:type="paragraph" w:customStyle="1" w:styleId="Header3">
    <w:name w:val="Header3"/>
    <w:link w:val="Header3Char"/>
    <w:qFormat/>
    <w:rsid w:val="00223F09"/>
    <w:pPr>
      <w:spacing w:before="240" w:after="200" w:line="276" w:lineRule="auto"/>
    </w:pPr>
    <w:rPr>
      <w:rFonts w:ascii="Arial" w:eastAsia="Times New Roman" w:hAnsi="Arial" w:cs="Arial"/>
      <w:color w:val="081E3E" w:themeColor="text2"/>
      <w:spacing w:val="2"/>
      <w:sz w:val="28"/>
      <w:szCs w:val="36"/>
      <w:u w:color="1C68D9" w:themeColor="text2" w:themeTint="99"/>
    </w:rPr>
  </w:style>
  <w:style w:type="character" w:customStyle="1" w:styleId="Header3Char">
    <w:name w:val="Header3 Char"/>
    <w:basedOn w:val="DefaultParagraphFont"/>
    <w:link w:val="Header3"/>
    <w:locked/>
    <w:rsid w:val="00223F09"/>
    <w:rPr>
      <w:rFonts w:ascii="Arial" w:eastAsia="Times New Roman" w:hAnsi="Arial" w:cs="Arial"/>
      <w:color w:val="081E3E" w:themeColor="text2"/>
      <w:spacing w:val="2"/>
      <w:sz w:val="28"/>
      <w:szCs w:val="36"/>
      <w:u w:color="1C68D9" w:themeColor="text2" w:themeTint="99"/>
    </w:rPr>
  </w:style>
  <w:style w:type="paragraph" w:customStyle="1" w:styleId="ULAHeading">
    <w:name w:val="ULA Heading"/>
    <w:qFormat/>
    <w:rsid w:val="00223F09"/>
    <w:pPr>
      <w:spacing w:before="200" w:after="100"/>
    </w:pPr>
    <w:rPr>
      <w:rFonts w:ascii="Segoe UI Semibold" w:hAnsi="Segoe UI Semibold" w:cs="Arial"/>
      <w:bCs/>
      <w:iCs/>
      <w:sz w:val="22"/>
      <w:szCs w:val="22"/>
    </w:rPr>
  </w:style>
  <w:style w:type="character" w:customStyle="1" w:styleId="UnresolvedMention1">
    <w:name w:val="Unresolved Mention1"/>
    <w:basedOn w:val="DefaultParagraphFont"/>
    <w:uiPriority w:val="99"/>
    <w:semiHidden/>
    <w:unhideWhenUsed/>
    <w:rsid w:val="00223F09"/>
    <w:rPr>
      <w:color w:val="605E5C"/>
      <w:shd w:val="clear" w:color="auto" w:fill="E1DFDD"/>
    </w:rPr>
  </w:style>
  <w:style w:type="paragraph" w:customStyle="1" w:styleId="ULANormal">
    <w:name w:val="ULA Normal"/>
    <w:basedOn w:val="Normal"/>
    <w:qFormat/>
    <w:rsid w:val="00223F09"/>
    <w:pPr>
      <w:keepLines/>
      <w:suppressAutoHyphens w:val="0"/>
      <w:spacing w:before="120" w:after="120" w:line="264" w:lineRule="auto"/>
    </w:pPr>
    <w:rPr>
      <w:rFonts w:ascii="Segoe UI" w:hAnsi="Segoe UI" w:cstheme="minorHAnsi"/>
      <w:color w:val="000000"/>
      <w:kern w:val="0"/>
      <w:sz w:val="16"/>
      <w:szCs w:val="16"/>
    </w:rPr>
  </w:style>
  <w:style w:type="paragraph" w:customStyle="1" w:styleId="AppendixHeading3">
    <w:name w:val="Appendix Heading 3"/>
    <w:basedOn w:val="Heading3"/>
    <w:next w:val="Normal"/>
    <w:qFormat/>
    <w:rsid w:val="00223F09"/>
    <w:pPr>
      <w:tabs>
        <w:tab w:val="left" w:pos="794"/>
        <w:tab w:val="left" w:pos="1020"/>
      </w:tabs>
      <w:suppressAutoHyphens w:val="0"/>
      <w:spacing w:before="180" w:after="180"/>
    </w:pPr>
    <w:rPr>
      <w:rFonts w:ascii="Segoe UI" w:eastAsiaTheme="minorHAnsi" w:hAnsi="Segoe UI" w:cs="FranklinGothic-BookCnd"/>
      <w:b/>
      <w:color w:val="000000" w:themeColor="text1"/>
      <w:spacing w:val="1"/>
      <w:kern w:val="0"/>
      <w:sz w:val="26"/>
      <w:szCs w:val="26"/>
    </w:rPr>
  </w:style>
  <w:style w:type="paragraph" w:customStyle="1" w:styleId="Scheduleitem">
    <w:name w:val="Schedule item"/>
    <w:basedOn w:val="Normal"/>
    <w:link w:val="ScheduleitemChar"/>
    <w:rsid w:val="00223F09"/>
    <w:pPr>
      <w:keepNext/>
      <w:numPr>
        <w:numId w:val="26"/>
      </w:numPr>
      <w:suppressAutoHyphens w:val="0"/>
      <w:spacing w:before="120" w:after="120"/>
    </w:pPr>
    <w:rPr>
      <w:rFonts w:ascii="Times New Roman" w:eastAsia="Times New Roman" w:hAnsi="Times New Roman" w:cs="Times New Roman"/>
      <w:color w:val="auto"/>
      <w:kern w:val="0"/>
      <w:sz w:val="24"/>
      <w:szCs w:val="24"/>
      <w:lang w:eastAsia="en-AU"/>
    </w:rPr>
  </w:style>
  <w:style w:type="character" w:customStyle="1" w:styleId="ScheduleitemChar">
    <w:name w:val="Schedule item Char"/>
    <w:basedOn w:val="DefaultParagraphFont"/>
    <w:link w:val="Scheduleitem"/>
    <w:rsid w:val="00223F09"/>
    <w:rPr>
      <w:rFonts w:ascii="Times New Roman" w:eastAsia="Times New Roman" w:hAnsi="Times New Roman" w:cs="Times New Roman"/>
      <w:color w:val="auto"/>
      <w:sz w:val="24"/>
      <w:szCs w:val="24"/>
      <w:lang w:eastAsia="en-AU"/>
    </w:rPr>
  </w:style>
  <w:style w:type="paragraph" w:customStyle="1" w:styleId="References0">
    <w:name w:val="References"/>
    <w:basedOn w:val="Normal"/>
    <w:qFormat/>
    <w:rsid w:val="00223F09"/>
    <w:pPr>
      <w:keepLines/>
      <w:suppressAutoHyphens w:val="0"/>
      <w:spacing w:before="240" w:after="240" w:line="264" w:lineRule="auto"/>
      <w:ind w:left="567" w:hanging="567"/>
    </w:pPr>
    <w:rPr>
      <w:rFonts w:ascii="Segoe UI" w:hAnsi="Segoe UI" w:cstheme="minorHAnsi"/>
      <w:color w:val="000000"/>
      <w:kern w:val="0"/>
      <w:szCs w:val="22"/>
    </w:rPr>
  </w:style>
  <w:style w:type="paragraph" w:customStyle="1" w:styleId="COVERPUBLICATIONTITLE2">
    <w:name w:val="COVER_PUBLICATION_TITLE_2"/>
    <w:basedOn w:val="COVERPUBLICATIONTITLE1"/>
    <w:qFormat/>
    <w:rsid w:val="00223F09"/>
    <w:pPr>
      <w:spacing w:before="240"/>
    </w:pPr>
    <w:rPr>
      <w:sz w:val="56"/>
    </w:rPr>
  </w:style>
  <w:style w:type="character" w:customStyle="1" w:styleId="UnresolvedMention2">
    <w:name w:val="Unresolved Mention2"/>
    <w:basedOn w:val="DefaultParagraphFont"/>
    <w:uiPriority w:val="99"/>
    <w:semiHidden/>
    <w:unhideWhenUsed/>
    <w:rsid w:val="005510C4"/>
    <w:rPr>
      <w:color w:val="605E5C"/>
      <w:shd w:val="clear" w:color="auto" w:fill="E1DFDD"/>
    </w:rPr>
  </w:style>
  <w:style w:type="paragraph" w:customStyle="1" w:styleId="NumberList1">
    <w:name w:val="±NumberList 1"/>
    <w:basedOn w:val="Normal"/>
    <w:uiPriority w:val="1"/>
    <w:qFormat/>
    <w:rsid w:val="003556F5"/>
    <w:pPr>
      <w:suppressAutoHyphens w:val="0"/>
      <w:spacing w:before="0" w:after="60" w:line="264" w:lineRule="auto"/>
      <w:contextualSpacing/>
    </w:pPr>
    <w:rPr>
      <w:rFonts w:ascii="Arial" w:hAnsi="Arial" w:cs="Arial"/>
      <w:kern w:val="0"/>
    </w:rPr>
  </w:style>
  <w:style w:type="paragraph" w:customStyle="1" w:styleId="NumberLista">
    <w:name w:val="±NumberList a"/>
    <w:basedOn w:val="Normal"/>
    <w:uiPriority w:val="1"/>
    <w:qFormat/>
    <w:rsid w:val="003556F5"/>
    <w:pPr>
      <w:suppressAutoHyphens w:val="0"/>
      <w:spacing w:before="0" w:after="60" w:line="264" w:lineRule="auto"/>
      <w:contextualSpacing/>
    </w:pPr>
    <w:rPr>
      <w:rFonts w:ascii="Arial" w:hAnsi="Arial" w:cs="Arial"/>
      <w:kern w:val="0"/>
    </w:rPr>
  </w:style>
  <w:style w:type="paragraph" w:customStyle="1" w:styleId="NumberListi">
    <w:name w:val="±NumberList i"/>
    <w:basedOn w:val="Normal"/>
    <w:uiPriority w:val="1"/>
    <w:qFormat/>
    <w:rsid w:val="003556F5"/>
    <w:pPr>
      <w:suppressAutoHyphens w:val="0"/>
      <w:spacing w:before="0" w:after="60" w:line="264" w:lineRule="auto"/>
      <w:contextualSpacing/>
    </w:pPr>
    <w:rPr>
      <w:rFonts w:ascii="Arial" w:hAnsi="Arial" w:cs="Arial"/>
      <w:kern w:val="0"/>
    </w:rPr>
  </w:style>
  <w:style w:type="table" w:customStyle="1" w:styleId="ARRBTable">
    <w:name w:val="±ARRB_Table"/>
    <w:basedOn w:val="TableNormal"/>
    <w:uiPriority w:val="99"/>
    <w:rsid w:val="003556F5"/>
    <w:pPr>
      <w:spacing w:before="120" w:after="60"/>
    </w:pPr>
    <w:rPr>
      <w:rFonts w:ascii="Arial Narrow" w:hAnsi="Arial Narrow" w:cs="System"/>
      <w:sz w:val="18"/>
      <w:lang w:val="en-GB"/>
    </w:rPr>
    <w:tblPr>
      <w:tblBorders>
        <w:top w:val="single" w:sz="4" w:space="0" w:color="E7E7E7" w:themeColor="background2"/>
        <w:left w:val="single" w:sz="4" w:space="0" w:color="E7E7E7" w:themeColor="background2"/>
        <w:bottom w:val="single" w:sz="4" w:space="0" w:color="E7E7E7" w:themeColor="background2"/>
        <w:right w:val="single" w:sz="4" w:space="0" w:color="E7E7E7" w:themeColor="background2"/>
        <w:insideH w:val="single" w:sz="6" w:space="0" w:color="E7E7E7" w:themeColor="background2"/>
        <w:insideV w:val="single" w:sz="6" w:space="0" w:color="E7E7E7" w:themeColor="background2"/>
      </w:tblBorders>
    </w:tblPr>
    <w:tblStylePr w:type="firstRow">
      <w:pPr>
        <w:keepNext/>
        <w:wordWrap/>
        <w:spacing w:beforeLines="0" w:before="80" w:beforeAutospacing="0" w:afterLines="0" w:after="80" w:afterAutospacing="0"/>
        <w:jc w:val="left"/>
      </w:pPr>
      <w:rPr>
        <w:rFonts w:ascii="Arial Narrow" w:hAnsi="Arial Narrow"/>
        <w:b/>
        <w:caps w:val="0"/>
        <w:smallCaps w:val="0"/>
        <w:color w:val="FFFFFF" w:themeColor="background1"/>
        <w:sz w:val="18"/>
      </w:rPr>
      <w:tblPr/>
      <w:tcPr>
        <w:tcBorders>
          <w:top w:val="single" w:sz="4" w:space="0" w:color="081E3E" w:themeColor="text2"/>
          <w:left w:val="nil"/>
          <w:bottom w:val="single" w:sz="4" w:space="0" w:color="081E3E" w:themeColor="text2"/>
          <w:right w:val="nil"/>
          <w:insideH w:val="nil"/>
          <w:insideV w:val="single" w:sz="12" w:space="0" w:color="FFFFFF" w:themeColor="background1"/>
          <w:tl2br w:val="nil"/>
          <w:tr2bl w:val="nil"/>
        </w:tcBorders>
        <w:shd w:val="clear" w:color="auto" w:fill="081E3E" w:themeFill="text2"/>
      </w:tcPr>
    </w:tblStylePr>
    <w:tblStylePr w:type="lastRow">
      <w:rPr>
        <w:b/>
        <w:color w:val="081E3E" w:themeColor="text2"/>
      </w:rPr>
      <w:tblPr/>
      <w:tcPr>
        <w:tcBorders>
          <w:top w:val="single" w:sz="2" w:space="0" w:color="081E3E" w:themeColor="text2"/>
          <w:left w:val="nil"/>
          <w:bottom w:val="single" w:sz="12" w:space="0" w:color="081E3E" w:themeColor="text2"/>
          <w:right w:val="nil"/>
          <w:insideH w:val="nil"/>
          <w:insideV w:val="single" w:sz="12" w:space="0" w:color="FFFFFF" w:themeColor="background1"/>
          <w:tl2br w:val="nil"/>
          <w:tr2bl w:val="nil"/>
        </w:tcBorders>
      </w:tcPr>
    </w:tblStylePr>
  </w:style>
  <w:style w:type="paragraph" w:customStyle="1" w:styleId="TableTextLeft">
    <w:name w:val="±TableTextLeft"/>
    <w:basedOn w:val="Normal"/>
    <w:uiPriority w:val="31"/>
    <w:qFormat/>
    <w:rsid w:val="003556F5"/>
    <w:pPr>
      <w:suppressAutoHyphens w:val="0"/>
      <w:spacing w:before="40" w:after="40"/>
    </w:pPr>
    <w:rPr>
      <w:rFonts w:ascii="Arial Narrow" w:hAnsi="Arial Narrow" w:cs="Arial"/>
      <w:kern w:val="0"/>
      <w:sz w:val="18"/>
    </w:rPr>
  </w:style>
  <w:style w:type="paragraph" w:customStyle="1" w:styleId="BulletLevel1">
    <w:name w:val="±BulletLevel 1"/>
    <w:basedOn w:val="Normal"/>
    <w:uiPriority w:val="1"/>
    <w:qFormat/>
    <w:rsid w:val="00442FC7"/>
    <w:pPr>
      <w:numPr>
        <w:numId w:val="72"/>
      </w:numPr>
      <w:suppressAutoHyphens w:val="0"/>
      <w:spacing w:before="0" w:after="60" w:line="264" w:lineRule="auto"/>
      <w:contextualSpacing/>
    </w:pPr>
    <w:rPr>
      <w:rFonts w:ascii="Arial" w:eastAsia="Calibri" w:hAnsi="Arial" w:cs="Arial"/>
      <w:kern w:val="0"/>
    </w:rPr>
  </w:style>
  <w:style w:type="paragraph" w:customStyle="1" w:styleId="BulletLevel2">
    <w:name w:val="±BulletLevel 2"/>
    <w:basedOn w:val="Normal"/>
    <w:uiPriority w:val="1"/>
    <w:rsid w:val="00442FC7"/>
    <w:pPr>
      <w:numPr>
        <w:ilvl w:val="1"/>
        <w:numId w:val="72"/>
      </w:numPr>
      <w:suppressAutoHyphens w:val="0"/>
      <w:spacing w:before="0" w:after="60" w:line="264" w:lineRule="auto"/>
      <w:contextualSpacing/>
    </w:pPr>
    <w:rPr>
      <w:rFonts w:ascii="Arial" w:hAnsi="Arial" w:cs="Arial"/>
      <w:kern w:val="0"/>
    </w:rPr>
  </w:style>
  <w:style w:type="paragraph" w:customStyle="1" w:styleId="BulletLevel3">
    <w:name w:val="±BulletLevel 3"/>
    <w:basedOn w:val="Normal"/>
    <w:uiPriority w:val="1"/>
    <w:rsid w:val="00442FC7"/>
    <w:pPr>
      <w:numPr>
        <w:ilvl w:val="2"/>
        <w:numId w:val="72"/>
      </w:numPr>
      <w:suppressAutoHyphens w:val="0"/>
      <w:spacing w:before="0" w:after="60" w:line="264" w:lineRule="auto"/>
      <w:contextualSpacing/>
    </w:pPr>
    <w:rPr>
      <w:rFonts w:ascii="Arial" w:hAnsi="Arial" w:cs="Arial"/>
      <w:kern w:val="0"/>
    </w:rPr>
  </w:style>
  <w:style w:type="numbering" w:customStyle="1" w:styleId="NoList4">
    <w:name w:val="No List4"/>
    <w:next w:val="NoList"/>
    <w:uiPriority w:val="99"/>
    <w:semiHidden/>
    <w:unhideWhenUsed/>
    <w:rsid w:val="00452B58"/>
  </w:style>
  <w:style w:type="paragraph" w:customStyle="1" w:styleId="AppBodyTextNum">
    <w:name w:val="±AppBodyTextNum"/>
    <w:basedOn w:val="ARRBBase"/>
    <w:uiPriority w:val="28"/>
    <w:semiHidden/>
    <w:qFormat/>
    <w:rsid w:val="00452B58"/>
  </w:style>
  <w:style w:type="paragraph" w:customStyle="1" w:styleId="ARRBHeadNonToc">
    <w:name w:val="ARRB ±HeadNonToc"/>
    <w:basedOn w:val="ARRBBaseNoSpacing"/>
    <w:next w:val="ARRBBase"/>
    <w:link w:val="ARRBHeadNonTocChar"/>
    <w:uiPriority w:val="3"/>
    <w:rsid w:val="00452B58"/>
    <w:pPr>
      <w:keepNext/>
      <w:pageBreakBefore/>
      <w:spacing w:after="360" w:line="240" w:lineRule="auto"/>
    </w:pPr>
    <w:rPr>
      <w:rFonts w:ascii="Arial Bold" w:hAnsi="Arial Bold"/>
      <w:b/>
      <w:color w:val="00A1DE"/>
      <w:kern w:val="12"/>
      <w:sz w:val="40"/>
    </w:rPr>
  </w:style>
  <w:style w:type="paragraph" w:customStyle="1" w:styleId="ARRBDivider">
    <w:name w:val="ARRB ±Divider"/>
    <w:basedOn w:val="ARRBHeadNonToc"/>
    <w:next w:val="Normal"/>
    <w:uiPriority w:val="5"/>
    <w:rsid w:val="00452B58"/>
    <w:pPr>
      <w:spacing w:after="0"/>
      <w:jc w:val="center"/>
      <w:outlineLvl w:val="0"/>
    </w:pPr>
    <w:rPr>
      <w:sz w:val="56"/>
    </w:rPr>
  </w:style>
  <w:style w:type="numbering" w:customStyle="1" w:styleId="AppListStyle">
    <w:name w:val="~AppListStyle"/>
    <w:uiPriority w:val="99"/>
    <w:rsid w:val="00452B58"/>
    <w:pPr>
      <w:numPr>
        <w:numId w:val="77"/>
      </w:numPr>
    </w:pPr>
  </w:style>
  <w:style w:type="paragraph" w:customStyle="1" w:styleId="AppAlphaNumBullet1">
    <w:name w:val="±AppAlphaNumBullet1"/>
    <w:basedOn w:val="AppBodyTextNum"/>
    <w:uiPriority w:val="28"/>
    <w:semiHidden/>
    <w:qFormat/>
    <w:rsid w:val="00452B58"/>
  </w:style>
  <w:style w:type="paragraph" w:customStyle="1" w:styleId="AppAlphaNumBullet2">
    <w:name w:val="±AppAlphaNumBullet2"/>
    <w:basedOn w:val="AppBodyTextNum"/>
    <w:uiPriority w:val="28"/>
    <w:semiHidden/>
    <w:qFormat/>
    <w:rsid w:val="00452B58"/>
  </w:style>
  <w:style w:type="paragraph" w:customStyle="1" w:styleId="AppAlphaNumBullet3">
    <w:name w:val="±AppAlphaNumBullet3"/>
    <w:basedOn w:val="AppBodyTextNum"/>
    <w:uiPriority w:val="28"/>
    <w:semiHidden/>
    <w:qFormat/>
    <w:rsid w:val="00452B58"/>
  </w:style>
  <w:style w:type="paragraph" w:customStyle="1" w:styleId="ARRBBodyHeading">
    <w:name w:val="ARRB ±BodyHeading"/>
    <w:basedOn w:val="ARRBBase"/>
    <w:next w:val="ARRBBase"/>
    <w:link w:val="ARRBBodyHeadingChar"/>
    <w:uiPriority w:val="2"/>
    <w:qFormat/>
    <w:rsid w:val="00452B58"/>
    <w:pPr>
      <w:keepNext/>
      <w:spacing w:after="0" w:line="240" w:lineRule="auto"/>
    </w:pPr>
    <w:rPr>
      <w:b/>
      <w:color w:val="00A1DE"/>
    </w:rPr>
  </w:style>
  <w:style w:type="paragraph" w:customStyle="1" w:styleId="BodyTextNum">
    <w:name w:val="±BodyTextNum"/>
    <w:basedOn w:val="ARRBBase"/>
    <w:uiPriority w:val="28"/>
    <w:semiHidden/>
    <w:rsid w:val="00452B58"/>
  </w:style>
  <w:style w:type="paragraph" w:customStyle="1" w:styleId="ARRBBulletLevel10">
    <w:name w:val="ARRB ±BulletLevel 1"/>
    <w:basedOn w:val="ARRBBase"/>
    <w:uiPriority w:val="1"/>
    <w:qFormat/>
    <w:rsid w:val="00452B58"/>
    <w:pPr>
      <w:ind w:left="284" w:hanging="284"/>
      <w:contextualSpacing/>
    </w:pPr>
    <w:rPr>
      <w:rFonts w:ascii="Calibri" w:eastAsia="Calibri" w:hAnsi="Calibri"/>
    </w:rPr>
  </w:style>
  <w:style w:type="paragraph" w:customStyle="1" w:styleId="ARRBBulletLevel20">
    <w:name w:val="ARRB ±BulletLevel 2"/>
    <w:basedOn w:val="ARRBBase"/>
    <w:uiPriority w:val="1"/>
    <w:rsid w:val="00452B58"/>
    <w:pPr>
      <w:ind w:left="568" w:hanging="284"/>
      <w:contextualSpacing/>
    </w:pPr>
    <w:rPr>
      <w:rFonts w:ascii="Calibri" w:hAnsi="Calibri"/>
    </w:rPr>
  </w:style>
  <w:style w:type="paragraph" w:customStyle="1" w:styleId="ARRBBulletLevel3">
    <w:name w:val="ARRB ±BulletLevel 3"/>
    <w:basedOn w:val="ARRBBase"/>
    <w:uiPriority w:val="1"/>
    <w:rsid w:val="00452B58"/>
    <w:pPr>
      <w:contextualSpacing/>
    </w:pPr>
  </w:style>
  <w:style w:type="character" w:customStyle="1" w:styleId="CaptionChar">
    <w:name w:val="Caption Char"/>
    <w:aliases w:val="ARRB Caption Char,±Table/Figure Caption Char,~Caption Char,±Caption Char"/>
    <w:basedOn w:val="DefaultParagraphFont"/>
    <w:link w:val="Caption"/>
    <w:uiPriority w:val="6"/>
    <w:rsid w:val="00452B58"/>
    <w:rPr>
      <w:b/>
      <w:iCs/>
      <w:kern w:val="12"/>
      <w:szCs w:val="18"/>
    </w:rPr>
  </w:style>
  <w:style w:type="paragraph" w:customStyle="1" w:styleId="CoverConfi">
    <w:name w:val="±CoverConfi"/>
    <w:basedOn w:val="ARRBBaseNoSpacing"/>
    <w:uiPriority w:val="34"/>
    <w:semiHidden/>
    <w:rsid w:val="00452B58"/>
  </w:style>
  <w:style w:type="paragraph" w:customStyle="1" w:styleId="CoverSubtitle">
    <w:name w:val="±CoverSubtitle"/>
    <w:basedOn w:val="ARRBBaseNoSpacing"/>
    <w:uiPriority w:val="34"/>
    <w:semiHidden/>
    <w:rsid w:val="00452B58"/>
  </w:style>
  <w:style w:type="paragraph" w:customStyle="1" w:styleId="CoverDate0">
    <w:name w:val="±CoverDate"/>
    <w:basedOn w:val="ARRBBaseNoSpacing"/>
    <w:uiPriority w:val="34"/>
    <w:semiHidden/>
    <w:rsid w:val="00452B58"/>
    <w:pPr>
      <w:spacing w:after="120"/>
      <w:jc w:val="right"/>
    </w:pPr>
    <w:rPr>
      <w:rFonts w:ascii="Calibri" w:hAnsi="Calibri"/>
      <w:sz w:val="28"/>
    </w:rPr>
  </w:style>
  <w:style w:type="paragraph" w:customStyle="1" w:styleId="CoverClient">
    <w:name w:val="±CoverClient"/>
    <w:basedOn w:val="ARRBBaseNoSpacing"/>
    <w:uiPriority w:val="34"/>
    <w:semiHidden/>
    <w:rsid w:val="00452B58"/>
    <w:pPr>
      <w:spacing w:before="240"/>
    </w:pPr>
    <w:rPr>
      <w:rFonts w:ascii="Calibri" w:hAnsi="Calibri"/>
      <w:sz w:val="28"/>
    </w:rPr>
  </w:style>
  <w:style w:type="paragraph" w:customStyle="1" w:styleId="CoverTitle">
    <w:name w:val="±CoverTitle"/>
    <w:basedOn w:val="ARRBBaseNoSpacing"/>
    <w:uiPriority w:val="34"/>
    <w:semiHidden/>
    <w:rsid w:val="00452B58"/>
    <w:pPr>
      <w:spacing w:after="120"/>
    </w:pPr>
    <w:rPr>
      <w:rFonts w:ascii="Calibri" w:hAnsi="Calibri"/>
      <w:b/>
      <w:sz w:val="36"/>
    </w:rPr>
  </w:style>
  <w:style w:type="paragraph" w:customStyle="1" w:styleId="CoverAuthor">
    <w:name w:val="±CoverAuthor"/>
    <w:basedOn w:val="ARRBBaseNoSpacing"/>
    <w:uiPriority w:val="34"/>
    <w:semiHidden/>
    <w:rsid w:val="00452B58"/>
    <w:pPr>
      <w:spacing w:before="240"/>
    </w:pPr>
    <w:rPr>
      <w:rFonts w:ascii="Calibri" w:hAnsi="Calibri"/>
      <w:sz w:val="28"/>
    </w:rPr>
  </w:style>
  <w:style w:type="paragraph" w:customStyle="1" w:styleId="CoverVersion">
    <w:name w:val="±CoverVersion"/>
    <w:basedOn w:val="ARRBBaseNoSpacing"/>
    <w:uiPriority w:val="34"/>
    <w:semiHidden/>
    <w:rsid w:val="00452B58"/>
    <w:pPr>
      <w:jc w:val="right"/>
    </w:pPr>
    <w:rPr>
      <w:rFonts w:ascii="Calibri" w:hAnsi="Calibri"/>
      <w:sz w:val="28"/>
    </w:rPr>
  </w:style>
  <w:style w:type="paragraph" w:customStyle="1" w:styleId="ARRBReferenceHead">
    <w:name w:val="ARRB ±ReferenceHead"/>
    <w:basedOn w:val="ARRBHeadNonToc"/>
    <w:next w:val="Normal"/>
    <w:link w:val="ARRBReferenceHeadChar"/>
    <w:autoRedefine/>
    <w:uiPriority w:val="3"/>
    <w:rsid w:val="00452B58"/>
    <w:pPr>
      <w:pageBreakBefore w:val="0"/>
      <w:outlineLvl w:val="0"/>
    </w:pPr>
  </w:style>
  <w:style w:type="paragraph" w:customStyle="1" w:styleId="ARRBReferenceSubHead">
    <w:name w:val="ARRB ±ReferenceSubHead"/>
    <w:basedOn w:val="ARRBReferenceHead"/>
    <w:next w:val="ARRBBase"/>
    <w:link w:val="ARRBReferenceSubHeadChar"/>
    <w:autoRedefine/>
    <w:uiPriority w:val="3"/>
    <w:rsid w:val="00452B58"/>
    <w:pPr>
      <w:spacing w:before="360" w:after="120"/>
    </w:pPr>
    <w:rPr>
      <w:sz w:val="28"/>
    </w:rPr>
  </w:style>
  <w:style w:type="paragraph" w:customStyle="1" w:styleId="ARRBIllustrateLeft">
    <w:name w:val="ARRB ±IllustrateLeft"/>
    <w:basedOn w:val="ARRBBaseNoSpacing"/>
    <w:uiPriority w:val="33"/>
    <w:rsid w:val="00452B58"/>
  </w:style>
  <w:style w:type="paragraph" w:customStyle="1" w:styleId="ARRBIllustrateCentre">
    <w:name w:val="ARRB ±IllustrateCentre"/>
    <w:basedOn w:val="ARRBIllustrateLeft"/>
    <w:uiPriority w:val="33"/>
    <w:rsid w:val="00452B58"/>
    <w:pPr>
      <w:jc w:val="center"/>
    </w:pPr>
  </w:style>
  <w:style w:type="paragraph" w:customStyle="1" w:styleId="ARRBIllustrateRight">
    <w:name w:val="ARRB ±IllustrateRight"/>
    <w:basedOn w:val="ARRBIllustrateLeft"/>
    <w:uiPriority w:val="33"/>
    <w:rsid w:val="00452B58"/>
    <w:pPr>
      <w:jc w:val="right"/>
    </w:pPr>
  </w:style>
  <w:style w:type="paragraph" w:customStyle="1" w:styleId="Hidden">
    <w:name w:val="±Hidden"/>
    <w:basedOn w:val="ARRBBaseNoSpacing"/>
    <w:uiPriority w:val="33"/>
    <w:semiHidden/>
    <w:rsid w:val="00452B58"/>
    <w:pPr>
      <w:framePr w:wrap="around" w:vAnchor="page" w:hAnchor="page" w:xAlign="right" w:yAlign="bottom"/>
    </w:pPr>
    <w:rPr>
      <w:color w:val="C00000"/>
    </w:rPr>
  </w:style>
  <w:style w:type="paragraph" w:customStyle="1" w:styleId="ARRBSummaryText">
    <w:name w:val="ARRB ±SummaryText"/>
    <w:basedOn w:val="ARRBBase"/>
    <w:next w:val="ARRBBase"/>
    <w:rsid w:val="00452B58"/>
    <w:pPr>
      <w:spacing w:after="0"/>
    </w:pPr>
    <w:rPr>
      <w:color w:val="00A1DE"/>
    </w:rPr>
  </w:style>
  <w:style w:type="paragraph" w:customStyle="1" w:styleId="ARRBKeyMsgText">
    <w:name w:val="ARRB ±KeyMsgText"/>
    <w:basedOn w:val="ARRBBase"/>
    <w:uiPriority w:val="32"/>
    <w:qFormat/>
    <w:rsid w:val="00452B58"/>
    <w:pPr>
      <w:spacing w:before="320" w:after="240"/>
    </w:pPr>
    <w:rPr>
      <w:b/>
      <w:color w:val="00B299"/>
      <w:sz w:val="32"/>
    </w:rPr>
  </w:style>
  <w:style w:type="paragraph" w:customStyle="1" w:styleId="KeyMsgHead">
    <w:name w:val="±KeyMsgHead"/>
    <w:basedOn w:val="ARRBKeyMsgText"/>
    <w:uiPriority w:val="32"/>
    <w:semiHidden/>
    <w:qFormat/>
    <w:rsid w:val="00452B58"/>
    <w:pPr>
      <w:keepNext/>
      <w:spacing w:before="60" w:line="240" w:lineRule="auto"/>
    </w:pPr>
    <w:rPr>
      <w:b w:val="0"/>
    </w:rPr>
  </w:style>
  <w:style w:type="paragraph" w:customStyle="1" w:styleId="ARRBNumberList1">
    <w:name w:val="ARRB ±NumberList 1"/>
    <w:basedOn w:val="ARRBBase"/>
    <w:uiPriority w:val="1"/>
    <w:qFormat/>
    <w:rsid w:val="00452B58"/>
    <w:pPr>
      <w:ind w:left="284" w:hanging="284"/>
      <w:contextualSpacing/>
    </w:pPr>
  </w:style>
  <w:style w:type="paragraph" w:customStyle="1" w:styleId="ARRBNumberLista">
    <w:name w:val="ARRB ±NumberList a"/>
    <w:basedOn w:val="ARRBBase"/>
    <w:uiPriority w:val="1"/>
    <w:qFormat/>
    <w:rsid w:val="00452B58"/>
    <w:pPr>
      <w:ind w:left="851" w:hanging="567"/>
      <w:contextualSpacing/>
    </w:pPr>
  </w:style>
  <w:style w:type="paragraph" w:customStyle="1" w:styleId="ARRBNumberListi">
    <w:name w:val="ARRB ±NumberList i"/>
    <w:basedOn w:val="ARRBBase"/>
    <w:uiPriority w:val="1"/>
    <w:qFormat/>
    <w:rsid w:val="00452B58"/>
    <w:pPr>
      <w:ind w:left="1020" w:hanging="340"/>
      <w:contextualSpacing/>
    </w:pPr>
  </w:style>
  <w:style w:type="table" w:customStyle="1" w:styleId="ARRBTable1">
    <w:name w:val="±ARRB_Table1"/>
    <w:basedOn w:val="TableNormal"/>
    <w:uiPriority w:val="99"/>
    <w:rsid w:val="00452B58"/>
    <w:pPr>
      <w:spacing w:before="120" w:after="60"/>
    </w:pPr>
    <w:rPr>
      <w:rFonts w:ascii="Arial Narrow" w:hAnsi="Arial Narrow" w:cs="System"/>
      <w:sz w:val="18"/>
      <w:szCs w:val="18"/>
      <w:lang w:val="en-GB"/>
    </w:rPr>
    <w:tblPr>
      <w:tblStyleRowBandSize w:val="1"/>
      <w:tblStyleColBandSize w:val="1"/>
      <w:tblBorders>
        <w:top w:val="single" w:sz="4" w:space="0" w:color="8B8D8E"/>
        <w:left w:val="single" w:sz="4" w:space="0" w:color="8B8D8E"/>
        <w:bottom w:val="single" w:sz="4" w:space="0" w:color="8B8D8E"/>
        <w:right w:val="single" w:sz="4" w:space="0" w:color="8B8D8E"/>
        <w:insideH w:val="single" w:sz="6" w:space="0" w:color="8B8D8E"/>
        <w:insideV w:val="single" w:sz="6" w:space="0" w:color="8B8D8E"/>
      </w:tblBorders>
    </w:tblPr>
    <w:tblStylePr w:type="firstRow">
      <w:pPr>
        <w:keepNext/>
        <w:wordWrap/>
        <w:spacing w:beforeLines="0" w:before="80" w:beforeAutospacing="0" w:afterLines="0" w:after="80" w:afterAutospacing="0"/>
        <w:jc w:val="left"/>
      </w:pPr>
      <w:rPr>
        <w:rFonts w:ascii="Arial Narrow" w:hAnsi="Arial Narrow"/>
        <w:b/>
        <w:caps w:val="0"/>
        <w:smallCaps w:val="0"/>
        <w:color w:val="FFFFFF"/>
        <w:sz w:val="18"/>
      </w:rPr>
      <w:tblPr/>
      <w:tcPr>
        <w:tcBorders>
          <w:top w:val="single" w:sz="4" w:space="0" w:color="00A1DE"/>
          <w:left w:val="nil"/>
          <w:bottom w:val="single" w:sz="4" w:space="0" w:color="00A1DE"/>
          <w:right w:val="nil"/>
          <w:insideH w:val="nil"/>
          <w:insideV w:val="single" w:sz="12" w:space="0" w:color="FFFFFF"/>
          <w:tl2br w:val="nil"/>
          <w:tr2bl w:val="nil"/>
        </w:tcBorders>
        <w:shd w:val="clear" w:color="auto" w:fill="00A1DE"/>
      </w:tcPr>
    </w:tblStylePr>
    <w:tblStylePr w:type="lastRow">
      <w:rPr>
        <w:b/>
        <w:color w:val="00A1DE"/>
      </w:rPr>
      <w:tblPr/>
      <w:tcPr>
        <w:tcBorders>
          <w:top w:val="single" w:sz="2" w:space="0" w:color="00A1DE"/>
          <w:left w:val="nil"/>
          <w:bottom w:val="single" w:sz="12" w:space="0" w:color="00A1DE"/>
          <w:right w:val="nil"/>
          <w:insideH w:val="nil"/>
          <w:insideV w:val="single" w:sz="12" w:space="0" w:color="FFFFFF"/>
          <w:tl2br w:val="nil"/>
          <w:tr2bl w:val="nil"/>
        </w:tcBorders>
      </w:tcPr>
    </w:tblStylePr>
  </w:style>
  <w:style w:type="paragraph" w:customStyle="1" w:styleId="ARRBQuoteText">
    <w:name w:val="ARRB ±QuoteText"/>
    <w:basedOn w:val="ARRBBase"/>
    <w:uiPriority w:val="32"/>
    <w:qFormat/>
    <w:rsid w:val="00452B58"/>
    <w:pPr>
      <w:keepNext/>
      <w:spacing w:before="320" w:after="240"/>
    </w:pPr>
    <w:rPr>
      <w:b/>
      <w:i/>
      <w:color w:val="CA005D"/>
      <w:sz w:val="32"/>
    </w:rPr>
  </w:style>
  <w:style w:type="numbering" w:customStyle="1" w:styleId="SecListStyle">
    <w:name w:val="~SecListStyle"/>
    <w:uiPriority w:val="99"/>
    <w:rsid w:val="00452B58"/>
    <w:pPr>
      <w:numPr>
        <w:numId w:val="78"/>
      </w:numPr>
    </w:pPr>
  </w:style>
  <w:style w:type="paragraph" w:customStyle="1" w:styleId="ARRBTableFigureNotesorSource">
    <w:name w:val="ARRB ±Table/Figure Notes or Source"/>
    <w:basedOn w:val="ARRBBase"/>
    <w:next w:val="ARRBBase"/>
    <w:uiPriority w:val="6"/>
    <w:qFormat/>
    <w:rsid w:val="00452B58"/>
    <w:pPr>
      <w:tabs>
        <w:tab w:val="left" w:pos="709"/>
      </w:tabs>
      <w:spacing w:before="60" w:line="240" w:lineRule="auto"/>
      <w:ind w:left="709" w:hanging="709"/>
    </w:pPr>
    <w:rPr>
      <w:rFonts w:eastAsia="Calibri"/>
      <w:iCs/>
      <w:color w:val="454647"/>
      <w:sz w:val="18"/>
    </w:rPr>
  </w:style>
  <w:style w:type="paragraph" w:customStyle="1" w:styleId="Spacer">
    <w:name w:val="±Spacer"/>
    <w:basedOn w:val="ARRBBaseNoSpacing"/>
    <w:semiHidden/>
    <w:rsid w:val="00452B58"/>
    <w:rPr>
      <w:sz w:val="2"/>
    </w:rPr>
  </w:style>
  <w:style w:type="paragraph" w:customStyle="1" w:styleId="ARRBTableTextLeft">
    <w:name w:val="ARRB ±TableTextLeft"/>
    <w:basedOn w:val="ARRBBase"/>
    <w:uiPriority w:val="31"/>
    <w:qFormat/>
    <w:rsid w:val="00452B58"/>
    <w:pPr>
      <w:spacing w:before="40" w:after="40" w:line="240" w:lineRule="auto"/>
    </w:pPr>
    <w:rPr>
      <w:sz w:val="18"/>
    </w:rPr>
  </w:style>
  <w:style w:type="paragraph" w:customStyle="1" w:styleId="ARRBTableBullet1">
    <w:name w:val="ARRB ±TableBullet1"/>
    <w:basedOn w:val="ARRBTableTextLeft"/>
    <w:uiPriority w:val="7"/>
    <w:qFormat/>
    <w:rsid w:val="00452B58"/>
    <w:pPr>
      <w:contextualSpacing/>
    </w:pPr>
    <w:rPr>
      <w:rFonts w:eastAsia="Calibri"/>
    </w:rPr>
  </w:style>
  <w:style w:type="paragraph" w:customStyle="1" w:styleId="ARRBTableBullet2">
    <w:name w:val="ARRB ±TableBullet2"/>
    <w:basedOn w:val="ARRBTableTextLeft"/>
    <w:uiPriority w:val="7"/>
    <w:qFormat/>
    <w:rsid w:val="00452B58"/>
    <w:pPr>
      <w:contextualSpacing/>
    </w:pPr>
  </w:style>
  <w:style w:type="paragraph" w:customStyle="1" w:styleId="ARRBTableBullet3">
    <w:name w:val="ARRB ±TableBullet3"/>
    <w:basedOn w:val="ARRBTableTextLeft"/>
    <w:uiPriority w:val="7"/>
    <w:qFormat/>
    <w:rsid w:val="00452B58"/>
    <w:pPr>
      <w:contextualSpacing/>
    </w:pPr>
  </w:style>
  <w:style w:type="paragraph" w:customStyle="1" w:styleId="ARRBTableHeadingLeft">
    <w:name w:val="ARRB ±TableHeadingLeft"/>
    <w:basedOn w:val="ARRBTableTextLeft"/>
    <w:uiPriority w:val="7"/>
    <w:semiHidden/>
    <w:rsid w:val="00452B58"/>
    <w:pPr>
      <w:keepNext/>
    </w:pPr>
    <w:rPr>
      <w:b/>
      <w:szCs w:val="26"/>
    </w:rPr>
  </w:style>
  <w:style w:type="paragraph" w:customStyle="1" w:styleId="ARRBTableHeadingCentre">
    <w:name w:val="ARRB ±TableHeadingCentre"/>
    <w:basedOn w:val="ARRBTableHeadingLeft"/>
    <w:uiPriority w:val="7"/>
    <w:semiHidden/>
    <w:rsid w:val="00452B58"/>
    <w:pPr>
      <w:jc w:val="center"/>
    </w:pPr>
  </w:style>
  <w:style w:type="paragraph" w:customStyle="1" w:styleId="ARRBTableHeadingRight">
    <w:name w:val="ARRB ±TableHeadingRight"/>
    <w:basedOn w:val="ARRBTableHeadingLeft"/>
    <w:uiPriority w:val="7"/>
    <w:semiHidden/>
    <w:rsid w:val="00452B58"/>
    <w:pPr>
      <w:jc w:val="right"/>
    </w:pPr>
  </w:style>
  <w:style w:type="table" w:customStyle="1" w:styleId="TableNormal0">
    <w:name w:val="~TableNormal"/>
    <w:basedOn w:val="TableNormal"/>
    <w:semiHidden/>
    <w:rsid w:val="00452B58"/>
    <w:pPr>
      <w:spacing w:before="120" w:after="0"/>
    </w:pPr>
    <w:rPr>
      <w:rFonts w:ascii="Arial Narrow" w:hAnsi="Arial Narrow" w:cs="Arial"/>
      <w:color w:val="3572BB"/>
      <w:sz w:val="18"/>
      <w:szCs w:val="18"/>
      <w:lang w:val="en-GB"/>
    </w:rPr>
    <w:tblPr/>
  </w:style>
  <w:style w:type="paragraph" w:customStyle="1" w:styleId="ARRBTableTextCentre">
    <w:name w:val="ARRB ±TableTextCentre"/>
    <w:basedOn w:val="ARRBTableTextLeft"/>
    <w:uiPriority w:val="7"/>
    <w:rsid w:val="00452B58"/>
    <w:pPr>
      <w:jc w:val="center"/>
    </w:pPr>
  </w:style>
  <w:style w:type="paragraph" w:customStyle="1" w:styleId="ARRBTableTextRight">
    <w:name w:val="ARRB ±TableTextRight"/>
    <w:basedOn w:val="ARRBTableTextLeft"/>
    <w:uiPriority w:val="7"/>
    <w:rsid w:val="00452B58"/>
    <w:pPr>
      <w:jc w:val="right"/>
    </w:pPr>
  </w:style>
  <w:style w:type="paragraph" w:customStyle="1" w:styleId="TableTotalLeft">
    <w:name w:val="±TableTotalLeft"/>
    <w:basedOn w:val="ARRBTableTextLeft"/>
    <w:uiPriority w:val="7"/>
    <w:semiHidden/>
    <w:rsid w:val="00452B58"/>
    <w:rPr>
      <w:b/>
    </w:rPr>
  </w:style>
  <w:style w:type="paragraph" w:customStyle="1" w:styleId="ARRBTableTotalCentre">
    <w:name w:val="ARRB ±TableTotalCentre"/>
    <w:basedOn w:val="TableTotalLeft"/>
    <w:uiPriority w:val="7"/>
    <w:semiHidden/>
    <w:rsid w:val="00452B58"/>
    <w:pPr>
      <w:framePr w:wrap="around" w:vAnchor="page" w:hAnchor="margin" w:y="1135"/>
      <w:suppressOverlap/>
      <w:jc w:val="center"/>
    </w:pPr>
  </w:style>
  <w:style w:type="paragraph" w:customStyle="1" w:styleId="TableTotalRight">
    <w:name w:val="±TableTotalRight"/>
    <w:basedOn w:val="TableTotalLeft"/>
    <w:uiPriority w:val="7"/>
    <w:semiHidden/>
    <w:rsid w:val="00452B58"/>
    <w:pPr>
      <w:framePr w:wrap="around" w:vAnchor="page" w:hAnchor="margin" w:y="1135"/>
      <w:suppressOverlap/>
      <w:jc w:val="right"/>
    </w:pPr>
  </w:style>
  <w:style w:type="table" w:customStyle="1" w:styleId="MediumShading2-Accent11">
    <w:name w:val="Medium Shading 2 - Accent 11"/>
    <w:basedOn w:val="TableNormal"/>
    <w:next w:val="MediumShading2-Accent1"/>
    <w:uiPriority w:val="64"/>
    <w:rsid w:val="00452B58"/>
    <w:pPr>
      <w:spacing w:before="120" w:after="0"/>
    </w:pPr>
    <w:rPr>
      <w:rFonts w:ascii="Arial Narrow" w:hAnsi="Arial Narrow" w:cs="Arial"/>
      <w:color w:val="808080"/>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DC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DC00"/>
      </w:tcPr>
    </w:tblStylePr>
    <w:tblStylePr w:type="lastCol">
      <w:rPr>
        <w:b/>
        <w:bCs/>
        <w:color w:val="FFFFFF"/>
      </w:rPr>
      <w:tblPr/>
      <w:tcPr>
        <w:tcBorders>
          <w:left w:val="nil"/>
          <w:right w:val="nil"/>
          <w:insideH w:val="nil"/>
          <w:insideV w:val="nil"/>
        </w:tcBorders>
        <w:shd w:val="clear" w:color="auto" w:fill="CCDC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0">
    <w:name w:val="Table Grid12"/>
    <w:basedOn w:val="TableNormal"/>
    <w:next w:val="TableGrid"/>
    <w:uiPriority w:val="39"/>
    <w:rsid w:val="00452B58"/>
    <w:pPr>
      <w:spacing w:before="120" w:after="0"/>
    </w:pPr>
    <w:rPr>
      <w:rFonts w:ascii="Arial Narrow" w:hAnsi="Arial Narrow" w:cs="System"/>
      <w:sz w:val="18"/>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RBContactName">
    <w:name w:val="ARRB ±Contact_Name"/>
    <w:basedOn w:val="ARRBBase"/>
    <w:next w:val="ARRBContactTitle"/>
    <w:uiPriority w:val="9"/>
    <w:semiHidden/>
    <w:qFormat/>
    <w:rsid w:val="00452B58"/>
    <w:rPr>
      <w:b/>
      <w:color w:val="00A1DE"/>
    </w:rPr>
  </w:style>
  <w:style w:type="paragraph" w:customStyle="1" w:styleId="ARRBContactTitle">
    <w:name w:val="ARRB ±Contact_Title"/>
    <w:basedOn w:val="ARRBBaseNoSpacing"/>
    <w:uiPriority w:val="9"/>
    <w:semiHidden/>
    <w:qFormat/>
    <w:rsid w:val="00452B58"/>
    <w:rPr>
      <w:color w:val="8B8D8E"/>
    </w:rPr>
  </w:style>
  <w:style w:type="paragraph" w:customStyle="1" w:styleId="ARRBFooterText">
    <w:name w:val="ARRB ±Footer_Text"/>
    <w:basedOn w:val="ARRBBaseNoSpacing"/>
    <w:uiPriority w:val="9"/>
    <w:semiHidden/>
    <w:qFormat/>
    <w:rsid w:val="00452B58"/>
    <w:pPr>
      <w:spacing w:line="240" w:lineRule="auto"/>
      <w:jc w:val="center"/>
    </w:pPr>
    <w:rPr>
      <w:color w:val="8B8D8E"/>
      <w:sz w:val="14"/>
    </w:rPr>
  </w:style>
  <w:style w:type="paragraph" w:customStyle="1" w:styleId="ARRBFooterHead">
    <w:name w:val="ARRB ±Footer_Head"/>
    <w:basedOn w:val="ARRBFooterText"/>
    <w:next w:val="ARRBFooterText"/>
    <w:uiPriority w:val="9"/>
    <w:semiHidden/>
    <w:qFormat/>
    <w:rsid w:val="00452B58"/>
    <w:pPr>
      <w:spacing w:after="120"/>
    </w:pPr>
    <w:rPr>
      <w:b/>
      <w:color w:val="00A1DE"/>
    </w:rPr>
  </w:style>
  <w:style w:type="paragraph" w:customStyle="1" w:styleId="ARRBReferenceMinorSubHead">
    <w:name w:val="ARRB ±ReferenceMinorSubHead"/>
    <w:basedOn w:val="ARRBReferenceSubHead"/>
    <w:next w:val="Normal"/>
    <w:link w:val="ARRBReferenceMinorSubHeadChar"/>
    <w:uiPriority w:val="3"/>
    <w:rsid w:val="00452B58"/>
  </w:style>
  <w:style w:type="character" w:styleId="UnresolvedMention">
    <w:name w:val="Unresolved Mention"/>
    <w:basedOn w:val="DefaultParagraphFont"/>
    <w:uiPriority w:val="99"/>
    <w:semiHidden/>
    <w:rsid w:val="00452B58"/>
    <w:rPr>
      <w:color w:val="605E5C"/>
      <w:shd w:val="clear" w:color="auto" w:fill="E1DFDD"/>
    </w:rPr>
  </w:style>
  <w:style w:type="paragraph" w:customStyle="1" w:styleId="ARRBTCTitle">
    <w:name w:val="ARRB ±TC_Title"/>
    <w:basedOn w:val="ARRBBase"/>
    <w:next w:val="ARRBBase"/>
    <w:uiPriority w:val="8"/>
    <w:semiHidden/>
    <w:rsid w:val="00452B58"/>
    <w:pPr>
      <w:keepNext/>
      <w:pageBreakBefore/>
      <w:framePr w:w="9639" w:vSpace="425" w:wrap="around" w:vAnchor="text" w:hAnchor="text" w:y="1"/>
      <w:pBdr>
        <w:top w:val="single" w:sz="24" w:space="1" w:color="00A1DE"/>
        <w:left w:val="single" w:sz="24" w:space="4" w:color="00A1DE"/>
        <w:bottom w:val="single" w:sz="24" w:space="1" w:color="00A1DE"/>
        <w:right w:val="single" w:sz="24" w:space="4" w:color="00A1DE"/>
      </w:pBdr>
      <w:shd w:val="clear" w:color="auto" w:fill="00A1DE"/>
      <w:spacing w:after="0" w:line="240" w:lineRule="auto"/>
      <w:ind w:left="142" w:right="142"/>
    </w:pPr>
    <w:rPr>
      <w:b/>
      <w:caps/>
      <w:color w:val="FFFFFF"/>
      <w:sz w:val="28"/>
    </w:rPr>
  </w:style>
  <w:style w:type="paragraph" w:customStyle="1" w:styleId="ARRBTCAlphaNumBullet1">
    <w:name w:val="ARRB ±TC_AlphaNumBullet1"/>
    <w:basedOn w:val="ARRBBase"/>
    <w:uiPriority w:val="8"/>
    <w:semiHidden/>
    <w:rsid w:val="00452B58"/>
    <w:pPr>
      <w:numPr>
        <w:numId w:val="80"/>
      </w:numPr>
      <w:tabs>
        <w:tab w:val="clear" w:pos="284"/>
        <w:tab w:val="num" w:pos="288"/>
      </w:tabs>
      <w:spacing w:after="0" w:line="240" w:lineRule="auto"/>
      <w:ind w:left="288" w:hanging="288"/>
      <w:jc w:val="both"/>
    </w:pPr>
    <w:rPr>
      <w:sz w:val="12"/>
    </w:rPr>
  </w:style>
  <w:style w:type="paragraph" w:customStyle="1" w:styleId="ARRBTCAlphaNumBullet2">
    <w:name w:val="ARRB ±TC_AlphaNumBullet2"/>
    <w:basedOn w:val="ARRBNumberLista"/>
    <w:uiPriority w:val="8"/>
    <w:semiHidden/>
    <w:rsid w:val="00452B58"/>
    <w:pPr>
      <w:numPr>
        <w:ilvl w:val="1"/>
        <w:numId w:val="80"/>
      </w:numPr>
      <w:tabs>
        <w:tab w:val="clear" w:pos="567"/>
        <w:tab w:val="num" w:pos="576"/>
      </w:tabs>
      <w:spacing w:after="0" w:line="240" w:lineRule="auto"/>
      <w:ind w:left="568" w:hanging="284"/>
      <w:jc w:val="both"/>
    </w:pPr>
    <w:rPr>
      <w:sz w:val="12"/>
    </w:rPr>
  </w:style>
  <w:style w:type="paragraph" w:customStyle="1" w:styleId="ARRBTCAlphaNumBullet3">
    <w:name w:val="ARRB ±TC_AlphaNumBullet3"/>
    <w:basedOn w:val="ARRBNumberListi"/>
    <w:uiPriority w:val="8"/>
    <w:semiHidden/>
    <w:rsid w:val="00452B58"/>
    <w:pPr>
      <w:numPr>
        <w:ilvl w:val="2"/>
        <w:numId w:val="80"/>
      </w:numPr>
      <w:tabs>
        <w:tab w:val="clear" w:pos="851"/>
        <w:tab w:val="num" w:pos="864"/>
      </w:tabs>
      <w:spacing w:after="0" w:line="240" w:lineRule="auto"/>
      <w:ind w:left="864" w:hanging="288"/>
      <w:jc w:val="both"/>
    </w:pPr>
    <w:rPr>
      <w:sz w:val="12"/>
    </w:rPr>
  </w:style>
  <w:style w:type="numbering" w:customStyle="1" w:styleId="TCAlphaNumBullet">
    <w:name w:val="±TC_AlphaNumBullet"/>
    <w:uiPriority w:val="99"/>
    <w:rsid w:val="00452B58"/>
    <w:pPr>
      <w:numPr>
        <w:numId w:val="80"/>
      </w:numPr>
    </w:pPr>
  </w:style>
  <w:style w:type="paragraph" w:customStyle="1" w:styleId="ARRBEquationLeft">
    <w:name w:val="ARRB ±EquationLeft"/>
    <w:basedOn w:val="ARRBBase"/>
    <w:next w:val="ARRBBase"/>
    <w:uiPriority w:val="1"/>
    <w:rsid w:val="00452B58"/>
    <w:pPr>
      <w:spacing w:before="60"/>
    </w:pPr>
    <w:rPr>
      <w:rFonts w:eastAsia="Times New Roman" w:cs="Times New Roman"/>
      <w:szCs w:val="18"/>
      <w:lang w:eastAsia="en-AU"/>
    </w:rPr>
  </w:style>
  <w:style w:type="paragraph" w:customStyle="1" w:styleId="ARRBEquationRight">
    <w:name w:val="ARRB ±EquationRight"/>
    <w:basedOn w:val="ARRBEquationLeft"/>
    <w:next w:val="ARRBBase"/>
    <w:uiPriority w:val="1"/>
    <w:rsid w:val="00452B58"/>
    <w:pPr>
      <w:jc w:val="right"/>
    </w:pPr>
  </w:style>
  <w:style w:type="paragraph" w:customStyle="1" w:styleId="ARRBEquationCentre">
    <w:name w:val="ARRB ±EquationCentre"/>
    <w:basedOn w:val="ARRBEquationLeft"/>
    <w:next w:val="ARRBBase"/>
    <w:uiPriority w:val="1"/>
    <w:rsid w:val="00452B58"/>
    <w:pPr>
      <w:jc w:val="center"/>
    </w:pPr>
  </w:style>
  <w:style w:type="numbering" w:customStyle="1" w:styleId="CommListStyle">
    <w:name w:val="~CommListStyle"/>
    <w:basedOn w:val="NoList"/>
    <w:uiPriority w:val="99"/>
    <w:rsid w:val="00452B58"/>
    <w:pPr>
      <w:numPr>
        <w:numId w:val="81"/>
      </w:numPr>
    </w:pPr>
  </w:style>
  <w:style w:type="paragraph" w:customStyle="1" w:styleId="ARRBTableNumberList1">
    <w:name w:val="ARRB ±TableNumberList 1"/>
    <w:basedOn w:val="ARRBTableTextLeft"/>
    <w:uiPriority w:val="7"/>
    <w:rsid w:val="00452B58"/>
    <w:pPr>
      <w:numPr>
        <w:numId w:val="82"/>
      </w:numPr>
      <w:tabs>
        <w:tab w:val="clear" w:pos="284"/>
      </w:tabs>
      <w:ind w:left="720" w:hanging="360"/>
      <w:contextualSpacing/>
    </w:pPr>
  </w:style>
  <w:style w:type="paragraph" w:customStyle="1" w:styleId="ARRBTableNumberLista">
    <w:name w:val="ARRB ±TableNumberList a"/>
    <w:basedOn w:val="ARRBTableTextLeft"/>
    <w:uiPriority w:val="7"/>
    <w:qFormat/>
    <w:rsid w:val="00452B58"/>
    <w:pPr>
      <w:numPr>
        <w:ilvl w:val="1"/>
        <w:numId w:val="82"/>
      </w:numPr>
      <w:tabs>
        <w:tab w:val="clear" w:pos="567"/>
      </w:tabs>
      <w:ind w:left="568" w:hanging="284"/>
      <w:contextualSpacing/>
    </w:pPr>
  </w:style>
  <w:style w:type="paragraph" w:customStyle="1" w:styleId="ARRBTableNumberListi">
    <w:name w:val="ARRB ±TableNumberList i"/>
    <w:basedOn w:val="ARRBTableTextLeft"/>
    <w:uiPriority w:val="7"/>
    <w:qFormat/>
    <w:rsid w:val="00452B58"/>
    <w:pPr>
      <w:numPr>
        <w:ilvl w:val="2"/>
        <w:numId w:val="82"/>
      </w:numPr>
      <w:tabs>
        <w:tab w:val="clear" w:pos="851"/>
      </w:tabs>
      <w:ind w:left="2160" w:hanging="360"/>
      <w:contextualSpacing/>
    </w:pPr>
  </w:style>
  <w:style w:type="paragraph" w:customStyle="1" w:styleId="ARRBTableFigureKeyedNotesList">
    <w:name w:val="ARRB ±Table/Figure Keyed Notes List"/>
    <w:basedOn w:val="ARRBTableFigureNotesorSource"/>
    <w:uiPriority w:val="6"/>
    <w:rsid w:val="00452B58"/>
    <w:pPr>
      <w:numPr>
        <w:numId w:val="83"/>
      </w:numPr>
      <w:tabs>
        <w:tab w:val="clear" w:pos="709"/>
        <w:tab w:val="left" w:pos="284"/>
        <w:tab w:val="num" w:pos="851"/>
      </w:tabs>
      <w:ind w:left="284" w:hanging="284"/>
      <w:contextualSpacing/>
    </w:pPr>
  </w:style>
  <w:style w:type="paragraph" w:customStyle="1" w:styleId="ARRBQuotation">
    <w:name w:val="ARRB ±Quotation"/>
    <w:basedOn w:val="ARRBBaseNoSpacing"/>
    <w:next w:val="Normal"/>
    <w:uiPriority w:val="32"/>
    <w:rsid w:val="00452B58"/>
    <w:pPr>
      <w:spacing w:before="120" w:after="60"/>
      <w:ind w:left="567" w:right="567"/>
    </w:pPr>
  </w:style>
  <w:style w:type="paragraph" w:customStyle="1" w:styleId="ARRBReferenceText">
    <w:name w:val="ARRB ±ReferenceText"/>
    <w:basedOn w:val="ARRBBase"/>
    <w:rsid w:val="00452B58"/>
    <w:pPr>
      <w:tabs>
        <w:tab w:val="left" w:pos="567"/>
      </w:tabs>
      <w:spacing w:before="60" w:after="240"/>
      <w:ind w:left="567" w:hanging="567"/>
    </w:pPr>
  </w:style>
  <w:style w:type="paragraph" w:customStyle="1" w:styleId="ARRBTableFigureNotesBullet">
    <w:name w:val="ARRB ±Table/Figure Notes Bullet"/>
    <w:basedOn w:val="ARRBTableFigureNotesorSource"/>
    <w:uiPriority w:val="6"/>
    <w:rsid w:val="00452B58"/>
    <w:pPr>
      <w:numPr>
        <w:numId w:val="84"/>
      </w:numPr>
      <w:tabs>
        <w:tab w:val="clear" w:pos="709"/>
        <w:tab w:val="left" w:pos="170"/>
      </w:tabs>
      <w:spacing w:before="0"/>
      <w:ind w:left="170" w:hanging="170"/>
      <w:contextualSpacing/>
    </w:pPr>
  </w:style>
  <w:style w:type="paragraph" w:customStyle="1" w:styleId="CoverText">
    <w:name w:val="±CoverText"/>
    <w:basedOn w:val="CoverAuthor"/>
    <w:uiPriority w:val="34"/>
    <w:semiHidden/>
    <w:qFormat/>
    <w:rsid w:val="00452B58"/>
  </w:style>
  <w:style w:type="paragraph" w:customStyle="1" w:styleId="CoverNumber">
    <w:name w:val="±CoverNumber"/>
    <w:basedOn w:val="CoverTitle"/>
    <w:uiPriority w:val="34"/>
    <w:semiHidden/>
    <w:qFormat/>
    <w:rsid w:val="00452B58"/>
    <w:pPr>
      <w:spacing w:after="0"/>
    </w:pPr>
    <w:rPr>
      <w:b w:val="0"/>
    </w:rPr>
  </w:style>
  <w:style w:type="paragraph" w:customStyle="1" w:styleId="ARRBHeading9a">
    <w:name w:val="ARRB Heading 9a"/>
    <w:aliases w:val="±AppHead4"/>
    <w:basedOn w:val="ARRBReferenceMinorSubHead"/>
    <w:next w:val="Normal"/>
    <w:link w:val="ARRBHeading9aChar"/>
    <w:uiPriority w:val="4"/>
    <w:qFormat/>
    <w:rsid w:val="00452B58"/>
    <w:pPr>
      <w:spacing w:before="240" w:after="60"/>
    </w:pPr>
    <w:rPr>
      <w:caps/>
    </w:rPr>
  </w:style>
  <w:style w:type="paragraph" w:customStyle="1" w:styleId="ARRBHeading9b">
    <w:name w:val="ARRB Heading 9b"/>
    <w:aliases w:val="±AppHead5"/>
    <w:basedOn w:val="ARRBReferenceMinorSubHead"/>
    <w:next w:val="Normal"/>
    <w:link w:val="ARRBHeading9bChar"/>
    <w:uiPriority w:val="4"/>
    <w:qFormat/>
    <w:rsid w:val="00452B58"/>
    <w:pPr>
      <w:spacing w:before="240" w:after="60"/>
    </w:pPr>
    <w:rPr>
      <w:rFonts w:cs="Calibri"/>
      <w:i/>
      <w:caps/>
      <w:color w:val="8B8D8E"/>
    </w:rPr>
  </w:style>
  <w:style w:type="character" w:customStyle="1" w:styleId="NoSpacingChar">
    <w:name w:val="No Spacing Char"/>
    <w:aliases w:val="No Spacing ±BaseStyle Char"/>
    <w:basedOn w:val="DefaultParagraphFont"/>
    <w:link w:val="NoSpacing"/>
    <w:uiPriority w:val="1"/>
    <w:rsid w:val="00452B58"/>
    <w:rPr>
      <w:kern w:val="12"/>
    </w:rPr>
  </w:style>
  <w:style w:type="character" w:customStyle="1" w:styleId="ARRBHeadNonTocChar">
    <w:name w:val="ARRB ±HeadNonToc Char"/>
    <w:basedOn w:val="NoSpacingChar"/>
    <w:link w:val="ARRBHeadNonToc"/>
    <w:uiPriority w:val="3"/>
    <w:rsid w:val="00452B58"/>
    <w:rPr>
      <w:rFonts w:ascii="Arial Bold" w:hAnsi="Arial Bold"/>
      <w:b/>
      <w:color w:val="00A1DE"/>
      <w:kern w:val="12"/>
      <w:sz w:val="40"/>
      <w:szCs w:val="22"/>
    </w:rPr>
  </w:style>
  <w:style w:type="character" w:customStyle="1" w:styleId="ARRBReferenceHeadChar">
    <w:name w:val="ARRB ±ReferenceHead Char"/>
    <w:basedOn w:val="ARRBHeadNonTocChar"/>
    <w:link w:val="ARRBReferenceHead"/>
    <w:uiPriority w:val="3"/>
    <w:rsid w:val="00452B58"/>
    <w:rPr>
      <w:rFonts w:ascii="Arial Bold" w:hAnsi="Arial Bold"/>
      <w:b/>
      <w:color w:val="00A1DE"/>
      <w:kern w:val="12"/>
      <w:sz w:val="40"/>
      <w:szCs w:val="22"/>
    </w:rPr>
  </w:style>
  <w:style w:type="character" w:customStyle="1" w:styleId="ARRBReferenceSubHeadChar">
    <w:name w:val="ARRB ±ReferenceSubHead Char"/>
    <w:basedOn w:val="ARRBReferenceHeadChar"/>
    <w:link w:val="ARRBReferenceSubHead"/>
    <w:uiPriority w:val="3"/>
    <w:rsid w:val="00452B58"/>
    <w:rPr>
      <w:rFonts w:ascii="Arial Bold" w:hAnsi="Arial Bold"/>
      <w:b/>
      <w:color w:val="00A1DE"/>
      <w:kern w:val="12"/>
      <w:sz w:val="28"/>
      <w:szCs w:val="22"/>
    </w:rPr>
  </w:style>
  <w:style w:type="character" w:customStyle="1" w:styleId="ARRBReferenceMinorSubHeadChar">
    <w:name w:val="ARRB ±ReferenceMinorSubHead Char"/>
    <w:basedOn w:val="ARRBReferenceSubHeadChar"/>
    <w:link w:val="ARRBReferenceMinorSubHead"/>
    <w:uiPriority w:val="3"/>
    <w:rsid w:val="00452B58"/>
    <w:rPr>
      <w:rFonts w:ascii="Arial Bold" w:hAnsi="Arial Bold"/>
      <w:b/>
      <w:color w:val="00A1DE"/>
      <w:kern w:val="12"/>
      <w:sz w:val="28"/>
      <w:szCs w:val="22"/>
    </w:rPr>
  </w:style>
  <w:style w:type="character" w:customStyle="1" w:styleId="ARRBHeading9aChar">
    <w:name w:val="ARRB Heading 9a Char"/>
    <w:aliases w:val="±AppHead4 Char"/>
    <w:basedOn w:val="ARRBReferenceMinorSubHeadChar"/>
    <w:link w:val="ARRBHeading9a"/>
    <w:uiPriority w:val="4"/>
    <w:rsid w:val="00452B58"/>
    <w:rPr>
      <w:rFonts w:ascii="Arial Bold" w:hAnsi="Arial Bold"/>
      <w:b/>
      <w:caps/>
      <w:color w:val="00A1DE"/>
      <w:kern w:val="12"/>
      <w:sz w:val="28"/>
      <w:szCs w:val="22"/>
    </w:rPr>
  </w:style>
  <w:style w:type="paragraph" w:customStyle="1" w:styleId="ARRBHeading9c">
    <w:name w:val="ARRB Heading 9c"/>
    <w:aliases w:val="±AppHead6"/>
    <w:basedOn w:val="ARRBReferenceMinorSubHead"/>
    <w:next w:val="Normal"/>
    <w:link w:val="ARRBHeading9cChar"/>
    <w:uiPriority w:val="4"/>
    <w:qFormat/>
    <w:rsid w:val="00452B58"/>
    <w:pPr>
      <w:spacing w:before="240" w:after="60"/>
    </w:pPr>
    <w:rPr>
      <w:i/>
      <w:caps/>
      <w:color w:val="00B299"/>
    </w:rPr>
  </w:style>
  <w:style w:type="character" w:customStyle="1" w:styleId="ARRBHeading9bChar">
    <w:name w:val="ARRB Heading 9b Char"/>
    <w:aliases w:val="±AppHead5 Char"/>
    <w:basedOn w:val="ARRBReferenceMinorSubHeadChar"/>
    <w:link w:val="ARRBHeading9b"/>
    <w:uiPriority w:val="4"/>
    <w:rsid w:val="00452B58"/>
    <w:rPr>
      <w:rFonts w:ascii="Arial Bold" w:hAnsi="Arial Bold" w:cs="Calibri"/>
      <w:b/>
      <w:i/>
      <w:caps/>
      <w:color w:val="8B8D8E"/>
      <w:kern w:val="12"/>
      <w:sz w:val="28"/>
      <w:szCs w:val="22"/>
    </w:rPr>
  </w:style>
  <w:style w:type="character" w:customStyle="1" w:styleId="ARRBHeading9cChar">
    <w:name w:val="ARRB Heading 9c Char"/>
    <w:aliases w:val="±AppHead6 Char"/>
    <w:basedOn w:val="ARRBReferenceMinorSubHeadChar"/>
    <w:link w:val="ARRBHeading9c"/>
    <w:uiPriority w:val="4"/>
    <w:rsid w:val="00452B58"/>
    <w:rPr>
      <w:rFonts w:ascii="Arial Bold" w:hAnsi="Arial Bold"/>
      <w:b/>
      <w:i/>
      <w:caps/>
      <w:color w:val="00B299"/>
      <w:kern w:val="12"/>
      <w:sz w:val="28"/>
      <w:szCs w:val="22"/>
    </w:rPr>
  </w:style>
  <w:style w:type="paragraph" w:customStyle="1" w:styleId="TableFigureNotesorSource">
    <w:name w:val="Table / Figure Notes or Source"/>
    <w:basedOn w:val="ARRBBase"/>
    <w:next w:val="ARRBBase"/>
    <w:semiHidden/>
    <w:rsid w:val="00452B58"/>
    <w:pPr>
      <w:keepLines/>
      <w:spacing w:before="60" w:after="240" w:line="240" w:lineRule="atLeast"/>
    </w:pPr>
    <w:rPr>
      <w:rFonts w:eastAsia="SimSun"/>
      <w:i/>
      <w:color w:val="6F7C87"/>
      <w:sz w:val="18"/>
      <w:lang w:eastAsia="ja-JP"/>
    </w:rPr>
  </w:style>
  <w:style w:type="paragraph" w:customStyle="1" w:styleId="ARRBTableCaption">
    <w:name w:val="ARRB Table Caption"/>
    <w:next w:val="ARRBBase"/>
    <w:link w:val="ARRBTableCaptionChar"/>
    <w:rsid w:val="00452B58"/>
    <w:pPr>
      <w:keepNext/>
      <w:tabs>
        <w:tab w:val="left" w:pos="1134"/>
      </w:tabs>
      <w:spacing w:before="0" w:after="60"/>
    </w:pPr>
    <w:rPr>
      <w:rFonts w:eastAsia="Calibri"/>
      <w:b/>
      <w:bCs/>
      <w:color w:val="67696A"/>
      <w:sz w:val="18"/>
      <w:szCs w:val="22"/>
    </w:rPr>
  </w:style>
  <w:style w:type="paragraph" w:customStyle="1" w:styleId="ARRBTableTextLeft0">
    <w:name w:val="ARRB Table Text Left"/>
    <w:basedOn w:val="ARRBBase"/>
    <w:link w:val="ARRBTableTextLeftChar"/>
    <w:uiPriority w:val="99"/>
    <w:qFormat/>
    <w:rsid w:val="00452B58"/>
    <w:pPr>
      <w:spacing w:before="40" w:after="40" w:line="240" w:lineRule="auto"/>
    </w:pPr>
    <w:rPr>
      <w:rFonts w:eastAsia="Calibri"/>
      <w:sz w:val="18"/>
      <w:szCs w:val="18"/>
    </w:rPr>
  </w:style>
  <w:style w:type="table" w:customStyle="1" w:styleId="MainTableStyle">
    <w:name w:val="Main Table Style"/>
    <w:basedOn w:val="TableNormal"/>
    <w:uiPriority w:val="99"/>
    <w:rsid w:val="00452B58"/>
    <w:pPr>
      <w:spacing w:before="80"/>
    </w:pPr>
    <w:rPr>
      <w:rFonts w:ascii="Arial" w:eastAsia="Calibri" w:hAnsi="Arial" w:cs="Times New Roman"/>
      <w:color w:val="auto"/>
      <w:sz w:val="18"/>
      <w:szCs w:val="22"/>
      <w:lang w:eastAsia="en-A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AEA"/>
    </w:tcPr>
    <w:tblStylePr w:type="firstRow">
      <w:pPr>
        <w:keepNext/>
        <w:keepLines/>
        <w:widowControl/>
        <w:wordWrap/>
        <w:spacing w:beforeLines="0" w:before="80" w:beforeAutospacing="0" w:afterLines="0" w:after="80" w:afterAutospacing="0" w:line="240" w:lineRule="auto"/>
        <w:jc w:val="left"/>
      </w:pPr>
      <w:rPr>
        <w:rFonts w:ascii="Arial" w:hAnsi="Arial"/>
        <w:b w:val="0"/>
        <w:i w:val="0"/>
        <w:color w:val="FFFFFF"/>
        <w:sz w:val="18"/>
      </w:rPr>
      <w:tblPr/>
      <w:tcPr>
        <w:shd w:val="clear" w:color="auto" w:fill="00A1DE"/>
      </w:tcPr>
    </w:tblStylePr>
    <w:tblStylePr w:type="lastRow">
      <w:pPr>
        <w:keepLines/>
        <w:widowControl/>
        <w:wordWrap/>
        <w:jc w:val="left"/>
      </w:pPr>
      <w:rPr>
        <w:rFonts w:ascii="Sitka Display" w:hAnsi="Sitka Display"/>
        <w:b/>
        <w:i w:val="0"/>
        <w:color w:val="FFFFFF"/>
      </w:rPr>
      <w:tblPr/>
      <w:tcPr>
        <w:tcBorders>
          <w:top w:val="nil"/>
          <w:left w:val="nil"/>
          <w:bottom w:val="single" w:sz="4" w:space="0" w:color="44546A"/>
          <w:right w:val="nil"/>
          <w:insideH w:val="nil"/>
          <w:insideV w:val="nil"/>
          <w:tl2br w:val="nil"/>
          <w:tr2bl w:val="nil"/>
        </w:tcBorders>
        <w:shd w:val="clear" w:color="auto" w:fill="323232"/>
      </w:tcPr>
    </w:tblStylePr>
    <w:tblStylePr w:type="band1Horz">
      <w:tblPr/>
      <w:tcPr>
        <w:shd w:val="clear" w:color="auto" w:fill="FFFFFF"/>
      </w:tcPr>
    </w:tblStylePr>
    <w:tblStylePr w:type="band2Horz">
      <w:tblPr/>
      <w:tcPr>
        <w:shd w:val="clear" w:color="auto" w:fill="E7E8E8"/>
      </w:tcPr>
    </w:tblStylePr>
  </w:style>
  <w:style w:type="paragraph" w:customStyle="1" w:styleId="ARRBTableHeadingLeft0">
    <w:name w:val="ARRB Table Heading Left"/>
    <w:basedOn w:val="BodyText"/>
    <w:qFormat/>
    <w:rsid w:val="00452B58"/>
    <w:pPr>
      <w:keepNext/>
      <w:keepLines/>
      <w:tabs>
        <w:tab w:val="clear" w:pos="720"/>
        <w:tab w:val="clear" w:pos="851"/>
      </w:tabs>
      <w:spacing w:before="80" w:after="80" w:line="240" w:lineRule="atLeast"/>
    </w:pPr>
    <w:rPr>
      <w:rFonts w:ascii="Calibri" w:eastAsia="Calibri" w:hAnsi="Calibri"/>
      <w:b/>
      <w:color w:val="FFFFFF"/>
      <w:sz w:val="18"/>
      <w:szCs w:val="18"/>
      <w:lang w:eastAsia="en-US"/>
    </w:rPr>
  </w:style>
  <w:style w:type="character" w:customStyle="1" w:styleId="ARRBTableTextLeftChar">
    <w:name w:val="ARRB Table Text Left Char"/>
    <w:basedOn w:val="DefaultParagraphFont"/>
    <w:link w:val="ARRBTableTextLeft0"/>
    <w:uiPriority w:val="99"/>
    <w:rsid w:val="00452B58"/>
    <w:rPr>
      <w:rFonts w:eastAsia="Calibri"/>
      <w:color w:val="auto"/>
      <w:sz w:val="18"/>
      <w:szCs w:val="18"/>
    </w:rPr>
  </w:style>
  <w:style w:type="character" w:customStyle="1" w:styleId="ARRBTableCaptionChar">
    <w:name w:val="ARRB Table Caption Char"/>
    <w:link w:val="ARRBTableCaption"/>
    <w:rsid w:val="00452B58"/>
    <w:rPr>
      <w:rFonts w:eastAsia="Calibri"/>
      <w:b/>
      <w:bCs/>
      <w:color w:val="67696A"/>
      <w:sz w:val="18"/>
      <w:szCs w:val="22"/>
    </w:rPr>
  </w:style>
  <w:style w:type="paragraph" w:customStyle="1" w:styleId="ARRBBulletLevel1">
    <w:name w:val="ARRB Bullet Level 1"/>
    <w:rsid w:val="00452B58"/>
    <w:pPr>
      <w:numPr>
        <w:numId w:val="85"/>
      </w:numPr>
      <w:spacing w:before="0" w:after="160" w:line="259" w:lineRule="auto"/>
      <w:contextualSpacing/>
    </w:pPr>
    <w:rPr>
      <w:rFonts w:eastAsia="Times New Roman" w:cs="Times New Roman"/>
      <w:color w:val="auto"/>
      <w:sz w:val="22"/>
      <w:szCs w:val="22"/>
      <w:lang w:eastAsia="en-AU"/>
    </w:rPr>
  </w:style>
  <w:style w:type="paragraph" w:customStyle="1" w:styleId="ARRBFigureCaption">
    <w:name w:val="ARRB Figure Caption"/>
    <w:next w:val="ARRBBase"/>
    <w:link w:val="ARRBFigureCaptionChar"/>
    <w:rsid w:val="00452B58"/>
    <w:pPr>
      <w:keepNext/>
      <w:keepLines/>
      <w:spacing w:before="360" w:after="120" w:line="240" w:lineRule="atLeast"/>
    </w:pPr>
    <w:rPr>
      <w:rFonts w:ascii="Arial Bold" w:eastAsia="Times New Roman" w:hAnsi="Arial Bold" w:cs="Times New Roman"/>
      <w:b/>
      <w:color w:val="6F7C87"/>
      <w:sz w:val="18"/>
      <w:szCs w:val="22"/>
      <w:lang w:eastAsia="en-AU"/>
    </w:rPr>
  </w:style>
  <w:style w:type="paragraph" w:customStyle="1" w:styleId="ARRBPicture">
    <w:name w:val="ARRB Picture"/>
    <w:next w:val="ARRBBase"/>
    <w:rsid w:val="00452B58"/>
    <w:pPr>
      <w:keepNext/>
      <w:keepLines/>
      <w:spacing w:before="120" w:after="0"/>
    </w:pPr>
    <w:rPr>
      <w:rFonts w:ascii="Arial" w:eastAsia="Times New Roman" w:hAnsi="Arial" w:cs="Times New Roman"/>
      <w:color w:val="auto"/>
      <w:sz w:val="22"/>
      <w:szCs w:val="22"/>
      <w:lang w:eastAsia="en-AU"/>
    </w:rPr>
  </w:style>
  <w:style w:type="character" w:customStyle="1" w:styleId="ARRBFigureCaptionChar">
    <w:name w:val="ARRB Figure Caption Char"/>
    <w:basedOn w:val="DefaultParagraphFont"/>
    <w:link w:val="ARRBFigureCaption"/>
    <w:rsid w:val="00452B58"/>
    <w:rPr>
      <w:rFonts w:ascii="Arial Bold" w:eastAsia="Times New Roman" w:hAnsi="Arial Bold" w:cs="Times New Roman"/>
      <w:b/>
      <w:color w:val="6F7C87"/>
      <w:sz w:val="18"/>
      <w:szCs w:val="22"/>
      <w:lang w:eastAsia="en-AU"/>
    </w:rPr>
  </w:style>
  <w:style w:type="table" w:customStyle="1" w:styleId="PlainTable42">
    <w:name w:val="Plain Table 42"/>
    <w:basedOn w:val="TableNormal"/>
    <w:next w:val="PlainTable4"/>
    <w:uiPriority w:val="44"/>
    <w:rsid w:val="00452B58"/>
    <w:pPr>
      <w:spacing w:before="120" w:after="0"/>
    </w:pPr>
    <w:rPr>
      <w:rFonts w:ascii="Arial Narrow" w:hAnsi="Arial Narrow" w:cs="System"/>
      <w:sz w:val="18"/>
      <w:szCs w:val="18"/>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
    <w:name w:val="Mention"/>
    <w:aliases w:val="ARRB Mention"/>
    <w:basedOn w:val="DefaultParagraphFont"/>
    <w:uiPriority w:val="99"/>
    <w:unhideWhenUsed/>
    <w:rsid w:val="00452B58"/>
    <w:rPr>
      <w:color w:val="2B579A"/>
      <w:shd w:val="clear" w:color="auto" w:fill="E1DFDD"/>
    </w:rPr>
  </w:style>
  <w:style w:type="character" w:customStyle="1" w:styleId="ARRBcf01">
    <w:name w:val="ARRB cf01"/>
    <w:basedOn w:val="DefaultParagraphFont"/>
    <w:rsid w:val="00452B58"/>
    <w:rPr>
      <w:rFonts w:ascii="Segoe UI" w:hAnsi="Segoe UI" w:cs="Segoe UI" w:hint="default"/>
      <w:sz w:val="18"/>
      <w:szCs w:val="18"/>
    </w:rPr>
  </w:style>
  <w:style w:type="paragraph" w:customStyle="1" w:styleId="ARRBPlainHeading">
    <w:name w:val="ARRB Plain Heading"/>
    <w:basedOn w:val="ARRBBase"/>
    <w:link w:val="ARRBPlainHeadingChar"/>
    <w:qFormat/>
    <w:rsid w:val="00452B58"/>
    <w:rPr>
      <w:b/>
      <w:bCs/>
      <w:color w:val="00A1DE"/>
      <w:sz w:val="40"/>
      <w:szCs w:val="40"/>
    </w:rPr>
  </w:style>
  <w:style w:type="character" w:customStyle="1" w:styleId="ARRBPlainHeadingChar">
    <w:name w:val="ARRB Plain Heading Char"/>
    <w:basedOn w:val="DefaultParagraphFont"/>
    <w:link w:val="ARRBPlainHeading"/>
    <w:rsid w:val="00452B58"/>
    <w:rPr>
      <w:b/>
      <w:bCs/>
      <w:color w:val="00A1DE"/>
      <w:sz w:val="40"/>
      <w:szCs w:val="40"/>
    </w:rPr>
  </w:style>
  <w:style w:type="table" w:customStyle="1" w:styleId="GridTable1Light-Accent42">
    <w:name w:val="Grid Table 1 Light - Accent 42"/>
    <w:basedOn w:val="TableNormal"/>
    <w:next w:val="GridTable1Light-Accent4"/>
    <w:uiPriority w:val="46"/>
    <w:rsid w:val="00452B58"/>
    <w:pPr>
      <w:spacing w:before="120" w:after="0"/>
    </w:pPr>
    <w:rPr>
      <w:rFonts w:ascii="Arial Narrow" w:hAnsi="Arial Narrow" w:cs="System"/>
      <w:sz w:val="18"/>
      <w:szCs w:val="18"/>
      <w:lang w:val="en-GB"/>
    </w:rPr>
    <w:tblPr>
      <w:tblStyleRowBandSize w:val="1"/>
      <w:tblStyleColBandSize w:val="1"/>
      <w:tblBorders>
        <w:top w:val="single" w:sz="4" w:space="0" w:color="FF83BC"/>
        <w:left w:val="single" w:sz="4" w:space="0" w:color="FF83BC"/>
        <w:bottom w:val="single" w:sz="4" w:space="0" w:color="FF83BC"/>
        <w:right w:val="single" w:sz="4" w:space="0" w:color="FF83BC"/>
        <w:insideH w:val="single" w:sz="4" w:space="0" w:color="FF83BC"/>
        <w:insideV w:val="single" w:sz="4" w:space="0" w:color="FF83BC"/>
      </w:tblBorders>
    </w:tblPr>
    <w:tblStylePr w:type="firstRow">
      <w:rPr>
        <w:b/>
        <w:bCs/>
      </w:rPr>
      <w:tblPr/>
      <w:tcPr>
        <w:tcBorders>
          <w:bottom w:val="single" w:sz="12" w:space="0" w:color="FF469A"/>
        </w:tcBorders>
      </w:tcPr>
    </w:tblStylePr>
    <w:tblStylePr w:type="lastRow">
      <w:rPr>
        <w:b/>
        <w:bCs/>
      </w:rPr>
      <w:tblPr/>
      <w:tcPr>
        <w:tcBorders>
          <w:top w:val="double" w:sz="2" w:space="0" w:color="FF469A"/>
        </w:tcBorders>
      </w:tcPr>
    </w:tblStylePr>
    <w:tblStylePr w:type="firstCol">
      <w:rPr>
        <w:b/>
        <w:bCs/>
      </w:rPr>
    </w:tblStylePr>
    <w:tblStylePr w:type="lastCol">
      <w:rPr>
        <w:b/>
        <w:bCs/>
      </w:rPr>
    </w:tblStylePr>
  </w:style>
  <w:style w:type="table" w:customStyle="1" w:styleId="ARRBTableStyle">
    <w:name w:val="ARRB Table Style"/>
    <w:basedOn w:val="TableNormal"/>
    <w:uiPriority w:val="99"/>
    <w:rsid w:val="00452B58"/>
    <w:pPr>
      <w:spacing w:before="0" w:after="0"/>
    </w:pPr>
    <w:rPr>
      <w:rFonts w:ascii="Arial Narrow" w:hAnsi="Arial Narrow" w:cs="System"/>
      <w:sz w:val="18"/>
      <w:szCs w:val="18"/>
      <w:lang w:val="en-GB"/>
    </w:rPr>
    <w:tblPr>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Pr>
    <w:tblStylePr w:type="firstRow">
      <w:rPr>
        <w:rFonts w:ascii="Arial Narrow" w:hAnsi="Arial Narrow"/>
        <w:b/>
        <w:color w:val="FFFFFF"/>
        <w:sz w:val="18"/>
      </w:rPr>
      <w:tblPr/>
      <w:tcPr>
        <w:tcBorders>
          <w:insideH w:val="nil"/>
          <w:insideV w:val="single" w:sz="4" w:space="0" w:color="FFFFFF"/>
        </w:tcBorders>
        <w:shd w:val="clear" w:color="auto" w:fill="00A1DE"/>
        <w:vAlign w:val="center"/>
      </w:tcPr>
    </w:tblStylePr>
  </w:style>
  <w:style w:type="paragraph" w:customStyle="1" w:styleId="ARRBBase">
    <w:name w:val="ARRB Base"/>
    <w:link w:val="ARRBBaseChar"/>
    <w:qFormat/>
    <w:rsid w:val="00452B58"/>
    <w:pPr>
      <w:spacing w:before="0" w:after="160" w:line="259" w:lineRule="auto"/>
    </w:pPr>
    <w:rPr>
      <w:color w:val="auto"/>
      <w:sz w:val="22"/>
      <w:szCs w:val="22"/>
    </w:rPr>
  </w:style>
  <w:style w:type="paragraph" w:customStyle="1" w:styleId="TOAHeading2">
    <w:name w:val="TOA Heading2"/>
    <w:basedOn w:val="ARRBBase"/>
    <w:next w:val="ARRBBase"/>
    <w:uiPriority w:val="99"/>
    <w:semiHidden/>
    <w:rsid w:val="00452B58"/>
    <w:pPr>
      <w:spacing w:before="120"/>
    </w:pPr>
    <w:rPr>
      <w:rFonts w:ascii="Calibri" w:eastAsia="SimHei" w:hAnsi="Calibri" w:cs="Times New Roman"/>
      <w:b/>
      <w:bCs/>
      <w:sz w:val="24"/>
      <w:szCs w:val="24"/>
    </w:rPr>
  </w:style>
  <w:style w:type="paragraph" w:customStyle="1" w:styleId="ARRBBaseNoSpacing">
    <w:name w:val="ARRB Base No Spacing"/>
    <w:link w:val="ARRBBaseNoSpacingChar"/>
    <w:qFormat/>
    <w:rsid w:val="00452B58"/>
    <w:pPr>
      <w:spacing w:before="0" w:after="0" w:line="288" w:lineRule="auto"/>
    </w:pPr>
    <w:rPr>
      <w:rFonts w:ascii="Arial" w:hAnsi="Arial"/>
      <w:color w:val="auto"/>
      <w:sz w:val="18"/>
      <w:szCs w:val="22"/>
    </w:rPr>
  </w:style>
  <w:style w:type="character" w:customStyle="1" w:styleId="ARRBBaseNoSpacingChar">
    <w:name w:val="ARRB Base No Spacing Char"/>
    <w:basedOn w:val="DefaultParagraphFont"/>
    <w:link w:val="ARRBBaseNoSpacing"/>
    <w:rsid w:val="00452B58"/>
    <w:rPr>
      <w:rFonts w:ascii="Arial" w:hAnsi="Arial"/>
      <w:color w:val="auto"/>
      <w:sz w:val="18"/>
      <w:szCs w:val="22"/>
    </w:rPr>
  </w:style>
  <w:style w:type="paragraph" w:customStyle="1" w:styleId="ARRBBaseTitle">
    <w:name w:val="ARRB Base Title"/>
    <w:basedOn w:val="ARRBBase"/>
    <w:next w:val="ARRBBase"/>
    <w:link w:val="ARRBBaseTitleChar"/>
    <w:qFormat/>
    <w:rsid w:val="00452B58"/>
    <w:pPr>
      <w:spacing w:after="0" w:line="240" w:lineRule="auto"/>
      <w:contextualSpacing/>
    </w:pPr>
    <w:rPr>
      <w:rFonts w:ascii="Calibri" w:hAnsi="Calibri"/>
      <w:sz w:val="56"/>
    </w:rPr>
  </w:style>
  <w:style w:type="character" w:customStyle="1" w:styleId="ARRBBaseChar">
    <w:name w:val="ARRB Base Char"/>
    <w:basedOn w:val="DefaultParagraphFont"/>
    <w:link w:val="ARRBBase"/>
    <w:rsid w:val="00452B58"/>
    <w:rPr>
      <w:color w:val="auto"/>
      <w:sz w:val="22"/>
      <w:szCs w:val="22"/>
    </w:rPr>
  </w:style>
  <w:style w:type="character" w:customStyle="1" w:styleId="ARRBBaseTitleChar">
    <w:name w:val="ARRB Base Title Char"/>
    <w:basedOn w:val="ARRBBaseChar"/>
    <w:link w:val="ARRBBaseTitle"/>
    <w:rsid w:val="00452B58"/>
    <w:rPr>
      <w:rFonts w:ascii="Calibri" w:hAnsi="Calibri"/>
      <w:color w:val="auto"/>
      <w:sz w:val="56"/>
      <w:szCs w:val="22"/>
    </w:rPr>
  </w:style>
  <w:style w:type="paragraph" w:customStyle="1" w:styleId="ARRBBaseBodyText">
    <w:name w:val="ARRB Base Body Text"/>
    <w:basedOn w:val="ARRBBase"/>
    <w:next w:val="ARRBBase"/>
    <w:qFormat/>
    <w:rsid w:val="00452B58"/>
    <w:rPr>
      <w:rFonts w:cs="Calibri"/>
    </w:rPr>
  </w:style>
  <w:style w:type="paragraph" w:customStyle="1" w:styleId="ARRBBaseCaption">
    <w:name w:val="ARRB Base Caption"/>
    <w:basedOn w:val="ARRBBodyHeading"/>
    <w:next w:val="ARRBBase"/>
    <w:link w:val="ARRBBaseCaptionChar"/>
    <w:qFormat/>
    <w:rsid w:val="00452B58"/>
    <w:pPr>
      <w:tabs>
        <w:tab w:val="left" w:pos="1134"/>
      </w:tabs>
      <w:spacing w:after="60"/>
      <w:ind w:firstLine="1134"/>
    </w:pPr>
    <w:rPr>
      <w:color w:val="67696A"/>
      <w:sz w:val="18"/>
    </w:rPr>
  </w:style>
  <w:style w:type="character" w:customStyle="1" w:styleId="ARRBBodyHeadingChar">
    <w:name w:val="ARRB ±BodyHeading Char"/>
    <w:basedOn w:val="ARRBBaseChar"/>
    <w:link w:val="ARRBBodyHeading"/>
    <w:uiPriority w:val="2"/>
    <w:rsid w:val="00452B58"/>
    <w:rPr>
      <w:b/>
      <w:color w:val="00A1DE"/>
      <w:sz w:val="22"/>
      <w:szCs w:val="22"/>
    </w:rPr>
  </w:style>
  <w:style w:type="character" w:customStyle="1" w:styleId="ARRBBaseCaptionChar">
    <w:name w:val="ARRB Base Caption Char"/>
    <w:basedOn w:val="ARRBBodyHeadingChar"/>
    <w:link w:val="ARRBBaseCaption"/>
    <w:rsid w:val="00452B58"/>
    <w:rPr>
      <w:b/>
      <w:color w:val="67696A"/>
      <w:sz w:val="18"/>
      <w:szCs w:val="22"/>
    </w:rPr>
  </w:style>
  <w:style w:type="paragraph" w:customStyle="1" w:styleId="ARRBBaseTableTitle">
    <w:name w:val="ARRB Base Table Title"/>
    <w:qFormat/>
    <w:rsid w:val="00452B58"/>
    <w:pPr>
      <w:keepNext/>
      <w:spacing w:before="40" w:after="40"/>
    </w:pPr>
    <w:rPr>
      <w:rFonts w:ascii="Arial Narrow" w:hAnsi="Arial Narrow"/>
      <w:color w:val="FFFFFF"/>
      <w:sz w:val="18"/>
      <w:szCs w:val="22"/>
    </w:rPr>
  </w:style>
  <w:style w:type="paragraph" w:customStyle="1" w:styleId="ARRBBaseTableText">
    <w:name w:val="ARRB Base Table Text"/>
    <w:qFormat/>
    <w:rsid w:val="00452B58"/>
    <w:pPr>
      <w:keepNext/>
      <w:spacing w:before="40" w:after="40"/>
    </w:pPr>
    <w:rPr>
      <w:rFonts w:ascii="Arial Narrow" w:hAnsi="Arial Narrow"/>
      <w:color w:val="auto"/>
      <w:sz w:val="18"/>
      <w:szCs w:val="22"/>
    </w:rPr>
  </w:style>
  <w:style w:type="paragraph" w:customStyle="1" w:styleId="ARRBBaseTableBullet1">
    <w:name w:val="ARRB Base Table Bullet1"/>
    <w:basedOn w:val="ARRBBaseTableText"/>
    <w:qFormat/>
    <w:rsid w:val="00452B58"/>
    <w:pPr>
      <w:numPr>
        <w:numId w:val="79"/>
      </w:numPr>
      <w:tabs>
        <w:tab w:val="left" w:pos="170"/>
      </w:tabs>
      <w:contextualSpacing/>
    </w:pPr>
    <w:rPr>
      <w:rFonts w:eastAsia="Calibri"/>
    </w:rPr>
  </w:style>
  <w:style w:type="paragraph" w:customStyle="1" w:styleId="ARRBBaseTableBullet2">
    <w:name w:val="ARRB Base Table Bullet2"/>
    <w:basedOn w:val="ARRBBaseTableBullet1"/>
    <w:qFormat/>
    <w:rsid w:val="00452B58"/>
    <w:pPr>
      <w:numPr>
        <w:ilvl w:val="1"/>
      </w:numPr>
      <w:tabs>
        <w:tab w:val="clear" w:pos="170"/>
        <w:tab w:val="left" w:pos="340"/>
      </w:tabs>
    </w:pPr>
  </w:style>
  <w:style w:type="paragraph" w:customStyle="1" w:styleId="ARRBBaseTableBullet3">
    <w:name w:val="ARRB Base Table Bullet3"/>
    <w:basedOn w:val="ARRBBaseTableBullet2"/>
    <w:qFormat/>
    <w:rsid w:val="00452B58"/>
    <w:pPr>
      <w:numPr>
        <w:ilvl w:val="2"/>
      </w:numPr>
      <w:tabs>
        <w:tab w:val="clear" w:pos="340"/>
        <w:tab w:val="left" w:pos="510"/>
      </w:tabs>
      <w:ind w:left="1134" w:hanging="1134"/>
    </w:pPr>
  </w:style>
  <w:style w:type="numbering" w:customStyle="1" w:styleId="ARRBBlueBulletList">
    <w:name w:val="ARRB Blue Bullet List"/>
    <w:uiPriority w:val="99"/>
    <w:rsid w:val="00452B58"/>
    <w:pPr>
      <w:numPr>
        <w:numId w:val="87"/>
      </w:numPr>
    </w:pPr>
  </w:style>
  <w:style w:type="numbering" w:customStyle="1" w:styleId="ARRBBaseHeadings">
    <w:name w:val="ARRB Base Headings"/>
    <w:uiPriority w:val="99"/>
    <w:rsid w:val="00452B58"/>
    <w:pPr>
      <w:numPr>
        <w:numId w:val="88"/>
      </w:numPr>
    </w:pPr>
  </w:style>
  <w:style w:type="paragraph" w:customStyle="1" w:styleId="ARRBBaseHeading1">
    <w:name w:val="ARRB Base Heading 1"/>
    <w:link w:val="ARRBBaseHeading1Char"/>
    <w:qFormat/>
    <w:rsid w:val="00452B58"/>
    <w:pPr>
      <w:numPr>
        <w:numId w:val="88"/>
      </w:numPr>
      <w:tabs>
        <w:tab w:val="left" w:pos="709"/>
      </w:tabs>
      <w:spacing w:before="120" w:after="60" w:line="288" w:lineRule="auto"/>
    </w:pPr>
    <w:rPr>
      <w:rFonts w:ascii="Arial Bold" w:hAnsi="Arial Bold"/>
      <w:b/>
      <w:color w:val="00A1DE"/>
      <w:sz w:val="40"/>
      <w:szCs w:val="22"/>
    </w:rPr>
  </w:style>
  <w:style w:type="character" w:customStyle="1" w:styleId="ARRBBaseHeading1Char">
    <w:name w:val="ARRB Base Heading 1 Char"/>
    <w:basedOn w:val="DefaultParagraphFont"/>
    <w:link w:val="ARRBBaseHeading1"/>
    <w:rsid w:val="00452B58"/>
    <w:rPr>
      <w:rFonts w:ascii="Arial Bold" w:hAnsi="Arial Bold"/>
      <w:b/>
      <w:color w:val="00A1DE"/>
      <w:sz w:val="40"/>
      <w:szCs w:val="22"/>
    </w:rPr>
  </w:style>
  <w:style w:type="paragraph" w:customStyle="1" w:styleId="ARRBBaseHeading2">
    <w:name w:val="ARRB Base Heading 2"/>
    <w:next w:val="ARRBBase"/>
    <w:link w:val="ARRBBaseHeading2Char"/>
    <w:qFormat/>
    <w:rsid w:val="00452B58"/>
    <w:pPr>
      <w:keepNext/>
      <w:numPr>
        <w:ilvl w:val="1"/>
        <w:numId w:val="88"/>
      </w:numPr>
      <w:spacing w:before="360" w:after="120"/>
    </w:pPr>
    <w:rPr>
      <w:rFonts w:ascii="Arial Bold" w:hAnsi="Arial Bold"/>
      <w:b/>
      <w:color w:val="00A1DE"/>
      <w:sz w:val="28"/>
      <w:szCs w:val="22"/>
    </w:rPr>
  </w:style>
  <w:style w:type="character" w:customStyle="1" w:styleId="ARRBBaseHeading2Char">
    <w:name w:val="ARRB Base Heading 2 Char"/>
    <w:basedOn w:val="DefaultParagraphFont"/>
    <w:link w:val="ARRBBaseHeading2"/>
    <w:rsid w:val="00452B58"/>
    <w:rPr>
      <w:rFonts w:ascii="Arial Bold" w:hAnsi="Arial Bold"/>
      <w:b/>
      <w:color w:val="00A1DE"/>
      <w:sz w:val="28"/>
      <w:szCs w:val="22"/>
    </w:rPr>
  </w:style>
  <w:style w:type="paragraph" w:customStyle="1" w:styleId="ARRBBaseHeading3">
    <w:name w:val="ARRB Base Heading 3"/>
    <w:next w:val="ARRBBase"/>
    <w:link w:val="ARRBBaseHeading3Char"/>
    <w:qFormat/>
    <w:rsid w:val="00452B58"/>
    <w:pPr>
      <w:numPr>
        <w:ilvl w:val="2"/>
        <w:numId w:val="88"/>
      </w:numPr>
      <w:spacing w:before="360" w:after="120"/>
    </w:pPr>
    <w:rPr>
      <w:rFonts w:ascii="Arial Bold" w:hAnsi="Arial Bold"/>
      <w:b/>
      <w:color w:val="00A1DE"/>
      <w:sz w:val="24"/>
      <w:szCs w:val="22"/>
    </w:rPr>
  </w:style>
  <w:style w:type="character" w:customStyle="1" w:styleId="ARRBBaseHeading3Char">
    <w:name w:val="ARRB Base Heading 3 Char"/>
    <w:basedOn w:val="DefaultParagraphFont"/>
    <w:link w:val="ARRBBaseHeading3"/>
    <w:rsid w:val="00452B58"/>
    <w:rPr>
      <w:rFonts w:ascii="Arial Bold" w:hAnsi="Arial Bold"/>
      <w:b/>
      <w:color w:val="00A1DE"/>
      <w:sz w:val="24"/>
      <w:szCs w:val="22"/>
    </w:rPr>
  </w:style>
  <w:style w:type="paragraph" w:customStyle="1" w:styleId="ARRBBaseHeadingnonTOC">
    <w:name w:val="ARRB Base Heading nonTOC"/>
    <w:link w:val="ARRBBaseHeadingnonTOCChar"/>
    <w:qFormat/>
    <w:rsid w:val="00452B58"/>
    <w:pPr>
      <w:spacing w:before="0" w:after="360"/>
    </w:pPr>
    <w:rPr>
      <w:rFonts w:ascii="Arial Bold" w:hAnsi="Arial Bold"/>
      <w:b/>
      <w:color w:val="00A1DE"/>
      <w:sz w:val="40"/>
      <w:szCs w:val="22"/>
    </w:rPr>
  </w:style>
  <w:style w:type="character" w:customStyle="1" w:styleId="ARRBBaseHeadingnonTOCChar">
    <w:name w:val="ARRB Base Heading nonTOC Char"/>
    <w:basedOn w:val="DefaultParagraphFont"/>
    <w:link w:val="ARRBBaseHeadingnonTOC"/>
    <w:rsid w:val="00452B58"/>
    <w:rPr>
      <w:rFonts w:ascii="Arial Bold" w:hAnsi="Arial Bold"/>
      <w:b/>
      <w:color w:val="00A1DE"/>
      <w:sz w:val="40"/>
      <w:szCs w:val="22"/>
    </w:rPr>
  </w:style>
  <w:style w:type="paragraph" w:customStyle="1" w:styleId="ARRBBaseHeadingApp">
    <w:name w:val="ARRB Base Heading App"/>
    <w:next w:val="ARRBBase"/>
    <w:link w:val="ARRBBaseHeadingAppChar"/>
    <w:qFormat/>
    <w:rsid w:val="00452B58"/>
    <w:pPr>
      <w:keepNext/>
      <w:numPr>
        <w:ilvl w:val="6"/>
        <w:numId w:val="88"/>
      </w:numPr>
      <w:spacing w:before="0" w:after="360"/>
    </w:pPr>
    <w:rPr>
      <w:rFonts w:ascii="Arial Bold" w:hAnsi="Arial Bold"/>
      <w:b/>
      <w:color w:val="00A1DE"/>
      <w:sz w:val="40"/>
      <w:szCs w:val="22"/>
    </w:rPr>
  </w:style>
  <w:style w:type="character" w:customStyle="1" w:styleId="ARRBBaseHeadingAppChar">
    <w:name w:val="ARRB Base Heading App Char"/>
    <w:basedOn w:val="ARRBBaseHeading1Char"/>
    <w:link w:val="ARRBBaseHeadingApp"/>
    <w:rsid w:val="00452B58"/>
    <w:rPr>
      <w:rFonts w:ascii="Arial Bold" w:hAnsi="Arial Bold"/>
      <w:b/>
      <w:color w:val="00A1DE"/>
      <w:sz w:val="40"/>
      <w:szCs w:val="22"/>
    </w:rPr>
  </w:style>
  <w:style w:type="paragraph" w:customStyle="1" w:styleId="ARRBBaseHeadingAppsub">
    <w:name w:val="ARRB Base Heading App sub"/>
    <w:next w:val="ARRBBase"/>
    <w:link w:val="ARRBBaseHeadingAppsubChar"/>
    <w:qFormat/>
    <w:rsid w:val="00452B58"/>
    <w:pPr>
      <w:keepNext/>
      <w:spacing w:before="360" w:after="120"/>
    </w:pPr>
    <w:rPr>
      <w:rFonts w:ascii="Arial Bold" w:eastAsia="SimHei" w:hAnsi="Arial Bold" w:cs="Times New Roman"/>
      <w:b/>
      <w:color w:val="00A1DE"/>
      <w:sz w:val="28"/>
      <w:szCs w:val="22"/>
    </w:rPr>
  </w:style>
  <w:style w:type="character" w:customStyle="1" w:styleId="ARRBBaseHeadingAppsubChar">
    <w:name w:val="ARRB Base Heading App sub Char"/>
    <w:basedOn w:val="Heading8Char"/>
    <w:link w:val="ARRBBaseHeadingAppsub"/>
    <w:rsid w:val="00452B58"/>
    <w:rPr>
      <w:rFonts w:ascii="Arial Bold" w:eastAsia="SimHei" w:hAnsi="Arial Bold" w:cs="Times New Roman"/>
      <w:b/>
      <w:color w:val="00A1DE"/>
      <w:sz w:val="28"/>
      <w:szCs w:val="22"/>
    </w:rPr>
  </w:style>
  <w:style w:type="paragraph" w:customStyle="1" w:styleId="ARRBBulletLevel2">
    <w:name w:val="ARRB Bullet Level 2"/>
    <w:basedOn w:val="ARRBBulletLevel1"/>
    <w:qFormat/>
    <w:rsid w:val="00452B58"/>
    <w:pPr>
      <w:numPr>
        <w:ilvl w:val="1"/>
      </w:numPr>
    </w:pPr>
  </w:style>
  <w:style w:type="paragraph" w:customStyle="1" w:styleId="ARRBBulletLevel30">
    <w:name w:val="ARRB Bullet Level 3"/>
    <w:basedOn w:val="ARRBBulletLevel1"/>
    <w:qFormat/>
    <w:rsid w:val="00452B58"/>
  </w:style>
  <w:style w:type="paragraph" w:customStyle="1" w:styleId="ARRBBaseReferenceText">
    <w:name w:val="ARRB Base Reference Text"/>
    <w:basedOn w:val="ARRBBaseBodyText"/>
    <w:qFormat/>
    <w:rsid w:val="00452B58"/>
    <w:pPr>
      <w:ind w:left="567" w:hanging="567"/>
    </w:pPr>
  </w:style>
  <w:style w:type="paragraph" w:customStyle="1" w:styleId="ARRBBaseHeadingReferences">
    <w:name w:val="ARRB Base Heading References"/>
    <w:basedOn w:val="ARRBBaseHeadingnonTOC"/>
    <w:link w:val="ARRBBaseHeadingReferencesChar"/>
    <w:qFormat/>
    <w:rsid w:val="00452B58"/>
  </w:style>
  <w:style w:type="character" w:customStyle="1" w:styleId="ARRBBaseHeadingReferencesChar">
    <w:name w:val="ARRB Base Heading References Char"/>
    <w:basedOn w:val="ARRBBaseHeadingnonTOCChar"/>
    <w:link w:val="ARRBBaseHeadingReferences"/>
    <w:rsid w:val="00452B58"/>
    <w:rPr>
      <w:rFonts w:ascii="Arial Bold" w:hAnsi="Arial Bold"/>
      <w:b/>
      <w:color w:val="00A1DE"/>
      <w:sz w:val="40"/>
      <w:szCs w:val="22"/>
    </w:rPr>
  </w:style>
  <w:style w:type="table" w:styleId="PlainTable4">
    <w:name w:val="Plain Table 4"/>
    <w:basedOn w:val="TableNormal"/>
    <w:uiPriority w:val="44"/>
    <w:rsid w:val="00452B5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452B58"/>
    <w:pPr>
      <w:spacing w:after="0"/>
    </w:p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numbering" w:customStyle="1" w:styleId="AppListStyle1">
    <w:name w:val="~AppListStyle1"/>
    <w:uiPriority w:val="99"/>
    <w:rsid w:val="00B730AF"/>
  </w:style>
  <w:style w:type="paragraph" w:customStyle="1" w:styleId="ARRBContentsTitle">
    <w:name w:val="ARRB Contents Title"/>
    <w:basedOn w:val="ARRBBase"/>
    <w:link w:val="ARRBContentsTitleChar"/>
    <w:qFormat/>
    <w:rsid w:val="006749B1"/>
    <w:pPr>
      <w:tabs>
        <w:tab w:val="left" w:pos="425"/>
        <w:tab w:val="right" w:leader="dot" w:pos="9628"/>
      </w:tabs>
      <w:spacing w:before="40" w:after="40"/>
    </w:pPr>
    <w:rPr>
      <w:color w:val="22B3ED" w:themeColor="accent3" w:themeShade="BF"/>
    </w:rPr>
  </w:style>
  <w:style w:type="character" w:customStyle="1" w:styleId="ARRBContentsTitleChar">
    <w:name w:val="ARRB Contents Title Char"/>
    <w:basedOn w:val="ARRBBaseChar"/>
    <w:link w:val="ARRBContentsTitle"/>
    <w:rsid w:val="006749B1"/>
    <w:rPr>
      <w:color w:val="22B3ED" w:themeColor="accent3" w:themeShade="BF"/>
      <w:sz w:val="22"/>
      <w:szCs w:val="22"/>
    </w:rPr>
  </w:style>
  <w:style w:type="paragraph" w:customStyle="1" w:styleId="ARRBContentsSubTitle">
    <w:name w:val="ARRB Contents Sub Title"/>
    <w:basedOn w:val="ARRBBase"/>
    <w:link w:val="ARRBContentsSubTitleChar"/>
    <w:qFormat/>
    <w:rsid w:val="00060B3C"/>
    <w:pPr>
      <w:tabs>
        <w:tab w:val="left" w:pos="992"/>
        <w:tab w:val="right" w:leader="dot" w:pos="9628"/>
      </w:tabs>
      <w:spacing w:before="40" w:after="40"/>
      <w:ind w:left="992" w:right="403" w:hanging="567"/>
    </w:pPr>
    <w:rPr>
      <w:color w:val="7F7F7F" w:themeColor="text1" w:themeTint="80"/>
    </w:rPr>
  </w:style>
  <w:style w:type="character" w:customStyle="1" w:styleId="ARRBContentsSubTitleChar">
    <w:name w:val="ARRB Contents Sub Title Char"/>
    <w:basedOn w:val="ARRBBaseChar"/>
    <w:link w:val="ARRBContentsSubTitle"/>
    <w:rsid w:val="00060B3C"/>
    <w:rPr>
      <w:color w:val="7F7F7F" w:themeColor="text1" w:themeTint="80"/>
      <w:sz w:val="22"/>
      <w:szCs w:val="22"/>
    </w:rPr>
  </w:style>
  <w:style w:type="paragraph" w:customStyle="1" w:styleId="ARRBContentsSubsubTitle">
    <w:name w:val="ARRB Contents Sub sub Title"/>
    <w:basedOn w:val="ARRBBase"/>
    <w:link w:val="ARRBContentsSubsubTitleChar"/>
    <w:qFormat/>
    <w:rsid w:val="00060B3C"/>
    <w:pPr>
      <w:tabs>
        <w:tab w:val="left" w:pos="1843"/>
        <w:tab w:val="right" w:leader="dot" w:pos="9628"/>
      </w:tabs>
      <w:spacing w:before="40" w:after="40"/>
      <w:ind w:left="1843" w:right="403" w:hanging="851"/>
    </w:pPr>
    <w:rPr>
      <w:color w:val="7F7F7F" w:themeColor="text1" w:themeTint="80"/>
    </w:rPr>
  </w:style>
  <w:style w:type="character" w:customStyle="1" w:styleId="ARRBContentsSubsubTitleChar">
    <w:name w:val="ARRB Contents Sub sub Title Char"/>
    <w:basedOn w:val="ARRBBaseChar"/>
    <w:link w:val="ARRBContentsSubsubTitle"/>
    <w:rsid w:val="00060B3C"/>
    <w:rPr>
      <w:color w:val="7F7F7F" w:themeColor="text1" w:themeTint="80"/>
      <w:sz w:val="22"/>
      <w:szCs w:val="22"/>
    </w:rPr>
  </w:style>
  <w:style w:type="paragraph" w:customStyle="1" w:styleId="ARRBContentsTable">
    <w:name w:val="ARRB Contents Table"/>
    <w:basedOn w:val="ARRBBase"/>
    <w:link w:val="ARRBContentsTableChar"/>
    <w:qFormat/>
    <w:rsid w:val="00837D8F"/>
    <w:pPr>
      <w:tabs>
        <w:tab w:val="left" w:pos="1276"/>
        <w:tab w:val="right" w:leader="dot" w:pos="9628"/>
      </w:tabs>
      <w:spacing w:before="40" w:after="40"/>
      <w:ind w:left="1276" w:right="709" w:hanging="1276"/>
    </w:pPr>
    <w:rPr>
      <w:color w:val="22B3ED" w:themeColor="accent3" w:themeShade="BF"/>
    </w:rPr>
  </w:style>
  <w:style w:type="character" w:customStyle="1" w:styleId="ARRBContentsTableChar">
    <w:name w:val="ARRB Contents Table Char"/>
    <w:basedOn w:val="ARRBBaseChar"/>
    <w:link w:val="ARRBContentsTable"/>
    <w:rsid w:val="00837D8F"/>
    <w:rPr>
      <w:color w:val="22B3ED" w:themeColor="accent3"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16061">
      <w:bodyDiv w:val="1"/>
      <w:marLeft w:val="0"/>
      <w:marRight w:val="0"/>
      <w:marTop w:val="0"/>
      <w:marBottom w:val="0"/>
      <w:divBdr>
        <w:top w:val="none" w:sz="0" w:space="0" w:color="auto"/>
        <w:left w:val="none" w:sz="0" w:space="0" w:color="auto"/>
        <w:bottom w:val="none" w:sz="0" w:space="0" w:color="auto"/>
        <w:right w:val="none" w:sz="0" w:space="0" w:color="auto"/>
      </w:divBdr>
    </w:div>
    <w:div w:id="276719932">
      <w:bodyDiv w:val="1"/>
      <w:marLeft w:val="0"/>
      <w:marRight w:val="0"/>
      <w:marTop w:val="0"/>
      <w:marBottom w:val="0"/>
      <w:divBdr>
        <w:top w:val="none" w:sz="0" w:space="0" w:color="auto"/>
        <w:left w:val="none" w:sz="0" w:space="0" w:color="auto"/>
        <w:bottom w:val="none" w:sz="0" w:space="0" w:color="auto"/>
        <w:right w:val="none" w:sz="0" w:space="0" w:color="auto"/>
      </w:divBdr>
    </w:div>
    <w:div w:id="435909384">
      <w:bodyDiv w:val="1"/>
      <w:marLeft w:val="0"/>
      <w:marRight w:val="0"/>
      <w:marTop w:val="0"/>
      <w:marBottom w:val="0"/>
      <w:divBdr>
        <w:top w:val="none" w:sz="0" w:space="0" w:color="auto"/>
        <w:left w:val="none" w:sz="0" w:space="0" w:color="auto"/>
        <w:bottom w:val="none" w:sz="0" w:space="0" w:color="auto"/>
        <w:right w:val="none" w:sz="0" w:space="0" w:color="auto"/>
      </w:divBdr>
    </w:div>
    <w:div w:id="445122141">
      <w:bodyDiv w:val="1"/>
      <w:marLeft w:val="0"/>
      <w:marRight w:val="0"/>
      <w:marTop w:val="0"/>
      <w:marBottom w:val="0"/>
      <w:divBdr>
        <w:top w:val="none" w:sz="0" w:space="0" w:color="auto"/>
        <w:left w:val="none" w:sz="0" w:space="0" w:color="auto"/>
        <w:bottom w:val="none" w:sz="0" w:space="0" w:color="auto"/>
        <w:right w:val="none" w:sz="0" w:space="0" w:color="auto"/>
      </w:divBdr>
    </w:div>
    <w:div w:id="477264538">
      <w:bodyDiv w:val="1"/>
      <w:marLeft w:val="0"/>
      <w:marRight w:val="0"/>
      <w:marTop w:val="0"/>
      <w:marBottom w:val="0"/>
      <w:divBdr>
        <w:top w:val="none" w:sz="0" w:space="0" w:color="auto"/>
        <w:left w:val="none" w:sz="0" w:space="0" w:color="auto"/>
        <w:bottom w:val="none" w:sz="0" w:space="0" w:color="auto"/>
        <w:right w:val="none" w:sz="0" w:space="0" w:color="auto"/>
      </w:divBdr>
    </w:div>
    <w:div w:id="511723060">
      <w:bodyDiv w:val="1"/>
      <w:marLeft w:val="0"/>
      <w:marRight w:val="0"/>
      <w:marTop w:val="0"/>
      <w:marBottom w:val="0"/>
      <w:divBdr>
        <w:top w:val="none" w:sz="0" w:space="0" w:color="auto"/>
        <w:left w:val="none" w:sz="0" w:space="0" w:color="auto"/>
        <w:bottom w:val="none" w:sz="0" w:space="0" w:color="auto"/>
        <w:right w:val="none" w:sz="0" w:space="0" w:color="auto"/>
      </w:divBdr>
    </w:div>
    <w:div w:id="528488590">
      <w:bodyDiv w:val="1"/>
      <w:marLeft w:val="0"/>
      <w:marRight w:val="0"/>
      <w:marTop w:val="0"/>
      <w:marBottom w:val="0"/>
      <w:divBdr>
        <w:top w:val="none" w:sz="0" w:space="0" w:color="auto"/>
        <w:left w:val="none" w:sz="0" w:space="0" w:color="auto"/>
        <w:bottom w:val="none" w:sz="0" w:space="0" w:color="auto"/>
        <w:right w:val="none" w:sz="0" w:space="0" w:color="auto"/>
      </w:divBdr>
    </w:div>
    <w:div w:id="721251161">
      <w:bodyDiv w:val="1"/>
      <w:marLeft w:val="0"/>
      <w:marRight w:val="0"/>
      <w:marTop w:val="0"/>
      <w:marBottom w:val="0"/>
      <w:divBdr>
        <w:top w:val="none" w:sz="0" w:space="0" w:color="auto"/>
        <w:left w:val="none" w:sz="0" w:space="0" w:color="auto"/>
        <w:bottom w:val="none" w:sz="0" w:space="0" w:color="auto"/>
        <w:right w:val="none" w:sz="0" w:space="0" w:color="auto"/>
      </w:divBdr>
    </w:div>
    <w:div w:id="1036540584">
      <w:bodyDiv w:val="1"/>
      <w:marLeft w:val="0"/>
      <w:marRight w:val="0"/>
      <w:marTop w:val="0"/>
      <w:marBottom w:val="0"/>
      <w:divBdr>
        <w:top w:val="none" w:sz="0" w:space="0" w:color="auto"/>
        <w:left w:val="none" w:sz="0" w:space="0" w:color="auto"/>
        <w:bottom w:val="none" w:sz="0" w:space="0" w:color="auto"/>
        <w:right w:val="none" w:sz="0" w:space="0" w:color="auto"/>
      </w:divBdr>
    </w:div>
    <w:div w:id="1125930716">
      <w:bodyDiv w:val="1"/>
      <w:marLeft w:val="0"/>
      <w:marRight w:val="0"/>
      <w:marTop w:val="0"/>
      <w:marBottom w:val="0"/>
      <w:divBdr>
        <w:top w:val="none" w:sz="0" w:space="0" w:color="auto"/>
        <w:left w:val="none" w:sz="0" w:space="0" w:color="auto"/>
        <w:bottom w:val="none" w:sz="0" w:space="0" w:color="auto"/>
        <w:right w:val="none" w:sz="0" w:space="0" w:color="auto"/>
      </w:divBdr>
    </w:div>
    <w:div w:id="1192036329">
      <w:bodyDiv w:val="1"/>
      <w:marLeft w:val="0"/>
      <w:marRight w:val="0"/>
      <w:marTop w:val="0"/>
      <w:marBottom w:val="0"/>
      <w:divBdr>
        <w:top w:val="none" w:sz="0" w:space="0" w:color="auto"/>
        <w:left w:val="none" w:sz="0" w:space="0" w:color="auto"/>
        <w:bottom w:val="none" w:sz="0" w:space="0" w:color="auto"/>
        <w:right w:val="none" w:sz="0" w:space="0" w:color="auto"/>
      </w:divBdr>
    </w:div>
    <w:div w:id="1575580977">
      <w:bodyDiv w:val="1"/>
      <w:marLeft w:val="0"/>
      <w:marRight w:val="0"/>
      <w:marTop w:val="0"/>
      <w:marBottom w:val="0"/>
      <w:divBdr>
        <w:top w:val="none" w:sz="0" w:space="0" w:color="auto"/>
        <w:left w:val="none" w:sz="0" w:space="0" w:color="auto"/>
        <w:bottom w:val="none" w:sz="0" w:space="0" w:color="auto"/>
        <w:right w:val="none" w:sz="0" w:space="0" w:color="auto"/>
      </w:divBdr>
    </w:div>
    <w:div w:id="16162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infrastructure.gov.au/" TargetMode="External"/><Relationship Id="rId34" Type="http://schemas.openxmlformats.org/officeDocument/2006/relationships/image" Target="media/image12.png"/><Relationship Id="rId42" Type="http://schemas.openxmlformats.org/officeDocument/2006/relationships/hyperlink" Target="https://austroads.com.au/latest-news/austroads-supports-increasing-heavy-vehicle-widths-to-2550mm" TargetMode="External"/><Relationship Id="rId47" Type="http://schemas.openxmlformats.org/officeDocument/2006/relationships/hyperlink" Target="https://www.legislation.gov.au/Details/C2021C00555" TargetMode="External"/><Relationship Id="rId50" Type="http://schemas.openxmlformats.org/officeDocument/2006/relationships/hyperlink" Target="https://eur-lex.europa.eu/legal-content/EN/TXT/?uri=CELEX%3A02012R1230-20191202" TargetMode="External"/><Relationship Id="rId55" Type="http://schemas.openxmlformats.org/officeDocument/2006/relationships/hyperlink" Target="http://www.unece.org/trans/main/wp29/wp29regs61-80.html" TargetMode="External"/><Relationship Id="rId63" Type="http://schemas.openxmlformats.org/officeDocument/2006/relationships/hyperlink" Target="http://www.govinfo.gov/" TargetMode="External"/><Relationship Id="rId68" Type="http://schemas.openxmlformats.org/officeDocument/2006/relationships/image" Target="media/image22.jpg"/><Relationship Id="rId76" Type="http://schemas.openxmlformats.org/officeDocument/2006/relationships/image" Target="cid:image001.png@01D7F734.3A08BC10" TargetMode="External"/><Relationship Id="rId84" Type="http://schemas.openxmlformats.org/officeDocument/2006/relationships/chart" Target="charts/chart4.xml"/><Relationship Id="rId89" Type="http://schemas.openxmlformats.org/officeDocument/2006/relationships/image" Target="media/image26.png"/><Relationship Id="rId97"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hyperlink" Target="https://www.facebook.com/ARRBGroup/"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artsa.com.au/library/index.html" TargetMode="External"/><Relationship Id="rId45" Type="http://schemas.openxmlformats.org/officeDocument/2006/relationships/hyperlink" Target="http://www.legislation.gov.au/Details/C2018B00005/Download" TargetMode="External"/><Relationship Id="rId53" Type="http://schemas.openxmlformats.org/officeDocument/2006/relationships/hyperlink" Target="http://www.legislation.qld.gov.au/view/pdf/inforce/current/act-2012-hvnlq" TargetMode="External"/><Relationship Id="rId58" Type="http://schemas.openxmlformats.org/officeDocument/2006/relationships/hyperlink" Target="http://www.unece.org/trans/main/wp29/wp29regs121-140.html" TargetMode="External"/><Relationship Id="rId66" Type="http://schemas.openxmlformats.org/officeDocument/2006/relationships/image" Target="media/image20.png"/><Relationship Id="rId74" Type="http://schemas.openxmlformats.org/officeDocument/2006/relationships/footer" Target="footer7.xml"/><Relationship Id="rId79" Type="http://schemas.openxmlformats.org/officeDocument/2006/relationships/chart" Target="charts/chart1.xml"/><Relationship Id="rId87" Type="http://schemas.openxmlformats.org/officeDocument/2006/relationships/chart" Target="charts/chart7.xml"/><Relationship Id="rId5" Type="http://schemas.openxmlformats.org/officeDocument/2006/relationships/settings" Target="settings.xml"/><Relationship Id="rId61" Type="http://schemas.openxmlformats.org/officeDocument/2006/relationships/hyperlink" Target="http://www.unece.org/trans/main/wp29/wp29regs141-160.html" TargetMode="External"/><Relationship Id="rId82" Type="http://schemas.openxmlformats.org/officeDocument/2006/relationships/chart" Target="charts/chart2.xml"/><Relationship Id="rId90" Type="http://schemas.openxmlformats.org/officeDocument/2006/relationships/hyperlink" Target="https://www.linkedin.com/company/arrb-group/" TargetMode="External"/><Relationship Id="rId95" Type="http://schemas.openxmlformats.org/officeDocument/2006/relationships/image" Target="media/image29.png"/><Relationship Id="rId19" Type="http://schemas.openxmlformats.org/officeDocument/2006/relationships/hyperlink" Target="http://www.pmc.gov.au/"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legislation.gov.au/Details/F2016C00480" TargetMode="External"/><Relationship Id="rId48" Type="http://schemas.openxmlformats.org/officeDocument/2006/relationships/hyperlink" Target="https://obpr.pmc.gov.au/resources/guidance-impact-analysis/australian-government-guide-regulatory-impact-analysis" TargetMode="External"/><Relationship Id="rId56" Type="http://schemas.openxmlformats.org/officeDocument/2006/relationships/hyperlink" Target="http://www.unece.org/trans/main/wp29/wp29regs121-140.html" TargetMode="External"/><Relationship Id="rId64" Type="http://schemas.openxmlformats.org/officeDocument/2006/relationships/image" Target="media/image18.jpg"/><Relationship Id="rId69" Type="http://schemas.openxmlformats.org/officeDocument/2006/relationships/image" Target="media/image23.jpg"/><Relationship Id="rId77" Type="http://schemas.openxmlformats.org/officeDocument/2006/relationships/header" Target="header9.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hvr.gov.au/about-us/publications" TargetMode="External"/><Relationship Id="rId72" Type="http://schemas.openxmlformats.org/officeDocument/2006/relationships/image" Target="media/image24.JPG"/><Relationship Id="rId80" Type="http://schemas.openxmlformats.org/officeDocument/2006/relationships/header" Target="header10.xml"/><Relationship Id="rId85" Type="http://schemas.openxmlformats.org/officeDocument/2006/relationships/chart" Target="charts/chart5.xml"/><Relationship Id="rId93" Type="http://schemas.openxmlformats.org/officeDocument/2006/relationships/image" Target="media/image28.pn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legislation.gov.au/Details/F2022L00213" TargetMode="External"/><Relationship Id="rId59" Type="http://schemas.openxmlformats.org/officeDocument/2006/relationships/hyperlink" Target="http://www.unece.org/trans/main/wp29/wp29regs41-60.html" TargetMode="External"/><Relationship Id="rId67" Type="http://schemas.openxmlformats.org/officeDocument/2006/relationships/image" Target="media/image21.jpg"/><Relationship Id="rId20" Type="http://schemas.openxmlformats.org/officeDocument/2006/relationships/hyperlink" Target="mailto:publishing@infrastructure.gov.au" TargetMode="External"/><Relationship Id="rId41" Type="http://schemas.openxmlformats.org/officeDocument/2006/relationships/hyperlink" Target="http://www.truck.net.au/resource-tags/technical-advisory-procedures" TargetMode="External"/><Relationship Id="rId54" Type="http://schemas.openxmlformats.org/officeDocument/2006/relationships/hyperlink" Target="http://www.unece.org/trans/main/wp29/wp29regs101-120.html" TargetMode="External"/><Relationship Id="rId62" Type="http://schemas.openxmlformats.org/officeDocument/2006/relationships/hyperlink" Target="http://www.unece.org/trans/main/wp29/wp29regs141-160.html" TargetMode="External"/><Relationship Id="rId70" Type="http://schemas.openxmlformats.org/officeDocument/2006/relationships/header" Target="header7.xml"/><Relationship Id="rId75" Type="http://schemas.openxmlformats.org/officeDocument/2006/relationships/image" Target="media/image25.png"/><Relationship Id="rId83" Type="http://schemas.openxmlformats.org/officeDocument/2006/relationships/chart" Target="charts/chart3.xml"/><Relationship Id="rId88" Type="http://schemas.openxmlformats.org/officeDocument/2006/relationships/header" Target="header11.xml"/><Relationship Id="rId91" Type="http://schemas.openxmlformats.org/officeDocument/2006/relationships/image" Target="media/image27.png"/><Relationship Id="rId96" Type="http://schemas.openxmlformats.org/officeDocument/2006/relationships/hyperlink" Target="https://www.youtube.com/channel/UCblPFagcv9GlmLAQPvyVAtg?view_as=subscribe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hyperlink" Target="https://www.legislation.gov.au/Details/F2021C01202" TargetMode="External"/><Relationship Id="rId57" Type="http://schemas.openxmlformats.org/officeDocument/2006/relationships/hyperlink" Target="http://www.unece.org/trans/main/wp29/wp29regs0-20.html" TargetMode="Externa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yperlink" Target="http://www.roadsafety.gov.au/action-plan/2018-2020" TargetMode="External"/><Relationship Id="rId52" Type="http://schemas.openxmlformats.org/officeDocument/2006/relationships/hyperlink" Target="https://www.nhvr.gov.au/safety-accreditation-compliance/vehicle-standards-and-modifications/vehicle-safety-and-environmental-technology-uptake-plan" TargetMode="External"/><Relationship Id="rId60" Type="http://schemas.openxmlformats.org/officeDocument/2006/relationships/hyperlink" Target="http://www.unece.org/trans/main/wp29/wp29regs41-60.html" TargetMode="External"/><Relationship Id="rId65" Type="http://schemas.openxmlformats.org/officeDocument/2006/relationships/image" Target="media/image19.jpg"/><Relationship Id="rId73" Type="http://schemas.openxmlformats.org/officeDocument/2006/relationships/header" Target="header8.xml"/><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chart" Target="charts/chart6.xml"/><Relationship Id="rId94" Type="http://schemas.openxmlformats.org/officeDocument/2006/relationships/hyperlink" Target="https://twitter.com/ARRBGroup" TargetMode="External"/><Relationship Id="rId9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creativecommons.org/licenses/by/4.0/" TargetMode="External"/><Relationship Id="rId3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Fin"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AppData\Local\Microsoft\Windows\INetCache\Content.Outlook\7T747P64\CBA_DITRDC_ADR_Final9%20with%20crash%20risk%20sensitivity%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'[CBA_DITRDC_ADR_Final8UA + TBeditsv7 + ks.xlsx]Projected fleet'!$A$62</c:f>
              <c:strCache>
                <c:ptCount val="1"/>
                <c:pt idx="0">
                  <c:v>Rigid HV (&gt;4.5t)</c:v>
                </c:pt>
              </c:strCache>
            </c:strRef>
          </c:tx>
          <c:marker>
            <c:symbol val="none"/>
          </c:marker>
          <c:cat>
            <c:numRef>
              <c:f>'[CBA_DITRDC_ADR_Final8UA + TBeditsv7 + ks.xlsx]Projected fleet'!$B$5:$AP$5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'[CBA_DITRDC_ADR_Final8UA + TBeditsv7 + ks.xlsx]Projected fleet'!$B$62:$AP$62</c:f>
              <c:numCache>
                <c:formatCode>_-* #,##0_-;\-* #,##0_-;_-* "-"??_-;_-@_-</c:formatCode>
                <c:ptCount val="41"/>
                <c:pt idx="0">
                  <c:v>17827.014707999999</c:v>
                </c:pt>
                <c:pt idx="1">
                  <c:v>36010.569710159994</c:v>
                </c:pt>
                <c:pt idx="2">
                  <c:v>54557.795812363198</c:v>
                </c:pt>
                <c:pt idx="3">
                  <c:v>73475.966436610455</c:v>
                </c:pt>
                <c:pt idx="4">
                  <c:v>92772.500473342661</c:v>
                </c:pt>
                <c:pt idx="5">
                  <c:v>112454.96519080951</c:v>
                </c:pt>
                <c:pt idx="6">
                  <c:v>132531.0792026257</c:v>
                </c:pt>
                <c:pt idx="7">
                  <c:v>153008.71549467821</c:v>
                </c:pt>
                <c:pt idx="8">
                  <c:v>173895.90451257178</c:v>
                </c:pt>
                <c:pt idx="9">
                  <c:v>195200.8373108232</c:v>
                </c:pt>
                <c:pt idx="10">
                  <c:v>216931.86876503966</c:v>
                </c:pt>
                <c:pt idx="11">
                  <c:v>239097.52084834044</c:v>
                </c:pt>
                <c:pt idx="12">
                  <c:v>261706.48597330725</c:v>
                </c:pt>
                <c:pt idx="13">
                  <c:v>284767.63040077337</c:v>
                </c:pt>
                <c:pt idx="14">
                  <c:v>308289.99771678884</c:v>
                </c:pt>
                <c:pt idx="15">
                  <c:v>332282.81237912463</c:v>
                </c:pt>
                <c:pt idx="16">
                  <c:v>332282.81237912463</c:v>
                </c:pt>
                <c:pt idx="17">
                  <c:v>332282.81237912463</c:v>
                </c:pt>
                <c:pt idx="18">
                  <c:v>332282.81237912463</c:v>
                </c:pt>
                <c:pt idx="19">
                  <c:v>332282.81237912463</c:v>
                </c:pt>
                <c:pt idx="20">
                  <c:v>332282.81237912463</c:v>
                </c:pt>
                <c:pt idx="21">
                  <c:v>332282.81237912463</c:v>
                </c:pt>
                <c:pt idx="22">
                  <c:v>332282.81237912463</c:v>
                </c:pt>
                <c:pt idx="23">
                  <c:v>332282.81237912463</c:v>
                </c:pt>
                <c:pt idx="24">
                  <c:v>332282.81237912463</c:v>
                </c:pt>
                <c:pt idx="25">
                  <c:v>314455.79767112463</c:v>
                </c:pt>
                <c:pt idx="26">
                  <c:v>296272.24266896467</c:v>
                </c:pt>
                <c:pt idx="27">
                  <c:v>277725.01656676142</c:v>
                </c:pt>
                <c:pt idx="28">
                  <c:v>258806.84594251419</c:v>
                </c:pt>
                <c:pt idx="29">
                  <c:v>239510.31190578197</c:v>
                </c:pt>
                <c:pt idx="30">
                  <c:v>219827.84718831512</c:v>
                </c:pt>
                <c:pt idx="31">
                  <c:v>199751.73317649894</c:v>
                </c:pt>
                <c:pt idx="32">
                  <c:v>179274.09688444642</c:v>
                </c:pt>
                <c:pt idx="33">
                  <c:v>158386.90786655285</c:v>
                </c:pt>
                <c:pt idx="34">
                  <c:v>137081.97506830143</c:v>
                </c:pt>
                <c:pt idx="35">
                  <c:v>115350.94361408497</c:v>
                </c:pt>
                <c:pt idx="36">
                  <c:v>93185.29153078419</c:v>
                </c:pt>
                <c:pt idx="37">
                  <c:v>70576.326405817381</c:v>
                </c:pt>
                <c:pt idx="38">
                  <c:v>47515.181978351262</c:v>
                </c:pt>
                <c:pt idx="39">
                  <c:v>23992.81466233579</c:v>
                </c:pt>
                <c:pt idx="40">
                  <c:v>0</c:v>
                </c:pt>
              </c:numCache>
            </c:numRef>
          </c:val>
          <c:smooth val="0"/>
          <c:extLst>
            <c:ext xmlns:c16="http://schemas.microsoft.com/office/drawing/2014/chart" uri="{C3380CC4-5D6E-409C-BE32-E72D297353CC}">
              <c16:uniqueId val="{00000000-5CAD-4892-ADED-FE18FE09CA6E}"/>
            </c:ext>
          </c:extLst>
        </c:ser>
        <c:ser>
          <c:idx val="3"/>
          <c:order val="1"/>
          <c:tx>
            <c:strRef>
              <c:f>'[CBA_DITRDC_ADR_Final8UA + TBeditsv7 + ks.xlsx]Projected fleet'!$A$64</c:f>
              <c:strCache>
                <c:ptCount val="1"/>
                <c:pt idx="0">
                  <c:v>Trailers (&gt;4.5 t)</c:v>
                </c:pt>
              </c:strCache>
            </c:strRef>
          </c:tx>
          <c:marker>
            <c:symbol val="none"/>
          </c:marker>
          <c:cat>
            <c:numRef>
              <c:f>'[CBA_DITRDC_ADR_Final8UA + TBeditsv7 + ks.xlsx]Projected fleet'!$B$5:$AP$5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'[CBA_DITRDC_ADR_Final8UA + TBeditsv7 + ks.xlsx]Projected fleet'!$B$64:$AP$64</c:f>
              <c:numCache>
                <c:formatCode>_-* #,##0_-;\-* #,##0_-;_-* "-"??_-;_-@_-</c:formatCode>
                <c:ptCount val="41"/>
                <c:pt idx="0">
                  <c:v>4532.522134405328</c:v>
                </c:pt>
                <c:pt idx="1">
                  <c:v>8839.3331489922111</c:v>
                </c:pt>
                <c:pt idx="2">
                  <c:v>13289.091875306061</c:v>
                </c:pt>
                <c:pt idx="3">
                  <c:v>17886.515587833866</c:v>
                </c:pt>
                <c:pt idx="4">
                  <c:v>22636.477231120691</c:v>
                </c:pt>
                <c:pt idx="5">
                  <c:v>27544.010556881578</c:v>
                </c:pt>
                <c:pt idx="6">
                  <c:v>32614.315430638173</c:v>
                </c:pt>
                <c:pt idx="7">
                  <c:v>37852.763313474337</c:v>
                </c:pt>
                <c:pt idx="8">
                  <c:v>43264.90292468969</c:v>
                </c:pt>
                <c:pt idx="9">
                  <c:v>48856.466091320748</c:v>
                </c:pt>
                <c:pt idx="10">
                  <c:v>54633.373790696234</c:v>
                </c:pt>
                <c:pt idx="11">
                  <c:v>60601.742392396707</c:v>
                </c:pt>
                <c:pt idx="12">
                  <c:v>66767.890106198887</c:v>
                </c:pt>
                <c:pt idx="13">
                  <c:v>73138.343642802152</c:v>
                </c:pt>
                <c:pt idx="14">
                  <c:v>79729.820224608615</c:v>
                </c:pt>
                <c:pt idx="15">
                  <c:v>86554.271997936579</c:v>
                </c:pt>
                <c:pt idx="16">
                  <c:v>86554.271997936579</c:v>
                </c:pt>
                <c:pt idx="17">
                  <c:v>86554.271997936579</c:v>
                </c:pt>
                <c:pt idx="18">
                  <c:v>86554.271997936579</c:v>
                </c:pt>
                <c:pt idx="19">
                  <c:v>86554.271997936579</c:v>
                </c:pt>
                <c:pt idx="20">
                  <c:v>86554.271997936579</c:v>
                </c:pt>
                <c:pt idx="21">
                  <c:v>86554.271997936579</c:v>
                </c:pt>
                <c:pt idx="22">
                  <c:v>86554.271997936579</c:v>
                </c:pt>
                <c:pt idx="23">
                  <c:v>86554.271997936579</c:v>
                </c:pt>
                <c:pt idx="24">
                  <c:v>86554.271997936579</c:v>
                </c:pt>
                <c:pt idx="25">
                  <c:v>82360.904292020699</c:v>
                </c:pt>
                <c:pt idx="26">
                  <c:v>78029.15545180958</c:v>
                </c:pt>
                <c:pt idx="27">
                  <c:v>73554.458899871519</c:v>
                </c:pt>
                <c:pt idx="28">
                  <c:v>68932.097361719483</c:v>
                </c:pt>
                <c:pt idx="29">
                  <c:v>64157.197892808435</c:v>
                </c:pt>
                <c:pt idx="30">
                  <c:v>59224.726741423321</c:v>
                </c:pt>
                <c:pt idx="31">
                  <c:v>54129.484042042503</c:v>
                </c:pt>
                <c:pt idx="32">
                  <c:v>48866.098333582122</c:v>
                </c:pt>
                <c:pt idx="33">
                  <c:v>43429.020896742542</c:v>
                </c:pt>
                <c:pt idx="34">
                  <c:v>37812.519904487257</c:v>
                </c:pt>
                <c:pt idx="35">
                  <c:v>32010.674379487551</c:v>
                </c:pt>
                <c:pt idx="36">
                  <c:v>26017.367952162851</c:v>
                </c:pt>
                <c:pt idx="37">
                  <c:v>19826.282412736444</c:v>
                </c:pt>
                <c:pt idx="38">
                  <c:v>13430.891050508959</c:v>
                </c:pt>
                <c:pt idx="39">
                  <c:v>6824.4517733279645</c:v>
                </c:pt>
                <c:pt idx="40">
                  <c:v>0</c:v>
                </c:pt>
              </c:numCache>
            </c:numRef>
          </c:val>
          <c:smooth val="0"/>
          <c:extLst>
            <c:ext xmlns:c16="http://schemas.microsoft.com/office/drawing/2014/chart" uri="{C3380CC4-5D6E-409C-BE32-E72D297353CC}">
              <c16:uniqueId val="{00000001-5CAD-4892-ADED-FE18FE09CA6E}"/>
            </c:ext>
          </c:extLst>
        </c:ser>
        <c:ser>
          <c:idx val="0"/>
          <c:order val="2"/>
          <c:tx>
            <c:strRef>
              <c:f>'[CBA_DITRDC_ADR_Final8UA + TBeditsv7 + ks.xlsx]Projected fleet'!$A$63</c:f>
              <c:strCache>
                <c:ptCount val="1"/>
                <c:pt idx="0">
                  <c:v>Prime Mover (&gt;12t)</c:v>
                </c:pt>
              </c:strCache>
            </c:strRef>
          </c:tx>
          <c:marker>
            <c:symbol val="none"/>
          </c:marker>
          <c:val>
            <c:numRef>
              <c:f>'[CBA_DITRDC_ADR_Final8UA + TBeditsv7 + ks.xlsx]Projected fleet'!$B$63:$AP$63</c:f>
              <c:numCache>
                <c:formatCode>_-* #,##0_-;\-* #,##0_-;_-* "-"??_-;_-@_-</c:formatCode>
                <c:ptCount val="41"/>
                <c:pt idx="0">
                  <c:v>6242.1711120000009</c:v>
                </c:pt>
                <c:pt idx="1">
                  <c:v>12609.185646240003</c:v>
                </c:pt>
                <c:pt idx="2">
                  <c:v>19103.540471164804</c:v>
                </c:pt>
                <c:pt idx="3">
                  <c:v>25727.782392588102</c:v>
                </c:pt>
                <c:pt idx="4">
                  <c:v>32484.509152439867</c:v>
                </c:pt>
                <c:pt idx="5">
                  <c:v>39376.370447488662</c:v>
                </c:pt>
                <c:pt idx="6">
                  <c:v>46406.068968438434</c:v>
                </c:pt>
                <c:pt idx="7">
                  <c:v>53576.361459807202</c:v>
                </c:pt>
                <c:pt idx="8">
                  <c:v>60890.059801003343</c:v>
                </c:pt>
                <c:pt idx="9">
                  <c:v>68350.032109023407</c:v>
                </c:pt>
                <c:pt idx="10">
                  <c:v>75959.203863203875</c:v>
                </c:pt>
                <c:pt idx="11">
                  <c:v>83720.559052467957</c:v>
                </c:pt>
                <c:pt idx="12">
                  <c:v>91637.141345517317</c:v>
                </c:pt>
                <c:pt idx="13">
                  <c:v>99712.055284427668</c:v>
                </c:pt>
                <c:pt idx="14">
                  <c:v>107948.46750211623</c:v>
                </c:pt>
                <c:pt idx="15">
                  <c:v>116349.60796415855</c:v>
                </c:pt>
                <c:pt idx="16">
                  <c:v>116349.60796415855</c:v>
                </c:pt>
                <c:pt idx="17">
                  <c:v>116349.60796415855</c:v>
                </c:pt>
                <c:pt idx="18">
                  <c:v>116349.60796415855</c:v>
                </c:pt>
                <c:pt idx="19">
                  <c:v>116349.60796415855</c:v>
                </c:pt>
                <c:pt idx="20">
                  <c:v>116349.60796415855</c:v>
                </c:pt>
                <c:pt idx="21">
                  <c:v>116349.60796415855</c:v>
                </c:pt>
                <c:pt idx="22">
                  <c:v>116349.60796415855</c:v>
                </c:pt>
                <c:pt idx="23">
                  <c:v>116349.60796415855</c:v>
                </c:pt>
                <c:pt idx="24">
                  <c:v>116349.60796415855</c:v>
                </c:pt>
                <c:pt idx="25">
                  <c:v>110107.43685215856</c:v>
                </c:pt>
                <c:pt idx="26">
                  <c:v>103740.42231791855</c:v>
                </c:pt>
                <c:pt idx="27">
                  <c:v>97246.067492993752</c:v>
                </c:pt>
                <c:pt idx="28">
                  <c:v>90621.825571570458</c:v>
                </c:pt>
                <c:pt idx="29">
                  <c:v>83865.098811718693</c:v>
                </c:pt>
                <c:pt idx="30">
                  <c:v>76973.237516669891</c:v>
                </c:pt>
                <c:pt idx="31">
                  <c:v>69943.538995720126</c:v>
                </c:pt>
                <c:pt idx="32">
                  <c:v>62773.246504351351</c:v>
                </c:pt>
                <c:pt idx="33">
                  <c:v>55459.54816315521</c:v>
                </c:pt>
                <c:pt idx="34">
                  <c:v>47999.575855135146</c:v>
                </c:pt>
                <c:pt idx="35">
                  <c:v>40390.404100954678</c:v>
                </c:pt>
                <c:pt idx="36">
                  <c:v>32629.048911690596</c:v>
                </c:pt>
                <c:pt idx="37">
                  <c:v>24712.466618641236</c:v>
                </c:pt>
                <c:pt idx="38">
                  <c:v>16637.552679730885</c:v>
                </c:pt>
                <c:pt idx="39">
                  <c:v>8401.1404620423273</c:v>
                </c:pt>
                <c:pt idx="40">
                  <c:v>0</c:v>
                </c:pt>
              </c:numCache>
            </c:numRef>
          </c:val>
          <c:smooth val="0"/>
          <c:extLst>
            <c:ext xmlns:c16="http://schemas.microsoft.com/office/drawing/2014/chart" uri="{C3380CC4-5D6E-409C-BE32-E72D297353CC}">
              <c16:uniqueId val="{00000002-5CAD-4892-ADED-FE18FE09CA6E}"/>
            </c:ext>
          </c:extLst>
        </c:ser>
        <c:dLbls>
          <c:showLegendKey val="0"/>
          <c:showVal val="0"/>
          <c:showCatName val="0"/>
          <c:showSerName val="0"/>
          <c:showPercent val="0"/>
          <c:showBubbleSize val="0"/>
        </c:dLbls>
        <c:smooth val="0"/>
        <c:axId val="1655115408"/>
        <c:axId val="1655115824"/>
      </c:lineChart>
      <c:catAx>
        <c:axId val="1655115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5115824"/>
        <c:crosses val="autoZero"/>
        <c:auto val="1"/>
        <c:lblAlgn val="ctr"/>
        <c:lblOffset val="100"/>
        <c:tickLblSkip val="5"/>
        <c:tickMarkSkip val="5"/>
        <c:noMultiLvlLbl val="0"/>
      </c:catAx>
      <c:valAx>
        <c:axId val="165511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 of vehicles / trailers</a:t>
                </a:r>
              </a:p>
            </c:rich>
          </c:tx>
          <c:overlay val="0"/>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1540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US and Europe made HVs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share'!$A$47</c:f>
              <c:strCache>
                <c:ptCount val="1"/>
                <c:pt idx="0">
                  <c:v>2.50 width</c:v>
                </c:pt>
              </c:strCache>
            </c:strRef>
          </c:tx>
          <c:spPr>
            <a:ln w="28575" cap="rnd">
              <a:solidFill>
                <a:schemeClr val="accent1"/>
              </a:solidFill>
              <a:round/>
            </a:ln>
            <a:effectLst/>
          </c:spPr>
          <c:marker>
            <c:symbol val="none"/>
          </c:marker>
          <c:val>
            <c:numRef>
              <c:f>'Projected take-up fleet share'!$B$47:$AP$47</c:f>
              <c:numCache>
                <c:formatCode>0%</c:formatCode>
                <c:ptCount val="41"/>
                <c:pt idx="0">
                  <c:v>0.99</c:v>
                </c:pt>
                <c:pt idx="1">
                  <c:v>0.49</c:v>
                </c:pt>
                <c:pt idx="2">
                  <c:v>4.3368086899420177E-18</c:v>
                </c:pt>
                <c:pt idx="3">
                  <c:v>4.3368086899420177E-18</c:v>
                </c:pt>
                <c:pt idx="4">
                  <c:v>4.3368086899420177E-18</c:v>
                </c:pt>
                <c:pt idx="5">
                  <c:v>4.3368086899420177E-18</c:v>
                </c:pt>
                <c:pt idx="6">
                  <c:v>4.3368086899420177E-18</c:v>
                </c:pt>
                <c:pt idx="7">
                  <c:v>4.3368086899420177E-18</c:v>
                </c:pt>
                <c:pt idx="8">
                  <c:v>4.3368086899420177E-18</c:v>
                </c:pt>
                <c:pt idx="9">
                  <c:v>4.3368086899420177E-18</c:v>
                </c:pt>
                <c:pt idx="10">
                  <c:v>4.3368086899420177E-18</c:v>
                </c:pt>
                <c:pt idx="11">
                  <c:v>4.3368086899420177E-18</c:v>
                </c:pt>
                <c:pt idx="12">
                  <c:v>4.3368086899420177E-18</c:v>
                </c:pt>
                <c:pt idx="13">
                  <c:v>4.3368086899420177E-18</c:v>
                </c:pt>
                <c:pt idx="14">
                  <c:v>4.3368086899420177E-18</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5069-48E1-A78E-528323BDE8F1}"/>
            </c:ext>
          </c:extLst>
        </c:ser>
        <c:ser>
          <c:idx val="1"/>
          <c:order val="1"/>
          <c:tx>
            <c:strRef>
              <c:f>'Projected take-up fleet share'!$A$48</c:f>
              <c:strCache>
                <c:ptCount val="1"/>
                <c:pt idx="0">
                  <c:v>2.55 width</c:v>
                </c:pt>
              </c:strCache>
            </c:strRef>
          </c:tx>
          <c:spPr>
            <a:ln w="28575" cap="rnd">
              <a:solidFill>
                <a:schemeClr val="accent2"/>
              </a:solidFill>
              <a:round/>
            </a:ln>
            <a:effectLst/>
          </c:spPr>
          <c:marker>
            <c:symbol val="none"/>
          </c:marker>
          <c:val>
            <c:numRef>
              <c:f>'Projected take-up fleet share'!$B$48:$AP$48</c:f>
              <c:numCache>
                <c:formatCode>0%</c:formatCode>
                <c:ptCount val="41"/>
                <c:pt idx="0">
                  <c:v>5.0000000000000001E-3</c:v>
                </c:pt>
                <c:pt idx="1">
                  <c:v>0.505</c:v>
                </c:pt>
                <c:pt idx="2">
                  <c:v>0.995</c:v>
                </c:pt>
                <c:pt idx="3">
                  <c:v>0.995</c:v>
                </c:pt>
                <c:pt idx="4">
                  <c:v>0.995</c:v>
                </c:pt>
                <c:pt idx="5">
                  <c:v>0.995</c:v>
                </c:pt>
                <c:pt idx="6">
                  <c:v>0.995</c:v>
                </c:pt>
                <c:pt idx="7">
                  <c:v>0.995</c:v>
                </c:pt>
                <c:pt idx="8">
                  <c:v>0.995</c:v>
                </c:pt>
                <c:pt idx="9">
                  <c:v>0.995</c:v>
                </c:pt>
                <c:pt idx="10">
                  <c:v>0.995</c:v>
                </c:pt>
                <c:pt idx="11">
                  <c:v>0.995</c:v>
                </c:pt>
                <c:pt idx="12">
                  <c:v>0.995</c:v>
                </c:pt>
                <c:pt idx="13">
                  <c:v>0.995</c:v>
                </c:pt>
                <c:pt idx="14">
                  <c:v>0.995</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5069-48E1-A78E-528323BDE8F1}"/>
            </c:ext>
          </c:extLst>
        </c:ser>
        <c:dLbls>
          <c:showLegendKey val="0"/>
          <c:showVal val="0"/>
          <c:showCatName val="0"/>
          <c:showSerName val="0"/>
          <c:showPercent val="0"/>
          <c:showBubbleSize val="0"/>
        </c:dLbls>
        <c:smooth val="0"/>
        <c:axId val="1919688384"/>
        <c:axId val="1919677568"/>
      </c:lineChart>
      <c:catAx>
        <c:axId val="19196883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77568"/>
        <c:crosses val="autoZero"/>
        <c:auto val="1"/>
        <c:lblAlgn val="ctr"/>
        <c:lblOffset val="100"/>
        <c:noMultiLvlLbl val="0"/>
      </c:catAx>
      <c:valAx>
        <c:axId val="1919677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Japan and South</a:t>
            </a:r>
            <a:r>
              <a:rPr lang="en-AU" baseline="0"/>
              <a:t> Korea made HVs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share'!$A$51</c:f>
              <c:strCache>
                <c:ptCount val="1"/>
                <c:pt idx="0">
                  <c:v>2.50 width</c:v>
                </c:pt>
              </c:strCache>
            </c:strRef>
          </c:tx>
          <c:spPr>
            <a:ln w="28575" cap="rnd">
              <a:solidFill>
                <a:schemeClr val="accent1"/>
              </a:solidFill>
              <a:round/>
            </a:ln>
            <a:effectLst/>
          </c:spPr>
          <c:marker>
            <c:symbol val="none"/>
          </c:marker>
          <c:val>
            <c:numRef>
              <c:f>'Projected take-up fleet share'!$B$51:$AP$51</c:f>
              <c:numCache>
                <c:formatCode>0%</c:formatCode>
                <c:ptCount val="41"/>
                <c:pt idx="0">
                  <c:v>0.99</c:v>
                </c:pt>
                <c:pt idx="1">
                  <c:v>0.95</c:v>
                </c:pt>
                <c:pt idx="2">
                  <c:v>0.91</c:v>
                </c:pt>
                <c:pt idx="3">
                  <c:v>0.87</c:v>
                </c:pt>
                <c:pt idx="4">
                  <c:v>0.83</c:v>
                </c:pt>
                <c:pt idx="5">
                  <c:v>0.78999999999999992</c:v>
                </c:pt>
                <c:pt idx="6">
                  <c:v>0.75</c:v>
                </c:pt>
                <c:pt idx="7">
                  <c:v>0.71</c:v>
                </c:pt>
                <c:pt idx="8">
                  <c:v>0.67</c:v>
                </c:pt>
                <c:pt idx="9">
                  <c:v>0.63</c:v>
                </c:pt>
                <c:pt idx="10">
                  <c:v>0.59</c:v>
                </c:pt>
                <c:pt idx="11">
                  <c:v>0.55000000000000004</c:v>
                </c:pt>
                <c:pt idx="12">
                  <c:v>0.51000000000000012</c:v>
                </c:pt>
                <c:pt idx="13">
                  <c:v>0.47000000000000008</c:v>
                </c:pt>
                <c:pt idx="14">
                  <c:v>0.43000000000000005</c:v>
                </c:pt>
                <c:pt idx="15">
                  <c:v>0.39</c:v>
                </c:pt>
                <c:pt idx="16">
                  <c:v>0.39</c:v>
                </c:pt>
                <c:pt idx="17">
                  <c:v>0.39</c:v>
                </c:pt>
                <c:pt idx="18">
                  <c:v>0.39</c:v>
                </c:pt>
                <c:pt idx="19">
                  <c:v>0.39</c:v>
                </c:pt>
                <c:pt idx="20">
                  <c:v>0.39</c:v>
                </c:pt>
                <c:pt idx="21">
                  <c:v>0.39</c:v>
                </c:pt>
                <c:pt idx="22">
                  <c:v>0.39</c:v>
                </c:pt>
                <c:pt idx="23">
                  <c:v>0.39</c:v>
                </c:pt>
                <c:pt idx="24">
                  <c:v>0.39</c:v>
                </c:pt>
                <c:pt idx="25">
                  <c:v>0.39</c:v>
                </c:pt>
                <c:pt idx="26">
                  <c:v>0.39</c:v>
                </c:pt>
                <c:pt idx="27">
                  <c:v>0.39</c:v>
                </c:pt>
                <c:pt idx="28">
                  <c:v>0.39</c:v>
                </c:pt>
                <c:pt idx="29">
                  <c:v>0.39</c:v>
                </c:pt>
                <c:pt idx="30">
                  <c:v>0.39</c:v>
                </c:pt>
                <c:pt idx="31">
                  <c:v>0.39</c:v>
                </c:pt>
                <c:pt idx="32">
                  <c:v>0.39</c:v>
                </c:pt>
                <c:pt idx="33">
                  <c:v>0.39</c:v>
                </c:pt>
                <c:pt idx="34">
                  <c:v>0.39</c:v>
                </c:pt>
                <c:pt idx="35">
                  <c:v>0.39</c:v>
                </c:pt>
                <c:pt idx="36">
                  <c:v>0.39</c:v>
                </c:pt>
                <c:pt idx="37">
                  <c:v>0.39</c:v>
                </c:pt>
                <c:pt idx="38">
                  <c:v>0.39</c:v>
                </c:pt>
                <c:pt idx="39">
                  <c:v>0.39</c:v>
                </c:pt>
                <c:pt idx="40">
                  <c:v>0.39</c:v>
                </c:pt>
              </c:numCache>
            </c:numRef>
          </c:val>
          <c:smooth val="0"/>
          <c:extLst>
            <c:ext xmlns:c16="http://schemas.microsoft.com/office/drawing/2014/chart" uri="{C3380CC4-5D6E-409C-BE32-E72D297353CC}">
              <c16:uniqueId val="{00000000-524E-48A7-9504-6BB60BBAD782}"/>
            </c:ext>
          </c:extLst>
        </c:ser>
        <c:ser>
          <c:idx val="1"/>
          <c:order val="1"/>
          <c:tx>
            <c:strRef>
              <c:f>'Projected take-up fleet share'!$A$52</c:f>
              <c:strCache>
                <c:ptCount val="1"/>
                <c:pt idx="0">
                  <c:v>2.55 width</c:v>
                </c:pt>
              </c:strCache>
            </c:strRef>
          </c:tx>
          <c:spPr>
            <a:ln w="28575" cap="rnd">
              <a:solidFill>
                <a:schemeClr val="accent2"/>
              </a:solidFill>
              <a:round/>
            </a:ln>
            <a:effectLst/>
          </c:spPr>
          <c:marker>
            <c:symbol val="none"/>
          </c:marker>
          <c:val>
            <c:numRef>
              <c:f>'Projected take-up fleet share'!$B$52:$AP$52</c:f>
              <c:numCache>
                <c:formatCode>0%</c:formatCode>
                <c:ptCount val="41"/>
                <c:pt idx="0">
                  <c:v>5.0000000000000001E-3</c:v>
                </c:pt>
                <c:pt idx="1">
                  <c:v>4.4999999999999998E-2</c:v>
                </c:pt>
                <c:pt idx="2">
                  <c:v>8.4999999999999992E-2</c:v>
                </c:pt>
                <c:pt idx="3">
                  <c:v>0.125</c:v>
                </c:pt>
                <c:pt idx="4">
                  <c:v>0.16500000000000001</c:v>
                </c:pt>
                <c:pt idx="5">
                  <c:v>0.20500000000000002</c:v>
                </c:pt>
                <c:pt idx="6">
                  <c:v>0.24500000000000002</c:v>
                </c:pt>
                <c:pt idx="7">
                  <c:v>0.28500000000000003</c:v>
                </c:pt>
                <c:pt idx="8">
                  <c:v>0.32500000000000001</c:v>
                </c:pt>
                <c:pt idx="9">
                  <c:v>0.36499999999999999</c:v>
                </c:pt>
                <c:pt idx="10">
                  <c:v>0.40499999999999997</c:v>
                </c:pt>
                <c:pt idx="11">
                  <c:v>0.44499999999999995</c:v>
                </c:pt>
                <c:pt idx="12">
                  <c:v>0.48499999999999993</c:v>
                </c:pt>
                <c:pt idx="13">
                  <c:v>0.52499999999999991</c:v>
                </c:pt>
                <c:pt idx="14">
                  <c:v>0.56499999999999995</c:v>
                </c:pt>
                <c:pt idx="15">
                  <c:v>0.60499999999999998</c:v>
                </c:pt>
                <c:pt idx="16">
                  <c:v>0.60499999999999998</c:v>
                </c:pt>
                <c:pt idx="17">
                  <c:v>0.60499999999999998</c:v>
                </c:pt>
                <c:pt idx="18">
                  <c:v>0.60499999999999998</c:v>
                </c:pt>
                <c:pt idx="19">
                  <c:v>0.60499999999999998</c:v>
                </c:pt>
                <c:pt idx="20">
                  <c:v>0.60499999999999998</c:v>
                </c:pt>
                <c:pt idx="21">
                  <c:v>0.60499999999999998</c:v>
                </c:pt>
                <c:pt idx="22">
                  <c:v>0.60499999999999998</c:v>
                </c:pt>
                <c:pt idx="23">
                  <c:v>0.60499999999999998</c:v>
                </c:pt>
                <c:pt idx="24">
                  <c:v>0.60499999999999998</c:v>
                </c:pt>
                <c:pt idx="25">
                  <c:v>0.60499999999999998</c:v>
                </c:pt>
                <c:pt idx="26">
                  <c:v>0.60499999999999998</c:v>
                </c:pt>
                <c:pt idx="27">
                  <c:v>0.60499999999999998</c:v>
                </c:pt>
                <c:pt idx="28">
                  <c:v>0.60499999999999998</c:v>
                </c:pt>
                <c:pt idx="29">
                  <c:v>0.60499999999999998</c:v>
                </c:pt>
                <c:pt idx="30">
                  <c:v>0.60499999999999998</c:v>
                </c:pt>
                <c:pt idx="31">
                  <c:v>0.60499999999999998</c:v>
                </c:pt>
                <c:pt idx="32">
                  <c:v>0.60499999999999998</c:v>
                </c:pt>
                <c:pt idx="33">
                  <c:v>0.60499999999999998</c:v>
                </c:pt>
                <c:pt idx="34">
                  <c:v>0.60499999999999998</c:v>
                </c:pt>
                <c:pt idx="35">
                  <c:v>0.60499999999999998</c:v>
                </c:pt>
                <c:pt idx="36">
                  <c:v>0.60499999999999998</c:v>
                </c:pt>
                <c:pt idx="37">
                  <c:v>0.60499999999999998</c:v>
                </c:pt>
                <c:pt idx="38">
                  <c:v>0.60499999999999998</c:v>
                </c:pt>
                <c:pt idx="39">
                  <c:v>0.60499999999999998</c:v>
                </c:pt>
                <c:pt idx="40">
                  <c:v>0.60499999999999998</c:v>
                </c:pt>
              </c:numCache>
            </c:numRef>
          </c:val>
          <c:smooth val="0"/>
          <c:extLst>
            <c:ext xmlns:c16="http://schemas.microsoft.com/office/drawing/2014/chart" uri="{C3380CC4-5D6E-409C-BE32-E72D297353CC}">
              <c16:uniqueId val="{00000001-524E-48A7-9504-6BB60BBAD782}"/>
            </c:ext>
          </c:extLst>
        </c:ser>
        <c:dLbls>
          <c:showLegendKey val="0"/>
          <c:showVal val="0"/>
          <c:showCatName val="0"/>
          <c:showSerName val="0"/>
          <c:showPercent val="0"/>
          <c:showBubbleSize val="0"/>
        </c:dLbls>
        <c:smooth val="0"/>
        <c:axId val="1239394896"/>
        <c:axId val="1239386992"/>
      </c:lineChart>
      <c:catAx>
        <c:axId val="1239394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86992"/>
        <c:crosses val="autoZero"/>
        <c:auto val="1"/>
        <c:lblAlgn val="ctr"/>
        <c:lblOffset val="100"/>
        <c:noMultiLvlLbl val="0"/>
      </c:catAx>
      <c:valAx>
        <c:axId val="1239386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9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 Australian</a:t>
            </a:r>
            <a:r>
              <a:rPr lang="en-AU" baseline="0"/>
              <a:t> made HVs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share'!$A$55</c:f>
              <c:strCache>
                <c:ptCount val="1"/>
                <c:pt idx="0">
                  <c:v>2.50 width</c:v>
                </c:pt>
              </c:strCache>
            </c:strRef>
          </c:tx>
          <c:spPr>
            <a:ln w="28575" cap="rnd">
              <a:solidFill>
                <a:schemeClr val="accent1"/>
              </a:solidFill>
              <a:round/>
            </a:ln>
            <a:effectLst/>
          </c:spPr>
          <c:marker>
            <c:symbol val="none"/>
          </c:marker>
          <c:val>
            <c:numRef>
              <c:f>'Projected take-up fleet share'!$B$55:$AP$55</c:f>
              <c:numCache>
                <c:formatCode>0%</c:formatCode>
                <c:ptCount val="41"/>
                <c:pt idx="0">
                  <c:v>0.99</c:v>
                </c:pt>
                <c:pt idx="1">
                  <c:v>0.92333333333333334</c:v>
                </c:pt>
                <c:pt idx="2">
                  <c:v>0.85666666666666669</c:v>
                </c:pt>
                <c:pt idx="3">
                  <c:v>0.78999999999999992</c:v>
                </c:pt>
                <c:pt idx="4">
                  <c:v>0.72333333333333327</c:v>
                </c:pt>
                <c:pt idx="5">
                  <c:v>0.65666666666666662</c:v>
                </c:pt>
                <c:pt idx="6">
                  <c:v>0.59</c:v>
                </c:pt>
                <c:pt idx="7">
                  <c:v>0.52333333333333332</c:v>
                </c:pt>
                <c:pt idx="8">
                  <c:v>0.45666666666666667</c:v>
                </c:pt>
                <c:pt idx="9">
                  <c:v>0.39</c:v>
                </c:pt>
                <c:pt idx="10">
                  <c:v>0.32333333333333336</c:v>
                </c:pt>
                <c:pt idx="11">
                  <c:v>0.25666666666666671</c:v>
                </c:pt>
                <c:pt idx="12">
                  <c:v>0.19000000000000006</c:v>
                </c:pt>
                <c:pt idx="13">
                  <c:v>0.12333333333333341</c:v>
                </c:pt>
                <c:pt idx="14">
                  <c:v>5.6666666666666761E-2</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700A-4323-99A4-E8E46D85311C}"/>
            </c:ext>
          </c:extLst>
        </c:ser>
        <c:ser>
          <c:idx val="1"/>
          <c:order val="1"/>
          <c:tx>
            <c:strRef>
              <c:f>'Projected take-up fleet share'!$A$56</c:f>
              <c:strCache>
                <c:ptCount val="1"/>
                <c:pt idx="0">
                  <c:v>2.55 width</c:v>
                </c:pt>
              </c:strCache>
            </c:strRef>
          </c:tx>
          <c:spPr>
            <a:ln w="28575" cap="rnd">
              <a:solidFill>
                <a:schemeClr val="accent2"/>
              </a:solidFill>
              <a:round/>
            </a:ln>
            <a:effectLst/>
          </c:spPr>
          <c:marker>
            <c:symbol val="none"/>
          </c:marker>
          <c:val>
            <c:numRef>
              <c:f>'Projected take-up fleet share'!$B$56:$AP$56</c:f>
              <c:numCache>
                <c:formatCode>0%</c:formatCode>
                <c:ptCount val="41"/>
                <c:pt idx="0">
                  <c:v>5.0000000000000001E-3</c:v>
                </c:pt>
                <c:pt idx="1">
                  <c:v>7.166666666666667E-2</c:v>
                </c:pt>
                <c:pt idx="2">
                  <c:v>0.13833333333333334</c:v>
                </c:pt>
                <c:pt idx="3">
                  <c:v>0.20500000000000002</c:v>
                </c:pt>
                <c:pt idx="4">
                  <c:v>0.27166666666666667</c:v>
                </c:pt>
                <c:pt idx="5">
                  <c:v>0.33833333333333332</c:v>
                </c:pt>
                <c:pt idx="6">
                  <c:v>0.40499999999999997</c:v>
                </c:pt>
                <c:pt idx="7">
                  <c:v>0.47166666666666662</c:v>
                </c:pt>
                <c:pt idx="8">
                  <c:v>0.53833333333333333</c:v>
                </c:pt>
                <c:pt idx="9">
                  <c:v>0.60499999999999998</c:v>
                </c:pt>
                <c:pt idx="10">
                  <c:v>0.67166666666666663</c:v>
                </c:pt>
                <c:pt idx="11">
                  <c:v>0.73833333333333329</c:v>
                </c:pt>
                <c:pt idx="12">
                  <c:v>0.80499999999999994</c:v>
                </c:pt>
                <c:pt idx="13">
                  <c:v>0.87166666666666659</c:v>
                </c:pt>
                <c:pt idx="14">
                  <c:v>0.93833333333333324</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700A-4323-99A4-E8E46D85311C}"/>
            </c:ext>
          </c:extLst>
        </c:ser>
        <c:dLbls>
          <c:showLegendKey val="0"/>
          <c:showVal val="0"/>
          <c:showCatName val="0"/>
          <c:showSerName val="0"/>
          <c:showPercent val="0"/>
          <c:showBubbleSize val="0"/>
        </c:dLbls>
        <c:smooth val="0"/>
        <c:axId val="1877943424"/>
        <c:axId val="1877940512"/>
      </c:lineChart>
      <c:catAx>
        <c:axId val="1877943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940512"/>
        <c:crosses val="autoZero"/>
        <c:auto val="1"/>
        <c:lblAlgn val="ctr"/>
        <c:lblOffset val="100"/>
        <c:noMultiLvlLbl val="0"/>
      </c:catAx>
      <c:valAx>
        <c:axId val="1877940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94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Imported trailers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share'!$A$61</c:f>
              <c:strCache>
                <c:ptCount val="1"/>
                <c:pt idx="0">
                  <c:v>2.50 width</c:v>
                </c:pt>
              </c:strCache>
            </c:strRef>
          </c:tx>
          <c:spPr>
            <a:ln w="28575" cap="rnd">
              <a:solidFill>
                <a:schemeClr val="accent1"/>
              </a:solidFill>
              <a:round/>
            </a:ln>
            <a:effectLst/>
          </c:spPr>
          <c:marker>
            <c:symbol val="none"/>
          </c:marker>
          <c:val>
            <c:numRef>
              <c:f>'Projected take-up fleet share'!$B$61:$AP$61</c:f>
              <c:numCache>
                <c:formatCode>0%</c:formatCode>
                <c:ptCount val="41"/>
                <c:pt idx="0">
                  <c:v>0.99</c:v>
                </c:pt>
                <c:pt idx="1">
                  <c:v>0.49</c:v>
                </c:pt>
                <c:pt idx="2">
                  <c:v>4.3368086899420177E-18</c:v>
                </c:pt>
                <c:pt idx="3">
                  <c:v>4.3368086899420177E-18</c:v>
                </c:pt>
                <c:pt idx="4">
                  <c:v>4.3368086899420177E-18</c:v>
                </c:pt>
                <c:pt idx="5">
                  <c:v>4.3368086899420177E-18</c:v>
                </c:pt>
                <c:pt idx="6">
                  <c:v>4.3368086899420177E-18</c:v>
                </c:pt>
                <c:pt idx="7">
                  <c:v>4.3368086899420177E-18</c:v>
                </c:pt>
                <c:pt idx="8">
                  <c:v>4.3368086899420177E-18</c:v>
                </c:pt>
                <c:pt idx="9">
                  <c:v>4.3368086899420177E-18</c:v>
                </c:pt>
                <c:pt idx="10">
                  <c:v>4.3368086899420177E-18</c:v>
                </c:pt>
                <c:pt idx="11">
                  <c:v>4.3368086899420177E-18</c:v>
                </c:pt>
                <c:pt idx="12">
                  <c:v>4.3368086899420177E-18</c:v>
                </c:pt>
                <c:pt idx="13">
                  <c:v>4.3368086899420177E-18</c:v>
                </c:pt>
                <c:pt idx="14">
                  <c:v>4.3368086899420177E-18</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6277-49F3-8AE8-3F673E847F02}"/>
            </c:ext>
          </c:extLst>
        </c:ser>
        <c:ser>
          <c:idx val="1"/>
          <c:order val="1"/>
          <c:tx>
            <c:strRef>
              <c:f>'Projected take-up fleet share'!$A$62</c:f>
              <c:strCache>
                <c:ptCount val="1"/>
                <c:pt idx="0">
                  <c:v>2.55 width</c:v>
                </c:pt>
              </c:strCache>
            </c:strRef>
          </c:tx>
          <c:spPr>
            <a:ln w="28575" cap="rnd">
              <a:solidFill>
                <a:schemeClr val="accent2"/>
              </a:solidFill>
              <a:round/>
            </a:ln>
            <a:effectLst/>
          </c:spPr>
          <c:marker>
            <c:symbol val="none"/>
          </c:marker>
          <c:val>
            <c:numRef>
              <c:f>'Projected take-up fleet share'!$B$62:$AP$62</c:f>
              <c:numCache>
                <c:formatCode>0%</c:formatCode>
                <c:ptCount val="41"/>
                <c:pt idx="0">
                  <c:v>5.0000000000000001E-3</c:v>
                </c:pt>
                <c:pt idx="1">
                  <c:v>0.505</c:v>
                </c:pt>
                <c:pt idx="2">
                  <c:v>0.995</c:v>
                </c:pt>
                <c:pt idx="3">
                  <c:v>0.995</c:v>
                </c:pt>
                <c:pt idx="4">
                  <c:v>0.995</c:v>
                </c:pt>
                <c:pt idx="5">
                  <c:v>0.995</c:v>
                </c:pt>
                <c:pt idx="6">
                  <c:v>0.995</c:v>
                </c:pt>
                <c:pt idx="7">
                  <c:v>0.995</c:v>
                </c:pt>
                <c:pt idx="8">
                  <c:v>0.995</c:v>
                </c:pt>
                <c:pt idx="9">
                  <c:v>0.995</c:v>
                </c:pt>
                <c:pt idx="10">
                  <c:v>0.995</c:v>
                </c:pt>
                <c:pt idx="11">
                  <c:v>0.995</c:v>
                </c:pt>
                <c:pt idx="12">
                  <c:v>0.995</c:v>
                </c:pt>
                <c:pt idx="13">
                  <c:v>0.995</c:v>
                </c:pt>
                <c:pt idx="14">
                  <c:v>0.995</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6277-49F3-8AE8-3F673E847F02}"/>
            </c:ext>
          </c:extLst>
        </c:ser>
        <c:dLbls>
          <c:showLegendKey val="0"/>
          <c:showVal val="0"/>
          <c:showCatName val="0"/>
          <c:showSerName val="0"/>
          <c:showPercent val="0"/>
          <c:showBubbleSize val="0"/>
        </c:dLbls>
        <c:smooth val="0"/>
        <c:axId val="1919690048"/>
        <c:axId val="1919686304"/>
      </c:lineChart>
      <c:catAx>
        <c:axId val="1919690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86304"/>
        <c:crosses val="autoZero"/>
        <c:auto val="1"/>
        <c:lblAlgn val="ctr"/>
        <c:lblOffset val="100"/>
        <c:noMultiLvlLbl val="0"/>
      </c:catAx>
      <c:valAx>
        <c:axId val="1919686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9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Australian</a:t>
            </a:r>
            <a:r>
              <a:rPr lang="en-AU" baseline="0"/>
              <a:t> made</a:t>
            </a:r>
            <a:r>
              <a:rPr lang="en-AU"/>
              <a:t> trailers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share'!$A$65</c:f>
              <c:strCache>
                <c:ptCount val="1"/>
                <c:pt idx="0">
                  <c:v>2.50 width</c:v>
                </c:pt>
              </c:strCache>
            </c:strRef>
          </c:tx>
          <c:spPr>
            <a:ln w="28575" cap="rnd">
              <a:solidFill>
                <a:schemeClr val="accent1"/>
              </a:solidFill>
              <a:round/>
            </a:ln>
            <a:effectLst/>
          </c:spPr>
          <c:marker>
            <c:symbol val="none"/>
          </c:marker>
          <c:val>
            <c:numRef>
              <c:f>'Projected take-up fleet share'!$B$65:$AP$65</c:f>
              <c:numCache>
                <c:formatCode>0%</c:formatCode>
                <c:ptCount val="41"/>
                <c:pt idx="0">
                  <c:v>0.99</c:v>
                </c:pt>
                <c:pt idx="1">
                  <c:v>0.96499999999999997</c:v>
                </c:pt>
                <c:pt idx="2">
                  <c:v>0.94</c:v>
                </c:pt>
                <c:pt idx="3">
                  <c:v>0.91499999999999992</c:v>
                </c:pt>
                <c:pt idx="4">
                  <c:v>0.89</c:v>
                </c:pt>
                <c:pt idx="5">
                  <c:v>0.86499999999999999</c:v>
                </c:pt>
                <c:pt idx="6">
                  <c:v>0.84</c:v>
                </c:pt>
                <c:pt idx="7">
                  <c:v>0.81500000000000006</c:v>
                </c:pt>
                <c:pt idx="8">
                  <c:v>0.79</c:v>
                </c:pt>
                <c:pt idx="9">
                  <c:v>0.76500000000000001</c:v>
                </c:pt>
                <c:pt idx="10">
                  <c:v>0.74</c:v>
                </c:pt>
                <c:pt idx="11">
                  <c:v>0.71499999999999997</c:v>
                </c:pt>
                <c:pt idx="12">
                  <c:v>0.69</c:v>
                </c:pt>
                <c:pt idx="13">
                  <c:v>0.66499999999999992</c:v>
                </c:pt>
                <c:pt idx="14">
                  <c:v>0.6399999999999999</c:v>
                </c:pt>
                <c:pt idx="15">
                  <c:v>0.61499999999999988</c:v>
                </c:pt>
                <c:pt idx="16">
                  <c:v>0.61499999999999988</c:v>
                </c:pt>
                <c:pt idx="17">
                  <c:v>0.61499999999999988</c:v>
                </c:pt>
                <c:pt idx="18">
                  <c:v>0.61499999999999988</c:v>
                </c:pt>
                <c:pt idx="19">
                  <c:v>0.61499999999999988</c:v>
                </c:pt>
                <c:pt idx="20">
                  <c:v>0.61499999999999988</c:v>
                </c:pt>
                <c:pt idx="21">
                  <c:v>0.61499999999999988</c:v>
                </c:pt>
                <c:pt idx="22">
                  <c:v>0.61499999999999988</c:v>
                </c:pt>
                <c:pt idx="23">
                  <c:v>0.61499999999999988</c:v>
                </c:pt>
                <c:pt idx="24">
                  <c:v>0.61499999999999988</c:v>
                </c:pt>
                <c:pt idx="25">
                  <c:v>0.61499999999999988</c:v>
                </c:pt>
                <c:pt idx="26">
                  <c:v>0.61499999999999988</c:v>
                </c:pt>
                <c:pt idx="27">
                  <c:v>0.61499999999999988</c:v>
                </c:pt>
                <c:pt idx="28">
                  <c:v>0.61499999999999988</c:v>
                </c:pt>
                <c:pt idx="29">
                  <c:v>0.61499999999999988</c:v>
                </c:pt>
                <c:pt idx="30">
                  <c:v>0.61499999999999988</c:v>
                </c:pt>
                <c:pt idx="31">
                  <c:v>0.61499999999999988</c:v>
                </c:pt>
                <c:pt idx="32">
                  <c:v>0.61499999999999988</c:v>
                </c:pt>
                <c:pt idx="33">
                  <c:v>0.61499999999999988</c:v>
                </c:pt>
                <c:pt idx="34">
                  <c:v>0.61499999999999988</c:v>
                </c:pt>
                <c:pt idx="35">
                  <c:v>0.61499999999999988</c:v>
                </c:pt>
                <c:pt idx="36">
                  <c:v>0.61499999999999988</c:v>
                </c:pt>
                <c:pt idx="37">
                  <c:v>0.61499999999999988</c:v>
                </c:pt>
                <c:pt idx="38">
                  <c:v>0.61499999999999988</c:v>
                </c:pt>
                <c:pt idx="39">
                  <c:v>0.61499999999999988</c:v>
                </c:pt>
                <c:pt idx="40">
                  <c:v>0.61499999999999988</c:v>
                </c:pt>
              </c:numCache>
            </c:numRef>
          </c:val>
          <c:smooth val="0"/>
          <c:extLst>
            <c:ext xmlns:c16="http://schemas.microsoft.com/office/drawing/2014/chart" uri="{C3380CC4-5D6E-409C-BE32-E72D297353CC}">
              <c16:uniqueId val="{00000000-D00C-4F7A-8AC5-903B2A051EFD}"/>
            </c:ext>
          </c:extLst>
        </c:ser>
        <c:ser>
          <c:idx val="1"/>
          <c:order val="1"/>
          <c:tx>
            <c:strRef>
              <c:f>'Projected take-up fleet share'!$A$66</c:f>
              <c:strCache>
                <c:ptCount val="1"/>
                <c:pt idx="0">
                  <c:v>2.55 width</c:v>
                </c:pt>
              </c:strCache>
            </c:strRef>
          </c:tx>
          <c:spPr>
            <a:ln w="28575" cap="rnd">
              <a:solidFill>
                <a:schemeClr val="accent2"/>
              </a:solidFill>
              <a:round/>
            </a:ln>
            <a:effectLst/>
          </c:spPr>
          <c:marker>
            <c:symbol val="none"/>
          </c:marker>
          <c:val>
            <c:numRef>
              <c:f>'Projected take-up fleet share'!$B$66:$AP$66</c:f>
              <c:numCache>
                <c:formatCode>0%</c:formatCode>
                <c:ptCount val="41"/>
                <c:pt idx="0">
                  <c:v>5.0000000000000001E-3</c:v>
                </c:pt>
                <c:pt idx="1">
                  <c:v>3.0000000000000002E-2</c:v>
                </c:pt>
                <c:pt idx="2">
                  <c:v>5.5000000000000007E-2</c:v>
                </c:pt>
                <c:pt idx="3">
                  <c:v>8.0000000000000016E-2</c:v>
                </c:pt>
                <c:pt idx="4">
                  <c:v>0.10500000000000001</c:v>
                </c:pt>
                <c:pt idx="5">
                  <c:v>0.13</c:v>
                </c:pt>
                <c:pt idx="6">
                  <c:v>0.155</c:v>
                </c:pt>
                <c:pt idx="7">
                  <c:v>0.18</c:v>
                </c:pt>
                <c:pt idx="8">
                  <c:v>0.20499999999999999</c:v>
                </c:pt>
                <c:pt idx="9">
                  <c:v>0.22999999999999998</c:v>
                </c:pt>
                <c:pt idx="10">
                  <c:v>0.255</c:v>
                </c:pt>
                <c:pt idx="11">
                  <c:v>0.28000000000000003</c:v>
                </c:pt>
                <c:pt idx="12">
                  <c:v>0.30500000000000005</c:v>
                </c:pt>
                <c:pt idx="13">
                  <c:v>0.33000000000000007</c:v>
                </c:pt>
                <c:pt idx="14">
                  <c:v>0.35500000000000009</c:v>
                </c:pt>
                <c:pt idx="15">
                  <c:v>0.38000000000000012</c:v>
                </c:pt>
                <c:pt idx="16">
                  <c:v>0.38000000000000012</c:v>
                </c:pt>
                <c:pt idx="17">
                  <c:v>0.38000000000000012</c:v>
                </c:pt>
                <c:pt idx="18">
                  <c:v>0.38000000000000012</c:v>
                </c:pt>
                <c:pt idx="19">
                  <c:v>0.38000000000000012</c:v>
                </c:pt>
                <c:pt idx="20">
                  <c:v>0.38000000000000012</c:v>
                </c:pt>
                <c:pt idx="21">
                  <c:v>0.38000000000000012</c:v>
                </c:pt>
                <c:pt idx="22">
                  <c:v>0.38000000000000012</c:v>
                </c:pt>
                <c:pt idx="23">
                  <c:v>0.38000000000000012</c:v>
                </c:pt>
                <c:pt idx="24">
                  <c:v>0.38000000000000012</c:v>
                </c:pt>
                <c:pt idx="25">
                  <c:v>0.38000000000000012</c:v>
                </c:pt>
                <c:pt idx="26">
                  <c:v>0.38000000000000012</c:v>
                </c:pt>
                <c:pt idx="27">
                  <c:v>0.38000000000000012</c:v>
                </c:pt>
                <c:pt idx="28">
                  <c:v>0.38000000000000012</c:v>
                </c:pt>
                <c:pt idx="29">
                  <c:v>0.38000000000000012</c:v>
                </c:pt>
                <c:pt idx="30">
                  <c:v>0.38000000000000012</c:v>
                </c:pt>
                <c:pt idx="31">
                  <c:v>0.38000000000000012</c:v>
                </c:pt>
                <c:pt idx="32">
                  <c:v>0.38000000000000012</c:v>
                </c:pt>
                <c:pt idx="33">
                  <c:v>0.38000000000000012</c:v>
                </c:pt>
                <c:pt idx="34">
                  <c:v>0.38000000000000012</c:v>
                </c:pt>
                <c:pt idx="35">
                  <c:v>0.38000000000000012</c:v>
                </c:pt>
                <c:pt idx="36">
                  <c:v>0.38000000000000012</c:v>
                </c:pt>
                <c:pt idx="37">
                  <c:v>0.38000000000000012</c:v>
                </c:pt>
                <c:pt idx="38">
                  <c:v>0.38000000000000012</c:v>
                </c:pt>
                <c:pt idx="39">
                  <c:v>0.38000000000000012</c:v>
                </c:pt>
                <c:pt idx="40">
                  <c:v>0.38000000000000012</c:v>
                </c:pt>
              </c:numCache>
            </c:numRef>
          </c:val>
          <c:smooth val="0"/>
          <c:extLst>
            <c:ext xmlns:c16="http://schemas.microsoft.com/office/drawing/2014/chart" uri="{C3380CC4-5D6E-409C-BE32-E72D297353CC}">
              <c16:uniqueId val="{00000001-D00C-4F7A-8AC5-903B2A051EFD}"/>
            </c:ext>
          </c:extLst>
        </c:ser>
        <c:dLbls>
          <c:showLegendKey val="0"/>
          <c:showVal val="0"/>
          <c:showCatName val="0"/>
          <c:showSerName val="0"/>
          <c:showPercent val="0"/>
          <c:showBubbleSize val="0"/>
        </c:dLbls>
        <c:smooth val="0"/>
        <c:axId val="1717955392"/>
        <c:axId val="1717965376"/>
      </c:lineChart>
      <c:catAx>
        <c:axId val="17179553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65376"/>
        <c:crosses val="autoZero"/>
        <c:auto val="1"/>
        <c:lblAlgn val="ctr"/>
        <c:lblOffset val="100"/>
        <c:noMultiLvlLbl val="0"/>
      </c:catAx>
      <c:valAx>
        <c:axId val="1717965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553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174395097945746E-2"/>
          <c:y val="5.0865308163841084E-2"/>
          <c:w val="0.87830899330493428"/>
          <c:h val="0.69975281489650909"/>
        </c:manualLayout>
      </c:layout>
      <c:lineChart>
        <c:grouping val="standard"/>
        <c:varyColors val="0"/>
        <c:ser>
          <c:idx val="0"/>
          <c:order val="0"/>
          <c:tx>
            <c:strRef>
              <c:f>'Projected take-up fleet share'!$A$31</c:f>
              <c:strCache>
                <c:ptCount val="1"/>
                <c:pt idx="0">
                  <c:v>DIV</c:v>
                </c:pt>
              </c:strCache>
            </c:strRef>
          </c:tx>
          <c:spPr>
            <a:ln w="28575" cap="rnd">
              <a:solidFill>
                <a:schemeClr val="accent1"/>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share'!$B$31:$AP$31</c:f>
              <c:numCache>
                <c:formatCode>0%</c:formatCode>
                <c:ptCount val="41"/>
                <c:pt idx="0">
                  <c:v>0.14604008770526061</c:v>
                </c:pt>
                <c:pt idx="1">
                  <c:v>0.1572739406056653</c:v>
                </c:pt>
                <c:pt idx="2">
                  <c:v>0.47499999999999998</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numCache>
            </c:numRef>
          </c:val>
          <c:smooth val="0"/>
          <c:extLst>
            <c:ext xmlns:c16="http://schemas.microsoft.com/office/drawing/2014/chart" uri="{C3380CC4-5D6E-409C-BE32-E72D297353CC}">
              <c16:uniqueId val="{00000000-D149-4B41-BC92-3E30DF0E5CF5}"/>
            </c:ext>
          </c:extLst>
        </c:ser>
        <c:ser>
          <c:idx val="1"/>
          <c:order val="1"/>
          <c:tx>
            <c:strRef>
              <c:f>'Projected take-up fleet share'!$A$32</c:f>
              <c:strCache>
                <c:ptCount val="1"/>
                <c:pt idx="0">
                  <c:v>CVB</c:v>
                </c:pt>
              </c:strCache>
            </c:strRef>
          </c:tx>
          <c:spPr>
            <a:ln w="28575" cap="rnd">
              <a:solidFill>
                <a:schemeClr val="accent2"/>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share'!$B$32:$AP$32</c:f>
              <c:numCache>
                <c:formatCode>0%</c:formatCode>
                <c:ptCount val="41"/>
                <c:pt idx="0">
                  <c:v>0.40591715976331361</c:v>
                </c:pt>
                <c:pt idx="1">
                  <c:v>0.43714155666818388</c:v>
                </c:pt>
                <c:pt idx="2">
                  <c:v>0.95</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numCache>
            </c:numRef>
          </c:val>
          <c:smooth val="0"/>
          <c:extLst>
            <c:ext xmlns:c16="http://schemas.microsoft.com/office/drawing/2014/chart" uri="{C3380CC4-5D6E-409C-BE32-E72D297353CC}">
              <c16:uniqueId val="{00000001-D149-4B41-BC92-3E30DF0E5CF5}"/>
            </c:ext>
          </c:extLst>
        </c:ser>
        <c:ser>
          <c:idx val="2"/>
          <c:order val="2"/>
          <c:tx>
            <c:strRef>
              <c:f>'Projected take-up fleet share'!$A$33</c:f>
              <c:strCache>
                <c:ptCount val="1"/>
                <c:pt idx="0">
                  <c:v>AEB</c:v>
                </c:pt>
              </c:strCache>
            </c:strRef>
          </c:tx>
          <c:spPr>
            <a:ln w="28575" cap="rnd">
              <a:solidFill>
                <a:schemeClr val="accent3"/>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share'!$B$33:$AP$33</c:f>
              <c:numCache>
                <c:formatCode>0%</c:formatCode>
                <c:ptCount val="41"/>
                <c:pt idx="0">
                  <c:v>0.29208017541052123</c:v>
                </c:pt>
                <c:pt idx="1">
                  <c:v>0.31454788121133059</c:v>
                </c:pt>
                <c:pt idx="2">
                  <c:v>0.95</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numCache>
            </c:numRef>
          </c:val>
          <c:smooth val="0"/>
          <c:extLst>
            <c:ext xmlns:c16="http://schemas.microsoft.com/office/drawing/2014/chart" uri="{C3380CC4-5D6E-409C-BE32-E72D297353CC}">
              <c16:uniqueId val="{00000002-D149-4B41-BC92-3E30DF0E5CF5}"/>
            </c:ext>
          </c:extLst>
        </c:ser>
        <c:ser>
          <c:idx val="3"/>
          <c:order val="3"/>
          <c:tx>
            <c:strRef>
              <c:f>'Projected take-up fleet share'!$A$34</c:f>
              <c:strCache>
                <c:ptCount val="1"/>
                <c:pt idx="0">
                  <c:v>LDW</c:v>
                </c:pt>
              </c:strCache>
            </c:strRef>
          </c:tx>
          <c:spPr>
            <a:ln w="28575" cap="rnd">
              <a:solidFill>
                <a:schemeClr val="accent4"/>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share'!$B$34:$AP$34</c:f>
              <c:numCache>
                <c:formatCode>0%</c:formatCode>
                <c:ptCount val="41"/>
                <c:pt idx="0">
                  <c:v>0.28331777014820558</c:v>
                </c:pt>
                <c:pt idx="1">
                  <c:v>0.30511144477499064</c:v>
                </c:pt>
                <c:pt idx="2">
                  <c:v>0.92149999999999999</c:v>
                </c:pt>
                <c:pt idx="3">
                  <c:v>0.97</c:v>
                </c:pt>
                <c:pt idx="4">
                  <c:v>0.97</c:v>
                </c:pt>
                <c:pt idx="5">
                  <c:v>0.97</c:v>
                </c:pt>
                <c:pt idx="6">
                  <c:v>0.97</c:v>
                </c:pt>
                <c:pt idx="7">
                  <c:v>0.97</c:v>
                </c:pt>
                <c:pt idx="8">
                  <c:v>0.97</c:v>
                </c:pt>
                <c:pt idx="9">
                  <c:v>0.97</c:v>
                </c:pt>
                <c:pt idx="10">
                  <c:v>0.97</c:v>
                </c:pt>
                <c:pt idx="11">
                  <c:v>0.97</c:v>
                </c:pt>
                <c:pt idx="12">
                  <c:v>0.97</c:v>
                </c:pt>
                <c:pt idx="13">
                  <c:v>0.97</c:v>
                </c:pt>
                <c:pt idx="14">
                  <c:v>0.97</c:v>
                </c:pt>
                <c:pt idx="15">
                  <c:v>0.97</c:v>
                </c:pt>
                <c:pt idx="16">
                  <c:v>0.97</c:v>
                </c:pt>
                <c:pt idx="17">
                  <c:v>0.97</c:v>
                </c:pt>
                <c:pt idx="18">
                  <c:v>0.97</c:v>
                </c:pt>
                <c:pt idx="19">
                  <c:v>0.97</c:v>
                </c:pt>
                <c:pt idx="20">
                  <c:v>0.97</c:v>
                </c:pt>
                <c:pt idx="21">
                  <c:v>0.97</c:v>
                </c:pt>
                <c:pt idx="22">
                  <c:v>0.97</c:v>
                </c:pt>
                <c:pt idx="23">
                  <c:v>0.97</c:v>
                </c:pt>
                <c:pt idx="24">
                  <c:v>0.97</c:v>
                </c:pt>
                <c:pt idx="25">
                  <c:v>0.97</c:v>
                </c:pt>
                <c:pt idx="26">
                  <c:v>0.97</c:v>
                </c:pt>
                <c:pt idx="27">
                  <c:v>0.97</c:v>
                </c:pt>
                <c:pt idx="28">
                  <c:v>0.97</c:v>
                </c:pt>
                <c:pt idx="29">
                  <c:v>0.97</c:v>
                </c:pt>
                <c:pt idx="30">
                  <c:v>0.97</c:v>
                </c:pt>
                <c:pt idx="31">
                  <c:v>0.97</c:v>
                </c:pt>
                <c:pt idx="32">
                  <c:v>0.97</c:v>
                </c:pt>
                <c:pt idx="33">
                  <c:v>0.97</c:v>
                </c:pt>
                <c:pt idx="34">
                  <c:v>0.97</c:v>
                </c:pt>
                <c:pt idx="35">
                  <c:v>0.97</c:v>
                </c:pt>
                <c:pt idx="36">
                  <c:v>0.97</c:v>
                </c:pt>
                <c:pt idx="37">
                  <c:v>0.97</c:v>
                </c:pt>
                <c:pt idx="38">
                  <c:v>0.97</c:v>
                </c:pt>
                <c:pt idx="39">
                  <c:v>0.97</c:v>
                </c:pt>
                <c:pt idx="40">
                  <c:v>0.97</c:v>
                </c:pt>
              </c:numCache>
            </c:numRef>
          </c:val>
          <c:smooth val="0"/>
          <c:extLst>
            <c:ext xmlns:c16="http://schemas.microsoft.com/office/drawing/2014/chart" uri="{C3380CC4-5D6E-409C-BE32-E72D297353CC}">
              <c16:uniqueId val="{00000003-D149-4B41-BC92-3E30DF0E5CF5}"/>
            </c:ext>
          </c:extLst>
        </c:ser>
        <c:ser>
          <c:idx val="4"/>
          <c:order val="4"/>
          <c:tx>
            <c:strRef>
              <c:f>'Projected take-up fleet share'!$A$35</c:f>
              <c:strCache>
                <c:ptCount val="1"/>
                <c:pt idx="0">
                  <c:v>BSI</c:v>
                </c:pt>
              </c:strCache>
            </c:strRef>
          </c:tx>
          <c:spPr>
            <a:ln w="28575" cap="rnd">
              <a:solidFill>
                <a:schemeClr val="accent5"/>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share'!$B$35:$AP$35</c:f>
              <c:numCache>
                <c:formatCode>0%</c:formatCode>
                <c:ptCount val="41"/>
                <c:pt idx="0">
                  <c:v>0.14604008770526061</c:v>
                </c:pt>
                <c:pt idx="1">
                  <c:v>0.1572739406056653</c:v>
                </c:pt>
                <c:pt idx="2">
                  <c:v>0.47499999999999998</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numCache>
            </c:numRef>
          </c:val>
          <c:smooth val="0"/>
          <c:extLst>
            <c:ext xmlns:c16="http://schemas.microsoft.com/office/drawing/2014/chart" uri="{C3380CC4-5D6E-409C-BE32-E72D297353CC}">
              <c16:uniqueId val="{00000004-D149-4B41-BC92-3E30DF0E5CF5}"/>
            </c:ext>
          </c:extLst>
        </c:ser>
        <c:ser>
          <c:idx val="5"/>
          <c:order val="5"/>
          <c:tx>
            <c:strRef>
              <c:f>'Projected take-up fleet share'!$A$36</c:f>
              <c:strCache>
                <c:ptCount val="1"/>
                <c:pt idx="0">
                  <c:v>SUP</c:v>
                </c:pt>
              </c:strCache>
            </c:strRef>
          </c:tx>
          <c:spPr>
            <a:ln w="28575" cap="rnd">
              <a:solidFill>
                <a:schemeClr val="accent6"/>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share'!$B$36:$AP$36</c:f>
              <c:numCache>
                <c:formatCode>0%</c:formatCode>
                <c:ptCount val="41"/>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numCache>
            </c:numRef>
          </c:val>
          <c:smooth val="0"/>
          <c:extLst>
            <c:ext xmlns:c16="http://schemas.microsoft.com/office/drawing/2014/chart" uri="{C3380CC4-5D6E-409C-BE32-E72D297353CC}">
              <c16:uniqueId val="{00000005-D149-4B41-BC92-3E30DF0E5CF5}"/>
            </c:ext>
          </c:extLst>
        </c:ser>
        <c:ser>
          <c:idx val="6"/>
          <c:order val="6"/>
          <c:tx>
            <c:strRef>
              <c:f>'Projected take-up fleet share'!$A$37</c:f>
              <c:strCache>
                <c:ptCount val="1"/>
                <c:pt idx="0">
                  <c:v>CP</c:v>
                </c:pt>
              </c:strCache>
            </c:strRef>
          </c:tx>
          <c:spPr>
            <a:ln w="28575" cap="rnd">
              <a:solidFill>
                <a:schemeClr val="accent1">
                  <a:lumMod val="60000"/>
                </a:schemeClr>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share'!$B$37:$AP$37</c:f>
              <c:numCache>
                <c:formatCode>0%</c:formatCode>
                <c:ptCount val="41"/>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numCache>
            </c:numRef>
          </c:val>
          <c:smooth val="0"/>
          <c:extLst>
            <c:ext xmlns:c16="http://schemas.microsoft.com/office/drawing/2014/chart" uri="{C3380CC4-5D6E-409C-BE32-E72D297353CC}">
              <c16:uniqueId val="{00000006-D149-4B41-BC92-3E30DF0E5CF5}"/>
            </c:ext>
          </c:extLst>
        </c:ser>
        <c:dLbls>
          <c:showLegendKey val="0"/>
          <c:showVal val="0"/>
          <c:showCatName val="0"/>
          <c:showSerName val="0"/>
          <c:showPercent val="0"/>
          <c:showBubbleSize val="0"/>
        </c:dLbls>
        <c:smooth val="0"/>
        <c:axId val="636650768"/>
        <c:axId val="636651600"/>
      </c:lineChart>
      <c:catAx>
        <c:axId val="63665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51600"/>
        <c:crosses val="autoZero"/>
        <c:auto val="1"/>
        <c:lblAlgn val="ctr"/>
        <c:lblOffset val="100"/>
        <c:noMultiLvlLbl val="0"/>
      </c:catAx>
      <c:valAx>
        <c:axId val="636651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5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12B014E2CF4ABB935D789691EC9584"/>
        <w:category>
          <w:name w:val="General"/>
          <w:gallery w:val="placeholder"/>
        </w:category>
        <w:types>
          <w:type w:val="bbPlcHdr"/>
        </w:types>
        <w:behaviors>
          <w:behavior w:val="content"/>
        </w:behaviors>
        <w:guid w:val="{3E908DE3-DB18-43DD-BF92-AA20DE52DFA6}"/>
      </w:docPartPr>
      <w:docPartBody>
        <w:p w:rsidR="00CD40C9" w:rsidRDefault="00CD40C9" w:rsidP="00CD40C9">
          <w:pPr>
            <w:pStyle w:val="3F12B014E2CF4ABB935D789691EC9584"/>
          </w:pPr>
          <w:r w:rsidRPr="00734B48">
            <w:rPr>
              <w:rStyle w:val="PlaceholderText"/>
            </w:rPr>
            <w:t>Click or tap here to enter text.</w:t>
          </w:r>
        </w:p>
      </w:docPartBody>
    </w:docPart>
    <w:docPart>
      <w:docPartPr>
        <w:name w:val="C1C00120311141709E08A47DDA35A198"/>
        <w:category>
          <w:name w:val="General"/>
          <w:gallery w:val="placeholder"/>
        </w:category>
        <w:types>
          <w:type w:val="bbPlcHdr"/>
        </w:types>
        <w:behaviors>
          <w:behavior w:val="content"/>
        </w:behaviors>
        <w:guid w:val="{BEAE4313-9281-4E09-92DE-965377171A72}"/>
      </w:docPartPr>
      <w:docPartBody>
        <w:p w:rsidR="00CD40C9" w:rsidRDefault="00CD40C9" w:rsidP="00CD40C9">
          <w:pPr>
            <w:pStyle w:val="C1C00120311141709E08A47DDA35A198"/>
          </w:pPr>
          <w:r w:rsidRPr="00F50C7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0C9"/>
    <w:rsid w:val="003932AE"/>
    <w:rsid w:val="004E2C7C"/>
    <w:rsid w:val="009113B0"/>
    <w:rsid w:val="009371ED"/>
    <w:rsid w:val="00A63364"/>
    <w:rsid w:val="00C70BFC"/>
    <w:rsid w:val="00CD40C9"/>
    <w:rsid w:val="00E66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0C9"/>
    <w:rPr>
      <w:color w:val="808080"/>
    </w:rPr>
  </w:style>
  <w:style w:type="paragraph" w:customStyle="1" w:styleId="45364BD323DF4248B7E711680C2DEADD">
    <w:name w:val="45364BD323DF4248B7E711680C2DEADD"/>
    <w:rsid w:val="00CD40C9"/>
  </w:style>
  <w:style w:type="paragraph" w:customStyle="1" w:styleId="46CA9BED882E49FDB6E808DF4F0BA644">
    <w:name w:val="46CA9BED882E49FDB6E808DF4F0BA644"/>
    <w:rsid w:val="00CD40C9"/>
  </w:style>
  <w:style w:type="paragraph" w:customStyle="1" w:styleId="90F9A7938A734AD6B9283994AC194910">
    <w:name w:val="90F9A7938A734AD6B9283994AC194910"/>
    <w:rsid w:val="00CD40C9"/>
  </w:style>
  <w:style w:type="paragraph" w:customStyle="1" w:styleId="71C0A4CDA13B490586B47C668B120D04">
    <w:name w:val="71C0A4CDA13B490586B47C668B120D04"/>
    <w:rsid w:val="00CD40C9"/>
  </w:style>
  <w:style w:type="paragraph" w:customStyle="1" w:styleId="0EDB942DEE4643F3AA1ECB95DD81E498">
    <w:name w:val="0EDB942DEE4643F3AA1ECB95DD81E498"/>
    <w:rsid w:val="00CD40C9"/>
  </w:style>
  <w:style w:type="paragraph" w:customStyle="1" w:styleId="AA7C49A52BDA42E39750EB63503A0C7C">
    <w:name w:val="AA7C49A52BDA42E39750EB63503A0C7C"/>
    <w:rsid w:val="00CD40C9"/>
  </w:style>
  <w:style w:type="paragraph" w:customStyle="1" w:styleId="2CEDD37A4E7D453882412CD010857EB8">
    <w:name w:val="2CEDD37A4E7D453882412CD010857EB8"/>
    <w:rsid w:val="00CD40C9"/>
  </w:style>
  <w:style w:type="paragraph" w:customStyle="1" w:styleId="C6E2D05BBF4B4ABB82241367CE0886A6">
    <w:name w:val="C6E2D05BBF4B4ABB82241367CE0886A6"/>
    <w:rsid w:val="00CD40C9"/>
  </w:style>
  <w:style w:type="paragraph" w:customStyle="1" w:styleId="10E5D9B2FB354EF5B61ADFFF1B2495B0">
    <w:name w:val="10E5D9B2FB354EF5B61ADFFF1B2495B0"/>
    <w:rsid w:val="00CD40C9"/>
  </w:style>
  <w:style w:type="paragraph" w:customStyle="1" w:styleId="99FE5DBAECF343408D6391798561E88F">
    <w:name w:val="99FE5DBAECF343408D6391798561E88F"/>
    <w:rsid w:val="00CD40C9"/>
  </w:style>
  <w:style w:type="paragraph" w:customStyle="1" w:styleId="3F12B014E2CF4ABB935D789691EC9584">
    <w:name w:val="3F12B014E2CF4ABB935D789691EC9584"/>
    <w:rsid w:val="00CD40C9"/>
  </w:style>
  <w:style w:type="paragraph" w:customStyle="1" w:styleId="C1C00120311141709E08A47DDA35A198">
    <w:name w:val="C1C00120311141709E08A47DDA35A198"/>
    <w:rsid w:val="00CD40C9"/>
  </w:style>
  <w:style w:type="paragraph" w:customStyle="1" w:styleId="477318B6236A4C3FAD3940D687CC08E7">
    <w:name w:val="477318B6236A4C3FAD3940D687CC08E7"/>
    <w:rsid w:val="00CD40C9"/>
  </w:style>
  <w:style w:type="paragraph" w:customStyle="1" w:styleId="9797D39510FF4918ACE8D78F7A7D3C06">
    <w:name w:val="9797D39510FF4918ACE8D78F7A7D3C06"/>
    <w:rsid w:val="00CD40C9"/>
  </w:style>
  <w:style w:type="paragraph" w:customStyle="1" w:styleId="5097C6B743194450ADBE2A900EBE7841">
    <w:name w:val="5097C6B743194450ADBE2A900EBE7841"/>
    <w:rsid w:val="00CD40C9"/>
  </w:style>
  <w:style w:type="paragraph" w:customStyle="1" w:styleId="32E44F56D46F424EBFA50BC0C3C06BC7">
    <w:name w:val="32E44F56D46F424EBFA50BC0C3C06BC7"/>
    <w:rsid w:val="004E2C7C"/>
  </w:style>
  <w:style w:type="paragraph" w:customStyle="1" w:styleId="0F53F7AC2A6B4C13BC087812D580BC87">
    <w:name w:val="0F53F7AC2A6B4C13BC087812D580BC87"/>
    <w:rsid w:val="004E2C7C"/>
  </w:style>
  <w:style w:type="paragraph" w:customStyle="1" w:styleId="084AA3ACC4D7495A88F22FB2D2C59EEC">
    <w:name w:val="084AA3ACC4D7495A88F22FB2D2C59EEC"/>
    <w:rsid w:val="004E2C7C"/>
  </w:style>
  <w:style w:type="paragraph" w:customStyle="1" w:styleId="50E78F5817574BB39F78E4623BA37EAB">
    <w:name w:val="50E78F5817574BB39F78E4623BA37EAB"/>
    <w:rsid w:val="004E2C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335E5D-7EF6-4217-929A-C62160C0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53987</Words>
  <Characters>307728</Characters>
  <Application>Microsoft Office Word</Application>
  <DocSecurity>0</DocSecurity>
  <Lines>2564</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2023-09-22T01:17:00Z</dcterms:created>
  <dcterms:modified xsi:type="dcterms:W3CDTF">2023-09-25T09:19:00Z</dcterms:modified>
</cp:coreProperties>
</file>