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3CDC4" w14:textId="77777777" w:rsidR="005A095F" w:rsidRPr="00D662FF" w:rsidRDefault="005A095F" w:rsidP="005A095F">
      <w:pPr>
        <w:spacing w:before="0"/>
        <w:ind w:right="91"/>
        <w:jc w:val="center"/>
        <w:rPr>
          <w:rFonts w:ascii="Arial" w:hAnsi="Arial" w:cs="Arial"/>
          <w:b/>
          <w:szCs w:val="24"/>
          <w:u w:val="single"/>
        </w:rPr>
      </w:pPr>
      <w:r w:rsidRPr="00D662FF">
        <w:rPr>
          <w:rFonts w:ascii="Arial" w:hAnsi="Arial" w:cs="Arial"/>
          <w:b/>
          <w:szCs w:val="24"/>
          <w:u w:val="single"/>
        </w:rPr>
        <w:t>EXPLANATORY STATEMENT</w:t>
      </w:r>
    </w:p>
    <w:p w14:paraId="3959A455" w14:textId="77777777" w:rsidR="005A095F" w:rsidRPr="00D662FF" w:rsidRDefault="005A095F" w:rsidP="005A095F">
      <w:pPr>
        <w:spacing w:before="0"/>
        <w:ind w:right="91"/>
        <w:jc w:val="center"/>
        <w:rPr>
          <w:rFonts w:ascii="Arial" w:hAnsi="Arial" w:cs="Arial"/>
          <w:b/>
          <w:szCs w:val="24"/>
          <w:u w:val="single"/>
        </w:rPr>
      </w:pPr>
    </w:p>
    <w:p w14:paraId="3F021956" w14:textId="77777777" w:rsidR="005A095F" w:rsidRPr="00D662FF" w:rsidRDefault="005A095F" w:rsidP="005A095F">
      <w:pPr>
        <w:spacing w:before="0"/>
        <w:ind w:right="91"/>
        <w:jc w:val="center"/>
        <w:rPr>
          <w:rFonts w:ascii="Arial" w:hAnsi="Arial" w:cs="Arial"/>
          <w:szCs w:val="24"/>
        </w:rPr>
      </w:pPr>
      <w:r w:rsidRPr="00D662FF">
        <w:rPr>
          <w:rFonts w:ascii="Arial" w:hAnsi="Arial" w:cs="Arial"/>
          <w:szCs w:val="24"/>
        </w:rPr>
        <w:t>Issued by the authority of the Minister for Government Services</w:t>
      </w:r>
    </w:p>
    <w:p w14:paraId="4E92C485" w14:textId="77777777" w:rsidR="005A095F" w:rsidRPr="00D662FF" w:rsidRDefault="005A095F" w:rsidP="005A095F">
      <w:pPr>
        <w:spacing w:before="0"/>
        <w:ind w:right="91"/>
        <w:jc w:val="center"/>
        <w:rPr>
          <w:rFonts w:ascii="Arial" w:hAnsi="Arial" w:cs="Arial"/>
          <w:i/>
          <w:szCs w:val="24"/>
          <w:lang w:val="en-US"/>
        </w:rPr>
      </w:pPr>
      <w:r w:rsidRPr="00D662FF">
        <w:rPr>
          <w:rFonts w:ascii="Arial" w:hAnsi="Arial" w:cs="Arial"/>
          <w:i/>
          <w:szCs w:val="24"/>
          <w:lang w:val="en-US"/>
        </w:rPr>
        <w:t>Human Services (Medicare) Act 1973</w:t>
      </w:r>
    </w:p>
    <w:p w14:paraId="6F89F8B5" w14:textId="77777777" w:rsidR="005A095F" w:rsidRPr="00D662FF" w:rsidRDefault="005A095F" w:rsidP="005A095F">
      <w:pPr>
        <w:spacing w:before="0"/>
        <w:ind w:right="91"/>
        <w:jc w:val="center"/>
        <w:rPr>
          <w:rFonts w:ascii="Arial" w:hAnsi="Arial" w:cs="Arial"/>
          <w:i/>
          <w:szCs w:val="24"/>
        </w:rPr>
      </w:pPr>
    </w:p>
    <w:p w14:paraId="1B172228" w14:textId="538B2026" w:rsidR="005A095F" w:rsidRPr="00D662FF" w:rsidRDefault="005A095F" w:rsidP="005A095F">
      <w:pPr>
        <w:spacing w:before="0"/>
        <w:ind w:right="91"/>
        <w:jc w:val="center"/>
        <w:rPr>
          <w:rFonts w:ascii="Arial" w:hAnsi="Arial" w:cs="Arial"/>
          <w:i/>
          <w:iCs/>
          <w:szCs w:val="24"/>
        </w:rPr>
      </w:pPr>
      <w:r w:rsidRPr="00D662FF">
        <w:rPr>
          <w:rFonts w:ascii="Arial" w:hAnsi="Arial" w:cs="Arial"/>
          <w:i/>
          <w:iCs/>
          <w:szCs w:val="24"/>
        </w:rPr>
        <w:t xml:space="preserve">Human Services (Medicare) (Medicare Programs) Amendment </w:t>
      </w:r>
      <w:r w:rsidR="00FD676F" w:rsidRPr="00D662FF">
        <w:rPr>
          <w:rFonts w:ascii="Arial" w:hAnsi="Arial" w:cs="Arial"/>
          <w:i/>
          <w:iCs/>
          <w:szCs w:val="24"/>
        </w:rPr>
        <w:t>(</w:t>
      </w:r>
      <w:proofErr w:type="spellStart"/>
      <w:r w:rsidR="00FD676F" w:rsidRPr="00D662FF">
        <w:rPr>
          <w:rFonts w:ascii="Arial" w:hAnsi="Arial" w:cs="Arial"/>
          <w:i/>
          <w:iCs/>
          <w:szCs w:val="24"/>
        </w:rPr>
        <w:t>MyMedicare</w:t>
      </w:r>
      <w:proofErr w:type="spellEnd"/>
      <w:r w:rsidR="00FD676F" w:rsidRPr="00D662FF">
        <w:rPr>
          <w:rFonts w:ascii="Arial" w:hAnsi="Arial" w:cs="Arial"/>
          <w:i/>
          <w:iCs/>
          <w:szCs w:val="24"/>
        </w:rPr>
        <w:t xml:space="preserve">) </w:t>
      </w:r>
      <w:r w:rsidRPr="00D662FF">
        <w:rPr>
          <w:rFonts w:ascii="Arial" w:hAnsi="Arial" w:cs="Arial"/>
          <w:i/>
          <w:iCs/>
          <w:szCs w:val="24"/>
        </w:rPr>
        <w:t>Specification 2023</w:t>
      </w:r>
    </w:p>
    <w:p w14:paraId="6186094F" w14:textId="77777777" w:rsidR="005A095F" w:rsidRPr="00D662FF" w:rsidRDefault="005A095F" w:rsidP="005A4E4B">
      <w:pPr>
        <w:spacing w:before="0"/>
        <w:jc w:val="both"/>
        <w:rPr>
          <w:rFonts w:ascii="Arial" w:hAnsi="Arial" w:cs="Arial"/>
          <w:b/>
        </w:rPr>
      </w:pPr>
      <w:r w:rsidRPr="00D662FF">
        <w:rPr>
          <w:rFonts w:ascii="Arial" w:hAnsi="Arial" w:cs="Arial"/>
        </w:rPr>
        <w:br/>
      </w:r>
      <w:r w:rsidRPr="00D662FF">
        <w:rPr>
          <w:rFonts w:ascii="Arial" w:hAnsi="Arial" w:cs="Arial"/>
          <w:b/>
        </w:rPr>
        <w:t>Purpose</w:t>
      </w:r>
    </w:p>
    <w:p w14:paraId="6E1FFF0D" w14:textId="77777777" w:rsidR="005A095F" w:rsidRPr="00D662FF" w:rsidRDefault="005A095F" w:rsidP="005A4E4B">
      <w:pPr>
        <w:spacing w:before="0"/>
        <w:jc w:val="both"/>
        <w:rPr>
          <w:rFonts w:ascii="Arial" w:hAnsi="Arial" w:cs="Arial"/>
          <w:b/>
        </w:rPr>
      </w:pPr>
    </w:p>
    <w:p w14:paraId="5C889061" w14:textId="2D1ED940" w:rsidR="005A095F" w:rsidRPr="00D662FF" w:rsidRDefault="005A095F" w:rsidP="005A4E4B">
      <w:pPr>
        <w:spacing w:before="0"/>
        <w:jc w:val="both"/>
        <w:rPr>
          <w:rFonts w:ascii="Arial" w:hAnsi="Arial" w:cs="Arial"/>
        </w:rPr>
      </w:pPr>
      <w:r w:rsidRPr="00D662FF">
        <w:rPr>
          <w:rFonts w:ascii="Arial" w:hAnsi="Arial" w:cs="Arial"/>
        </w:rPr>
        <w:t>The Human Services (Medicare) (Medicare Programs) Amendment</w:t>
      </w:r>
      <w:r w:rsidR="00FD676F" w:rsidRPr="00D662FF">
        <w:rPr>
          <w:rFonts w:ascii="Arial" w:hAnsi="Arial" w:cs="Arial"/>
        </w:rPr>
        <w:t xml:space="preserve"> (</w:t>
      </w:r>
      <w:proofErr w:type="spellStart"/>
      <w:r w:rsidR="00FD676F" w:rsidRPr="00D662FF">
        <w:rPr>
          <w:rFonts w:ascii="Arial" w:hAnsi="Arial" w:cs="Arial"/>
        </w:rPr>
        <w:t>MyMedicare</w:t>
      </w:r>
      <w:proofErr w:type="spellEnd"/>
      <w:r w:rsidR="00FD676F" w:rsidRPr="00D662FF">
        <w:rPr>
          <w:rFonts w:ascii="Arial" w:hAnsi="Arial" w:cs="Arial"/>
        </w:rPr>
        <w:t>)</w:t>
      </w:r>
      <w:r w:rsidRPr="00D662FF">
        <w:rPr>
          <w:rFonts w:ascii="Arial" w:hAnsi="Arial" w:cs="Arial"/>
        </w:rPr>
        <w:t xml:space="preserve"> Specification 2023 is made for the purposes of paragraph </w:t>
      </w:r>
      <w:proofErr w:type="gramStart"/>
      <w:r w:rsidRPr="00D662FF">
        <w:rPr>
          <w:rFonts w:ascii="Arial" w:hAnsi="Arial" w:cs="Arial"/>
        </w:rPr>
        <w:t>41G(</w:t>
      </w:r>
      <w:proofErr w:type="gramEnd"/>
      <w:r w:rsidRPr="00D662FF">
        <w:rPr>
          <w:rFonts w:ascii="Arial" w:hAnsi="Arial" w:cs="Arial"/>
        </w:rPr>
        <w:t xml:space="preserve">b) of the </w:t>
      </w:r>
      <w:r w:rsidRPr="00D662FF">
        <w:rPr>
          <w:rFonts w:ascii="Arial" w:hAnsi="Arial" w:cs="Arial"/>
          <w:i/>
        </w:rPr>
        <w:t>Human Services (Medicare) Act 1973</w:t>
      </w:r>
      <w:r w:rsidRPr="00D662FF">
        <w:rPr>
          <w:rFonts w:ascii="Arial" w:hAnsi="Arial" w:cs="Arial"/>
        </w:rPr>
        <w:t xml:space="preserve"> (the Act), and amends the </w:t>
      </w:r>
      <w:r w:rsidRPr="00D662FF">
        <w:rPr>
          <w:rFonts w:ascii="Arial" w:hAnsi="Arial" w:cs="Arial"/>
          <w:i/>
        </w:rPr>
        <w:t>Human Services (Medicare) (Medicare Programs) Specification 2021</w:t>
      </w:r>
      <w:r w:rsidRPr="00D662FF">
        <w:rPr>
          <w:rFonts w:ascii="Arial" w:hAnsi="Arial" w:cs="Arial"/>
        </w:rPr>
        <w:t xml:space="preserve"> (the Principal Specification). </w:t>
      </w:r>
    </w:p>
    <w:p w14:paraId="7E17C069" w14:textId="77777777" w:rsidR="005A095F" w:rsidRPr="00D662FF" w:rsidRDefault="005A095F" w:rsidP="005A4E4B">
      <w:pPr>
        <w:spacing w:before="0"/>
        <w:rPr>
          <w:rFonts w:ascii="Arial" w:hAnsi="Arial" w:cs="Arial"/>
        </w:rPr>
      </w:pPr>
    </w:p>
    <w:p w14:paraId="703D80EA" w14:textId="77777777" w:rsidR="005A095F" w:rsidRPr="00D662FF" w:rsidRDefault="005A095F" w:rsidP="005A4E4B">
      <w:pPr>
        <w:spacing w:before="0"/>
        <w:jc w:val="both"/>
        <w:rPr>
          <w:rFonts w:ascii="Arial" w:hAnsi="Arial" w:cs="Arial"/>
        </w:rPr>
      </w:pPr>
      <w:r w:rsidRPr="00D662FF">
        <w:rPr>
          <w:rFonts w:ascii="Arial" w:hAnsi="Arial" w:cs="Arial"/>
        </w:rPr>
        <w:t xml:space="preserve">The Specification amends the Principal Specification to include the </w:t>
      </w:r>
      <w:proofErr w:type="spellStart"/>
      <w:r w:rsidRPr="00D662FF">
        <w:rPr>
          <w:rFonts w:ascii="Arial" w:hAnsi="Arial" w:cs="Arial"/>
        </w:rPr>
        <w:t>MyMedicare</w:t>
      </w:r>
      <w:proofErr w:type="spellEnd"/>
      <w:r w:rsidRPr="00D662FF">
        <w:rPr>
          <w:rFonts w:ascii="Arial" w:hAnsi="Arial" w:cs="Arial"/>
        </w:rPr>
        <w:t xml:space="preserve"> Program (</w:t>
      </w:r>
      <w:proofErr w:type="spellStart"/>
      <w:r w:rsidRPr="00D662FF">
        <w:rPr>
          <w:rFonts w:ascii="Arial" w:hAnsi="Arial" w:cs="Arial"/>
        </w:rPr>
        <w:t>MyMedicare</w:t>
      </w:r>
      <w:proofErr w:type="spellEnd"/>
      <w:r w:rsidRPr="00D662FF">
        <w:rPr>
          <w:rFonts w:ascii="Arial" w:hAnsi="Arial" w:cs="Arial"/>
        </w:rPr>
        <w:t>) as a ‘</w:t>
      </w:r>
      <w:proofErr w:type="spellStart"/>
      <w:r w:rsidRPr="00D662FF">
        <w:rPr>
          <w:rFonts w:ascii="Arial" w:hAnsi="Arial" w:cs="Arial"/>
        </w:rPr>
        <w:t>medicare</w:t>
      </w:r>
      <w:proofErr w:type="spellEnd"/>
      <w:r w:rsidRPr="00D662FF">
        <w:rPr>
          <w:rFonts w:ascii="Arial" w:hAnsi="Arial" w:cs="Arial"/>
        </w:rPr>
        <w:t xml:space="preserve"> program’ for the purposes of paragraph </w:t>
      </w:r>
      <w:proofErr w:type="gramStart"/>
      <w:r w:rsidRPr="00D662FF">
        <w:rPr>
          <w:rFonts w:ascii="Arial" w:hAnsi="Arial" w:cs="Arial"/>
        </w:rPr>
        <w:t>41G(</w:t>
      </w:r>
      <w:proofErr w:type="gramEnd"/>
      <w:r w:rsidRPr="00D662FF">
        <w:rPr>
          <w:rFonts w:ascii="Arial" w:hAnsi="Arial" w:cs="Arial"/>
        </w:rPr>
        <w:t xml:space="preserve">b) of the Act. </w:t>
      </w:r>
    </w:p>
    <w:p w14:paraId="02878C1E" w14:textId="77777777" w:rsidR="005A095F" w:rsidRPr="00D662FF" w:rsidRDefault="005A095F" w:rsidP="005A4E4B">
      <w:pPr>
        <w:spacing w:before="0"/>
        <w:jc w:val="both"/>
        <w:rPr>
          <w:rFonts w:ascii="Arial" w:hAnsi="Arial" w:cs="Arial"/>
        </w:rPr>
      </w:pPr>
    </w:p>
    <w:p w14:paraId="25171F29" w14:textId="0B22F47A" w:rsidR="005A095F" w:rsidRPr="00D662FF" w:rsidRDefault="005A095F" w:rsidP="005A4E4B">
      <w:pPr>
        <w:spacing w:before="0"/>
        <w:jc w:val="both"/>
        <w:rPr>
          <w:rFonts w:ascii="Arial" w:hAnsi="Arial" w:cs="Arial"/>
        </w:rPr>
      </w:pPr>
      <w:proofErr w:type="spellStart"/>
      <w:r w:rsidRPr="00D662FF">
        <w:rPr>
          <w:rFonts w:ascii="Arial" w:hAnsi="Arial" w:cs="Arial"/>
        </w:rPr>
        <w:t>MyMedicare</w:t>
      </w:r>
      <w:proofErr w:type="spellEnd"/>
      <w:r w:rsidRPr="00D662FF">
        <w:rPr>
          <w:rFonts w:ascii="Arial" w:hAnsi="Arial" w:cs="Arial"/>
        </w:rPr>
        <w:t xml:space="preserve"> is a new voluntary patient registration model, which aims to stren</w:t>
      </w:r>
      <w:r w:rsidR="00640970" w:rsidRPr="00D662FF">
        <w:rPr>
          <w:rFonts w:ascii="Arial" w:hAnsi="Arial" w:cs="Arial"/>
        </w:rPr>
        <w:t>gthen the relationship between P</w:t>
      </w:r>
      <w:r w:rsidRPr="00D662FF">
        <w:rPr>
          <w:rFonts w:ascii="Arial" w:hAnsi="Arial" w:cs="Arial"/>
        </w:rPr>
        <w:t xml:space="preserve">atients, their general practice, general practitioner (GP) and primary care teams. It </w:t>
      </w:r>
      <w:r w:rsidR="00640970" w:rsidRPr="00D662FF">
        <w:rPr>
          <w:rFonts w:ascii="Arial" w:hAnsi="Arial" w:cs="Arial"/>
        </w:rPr>
        <w:t>will allow P</w:t>
      </w:r>
      <w:r w:rsidRPr="00D662FF">
        <w:rPr>
          <w:rFonts w:ascii="Arial" w:hAnsi="Arial" w:cs="Arial"/>
        </w:rPr>
        <w:t>atients to register with their regular GP and nominate their preferred GP through an Organisation Register which contains details of me</w:t>
      </w:r>
      <w:r w:rsidR="00640970" w:rsidRPr="00D662FF">
        <w:rPr>
          <w:rFonts w:ascii="Arial" w:hAnsi="Arial" w:cs="Arial"/>
        </w:rPr>
        <w:t>dical practices and associated P</w:t>
      </w:r>
      <w:r w:rsidRPr="00D662FF">
        <w:rPr>
          <w:rFonts w:ascii="Arial" w:hAnsi="Arial" w:cs="Arial"/>
        </w:rPr>
        <w:t>roviders.</w:t>
      </w:r>
    </w:p>
    <w:p w14:paraId="03132D96" w14:textId="77777777" w:rsidR="005A095F" w:rsidRPr="00D662FF" w:rsidRDefault="005A095F" w:rsidP="005A4E4B">
      <w:pPr>
        <w:spacing w:before="0"/>
        <w:jc w:val="both"/>
        <w:rPr>
          <w:rFonts w:ascii="Arial" w:hAnsi="Arial" w:cs="Arial"/>
        </w:rPr>
      </w:pPr>
    </w:p>
    <w:p w14:paraId="11C874C3" w14:textId="53C38F28" w:rsidR="005A095F" w:rsidRPr="00D662FF" w:rsidRDefault="005A095F" w:rsidP="005A4E4B">
      <w:pPr>
        <w:spacing w:before="0"/>
        <w:jc w:val="both"/>
        <w:rPr>
          <w:rFonts w:ascii="Arial" w:hAnsi="Arial" w:cs="Arial"/>
        </w:rPr>
      </w:pPr>
      <w:r w:rsidRPr="00D662FF">
        <w:rPr>
          <w:rFonts w:ascii="Arial" w:hAnsi="Arial" w:cs="Arial"/>
        </w:rPr>
        <w:t xml:space="preserve">Specifying </w:t>
      </w:r>
      <w:proofErr w:type="spellStart"/>
      <w:r w:rsidRPr="00D662FF">
        <w:rPr>
          <w:rFonts w:ascii="Arial" w:hAnsi="Arial" w:cs="Arial"/>
        </w:rPr>
        <w:t>MyMedicare</w:t>
      </w:r>
      <w:proofErr w:type="spellEnd"/>
      <w:r w:rsidRPr="00D662FF">
        <w:rPr>
          <w:rFonts w:ascii="Arial" w:hAnsi="Arial" w:cs="Arial"/>
        </w:rPr>
        <w:t xml:space="preserve"> as a ‘</w:t>
      </w:r>
      <w:proofErr w:type="spellStart"/>
      <w:r w:rsidRPr="00D662FF">
        <w:rPr>
          <w:rFonts w:ascii="Arial" w:hAnsi="Arial" w:cs="Arial"/>
        </w:rPr>
        <w:t>medicare</w:t>
      </w:r>
      <w:proofErr w:type="spellEnd"/>
      <w:r w:rsidRPr="00D662FF">
        <w:rPr>
          <w:rFonts w:ascii="Arial" w:hAnsi="Arial" w:cs="Arial"/>
        </w:rPr>
        <w:t xml:space="preserve"> program’ will enable </w:t>
      </w:r>
      <w:r w:rsidR="000A359F" w:rsidRPr="00D662FF">
        <w:rPr>
          <w:rFonts w:ascii="Arial" w:hAnsi="Arial" w:cs="Arial"/>
        </w:rPr>
        <w:t xml:space="preserve">Commonwealth </w:t>
      </w:r>
      <w:r w:rsidRPr="00D662FF">
        <w:rPr>
          <w:rFonts w:ascii="Arial" w:hAnsi="Arial" w:cs="Arial"/>
        </w:rPr>
        <w:t xml:space="preserve">officers to record, communicate and divulge certain information protected by Commonwealth secrecy laws for the purposes of administering the </w:t>
      </w:r>
      <w:proofErr w:type="spellStart"/>
      <w:r w:rsidRPr="00D662FF">
        <w:rPr>
          <w:rFonts w:ascii="Arial" w:hAnsi="Arial" w:cs="Arial"/>
        </w:rPr>
        <w:t>MyMedicare</w:t>
      </w:r>
      <w:proofErr w:type="spellEnd"/>
      <w:r w:rsidRPr="00D662FF">
        <w:rPr>
          <w:rFonts w:ascii="Arial" w:hAnsi="Arial" w:cs="Arial"/>
        </w:rPr>
        <w:t xml:space="preserve"> program.</w:t>
      </w:r>
    </w:p>
    <w:p w14:paraId="52342931" w14:textId="77777777" w:rsidR="005A095F" w:rsidRPr="00D662FF" w:rsidRDefault="005A095F" w:rsidP="005A4E4B">
      <w:pPr>
        <w:spacing w:before="0"/>
        <w:jc w:val="both"/>
        <w:rPr>
          <w:rFonts w:ascii="Arial" w:hAnsi="Arial" w:cs="Arial"/>
        </w:rPr>
      </w:pPr>
    </w:p>
    <w:p w14:paraId="361D312A" w14:textId="77777777" w:rsidR="005A095F" w:rsidRPr="00D662FF" w:rsidRDefault="005A095F" w:rsidP="005A4E4B">
      <w:pPr>
        <w:spacing w:before="0"/>
        <w:jc w:val="both"/>
        <w:rPr>
          <w:b/>
          <w:i/>
        </w:rPr>
      </w:pPr>
      <w:r w:rsidRPr="00D662FF">
        <w:rPr>
          <w:rFonts w:ascii="Arial" w:hAnsi="Arial" w:cs="Arial"/>
          <w:b/>
        </w:rPr>
        <w:t>Background</w:t>
      </w:r>
      <w:r w:rsidRPr="00D662FF">
        <w:rPr>
          <w:b/>
          <w:i/>
        </w:rPr>
        <w:t xml:space="preserve"> </w:t>
      </w:r>
    </w:p>
    <w:p w14:paraId="18F3F579" w14:textId="77777777" w:rsidR="005A095F" w:rsidRPr="00D662FF" w:rsidRDefault="005A095F" w:rsidP="005A4E4B">
      <w:pPr>
        <w:spacing w:before="0"/>
        <w:jc w:val="both"/>
        <w:rPr>
          <w:b/>
          <w:i/>
        </w:rPr>
      </w:pPr>
    </w:p>
    <w:p w14:paraId="621CD4EF" w14:textId="1368C89C" w:rsidR="005A095F" w:rsidRPr="00D662FF" w:rsidRDefault="005A095F" w:rsidP="005A4E4B">
      <w:pPr>
        <w:spacing w:before="0"/>
        <w:jc w:val="both"/>
        <w:rPr>
          <w:rFonts w:ascii="Arial" w:hAnsi="Arial" w:cs="Arial"/>
        </w:rPr>
      </w:pPr>
      <w:r w:rsidRPr="00D662FF">
        <w:rPr>
          <w:rFonts w:ascii="Arial" w:hAnsi="Arial" w:cs="Arial"/>
        </w:rPr>
        <w:t xml:space="preserve">Subsection 130(1) of the </w:t>
      </w:r>
      <w:r w:rsidR="00A33C41" w:rsidRPr="00D662FF">
        <w:rPr>
          <w:rFonts w:ascii="Arial" w:hAnsi="Arial" w:cs="Arial"/>
          <w:i/>
        </w:rPr>
        <w:t>Health Insurance Act 1973</w:t>
      </w:r>
      <w:r w:rsidRPr="00D662FF">
        <w:rPr>
          <w:rFonts w:ascii="Arial" w:hAnsi="Arial" w:cs="Arial"/>
        </w:rPr>
        <w:t xml:space="preserve"> (Health Insurance Act) </w:t>
      </w:r>
      <w:r w:rsidR="00A33C41" w:rsidRPr="00D662FF">
        <w:rPr>
          <w:rFonts w:ascii="Arial" w:hAnsi="Arial" w:cs="Arial"/>
        </w:rPr>
        <w:t xml:space="preserve">and subsection </w:t>
      </w:r>
      <w:proofErr w:type="gramStart"/>
      <w:r w:rsidR="00A33C41" w:rsidRPr="00D662FF">
        <w:rPr>
          <w:rFonts w:ascii="Arial" w:hAnsi="Arial" w:cs="Arial"/>
        </w:rPr>
        <w:t>135A(</w:t>
      </w:r>
      <w:proofErr w:type="gramEnd"/>
      <w:r w:rsidR="00A33C41" w:rsidRPr="00D662FF">
        <w:rPr>
          <w:rFonts w:ascii="Arial" w:hAnsi="Arial" w:cs="Arial"/>
        </w:rPr>
        <w:t xml:space="preserve">1) of the </w:t>
      </w:r>
      <w:r w:rsidR="00A33C41" w:rsidRPr="00D662FF">
        <w:rPr>
          <w:rFonts w:ascii="Arial" w:hAnsi="Arial" w:cs="Arial"/>
          <w:i/>
        </w:rPr>
        <w:t>National Health Act 1953</w:t>
      </w:r>
      <w:r w:rsidR="00A33C41" w:rsidRPr="00D662FF">
        <w:rPr>
          <w:rFonts w:ascii="Arial" w:hAnsi="Arial" w:cs="Arial"/>
        </w:rPr>
        <w:t xml:space="preserve"> (National Health Act)</w:t>
      </w:r>
      <w:r w:rsidR="00A33C41" w:rsidRPr="00D662FF">
        <w:rPr>
          <w:rFonts w:ascii="Arial" w:hAnsi="Arial" w:cs="Arial"/>
          <w:i/>
        </w:rPr>
        <w:t xml:space="preserve"> </w:t>
      </w:r>
      <w:r w:rsidR="00A33C41" w:rsidRPr="00D662FF">
        <w:rPr>
          <w:rFonts w:ascii="Arial" w:hAnsi="Arial" w:cs="Arial"/>
        </w:rPr>
        <w:t>prohibit</w:t>
      </w:r>
      <w:r w:rsidRPr="00D662FF">
        <w:rPr>
          <w:rFonts w:ascii="Arial" w:hAnsi="Arial" w:cs="Arial"/>
        </w:rPr>
        <w:t xml:space="preserve"> a person from making a record of, divulging or communicating information about the affairs of another person obtained in the performance of duties, or exercise of functions or powers, under that Act unless an exception applies. Exceptions to this general prohibition relevantly includes where the recording, communication or divulgence is for the purpose of enabling a person to perform functions in relation to a ‘</w:t>
      </w:r>
      <w:proofErr w:type="spellStart"/>
      <w:r w:rsidRPr="00D662FF">
        <w:rPr>
          <w:rFonts w:ascii="Arial" w:hAnsi="Arial" w:cs="Arial"/>
        </w:rPr>
        <w:t>medicare</w:t>
      </w:r>
      <w:proofErr w:type="spellEnd"/>
      <w:r w:rsidRPr="00D662FF">
        <w:rPr>
          <w:rFonts w:ascii="Arial" w:hAnsi="Arial" w:cs="Arial"/>
        </w:rPr>
        <w:t xml:space="preserve"> program.’ </w:t>
      </w:r>
    </w:p>
    <w:p w14:paraId="0721B496" w14:textId="77777777" w:rsidR="005A095F" w:rsidRPr="00D662FF" w:rsidRDefault="005A095F" w:rsidP="005A4E4B">
      <w:pPr>
        <w:spacing w:before="0"/>
        <w:jc w:val="both"/>
        <w:rPr>
          <w:rFonts w:ascii="Arial" w:hAnsi="Arial" w:cs="Arial"/>
        </w:rPr>
      </w:pPr>
    </w:p>
    <w:p w14:paraId="33199737" w14:textId="77777777" w:rsidR="005A095F" w:rsidRPr="00D662FF" w:rsidRDefault="005A095F" w:rsidP="005A4E4B">
      <w:pPr>
        <w:spacing w:before="0"/>
        <w:jc w:val="both"/>
        <w:rPr>
          <w:rFonts w:ascii="Arial" w:hAnsi="Arial" w:cs="Arial"/>
        </w:rPr>
      </w:pPr>
      <w:r w:rsidRPr="00D662FF">
        <w:rPr>
          <w:rFonts w:ascii="Arial" w:hAnsi="Arial" w:cs="Arial"/>
        </w:rPr>
        <w:t>Section 41G of the Act defines ‘</w:t>
      </w:r>
      <w:proofErr w:type="spellStart"/>
      <w:r w:rsidRPr="00D662FF">
        <w:rPr>
          <w:rFonts w:ascii="Arial" w:hAnsi="Arial" w:cs="Arial"/>
        </w:rPr>
        <w:t>medicare</w:t>
      </w:r>
      <w:proofErr w:type="spellEnd"/>
      <w:r w:rsidRPr="00D662FF">
        <w:rPr>
          <w:rFonts w:ascii="Arial" w:hAnsi="Arial" w:cs="Arial"/>
        </w:rPr>
        <w:t xml:space="preserve"> programs’ as services, benefits, programs or facilities that are provided under certain health-related legislation referred to in paragraph 41(G)(a) or that are specified in a legislative instrument made by the Minister under paragraph 41G(b). </w:t>
      </w:r>
    </w:p>
    <w:p w14:paraId="77CADFB6" w14:textId="77777777" w:rsidR="005A095F" w:rsidRPr="00D662FF" w:rsidRDefault="005A095F" w:rsidP="005A4E4B">
      <w:pPr>
        <w:spacing w:before="0"/>
        <w:jc w:val="both"/>
        <w:rPr>
          <w:rFonts w:ascii="Arial" w:hAnsi="Arial" w:cs="Arial"/>
        </w:rPr>
      </w:pPr>
    </w:p>
    <w:p w14:paraId="3CF534F1" w14:textId="77777777" w:rsidR="005A095F" w:rsidRPr="00D662FF" w:rsidRDefault="005A095F" w:rsidP="005A4E4B">
      <w:pPr>
        <w:spacing w:before="0"/>
        <w:jc w:val="both"/>
        <w:rPr>
          <w:rFonts w:ascii="Arial" w:hAnsi="Arial" w:cs="Arial"/>
        </w:rPr>
      </w:pPr>
      <w:r w:rsidRPr="00D662FF">
        <w:rPr>
          <w:rFonts w:ascii="Arial" w:hAnsi="Arial" w:cs="Arial"/>
        </w:rPr>
        <w:t>By defining ‘</w:t>
      </w:r>
      <w:proofErr w:type="spellStart"/>
      <w:r w:rsidRPr="00D662FF">
        <w:rPr>
          <w:rFonts w:ascii="Arial" w:hAnsi="Arial" w:cs="Arial"/>
        </w:rPr>
        <w:t>medicare</w:t>
      </w:r>
      <w:proofErr w:type="spellEnd"/>
      <w:r w:rsidRPr="00D662FF">
        <w:rPr>
          <w:rFonts w:ascii="Arial" w:hAnsi="Arial" w:cs="Arial"/>
        </w:rPr>
        <w:t xml:space="preserve"> programs’ to include programs specified in a legislative instrument, section 41G of the Act provides a mechanism for updating, from time to time, the list of </w:t>
      </w:r>
      <w:proofErr w:type="spellStart"/>
      <w:r w:rsidRPr="00D662FF">
        <w:rPr>
          <w:rFonts w:ascii="Arial" w:hAnsi="Arial" w:cs="Arial"/>
        </w:rPr>
        <w:t>medicare</w:t>
      </w:r>
      <w:proofErr w:type="spellEnd"/>
      <w:r w:rsidRPr="00D662FF">
        <w:rPr>
          <w:rFonts w:ascii="Arial" w:hAnsi="Arial" w:cs="Arial"/>
        </w:rPr>
        <w:t xml:space="preserve"> programs in relation to which information can be recorded, communicated and divulged.</w:t>
      </w:r>
    </w:p>
    <w:p w14:paraId="25FCC3B7" w14:textId="77777777" w:rsidR="005A095F" w:rsidRPr="00D662FF" w:rsidRDefault="005A095F" w:rsidP="005A4E4B">
      <w:pPr>
        <w:spacing w:before="0"/>
        <w:jc w:val="both"/>
        <w:rPr>
          <w:rFonts w:ascii="Arial" w:hAnsi="Arial" w:cs="Arial"/>
        </w:rPr>
      </w:pPr>
      <w:r w:rsidRPr="00D662FF">
        <w:rPr>
          <w:rFonts w:ascii="Arial" w:hAnsi="Arial" w:cs="Arial"/>
        </w:rPr>
        <w:t xml:space="preserve"> </w:t>
      </w:r>
    </w:p>
    <w:p w14:paraId="6CED05DD" w14:textId="01FD14C3" w:rsidR="007B0256" w:rsidRPr="00D662FF" w:rsidRDefault="005A095F" w:rsidP="005A4E4B">
      <w:pPr>
        <w:spacing w:before="0"/>
        <w:jc w:val="both"/>
        <w:rPr>
          <w:rFonts w:ascii="Arial" w:hAnsi="Arial" w:cs="Arial"/>
        </w:rPr>
      </w:pPr>
      <w:r w:rsidRPr="00D662FF">
        <w:rPr>
          <w:rFonts w:ascii="Arial" w:hAnsi="Arial" w:cs="Arial"/>
        </w:rPr>
        <w:lastRenderedPageBreak/>
        <w:t xml:space="preserve">Specification of </w:t>
      </w:r>
      <w:proofErr w:type="spellStart"/>
      <w:r w:rsidRPr="00D662FF">
        <w:rPr>
          <w:rFonts w:ascii="Arial" w:hAnsi="Arial" w:cs="Arial"/>
        </w:rPr>
        <w:t>MyMedicare</w:t>
      </w:r>
      <w:proofErr w:type="spellEnd"/>
      <w:r w:rsidRPr="00D662FF">
        <w:rPr>
          <w:rFonts w:ascii="Arial" w:hAnsi="Arial" w:cs="Arial"/>
        </w:rPr>
        <w:t xml:space="preserve"> as a ‘</w:t>
      </w:r>
      <w:proofErr w:type="spellStart"/>
      <w:r w:rsidRPr="00D662FF">
        <w:rPr>
          <w:rFonts w:ascii="Arial" w:hAnsi="Arial" w:cs="Arial"/>
        </w:rPr>
        <w:t>medicare</w:t>
      </w:r>
      <w:proofErr w:type="spellEnd"/>
      <w:r w:rsidRPr="00D662FF">
        <w:rPr>
          <w:rFonts w:ascii="Arial" w:hAnsi="Arial" w:cs="Arial"/>
        </w:rPr>
        <w:t xml:space="preserve"> program’ was recommended as a privacy safeguard </w:t>
      </w:r>
      <w:r w:rsidR="005B0CCD" w:rsidRPr="00D662FF">
        <w:rPr>
          <w:rFonts w:ascii="Arial" w:hAnsi="Arial" w:cs="Arial"/>
        </w:rPr>
        <w:t xml:space="preserve">as part of </w:t>
      </w:r>
      <w:r w:rsidRPr="00D662FF">
        <w:rPr>
          <w:rFonts w:ascii="Arial" w:hAnsi="Arial" w:cs="Arial"/>
        </w:rPr>
        <w:t xml:space="preserve">a Privacy Impact Assessment (PIA) regarding the Voluntary Patient Registration (VPR) aspects of </w:t>
      </w:r>
      <w:proofErr w:type="spellStart"/>
      <w:r w:rsidRPr="00D662FF">
        <w:rPr>
          <w:rFonts w:ascii="Arial" w:hAnsi="Arial" w:cs="Arial"/>
        </w:rPr>
        <w:t>MyMedicare</w:t>
      </w:r>
      <w:proofErr w:type="spellEnd"/>
      <w:r w:rsidR="0005008D" w:rsidRPr="00D662FF">
        <w:rPr>
          <w:rFonts w:ascii="Arial" w:hAnsi="Arial" w:cs="Arial"/>
        </w:rPr>
        <w:t xml:space="preserve"> and a secrecy compliance assessment.</w:t>
      </w:r>
    </w:p>
    <w:p w14:paraId="5C06ECF0" w14:textId="77777777" w:rsidR="005A095F" w:rsidRPr="00D662FF" w:rsidRDefault="005A095F" w:rsidP="005A4E4B">
      <w:pPr>
        <w:spacing w:before="0"/>
        <w:jc w:val="both"/>
        <w:rPr>
          <w:rFonts w:ascii="Arial" w:hAnsi="Arial" w:cs="Arial"/>
        </w:rPr>
      </w:pPr>
    </w:p>
    <w:p w14:paraId="10BCA48F" w14:textId="77777777" w:rsidR="005A095F" w:rsidRPr="00D662FF" w:rsidRDefault="005A095F" w:rsidP="005A4E4B">
      <w:pPr>
        <w:spacing w:before="0"/>
        <w:jc w:val="both"/>
        <w:rPr>
          <w:rFonts w:ascii="Arial" w:hAnsi="Arial" w:cs="Arial"/>
          <w:b/>
          <w:i/>
        </w:rPr>
      </w:pPr>
      <w:proofErr w:type="spellStart"/>
      <w:r w:rsidRPr="00D662FF">
        <w:rPr>
          <w:rFonts w:ascii="Arial" w:hAnsi="Arial" w:cs="Arial"/>
          <w:b/>
          <w:i/>
        </w:rPr>
        <w:t>MyMedicare</w:t>
      </w:r>
      <w:proofErr w:type="spellEnd"/>
    </w:p>
    <w:p w14:paraId="3001AE9C" w14:textId="77777777" w:rsidR="005A095F" w:rsidRPr="00D662FF" w:rsidRDefault="005A095F" w:rsidP="005A4E4B">
      <w:pPr>
        <w:spacing w:before="0"/>
        <w:jc w:val="both"/>
        <w:rPr>
          <w:rFonts w:ascii="Arial" w:hAnsi="Arial" w:cs="Arial"/>
        </w:rPr>
      </w:pPr>
    </w:p>
    <w:p w14:paraId="4B94540A" w14:textId="35647CF1" w:rsidR="005A095F" w:rsidRPr="00D662FF" w:rsidRDefault="00732755" w:rsidP="005A4E4B">
      <w:pPr>
        <w:spacing w:before="0"/>
        <w:jc w:val="both"/>
        <w:rPr>
          <w:rFonts w:ascii="Arial" w:hAnsi="Arial" w:cs="Arial"/>
        </w:rPr>
      </w:pPr>
      <w:proofErr w:type="spellStart"/>
      <w:r w:rsidRPr="00D662FF">
        <w:rPr>
          <w:rFonts w:ascii="Arial" w:hAnsi="Arial" w:cs="Arial"/>
        </w:rPr>
        <w:t>MyMedicare</w:t>
      </w:r>
      <w:proofErr w:type="spellEnd"/>
      <w:r w:rsidRPr="00D662FF">
        <w:rPr>
          <w:rFonts w:ascii="Arial" w:hAnsi="Arial" w:cs="Arial"/>
        </w:rPr>
        <w:t xml:space="preserve"> is a new voluntary patient registration model.</w:t>
      </w:r>
      <w:r w:rsidR="0049794F" w:rsidRPr="00D662FF">
        <w:rPr>
          <w:rFonts w:ascii="Arial" w:hAnsi="Arial" w:cs="Arial"/>
        </w:rPr>
        <w:t xml:space="preserve"> </w:t>
      </w:r>
      <w:r w:rsidR="00533D11" w:rsidRPr="00D662FF">
        <w:rPr>
          <w:rFonts w:ascii="Arial" w:hAnsi="Arial" w:cs="Arial"/>
        </w:rPr>
        <w:t>It</w:t>
      </w:r>
      <w:r w:rsidR="0049794F" w:rsidRPr="00D662FF">
        <w:rPr>
          <w:rFonts w:ascii="Arial" w:hAnsi="Arial" w:cs="Arial"/>
        </w:rPr>
        <w:t xml:space="preserve"> </w:t>
      </w:r>
      <w:r w:rsidR="0005008D" w:rsidRPr="00D662FF">
        <w:rPr>
          <w:rFonts w:ascii="Arial" w:hAnsi="Arial" w:cs="Arial"/>
        </w:rPr>
        <w:t>aligns with the</w:t>
      </w:r>
      <w:r w:rsidR="00533D11" w:rsidRPr="00D662FF">
        <w:rPr>
          <w:rFonts w:ascii="Arial" w:hAnsi="Arial" w:cs="Arial"/>
        </w:rPr>
        <w:t xml:space="preserve"> recommendations made </w:t>
      </w:r>
      <w:r w:rsidR="0005008D" w:rsidRPr="00D662FF">
        <w:rPr>
          <w:rFonts w:ascii="Arial" w:hAnsi="Arial" w:cs="Arial"/>
        </w:rPr>
        <w:t xml:space="preserve">in </w:t>
      </w:r>
      <w:r w:rsidR="00533D11" w:rsidRPr="00D662FF">
        <w:rPr>
          <w:rFonts w:ascii="Arial" w:hAnsi="Arial" w:cs="Arial"/>
        </w:rPr>
        <w:t xml:space="preserve">the </w:t>
      </w:r>
      <w:r w:rsidR="00533D11" w:rsidRPr="00D662FF">
        <w:rPr>
          <w:rFonts w:ascii="Arial" w:hAnsi="Arial" w:cs="Arial"/>
          <w:i/>
        </w:rPr>
        <w:t xml:space="preserve">Strengthening Medicare Taskforce Report 2022 </w:t>
      </w:r>
      <w:r w:rsidR="00533D11" w:rsidRPr="00D662FF">
        <w:rPr>
          <w:rFonts w:ascii="Arial" w:hAnsi="Arial" w:cs="Arial"/>
        </w:rPr>
        <w:t>(</w:t>
      </w:r>
      <w:r w:rsidR="000A359F" w:rsidRPr="00D662FF">
        <w:rPr>
          <w:rFonts w:ascii="Arial" w:hAnsi="Arial" w:cs="Arial"/>
        </w:rPr>
        <w:t xml:space="preserve">accessible at </w:t>
      </w:r>
      <w:hyperlink r:id="rId10" w:history="1">
        <w:r w:rsidR="00533D11" w:rsidRPr="00D662FF">
          <w:rPr>
            <w:rStyle w:val="Hyperlink"/>
            <w:rFonts w:ascii="Arial" w:hAnsi="Arial" w:cs="Arial"/>
          </w:rPr>
          <w:t>https://www.health.gov.au/resources/publications/strengthening-medicare-taskforce-report?language=en</w:t>
        </w:r>
      </w:hyperlink>
      <w:r w:rsidR="00533D11" w:rsidRPr="00D662FF">
        <w:rPr>
          <w:rFonts w:ascii="Arial" w:hAnsi="Arial" w:cs="Arial"/>
        </w:rPr>
        <w:t xml:space="preserve">). The recommendations </w:t>
      </w:r>
      <w:r w:rsidR="000A359F" w:rsidRPr="00D662FF">
        <w:rPr>
          <w:rFonts w:ascii="Arial" w:hAnsi="Arial" w:cs="Arial"/>
        </w:rPr>
        <w:t xml:space="preserve">include </w:t>
      </w:r>
      <w:r w:rsidR="00533D11" w:rsidRPr="00D662FF">
        <w:rPr>
          <w:rFonts w:ascii="Arial" w:hAnsi="Arial" w:cs="Arial"/>
        </w:rPr>
        <w:t>improved continuity of care, a strengt</w:t>
      </w:r>
      <w:r w:rsidR="00640970" w:rsidRPr="00D662FF">
        <w:rPr>
          <w:rFonts w:ascii="Arial" w:hAnsi="Arial" w:cs="Arial"/>
        </w:rPr>
        <w:t>hened relationship between the P</w:t>
      </w:r>
      <w:r w:rsidR="00533D11" w:rsidRPr="00D662FF">
        <w:rPr>
          <w:rFonts w:ascii="Arial" w:hAnsi="Arial" w:cs="Arial"/>
        </w:rPr>
        <w:t>atient and their care team and more integrated, person centred care through the introduction of voluntary patient registration.</w:t>
      </w:r>
    </w:p>
    <w:p w14:paraId="42ABB91C" w14:textId="400C1D16" w:rsidR="00533D11" w:rsidRPr="00D662FF" w:rsidRDefault="00533D11" w:rsidP="005A4E4B">
      <w:pPr>
        <w:spacing w:before="0"/>
        <w:jc w:val="both"/>
        <w:rPr>
          <w:rFonts w:ascii="Arial" w:hAnsi="Arial" w:cs="Arial"/>
        </w:rPr>
      </w:pPr>
    </w:p>
    <w:p w14:paraId="50E92E6E" w14:textId="15D8EE14" w:rsidR="00533D11" w:rsidRPr="00D662FF" w:rsidRDefault="00533D11" w:rsidP="005A4E4B">
      <w:pPr>
        <w:spacing w:before="0"/>
        <w:jc w:val="both"/>
        <w:rPr>
          <w:rFonts w:ascii="Arial" w:hAnsi="Arial" w:cs="Arial"/>
        </w:rPr>
      </w:pPr>
      <w:r w:rsidRPr="00D662FF">
        <w:rPr>
          <w:rFonts w:ascii="Arial" w:hAnsi="Arial" w:cs="Arial"/>
        </w:rPr>
        <w:t xml:space="preserve">Over time, </w:t>
      </w:r>
      <w:proofErr w:type="spellStart"/>
      <w:r w:rsidRPr="00D662FF">
        <w:rPr>
          <w:rFonts w:ascii="Arial" w:hAnsi="Arial" w:cs="Arial"/>
        </w:rPr>
        <w:t>MyMedicare</w:t>
      </w:r>
      <w:proofErr w:type="spellEnd"/>
      <w:r w:rsidRPr="00D662FF">
        <w:rPr>
          <w:rFonts w:ascii="Arial" w:hAnsi="Arial" w:cs="Arial"/>
        </w:rPr>
        <w:t xml:space="preserve"> </w:t>
      </w:r>
      <w:r w:rsidR="000A359F" w:rsidRPr="00D662FF">
        <w:rPr>
          <w:rFonts w:ascii="Arial" w:hAnsi="Arial" w:cs="Arial"/>
        </w:rPr>
        <w:t xml:space="preserve">may </w:t>
      </w:r>
      <w:r w:rsidRPr="00D662FF">
        <w:rPr>
          <w:rFonts w:ascii="Arial" w:hAnsi="Arial" w:cs="Arial"/>
        </w:rPr>
        <w:t xml:space="preserve">support a range of reforms to improve access to general practice and support practice viability. Each of these benefits and services that will link to the </w:t>
      </w:r>
      <w:proofErr w:type="spellStart"/>
      <w:r w:rsidRPr="00D662FF">
        <w:rPr>
          <w:rFonts w:ascii="Arial" w:hAnsi="Arial" w:cs="Arial"/>
        </w:rPr>
        <w:t>MyM</w:t>
      </w:r>
      <w:r w:rsidR="00640970" w:rsidRPr="00D662FF">
        <w:rPr>
          <w:rFonts w:ascii="Arial" w:hAnsi="Arial" w:cs="Arial"/>
        </w:rPr>
        <w:t>edicare</w:t>
      </w:r>
      <w:proofErr w:type="spellEnd"/>
      <w:r w:rsidR="00640970" w:rsidRPr="00D662FF">
        <w:rPr>
          <w:rFonts w:ascii="Arial" w:hAnsi="Arial" w:cs="Arial"/>
        </w:rPr>
        <w:t xml:space="preserve"> program will require a P</w:t>
      </w:r>
      <w:r w:rsidRPr="00D662FF">
        <w:rPr>
          <w:rFonts w:ascii="Arial" w:hAnsi="Arial" w:cs="Arial"/>
        </w:rPr>
        <w:t>atient to evidence a link to their regular GP or nurse-led practice, in order to be eligible for the benefit or service.</w:t>
      </w:r>
    </w:p>
    <w:p w14:paraId="1CA701D6" w14:textId="77777777" w:rsidR="004F7C7B" w:rsidRPr="00D662FF" w:rsidRDefault="004F7C7B" w:rsidP="005A4E4B">
      <w:pPr>
        <w:spacing w:before="0"/>
        <w:jc w:val="both"/>
        <w:rPr>
          <w:rFonts w:ascii="Arial" w:hAnsi="Arial" w:cs="Arial"/>
        </w:rPr>
      </w:pPr>
    </w:p>
    <w:p w14:paraId="4DFE3A58" w14:textId="3E9834DB" w:rsidR="0064635C" w:rsidRPr="00D662FF" w:rsidRDefault="004F7C7B" w:rsidP="005A4E4B">
      <w:pPr>
        <w:spacing w:before="0"/>
        <w:jc w:val="both"/>
        <w:rPr>
          <w:rFonts w:ascii="Arial" w:hAnsi="Arial" w:cs="Arial"/>
        </w:rPr>
      </w:pPr>
      <w:r w:rsidRPr="00D662FF">
        <w:rPr>
          <w:rFonts w:ascii="Arial" w:hAnsi="Arial" w:cs="Arial"/>
        </w:rPr>
        <w:t xml:space="preserve">The Department of Health and Aged </w:t>
      </w:r>
      <w:r w:rsidR="00313966" w:rsidRPr="00D662FF">
        <w:rPr>
          <w:rFonts w:ascii="Arial" w:hAnsi="Arial" w:cs="Arial"/>
        </w:rPr>
        <w:t xml:space="preserve">Care </w:t>
      </w:r>
      <w:r w:rsidR="00D01275" w:rsidRPr="00D662FF">
        <w:rPr>
          <w:rFonts w:ascii="Arial" w:hAnsi="Arial" w:cs="Arial"/>
        </w:rPr>
        <w:t>(</w:t>
      </w:r>
      <w:proofErr w:type="spellStart"/>
      <w:r w:rsidR="00D01275" w:rsidRPr="00D662FF">
        <w:rPr>
          <w:rFonts w:ascii="Arial" w:hAnsi="Arial" w:cs="Arial"/>
        </w:rPr>
        <w:t>DoHAC</w:t>
      </w:r>
      <w:proofErr w:type="spellEnd"/>
      <w:r w:rsidR="00D01275" w:rsidRPr="00D662FF">
        <w:rPr>
          <w:rFonts w:ascii="Arial" w:hAnsi="Arial" w:cs="Arial"/>
        </w:rPr>
        <w:t xml:space="preserve">) </w:t>
      </w:r>
      <w:r w:rsidRPr="00D662FF">
        <w:rPr>
          <w:rFonts w:ascii="Arial" w:hAnsi="Arial" w:cs="Arial"/>
        </w:rPr>
        <w:t>and Department of Veterans’ Affairs</w:t>
      </w:r>
      <w:r w:rsidR="0064635C" w:rsidRPr="00D662FF">
        <w:rPr>
          <w:rFonts w:ascii="Arial" w:hAnsi="Arial" w:cs="Arial"/>
        </w:rPr>
        <w:t xml:space="preserve"> (DVA)</w:t>
      </w:r>
      <w:r w:rsidRPr="00D662FF">
        <w:rPr>
          <w:rFonts w:ascii="Arial" w:hAnsi="Arial" w:cs="Arial"/>
        </w:rPr>
        <w:t xml:space="preserve"> have partnered with Services Australia to implement </w:t>
      </w:r>
      <w:proofErr w:type="spellStart"/>
      <w:r w:rsidRPr="00D662FF">
        <w:rPr>
          <w:rFonts w:ascii="Arial" w:hAnsi="Arial" w:cs="Arial"/>
        </w:rPr>
        <w:t>MyMedicare</w:t>
      </w:r>
      <w:proofErr w:type="spellEnd"/>
      <w:r w:rsidRPr="00D662FF">
        <w:rPr>
          <w:rFonts w:ascii="Arial" w:hAnsi="Arial" w:cs="Arial"/>
        </w:rPr>
        <w:t xml:space="preserve"> on Services Australia’s ICT platform.</w:t>
      </w:r>
      <w:r w:rsidR="0064635C" w:rsidRPr="00D662FF">
        <w:rPr>
          <w:rFonts w:ascii="Arial" w:hAnsi="Arial" w:cs="Arial"/>
        </w:rPr>
        <w:t xml:space="preserve"> It will consist of the following ICT components:</w:t>
      </w:r>
    </w:p>
    <w:p w14:paraId="2D112660" w14:textId="77777777" w:rsidR="0064635C" w:rsidRPr="00D662FF" w:rsidRDefault="0064635C" w:rsidP="005A4E4B">
      <w:pPr>
        <w:spacing w:before="0"/>
        <w:jc w:val="both"/>
        <w:rPr>
          <w:rFonts w:ascii="Arial" w:hAnsi="Arial" w:cs="Arial"/>
        </w:rPr>
      </w:pPr>
    </w:p>
    <w:p w14:paraId="05F9F3A4" w14:textId="66DD19E0" w:rsidR="0064635C" w:rsidRPr="00D662FF" w:rsidRDefault="0005008D" w:rsidP="005A4E4B">
      <w:pPr>
        <w:pStyle w:val="ListParagraph"/>
        <w:numPr>
          <w:ilvl w:val="0"/>
          <w:numId w:val="2"/>
        </w:numPr>
        <w:spacing w:before="0"/>
        <w:jc w:val="both"/>
        <w:rPr>
          <w:rFonts w:ascii="Arial" w:hAnsi="Arial" w:cs="Arial"/>
        </w:rPr>
      </w:pPr>
      <w:proofErr w:type="spellStart"/>
      <w:r w:rsidRPr="00D662FF">
        <w:rPr>
          <w:rFonts w:ascii="Arial" w:hAnsi="Arial" w:cs="Arial"/>
        </w:rPr>
        <w:t>MyMedicare</w:t>
      </w:r>
      <w:proofErr w:type="spellEnd"/>
      <w:r w:rsidRPr="00D662FF">
        <w:rPr>
          <w:rFonts w:ascii="Arial" w:hAnsi="Arial" w:cs="Arial"/>
        </w:rPr>
        <w:t xml:space="preserve"> system</w:t>
      </w:r>
      <w:r w:rsidR="0064635C" w:rsidRPr="00D662FF">
        <w:rPr>
          <w:rFonts w:ascii="Arial" w:hAnsi="Arial" w:cs="Arial"/>
        </w:rPr>
        <w:t xml:space="preserve">, which is used to register and record the details of Patients who elect to register for and participate in the </w:t>
      </w:r>
      <w:proofErr w:type="spellStart"/>
      <w:r w:rsidR="0064635C" w:rsidRPr="00D662FF">
        <w:rPr>
          <w:rFonts w:ascii="Arial" w:hAnsi="Arial" w:cs="Arial"/>
        </w:rPr>
        <w:t>MyMedicare</w:t>
      </w:r>
      <w:proofErr w:type="spellEnd"/>
      <w:r w:rsidR="0064635C" w:rsidRPr="00D662FF">
        <w:rPr>
          <w:rFonts w:ascii="Arial" w:hAnsi="Arial" w:cs="Arial"/>
        </w:rPr>
        <w:t xml:space="preserve"> program, and</w:t>
      </w:r>
    </w:p>
    <w:p w14:paraId="610487FC" w14:textId="77777777" w:rsidR="0064635C" w:rsidRPr="00D662FF" w:rsidRDefault="0064635C" w:rsidP="005A4E4B">
      <w:pPr>
        <w:pStyle w:val="ListParagraph"/>
        <w:spacing w:before="0"/>
        <w:jc w:val="both"/>
        <w:rPr>
          <w:rFonts w:ascii="Arial" w:hAnsi="Arial" w:cs="Arial"/>
        </w:rPr>
      </w:pPr>
    </w:p>
    <w:p w14:paraId="05E1AB3D" w14:textId="407CD126" w:rsidR="0064635C" w:rsidRPr="00D662FF" w:rsidRDefault="0064635C" w:rsidP="005A4E4B">
      <w:pPr>
        <w:pStyle w:val="ListParagraph"/>
        <w:numPr>
          <w:ilvl w:val="0"/>
          <w:numId w:val="2"/>
        </w:numPr>
        <w:spacing w:before="0"/>
        <w:jc w:val="both"/>
        <w:rPr>
          <w:rFonts w:ascii="Arial" w:hAnsi="Arial" w:cs="Arial"/>
        </w:rPr>
      </w:pPr>
      <w:r w:rsidRPr="00D662FF">
        <w:rPr>
          <w:rFonts w:ascii="Arial" w:hAnsi="Arial" w:cs="Arial"/>
        </w:rPr>
        <w:t xml:space="preserve">Organisation Register, which will register and record </w:t>
      </w:r>
      <w:r w:rsidR="0005008D" w:rsidRPr="00D662FF">
        <w:rPr>
          <w:rFonts w:ascii="Arial" w:hAnsi="Arial" w:cs="Arial"/>
        </w:rPr>
        <w:t xml:space="preserve">the </w:t>
      </w:r>
      <w:r w:rsidR="00640970" w:rsidRPr="00D662FF">
        <w:rPr>
          <w:rFonts w:ascii="Arial" w:hAnsi="Arial" w:cs="Arial"/>
        </w:rPr>
        <w:t>details of P</w:t>
      </w:r>
      <w:r w:rsidRPr="00D662FF">
        <w:rPr>
          <w:rFonts w:ascii="Arial" w:hAnsi="Arial" w:cs="Arial"/>
        </w:rPr>
        <w:t xml:space="preserve">ractices that register to provide services under the </w:t>
      </w:r>
      <w:proofErr w:type="spellStart"/>
      <w:r w:rsidRPr="00D662FF">
        <w:rPr>
          <w:rFonts w:ascii="Arial" w:hAnsi="Arial" w:cs="Arial"/>
        </w:rPr>
        <w:t>MyMedicare</w:t>
      </w:r>
      <w:proofErr w:type="spellEnd"/>
      <w:r w:rsidRPr="00D662FF">
        <w:rPr>
          <w:rFonts w:ascii="Arial" w:hAnsi="Arial" w:cs="Arial"/>
        </w:rPr>
        <w:t xml:space="preserve"> program.  </w:t>
      </w:r>
    </w:p>
    <w:p w14:paraId="3D72EAB9" w14:textId="77777777" w:rsidR="002D061C" w:rsidRPr="00D662FF" w:rsidRDefault="002D061C" w:rsidP="005A4E4B">
      <w:pPr>
        <w:spacing w:before="0"/>
        <w:rPr>
          <w:rFonts w:ascii="Arial" w:hAnsi="Arial" w:cs="Arial"/>
        </w:rPr>
      </w:pPr>
    </w:p>
    <w:p w14:paraId="39FCAB49" w14:textId="752D7683" w:rsidR="00E13FF3" w:rsidRPr="00D662FF" w:rsidRDefault="002D061C" w:rsidP="00E13FF3">
      <w:pPr>
        <w:spacing w:before="0"/>
        <w:jc w:val="both"/>
        <w:rPr>
          <w:rFonts w:ascii="Arial" w:hAnsi="Arial" w:cs="Arial"/>
        </w:rPr>
      </w:pPr>
      <w:r w:rsidRPr="00D662FF">
        <w:rPr>
          <w:rFonts w:ascii="Arial" w:hAnsi="Arial" w:cs="Arial"/>
        </w:rPr>
        <w:t xml:space="preserve">Patients will be able to register for </w:t>
      </w:r>
      <w:proofErr w:type="spellStart"/>
      <w:r w:rsidRPr="00D662FF">
        <w:rPr>
          <w:rFonts w:ascii="Arial" w:hAnsi="Arial" w:cs="Arial"/>
        </w:rPr>
        <w:t>MyMedicare</w:t>
      </w:r>
      <w:proofErr w:type="spellEnd"/>
      <w:r w:rsidRPr="00D662FF">
        <w:rPr>
          <w:rFonts w:ascii="Arial" w:hAnsi="Arial" w:cs="Arial"/>
        </w:rPr>
        <w:t xml:space="preserve"> </w:t>
      </w:r>
      <w:r w:rsidR="0005008D" w:rsidRPr="00D662FF">
        <w:rPr>
          <w:rFonts w:ascii="Arial" w:hAnsi="Arial" w:cs="Arial"/>
        </w:rPr>
        <w:t xml:space="preserve">via the </w:t>
      </w:r>
      <w:proofErr w:type="spellStart"/>
      <w:r w:rsidR="0005008D" w:rsidRPr="00D662FF">
        <w:rPr>
          <w:rFonts w:ascii="Arial" w:hAnsi="Arial" w:cs="Arial"/>
        </w:rPr>
        <w:t>MyMedicare</w:t>
      </w:r>
      <w:proofErr w:type="spellEnd"/>
      <w:r w:rsidRPr="00D662FF">
        <w:rPr>
          <w:rFonts w:ascii="Arial" w:hAnsi="Arial" w:cs="Arial"/>
        </w:rPr>
        <w:t xml:space="preserve"> system </w:t>
      </w:r>
      <w:r w:rsidR="0005008D" w:rsidRPr="00D662FF">
        <w:rPr>
          <w:rFonts w:ascii="Arial" w:hAnsi="Arial" w:cs="Arial"/>
        </w:rPr>
        <w:t xml:space="preserve">after logging into their </w:t>
      </w:r>
      <w:proofErr w:type="spellStart"/>
      <w:r w:rsidR="0005008D" w:rsidRPr="00D662FF">
        <w:rPr>
          <w:rFonts w:ascii="Arial" w:hAnsi="Arial" w:cs="Arial"/>
        </w:rPr>
        <w:t>myGov</w:t>
      </w:r>
      <w:proofErr w:type="spellEnd"/>
      <w:r w:rsidR="0005008D" w:rsidRPr="00D662FF">
        <w:rPr>
          <w:rFonts w:ascii="Arial" w:hAnsi="Arial" w:cs="Arial"/>
        </w:rPr>
        <w:t xml:space="preserve"> account, or in person at their registered Practice from </w:t>
      </w:r>
      <w:r w:rsidRPr="00D662FF">
        <w:rPr>
          <w:rFonts w:ascii="Arial" w:hAnsi="Arial" w:cs="Arial"/>
        </w:rPr>
        <w:t>1</w:t>
      </w:r>
      <w:r w:rsidR="00383F28" w:rsidRPr="00D662FF">
        <w:rPr>
          <w:rFonts w:ascii="Arial" w:hAnsi="Arial" w:cs="Arial"/>
        </w:rPr>
        <w:t> </w:t>
      </w:r>
      <w:r w:rsidRPr="00D662FF">
        <w:rPr>
          <w:rFonts w:ascii="Arial" w:hAnsi="Arial" w:cs="Arial"/>
        </w:rPr>
        <w:t>October</w:t>
      </w:r>
      <w:r w:rsidR="00383F28" w:rsidRPr="00D662FF">
        <w:rPr>
          <w:rFonts w:ascii="Arial" w:hAnsi="Arial" w:cs="Arial"/>
        </w:rPr>
        <w:t> </w:t>
      </w:r>
      <w:r w:rsidRPr="00D662FF">
        <w:rPr>
          <w:rFonts w:ascii="Arial" w:hAnsi="Arial" w:cs="Arial"/>
        </w:rPr>
        <w:t xml:space="preserve">2023. </w:t>
      </w:r>
      <w:r w:rsidR="00E13FF3" w:rsidRPr="00D662FF">
        <w:rPr>
          <w:rFonts w:ascii="Arial" w:hAnsi="Arial" w:cs="Arial"/>
        </w:rPr>
        <w:t xml:space="preserve">Patients must have a Medicare or DVA Veteran card to register in </w:t>
      </w:r>
      <w:proofErr w:type="spellStart"/>
      <w:r w:rsidR="00E13FF3" w:rsidRPr="00D662FF">
        <w:rPr>
          <w:rFonts w:ascii="Arial" w:hAnsi="Arial" w:cs="Arial"/>
        </w:rPr>
        <w:t>MyMedicare</w:t>
      </w:r>
      <w:proofErr w:type="spellEnd"/>
      <w:r w:rsidR="00E13FF3" w:rsidRPr="00D662FF">
        <w:rPr>
          <w:rFonts w:ascii="Arial" w:hAnsi="Arial" w:cs="Arial"/>
        </w:rPr>
        <w:t xml:space="preserve">. </w:t>
      </w:r>
    </w:p>
    <w:p w14:paraId="20C10714" w14:textId="77777777" w:rsidR="00E13FF3" w:rsidRPr="00D662FF" w:rsidRDefault="00E13FF3" w:rsidP="00E13FF3">
      <w:pPr>
        <w:spacing w:before="0"/>
        <w:jc w:val="both"/>
        <w:rPr>
          <w:rFonts w:ascii="Arial" w:hAnsi="Arial" w:cs="Arial"/>
        </w:rPr>
      </w:pPr>
    </w:p>
    <w:p w14:paraId="3F0E7E10" w14:textId="5E7C07CD" w:rsidR="0005008D" w:rsidRPr="00D662FF" w:rsidRDefault="00E13FF3" w:rsidP="00E13FF3">
      <w:pPr>
        <w:spacing w:before="0"/>
        <w:jc w:val="both"/>
        <w:rPr>
          <w:rFonts w:ascii="Arial" w:hAnsi="Arial" w:cs="Arial"/>
        </w:rPr>
      </w:pPr>
      <w:r w:rsidRPr="00D662FF">
        <w:rPr>
          <w:rFonts w:ascii="Arial" w:hAnsi="Arial" w:cs="Arial"/>
        </w:rPr>
        <w:t xml:space="preserve">In order to be eligible to enrol </w:t>
      </w:r>
      <w:r w:rsidR="00640970" w:rsidRPr="00D662FF">
        <w:rPr>
          <w:rFonts w:ascii="Arial" w:hAnsi="Arial" w:cs="Arial"/>
        </w:rPr>
        <w:t xml:space="preserve">into the </w:t>
      </w:r>
      <w:proofErr w:type="spellStart"/>
      <w:r w:rsidR="00640970" w:rsidRPr="00D662FF">
        <w:rPr>
          <w:rFonts w:ascii="Arial" w:hAnsi="Arial" w:cs="Arial"/>
        </w:rPr>
        <w:t>MyMedicare</w:t>
      </w:r>
      <w:proofErr w:type="spellEnd"/>
      <w:r w:rsidR="00640970" w:rsidRPr="00D662FF">
        <w:rPr>
          <w:rFonts w:ascii="Arial" w:hAnsi="Arial" w:cs="Arial"/>
        </w:rPr>
        <w:t xml:space="preserve"> program, a P</w:t>
      </w:r>
      <w:r w:rsidRPr="00D662FF">
        <w:rPr>
          <w:rFonts w:ascii="Arial" w:hAnsi="Arial" w:cs="Arial"/>
        </w:rPr>
        <w:t xml:space="preserve">atient must have received two eligible services from </w:t>
      </w:r>
      <w:r w:rsidR="0005008D" w:rsidRPr="00D662FF">
        <w:rPr>
          <w:rFonts w:ascii="Arial" w:hAnsi="Arial" w:cs="Arial"/>
        </w:rPr>
        <w:t xml:space="preserve">their registered Practice </w:t>
      </w:r>
      <w:r w:rsidRPr="00D662FF">
        <w:rPr>
          <w:rFonts w:ascii="Arial" w:hAnsi="Arial" w:cs="Arial"/>
        </w:rPr>
        <w:t xml:space="preserve">in the past 24 months, or one eligible service with </w:t>
      </w:r>
      <w:r w:rsidR="0005008D" w:rsidRPr="00D662FF">
        <w:rPr>
          <w:rFonts w:ascii="Arial" w:hAnsi="Arial" w:cs="Arial"/>
        </w:rPr>
        <w:t>their registered Practice</w:t>
      </w:r>
      <w:r w:rsidRPr="00D662FF">
        <w:rPr>
          <w:rFonts w:ascii="Arial" w:hAnsi="Arial" w:cs="Arial"/>
        </w:rPr>
        <w:t xml:space="preserve"> in the last 12 months where the</w:t>
      </w:r>
      <w:r w:rsidR="0005008D" w:rsidRPr="00D662FF">
        <w:rPr>
          <w:rFonts w:ascii="Arial" w:hAnsi="Arial" w:cs="Arial"/>
        </w:rPr>
        <w:t xml:space="preserve"> Practice</w:t>
      </w:r>
      <w:r w:rsidRPr="00D662FF">
        <w:rPr>
          <w:rFonts w:ascii="Arial" w:hAnsi="Arial" w:cs="Arial"/>
        </w:rPr>
        <w:t xml:space="preserve"> is located in a specified zone.</w:t>
      </w:r>
      <w:r w:rsidR="0005008D" w:rsidRPr="00D662FF">
        <w:rPr>
          <w:rFonts w:ascii="Arial" w:hAnsi="Arial" w:cs="Arial"/>
        </w:rPr>
        <w:t xml:space="preserve"> </w:t>
      </w:r>
    </w:p>
    <w:p w14:paraId="6BD2396E" w14:textId="77777777" w:rsidR="0005008D" w:rsidRPr="00D662FF" w:rsidRDefault="0005008D" w:rsidP="00E13FF3">
      <w:pPr>
        <w:spacing w:before="0"/>
        <w:jc w:val="both"/>
        <w:rPr>
          <w:rFonts w:ascii="Arial" w:hAnsi="Arial" w:cs="Arial"/>
        </w:rPr>
      </w:pPr>
    </w:p>
    <w:p w14:paraId="51CA7C25" w14:textId="2A070EDF" w:rsidR="00E13FF3" w:rsidRPr="00D662FF" w:rsidRDefault="0005008D" w:rsidP="00E13FF3">
      <w:pPr>
        <w:spacing w:before="0"/>
        <w:jc w:val="both"/>
        <w:rPr>
          <w:rFonts w:ascii="Arial" w:hAnsi="Arial" w:cs="Arial"/>
        </w:rPr>
      </w:pPr>
      <w:r w:rsidRPr="00D662FF">
        <w:rPr>
          <w:rFonts w:ascii="Arial" w:hAnsi="Arial" w:cs="Arial"/>
        </w:rPr>
        <w:t>Patient’s eligibility will be determined based on information held within Services Australia’s Medicare systems that was collected for the purposes of Medicare.</w:t>
      </w:r>
    </w:p>
    <w:p w14:paraId="6A0FA4FE" w14:textId="28395C04" w:rsidR="00E13FF3" w:rsidRPr="00D662FF" w:rsidRDefault="00E13FF3" w:rsidP="005A4E4B">
      <w:pPr>
        <w:spacing w:before="0"/>
        <w:rPr>
          <w:rFonts w:ascii="Arial" w:hAnsi="Arial" w:cs="Arial"/>
        </w:rPr>
      </w:pPr>
    </w:p>
    <w:p w14:paraId="7CA39172" w14:textId="6C286FFB" w:rsidR="0064635C" w:rsidRPr="00D662FF" w:rsidRDefault="00E13FF3" w:rsidP="00383F28">
      <w:pPr>
        <w:spacing w:before="0"/>
        <w:jc w:val="both"/>
        <w:rPr>
          <w:rFonts w:ascii="Arial" w:hAnsi="Arial" w:cs="Arial"/>
        </w:rPr>
      </w:pPr>
      <w:r w:rsidRPr="00D662FF">
        <w:rPr>
          <w:rFonts w:ascii="Arial" w:hAnsi="Arial" w:cs="Arial"/>
        </w:rPr>
        <w:t xml:space="preserve">General practices have been able to </w:t>
      </w:r>
      <w:r w:rsidR="0005008D" w:rsidRPr="00D662FF">
        <w:rPr>
          <w:rFonts w:ascii="Arial" w:hAnsi="Arial" w:cs="Arial"/>
        </w:rPr>
        <w:t>commence their registration</w:t>
      </w:r>
      <w:r w:rsidRPr="00D662FF">
        <w:rPr>
          <w:rFonts w:ascii="Arial" w:hAnsi="Arial" w:cs="Arial"/>
        </w:rPr>
        <w:t xml:space="preserve"> since 1 July 2023. Registration is </w:t>
      </w:r>
      <w:r w:rsidR="002D061C" w:rsidRPr="00D662FF">
        <w:rPr>
          <w:rFonts w:ascii="Arial" w:hAnsi="Arial" w:cs="Arial"/>
        </w:rPr>
        <w:t xml:space="preserve">subject to </w:t>
      </w:r>
      <w:r w:rsidR="000A359F" w:rsidRPr="00D662FF">
        <w:rPr>
          <w:rFonts w:ascii="Arial" w:hAnsi="Arial" w:cs="Arial"/>
        </w:rPr>
        <w:t xml:space="preserve">certain </w:t>
      </w:r>
      <w:r w:rsidR="002D061C" w:rsidRPr="00D662FF">
        <w:rPr>
          <w:rFonts w:ascii="Arial" w:hAnsi="Arial" w:cs="Arial"/>
        </w:rPr>
        <w:t xml:space="preserve">eligibility requirements, </w:t>
      </w:r>
      <w:r w:rsidR="000A359F" w:rsidRPr="00D662FF">
        <w:rPr>
          <w:rFonts w:ascii="Arial" w:hAnsi="Arial" w:cs="Arial"/>
        </w:rPr>
        <w:t>available</w:t>
      </w:r>
      <w:r w:rsidR="002D061C" w:rsidRPr="00D662FF">
        <w:rPr>
          <w:rFonts w:ascii="Arial" w:hAnsi="Arial" w:cs="Arial"/>
        </w:rPr>
        <w:t xml:space="preserve"> on </w:t>
      </w:r>
      <w:proofErr w:type="spellStart"/>
      <w:r w:rsidR="00D01275" w:rsidRPr="00D662FF">
        <w:rPr>
          <w:rFonts w:ascii="Arial" w:hAnsi="Arial" w:cs="Arial"/>
        </w:rPr>
        <w:t>DoHAC</w:t>
      </w:r>
      <w:r w:rsidR="002D061C" w:rsidRPr="00D662FF">
        <w:rPr>
          <w:rFonts w:ascii="Arial" w:hAnsi="Arial" w:cs="Arial"/>
        </w:rPr>
        <w:t>’s</w:t>
      </w:r>
      <w:proofErr w:type="spellEnd"/>
      <w:r w:rsidR="002D061C" w:rsidRPr="00D662FF">
        <w:rPr>
          <w:rFonts w:ascii="Arial" w:hAnsi="Arial" w:cs="Arial"/>
        </w:rPr>
        <w:t xml:space="preserve"> website (</w:t>
      </w:r>
      <w:hyperlink r:id="rId11" w:anchor="eligibility" w:history="1">
        <w:r w:rsidR="0064635C" w:rsidRPr="00D662FF">
          <w:rPr>
            <w:rStyle w:val="Hyperlink"/>
            <w:rFonts w:ascii="Arial" w:hAnsi="Arial" w:cs="Arial"/>
          </w:rPr>
          <w:t>https://www.health.gov.au/our-work/mymedicare#eligibility</w:t>
        </w:r>
      </w:hyperlink>
      <w:r w:rsidR="0064635C" w:rsidRPr="00D662FF">
        <w:rPr>
          <w:rFonts w:ascii="Arial" w:hAnsi="Arial" w:cs="Arial"/>
        </w:rPr>
        <w:t>).</w:t>
      </w:r>
      <w:r w:rsidR="0005008D" w:rsidRPr="00D662FF">
        <w:rPr>
          <w:rFonts w:ascii="Arial" w:hAnsi="Arial" w:cs="Arial"/>
        </w:rPr>
        <w:t xml:space="preserve"> Provider information that is held on Services Australia’s Medicare systems will be used to confirm Provider details using their link to the Practice. Provider details will also be extracted and recorded onto the Organisation Register.</w:t>
      </w:r>
    </w:p>
    <w:p w14:paraId="2A0FC53E" w14:textId="77777777" w:rsidR="0064635C" w:rsidRPr="00D662FF" w:rsidRDefault="0064635C" w:rsidP="005A4E4B">
      <w:pPr>
        <w:spacing w:before="0"/>
        <w:rPr>
          <w:rFonts w:ascii="Arial" w:hAnsi="Arial" w:cs="Arial"/>
        </w:rPr>
      </w:pPr>
    </w:p>
    <w:p w14:paraId="3A0E94B2" w14:textId="5B7DD720" w:rsidR="002D061C" w:rsidRPr="00D662FF" w:rsidRDefault="0064635C" w:rsidP="005A4E4B">
      <w:pPr>
        <w:spacing w:before="0"/>
        <w:jc w:val="both"/>
        <w:rPr>
          <w:rFonts w:ascii="Arial" w:hAnsi="Arial" w:cs="Arial"/>
        </w:rPr>
      </w:pPr>
      <w:r w:rsidRPr="00D662FF">
        <w:rPr>
          <w:rFonts w:ascii="Arial" w:hAnsi="Arial" w:cs="Arial"/>
        </w:rPr>
        <w:lastRenderedPageBreak/>
        <w:t xml:space="preserve">Specifying the </w:t>
      </w:r>
      <w:proofErr w:type="spellStart"/>
      <w:r w:rsidRPr="00D662FF">
        <w:rPr>
          <w:rFonts w:ascii="Arial" w:hAnsi="Arial" w:cs="Arial"/>
        </w:rPr>
        <w:t>MyMedicare</w:t>
      </w:r>
      <w:proofErr w:type="spellEnd"/>
      <w:r w:rsidRPr="00D662FF">
        <w:rPr>
          <w:rFonts w:ascii="Arial" w:hAnsi="Arial" w:cs="Arial"/>
        </w:rPr>
        <w:t xml:space="preserve"> program as a ‘</w:t>
      </w:r>
      <w:proofErr w:type="spellStart"/>
      <w:r w:rsidRPr="00D662FF">
        <w:rPr>
          <w:rFonts w:ascii="Arial" w:hAnsi="Arial" w:cs="Arial"/>
        </w:rPr>
        <w:t>medicare</w:t>
      </w:r>
      <w:proofErr w:type="spellEnd"/>
      <w:r w:rsidRPr="00D662FF">
        <w:rPr>
          <w:rFonts w:ascii="Arial" w:hAnsi="Arial" w:cs="Arial"/>
        </w:rPr>
        <w:t xml:space="preserve"> program’ </w:t>
      </w:r>
      <w:r w:rsidR="00E13FF3" w:rsidRPr="00D662FF">
        <w:rPr>
          <w:rFonts w:ascii="Arial" w:hAnsi="Arial" w:cs="Arial"/>
        </w:rPr>
        <w:t>is necessary for</w:t>
      </w:r>
      <w:r w:rsidRPr="00D662FF">
        <w:rPr>
          <w:rFonts w:ascii="Arial" w:hAnsi="Arial" w:cs="Arial"/>
        </w:rPr>
        <w:t xml:space="preserve"> the administration of the </w:t>
      </w:r>
      <w:proofErr w:type="spellStart"/>
      <w:r w:rsidRPr="00D662FF">
        <w:rPr>
          <w:rFonts w:ascii="Arial" w:hAnsi="Arial" w:cs="Arial"/>
        </w:rPr>
        <w:t>MyMedicare</w:t>
      </w:r>
      <w:proofErr w:type="spellEnd"/>
      <w:r w:rsidRPr="00D662FF">
        <w:rPr>
          <w:rFonts w:ascii="Arial" w:hAnsi="Arial" w:cs="Arial"/>
        </w:rPr>
        <w:t xml:space="preserve"> program. It </w:t>
      </w:r>
      <w:r w:rsidR="00E13FF3" w:rsidRPr="00D662FF">
        <w:rPr>
          <w:rFonts w:ascii="Arial" w:hAnsi="Arial" w:cs="Arial"/>
        </w:rPr>
        <w:t xml:space="preserve">will </w:t>
      </w:r>
      <w:r w:rsidRPr="00D662FF">
        <w:rPr>
          <w:rFonts w:ascii="Arial" w:hAnsi="Arial" w:cs="Arial"/>
        </w:rPr>
        <w:t xml:space="preserve">ensure the requisite data can be shared and accessed by </w:t>
      </w:r>
      <w:r w:rsidR="0005008D" w:rsidRPr="00D662FF">
        <w:rPr>
          <w:rFonts w:ascii="Arial" w:hAnsi="Arial" w:cs="Arial"/>
        </w:rPr>
        <w:t xml:space="preserve">authorised </w:t>
      </w:r>
      <w:r w:rsidRPr="00D662FF">
        <w:rPr>
          <w:rFonts w:ascii="Arial" w:hAnsi="Arial" w:cs="Arial"/>
        </w:rPr>
        <w:t xml:space="preserve">officers in Services Australia, </w:t>
      </w:r>
      <w:proofErr w:type="spellStart"/>
      <w:r w:rsidR="00D01275" w:rsidRPr="00D662FF">
        <w:rPr>
          <w:rFonts w:ascii="Arial" w:hAnsi="Arial" w:cs="Arial"/>
        </w:rPr>
        <w:t>DoHAC</w:t>
      </w:r>
      <w:proofErr w:type="spellEnd"/>
      <w:r w:rsidR="00D01275" w:rsidRPr="00D662FF" w:rsidDel="00D01275">
        <w:rPr>
          <w:rFonts w:ascii="Arial" w:hAnsi="Arial" w:cs="Arial"/>
        </w:rPr>
        <w:t xml:space="preserve"> </w:t>
      </w:r>
      <w:r w:rsidRPr="00D662FF">
        <w:rPr>
          <w:rFonts w:ascii="Arial" w:hAnsi="Arial" w:cs="Arial"/>
        </w:rPr>
        <w:t>and DVA, to determine eligibility for the program, administer the program and undertake compliance functions in relation to the program.</w:t>
      </w:r>
    </w:p>
    <w:p w14:paraId="5C6B3AD7" w14:textId="77777777" w:rsidR="002D061C" w:rsidRPr="00D662FF" w:rsidRDefault="002D061C" w:rsidP="005A4E4B">
      <w:pPr>
        <w:spacing w:before="0"/>
        <w:jc w:val="both"/>
        <w:rPr>
          <w:rFonts w:ascii="Arial" w:hAnsi="Arial" w:cs="Arial"/>
          <w:b/>
        </w:rPr>
      </w:pPr>
    </w:p>
    <w:p w14:paraId="18BD4391" w14:textId="66B59DE7" w:rsidR="004F7C7B" w:rsidRPr="00D662FF" w:rsidRDefault="002D061C" w:rsidP="005A4E4B">
      <w:pPr>
        <w:spacing w:before="0"/>
        <w:jc w:val="both"/>
        <w:rPr>
          <w:rFonts w:ascii="Arial" w:hAnsi="Arial" w:cs="Arial"/>
          <w:b/>
          <w:i/>
        </w:rPr>
      </w:pPr>
      <w:r w:rsidRPr="00D662FF">
        <w:rPr>
          <w:rFonts w:ascii="Arial" w:hAnsi="Arial" w:cs="Arial"/>
          <w:b/>
          <w:i/>
        </w:rPr>
        <w:t>Information</w:t>
      </w:r>
      <w:r w:rsidR="0064635C" w:rsidRPr="00D662FF">
        <w:rPr>
          <w:rFonts w:ascii="Arial" w:hAnsi="Arial" w:cs="Arial"/>
          <w:b/>
          <w:i/>
        </w:rPr>
        <w:t xml:space="preserve"> </w:t>
      </w:r>
      <w:r w:rsidR="00E57528" w:rsidRPr="00D662FF">
        <w:rPr>
          <w:rFonts w:ascii="Arial" w:hAnsi="Arial" w:cs="Arial"/>
          <w:b/>
          <w:i/>
        </w:rPr>
        <w:t>sharing</w:t>
      </w:r>
    </w:p>
    <w:p w14:paraId="2FD5D603" w14:textId="77777777" w:rsidR="00533D11" w:rsidRPr="00D662FF" w:rsidRDefault="00533D11" w:rsidP="005A4E4B">
      <w:pPr>
        <w:spacing w:before="0"/>
        <w:jc w:val="both"/>
        <w:rPr>
          <w:rFonts w:ascii="Arial" w:hAnsi="Arial" w:cs="Arial"/>
        </w:rPr>
      </w:pPr>
    </w:p>
    <w:p w14:paraId="091C04C7" w14:textId="4829BC49" w:rsidR="00E57528" w:rsidRPr="00D662FF" w:rsidRDefault="00E57528" w:rsidP="005A4E4B">
      <w:pPr>
        <w:spacing w:before="0"/>
        <w:jc w:val="both"/>
        <w:rPr>
          <w:rFonts w:ascii="Arial" w:hAnsi="Arial" w:cs="Arial"/>
        </w:rPr>
      </w:pPr>
      <w:r w:rsidRPr="00D662FF">
        <w:rPr>
          <w:rFonts w:ascii="Arial" w:hAnsi="Arial" w:cs="Arial"/>
        </w:rPr>
        <w:t xml:space="preserve">Registration to </w:t>
      </w:r>
      <w:proofErr w:type="spellStart"/>
      <w:r w:rsidRPr="00D662FF">
        <w:rPr>
          <w:rFonts w:ascii="Arial" w:hAnsi="Arial" w:cs="Arial"/>
        </w:rPr>
        <w:t>MyMedicare</w:t>
      </w:r>
      <w:proofErr w:type="spellEnd"/>
      <w:r w:rsidRPr="00D662FF">
        <w:rPr>
          <w:rFonts w:ascii="Arial" w:hAnsi="Arial" w:cs="Arial"/>
        </w:rPr>
        <w:t xml:space="preserve"> and access to linked health initiatives for both general practices, general practitioners, other health </w:t>
      </w:r>
      <w:r w:rsidR="00640970" w:rsidRPr="00D662FF">
        <w:rPr>
          <w:rFonts w:ascii="Arial" w:hAnsi="Arial" w:cs="Arial"/>
        </w:rPr>
        <w:t>professionals, and P</w:t>
      </w:r>
      <w:r w:rsidRPr="00D662FF">
        <w:rPr>
          <w:rFonts w:ascii="Arial" w:hAnsi="Arial" w:cs="Arial"/>
        </w:rPr>
        <w:t>atients will require the communication, divulging and recording of Medicare-related ‘protected information’ within the meaning of the Health Insurance Act.</w:t>
      </w:r>
    </w:p>
    <w:p w14:paraId="6CA19AB4" w14:textId="0C5D7585" w:rsidR="00E57528" w:rsidRPr="00D662FF" w:rsidRDefault="00E57528" w:rsidP="005A4E4B">
      <w:pPr>
        <w:spacing w:before="0"/>
        <w:jc w:val="both"/>
        <w:rPr>
          <w:rFonts w:ascii="Arial" w:hAnsi="Arial" w:cs="Arial"/>
        </w:rPr>
      </w:pPr>
    </w:p>
    <w:p w14:paraId="7DB807BA" w14:textId="34CDEC02" w:rsidR="00E57528" w:rsidRPr="00D662FF" w:rsidRDefault="0005008D" w:rsidP="0005008D">
      <w:pPr>
        <w:spacing w:before="0"/>
        <w:jc w:val="both"/>
        <w:rPr>
          <w:rFonts w:ascii="Arial" w:hAnsi="Arial" w:cs="Arial"/>
        </w:rPr>
      </w:pPr>
      <w:r w:rsidRPr="00D662FF">
        <w:rPr>
          <w:rFonts w:ascii="Arial" w:hAnsi="Arial" w:cs="Arial"/>
        </w:rPr>
        <w:t>Protected i</w:t>
      </w:r>
      <w:r w:rsidR="00E57528" w:rsidRPr="00D662FF">
        <w:rPr>
          <w:rFonts w:ascii="Arial" w:hAnsi="Arial" w:cs="Arial"/>
        </w:rPr>
        <w:t xml:space="preserve">nformation </w:t>
      </w:r>
      <w:r w:rsidRPr="00D662FF">
        <w:rPr>
          <w:rFonts w:ascii="Arial" w:hAnsi="Arial" w:cs="Arial"/>
        </w:rPr>
        <w:t>is required for the following purposes</w:t>
      </w:r>
      <w:r w:rsidR="00E57528" w:rsidRPr="00D662FF">
        <w:rPr>
          <w:rFonts w:ascii="Arial" w:hAnsi="Arial" w:cs="Arial"/>
        </w:rPr>
        <w:t>:</w:t>
      </w:r>
    </w:p>
    <w:p w14:paraId="5784FB9A" w14:textId="77777777" w:rsidR="00E57528" w:rsidRPr="00D662FF" w:rsidRDefault="00E57528" w:rsidP="0005008D">
      <w:pPr>
        <w:spacing w:before="0"/>
        <w:jc w:val="both"/>
        <w:rPr>
          <w:rFonts w:ascii="Arial" w:hAnsi="Arial" w:cs="Arial"/>
        </w:rPr>
      </w:pPr>
    </w:p>
    <w:p w14:paraId="472CA2A9" w14:textId="0838ADED" w:rsidR="00E57528" w:rsidRPr="00D662FF" w:rsidRDefault="00640970" w:rsidP="0005008D">
      <w:pPr>
        <w:numPr>
          <w:ilvl w:val="0"/>
          <w:numId w:val="13"/>
        </w:numPr>
        <w:shd w:val="clear" w:color="auto" w:fill="FFFFFF"/>
        <w:spacing w:before="0" w:after="160" w:line="259" w:lineRule="auto"/>
        <w:jc w:val="both"/>
        <w:rPr>
          <w:rFonts w:ascii="Arial" w:hAnsi="Arial" w:cs="Arial"/>
        </w:rPr>
      </w:pPr>
      <w:r w:rsidRPr="00D662FF">
        <w:rPr>
          <w:rFonts w:ascii="Arial" w:hAnsi="Arial" w:cs="Arial"/>
        </w:rPr>
        <w:t>When a P</w:t>
      </w:r>
      <w:r w:rsidR="00E57528" w:rsidRPr="00D662FF">
        <w:rPr>
          <w:rFonts w:ascii="Arial" w:hAnsi="Arial" w:cs="Arial"/>
        </w:rPr>
        <w:t xml:space="preserve">atient registers to participate in </w:t>
      </w:r>
      <w:proofErr w:type="spellStart"/>
      <w:r w:rsidR="00E57528" w:rsidRPr="00D662FF">
        <w:rPr>
          <w:rFonts w:ascii="Arial" w:hAnsi="Arial" w:cs="Arial"/>
        </w:rPr>
        <w:t>MyMedicare</w:t>
      </w:r>
      <w:proofErr w:type="spellEnd"/>
      <w:r w:rsidR="00E57528" w:rsidRPr="00D662FF">
        <w:rPr>
          <w:rFonts w:ascii="Arial" w:hAnsi="Arial" w:cs="Arial"/>
        </w:rPr>
        <w:t xml:space="preserve"> Services Australia will check the applicant’s Medicare to determine their eligibility, and communicate the outcome to the </w:t>
      </w:r>
      <w:proofErr w:type="spellStart"/>
      <w:r w:rsidR="00E57528" w:rsidRPr="00D662FF">
        <w:rPr>
          <w:rFonts w:ascii="Arial" w:hAnsi="Arial" w:cs="Arial"/>
        </w:rPr>
        <w:t>MyMedicare</w:t>
      </w:r>
      <w:proofErr w:type="spellEnd"/>
      <w:r w:rsidR="00E57528" w:rsidRPr="00D662FF">
        <w:rPr>
          <w:rFonts w:ascii="Arial" w:hAnsi="Arial" w:cs="Arial"/>
        </w:rPr>
        <w:t xml:space="preserve"> system (see below for further details). </w:t>
      </w:r>
      <w:r w:rsidR="004C0EF6" w:rsidRPr="00D662FF">
        <w:rPr>
          <w:rFonts w:ascii="Arial" w:hAnsi="Arial" w:cs="Arial"/>
        </w:rPr>
        <w:t>This includes checking on DVA records to ensure eligibility where registered through a DVA issued card.</w:t>
      </w:r>
    </w:p>
    <w:p w14:paraId="155EC777" w14:textId="2DDF1B03" w:rsidR="00D01275" w:rsidRPr="00D662FF" w:rsidRDefault="00D01275" w:rsidP="0005008D">
      <w:pPr>
        <w:numPr>
          <w:ilvl w:val="0"/>
          <w:numId w:val="13"/>
        </w:numPr>
        <w:shd w:val="clear" w:color="auto" w:fill="FFFFFF" w:themeFill="background1"/>
        <w:spacing w:before="0" w:after="160" w:line="259" w:lineRule="auto"/>
        <w:jc w:val="both"/>
        <w:rPr>
          <w:rFonts w:ascii="Arial" w:hAnsi="Arial" w:cs="Arial"/>
        </w:rPr>
      </w:pPr>
      <w:r w:rsidRPr="00D662FF">
        <w:rPr>
          <w:rFonts w:ascii="Arial" w:hAnsi="Arial" w:cs="Arial"/>
        </w:rPr>
        <w:t xml:space="preserve">When a delegate of </w:t>
      </w:r>
      <w:r w:rsidR="0005008D" w:rsidRPr="00D662FF">
        <w:rPr>
          <w:rFonts w:ascii="Arial" w:hAnsi="Arial" w:cs="Arial"/>
        </w:rPr>
        <w:t>a Practice</w:t>
      </w:r>
      <w:r w:rsidRPr="00D662FF">
        <w:rPr>
          <w:rFonts w:ascii="Arial" w:hAnsi="Arial" w:cs="Arial"/>
        </w:rPr>
        <w:t xml:space="preserve"> registers to participate in the </w:t>
      </w:r>
      <w:proofErr w:type="spellStart"/>
      <w:r w:rsidRPr="00D662FF">
        <w:rPr>
          <w:rFonts w:ascii="Arial" w:hAnsi="Arial" w:cs="Arial"/>
        </w:rPr>
        <w:t>MyMedicare</w:t>
      </w:r>
      <w:proofErr w:type="spellEnd"/>
      <w:r w:rsidRPr="00D662FF">
        <w:rPr>
          <w:rFonts w:ascii="Arial" w:hAnsi="Arial" w:cs="Arial"/>
        </w:rPr>
        <w:t xml:space="preserve"> program, t</w:t>
      </w:r>
      <w:r w:rsidRPr="00D662FF">
        <w:rPr>
          <w:rFonts w:ascii="Arial" w:hAnsi="Arial" w:cs="Arial"/>
          <w:szCs w:val="24"/>
        </w:rPr>
        <w:t>he delegate will provide details of the general practitioners that render services at the site, further details will then be extracted from the Provider Directory System and recorded in the Organisation Register (see below for further details)</w:t>
      </w:r>
      <w:r w:rsidRPr="00D662FF">
        <w:rPr>
          <w:rFonts w:ascii="Arial" w:hAnsi="Arial" w:cs="Arial"/>
        </w:rPr>
        <w:t>.</w:t>
      </w:r>
    </w:p>
    <w:p w14:paraId="7A64E642" w14:textId="74548F54" w:rsidR="006218C8" w:rsidRPr="00D662FF" w:rsidRDefault="006218C8" w:rsidP="0005008D">
      <w:pPr>
        <w:numPr>
          <w:ilvl w:val="0"/>
          <w:numId w:val="13"/>
        </w:numPr>
        <w:shd w:val="clear" w:color="auto" w:fill="FFFFFF"/>
        <w:spacing w:before="0" w:after="160" w:line="259" w:lineRule="auto"/>
        <w:jc w:val="both"/>
        <w:rPr>
          <w:rFonts w:ascii="Arial" w:hAnsi="Arial" w:cs="Arial"/>
        </w:rPr>
      </w:pPr>
      <w:r w:rsidRPr="00D662FF">
        <w:rPr>
          <w:rFonts w:ascii="Arial" w:hAnsi="Arial" w:cs="Arial"/>
        </w:rPr>
        <w:t xml:space="preserve">Upon the commencement of </w:t>
      </w:r>
      <w:proofErr w:type="spellStart"/>
      <w:r w:rsidRPr="00D662FF">
        <w:rPr>
          <w:rFonts w:ascii="Arial" w:hAnsi="Arial" w:cs="Arial"/>
        </w:rPr>
        <w:t>MyMedicare</w:t>
      </w:r>
      <w:proofErr w:type="spellEnd"/>
      <w:r w:rsidRPr="00D662FF">
        <w:rPr>
          <w:rFonts w:ascii="Arial" w:hAnsi="Arial" w:cs="Arial"/>
        </w:rPr>
        <w:t xml:space="preserve">, Services Australia will extract and provide </w:t>
      </w:r>
      <w:proofErr w:type="spellStart"/>
      <w:r w:rsidRPr="00D662FF">
        <w:rPr>
          <w:rFonts w:ascii="Arial" w:hAnsi="Arial" w:cs="Arial"/>
        </w:rPr>
        <w:t>DoHAC</w:t>
      </w:r>
      <w:proofErr w:type="spellEnd"/>
      <w:r w:rsidRPr="00D662FF">
        <w:rPr>
          <w:rFonts w:ascii="Arial" w:hAnsi="Arial" w:cs="Arial"/>
        </w:rPr>
        <w:t xml:space="preserve"> and DVA with information necessary for the administration of </w:t>
      </w:r>
      <w:proofErr w:type="spellStart"/>
      <w:r w:rsidRPr="00D662FF">
        <w:rPr>
          <w:rFonts w:ascii="Arial" w:hAnsi="Arial" w:cs="Arial"/>
        </w:rPr>
        <w:t>MyMedicare</w:t>
      </w:r>
      <w:proofErr w:type="spellEnd"/>
      <w:r w:rsidRPr="00D662FF">
        <w:rPr>
          <w:rFonts w:ascii="Arial" w:hAnsi="Arial" w:cs="Arial"/>
        </w:rPr>
        <w:t xml:space="preserve"> (see below for further details). </w:t>
      </w:r>
    </w:p>
    <w:p w14:paraId="1668F69A" w14:textId="61084D74" w:rsidR="00E57528" w:rsidRPr="00D662FF" w:rsidRDefault="00E57528" w:rsidP="0005008D">
      <w:pPr>
        <w:numPr>
          <w:ilvl w:val="0"/>
          <w:numId w:val="13"/>
        </w:numPr>
        <w:shd w:val="clear" w:color="auto" w:fill="FFFFFF" w:themeFill="background1"/>
        <w:spacing w:before="0" w:after="160" w:line="259" w:lineRule="auto"/>
        <w:jc w:val="both"/>
        <w:rPr>
          <w:rFonts w:ascii="Arial" w:hAnsi="Arial" w:cs="Arial"/>
        </w:rPr>
      </w:pPr>
      <w:r w:rsidRPr="00D662FF">
        <w:rPr>
          <w:rFonts w:ascii="Arial" w:hAnsi="Arial" w:cs="Arial"/>
        </w:rPr>
        <w:t xml:space="preserve">When a </w:t>
      </w:r>
      <w:r w:rsidR="0005008D" w:rsidRPr="00D662FF">
        <w:rPr>
          <w:rFonts w:ascii="Arial" w:hAnsi="Arial" w:cs="Arial"/>
        </w:rPr>
        <w:t>claim is made for</w:t>
      </w:r>
      <w:r w:rsidRPr="00D662FF">
        <w:rPr>
          <w:rFonts w:ascii="Arial" w:hAnsi="Arial" w:cs="Arial"/>
        </w:rPr>
        <w:t xml:space="preserve"> a rebate (MBS I</w:t>
      </w:r>
      <w:r w:rsidR="0081430A" w:rsidRPr="00D662FF">
        <w:rPr>
          <w:rFonts w:ascii="Arial" w:hAnsi="Arial" w:cs="Arial"/>
        </w:rPr>
        <w:t xml:space="preserve">tem), or when a service is claimed for a DVA client, </w:t>
      </w:r>
      <w:r w:rsidR="00640970" w:rsidRPr="00D662FF">
        <w:rPr>
          <w:rFonts w:ascii="Arial" w:hAnsi="Arial" w:cs="Arial"/>
        </w:rPr>
        <w:t>that is only available to P</w:t>
      </w:r>
      <w:r w:rsidRPr="00D662FF">
        <w:rPr>
          <w:rFonts w:ascii="Arial" w:hAnsi="Arial" w:cs="Arial"/>
        </w:rPr>
        <w:t xml:space="preserve">atients who are registered with </w:t>
      </w:r>
      <w:proofErr w:type="spellStart"/>
      <w:r w:rsidRPr="00D662FF">
        <w:rPr>
          <w:rFonts w:ascii="Arial" w:hAnsi="Arial" w:cs="Arial"/>
        </w:rPr>
        <w:t>MyMedicare</w:t>
      </w:r>
      <w:proofErr w:type="spellEnd"/>
      <w:r w:rsidR="0005008D" w:rsidRPr="00D662FF">
        <w:rPr>
          <w:rFonts w:ascii="Arial" w:hAnsi="Arial" w:cs="Arial"/>
        </w:rPr>
        <w:t>,</w:t>
      </w:r>
      <w:r w:rsidRPr="00D662FF">
        <w:rPr>
          <w:rFonts w:ascii="Arial" w:hAnsi="Arial" w:cs="Arial"/>
        </w:rPr>
        <w:t xml:space="preserve"> Services Australia will check the applicant’s </w:t>
      </w:r>
      <w:proofErr w:type="spellStart"/>
      <w:r w:rsidRPr="00D662FF">
        <w:rPr>
          <w:rFonts w:ascii="Arial" w:hAnsi="Arial" w:cs="Arial"/>
        </w:rPr>
        <w:t>MyMedicare</w:t>
      </w:r>
      <w:proofErr w:type="spellEnd"/>
      <w:r w:rsidRPr="00D662FF">
        <w:rPr>
          <w:rFonts w:ascii="Arial" w:hAnsi="Arial" w:cs="Arial"/>
        </w:rPr>
        <w:t xml:space="preserve"> registration and their Medicare to determine their eligibility as part of the rebate claim. </w:t>
      </w:r>
    </w:p>
    <w:p w14:paraId="53C9372E" w14:textId="02DF19B7" w:rsidR="00E57528" w:rsidRPr="00D662FF" w:rsidRDefault="00E57528" w:rsidP="0005008D">
      <w:pPr>
        <w:numPr>
          <w:ilvl w:val="0"/>
          <w:numId w:val="13"/>
        </w:numPr>
        <w:shd w:val="clear" w:color="auto" w:fill="FFFFFF"/>
        <w:spacing w:before="0" w:after="160" w:line="259" w:lineRule="auto"/>
        <w:jc w:val="both"/>
        <w:rPr>
          <w:rFonts w:ascii="Arial" w:hAnsi="Arial" w:cs="Arial"/>
        </w:rPr>
      </w:pPr>
      <w:r w:rsidRPr="00D662FF">
        <w:rPr>
          <w:rFonts w:ascii="Arial" w:hAnsi="Arial" w:cs="Arial"/>
        </w:rPr>
        <w:t xml:space="preserve">When a general practice or general practitioner claims for a payment associated with the </w:t>
      </w:r>
      <w:proofErr w:type="spellStart"/>
      <w:r w:rsidRPr="00D662FF">
        <w:rPr>
          <w:rFonts w:ascii="Arial" w:hAnsi="Arial" w:cs="Arial"/>
        </w:rPr>
        <w:t>MyMedicare</w:t>
      </w:r>
      <w:proofErr w:type="spellEnd"/>
      <w:r w:rsidRPr="00D662FF">
        <w:rPr>
          <w:rFonts w:ascii="Arial" w:hAnsi="Arial" w:cs="Arial"/>
        </w:rPr>
        <w:t xml:space="preserve"> related initiatives Serv</w:t>
      </w:r>
      <w:r w:rsidR="00640970" w:rsidRPr="00D662FF">
        <w:rPr>
          <w:rFonts w:ascii="Arial" w:hAnsi="Arial" w:cs="Arial"/>
        </w:rPr>
        <w:t>ices Australia will access the P</w:t>
      </w:r>
      <w:r w:rsidRPr="00D662FF">
        <w:rPr>
          <w:rFonts w:ascii="Arial" w:hAnsi="Arial" w:cs="Arial"/>
        </w:rPr>
        <w:t>atient’s history of rebates paid to calculate addi</w:t>
      </w:r>
      <w:r w:rsidR="00640970" w:rsidRPr="00D662FF">
        <w:rPr>
          <w:rFonts w:ascii="Arial" w:hAnsi="Arial" w:cs="Arial"/>
        </w:rPr>
        <w:t>tional payments to the P</w:t>
      </w:r>
      <w:r w:rsidRPr="00D662FF">
        <w:rPr>
          <w:rFonts w:ascii="Arial" w:hAnsi="Arial" w:cs="Arial"/>
        </w:rPr>
        <w:t>ractice and/or general practitioner.</w:t>
      </w:r>
    </w:p>
    <w:p w14:paraId="238D37FB" w14:textId="4DA1AE25" w:rsidR="00E57528" w:rsidRPr="00D662FF" w:rsidRDefault="00D01275" w:rsidP="0005008D">
      <w:pPr>
        <w:pStyle w:val="ListParagraph"/>
        <w:numPr>
          <w:ilvl w:val="0"/>
          <w:numId w:val="12"/>
        </w:numPr>
        <w:spacing w:before="0"/>
        <w:jc w:val="both"/>
        <w:rPr>
          <w:rFonts w:ascii="Arial" w:hAnsi="Arial" w:cs="Arial"/>
        </w:rPr>
      </w:pPr>
      <w:r w:rsidRPr="00D662FF">
        <w:rPr>
          <w:rFonts w:ascii="Arial" w:hAnsi="Arial" w:cs="Arial"/>
        </w:rPr>
        <w:t xml:space="preserve">To </w:t>
      </w:r>
      <w:r w:rsidR="00640970" w:rsidRPr="00D662FF">
        <w:rPr>
          <w:rFonts w:ascii="Arial" w:hAnsi="Arial" w:cs="Arial"/>
        </w:rPr>
        <w:t>enable ongoing management of a P</w:t>
      </w:r>
      <w:r w:rsidRPr="00D662FF">
        <w:rPr>
          <w:rFonts w:ascii="Arial" w:hAnsi="Arial" w:cs="Arial"/>
        </w:rPr>
        <w:t>atient’s records a</w:t>
      </w:r>
      <w:r w:rsidR="00640970" w:rsidRPr="00D662FF">
        <w:rPr>
          <w:rFonts w:ascii="Arial" w:hAnsi="Arial" w:cs="Arial"/>
        </w:rPr>
        <w:t>nd provide assistance to P</w:t>
      </w:r>
      <w:r w:rsidRPr="00D662FF">
        <w:rPr>
          <w:rFonts w:ascii="Arial" w:hAnsi="Arial" w:cs="Arial"/>
        </w:rPr>
        <w:t>atients, Services Australia staff will access records</w:t>
      </w:r>
      <w:r w:rsidR="00640970" w:rsidRPr="00D662FF">
        <w:rPr>
          <w:rFonts w:ascii="Arial" w:hAnsi="Arial" w:cs="Arial"/>
        </w:rPr>
        <w:t xml:space="preserve"> to amend a P</w:t>
      </w:r>
      <w:r w:rsidRPr="00D662FF">
        <w:rPr>
          <w:rFonts w:ascii="Arial" w:hAnsi="Arial" w:cs="Arial"/>
        </w:rPr>
        <w:t xml:space="preserve">atient’s </w:t>
      </w:r>
      <w:proofErr w:type="spellStart"/>
      <w:r w:rsidRPr="00D662FF">
        <w:rPr>
          <w:rFonts w:ascii="Arial" w:hAnsi="Arial" w:cs="Arial"/>
        </w:rPr>
        <w:t>MyMedicare</w:t>
      </w:r>
      <w:proofErr w:type="spellEnd"/>
      <w:r w:rsidRPr="00D662FF">
        <w:rPr>
          <w:rFonts w:ascii="Arial" w:hAnsi="Arial" w:cs="Arial"/>
        </w:rPr>
        <w:t xml:space="preserve"> information on behalf of a </w:t>
      </w:r>
      <w:r w:rsidR="00640970" w:rsidRPr="00D662FF">
        <w:rPr>
          <w:rFonts w:ascii="Arial" w:hAnsi="Arial" w:cs="Arial"/>
        </w:rPr>
        <w:t>Patient if requested by a P</w:t>
      </w:r>
      <w:r w:rsidRPr="00D662FF">
        <w:rPr>
          <w:rFonts w:ascii="Arial" w:hAnsi="Arial" w:cs="Arial"/>
        </w:rPr>
        <w:t>atient or their authorised representative.</w:t>
      </w:r>
    </w:p>
    <w:p w14:paraId="535B40F7" w14:textId="77777777" w:rsidR="00D01275" w:rsidRPr="00D662FF" w:rsidRDefault="00D01275" w:rsidP="0005008D">
      <w:pPr>
        <w:pStyle w:val="ListParagraph"/>
        <w:spacing w:before="0"/>
        <w:jc w:val="both"/>
        <w:rPr>
          <w:rFonts w:ascii="Arial" w:hAnsi="Arial" w:cs="Arial"/>
        </w:rPr>
      </w:pPr>
    </w:p>
    <w:p w14:paraId="7ABC275E" w14:textId="440CFD64" w:rsidR="00D01275" w:rsidRPr="00D662FF" w:rsidRDefault="00D01275" w:rsidP="0005008D">
      <w:pPr>
        <w:pStyle w:val="ListParagraph"/>
        <w:numPr>
          <w:ilvl w:val="0"/>
          <w:numId w:val="12"/>
        </w:numPr>
        <w:spacing w:before="0"/>
        <w:jc w:val="both"/>
        <w:rPr>
          <w:rFonts w:ascii="Arial" w:hAnsi="Arial" w:cs="Arial"/>
        </w:rPr>
      </w:pPr>
      <w:r w:rsidRPr="00D662FF">
        <w:rPr>
          <w:rFonts w:ascii="Arial" w:hAnsi="Arial" w:cs="Arial"/>
        </w:rPr>
        <w:t xml:space="preserve">To allow </w:t>
      </w:r>
      <w:proofErr w:type="spellStart"/>
      <w:r w:rsidRPr="00D662FF">
        <w:rPr>
          <w:rFonts w:ascii="Arial" w:hAnsi="Arial" w:cs="Arial"/>
        </w:rPr>
        <w:t>DoHAC</w:t>
      </w:r>
      <w:proofErr w:type="spellEnd"/>
      <w:r w:rsidRPr="00D662FF">
        <w:rPr>
          <w:rFonts w:ascii="Arial" w:hAnsi="Arial" w:cs="Arial"/>
        </w:rPr>
        <w:t xml:space="preserve"> </w:t>
      </w:r>
      <w:r w:rsidR="0005008D" w:rsidRPr="00D662FF">
        <w:rPr>
          <w:rFonts w:ascii="Arial" w:hAnsi="Arial" w:cs="Arial"/>
        </w:rPr>
        <w:t xml:space="preserve">and DVA </w:t>
      </w:r>
      <w:r w:rsidRPr="00D662FF">
        <w:rPr>
          <w:rFonts w:ascii="Arial" w:hAnsi="Arial" w:cs="Arial"/>
        </w:rPr>
        <w:t xml:space="preserve">officers to undertake compliance functions in relation to general practitioners who have claimed payments associated with </w:t>
      </w:r>
      <w:proofErr w:type="spellStart"/>
      <w:r w:rsidRPr="00D662FF">
        <w:rPr>
          <w:rFonts w:ascii="Arial" w:hAnsi="Arial" w:cs="Arial"/>
        </w:rPr>
        <w:t>MyMedicare</w:t>
      </w:r>
      <w:proofErr w:type="spellEnd"/>
      <w:r w:rsidRPr="00D662FF">
        <w:rPr>
          <w:rFonts w:ascii="Arial" w:hAnsi="Arial" w:cs="Arial"/>
        </w:rPr>
        <w:t xml:space="preserve"> related initiatives.</w:t>
      </w:r>
    </w:p>
    <w:p w14:paraId="12F610E0" w14:textId="77777777" w:rsidR="00D01275" w:rsidRPr="00D662FF" w:rsidRDefault="00D01275" w:rsidP="004D65E4">
      <w:pPr>
        <w:pStyle w:val="ListParagraph"/>
        <w:jc w:val="both"/>
        <w:rPr>
          <w:rFonts w:ascii="Arial" w:hAnsi="Arial" w:cs="Arial"/>
        </w:rPr>
      </w:pPr>
    </w:p>
    <w:p w14:paraId="4E1B23CF" w14:textId="2FAF5E72" w:rsidR="00D01275" w:rsidRPr="00D662FF" w:rsidRDefault="00D01275" w:rsidP="004D65E4">
      <w:pPr>
        <w:pStyle w:val="ListParagraph"/>
        <w:numPr>
          <w:ilvl w:val="0"/>
          <w:numId w:val="13"/>
        </w:numPr>
        <w:jc w:val="both"/>
        <w:rPr>
          <w:rFonts w:ascii="Arial" w:hAnsi="Arial" w:cs="Arial"/>
        </w:rPr>
      </w:pPr>
      <w:r w:rsidRPr="00D662FF">
        <w:rPr>
          <w:rFonts w:ascii="Arial" w:hAnsi="Arial" w:cs="Arial"/>
        </w:rPr>
        <w:t xml:space="preserve">To allow </w:t>
      </w:r>
      <w:proofErr w:type="spellStart"/>
      <w:r w:rsidRPr="00D662FF">
        <w:rPr>
          <w:rFonts w:ascii="Arial" w:hAnsi="Arial" w:cs="Arial"/>
        </w:rPr>
        <w:t>DoHAC</w:t>
      </w:r>
      <w:proofErr w:type="spellEnd"/>
      <w:r w:rsidRPr="00D662FF">
        <w:rPr>
          <w:rFonts w:ascii="Arial" w:hAnsi="Arial" w:cs="Arial"/>
        </w:rPr>
        <w:t xml:space="preserve"> officers to measure </w:t>
      </w:r>
      <w:proofErr w:type="spellStart"/>
      <w:r w:rsidRPr="00D662FF">
        <w:rPr>
          <w:rFonts w:ascii="Arial" w:hAnsi="Arial" w:cs="Arial"/>
        </w:rPr>
        <w:t>MyMedicare</w:t>
      </w:r>
      <w:proofErr w:type="spellEnd"/>
      <w:r w:rsidRPr="00D662FF">
        <w:rPr>
          <w:rFonts w:ascii="Arial" w:hAnsi="Arial" w:cs="Arial"/>
        </w:rPr>
        <w:t xml:space="preserve"> registration upta</w:t>
      </w:r>
      <w:r w:rsidR="00640970" w:rsidRPr="00D662FF">
        <w:rPr>
          <w:rFonts w:ascii="Arial" w:hAnsi="Arial" w:cs="Arial"/>
        </w:rPr>
        <w:t>ke by Practices, Providers and P</w:t>
      </w:r>
      <w:r w:rsidRPr="00D662FF">
        <w:rPr>
          <w:rFonts w:ascii="Arial" w:hAnsi="Arial" w:cs="Arial"/>
        </w:rPr>
        <w:t>atient cohorts, and ongoing program monitoring and reporting.</w:t>
      </w:r>
    </w:p>
    <w:p w14:paraId="0239ADB8" w14:textId="77777777" w:rsidR="00D01275" w:rsidRPr="00D662FF" w:rsidRDefault="00D01275" w:rsidP="004D65E4">
      <w:pPr>
        <w:pStyle w:val="ListParagraph"/>
        <w:jc w:val="both"/>
        <w:rPr>
          <w:rFonts w:ascii="Arial" w:hAnsi="Arial" w:cs="Arial"/>
        </w:rPr>
      </w:pPr>
    </w:p>
    <w:p w14:paraId="7D64ABA8" w14:textId="2EB3CB1E" w:rsidR="00F14529" w:rsidRPr="00D662FF" w:rsidRDefault="00D01275" w:rsidP="004D65E4">
      <w:pPr>
        <w:numPr>
          <w:ilvl w:val="0"/>
          <w:numId w:val="13"/>
        </w:numPr>
        <w:shd w:val="clear" w:color="auto" w:fill="FFFFFF" w:themeFill="background1"/>
        <w:spacing w:before="0" w:after="160" w:line="259" w:lineRule="auto"/>
        <w:jc w:val="both"/>
        <w:rPr>
          <w:rFonts w:ascii="Arial" w:hAnsi="Arial" w:cs="Arial"/>
        </w:rPr>
      </w:pPr>
      <w:r w:rsidRPr="00D662FF">
        <w:rPr>
          <w:rFonts w:ascii="Arial" w:hAnsi="Arial" w:cs="Arial"/>
        </w:rPr>
        <w:t>To inform policy development through data-driven population health needs</w:t>
      </w:r>
      <w:r w:rsidR="0005008D" w:rsidRPr="00D662FF">
        <w:rPr>
          <w:rFonts w:ascii="Arial" w:hAnsi="Arial" w:cs="Arial"/>
        </w:rPr>
        <w:t xml:space="preserve"> and </w:t>
      </w:r>
      <w:r w:rsidR="00640970" w:rsidRPr="00D662FF">
        <w:rPr>
          <w:rFonts w:ascii="Arial" w:hAnsi="Arial" w:cs="Arial"/>
        </w:rPr>
        <w:t>analysis to improve P</w:t>
      </w:r>
      <w:r w:rsidRPr="00D662FF">
        <w:rPr>
          <w:rFonts w:ascii="Arial" w:hAnsi="Arial" w:cs="Arial"/>
        </w:rPr>
        <w:t>atient health outcomes and provide a platform for future funding reform and improvements in digital health and infrastructure.</w:t>
      </w:r>
    </w:p>
    <w:p w14:paraId="0A583B67" w14:textId="77777777" w:rsidR="00F14529" w:rsidRPr="00D662FF" w:rsidRDefault="00F14529" w:rsidP="005A4E4B">
      <w:pPr>
        <w:spacing w:before="0"/>
        <w:jc w:val="both"/>
        <w:rPr>
          <w:rFonts w:ascii="Arial" w:hAnsi="Arial" w:cs="Arial"/>
          <w:u w:val="single"/>
        </w:rPr>
      </w:pPr>
    </w:p>
    <w:p w14:paraId="397FFDBE" w14:textId="28987F9E" w:rsidR="0064635C" w:rsidRPr="00D662FF" w:rsidRDefault="0064635C" w:rsidP="005A4E4B">
      <w:pPr>
        <w:spacing w:before="0"/>
        <w:jc w:val="both"/>
        <w:rPr>
          <w:rFonts w:ascii="Arial" w:hAnsi="Arial" w:cs="Arial"/>
          <w:u w:val="single"/>
        </w:rPr>
      </w:pPr>
      <w:r w:rsidRPr="00D662FF">
        <w:rPr>
          <w:rFonts w:ascii="Arial" w:hAnsi="Arial" w:cs="Arial"/>
          <w:u w:val="single"/>
        </w:rPr>
        <w:t xml:space="preserve">Patient </w:t>
      </w:r>
      <w:proofErr w:type="spellStart"/>
      <w:r w:rsidRPr="00D662FF">
        <w:rPr>
          <w:rFonts w:ascii="Arial" w:hAnsi="Arial" w:cs="Arial"/>
          <w:u w:val="single"/>
        </w:rPr>
        <w:t>MyMedicare</w:t>
      </w:r>
      <w:proofErr w:type="spellEnd"/>
      <w:r w:rsidRPr="00D662FF">
        <w:rPr>
          <w:rFonts w:ascii="Arial" w:hAnsi="Arial" w:cs="Arial"/>
          <w:u w:val="single"/>
        </w:rPr>
        <w:t xml:space="preserve"> Registration </w:t>
      </w:r>
    </w:p>
    <w:p w14:paraId="7E3634E4" w14:textId="77777777" w:rsidR="0064635C" w:rsidRPr="00D662FF" w:rsidRDefault="0064635C" w:rsidP="005A4E4B">
      <w:pPr>
        <w:spacing w:before="0"/>
        <w:jc w:val="both"/>
        <w:rPr>
          <w:rFonts w:ascii="Arial" w:hAnsi="Arial" w:cs="Arial"/>
        </w:rPr>
      </w:pPr>
    </w:p>
    <w:p w14:paraId="00980AFD" w14:textId="77743863" w:rsidR="0015044C" w:rsidRPr="00D662FF" w:rsidRDefault="00E13FF3" w:rsidP="005A4E4B">
      <w:pPr>
        <w:spacing w:before="0"/>
        <w:jc w:val="both"/>
        <w:rPr>
          <w:rFonts w:ascii="Arial" w:hAnsi="Arial" w:cs="Arial"/>
        </w:rPr>
      </w:pPr>
      <w:r w:rsidRPr="00D662FF">
        <w:rPr>
          <w:rFonts w:ascii="Arial" w:hAnsi="Arial" w:cs="Arial"/>
        </w:rPr>
        <w:t xml:space="preserve">When </w:t>
      </w:r>
      <w:r w:rsidR="00640970" w:rsidRPr="00D662FF">
        <w:rPr>
          <w:rFonts w:ascii="Arial" w:hAnsi="Arial" w:cs="Arial"/>
        </w:rPr>
        <w:t>a P</w:t>
      </w:r>
      <w:r w:rsidR="00590CEF" w:rsidRPr="00D662FF">
        <w:rPr>
          <w:rFonts w:ascii="Arial" w:hAnsi="Arial" w:cs="Arial"/>
        </w:rPr>
        <w:t xml:space="preserve">atient applies to register for the </w:t>
      </w:r>
      <w:proofErr w:type="spellStart"/>
      <w:r w:rsidR="00590CEF" w:rsidRPr="00D662FF">
        <w:rPr>
          <w:rFonts w:ascii="Arial" w:hAnsi="Arial" w:cs="Arial"/>
        </w:rPr>
        <w:t>MyMedicare</w:t>
      </w:r>
      <w:proofErr w:type="spellEnd"/>
      <w:r w:rsidR="00590CEF" w:rsidRPr="00D662FF">
        <w:rPr>
          <w:rFonts w:ascii="Arial" w:hAnsi="Arial" w:cs="Arial"/>
        </w:rPr>
        <w:t xml:space="preserve"> program via their </w:t>
      </w:r>
      <w:r w:rsidR="00640970" w:rsidRPr="00D662FF">
        <w:rPr>
          <w:rFonts w:ascii="Arial" w:hAnsi="Arial" w:cs="Arial"/>
        </w:rPr>
        <w:t>Practice</w:t>
      </w:r>
      <w:r w:rsidR="00590CEF" w:rsidRPr="00D662FF">
        <w:rPr>
          <w:rFonts w:ascii="Arial" w:hAnsi="Arial" w:cs="Arial"/>
        </w:rPr>
        <w:t>, a delegate</w:t>
      </w:r>
      <w:r w:rsidR="00640970" w:rsidRPr="00D662FF">
        <w:rPr>
          <w:rFonts w:ascii="Arial" w:hAnsi="Arial" w:cs="Arial"/>
        </w:rPr>
        <w:t xml:space="preserve"> of the P</w:t>
      </w:r>
      <w:r w:rsidR="0005008D" w:rsidRPr="00D662FF">
        <w:rPr>
          <w:rFonts w:ascii="Arial" w:hAnsi="Arial" w:cs="Arial"/>
        </w:rPr>
        <w:t xml:space="preserve">ractice </w:t>
      </w:r>
      <w:r w:rsidR="00590CEF" w:rsidRPr="00D662FF">
        <w:rPr>
          <w:rFonts w:ascii="Arial" w:hAnsi="Arial" w:cs="Arial"/>
        </w:rPr>
        <w:t xml:space="preserve">will initially conduct a search for </w:t>
      </w:r>
      <w:r w:rsidR="00640970" w:rsidRPr="00D662FF">
        <w:rPr>
          <w:rFonts w:ascii="Arial" w:hAnsi="Arial" w:cs="Arial"/>
        </w:rPr>
        <w:t>the P</w:t>
      </w:r>
      <w:r w:rsidR="00590CEF" w:rsidRPr="00D662FF">
        <w:rPr>
          <w:rFonts w:ascii="Arial" w:hAnsi="Arial" w:cs="Arial"/>
        </w:rPr>
        <w:t>atient’s Medicare</w:t>
      </w:r>
      <w:r w:rsidR="004C0EF6" w:rsidRPr="00D662FF">
        <w:rPr>
          <w:rFonts w:ascii="Arial" w:hAnsi="Arial" w:cs="Arial"/>
        </w:rPr>
        <w:t xml:space="preserve">. </w:t>
      </w:r>
      <w:r w:rsidR="00640970" w:rsidRPr="00D662FF">
        <w:rPr>
          <w:rFonts w:ascii="Arial" w:hAnsi="Arial" w:cs="Arial"/>
        </w:rPr>
        <w:t>If a match for the P</w:t>
      </w:r>
      <w:r w:rsidR="00590CEF" w:rsidRPr="00D662FF">
        <w:rPr>
          <w:rFonts w:ascii="Arial" w:hAnsi="Arial" w:cs="Arial"/>
        </w:rPr>
        <w:t xml:space="preserve">atient is located, the following details for the </w:t>
      </w:r>
      <w:r w:rsidR="00640970" w:rsidRPr="00D662FF">
        <w:rPr>
          <w:rFonts w:ascii="Arial" w:hAnsi="Arial" w:cs="Arial"/>
        </w:rPr>
        <w:t>P</w:t>
      </w:r>
      <w:r w:rsidR="00590CEF" w:rsidRPr="00D662FF">
        <w:rPr>
          <w:rFonts w:ascii="Arial" w:hAnsi="Arial" w:cs="Arial"/>
        </w:rPr>
        <w:t>atient will be displayed:</w:t>
      </w:r>
    </w:p>
    <w:p w14:paraId="63EA3EA2" w14:textId="77777777" w:rsidR="00590CEF" w:rsidRPr="00D662FF" w:rsidRDefault="00590CEF" w:rsidP="005A4E4B">
      <w:pPr>
        <w:spacing w:before="0"/>
        <w:jc w:val="both"/>
        <w:rPr>
          <w:rFonts w:ascii="Arial" w:hAnsi="Arial" w:cs="Arial"/>
        </w:rPr>
      </w:pPr>
    </w:p>
    <w:p w14:paraId="2C71CBEF" w14:textId="0BEFD004" w:rsidR="00590CEF" w:rsidRPr="00D662FF" w:rsidRDefault="00640970" w:rsidP="005A4E4B">
      <w:pPr>
        <w:pStyle w:val="ListParagraph"/>
        <w:numPr>
          <w:ilvl w:val="0"/>
          <w:numId w:val="3"/>
        </w:numPr>
        <w:spacing w:before="0"/>
        <w:jc w:val="both"/>
        <w:rPr>
          <w:rFonts w:ascii="Arial" w:hAnsi="Arial" w:cs="Arial"/>
        </w:rPr>
      </w:pPr>
      <w:r w:rsidRPr="00D662FF">
        <w:rPr>
          <w:rFonts w:ascii="Arial" w:hAnsi="Arial" w:cs="Arial"/>
        </w:rPr>
        <w:t>P</w:t>
      </w:r>
      <w:r w:rsidR="00590CEF" w:rsidRPr="00D662FF">
        <w:rPr>
          <w:rFonts w:ascii="Arial" w:hAnsi="Arial" w:cs="Arial"/>
        </w:rPr>
        <w:t>atient name</w:t>
      </w:r>
    </w:p>
    <w:p w14:paraId="24A9512A" w14:textId="77777777" w:rsidR="00590CEF" w:rsidRPr="00D662FF" w:rsidRDefault="00590CEF" w:rsidP="005A4E4B">
      <w:pPr>
        <w:pStyle w:val="ListParagraph"/>
        <w:spacing w:before="0"/>
        <w:jc w:val="both"/>
        <w:rPr>
          <w:rFonts w:ascii="Arial" w:hAnsi="Arial" w:cs="Arial"/>
        </w:rPr>
      </w:pPr>
    </w:p>
    <w:p w14:paraId="0E9B7AB9" w14:textId="77777777" w:rsidR="00590CEF" w:rsidRPr="00D662FF" w:rsidRDefault="00590CEF" w:rsidP="005A4E4B">
      <w:pPr>
        <w:pStyle w:val="ListParagraph"/>
        <w:numPr>
          <w:ilvl w:val="0"/>
          <w:numId w:val="3"/>
        </w:numPr>
        <w:spacing w:before="0"/>
        <w:jc w:val="both"/>
        <w:rPr>
          <w:rFonts w:ascii="Arial" w:hAnsi="Arial" w:cs="Arial"/>
        </w:rPr>
      </w:pPr>
      <w:r w:rsidRPr="00D662FF">
        <w:rPr>
          <w:rFonts w:ascii="Arial" w:hAnsi="Arial" w:cs="Arial"/>
        </w:rPr>
        <w:t>date of birth</w:t>
      </w:r>
    </w:p>
    <w:p w14:paraId="7DBFC31A" w14:textId="77777777" w:rsidR="00590CEF" w:rsidRPr="00D662FF" w:rsidRDefault="00590CEF" w:rsidP="005A4E4B">
      <w:pPr>
        <w:pStyle w:val="ListParagraph"/>
        <w:spacing w:before="0"/>
        <w:rPr>
          <w:rFonts w:ascii="Arial" w:hAnsi="Arial" w:cs="Arial"/>
        </w:rPr>
      </w:pPr>
    </w:p>
    <w:p w14:paraId="40ACA99E" w14:textId="265DC1D9" w:rsidR="00590CEF" w:rsidRPr="00D662FF" w:rsidRDefault="00590CEF" w:rsidP="005A4E4B">
      <w:pPr>
        <w:pStyle w:val="ListParagraph"/>
        <w:numPr>
          <w:ilvl w:val="0"/>
          <w:numId w:val="3"/>
        </w:numPr>
        <w:spacing w:before="0"/>
        <w:jc w:val="both"/>
        <w:rPr>
          <w:rFonts w:ascii="Arial" w:hAnsi="Arial" w:cs="Arial"/>
        </w:rPr>
      </w:pPr>
      <w:r w:rsidRPr="00D662FF">
        <w:rPr>
          <w:rFonts w:ascii="Arial" w:hAnsi="Arial" w:cs="Arial"/>
        </w:rPr>
        <w:t>Medicare Card Number</w:t>
      </w:r>
      <w:r w:rsidR="0005008D" w:rsidRPr="00D662FF">
        <w:rPr>
          <w:rFonts w:ascii="Arial" w:hAnsi="Arial" w:cs="Arial"/>
        </w:rPr>
        <w:t xml:space="preserve"> – IRN or DVA File Number</w:t>
      </w:r>
    </w:p>
    <w:p w14:paraId="279AB439" w14:textId="1ED83331" w:rsidR="0015044C" w:rsidRPr="00D662FF" w:rsidRDefault="0015044C" w:rsidP="005A4E4B">
      <w:pPr>
        <w:spacing w:before="0"/>
        <w:jc w:val="both"/>
        <w:rPr>
          <w:rFonts w:ascii="Arial" w:hAnsi="Arial" w:cs="Arial"/>
        </w:rPr>
      </w:pPr>
    </w:p>
    <w:p w14:paraId="7500BE47" w14:textId="07C915C4" w:rsidR="00590CEF" w:rsidRPr="00D662FF" w:rsidRDefault="00590CEF" w:rsidP="005A4E4B">
      <w:pPr>
        <w:spacing w:before="0"/>
        <w:jc w:val="both"/>
        <w:rPr>
          <w:rFonts w:ascii="Arial" w:hAnsi="Arial" w:cs="Arial"/>
        </w:rPr>
      </w:pPr>
      <w:r w:rsidRPr="00D662FF">
        <w:rPr>
          <w:rFonts w:ascii="Arial" w:hAnsi="Arial" w:cs="Arial"/>
        </w:rPr>
        <w:t xml:space="preserve">The above information is information about a person acquired by Services Australia under the Health Insurance Act or the </w:t>
      </w:r>
      <w:r w:rsidR="00A33C41" w:rsidRPr="00D662FF">
        <w:rPr>
          <w:rFonts w:ascii="Arial" w:hAnsi="Arial" w:cs="Arial"/>
        </w:rPr>
        <w:t>National Health Act</w:t>
      </w:r>
      <w:r w:rsidRPr="00D662FF">
        <w:rPr>
          <w:rFonts w:ascii="Arial" w:hAnsi="Arial" w:cs="Arial"/>
        </w:rPr>
        <w:t>, for the purposes of the relevant Act.  The display</w:t>
      </w:r>
      <w:r w:rsidR="005A2958" w:rsidRPr="00D662FF">
        <w:rPr>
          <w:rFonts w:ascii="Arial" w:hAnsi="Arial" w:cs="Arial"/>
        </w:rPr>
        <w:t xml:space="preserve">ing of </w:t>
      </w:r>
      <w:r w:rsidR="00640970" w:rsidRPr="00D662FF">
        <w:rPr>
          <w:rFonts w:ascii="Arial" w:hAnsi="Arial" w:cs="Arial"/>
        </w:rPr>
        <w:t>such information from a P</w:t>
      </w:r>
      <w:r w:rsidRPr="00D662FF">
        <w:rPr>
          <w:rFonts w:ascii="Arial" w:hAnsi="Arial" w:cs="Arial"/>
        </w:rPr>
        <w:t>atient's Medicare record to a</w:t>
      </w:r>
      <w:r w:rsidR="0005008D" w:rsidRPr="00D662FF">
        <w:rPr>
          <w:rFonts w:ascii="Arial" w:hAnsi="Arial" w:cs="Arial"/>
        </w:rPr>
        <w:t xml:space="preserve"> Practice delegate</w:t>
      </w:r>
      <w:r w:rsidRPr="00D662FF">
        <w:rPr>
          <w:rFonts w:ascii="Arial" w:hAnsi="Arial" w:cs="Arial"/>
        </w:rPr>
        <w:t>, will constitute a divulging of protected information under the Health Insurance Act and National Health Act.</w:t>
      </w:r>
    </w:p>
    <w:p w14:paraId="536E7A6D" w14:textId="77777777" w:rsidR="00E01B70" w:rsidRPr="00D662FF" w:rsidRDefault="00E01B70" w:rsidP="005A4E4B">
      <w:pPr>
        <w:spacing w:before="0"/>
        <w:jc w:val="both"/>
        <w:rPr>
          <w:rFonts w:ascii="Arial" w:hAnsi="Arial" w:cs="Arial"/>
        </w:rPr>
      </w:pPr>
    </w:p>
    <w:p w14:paraId="7FE5CBBE" w14:textId="77777777" w:rsidR="004C0EF6" w:rsidRPr="00D662FF" w:rsidRDefault="00640970" w:rsidP="005A4E4B">
      <w:pPr>
        <w:spacing w:before="0"/>
        <w:jc w:val="both"/>
        <w:rPr>
          <w:rFonts w:ascii="Arial" w:hAnsi="Arial" w:cs="Arial"/>
        </w:rPr>
      </w:pPr>
      <w:r w:rsidRPr="00D662FF">
        <w:rPr>
          <w:rFonts w:ascii="Arial" w:hAnsi="Arial" w:cs="Arial"/>
        </w:rPr>
        <w:t>During the P</w:t>
      </w:r>
      <w:r w:rsidR="00E01B70" w:rsidRPr="00D662FF">
        <w:rPr>
          <w:rFonts w:ascii="Arial" w:hAnsi="Arial" w:cs="Arial"/>
        </w:rPr>
        <w:t xml:space="preserve">atient </w:t>
      </w:r>
      <w:r w:rsidR="0005008D" w:rsidRPr="00D662FF">
        <w:rPr>
          <w:rFonts w:ascii="Arial" w:hAnsi="Arial" w:cs="Arial"/>
        </w:rPr>
        <w:t>registration</w:t>
      </w:r>
      <w:r w:rsidR="00E01B70" w:rsidRPr="00D662FF">
        <w:rPr>
          <w:rFonts w:ascii="Arial" w:hAnsi="Arial" w:cs="Arial"/>
        </w:rPr>
        <w:t xml:space="preserve"> process, Services Australia will conduct a check of a </w:t>
      </w:r>
      <w:r w:rsidRPr="00D662FF">
        <w:rPr>
          <w:rFonts w:ascii="Arial" w:hAnsi="Arial" w:cs="Arial"/>
        </w:rPr>
        <w:t>P</w:t>
      </w:r>
      <w:r w:rsidR="00E01B70" w:rsidRPr="00D662FF">
        <w:rPr>
          <w:rFonts w:ascii="Arial" w:hAnsi="Arial" w:cs="Arial"/>
        </w:rPr>
        <w:t xml:space="preserve">atient's Medicare Benefits </w:t>
      </w:r>
      <w:r w:rsidR="004C0EF6" w:rsidRPr="00D662FF">
        <w:rPr>
          <w:rFonts w:ascii="Arial" w:hAnsi="Arial" w:cs="Arial"/>
        </w:rPr>
        <w:t>Schedule</w:t>
      </w:r>
      <w:r w:rsidR="00E01B70" w:rsidRPr="00D662FF">
        <w:rPr>
          <w:rFonts w:ascii="Arial" w:hAnsi="Arial" w:cs="Arial"/>
        </w:rPr>
        <w:t xml:space="preserve"> (MBS) claims inf</w:t>
      </w:r>
      <w:r w:rsidRPr="00D662FF">
        <w:rPr>
          <w:rFonts w:ascii="Arial" w:hAnsi="Arial" w:cs="Arial"/>
        </w:rPr>
        <w:t>ormation to determine if the P</w:t>
      </w:r>
      <w:r w:rsidR="00E01B70" w:rsidRPr="00D662FF">
        <w:rPr>
          <w:rFonts w:ascii="Arial" w:hAnsi="Arial" w:cs="Arial"/>
        </w:rPr>
        <w:t>atient meets the eligibility requirements</w:t>
      </w:r>
      <w:r w:rsidR="00F86784" w:rsidRPr="00D662FF">
        <w:rPr>
          <w:rFonts w:ascii="Arial" w:hAnsi="Arial" w:cs="Arial"/>
        </w:rPr>
        <w:t xml:space="preserve"> (that is that they have received the required number of relevant services from their preferred </w:t>
      </w:r>
      <w:r w:rsidR="00B63EDD" w:rsidRPr="00D662FF">
        <w:rPr>
          <w:rFonts w:ascii="Arial" w:hAnsi="Arial" w:cs="Arial"/>
        </w:rPr>
        <w:t>P</w:t>
      </w:r>
      <w:r w:rsidR="00F86784" w:rsidRPr="00D662FF">
        <w:rPr>
          <w:rFonts w:ascii="Arial" w:hAnsi="Arial" w:cs="Arial"/>
        </w:rPr>
        <w:t>ractice)</w:t>
      </w:r>
      <w:r w:rsidR="00E01B70" w:rsidRPr="00D662FF">
        <w:rPr>
          <w:rFonts w:ascii="Arial" w:hAnsi="Arial" w:cs="Arial"/>
        </w:rPr>
        <w:t xml:space="preserve">.  </w:t>
      </w:r>
    </w:p>
    <w:p w14:paraId="25851C21" w14:textId="77777777" w:rsidR="004C0EF6" w:rsidRPr="00D662FF" w:rsidRDefault="004C0EF6" w:rsidP="005A4E4B">
      <w:pPr>
        <w:spacing w:before="0"/>
        <w:jc w:val="both"/>
        <w:rPr>
          <w:rFonts w:ascii="Arial" w:hAnsi="Arial" w:cs="Arial"/>
        </w:rPr>
      </w:pPr>
    </w:p>
    <w:p w14:paraId="505B8555" w14:textId="2DC624F8" w:rsidR="00E01B70" w:rsidRPr="00D662FF" w:rsidRDefault="00E01B70" w:rsidP="005A4E4B">
      <w:pPr>
        <w:spacing w:before="0"/>
        <w:jc w:val="both"/>
        <w:rPr>
          <w:rFonts w:ascii="Arial" w:hAnsi="Arial" w:cs="Arial"/>
        </w:rPr>
      </w:pPr>
      <w:r w:rsidRPr="00D662FF">
        <w:rPr>
          <w:rFonts w:ascii="Arial" w:hAnsi="Arial" w:cs="Arial"/>
        </w:rPr>
        <w:t xml:space="preserve">The system will search the </w:t>
      </w:r>
      <w:r w:rsidR="00640970" w:rsidRPr="00D662FF">
        <w:rPr>
          <w:rFonts w:ascii="Arial" w:hAnsi="Arial" w:cs="Arial"/>
        </w:rPr>
        <w:t>P</w:t>
      </w:r>
      <w:r w:rsidRPr="00D662FF">
        <w:rPr>
          <w:rFonts w:ascii="Arial" w:hAnsi="Arial" w:cs="Arial"/>
        </w:rPr>
        <w:t>atient's MBS</w:t>
      </w:r>
      <w:r w:rsidR="0081430A" w:rsidRPr="00D662FF">
        <w:rPr>
          <w:rFonts w:ascii="Arial" w:hAnsi="Arial" w:cs="Arial"/>
        </w:rPr>
        <w:t xml:space="preserve"> and DVA</w:t>
      </w:r>
      <w:r w:rsidRPr="00D662FF">
        <w:rPr>
          <w:rFonts w:ascii="Arial" w:hAnsi="Arial" w:cs="Arial"/>
        </w:rPr>
        <w:t xml:space="preserve"> claims data within the Medicare claims Item Fee File and apply the rules to determine the </w:t>
      </w:r>
      <w:r w:rsidR="00640970" w:rsidRPr="00D662FF">
        <w:rPr>
          <w:rFonts w:ascii="Arial" w:hAnsi="Arial" w:cs="Arial"/>
        </w:rPr>
        <w:t>P</w:t>
      </w:r>
      <w:r w:rsidRPr="00D662FF">
        <w:rPr>
          <w:rFonts w:ascii="Arial" w:hAnsi="Arial" w:cs="Arial"/>
        </w:rPr>
        <w:t xml:space="preserve">atient's eligibility. </w:t>
      </w:r>
    </w:p>
    <w:p w14:paraId="6216F0A2" w14:textId="77777777" w:rsidR="00E01B70" w:rsidRPr="00D662FF" w:rsidRDefault="00E01B70" w:rsidP="005A4E4B">
      <w:pPr>
        <w:spacing w:before="0"/>
        <w:jc w:val="both"/>
        <w:rPr>
          <w:rFonts w:ascii="Arial" w:hAnsi="Arial" w:cs="Arial"/>
        </w:rPr>
      </w:pPr>
      <w:r w:rsidRPr="00D662FF">
        <w:rPr>
          <w:rFonts w:ascii="Arial" w:hAnsi="Arial" w:cs="Arial"/>
        </w:rPr>
        <w:t xml:space="preserve"> </w:t>
      </w:r>
    </w:p>
    <w:p w14:paraId="251A6021" w14:textId="77777777" w:rsidR="00E01B70" w:rsidRPr="00D662FF" w:rsidRDefault="00E01B70" w:rsidP="005A4E4B">
      <w:pPr>
        <w:spacing w:before="0"/>
        <w:jc w:val="both"/>
        <w:rPr>
          <w:rFonts w:ascii="Arial" w:hAnsi="Arial" w:cs="Arial"/>
        </w:rPr>
      </w:pPr>
      <w:r w:rsidRPr="00D662FF">
        <w:rPr>
          <w:rFonts w:ascii="Arial" w:hAnsi="Arial" w:cs="Arial"/>
        </w:rPr>
        <w:t>These activities will constitute a communication of information about the affairs of a person that was collected for the purposes of the Health Insurance Act or the National Health Act</w:t>
      </w:r>
      <w:r w:rsidR="00044BC8" w:rsidRPr="00D662FF">
        <w:rPr>
          <w:rFonts w:ascii="Arial" w:hAnsi="Arial" w:cs="Arial"/>
        </w:rPr>
        <w:t>.</w:t>
      </w:r>
    </w:p>
    <w:p w14:paraId="7FE68D54" w14:textId="77777777" w:rsidR="00E01B70" w:rsidRPr="00D662FF" w:rsidRDefault="00E01B70" w:rsidP="005A4E4B">
      <w:pPr>
        <w:spacing w:before="0"/>
        <w:jc w:val="both"/>
        <w:rPr>
          <w:rFonts w:ascii="Arial" w:hAnsi="Arial" w:cs="Arial"/>
        </w:rPr>
      </w:pPr>
    </w:p>
    <w:p w14:paraId="4AC8CA53" w14:textId="02B10F8F" w:rsidR="00590CEF" w:rsidRPr="00D662FF" w:rsidRDefault="00640970" w:rsidP="005A4E4B">
      <w:pPr>
        <w:spacing w:before="0"/>
        <w:jc w:val="both"/>
        <w:rPr>
          <w:rFonts w:ascii="Arial" w:hAnsi="Arial" w:cs="Arial"/>
        </w:rPr>
      </w:pPr>
      <w:r w:rsidRPr="00D662FF">
        <w:rPr>
          <w:rFonts w:ascii="Arial" w:hAnsi="Arial" w:cs="Arial"/>
        </w:rPr>
        <w:t>Once the P</w:t>
      </w:r>
      <w:r w:rsidR="00E01B70" w:rsidRPr="00D662FF">
        <w:rPr>
          <w:rFonts w:ascii="Arial" w:hAnsi="Arial" w:cs="Arial"/>
        </w:rPr>
        <w:t xml:space="preserve">atient's eligibility to participate in the </w:t>
      </w:r>
      <w:proofErr w:type="spellStart"/>
      <w:r w:rsidR="00E01B70" w:rsidRPr="00D662FF">
        <w:rPr>
          <w:rFonts w:ascii="Arial" w:hAnsi="Arial" w:cs="Arial"/>
        </w:rPr>
        <w:t>MyMedicare</w:t>
      </w:r>
      <w:proofErr w:type="spellEnd"/>
      <w:r w:rsidR="00E01B70" w:rsidRPr="00D662FF">
        <w:rPr>
          <w:rFonts w:ascii="Arial" w:hAnsi="Arial" w:cs="Arial"/>
        </w:rPr>
        <w:t xml:space="preserve"> scheme has been determined in the system, the outcome is recorded in the </w:t>
      </w:r>
      <w:proofErr w:type="spellStart"/>
      <w:r w:rsidR="00E01B70" w:rsidRPr="00D662FF">
        <w:rPr>
          <w:rFonts w:ascii="Arial" w:hAnsi="Arial" w:cs="Arial"/>
        </w:rPr>
        <w:t>MyMedicare</w:t>
      </w:r>
      <w:proofErr w:type="spellEnd"/>
      <w:r w:rsidR="00E01B70" w:rsidRPr="00D662FF">
        <w:rPr>
          <w:rFonts w:ascii="Arial" w:hAnsi="Arial" w:cs="Arial"/>
        </w:rPr>
        <w:t xml:space="preserve"> system. This will constitute a divulging of protected information under the Health Insurance Act and National Health Act.</w:t>
      </w:r>
    </w:p>
    <w:p w14:paraId="1406A0E8" w14:textId="77777777" w:rsidR="00590CEF" w:rsidRPr="00D662FF" w:rsidRDefault="00590CEF" w:rsidP="005A4E4B">
      <w:pPr>
        <w:spacing w:before="0"/>
        <w:jc w:val="both"/>
        <w:rPr>
          <w:rFonts w:ascii="Arial" w:hAnsi="Arial" w:cs="Arial"/>
        </w:rPr>
      </w:pPr>
    </w:p>
    <w:p w14:paraId="5D579416" w14:textId="77777777" w:rsidR="00533D11" w:rsidRPr="00D662FF" w:rsidRDefault="0015044C" w:rsidP="005A4E4B">
      <w:pPr>
        <w:spacing w:before="0"/>
        <w:jc w:val="both"/>
        <w:rPr>
          <w:rFonts w:ascii="Arial" w:hAnsi="Arial" w:cs="Arial"/>
          <w:u w:val="single"/>
        </w:rPr>
      </w:pPr>
      <w:r w:rsidRPr="00D662FF">
        <w:rPr>
          <w:rFonts w:ascii="Arial" w:hAnsi="Arial" w:cs="Arial"/>
          <w:u w:val="single"/>
        </w:rPr>
        <w:t xml:space="preserve">Organisation Site </w:t>
      </w:r>
      <w:proofErr w:type="spellStart"/>
      <w:r w:rsidRPr="00D662FF">
        <w:rPr>
          <w:rFonts w:ascii="Arial" w:hAnsi="Arial" w:cs="Arial"/>
          <w:u w:val="single"/>
        </w:rPr>
        <w:t>MyMedicare</w:t>
      </w:r>
      <w:proofErr w:type="spellEnd"/>
      <w:r w:rsidRPr="00D662FF">
        <w:rPr>
          <w:rFonts w:ascii="Arial" w:hAnsi="Arial" w:cs="Arial"/>
          <w:u w:val="single"/>
        </w:rPr>
        <w:t xml:space="preserve"> Registration</w:t>
      </w:r>
    </w:p>
    <w:p w14:paraId="03D8E57D" w14:textId="77777777" w:rsidR="0015044C" w:rsidRPr="00D662FF" w:rsidRDefault="0015044C" w:rsidP="005A4E4B">
      <w:pPr>
        <w:spacing w:before="0"/>
        <w:jc w:val="both"/>
        <w:rPr>
          <w:rFonts w:ascii="Arial" w:hAnsi="Arial" w:cs="Arial"/>
        </w:rPr>
      </w:pPr>
    </w:p>
    <w:p w14:paraId="32E8A98E" w14:textId="5BC3AAA1" w:rsidR="00E01B70" w:rsidRPr="00D662FF" w:rsidRDefault="00E01B70" w:rsidP="005A4E4B">
      <w:pPr>
        <w:spacing w:before="0"/>
        <w:jc w:val="both"/>
        <w:rPr>
          <w:rFonts w:ascii="Arial" w:hAnsi="Arial" w:cs="Arial"/>
        </w:rPr>
      </w:pPr>
      <w:r w:rsidRPr="00D662FF">
        <w:rPr>
          <w:rFonts w:ascii="Arial" w:hAnsi="Arial" w:cs="Arial"/>
        </w:rPr>
        <w:t xml:space="preserve">Where a </w:t>
      </w:r>
      <w:r w:rsidR="00B63EDD" w:rsidRPr="00D662FF">
        <w:rPr>
          <w:rFonts w:ascii="Arial" w:hAnsi="Arial" w:cs="Arial"/>
        </w:rPr>
        <w:t>Practice</w:t>
      </w:r>
      <w:r w:rsidRPr="00D662FF">
        <w:rPr>
          <w:rFonts w:ascii="Arial" w:hAnsi="Arial" w:cs="Arial"/>
        </w:rPr>
        <w:t xml:space="preserve"> registers to participate in the </w:t>
      </w:r>
      <w:proofErr w:type="spellStart"/>
      <w:r w:rsidRPr="00D662FF">
        <w:rPr>
          <w:rFonts w:ascii="Arial" w:hAnsi="Arial" w:cs="Arial"/>
        </w:rPr>
        <w:t>MyMedicare</w:t>
      </w:r>
      <w:proofErr w:type="spellEnd"/>
      <w:r w:rsidRPr="00D662FF">
        <w:rPr>
          <w:rFonts w:ascii="Arial" w:hAnsi="Arial" w:cs="Arial"/>
        </w:rPr>
        <w:t xml:space="preserve"> program, during the registration process, the following details will be extracted and recorded into the Organisation Register:</w:t>
      </w:r>
    </w:p>
    <w:p w14:paraId="22BD6875" w14:textId="77777777" w:rsidR="00E01B70" w:rsidRPr="00D662FF" w:rsidRDefault="00E01B70" w:rsidP="005A4E4B">
      <w:pPr>
        <w:spacing w:before="0"/>
        <w:jc w:val="both"/>
        <w:rPr>
          <w:rFonts w:ascii="Arial" w:hAnsi="Arial" w:cs="Arial"/>
        </w:rPr>
      </w:pPr>
    </w:p>
    <w:p w14:paraId="575D0900" w14:textId="6BFAABD8" w:rsidR="00E01B70" w:rsidRPr="00D662FF" w:rsidRDefault="00640970" w:rsidP="005A4E4B">
      <w:pPr>
        <w:pStyle w:val="ListParagraph"/>
        <w:numPr>
          <w:ilvl w:val="0"/>
          <w:numId w:val="6"/>
        </w:numPr>
        <w:spacing w:before="0"/>
        <w:jc w:val="both"/>
        <w:rPr>
          <w:rFonts w:ascii="Arial" w:hAnsi="Arial" w:cs="Arial"/>
        </w:rPr>
      </w:pPr>
      <w:r w:rsidRPr="00D662FF">
        <w:rPr>
          <w:rFonts w:ascii="Arial" w:hAnsi="Arial" w:cs="Arial"/>
        </w:rPr>
        <w:t>P</w:t>
      </w:r>
      <w:r w:rsidR="00E01B70" w:rsidRPr="00D662FF">
        <w:rPr>
          <w:rFonts w:ascii="Arial" w:hAnsi="Arial" w:cs="Arial"/>
        </w:rPr>
        <w:t>rovider location number</w:t>
      </w:r>
    </w:p>
    <w:p w14:paraId="272F1D31" w14:textId="77777777" w:rsidR="00E01B70" w:rsidRPr="00D662FF" w:rsidRDefault="00E01B70" w:rsidP="005A4E4B">
      <w:pPr>
        <w:pStyle w:val="ListParagraph"/>
        <w:spacing w:before="0"/>
        <w:jc w:val="both"/>
        <w:rPr>
          <w:rFonts w:ascii="Arial" w:hAnsi="Arial" w:cs="Arial"/>
        </w:rPr>
      </w:pPr>
    </w:p>
    <w:p w14:paraId="557FB29F" w14:textId="44A83B0C" w:rsidR="00E01B70" w:rsidRPr="00D662FF" w:rsidRDefault="00640970" w:rsidP="005A4E4B">
      <w:pPr>
        <w:pStyle w:val="ListParagraph"/>
        <w:numPr>
          <w:ilvl w:val="0"/>
          <w:numId w:val="6"/>
        </w:numPr>
        <w:spacing w:before="0"/>
        <w:jc w:val="both"/>
        <w:rPr>
          <w:rFonts w:ascii="Arial" w:hAnsi="Arial" w:cs="Arial"/>
        </w:rPr>
      </w:pPr>
      <w:r w:rsidRPr="00D662FF">
        <w:rPr>
          <w:rFonts w:ascii="Arial" w:hAnsi="Arial" w:cs="Arial"/>
        </w:rPr>
        <w:t>P</w:t>
      </w:r>
      <w:r w:rsidR="00E01B70" w:rsidRPr="00D662FF">
        <w:rPr>
          <w:rFonts w:ascii="Arial" w:hAnsi="Arial" w:cs="Arial"/>
        </w:rPr>
        <w:t>rovider name, and</w:t>
      </w:r>
    </w:p>
    <w:p w14:paraId="1EF46517" w14:textId="77777777" w:rsidR="00E01B70" w:rsidRPr="00D662FF" w:rsidRDefault="00E01B70" w:rsidP="005A4E4B">
      <w:pPr>
        <w:spacing w:before="0"/>
        <w:jc w:val="both"/>
        <w:rPr>
          <w:rFonts w:ascii="Arial" w:hAnsi="Arial" w:cs="Arial"/>
        </w:rPr>
      </w:pPr>
    </w:p>
    <w:p w14:paraId="20D6E957" w14:textId="61FA2B0D" w:rsidR="00E01B70" w:rsidRPr="00D662FF" w:rsidRDefault="00640970" w:rsidP="005A4E4B">
      <w:pPr>
        <w:pStyle w:val="ListParagraph"/>
        <w:numPr>
          <w:ilvl w:val="0"/>
          <w:numId w:val="6"/>
        </w:numPr>
        <w:spacing w:before="0"/>
        <w:jc w:val="both"/>
        <w:rPr>
          <w:rFonts w:ascii="Arial" w:hAnsi="Arial" w:cs="Arial"/>
        </w:rPr>
      </w:pPr>
      <w:r w:rsidRPr="00D662FF">
        <w:rPr>
          <w:rFonts w:ascii="Arial" w:hAnsi="Arial" w:cs="Arial"/>
        </w:rPr>
        <w:t>P</w:t>
      </w:r>
      <w:r w:rsidR="00E01B70" w:rsidRPr="00D662FF">
        <w:rPr>
          <w:rFonts w:ascii="Arial" w:hAnsi="Arial" w:cs="Arial"/>
        </w:rPr>
        <w:t xml:space="preserve">rovider location address </w:t>
      </w:r>
    </w:p>
    <w:p w14:paraId="6FC27B1B" w14:textId="77777777" w:rsidR="00E01B70" w:rsidRPr="00D662FF" w:rsidRDefault="00E01B70" w:rsidP="005A4E4B">
      <w:pPr>
        <w:pStyle w:val="ListParagraph"/>
        <w:spacing w:before="0"/>
        <w:rPr>
          <w:rFonts w:ascii="Arial" w:hAnsi="Arial" w:cs="Arial"/>
        </w:rPr>
      </w:pPr>
    </w:p>
    <w:p w14:paraId="12F9A61C" w14:textId="77777777" w:rsidR="00E01B70" w:rsidRPr="00D662FF" w:rsidRDefault="00E01B70" w:rsidP="005A4E4B">
      <w:pPr>
        <w:spacing w:before="0"/>
        <w:jc w:val="both"/>
        <w:rPr>
          <w:rFonts w:ascii="Arial" w:hAnsi="Arial" w:cs="Arial"/>
        </w:rPr>
      </w:pPr>
      <w:r w:rsidRPr="00D662FF">
        <w:rPr>
          <w:rFonts w:ascii="Arial" w:hAnsi="Arial" w:cs="Arial"/>
        </w:rPr>
        <w:t>Such actions will constitute a communication and making of a record of information which is about the affairs of a person that was collected for the purposes of the Health Insurance Act or the National Health Act Health</w:t>
      </w:r>
      <w:r w:rsidR="00044BC8" w:rsidRPr="00D662FF">
        <w:rPr>
          <w:rFonts w:ascii="Arial" w:hAnsi="Arial" w:cs="Arial"/>
        </w:rPr>
        <w:t>.</w:t>
      </w:r>
    </w:p>
    <w:p w14:paraId="0E6637D9" w14:textId="77777777" w:rsidR="00E01B70" w:rsidRPr="00D662FF" w:rsidRDefault="00E01B70" w:rsidP="005A4E4B">
      <w:pPr>
        <w:spacing w:before="0"/>
        <w:jc w:val="both"/>
        <w:rPr>
          <w:rFonts w:ascii="Arial" w:hAnsi="Arial" w:cs="Arial"/>
        </w:rPr>
      </w:pPr>
    </w:p>
    <w:p w14:paraId="027931BD" w14:textId="7B589892" w:rsidR="00E01B70" w:rsidRPr="00D662FF" w:rsidRDefault="00E01B70" w:rsidP="005A4E4B">
      <w:pPr>
        <w:spacing w:before="0"/>
        <w:jc w:val="both"/>
        <w:rPr>
          <w:rFonts w:ascii="Arial" w:hAnsi="Arial" w:cs="Arial"/>
        </w:rPr>
      </w:pPr>
      <w:r w:rsidRPr="00D662FF">
        <w:rPr>
          <w:rFonts w:ascii="Arial" w:hAnsi="Arial" w:cs="Arial"/>
        </w:rPr>
        <w:t xml:space="preserve">Any changes or updates made to a </w:t>
      </w:r>
      <w:r w:rsidR="00640970" w:rsidRPr="00D662FF">
        <w:rPr>
          <w:rFonts w:ascii="Arial" w:hAnsi="Arial" w:cs="Arial"/>
        </w:rPr>
        <w:t>P</w:t>
      </w:r>
      <w:r w:rsidR="00B63EDD" w:rsidRPr="00D662FF">
        <w:rPr>
          <w:rFonts w:ascii="Arial" w:hAnsi="Arial" w:cs="Arial"/>
        </w:rPr>
        <w:t>rovider</w:t>
      </w:r>
      <w:r w:rsidRPr="00D662FF">
        <w:rPr>
          <w:rFonts w:ascii="Arial" w:hAnsi="Arial" w:cs="Arial"/>
        </w:rPr>
        <w:t xml:space="preserve"> record, are automatically copied into the Organisation Register.  This constitutes a </w:t>
      </w:r>
      <w:r w:rsidRPr="00D662FF">
        <w:rPr>
          <w:rFonts w:ascii="Arial" w:hAnsi="Arial" w:cs="Arial"/>
          <w:bCs/>
        </w:rPr>
        <w:t>communication</w:t>
      </w:r>
      <w:r w:rsidRPr="00D662FF">
        <w:rPr>
          <w:rFonts w:ascii="Arial" w:hAnsi="Arial" w:cs="Arial"/>
          <w:b/>
          <w:bCs/>
        </w:rPr>
        <w:t xml:space="preserve"> </w:t>
      </w:r>
      <w:r w:rsidRPr="00D662FF">
        <w:rPr>
          <w:rFonts w:ascii="Arial" w:hAnsi="Arial" w:cs="Arial"/>
        </w:rPr>
        <w:t>and</w:t>
      </w:r>
      <w:r w:rsidRPr="00D662FF">
        <w:rPr>
          <w:rFonts w:ascii="Arial" w:hAnsi="Arial" w:cs="Arial"/>
          <w:b/>
          <w:bCs/>
        </w:rPr>
        <w:t xml:space="preserve"> </w:t>
      </w:r>
      <w:r w:rsidRPr="00D662FF">
        <w:rPr>
          <w:rFonts w:ascii="Arial" w:hAnsi="Arial" w:cs="Arial"/>
          <w:bCs/>
        </w:rPr>
        <w:t>making of a record</w:t>
      </w:r>
      <w:r w:rsidRPr="00D662FF">
        <w:rPr>
          <w:rFonts w:ascii="Arial" w:hAnsi="Arial" w:cs="Arial"/>
        </w:rPr>
        <w:t xml:space="preserve"> of information about the affairs of a person that was collected for the purposes of the Health Insurance Act or the National Health Act</w:t>
      </w:r>
      <w:r w:rsidR="00044BC8" w:rsidRPr="00D662FF">
        <w:rPr>
          <w:rFonts w:ascii="Arial" w:hAnsi="Arial" w:cs="Arial"/>
        </w:rPr>
        <w:t>.</w:t>
      </w:r>
    </w:p>
    <w:p w14:paraId="7E75D215" w14:textId="77777777" w:rsidR="00E01B70" w:rsidRPr="00D662FF" w:rsidRDefault="00E01B70" w:rsidP="005A4E4B">
      <w:pPr>
        <w:spacing w:before="0"/>
        <w:jc w:val="both"/>
        <w:rPr>
          <w:rFonts w:ascii="Arial" w:hAnsi="Arial" w:cs="Arial"/>
        </w:rPr>
      </w:pPr>
    </w:p>
    <w:p w14:paraId="09097934" w14:textId="77777777" w:rsidR="0015044C" w:rsidRPr="00D662FF" w:rsidRDefault="0015044C" w:rsidP="005A4E4B">
      <w:pPr>
        <w:spacing w:before="0"/>
        <w:jc w:val="both"/>
        <w:rPr>
          <w:rFonts w:ascii="Arial" w:hAnsi="Arial" w:cs="Arial"/>
          <w:u w:val="single"/>
        </w:rPr>
      </w:pPr>
      <w:r w:rsidRPr="00D662FF">
        <w:rPr>
          <w:rFonts w:ascii="Arial" w:hAnsi="Arial" w:cs="Arial"/>
          <w:u w:val="single"/>
        </w:rPr>
        <w:t>Department of Health and Aged Care</w:t>
      </w:r>
    </w:p>
    <w:p w14:paraId="4B7B76F6" w14:textId="77777777" w:rsidR="0015044C" w:rsidRPr="00D662FF" w:rsidRDefault="0015044C" w:rsidP="005A4E4B">
      <w:pPr>
        <w:spacing w:before="0"/>
        <w:jc w:val="both"/>
        <w:rPr>
          <w:rFonts w:ascii="Arial" w:hAnsi="Arial" w:cs="Arial"/>
        </w:rPr>
      </w:pPr>
    </w:p>
    <w:p w14:paraId="5A8FA89D" w14:textId="77777777" w:rsidR="00044BC8" w:rsidRPr="00D662FF" w:rsidRDefault="00044BC8" w:rsidP="005A4E4B">
      <w:pPr>
        <w:spacing w:before="0"/>
        <w:jc w:val="both"/>
        <w:rPr>
          <w:rFonts w:ascii="Arial" w:hAnsi="Arial" w:cs="Arial"/>
        </w:rPr>
      </w:pPr>
      <w:r w:rsidRPr="00D662FF">
        <w:rPr>
          <w:rFonts w:ascii="Arial" w:hAnsi="Arial" w:cs="Arial"/>
        </w:rPr>
        <w:t xml:space="preserve">Upon commencement of </w:t>
      </w:r>
      <w:proofErr w:type="spellStart"/>
      <w:r w:rsidRPr="00D662FF">
        <w:rPr>
          <w:rFonts w:ascii="Arial" w:hAnsi="Arial" w:cs="Arial"/>
        </w:rPr>
        <w:t>MyMedicare</w:t>
      </w:r>
      <w:proofErr w:type="spellEnd"/>
      <w:r w:rsidRPr="00D662FF">
        <w:rPr>
          <w:rFonts w:ascii="Arial" w:hAnsi="Arial" w:cs="Arial"/>
        </w:rPr>
        <w:t xml:space="preserve">, Services Australia will extract and send to the Department of Health and Aged Care, data elements collected when administering </w:t>
      </w:r>
      <w:proofErr w:type="spellStart"/>
      <w:r w:rsidRPr="00D662FF">
        <w:rPr>
          <w:rFonts w:ascii="Arial" w:hAnsi="Arial" w:cs="Arial"/>
        </w:rPr>
        <w:t>MyMedicare</w:t>
      </w:r>
      <w:proofErr w:type="spellEnd"/>
      <w:r w:rsidRPr="00D662FF">
        <w:rPr>
          <w:rFonts w:ascii="Arial" w:hAnsi="Arial" w:cs="Arial"/>
        </w:rPr>
        <w:t>, which will include the following protected information for the purposes of the Health Insurance Act or National Health Act:</w:t>
      </w:r>
    </w:p>
    <w:p w14:paraId="5444626E" w14:textId="77777777" w:rsidR="00044BC8" w:rsidRPr="00D662FF" w:rsidRDefault="00044BC8" w:rsidP="005A4E4B">
      <w:pPr>
        <w:spacing w:before="0"/>
        <w:jc w:val="both"/>
        <w:rPr>
          <w:rFonts w:ascii="Arial" w:hAnsi="Arial" w:cs="Arial"/>
        </w:rPr>
      </w:pPr>
    </w:p>
    <w:p w14:paraId="5E80F62B" w14:textId="03AB3454" w:rsidR="00044BC8" w:rsidRPr="00D662FF" w:rsidRDefault="00044BC8" w:rsidP="005A4E4B">
      <w:pPr>
        <w:pStyle w:val="ListParagraph"/>
        <w:numPr>
          <w:ilvl w:val="0"/>
          <w:numId w:val="9"/>
        </w:numPr>
        <w:spacing w:before="0"/>
        <w:jc w:val="both"/>
        <w:rPr>
          <w:rFonts w:ascii="Arial" w:hAnsi="Arial" w:cs="Arial"/>
        </w:rPr>
      </w:pPr>
      <w:r w:rsidRPr="00D662FF">
        <w:rPr>
          <w:rFonts w:ascii="Arial" w:hAnsi="Arial" w:cs="Arial"/>
        </w:rPr>
        <w:t>Medicare Provider Number</w:t>
      </w:r>
      <w:r w:rsidR="00640970" w:rsidRPr="00D662FF">
        <w:rPr>
          <w:rFonts w:ascii="Arial" w:hAnsi="Arial" w:cs="Arial"/>
        </w:rPr>
        <w:t xml:space="preserve"> of P</w:t>
      </w:r>
      <w:r w:rsidR="00B63EDD" w:rsidRPr="00D662FF">
        <w:rPr>
          <w:rFonts w:ascii="Arial" w:hAnsi="Arial" w:cs="Arial"/>
        </w:rPr>
        <w:t>roviders linked to the Practice and preferred GPs</w:t>
      </w:r>
    </w:p>
    <w:p w14:paraId="1470B228" w14:textId="77777777" w:rsidR="00044BC8" w:rsidRPr="00D662FF" w:rsidRDefault="00044BC8" w:rsidP="005A4E4B">
      <w:pPr>
        <w:pStyle w:val="ListParagraph"/>
        <w:spacing w:before="0"/>
        <w:jc w:val="both"/>
        <w:rPr>
          <w:rFonts w:ascii="Arial" w:hAnsi="Arial" w:cs="Arial"/>
        </w:rPr>
      </w:pPr>
    </w:p>
    <w:p w14:paraId="426F568A" w14:textId="078E8339" w:rsidR="00044BC8" w:rsidRPr="00D662FF" w:rsidRDefault="00B63EDD" w:rsidP="005A4E4B">
      <w:pPr>
        <w:pStyle w:val="ListParagraph"/>
        <w:numPr>
          <w:ilvl w:val="0"/>
          <w:numId w:val="9"/>
        </w:numPr>
        <w:spacing w:before="0"/>
        <w:jc w:val="both"/>
        <w:rPr>
          <w:rFonts w:ascii="Arial" w:hAnsi="Arial" w:cs="Arial"/>
        </w:rPr>
      </w:pPr>
      <w:r w:rsidRPr="00D662FF">
        <w:rPr>
          <w:rFonts w:ascii="Arial" w:hAnsi="Arial" w:cs="Arial"/>
        </w:rPr>
        <w:t xml:space="preserve">preferred </w:t>
      </w:r>
      <w:r w:rsidR="00044BC8" w:rsidRPr="00D662FF">
        <w:rPr>
          <w:rFonts w:ascii="Arial" w:hAnsi="Arial" w:cs="Arial"/>
        </w:rPr>
        <w:t>GP Suspended Status Flag</w:t>
      </w:r>
    </w:p>
    <w:p w14:paraId="4457B3D7" w14:textId="77777777" w:rsidR="00044BC8" w:rsidRPr="00D662FF" w:rsidRDefault="00044BC8" w:rsidP="005A4E4B">
      <w:pPr>
        <w:spacing w:before="0"/>
        <w:jc w:val="both"/>
        <w:rPr>
          <w:rFonts w:ascii="Arial" w:hAnsi="Arial" w:cs="Arial"/>
        </w:rPr>
      </w:pPr>
    </w:p>
    <w:p w14:paraId="739B126C" w14:textId="369AEA2C" w:rsidR="00044BC8" w:rsidRPr="00D662FF" w:rsidRDefault="00044BC8" w:rsidP="005A4E4B">
      <w:pPr>
        <w:pStyle w:val="ListParagraph"/>
        <w:numPr>
          <w:ilvl w:val="0"/>
          <w:numId w:val="9"/>
        </w:numPr>
        <w:spacing w:before="0"/>
        <w:jc w:val="both"/>
        <w:rPr>
          <w:rFonts w:ascii="Arial" w:hAnsi="Arial" w:cs="Arial"/>
        </w:rPr>
      </w:pPr>
      <w:r w:rsidRPr="00D662FF">
        <w:rPr>
          <w:rFonts w:ascii="Arial" w:hAnsi="Arial" w:cs="Arial"/>
        </w:rPr>
        <w:t>Medicare PIN</w:t>
      </w:r>
      <w:r w:rsidR="00B63EDD" w:rsidRPr="00D662FF">
        <w:rPr>
          <w:rFonts w:ascii="Arial" w:hAnsi="Arial" w:cs="Arial"/>
        </w:rPr>
        <w:t xml:space="preserve"> of the r</w:t>
      </w:r>
      <w:r w:rsidR="00640970" w:rsidRPr="00D662FF">
        <w:rPr>
          <w:rFonts w:ascii="Arial" w:hAnsi="Arial" w:cs="Arial"/>
        </w:rPr>
        <w:t>egistered P</w:t>
      </w:r>
      <w:r w:rsidR="00B63EDD" w:rsidRPr="00D662FF">
        <w:rPr>
          <w:rFonts w:ascii="Arial" w:hAnsi="Arial" w:cs="Arial"/>
        </w:rPr>
        <w:t>atient</w:t>
      </w:r>
      <w:r w:rsidRPr="00D662FF">
        <w:rPr>
          <w:rFonts w:ascii="Arial" w:hAnsi="Arial" w:cs="Arial"/>
        </w:rPr>
        <w:t>, and</w:t>
      </w:r>
    </w:p>
    <w:p w14:paraId="1F1EB8D7" w14:textId="77777777" w:rsidR="00044BC8" w:rsidRPr="00D662FF" w:rsidRDefault="00044BC8" w:rsidP="005A4E4B">
      <w:pPr>
        <w:spacing w:before="0"/>
        <w:jc w:val="both"/>
        <w:rPr>
          <w:rFonts w:ascii="Arial" w:hAnsi="Arial" w:cs="Arial"/>
        </w:rPr>
      </w:pPr>
    </w:p>
    <w:p w14:paraId="78A5D077" w14:textId="10AF4849" w:rsidR="00044BC8" w:rsidRPr="00D662FF" w:rsidRDefault="00B63EDD" w:rsidP="005A4E4B">
      <w:pPr>
        <w:pStyle w:val="ListParagraph"/>
        <w:numPr>
          <w:ilvl w:val="0"/>
          <w:numId w:val="9"/>
        </w:numPr>
        <w:spacing w:before="0"/>
        <w:jc w:val="both"/>
        <w:rPr>
          <w:rFonts w:ascii="Arial" w:hAnsi="Arial" w:cs="Arial"/>
        </w:rPr>
      </w:pPr>
      <w:proofErr w:type="gramStart"/>
      <w:r w:rsidRPr="00D662FF">
        <w:rPr>
          <w:rFonts w:ascii="Arial" w:hAnsi="Arial" w:cs="Arial"/>
        </w:rPr>
        <w:t>r</w:t>
      </w:r>
      <w:r w:rsidR="00044BC8" w:rsidRPr="00D662FF">
        <w:rPr>
          <w:rFonts w:ascii="Arial" w:hAnsi="Arial" w:cs="Arial"/>
        </w:rPr>
        <w:t>egistration</w:t>
      </w:r>
      <w:proofErr w:type="gramEnd"/>
      <w:r w:rsidR="00044BC8" w:rsidRPr="00D662FF">
        <w:rPr>
          <w:rFonts w:ascii="Arial" w:hAnsi="Arial" w:cs="Arial"/>
        </w:rPr>
        <w:t xml:space="preserve"> Eligibility Reason Code</w:t>
      </w:r>
      <w:r w:rsidR="00640970" w:rsidRPr="00D662FF">
        <w:rPr>
          <w:rFonts w:ascii="Arial" w:hAnsi="Arial" w:cs="Arial"/>
        </w:rPr>
        <w:t xml:space="preserve"> of the registered P</w:t>
      </w:r>
      <w:r w:rsidRPr="00D662FF">
        <w:rPr>
          <w:rFonts w:ascii="Arial" w:hAnsi="Arial" w:cs="Arial"/>
        </w:rPr>
        <w:t>atient</w:t>
      </w:r>
      <w:r w:rsidR="00044BC8" w:rsidRPr="00D662FF">
        <w:rPr>
          <w:rFonts w:ascii="Arial" w:hAnsi="Arial" w:cs="Arial"/>
        </w:rPr>
        <w:t>.</w:t>
      </w:r>
    </w:p>
    <w:p w14:paraId="0C3B668F" w14:textId="77777777" w:rsidR="00044BC8" w:rsidRPr="00D662FF" w:rsidRDefault="00044BC8" w:rsidP="005A4E4B">
      <w:pPr>
        <w:spacing w:before="0"/>
        <w:jc w:val="both"/>
        <w:rPr>
          <w:rFonts w:ascii="Arial" w:hAnsi="Arial" w:cs="Arial"/>
        </w:rPr>
      </w:pPr>
    </w:p>
    <w:p w14:paraId="5DDA4334" w14:textId="77777777" w:rsidR="00044BC8" w:rsidRPr="00D662FF" w:rsidRDefault="00044BC8" w:rsidP="005A4E4B">
      <w:pPr>
        <w:spacing w:before="0"/>
        <w:jc w:val="both"/>
        <w:rPr>
          <w:rFonts w:ascii="Arial" w:hAnsi="Arial" w:cs="Arial"/>
        </w:rPr>
      </w:pPr>
      <w:r w:rsidRPr="00D662FF">
        <w:rPr>
          <w:rFonts w:ascii="Arial" w:hAnsi="Arial" w:cs="Arial"/>
        </w:rPr>
        <w:t>This will constitute a divulging of information about the affairs of a person that was collected for the purposes of the Health Insurance Act and/or the National Health Act.</w:t>
      </w:r>
    </w:p>
    <w:p w14:paraId="19511821" w14:textId="77777777" w:rsidR="00044BC8" w:rsidRPr="00D662FF" w:rsidRDefault="00044BC8" w:rsidP="005A4E4B">
      <w:pPr>
        <w:spacing w:before="0"/>
        <w:jc w:val="both"/>
        <w:rPr>
          <w:rFonts w:ascii="Arial" w:hAnsi="Arial" w:cs="Arial"/>
        </w:rPr>
      </w:pPr>
    </w:p>
    <w:p w14:paraId="57177597" w14:textId="77777777" w:rsidR="005A2958" w:rsidRPr="00D662FF" w:rsidRDefault="0015044C" w:rsidP="005A4E4B">
      <w:pPr>
        <w:spacing w:before="0"/>
        <w:jc w:val="both"/>
        <w:rPr>
          <w:rFonts w:ascii="Arial" w:hAnsi="Arial" w:cs="Arial"/>
          <w:u w:val="single"/>
        </w:rPr>
      </w:pPr>
      <w:r w:rsidRPr="00D662FF">
        <w:rPr>
          <w:rFonts w:ascii="Arial" w:hAnsi="Arial" w:cs="Arial"/>
          <w:u w:val="single"/>
        </w:rPr>
        <w:t>Department of Veterans’ Affairs</w:t>
      </w:r>
    </w:p>
    <w:p w14:paraId="3A070643" w14:textId="77777777" w:rsidR="00044BC8" w:rsidRPr="00D662FF" w:rsidRDefault="00044BC8" w:rsidP="005A4E4B">
      <w:pPr>
        <w:spacing w:before="0"/>
        <w:jc w:val="both"/>
        <w:rPr>
          <w:rFonts w:ascii="Arial" w:hAnsi="Arial" w:cs="Arial"/>
        </w:rPr>
      </w:pPr>
    </w:p>
    <w:p w14:paraId="3A87FB1A" w14:textId="2875AB58" w:rsidR="00044BC8" w:rsidRPr="00D662FF" w:rsidRDefault="00044BC8" w:rsidP="005A4E4B">
      <w:pPr>
        <w:spacing w:before="0"/>
        <w:jc w:val="both"/>
        <w:rPr>
          <w:rFonts w:ascii="Arial" w:hAnsi="Arial" w:cs="Arial"/>
        </w:rPr>
      </w:pPr>
      <w:r w:rsidRPr="00D662FF">
        <w:rPr>
          <w:rFonts w:ascii="Arial" w:hAnsi="Arial" w:cs="Arial"/>
        </w:rPr>
        <w:t xml:space="preserve">Upon commencement of </w:t>
      </w:r>
      <w:proofErr w:type="spellStart"/>
      <w:r w:rsidRPr="00D662FF">
        <w:rPr>
          <w:rFonts w:ascii="Arial" w:hAnsi="Arial" w:cs="Arial"/>
        </w:rPr>
        <w:t>MyMedicare</w:t>
      </w:r>
      <w:proofErr w:type="spellEnd"/>
      <w:r w:rsidRPr="00D662FF">
        <w:rPr>
          <w:rFonts w:ascii="Arial" w:hAnsi="Arial" w:cs="Arial"/>
        </w:rPr>
        <w:t xml:space="preserve">, Services Australia will extract </w:t>
      </w:r>
      <w:proofErr w:type="spellStart"/>
      <w:r w:rsidRPr="00D662FF">
        <w:rPr>
          <w:rFonts w:ascii="Arial" w:hAnsi="Arial" w:cs="Arial"/>
        </w:rPr>
        <w:t>MyMedicare</w:t>
      </w:r>
      <w:proofErr w:type="spellEnd"/>
      <w:r w:rsidRPr="00D662FF">
        <w:rPr>
          <w:rFonts w:ascii="Arial" w:hAnsi="Arial" w:cs="Arial"/>
        </w:rPr>
        <w:t xml:space="preserve"> data for DVA clients who have enrolled into </w:t>
      </w:r>
      <w:proofErr w:type="spellStart"/>
      <w:r w:rsidRPr="00D662FF">
        <w:rPr>
          <w:rFonts w:ascii="Arial" w:hAnsi="Arial" w:cs="Arial"/>
        </w:rPr>
        <w:t>MyMedicare</w:t>
      </w:r>
      <w:proofErr w:type="spellEnd"/>
      <w:r w:rsidRPr="00D662FF">
        <w:rPr>
          <w:rFonts w:ascii="Arial" w:hAnsi="Arial" w:cs="Arial"/>
        </w:rPr>
        <w:t xml:space="preserve"> and divulge it to DVA via specific tables in the Enterprise Data Warehouse (EDW), DVA will have access to. This will include the following information in relation </w:t>
      </w:r>
      <w:r w:rsidR="00B63EDD" w:rsidRPr="00D662FF">
        <w:rPr>
          <w:rFonts w:ascii="Arial" w:hAnsi="Arial" w:cs="Arial"/>
        </w:rPr>
        <w:t>to</w:t>
      </w:r>
      <w:r w:rsidRPr="00D662FF">
        <w:rPr>
          <w:rFonts w:ascii="Arial" w:hAnsi="Arial" w:cs="Arial"/>
        </w:rPr>
        <w:t>:</w:t>
      </w:r>
    </w:p>
    <w:p w14:paraId="7523080B" w14:textId="579BE553" w:rsidR="00044BC8" w:rsidRPr="00D662FF" w:rsidRDefault="00044BC8" w:rsidP="00B63EDD">
      <w:pPr>
        <w:spacing w:before="0"/>
        <w:jc w:val="both"/>
        <w:rPr>
          <w:rFonts w:ascii="Arial" w:hAnsi="Arial" w:cs="Arial"/>
        </w:rPr>
      </w:pPr>
    </w:p>
    <w:p w14:paraId="5BF88A9A" w14:textId="72706B47" w:rsidR="00044BC8" w:rsidRPr="00D662FF" w:rsidRDefault="00640970" w:rsidP="005A4E4B">
      <w:pPr>
        <w:pStyle w:val="ListParagraph"/>
        <w:numPr>
          <w:ilvl w:val="0"/>
          <w:numId w:val="10"/>
        </w:numPr>
        <w:spacing w:before="0"/>
        <w:jc w:val="both"/>
        <w:rPr>
          <w:rFonts w:ascii="Arial" w:hAnsi="Arial" w:cs="Arial"/>
        </w:rPr>
      </w:pPr>
      <w:r w:rsidRPr="00D662FF">
        <w:rPr>
          <w:rFonts w:ascii="Arial" w:hAnsi="Arial" w:cs="Arial"/>
        </w:rPr>
        <w:t>P</w:t>
      </w:r>
      <w:r w:rsidR="00044BC8" w:rsidRPr="00D662FF">
        <w:rPr>
          <w:rFonts w:ascii="Arial" w:hAnsi="Arial" w:cs="Arial"/>
        </w:rPr>
        <w:t>rovider location number</w:t>
      </w:r>
    </w:p>
    <w:p w14:paraId="68EA127B" w14:textId="77777777" w:rsidR="00044BC8" w:rsidRPr="00D662FF" w:rsidRDefault="00044BC8" w:rsidP="005A4E4B">
      <w:pPr>
        <w:spacing w:before="0"/>
        <w:jc w:val="both"/>
        <w:rPr>
          <w:rFonts w:ascii="Arial" w:hAnsi="Arial" w:cs="Arial"/>
        </w:rPr>
      </w:pPr>
    </w:p>
    <w:p w14:paraId="76D3DF08" w14:textId="176611BC" w:rsidR="00044BC8" w:rsidRPr="00D662FF" w:rsidRDefault="00640970" w:rsidP="005A4E4B">
      <w:pPr>
        <w:pStyle w:val="ListParagraph"/>
        <w:numPr>
          <w:ilvl w:val="0"/>
          <w:numId w:val="10"/>
        </w:numPr>
        <w:spacing w:before="0"/>
        <w:jc w:val="both"/>
        <w:rPr>
          <w:rFonts w:ascii="Arial" w:hAnsi="Arial" w:cs="Arial"/>
        </w:rPr>
      </w:pPr>
      <w:r w:rsidRPr="00D662FF">
        <w:rPr>
          <w:rFonts w:ascii="Arial" w:hAnsi="Arial" w:cs="Arial"/>
        </w:rPr>
        <w:t>P</w:t>
      </w:r>
      <w:r w:rsidR="00044BC8" w:rsidRPr="00D662FF">
        <w:rPr>
          <w:rFonts w:ascii="Arial" w:hAnsi="Arial" w:cs="Arial"/>
        </w:rPr>
        <w:t>rovider number, and</w:t>
      </w:r>
    </w:p>
    <w:p w14:paraId="39203AC1" w14:textId="77777777" w:rsidR="00044BC8" w:rsidRPr="00D662FF" w:rsidRDefault="00044BC8" w:rsidP="005A4E4B">
      <w:pPr>
        <w:spacing w:before="0"/>
        <w:jc w:val="both"/>
        <w:rPr>
          <w:rFonts w:ascii="Arial" w:hAnsi="Arial" w:cs="Arial"/>
        </w:rPr>
      </w:pPr>
    </w:p>
    <w:p w14:paraId="247AD9E7" w14:textId="246605EE" w:rsidR="00044BC8" w:rsidRPr="00D662FF" w:rsidRDefault="00640970" w:rsidP="005A4E4B">
      <w:pPr>
        <w:pStyle w:val="ListParagraph"/>
        <w:numPr>
          <w:ilvl w:val="0"/>
          <w:numId w:val="10"/>
        </w:numPr>
        <w:spacing w:before="0"/>
        <w:jc w:val="both"/>
        <w:rPr>
          <w:rFonts w:ascii="Arial" w:hAnsi="Arial" w:cs="Arial"/>
        </w:rPr>
      </w:pPr>
      <w:r w:rsidRPr="00D662FF">
        <w:rPr>
          <w:rFonts w:ascii="Arial" w:hAnsi="Arial" w:cs="Arial"/>
        </w:rPr>
        <w:t>P</w:t>
      </w:r>
      <w:r w:rsidR="00836F61" w:rsidRPr="00D662FF">
        <w:rPr>
          <w:rFonts w:ascii="Arial" w:hAnsi="Arial" w:cs="Arial"/>
        </w:rPr>
        <w:t>rovider l</w:t>
      </w:r>
      <w:r w:rsidR="00044BC8" w:rsidRPr="00D662FF">
        <w:rPr>
          <w:rFonts w:ascii="Arial" w:hAnsi="Arial" w:cs="Arial"/>
        </w:rPr>
        <w:t>ocation</w:t>
      </w:r>
      <w:r w:rsidR="00B63EDD" w:rsidRPr="00D662FF">
        <w:rPr>
          <w:rFonts w:ascii="Arial" w:hAnsi="Arial" w:cs="Arial"/>
        </w:rPr>
        <w:t xml:space="preserve"> address</w:t>
      </w:r>
      <w:r w:rsidR="00044BC8" w:rsidRPr="00D662FF">
        <w:rPr>
          <w:rFonts w:ascii="Arial" w:hAnsi="Arial" w:cs="Arial"/>
        </w:rPr>
        <w:t>.</w:t>
      </w:r>
    </w:p>
    <w:p w14:paraId="180639F4" w14:textId="77777777" w:rsidR="00044BC8" w:rsidRPr="00D662FF" w:rsidRDefault="00044BC8" w:rsidP="005A4E4B">
      <w:pPr>
        <w:spacing w:before="0"/>
        <w:jc w:val="both"/>
        <w:rPr>
          <w:rFonts w:ascii="Arial" w:hAnsi="Arial" w:cs="Arial"/>
        </w:rPr>
      </w:pPr>
    </w:p>
    <w:p w14:paraId="41EA009C" w14:textId="77777777" w:rsidR="005A4E4B" w:rsidRPr="00D662FF" w:rsidRDefault="00044BC8" w:rsidP="005A4E4B">
      <w:pPr>
        <w:spacing w:before="0" w:line="276" w:lineRule="auto"/>
        <w:rPr>
          <w:rFonts w:ascii="Arial" w:hAnsi="Arial" w:cs="Arial"/>
        </w:rPr>
      </w:pPr>
      <w:r w:rsidRPr="00D662FF">
        <w:rPr>
          <w:rFonts w:ascii="Arial" w:hAnsi="Arial" w:cs="Arial"/>
        </w:rPr>
        <w:lastRenderedPageBreak/>
        <w:t>This constitutes divulging of information about the affairs of a person that was collected for the purposes of the Health Insurance Act or the National Health Act</w:t>
      </w:r>
      <w:r w:rsidR="004C51CC" w:rsidRPr="00D662FF">
        <w:rPr>
          <w:rFonts w:ascii="Arial" w:hAnsi="Arial" w:cs="Arial"/>
        </w:rPr>
        <w:t>.</w:t>
      </w:r>
    </w:p>
    <w:p w14:paraId="492638A3" w14:textId="77777777" w:rsidR="005A4E4B" w:rsidRPr="00D662FF" w:rsidRDefault="005A4E4B" w:rsidP="005A4E4B">
      <w:pPr>
        <w:spacing w:before="0" w:line="276" w:lineRule="auto"/>
        <w:rPr>
          <w:rFonts w:ascii="Arial" w:hAnsi="Arial" w:cs="Arial"/>
        </w:rPr>
      </w:pPr>
    </w:p>
    <w:p w14:paraId="5A57A87E" w14:textId="77C3577B" w:rsidR="005A4E4B" w:rsidRPr="00D662FF" w:rsidRDefault="005A4E4B" w:rsidP="005A4E4B">
      <w:pPr>
        <w:shd w:val="clear" w:color="auto" w:fill="FFFFFF"/>
        <w:spacing w:before="0"/>
        <w:jc w:val="both"/>
        <w:rPr>
          <w:rFonts w:ascii="Arial" w:hAnsi="Arial" w:cs="Arial"/>
          <w:b/>
          <w:i/>
          <w:iCs/>
          <w:color w:val="000000"/>
          <w:szCs w:val="24"/>
        </w:rPr>
      </w:pPr>
      <w:r w:rsidRPr="00D662FF">
        <w:rPr>
          <w:rFonts w:ascii="Arial" w:hAnsi="Arial" w:cs="Arial"/>
          <w:b/>
          <w:i/>
          <w:iCs/>
          <w:color w:val="000000"/>
          <w:szCs w:val="24"/>
        </w:rPr>
        <w:t>Additional detail about what safeguards apply to protect this information</w:t>
      </w:r>
    </w:p>
    <w:p w14:paraId="6FE7DD76" w14:textId="77777777" w:rsidR="005A4E4B" w:rsidRPr="00D662FF" w:rsidRDefault="005A4E4B" w:rsidP="005A4E4B">
      <w:pPr>
        <w:shd w:val="clear" w:color="auto" w:fill="FFFFFF"/>
        <w:spacing w:before="0"/>
        <w:jc w:val="both"/>
        <w:rPr>
          <w:rFonts w:ascii="Arial" w:hAnsi="Arial" w:cs="Arial"/>
          <w:i/>
          <w:iCs/>
          <w:color w:val="000000"/>
          <w:szCs w:val="24"/>
        </w:rPr>
      </w:pPr>
    </w:p>
    <w:p w14:paraId="2D27E317" w14:textId="107B4659" w:rsidR="005A4E4B" w:rsidRPr="00D662FF" w:rsidRDefault="005A4E4B" w:rsidP="004942E2">
      <w:pPr>
        <w:shd w:val="clear" w:color="auto" w:fill="FFFFFF"/>
        <w:spacing w:before="0"/>
        <w:jc w:val="both"/>
        <w:rPr>
          <w:rFonts w:ascii="Arial" w:hAnsi="Arial" w:cs="Arial"/>
          <w:color w:val="000000"/>
          <w:szCs w:val="24"/>
        </w:rPr>
      </w:pPr>
      <w:r w:rsidRPr="00D662FF">
        <w:rPr>
          <w:rFonts w:ascii="Arial" w:hAnsi="Arial" w:cs="Arial"/>
          <w:color w:val="000000"/>
          <w:szCs w:val="24"/>
        </w:rPr>
        <w:t xml:space="preserve">The </w:t>
      </w:r>
      <w:r w:rsidRPr="00D662FF">
        <w:rPr>
          <w:rFonts w:ascii="Arial" w:hAnsi="Arial" w:cs="Arial"/>
          <w:i/>
          <w:iCs/>
          <w:color w:val="000000"/>
          <w:szCs w:val="24"/>
        </w:rPr>
        <w:t>Privacy Act 1988</w:t>
      </w:r>
      <w:r w:rsidRPr="00D662FF">
        <w:rPr>
          <w:rFonts w:ascii="Arial" w:hAnsi="Arial" w:cs="Arial"/>
          <w:color w:val="000000"/>
          <w:szCs w:val="24"/>
        </w:rPr>
        <w:t xml:space="preserve"> </w:t>
      </w:r>
      <w:r w:rsidR="007A0695" w:rsidRPr="00D662FF">
        <w:rPr>
          <w:rFonts w:ascii="Arial" w:hAnsi="Arial" w:cs="Arial"/>
          <w:color w:val="000000"/>
          <w:szCs w:val="24"/>
        </w:rPr>
        <w:t xml:space="preserve">(the Privacy Act) </w:t>
      </w:r>
      <w:r w:rsidRPr="00D662FF">
        <w:rPr>
          <w:rFonts w:ascii="Arial" w:hAnsi="Arial" w:cs="Arial"/>
          <w:color w:val="000000"/>
          <w:szCs w:val="24"/>
        </w:rPr>
        <w:t xml:space="preserve">applies to all ‘personal information’ collected for the purposes of the </w:t>
      </w:r>
      <w:proofErr w:type="spellStart"/>
      <w:r w:rsidRPr="00D662FF">
        <w:rPr>
          <w:rFonts w:ascii="Arial" w:hAnsi="Arial" w:cs="Arial"/>
          <w:color w:val="000000"/>
          <w:szCs w:val="24"/>
        </w:rPr>
        <w:t>MyMedicare</w:t>
      </w:r>
      <w:proofErr w:type="spellEnd"/>
      <w:r w:rsidRPr="00D662FF">
        <w:rPr>
          <w:rFonts w:ascii="Arial" w:hAnsi="Arial" w:cs="Arial"/>
          <w:color w:val="000000"/>
          <w:szCs w:val="24"/>
        </w:rPr>
        <w:t xml:space="preserve"> program regardless of whether it is also covered by one or more secrecy provisions.</w:t>
      </w:r>
    </w:p>
    <w:p w14:paraId="6E3FC07F" w14:textId="77777777" w:rsidR="005A4E4B" w:rsidRPr="00D662FF" w:rsidRDefault="005A4E4B" w:rsidP="004942E2">
      <w:pPr>
        <w:shd w:val="clear" w:color="auto" w:fill="FFFFFF"/>
        <w:spacing w:before="0"/>
        <w:jc w:val="both"/>
        <w:rPr>
          <w:color w:val="000000"/>
          <w:szCs w:val="24"/>
        </w:rPr>
      </w:pPr>
    </w:p>
    <w:p w14:paraId="1EC8AB7E" w14:textId="77777777" w:rsidR="005A4E4B" w:rsidRPr="00D662FF" w:rsidRDefault="005A4E4B" w:rsidP="004942E2">
      <w:pPr>
        <w:shd w:val="clear" w:color="auto" w:fill="FFFFFF"/>
        <w:spacing w:before="0"/>
        <w:jc w:val="both"/>
      </w:pPr>
      <w:r w:rsidRPr="00D662FF">
        <w:rPr>
          <w:rFonts w:ascii="Arial" w:hAnsi="Arial" w:cs="Arial"/>
          <w:color w:val="000000"/>
          <w:szCs w:val="24"/>
        </w:rPr>
        <w:t>The Department of Health and Aged Care</w:t>
      </w:r>
      <w:r w:rsidR="00103E16" w:rsidRPr="00D662FF">
        <w:rPr>
          <w:rFonts w:ascii="Arial" w:hAnsi="Arial" w:cs="Arial"/>
          <w:color w:val="000000"/>
          <w:szCs w:val="24"/>
        </w:rPr>
        <w:t xml:space="preserve">, DVA and </w:t>
      </w:r>
      <w:r w:rsidRPr="00D662FF">
        <w:rPr>
          <w:rFonts w:ascii="Arial" w:hAnsi="Arial" w:cs="Arial"/>
          <w:color w:val="000000"/>
          <w:szCs w:val="24"/>
        </w:rPr>
        <w:t>Services Australia are Commonwealth agencies that must adhere to the Australia Privacy Principles contained in Schedule 1 of the Privacy Act.</w:t>
      </w:r>
      <w:r w:rsidRPr="00D662FF">
        <w:t xml:space="preserve"> </w:t>
      </w:r>
    </w:p>
    <w:p w14:paraId="1367D538" w14:textId="77777777" w:rsidR="005A4E4B" w:rsidRPr="00D662FF" w:rsidRDefault="005A4E4B" w:rsidP="004942E2">
      <w:pPr>
        <w:shd w:val="clear" w:color="auto" w:fill="FFFFFF"/>
        <w:spacing w:before="0"/>
        <w:jc w:val="both"/>
      </w:pPr>
    </w:p>
    <w:p w14:paraId="116B9406" w14:textId="3C57B6D9" w:rsidR="005A4E4B" w:rsidRPr="00D662FF" w:rsidRDefault="005A4E4B" w:rsidP="004942E2">
      <w:pPr>
        <w:shd w:val="clear" w:color="auto" w:fill="FFFFFF"/>
        <w:spacing w:before="0"/>
        <w:jc w:val="both"/>
        <w:rPr>
          <w:rFonts w:ascii="Arial" w:hAnsi="Arial" w:cs="Arial"/>
          <w:color w:val="000000"/>
          <w:szCs w:val="24"/>
        </w:rPr>
      </w:pPr>
      <w:r w:rsidRPr="00D662FF">
        <w:rPr>
          <w:rFonts w:ascii="Arial" w:hAnsi="Arial" w:cs="Arial"/>
          <w:color w:val="000000"/>
          <w:szCs w:val="24"/>
        </w:rPr>
        <w:t xml:space="preserve">Medicare enrolment and claiming information acquired by an officer in the performance of his or her duties, or in the exercise of his or her powers or functions under the Health Insurance Act </w:t>
      </w:r>
      <w:r w:rsidR="007A0695" w:rsidRPr="00D662FF">
        <w:rPr>
          <w:rFonts w:ascii="Arial" w:hAnsi="Arial" w:cs="Arial"/>
          <w:color w:val="000000"/>
          <w:szCs w:val="24"/>
        </w:rPr>
        <w:t xml:space="preserve">or the National Health Act </w:t>
      </w:r>
      <w:r w:rsidRPr="00D662FF">
        <w:rPr>
          <w:rFonts w:ascii="Arial" w:hAnsi="Arial" w:cs="Arial"/>
          <w:color w:val="000000"/>
          <w:szCs w:val="24"/>
        </w:rPr>
        <w:t xml:space="preserve">will remain subject to secrecy provisions to prevent unauthorised </w:t>
      </w:r>
      <w:r w:rsidR="00B63EDD" w:rsidRPr="00D662FF">
        <w:rPr>
          <w:rFonts w:ascii="Arial" w:hAnsi="Arial" w:cs="Arial"/>
          <w:color w:val="000000"/>
          <w:szCs w:val="24"/>
        </w:rPr>
        <w:t>handling of that information.</w:t>
      </w:r>
    </w:p>
    <w:p w14:paraId="671A5303" w14:textId="77777777" w:rsidR="005A4E4B" w:rsidRPr="00D662FF" w:rsidRDefault="005A4E4B" w:rsidP="005A4E4B">
      <w:pPr>
        <w:spacing w:before="0" w:line="276" w:lineRule="auto"/>
        <w:rPr>
          <w:rFonts w:ascii="Arial" w:hAnsi="Arial" w:cs="Arial"/>
        </w:rPr>
      </w:pPr>
    </w:p>
    <w:p w14:paraId="77EF9A10" w14:textId="77777777" w:rsidR="005A4E4B" w:rsidRPr="00D662FF" w:rsidRDefault="005A4E4B" w:rsidP="005A4E4B">
      <w:pPr>
        <w:spacing w:before="0" w:after="240"/>
        <w:rPr>
          <w:rFonts w:ascii="Arial" w:hAnsi="Arial" w:cs="Arial"/>
          <w:b/>
        </w:rPr>
      </w:pPr>
      <w:r w:rsidRPr="00D662FF">
        <w:rPr>
          <w:rFonts w:ascii="Arial" w:hAnsi="Arial" w:cs="Arial"/>
          <w:b/>
        </w:rPr>
        <w:t xml:space="preserve">Commencement </w:t>
      </w:r>
    </w:p>
    <w:p w14:paraId="3DF6614E" w14:textId="77777777" w:rsidR="005A4E4B" w:rsidRPr="00D662FF" w:rsidRDefault="005A4E4B" w:rsidP="005A4E4B">
      <w:pPr>
        <w:spacing w:before="0" w:after="240"/>
        <w:rPr>
          <w:rFonts w:ascii="Arial" w:hAnsi="Arial" w:cs="Arial"/>
        </w:rPr>
      </w:pPr>
      <w:r w:rsidRPr="00D662FF">
        <w:rPr>
          <w:rFonts w:ascii="Arial" w:hAnsi="Arial" w:cs="Arial"/>
        </w:rPr>
        <w:t xml:space="preserve">The Specification commences the day after registration on the Federal Register of Legislation. </w:t>
      </w:r>
    </w:p>
    <w:p w14:paraId="2FFFD32A" w14:textId="77777777" w:rsidR="005A4E4B" w:rsidRPr="00D662FF" w:rsidRDefault="005A4E4B" w:rsidP="005A4E4B">
      <w:pPr>
        <w:spacing w:before="0" w:after="240"/>
        <w:rPr>
          <w:rFonts w:ascii="Arial" w:hAnsi="Arial" w:cs="Arial"/>
          <w:b/>
        </w:rPr>
      </w:pPr>
      <w:r w:rsidRPr="00D662FF">
        <w:rPr>
          <w:rFonts w:ascii="Arial" w:hAnsi="Arial" w:cs="Arial"/>
          <w:b/>
        </w:rPr>
        <w:t xml:space="preserve">Consultation </w:t>
      </w:r>
    </w:p>
    <w:p w14:paraId="0454C655" w14:textId="5102B3E1" w:rsidR="005A4E4B" w:rsidRPr="00D662FF" w:rsidRDefault="005A4E4B" w:rsidP="004942E2">
      <w:pPr>
        <w:spacing w:before="0" w:after="240"/>
        <w:jc w:val="both"/>
        <w:rPr>
          <w:rFonts w:ascii="Arial" w:hAnsi="Arial" w:cs="Arial"/>
        </w:rPr>
      </w:pPr>
      <w:r w:rsidRPr="00D662FF">
        <w:rPr>
          <w:rFonts w:ascii="Arial" w:hAnsi="Arial" w:cs="Arial"/>
        </w:rPr>
        <w:t>The Specification ensures that the recording, communication and divulgence</w:t>
      </w:r>
      <w:r w:rsidR="000E265A" w:rsidRPr="00D662FF">
        <w:rPr>
          <w:rFonts w:ascii="Arial" w:hAnsi="Arial" w:cs="Arial"/>
        </w:rPr>
        <w:t xml:space="preserve"> </w:t>
      </w:r>
      <w:r w:rsidRPr="00D662FF">
        <w:rPr>
          <w:rFonts w:ascii="Arial" w:hAnsi="Arial" w:cs="Arial"/>
        </w:rPr>
        <w:t xml:space="preserve">of Medicare information for the purposes of </w:t>
      </w:r>
      <w:proofErr w:type="spellStart"/>
      <w:r w:rsidRPr="00D662FF">
        <w:rPr>
          <w:rFonts w:ascii="Arial" w:hAnsi="Arial" w:cs="Arial"/>
        </w:rPr>
        <w:t>MyMedicare</w:t>
      </w:r>
      <w:proofErr w:type="spellEnd"/>
      <w:r w:rsidRPr="00D662FF">
        <w:rPr>
          <w:rFonts w:ascii="Arial" w:hAnsi="Arial" w:cs="Arial"/>
        </w:rPr>
        <w:t xml:space="preserve"> does not contravene section 130 of the Health Insurance Act</w:t>
      </w:r>
      <w:r w:rsidR="007A0695" w:rsidRPr="00D662FF">
        <w:rPr>
          <w:rFonts w:ascii="Arial" w:hAnsi="Arial" w:cs="Arial"/>
        </w:rPr>
        <w:t xml:space="preserve"> or section 135A of the National Health Act</w:t>
      </w:r>
      <w:r w:rsidRPr="00D662FF">
        <w:rPr>
          <w:rFonts w:ascii="Arial" w:hAnsi="Arial" w:cs="Arial"/>
        </w:rPr>
        <w:t xml:space="preserve">. As this Specification is of a mechanical nature, no public consultation on the Specification was considered necessary. </w:t>
      </w:r>
    </w:p>
    <w:p w14:paraId="434956B6" w14:textId="76D34FB7" w:rsidR="005A4E4B" w:rsidRPr="00D662FF" w:rsidRDefault="005A4E4B" w:rsidP="005A4E4B">
      <w:pPr>
        <w:spacing w:before="0" w:after="240"/>
        <w:rPr>
          <w:rFonts w:ascii="Arial" w:hAnsi="Arial" w:cs="Arial"/>
        </w:rPr>
      </w:pPr>
      <w:r w:rsidRPr="00D662FF">
        <w:rPr>
          <w:rFonts w:ascii="Arial" w:hAnsi="Arial" w:cs="Arial"/>
        </w:rPr>
        <w:t>Services Australia</w:t>
      </w:r>
      <w:r w:rsidR="0075067A" w:rsidRPr="00D662FF">
        <w:rPr>
          <w:rFonts w:ascii="Arial" w:hAnsi="Arial" w:cs="Arial"/>
        </w:rPr>
        <w:t>,</w:t>
      </w:r>
      <w:r w:rsidR="00B63EDD" w:rsidRPr="00D662FF">
        <w:rPr>
          <w:rFonts w:ascii="Arial" w:hAnsi="Arial" w:cs="Arial"/>
        </w:rPr>
        <w:t xml:space="preserve"> </w:t>
      </w:r>
      <w:r w:rsidRPr="00D662FF">
        <w:rPr>
          <w:rFonts w:ascii="Arial" w:hAnsi="Arial" w:cs="Arial"/>
        </w:rPr>
        <w:t xml:space="preserve">Department of Health and Aged Care </w:t>
      </w:r>
      <w:r w:rsidR="0075067A" w:rsidRPr="00D662FF">
        <w:rPr>
          <w:rFonts w:ascii="Arial" w:hAnsi="Arial" w:cs="Arial"/>
        </w:rPr>
        <w:t xml:space="preserve">and the Department of Veterans’ Affairs </w:t>
      </w:r>
      <w:r w:rsidRPr="00D662FF">
        <w:rPr>
          <w:rFonts w:ascii="Arial" w:hAnsi="Arial" w:cs="Arial"/>
        </w:rPr>
        <w:t xml:space="preserve">were consulted on this amendment to the Principal Specification. </w:t>
      </w:r>
    </w:p>
    <w:p w14:paraId="6F9067EB" w14:textId="77777777" w:rsidR="005A4E4B" w:rsidRPr="00D662FF" w:rsidRDefault="005A4E4B" w:rsidP="004942E2">
      <w:pPr>
        <w:spacing w:before="0" w:after="240"/>
        <w:jc w:val="both"/>
        <w:rPr>
          <w:rFonts w:ascii="Arial" w:hAnsi="Arial" w:cs="Arial"/>
          <w:b/>
        </w:rPr>
      </w:pPr>
      <w:r w:rsidRPr="00D662FF">
        <w:rPr>
          <w:rFonts w:ascii="Arial" w:hAnsi="Arial" w:cs="Arial"/>
          <w:b/>
        </w:rPr>
        <w:t>Impact Analysis</w:t>
      </w:r>
    </w:p>
    <w:p w14:paraId="11EFA07B" w14:textId="56C134A0" w:rsidR="005A4E4B" w:rsidRPr="00D662FF" w:rsidRDefault="005A4E4B" w:rsidP="004942E2">
      <w:pPr>
        <w:spacing w:before="0" w:after="240"/>
        <w:jc w:val="both"/>
        <w:rPr>
          <w:rFonts w:ascii="Arial" w:hAnsi="Arial" w:cs="Arial"/>
        </w:rPr>
      </w:pPr>
      <w:r w:rsidRPr="00D662FF">
        <w:rPr>
          <w:rFonts w:ascii="Arial" w:hAnsi="Arial" w:cs="Arial"/>
        </w:rPr>
        <w:t>The Office of Impact Analysis was consulted and agreed that an Impact Analysis report is not required (</w:t>
      </w:r>
      <w:r w:rsidR="000E265A" w:rsidRPr="00D662FF">
        <w:rPr>
          <w:rFonts w:ascii="Arial" w:hAnsi="Arial" w:cs="Arial"/>
        </w:rPr>
        <w:t xml:space="preserve">OIA </w:t>
      </w:r>
      <w:r w:rsidRPr="00D662FF">
        <w:rPr>
          <w:rFonts w:ascii="Arial" w:hAnsi="Arial" w:cs="Arial"/>
        </w:rPr>
        <w:t xml:space="preserve">ID OIA23-05567). </w:t>
      </w:r>
    </w:p>
    <w:p w14:paraId="30EC36C5" w14:textId="77777777" w:rsidR="005A4E4B" w:rsidRPr="00D662FF" w:rsidRDefault="005A4E4B" w:rsidP="004942E2">
      <w:pPr>
        <w:spacing w:before="0" w:after="240"/>
        <w:jc w:val="both"/>
        <w:rPr>
          <w:rFonts w:ascii="Arial" w:hAnsi="Arial" w:cs="Arial"/>
          <w:b/>
        </w:rPr>
      </w:pPr>
      <w:r w:rsidRPr="00D662FF">
        <w:rPr>
          <w:rFonts w:ascii="Arial" w:hAnsi="Arial" w:cs="Arial"/>
          <w:b/>
        </w:rPr>
        <w:t xml:space="preserve">General </w:t>
      </w:r>
    </w:p>
    <w:p w14:paraId="70FE0439" w14:textId="77777777" w:rsidR="005A4E4B" w:rsidRPr="00D662FF" w:rsidRDefault="005A4E4B" w:rsidP="004942E2">
      <w:pPr>
        <w:spacing w:before="0" w:after="240"/>
        <w:jc w:val="both"/>
        <w:rPr>
          <w:rFonts w:ascii="Arial" w:hAnsi="Arial" w:cs="Arial"/>
        </w:rPr>
      </w:pPr>
      <w:r w:rsidRPr="00D662FF">
        <w:rPr>
          <w:rFonts w:ascii="Arial" w:hAnsi="Arial" w:cs="Arial"/>
        </w:rPr>
        <w:t xml:space="preserve">The Specification is a disallowable legislative instrument for the purposes of the </w:t>
      </w:r>
      <w:r w:rsidRPr="00D662FF">
        <w:rPr>
          <w:rFonts w:ascii="Arial" w:hAnsi="Arial" w:cs="Arial"/>
          <w:i/>
        </w:rPr>
        <w:t>Legislation Act 2003</w:t>
      </w:r>
      <w:r w:rsidRPr="00D662FF">
        <w:rPr>
          <w:rFonts w:ascii="Arial" w:hAnsi="Arial" w:cs="Arial"/>
        </w:rPr>
        <w:t xml:space="preserve">. </w:t>
      </w:r>
    </w:p>
    <w:p w14:paraId="5BF4E4AF" w14:textId="77777777" w:rsidR="005A4E4B" w:rsidRPr="00D662FF" w:rsidRDefault="005A4E4B" w:rsidP="004942E2">
      <w:pPr>
        <w:spacing w:before="0" w:after="240"/>
        <w:jc w:val="both"/>
        <w:rPr>
          <w:rFonts w:ascii="Arial" w:hAnsi="Arial" w:cs="Arial"/>
        </w:rPr>
      </w:pPr>
      <w:r w:rsidRPr="00D662FF">
        <w:rPr>
          <w:rFonts w:ascii="Arial" w:hAnsi="Arial" w:cs="Arial"/>
        </w:rPr>
        <w:t xml:space="preserve">Details of this instrument are set out in the </w:t>
      </w:r>
      <w:r w:rsidRPr="00D662FF">
        <w:rPr>
          <w:rFonts w:ascii="Arial" w:hAnsi="Arial" w:cs="Arial"/>
          <w:b/>
        </w:rPr>
        <w:t>Attachment A</w:t>
      </w:r>
      <w:r w:rsidRPr="00D662FF">
        <w:rPr>
          <w:rFonts w:ascii="Arial" w:hAnsi="Arial" w:cs="Arial"/>
        </w:rPr>
        <w:t xml:space="preserve">. </w:t>
      </w:r>
    </w:p>
    <w:p w14:paraId="5CF5EFA7" w14:textId="77777777" w:rsidR="005A4E4B" w:rsidRPr="00D662FF" w:rsidRDefault="005A4E4B" w:rsidP="004942E2">
      <w:pPr>
        <w:spacing w:before="0" w:after="240"/>
        <w:jc w:val="both"/>
        <w:rPr>
          <w:rFonts w:ascii="Arial" w:hAnsi="Arial" w:cs="Arial"/>
        </w:rPr>
      </w:pPr>
      <w:r w:rsidRPr="00D662FF">
        <w:rPr>
          <w:rFonts w:ascii="Arial" w:hAnsi="Arial" w:cs="Arial"/>
        </w:rPr>
        <w:t xml:space="preserve">The instrument is compatible with the human rights and freedoms recognised or declared under section 3 of the </w:t>
      </w:r>
      <w:r w:rsidRPr="00D662FF">
        <w:rPr>
          <w:rFonts w:ascii="Arial" w:hAnsi="Arial" w:cs="Arial"/>
          <w:i/>
        </w:rPr>
        <w:t>Human Rights (Parliamentary Scrutiny) Act 2011</w:t>
      </w:r>
      <w:r w:rsidRPr="00D662FF">
        <w:rPr>
          <w:rFonts w:ascii="Arial" w:hAnsi="Arial" w:cs="Arial"/>
        </w:rPr>
        <w:t xml:space="preserve">. A full statement of compatibility is set out in </w:t>
      </w:r>
      <w:r w:rsidRPr="00D662FF">
        <w:rPr>
          <w:rFonts w:ascii="Arial" w:hAnsi="Arial" w:cs="Arial"/>
          <w:b/>
        </w:rPr>
        <w:t>Attachment B.</w:t>
      </w:r>
      <w:r w:rsidRPr="00D662FF">
        <w:rPr>
          <w:rFonts w:ascii="Arial" w:hAnsi="Arial" w:cs="Arial"/>
        </w:rPr>
        <w:t xml:space="preserve"> </w:t>
      </w:r>
    </w:p>
    <w:p w14:paraId="61F7D0F4" w14:textId="77777777" w:rsidR="005A2958" w:rsidRPr="00D662FF" w:rsidRDefault="005A2958" w:rsidP="005A4E4B">
      <w:pPr>
        <w:spacing w:before="0" w:line="276" w:lineRule="auto"/>
        <w:rPr>
          <w:rFonts w:ascii="Arial" w:hAnsi="Arial" w:cs="Arial"/>
        </w:rPr>
      </w:pPr>
      <w:r w:rsidRPr="00D662FF">
        <w:rPr>
          <w:rFonts w:ascii="Arial" w:hAnsi="Arial" w:cs="Arial"/>
        </w:rPr>
        <w:br w:type="page"/>
      </w:r>
    </w:p>
    <w:p w14:paraId="608E6CF9" w14:textId="388FA8C7" w:rsidR="005A2958" w:rsidRPr="00D662FF" w:rsidRDefault="005A2958" w:rsidP="004942E2">
      <w:pPr>
        <w:spacing w:before="0"/>
        <w:jc w:val="both"/>
        <w:rPr>
          <w:rFonts w:ascii="Arial" w:hAnsi="Arial" w:cs="Arial"/>
        </w:rPr>
      </w:pPr>
      <w:r w:rsidRPr="00D662FF">
        <w:rPr>
          <w:rFonts w:ascii="Arial" w:hAnsi="Arial" w:cs="Arial"/>
          <w:b/>
        </w:rPr>
        <w:lastRenderedPageBreak/>
        <w:t>ATTACHMENT A</w:t>
      </w:r>
      <w:r w:rsidRPr="00D662FF">
        <w:rPr>
          <w:rFonts w:ascii="Arial" w:hAnsi="Arial" w:cs="Arial"/>
        </w:rPr>
        <w:t xml:space="preserve"> </w:t>
      </w:r>
    </w:p>
    <w:p w14:paraId="52F78996" w14:textId="77777777" w:rsidR="004942E2" w:rsidRPr="00D662FF" w:rsidRDefault="004942E2" w:rsidP="004942E2">
      <w:pPr>
        <w:spacing w:before="0"/>
        <w:jc w:val="both"/>
        <w:rPr>
          <w:rFonts w:ascii="Arial" w:hAnsi="Arial" w:cs="Arial"/>
        </w:rPr>
      </w:pPr>
    </w:p>
    <w:p w14:paraId="7D66265E" w14:textId="77777777" w:rsidR="005A2958" w:rsidRPr="00D662FF" w:rsidRDefault="005A2958" w:rsidP="004942E2">
      <w:pPr>
        <w:spacing w:before="0"/>
        <w:jc w:val="both"/>
        <w:rPr>
          <w:rFonts w:ascii="Arial" w:hAnsi="Arial" w:cs="Arial"/>
          <w:b/>
        </w:rPr>
      </w:pPr>
      <w:r w:rsidRPr="00D662FF">
        <w:rPr>
          <w:rFonts w:ascii="Arial" w:hAnsi="Arial" w:cs="Arial"/>
          <w:b/>
        </w:rPr>
        <w:t xml:space="preserve">Section 1 – Name </w:t>
      </w:r>
    </w:p>
    <w:p w14:paraId="52DACD0C" w14:textId="77777777" w:rsidR="004942E2" w:rsidRPr="00D662FF" w:rsidRDefault="004942E2" w:rsidP="004942E2">
      <w:pPr>
        <w:spacing w:before="0"/>
        <w:jc w:val="both"/>
        <w:rPr>
          <w:rFonts w:ascii="Arial" w:hAnsi="Arial" w:cs="Arial"/>
          <w:b/>
        </w:rPr>
      </w:pPr>
    </w:p>
    <w:p w14:paraId="2EF92A97" w14:textId="7A4A9F99" w:rsidR="005A2958" w:rsidRPr="00D662FF" w:rsidRDefault="005A2958" w:rsidP="004942E2">
      <w:pPr>
        <w:spacing w:before="0"/>
        <w:jc w:val="both"/>
        <w:rPr>
          <w:rFonts w:ascii="Arial" w:hAnsi="Arial" w:cs="Arial"/>
        </w:rPr>
      </w:pPr>
      <w:r w:rsidRPr="00D662FF">
        <w:rPr>
          <w:rFonts w:ascii="Arial" w:hAnsi="Arial" w:cs="Arial"/>
        </w:rPr>
        <w:t xml:space="preserve">This section provides that the name of this instrument is the </w:t>
      </w:r>
      <w:r w:rsidRPr="00D662FF">
        <w:rPr>
          <w:rFonts w:ascii="Arial" w:hAnsi="Arial" w:cs="Arial"/>
          <w:i/>
        </w:rPr>
        <w:t xml:space="preserve">Human Services (Medicare) (Medicare Programs) Amendment </w:t>
      </w:r>
      <w:r w:rsidR="000E265A" w:rsidRPr="00D662FF">
        <w:rPr>
          <w:rFonts w:ascii="Arial" w:hAnsi="Arial" w:cs="Arial"/>
          <w:i/>
        </w:rPr>
        <w:t>(</w:t>
      </w:r>
      <w:proofErr w:type="spellStart"/>
      <w:r w:rsidR="000E265A" w:rsidRPr="00D662FF">
        <w:rPr>
          <w:rFonts w:ascii="Arial" w:hAnsi="Arial" w:cs="Arial"/>
          <w:i/>
        </w:rPr>
        <w:t>MyMedicare</w:t>
      </w:r>
      <w:proofErr w:type="spellEnd"/>
      <w:r w:rsidR="000E265A" w:rsidRPr="00D662FF">
        <w:rPr>
          <w:rFonts w:ascii="Arial" w:hAnsi="Arial" w:cs="Arial"/>
          <w:i/>
        </w:rPr>
        <w:t xml:space="preserve">) </w:t>
      </w:r>
      <w:r w:rsidRPr="00D662FF">
        <w:rPr>
          <w:rFonts w:ascii="Arial" w:hAnsi="Arial" w:cs="Arial"/>
          <w:i/>
        </w:rPr>
        <w:t>Specification 2023</w:t>
      </w:r>
      <w:r w:rsidRPr="00D662FF">
        <w:rPr>
          <w:rFonts w:ascii="Arial" w:hAnsi="Arial" w:cs="Arial"/>
        </w:rPr>
        <w:t xml:space="preserve"> (the Specification). </w:t>
      </w:r>
    </w:p>
    <w:p w14:paraId="27E3A58B" w14:textId="77777777" w:rsidR="00836F61" w:rsidRPr="00D662FF" w:rsidRDefault="00836F61" w:rsidP="004942E2">
      <w:pPr>
        <w:spacing w:before="0"/>
        <w:jc w:val="both"/>
        <w:rPr>
          <w:rFonts w:ascii="Arial" w:hAnsi="Arial" w:cs="Arial"/>
        </w:rPr>
      </w:pPr>
    </w:p>
    <w:p w14:paraId="6352924C" w14:textId="77777777" w:rsidR="005A2958" w:rsidRPr="00D662FF" w:rsidRDefault="005A2958" w:rsidP="004942E2">
      <w:pPr>
        <w:spacing w:before="0"/>
        <w:jc w:val="both"/>
        <w:rPr>
          <w:rFonts w:ascii="Arial" w:hAnsi="Arial" w:cs="Arial"/>
          <w:b/>
        </w:rPr>
      </w:pPr>
      <w:r w:rsidRPr="00D662FF">
        <w:rPr>
          <w:rFonts w:ascii="Arial" w:hAnsi="Arial" w:cs="Arial"/>
          <w:b/>
        </w:rPr>
        <w:t xml:space="preserve">Section 2 – Commencement </w:t>
      </w:r>
    </w:p>
    <w:p w14:paraId="71C34E6A" w14:textId="77777777" w:rsidR="00836F61" w:rsidRPr="00D662FF" w:rsidRDefault="00836F61" w:rsidP="004942E2">
      <w:pPr>
        <w:spacing w:before="0"/>
        <w:jc w:val="both"/>
        <w:rPr>
          <w:rFonts w:ascii="Arial" w:hAnsi="Arial" w:cs="Arial"/>
          <w:b/>
        </w:rPr>
      </w:pPr>
    </w:p>
    <w:p w14:paraId="6CA42C6B" w14:textId="1BD9B176" w:rsidR="005A2958" w:rsidRPr="00D662FF" w:rsidRDefault="005A2958" w:rsidP="004942E2">
      <w:pPr>
        <w:spacing w:before="0"/>
        <w:jc w:val="both"/>
        <w:rPr>
          <w:rFonts w:ascii="Arial" w:hAnsi="Arial" w:cs="Arial"/>
        </w:rPr>
      </w:pPr>
      <w:r w:rsidRPr="00D662FF">
        <w:rPr>
          <w:rFonts w:ascii="Arial" w:hAnsi="Arial" w:cs="Arial"/>
        </w:rPr>
        <w:t xml:space="preserve">This section provides that the </w:t>
      </w:r>
      <w:r w:rsidR="000E265A" w:rsidRPr="00D662FF">
        <w:rPr>
          <w:rFonts w:ascii="Arial" w:hAnsi="Arial" w:cs="Arial"/>
        </w:rPr>
        <w:t xml:space="preserve">Specification </w:t>
      </w:r>
      <w:r w:rsidRPr="00D662FF">
        <w:rPr>
          <w:rFonts w:ascii="Arial" w:hAnsi="Arial" w:cs="Arial"/>
        </w:rPr>
        <w:t>commences the day after it is registered on the Federal Register of Legislation.</w:t>
      </w:r>
    </w:p>
    <w:p w14:paraId="71490512" w14:textId="77777777" w:rsidR="00836F61" w:rsidRPr="00D662FF" w:rsidRDefault="00836F61" w:rsidP="004942E2">
      <w:pPr>
        <w:spacing w:before="0"/>
        <w:jc w:val="both"/>
        <w:rPr>
          <w:rFonts w:ascii="Arial" w:hAnsi="Arial" w:cs="Arial"/>
        </w:rPr>
      </w:pPr>
    </w:p>
    <w:p w14:paraId="19547BA7" w14:textId="77777777" w:rsidR="005A2958" w:rsidRPr="00D662FF" w:rsidRDefault="005A2958" w:rsidP="004942E2">
      <w:pPr>
        <w:spacing w:before="0"/>
        <w:jc w:val="both"/>
        <w:rPr>
          <w:rFonts w:ascii="Arial" w:hAnsi="Arial" w:cs="Arial"/>
          <w:b/>
        </w:rPr>
      </w:pPr>
      <w:r w:rsidRPr="00D662FF">
        <w:rPr>
          <w:rFonts w:ascii="Arial" w:hAnsi="Arial" w:cs="Arial"/>
          <w:b/>
        </w:rPr>
        <w:t xml:space="preserve">Section 3 – Authority </w:t>
      </w:r>
    </w:p>
    <w:p w14:paraId="59186FBC" w14:textId="77777777" w:rsidR="00836F61" w:rsidRPr="00D662FF" w:rsidRDefault="00836F61" w:rsidP="004942E2">
      <w:pPr>
        <w:spacing w:before="0"/>
        <w:jc w:val="both"/>
        <w:rPr>
          <w:rFonts w:ascii="Arial" w:hAnsi="Arial" w:cs="Arial"/>
          <w:b/>
        </w:rPr>
      </w:pPr>
    </w:p>
    <w:p w14:paraId="198376BC" w14:textId="0979BF88" w:rsidR="005A2958" w:rsidRPr="00D662FF" w:rsidRDefault="005A2958" w:rsidP="004942E2">
      <w:pPr>
        <w:spacing w:before="0"/>
        <w:jc w:val="both"/>
        <w:rPr>
          <w:rFonts w:ascii="Arial" w:hAnsi="Arial" w:cs="Arial"/>
        </w:rPr>
      </w:pPr>
      <w:r w:rsidRPr="00D662FF">
        <w:rPr>
          <w:rFonts w:ascii="Arial" w:hAnsi="Arial" w:cs="Arial"/>
        </w:rPr>
        <w:t xml:space="preserve">This section provides that the legislative authority for making the Specification is paragraph 41G(b) of the </w:t>
      </w:r>
      <w:r w:rsidRPr="00D662FF">
        <w:rPr>
          <w:rFonts w:ascii="Arial" w:hAnsi="Arial" w:cs="Arial"/>
          <w:i/>
        </w:rPr>
        <w:t>Human Services (Medicare) Act 1973</w:t>
      </w:r>
      <w:r w:rsidRPr="00D662FF">
        <w:rPr>
          <w:rFonts w:ascii="Arial" w:hAnsi="Arial" w:cs="Arial"/>
        </w:rPr>
        <w:t xml:space="preserve"> (the Act). At the end of section 3, there is a note to alert the reader that the power to </w:t>
      </w:r>
      <w:r w:rsidR="000E265A" w:rsidRPr="00D662FF">
        <w:rPr>
          <w:rFonts w:ascii="Arial" w:hAnsi="Arial" w:cs="Arial"/>
        </w:rPr>
        <w:t xml:space="preserve">amend </w:t>
      </w:r>
      <w:r w:rsidRPr="00D662FF">
        <w:rPr>
          <w:rFonts w:ascii="Arial" w:hAnsi="Arial" w:cs="Arial"/>
        </w:rPr>
        <w:t xml:space="preserve">a legislative instrument can be found in subsection 33(3) of the </w:t>
      </w:r>
      <w:r w:rsidRPr="00D662FF">
        <w:rPr>
          <w:rFonts w:ascii="Arial" w:hAnsi="Arial" w:cs="Arial"/>
          <w:i/>
        </w:rPr>
        <w:t>Acts Interpretation Act 1901</w:t>
      </w:r>
      <w:r w:rsidRPr="00D662FF">
        <w:rPr>
          <w:rFonts w:ascii="Arial" w:hAnsi="Arial" w:cs="Arial"/>
        </w:rPr>
        <w:t xml:space="preserve">. This subsection provides that: </w:t>
      </w:r>
    </w:p>
    <w:p w14:paraId="636ED24D" w14:textId="77777777" w:rsidR="00836F61" w:rsidRPr="00D662FF" w:rsidRDefault="00836F61" w:rsidP="004942E2">
      <w:pPr>
        <w:spacing w:before="0"/>
        <w:jc w:val="both"/>
        <w:rPr>
          <w:rFonts w:ascii="Arial" w:hAnsi="Arial" w:cs="Arial"/>
        </w:rPr>
      </w:pPr>
    </w:p>
    <w:p w14:paraId="2D86C32B" w14:textId="77777777" w:rsidR="005A2958" w:rsidRPr="00D662FF" w:rsidRDefault="005A2958" w:rsidP="004942E2">
      <w:pPr>
        <w:spacing w:before="0"/>
        <w:ind w:left="720"/>
        <w:jc w:val="both"/>
        <w:rPr>
          <w:rFonts w:ascii="Arial" w:hAnsi="Arial" w:cs="Arial"/>
        </w:rPr>
      </w:pPr>
      <w:r w:rsidRPr="00D662FF">
        <w:rPr>
          <w:rFonts w:ascii="Arial" w:hAnsi="Arial" w:cs="Arial"/>
        </w:rPr>
        <w:t xml:space="preserve">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25FA1161" w14:textId="77777777" w:rsidR="00836F61" w:rsidRPr="00D662FF" w:rsidRDefault="00836F61" w:rsidP="004942E2">
      <w:pPr>
        <w:spacing w:before="0"/>
        <w:ind w:left="720"/>
        <w:jc w:val="both"/>
        <w:rPr>
          <w:rFonts w:ascii="Arial" w:hAnsi="Arial" w:cs="Arial"/>
        </w:rPr>
      </w:pPr>
    </w:p>
    <w:p w14:paraId="05797807" w14:textId="77777777" w:rsidR="005A2958" w:rsidRPr="00D662FF" w:rsidRDefault="005A2958" w:rsidP="004942E2">
      <w:pPr>
        <w:spacing w:before="0"/>
        <w:jc w:val="both"/>
        <w:rPr>
          <w:rFonts w:ascii="Arial" w:hAnsi="Arial" w:cs="Arial"/>
        </w:rPr>
      </w:pPr>
      <w:r w:rsidRPr="00D662FF">
        <w:rPr>
          <w:rFonts w:ascii="Arial" w:hAnsi="Arial" w:cs="Arial"/>
        </w:rPr>
        <w:t xml:space="preserve">This gives the Minister power to amend the </w:t>
      </w:r>
      <w:r w:rsidRPr="00D662FF">
        <w:rPr>
          <w:rFonts w:ascii="Arial" w:hAnsi="Arial" w:cs="Arial"/>
          <w:i/>
        </w:rPr>
        <w:t>Human Services (Medicare) (Medicare Programs) Specification 2021</w:t>
      </w:r>
      <w:r w:rsidRPr="00D662FF">
        <w:rPr>
          <w:rFonts w:ascii="Arial" w:hAnsi="Arial" w:cs="Arial"/>
        </w:rPr>
        <w:t xml:space="preserve"> (Principal Specification) for the purposes of paragraph </w:t>
      </w:r>
      <w:proofErr w:type="gramStart"/>
      <w:r w:rsidRPr="00D662FF">
        <w:rPr>
          <w:rFonts w:ascii="Arial" w:hAnsi="Arial" w:cs="Arial"/>
        </w:rPr>
        <w:t>41G(</w:t>
      </w:r>
      <w:proofErr w:type="gramEnd"/>
      <w:r w:rsidRPr="00D662FF">
        <w:rPr>
          <w:rFonts w:ascii="Arial" w:hAnsi="Arial" w:cs="Arial"/>
        </w:rPr>
        <w:t>b) of the Act.</w:t>
      </w:r>
    </w:p>
    <w:p w14:paraId="1FFE6A74" w14:textId="77777777" w:rsidR="00836F61" w:rsidRPr="00D662FF" w:rsidRDefault="00836F61" w:rsidP="004942E2">
      <w:pPr>
        <w:spacing w:before="0"/>
        <w:jc w:val="both"/>
        <w:rPr>
          <w:rFonts w:ascii="Arial" w:hAnsi="Arial" w:cs="Arial"/>
        </w:rPr>
      </w:pPr>
    </w:p>
    <w:p w14:paraId="7E46A9AC" w14:textId="77777777" w:rsidR="005A2958" w:rsidRPr="00D662FF" w:rsidRDefault="005A2958" w:rsidP="004942E2">
      <w:pPr>
        <w:spacing w:before="0"/>
        <w:jc w:val="both"/>
        <w:rPr>
          <w:rFonts w:ascii="Arial" w:hAnsi="Arial" w:cs="Arial"/>
          <w:b/>
        </w:rPr>
      </w:pPr>
      <w:r w:rsidRPr="00D662FF">
        <w:rPr>
          <w:rFonts w:ascii="Arial" w:hAnsi="Arial" w:cs="Arial"/>
          <w:b/>
        </w:rPr>
        <w:t>Section 4 – Schedules</w:t>
      </w:r>
    </w:p>
    <w:p w14:paraId="77E81AE6" w14:textId="77777777" w:rsidR="00836F61" w:rsidRPr="00D662FF" w:rsidRDefault="00836F61" w:rsidP="004942E2">
      <w:pPr>
        <w:spacing w:before="0"/>
        <w:jc w:val="both"/>
        <w:rPr>
          <w:rFonts w:ascii="Arial" w:hAnsi="Arial" w:cs="Arial"/>
          <w:b/>
        </w:rPr>
      </w:pPr>
    </w:p>
    <w:p w14:paraId="1E5CEDA8" w14:textId="77777777" w:rsidR="005A2958" w:rsidRPr="00D662FF" w:rsidRDefault="005A2958" w:rsidP="004942E2">
      <w:pPr>
        <w:spacing w:before="0"/>
        <w:jc w:val="both"/>
        <w:rPr>
          <w:rFonts w:ascii="Arial" w:hAnsi="Arial" w:cs="Arial"/>
        </w:rPr>
      </w:pPr>
      <w:r w:rsidRPr="00D662FF">
        <w:rPr>
          <w:rFonts w:ascii="Arial" w:hAnsi="Arial" w:cs="Arial"/>
        </w:rPr>
        <w:t xml:space="preserve">This section provides that each instrument that is specified in a Schedule to the Specification is amended or repealed as set out in the applicable items in the Schedule concerned, and that any other item in a Schedule to the Specification has effect according to its items. </w:t>
      </w:r>
    </w:p>
    <w:p w14:paraId="6E16027F" w14:textId="77777777" w:rsidR="00836F61" w:rsidRPr="00D662FF" w:rsidRDefault="00836F61" w:rsidP="004942E2">
      <w:pPr>
        <w:spacing w:before="0"/>
        <w:jc w:val="both"/>
        <w:rPr>
          <w:rFonts w:ascii="Arial" w:hAnsi="Arial" w:cs="Arial"/>
        </w:rPr>
      </w:pPr>
    </w:p>
    <w:p w14:paraId="5D6AB261" w14:textId="77777777" w:rsidR="005A2958" w:rsidRPr="00D662FF" w:rsidRDefault="005A2958" w:rsidP="004942E2">
      <w:pPr>
        <w:spacing w:before="0"/>
        <w:jc w:val="both"/>
        <w:rPr>
          <w:rFonts w:ascii="Arial" w:hAnsi="Arial" w:cs="Arial"/>
          <w:b/>
        </w:rPr>
      </w:pPr>
      <w:r w:rsidRPr="00D662FF">
        <w:rPr>
          <w:rFonts w:ascii="Arial" w:hAnsi="Arial" w:cs="Arial"/>
          <w:b/>
        </w:rPr>
        <w:t xml:space="preserve">SCHEDULE 1 – AMENDMENTS </w:t>
      </w:r>
    </w:p>
    <w:p w14:paraId="614A10F9" w14:textId="77777777" w:rsidR="00836F61" w:rsidRPr="00D662FF" w:rsidRDefault="00836F61" w:rsidP="004942E2">
      <w:pPr>
        <w:spacing w:before="0"/>
        <w:jc w:val="both"/>
        <w:rPr>
          <w:rFonts w:ascii="Arial" w:hAnsi="Arial" w:cs="Arial"/>
          <w:b/>
        </w:rPr>
      </w:pPr>
    </w:p>
    <w:p w14:paraId="717A0336" w14:textId="1EB578B5" w:rsidR="005A2958" w:rsidRPr="00D662FF" w:rsidRDefault="005A2958" w:rsidP="004942E2">
      <w:pPr>
        <w:spacing w:before="0"/>
        <w:jc w:val="both"/>
        <w:rPr>
          <w:rFonts w:ascii="Arial" w:hAnsi="Arial" w:cs="Arial"/>
        </w:rPr>
      </w:pPr>
      <w:r w:rsidRPr="00D662FF">
        <w:rPr>
          <w:rFonts w:ascii="Arial" w:hAnsi="Arial" w:cs="Arial"/>
        </w:rPr>
        <w:t>Schedule 1 amends the</w:t>
      </w:r>
      <w:r w:rsidR="000E265A" w:rsidRPr="00D662FF">
        <w:rPr>
          <w:rFonts w:ascii="Arial" w:hAnsi="Arial" w:cs="Arial"/>
        </w:rPr>
        <w:t xml:space="preserve"> </w:t>
      </w:r>
      <w:r w:rsidR="000E265A" w:rsidRPr="00D662FF">
        <w:rPr>
          <w:rFonts w:ascii="Arial" w:hAnsi="Arial" w:cs="Arial"/>
          <w:i/>
        </w:rPr>
        <w:t>Human Services (Medicare) (Medicare Programs) Specification 2021</w:t>
      </w:r>
      <w:r w:rsidR="000E265A" w:rsidRPr="00D662FF">
        <w:rPr>
          <w:rFonts w:ascii="Arial" w:hAnsi="Arial" w:cs="Arial"/>
        </w:rPr>
        <w:t xml:space="preserve"> (</w:t>
      </w:r>
      <w:r w:rsidRPr="00D662FF">
        <w:rPr>
          <w:rFonts w:ascii="Arial" w:hAnsi="Arial" w:cs="Arial"/>
        </w:rPr>
        <w:t>Principal Specification</w:t>
      </w:r>
      <w:r w:rsidR="000E265A" w:rsidRPr="00D662FF">
        <w:rPr>
          <w:rFonts w:ascii="Arial" w:hAnsi="Arial" w:cs="Arial"/>
        </w:rPr>
        <w:t>)</w:t>
      </w:r>
      <w:r w:rsidRPr="00D662FF">
        <w:rPr>
          <w:rFonts w:ascii="Arial" w:hAnsi="Arial" w:cs="Arial"/>
        </w:rPr>
        <w:t xml:space="preserve">. </w:t>
      </w:r>
    </w:p>
    <w:p w14:paraId="70DA17E4" w14:textId="77777777" w:rsidR="00836F61" w:rsidRPr="00D662FF" w:rsidRDefault="00836F61" w:rsidP="004942E2">
      <w:pPr>
        <w:spacing w:before="0"/>
        <w:jc w:val="both"/>
        <w:rPr>
          <w:rFonts w:ascii="Arial" w:hAnsi="Arial" w:cs="Arial"/>
        </w:rPr>
      </w:pPr>
    </w:p>
    <w:p w14:paraId="79D3679B" w14:textId="77777777" w:rsidR="005A2958" w:rsidRPr="00D662FF" w:rsidRDefault="005A2958" w:rsidP="004942E2">
      <w:pPr>
        <w:spacing w:before="0"/>
        <w:jc w:val="both"/>
        <w:rPr>
          <w:rFonts w:ascii="Arial" w:hAnsi="Arial" w:cs="Arial"/>
        </w:rPr>
      </w:pPr>
      <w:r w:rsidRPr="00D662FF">
        <w:rPr>
          <w:rFonts w:ascii="Arial" w:hAnsi="Arial" w:cs="Arial"/>
          <w:b/>
        </w:rPr>
        <w:t>Item 1</w:t>
      </w:r>
      <w:r w:rsidRPr="00D662FF">
        <w:rPr>
          <w:rFonts w:ascii="Arial" w:hAnsi="Arial" w:cs="Arial"/>
        </w:rPr>
        <w:t xml:space="preserve"> inserts a new table item 32 at the end of the table in Schedule 1 of the Principal Specification. The new table item will specify the ‘</w:t>
      </w:r>
      <w:proofErr w:type="spellStart"/>
      <w:r w:rsidRPr="00D662FF">
        <w:rPr>
          <w:rFonts w:ascii="Arial" w:hAnsi="Arial" w:cs="Arial"/>
        </w:rPr>
        <w:t>MyMedicare</w:t>
      </w:r>
      <w:proofErr w:type="spellEnd"/>
      <w:r w:rsidRPr="00D662FF">
        <w:rPr>
          <w:rFonts w:ascii="Arial" w:hAnsi="Arial" w:cs="Arial"/>
        </w:rPr>
        <w:t xml:space="preserve"> Program’ as a ‘</w:t>
      </w:r>
      <w:proofErr w:type="spellStart"/>
      <w:r w:rsidRPr="00D662FF">
        <w:rPr>
          <w:rFonts w:ascii="Arial" w:hAnsi="Arial" w:cs="Arial"/>
        </w:rPr>
        <w:t>medicare</w:t>
      </w:r>
      <w:proofErr w:type="spellEnd"/>
      <w:r w:rsidRPr="00D662FF">
        <w:rPr>
          <w:rFonts w:ascii="Arial" w:hAnsi="Arial" w:cs="Arial"/>
        </w:rPr>
        <w:t xml:space="preserve"> program’ for the purposes of paragraph </w:t>
      </w:r>
      <w:proofErr w:type="gramStart"/>
      <w:r w:rsidRPr="00D662FF">
        <w:rPr>
          <w:rFonts w:ascii="Arial" w:hAnsi="Arial" w:cs="Arial"/>
        </w:rPr>
        <w:t>41G(</w:t>
      </w:r>
      <w:proofErr w:type="gramEnd"/>
      <w:r w:rsidRPr="00D662FF">
        <w:rPr>
          <w:rFonts w:ascii="Arial" w:hAnsi="Arial" w:cs="Arial"/>
        </w:rPr>
        <w:t xml:space="preserve">b) of the Act. </w:t>
      </w:r>
    </w:p>
    <w:p w14:paraId="3E3AA729" w14:textId="77777777" w:rsidR="005A2958" w:rsidRPr="00D662FF" w:rsidRDefault="005A2958" w:rsidP="004942E2">
      <w:pPr>
        <w:spacing w:before="0"/>
        <w:jc w:val="both"/>
        <w:rPr>
          <w:rFonts w:ascii="Arial" w:hAnsi="Arial" w:cs="Arial"/>
        </w:rPr>
      </w:pPr>
      <w:r w:rsidRPr="00D662FF">
        <w:rPr>
          <w:rFonts w:ascii="Arial" w:hAnsi="Arial" w:cs="Arial"/>
        </w:rPr>
        <w:t xml:space="preserve"> </w:t>
      </w:r>
    </w:p>
    <w:p w14:paraId="6B2BA17D" w14:textId="77777777" w:rsidR="005A2958" w:rsidRPr="00D662FF" w:rsidRDefault="005A2958" w:rsidP="004942E2">
      <w:pPr>
        <w:spacing w:before="0"/>
        <w:jc w:val="both"/>
        <w:rPr>
          <w:rFonts w:ascii="Arial" w:hAnsi="Arial" w:cs="Arial"/>
        </w:rPr>
      </w:pPr>
    </w:p>
    <w:p w14:paraId="2788489C" w14:textId="77777777" w:rsidR="007A0695" w:rsidRPr="00D662FF" w:rsidRDefault="005A2958" w:rsidP="004942E2">
      <w:pPr>
        <w:spacing w:before="0"/>
        <w:jc w:val="both"/>
        <w:rPr>
          <w:rFonts w:ascii="Arial" w:hAnsi="Arial" w:cs="Arial"/>
        </w:rPr>
      </w:pPr>
      <w:r w:rsidRPr="00D662FF">
        <w:rPr>
          <w:rFonts w:ascii="Arial" w:hAnsi="Arial" w:cs="Arial"/>
        </w:rPr>
        <w:tab/>
      </w:r>
      <w:r w:rsidRPr="00D662FF">
        <w:rPr>
          <w:rFonts w:ascii="Arial" w:hAnsi="Arial" w:cs="Arial"/>
        </w:rPr>
        <w:tab/>
      </w:r>
      <w:r w:rsidRPr="00D662FF">
        <w:rPr>
          <w:rFonts w:ascii="Arial" w:hAnsi="Arial" w:cs="Arial"/>
        </w:rPr>
        <w:tab/>
      </w:r>
      <w:r w:rsidRPr="00D662FF">
        <w:rPr>
          <w:rFonts w:ascii="Arial" w:hAnsi="Arial" w:cs="Arial"/>
        </w:rPr>
        <w:tab/>
      </w:r>
      <w:r w:rsidRPr="00D662FF">
        <w:rPr>
          <w:rFonts w:ascii="Arial" w:hAnsi="Arial" w:cs="Arial"/>
        </w:rPr>
        <w:tab/>
      </w:r>
      <w:r w:rsidRPr="00D662FF">
        <w:rPr>
          <w:rFonts w:ascii="Arial" w:hAnsi="Arial" w:cs="Arial"/>
        </w:rPr>
        <w:tab/>
      </w:r>
      <w:r w:rsidRPr="00D662FF">
        <w:rPr>
          <w:rFonts w:ascii="Arial" w:hAnsi="Arial" w:cs="Arial"/>
        </w:rPr>
        <w:tab/>
      </w:r>
      <w:r w:rsidRPr="00D662FF">
        <w:rPr>
          <w:rFonts w:ascii="Arial" w:hAnsi="Arial" w:cs="Arial"/>
        </w:rPr>
        <w:tab/>
      </w:r>
      <w:r w:rsidRPr="00D662FF">
        <w:rPr>
          <w:rFonts w:ascii="Arial" w:hAnsi="Arial" w:cs="Arial"/>
        </w:rPr>
        <w:tab/>
      </w:r>
    </w:p>
    <w:p w14:paraId="72B39535" w14:textId="77777777" w:rsidR="007A0695" w:rsidRPr="00D662FF" w:rsidRDefault="007A0695" w:rsidP="004942E2">
      <w:pPr>
        <w:spacing w:before="0"/>
        <w:jc w:val="both"/>
        <w:rPr>
          <w:rFonts w:ascii="Arial" w:hAnsi="Arial" w:cs="Arial"/>
        </w:rPr>
      </w:pPr>
    </w:p>
    <w:p w14:paraId="03DF3133" w14:textId="6E4546A2" w:rsidR="005A2958" w:rsidRPr="00D662FF" w:rsidRDefault="005A2958" w:rsidP="004942E2">
      <w:pPr>
        <w:spacing w:before="0"/>
        <w:jc w:val="both"/>
        <w:rPr>
          <w:rFonts w:ascii="Arial" w:hAnsi="Arial" w:cs="Arial"/>
          <w:b/>
        </w:rPr>
      </w:pPr>
      <w:r w:rsidRPr="00D662FF">
        <w:rPr>
          <w:rFonts w:ascii="Arial" w:hAnsi="Arial" w:cs="Arial"/>
          <w:b/>
        </w:rPr>
        <w:lastRenderedPageBreak/>
        <w:t>ATTACHMENT B</w:t>
      </w:r>
    </w:p>
    <w:p w14:paraId="246F1D83" w14:textId="77777777" w:rsidR="00836F61" w:rsidRPr="00D662FF" w:rsidRDefault="00836F61" w:rsidP="004942E2">
      <w:pPr>
        <w:spacing w:before="0"/>
        <w:jc w:val="both"/>
        <w:rPr>
          <w:rFonts w:ascii="Arial" w:hAnsi="Arial" w:cs="Arial"/>
          <w:b/>
        </w:rPr>
      </w:pPr>
    </w:p>
    <w:p w14:paraId="55CBF5F7" w14:textId="77777777" w:rsidR="005A2958" w:rsidRPr="00D662FF" w:rsidRDefault="005A2958" w:rsidP="004942E2">
      <w:pPr>
        <w:spacing w:before="0"/>
        <w:jc w:val="center"/>
        <w:rPr>
          <w:rFonts w:ascii="Arial" w:hAnsi="Arial" w:cs="Arial"/>
          <w:b/>
          <w:szCs w:val="24"/>
        </w:rPr>
      </w:pPr>
      <w:bookmarkStart w:id="0" w:name="_Toc290210739"/>
      <w:r w:rsidRPr="00D662FF">
        <w:rPr>
          <w:rFonts w:ascii="Arial" w:hAnsi="Arial" w:cs="Arial"/>
          <w:b/>
          <w:szCs w:val="24"/>
        </w:rPr>
        <w:t>Statement of Compatibility with Human Rights</w:t>
      </w:r>
    </w:p>
    <w:p w14:paraId="0CA7FA99" w14:textId="77777777" w:rsidR="00836F61" w:rsidRPr="00D662FF" w:rsidRDefault="00836F61" w:rsidP="004942E2">
      <w:pPr>
        <w:spacing w:before="0"/>
        <w:jc w:val="center"/>
        <w:rPr>
          <w:rFonts w:ascii="Arial" w:hAnsi="Arial" w:cs="Arial"/>
          <w:b/>
          <w:szCs w:val="24"/>
        </w:rPr>
      </w:pPr>
    </w:p>
    <w:p w14:paraId="23456858" w14:textId="77777777" w:rsidR="005A2958" w:rsidRPr="00D662FF" w:rsidRDefault="005A2958" w:rsidP="004942E2">
      <w:pPr>
        <w:spacing w:before="0"/>
        <w:jc w:val="center"/>
        <w:rPr>
          <w:rFonts w:ascii="Arial" w:hAnsi="Arial" w:cs="Arial"/>
          <w:i/>
          <w:szCs w:val="24"/>
        </w:rPr>
      </w:pPr>
      <w:r w:rsidRPr="00D662FF">
        <w:rPr>
          <w:rFonts w:ascii="Arial" w:hAnsi="Arial" w:cs="Arial"/>
          <w:i/>
          <w:szCs w:val="24"/>
        </w:rPr>
        <w:t>Prepared in accordance with Part 3 of the Human Rights (Parliamentary Scrutiny) Act 2011</w:t>
      </w:r>
    </w:p>
    <w:p w14:paraId="38C0CA9E" w14:textId="77777777" w:rsidR="00836F61" w:rsidRPr="00D662FF" w:rsidRDefault="00836F61" w:rsidP="004942E2">
      <w:pPr>
        <w:spacing w:before="0"/>
        <w:jc w:val="center"/>
        <w:rPr>
          <w:rFonts w:ascii="Arial" w:hAnsi="Arial" w:cs="Arial"/>
          <w:szCs w:val="24"/>
        </w:rPr>
      </w:pPr>
    </w:p>
    <w:p w14:paraId="5729D049" w14:textId="32E4895A" w:rsidR="005A2958" w:rsidRPr="00D662FF" w:rsidRDefault="005A2958" w:rsidP="004942E2">
      <w:pPr>
        <w:spacing w:before="0"/>
        <w:jc w:val="center"/>
        <w:rPr>
          <w:rFonts w:ascii="Arial" w:hAnsi="Arial" w:cs="Arial"/>
          <w:b/>
          <w:i/>
          <w:iCs/>
          <w:szCs w:val="24"/>
        </w:rPr>
      </w:pPr>
      <w:r w:rsidRPr="00D662FF">
        <w:rPr>
          <w:rFonts w:ascii="Arial" w:hAnsi="Arial" w:cs="Arial"/>
          <w:b/>
          <w:i/>
          <w:iCs/>
          <w:szCs w:val="24"/>
        </w:rPr>
        <w:t xml:space="preserve">Human Services (Medicare) (Medicare Programs) Amendment </w:t>
      </w:r>
      <w:r w:rsidR="000E265A" w:rsidRPr="00D662FF">
        <w:rPr>
          <w:rFonts w:ascii="Arial" w:hAnsi="Arial" w:cs="Arial"/>
          <w:b/>
          <w:i/>
          <w:iCs/>
          <w:szCs w:val="24"/>
        </w:rPr>
        <w:t>(</w:t>
      </w:r>
      <w:proofErr w:type="spellStart"/>
      <w:r w:rsidR="000E265A" w:rsidRPr="00D662FF">
        <w:rPr>
          <w:rFonts w:ascii="Arial" w:hAnsi="Arial" w:cs="Arial"/>
          <w:b/>
          <w:i/>
          <w:iCs/>
          <w:szCs w:val="24"/>
        </w:rPr>
        <w:t>MyMedicare</w:t>
      </w:r>
      <w:proofErr w:type="spellEnd"/>
      <w:r w:rsidR="000E265A" w:rsidRPr="00D662FF">
        <w:rPr>
          <w:rFonts w:ascii="Arial" w:hAnsi="Arial" w:cs="Arial"/>
          <w:b/>
          <w:i/>
          <w:iCs/>
          <w:szCs w:val="24"/>
        </w:rPr>
        <w:t xml:space="preserve">) </w:t>
      </w:r>
      <w:r w:rsidRPr="00D662FF">
        <w:rPr>
          <w:rFonts w:ascii="Arial" w:hAnsi="Arial" w:cs="Arial"/>
          <w:b/>
          <w:i/>
          <w:iCs/>
          <w:szCs w:val="24"/>
        </w:rPr>
        <w:t>Specification 2023</w:t>
      </w:r>
    </w:p>
    <w:p w14:paraId="7A2865E5" w14:textId="77777777" w:rsidR="00836F61" w:rsidRPr="00D662FF" w:rsidRDefault="00836F61" w:rsidP="004942E2">
      <w:pPr>
        <w:spacing w:before="0"/>
        <w:jc w:val="center"/>
        <w:rPr>
          <w:rFonts w:ascii="Arial" w:hAnsi="Arial" w:cs="Arial"/>
          <w:b/>
          <w:i/>
          <w:iCs/>
          <w:szCs w:val="24"/>
        </w:rPr>
      </w:pPr>
    </w:p>
    <w:p w14:paraId="7AD9F92D" w14:textId="77777777" w:rsidR="005A2958" w:rsidRPr="00D662FF" w:rsidRDefault="005A2958" w:rsidP="004942E2">
      <w:pPr>
        <w:spacing w:before="0"/>
        <w:jc w:val="center"/>
        <w:rPr>
          <w:rFonts w:ascii="Arial" w:hAnsi="Arial" w:cs="Arial"/>
          <w:szCs w:val="24"/>
        </w:rPr>
      </w:pPr>
      <w:r w:rsidRPr="00D662FF">
        <w:rPr>
          <w:rFonts w:ascii="Arial" w:hAnsi="Arial" w:cs="Arial"/>
          <w:szCs w:val="24"/>
        </w:rPr>
        <w:t xml:space="preserve">The legislative instrument is compatible with the human rights and freedoms recognised or declared in the international instruments listed in section 3 of the </w:t>
      </w:r>
      <w:r w:rsidRPr="00D662FF">
        <w:rPr>
          <w:rFonts w:ascii="Arial" w:hAnsi="Arial" w:cs="Arial"/>
          <w:i/>
          <w:szCs w:val="24"/>
        </w:rPr>
        <w:t>Human Rights (Parliamentary Scrutiny) Act 2011</w:t>
      </w:r>
      <w:r w:rsidRPr="00D662FF">
        <w:rPr>
          <w:rFonts w:ascii="Arial" w:hAnsi="Arial" w:cs="Arial"/>
          <w:szCs w:val="24"/>
        </w:rPr>
        <w:t>.</w:t>
      </w:r>
    </w:p>
    <w:p w14:paraId="17391E46" w14:textId="77777777" w:rsidR="00836F61" w:rsidRPr="00D662FF" w:rsidRDefault="00836F61" w:rsidP="004942E2">
      <w:pPr>
        <w:spacing w:before="0"/>
        <w:jc w:val="center"/>
        <w:rPr>
          <w:rFonts w:ascii="Arial" w:hAnsi="Arial" w:cs="Arial"/>
          <w:szCs w:val="24"/>
        </w:rPr>
      </w:pPr>
    </w:p>
    <w:p w14:paraId="054B1EB4" w14:textId="77777777" w:rsidR="005A2958" w:rsidRPr="00D662FF" w:rsidRDefault="005A2958" w:rsidP="004942E2">
      <w:pPr>
        <w:keepNext/>
        <w:spacing w:before="0"/>
        <w:jc w:val="both"/>
        <w:rPr>
          <w:rFonts w:ascii="Arial" w:hAnsi="Arial" w:cs="Arial"/>
          <w:b/>
          <w:szCs w:val="24"/>
        </w:rPr>
      </w:pPr>
      <w:r w:rsidRPr="00D662FF">
        <w:rPr>
          <w:rFonts w:ascii="Arial" w:hAnsi="Arial" w:cs="Arial"/>
          <w:b/>
          <w:szCs w:val="24"/>
        </w:rPr>
        <w:t>Overview of the legislative instrument</w:t>
      </w:r>
    </w:p>
    <w:p w14:paraId="2DE58681" w14:textId="77777777" w:rsidR="00836F61" w:rsidRPr="00D662FF" w:rsidRDefault="00836F61" w:rsidP="004942E2">
      <w:pPr>
        <w:keepNext/>
        <w:spacing w:before="0"/>
        <w:jc w:val="both"/>
        <w:rPr>
          <w:rFonts w:ascii="Arial" w:hAnsi="Arial" w:cs="Arial"/>
          <w:b/>
          <w:szCs w:val="24"/>
        </w:rPr>
      </w:pPr>
    </w:p>
    <w:p w14:paraId="5965D5A8" w14:textId="0966C935" w:rsidR="005A2958" w:rsidRPr="00D662FF" w:rsidRDefault="005A2958" w:rsidP="004942E2">
      <w:pPr>
        <w:spacing w:before="0"/>
        <w:jc w:val="both"/>
        <w:rPr>
          <w:rFonts w:ascii="Arial" w:hAnsi="Arial" w:cs="Arial"/>
          <w:szCs w:val="24"/>
          <w:lang w:val="en-US"/>
        </w:rPr>
      </w:pPr>
      <w:r w:rsidRPr="00D662FF">
        <w:rPr>
          <w:rFonts w:ascii="Arial" w:hAnsi="Arial" w:cs="Arial"/>
          <w:szCs w:val="24"/>
          <w:lang w:val="en-US"/>
        </w:rPr>
        <w:t>The</w:t>
      </w:r>
      <w:r w:rsidR="000E265A" w:rsidRPr="00D662FF">
        <w:rPr>
          <w:rFonts w:ascii="Arial" w:hAnsi="Arial" w:cs="Arial"/>
          <w:szCs w:val="24"/>
          <w:lang w:val="en-US"/>
        </w:rPr>
        <w:t xml:space="preserve"> Human Services (Medicare) (Medicare Programs) Amendment (</w:t>
      </w:r>
      <w:proofErr w:type="spellStart"/>
      <w:r w:rsidR="000E265A" w:rsidRPr="00D662FF">
        <w:rPr>
          <w:rFonts w:ascii="Arial" w:hAnsi="Arial" w:cs="Arial"/>
          <w:szCs w:val="24"/>
          <w:lang w:val="en-US"/>
        </w:rPr>
        <w:t>MyMedicare</w:t>
      </w:r>
      <w:proofErr w:type="spellEnd"/>
      <w:r w:rsidR="000E265A" w:rsidRPr="00D662FF">
        <w:rPr>
          <w:rFonts w:ascii="Arial" w:hAnsi="Arial" w:cs="Arial"/>
          <w:szCs w:val="24"/>
          <w:lang w:val="en-US"/>
        </w:rPr>
        <w:t>) Specification 2023 amends the</w:t>
      </w:r>
      <w:r w:rsidRPr="00D662FF">
        <w:rPr>
          <w:rFonts w:ascii="Arial" w:hAnsi="Arial" w:cs="Arial"/>
          <w:szCs w:val="24"/>
          <w:lang w:val="en-US"/>
        </w:rPr>
        <w:t xml:space="preserve"> </w:t>
      </w:r>
      <w:r w:rsidRPr="00D662FF">
        <w:rPr>
          <w:rFonts w:ascii="Arial" w:hAnsi="Arial" w:cs="Arial"/>
          <w:i/>
          <w:iCs/>
          <w:szCs w:val="24"/>
          <w:lang w:val="en-US"/>
        </w:rPr>
        <w:t>Human Services (Medicare) (Medicare Programs) Specification 202</w:t>
      </w:r>
      <w:r w:rsidR="000E265A" w:rsidRPr="00D662FF">
        <w:rPr>
          <w:rFonts w:ascii="Arial" w:hAnsi="Arial" w:cs="Arial"/>
          <w:i/>
          <w:iCs/>
          <w:szCs w:val="24"/>
          <w:lang w:val="en-US"/>
        </w:rPr>
        <w:t>1</w:t>
      </w:r>
      <w:r w:rsidRPr="00D662FF">
        <w:rPr>
          <w:rFonts w:ascii="Arial" w:hAnsi="Arial" w:cs="Arial"/>
          <w:szCs w:val="24"/>
          <w:lang w:val="en-US"/>
        </w:rPr>
        <w:t xml:space="preserve"> (the</w:t>
      </w:r>
      <w:r w:rsidR="000E265A" w:rsidRPr="00D662FF">
        <w:rPr>
          <w:rFonts w:ascii="Arial" w:hAnsi="Arial" w:cs="Arial"/>
          <w:szCs w:val="24"/>
          <w:lang w:val="en-US"/>
        </w:rPr>
        <w:t xml:space="preserve"> Principal</w:t>
      </w:r>
      <w:r w:rsidRPr="00D662FF">
        <w:rPr>
          <w:rFonts w:ascii="Arial" w:hAnsi="Arial" w:cs="Arial"/>
          <w:szCs w:val="24"/>
          <w:lang w:val="en-US"/>
        </w:rPr>
        <w:t xml:space="preserve"> Specification)</w:t>
      </w:r>
      <w:r w:rsidR="000E265A" w:rsidRPr="00D662FF">
        <w:rPr>
          <w:rFonts w:ascii="Arial" w:hAnsi="Arial" w:cs="Arial"/>
          <w:szCs w:val="24"/>
          <w:lang w:val="en-US"/>
        </w:rPr>
        <w:t>. The Principal Specification</w:t>
      </w:r>
      <w:r w:rsidRPr="00D662FF">
        <w:rPr>
          <w:rFonts w:ascii="Arial" w:hAnsi="Arial" w:cs="Arial"/>
          <w:szCs w:val="24"/>
          <w:lang w:val="en-US"/>
        </w:rPr>
        <w:t xml:space="preserve"> specifies programs that are a ‘</w:t>
      </w:r>
      <w:proofErr w:type="spellStart"/>
      <w:r w:rsidRPr="00D662FF">
        <w:rPr>
          <w:rFonts w:ascii="Arial" w:hAnsi="Arial" w:cs="Arial"/>
          <w:szCs w:val="24"/>
          <w:lang w:val="en-US"/>
        </w:rPr>
        <w:t>medicare</w:t>
      </w:r>
      <w:proofErr w:type="spellEnd"/>
      <w:r w:rsidRPr="00D662FF">
        <w:rPr>
          <w:rFonts w:ascii="Arial" w:hAnsi="Arial" w:cs="Arial"/>
          <w:szCs w:val="24"/>
          <w:lang w:val="en-US"/>
        </w:rPr>
        <w:t xml:space="preserve"> program’ for the purposes of paragraph 41G(b) of the </w:t>
      </w:r>
      <w:r w:rsidRPr="00D662FF">
        <w:rPr>
          <w:rFonts w:ascii="Arial" w:hAnsi="Arial" w:cs="Arial"/>
          <w:i/>
          <w:szCs w:val="24"/>
          <w:lang w:val="en-US"/>
        </w:rPr>
        <w:t xml:space="preserve">Human Services (Medicare) Act 1973 </w:t>
      </w:r>
      <w:r w:rsidRPr="00D662FF">
        <w:rPr>
          <w:rFonts w:ascii="Arial" w:hAnsi="Arial" w:cs="Arial"/>
          <w:szCs w:val="24"/>
          <w:lang w:val="en-US"/>
        </w:rPr>
        <w:t xml:space="preserve">(the Act). </w:t>
      </w:r>
    </w:p>
    <w:p w14:paraId="32C28338" w14:textId="77777777" w:rsidR="00836F61" w:rsidRPr="00D662FF" w:rsidRDefault="00836F61" w:rsidP="004942E2">
      <w:pPr>
        <w:spacing w:before="0"/>
        <w:jc w:val="both"/>
        <w:rPr>
          <w:rFonts w:ascii="Arial" w:hAnsi="Arial" w:cs="Arial"/>
          <w:szCs w:val="24"/>
          <w:lang w:val="en-US"/>
        </w:rPr>
      </w:pPr>
    </w:p>
    <w:p w14:paraId="6B30D87A" w14:textId="47419F04" w:rsidR="005A2958" w:rsidRPr="00D662FF" w:rsidRDefault="005A2958" w:rsidP="004942E2">
      <w:pPr>
        <w:spacing w:before="0"/>
        <w:jc w:val="both"/>
        <w:rPr>
          <w:rFonts w:ascii="Arial" w:hAnsi="Arial" w:cs="Arial"/>
          <w:szCs w:val="24"/>
        </w:rPr>
      </w:pPr>
      <w:r w:rsidRPr="00D662FF">
        <w:rPr>
          <w:rFonts w:ascii="Arial" w:hAnsi="Arial" w:cs="Arial"/>
          <w:szCs w:val="24"/>
        </w:rPr>
        <w:t>A number of Commonwealth laws allow information that has been obtained in administering one program to be recorded, communicated or divulged for the administration of another program in circumstances where the other program is a ‘</w:t>
      </w:r>
      <w:proofErr w:type="spellStart"/>
      <w:r w:rsidRPr="00D662FF">
        <w:rPr>
          <w:rFonts w:ascii="Arial" w:hAnsi="Arial" w:cs="Arial"/>
          <w:szCs w:val="24"/>
        </w:rPr>
        <w:t>medicare</w:t>
      </w:r>
      <w:proofErr w:type="spellEnd"/>
      <w:r w:rsidRPr="00D662FF">
        <w:rPr>
          <w:rFonts w:ascii="Arial" w:hAnsi="Arial" w:cs="Arial"/>
          <w:szCs w:val="24"/>
        </w:rPr>
        <w:t xml:space="preserve"> program.’ For example, the </w:t>
      </w:r>
      <w:r w:rsidRPr="00D662FF">
        <w:rPr>
          <w:rFonts w:ascii="Arial" w:hAnsi="Arial" w:cs="Arial"/>
          <w:i/>
          <w:szCs w:val="24"/>
        </w:rPr>
        <w:t>Health Insurance Act 1973</w:t>
      </w:r>
      <w:r w:rsidRPr="00D662FF">
        <w:rPr>
          <w:rFonts w:ascii="Arial" w:hAnsi="Arial" w:cs="Arial"/>
          <w:szCs w:val="24"/>
        </w:rPr>
        <w:t xml:space="preserve"> and the </w:t>
      </w:r>
      <w:r w:rsidRPr="00D662FF">
        <w:rPr>
          <w:rFonts w:ascii="Arial" w:hAnsi="Arial" w:cs="Arial"/>
          <w:i/>
          <w:szCs w:val="24"/>
        </w:rPr>
        <w:t>National Health Act 1953</w:t>
      </w:r>
      <w:r w:rsidRPr="00D662FF">
        <w:rPr>
          <w:rFonts w:ascii="Arial" w:hAnsi="Arial" w:cs="Arial"/>
          <w:szCs w:val="24"/>
        </w:rPr>
        <w:t xml:space="preserve"> authorise persons to record, divulge and communicate information obtained under those Acts for the purposes of enabling a person to perform functions in relation to ‘</w:t>
      </w:r>
      <w:proofErr w:type="spellStart"/>
      <w:r w:rsidRPr="00D662FF">
        <w:rPr>
          <w:rFonts w:ascii="Arial" w:hAnsi="Arial" w:cs="Arial"/>
          <w:szCs w:val="24"/>
        </w:rPr>
        <w:t>medicare</w:t>
      </w:r>
      <w:proofErr w:type="spellEnd"/>
      <w:r w:rsidRPr="00D662FF">
        <w:rPr>
          <w:rFonts w:ascii="Arial" w:hAnsi="Arial" w:cs="Arial"/>
          <w:szCs w:val="24"/>
        </w:rPr>
        <w:t xml:space="preserve"> programs’ or other specified Acts.  These laws rely on the term ‘</w:t>
      </w:r>
      <w:proofErr w:type="spellStart"/>
      <w:r w:rsidRPr="00D662FF">
        <w:rPr>
          <w:rFonts w:ascii="Arial" w:hAnsi="Arial" w:cs="Arial"/>
          <w:szCs w:val="24"/>
        </w:rPr>
        <w:t>medicare</w:t>
      </w:r>
      <w:proofErr w:type="spellEnd"/>
      <w:r w:rsidRPr="00D662FF">
        <w:rPr>
          <w:rFonts w:ascii="Arial" w:hAnsi="Arial" w:cs="Arial"/>
          <w:szCs w:val="24"/>
        </w:rPr>
        <w:t xml:space="preserve"> programs’ in section 41G of the Act to identify those programs for which information may be recorded, divulged and communica</w:t>
      </w:r>
      <w:r w:rsidR="00836F61" w:rsidRPr="00D662FF">
        <w:rPr>
          <w:rFonts w:ascii="Arial" w:hAnsi="Arial" w:cs="Arial"/>
          <w:szCs w:val="24"/>
        </w:rPr>
        <w:t>ted.</w:t>
      </w:r>
    </w:p>
    <w:p w14:paraId="4BEDB80E" w14:textId="77777777" w:rsidR="00836F61" w:rsidRPr="00D662FF" w:rsidRDefault="00836F61" w:rsidP="004942E2">
      <w:pPr>
        <w:spacing w:before="0"/>
        <w:jc w:val="both"/>
        <w:rPr>
          <w:rFonts w:ascii="Arial" w:hAnsi="Arial" w:cs="Arial"/>
          <w:szCs w:val="24"/>
        </w:rPr>
      </w:pPr>
    </w:p>
    <w:p w14:paraId="79BAD51D" w14:textId="77777777" w:rsidR="005A2958" w:rsidRPr="00D662FF" w:rsidRDefault="005A2958" w:rsidP="004942E2">
      <w:pPr>
        <w:spacing w:before="0"/>
        <w:jc w:val="both"/>
        <w:rPr>
          <w:rFonts w:ascii="Arial" w:hAnsi="Arial" w:cs="Arial"/>
          <w:szCs w:val="24"/>
        </w:rPr>
      </w:pPr>
      <w:r w:rsidRPr="00D662FF">
        <w:rPr>
          <w:rFonts w:ascii="Arial" w:hAnsi="Arial" w:cs="Arial"/>
          <w:szCs w:val="24"/>
        </w:rPr>
        <w:t>Section 41G defines ‘</w:t>
      </w:r>
      <w:proofErr w:type="spellStart"/>
      <w:r w:rsidRPr="00D662FF">
        <w:rPr>
          <w:rFonts w:ascii="Arial" w:hAnsi="Arial" w:cs="Arial"/>
          <w:szCs w:val="24"/>
        </w:rPr>
        <w:t>medicare</w:t>
      </w:r>
      <w:proofErr w:type="spellEnd"/>
      <w:r w:rsidRPr="00D662FF">
        <w:rPr>
          <w:rFonts w:ascii="Arial" w:hAnsi="Arial" w:cs="Arial"/>
          <w:szCs w:val="24"/>
        </w:rPr>
        <w:t xml:space="preserve"> programs’ to be services, benefits, programs or facilities that are provided under certain health-related legislation referred to in paragraph 41G(a) or those that are specified in a legislative instrument made under paragraph 41G(b). </w:t>
      </w:r>
    </w:p>
    <w:p w14:paraId="0F8EA62F" w14:textId="77777777" w:rsidR="00836F61" w:rsidRPr="00D662FF" w:rsidRDefault="00836F61" w:rsidP="004942E2">
      <w:pPr>
        <w:spacing w:before="0"/>
        <w:jc w:val="both"/>
        <w:rPr>
          <w:rFonts w:ascii="Arial" w:hAnsi="Arial" w:cs="Arial"/>
          <w:szCs w:val="24"/>
        </w:rPr>
      </w:pPr>
    </w:p>
    <w:p w14:paraId="6E8A1B3C" w14:textId="77777777" w:rsidR="005A2958" w:rsidRPr="00D662FF" w:rsidRDefault="005A2958" w:rsidP="004942E2">
      <w:pPr>
        <w:spacing w:before="0"/>
        <w:jc w:val="both"/>
        <w:rPr>
          <w:rFonts w:ascii="Arial" w:hAnsi="Arial" w:cs="Arial"/>
          <w:szCs w:val="24"/>
        </w:rPr>
      </w:pPr>
      <w:r w:rsidRPr="00D662FF">
        <w:rPr>
          <w:rFonts w:ascii="Arial" w:hAnsi="Arial" w:cs="Arial"/>
          <w:szCs w:val="24"/>
        </w:rPr>
        <w:t>By expanding the term ‘</w:t>
      </w:r>
      <w:proofErr w:type="spellStart"/>
      <w:r w:rsidRPr="00D662FF">
        <w:rPr>
          <w:rFonts w:ascii="Arial" w:hAnsi="Arial" w:cs="Arial"/>
          <w:szCs w:val="24"/>
        </w:rPr>
        <w:t>medicare</w:t>
      </w:r>
      <w:proofErr w:type="spellEnd"/>
      <w:r w:rsidRPr="00D662FF">
        <w:rPr>
          <w:rFonts w:ascii="Arial" w:hAnsi="Arial" w:cs="Arial"/>
          <w:szCs w:val="24"/>
        </w:rPr>
        <w:t xml:space="preserve"> programs’ to include programs specified in a legislative instrument, section 41G of the Act provides a mechanism to update and add to the range of programs that operate as ‘</w:t>
      </w:r>
      <w:proofErr w:type="spellStart"/>
      <w:r w:rsidRPr="00D662FF">
        <w:rPr>
          <w:rFonts w:ascii="Arial" w:hAnsi="Arial" w:cs="Arial"/>
          <w:szCs w:val="24"/>
        </w:rPr>
        <w:t>medicare</w:t>
      </w:r>
      <w:proofErr w:type="spellEnd"/>
      <w:r w:rsidRPr="00D662FF">
        <w:rPr>
          <w:rFonts w:ascii="Arial" w:hAnsi="Arial" w:cs="Arial"/>
          <w:szCs w:val="24"/>
        </w:rPr>
        <w:t xml:space="preserve"> programs’ (and in relation to which information can be recorded and disclosed). </w:t>
      </w:r>
    </w:p>
    <w:p w14:paraId="4343B58C" w14:textId="77777777" w:rsidR="00836F61" w:rsidRPr="00D662FF" w:rsidRDefault="00836F61" w:rsidP="004942E2">
      <w:pPr>
        <w:spacing w:before="0"/>
        <w:jc w:val="both"/>
        <w:rPr>
          <w:rFonts w:ascii="Arial" w:hAnsi="Arial" w:cs="Arial"/>
          <w:szCs w:val="24"/>
        </w:rPr>
      </w:pPr>
    </w:p>
    <w:p w14:paraId="1798934E" w14:textId="77777777" w:rsidR="005A2958" w:rsidRPr="00D662FF" w:rsidRDefault="005A2958" w:rsidP="004942E2">
      <w:pPr>
        <w:spacing w:before="0"/>
        <w:jc w:val="both"/>
        <w:rPr>
          <w:rFonts w:ascii="Arial" w:hAnsi="Arial" w:cs="Arial"/>
          <w:szCs w:val="24"/>
        </w:rPr>
      </w:pPr>
      <w:r w:rsidRPr="00D662FF">
        <w:rPr>
          <w:rFonts w:ascii="Arial" w:hAnsi="Arial" w:cs="Arial"/>
          <w:szCs w:val="24"/>
        </w:rPr>
        <w:t xml:space="preserve">The Specification amends the Principal Specification to include the </w:t>
      </w:r>
      <w:proofErr w:type="spellStart"/>
      <w:r w:rsidRPr="00D662FF">
        <w:rPr>
          <w:rFonts w:ascii="Arial" w:hAnsi="Arial" w:cs="Arial"/>
          <w:szCs w:val="24"/>
        </w:rPr>
        <w:t>MyMedicare</w:t>
      </w:r>
      <w:proofErr w:type="spellEnd"/>
      <w:r w:rsidRPr="00D662FF">
        <w:rPr>
          <w:rFonts w:ascii="Arial" w:hAnsi="Arial" w:cs="Arial"/>
          <w:szCs w:val="24"/>
        </w:rPr>
        <w:t xml:space="preserve"> Program (</w:t>
      </w:r>
      <w:proofErr w:type="spellStart"/>
      <w:r w:rsidRPr="00D662FF">
        <w:rPr>
          <w:rFonts w:ascii="Arial" w:hAnsi="Arial" w:cs="Arial"/>
          <w:szCs w:val="24"/>
        </w:rPr>
        <w:t>MyMedicare</w:t>
      </w:r>
      <w:proofErr w:type="spellEnd"/>
      <w:r w:rsidRPr="00D662FF">
        <w:rPr>
          <w:rFonts w:ascii="Arial" w:hAnsi="Arial" w:cs="Arial"/>
          <w:szCs w:val="24"/>
        </w:rPr>
        <w:t>) as a ‘</w:t>
      </w:r>
      <w:proofErr w:type="spellStart"/>
      <w:r w:rsidRPr="00D662FF">
        <w:rPr>
          <w:rFonts w:ascii="Arial" w:hAnsi="Arial" w:cs="Arial"/>
          <w:szCs w:val="24"/>
        </w:rPr>
        <w:t>medicare</w:t>
      </w:r>
      <w:proofErr w:type="spellEnd"/>
      <w:r w:rsidRPr="00D662FF">
        <w:rPr>
          <w:rFonts w:ascii="Arial" w:hAnsi="Arial" w:cs="Arial"/>
          <w:szCs w:val="24"/>
        </w:rPr>
        <w:t xml:space="preserve"> program’ for the purposes of section </w:t>
      </w:r>
      <w:proofErr w:type="gramStart"/>
      <w:r w:rsidRPr="00D662FF">
        <w:rPr>
          <w:rFonts w:ascii="Arial" w:hAnsi="Arial" w:cs="Arial"/>
          <w:szCs w:val="24"/>
        </w:rPr>
        <w:t>41G(</w:t>
      </w:r>
      <w:proofErr w:type="gramEnd"/>
      <w:r w:rsidRPr="00D662FF">
        <w:rPr>
          <w:rFonts w:ascii="Arial" w:hAnsi="Arial" w:cs="Arial"/>
          <w:szCs w:val="24"/>
        </w:rPr>
        <w:t xml:space="preserve">b) of the Act. </w:t>
      </w:r>
    </w:p>
    <w:p w14:paraId="5357C9D6" w14:textId="77777777" w:rsidR="00836F61" w:rsidRPr="00D662FF" w:rsidRDefault="00836F61" w:rsidP="004942E2">
      <w:pPr>
        <w:spacing w:before="0"/>
        <w:jc w:val="both"/>
        <w:rPr>
          <w:rFonts w:ascii="Arial" w:hAnsi="Arial" w:cs="Arial"/>
          <w:szCs w:val="24"/>
        </w:rPr>
      </w:pPr>
    </w:p>
    <w:p w14:paraId="267E2873" w14:textId="77777777" w:rsidR="001253D0" w:rsidRPr="00D662FF" w:rsidRDefault="001253D0" w:rsidP="004942E2">
      <w:pPr>
        <w:spacing w:before="0"/>
        <w:jc w:val="both"/>
        <w:rPr>
          <w:rFonts w:ascii="Arial" w:hAnsi="Arial" w:cs="Arial"/>
          <w:b/>
          <w:szCs w:val="24"/>
        </w:rPr>
      </w:pPr>
    </w:p>
    <w:p w14:paraId="49FA494F" w14:textId="77777777" w:rsidR="001253D0" w:rsidRPr="00D662FF" w:rsidRDefault="001253D0" w:rsidP="004942E2">
      <w:pPr>
        <w:spacing w:before="0"/>
        <w:jc w:val="both"/>
        <w:rPr>
          <w:rFonts w:ascii="Arial" w:hAnsi="Arial" w:cs="Arial"/>
          <w:b/>
          <w:szCs w:val="24"/>
        </w:rPr>
      </w:pPr>
    </w:p>
    <w:p w14:paraId="20151C34" w14:textId="77777777" w:rsidR="001253D0" w:rsidRPr="00D662FF" w:rsidRDefault="001253D0" w:rsidP="004942E2">
      <w:pPr>
        <w:spacing w:before="0"/>
        <w:jc w:val="both"/>
        <w:rPr>
          <w:rFonts w:ascii="Arial" w:hAnsi="Arial" w:cs="Arial"/>
          <w:b/>
          <w:szCs w:val="24"/>
        </w:rPr>
      </w:pPr>
    </w:p>
    <w:p w14:paraId="61DD7B66" w14:textId="77777777" w:rsidR="001253D0" w:rsidRPr="00D662FF" w:rsidRDefault="001253D0" w:rsidP="004942E2">
      <w:pPr>
        <w:spacing w:before="0"/>
        <w:jc w:val="both"/>
        <w:rPr>
          <w:rFonts w:ascii="Arial" w:hAnsi="Arial" w:cs="Arial"/>
          <w:b/>
          <w:szCs w:val="24"/>
        </w:rPr>
      </w:pPr>
    </w:p>
    <w:p w14:paraId="69E700EA" w14:textId="74DD1E3A" w:rsidR="005A2958" w:rsidRPr="00D662FF" w:rsidRDefault="005A2958" w:rsidP="004942E2">
      <w:pPr>
        <w:spacing w:before="0"/>
        <w:jc w:val="both"/>
        <w:rPr>
          <w:rFonts w:ascii="Arial" w:hAnsi="Arial" w:cs="Arial"/>
          <w:b/>
          <w:szCs w:val="24"/>
        </w:rPr>
      </w:pPr>
      <w:r w:rsidRPr="00D662FF">
        <w:rPr>
          <w:rFonts w:ascii="Arial" w:hAnsi="Arial" w:cs="Arial"/>
          <w:b/>
          <w:szCs w:val="24"/>
        </w:rPr>
        <w:lastRenderedPageBreak/>
        <w:t xml:space="preserve">Human rights implications </w:t>
      </w:r>
    </w:p>
    <w:p w14:paraId="5E1AF99B" w14:textId="77777777" w:rsidR="00836F61" w:rsidRPr="00D662FF" w:rsidRDefault="00836F61" w:rsidP="004942E2">
      <w:pPr>
        <w:spacing w:before="0"/>
        <w:jc w:val="both"/>
        <w:rPr>
          <w:rFonts w:ascii="Arial" w:hAnsi="Arial" w:cs="Arial"/>
          <w:b/>
          <w:szCs w:val="24"/>
        </w:rPr>
      </w:pPr>
    </w:p>
    <w:p w14:paraId="4BE69F07" w14:textId="77777777" w:rsidR="005A2958" w:rsidRPr="00D662FF" w:rsidRDefault="005A2958" w:rsidP="004942E2">
      <w:pPr>
        <w:spacing w:before="0"/>
        <w:jc w:val="both"/>
        <w:rPr>
          <w:rFonts w:ascii="Arial" w:hAnsi="Arial" w:cs="Arial"/>
          <w:szCs w:val="24"/>
        </w:rPr>
      </w:pPr>
      <w:r w:rsidRPr="00D662FF">
        <w:rPr>
          <w:rFonts w:ascii="Arial" w:hAnsi="Arial" w:cs="Arial"/>
          <w:szCs w:val="24"/>
        </w:rPr>
        <w:t xml:space="preserve">The Specification engages the right to health (in article 12(1) of the International Covenant on Economic Social and Cultural Rights (ICESCR)) and the right to privacy (in article 17 of the International Covenant on Civil and Political Rights (ICCPR)). </w:t>
      </w:r>
    </w:p>
    <w:p w14:paraId="696FA2B6" w14:textId="77777777" w:rsidR="00836F61" w:rsidRPr="00D662FF" w:rsidRDefault="00836F61" w:rsidP="004942E2">
      <w:pPr>
        <w:spacing w:before="0"/>
        <w:jc w:val="both"/>
        <w:rPr>
          <w:rFonts w:ascii="Arial" w:hAnsi="Arial" w:cs="Arial"/>
          <w:szCs w:val="24"/>
        </w:rPr>
      </w:pPr>
    </w:p>
    <w:p w14:paraId="7AC211C8" w14:textId="77777777" w:rsidR="005A2958" w:rsidRPr="00D662FF" w:rsidRDefault="005A2958" w:rsidP="004942E2">
      <w:pPr>
        <w:spacing w:before="0"/>
        <w:jc w:val="both"/>
        <w:rPr>
          <w:rFonts w:ascii="Arial" w:hAnsi="Arial" w:cs="Arial"/>
          <w:i/>
          <w:szCs w:val="24"/>
        </w:rPr>
      </w:pPr>
      <w:r w:rsidRPr="00D662FF">
        <w:rPr>
          <w:rFonts w:ascii="Arial" w:hAnsi="Arial" w:cs="Arial"/>
          <w:i/>
          <w:szCs w:val="24"/>
        </w:rPr>
        <w:t xml:space="preserve">Right to health </w:t>
      </w:r>
    </w:p>
    <w:p w14:paraId="0231148E" w14:textId="77777777" w:rsidR="00836F61" w:rsidRPr="00D662FF" w:rsidRDefault="00836F61" w:rsidP="004942E2">
      <w:pPr>
        <w:spacing w:before="0"/>
        <w:jc w:val="both"/>
        <w:rPr>
          <w:rFonts w:ascii="Arial" w:hAnsi="Arial" w:cs="Arial"/>
          <w:i/>
          <w:szCs w:val="24"/>
        </w:rPr>
      </w:pPr>
    </w:p>
    <w:p w14:paraId="2FEE3878" w14:textId="72E1B955" w:rsidR="005A2958" w:rsidRPr="00D662FF" w:rsidRDefault="005A2958" w:rsidP="004942E2">
      <w:pPr>
        <w:spacing w:before="0"/>
        <w:jc w:val="both"/>
        <w:rPr>
          <w:rFonts w:ascii="Arial" w:hAnsi="Arial" w:cs="Arial"/>
          <w:szCs w:val="24"/>
        </w:rPr>
      </w:pPr>
      <w:r w:rsidRPr="00D662FF">
        <w:rPr>
          <w:rFonts w:ascii="Arial" w:hAnsi="Arial" w:cs="Arial"/>
          <w:szCs w:val="24"/>
        </w:rPr>
        <w:t xml:space="preserve">The Specification </w:t>
      </w:r>
      <w:r w:rsidR="000E265A" w:rsidRPr="00D662FF">
        <w:rPr>
          <w:rFonts w:ascii="Arial" w:hAnsi="Arial" w:cs="Arial"/>
          <w:szCs w:val="24"/>
        </w:rPr>
        <w:t xml:space="preserve">specifies </w:t>
      </w:r>
      <w:proofErr w:type="spellStart"/>
      <w:r w:rsidRPr="00D662FF">
        <w:rPr>
          <w:rFonts w:ascii="Arial" w:hAnsi="Arial" w:cs="Arial"/>
          <w:szCs w:val="24"/>
        </w:rPr>
        <w:t>MyMedi</w:t>
      </w:r>
      <w:r w:rsidR="000E265A" w:rsidRPr="00D662FF">
        <w:rPr>
          <w:rFonts w:ascii="Arial" w:hAnsi="Arial" w:cs="Arial"/>
          <w:szCs w:val="24"/>
        </w:rPr>
        <w:t>c</w:t>
      </w:r>
      <w:r w:rsidRPr="00D662FF">
        <w:rPr>
          <w:rFonts w:ascii="Arial" w:hAnsi="Arial" w:cs="Arial"/>
          <w:szCs w:val="24"/>
        </w:rPr>
        <w:t>are</w:t>
      </w:r>
      <w:proofErr w:type="spellEnd"/>
      <w:r w:rsidRPr="00D662FF">
        <w:rPr>
          <w:rFonts w:ascii="Arial" w:hAnsi="Arial" w:cs="Arial"/>
          <w:szCs w:val="24"/>
        </w:rPr>
        <w:t xml:space="preserve"> as a ‘</w:t>
      </w:r>
      <w:proofErr w:type="spellStart"/>
      <w:r w:rsidRPr="00D662FF">
        <w:rPr>
          <w:rFonts w:ascii="Arial" w:hAnsi="Arial" w:cs="Arial"/>
          <w:szCs w:val="24"/>
        </w:rPr>
        <w:t>medicare</w:t>
      </w:r>
      <w:proofErr w:type="spellEnd"/>
      <w:r w:rsidRPr="00D662FF">
        <w:rPr>
          <w:rFonts w:ascii="Arial" w:hAnsi="Arial" w:cs="Arial"/>
          <w:szCs w:val="24"/>
        </w:rPr>
        <w:t xml:space="preserve"> program’ under paragraph </w:t>
      </w:r>
      <w:proofErr w:type="gramStart"/>
      <w:r w:rsidRPr="00D662FF">
        <w:rPr>
          <w:rFonts w:ascii="Arial" w:hAnsi="Arial" w:cs="Arial"/>
          <w:szCs w:val="24"/>
        </w:rPr>
        <w:t>41G(</w:t>
      </w:r>
      <w:proofErr w:type="gramEnd"/>
      <w:r w:rsidRPr="00D662FF">
        <w:rPr>
          <w:rFonts w:ascii="Arial" w:hAnsi="Arial" w:cs="Arial"/>
          <w:szCs w:val="24"/>
        </w:rPr>
        <w:t xml:space="preserve">b) of the Act. </w:t>
      </w:r>
    </w:p>
    <w:p w14:paraId="60F925DE" w14:textId="77777777" w:rsidR="00836F61" w:rsidRPr="00D662FF" w:rsidRDefault="00836F61" w:rsidP="004942E2">
      <w:pPr>
        <w:spacing w:before="0"/>
        <w:jc w:val="both"/>
        <w:rPr>
          <w:rFonts w:ascii="Arial" w:hAnsi="Arial" w:cs="Arial"/>
          <w:szCs w:val="24"/>
        </w:rPr>
      </w:pPr>
    </w:p>
    <w:p w14:paraId="512E910F" w14:textId="2E086025" w:rsidR="005A2958" w:rsidRPr="00D662FF" w:rsidRDefault="005A2958" w:rsidP="004942E2">
      <w:pPr>
        <w:spacing w:before="0"/>
        <w:jc w:val="both"/>
        <w:rPr>
          <w:rFonts w:ascii="Arial" w:hAnsi="Arial" w:cs="Arial"/>
        </w:rPr>
      </w:pPr>
      <w:proofErr w:type="spellStart"/>
      <w:r w:rsidRPr="00D662FF">
        <w:rPr>
          <w:rFonts w:ascii="Arial" w:hAnsi="Arial" w:cs="Arial"/>
        </w:rPr>
        <w:t>MyMedicare</w:t>
      </w:r>
      <w:proofErr w:type="spellEnd"/>
      <w:r w:rsidRPr="00D662FF">
        <w:rPr>
          <w:rFonts w:ascii="Arial" w:hAnsi="Arial" w:cs="Arial"/>
        </w:rPr>
        <w:t xml:space="preserve"> is a new voluntary patient registration model, which aims to strengthen the relationship b</w:t>
      </w:r>
      <w:r w:rsidR="007A0695" w:rsidRPr="00D662FF">
        <w:rPr>
          <w:rFonts w:ascii="Arial" w:hAnsi="Arial" w:cs="Arial"/>
        </w:rPr>
        <w:t xml:space="preserve">etween </w:t>
      </w:r>
      <w:r w:rsidR="00383F28" w:rsidRPr="00D662FF">
        <w:rPr>
          <w:rFonts w:ascii="Arial" w:hAnsi="Arial" w:cs="Arial"/>
        </w:rPr>
        <w:t>p</w:t>
      </w:r>
      <w:r w:rsidRPr="00D662FF">
        <w:rPr>
          <w:rFonts w:ascii="Arial" w:hAnsi="Arial" w:cs="Arial"/>
        </w:rPr>
        <w:t>atients, their general practice, general practition</w:t>
      </w:r>
      <w:r w:rsidR="00836F61" w:rsidRPr="00D662FF">
        <w:rPr>
          <w:rFonts w:ascii="Arial" w:hAnsi="Arial" w:cs="Arial"/>
        </w:rPr>
        <w:t>er and primary care teams.</w:t>
      </w:r>
      <w:r w:rsidR="00103E16" w:rsidRPr="00D662FF">
        <w:rPr>
          <w:rFonts w:ascii="Arial" w:hAnsi="Arial" w:cs="Arial"/>
        </w:rPr>
        <w:t xml:space="preserve"> </w:t>
      </w:r>
    </w:p>
    <w:p w14:paraId="027FDD5F" w14:textId="77777777" w:rsidR="005A2958" w:rsidRPr="00D662FF" w:rsidRDefault="005A2958" w:rsidP="00836F61">
      <w:pPr>
        <w:spacing w:before="0"/>
        <w:jc w:val="both"/>
        <w:rPr>
          <w:rFonts w:ascii="Arial" w:hAnsi="Arial" w:cs="Arial"/>
        </w:rPr>
      </w:pPr>
    </w:p>
    <w:p w14:paraId="7E5C2EB8" w14:textId="77777777" w:rsidR="005A2958" w:rsidRPr="00D662FF" w:rsidRDefault="005A2958" w:rsidP="004942E2">
      <w:pPr>
        <w:spacing w:before="0"/>
        <w:jc w:val="both"/>
        <w:rPr>
          <w:rFonts w:ascii="Arial" w:hAnsi="Arial" w:cs="Arial"/>
        </w:rPr>
      </w:pPr>
      <w:r w:rsidRPr="00D662FF">
        <w:rPr>
          <w:rFonts w:ascii="Arial" w:hAnsi="Arial" w:cs="Arial"/>
        </w:rPr>
        <w:t xml:space="preserve">The Specification therefore advances the right to health established by Article 12 of the ICESCR insofar as it supports the effective delivery of </w:t>
      </w:r>
      <w:proofErr w:type="spellStart"/>
      <w:r w:rsidRPr="00D662FF">
        <w:rPr>
          <w:rFonts w:ascii="Arial" w:hAnsi="Arial" w:cs="Arial"/>
        </w:rPr>
        <w:t>MyMedicare</w:t>
      </w:r>
      <w:proofErr w:type="spellEnd"/>
      <w:r w:rsidRPr="00D662FF">
        <w:rPr>
          <w:rFonts w:ascii="Arial" w:hAnsi="Arial" w:cs="Arial"/>
        </w:rPr>
        <w:t xml:space="preserve"> – a program that ultimately aims to improve access to primary health care. </w:t>
      </w:r>
    </w:p>
    <w:p w14:paraId="3179454E" w14:textId="77777777" w:rsidR="00836F61" w:rsidRPr="00D662FF" w:rsidRDefault="00836F61" w:rsidP="004942E2">
      <w:pPr>
        <w:spacing w:before="0"/>
        <w:jc w:val="both"/>
        <w:rPr>
          <w:rFonts w:ascii="Arial" w:hAnsi="Arial" w:cs="Arial"/>
        </w:rPr>
      </w:pPr>
    </w:p>
    <w:p w14:paraId="14648081" w14:textId="77777777" w:rsidR="005A2958" w:rsidRPr="00D662FF" w:rsidRDefault="005A2958" w:rsidP="004942E2">
      <w:pPr>
        <w:spacing w:before="0"/>
        <w:jc w:val="both"/>
        <w:rPr>
          <w:rFonts w:ascii="Arial" w:hAnsi="Arial" w:cs="Arial"/>
          <w:i/>
        </w:rPr>
      </w:pPr>
      <w:r w:rsidRPr="00D662FF">
        <w:rPr>
          <w:rFonts w:ascii="Arial" w:hAnsi="Arial" w:cs="Arial"/>
          <w:i/>
        </w:rPr>
        <w:t xml:space="preserve">Right to Privacy </w:t>
      </w:r>
    </w:p>
    <w:p w14:paraId="6EA28D0F" w14:textId="77777777" w:rsidR="00836F61" w:rsidRPr="00D662FF" w:rsidRDefault="00836F61" w:rsidP="004942E2">
      <w:pPr>
        <w:spacing w:before="0"/>
        <w:jc w:val="both"/>
        <w:rPr>
          <w:rFonts w:ascii="Arial" w:hAnsi="Arial" w:cs="Arial"/>
          <w:i/>
        </w:rPr>
      </w:pPr>
    </w:p>
    <w:p w14:paraId="6D0A5B21" w14:textId="0EA112F1" w:rsidR="005A2958" w:rsidRPr="00D662FF" w:rsidRDefault="005A2958" w:rsidP="004942E2">
      <w:pPr>
        <w:spacing w:before="0"/>
        <w:jc w:val="both"/>
        <w:rPr>
          <w:rFonts w:ascii="Arial" w:hAnsi="Arial" w:cs="Arial"/>
        </w:rPr>
      </w:pPr>
      <w:r w:rsidRPr="00D662FF">
        <w:rPr>
          <w:rFonts w:ascii="Arial" w:hAnsi="Arial" w:cs="Arial"/>
        </w:rPr>
        <w:t xml:space="preserve">Specifying </w:t>
      </w:r>
      <w:proofErr w:type="spellStart"/>
      <w:r w:rsidRPr="00D662FF">
        <w:rPr>
          <w:rFonts w:ascii="Arial" w:hAnsi="Arial" w:cs="Arial"/>
        </w:rPr>
        <w:t>MyMedicare</w:t>
      </w:r>
      <w:proofErr w:type="spellEnd"/>
      <w:r w:rsidRPr="00D662FF">
        <w:rPr>
          <w:rFonts w:ascii="Arial" w:hAnsi="Arial" w:cs="Arial"/>
        </w:rPr>
        <w:t xml:space="preserve"> as a ‘</w:t>
      </w:r>
      <w:proofErr w:type="spellStart"/>
      <w:r w:rsidRPr="00D662FF">
        <w:rPr>
          <w:rFonts w:ascii="Arial" w:hAnsi="Arial" w:cs="Arial"/>
        </w:rPr>
        <w:t>medicare</w:t>
      </w:r>
      <w:proofErr w:type="spellEnd"/>
      <w:r w:rsidRPr="00D662FF">
        <w:rPr>
          <w:rFonts w:ascii="Arial" w:hAnsi="Arial" w:cs="Arial"/>
        </w:rPr>
        <w:t xml:space="preserve"> program’ will authorise a person to divulge, communicate and record information obtained under certain</w:t>
      </w:r>
      <w:r w:rsidR="000E265A" w:rsidRPr="00D662FF">
        <w:rPr>
          <w:rFonts w:ascii="Arial" w:hAnsi="Arial" w:cs="Arial"/>
        </w:rPr>
        <w:t xml:space="preserve"> Commonwealth</w:t>
      </w:r>
      <w:r w:rsidRPr="00D662FF">
        <w:rPr>
          <w:rFonts w:ascii="Arial" w:hAnsi="Arial" w:cs="Arial"/>
        </w:rPr>
        <w:t xml:space="preserve"> laws for the purposes of administering the </w:t>
      </w:r>
      <w:proofErr w:type="spellStart"/>
      <w:r w:rsidRPr="00D662FF">
        <w:rPr>
          <w:rFonts w:ascii="Arial" w:hAnsi="Arial" w:cs="Arial"/>
        </w:rPr>
        <w:t>MyMedicare</w:t>
      </w:r>
      <w:proofErr w:type="spellEnd"/>
      <w:r w:rsidRPr="00D662FF">
        <w:rPr>
          <w:rFonts w:ascii="Arial" w:hAnsi="Arial" w:cs="Arial"/>
        </w:rPr>
        <w:t xml:space="preserve"> program. In practice, the change will primarily support the use of Medicare-related information held </w:t>
      </w:r>
      <w:r w:rsidR="0081430A" w:rsidRPr="00D662FF">
        <w:rPr>
          <w:rFonts w:ascii="Arial" w:hAnsi="Arial" w:cs="Arial"/>
        </w:rPr>
        <w:t xml:space="preserve">by Services Australia for </w:t>
      </w:r>
      <w:proofErr w:type="spellStart"/>
      <w:r w:rsidR="0081430A" w:rsidRPr="00D662FF">
        <w:rPr>
          <w:rFonts w:ascii="Arial" w:hAnsi="Arial" w:cs="Arial"/>
        </w:rPr>
        <w:t>MyMed</w:t>
      </w:r>
      <w:r w:rsidRPr="00D662FF">
        <w:rPr>
          <w:rFonts w:ascii="Arial" w:hAnsi="Arial" w:cs="Arial"/>
        </w:rPr>
        <w:t>i</w:t>
      </w:r>
      <w:r w:rsidR="0081430A" w:rsidRPr="00D662FF">
        <w:rPr>
          <w:rFonts w:ascii="Arial" w:hAnsi="Arial" w:cs="Arial"/>
        </w:rPr>
        <w:t>c</w:t>
      </w:r>
      <w:r w:rsidRPr="00D662FF">
        <w:rPr>
          <w:rFonts w:ascii="Arial" w:hAnsi="Arial" w:cs="Arial"/>
        </w:rPr>
        <w:t>are</w:t>
      </w:r>
      <w:proofErr w:type="spellEnd"/>
      <w:r w:rsidRPr="00D662FF">
        <w:rPr>
          <w:rFonts w:ascii="Arial" w:hAnsi="Arial" w:cs="Arial"/>
        </w:rPr>
        <w:t xml:space="preserve"> program purposes. </w:t>
      </w:r>
    </w:p>
    <w:p w14:paraId="461EE8BC" w14:textId="72DC2841" w:rsidR="00836F61" w:rsidRPr="00D662FF" w:rsidRDefault="00836F61" w:rsidP="004942E2">
      <w:pPr>
        <w:spacing w:before="0"/>
        <w:jc w:val="both"/>
        <w:rPr>
          <w:rFonts w:ascii="Arial" w:hAnsi="Arial" w:cs="Arial"/>
          <w:szCs w:val="24"/>
        </w:rPr>
      </w:pPr>
    </w:p>
    <w:p w14:paraId="2AD342C0" w14:textId="40AAE7EA" w:rsidR="005A2958" w:rsidRPr="00D662FF" w:rsidRDefault="005A2958" w:rsidP="004942E2">
      <w:pPr>
        <w:spacing w:before="0"/>
        <w:jc w:val="both"/>
        <w:rPr>
          <w:rFonts w:ascii="Arial" w:hAnsi="Arial" w:cs="Arial"/>
          <w:szCs w:val="24"/>
        </w:rPr>
      </w:pPr>
      <w:r w:rsidRPr="00D662FF">
        <w:rPr>
          <w:rFonts w:ascii="Arial" w:hAnsi="Arial" w:cs="Arial"/>
          <w:szCs w:val="24"/>
        </w:rPr>
        <w:t xml:space="preserve">For the purposes of Article 17 of the ICCPR, the collection or use of any personal information would not be unlawful as it would be authorised under legislation. Further, the collection or use of personal information for this purpose would not constitute an arbitrary interference with the right to privacy as it would be undertaken for legitimate and necessary objectives of administering </w:t>
      </w:r>
      <w:proofErr w:type="spellStart"/>
      <w:r w:rsidRPr="00D662FF">
        <w:rPr>
          <w:rFonts w:ascii="Arial" w:hAnsi="Arial" w:cs="Arial"/>
          <w:szCs w:val="24"/>
        </w:rPr>
        <w:t>MyMedicare</w:t>
      </w:r>
      <w:proofErr w:type="spellEnd"/>
      <w:r w:rsidRPr="00D662FF">
        <w:rPr>
          <w:rFonts w:ascii="Arial" w:hAnsi="Arial" w:cs="Arial"/>
          <w:szCs w:val="24"/>
        </w:rPr>
        <w:t xml:space="preserve">, including to do so consistently with </w:t>
      </w:r>
      <w:r w:rsidR="007A0695" w:rsidRPr="00D662FF">
        <w:rPr>
          <w:rFonts w:ascii="Arial" w:hAnsi="Arial" w:cs="Arial"/>
          <w:szCs w:val="24"/>
        </w:rPr>
        <w:t xml:space="preserve">the </w:t>
      </w:r>
      <w:r w:rsidRPr="00D662FF">
        <w:rPr>
          <w:rFonts w:ascii="Arial" w:hAnsi="Arial" w:cs="Arial"/>
          <w:szCs w:val="24"/>
        </w:rPr>
        <w:t xml:space="preserve">Medicare </w:t>
      </w:r>
      <w:r w:rsidR="007A0695" w:rsidRPr="00D662FF">
        <w:rPr>
          <w:rFonts w:ascii="Arial" w:hAnsi="Arial" w:cs="Arial"/>
          <w:szCs w:val="24"/>
        </w:rPr>
        <w:t xml:space="preserve">Benefits Scheme </w:t>
      </w:r>
      <w:r w:rsidRPr="00D662FF">
        <w:rPr>
          <w:rFonts w:ascii="Arial" w:hAnsi="Arial" w:cs="Arial"/>
          <w:szCs w:val="24"/>
        </w:rPr>
        <w:t xml:space="preserve">and other health programs. </w:t>
      </w:r>
    </w:p>
    <w:p w14:paraId="05B47A0C" w14:textId="77777777" w:rsidR="00836F61" w:rsidRPr="00D662FF" w:rsidRDefault="00836F61" w:rsidP="004942E2">
      <w:pPr>
        <w:spacing w:before="0"/>
        <w:jc w:val="both"/>
        <w:rPr>
          <w:rFonts w:ascii="Arial" w:hAnsi="Arial" w:cs="Arial"/>
          <w:szCs w:val="24"/>
        </w:rPr>
      </w:pPr>
    </w:p>
    <w:p w14:paraId="77BADDF8" w14:textId="2363DB82" w:rsidR="005A2958" w:rsidRPr="00D662FF" w:rsidRDefault="005A2958" w:rsidP="004942E2">
      <w:pPr>
        <w:spacing w:before="0"/>
        <w:jc w:val="both"/>
        <w:rPr>
          <w:rFonts w:ascii="Arial" w:hAnsi="Arial" w:cs="Arial"/>
          <w:szCs w:val="24"/>
        </w:rPr>
      </w:pPr>
      <w:r w:rsidRPr="00D662FF">
        <w:rPr>
          <w:rFonts w:ascii="Arial" w:hAnsi="Arial" w:cs="Arial"/>
          <w:szCs w:val="24"/>
        </w:rPr>
        <w:t>The limitation on the right to privacy is proportionate, as the provision of any personal information about</w:t>
      </w:r>
      <w:r w:rsidR="007A0695" w:rsidRPr="00D662FF">
        <w:rPr>
          <w:rFonts w:ascii="Arial" w:hAnsi="Arial" w:cs="Arial"/>
          <w:szCs w:val="24"/>
        </w:rPr>
        <w:t xml:space="preserve"> Patients or P</w:t>
      </w:r>
      <w:r w:rsidRPr="00D662FF">
        <w:rPr>
          <w:rFonts w:ascii="Arial" w:hAnsi="Arial" w:cs="Arial"/>
          <w:szCs w:val="24"/>
        </w:rPr>
        <w:t xml:space="preserve">roviders would only be undertaken for the purposes of administering </w:t>
      </w:r>
      <w:proofErr w:type="spellStart"/>
      <w:r w:rsidRPr="00D662FF">
        <w:rPr>
          <w:rFonts w:ascii="Arial" w:hAnsi="Arial" w:cs="Arial"/>
          <w:szCs w:val="24"/>
        </w:rPr>
        <w:t>MyMedicare</w:t>
      </w:r>
      <w:proofErr w:type="spellEnd"/>
      <w:r w:rsidRPr="00D662FF">
        <w:rPr>
          <w:rFonts w:ascii="Arial" w:hAnsi="Arial" w:cs="Arial"/>
          <w:szCs w:val="24"/>
        </w:rPr>
        <w:t>. Information would be subject to secrecy provisions to prevent unauthorised disclosures</w:t>
      </w:r>
      <w:r w:rsidR="000E265A" w:rsidRPr="00D662FF">
        <w:rPr>
          <w:rFonts w:ascii="Arial" w:hAnsi="Arial" w:cs="Arial"/>
          <w:szCs w:val="24"/>
        </w:rPr>
        <w:t xml:space="preserve"> as well as </w:t>
      </w:r>
      <w:r w:rsidR="00996819" w:rsidRPr="00D662FF">
        <w:rPr>
          <w:rFonts w:ascii="Arial" w:hAnsi="Arial" w:cs="Arial"/>
          <w:szCs w:val="24"/>
        </w:rPr>
        <w:t xml:space="preserve">protections under </w:t>
      </w:r>
      <w:r w:rsidR="000E265A" w:rsidRPr="00D662FF">
        <w:rPr>
          <w:rFonts w:ascii="Arial" w:hAnsi="Arial" w:cs="Arial"/>
          <w:szCs w:val="24"/>
        </w:rPr>
        <w:t xml:space="preserve">the </w:t>
      </w:r>
      <w:r w:rsidR="000E265A" w:rsidRPr="00D662FF">
        <w:rPr>
          <w:rFonts w:ascii="Arial" w:hAnsi="Arial" w:cs="Arial"/>
          <w:i/>
          <w:szCs w:val="24"/>
        </w:rPr>
        <w:t>Privacy Act 1988</w:t>
      </w:r>
      <w:r w:rsidRPr="00D662FF">
        <w:rPr>
          <w:rFonts w:ascii="Arial" w:hAnsi="Arial" w:cs="Arial"/>
          <w:szCs w:val="24"/>
        </w:rPr>
        <w:t xml:space="preserve">. </w:t>
      </w:r>
    </w:p>
    <w:p w14:paraId="56E27B76" w14:textId="77777777" w:rsidR="00836F61" w:rsidRPr="00D662FF" w:rsidRDefault="00836F61" w:rsidP="004942E2">
      <w:pPr>
        <w:spacing w:before="0"/>
        <w:jc w:val="both"/>
        <w:rPr>
          <w:rFonts w:ascii="Arial" w:hAnsi="Arial" w:cs="Arial"/>
          <w:szCs w:val="24"/>
        </w:rPr>
      </w:pPr>
    </w:p>
    <w:p w14:paraId="49A74E2F" w14:textId="77777777" w:rsidR="005A2958" w:rsidRPr="00D662FF" w:rsidRDefault="005A2958" w:rsidP="004942E2">
      <w:pPr>
        <w:spacing w:before="0"/>
        <w:jc w:val="both"/>
        <w:rPr>
          <w:rFonts w:ascii="Arial" w:hAnsi="Arial" w:cs="Arial"/>
          <w:b/>
          <w:szCs w:val="24"/>
        </w:rPr>
      </w:pPr>
      <w:r w:rsidRPr="00D662FF">
        <w:rPr>
          <w:rFonts w:ascii="Arial" w:hAnsi="Arial" w:cs="Arial"/>
          <w:b/>
          <w:szCs w:val="24"/>
        </w:rPr>
        <w:t xml:space="preserve">Conclusion </w:t>
      </w:r>
    </w:p>
    <w:p w14:paraId="326F45A1" w14:textId="77777777" w:rsidR="00836F61" w:rsidRPr="00D662FF" w:rsidRDefault="00836F61" w:rsidP="004942E2">
      <w:pPr>
        <w:spacing w:before="0"/>
        <w:jc w:val="both"/>
        <w:rPr>
          <w:rFonts w:ascii="Arial" w:hAnsi="Arial" w:cs="Arial"/>
          <w:b/>
          <w:szCs w:val="24"/>
        </w:rPr>
      </w:pPr>
    </w:p>
    <w:p w14:paraId="71CF022F" w14:textId="77777777" w:rsidR="005A2958" w:rsidRPr="00D662FF" w:rsidRDefault="005A2958" w:rsidP="004942E2">
      <w:pPr>
        <w:spacing w:before="0"/>
        <w:jc w:val="both"/>
        <w:rPr>
          <w:rFonts w:ascii="Arial" w:hAnsi="Arial" w:cs="Arial"/>
          <w:szCs w:val="24"/>
        </w:rPr>
      </w:pPr>
      <w:r w:rsidRPr="00D662FF">
        <w:rPr>
          <w:rFonts w:ascii="Arial" w:hAnsi="Arial" w:cs="Arial"/>
          <w:szCs w:val="24"/>
        </w:rPr>
        <w:t xml:space="preserve">The Specification is compatible with human rights because it advances the protection of right to health. To the extent that it limits the right to privacy to that end, those limitations are reasonable, necessary and proportionate. </w:t>
      </w:r>
    </w:p>
    <w:p w14:paraId="2D93B6F7" w14:textId="77777777" w:rsidR="005A2958" w:rsidRPr="00D662FF" w:rsidRDefault="005A2958" w:rsidP="004942E2">
      <w:pPr>
        <w:spacing w:before="0"/>
        <w:rPr>
          <w:rFonts w:ascii="Arial" w:hAnsi="Arial" w:cs="Arial"/>
          <w:szCs w:val="24"/>
        </w:rPr>
      </w:pPr>
    </w:p>
    <w:bookmarkEnd w:id="0"/>
    <w:p w14:paraId="16DEFF2B" w14:textId="77777777" w:rsidR="005A2958" w:rsidRPr="003321FA" w:rsidRDefault="005A2958" w:rsidP="004942E2">
      <w:pPr>
        <w:spacing w:before="0"/>
        <w:jc w:val="center"/>
        <w:rPr>
          <w:rStyle w:val="BookTitle"/>
          <w:rFonts w:eastAsiaTheme="majorEastAsia" w:cs="Arial"/>
          <w:i w:val="0"/>
          <w:iCs w:val="0"/>
          <w:smallCaps w:val="0"/>
          <w:szCs w:val="24"/>
        </w:rPr>
      </w:pPr>
      <w:r w:rsidRPr="00D662FF">
        <w:rPr>
          <w:rFonts w:ascii="Arial" w:hAnsi="Arial" w:cs="Arial"/>
          <w:b/>
          <w:szCs w:val="24"/>
        </w:rPr>
        <w:t>The Hon Bill Shorten MP, Minister for Government Services</w:t>
      </w:r>
      <w:bookmarkStart w:id="1" w:name="_GoBack"/>
      <w:bookmarkEnd w:id="1"/>
    </w:p>
    <w:p w14:paraId="03EFDB82" w14:textId="77777777" w:rsidR="005A2958" w:rsidRPr="00B834AC" w:rsidRDefault="005A2958" w:rsidP="004942E2">
      <w:pPr>
        <w:spacing w:before="0"/>
        <w:jc w:val="both"/>
        <w:rPr>
          <w:rFonts w:ascii="Arial" w:hAnsi="Arial" w:cs="Arial"/>
        </w:rPr>
      </w:pPr>
    </w:p>
    <w:p w14:paraId="23C4B743" w14:textId="77777777" w:rsidR="0015044C" w:rsidRPr="005A095F" w:rsidRDefault="0015044C" w:rsidP="004942E2">
      <w:pPr>
        <w:spacing w:before="0"/>
        <w:jc w:val="both"/>
        <w:rPr>
          <w:rFonts w:ascii="Arial" w:hAnsi="Arial" w:cs="Arial"/>
        </w:rPr>
      </w:pPr>
    </w:p>
    <w:sectPr w:rsidR="0015044C" w:rsidRPr="005A09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5F95" w14:textId="77777777" w:rsidR="005A095F" w:rsidRDefault="005A095F" w:rsidP="00B04ED8">
      <w:r>
        <w:separator/>
      </w:r>
    </w:p>
  </w:endnote>
  <w:endnote w:type="continuationSeparator" w:id="0">
    <w:p w14:paraId="54844B1E" w14:textId="77777777" w:rsidR="005A095F" w:rsidRDefault="005A095F"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6305"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4116"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C54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F862" w14:textId="77777777" w:rsidR="005A095F" w:rsidRDefault="005A095F" w:rsidP="00B04ED8">
      <w:r>
        <w:separator/>
      </w:r>
    </w:p>
  </w:footnote>
  <w:footnote w:type="continuationSeparator" w:id="0">
    <w:p w14:paraId="5D20DD72" w14:textId="77777777" w:rsidR="005A095F" w:rsidRDefault="005A095F"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0176"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1900"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BDB7"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A6737"/>
    <w:multiLevelType w:val="hybridMultilevel"/>
    <w:tmpl w:val="C938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B47950"/>
    <w:multiLevelType w:val="hybridMultilevel"/>
    <w:tmpl w:val="8144B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5D69F0"/>
    <w:multiLevelType w:val="hybridMultilevel"/>
    <w:tmpl w:val="B730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325410"/>
    <w:multiLevelType w:val="multilevel"/>
    <w:tmpl w:val="046280C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C32F0"/>
    <w:multiLevelType w:val="multilevel"/>
    <w:tmpl w:val="0540E31E"/>
    <w:numStyleLink w:val="MELegal"/>
  </w:abstractNum>
  <w:abstractNum w:abstractNumId="5" w15:restartNumberingAfterBreak="0">
    <w:nsid w:val="622617CB"/>
    <w:multiLevelType w:val="multilevel"/>
    <w:tmpl w:val="046280C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9FE"/>
    <w:multiLevelType w:val="hybridMultilevel"/>
    <w:tmpl w:val="C332D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022323"/>
    <w:multiLevelType w:val="multilevel"/>
    <w:tmpl w:val="0540E31E"/>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8" w15:restartNumberingAfterBreak="0">
    <w:nsid w:val="6D1169CF"/>
    <w:multiLevelType w:val="hybridMultilevel"/>
    <w:tmpl w:val="F066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E766B"/>
    <w:multiLevelType w:val="hybridMultilevel"/>
    <w:tmpl w:val="676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096583"/>
    <w:multiLevelType w:val="multilevel"/>
    <w:tmpl w:val="35C6542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77E2E"/>
    <w:multiLevelType w:val="hybridMultilevel"/>
    <w:tmpl w:val="57560C50"/>
    <w:lvl w:ilvl="0" w:tplc="1A9AEF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A2472B"/>
    <w:multiLevelType w:val="hybridMultilevel"/>
    <w:tmpl w:val="0810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12"/>
  </w:num>
  <w:num w:numId="7">
    <w:abstractNumId w:val="4"/>
    <w:lvlOverride w:ilvl="0">
      <w:lvl w:ilvl="0">
        <w:start w:val="1"/>
        <w:numFmt w:val="decimal"/>
        <w:lvlText w:val="%1."/>
        <w:lvlJc w:val="left"/>
        <w:pPr>
          <w:ind w:left="680" w:hanging="680"/>
        </w:pPr>
      </w:lvl>
    </w:lvlOverride>
    <w:lvlOverride w:ilvl="1">
      <w:lvl w:ilvl="1">
        <w:start w:val="1"/>
        <w:numFmt w:val="decimal"/>
        <w:lvlText w:val="%1.%2"/>
        <w:lvlJc w:val="left"/>
        <w:pPr>
          <w:ind w:left="680" w:hanging="680"/>
        </w:pPr>
        <w:rPr>
          <w:b w:val="0"/>
          <w:bCs/>
        </w:rPr>
      </w:lvl>
    </w:lvlOverride>
    <w:lvlOverride w:ilvl="2">
      <w:lvl w:ilvl="2">
        <w:start w:val="1"/>
        <w:numFmt w:val="lowerLetter"/>
        <w:lvlText w:val="(%3)"/>
        <w:lvlJc w:val="left"/>
        <w:pPr>
          <w:ind w:left="1361" w:hanging="681"/>
        </w:pPr>
        <w:rPr>
          <w:b w:val="0"/>
          <w:bCs/>
        </w:rPr>
      </w:lvl>
    </w:lvlOverride>
    <w:lvlOverride w:ilvl="3">
      <w:lvl w:ilvl="3">
        <w:start w:val="1"/>
        <w:numFmt w:val="lowerRoman"/>
        <w:lvlText w:val="(%4)"/>
        <w:lvlJc w:val="left"/>
        <w:pPr>
          <w:ind w:left="2041" w:hanging="680"/>
        </w:pPr>
      </w:lvl>
    </w:lvlOverride>
    <w:lvlOverride w:ilvl="4">
      <w:lvl w:ilvl="4">
        <w:start w:val="1"/>
        <w:numFmt w:val="upperLetter"/>
        <w:lvlText w:val="(%5)"/>
        <w:lvlJc w:val="left"/>
        <w:pPr>
          <w:tabs>
            <w:tab w:val="num" w:pos="2722"/>
          </w:tabs>
          <w:ind w:left="2722" w:hanging="681"/>
        </w:pPr>
      </w:lvl>
    </w:lvlOverride>
    <w:lvlOverride w:ilvl="5">
      <w:lvl w:ilvl="5">
        <w:start w:val="1"/>
        <w:numFmt w:val="upperRoman"/>
        <w:lvlText w:val="(%6)"/>
        <w:lvlJc w:val="left"/>
        <w:pPr>
          <w:tabs>
            <w:tab w:val="num" w:pos="3402"/>
          </w:tabs>
          <w:ind w:left="3402" w:hanging="680"/>
        </w:pPr>
      </w:lvl>
    </w:lvlOverride>
    <w:lvlOverride w:ilvl="6">
      <w:lvl w:ilvl="6">
        <w:start w:val="1"/>
        <w:numFmt w:val="decimal"/>
        <w:lvlText w:val="(%7)"/>
        <w:lvlJc w:val="left"/>
        <w:pPr>
          <w:tabs>
            <w:tab w:val="num" w:pos="4082"/>
          </w:tabs>
          <w:ind w:left="4082" w:hanging="680"/>
        </w:pPr>
      </w:lvl>
    </w:lvlOverride>
    <w:lvlOverride w:ilvl="7">
      <w:lvl w:ilvl="7">
        <w:start w:val="1"/>
        <w:numFmt w:val="upperLetter"/>
        <w:lvlText w:val="%8."/>
        <w:lvlJc w:val="left"/>
        <w:pPr>
          <w:tabs>
            <w:tab w:val="num" w:pos="4763"/>
          </w:tabs>
          <w:ind w:left="4763" w:hanging="681"/>
        </w:pPr>
      </w:lvl>
    </w:lvlOverride>
    <w:lvlOverride w:ilvl="8">
      <w:lvl w:ilvl="8">
        <w:start w:val="1"/>
        <w:numFmt w:val="upperRoman"/>
        <w:lvlText w:val="%9."/>
        <w:lvlJc w:val="left"/>
        <w:pPr>
          <w:tabs>
            <w:tab w:val="num" w:pos="5443"/>
          </w:tabs>
          <w:ind w:left="5443" w:hanging="680"/>
        </w:pPr>
      </w:lvl>
    </w:lvlOverride>
  </w:num>
  <w:num w:numId="8">
    <w:abstractNumId w:val="7"/>
  </w:num>
  <w:num w:numId="9">
    <w:abstractNumId w:val="8"/>
  </w:num>
  <w:num w:numId="10">
    <w:abstractNumId w:val="9"/>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5F"/>
    <w:rsid w:val="00005633"/>
    <w:rsid w:val="00044BC8"/>
    <w:rsid w:val="0005008D"/>
    <w:rsid w:val="0009665A"/>
    <w:rsid w:val="000A359F"/>
    <w:rsid w:val="000E265A"/>
    <w:rsid w:val="00103E16"/>
    <w:rsid w:val="001253D0"/>
    <w:rsid w:val="0015044C"/>
    <w:rsid w:val="001E630D"/>
    <w:rsid w:val="002268E4"/>
    <w:rsid w:val="00284DC9"/>
    <w:rsid w:val="002D061C"/>
    <w:rsid w:val="00313966"/>
    <w:rsid w:val="00383F28"/>
    <w:rsid w:val="003B2BB8"/>
    <w:rsid w:val="003D34FF"/>
    <w:rsid w:val="004942E2"/>
    <w:rsid w:val="0049794F"/>
    <w:rsid w:val="004B54CA"/>
    <w:rsid w:val="004C0EF6"/>
    <w:rsid w:val="004C51CC"/>
    <w:rsid w:val="004D65E4"/>
    <w:rsid w:val="004E5CBF"/>
    <w:rsid w:val="004F7C7B"/>
    <w:rsid w:val="00533D11"/>
    <w:rsid w:val="00545E09"/>
    <w:rsid w:val="00590CEF"/>
    <w:rsid w:val="00595102"/>
    <w:rsid w:val="005A095F"/>
    <w:rsid w:val="005A2958"/>
    <w:rsid w:val="005A4E4B"/>
    <w:rsid w:val="005B0CCD"/>
    <w:rsid w:val="005C3AA9"/>
    <w:rsid w:val="006218C8"/>
    <w:rsid w:val="00621FC5"/>
    <w:rsid w:val="00637B02"/>
    <w:rsid w:val="00640970"/>
    <w:rsid w:val="0064635C"/>
    <w:rsid w:val="00683A84"/>
    <w:rsid w:val="006A4CE7"/>
    <w:rsid w:val="00732755"/>
    <w:rsid w:val="0075067A"/>
    <w:rsid w:val="00785261"/>
    <w:rsid w:val="007A0695"/>
    <w:rsid w:val="007B0256"/>
    <w:rsid w:val="0081430A"/>
    <w:rsid w:val="0083177B"/>
    <w:rsid w:val="00836F61"/>
    <w:rsid w:val="009225F0"/>
    <w:rsid w:val="0093462C"/>
    <w:rsid w:val="00953795"/>
    <w:rsid w:val="00974189"/>
    <w:rsid w:val="00996819"/>
    <w:rsid w:val="00A33C41"/>
    <w:rsid w:val="00B04ED8"/>
    <w:rsid w:val="00B63EDD"/>
    <w:rsid w:val="00B91E3E"/>
    <w:rsid w:val="00BA2DB9"/>
    <w:rsid w:val="00BE7148"/>
    <w:rsid w:val="00C84DD7"/>
    <w:rsid w:val="00CB5863"/>
    <w:rsid w:val="00D01275"/>
    <w:rsid w:val="00D662FF"/>
    <w:rsid w:val="00D8226E"/>
    <w:rsid w:val="00DA243A"/>
    <w:rsid w:val="00E01B70"/>
    <w:rsid w:val="00E13FF3"/>
    <w:rsid w:val="00E273E4"/>
    <w:rsid w:val="00E2778F"/>
    <w:rsid w:val="00E57528"/>
    <w:rsid w:val="00F14529"/>
    <w:rsid w:val="00F30AFE"/>
    <w:rsid w:val="00F86784"/>
    <w:rsid w:val="00FD676F"/>
    <w:rsid w:val="00FE0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F30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5F"/>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A095F"/>
    <w:rPr>
      <w:color w:val="0000FF" w:themeColor="hyperlink"/>
      <w:u w:val="single"/>
    </w:rPr>
  </w:style>
  <w:style w:type="paragraph" w:customStyle="1" w:styleId="MELegal1">
    <w:name w:val="ME Legal 1"/>
    <w:basedOn w:val="Normal"/>
    <w:qFormat/>
    <w:rsid w:val="00E01B70"/>
    <w:pPr>
      <w:numPr>
        <w:numId w:val="8"/>
      </w:numPr>
      <w:spacing w:before="0" w:after="200"/>
      <w:outlineLvl w:val="0"/>
    </w:pPr>
    <w:rPr>
      <w:rFonts w:ascii="Arial" w:eastAsiaTheme="minorEastAsia" w:hAnsi="Arial"/>
      <w:sz w:val="20"/>
      <w:lang w:eastAsia="zh-CN"/>
    </w:rPr>
  </w:style>
  <w:style w:type="paragraph" w:customStyle="1" w:styleId="MELegal2">
    <w:name w:val="ME Legal 2"/>
    <w:basedOn w:val="Normal"/>
    <w:qFormat/>
    <w:rsid w:val="00E01B70"/>
    <w:pPr>
      <w:numPr>
        <w:ilvl w:val="1"/>
        <w:numId w:val="8"/>
      </w:numPr>
      <w:spacing w:before="0" w:after="200"/>
      <w:outlineLvl w:val="1"/>
    </w:pPr>
    <w:rPr>
      <w:rFonts w:ascii="Arial" w:eastAsiaTheme="minorEastAsia" w:hAnsi="Arial"/>
      <w:sz w:val="20"/>
      <w:lang w:eastAsia="zh-CN"/>
    </w:rPr>
  </w:style>
  <w:style w:type="paragraph" w:customStyle="1" w:styleId="MELegal3">
    <w:name w:val="ME Legal 3"/>
    <w:basedOn w:val="Normal"/>
    <w:qFormat/>
    <w:rsid w:val="00E01B70"/>
    <w:pPr>
      <w:numPr>
        <w:ilvl w:val="2"/>
        <w:numId w:val="8"/>
      </w:numPr>
      <w:spacing w:before="0" w:after="200"/>
      <w:outlineLvl w:val="2"/>
    </w:pPr>
    <w:rPr>
      <w:rFonts w:ascii="Arial" w:eastAsiaTheme="minorEastAsia" w:hAnsi="Arial"/>
      <w:sz w:val="20"/>
      <w:lang w:eastAsia="zh-CN"/>
    </w:rPr>
  </w:style>
  <w:style w:type="paragraph" w:customStyle="1" w:styleId="MELegal4">
    <w:name w:val="ME Legal 4"/>
    <w:basedOn w:val="Normal"/>
    <w:qFormat/>
    <w:rsid w:val="00E01B70"/>
    <w:pPr>
      <w:numPr>
        <w:ilvl w:val="3"/>
        <w:numId w:val="8"/>
      </w:numPr>
      <w:spacing w:before="0" w:after="200"/>
      <w:outlineLvl w:val="3"/>
    </w:pPr>
    <w:rPr>
      <w:rFonts w:ascii="Arial" w:eastAsiaTheme="minorEastAsia" w:hAnsi="Arial"/>
      <w:sz w:val="20"/>
      <w:lang w:eastAsia="zh-CN"/>
    </w:rPr>
  </w:style>
  <w:style w:type="paragraph" w:customStyle="1" w:styleId="MELegal5">
    <w:name w:val="ME Legal 5"/>
    <w:basedOn w:val="Normal"/>
    <w:qFormat/>
    <w:rsid w:val="00E01B70"/>
    <w:pPr>
      <w:numPr>
        <w:ilvl w:val="4"/>
        <w:numId w:val="8"/>
      </w:numPr>
      <w:spacing w:before="0" w:after="200"/>
      <w:ind w:left="2721" w:hanging="680"/>
      <w:outlineLvl w:val="4"/>
    </w:pPr>
    <w:rPr>
      <w:rFonts w:ascii="Arial" w:eastAsiaTheme="minorEastAsia" w:hAnsi="Arial"/>
      <w:sz w:val="20"/>
      <w:lang w:eastAsia="zh-CN"/>
    </w:rPr>
  </w:style>
  <w:style w:type="paragraph" w:customStyle="1" w:styleId="MELegal6">
    <w:name w:val="ME Legal 6"/>
    <w:basedOn w:val="Normal"/>
    <w:qFormat/>
    <w:rsid w:val="00E01B70"/>
    <w:pPr>
      <w:numPr>
        <w:ilvl w:val="5"/>
        <w:numId w:val="8"/>
      </w:numPr>
      <w:spacing w:before="0" w:after="200"/>
      <w:outlineLvl w:val="5"/>
    </w:pPr>
    <w:rPr>
      <w:rFonts w:ascii="Arial" w:eastAsiaTheme="minorEastAsia" w:hAnsi="Arial"/>
      <w:sz w:val="20"/>
      <w:lang w:eastAsia="zh-CN"/>
    </w:rPr>
  </w:style>
  <w:style w:type="paragraph" w:customStyle="1" w:styleId="MELegal7">
    <w:name w:val="ME Legal 7"/>
    <w:basedOn w:val="Normal"/>
    <w:qFormat/>
    <w:rsid w:val="00E01B70"/>
    <w:pPr>
      <w:numPr>
        <w:ilvl w:val="6"/>
        <w:numId w:val="8"/>
      </w:numPr>
      <w:spacing w:before="0" w:after="200"/>
    </w:pPr>
    <w:rPr>
      <w:rFonts w:ascii="Arial" w:eastAsiaTheme="minorEastAsia" w:hAnsi="Arial"/>
      <w:sz w:val="20"/>
      <w:lang w:eastAsia="zh-CN"/>
    </w:rPr>
  </w:style>
  <w:style w:type="paragraph" w:customStyle="1" w:styleId="MELegal8">
    <w:name w:val="ME Legal 8"/>
    <w:basedOn w:val="Normal"/>
    <w:qFormat/>
    <w:rsid w:val="00E01B70"/>
    <w:pPr>
      <w:numPr>
        <w:ilvl w:val="7"/>
        <w:numId w:val="8"/>
      </w:numPr>
      <w:spacing w:before="0" w:after="200"/>
      <w:ind w:left="4762" w:hanging="680"/>
    </w:pPr>
    <w:rPr>
      <w:rFonts w:ascii="Arial" w:eastAsiaTheme="minorEastAsia" w:hAnsi="Arial"/>
      <w:sz w:val="20"/>
      <w:lang w:eastAsia="zh-CN"/>
    </w:rPr>
  </w:style>
  <w:style w:type="paragraph" w:customStyle="1" w:styleId="MELegal9">
    <w:name w:val="ME Legal 9"/>
    <w:basedOn w:val="Normal"/>
    <w:qFormat/>
    <w:rsid w:val="00E01B70"/>
    <w:pPr>
      <w:numPr>
        <w:ilvl w:val="8"/>
        <w:numId w:val="8"/>
      </w:numPr>
      <w:spacing w:before="0" w:after="200"/>
    </w:pPr>
    <w:rPr>
      <w:rFonts w:ascii="Arial" w:eastAsiaTheme="minorEastAsia" w:hAnsi="Arial"/>
      <w:sz w:val="20"/>
      <w:lang w:eastAsia="zh-CN"/>
    </w:rPr>
  </w:style>
  <w:style w:type="numbering" w:customStyle="1" w:styleId="MELegal">
    <w:name w:val="ME Legal"/>
    <w:uiPriority w:val="99"/>
    <w:rsid w:val="00E01B70"/>
    <w:pPr>
      <w:numPr>
        <w:numId w:val="8"/>
      </w:numPr>
    </w:pPr>
  </w:style>
  <w:style w:type="character" w:styleId="CommentReference">
    <w:name w:val="annotation reference"/>
    <w:basedOn w:val="DefaultParagraphFont"/>
    <w:uiPriority w:val="99"/>
    <w:semiHidden/>
    <w:unhideWhenUsed/>
    <w:rsid w:val="004C51CC"/>
    <w:rPr>
      <w:sz w:val="16"/>
      <w:szCs w:val="16"/>
    </w:rPr>
  </w:style>
  <w:style w:type="paragraph" w:styleId="CommentText">
    <w:name w:val="annotation text"/>
    <w:basedOn w:val="Normal"/>
    <w:link w:val="CommentTextChar"/>
    <w:uiPriority w:val="99"/>
    <w:unhideWhenUsed/>
    <w:rsid w:val="004C51CC"/>
    <w:rPr>
      <w:sz w:val="20"/>
    </w:rPr>
  </w:style>
  <w:style w:type="character" w:customStyle="1" w:styleId="CommentTextChar">
    <w:name w:val="Comment Text Char"/>
    <w:basedOn w:val="DefaultParagraphFont"/>
    <w:link w:val="CommentText"/>
    <w:uiPriority w:val="99"/>
    <w:semiHidden/>
    <w:rsid w:val="004C51C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C51CC"/>
    <w:rPr>
      <w:b/>
      <w:bCs/>
    </w:rPr>
  </w:style>
  <w:style w:type="character" w:customStyle="1" w:styleId="CommentSubjectChar">
    <w:name w:val="Comment Subject Char"/>
    <w:basedOn w:val="CommentTextChar"/>
    <w:link w:val="CommentSubject"/>
    <w:uiPriority w:val="99"/>
    <w:semiHidden/>
    <w:rsid w:val="004C51C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C51C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CC"/>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A3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291">
      <w:bodyDiv w:val="1"/>
      <w:marLeft w:val="0"/>
      <w:marRight w:val="0"/>
      <w:marTop w:val="0"/>
      <w:marBottom w:val="0"/>
      <w:divBdr>
        <w:top w:val="none" w:sz="0" w:space="0" w:color="auto"/>
        <w:left w:val="none" w:sz="0" w:space="0" w:color="auto"/>
        <w:bottom w:val="none" w:sz="0" w:space="0" w:color="auto"/>
        <w:right w:val="none" w:sz="0" w:space="0" w:color="auto"/>
      </w:divBdr>
    </w:div>
    <w:div w:id="549416897">
      <w:bodyDiv w:val="1"/>
      <w:marLeft w:val="0"/>
      <w:marRight w:val="0"/>
      <w:marTop w:val="0"/>
      <w:marBottom w:val="0"/>
      <w:divBdr>
        <w:top w:val="none" w:sz="0" w:space="0" w:color="auto"/>
        <w:left w:val="none" w:sz="0" w:space="0" w:color="auto"/>
        <w:bottom w:val="none" w:sz="0" w:space="0" w:color="auto"/>
        <w:right w:val="none" w:sz="0" w:space="0" w:color="auto"/>
      </w:divBdr>
    </w:div>
    <w:div w:id="624893036">
      <w:bodyDiv w:val="1"/>
      <w:marLeft w:val="0"/>
      <w:marRight w:val="0"/>
      <w:marTop w:val="0"/>
      <w:marBottom w:val="0"/>
      <w:divBdr>
        <w:top w:val="none" w:sz="0" w:space="0" w:color="auto"/>
        <w:left w:val="none" w:sz="0" w:space="0" w:color="auto"/>
        <w:bottom w:val="none" w:sz="0" w:space="0" w:color="auto"/>
        <w:right w:val="none" w:sz="0" w:space="0" w:color="auto"/>
      </w:divBdr>
    </w:div>
    <w:div w:id="653412894">
      <w:bodyDiv w:val="1"/>
      <w:marLeft w:val="0"/>
      <w:marRight w:val="0"/>
      <w:marTop w:val="0"/>
      <w:marBottom w:val="0"/>
      <w:divBdr>
        <w:top w:val="none" w:sz="0" w:space="0" w:color="auto"/>
        <w:left w:val="none" w:sz="0" w:space="0" w:color="auto"/>
        <w:bottom w:val="none" w:sz="0" w:space="0" w:color="auto"/>
        <w:right w:val="none" w:sz="0" w:space="0" w:color="auto"/>
      </w:divBdr>
    </w:div>
    <w:div w:id="998272123">
      <w:bodyDiv w:val="1"/>
      <w:marLeft w:val="0"/>
      <w:marRight w:val="0"/>
      <w:marTop w:val="0"/>
      <w:marBottom w:val="0"/>
      <w:divBdr>
        <w:top w:val="none" w:sz="0" w:space="0" w:color="auto"/>
        <w:left w:val="none" w:sz="0" w:space="0" w:color="auto"/>
        <w:bottom w:val="none" w:sz="0" w:space="0" w:color="auto"/>
        <w:right w:val="none" w:sz="0" w:space="0" w:color="auto"/>
      </w:divBdr>
    </w:div>
    <w:div w:id="1212114612">
      <w:bodyDiv w:val="1"/>
      <w:marLeft w:val="0"/>
      <w:marRight w:val="0"/>
      <w:marTop w:val="0"/>
      <w:marBottom w:val="0"/>
      <w:divBdr>
        <w:top w:val="none" w:sz="0" w:space="0" w:color="auto"/>
        <w:left w:val="none" w:sz="0" w:space="0" w:color="auto"/>
        <w:bottom w:val="none" w:sz="0" w:space="0" w:color="auto"/>
        <w:right w:val="none" w:sz="0" w:space="0" w:color="auto"/>
      </w:divBdr>
    </w:div>
    <w:div w:id="1693648104">
      <w:bodyDiv w:val="1"/>
      <w:marLeft w:val="0"/>
      <w:marRight w:val="0"/>
      <w:marTop w:val="0"/>
      <w:marBottom w:val="0"/>
      <w:divBdr>
        <w:top w:val="none" w:sz="0" w:space="0" w:color="auto"/>
        <w:left w:val="none" w:sz="0" w:space="0" w:color="auto"/>
        <w:bottom w:val="none" w:sz="0" w:space="0" w:color="auto"/>
        <w:right w:val="none" w:sz="0" w:space="0" w:color="auto"/>
      </w:divBdr>
    </w:div>
    <w:div w:id="1932159145">
      <w:bodyDiv w:val="1"/>
      <w:marLeft w:val="0"/>
      <w:marRight w:val="0"/>
      <w:marTop w:val="0"/>
      <w:marBottom w:val="0"/>
      <w:divBdr>
        <w:top w:val="none" w:sz="0" w:space="0" w:color="auto"/>
        <w:left w:val="none" w:sz="0" w:space="0" w:color="auto"/>
        <w:bottom w:val="none" w:sz="0" w:space="0" w:color="auto"/>
        <w:right w:val="none" w:sz="0" w:space="0" w:color="auto"/>
      </w:divBdr>
    </w:div>
    <w:div w:id="2018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our-work/mymedica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ealth.gov.au/resources/publications/strengthening-medicare-taskforce-report?language=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7E87DAE-4633-4E7D-82A2-6A7F7DC09A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BF4EC16D3D3140801064CDE546867D" ma:contentTypeVersion="" ma:contentTypeDescription="PDMS Document Site Content Type" ma:contentTypeScope="" ma:versionID="a03ed4477f4d28f21d62636b6752799d">
  <xsd:schema xmlns:xsd="http://www.w3.org/2001/XMLSchema" xmlns:xs="http://www.w3.org/2001/XMLSchema" xmlns:p="http://schemas.microsoft.com/office/2006/metadata/properties" xmlns:ns2="37E87DAE-4633-4E7D-82A2-6A7F7DC09A8F" targetNamespace="http://schemas.microsoft.com/office/2006/metadata/properties" ma:root="true" ma:fieldsID="8f6cf2c21ddd12e01150cae5cd8157fa" ns2:_="">
    <xsd:import namespace="37E87DAE-4633-4E7D-82A2-6A7F7DC09A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7DAE-4633-4E7D-82A2-6A7F7DC09A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C1F32-BFAB-45A3-AD48-C31D69921959}">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7E87DAE-4633-4E7D-82A2-6A7F7DC09A8F"/>
    <ds:schemaRef ds:uri="http://www.w3.org/XML/1998/namespace"/>
    <ds:schemaRef ds:uri="http://purl.org/dc/dcmitype/"/>
  </ds:schemaRefs>
</ds:datastoreItem>
</file>

<file path=customXml/itemProps2.xml><?xml version="1.0" encoding="utf-8"?>
<ds:datastoreItem xmlns:ds="http://schemas.openxmlformats.org/officeDocument/2006/customXml" ds:itemID="{1CE98315-373D-49D4-B648-0821C15AF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7DAE-4633-4E7D-82A2-6A7F7DC0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306EF-4543-4329-B86D-0CABA7034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17554</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2023-09-27T06:13:00Z</dcterms:created>
  <dcterms:modified xsi:type="dcterms:W3CDTF">2023-09-27T06:13:00Z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BAB7DB1FB085469C80AE3A1F90200F87</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2023-09-27T06:12:56Z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F470B2660872B077B8FB17F728B846BE</vt:lpwstr>
  </property>
  <property fmtid="{D5CDD505-2E9C-101B-9397-08002B2CF9AE}" pid="21" name="PM_Hash_Salt">
    <vt:lpwstr>EC7A08C77E8FAD27FAD442633E4FC8FC</vt:lpwstr>
  </property>
  <property fmtid="{D5CDD505-2E9C-101B-9397-08002B2CF9AE}" pid="22" name="PM_Hash_SHA1">
    <vt:lpwstr>3835848124726F89D6D9261C9DAA870A95F10FA5</vt:lpwstr>
  </property>
  <property fmtid="{D5CDD505-2E9C-101B-9397-08002B2CF9AE}" pid="23" name="PM_OriginatorUserAccountName_SHA256">
    <vt:lpwstr>A98D2C4B3E9660696E5975BE50876FE048CD271EE39734E12301A563101CCA62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0x010100266966F133664895A6EE3632470D45F50002BF4EC16D3D3140801064CDE546867D</vt:lpwstr>
  </property>
  <property fmtid="{D5CDD505-2E9C-101B-9397-08002B2CF9AE}" pid="27" name="PM_SecurityClassification_Prev">
    <vt:lpwstr>OFFICIAL</vt:lpwstr>
  </property>
  <property fmtid="{D5CDD505-2E9C-101B-9397-08002B2CF9AE}" pid="28" name="PM_Qualifier_Prev">
    <vt:lpwstr/>
  </property>
</Properties>
</file>