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E000" w14:textId="77777777" w:rsidR="00302262" w:rsidRPr="00574B76" w:rsidRDefault="00591342" w:rsidP="001D56A7">
      <w:pPr>
        <w:keepLines w:val="0"/>
        <w:jc w:val="center"/>
        <w:rPr>
          <w:b/>
          <w:sz w:val="22"/>
          <w:szCs w:val="22"/>
        </w:rPr>
      </w:pPr>
      <w:r w:rsidRPr="00574B76">
        <w:rPr>
          <w:b/>
          <w:sz w:val="22"/>
          <w:szCs w:val="22"/>
        </w:rPr>
        <w:t>E</w:t>
      </w:r>
      <w:r w:rsidR="00302262" w:rsidRPr="00574B76">
        <w:rPr>
          <w:b/>
          <w:sz w:val="22"/>
          <w:szCs w:val="22"/>
        </w:rPr>
        <w:t>XPLANATORY STATEMENT</w:t>
      </w:r>
    </w:p>
    <w:p w14:paraId="73040F5A" w14:textId="77777777" w:rsidR="00302262" w:rsidRPr="00574B76" w:rsidRDefault="00302262" w:rsidP="001D56A7">
      <w:pPr>
        <w:keepLines w:val="0"/>
        <w:spacing w:before="240" w:after="0"/>
        <w:jc w:val="center"/>
        <w:rPr>
          <w:b/>
          <w:i/>
          <w:sz w:val="22"/>
          <w:szCs w:val="22"/>
        </w:rPr>
      </w:pPr>
      <w:r w:rsidRPr="00574B76">
        <w:rPr>
          <w:b/>
          <w:i/>
          <w:sz w:val="22"/>
          <w:szCs w:val="22"/>
        </w:rPr>
        <w:t>NATIONAL HEALTH ACT 1953</w:t>
      </w:r>
    </w:p>
    <w:p w14:paraId="7DCDE81A" w14:textId="0480CD36" w:rsidR="00302262" w:rsidRPr="00574B76" w:rsidRDefault="00302262" w:rsidP="001D56A7">
      <w:pPr>
        <w:keepLines w:val="0"/>
        <w:spacing w:before="240"/>
        <w:jc w:val="center"/>
        <w:rPr>
          <w:b/>
          <w:i/>
          <w:sz w:val="22"/>
          <w:szCs w:val="22"/>
        </w:rPr>
      </w:pPr>
      <w:r w:rsidRPr="00574B76">
        <w:rPr>
          <w:b/>
          <w:i/>
          <w:sz w:val="22"/>
          <w:szCs w:val="22"/>
        </w:rPr>
        <w:t>NATIONAL HEALTH (</w:t>
      </w:r>
      <w:r w:rsidR="00EC3EDF" w:rsidRPr="00574B76">
        <w:rPr>
          <w:b/>
          <w:i/>
          <w:sz w:val="22"/>
          <w:szCs w:val="22"/>
        </w:rPr>
        <w:t>GROWTH HORMONE</w:t>
      </w:r>
      <w:r w:rsidR="0052565C" w:rsidRPr="00574B76">
        <w:rPr>
          <w:b/>
          <w:i/>
          <w:sz w:val="22"/>
          <w:szCs w:val="22"/>
        </w:rPr>
        <w:t xml:space="preserve"> PROGRAM</w:t>
      </w:r>
      <w:r w:rsidRPr="00574B76">
        <w:rPr>
          <w:b/>
          <w:i/>
          <w:sz w:val="22"/>
          <w:szCs w:val="22"/>
        </w:rPr>
        <w:t xml:space="preserve">) </w:t>
      </w:r>
      <w:r w:rsidR="008D0A05" w:rsidRPr="00574B76">
        <w:rPr>
          <w:b/>
          <w:i/>
          <w:sz w:val="22"/>
          <w:szCs w:val="22"/>
        </w:rPr>
        <w:br/>
      </w:r>
      <w:r w:rsidRPr="00574B76">
        <w:rPr>
          <w:b/>
          <w:i/>
          <w:sz w:val="22"/>
          <w:szCs w:val="22"/>
        </w:rPr>
        <w:t xml:space="preserve">SPECIAL ARRANGEMENT AMENDMENT INSTRUMENT </w:t>
      </w:r>
      <w:r w:rsidR="00987F1B" w:rsidRPr="00574B76">
        <w:rPr>
          <w:b/>
          <w:i/>
          <w:sz w:val="22"/>
          <w:szCs w:val="22"/>
        </w:rPr>
        <w:t>20</w:t>
      </w:r>
      <w:r w:rsidR="00887F26" w:rsidRPr="00574B76">
        <w:rPr>
          <w:b/>
          <w:i/>
          <w:sz w:val="22"/>
          <w:szCs w:val="22"/>
        </w:rPr>
        <w:t>2</w:t>
      </w:r>
      <w:r w:rsidR="00C26C2C" w:rsidRPr="00574B76">
        <w:rPr>
          <w:b/>
          <w:i/>
          <w:sz w:val="22"/>
          <w:szCs w:val="22"/>
        </w:rPr>
        <w:t>3</w:t>
      </w:r>
      <w:r w:rsidRPr="00574B76">
        <w:rPr>
          <w:b/>
          <w:i/>
          <w:sz w:val="22"/>
          <w:szCs w:val="22"/>
        </w:rPr>
        <w:t xml:space="preserve"> </w:t>
      </w:r>
      <w:r w:rsidR="004E6F17" w:rsidRPr="00574B76">
        <w:rPr>
          <w:b/>
          <w:i/>
          <w:sz w:val="22"/>
          <w:szCs w:val="22"/>
        </w:rPr>
        <w:t>(No. 2)</w:t>
      </w:r>
    </w:p>
    <w:p w14:paraId="5F4E29C0" w14:textId="3C2FB8BA" w:rsidR="00302262" w:rsidRPr="00574B76" w:rsidRDefault="004E6F17" w:rsidP="001D56A7">
      <w:pPr>
        <w:keepLines w:val="0"/>
        <w:spacing w:before="120"/>
        <w:jc w:val="center"/>
        <w:rPr>
          <w:b/>
          <w:sz w:val="22"/>
          <w:szCs w:val="22"/>
        </w:rPr>
      </w:pPr>
      <w:r w:rsidRPr="00574B76">
        <w:rPr>
          <w:b/>
          <w:sz w:val="22"/>
          <w:szCs w:val="22"/>
        </w:rPr>
        <w:t xml:space="preserve">PB </w:t>
      </w:r>
      <w:r w:rsidR="000C5A88" w:rsidRPr="00574B76">
        <w:rPr>
          <w:b/>
          <w:sz w:val="22"/>
          <w:szCs w:val="22"/>
        </w:rPr>
        <w:t xml:space="preserve">96 </w:t>
      </w:r>
      <w:r w:rsidR="00302262" w:rsidRPr="00574B76">
        <w:rPr>
          <w:b/>
          <w:sz w:val="22"/>
          <w:szCs w:val="22"/>
        </w:rPr>
        <w:t xml:space="preserve">of </w:t>
      </w:r>
      <w:r w:rsidR="00987F1B" w:rsidRPr="00574B76">
        <w:rPr>
          <w:b/>
          <w:sz w:val="22"/>
          <w:szCs w:val="22"/>
        </w:rPr>
        <w:t>20</w:t>
      </w:r>
      <w:r w:rsidR="00716426" w:rsidRPr="00574B76">
        <w:rPr>
          <w:b/>
          <w:sz w:val="22"/>
          <w:szCs w:val="22"/>
        </w:rPr>
        <w:t>2</w:t>
      </w:r>
      <w:r w:rsidR="00C26C2C" w:rsidRPr="00574B76">
        <w:rPr>
          <w:b/>
          <w:sz w:val="22"/>
          <w:szCs w:val="22"/>
        </w:rPr>
        <w:t>3</w:t>
      </w:r>
    </w:p>
    <w:p w14:paraId="46F99855" w14:textId="77777777" w:rsidR="0072261F" w:rsidRPr="00574B76" w:rsidRDefault="0072261F" w:rsidP="00297F43">
      <w:pPr>
        <w:keepLines w:val="0"/>
        <w:spacing w:before="240" w:after="0"/>
        <w:rPr>
          <w:b/>
          <w:sz w:val="22"/>
          <w:szCs w:val="22"/>
        </w:rPr>
      </w:pPr>
      <w:r w:rsidRPr="00574B76">
        <w:rPr>
          <w:b/>
          <w:sz w:val="22"/>
          <w:szCs w:val="22"/>
        </w:rPr>
        <w:t>Purpose</w:t>
      </w:r>
    </w:p>
    <w:p w14:paraId="7055C62D" w14:textId="139CC339" w:rsidR="00541008" w:rsidRPr="00574B76" w:rsidRDefault="0099423F" w:rsidP="00AC7740">
      <w:pPr>
        <w:keepLines w:val="0"/>
        <w:spacing w:before="120" w:after="0"/>
        <w:rPr>
          <w:sz w:val="22"/>
          <w:szCs w:val="22"/>
        </w:rPr>
      </w:pPr>
      <w:r w:rsidRPr="00574B76">
        <w:rPr>
          <w:sz w:val="22"/>
          <w:szCs w:val="22"/>
        </w:rPr>
        <w:t xml:space="preserve">This is the </w:t>
      </w:r>
      <w:r w:rsidRPr="00574B76">
        <w:rPr>
          <w:i/>
          <w:sz w:val="22"/>
          <w:szCs w:val="22"/>
        </w:rPr>
        <w:t>National Health (</w:t>
      </w:r>
      <w:r w:rsidR="003B792D" w:rsidRPr="00574B76">
        <w:rPr>
          <w:i/>
          <w:sz w:val="22"/>
          <w:szCs w:val="22"/>
        </w:rPr>
        <w:t>Growth Hormone P</w:t>
      </w:r>
      <w:r w:rsidRPr="00574B76">
        <w:rPr>
          <w:i/>
          <w:sz w:val="22"/>
          <w:szCs w:val="22"/>
        </w:rPr>
        <w:t>rogram) Special Arrangement A</w:t>
      </w:r>
      <w:r w:rsidR="0023508F" w:rsidRPr="00574B76">
        <w:rPr>
          <w:i/>
          <w:sz w:val="22"/>
          <w:szCs w:val="22"/>
        </w:rPr>
        <w:t>mendment Instrument</w:t>
      </w:r>
      <w:r w:rsidR="00417C65" w:rsidRPr="00574B76">
        <w:rPr>
          <w:i/>
          <w:sz w:val="22"/>
          <w:szCs w:val="22"/>
        </w:rPr>
        <w:t> </w:t>
      </w:r>
      <w:r w:rsidR="00987F1B" w:rsidRPr="00574B76">
        <w:rPr>
          <w:i/>
          <w:sz w:val="22"/>
          <w:szCs w:val="22"/>
        </w:rPr>
        <w:t>20</w:t>
      </w:r>
      <w:r w:rsidR="00BF5950" w:rsidRPr="00574B76">
        <w:rPr>
          <w:i/>
          <w:sz w:val="22"/>
          <w:szCs w:val="22"/>
        </w:rPr>
        <w:t>2</w:t>
      </w:r>
      <w:r w:rsidR="0093544F" w:rsidRPr="00574B76">
        <w:rPr>
          <w:i/>
          <w:sz w:val="22"/>
          <w:szCs w:val="22"/>
        </w:rPr>
        <w:t>3</w:t>
      </w:r>
      <w:r w:rsidRPr="00574B76">
        <w:rPr>
          <w:i/>
          <w:sz w:val="22"/>
          <w:szCs w:val="22"/>
        </w:rPr>
        <w:t xml:space="preserve"> </w:t>
      </w:r>
      <w:r w:rsidR="004E6F17" w:rsidRPr="00574B76">
        <w:rPr>
          <w:i/>
          <w:sz w:val="22"/>
          <w:szCs w:val="22"/>
        </w:rPr>
        <w:t>(No. 2)</w:t>
      </w:r>
      <w:r w:rsidRPr="00574B76">
        <w:rPr>
          <w:sz w:val="22"/>
          <w:szCs w:val="22"/>
        </w:rPr>
        <w:t xml:space="preserve"> </w:t>
      </w:r>
      <w:r w:rsidR="007D5716" w:rsidRPr="00574B76">
        <w:rPr>
          <w:sz w:val="22"/>
          <w:szCs w:val="22"/>
        </w:rPr>
        <w:t>(th</w:t>
      </w:r>
      <w:r w:rsidR="005A3AA2" w:rsidRPr="00574B76">
        <w:rPr>
          <w:sz w:val="22"/>
          <w:szCs w:val="22"/>
        </w:rPr>
        <w:t>is</w:t>
      </w:r>
      <w:r w:rsidR="007D5716" w:rsidRPr="00574B76">
        <w:rPr>
          <w:sz w:val="22"/>
          <w:szCs w:val="22"/>
        </w:rPr>
        <w:t xml:space="preserve"> </w:t>
      </w:r>
      <w:r w:rsidRPr="00574B76">
        <w:rPr>
          <w:sz w:val="22"/>
          <w:szCs w:val="22"/>
        </w:rPr>
        <w:t>Instrument). The purpose of th</w:t>
      </w:r>
      <w:r w:rsidR="005A3AA2" w:rsidRPr="00574B76">
        <w:rPr>
          <w:sz w:val="22"/>
          <w:szCs w:val="22"/>
        </w:rPr>
        <w:t>is</w:t>
      </w:r>
      <w:r w:rsidRPr="00574B76">
        <w:rPr>
          <w:sz w:val="22"/>
          <w:szCs w:val="22"/>
        </w:rPr>
        <w:t xml:space="preserve"> Instrument</w:t>
      </w:r>
      <w:r w:rsidR="005A3AA2" w:rsidRPr="00574B76">
        <w:rPr>
          <w:sz w:val="22"/>
          <w:szCs w:val="22"/>
        </w:rPr>
        <w:t xml:space="preserve">, made under subsection 100(2) of </w:t>
      </w:r>
      <w:r w:rsidR="00543376" w:rsidRPr="00574B76">
        <w:rPr>
          <w:sz w:val="22"/>
          <w:szCs w:val="22"/>
        </w:rPr>
        <w:t xml:space="preserve">the </w:t>
      </w:r>
      <w:r w:rsidR="00543376" w:rsidRPr="00574B76">
        <w:rPr>
          <w:i/>
          <w:sz w:val="22"/>
          <w:szCs w:val="22"/>
        </w:rPr>
        <w:t>National Health Act 1953</w:t>
      </w:r>
      <w:r w:rsidR="00543376" w:rsidRPr="00574B76">
        <w:rPr>
          <w:sz w:val="22"/>
          <w:szCs w:val="22"/>
        </w:rPr>
        <w:t xml:space="preserve"> </w:t>
      </w:r>
      <w:r w:rsidR="007B44B9" w:rsidRPr="00574B76">
        <w:rPr>
          <w:sz w:val="22"/>
          <w:szCs w:val="22"/>
        </w:rPr>
        <w:t>(</w:t>
      </w:r>
      <w:r w:rsidR="005A3AA2" w:rsidRPr="00574B76">
        <w:rPr>
          <w:sz w:val="22"/>
          <w:szCs w:val="22"/>
        </w:rPr>
        <w:t>the Act</w:t>
      </w:r>
      <w:r w:rsidR="007B44B9" w:rsidRPr="00574B76">
        <w:rPr>
          <w:sz w:val="22"/>
          <w:szCs w:val="22"/>
        </w:rPr>
        <w:t>)</w:t>
      </w:r>
      <w:r w:rsidR="005A3AA2" w:rsidRPr="00574B76">
        <w:rPr>
          <w:sz w:val="22"/>
          <w:szCs w:val="22"/>
        </w:rPr>
        <w:t>,</w:t>
      </w:r>
      <w:r w:rsidRPr="00574B76">
        <w:rPr>
          <w:sz w:val="22"/>
          <w:szCs w:val="22"/>
        </w:rPr>
        <w:t xml:space="preserve"> is to amend the </w:t>
      </w:r>
      <w:r w:rsidRPr="00574B76">
        <w:rPr>
          <w:i/>
          <w:sz w:val="22"/>
          <w:szCs w:val="22"/>
        </w:rPr>
        <w:t>National Health (</w:t>
      </w:r>
      <w:r w:rsidR="003B792D" w:rsidRPr="00574B76">
        <w:rPr>
          <w:i/>
          <w:sz w:val="22"/>
          <w:szCs w:val="22"/>
        </w:rPr>
        <w:t>Growth Hormone Program</w:t>
      </w:r>
      <w:r w:rsidRPr="00574B76">
        <w:rPr>
          <w:i/>
          <w:sz w:val="22"/>
          <w:szCs w:val="22"/>
        </w:rPr>
        <w:t>) Special Arrangement 201</w:t>
      </w:r>
      <w:r w:rsidR="003B792D" w:rsidRPr="00574B76">
        <w:rPr>
          <w:i/>
          <w:sz w:val="22"/>
          <w:szCs w:val="22"/>
        </w:rPr>
        <w:t>5</w:t>
      </w:r>
      <w:r w:rsidRPr="00574B76">
        <w:rPr>
          <w:sz w:val="22"/>
          <w:szCs w:val="22"/>
        </w:rPr>
        <w:t xml:space="preserve"> (PB </w:t>
      </w:r>
      <w:r w:rsidR="003B792D" w:rsidRPr="00574B76">
        <w:rPr>
          <w:sz w:val="22"/>
          <w:szCs w:val="22"/>
        </w:rPr>
        <w:t>85 of 2015</w:t>
      </w:r>
      <w:r w:rsidRPr="00574B76">
        <w:rPr>
          <w:sz w:val="22"/>
          <w:szCs w:val="22"/>
        </w:rPr>
        <w:t xml:space="preserve">) (the Special Arrangement), to make changes to the Special Arrangement relating to the </w:t>
      </w:r>
      <w:r w:rsidR="003B792D" w:rsidRPr="00574B76">
        <w:rPr>
          <w:sz w:val="22"/>
          <w:szCs w:val="22"/>
        </w:rPr>
        <w:t>Growth Hormone</w:t>
      </w:r>
      <w:r w:rsidRPr="00574B76">
        <w:rPr>
          <w:sz w:val="22"/>
          <w:szCs w:val="22"/>
        </w:rPr>
        <w:t xml:space="preserve"> </w:t>
      </w:r>
      <w:r w:rsidR="00541008" w:rsidRPr="00574B76">
        <w:rPr>
          <w:sz w:val="22"/>
          <w:szCs w:val="22"/>
        </w:rPr>
        <w:t>P</w:t>
      </w:r>
      <w:r w:rsidRPr="00574B76">
        <w:rPr>
          <w:sz w:val="22"/>
          <w:szCs w:val="22"/>
        </w:rPr>
        <w:t>rogram.</w:t>
      </w:r>
    </w:p>
    <w:p w14:paraId="25A094BA" w14:textId="307F0142" w:rsidR="005A3AA2" w:rsidRPr="00574B76" w:rsidRDefault="005A3AA2" w:rsidP="00AC7740">
      <w:pPr>
        <w:keepLines w:val="0"/>
        <w:spacing w:before="120" w:after="0"/>
        <w:rPr>
          <w:sz w:val="22"/>
          <w:szCs w:val="22"/>
        </w:rPr>
      </w:pPr>
      <w:r w:rsidRPr="00574B76">
        <w:rPr>
          <w:sz w:val="22"/>
          <w:szCs w:val="22"/>
        </w:rPr>
        <w:t xml:space="preserve">The amendments made by this Instrument reflect amendments to the </w:t>
      </w:r>
      <w:r w:rsidRPr="00574B76">
        <w:rPr>
          <w:i/>
          <w:sz w:val="22"/>
          <w:szCs w:val="22"/>
        </w:rPr>
        <w:t>National Health (Listing of Pharmaceutical Benefits) Instrument 2012</w:t>
      </w:r>
      <w:r w:rsidRPr="00574B76">
        <w:rPr>
          <w:sz w:val="22"/>
          <w:szCs w:val="22"/>
        </w:rPr>
        <w:t xml:space="preserve"> (PB 71 of 2012)</w:t>
      </w:r>
      <w:r w:rsidR="002021A0" w:rsidRPr="00574B76">
        <w:rPr>
          <w:sz w:val="22"/>
          <w:szCs w:val="22"/>
        </w:rPr>
        <w:t xml:space="preserve"> (the Listing Instrument)</w:t>
      </w:r>
      <w:r w:rsidRPr="00574B76">
        <w:rPr>
          <w:sz w:val="22"/>
          <w:szCs w:val="22"/>
        </w:rPr>
        <w:t>, which commence on the same day</w:t>
      </w:r>
      <w:r w:rsidR="00804DF3" w:rsidRPr="00574B76">
        <w:rPr>
          <w:sz w:val="22"/>
          <w:szCs w:val="22"/>
        </w:rPr>
        <w:t>. The changes</w:t>
      </w:r>
      <w:r w:rsidR="009C2DA2" w:rsidRPr="00574B76">
        <w:rPr>
          <w:sz w:val="22"/>
          <w:szCs w:val="22"/>
        </w:rPr>
        <w:t xml:space="preserve"> in the Listing Instrument</w:t>
      </w:r>
      <w:r w:rsidR="0099422B" w:rsidRPr="00574B76">
        <w:rPr>
          <w:sz w:val="24"/>
          <w:szCs w:val="24"/>
        </w:rPr>
        <w:t xml:space="preserve"> </w:t>
      </w:r>
      <w:r w:rsidR="0099422B" w:rsidRPr="00574B76">
        <w:rPr>
          <w:color w:val="000000"/>
          <w:sz w:val="22"/>
          <w:szCs w:val="22"/>
        </w:rPr>
        <w:t>provid</w:t>
      </w:r>
      <w:r w:rsidR="00263812" w:rsidRPr="00574B76">
        <w:rPr>
          <w:color w:val="000000"/>
          <w:sz w:val="22"/>
          <w:szCs w:val="22"/>
        </w:rPr>
        <w:t>e</w:t>
      </w:r>
      <w:r w:rsidR="0099422B" w:rsidRPr="00574B76">
        <w:rPr>
          <w:color w:val="000000"/>
          <w:sz w:val="22"/>
          <w:szCs w:val="22"/>
        </w:rPr>
        <w:t xml:space="preserve"> for </w:t>
      </w:r>
      <w:r w:rsidR="00804DF3" w:rsidRPr="00574B76">
        <w:rPr>
          <w:color w:val="000000"/>
          <w:sz w:val="22"/>
          <w:szCs w:val="22"/>
        </w:rPr>
        <w:t xml:space="preserve">the removal of </w:t>
      </w:r>
      <w:r w:rsidR="0099422B" w:rsidRPr="00574B76">
        <w:rPr>
          <w:color w:val="000000"/>
          <w:sz w:val="22"/>
          <w:szCs w:val="22"/>
        </w:rPr>
        <w:t>references to Prader</w:t>
      </w:r>
      <w:r w:rsidR="00792F9C" w:rsidRPr="00574B76">
        <w:rPr>
          <w:b/>
          <w:bCs/>
          <w:color w:val="000000"/>
          <w:sz w:val="22"/>
          <w:szCs w:val="22"/>
        </w:rPr>
        <w:noBreakHyphen/>
      </w:r>
      <w:r w:rsidR="0099422B" w:rsidRPr="00574B76">
        <w:rPr>
          <w:color w:val="000000"/>
          <w:sz w:val="22"/>
          <w:szCs w:val="22"/>
        </w:rPr>
        <w:t xml:space="preserve">Willi Syndrome (PWS) </w:t>
      </w:r>
      <w:r w:rsidR="007D7981" w:rsidRPr="00574B76">
        <w:rPr>
          <w:color w:val="000000"/>
          <w:sz w:val="22"/>
          <w:szCs w:val="22"/>
        </w:rPr>
        <w:t xml:space="preserve">from </w:t>
      </w:r>
      <w:r w:rsidR="0099422B" w:rsidRPr="00574B76">
        <w:rPr>
          <w:color w:val="000000"/>
          <w:sz w:val="22"/>
          <w:szCs w:val="22"/>
        </w:rPr>
        <w:t xml:space="preserve">three circumstance codes for severe Growth Hormone Deficiency </w:t>
      </w:r>
      <w:r w:rsidR="00911663" w:rsidRPr="00574B76">
        <w:rPr>
          <w:color w:val="000000"/>
          <w:sz w:val="22"/>
          <w:szCs w:val="22"/>
        </w:rPr>
        <w:t>(</w:t>
      </w:r>
      <w:r w:rsidR="00250044" w:rsidRPr="00574B76">
        <w:rPr>
          <w:color w:val="000000"/>
          <w:sz w:val="22"/>
          <w:szCs w:val="22"/>
        </w:rPr>
        <w:t xml:space="preserve">existing </w:t>
      </w:r>
      <w:r w:rsidR="00FE1541" w:rsidRPr="00574B76">
        <w:rPr>
          <w:color w:val="000000"/>
          <w:sz w:val="22"/>
          <w:szCs w:val="22"/>
        </w:rPr>
        <w:t xml:space="preserve">circumstances </w:t>
      </w:r>
      <w:r w:rsidR="00250044" w:rsidRPr="00574B76">
        <w:rPr>
          <w:color w:val="000000"/>
          <w:sz w:val="22"/>
          <w:szCs w:val="22"/>
        </w:rPr>
        <w:t>code</w:t>
      </w:r>
      <w:r w:rsidR="00FE1541" w:rsidRPr="00574B76">
        <w:rPr>
          <w:color w:val="000000"/>
          <w:sz w:val="22"/>
          <w:szCs w:val="22"/>
        </w:rPr>
        <w:t>s</w:t>
      </w:r>
      <w:r w:rsidR="00250044" w:rsidRPr="00574B76">
        <w:rPr>
          <w:color w:val="000000"/>
          <w:sz w:val="22"/>
          <w:szCs w:val="22"/>
        </w:rPr>
        <w:t xml:space="preserve"> </w:t>
      </w:r>
      <w:r w:rsidR="00911663" w:rsidRPr="00574B76">
        <w:rPr>
          <w:color w:val="000000"/>
          <w:sz w:val="22"/>
          <w:szCs w:val="22"/>
        </w:rPr>
        <w:t>C13516, C13637 and C12601)</w:t>
      </w:r>
      <w:r w:rsidR="0099422B" w:rsidRPr="00574B76">
        <w:rPr>
          <w:color w:val="000000"/>
          <w:sz w:val="22"/>
          <w:szCs w:val="22"/>
        </w:rPr>
        <w:t xml:space="preserve">. These are consequential changes due to </w:t>
      </w:r>
      <w:r w:rsidR="006E4FB7" w:rsidRPr="00574B76">
        <w:rPr>
          <w:color w:val="000000"/>
          <w:sz w:val="22"/>
          <w:szCs w:val="22"/>
        </w:rPr>
        <w:t xml:space="preserve">the </w:t>
      </w:r>
      <w:r w:rsidR="0099422B" w:rsidRPr="00574B76">
        <w:rPr>
          <w:color w:val="000000"/>
          <w:sz w:val="22"/>
          <w:szCs w:val="22"/>
        </w:rPr>
        <w:t>amend</w:t>
      </w:r>
      <w:r w:rsidR="00AC3350" w:rsidRPr="00574B76">
        <w:rPr>
          <w:color w:val="000000"/>
          <w:sz w:val="22"/>
          <w:szCs w:val="22"/>
        </w:rPr>
        <w:t>ment of</w:t>
      </w:r>
      <w:r w:rsidR="0099422B" w:rsidRPr="00574B76">
        <w:rPr>
          <w:color w:val="000000"/>
          <w:sz w:val="22"/>
          <w:szCs w:val="22"/>
        </w:rPr>
        <w:t xml:space="preserve"> the definitions of ‘adult’ and ‘child’</w:t>
      </w:r>
      <w:r w:rsidR="00DC2082" w:rsidRPr="00574B76">
        <w:rPr>
          <w:color w:val="000000"/>
          <w:sz w:val="22"/>
          <w:szCs w:val="22"/>
        </w:rPr>
        <w:t xml:space="preserve"> in the Special Arrangement</w:t>
      </w:r>
      <w:r w:rsidR="00AC3350" w:rsidRPr="00574B76">
        <w:rPr>
          <w:color w:val="000000"/>
          <w:sz w:val="22"/>
          <w:szCs w:val="22"/>
        </w:rPr>
        <w:t xml:space="preserve"> </w:t>
      </w:r>
      <w:r w:rsidR="00670CDD" w:rsidRPr="00574B76">
        <w:rPr>
          <w:color w:val="000000"/>
          <w:sz w:val="22"/>
          <w:szCs w:val="22"/>
        </w:rPr>
        <w:t>(</w:t>
      </w:r>
      <w:r w:rsidR="00AC3350" w:rsidRPr="00574B76">
        <w:rPr>
          <w:color w:val="000000"/>
          <w:sz w:val="22"/>
          <w:szCs w:val="22"/>
        </w:rPr>
        <w:t>as described below</w:t>
      </w:r>
      <w:r w:rsidR="00670CDD" w:rsidRPr="00574B76">
        <w:rPr>
          <w:color w:val="000000"/>
          <w:sz w:val="22"/>
          <w:szCs w:val="22"/>
        </w:rPr>
        <w:t>)</w:t>
      </w:r>
      <w:r w:rsidR="00263812" w:rsidRPr="00574B76">
        <w:rPr>
          <w:color w:val="000000"/>
          <w:sz w:val="22"/>
          <w:szCs w:val="22"/>
        </w:rPr>
        <w:t>.</w:t>
      </w:r>
      <w:r w:rsidR="0099422B" w:rsidRPr="00574B76">
        <w:rPr>
          <w:sz w:val="22"/>
          <w:szCs w:val="22"/>
        </w:rPr>
        <w:t xml:space="preserve"> </w:t>
      </w:r>
      <w:r w:rsidRPr="00574B76">
        <w:rPr>
          <w:sz w:val="22"/>
          <w:szCs w:val="22"/>
        </w:rPr>
        <w:t xml:space="preserve">The </w:t>
      </w:r>
      <w:r w:rsidR="002021A0" w:rsidRPr="00574B76">
        <w:rPr>
          <w:sz w:val="22"/>
          <w:szCs w:val="22"/>
        </w:rPr>
        <w:t xml:space="preserve">Listing Instrument </w:t>
      </w:r>
      <w:r w:rsidRPr="00574B76">
        <w:rPr>
          <w:sz w:val="22"/>
          <w:szCs w:val="22"/>
        </w:rPr>
        <w:t>is made under sections 84AF, 84AK, 85, 85A, 88 and 101 of the Act.</w:t>
      </w:r>
    </w:p>
    <w:p w14:paraId="53075A93" w14:textId="696E5B9C" w:rsidR="00E66C7B" w:rsidRPr="00574B76" w:rsidRDefault="00692E06" w:rsidP="00297F43">
      <w:pPr>
        <w:shd w:val="clear" w:color="auto" w:fill="FFFFFF"/>
        <w:spacing w:before="240" w:after="0"/>
        <w:rPr>
          <w:color w:val="000000"/>
          <w:sz w:val="28"/>
          <w:szCs w:val="28"/>
        </w:rPr>
      </w:pPr>
      <w:r w:rsidRPr="00574B76">
        <w:rPr>
          <w:sz w:val="22"/>
          <w:szCs w:val="22"/>
        </w:rPr>
        <w:t xml:space="preserve">Schedule 1 to this Instrument provides for the </w:t>
      </w:r>
      <w:r w:rsidR="00263812" w:rsidRPr="00574B76">
        <w:rPr>
          <w:sz w:val="22"/>
          <w:szCs w:val="22"/>
        </w:rPr>
        <w:t>following</w:t>
      </w:r>
      <w:r w:rsidR="00163139" w:rsidRPr="00574B76">
        <w:rPr>
          <w:sz w:val="22"/>
          <w:szCs w:val="22"/>
        </w:rPr>
        <w:t xml:space="preserve"> changes</w:t>
      </w:r>
      <w:r w:rsidR="009B129B" w:rsidRPr="00574B76">
        <w:rPr>
          <w:sz w:val="22"/>
          <w:szCs w:val="22"/>
        </w:rPr>
        <w:t xml:space="preserve"> to the Special Arrangement</w:t>
      </w:r>
      <w:r w:rsidR="00263812" w:rsidRPr="00574B76">
        <w:rPr>
          <w:sz w:val="22"/>
          <w:szCs w:val="22"/>
        </w:rPr>
        <w:t>:</w:t>
      </w:r>
    </w:p>
    <w:p w14:paraId="08C1EEA3" w14:textId="3BFFB276" w:rsidR="00E66C7B" w:rsidRPr="00574B76" w:rsidRDefault="00E66C7B" w:rsidP="00E66C7B">
      <w:pPr>
        <w:pStyle w:val="ListParagraph"/>
        <w:numPr>
          <w:ilvl w:val="0"/>
          <w:numId w:val="13"/>
        </w:numPr>
        <w:spacing w:before="120"/>
        <w:contextualSpacing/>
        <w:rPr>
          <w:color w:val="000000"/>
          <w:sz w:val="22"/>
          <w:szCs w:val="22"/>
        </w:rPr>
      </w:pPr>
      <w:r w:rsidRPr="00574B76">
        <w:rPr>
          <w:color w:val="000000"/>
          <w:sz w:val="22"/>
          <w:szCs w:val="22"/>
        </w:rPr>
        <w:t xml:space="preserve">the repeal and substitution of three definitions in </w:t>
      </w:r>
      <w:r w:rsidR="003D0155" w:rsidRPr="00574B76">
        <w:rPr>
          <w:color w:val="000000"/>
          <w:sz w:val="22"/>
          <w:szCs w:val="22"/>
        </w:rPr>
        <w:t>Part 1, S</w:t>
      </w:r>
      <w:r w:rsidRPr="00574B76">
        <w:rPr>
          <w:color w:val="000000"/>
          <w:sz w:val="22"/>
          <w:szCs w:val="22"/>
        </w:rPr>
        <w:t>ection 4</w:t>
      </w:r>
      <w:r w:rsidR="007A57E6" w:rsidRPr="00574B76">
        <w:rPr>
          <w:color w:val="000000"/>
          <w:sz w:val="22"/>
          <w:szCs w:val="22"/>
        </w:rPr>
        <w:t xml:space="preserve">, </w:t>
      </w:r>
      <w:r w:rsidR="0037094D" w:rsidRPr="00574B76">
        <w:rPr>
          <w:color w:val="000000"/>
          <w:sz w:val="22"/>
          <w:szCs w:val="22"/>
        </w:rPr>
        <w:t>“</w:t>
      </w:r>
      <w:r w:rsidR="007A57E6" w:rsidRPr="00574B76">
        <w:rPr>
          <w:color w:val="000000"/>
          <w:sz w:val="22"/>
          <w:szCs w:val="22"/>
        </w:rPr>
        <w:t>Definitions</w:t>
      </w:r>
      <w:r w:rsidR="0037094D" w:rsidRPr="00574B76">
        <w:rPr>
          <w:color w:val="000000"/>
          <w:sz w:val="22"/>
          <w:szCs w:val="22"/>
        </w:rPr>
        <w:t>”</w:t>
      </w:r>
      <w:r w:rsidRPr="00574B76">
        <w:rPr>
          <w:color w:val="000000"/>
          <w:sz w:val="22"/>
          <w:szCs w:val="22"/>
        </w:rPr>
        <w:t xml:space="preserve"> for:</w:t>
      </w:r>
    </w:p>
    <w:p w14:paraId="351C0042" w14:textId="22DF51D8" w:rsidR="00263812" w:rsidRPr="00574B76" w:rsidRDefault="00E66C7B" w:rsidP="00A06DD0">
      <w:pPr>
        <w:pStyle w:val="ListParagraph"/>
        <w:numPr>
          <w:ilvl w:val="0"/>
          <w:numId w:val="14"/>
        </w:numPr>
        <w:spacing w:before="120"/>
        <w:contextualSpacing/>
        <w:rPr>
          <w:color w:val="000000"/>
          <w:sz w:val="22"/>
          <w:szCs w:val="22"/>
        </w:rPr>
      </w:pPr>
      <w:r w:rsidRPr="00574B76">
        <w:rPr>
          <w:color w:val="000000"/>
          <w:sz w:val="22"/>
          <w:szCs w:val="22"/>
        </w:rPr>
        <w:t>‘</w:t>
      </w:r>
      <w:r w:rsidRPr="00574B76">
        <w:rPr>
          <w:i/>
          <w:iCs/>
          <w:color w:val="000000"/>
          <w:sz w:val="22"/>
          <w:szCs w:val="22"/>
        </w:rPr>
        <w:t xml:space="preserve">adult’ </w:t>
      </w:r>
      <w:r w:rsidRPr="00574B76">
        <w:rPr>
          <w:color w:val="000000"/>
          <w:sz w:val="22"/>
          <w:szCs w:val="22"/>
        </w:rPr>
        <w:t>and</w:t>
      </w:r>
      <w:r w:rsidRPr="00574B76">
        <w:rPr>
          <w:i/>
          <w:iCs/>
          <w:color w:val="000000"/>
          <w:sz w:val="22"/>
          <w:szCs w:val="22"/>
        </w:rPr>
        <w:t xml:space="preserve"> ‘child’ </w:t>
      </w:r>
      <w:r w:rsidRPr="00574B76">
        <w:rPr>
          <w:color w:val="000000"/>
          <w:sz w:val="22"/>
          <w:szCs w:val="22"/>
        </w:rPr>
        <w:t>to align with the Pharmaceutical Benefits Advisory Committee’s (PBAC) earlier recommendations which moved away from the chronological age of a patient and towards skeletal maturity as the determining factor</w:t>
      </w:r>
      <w:r w:rsidR="00297F43" w:rsidRPr="00574B76">
        <w:rPr>
          <w:color w:val="000000"/>
          <w:sz w:val="22"/>
          <w:szCs w:val="22"/>
        </w:rPr>
        <w:t>.</w:t>
      </w:r>
    </w:p>
    <w:p w14:paraId="30803C8C" w14:textId="34BC4125" w:rsidR="004E6F17" w:rsidRPr="00574B76" w:rsidRDefault="00E66C7B" w:rsidP="00263812">
      <w:pPr>
        <w:pStyle w:val="ListParagraph"/>
        <w:numPr>
          <w:ilvl w:val="0"/>
          <w:numId w:val="14"/>
        </w:numPr>
        <w:spacing w:before="120"/>
        <w:contextualSpacing/>
        <w:rPr>
          <w:color w:val="000000"/>
          <w:sz w:val="22"/>
          <w:szCs w:val="22"/>
        </w:rPr>
      </w:pPr>
      <w:r w:rsidRPr="00574B76">
        <w:rPr>
          <w:i/>
          <w:iCs/>
          <w:color w:val="000000"/>
          <w:sz w:val="22"/>
          <w:szCs w:val="22"/>
        </w:rPr>
        <w:t>CDC 2000</w:t>
      </w:r>
      <w:r w:rsidRPr="00574B76">
        <w:rPr>
          <w:color w:val="000000"/>
          <w:sz w:val="22"/>
          <w:szCs w:val="22"/>
        </w:rPr>
        <w:t xml:space="preserve"> to</w:t>
      </w:r>
      <w:r w:rsidRPr="00574B76">
        <w:rPr>
          <w:sz w:val="22"/>
          <w:szCs w:val="22"/>
        </w:rPr>
        <w:t xml:space="preserve"> </w:t>
      </w:r>
      <w:r w:rsidRPr="00574B76">
        <w:rPr>
          <w:color w:val="000000"/>
          <w:sz w:val="22"/>
          <w:szCs w:val="22"/>
        </w:rPr>
        <w:t>reflect the latest version of the US Growth Charts in effect at the time a Pharmaceutical Benefits Scheme (PBS) authority application is made.</w:t>
      </w:r>
    </w:p>
    <w:p w14:paraId="710868E0" w14:textId="77777777" w:rsidR="008748AB" w:rsidRPr="00574B76" w:rsidRDefault="008748AB" w:rsidP="00AC7740">
      <w:pPr>
        <w:keepLines w:val="0"/>
        <w:spacing w:before="120" w:after="0"/>
        <w:rPr>
          <w:color w:val="000000"/>
          <w:sz w:val="22"/>
          <w:szCs w:val="22"/>
        </w:rPr>
      </w:pPr>
      <w:r w:rsidRPr="00574B76">
        <w:rPr>
          <w:color w:val="000000"/>
          <w:sz w:val="22"/>
          <w:szCs w:val="22"/>
        </w:rPr>
        <w:t xml:space="preserve">The amendments will ensure that the appropriate pharmaceutical benefits listed in either Schedule 1 or 2 of </w:t>
      </w:r>
      <w:r w:rsidRPr="00574B76">
        <w:rPr>
          <w:sz w:val="22"/>
          <w:szCs w:val="22"/>
        </w:rPr>
        <w:t>the Special Arrangement</w:t>
      </w:r>
      <w:r w:rsidRPr="00574B76">
        <w:rPr>
          <w:color w:val="000000"/>
          <w:sz w:val="22"/>
          <w:szCs w:val="22"/>
        </w:rPr>
        <w:t xml:space="preserve"> are available for eligible patients who require treatment with growth hormone medicines in line with their diagnosis and appropriate age measure.</w:t>
      </w:r>
    </w:p>
    <w:p w14:paraId="031E773A" w14:textId="15802B43" w:rsidR="00396DB7" w:rsidRPr="00574B76" w:rsidRDefault="004E6F17" w:rsidP="00AC7740">
      <w:pPr>
        <w:keepLines w:val="0"/>
        <w:spacing w:before="120" w:after="0"/>
        <w:rPr>
          <w:sz w:val="22"/>
          <w:szCs w:val="22"/>
        </w:rPr>
      </w:pPr>
      <w:r w:rsidRPr="00574B76">
        <w:rPr>
          <w:sz w:val="22"/>
          <w:szCs w:val="22"/>
        </w:rPr>
        <w:t>T</w:t>
      </w:r>
      <w:r w:rsidR="00920621" w:rsidRPr="00574B76">
        <w:rPr>
          <w:sz w:val="22"/>
          <w:szCs w:val="22"/>
        </w:rPr>
        <w:t>h</w:t>
      </w:r>
      <w:r w:rsidR="002807D8" w:rsidRPr="00574B76">
        <w:rPr>
          <w:sz w:val="22"/>
          <w:szCs w:val="22"/>
        </w:rPr>
        <w:t xml:space="preserve">ese </w:t>
      </w:r>
      <w:r w:rsidR="00920621" w:rsidRPr="00574B76">
        <w:rPr>
          <w:sz w:val="22"/>
          <w:szCs w:val="22"/>
        </w:rPr>
        <w:t>change</w:t>
      </w:r>
      <w:r w:rsidR="002807D8" w:rsidRPr="00574B76">
        <w:rPr>
          <w:sz w:val="22"/>
          <w:szCs w:val="22"/>
        </w:rPr>
        <w:t xml:space="preserve">s are </w:t>
      </w:r>
      <w:r w:rsidR="00920621" w:rsidRPr="00574B76">
        <w:rPr>
          <w:sz w:val="22"/>
          <w:szCs w:val="22"/>
        </w:rPr>
        <w:t>summarised, by subject matter, in the Attachment.</w:t>
      </w:r>
    </w:p>
    <w:p w14:paraId="07F1AB50" w14:textId="77777777" w:rsidR="00920621" w:rsidRPr="00574B76" w:rsidRDefault="00920621" w:rsidP="00920621">
      <w:pPr>
        <w:keepLines w:val="0"/>
        <w:spacing w:before="120" w:after="0"/>
        <w:rPr>
          <w:b/>
          <w:sz w:val="22"/>
          <w:szCs w:val="22"/>
        </w:rPr>
      </w:pPr>
      <w:r w:rsidRPr="00574B76">
        <w:rPr>
          <w:b/>
          <w:sz w:val="22"/>
          <w:szCs w:val="22"/>
        </w:rPr>
        <w:t>Authority</w:t>
      </w:r>
    </w:p>
    <w:p w14:paraId="5D45C100" w14:textId="7ECE112D" w:rsidR="00920621" w:rsidRPr="00574B76" w:rsidRDefault="00920621" w:rsidP="00920621">
      <w:pPr>
        <w:keepLines w:val="0"/>
        <w:spacing w:before="120" w:after="0"/>
        <w:rPr>
          <w:sz w:val="22"/>
          <w:szCs w:val="22"/>
        </w:rPr>
      </w:pPr>
      <w:r w:rsidRPr="00574B76">
        <w:rPr>
          <w:sz w:val="22"/>
          <w:szCs w:val="22"/>
        </w:rPr>
        <w:t>Subsection 100(1) of the Act enables the Minister to make special arrangements for the supply of pharmaceutical benefits.</w:t>
      </w:r>
    </w:p>
    <w:p w14:paraId="580A0BE5" w14:textId="77777777" w:rsidR="00920621" w:rsidRPr="00574B76" w:rsidRDefault="00920621" w:rsidP="00920621">
      <w:pPr>
        <w:keepLines w:val="0"/>
        <w:spacing w:before="120" w:after="0"/>
        <w:rPr>
          <w:sz w:val="22"/>
          <w:szCs w:val="22"/>
        </w:rPr>
      </w:pPr>
      <w:r w:rsidRPr="00574B76">
        <w:rPr>
          <w:sz w:val="22"/>
          <w:szCs w:val="22"/>
        </w:rPr>
        <w:t>Subsection 100(2) of the Act provides that the Minister may vary or revoke a special arrangement made under subsection 100(1).</w:t>
      </w:r>
    </w:p>
    <w:p w14:paraId="14772371" w14:textId="5AE5DA3E" w:rsidR="00A569F2" w:rsidRPr="00574B76" w:rsidRDefault="00920621" w:rsidP="00920621">
      <w:pPr>
        <w:keepLines w:val="0"/>
        <w:spacing w:before="120" w:after="0"/>
        <w:rPr>
          <w:sz w:val="22"/>
          <w:szCs w:val="22"/>
        </w:rPr>
      </w:pPr>
      <w:r w:rsidRPr="00574B76">
        <w:rPr>
          <w:sz w:val="22"/>
          <w:szCs w:val="22"/>
        </w:rPr>
        <w:t>Subsection 100(3) of the Act provides that Part VII of the Act, and instruments made for the purposes of Part VII, have effect subject to a special arrangement made under subsection 100(1).</w:t>
      </w:r>
    </w:p>
    <w:p w14:paraId="2F66D413" w14:textId="77777777" w:rsidR="00263812" w:rsidRPr="00574B76" w:rsidRDefault="00263812" w:rsidP="00263812">
      <w:pPr>
        <w:shd w:val="clear" w:color="auto" w:fill="FFFFFF"/>
        <w:spacing w:before="120" w:after="0"/>
        <w:rPr>
          <w:b/>
          <w:bCs/>
          <w:color w:val="000000"/>
          <w:sz w:val="22"/>
          <w:szCs w:val="22"/>
        </w:rPr>
      </w:pPr>
      <w:r w:rsidRPr="00574B76">
        <w:rPr>
          <w:b/>
          <w:bCs/>
          <w:color w:val="000000"/>
          <w:sz w:val="22"/>
          <w:szCs w:val="22"/>
        </w:rPr>
        <w:t>Background</w:t>
      </w:r>
    </w:p>
    <w:p w14:paraId="16E2A849" w14:textId="39969B90" w:rsidR="00263812" w:rsidRPr="00574B76" w:rsidRDefault="00263812" w:rsidP="00916F95">
      <w:pPr>
        <w:spacing w:before="120"/>
        <w:rPr>
          <w:sz w:val="22"/>
          <w:szCs w:val="22"/>
        </w:rPr>
      </w:pPr>
      <w:r w:rsidRPr="00574B76">
        <w:rPr>
          <w:sz w:val="22"/>
          <w:szCs w:val="22"/>
        </w:rPr>
        <w:t>The Australian Government provides subsidised access to growth hormone (mecasermin, somatrogon and somatropin) for eligible paediatric and adult patients through the Pharmaceutical Benefits Scheme (PBS) Growth Hormone Program</w:t>
      </w:r>
      <w:r w:rsidR="00777437" w:rsidRPr="00574B76">
        <w:rPr>
          <w:sz w:val="22"/>
          <w:szCs w:val="22"/>
        </w:rPr>
        <w:t>,</w:t>
      </w:r>
      <w:r w:rsidRPr="00574B76">
        <w:rPr>
          <w:sz w:val="22"/>
          <w:szCs w:val="22"/>
        </w:rPr>
        <w:t xml:space="preserve"> established under section 100 of the Act. There are currently </w:t>
      </w:r>
      <w:hyperlink r:id="rId8" w:history="1">
        <w:r w:rsidRPr="00574B76">
          <w:rPr>
            <w:sz w:val="22"/>
            <w:szCs w:val="22"/>
          </w:rPr>
          <w:t>14 different treatment categories</w:t>
        </w:r>
      </w:hyperlink>
      <w:r w:rsidRPr="00574B76">
        <w:rPr>
          <w:sz w:val="22"/>
          <w:szCs w:val="22"/>
        </w:rPr>
        <w:t xml:space="preserve"> included under the Program. Growth Hormone restriction criteria is clinically complex. Patients must be treated by an endocrinologist or a specialist in consultation with an endocrinologist, to be eligible for PBS-subsidised treatment with growth hormone medicines. Growth Hormone medicines can be dispensed by a community pharmacy, a public hospital pharmacy, a private hospital pharmacy and a dispensing doctor. </w:t>
      </w:r>
    </w:p>
    <w:p w14:paraId="105EB00B" w14:textId="311CFAE5" w:rsidR="00263812" w:rsidRPr="00574B76" w:rsidRDefault="00263812" w:rsidP="00263812">
      <w:pPr>
        <w:pStyle w:val="ListNumber"/>
        <w:numPr>
          <w:ilvl w:val="0"/>
          <w:numId w:val="16"/>
        </w:numPr>
        <w:spacing w:before="120"/>
        <w:ind w:left="284" w:hanging="284"/>
        <w:rPr>
          <w:rFonts w:eastAsiaTheme="minorHAnsi"/>
          <w:sz w:val="22"/>
          <w:szCs w:val="22"/>
          <w:lang w:eastAsia="en-US"/>
        </w:rPr>
      </w:pPr>
      <w:r w:rsidRPr="00574B76">
        <w:rPr>
          <w:rFonts w:eastAsiaTheme="minorHAnsi"/>
          <w:sz w:val="22"/>
          <w:szCs w:val="22"/>
          <w:lang w:eastAsia="en-US"/>
        </w:rPr>
        <w:lastRenderedPageBreak/>
        <w:t>Definition of ‘</w:t>
      </w:r>
      <w:r w:rsidRPr="00574B76">
        <w:rPr>
          <w:rFonts w:eastAsiaTheme="minorHAnsi"/>
          <w:i/>
          <w:iCs/>
          <w:sz w:val="22"/>
          <w:szCs w:val="22"/>
          <w:lang w:eastAsia="en-US"/>
        </w:rPr>
        <w:t>adult</w:t>
      </w:r>
      <w:r w:rsidRPr="00574B76">
        <w:rPr>
          <w:rFonts w:eastAsiaTheme="minorHAnsi"/>
          <w:sz w:val="22"/>
          <w:szCs w:val="22"/>
          <w:lang w:eastAsia="en-US"/>
        </w:rPr>
        <w:t>’ and ‘</w:t>
      </w:r>
      <w:r w:rsidRPr="00574B76">
        <w:rPr>
          <w:rFonts w:eastAsiaTheme="minorHAnsi"/>
          <w:i/>
          <w:iCs/>
          <w:sz w:val="22"/>
          <w:szCs w:val="22"/>
          <w:lang w:eastAsia="en-US"/>
        </w:rPr>
        <w:t>child</w:t>
      </w:r>
      <w:r w:rsidRPr="00574B76">
        <w:rPr>
          <w:rFonts w:eastAsiaTheme="minorHAnsi"/>
          <w:sz w:val="22"/>
          <w:szCs w:val="22"/>
          <w:lang w:eastAsia="en-US"/>
        </w:rPr>
        <w:t xml:space="preserve">’ in the </w:t>
      </w:r>
      <w:r w:rsidR="00A569F2" w:rsidRPr="00574B76">
        <w:rPr>
          <w:sz w:val="22"/>
          <w:szCs w:val="22"/>
        </w:rPr>
        <w:t>Special Arrangement</w:t>
      </w:r>
    </w:p>
    <w:p w14:paraId="1B946054" w14:textId="29C54CE4" w:rsidR="00263812" w:rsidRPr="00574B76" w:rsidRDefault="00263812" w:rsidP="00263812">
      <w:pPr>
        <w:shd w:val="clear" w:color="auto" w:fill="FFFFFF"/>
        <w:spacing w:before="120" w:after="0"/>
        <w:rPr>
          <w:color w:val="000000"/>
          <w:sz w:val="22"/>
          <w:szCs w:val="22"/>
        </w:rPr>
      </w:pPr>
      <w:r w:rsidRPr="00574B76">
        <w:rPr>
          <w:color w:val="000000"/>
          <w:sz w:val="22"/>
          <w:szCs w:val="22"/>
        </w:rPr>
        <w:t>At its August 2019 meeting, the Pharmaceutical Benefits Advisory Committee (PBAC) recommended amendments be made to the adult-use growth hormone PBS restriction criteria for patients with childhood onset growth hormone deficiency</w:t>
      </w:r>
      <w:r w:rsidRPr="00574B76">
        <w:rPr>
          <w:color w:val="000000"/>
          <w:sz w:val="22"/>
          <w:szCs w:val="22"/>
          <w:shd w:val="clear" w:color="auto" w:fill="FFFFFF"/>
        </w:rPr>
        <w:t> (</w:t>
      </w:r>
      <w:r w:rsidRPr="00574B76">
        <w:rPr>
          <w:color w:val="000000"/>
          <w:sz w:val="22"/>
          <w:szCs w:val="22"/>
        </w:rPr>
        <w:t>CO-GHD) due to a congenital, genetic or structural cause, to allow PBS-subsidised growth hormone treatment to commence from when this cohort reaches skeletal maturity rather than from the chronological age of 18 years. The PBAC noted that this would remove the potential lapse in PBS-subsidised access to growth hormone for CO-GHD patients between reaching skeletal maturity and the age of 18 years.</w:t>
      </w:r>
      <w:r w:rsidRPr="00574B76">
        <w:rPr>
          <w:sz w:val="22"/>
          <w:szCs w:val="22"/>
        </w:rPr>
        <w:t xml:space="preserve"> The broader intent of the July 2019 and August 2019 PBAC recommendations for adult severe Growth Hormone </w:t>
      </w:r>
      <w:r w:rsidR="00B11DF9" w:rsidRPr="00574B76">
        <w:rPr>
          <w:sz w:val="22"/>
          <w:szCs w:val="22"/>
        </w:rPr>
        <w:t>D</w:t>
      </w:r>
      <w:r w:rsidR="002A66E6" w:rsidRPr="00574B76">
        <w:rPr>
          <w:sz w:val="22"/>
          <w:szCs w:val="22"/>
        </w:rPr>
        <w:t xml:space="preserve">eficiency </w:t>
      </w:r>
      <w:r w:rsidRPr="00574B76">
        <w:rPr>
          <w:sz w:val="22"/>
          <w:szCs w:val="22"/>
        </w:rPr>
        <w:t xml:space="preserve">listings was to ensure that patients diagnosed with Growth Hormone deficiency in childhood (i.e., under the age of 18 years) and commenced </w:t>
      </w:r>
      <w:r w:rsidR="00F22419" w:rsidRPr="00574B76">
        <w:rPr>
          <w:sz w:val="22"/>
          <w:szCs w:val="22"/>
        </w:rPr>
        <w:t xml:space="preserve">on </w:t>
      </w:r>
      <w:r w:rsidRPr="00574B76">
        <w:rPr>
          <w:sz w:val="22"/>
          <w:szCs w:val="22"/>
        </w:rPr>
        <w:t>Growth Hormone replacement prior to the age of 18 years, but who do not have documented evidence that they meet the current diagnostic requirements of the restriction, are not disadvantaged and may continue to access Growth Hormone replacement.</w:t>
      </w:r>
    </w:p>
    <w:p w14:paraId="26403130" w14:textId="77777777" w:rsidR="00263812" w:rsidRPr="00574B76" w:rsidRDefault="00263812" w:rsidP="00263812">
      <w:pPr>
        <w:shd w:val="clear" w:color="auto" w:fill="FFFFFF"/>
        <w:spacing w:before="120" w:after="0"/>
        <w:rPr>
          <w:sz w:val="22"/>
          <w:szCs w:val="22"/>
        </w:rPr>
      </w:pPr>
      <w:r w:rsidRPr="00574B76">
        <w:rPr>
          <w:color w:val="000000"/>
          <w:sz w:val="22"/>
          <w:szCs w:val="22"/>
        </w:rPr>
        <w:t xml:space="preserve">To support the PBAC recommendation, the current definitions of ‘adult’ and ‘child’ were amended on 1 January 2020 in order to assist in determining which persons can appropriately access growth hormone as listed in either Schedule 1 or 2 to the Primary Instrument. The amended definition for ‘adult’ included </w:t>
      </w:r>
      <w:r w:rsidRPr="00574B76">
        <w:rPr>
          <w:sz w:val="22"/>
          <w:szCs w:val="22"/>
        </w:rPr>
        <w:t>‘has a diagnosis of Prader</w:t>
      </w:r>
      <w:r w:rsidRPr="00574B76">
        <w:rPr>
          <w:sz w:val="22"/>
          <w:szCs w:val="22"/>
        </w:rPr>
        <w:noBreakHyphen/>
        <w:t>Willi syndrome and is aged 18 years or older’.</w:t>
      </w:r>
    </w:p>
    <w:p w14:paraId="07ABBA89" w14:textId="77777777" w:rsidR="00263812" w:rsidRPr="00574B76" w:rsidRDefault="00263812" w:rsidP="00916F95">
      <w:pPr>
        <w:shd w:val="clear" w:color="auto" w:fill="FFFFFF"/>
        <w:spacing w:before="120" w:line="257" w:lineRule="atLeast"/>
        <w:rPr>
          <w:sz w:val="22"/>
          <w:szCs w:val="22"/>
        </w:rPr>
      </w:pPr>
      <w:r w:rsidRPr="00574B76">
        <w:rPr>
          <w:sz w:val="22"/>
          <w:szCs w:val="22"/>
        </w:rPr>
        <w:t xml:space="preserve">However, there was no PBAC recommendation from the August 2019 meeting specifically referring to patients with PWS aged 18 years or older. </w:t>
      </w:r>
    </w:p>
    <w:p w14:paraId="621FC0CE" w14:textId="628741B0" w:rsidR="00263812" w:rsidRPr="00574B76" w:rsidRDefault="00263812" w:rsidP="00263812">
      <w:pPr>
        <w:spacing w:before="120" w:after="0"/>
        <w:rPr>
          <w:sz w:val="22"/>
          <w:szCs w:val="22"/>
        </w:rPr>
      </w:pPr>
      <w:r w:rsidRPr="00574B76">
        <w:rPr>
          <w:sz w:val="22"/>
          <w:szCs w:val="22"/>
        </w:rPr>
        <w:t xml:space="preserve">This Instrument amends the </w:t>
      </w:r>
      <w:r w:rsidR="00A569F2" w:rsidRPr="00574B76">
        <w:rPr>
          <w:sz w:val="22"/>
          <w:szCs w:val="22"/>
        </w:rPr>
        <w:t>Special Arrangement</w:t>
      </w:r>
      <w:r w:rsidRPr="00574B76">
        <w:rPr>
          <w:sz w:val="22"/>
          <w:szCs w:val="22"/>
        </w:rPr>
        <w:t xml:space="preserve"> definitions of ‘</w:t>
      </w:r>
      <w:r w:rsidRPr="00574B76">
        <w:rPr>
          <w:i/>
          <w:iCs/>
          <w:sz w:val="22"/>
          <w:szCs w:val="22"/>
        </w:rPr>
        <w:t>adult</w:t>
      </w:r>
      <w:r w:rsidRPr="00574B76">
        <w:rPr>
          <w:sz w:val="22"/>
          <w:szCs w:val="22"/>
        </w:rPr>
        <w:t>’ and ‘</w:t>
      </w:r>
      <w:r w:rsidRPr="00574B76">
        <w:rPr>
          <w:i/>
          <w:iCs/>
          <w:sz w:val="22"/>
          <w:szCs w:val="22"/>
        </w:rPr>
        <w:t>child</w:t>
      </w:r>
      <w:r w:rsidRPr="00574B76">
        <w:rPr>
          <w:sz w:val="22"/>
          <w:szCs w:val="22"/>
        </w:rPr>
        <w:t>’ to better align with the intent of previous PBAC recommendations (July and August 2019).</w:t>
      </w:r>
    </w:p>
    <w:p w14:paraId="77349106" w14:textId="77777777" w:rsidR="00263812" w:rsidRPr="00574B76" w:rsidRDefault="00263812" w:rsidP="00916F95">
      <w:pPr>
        <w:pStyle w:val="ListParagraph"/>
        <w:spacing w:before="120"/>
        <w:ind w:left="0"/>
        <w:jc w:val="both"/>
        <w:rPr>
          <w:color w:val="000000"/>
          <w:sz w:val="22"/>
          <w:szCs w:val="22"/>
        </w:rPr>
      </w:pPr>
      <w:r w:rsidRPr="00574B76">
        <w:rPr>
          <w:color w:val="000000"/>
          <w:sz w:val="22"/>
          <w:szCs w:val="22"/>
        </w:rPr>
        <w:t xml:space="preserve">Similarly, references to PWS in three of the circumstance codes for severe Growth Hormone Deficiency (C13516, C13637 and C12601), are being removed (through separate amendments to the Listing Instrument also commencing 1 October 2023) in line with the relevant PBAC recommendation in August 2019 which makes no mention of PWS in the PBAC recommended listing. </w:t>
      </w:r>
    </w:p>
    <w:p w14:paraId="14967440" w14:textId="02F72ADF" w:rsidR="00263812" w:rsidRPr="00574B76" w:rsidRDefault="00263812" w:rsidP="00263812">
      <w:pPr>
        <w:pStyle w:val="ListNumber"/>
        <w:numPr>
          <w:ilvl w:val="0"/>
          <w:numId w:val="16"/>
        </w:numPr>
        <w:spacing w:before="120"/>
        <w:ind w:left="284" w:hanging="284"/>
        <w:rPr>
          <w:rFonts w:eastAsiaTheme="minorHAnsi"/>
          <w:sz w:val="22"/>
          <w:szCs w:val="22"/>
          <w:lang w:eastAsia="en-US"/>
        </w:rPr>
      </w:pPr>
      <w:r w:rsidRPr="00574B76">
        <w:rPr>
          <w:rFonts w:eastAsiaTheme="minorHAnsi"/>
          <w:sz w:val="22"/>
          <w:szCs w:val="22"/>
          <w:lang w:eastAsia="en-US"/>
        </w:rPr>
        <w:t>Definition of ‘</w:t>
      </w:r>
      <w:r w:rsidRPr="00574B76">
        <w:rPr>
          <w:rFonts w:eastAsiaTheme="minorHAnsi"/>
          <w:i/>
          <w:iCs/>
          <w:sz w:val="22"/>
          <w:szCs w:val="22"/>
          <w:lang w:eastAsia="en-US"/>
        </w:rPr>
        <w:t>CDC 2000’</w:t>
      </w:r>
      <w:r w:rsidRPr="00574B76">
        <w:rPr>
          <w:rFonts w:eastAsiaTheme="minorHAnsi"/>
          <w:sz w:val="22"/>
          <w:szCs w:val="22"/>
          <w:lang w:eastAsia="en-US"/>
        </w:rPr>
        <w:t xml:space="preserve"> in the </w:t>
      </w:r>
      <w:r w:rsidR="00916F95" w:rsidRPr="00574B76">
        <w:rPr>
          <w:sz w:val="22"/>
          <w:szCs w:val="22"/>
        </w:rPr>
        <w:t>Special Arrangement</w:t>
      </w:r>
    </w:p>
    <w:p w14:paraId="6AF670BF" w14:textId="77777777" w:rsidR="00263812" w:rsidRPr="00574B76" w:rsidRDefault="00263812" w:rsidP="00263812">
      <w:pPr>
        <w:spacing w:before="120" w:after="0"/>
        <w:rPr>
          <w:sz w:val="22"/>
          <w:szCs w:val="22"/>
        </w:rPr>
      </w:pPr>
      <w:r w:rsidRPr="00574B76">
        <w:rPr>
          <w:sz w:val="22"/>
          <w:szCs w:val="22"/>
        </w:rPr>
        <w:t xml:space="preserve">CDC 2000 is a chart used to assess what a person’s ideal body weight is. The update to this definition is to reflect the latest version of the US Growth Charts, to include the new CDC Extended BMI-for-age Growth Charts issued in December 2022. </w:t>
      </w:r>
    </w:p>
    <w:p w14:paraId="42D08BC4" w14:textId="5B3F414A" w:rsidR="005C58D3" w:rsidRPr="00574B76" w:rsidRDefault="005C58D3" w:rsidP="00AC7740">
      <w:pPr>
        <w:keepLines w:val="0"/>
        <w:spacing w:before="120" w:after="0"/>
        <w:rPr>
          <w:b/>
          <w:sz w:val="22"/>
          <w:szCs w:val="22"/>
        </w:rPr>
      </w:pPr>
      <w:r w:rsidRPr="00574B76">
        <w:rPr>
          <w:b/>
          <w:sz w:val="22"/>
          <w:szCs w:val="22"/>
        </w:rPr>
        <w:t>Consultation</w:t>
      </w:r>
    </w:p>
    <w:p w14:paraId="558EB1AD" w14:textId="6E4DBEEE" w:rsidR="00FB46DD" w:rsidRPr="00574B76" w:rsidRDefault="00FB46DD" w:rsidP="00AC7740">
      <w:pPr>
        <w:keepLines w:val="0"/>
        <w:spacing w:before="120" w:after="0"/>
        <w:rPr>
          <w:sz w:val="24"/>
          <w:szCs w:val="24"/>
        </w:rPr>
      </w:pPr>
      <w:r w:rsidRPr="00574B76">
        <w:rPr>
          <w:sz w:val="22"/>
          <w:szCs w:val="22"/>
        </w:rPr>
        <w:t>The amendments made by this Instrument accord with recommendations made by the Pharmaceutical Benefits Advisory Committee (PBAC).</w:t>
      </w:r>
      <w:r w:rsidR="00A569F2" w:rsidRPr="00574B76">
        <w:rPr>
          <w:sz w:val="22"/>
          <w:szCs w:val="22"/>
        </w:rPr>
        <w:t xml:space="preserve"> </w:t>
      </w:r>
      <w:r w:rsidR="00A569F2" w:rsidRPr="00574B76">
        <w:rPr>
          <w:color w:val="000000"/>
          <w:sz w:val="22"/>
          <w:szCs w:val="22"/>
        </w:rPr>
        <w:t>The PBAC conducted targeted consultation with members of the Endocrine Society of Australia regarding the eligibility criteria for access to growth hormone medicines for the treatment of severe growth hormone deficiency taking into consideration the impact of skeletal maturity and chronological age on access to treatment.</w:t>
      </w:r>
    </w:p>
    <w:p w14:paraId="25F459BB" w14:textId="77777777" w:rsidR="007448B7" w:rsidRPr="00574B76" w:rsidRDefault="00FB46DD" w:rsidP="00AC7740">
      <w:pPr>
        <w:keepLines w:val="0"/>
        <w:spacing w:before="120" w:after="0"/>
        <w:rPr>
          <w:sz w:val="22"/>
          <w:szCs w:val="22"/>
        </w:rPr>
      </w:pPr>
      <w:r w:rsidRPr="00574B76">
        <w:rPr>
          <w:sz w:val="22"/>
          <w:szCs w:val="22"/>
        </w:rPr>
        <w:t xml:space="preserve">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p>
    <w:p w14:paraId="4E097C1A" w14:textId="600E76E7" w:rsidR="00FB46DD" w:rsidRPr="00574B76" w:rsidRDefault="00FB46DD" w:rsidP="00AC7740">
      <w:pPr>
        <w:keepLines w:val="0"/>
        <w:spacing w:before="120" w:after="0"/>
        <w:rPr>
          <w:sz w:val="22"/>
          <w:szCs w:val="22"/>
        </w:rPr>
      </w:pPr>
      <w:r w:rsidRPr="00574B76">
        <w:rPr>
          <w:sz w:val="22"/>
          <w:szCs w:val="22"/>
        </w:rPr>
        <w:t>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Pharmaceutical Benefits Scheme (PBS), PBAC takes into account the medical conditions for which the medicine has been approved for use in Australia, its clinical effectiveness, safety and cost-effectiveness compared with other treatments.</w:t>
      </w:r>
    </w:p>
    <w:p w14:paraId="121DCBE1" w14:textId="77777777" w:rsidR="00392937" w:rsidRPr="00574B76" w:rsidRDefault="00392937">
      <w:pPr>
        <w:keepLines w:val="0"/>
        <w:spacing w:after="0"/>
        <w:jc w:val="left"/>
        <w:rPr>
          <w:b/>
          <w:sz w:val="22"/>
          <w:szCs w:val="22"/>
        </w:rPr>
      </w:pPr>
      <w:bookmarkStart w:id="0" w:name="_Hlk112391170"/>
      <w:r w:rsidRPr="00574B76">
        <w:rPr>
          <w:b/>
          <w:sz w:val="22"/>
          <w:szCs w:val="22"/>
        </w:rPr>
        <w:br w:type="page"/>
      </w:r>
    </w:p>
    <w:p w14:paraId="053CCEC3" w14:textId="64A4675A" w:rsidR="00920621" w:rsidRPr="00574B76" w:rsidRDefault="00920621" w:rsidP="00920621">
      <w:pPr>
        <w:spacing w:before="240"/>
        <w:rPr>
          <w:b/>
          <w:sz w:val="22"/>
          <w:szCs w:val="22"/>
        </w:rPr>
      </w:pPr>
      <w:r w:rsidRPr="00574B76">
        <w:rPr>
          <w:b/>
          <w:sz w:val="22"/>
          <w:szCs w:val="22"/>
        </w:rPr>
        <w:lastRenderedPageBreak/>
        <w:t>General</w:t>
      </w:r>
    </w:p>
    <w:bookmarkEnd w:id="0"/>
    <w:p w14:paraId="08D4BEA6" w14:textId="77777777" w:rsidR="00920621" w:rsidRPr="00574B76" w:rsidRDefault="00920621" w:rsidP="00920621">
      <w:pPr>
        <w:spacing w:before="120"/>
        <w:rPr>
          <w:sz w:val="22"/>
          <w:szCs w:val="22"/>
        </w:rPr>
      </w:pPr>
      <w:r w:rsidRPr="00574B76">
        <w:rPr>
          <w:sz w:val="22"/>
          <w:szCs w:val="22"/>
        </w:rPr>
        <w:t>A provision-by-provision description of this instrument is contained in the Attachment.</w:t>
      </w:r>
    </w:p>
    <w:p w14:paraId="52C16078" w14:textId="6BBA19EA" w:rsidR="00FB46DD" w:rsidRPr="00574B76" w:rsidRDefault="00FB46DD" w:rsidP="00AC7740">
      <w:pPr>
        <w:keepLines w:val="0"/>
        <w:spacing w:before="120" w:after="0"/>
        <w:rPr>
          <w:sz w:val="22"/>
          <w:szCs w:val="22"/>
        </w:rPr>
      </w:pPr>
      <w:r w:rsidRPr="00574B76">
        <w:rPr>
          <w:sz w:val="22"/>
          <w:szCs w:val="22"/>
        </w:rPr>
        <w:t xml:space="preserve">This Instrument commences on </w:t>
      </w:r>
      <w:r w:rsidR="004E6F17" w:rsidRPr="00574B76">
        <w:rPr>
          <w:sz w:val="22"/>
          <w:szCs w:val="22"/>
        </w:rPr>
        <w:t>1 October 2023</w:t>
      </w:r>
      <w:r w:rsidRPr="00574B76">
        <w:rPr>
          <w:sz w:val="22"/>
          <w:szCs w:val="22"/>
        </w:rPr>
        <w:t>.</w:t>
      </w:r>
    </w:p>
    <w:p w14:paraId="5F9EB043" w14:textId="77777777" w:rsidR="00FB46DD" w:rsidRPr="00574B76" w:rsidRDefault="00FB46DD" w:rsidP="00AC7740">
      <w:pPr>
        <w:keepLines w:val="0"/>
        <w:spacing w:before="120" w:after="0"/>
        <w:rPr>
          <w:sz w:val="22"/>
          <w:szCs w:val="22"/>
        </w:rPr>
      </w:pPr>
      <w:r w:rsidRPr="00574B76">
        <w:rPr>
          <w:sz w:val="22"/>
          <w:szCs w:val="22"/>
        </w:rPr>
        <w:t xml:space="preserve">This Instrument is a legislative instrument for the purposes of the </w:t>
      </w:r>
      <w:r w:rsidRPr="00574B76">
        <w:rPr>
          <w:i/>
          <w:sz w:val="22"/>
          <w:szCs w:val="22"/>
        </w:rPr>
        <w:t>Legislation Act 2003</w:t>
      </w:r>
      <w:r w:rsidRPr="00574B76">
        <w:rPr>
          <w:sz w:val="22"/>
          <w:szCs w:val="22"/>
        </w:rPr>
        <w:t>.</w:t>
      </w:r>
    </w:p>
    <w:p w14:paraId="65DCDDEB" w14:textId="77777777" w:rsidR="000A4B91" w:rsidRPr="00574B76" w:rsidRDefault="000A4B91" w:rsidP="00C056DF">
      <w:pPr>
        <w:keepLines w:val="0"/>
        <w:jc w:val="right"/>
        <w:rPr>
          <w:b/>
          <w:sz w:val="22"/>
          <w:szCs w:val="22"/>
        </w:rPr>
      </w:pPr>
      <w:r w:rsidRPr="00574B76">
        <w:br w:type="page"/>
      </w:r>
      <w:r w:rsidRPr="00574B76">
        <w:rPr>
          <w:b/>
          <w:sz w:val="22"/>
          <w:szCs w:val="22"/>
        </w:rPr>
        <w:lastRenderedPageBreak/>
        <w:t>ATTACHMENT</w:t>
      </w:r>
    </w:p>
    <w:p w14:paraId="653A6992" w14:textId="3A86AEE9" w:rsidR="00C056DF" w:rsidRPr="00574B76" w:rsidRDefault="00C056DF" w:rsidP="00AC7740">
      <w:pPr>
        <w:keepLines w:val="0"/>
        <w:spacing w:before="360"/>
      </w:pPr>
      <w:r w:rsidRPr="00574B76">
        <w:rPr>
          <w:b/>
          <w:sz w:val="22"/>
          <w:szCs w:val="22"/>
        </w:rPr>
        <w:t xml:space="preserve">PROVISION-BY-PROVISION DESCRIPTION OF </w:t>
      </w:r>
      <w:r w:rsidRPr="00574B76">
        <w:rPr>
          <w:b/>
          <w:i/>
          <w:sz w:val="22"/>
          <w:szCs w:val="22"/>
        </w:rPr>
        <w:t xml:space="preserve">NATIONAL HEALTH (GROWTH HORMONE PROGRAM) SPECIAL ARRANGEMENT AMENDMENT INSTRUMENT </w:t>
      </w:r>
      <w:r w:rsidR="00987F1B" w:rsidRPr="00574B76">
        <w:rPr>
          <w:b/>
          <w:i/>
          <w:sz w:val="22"/>
          <w:szCs w:val="22"/>
        </w:rPr>
        <w:t>20</w:t>
      </w:r>
      <w:r w:rsidR="00716426" w:rsidRPr="00574B76">
        <w:rPr>
          <w:b/>
          <w:i/>
          <w:sz w:val="22"/>
          <w:szCs w:val="22"/>
        </w:rPr>
        <w:t>2</w:t>
      </w:r>
      <w:r w:rsidR="0093544F" w:rsidRPr="00574B76">
        <w:rPr>
          <w:b/>
          <w:i/>
          <w:sz w:val="22"/>
          <w:szCs w:val="22"/>
        </w:rPr>
        <w:t>3</w:t>
      </w:r>
      <w:r w:rsidRPr="00574B76">
        <w:rPr>
          <w:b/>
          <w:i/>
          <w:sz w:val="22"/>
          <w:szCs w:val="22"/>
        </w:rPr>
        <w:t xml:space="preserve"> </w:t>
      </w:r>
      <w:r w:rsidR="00920621" w:rsidRPr="00574B76">
        <w:rPr>
          <w:b/>
          <w:i/>
          <w:sz w:val="22"/>
          <w:szCs w:val="22"/>
        </w:rPr>
        <w:br/>
      </w:r>
      <w:r w:rsidR="004E6F17" w:rsidRPr="00574B76">
        <w:rPr>
          <w:b/>
          <w:i/>
          <w:sz w:val="22"/>
          <w:szCs w:val="22"/>
        </w:rPr>
        <w:t>(No. 2)</w:t>
      </w:r>
    </w:p>
    <w:p w14:paraId="0CF0E0C8" w14:textId="77777777" w:rsidR="006A613A" w:rsidRPr="00574B76" w:rsidRDefault="000A4B91" w:rsidP="00AC7740">
      <w:pPr>
        <w:keepLines w:val="0"/>
        <w:spacing w:before="240" w:after="0"/>
        <w:rPr>
          <w:b/>
          <w:sz w:val="22"/>
          <w:szCs w:val="22"/>
        </w:rPr>
      </w:pPr>
      <w:r w:rsidRPr="00574B76">
        <w:rPr>
          <w:b/>
          <w:sz w:val="22"/>
          <w:szCs w:val="22"/>
        </w:rPr>
        <w:t>Section 1</w:t>
      </w:r>
      <w:r w:rsidRPr="00574B76">
        <w:rPr>
          <w:b/>
          <w:sz w:val="22"/>
          <w:szCs w:val="22"/>
        </w:rPr>
        <w:tab/>
        <w:t>Name of Instrument</w:t>
      </w:r>
    </w:p>
    <w:p w14:paraId="0FEC0ADD" w14:textId="70C27565" w:rsidR="000A4B91" w:rsidRPr="00574B76" w:rsidRDefault="000A4B91" w:rsidP="00AC7740">
      <w:pPr>
        <w:keepLines w:val="0"/>
        <w:spacing w:before="120" w:after="0"/>
        <w:rPr>
          <w:sz w:val="22"/>
          <w:szCs w:val="22"/>
        </w:rPr>
      </w:pPr>
      <w:r w:rsidRPr="00574B76">
        <w:rPr>
          <w:sz w:val="22"/>
          <w:szCs w:val="22"/>
        </w:rPr>
        <w:t xml:space="preserve">This section provides the name of this instrument </w:t>
      </w:r>
      <w:r w:rsidR="00470E6B" w:rsidRPr="00574B76">
        <w:rPr>
          <w:sz w:val="22"/>
          <w:szCs w:val="22"/>
        </w:rPr>
        <w:t>a</w:t>
      </w:r>
      <w:r w:rsidRPr="00574B76">
        <w:rPr>
          <w:sz w:val="22"/>
          <w:szCs w:val="22"/>
        </w:rPr>
        <w:t xml:space="preserve">s the </w:t>
      </w:r>
      <w:r w:rsidRPr="00574B76">
        <w:rPr>
          <w:i/>
          <w:sz w:val="22"/>
          <w:szCs w:val="22"/>
        </w:rPr>
        <w:t>National Health (</w:t>
      </w:r>
      <w:r w:rsidR="00C16CDD" w:rsidRPr="00574B76">
        <w:rPr>
          <w:i/>
          <w:sz w:val="22"/>
          <w:szCs w:val="22"/>
        </w:rPr>
        <w:t>Growth Hormone Program</w:t>
      </w:r>
      <w:r w:rsidRPr="00574B76">
        <w:rPr>
          <w:i/>
          <w:sz w:val="22"/>
          <w:szCs w:val="22"/>
        </w:rPr>
        <w:t>) Special Arrangement Amendment Instrument </w:t>
      </w:r>
      <w:r w:rsidR="00987F1B" w:rsidRPr="00574B76">
        <w:rPr>
          <w:i/>
          <w:sz w:val="22"/>
          <w:szCs w:val="22"/>
        </w:rPr>
        <w:t>20</w:t>
      </w:r>
      <w:r w:rsidR="00716426" w:rsidRPr="00574B76">
        <w:rPr>
          <w:i/>
          <w:sz w:val="22"/>
          <w:szCs w:val="22"/>
        </w:rPr>
        <w:t>2</w:t>
      </w:r>
      <w:r w:rsidR="0093544F" w:rsidRPr="00574B76">
        <w:rPr>
          <w:i/>
          <w:sz w:val="22"/>
          <w:szCs w:val="22"/>
        </w:rPr>
        <w:t>3</w:t>
      </w:r>
      <w:r w:rsidR="008A5632" w:rsidRPr="00574B76">
        <w:rPr>
          <w:i/>
          <w:sz w:val="22"/>
          <w:szCs w:val="22"/>
        </w:rPr>
        <w:t xml:space="preserve"> </w:t>
      </w:r>
      <w:r w:rsidR="004E6F17" w:rsidRPr="00574B76">
        <w:rPr>
          <w:i/>
          <w:sz w:val="22"/>
          <w:szCs w:val="22"/>
        </w:rPr>
        <w:t>(No. 2)</w:t>
      </w:r>
      <w:r w:rsidR="00E821EF" w:rsidRPr="00574B76">
        <w:rPr>
          <w:sz w:val="22"/>
          <w:szCs w:val="22"/>
        </w:rPr>
        <w:t xml:space="preserve"> and may</w:t>
      </w:r>
      <w:r w:rsidR="00825F76" w:rsidRPr="00574B76">
        <w:rPr>
          <w:sz w:val="22"/>
          <w:szCs w:val="22"/>
        </w:rPr>
        <w:t xml:space="preserve"> also be cit</w:t>
      </w:r>
      <w:r w:rsidR="004E7F32" w:rsidRPr="00574B76">
        <w:rPr>
          <w:sz w:val="22"/>
          <w:szCs w:val="22"/>
        </w:rPr>
        <w:t xml:space="preserve">ed as </w:t>
      </w:r>
      <w:r w:rsidR="004E6F17" w:rsidRPr="00574B76">
        <w:rPr>
          <w:sz w:val="22"/>
          <w:szCs w:val="22"/>
        </w:rPr>
        <w:t xml:space="preserve">PB </w:t>
      </w:r>
      <w:r w:rsidR="007544B2" w:rsidRPr="00574B76">
        <w:rPr>
          <w:sz w:val="22"/>
          <w:szCs w:val="22"/>
        </w:rPr>
        <w:t xml:space="preserve">96 </w:t>
      </w:r>
      <w:r w:rsidRPr="00574B76">
        <w:rPr>
          <w:sz w:val="22"/>
          <w:szCs w:val="22"/>
        </w:rPr>
        <w:t>of</w:t>
      </w:r>
      <w:r w:rsidR="0023508F" w:rsidRPr="00574B76">
        <w:rPr>
          <w:sz w:val="22"/>
          <w:szCs w:val="22"/>
        </w:rPr>
        <w:t> </w:t>
      </w:r>
      <w:r w:rsidR="00987F1B" w:rsidRPr="00574B76">
        <w:rPr>
          <w:sz w:val="22"/>
          <w:szCs w:val="22"/>
        </w:rPr>
        <w:t>20</w:t>
      </w:r>
      <w:r w:rsidR="00716426" w:rsidRPr="00574B76">
        <w:rPr>
          <w:sz w:val="22"/>
          <w:szCs w:val="22"/>
        </w:rPr>
        <w:t>2</w:t>
      </w:r>
      <w:r w:rsidR="0093544F" w:rsidRPr="00574B76">
        <w:rPr>
          <w:sz w:val="22"/>
          <w:szCs w:val="22"/>
        </w:rPr>
        <w:t>3</w:t>
      </w:r>
      <w:r w:rsidR="00B43430" w:rsidRPr="00574B76">
        <w:rPr>
          <w:sz w:val="22"/>
          <w:szCs w:val="22"/>
        </w:rPr>
        <w:t>.</w:t>
      </w:r>
    </w:p>
    <w:p w14:paraId="6D696838" w14:textId="77777777" w:rsidR="006A613A" w:rsidRPr="00574B76" w:rsidRDefault="000A4B91" w:rsidP="00AC7740">
      <w:pPr>
        <w:keepLines w:val="0"/>
        <w:spacing w:before="240" w:after="0"/>
        <w:rPr>
          <w:b/>
          <w:sz w:val="22"/>
          <w:szCs w:val="22"/>
        </w:rPr>
      </w:pPr>
      <w:r w:rsidRPr="00574B76">
        <w:rPr>
          <w:b/>
          <w:sz w:val="22"/>
          <w:szCs w:val="22"/>
        </w:rPr>
        <w:t>Section 2</w:t>
      </w:r>
      <w:r w:rsidRPr="00574B76">
        <w:rPr>
          <w:b/>
          <w:sz w:val="22"/>
          <w:szCs w:val="22"/>
        </w:rPr>
        <w:tab/>
        <w:t>Commencement</w:t>
      </w:r>
    </w:p>
    <w:p w14:paraId="7FD0256D" w14:textId="3C761074" w:rsidR="000A4B91" w:rsidRPr="00574B76" w:rsidRDefault="000A4B91" w:rsidP="00AC7740">
      <w:pPr>
        <w:keepLines w:val="0"/>
        <w:spacing w:before="120" w:after="0"/>
        <w:rPr>
          <w:sz w:val="22"/>
          <w:szCs w:val="22"/>
        </w:rPr>
      </w:pPr>
      <w:r w:rsidRPr="00574B76">
        <w:rPr>
          <w:sz w:val="22"/>
          <w:szCs w:val="22"/>
        </w:rPr>
        <w:t xml:space="preserve">This section provides that this instrument commences on </w:t>
      </w:r>
      <w:r w:rsidR="004E6F17" w:rsidRPr="00574B76">
        <w:rPr>
          <w:sz w:val="22"/>
          <w:szCs w:val="22"/>
        </w:rPr>
        <w:t>1 October 2023</w:t>
      </w:r>
      <w:r w:rsidR="0093544F" w:rsidRPr="00574B76">
        <w:rPr>
          <w:sz w:val="22"/>
          <w:szCs w:val="22"/>
        </w:rPr>
        <w:t>.</w:t>
      </w:r>
    </w:p>
    <w:p w14:paraId="067232BE" w14:textId="77777777" w:rsidR="00920621" w:rsidRPr="00574B76" w:rsidRDefault="00920621" w:rsidP="00D55B92">
      <w:pPr>
        <w:spacing w:before="240"/>
        <w:rPr>
          <w:b/>
        </w:rPr>
      </w:pPr>
      <w:bookmarkStart w:id="1" w:name="_Hlk112391209"/>
      <w:r w:rsidRPr="00574B76">
        <w:rPr>
          <w:b/>
          <w:sz w:val="22"/>
          <w:szCs w:val="22"/>
        </w:rPr>
        <w:t>Section 3</w:t>
      </w:r>
      <w:r w:rsidRPr="00574B76">
        <w:rPr>
          <w:b/>
          <w:sz w:val="22"/>
          <w:szCs w:val="22"/>
        </w:rPr>
        <w:tab/>
      </w:r>
      <w:bookmarkStart w:id="2" w:name="_Hlk79566847"/>
      <w:r w:rsidRPr="00574B76">
        <w:rPr>
          <w:b/>
          <w:sz w:val="22"/>
          <w:szCs w:val="22"/>
        </w:rPr>
        <w:t>Authority</w:t>
      </w:r>
      <w:bookmarkEnd w:id="2"/>
    </w:p>
    <w:p w14:paraId="66116329" w14:textId="77777777" w:rsidR="00920621" w:rsidRPr="00574B76" w:rsidRDefault="00920621" w:rsidP="00920621">
      <w:pPr>
        <w:spacing w:before="120"/>
        <w:rPr>
          <w:b/>
          <w:sz w:val="22"/>
          <w:szCs w:val="22"/>
        </w:rPr>
      </w:pPr>
      <w:bookmarkStart w:id="3" w:name="_Hlk79566839"/>
      <w:r w:rsidRPr="00574B76">
        <w:rPr>
          <w:color w:val="000000"/>
          <w:sz w:val="22"/>
          <w:szCs w:val="19"/>
        </w:rPr>
        <w:t xml:space="preserve">This section states that this instrument is made under </w:t>
      </w:r>
      <w:r w:rsidRPr="00574B76">
        <w:rPr>
          <w:sz w:val="22"/>
          <w:szCs w:val="22"/>
        </w:rPr>
        <w:t xml:space="preserve">subsection 100(2) </w:t>
      </w:r>
      <w:r w:rsidRPr="00574B76">
        <w:rPr>
          <w:color w:val="000000"/>
          <w:sz w:val="22"/>
          <w:szCs w:val="19"/>
        </w:rPr>
        <w:t xml:space="preserve">of the </w:t>
      </w:r>
      <w:r w:rsidRPr="00574B76">
        <w:rPr>
          <w:i/>
          <w:iCs/>
          <w:color w:val="000000"/>
          <w:sz w:val="22"/>
          <w:szCs w:val="19"/>
        </w:rPr>
        <w:t xml:space="preserve">National Health </w:t>
      </w:r>
      <w:r w:rsidRPr="00574B76">
        <w:rPr>
          <w:i/>
          <w:iCs/>
          <w:color w:val="000000"/>
          <w:sz w:val="22"/>
          <w:szCs w:val="19"/>
        </w:rPr>
        <w:br/>
        <w:t>Act 1953</w:t>
      </w:r>
      <w:r w:rsidRPr="00574B76">
        <w:rPr>
          <w:color w:val="000000"/>
          <w:sz w:val="22"/>
          <w:szCs w:val="19"/>
        </w:rPr>
        <w:t>.</w:t>
      </w:r>
    </w:p>
    <w:bookmarkEnd w:id="3"/>
    <w:p w14:paraId="44160851" w14:textId="77777777" w:rsidR="00920621" w:rsidRPr="00574B76" w:rsidRDefault="00920621" w:rsidP="00920621">
      <w:pPr>
        <w:spacing w:before="240"/>
        <w:ind w:left="720" w:hanging="720"/>
        <w:rPr>
          <w:b/>
          <w:bCs/>
          <w:sz w:val="22"/>
          <w:szCs w:val="22"/>
        </w:rPr>
      </w:pPr>
      <w:r w:rsidRPr="00574B76">
        <w:rPr>
          <w:b/>
          <w:sz w:val="22"/>
          <w:szCs w:val="22"/>
        </w:rPr>
        <w:t xml:space="preserve">Section 4 </w:t>
      </w:r>
      <w:r w:rsidRPr="00574B76">
        <w:rPr>
          <w:b/>
          <w:sz w:val="22"/>
          <w:szCs w:val="22"/>
        </w:rPr>
        <w:tab/>
      </w:r>
      <w:r w:rsidRPr="00574B76">
        <w:rPr>
          <w:b/>
          <w:bCs/>
          <w:sz w:val="22"/>
          <w:szCs w:val="22"/>
        </w:rPr>
        <w:t>Schedules</w:t>
      </w:r>
    </w:p>
    <w:p w14:paraId="1C49DEE6" w14:textId="77777777" w:rsidR="00920621" w:rsidRPr="00574B76" w:rsidRDefault="00920621" w:rsidP="00920621">
      <w:pPr>
        <w:spacing w:before="120"/>
        <w:rPr>
          <w:sz w:val="22"/>
          <w:szCs w:val="22"/>
        </w:rPr>
      </w:pPr>
      <w:r w:rsidRPr="00574B76">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1"/>
    <w:p w14:paraId="06209705" w14:textId="77777777" w:rsidR="0027467B" w:rsidRPr="00574B76" w:rsidRDefault="00E73165" w:rsidP="00AC7740">
      <w:pPr>
        <w:keepLines w:val="0"/>
        <w:spacing w:before="240" w:after="0"/>
        <w:rPr>
          <w:b/>
          <w:sz w:val="22"/>
          <w:szCs w:val="22"/>
        </w:rPr>
      </w:pPr>
      <w:r w:rsidRPr="00574B76">
        <w:rPr>
          <w:b/>
          <w:sz w:val="22"/>
          <w:szCs w:val="22"/>
        </w:rPr>
        <w:t>Schedule</w:t>
      </w:r>
      <w:r w:rsidRPr="00574B76">
        <w:rPr>
          <w:b/>
          <w:sz w:val="22"/>
          <w:szCs w:val="22"/>
        </w:rPr>
        <w:tab/>
      </w:r>
      <w:r w:rsidR="006A613A" w:rsidRPr="00574B76">
        <w:rPr>
          <w:b/>
          <w:sz w:val="22"/>
          <w:szCs w:val="22"/>
        </w:rPr>
        <w:t>Amendments</w:t>
      </w:r>
    </w:p>
    <w:p w14:paraId="2B4E5EC7" w14:textId="657C537B" w:rsidR="00E821EF" w:rsidRPr="00574B76" w:rsidRDefault="00E821EF" w:rsidP="00E821EF">
      <w:pPr>
        <w:keepLines w:val="0"/>
        <w:spacing w:before="120" w:after="0"/>
        <w:rPr>
          <w:sz w:val="22"/>
          <w:szCs w:val="22"/>
        </w:rPr>
      </w:pPr>
      <w:r w:rsidRPr="00574B76">
        <w:rPr>
          <w:sz w:val="22"/>
          <w:szCs w:val="22"/>
        </w:rPr>
        <w:t>The amendment</w:t>
      </w:r>
      <w:r w:rsidR="002807D8" w:rsidRPr="00574B76">
        <w:rPr>
          <w:sz w:val="22"/>
          <w:szCs w:val="22"/>
        </w:rPr>
        <w:t>s</w:t>
      </w:r>
      <w:r w:rsidRPr="00574B76">
        <w:rPr>
          <w:sz w:val="22"/>
          <w:szCs w:val="22"/>
        </w:rPr>
        <w:t xml:space="preserve"> in Schedule 1 </w:t>
      </w:r>
      <w:r w:rsidR="00B96A28" w:rsidRPr="00574B76">
        <w:rPr>
          <w:sz w:val="22"/>
          <w:szCs w:val="22"/>
        </w:rPr>
        <w:t>involve</w:t>
      </w:r>
      <w:r w:rsidR="002807D8" w:rsidRPr="00574B76">
        <w:rPr>
          <w:sz w:val="22"/>
          <w:szCs w:val="22"/>
        </w:rPr>
        <w:t xml:space="preserve"> </w:t>
      </w:r>
      <w:r w:rsidR="00163139" w:rsidRPr="00574B76">
        <w:rPr>
          <w:sz w:val="22"/>
          <w:szCs w:val="22"/>
        </w:rPr>
        <w:t xml:space="preserve">changes to </w:t>
      </w:r>
      <w:r w:rsidR="00FE42A6" w:rsidRPr="00574B76">
        <w:rPr>
          <w:sz w:val="22"/>
          <w:szCs w:val="22"/>
        </w:rPr>
        <w:t xml:space="preserve">the </w:t>
      </w:r>
      <w:r w:rsidR="004E6F17" w:rsidRPr="00574B76">
        <w:rPr>
          <w:sz w:val="22"/>
          <w:szCs w:val="22"/>
        </w:rPr>
        <w:t>definition</w:t>
      </w:r>
      <w:r w:rsidR="002807D8" w:rsidRPr="00574B76">
        <w:rPr>
          <w:sz w:val="22"/>
          <w:szCs w:val="22"/>
        </w:rPr>
        <w:t xml:space="preserve">s </w:t>
      </w:r>
      <w:r w:rsidR="00FE42A6" w:rsidRPr="00574B76">
        <w:rPr>
          <w:sz w:val="22"/>
          <w:szCs w:val="22"/>
        </w:rPr>
        <w:t xml:space="preserve">for </w:t>
      </w:r>
      <w:r w:rsidR="00E26F34" w:rsidRPr="00574B76">
        <w:rPr>
          <w:sz w:val="22"/>
          <w:szCs w:val="22"/>
        </w:rPr>
        <w:t>“</w:t>
      </w:r>
      <w:r w:rsidR="004E6F17" w:rsidRPr="00574B76">
        <w:rPr>
          <w:sz w:val="22"/>
          <w:szCs w:val="22"/>
        </w:rPr>
        <w:t>adult</w:t>
      </w:r>
      <w:r w:rsidR="00E26F34" w:rsidRPr="00574B76">
        <w:rPr>
          <w:sz w:val="22"/>
          <w:szCs w:val="22"/>
        </w:rPr>
        <w:t>”</w:t>
      </w:r>
      <w:r w:rsidR="002807D8" w:rsidRPr="00574B76">
        <w:rPr>
          <w:sz w:val="22"/>
          <w:szCs w:val="22"/>
        </w:rPr>
        <w:t xml:space="preserve">, </w:t>
      </w:r>
      <w:r w:rsidR="00E26F34" w:rsidRPr="00574B76">
        <w:rPr>
          <w:sz w:val="22"/>
          <w:szCs w:val="22"/>
        </w:rPr>
        <w:t>“</w:t>
      </w:r>
      <w:r w:rsidR="002807D8" w:rsidRPr="00574B76">
        <w:rPr>
          <w:sz w:val="22"/>
          <w:szCs w:val="22"/>
        </w:rPr>
        <w:t>CDC 2000</w:t>
      </w:r>
      <w:r w:rsidR="00E26F34" w:rsidRPr="00574B76">
        <w:rPr>
          <w:sz w:val="22"/>
          <w:szCs w:val="22"/>
        </w:rPr>
        <w:t>”</w:t>
      </w:r>
      <w:r w:rsidR="002807D8" w:rsidRPr="00574B76">
        <w:rPr>
          <w:sz w:val="22"/>
          <w:szCs w:val="22"/>
        </w:rPr>
        <w:t xml:space="preserve"> and </w:t>
      </w:r>
      <w:r w:rsidR="00E26F34" w:rsidRPr="00574B76">
        <w:rPr>
          <w:sz w:val="22"/>
          <w:szCs w:val="22"/>
        </w:rPr>
        <w:t>“</w:t>
      </w:r>
      <w:r w:rsidR="002807D8" w:rsidRPr="00574B76">
        <w:rPr>
          <w:sz w:val="22"/>
          <w:szCs w:val="22"/>
        </w:rPr>
        <w:t>child</w:t>
      </w:r>
      <w:r w:rsidR="00E26F34" w:rsidRPr="00574B76">
        <w:rPr>
          <w:sz w:val="22"/>
          <w:szCs w:val="22"/>
        </w:rPr>
        <w:t>”</w:t>
      </w:r>
      <w:r w:rsidRPr="00574B76">
        <w:rPr>
          <w:sz w:val="22"/>
          <w:szCs w:val="22"/>
        </w:rPr>
        <w:t>. Th</w:t>
      </w:r>
      <w:r w:rsidR="002807D8" w:rsidRPr="00574B76">
        <w:rPr>
          <w:sz w:val="22"/>
          <w:szCs w:val="22"/>
        </w:rPr>
        <w:t xml:space="preserve">ese </w:t>
      </w:r>
      <w:r w:rsidRPr="00574B76">
        <w:rPr>
          <w:sz w:val="22"/>
          <w:szCs w:val="22"/>
        </w:rPr>
        <w:t>change</w:t>
      </w:r>
      <w:r w:rsidR="002807D8" w:rsidRPr="00574B76">
        <w:rPr>
          <w:sz w:val="22"/>
          <w:szCs w:val="22"/>
        </w:rPr>
        <w:t xml:space="preserve">s are </w:t>
      </w:r>
      <w:r w:rsidRPr="00574B76">
        <w:rPr>
          <w:sz w:val="22"/>
          <w:szCs w:val="22"/>
        </w:rPr>
        <w:t>summarised below.</w:t>
      </w:r>
    </w:p>
    <w:p w14:paraId="4B9564B5" w14:textId="27F2FFD9" w:rsidR="00125A7F" w:rsidRPr="00574B76" w:rsidRDefault="00125A7F" w:rsidP="00B11162">
      <w:pPr>
        <w:keepLines w:val="0"/>
        <w:spacing w:before="240" w:after="0"/>
        <w:jc w:val="center"/>
        <w:rPr>
          <w:b/>
          <w:sz w:val="22"/>
          <w:szCs w:val="22"/>
        </w:rPr>
      </w:pPr>
      <w:r w:rsidRPr="00574B76">
        <w:rPr>
          <w:b/>
          <w:sz w:val="22"/>
          <w:szCs w:val="22"/>
        </w:rPr>
        <w:t>SUMMARY OF CHANGES</w:t>
      </w:r>
      <w:r w:rsidR="00712472" w:rsidRPr="00574B76">
        <w:rPr>
          <w:b/>
          <w:sz w:val="22"/>
          <w:szCs w:val="22"/>
        </w:rPr>
        <w:t xml:space="preserve"> TO THE </w:t>
      </w:r>
      <w:r w:rsidR="00712472" w:rsidRPr="00574B76">
        <w:rPr>
          <w:b/>
          <w:i/>
          <w:sz w:val="22"/>
          <w:szCs w:val="22"/>
        </w:rPr>
        <w:t>NATIONAL HEALTH (GROWTH HORMONE PROGRAM) SPECIAL ARRANGEMENT 2015</w:t>
      </w:r>
      <w:r w:rsidR="00712472" w:rsidRPr="00574B76">
        <w:rPr>
          <w:b/>
          <w:sz w:val="22"/>
          <w:szCs w:val="22"/>
        </w:rPr>
        <w:t xml:space="preserve"> MADE BY THIS INSTRUMENT</w:t>
      </w:r>
    </w:p>
    <w:p w14:paraId="4CA16DBA" w14:textId="65A94D74" w:rsidR="00394EAF" w:rsidRPr="00574B76" w:rsidRDefault="00394EAF" w:rsidP="00916F95">
      <w:pPr>
        <w:spacing w:before="240" w:after="0"/>
        <w:rPr>
          <w:sz w:val="22"/>
          <w:szCs w:val="22"/>
        </w:rPr>
      </w:pPr>
      <w:r w:rsidRPr="00574B76">
        <w:rPr>
          <w:sz w:val="22"/>
          <w:szCs w:val="22"/>
        </w:rPr>
        <w:t>Items 1- 3 – Subsection 4(1) Definitions</w:t>
      </w:r>
    </w:p>
    <w:p w14:paraId="67FB53FB" w14:textId="36C8E13E" w:rsidR="00394EAF" w:rsidRPr="00574B76" w:rsidRDefault="00394EAF" w:rsidP="00916F95">
      <w:pPr>
        <w:pStyle w:val="CommentText"/>
        <w:spacing w:before="120" w:after="0"/>
        <w:rPr>
          <w:color w:val="FF0000"/>
          <w:sz w:val="22"/>
          <w:szCs w:val="22"/>
        </w:rPr>
      </w:pPr>
      <w:r w:rsidRPr="00574B76">
        <w:rPr>
          <w:color w:val="000000"/>
          <w:sz w:val="22"/>
          <w:szCs w:val="22"/>
        </w:rPr>
        <w:t>A number of expressions used in the Special Arrangement are defined in Part 1 to assist in the interpretation of provisions. These include the definitions of “adult” and “child” in order to assist in determining which persons can access the appropriate growth hormone listed in either Schedule 1 or 2 to the Special Arrangement.</w:t>
      </w:r>
    </w:p>
    <w:p w14:paraId="2FD1B51A" w14:textId="21544F46" w:rsidR="00394EAF" w:rsidRPr="00574B76" w:rsidRDefault="00394EAF" w:rsidP="00603031">
      <w:pPr>
        <w:shd w:val="clear" w:color="auto" w:fill="FFFFFF"/>
        <w:spacing w:before="220" w:after="0"/>
        <w:rPr>
          <w:color w:val="000000"/>
          <w:sz w:val="22"/>
          <w:szCs w:val="22"/>
        </w:rPr>
      </w:pPr>
      <w:r w:rsidRPr="00574B76">
        <w:rPr>
          <w:color w:val="000000"/>
          <w:sz w:val="22"/>
          <w:szCs w:val="22"/>
        </w:rPr>
        <w:t>Items 1 &amp; 3 repeal and substitute the definitions of </w:t>
      </w:r>
      <w:r w:rsidRPr="00574B76">
        <w:rPr>
          <w:i/>
          <w:iCs/>
          <w:color w:val="000000"/>
          <w:sz w:val="22"/>
          <w:szCs w:val="22"/>
        </w:rPr>
        <w:t xml:space="preserve">adult </w:t>
      </w:r>
      <w:r w:rsidRPr="00574B76">
        <w:rPr>
          <w:color w:val="000000"/>
          <w:sz w:val="22"/>
          <w:szCs w:val="22"/>
        </w:rPr>
        <w:t xml:space="preserve">and </w:t>
      </w:r>
      <w:r w:rsidRPr="00574B76">
        <w:rPr>
          <w:i/>
          <w:iCs/>
          <w:color w:val="000000"/>
          <w:sz w:val="22"/>
          <w:szCs w:val="22"/>
        </w:rPr>
        <w:t>child</w:t>
      </w:r>
      <w:r w:rsidRPr="00574B76">
        <w:rPr>
          <w:color w:val="000000"/>
          <w:sz w:val="22"/>
          <w:szCs w:val="22"/>
        </w:rPr>
        <w:t xml:space="preserve"> to</w:t>
      </w:r>
      <w:r w:rsidRPr="00574B76">
        <w:rPr>
          <w:b/>
          <w:bCs/>
          <w:color w:val="000000"/>
          <w:sz w:val="22"/>
          <w:szCs w:val="22"/>
        </w:rPr>
        <w:t xml:space="preserve"> </w:t>
      </w:r>
      <w:r w:rsidRPr="00574B76">
        <w:rPr>
          <w:color w:val="000000"/>
          <w:sz w:val="22"/>
          <w:szCs w:val="22"/>
        </w:rPr>
        <w:t>remove the specific reference to Prader</w:t>
      </w:r>
      <w:r w:rsidR="00AF3F6F" w:rsidRPr="00574B76">
        <w:rPr>
          <w:b/>
          <w:bCs/>
          <w:color w:val="000000"/>
          <w:sz w:val="22"/>
          <w:szCs w:val="22"/>
        </w:rPr>
        <w:t>-</w:t>
      </w:r>
      <w:r w:rsidRPr="00574B76">
        <w:rPr>
          <w:color w:val="000000"/>
          <w:sz w:val="22"/>
          <w:szCs w:val="22"/>
        </w:rPr>
        <w:t>Willi Syndrome (</w:t>
      </w:r>
      <w:r w:rsidRPr="00574B76">
        <w:rPr>
          <w:b/>
          <w:bCs/>
          <w:color w:val="000000"/>
          <w:sz w:val="22"/>
          <w:szCs w:val="22"/>
        </w:rPr>
        <w:t>PWS</w:t>
      </w:r>
      <w:r w:rsidRPr="00574B76">
        <w:rPr>
          <w:color w:val="000000"/>
          <w:sz w:val="22"/>
          <w:szCs w:val="22"/>
        </w:rPr>
        <w:t xml:space="preserve">) in patients aged 18 years or older, consistent with the Pharmaceutical Benefits Advisory Committee recommendations </w:t>
      </w:r>
      <w:r w:rsidRPr="00574B76">
        <w:rPr>
          <w:sz w:val="22"/>
          <w:szCs w:val="22"/>
        </w:rPr>
        <w:t>which do not specifically refer to patients with PWS aged 18 years or older</w:t>
      </w:r>
      <w:r w:rsidRPr="00574B76">
        <w:rPr>
          <w:color w:val="000000"/>
          <w:sz w:val="22"/>
          <w:szCs w:val="22"/>
        </w:rPr>
        <w:t xml:space="preserve">. </w:t>
      </w:r>
      <w:r w:rsidR="00B96179" w:rsidRPr="00574B76">
        <w:rPr>
          <w:color w:val="000000"/>
          <w:sz w:val="22"/>
          <w:szCs w:val="22"/>
        </w:rPr>
        <w:t>The new definitions are:</w:t>
      </w:r>
    </w:p>
    <w:p w14:paraId="1B1D7606" w14:textId="496F5034" w:rsidR="00394EAF" w:rsidRPr="00574B76" w:rsidRDefault="00394EAF" w:rsidP="00394EAF">
      <w:pPr>
        <w:shd w:val="clear" w:color="auto" w:fill="FFFFFF"/>
        <w:spacing w:before="80" w:after="0"/>
        <w:ind w:left="1440"/>
        <w:rPr>
          <w:color w:val="000000"/>
        </w:rPr>
      </w:pPr>
      <w:r w:rsidRPr="00574B76">
        <w:rPr>
          <w:b/>
          <w:bCs/>
          <w:i/>
          <w:iCs/>
          <w:color w:val="000000"/>
        </w:rPr>
        <w:t>adult</w:t>
      </w:r>
      <w:r w:rsidRPr="00574B76">
        <w:rPr>
          <w:color w:val="000000"/>
        </w:rPr>
        <w:t> means a person, who:</w:t>
      </w:r>
    </w:p>
    <w:p w14:paraId="544573E8" w14:textId="77777777" w:rsidR="00394EAF" w:rsidRPr="00574B76" w:rsidRDefault="00394EAF" w:rsidP="00297F43">
      <w:pPr>
        <w:shd w:val="clear" w:color="auto" w:fill="FFFFFF"/>
        <w:spacing w:after="0"/>
        <w:ind w:left="2001" w:hanging="357"/>
        <w:rPr>
          <w:color w:val="000000"/>
          <w:sz w:val="24"/>
          <w:szCs w:val="24"/>
        </w:rPr>
      </w:pPr>
      <w:r w:rsidRPr="00574B76">
        <w:rPr>
          <w:color w:val="000000"/>
        </w:rPr>
        <w:t>(a)</w:t>
      </w:r>
      <w:r w:rsidRPr="00574B76">
        <w:rPr>
          <w:color w:val="000000"/>
          <w:sz w:val="14"/>
          <w:szCs w:val="14"/>
        </w:rPr>
        <w:t>   </w:t>
      </w:r>
      <w:r w:rsidRPr="00574B76">
        <w:rPr>
          <w:color w:val="000000"/>
        </w:rPr>
        <w:t>is not a child; or</w:t>
      </w:r>
    </w:p>
    <w:p w14:paraId="077C802C" w14:textId="08171755" w:rsidR="00394EAF" w:rsidRPr="00574B76" w:rsidRDefault="00394EAF" w:rsidP="00394EAF">
      <w:pPr>
        <w:shd w:val="clear" w:color="auto" w:fill="FFFFFF"/>
        <w:spacing w:after="0"/>
        <w:ind w:left="2007" w:hanging="360"/>
        <w:rPr>
          <w:color w:val="000000"/>
          <w:sz w:val="24"/>
          <w:szCs w:val="24"/>
        </w:rPr>
      </w:pPr>
      <w:r w:rsidRPr="00574B76">
        <w:rPr>
          <w:color w:val="000000"/>
        </w:rPr>
        <w:t>(b)</w:t>
      </w:r>
      <w:r w:rsidR="00BC2259" w:rsidRPr="00574B76">
        <w:rPr>
          <w:color w:val="000000"/>
          <w:sz w:val="14"/>
          <w:szCs w:val="14"/>
        </w:rPr>
        <w:t>   </w:t>
      </w:r>
      <w:r w:rsidRPr="00574B76">
        <w:rPr>
          <w:color w:val="000000"/>
        </w:rPr>
        <w:t>is 18 years of age or older and has late onset growth hormone deficiency</w:t>
      </w:r>
      <w:r w:rsidRPr="00574B76">
        <w:rPr>
          <w:color w:val="000000"/>
          <w:sz w:val="14"/>
          <w:szCs w:val="14"/>
        </w:rPr>
        <w:t>.</w:t>
      </w:r>
    </w:p>
    <w:p w14:paraId="4E4DD93F" w14:textId="06E98D75" w:rsidR="00394EAF" w:rsidRPr="00574B76" w:rsidRDefault="00394EAF" w:rsidP="00394EAF">
      <w:pPr>
        <w:shd w:val="clear" w:color="auto" w:fill="FFFFFF"/>
        <w:spacing w:before="80" w:after="0"/>
        <w:ind w:left="1440"/>
        <w:rPr>
          <w:color w:val="000000"/>
        </w:rPr>
      </w:pPr>
      <w:r w:rsidRPr="00574B76">
        <w:rPr>
          <w:b/>
          <w:bCs/>
          <w:i/>
          <w:iCs/>
          <w:color w:val="000000"/>
        </w:rPr>
        <w:t>child</w:t>
      </w:r>
      <w:r w:rsidRPr="00574B76">
        <w:rPr>
          <w:color w:val="000000"/>
        </w:rPr>
        <w:t> means a person, who:</w:t>
      </w:r>
    </w:p>
    <w:p w14:paraId="1B9427BF" w14:textId="77777777" w:rsidR="00394EAF" w:rsidRPr="00574B76" w:rsidRDefault="00394EAF" w:rsidP="00297F43">
      <w:pPr>
        <w:shd w:val="clear" w:color="auto" w:fill="FFFFFF"/>
        <w:spacing w:after="0"/>
        <w:ind w:left="2007" w:hanging="360"/>
        <w:rPr>
          <w:color w:val="000000"/>
        </w:rPr>
      </w:pPr>
      <w:r w:rsidRPr="00574B76">
        <w:rPr>
          <w:color w:val="000000"/>
        </w:rPr>
        <w:t>(a)</w:t>
      </w:r>
      <w:r w:rsidRPr="00574B76">
        <w:rPr>
          <w:color w:val="000000"/>
          <w:sz w:val="14"/>
          <w:szCs w:val="14"/>
        </w:rPr>
        <w:t>   </w:t>
      </w:r>
      <w:r w:rsidRPr="00574B76">
        <w:rPr>
          <w:color w:val="000000"/>
        </w:rPr>
        <w:t>has a non-mature skeleton; or</w:t>
      </w:r>
    </w:p>
    <w:p w14:paraId="1DC58668" w14:textId="58D410B5" w:rsidR="00394EAF" w:rsidRPr="00574B76" w:rsidRDefault="00394EAF" w:rsidP="00297F43">
      <w:pPr>
        <w:shd w:val="clear" w:color="auto" w:fill="FFFFFF"/>
        <w:spacing w:after="0"/>
        <w:ind w:left="2007" w:hanging="360"/>
        <w:rPr>
          <w:color w:val="000000"/>
        </w:rPr>
      </w:pPr>
      <w:r w:rsidRPr="00574B76">
        <w:rPr>
          <w:color w:val="000000"/>
        </w:rPr>
        <w:t>(b)</w:t>
      </w:r>
      <w:r w:rsidR="00BC2259" w:rsidRPr="00574B76">
        <w:rPr>
          <w:color w:val="000000"/>
          <w:sz w:val="14"/>
          <w:szCs w:val="14"/>
        </w:rPr>
        <w:t>   </w:t>
      </w:r>
      <w:r w:rsidRPr="00574B76">
        <w:rPr>
          <w:color w:val="000000"/>
        </w:rPr>
        <w:t>has a diagnosis of Prader-Willi syndrome, with a mature skeleton and is less than 18 years of age.</w:t>
      </w:r>
    </w:p>
    <w:p w14:paraId="6AC1C5C5" w14:textId="77777777" w:rsidR="00394EAF" w:rsidRPr="00574B76" w:rsidRDefault="00394EAF">
      <w:pPr>
        <w:keepLines w:val="0"/>
        <w:spacing w:after="0"/>
        <w:jc w:val="left"/>
        <w:rPr>
          <w:sz w:val="24"/>
          <w:szCs w:val="24"/>
        </w:rPr>
      </w:pPr>
      <w:r w:rsidRPr="00574B76">
        <w:rPr>
          <w:sz w:val="24"/>
          <w:szCs w:val="24"/>
        </w:rPr>
        <w:br w:type="page"/>
      </w:r>
    </w:p>
    <w:p w14:paraId="580EAFEE" w14:textId="68208B7E" w:rsidR="00394EAF" w:rsidRPr="00574B76" w:rsidRDefault="00394EAF" w:rsidP="00394EAF">
      <w:pPr>
        <w:rPr>
          <w:sz w:val="22"/>
          <w:szCs w:val="22"/>
        </w:rPr>
      </w:pPr>
      <w:r w:rsidRPr="00574B76">
        <w:rPr>
          <w:sz w:val="22"/>
          <w:szCs w:val="22"/>
        </w:rPr>
        <w:lastRenderedPageBreak/>
        <w:t>Item 2 – Subsection 4(1) Definitions</w:t>
      </w:r>
    </w:p>
    <w:p w14:paraId="46801008" w14:textId="77777777" w:rsidR="00394EAF" w:rsidRPr="00574B76" w:rsidRDefault="00394EAF" w:rsidP="00603031">
      <w:pPr>
        <w:shd w:val="clear" w:color="auto" w:fill="FFFFFF"/>
        <w:spacing w:before="120" w:after="0"/>
        <w:rPr>
          <w:color w:val="000000"/>
          <w:sz w:val="22"/>
          <w:szCs w:val="22"/>
        </w:rPr>
      </w:pPr>
      <w:r w:rsidRPr="00574B76">
        <w:rPr>
          <w:color w:val="000000"/>
          <w:sz w:val="22"/>
          <w:szCs w:val="22"/>
        </w:rPr>
        <w:t>Item 3 repeals and substitutes the definition of </w:t>
      </w:r>
      <w:r w:rsidRPr="00574B76">
        <w:rPr>
          <w:i/>
          <w:iCs/>
          <w:color w:val="000000"/>
          <w:sz w:val="22"/>
          <w:szCs w:val="22"/>
        </w:rPr>
        <w:t>CDC 2000</w:t>
      </w:r>
      <w:r w:rsidRPr="00574B76">
        <w:rPr>
          <w:color w:val="000000"/>
          <w:sz w:val="22"/>
          <w:szCs w:val="22"/>
        </w:rPr>
        <w:t xml:space="preserve"> to include the new ‘CDC Extended BMI-for-age Growth Charts’ published in December 2022, and to indicate where the document can be obtained. The new definition is: </w:t>
      </w:r>
    </w:p>
    <w:p w14:paraId="304DF4DC" w14:textId="39F3E331" w:rsidR="00394EAF" w:rsidRPr="00574B76" w:rsidRDefault="00394EAF" w:rsidP="00394EAF">
      <w:pPr>
        <w:keepLines w:val="0"/>
        <w:spacing w:before="120" w:after="0"/>
        <w:ind w:left="709"/>
        <w:jc w:val="left"/>
        <w:rPr>
          <w:b/>
          <w:sz w:val="22"/>
          <w:szCs w:val="22"/>
        </w:rPr>
      </w:pPr>
      <w:r w:rsidRPr="00574B76">
        <w:rPr>
          <w:b/>
          <w:bCs/>
          <w:i/>
          <w:iCs/>
          <w:color w:val="000000"/>
          <w:shd w:val="clear" w:color="auto" w:fill="FFFFFF"/>
        </w:rPr>
        <w:t>CDC 2000 </w:t>
      </w:r>
      <w:r w:rsidRPr="00574B76">
        <w:rPr>
          <w:color w:val="000000"/>
          <w:shd w:val="clear" w:color="auto" w:fill="FFFFFF"/>
        </w:rPr>
        <w:t>means the growth charts in the document entitled </w:t>
      </w:r>
      <w:r w:rsidRPr="00574B76">
        <w:rPr>
          <w:i/>
          <w:iCs/>
          <w:color w:val="000000"/>
          <w:shd w:val="clear" w:color="auto" w:fill="FFFFFF"/>
        </w:rPr>
        <w:t xml:space="preserve">2000 CDC Growth Charts for the United States: Methods and Development </w:t>
      </w:r>
      <w:r w:rsidRPr="00574B76">
        <w:rPr>
          <w:color w:val="000000"/>
          <w:shd w:val="clear" w:color="auto" w:fill="FFFFFF"/>
        </w:rPr>
        <w:t xml:space="preserve">dated May 2002 and </w:t>
      </w:r>
      <w:r w:rsidRPr="00574B76">
        <w:rPr>
          <w:i/>
          <w:iCs/>
          <w:color w:val="000000"/>
          <w:shd w:val="clear" w:color="auto" w:fill="FFFFFF"/>
        </w:rPr>
        <w:t xml:space="preserve">CDC Extended BMI-for-Age Growth Charts </w:t>
      </w:r>
      <w:r w:rsidRPr="00574B76">
        <w:rPr>
          <w:color w:val="000000"/>
          <w:shd w:val="clear" w:color="auto" w:fill="FFFFFF"/>
        </w:rPr>
        <w:t>dated December 2022</w:t>
      </w:r>
      <w:r w:rsidRPr="00574B76">
        <w:rPr>
          <w:i/>
          <w:iCs/>
          <w:color w:val="000000"/>
          <w:shd w:val="clear" w:color="auto" w:fill="FFFFFF"/>
        </w:rPr>
        <w:t>, </w:t>
      </w:r>
      <w:r w:rsidRPr="00574B76">
        <w:rPr>
          <w:color w:val="000000"/>
          <w:shd w:val="clear" w:color="auto" w:fill="FFFFFF"/>
        </w:rPr>
        <w:t>published by the Centers for Disease Control and Prevention, US Department of Health and Human Services and available on that Department’s website at</w:t>
      </w:r>
      <w:r w:rsidRPr="00574B76">
        <w:rPr>
          <w:rFonts w:cstheme="minorHAnsi"/>
          <w:color w:val="000000"/>
          <w:shd w:val="clear" w:color="auto" w:fill="FFFFFF"/>
        </w:rPr>
        <w:t xml:space="preserve"> </w:t>
      </w:r>
      <w:hyperlink r:id="rId9" w:history="1">
        <w:r w:rsidRPr="00574B76">
          <w:rPr>
            <w:rStyle w:val="Hyperlink"/>
            <w:u w:val="none"/>
            <w:shd w:val="clear" w:color="auto" w:fill="FFFFFF"/>
          </w:rPr>
          <w:t>http://www.cdc.gov/GROWTHcharts</w:t>
        </w:r>
      </w:hyperlink>
    </w:p>
    <w:p w14:paraId="201E6844" w14:textId="77777777" w:rsidR="00F778AD" w:rsidRPr="00574B76" w:rsidRDefault="00F778AD" w:rsidP="00394EAF">
      <w:pPr>
        <w:keepLines w:val="0"/>
        <w:spacing w:after="0"/>
        <w:jc w:val="left"/>
      </w:pPr>
      <w:r w:rsidRPr="00574B76">
        <w:br w:type="page"/>
      </w:r>
    </w:p>
    <w:p w14:paraId="4992BEFC" w14:textId="77777777" w:rsidR="00DD2ABE" w:rsidRPr="00574B76" w:rsidRDefault="00DD2ABE" w:rsidP="00933881">
      <w:pPr>
        <w:keepLines w:val="0"/>
        <w:spacing w:before="240" w:after="0"/>
        <w:jc w:val="center"/>
        <w:rPr>
          <w:b/>
          <w:sz w:val="26"/>
          <w:szCs w:val="26"/>
        </w:rPr>
      </w:pPr>
      <w:bookmarkStart w:id="4" w:name="_Toc290210739"/>
      <w:r w:rsidRPr="00574B76">
        <w:rPr>
          <w:b/>
          <w:sz w:val="26"/>
          <w:szCs w:val="26"/>
        </w:rPr>
        <w:lastRenderedPageBreak/>
        <w:t>Statement of Compatibility with Human Rights</w:t>
      </w:r>
    </w:p>
    <w:p w14:paraId="1DB5B1ED" w14:textId="77777777" w:rsidR="00DD2ABE" w:rsidRPr="00574B76" w:rsidRDefault="00DD2ABE" w:rsidP="00933881">
      <w:pPr>
        <w:keepLines w:val="0"/>
        <w:spacing w:before="120" w:after="0"/>
        <w:jc w:val="center"/>
        <w:rPr>
          <w:i/>
          <w:sz w:val="22"/>
          <w:szCs w:val="22"/>
        </w:rPr>
      </w:pPr>
      <w:r w:rsidRPr="00574B76">
        <w:rPr>
          <w:i/>
          <w:sz w:val="22"/>
          <w:szCs w:val="22"/>
        </w:rPr>
        <w:t>Prepared in accordance with Part 3 of the Human Rights (Parliamentary Scrutiny) Act 2011</w:t>
      </w:r>
    </w:p>
    <w:p w14:paraId="5E77858C" w14:textId="636F349C" w:rsidR="00DD2ABE" w:rsidRPr="00574B76" w:rsidRDefault="00DD2ABE" w:rsidP="00933881">
      <w:pPr>
        <w:keepLines w:val="0"/>
        <w:spacing w:before="360" w:after="0"/>
        <w:jc w:val="center"/>
        <w:rPr>
          <w:b/>
          <w:i/>
          <w:sz w:val="22"/>
          <w:szCs w:val="22"/>
        </w:rPr>
      </w:pPr>
      <w:r w:rsidRPr="00574B76">
        <w:rPr>
          <w:b/>
          <w:i/>
          <w:sz w:val="22"/>
          <w:szCs w:val="22"/>
        </w:rPr>
        <w:t>National Health (Growth Hormone Program) Special Arrangement Amendment Instrument</w:t>
      </w:r>
      <w:r w:rsidR="00933881" w:rsidRPr="00574B76">
        <w:rPr>
          <w:b/>
          <w:i/>
          <w:sz w:val="22"/>
          <w:szCs w:val="22"/>
        </w:rPr>
        <w:t> </w:t>
      </w:r>
      <w:r w:rsidR="00987F1B" w:rsidRPr="00574B76">
        <w:rPr>
          <w:b/>
          <w:i/>
          <w:sz w:val="22"/>
          <w:szCs w:val="22"/>
        </w:rPr>
        <w:t>20</w:t>
      </w:r>
      <w:r w:rsidR="00716426" w:rsidRPr="00574B76">
        <w:rPr>
          <w:b/>
          <w:i/>
          <w:sz w:val="22"/>
          <w:szCs w:val="22"/>
        </w:rPr>
        <w:t>2</w:t>
      </w:r>
      <w:r w:rsidR="0093544F" w:rsidRPr="00574B76">
        <w:rPr>
          <w:b/>
          <w:i/>
          <w:sz w:val="22"/>
          <w:szCs w:val="22"/>
        </w:rPr>
        <w:t>3</w:t>
      </w:r>
      <w:r w:rsidR="00933881" w:rsidRPr="00574B76">
        <w:rPr>
          <w:b/>
          <w:i/>
          <w:sz w:val="22"/>
          <w:szCs w:val="22"/>
        </w:rPr>
        <w:t> </w:t>
      </w:r>
      <w:r w:rsidR="004E6F17" w:rsidRPr="00574B76">
        <w:rPr>
          <w:b/>
          <w:i/>
          <w:sz w:val="22"/>
          <w:szCs w:val="22"/>
        </w:rPr>
        <w:t>(No. 2)</w:t>
      </w:r>
    </w:p>
    <w:p w14:paraId="2A4B2B65" w14:textId="4CE8A6D5" w:rsidR="006B6AC8" w:rsidRPr="00574B76" w:rsidRDefault="006B6AC8" w:rsidP="00933881">
      <w:pPr>
        <w:keepLines w:val="0"/>
        <w:spacing w:before="120" w:after="0"/>
        <w:jc w:val="center"/>
        <w:rPr>
          <w:b/>
          <w:sz w:val="22"/>
          <w:szCs w:val="22"/>
        </w:rPr>
      </w:pPr>
      <w:r w:rsidRPr="00574B76">
        <w:rPr>
          <w:b/>
          <w:sz w:val="22"/>
          <w:szCs w:val="22"/>
        </w:rPr>
        <w:t>(</w:t>
      </w:r>
      <w:r w:rsidR="004E6F17" w:rsidRPr="00574B76">
        <w:rPr>
          <w:b/>
          <w:sz w:val="22"/>
          <w:szCs w:val="22"/>
        </w:rPr>
        <w:t xml:space="preserve">PB </w:t>
      </w:r>
      <w:r w:rsidR="000C5A88" w:rsidRPr="00574B76">
        <w:rPr>
          <w:b/>
          <w:sz w:val="22"/>
          <w:szCs w:val="22"/>
        </w:rPr>
        <w:t xml:space="preserve">96 </w:t>
      </w:r>
      <w:r w:rsidRPr="00574B76">
        <w:rPr>
          <w:b/>
          <w:sz w:val="22"/>
          <w:szCs w:val="22"/>
        </w:rPr>
        <w:t xml:space="preserve">of </w:t>
      </w:r>
      <w:r w:rsidR="00987F1B" w:rsidRPr="00574B76">
        <w:rPr>
          <w:b/>
          <w:sz w:val="22"/>
          <w:szCs w:val="22"/>
        </w:rPr>
        <w:t>20</w:t>
      </w:r>
      <w:r w:rsidR="00716426" w:rsidRPr="00574B76">
        <w:rPr>
          <w:b/>
          <w:sz w:val="22"/>
          <w:szCs w:val="22"/>
        </w:rPr>
        <w:t>2</w:t>
      </w:r>
      <w:r w:rsidR="0093544F" w:rsidRPr="00574B76">
        <w:rPr>
          <w:b/>
          <w:sz w:val="22"/>
          <w:szCs w:val="22"/>
        </w:rPr>
        <w:t>3</w:t>
      </w:r>
      <w:r w:rsidRPr="00574B76">
        <w:rPr>
          <w:b/>
          <w:sz w:val="22"/>
          <w:szCs w:val="22"/>
        </w:rPr>
        <w:t>)</w:t>
      </w:r>
    </w:p>
    <w:p w14:paraId="20CC8BDF" w14:textId="77777777" w:rsidR="00DD2ABE" w:rsidRPr="00574B76" w:rsidRDefault="00DD2ABE" w:rsidP="00045B56">
      <w:pPr>
        <w:keepLines w:val="0"/>
        <w:spacing w:before="360" w:after="0"/>
        <w:rPr>
          <w:sz w:val="22"/>
          <w:szCs w:val="22"/>
        </w:rPr>
      </w:pPr>
      <w:r w:rsidRPr="00574B76">
        <w:rPr>
          <w:sz w:val="22"/>
          <w:szCs w:val="22"/>
        </w:rPr>
        <w:t xml:space="preserve">This </w:t>
      </w:r>
      <w:r w:rsidR="00045B56" w:rsidRPr="00574B76">
        <w:rPr>
          <w:sz w:val="22"/>
          <w:szCs w:val="22"/>
        </w:rPr>
        <w:t>I</w:t>
      </w:r>
      <w:r w:rsidRPr="00574B76">
        <w:rPr>
          <w:sz w:val="22"/>
          <w:szCs w:val="22"/>
        </w:rPr>
        <w:t xml:space="preserve">nstrument is compatible with the human rights and freedoms recognised or declared in the international instruments listed in section 3 of the </w:t>
      </w:r>
      <w:r w:rsidRPr="00574B76">
        <w:rPr>
          <w:i/>
          <w:sz w:val="22"/>
          <w:szCs w:val="22"/>
        </w:rPr>
        <w:t>Human Rights (Parliamentary Scrutiny) Act 2011</w:t>
      </w:r>
      <w:r w:rsidRPr="00574B76">
        <w:rPr>
          <w:sz w:val="22"/>
          <w:szCs w:val="22"/>
        </w:rPr>
        <w:t>.</w:t>
      </w:r>
    </w:p>
    <w:p w14:paraId="621EBD1B" w14:textId="77777777" w:rsidR="00DD2ABE" w:rsidRPr="00574B76" w:rsidRDefault="00DD2ABE" w:rsidP="00AF3F6F">
      <w:pPr>
        <w:keepLines w:val="0"/>
        <w:spacing w:before="120" w:after="0"/>
        <w:rPr>
          <w:b/>
          <w:sz w:val="22"/>
          <w:szCs w:val="22"/>
        </w:rPr>
      </w:pPr>
      <w:r w:rsidRPr="00574B76">
        <w:rPr>
          <w:b/>
          <w:sz w:val="22"/>
          <w:szCs w:val="22"/>
        </w:rPr>
        <w:t>Overview of the Instrument</w:t>
      </w:r>
    </w:p>
    <w:p w14:paraId="50499F81" w14:textId="08EEC339" w:rsidR="00DD2ABE" w:rsidRPr="00574B76" w:rsidRDefault="00DD2ABE" w:rsidP="009C3DB3">
      <w:pPr>
        <w:keepLines w:val="0"/>
        <w:spacing w:before="120" w:after="0"/>
        <w:rPr>
          <w:sz w:val="22"/>
          <w:szCs w:val="22"/>
        </w:rPr>
      </w:pPr>
      <w:r w:rsidRPr="00574B76">
        <w:rPr>
          <w:sz w:val="22"/>
          <w:szCs w:val="22"/>
        </w:rPr>
        <w:t xml:space="preserve">The purpose of this </w:t>
      </w:r>
      <w:r w:rsidR="006B6AC8" w:rsidRPr="00574B76">
        <w:rPr>
          <w:sz w:val="22"/>
          <w:szCs w:val="22"/>
        </w:rPr>
        <w:t>I</w:t>
      </w:r>
      <w:r w:rsidRPr="00574B76">
        <w:rPr>
          <w:sz w:val="22"/>
          <w:szCs w:val="22"/>
        </w:rPr>
        <w:t xml:space="preserve">nstrument, made under subsection 100(2) of the </w:t>
      </w:r>
      <w:r w:rsidRPr="00574B76">
        <w:rPr>
          <w:i/>
          <w:sz w:val="22"/>
          <w:szCs w:val="22"/>
        </w:rPr>
        <w:t>National Health Act 1953</w:t>
      </w:r>
      <w:r w:rsidRPr="00574B76">
        <w:rPr>
          <w:sz w:val="22"/>
          <w:szCs w:val="22"/>
        </w:rPr>
        <w:t xml:space="preserve"> (the Act), is to amend the </w:t>
      </w:r>
      <w:r w:rsidRPr="00574B76">
        <w:rPr>
          <w:i/>
          <w:sz w:val="22"/>
          <w:szCs w:val="22"/>
        </w:rPr>
        <w:t>National Health (Growth Hormone Program) Special Arrangement 2015</w:t>
      </w:r>
      <w:r w:rsidRPr="00574B76">
        <w:rPr>
          <w:sz w:val="22"/>
          <w:szCs w:val="22"/>
        </w:rPr>
        <w:t xml:space="preserve"> (PB 85 of 2015) (the Special Arrangement), to make changes to the Special Arrangement relating to the Growth Hormone Program.</w:t>
      </w:r>
      <w:r w:rsidR="008B5973" w:rsidRPr="00574B76">
        <w:rPr>
          <w:sz w:val="22"/>
          <w:szCs w:val="22"/>
        </w:rPr>
        <w:t xml:space="preserve"> This Instrument makes changes to the definitions of adult, child and CDC 2000 in the Primary Instrument</w:t>
      </w:r>
      <w:r w:rsidR="006C6F63" w:rsidRPr="00574B76">
        <w:rPr>
          <w:sz w:val="22"/>
          <w:szCs w:val="22"/>
        </w:rPr>
        <w:t>.</w:t>
      </w:r>
    </w:p>
    <w:p w14:paraId="70FE1D1B" w14:textId="5CD2A947" w:rsidR="008B5973" w:rsidRPr="00574B76" w:rsidRDefault="008B5973" w:rsidP="008B5973">
      <w:pPr>
        <w:shd w:val="clear" w:color="auto" w:fill="FFFFFF"/>
        <w:spacing w:before="120" w:after="0"/>
        <w:rPr>
          <w:sz w:val="28"/>
          <w:szCs w:val="28"/>
        </w:rPr>
      </w:pPr>
      <w:r w:rsidRPr="00574B76">
        <w:rPr>
          <w:sz w:val="22"/>
          <w:szCs w:val="22"/>
        </w:rPr>
        <w:t>The amendments will ensure that the appropriate pharmaceutical benefits listed in either Schedule 1 or 2 to the Special Arrangement are available for eligible patients who require treatment with growth hormone medicines in line with their diagnosis and appropriate age measure.</w:t>
      </w:r>
    </w:p>
    <w:p w14:paraId="31770AC6" w14:textId="77777777" w:rsidR="006C0E96" w:rsidRPr="00574B76" w:rsidRDefault="006C0E96" w:rsidP="006C0E96">
      <w:pPr>
        <w:spacing w:before="120" w:after="0"/>
        <w:rPr>
          <w:sz w:val="22"/>
          <w:szCs w:val="22"/>
        </w:rPr>
      </w:pPr>
      <w:r w:rsidRPr="00574B76">
        <w:rPr>
          <w:sz w:val="22"/>
          <w:szCs w:val="22"/>
        </w:rPr>
        <w:t xml:space="preserve">The purpose of the amendments is to better align the definitions of ‘adult’ and ‘child’ with the intent of previous Pharmaceutical Benefits Advisory Committee (PBAC) recommendations (July and August 2019). The definition of ‘CDC 2000’ is being updated to reflect the latest version of the US Growth Charts, to include the new CDC Extended BMI-for-age Growth Charts published in December 2022. </w:t>
      </w:r>
    </w:p>
    <w:p w14:paraId="3EE51D81" w14:textId="77777777" w:rsidR="006C0E96" w:rsidRPr="00574B76" w:rsidRDefault="006C0E96" w:rsidP="006C0E96">
      <w:pPr>
        <w:spacing w:before="120" w:after="0"/>
        <w:rPr>
          <w:sz w:val="22"/>
          <w:szCs w:val="22"/>
        </w:rPr>
      </w:pPr>
      <w:r w:rsidRPr="00574B76">
        <w:rPr>
          <w:sz w:val="22"/>
          <w:szCs w:val="22"/>
        </w:rPr>
        <w:t>Growth hormone is produced by our brain’s pituitary gland and governs our height, bone length and muscle growth. Our b</w:t>
      </w:r>
      <w:r w:rsidRPr="00574B76">
        <w:rPr>
          <w:sz w:val="22"/>
          <w:szCs w:val="22"/>
          <w:shd w:val="clear" w:color="auto" w:fill="FFFFFF"/>
        </w:rPr>
        <w:t>ones need enough growth hormone during our childhood and adolescence in order to lengthen to adult proportions. Growth hormone prompts our liver to make a substance called insulin-like growth factor (IGF-1). This and other similar compounds are involved in bone growth. Taking synthesised growth hormone can help people reach their full height.</w:t>
      </w:r>
    </w:p>
    <w:p w14:paraId="76A9B3F4" w14:textId="77777777" w:rsidR="006C0E96" w:rsidRPr="00574B76" w:rsidRDefault="006C0E96" w:rsidP="006C0E96">
      <w:pPr>
        <w:shd w:val="clear" w:color="auto" w:fill="FFFFFF"/>
        <w:spacing w:before="120" w:after="0"/>
        <w:rPr>
          <w:sz w:val="22"/>
          <w:szCs w:val="22"/>
        </w:rPr>
      </w:pPr>
      <w:r w:rsidRPr="00574B76">
        <w:rPr>
          <w:sz w:val="22"/>
          <w:szCs w:val="22"/>
        </w:rPr>
        <w:t>A person’s age, sex, body weight and skeletal maturity are some of the factors taken into consideration when prescribing growth hormone medicines and determining correct dosage. The Growth Hormone Special Arrangement defines these terms for the purposes of patient eligibility based on clinical evidence and the expert opinion of the PBAC.</w:t>
      </w:r>
    </w:p>
    <w:p w14:paraId="67698C87" w14:textId="77777777" w:rsidR="006C0E96" w:rsidRPr="00574B76" w:rsidRDefault="006C0E96" w:rsidP="006C0E96">
      <w:pPr>
        <w:spacing w:before="120" w:after="0"/>
        <w:rPr>
          <w:sz w:val="22"/>
          <w:szCs w:val="22"/>
        </w:rPr>
      </w:pPr>
      <w:r w:rsidRPr="00574B76">
        <w:rPr>
          <w:sz w:val="22"/>
          <w:szCs w:val="22"/>
        </w:rPr>
        <w:t>There are checks and balances on provision of the drugs to prevent harmful effects on children and adults by restricting who can be an authorised prescriber and providing for a maximum dosage for each pharmaceutical benefit.</w:t>
      </w:r>
    </w:p>
    <w:p w14:paraId="7449202D" w14:textId="5740FEAB" w:rsidR="008B5973" w:rsidRPr="00574B76" w:rsidRDefault="006C0E96" w:rsidP="006C0E96">
      <w:pPr>
        <w:keepLines w:val="0"/>
        <w:spacing w:before="120" w:after="0"/>
        <w:rPr>
          <w:sz w:val="24"/>
          <w:szCs w:val="24"/>
        </w:rPr>
      </w:pPr>
      <w:r w:rsidRPr="00574B76">
        <w:rPr>
          <w:sz w:val="22"/>
          <w:szCs w:val="22"/>
        </w:rPr>
        <w:t>The amendments will ensure that the appropriate pharmaceutical benefits listed in Schedule 1 to the Growth Hormone Special Arrangement are available for eligible patients who require treatment with growth hormone medicines in line with their diagnosis and clinical circumstances.</w:t>
      </w:r>
    </w:p>
    <w:p w14:paraId="21EE20C8" w14:textId="77777777" w:rsidR="006C0E96" w:rsidRPr="00574B76" w:rsidRDefault="006C0E96" w:rsidP="006C0E96">
      <w:pPr>
        <w:spacing w:before="120" w:after="0"/>
        <w:rPr>
          <w:sz w:val="22"/>
          <w:szCs w:val="22"/>
          <w:shd w:val="clear" w:color="auto" w:fill="FFFFFF"/>
        </w:rPr>
      </w:pPr>
      <w:r w:rsidRPr="00574B76">
        <w:rPr>
          <w:sz w:val="22"/>
          <w:szCs w:val="22"/>
          <w:shd w:val="clear" w:color="auto" w:fill="FFFFFF"/>
        </w:rPr>
        <w:t>The Australian Government provides subsidised access to growth hormone medicines for eligible paediatric and adult patients through the Pharmaceutical Benefits Scheme (PBS) Growth Hormone Program. Growth Hormone restriction criteria is clinically complex. Different restriction criteria apply to the writing of a prescription for growth hormone for adults and children respectively. Prescribers ensure the appropriate restriction criteria are met at the time of prescribing.</w:t>
      </w:r>
    </w:p>
    <w:p w14:paraId="476C6442" w14:textId="149F0487" w:rsidR="006C0E96" w:rsidRPr="00574B76" w:rsidRDefault="006C0E96" w:rsidP="006C0E96">
      <w:pPr>
        <w:spacing w:before="120" w:after="0"/>
        <w:rPr>
          <w:sz w:val="22"/>
          <w:szCs w:val="22"/>
          <w:shd w:val="clear" w:color="auto" w:fill="FFFFFF"/>
        </w:rPr>
      </w:pPr>
      <w:r w:rsidRPr="00574B76">
        <w:rPr>
          <w:sz w:val="22"/>
          <w:szCs w:val="22"/>
          <w:shd w:val="clear" w:color="auto" w:fill="FFFFFF"/>
        </w:rPr>
        <w:t>Patients with Child</w:t>
      </w:r>
      <w:r w:rsidRPr="00574B76">
        <w:rPr>
          <w:sz w:val="22"/>
          <w:szCs w:val="22"/>
          <w:shd w:val="clear" w:color="auto" w:fill="FFFFFF"/>
        </w:rPr>
        <w:noBreakHyphen/>
        <w:t>Onset Growth Hormone Deficiency (CO-GHD) due to a congenital, genetic or structural cause are able to access PBS subsidised growth hormone through community, public or private hospital pharmacies if they meet the relevant PBS restriction criteria. The usual PBS co</w:t>
      </w:r>
      <w:r w:rsidRPr="00574B76">
        <w:rPr>
          <w:sz w:val="22"/>
          <w:szCs w:val="22"/>
          <w:shd w:val="clear" w:color="auto" w:fill="FFFFFF"/>
        </w:rPr>
        <w:noBreakHyphen/>
        <w:t>payment will apply for each dispensing of growth hormone.</w:t>
      </w:r>
    </w:p>
    <w:p w14:paraId="0E247074" w14:textId="0F6EFF73" w:rsidR="00844E88" w:rsidRPr="00574B76" w:rsidRDefault="00844E88" w:rsidP="00844E88">
      <w:pPr>
        <w:keepLines w:val="0"/>
        <w:spacing w:before="120" w:after="0"/>
        <w:rPr>
          <w:color w:val="000000"/>
          <w:sz w:val="24"/>
          <w:szCs w:val="24"/>
        </w:rPr>
      </w:pPr>
      <w:r w:rsidRPr="00574B76">
        <w:rPr>
          <w:sz w:val="22"/>
          <w:szCs w:val="22"/>
        </w:rPr>
        <w:lastRenderedPageBreak/>
        <w:t xml:space="preserve">The amendments made by this Instrument reflect amendments to the </w:t>
      </w:r>
      <w:r w:rsidRPr="00574B76">
        <w:rPr>
          <w:i/>
          <w:sz w:val="22"/>
          <w:szCs w:val="22"/>
        </w:rPr>
        <w:t>National Health (Listing of Pharmaceutical Benefits) Instrument 2012</w:t>
      </w:r>
      <w:r w:rsidRPr="00574B76">
        <w:rPr>
          <w:sz w:val="22"/>
          <w:szCs w:val="22"/>
        </w:rPr>
        <w:t xml:space="preserve"> (PB 71 of 2012)</w:t>
      </w:r>
      <w:r w:rsidR="002021A0" w:rsidRPr="00574B76">
        <w:rPr>
          <w:sz w:val="22"/>
          <w:szCs w:val="22"/>
        </w:rPr>
        <w:t xml:space="preserve"> (the Listing Instrument)</w:t>
      </w:r>
      <w:r w:rsidRPr="00574B76">
        <w:rPr>
          <w:sz w:val="22"/>
          <w:szCs w:val="22"/>
        </w:rPr>
        <w:t>, which commence on the same day</w:t>
      </w:r>
      <w:r w:rsidR="006A42DC" w:rsidRPr="00574B76">
        <w:rPr>
          <w:sz w:val="22"/>
          <w:szCs w:val="22"/>
        </w:rPr>
        <w:t>.</w:t>
      </w:r>
      <w:r w:rsidRPr="00574B76">
        <w:rPr>
          <w:sz w:val="24"/>
          <w:szCs w:val="24"/>
        </w:rPr>
        <w:t xml:space="preserve"> </w:t>
      </w:r>
      <w:r w:rsidR="006A42DC" w:rsidRPr="00574B76">
        <w:rPr>
          <w:sz w:val="22"/>
          <w:szCs w:val="22"/>
        </w:rPr>
        <w:t>The changes in the Listing Instrument</w:t>
      </w:r>
      <w:r w:rsidR="006A42DC" w:rsidRPr="00574B76">
        <w:rPr>
          <w:color w:val="000000"/>
          <w:sz w:val="22"/>
          <w:szCs w:val="22"/>
        </w:rPr>
        <w:t xml:space="preserve"> </w:t>
      </w:r>
      <w:r w:rsidRPr="00574B76">
        <w:rPr>
          <w:color w:val="000000"/>
          <w:sz w:val="22"/>
          <w:szCs w:val="22"/>
        </w:rPr>
        <w:t>provide for references to Prader</w:t>
      </w:r>
      <w:r w:rsidR="00DD4EBF" w:rsidRPr="00574B76">
        <w:rPr>
          <w:b/>
          <w:bCs/>
          <w:color w:val="000000"/>
          <w:sz w:val="22"/>
          <w:szCs w:val="22"/>
        </w:rPr>
        <w:t>-</w:t>
      </w:r>
      <w:r w:rsidRPr="00574B76">
        <w:rPr>
          <w:color w:val="000000"/>
          <w:sz w:val="22"/>
          <w:szCs w:val="22"/>
        </w:rPr>
        <w:t xml:space="preserve">Willi Syndrome (PWS) in three circumstance codes for severe Growth Hormone Deficiency </w:t>
      </w:r>
      <w:r w:rsidR="007A12AE" w:rsidRPr="00574B76">
        <w:rPr>
          <w:color w:val="000000"/>
          <w:sz w:val="22"/>
          <w:szCs w:val="22"/>
        </w:rPr>
        <w:t xml:space="preserve">to </w:t>
      </w:r>
      <w:r w:rsidRPr="00574B76">
        <w:rPr>
          <w:color w:val="000000"/>
          <w:sz w:val="22"/>
          <w:szCs w:val="22"/>
        </w:rPr>
        <w:t xml:space="preserve">be removed. </w:t>
      </w:r>
      <w:r w:rsidR="002021A0" w:rsidRPr="00574B76">
        <w:rPr>
          <w:color w:val="000000"/>
          <w:sz w:val="24"/>
          <w:szCs w:val="24"/>
        </w:rPr>
        <w:t>T</w:t>
      </w:r>
      <w:r w:rsidRPr="00574B76">
        <w:rPr>
          <w:sz w:val="22"/>
          <w:szCs w:val="22"/>
        </w:rPr>
        <w:t xml:space="preserve">he </w:t>
      </w:r>
      <w:r w:rsidR="002021A0" w:rsidRPr="00574B76">
        <w:rPr>
          <w:sz w:val="22"/>
          <w:szCs w:val="22"/>
        </w:rPr>
        <w:t xml:space="preserve">Listing Instrument </w:t>
      </w:r>
      <w:r w:rsidRPr="00574B76">
        <w:rPr>
          <w:sz w:val="22"/>
          <w:szCs w:val="22"/>
        </w:rPr>
        <w:t>is made under sections 84AF, 84AK, 85, 85A, 88 and 101 of the Act.</w:t>
      </w:r>
    </w:p>
    <w:p w14:paraId="1FF33278" w14:textId="391C118D" w:rsidR="00DD2ABE" w:rsidRPr="00574B76" w:rsidRDefault="00DD2ABE" w:rsidP="00AF3F6F">
      <w:pPr>
        <w:keepLines w:val="0"/>
        <w:spacing w:before="120" w:after="0"/>
        <w:rPr>
          <w:b/>
          <w:sz w:val="22"/>
          <w:szCs w:val="22"/>
        </w:rPr>
      </w:pPr>
      <w:r w:rsidRPr="00574B76">
        <w:rPr>
          <w:b/>
          <w:sz w:val="22"/>
          <w:szCs w:val="22"/>
        </w:rPr>
        <w:t>Human rights implications</w:t>
      </w:r>
    </w:p>
    <w:p w14:paraId="404F8CD6" w14:textId="367AE910" w:rsidR="006C0E96" w:rsidRPr="00574B76" w:rsidRDefault="006C0E96" w:rsidP="007544B2">
      <w:pPr>
        <w:pStyle w:val="NormalWeb"/>
        <w:spacing w:before="120" w:beforeAutospacing="0"/>
        <w:rPr>
          <w:sz w:val="22"/>
          <w:szCs w:val="22"/>
        </w:rPr>
      </w:pPr>
      <w:bookmarkStart w:id="5" w:name="_Hlk95462641"/>
      <w:bookmarkEnd w:id="4"/>
      <w:r w:rsidRPr="00574B76">
        <w:rPr>
          <w:sz w:val="22"/>
          <w:szCs w:val="22"/>
        </w:rPr>
        <w:t>This Instrument engages Articles 9 and 12 of the International Covenant on Economic, Social and Cultural Rights (ICESCR) by assisting with the progressive realisation by all appropriate means of the right of everyone to social security and to the enjoyment of the highest attainable standard of physical and mental health. It also engages Articles 3, 23 and 24 of the Convention on the Rights of the Child (CRC). Article 3 provides that for all actions concerning children, the best interests of the child shall be a primary consideration, including conformity with established standards in the areas of safety and health. Article 23 recognises that a mentally or physically disabled child should enjoy a full and decent life, in conditions which ensure dignity, promote self-reliance and facilitate the child</w:t>
      </w:r>
      <w:r w:rsidR="004009D0" w:rsidRPr="00574B76">
        <w:rPr>
          <w:sz w:val="22"/>
          <w:szCs w:val="22"/>
        </w:rPr>
        <w:t>’</w:t>
      </w:r>
      <w:r w:rsidRPr="00574B76">
        <w:rPr>
          <w:sz w:val="22"/>
          <w:szCs w:val="22"/>
        </w:rPr>
        <w:t>s active participation in the community. This includes having available resources and effective access to healthcare services which are appropriate to the child</w:t>
      </w:r>
      <w:r w:rsidR="004009D0" w:rsidRPr="00574B76">
        <w:rPr>
          <w:sz w:val="22"/>
          <w:szCs w:val="22"/>
        </w:rPr>
        <w:t>’</w:t>
      </w:r>
      <w:r w:rsidRPr="00574B76">
        <w:rPr>
          <w:sz w:val="22"/>
          <w:szCs w:val="22"/>
        </w:rPr>
        <w:t>s condition and in a manner conducive to the child achieving the fullest possible social integration and individual development, including his or her cultural and spiritual development. Article 24(1) relevantly provides for the right of the child to the highest attainable standard of health and ensuring no child is deprived of his or her right to access to such health care services. Article 24(2) goes on to provide that States Parties to the Convention shall take appropriate measures to (b) ensure the provision of necessary medical assistance and health care to all children.</w:t>
      </w:r>
    </w:p>
    <w:p w14:paraId="46DAC6C2" w14:textId="047C328D" w:rsidR="006C0E96" w:rsidRPr="00574B76" w:rsidRDefault="006C0E96" w:rsidP="006C0E96">
      <w:pPr>
        <w:pStyle w:val="NormalWeb"/>
        <w:rPr>
          <w:sz w:val="22"/>
          <w:szCs w:val="22"/>
        </w:rPr>
      </w:pPr>
      <w:r w:rsidRPr="00574B76">
        <w:rPr>
          <w:sz w:val="22"/>
          <w:szCs w:val="22"/>
        </w:rPr>
        <w:t>This Instrument further engages Article 25 of the Convention on the Rights of Persons with Disabilities by recognising that persons with disabilities have the right to the enjoyment of the highest attainable standards of health without discrimination on the basis of disability. States parties shall take all appropriate measures to ensure access for persons with disabilities to health services that are gender</w:t>
      </w:r>
      <w:r w:rsidRPr="00574B76">
        <w:rPr>
          <w:sz w:val="22"/>
          <w:szCs w:val="22"/>
        </w:rPr>
        <w:noBreakHyphen/>
        <w:t>sensitive, including health</w:t>
      </w:r>
      <w:r w:rsidRPr="00574B76">
        <w:rPr>
          <w:sz w:val="22"/>
          <w:szCs w:val="22"/>
        </w:rPr>
        <w:noBreakHyphen/>
        <w:t xml:space="preserve">related rehabilitation. This includes providing persons with disabilities the same range, quality and standard of free or affordable health care as provided to other persons, providing these services as close as possible to people’s own communities (including in rural areas), specific and appropriate health care designed to minimise and prevent further disabilities (including among children and older persons) and prevent discriminatory denial of health care or health services or food and fluids on the basis of disability. </w:t>
      </w:r>
    </w:p>
    <w:p w14:paraId="0B3AA1ED" w14:textId="0C5CF4B6" w:rsidR="00920621" w:rsidRPr="00574B76" w:rsidRDefault="00920621" w:rsidP="00AF3F6F">
      <w:pPr>
        <w:spacing w:before="120"/>
        <w:rPr>
          <w:b/>
          <w:bCs/>
          <w:sz w:val="22"/>
          <w:szCs w:val="22"/>
        </w:rPr>
      </w:pPr>
      <w:r w:rsidRPr="00574B76">
        <w:rPr>
          <w:b/>
          <w:bCs/>
          <w:sz w:val="22"/>
          <w:szCs w:val="22"/>
        </w:rPr>
        <w:t>Analysis</w:t>
      </w:r>
    </w:p>
    <w:bookmarkEnd w:id="5"/>
    <w:p w14:paraId="63D22D83" w14:textId="77777777" w:rsidR="00844E88" w:rsidRPr="00574B76" w:rsidRDefault="00844E88" w:rsidP="00844E88">
      <w:pPr>
        <w:rPr>
          <w:sz w:val="22"/>
          <w:szCs w:val="22"/>
          <w:shd w:val="clear" w:color="auto" w:fill="FFFFFF"/>
        </w:rPr>
      </w:pPr>
      <w:r w:rsidRPr="00574B76">
        <w:rPr>
          <w:sz w:val="22"/>
          <w:szCs w:val="22"/>
          <w:shd w:val="clear" w:color="auto" w:fill="FFFFFF"/>
        </w:rPr>
        <w:t>Growth Hormone (GH) is very important in the body. It is needed for children to grow normally. It helps make sure there is enough muscle and fat in the body. It keeps bones healthy. Some children do not make enough GH. A low level of GH can cause children to grow more slowly. In adults, a low level of GH can cause problems with fitness and health.</w:t>
      </w:r>
    </w:p>
    <w:p w14:paraId="1128E42B" w14:textId="77777777" w:rsidR="00844E88" w:rsidRPr="00574B76" w:rsidRDefault="00844E88" w:rsidP="00844E88">
      <w:pPr>
        <w:rPr>
          <w:sz w:val="22"/>
          <w:szCs w:val="22"/>
          <w:shd w:val="clear" w:color="auto" w:fill="FFFFFF"/>
        </w:rPr>
      </w:pPr>
      <w:r w:rsidRPr="00574B76">
        <w:rPr>
          <w:sz w:val="22"/>
          <w:szCs w:val="22"/>
          <w:shd w:val="clear" w:color="auto" w:fill="FFFFFF"/>
        </w:rPr>
        <w:t xml:space="preserve">Although growth hormone’s main function is to promote growth in childhood, it is still important once adulthood is reached. In adults as well as in children, growth hormone </w:t>
      </w:r>
      <w:r w:rsidRPr="00574B76">
        <w:rPr>
          <w:sz w:val="22"/>
          <w:szCs w:val="22"/>
        </w:rPr>
        <w:t>helps regulate metabolism</w:t>
      </w:r>
      <w:r w:rsidRPr="00574B76">
        <w:rPr>
          <w:sz w:val="22"/>
          <w:szCs w:val="22"/>
          <w:shd w:val="clear" w:color="auto" w:fill="FFFFFF"/>
        </w:rPr>
        <w:t xml:space="preserve"> — a critical chemical process through which the body turns food into energy, tissue or waste products. </w:t>
      </w:r>
    </w:p>
    <w:p w14:paraId="68C5F679" w14:textId="77777777" w:rsidR="00844E88" w:rsidRPr="00574B76" w:rsidRDefault="00844E88" w:rsidP="00844E88">
      <w:pPr>
        <w:rPr>
          <w:sz w:val="22"/>
          <w:szCs w:val="22"/>
        </w:rPr>
      </w:pPr>
      <w:r w:rsidRPr="00574B76">
        <w:rPr>
          <w:sz w:val="22"/>
          <w:szCs w:val="22"/>
          <w:shd w:val="clear" w:color="auto" w:fill="FFFFFF"/>
        </w:rPr>
        <w:t xml:space="preserve">Growth hormone treatment provides both health benefits and significant increases in height. Children and adults </w:t>
      </w:r>
      <w:r w:rsidRPr="00574B76">
        <w:rPr>
          <w:sz w:val="22"/>
          <w:szCs w:val="22"/>
        </w:rPr>
        <w:t>can benefit from treatment with PBS subsidised growth hormone, which can help:</w:t>
      </w:r>
    </w:p>
    <w:p w14:paraId="0D8D6A49" w14:textId="77777777" w:rsidR="00844E88" w:rsidRPr="00574B76" w:rsidRDefault="00844E88" w:rsidP="00844E88">
      <w:pPr>
        <w:keepLines w:val="0"/>
        <w:numPr>
          <w:ilvl w:val="0"/>
          <w:numId w:val="17"/>
        </w:numPr>
        <w:shd w:val="clear" w:color="auto" w:fill="FFFFFF"/>
        <w:tabs>
          <w:tab w:val="clear" w:pos="720"/>
          <w:tab w:val="num" w:pos="284"/>
        </w:tabs>
        <w:spacing w:before="100" w:beforeAutospacing="1" w:after="100" w:afterAutospacing="1"/>
        <w:ind w:hanging="720"/>
        <w:jc w:val="left"/>
        <w:rPr>
          <w:sz w:val="22"/>
          <w:szCs w:val="22"/>
        </w:rPr>
      </w:pPr>
      <w:r w:rsidRPr="00574B76">
        <w:rPr>
          <w:sz w:val="22"/>
          <w:szCs w:val="22"/>
        </w:rPr>
        <w:t>increase bone density, thereby preventing fractures;</w:t>
      </w:r>
    </w:p>
    <w:p w14:paraId="05331C55" w14:textId="77777777" w:rsidR="00844E88" w:rsidRPr="00574B76" w:rsidRDefault="00844E88" w:rsidP="00844E88">
      <w:pPr>
        <w:keepLines w:val="0"/>
        <w:numPr>
          <w:ilvl w:val="0"/>
          <w:numId w:val="17"/>
        </w:numPr>
        <w:shd w:val="clear" w:color="auto" w:fill="FFFFFF"/>
        <w:tabs>
          <w:tab w:val="clear" w:pos="720"/>
          <w:tab w:val="num" w:pos="284"/>
        </w:tabs>
        <w:spacing w:before="100" w:beforeAutospacing="1" w:after="100" w:afterAutospacing="1"/>
        <w:ind w:hanging="720"/>
        <w:jc w:val="left"/>
        <w:rPr>
          <w:sz w:val="22"/>
          <w:szCs w:val="22"/>
        </w:rPr>
      </w:pPr>
      <w:r w:rsidRPr="00574B76">
        <w:rPr>
          <w:sz w:val="22"/>
          <w:szCs w:val="22"/>
        </w:rPr>
        <w:t>increase muscle mass;</w:t>
      </w:r>
    </w:p>
    <w:p w14:paraId="14D2A9FF" w14:textId="77777777" w:rsidR="00844E88" w:rsidRPr="00574B76" w:rsidRDefault="00844E88" w:rsidP="00844E88">
      <w:pPr>
        <w:keepLines w:val="0"/>
        <w:numPr>
          <w:ilvl w:val="0"/>
          <w:numId w:val="17"/>
        </w:numPr>
        <w:shd w:val="clear" w:color="auto" w:fill="FFFFFF"/>
        <w:tabs>
          <w:tab w:val="clear" w:pos="720"/>
          <w:tab w:val="num" w:pos="284"/>
        </w:tabs>
        <w:spacing w:before="100" w:beforeAutospacing="1" w:after="100" w:afterAutospacing="1"/>
        <w:ind w:hanging="720"/>
        <w:jc w:val="left"/>
        <w:rPr>
          <w:sz w:val="22"/>
          <w:szCs w:val="22"/>
        </w:rPr>
      </w:pPr>
      <w:r w:rsidRPr="00574B76">
        <w:rPr>
          <w:sz w:val="22"/>
          <w:szCs w:val="22"/>
        </w:rPr>
        <w:t>increase energy levels;</w:t>
      </w:r>
    </w:p>
    <w:p w14:paraId="70D04931" w14:textId="77777777" w:rsidR="00844E88" w:rsidRPr="00574B76" w:rsidRDefault="00844E88" w:rsidP="00844E88">
      <w:pPr>
        <w:keepLines w:val="0"/>
        <w:numPr>
          <w:ilvl w:val="0"/>
          <w:numId w:val="17"/>
        </w:numPr>
        <w:shd w:val="clear" w:color="auto" w:fill="FFFFFF"/>
        <w:tabs>
          <w:tab w:val="clear" w:pos="720"/>
          <w:tab w:val="num" w:pos="284"/>
        </w:tabs>
        <w:spacing w:before="100" w:beforeAutospacing="1" w:after="100" w:afterAutospacing="1"/>
        <w:ind w:hanging="720"/>
        <w:jc w:val="left"/>
        <w:rPr>
          <w:sz w:val="22"/>
          <w:szCs w:val="22"/>
        </w:rPr>
      </w:pPr>
      <w:r w:rsidRPr="00574B76">
        <w:rPr>
          <w:sz w:val="22"/>
          <w:szCs w:val="22"/>
        </w:rPr>
        <w:t xml:space="preserve">increase the capacity for exercise; and </w:t>
      </w:r>
    </w:p>
    <w:p w14:paraId="0194C76E" w14:textId="77777777" w:rsidR="00844E88" w:rsidRPr="00574B76" w:rsidRDefault="00844E88" w:rsidP="00844E88">
      <w:pPr>
        <w:keepLines w:val="0"/>
        <w:numPr>
          <w:ilvl w:val="0"/>
          <w:numId w:val="17"/>
        </w:numPr>
        <w:shd w:val="clear" w:color="auto" w:fill="FFFFFF"/>
        <w:tabs>
          <w:tab w:val="clear" w:pos="720"/>
          <w:tab w:val="num" w:pos="284"/>
        </w:tabs>
        <w:spacing w:before="100" w:beforeAutospacing="1" w:after="100" w:afterAutospacing="1"/>
        <w:ind w:hanging="720"/>
        <w:jc w:val="left"/>
        <w:rPr>
          <w:sz w:val="22"/>
          <w:szCs w:val="22"/>
        </w:rPr>
      </w:pPr>
      <w:r w:rsidRPr="00574B76">
        <w:rPr>
          <w:sz w:val="22"/>
          <w:szCs w:val="22"/>
        </w:rPr>
        <w:t>decrease body fat.</w:t>
      </w:r>
    </w:p>
    <w:p w14:paraId="2DA7499A" w14:textId="43B3665B" w:rsidR="00844E88" w:rsidRPr="00574B76" w:rsidRDefault="00844E88" w:rsidP="00844E88">
      <w:pPr>
        <w:spacing w:before="120"/>
        <w:rPr>
          <w:color w:val="0000FF"/>
          <w:sz w:val="24"/>
          <w:szCs w:val="24"/>
        </w:rPr>
      </w:pPr>
      <w:r w:rsidRPr="00574B76">
        <w:rPr>
          <w:sz w:val="22"/>
          <w:szCs w:val="22"/>
        </w:rPr>
        <w:lastRenderedPageBreak/>
        <w:t xml:space="preserve">Treatment with PBS subsidised growth hormone may also </w:t>
      </w:r>
      <w:r w:rsidRPr="00574B76">
        <w:rPr>
          <w:sz w:val="22"/>
          <w:szCs w:val="22"/>
          <w:shd w:val="clear" w:color="auto" w:fill="FFFFFF"/>
        </w:rPr>
        <w:t>improve energy levels, cognition, and quality of life improvements. Patients may see improvements in self-esteem, well-being and social interaction. </w:t>
      </w:r>
    </w:p>
    <w:p w14:paraId="460EBD6C" w14:textId="63B45920" w:rsidR="0035332F" w:rsidRPr="00574B76" w:rsidRDefault="002021A0" w:rsidP="002021A0">
      <w:pPr>
        <w:spacing w:before="120"/>
      </w:pPr>
      <w:bookmarkStart w:id="6" w:name="_Hlk95462817"/>
      <w:r w:rsidRPr="00574B76">
        <w:rPr>
          <w:sz w:val="22"/>
          <w:szCs w:val="22"/>
        </w:rPr>
        <w:t xml:space="preserve">This Instrument assists with the advancement of these rights by ensuring access to PBS subsidised growth hormone treatment for paediatric and adult patients in line with their diagnosis and appropriate age measure. </w:t>
      </w:r>
      <w:r w:rsidR="00920621" w:rsidRPr="00574B76">
        <w:rPr>
          <w:sz w:val="22"/>
          <w:szCs w:val="22"/>
        </w:rPr>
        <w:t>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5863B935" w14:textId="1326A073" w:rsidR="009C3DB3" w:rsidRPr="00574B76" w:rsidRDefault="009C3DB3" w:rsidP="00AF3F6F">
      <w:pPr>
        <w:keepLines w:val="0"/>
        <w:spacing w:before="120" w:after="0"/>
        <w:rPr>
          <w:b/>
          <w:sz w:val="22"/>
          <w:szCs w:val="22"/>
        </w:rPr>
      </w:pPr>
      <w:r w:rsidRPr="00574B76">
        <w:rPr>
          <w:b/>
          <w:sz w:val="22"/>
          <w:szCs w:val="22"/>
        </w:rPr>
        <w:t>Conclusion</w:t>
      </w:r>
      <w:r w:rsidR="00D3112D" w:rsidRPr="00574B76">
        <w:rPr>
          <w:b/>
          <w:sz w:val="22"/>
          <w:szCs w:val="22"/>
        </w:rPr>
        <w:tab/>
      </w:r>
    </w:p>
    <w:p w14:paraId="04C516E0" w14:textId="77777777" w:rsidR="009C3DB3" w:rsidRPr="00574B76" w:rsidRDefault="009C3DB3" w:rsidP="009C3DB3">
      <w:pPr>
        <w:keepLines w:val="0"/>
        <w:spacing w:before="120" w:after="0"/>
        <w:rPr>
          <w:sz w:val="22"/>
          <w:szCs w:val="22"/>
        </w:rPr>
      </w:pPr>
      <w:r w:rsidRPr="00574B76">
        <w:rPr>
          <w:sz w:val="22"/>
          <w:szCs w:val="22"/>
        </w:rPr>
        <w:t>This Instrument is compatible with human rights because it advances the protection of human rights.</w:t>
      </w:r>
    </w:p>
    <w:p w14:paraId="180B4314" w14:textId="65AAF3C9" w:rsidR="009C3DB3" w:rsidRPr="00574B76" w:rsidRDefault="009C3DB3" w:rsidP="009C3DB3">
      <w:pPr>
        <w:keepLines w:val="0"/>
        <w:spacing w:before="240" w:after="0"/>
        <w:jc w:val="center"/>
        <w:rPr>
          <w:sz w:val="22"/>
          <w:szCs w:val="22"/>
        </w:rPr>
      </w:pPr>
    </w:p>
    <w:p w14:paraId="6A575E5A" w14:textId="34CB97F6" w:rsidR="00920621" w:rsidRPr="00574B76" w:rsidRDefault="00920621" w:rsidP="009C3DB3">
      <w:pPr>
        <w:keepLines w:val="0"/>
        <w:spacing w:before="240" w:after="0"/>
        <w:jc w:val="center"/>
        <w:rPr>
          <w:sz w:val="22"/>
          <w:szCs w:val="22"/>
        </w:rPr>
      </w:pPr>
    </w:p>
    <w:p w14:paraId="5F457133" w14:textId="34445311" w:rsidR="00920621" w:rsidRPr="00574B76" w:rsidRDefault="00920621" w:rsidP="00D3112D">
      <w:pPr>
        <w:spacing w:after="0"/>
        <w:jc w:val="center"/>
        <w:rPr>
          <w:b/>
          <w:sz w:val="22"/>
          <w:szCs w:val="22"/>
        </w:rPr>
      </w:pPr>
      <w:bookmarkStart w:id="7" w:name="_Hlk112391383"/>
      <w:r w:rsidRPr="00574B76">
        <w:rPr>
          <w:b/>
          <w:sz w:val="22"/>
          <w:szCs w:val="22"/>
        </w:rPr>
        <w:t>Nikolai Tsyganov</w:t>
      </w:r>
    </w:p>
    <w:p w14:paraId="06148F1E" w14:textId="24E9EE58" w:rsidR="00920621" w:rsidRPr="00574B76" w:rsidRDefault="00920621" w:rsidP="00920621">
      <w:pPr>
        <w:spacing w:after="0"/>
        <w:jc w:val="center"/>
        <w:rPr>
          <w:b/>
          <w:sz w:val="22"/>
          <w:szCs w:val="22"/>
        </w:rPr>
      </w:pPr>
      <w:r w:rsidRPr="00574B76">
        <w:rPr>
          <w:b/>
          <w:sz w:val="22"/>
          <w:szCs w:val="22"/>
        </w:rPr>
        <w:t>Assistant Secretary</w:t>
      </w:r>
    </w:p>
    <w:p w14:paraId="65005E1C" w14:textId="77777777" w:rsidR="00920621" w:rsidRPr="00574B76" w:rsidRDefault="00920621" w:rsidP="009C3DB3">
      <w:pPr>
        <w:keepLines w:val="0"/>
        <w:spacing w:after="0"/>
        <w:jc w:val="center"/>
        <w:rPr>
          <w:b/>
          <w:sz w:val="22"/>
          <w:szCs w:val="22"/>
        </w:rPr>
      </w:pPr>
      <w:r w:rsidRPr="00574B76">
        <w:rPr>
          <w:b/>
          <w:sz w:val="22"/>
          <w:szCs w:val="22"/>
        </w:rPr>
        <w:t>Pricing and PBS Policy Branch</w:t>
      </w:r>
      <w:r w:rsidRPr="00574B76" w:rsidDel="00920621">
        <w:rPr>
          <w:sz w:val="22"/>
          <w:szCs w:val="22"/>
        </w:rPr>
        <w:t xml:space="preserve"> </w:t>
      </w:r>
    </w:p>
    <w:p w14:paraId="4E31CC4D" w14:textId="21697027" w:rsidR="009C3DB3" w:rsidRPr="00574B76" w:rsidRDefault="009C3DB3" w:rsidP="009C3DB3">
      <w:pPr>
        <w:keepLines w:val="0"/>
        <w:spacing w:after="0"/>
        <w:jc w:val="center"/>
        <w:rPr>
          <w:b/>
          <w:sz w:val="22"/>
          <w:szCs w:val="22"/>
        </w:rPr>
      </w:pPr>
      <w:r w:rsidRPr="00574B76">
        <w:rPr>
          <w:b/>
          <w:sz w:val="22"/>
          <w:szCs w:val="22"/>
        </w:rPr>
        <w:t>Technology Assessment and Access Division</w:t>
      </w:r>
    </w:p>
    <w:p w14:paraId="67778E32" w14:textId="09F0604C" w:rsidR="009C3DB3" w:rsidRPr="00574B76" w:rsidRDefault="009C3DB3" w:rsidP="009C3DB3">
      <w:pPr>
        <w:keepLines w:val="0"/>
        <w:spacing w:after="0"/>
        <w:jc w:val="center"/>
        <w:rPr>
          <w:b/>
          <w:sz w:val="22"/>
          <w:szCs w:val="22"/>
        </w:rPr>
      </w:pPr>
      <w:r w:rsidRPr="00574B76">
        <w:rPr>
          <w:b/>
          <w:sz w:val="22"/>
          <w:szCs w:val="22"/>
        </w:rPr>
        <w:t>Department of Health</w:t>
      </w:r>
      <w:r w:rsidR="00920621" w:rsidRPr="00574B76">
        <w:rPr>
          <w:b/>
          <w:sz w:val="22"/>
          <w:szCs w:val="22"/>
        </w:rPr>
        <w:t xml:space="preserve"> and Aged Care</w:t>
      </w:r>
    </w:p>
    <w:bookmarkEnd w:id="7"/>
    <w:p w14:paraId="70970767" w14:textId="77777777" w:rsidR="007908B2" w:rsidRPr="00574B76" w:rsidRDefault="007908B2" w:rsidP="006B6AC8">
      <w:pPr>
        <w:keepLines w:val="0"/>
        <w:spacing w:after="0"/>
        <w:jc w:val="center"/>
        <w:rPr>
          <w:b/>
          <w:sz w:val="22"/>
          <w:szCs w:val="22"/>
        </w:rPr>
      </w:pPr>
    </w:p>
    <w:p w14:paraId="6D03E231" w14:textId="77777777" w:rsidR="00866881" w:rsidRPr="00574B76" w:rsidRDefault="00866881" w:rsidP="001D56A7">
      <w:pPr>
        <w:keepLines w:val="0"/>
        <w:spacing w:after="0"/>
        <w:jc w:val="left"/>
        <w:rPr>
          <w:sz w:val="22"/>
          <w:szCs w:val="22"/>
        </w:rPr>
      </w:pPr>
    </w:p>
    <w:sectPr w:rsidR="00866881" w:rsidRPr="00574B76" w:rsidSect="001D56A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6D2D" w14:textId="77777777" w:rsidR="008D3858" w:rsidRDefault="008D3858">
      <w:r>
        <w:separator/>
      </w:r>
    </w:p>
  </w:endnote>
  <w:endnote w:type="continuationSeparator" w:id="0">
    <w:p w14:paraId="11BDC28D" w14:textId="77777777" w:rsidR="008D3858" w:rsidRDefault="008D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516A"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D1438"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5505"/>
      <w:docPartObj>
        <w:docPartGallery w:val="Page Numbers (Bottom of Page)"/>
        <w:docPartUnique/>
      </w:docPartObj>
    </w:sdtPr>
    <w:sdtEndPr>
      <w:rPr>
        <w:noProof/>
      </w:rPr>
    </w:sdtEndPr>
    <w:sdtContent>
      <w:p w14:paraId="11271397" w14:textId="77777777" w:rsidR="00750025" w:rsidRDefault="00750025" w:rsidP="00750025">
        <w:pPr>
          <w:pStyle w:val="Footer"/>
          <w:keepLines w:val="0"/>
          <w:jc w:val="center"/>
        </w:pPr>
        <w:r>
          <w:fldChar w:fldCharType="begin"/>
        </w:r>
        <w:r>
          <w:instrText xml:space="preserve"> PAGE   \* MERGEFORMAT </w:instrText>
        </w:r>
        <w:r>
          <w:fldChar w:fldCharType="separate"/>
        </w:r>
        <w:r w:rsidR="00C9661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05658"/>
      <w:docPartObj>
        <w:docPartGallery w:val="Page Numbers (Bottom of Page)"/>
        <w:docPartUnique/>
      </w:docPartObj>
    </w:sdtPr>
    <w:sdtEndPr>
      <w:rPr>
        <w:noProof/>
      </w:rPr>
    </w:sdtEndPr>
    <w:sdtContent>
      <w:p w14:paraId="2FB5B662" w14:textId="77777777" w:rsidR="00940735" w:rsidRDefault="009F4143" w:rsidP="009F4143">
        <w:pPr>
          <w:pStyle w:val="Footer"/>
          <w:keepLines w:val="0"/>
          <w:jc w:val="center"/>
        </w:pPr>
        <w:r>
          <w:fldChar w:fldCharType="begin"/>
        </w:r>
        <w:r>
          <w:instrText xml:space="preserve"> PAGE   \* MERGEFORMAT </w:instrText>
        </w:r>
        <w:r>
          <w:fldChar w:fldCharType="separate"/>
        </w:r>
        <w:r w:rsidR="00C9661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9B58" w14:textId="77777777" w:rsidR="008D3858" w:rsidRDefault="008D3858">
      <w:r>
        <w:separator/>
      </w:r>
    </w:p>
  </w:footnote>
  <w:footnote w:type="continuationSeparator" w:id="0">
    <w:p w14:paraId="422124DB" w14:textId="77777777" w:rsidR="008D3858" w:rsidRDefault="008D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4C20"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6A3D45"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A46E" w14:textId="77777777" w:rsidR="00940735" w:rsidRDefault="00940735" w:rsidP="009F4143">
    <w:pPr>
      <w:pStyle w:val="Header"/>
      <w:keepLines w:val="0"/>
    </w:pPr>
  </w:p>
  <w:p w14:paraId="55C8EF92" w14:textId="77777777" w:rsidR="009F4143" w:rsidRDefault="009F4143" w:rsidP="009F4143">
    <w:pPr>
      <w:pStyle w:val="Header"/>
      <w:keepLines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A14D" w14:textId="77777777" w:rsidR="00825BFC" w:rsidRDefault="0082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1DC5257"/>
    <w:multiLevelType w:val="multilevel"/>
    <w:tmpl w:val="4BE27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1740A7B"/>
    <w:multiLevelType w:val="hybridMultilevel"/>
    <w:tmpl w:val="83F6E768"/>
    <w:lvl w:ilvl="0" w:tplc="88441A84">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3DD73041"/>
    <w:multiLevelType w:val="hybridMultilevel"/>
    <w:tmpl w:val="2F320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676042F"/>
    <w:multiLevelType w:val="hybridMultilevel"/>
    <w:tmpl w:val="43989FA6"/>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1E04F6E2"/>
    <w:lvl w:ilvl="0">
      <w:start w:val="1"/>
      <w:numFmt w:val="decimal"/>
      <w:pStyle w:val="ListNumber"/>
      <w:lvlText w:val="%1"/>
      <w:lvlJc w:val="left"/>
      <w:pPr>
        <w:ind w:left="720" w:hanging="720"/>
      </w:pPr>
      <w:rPr>
        <w:rFonts w:asciiTheme="minorHAnsi" w:hAnsiTheme="minorHAnsi" w:cstheme="minorHAnsi" w:hint="default"/>
        <w:b/>
        <w:sz w:val="32"/>
        <w:szCs w:val="32"/>
      </w:rPr>
    </w:lvl>
    <w:lvl w:ilvl="1">
      <w:start w:val="1"/>
      <w:numFmt w:val="decimal"/>
      <w:lvlText w:val="(%2)"/>
      <w:lvlJc w:val="left"/>
      <w:pPr>
        <w:ind w:left="720" w:hanging="720"/>
      </w:pPr>
      <w:rPr>
        <w:rFonts w:asciiTheme="minorHAnsi" w:eastAsia="Times New Roman" w:hAnsiTheme="minorHAnsi" w:cstheme="minorHAnsi"/>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77176886">
    <w:abstractNumId w:val="0"/>
  </w:num>
  <w:num w:numId="2" w16cid:durableId="1886796748">
    <w:abstractNumId w:val="5"/>
  </w:num>
  <w:num w:numId="3" w16cid:durableId="672298051">
    <w:abstractNumId w:val="10"/>
  </w:num>
  <w:num w:numId="4" w16cid:durableId="608203676">
    <w:abstractNumId w:val="9"/>
  </w:num>
  <w:num w:numId="5" w16cid:durableId="662196827">
    <w:abstractNumId w:val="13"/>
  </w:num>
  <w:num w:numId="6" w16cid:durableId="1703894962">
    <w:abstractNumId w:val="3"/>
  </w:num>
  <w:num w:numId="7" w16cid:durableId="1177308650">
    <w:abstractNumId w:val="8"/>
  </w:num>
  <w:num w:numId="8" w16cid:durableId="1976830200">
    <w:abstractNumId w:val="15"/>
  </w:num>
  <w:num w:numId="9" w16cid:durableId="1286548128">
    <w:abstractNumId w:val="1"/>
  </w:num>
  <w:num w:numId="10" w16cid:durableId="823543480">
    <w:abstractNumId w:val="2"/>
  </w:num>
  <w:num w:numId="11" w16cid:durableId="1125582574">
    <w:abstractNumId w:val="14"/>
  </w:num>
  <w:num w:numId="12" w16cid:durableId="890851118">
    <w:abstractNumId w:val="11"/>
  </w:num>
  <w:num w:numId="13" w16cid:durableId="1240366840">
    <w:abstractNumId w:val="6"/>
  </w:num>
  <w:num w:numId="14" w16cid:durableId="867136633">
    <w:abstractNumId w:val="12"/>
  </w:num>
  <w:num w:numId="15" w16cid:durableId="1043283801">
    <w:abstractNumId w:val="16"/>
  </w:num>
  <w:num w:numId="16" w16cid:durableId="1884369140">
    <w:abstractNumId w:val="7"/>
  </w:num>
  <w:num w:numId="17" w16cid:durableId="179322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4974"/>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B56"/>
    <w:rsid w:val="00045DB6"/>
    <w:rsid w:val="00046E33"/>
    <w:rsid w:val="0004700F"/>
    <w:rsid w:val="0004767F"/>
    <w:rsid w:val="00047C7C"/>
    <w:rsid w:val="00050CE4"/>
    <w:rsid w:val="00051DFF"/>
    <w:rsid w:val="000525A8"/>
    <w:rsid w:val="00052A56"/>
    <w:rsid w:val="00052F16"/>
    <w:rsid w:val="000534DD"/>
    <w:rsid w:val="00053624"/>
    <w:rsid w:val="00053739"/>
    <w:rsid w:val="000564C1"/>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67AB"/>
    <w:rsid w:val="000B6FBD"/>
    <w:rsid w:val="000B7722"/>
    <w:rsid w:val="000C277C"/>
    <w:rsid w:val="000C2A2B"/>
    <w:rsid w:val="000C4D34"/>
    <w:rsid w:val="000C5A88"/>
    <w:rsid w:val="000C7205"/>
    <w:rsid w:val="000D0C85"/>
    <w:rsid w:val="000D2B6E"/>
    <w:rsid w:val="000D2C6C"/>
    <w:rsid w:val="000D32FE"/>
    <w:rsid w:val="000D43F2"/>
    <w:rsid w:val="000D4FC9"/>
    <w:rsid w:val="000D5017"/>
    <w:rsid w:val="000D787C"/>
    <w:rsid w:val="000D78FB"/>
    <w:rsid w:val="000D79C8"/>
    <w:rsid w:val="000D7C43"/>
    <w:rsid w:val="000E032F"/>
    <w:rsid w:val="000E10A0"/>
    <w:rsid w:val="000E2645"/>
    <w:rsid w:val="000E3E0A"/>
    <w:rsid w:val="000E46C6"/>
    <w:rsid w:val="000E489F"/>
    <w:rsid w:val="000E6B17"/>
    <w:rsid w:val="000E70DA"/>
    <w:rsid w:val="000E7761"/>
    <w:rsid w:val="000F068B"/>
    <w:rsid w:val="000F1811"/>
    <w:rsid w:val="000F1FB7"/>
    <w:rsid w:val="000F274D"/>
    <w:rsid w:val="000F2E95"/>
    <w:rsid w:val="000F2F00"/>
    <w:rsid w:val="000F3E4D"/>
    <w:rsid w:val="000F475A"/>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5A7F"/>
    <w:rsid w:val="00126088"/>
    <w:rsid w:val="00130259"/>
    <w:rsid w:val="00131119"/>
    <w:rsid w:val="00131728"/>
    <w:rsid w:val="00131D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57922"/>
    <w:rsid w:val="0016094F"/>
    <w:rsid w:val="00160EBF"/>
    <w:rsid w:val="001611CA"/>
    <w:rsid w:val="00163139"/>
    <w:rsid w:val="001641EF"/>
    <w:rsid w:val="00164F42"/>
    <w:rsid w:val="00167458"/>
    <w:rsid w:val="00171212"/>
    <w:rsid w:val="00171A39"/>
    <w:rsid w:val="00172937"/>
    <w:rsid w:val="0017323A"/>
    <w:rsid w:val="00173E32"/>
    <w:rsid w:val="001810AB"/>
    <w:rsid w:val="00182B4E"/>
    <w:rsid w:val="00185155"/>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49F5"/>
    <w:rsid w:val="001A7304"/>
    <w:rsid w:val="001A743E"/>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3658"/>
    <w:rsid w:val="001D55CD"/>
    <w:rsid w:val="001D56A7"/>
    <w:rsid w:val="001D5F93"/>
    <w:rsid w:val="001D775C"/>
    <w:rsid w:val="001D7990"/>
    <w:rsid w:val="001E0818"/>
    <w:rsid w:val="001E0E85"/>
    <w:rsid w:val="001E0FE1"/>
    <w:rsid w:val="001E11CF"/>
    <w:rsid w:val="001E1A78"/>
    <w:rsid w:val="001E3493"/>
    <w:rsid w:val="001E521F"/>
    <w:rsid w:val="001E64FB"/>
    <w:rsid w:val="001F04D7"/>
    <w:rsid w:val="001F1BAE"/>
    <w:rsid w:val="001F220A"/>
    <w:rsid w:val="001F249A"/>
    <w:rsid w:val="001F299F"/>
    <w:rsid w:val="001F43A5"/>
    <w:rsid w:val="002021A0"/>
    <w:rsid w:val="00202535"/>
    <w:rsid w:val="00202F36"/>
    <w:rsid w:val="00205AEF"/>
    <w:rsid w:val="002070FE"/>
    <w:rsid w:val="002075B9"/>
    <w:rsid w:val="002105F3"/>
    <w:rsid w:val="00210EF8"/>
    <w:rsid w:val="002117E9"/>
    <w:rsid w:val="00211A95"/>
    <w:rsid w:val="00214132"/>
    <w:rsid w:val="00214239"/>
    <w:rsid w:val="00216986"/>
    <w:rsid w:val="00217B84"/>
    <w:rsid w:val="00220C92"/>
    <w:rsid w:val="00220EF4"/>
    <w:rsid w:val="00221B1A"/>
    <w:rsid w:val="00222683"/>
    <w:rsid w:val="00223299"/>
    <w:rsid w:val="0022336C"/>
    <w:rsid w:val="00225F71"/>
    <w:rsid w:val="00226250"/>
    <w:rsid w:val="00226EF0"/>
    <w:rsid w:val="002272B1"/>
    <w:rsid w:val="0023021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44"/>
    <w:rsid w:val="00250068"/>
    <w:rsid w:val="002518FB"/>
    <w:rsid w:val="00252503"/>
    <w:rsid w:val="002577D5"/>
    <w:rsid w:val="00263812"/>
    <w:rsid w:val="00264E30"/>
    <w:rsid w:val="00265705"/>
    <w:rsid w:val="0026748B"/>
    <w:rsid w:val="00267B1A"/>
    <w:rsid w:val="00267DB4"/>
    <w:rsid w:val="002706D1"/>
    <w:rsid w:val="00271316"/>
    <w:rsid w:val="00271534"/>
    <w:rsid w:val="002727F0"/>
    <w:rsid w:val="0027324E"/>
    <w:rsid w:val="00273640"/>
    <w:rsid w:val="0027467B"/>
    <w:rsid w:val="0027522F"/>
    <w:rsid w:val="00276D8B"/>
    <w:rsid w:val="00277456"/>
    <w:rsid w:val="00277AE5"/>
    <w:rsid w:val="002807D8"/>
    <w:rsid w:val="00283A17"/>
    <w:rsid w:val="00284F06"/>
    <w:rsid w:val="002855CC"/>
    <w:rsid w:val="00286CF8"/>
    <w:rsid w:val="00287A83"/>
    <w:rsid w:val="00287EC4"/>
    <w:rsid w:val="0029029F"/>
    <w:rsid w:val="0029148D"/>
    <w:rsid w:val="00291B6D"/>
    <w:rsid w:val="00291FC5"/>
    <w:rsid w:val="00292E46"/>
    <w:rsid w:val="002956CD"/>
    <w:rsid w:val="00295872"/>
    <w:rsid w:val="00296ABC"/>
    <w:rsid w:val="00297F43"/>
    <w:rsid w:val="002A0F23"/>
    <w:rsid w:val="002A1F0F"/>
    <w:rsid w:val="002A2768"/>
    <w:rsid w:val="002A3540"/>
    <w:rsid w:val="002A66E6"/>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B4A"/>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6FF"/>
    <w:rsid w:val="002D7AED"/>
    <w:rsid w:val="002D7FEA"/>
    <w:rsid w:val="002E0832"/>
    <w:rsid w:val="002E0D3C"/>
    <w:rsid w:val="002E2023"/>
    <w:rsid w:val="002E2B5A"/>
    <w:rsid w:val="002F13BA"/>
    <w:rsid w:val="002F303F"/>
    <w:rsid w:val="002F30B0"/>
    <w:rsid w:val="002F3AD0"/>
    <w:rsid w:val="002F4A74"/>
    <w:rsid w:val="002F4F29"/>
    <w:rsid w:val="002F67CA"/>
    <w:rsid w:val="002F78E7"/>
    <w:rsid w:val="002F7F3D"/>
    <w:rsid w:val="00302262"/>
    <w:rsid w:val="00302F6A"/>
    <w:rsid w:val="00304243"/>
    <w:rsid w:val="0030455A"/>
    <w:rsid w:val="00304CEC"/>
    <w:rsid w:val="0030558A"/>
    <w:rsid w:val="003056DB"/>
    <w:rsid w:val="00306C89"/>
    <w:rsid w:val="00306E0F"/>
    <w:rsid w:val="00307A4B"/>
    <w:rsid w:val="0031170A"/>
    <w:rsid w:val="0031239D"/>
    <w:rsid w:val="00313037"/>
    <w:rsid w:val="00313293"/>
    <w:rsid w:val="003135AB"/>
    <w:rsid w:val="00313D57"/>
    <w:rsid w:val="003150B5"/>
    <w:rsid w:val="00316183"/>
    <w:rsid w:val="003167A9"/>
    <w:rsid w:val="00316D05"/>
    <w:rsid w:val="00320C0E"/>
    <w:rsid w:val="00321291"/>
    <w:rsid w:val="00321388"/>
    <w:rsid w:val="00323172"/>
    <w:rsid w:val="003237F1"/>
    <w:rsid w:val="00323CC5"/>
    <w:rsid w:val="00324450"/>
    <w:rsid w:val="00324A45"/>
    <w:rsid w:val="00325079"/>
    <w:rsid w:val="003264AC"/>
    <w:rsid w:val="00326F80"/>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32F"/>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94D"/>
    <w:rsid w:val="00370B88"/>
    <w:rsid w:val="00370FB2"/>
    <w:rsid w:val="003723F6"/>
    <w:rsid w:val="003728D4"/>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2937"/>
    <w:rsid w:val="00393DD5"/>
    <w:rsid w:val="00394EAF"/>
    <w:rsid w:val="00396DB7"/>
    <w:rsid w:val="003A1B16"/>
    <w:rsid w:val="003A2E72"/>
    <w:rsid w:val="003A47DE"/>
    <w:rsid w:val="003A4D88"/>
    <w:rsid w:val="003A6B17"/>
    <w:rsid w:val="003B01EE"/>
    <w:rsid w:val="003B08FA"/>
    <w:rsid w:val="003B233E"/>
    <w:rsid w:val="003B23B6"/>
    <w:rsid w:val="003B5E7E"/>
    <w:rsid w:val="003B62AD"/>
    <w:rsid w:val="003B792D"/>
    <w:rsid w:val="003B7C13"/>
    <w:rsid w:val="003C0B8D"/>
    <w:rsid w:val="003C0C09"/>
    <w:rsid w:val="003C12FF"/>
    <w:rsid w:val="003C1CBC"/>
    <w:rsid w:val="003C40D2"/>
    <w:rsid w:val="003C4378"/>
    <w:rsid w:val="003C4D76"/>
    <w:rsid w:val="003C58F4"/>
    <w:rsid w:val="003C59DB"/>
    <w:rsid w:val="003C671D"/>
    <w:rsid w:val="003D0046"/>
    <w:rsid w:val="003D0155"/>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56E5"/>
    <w:rsid w:val="003F782B"/>
    <w:rsid w:val="004001DD"/>
    <w:rsid w:val="004009D0"/>
    <w:rsid w:val="0040192B"/>
    <w:rsid w:val="004020B2"/>
    <w:rsid w:val="0040308D"/>
    <w:rsid w:val="00404278"/>
    <w:rsid w:val="004046DC"/>
    <w:rsid w:val="00404966"/>
    <w:rsid w:val="00405940"/>
    <w:rsid w:val="00411E96"/>
    <w:rsid w:val="00411F26"/>
    <w:rsid w:val="00414394"/>
    <w:rsid w:val="00414776"/>
    <w:rsid w:val="004151AA"/>
    <w:rsid w:val="00417C4A"/>
    <w:rsid w:val="00417C65"/>
    <w:rsid w:val="00417E97"/>
    <w:rsid w:val="00420597"/>
    <w:rsid w:val="00420A37"/>
    <w:rsid w:val="00420BE9"/>
    <w:rsid w:val="00420FDD"/>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37D6E"/>
    <w:rsid w:val="0044129C"/>
    <w:rsid w:val="00441B1B"/>
    <w:rsid w:val="00441C39"/>
    <w:rsid w:val="00444981"/>
    <w:rsid w:val="00445238"/>
    <w:rsid w:val="00445F3D"/>
    <w:rsid w:val="00447915"/>
    <w:rsid w:val="0044792C"/>
    <w:rsid w:val="00447FC2"/>
    <w:rsid w:val="004501DA"/>
    <w:rsid w:val="00451EA7"/>
    <w:rsid w:val="00452149"/>
    <w:rsid w:val="004523DB"/>
    <w:rsid w:val="0045264D"/>
    <w:rsid w:val="00453883"/>
    <w:rsid w:val="004547C7"/>
    <w:rsid w:val="004554B6"/>
    <w:rsid w:val="004574A5"/>
    <w:rsid w:val="00463FA9"/>
    <w:rsid w:val="004642E2"/>
    <w:rsid w:val="00464318"/>
    <w:rsid w:val="0046622B"/>
    <w:rsid w:val="004663F6"/>
    <w:rsid w:val="00466F6A"/>
    <w:rsid w:val="0047029E"/>
    <w:rsid w:val="00470E6B"/>
    <w:rsid w:val="004718EE"/>
    <w:rsid w:val="00471C53"/>
    <w:rsid w:val="00472651"/>
    <w:rsid w:val="00472D0C"/>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34F"/>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021"/>
    <w:rsid w:val="004A4C3A"/>
    <w:rsid w:val="004A55E3"/>
    <w:rsid w:val="004A578D"/>
    <w:rsid w:val="004A74A3"/>
    <w:rsid w:val="004A781E"/>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6F17"/>
    <w:rsid w:val="004E7F32"/>
    <w:rsid w:val="004F0791"/>
    <w:rsid w:val="004F2810"/>
    <w:rsid w:val="004F2AC2"/>
    <w:rsid w:val="004F2BB3"/>
    <w:rsid w:val="004F35F7"/>
    <w:rsid w:val="004F36DC"/>
    <w:rsid w:val="004F3BB5"/>
    <w:rsid w:val="004F3DCA"/>
    <w:rsid w:val="004F41D6"/>
    <w:rsid w:val="004F492C"/>
    <w:rsid w:val="004F5147"/>
    <w:rsid w:val="004F5C87"/>
    <w:rsid w:val="004F623B"/>
    <w:rsid w:val="004F6300"/>
    <w:rsid w:val="004F674F"/>
    <w:rsid w:val="004F6D8E"/>
    <w:rsid w:val="005012EA"/>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508"/>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3376"/>
    <w:rsid w:val="0054458C"/>
    <w:rsid w:val="0054585B"/>
    <w:rsid w:val="00547EC6"/>
    <w:rsid w:val="005519B3"/>
    <w:rsid w:val="00551D01"/>
    <w:rsid w:val="00551F42"/>
    <w:rsid w:val="00552670"/>
    <w:rsid w:val="00552B0D"/>
    <w:rsid w:val="005544E5"/>
    <w:rsid w:val="00554F44"/>
    <w:rsid w:val="005551E2"/>
    <w:rsid w:val="00555488"/>
    <w:rsid w:val="00555832"/>
    <w:rsid w:val="005559E4"/>
    <w:rsid w:val="00557400"/>
    <w:rsid w:val="00557CB4"/>
    <w:rsid w:val="00560680"/>
    <w:rsid w:val="005616BE"/>
    <w:rsid w:val="00562528"/>
    <w:rsid w:val="005643A5"/>
    <w:rsid w:val="0056498C"/>
    <w:rsid w:val="0056541F"/>
    <w:rsid w:val="00565857"/>
    <w:rsid w:val="005667B4"/>
    <w:rsid w:val="00567370"/>
    <w:rsid w:val="00571306"/>
    <w:rsid w:val="00571457"/>
    <w:rsid w:val="00571D5D"/>
    <w:rsid w:val="00574B76"/>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AA2"/>
    <w:rsid w:val="005A3E36"/>
    <w:rsid w:val="005A63A6"/>
    <w:rsid w:val="005A65A1"/>
    <w:rsid w:val="005B0177"/>
    <w:rsid w:val="005B0815"/>
    <w:rsid w:val="005B0854"/>
    <w:rsid w:val="005B169C"/>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0CD5"/>
    <w:rsid w:val="005F1F3F"/>
    <w:rsid w:val="005F21A4"/>
    <w:rsid w:val="005F2BC8"/>
    <w:rsid w:val="005F3118"/>
    <w:rsid w:val="005F342F"/>
    <w:rsid w:val="005F376F"/>
    <w:rsid w:val="005F3ACD"/>
    <w:rsid w:val="005F3D40"/>
    <w:rsid w:val="005F5895"/>
    <w:rsid w:val="005F70A5"/>
    <w:rsid w:val="006000B9"/>
    <w:rsid w:val="00600EF4"/>
    <w:rsid w:val="00601498"/>
    <w:rsid w:val="00601AA2"/>
    <w:rsid w:val="00603031"/>
    <w:rsid w:val="00603359"/>
    <w:rsid w:val="006068E3"/>
    <w:rsid w:val="00607403"/>
    <w:rsid w:val="00607E56"/>
    <w:rsid w:val="00611124"/>
    <w:rsid w:val="00611E23"/>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6D9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368B"/>
    <w:rsid w:val="00645F41"/>
    <w:rsid w:val="0064747C"/>
    <w:rsid w:val="00647CE9"/>
    <w:rsid w:val="00650A31"/>
    <w:rsid w:val="00651266"/>
    <w:rsid w:val="00651372"/>
    <w:rsid w:val="00651DD8"/>
    <w:rsid w:val="00652701"/>
    <w:rsid w:val="00653388"/>
    <w:rsid w:val="00653C64"/>
    <w:rsid w:val="00655C57"/>
    <w:rsid w:val="006564F3"/>
    <w:rsid w:val="00656E91"/>
    <w:rsid w:val="00657E72"/>
    <w:rsid w:val="006617E8"/>
    <w:rsid w:val="00663BB3"/>
    <w:rsid w:val="00663E0F"/>
    <w:rsid w:val="006640D6"/>
    <w:rsid w:val="006657A7"/>
    <w:rsid w:val="00666306"/>
    <w:rsid w:val="006673E4"/>
    <w:rsid w:val="00670CDD"/>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5C35"/>
    <w:rsid w:val="006862F0"/>
    <w:rsid w:val="0068633F"/>
    <w:rsid w:val="006867ED"/>
    <w:rsid w:val="00691712"/>
    <w:rsid w:val="00691D4E"/>
    <w:rsid w:val="00692C25"/>
    <w:rsid w:val="00692E06"/>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2DC"/>
    <w:rsid w:val="006A449F"/>
    <w:rsid w:val="006A4DD7"/>
    <w:rsid w:val="006A55B6"/>
    <w:rsid w:val="006A56DE"/>
    <w:rsid w:val="006A613A"/>
    <w:rsid w:val="006A6682"/>
    <w:rsid w:val="006B00C7"/>
    <w:rsid w:val="006B1C58"/>
    <w:rsid w:val="006B2290"/>
    <w:rsid w:val="006B2AC1"/>
    <w:rsid w:val="006B634C"/>
    <w:rsid w:val="006B6AC8"/>
    <w:rsid w:val="006C0E96"/>
    <w:rsid w:val="006C1E6B"/>
    <w:rsid w:val="006C20FF"/>
    <w:rsid w:val="006C256A"/>
    <w:rsid w:val="006C339A"/>
    <w:rsid w:val="006C4645"/>
    <w:rsid w:val="006C4E1A"/>
    <w:rsid w:val="006C6F63"/>
    <w:rsid w:val="006D13B9"/>
    <w:rsid w:val="006D1807"/>
    <w:rsid w:val="006D28C3"/>
    <w:rsid w:val="006D36DA"/>
    <w:rsid w:val="006D6954"/>
    <w:rsid w:val="006D69EB"/>
    <w:rsid w:val="006D6C96"/>
    <w:rsid w:val="006D765E"/>
    <w:rsid w:val="006E0B09"/>
    <w:rsid w:val="006E0EC8"/>
    <w:rsid w:val="006E1A9D"/>
    <w:rsid w:val="006E2164"/>
    <w:rsid w:val="006E3FAA"/>
    <w:rsid w:val="006E4FB7"/>
    <w:rsid w:val="006E7EED"/>
    <w:rsid w:val="006F049B"/>
    <w:rsid w:val="006F1193"/>
    <w:rsid w:val="006F13E7"/>
    <w:rsid w:val="006F179D"/>
    <w:rsid w:val="006F2144"/>
    <w:rsid w:val="006F3AB1"/>
    <w:rsid w:val="006F5905"/>
    <w:rsid w:val="0070001E"/>
    <w:rsid w:val="0070207D"/>
    <w:rsid w:val="007031EF"/>
    <w:rsid w:val="00703A87"/>
    <w:rsid w:val="00704D53"/>
    <w:rsid w:val="007053C4"/>
    <w:rsid w:val="00705CE6"/>
    <w:rsid w:val="007065AD"/>
    <w:rsid w:val="00706660"/>
    <w:rsid w:val="00707D68"/>
    <w:rsid w:val="007104FC"/>
    <w:rsid w:val="00710FA2"/>
    <w:rsid w:val="00711A1D"/>
    <w:rsid w:val="00712472"/>
    <w:rsid w:val="0071358F"/>
    <w:rsid w:val="00713C7A"/>
    <w:rsid w:val="00714961"/>
    <w:rsid w:val="0071546F"/>
    <w:rsid w:val="00715C68"/>
    <w:rsid w:val="00715ECD"/>
    <w:rsid w:val="00716426"/>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72F"/>
    <w:rsid w:val="00732A50"/>
    <w:rsid w:val="007366E9"/>
    <w:rsid w:val="00736980"/>
    <w:rsid w:val="0073744A"/>
    <w:rsid w:val="00737BCF"/>
    <w:rsid w:val="00741AE5"/>
    <w:rsid w:val="00741E8B"/>
    <w:rsid w:val="00743246"/>
    <w:rsid w:val="007437E8"/>
    <w:rsid w:val="007448B7"/>
    <w:rsid w:val="00745A42"/>
    <w:rsid w:val="007462A8"/>
    <w:rsid w:val="0074657E"/>
    <w:rsid w:val="00746855"/>
    <w:rsid w:val="00750025"/>
    <w:rsid w:val="007544B2"/>
    <w:rsid w:val="00754A23"/>
    <w:rsid w:val="007613A3"/>
    <w:rsid w:val="0076184C"/>
    <w:rsid w:val="00761973"/>
    <w:rsid w:val="00762738"/>
    <w:rsid w:val="00762FCF"/>
    <w:rsid w:val="00765EA3"/>
    <w:rsid w:val="007670DA"/>
    <w:rsid w:val="00771557"/>
    <w:rsid w:val="00772CEB"/>
    <w:rsid w:val="00772E1A"/>
    <w:rsid w:val="00773E26"/>
    <w:rsid w:val="0077520F"/>
    <w:rsid w:val="00775790"/>
    <w:rsid w:val="00777437"/>
    <w:rsid w:val="007803D2"/>
    <w:rsid w:val="00781711"/>
    <w:rsid w:val="00782B46"/>
    <w:rsid w:val="007843E3"/>
    <w:rsid w:val="00785543"/>
    <w:rsid w:val="007856B2"/>
    <w:rsid w:val="007872F2"/>
    <w:rsid w:val="007873F0"/>
    <w:rsid w:val="0078749A"/>
    <w:rsid w:val="007908B2"/>
    <w:rsid w:val="00791BD7"/>
    <w:rsid w:val="00792F9C"/>
    <w:rsid w:val="00793972"/>
    <w:rsid w:val="0079464D"/>
    <w:rsid w:val="00794FB2"/>
    <w:rsid w:val="00795054"/>
    <w:rsid w:val="00795CF1"/>
    <w:rsid w:val="00797658"/>
    <w:rsid w:val="00797759"/>
    <w:rsid w:val="00797D60"/>
    <w:rsid w:val="00797FBA"/>
    <w:rsid w:val="007A02AE"/>
    <w:rsid w:val="007A12AE"/>
    <w:rsid w:val="007A2064"/>
    <w:rsid w:val="007A57E6"/>
    <w:rsid w:val="007A63D2"/>
    <w:rsid w:val="007A72A7"/>
    <w:rsid w:val="007A76B2"/>
    <w:rsid w:val="007B31BA"/>
    <w:rsid w:val="007B44B9"/>
    <w:rsid w:val="007B4D16"/>
    <w:rsid w:val="007B5A81"/>
    <w:rsid w:val="007C0306"/>
    <w:rsid w:val="007C0646"/>
    <w:rsid w:val="007C1248"/>
    <w:rsid w:val="007C1D87"/>
    <w:rsid w:val="007C1FBF"/>
    <w:rsid w:val="007C28E0"/>
    <w:rsid w:val="007C2CA7"/>
    <w:rsid w:val="007C4151"/>
    <w:rsid w:val="007C4A32"/>
    <w:rsid w:val="007C614E"/>
    <w:rsid w:val="007C618F"/>
    <w:rsid w:val="007C6620"/>
    <w:rsid w:val="007C6A68"/>
    <w:rsid w:val="007C6ECB"/>
    <w:rsid w:val="007C6F12"/>
    <w:rsid w:val="007D0631"/>
    <w:rsid w:val="007D1488"/>
    <w:rsid w:val="007D3656"/>
    <w:rsid w:val="007D3C6F"/>
    <w:rsid w:val="007D5716"/>
    <w:rsid w:val="007D5EA5"/>
    <w:rsid w:val="007D769E"/>
    <w:rsid w:val="007D7981"/>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4DF3"/>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3D27"/>
    <w:rsid w:val="008143EE"/>
    <w:rsid w:val="008150EF"/>
    <w:rsid w:val="00816238"/>
    <w:rsid w:val="0081672C"/>
    <w:rsid w:val="00816D32"/>
    <w:rsid w:val="00821962"/>
    <w:rsid w:val="00821E24"/>
    <w:rsid w:val="00825BFC"/>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4E88"/>
    <w:rsid w:val="008458D6"/>
    <w:rsid w:val="00845EA4"/>
    <w:rsid w:val="00846466"/>
    <w:rsid w:val="00846619"/>
    <w:rsid w:val="0085038C"/>
    <w:rsid w:val="0085093C"/>
    <w:rsid w:val="0085223D"/>
    <w:rsid w:val="00852A72"/>
    <w:rsid w:val="00853788"/>
    <w:rsid w:val="00855527"/>
    <w:rsid w:val="00855A06"/>
    <w:rsid w:val="008566B3"/>
    <w:rsid w:val="0085737C"/>
    <w:rsid w:val="0085767C"/>
    <w:rsid w:val="00861B38"/>
    <w:rsid w:val="0086212B"/>
    <w:rsid w:val="008624FE"/>
    <w:rsid w:val="0086366E"/>
    <w:rsid w:val="0086474A"/>
    <w:rsid w:val="00864C23"/>
    <w:rsid w:val="00864FD7"/>
    <w:rsid w:val="00865008"/>
    <w:rsid w:val="008653E3"/>
    <w:rsid w:val="0086569B"/>
    <w:rsid w:val="00865709"/>
    <w:rsid w:val="00866330"/>
    <w:rsid w:val="00866881"/>
    <w:rsid w:val="008671C0"/>
    <w:rsid w:val="00867635"/>
    <w:rsid w:val="00870EE8"/>
    <w:rsid w:val="00871264"/>
    <w:rsid w:val="008713E0"/>
    <w:rsid w:val="008726F3"/>
    <w:rsid w:val="00872814"/>
    <w:rsid w:val="00872E5E"/>
    <w:rsid w:val="008738B5"/>
    <w:rsid w:val="008739B6"/>
    <w:rsid w:val="008748AB"/>
    <w:rsid w:val="0087674C"/>
    <w:rsid w:val="00876817"/>
    <w:rsid w:val="008772D4"/>
    <w:rsid w:val="008776BB"/>
    <w:rsid w:val="00877822"/>
    <w:rsid w:val="008815D6"/>
    <w:rsid w:val="00881B55"/>
    <w:rsid w:val="00881F64"/>
    <w:rsid w:val="0088641B"/>
    <w:rsid w:val="00886CCC"/>
    <w:rsid w:val="0088729C"/>
    <w:rsid w:val="008879C8"/>
    <w:rsid w:val="00887F26"/>
    <w:rsid w:val="00891AB5"/>
    <w:rsid w:val="00892233"/>
    <w:rsid w:val="00892762"/>
    <w:rsid w:val="00892DE3"/>
    <w:rsid w:val="00892F92"/>
    <w:rsid w:val="00892FB1"/>
    <w:rsid w:val="008941E2"/>
    <w:rsid w:val="008955DE"/>
    <w:rsid w:val="00895C10"/>
    <w:rsid w:val="00897991"/>
    <w:rsid w:val="008A173D"/>
    <w:rsid w:val="008A3D19"/>
    <w:rsid w:val="008A5632"/>
    <w:rsid w:val="008A58EF"/>
    <w:rsid w:val="008A69D6"/>
    <w:rsid w:val="008B04D6"/>
    <w:rsid w:val="008B193A"/>
    <w:rsid w:val="008B2554"/>
    <w:rsid w:val="008B4CE1"/>
    <w:rsid w:val="008B55A0"/>
    <w:rsid w:val="008B5973"/>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0A05"/>
    <w:rsid w:val="008D133B"/>
    <w:rsid w:val="008D1D7E"/>
    <w:rsid w:val="008D293B"/>
    <w:rsid w:val="008D30C8"/>
    <w:rsid w:val="008D31AA"/>
    <w:rsid w:val="008D3858"/>
    <w:rsid w:val="008D38DA"/>
    <w:rsid w:val="008D3C2A"/>
    <w:rsid w:val="008D42A1"/>
    <w:rsid w:val="008D4711"/>
    <w:rsid w:val="008D5DAD"/>
    <w:rsid w:val="008D6D1D"/>
    <w:rsid w:val="008D75E0"/>
    <w:rsid w:val="008D77E6"/>
    <w:rsid w:val="008E20B7"/>
    <w:rsid w:val="008E2785"/>
    <w:rsid w:val="008E49FF"/>
    <w:rsid w:val="008E64B4"/>
    <w:rsid w:val="008E66AD"/>
    <w:rsid w:val="008E6C77"/>
    <w:rsid w:val="008F03AB"/>
    <w:rsid w:val="008F1C64"/>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261"/>
    <w:rsid w:val="00907816"/>
    <w:rsid w:val="009109BC"/>
    <w:rsid w:val="00910E03"/>
    <w:rsid w:val="00911425"/>
    <w:rsid w:val="00911663"/>
    <w:rsid w:val="00913617"/>
    <w:rsid w:val="00913C46"/>
    <w:rsid w:val="00916F95"/>
    <w:rsid w:val="00917A4D"/>
    <w:rsid w:val="00920621"/>
    <w:rsid w:val="00921CBA"/>
    <w:rsid w:val="00924282"/>
    <w:rsid w:val="00925AAA"/>
    <w:rsid w:val="009261EC"/>
    <w:rsid w:val="00927093"/>
    <w:rsid w:val="009334EE"/>
    <w:rsid w:val="00933743"/>
    <w:rsid w:val="00933881"/>
    <w:rsid w:val="00933D25"/>
    <w:rsid w:val="00933EF4"/>
    <w:rsid w:val="00934C1F"/>
    <w:rsid w:val="0093544F"/>
    <w:rsid w:val="00935482"/>
    <w:rsid w:val="00937382"/>
    <w:rsid w:val="009377DB"/>
    <w:rsid w:val="00937F94"/>
    <w:rsid w:val="009404D5"/>
    <w:rsid w:val="00940735"/>
    <w:rsid w:val="00941C11"/>
    <w:rsid w:val="00943B47"/>
    <w:rsid w:val="00943EDC"/>
    <w:rsid w:val="00946CB5"/>
    <w:rsid w:val="009478FB"/>
    <w:rsid w:val="009508CC"/>
    <w:rsid w:val="0095199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5C86"/>
    <w:rsid w:val="00976C2F"/>
    <w:rsid w:val="00980138"/>
    <w:rsid w:val="00980678"/>
    <w:rsid w:val="009818A9"/>
    <w:rsid w:val="00981E49"/>
    <w:rsid w:val="00982239"/>
    <w:rsid w:val="00982810"/>
    <w:rsid w:val="0098420D"/>
    <w:rsid w:val="009853D4"/>
    <w:rsid w:val="00985F22"/>
    <w:rsid w:val="00986E4A"/>
    <w:rsid w:val="00987599"/>
    <w:rsid w:val="00987F1B"/>
    <w:rsid w:val="0099354D"/>
    <w:rsid w:val="009941E5"/>
    <w:rsid w:val="0099422B"/>
    <w:rsid w:val="0099423F"/>
    <w:rsid w:val="009954FF"/>
    <w:rsid w:val="00995F67"/>
    <w:rsid w:val="00996124"/>
    <w:rsid w:val="00996973"/>
    <w:rsid w:val="009A09DC"/>
    <w:rsid w:val="009A10CB"/>
    <w:rsid w:val="009A1F4E"/>
    <w:rsid w:val="009A2446"/>
    <w:rsid w:val="009A2997"/>
    <w:rsid w:val="009A2CCC"/>
    <w:rsid w:val="009A6C62"/>
    <w:rsid w:val="009A7236"/>
    <w:rsid w:val="009B038A"/>
    <w:rsid w:val="009B129B"/>
    <w:rsid w:val="009B1686"/>
    <w:rsid w:val="009B1BC4"/>
    <w:rsid w:val="009B5CE3"/>
    <w:rsid w:val="009B5FAE"/>
    <w:rsid w:val="009C0168"/>
    <w:rsid w:val="009C075B"/>
    <w:rsid w:val="009C19B6"/>
    <w:rsid w:val="009C221F"/>
    <w:rsid w:val="009C2DA2"/>
    <w:rsid w:val="009C3DB3"/>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143"/>
    <w:rsid w:val="009F4A5E"/>
    <w:rsid w:val="009F5D28"/>
    <w:rsid w:val="009F6651"/>
    <w:rsid w:val="009F6E9F"/>
    <w:rsid w:val="009F7652"/>
    <w:rsid w:val="00A009B1"/>
    <w:rsid w:val="00A012B5"/>
    <w:rsid w:val="00A018C0"/>
    <w:rsid w:val="00A0194B"/>
    <w:rsid w:val="00A04D3A"/>
    <w:rsid w:val="00A05C7D"/>
    <w:rsid w:val="00A06DD0"/>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9F2"/>
    <w:rsid w:val="00A56D80"/>
    <w:rsid w:val="00A60E82"/>
    <w:rsid w:val="00A62904"/>
    <w:rsid w:val="00A63788"/>
    <w:rsid w:val="00A64D5F"/>
    <w:rsid w:val="00A65D03"/>
    <w:rsid w:val="00A668F8"/>
    <w:rsid w:val="00A7079B"/>
    <w:rsid w:val="00A70E9D"/>
    <w:rsid w:val="00A7195C"/>
    <w:rsid w:val="00A732F2"/>
    <w:rsid w:val="00A7363A"/>
    <w:rsid w:val="00A73967"/>
    <w:rsid w:val="00A74067"/>
    <w:rsid w:val="00A75EAE"/>
    <w:rsid w:val="00A76973"/>
    <w:rsid w:val="00A819EC"/>
    <w:rsid w:val="00A81EC6"/>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6DFC"/>
    <w:rsid w:val="00AA7468"/>
    <w:rsid w:val="00AA7E95"/>
    <w:rsid w:val="00AB0B6A"/>
    <w:rsid w:val="00AB12CA"/>
    <w:rsid w:val="00AB18E5"/>
    <w:rsid w:val="00AB2B18"/>
    <w:rsid w:val="00AB2FA2"/>
    <w:rsid w:val="00AB608F"/>
    <w:rsid w:val="00AC2BC7"/>
    <w:rsid w:val="00AC3350"/>
    <w:rsid w:val="00AC49F5"/>
    <w:rsid w:val="00AC4DC3"/>
    <w:rsid w:val="00AC5875"/>
    <w:rsid w:val="00AC723F"/>
    <w:rsid w:val="00AC7349"/>
    <w:rsid w:val="00AC7740"/>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E6C5A"/>
    <w:rsid w:val="00AF05D6"/>
    <w:rsid w:val="00AF1133"/>
    <w:rsid w:val="00AF1E16"/>
    <w:rsid w:val="00AF27C3"/>
    <w:rsid w:val="00AF29ED"/>
    <w:rsid w:val="00AF390D"/>
    <w:rsid w:val="00AF3F6F"/>
    <w:rsid w:val="00AF3F85"/>
    <w:rsid w:val="00AF405C"/>
    <w:rsid w:val="00AF567C"/>
    <w:rsid w:val="00AF7120"/>
    <w:rsid w:val="00AF763D"/>
    <w:rsid w:val="00B00746"/>
    <w:rsid w:val="00B02116"/>
    <w:rsid w:val="00B026F6"/>
    <w:rsid w:val="00B03583"/>
    <w:rsid w:val="00B0725E"/>
    <w:rsid w:val="00B11162"/>
    <w:rsid w:val="00B11C49"/>
    <w:rsid w:val="00B11DF9"/>
    <w:rsid w:val="00B12ED1"/>
    <w:rsid w:val="00B1372E"/>
    <w:rsid w:val="00B13B00"/>
    <w:rsid w:val="00B17038"/>
    <w:rsid w:val="00B17ACC"/>
    <w:rsid w:val="00B17BDC"/>
    <w:rsid w:val="00B17DE3"/>
    <w:rsid w:val="00B20B23"/>
    <w:rsid w:val="00B22000"/>
    <w:rsid w:val="00B23A1B"/>
    <w:rsid w:val="00B2414A"/>
    <w:rsid w:val="00B2524A"/>
    <w:rsid w:val="00B26AD9"/>
    <w:rsid w:val="00B2788E"/>
    <w:rsid w:val="00B315E3"/>
    <w:rsid w:val="00B31E95"/>
    <w:rsid w:val="00B34DC9"/>
    <w:rsid w:val="00B35D07"/>
    <w:rsid w:val="00B36DE0"/>
    <w:rsid w:val="00B40AF2"/>
    <w:rsid w:val="00B4108E"/>
    <w:rsid w:val="00B4219A"/>
    <w:rsid w:val="00B42710"/>
    <w:rsid w:val="00B43430"/>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051"/>
    <w:rsid w:val="00B91E1A"/>
    <w:rsid w:val="00B93ACD"/>
    <w:rsid w:val="00B95B79"/>
    <w:rsid w:val="00B96179"/>
    <w:rsid w:val="00B962F1"/>
    <w:rsid w:val="00B96A28"/>
    <w:rsid w:val="00B96A91"/>
    <w:rsid w:val="00B9780D"/>
    <w:rsid w:val="00BA1A01"/>
    <w:rsid w:val="00BA2477"/>
    <w:rsid w:val="00BA3E74"/>
    <w:rsid w:val="00BA4B26"/>
    <w:rsid w:val="00BA554A"/>
    <w:rsid w:val="00BA69DD"/>
    <w:rsid w:val="00BA6A97"/>
    <w:rsid w:val="00BA7835"/>
    <w:rsid w:val="00BB024C"/>
    <w:rsid w:val="00BB0342"/>
    <w:rsid w:val="00BB0576"/>
    <w:rsid w:val="00BB0875"/>
    <w:rsid w:val="00BB0B9E"/>
    <w:rsid w:val="00BB3084"/>
    <w:rsid w:val="00BB360D"/>
    <w:rsid w:val="00BB4C93"/>
    <w:rsid w:val="00BB5A5C"/>
    <w:rsid w:val="00BC0DC1"/>
    <w:rsid w:val="00BC1B88"/>
    <w:rsid w:val="00BC2259"/>
    <w:rsid w:val="00BC2691"/>
    <w:rsid w:val="00BC308E"/>
    <w:rsid w:val="00BC439F"/>
    <w:rsid w:val="00BC668D"/>
    <w:rsid w:val="00BD0F4A"/>
    <w:rsid w:val="00BD10B8"/>
    <w:rsid w:val="00BD28CE"/>
    <w:rsid w:val="00BD33DA"/>
    <w:rsid w:val="00BD3629"/>
    <w:rsid w:val="00BD3814"/>
    <w:rsid w:val="00BD4146"/>
    <w:rsid w:val="00BD417E"/>
    <w:rsid w:val="00BE0857"/>
    <w:rsid w:val="00BE1489"/>
    <w:rsid w:val="00BE15CE"/>
    <w:rsid w:val="00BE2E12"/>
    <w:rsid w:val="00BE3255"/>
    <w:rsid w:val="00BE3F0F"/>
    <w:rsid w:val="00BE4AF0"/>
    <w:rsid w:val="00BE6E77"/>
    <w:rsid w:val="00BE7002"/>
    <w:rsid w:val="00BF0D84"/>
    <w:rsid w:val="00BF13E3"/>
    <w:rsid w:val="00BF23F0"/>
    <w:rsid w:val="00BF5950"/>
    <w:rsid w:val="00BF5F9C"/>
    <w:rsid w:val="00BF6102"/>
    <w:rsid w:val="00BF6145"/>
    <w:rsid w:val="00BF65AA"/>
    <w:rsid w:val="00C02BED"/>
    <w:rsid w:val="00C03001"/>
    <w:rsid w:val="00C0319A"/>
    <w:rsid w:val="00C037FE"/>
    <w:rsid w:val="00C03E0A"/>
    <w:rsid w:val="00C03FA3"/>
    <w:rsid w:val="00C04F78"/>
    <w:rsid w:val="00C0504C"/>
    <w:rsid w:val="00C056DF"/>
    <w:rsid w:val="00C05F52"/>
    <w:rsid w:val="00C06D72"/>
    <w:rsid w:val="00C12FD6"/>
    <w:rsid w:val="00C13474"/>
    <w:rsid w:val="00C13BFD"/>
    <w:rsid w:val="00C1562B"/>
    <w:rsid w:val="00C16736"/>
    <w:rsid w:val="00C16CDD"/>
    <w:rsid w:val="00C172F1"/>
    <w:rsid w:val="00C17CD7"/>
    <w:rsid w:val="00C20904"/>
    <w:rsid w:val="00C223B4"/>
    <w:rsid w:val="00C22CC5"/>
    <w:rsid w:val="00C22FE4"/>
    <w:rsid w:val="00C236CC"/>
    <w:rsid w:val="00C23900"/>
    <w:rsid w:val="00C2423E"/>
    <w:rsid w:val="00C2470C"/>
    <w:rsid w:val="00C262FD"/>
    <w:rsid w:val="00C26C2C"/>
    <w:rsid w:val="00C27124"/>
    <w:rsid w:val="00C2722A"/>
    <w:rsid w:val="00C27CE7"/>
    <w:rsid w:val="00C340D5"/>
    <w:rsid w:val="00C344CF"/>
    <w:rsid w:val="00C34632"/>
    <w:rsid w:val="00C346CB"/>
    <w:rsid w:val="00C34AA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1EF7"/>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612"/>
    <w:rsid w:val="00C968BA"/>
    <w:rsid w:val="00C9699B"/>
    <w:rsid w:val="00C97192"/>
    <w:rsid w:val="00C97420"/>
    <w:rsid w:val="00C97642"/>
    <w:rsid w:val="00C978F4"/>
    <w:rsid w:val="00C97C77"/>
    <w:rsid w:val="00CA139B"/>
    <w:rsid w:val="00CA1DCD"/>
    <w:rsid w:val="00CA2A35"/>
    <w:rsid w:val="00CA2B89"/>
    <w:rsid w:val="00CA346A"/>
    <w:rsid w:val="00CA3545"/>
    <w:rsid w:val="00CA3E01"/>
    <w:rsid w:val="00CA6EBC"/>
    <w:rsid w:val="00CB10F0"/>
    <w:rsid w:val="00CB2358"/>
    <w:rsid w:val="00CB3239"/>
    <w:rsid w:val="00CB38B1"/>
    <w:rsid w:val="00CB4C80"/>
    <w:rsid w:val="00CB5573"/>
    <w:rsid w:val="00CB6304"/>
    <w:rsid w:val="00CB796F"/>
    <w:rsid w:val="00CC228D"/>
    <w:rsid w:val="00CC22A2"/>
    <w:rsid w:val="00CC2C4F"/>
    <w:rsid w:val="00CC30BE"/>
    <w:rsid w:val="00CC3C86"/>
    <w:rsid w:val="00CC4B83"/>
    <w:rsid w:val="00CD004B"/>
    <w:rsid w:val="00CD0461"/>
    <w:rsid w:val="00CD2F7A"/>
    <w:rsid w:val="00CD7CFC"/>
    <w:rsid w:val="00CD7EC8"/>
    <w:rsid w:val="00CE2EBF"/>
    <w:rsid w:val="00CE3B63"/>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34BB"/>
    <w:rsid w:val="00CF555D"/>
    <w:rsid w:val="00CF7AD0"/>
    <w:rsid w:val="00D00A0C"/>
    <w:rsid w:val="00D0476C"/>
    <w:rsid w:val="00D054E9"/>
    <w:rsid w:val="00D05671"/>
    <w:rsid w:val="00D0594D"/>
    <w:rsid w:val="00D05FFE"/>
    <w:rsid w:val="00D0632B"/>
    <w:rsid w:val="00D1025E"/>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1C12"/>
    <w:rsid w:val="00D22B7A"/>
    <w:rsid w:val="00D22BFA"/>
    <w:rsid w:val="00D235ED"/>
    <w:rsid w:val="00D23627"/>
    <w:rsid w:val="00D24019"/>
    <w:rsid w:val="00D265BE"/>
    <w:rsid w:val="00D27593"/>
    <w:rsid w:val="00D3112D"/>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5B92"/>
    <w:rsid w:val="00D574BD"/>
    <w:rsid w:val="00D61356"/>
    <w:rsid w:val="00D6200A"/>
    <w:rsid w:val="00D639F1"/>
    <w:rsid w:val="00D640D5"/>
    <w:rsid w:val="00D666A2"/>
    <w:rsid w:val="00D674DE"/>
    <w:rsid w:val="00D67720"/>
    <w:rsid w:val="00D7046B"/>
    <w:rsid w:val="00D70A24"/>
    <w:rsid w:val="00D71DF2"/>
    <w:rsid w:val="00D72F48"/>
    <w:rsid w:val="00D7316F"/>
    <w:rsid w:val="00D735B2"/>
    <w:rsid w:val="00D73735"/>
    <w:rsid w:val="00D74B2C"/>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2C0"/>
    <w:rsid w:val="00D946D5"/>
    <w:rsid w:val="00D95FE4"/>
    <w:rsid w:val="00D96758"/>
    <w:rsid w:val="00DA0828"/>
    <w:rsid w:val="00DA13A0"/>
    <w:rsid w:val="00DA14A6"/>
    <w:rsid w:val="00DA1C48"/>
    <w:rsid w:val="00DA1FD9"/>
    <w:rsid w:val="00DA3690"/>
    <w:rsid w:val="00DA3732"/>
    <w:rsid w:val="00DA4040"/>
    <w:rsid w:val="00DA41D4"/>
    <w:rsid w:val="00DA4F02"/>
    <w:rsid w:val="00DA72D7"/>
    <w:rsid w:val="00DB2BCF"/>
    <w:rsid w:val="00DB324F"/>
    <w:rsid w:val="00DB5D28"/>
    <w:rsid w:val="00DB5DCB"/>
    <w:rsid w:val="00DB6F91"/>
    <w:rsid w:val="00DC037E"/>
    <w:rsid w:val="00DC0C7D"/>
    <w:rsid w:val="00DC1260"/>
    <w:rsid w:val="00DC1B06"/>
    <w:rsid w:val="00DC1B28"/>
    <w:rsid w:val="00DC2082"/>
    <w:rsid w:val="00DC2627"/>
    <w:rsid w:val="00DC298E"/>
    <w:rsid w:val="00DC3032"/>
    <w:rsid w:val="00DC42CC"/>
    <w:rsid w:val="00DC6AC6"/>
    <w:rsid w:val="00DC7216"/>
    <w:rsid w:val="00DD1856"/>
    <w:rsid w:val="00DD215F"/>
    <w:rsid w:val="00DD254E"/>
    <w:rsid w:val="00DD2ABE"/>
    <w:rsid w:val="00DD2AF9"/>
    <w:rsid w:val="00DD4277"/>
    <w:rsid w:val="00DD4640"/>
    <w:rsid w:val="00DD4EBF"/>
    <w:rsid w:val="00DD64CE"/>
    <w:rsid w:val="00DD6D04"/>
    <w:rsid w:val="00DD6F65"/>
    <w:rsid w:val="00DE1E64"/>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5E73"/>
    <w:rsid w:val="00E060F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6F34"/>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A14"/>
    <w:rsid w:val="00E50DD4"/>
    <w:rsid w:val="00E51716"/>
    <w:rsid w:val="00E52103"/>
    <w:rsid w:val="00E52935"/>
    <w:rsid w:val="00E53724"/>
    <w:rsid w:val="00E5373E"/>
    <w:rsid w:val="00E55C2E"/>
    <w:rsid w:val="00E56A4A"/>
    <w:rsid w:val="00E61057"/>
    <w:rsid w:val="00E61CCB"/>
    <w:rsid w:val="00E6238C"/>
    <w:rsid w:val="00E65A31"/>
    <w:rsid w:val="00E65D20"/>
    <w:rsid w:val="00E66C7B"/>
    <w:rsid w:val="00E703E8"/>
    <w:rsid w:val="00E709AB"/>
    <w:rsid w:val="00E71E14"/>
    <w:rsid w:val="00E73165"/>
    <w:rsid w:val="00E741F0"/>
    <w:rsid w:val="00E74D08"/>
    <w:rsid w:val="00E75593"/>
    <w:rsid w:val="00E75D5C"/>
    <w:rsid w:val="00E765E6"/>
    <w:rsid w:val="00E76F02"/>
    <w:rsid w:val="00E7761D"/>
    <w:rsid w:val="00E81762"/>
    <w:rsid w:val="00E82145"/>
    <w:rsid w:val="00E82163"/>
    <w:rsid w:val="00E821EF"/>
    <w:rsid w:val="00E8245A"/>
    <w:rsid w:val="00E84763"/>
    <w:rsid w:val="00E8799C"/>
    <w:rsid w:val="00E916C3"/>
    <w:rsid w:val="00E91FCD"/>
    <w:rsid w:val="00E92808"/>
    <w:rsid w:val="00E935D7"/>
    <w:rsid w:val="00E93CEB"/>
    <w:rsid w:val="00E9536B"/>
    <w:rsid w:val="00E96E01"/>
    <w:rsid w:val="00E970D8"/>
    <w:rsid w:val="00EA0254"/>
    <w:rsid w:val="00EA099C"/>
    <w:rsid w:val="00EA1004"/>
    <w:rsid w:val="00EA1877"/>
    <w:rsid w:val="00EA1C78"/>
    <w:rsid w:val="00EA32F7"/>
    <w:rsid w:val="00EA3FE2"/>
    <w:rsid w:val="00EA4799"/>
    <w:rsid w:val="00EA4F5F"/>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419"/>
    <w:rsid w:val="00F225E1"/>
    <w:rsid w:val="00F22B9D"/>
    <w:rsid w:val="00F239EF"/>
    <w:rsid w:val="00F24247"/>
    <w:rsid w:val="00F250DD"/>
    <w:rsid w:val="00F26629"/>
    <w:rsid w:val="00F27598"/>
    <w:rsid w:val="00F31E11"/>
    <w:rsid w:val="00F3209F"/>
    <w:rsid w:val="00F32C2B"/>
    <w:rsid w:val="00F32DAF"/>
    <w:rsid w:val="00F33ACC"/>
    <w:rsid w:val="00F33EA0"/>
    <w:rsid w:val="00F344D5"/>
    <w:rsid w:val="00F35F89"/>
    <w:rsid w:val="00F35FA2"/>
    <w:rsid w:val="00F42114"/>
    <w:rsid w:val="00F42640"/>
    <w:rsid w:val="00F435F9"/>
    <w:rsid w:val="00F43D0E"/>
    <w:rsid w:val="00F43EB2"/>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AA8"/>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B4E"/>
    <w:rsid w:val="00F83C68"/>
    <w:rsid w:val="00F8429E"/>
    <w:rsid w:val="00F8534E"/>
    <w:rsid w:val="00F857B7"/>
    <w:rsid w:val="00F86388"/>
    <w:rsid w:val="00F86E0F"/>
    <w:rsid w:val="00F8702F"/>
    <w:rsid w:val="00F87A1C"/>
    <w:rsid w:val="00F87BEF"/>
    <w:rsid w:val="00F920E7"/>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46DD"/>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0FF3"/>
    <w:rsid w:val="00FE1541"/>
    <w:rsid w:val="00FE1756"/>
    <w:rsid w:val="00FE19C5"/>
    <w:rsid w:val="00FE19E8"/>
    <w:rsid w:val="00FE2067"/>
    <w:rsid w:val="00FE42A6"/>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0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L"/>
    <w:basedOn w:val="Normal"/>
    <w:link w:val="ListParagraphChar"/>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paragraph" w:customStyle="1" w:styleId="TableText">
    <w:name w:val="TableText"/>
    <w:basedOn w:val="Normal"/>
    <w:rsid w:val="000D4FC9"/>
    <w:pPr>
      <w:keepLines w:val="0"/>
      <w:spacing w:before="60" w:after="60" w:line="240" w:lineRule="exact"/>
      <w:jc w:val="left"/>
    </w:pPr>
    <w:rPr>
      <w:sz w:val="22"/>
      <w:szCs w:val="24"/>
      <w:lang w:eastAsia="en-US"/>
    </w:rPr>
  </w:style>
  <w:style w:type="character" w:customStyle="1" w:styleId="CharPartText">
    <w:name w:val="CharPartText"/>
    <w:basedOn w:val="DefaultParagraphFont"/>
    <w:qFormat/>
    <w:rsid w:val="00D74B2C"/>
  </w:style>
  <w:style w:type="character" w:customStyle="1" w:styleId="CommentTextChar">
    <w:name w:val="Comment Text Char"/>
    <w:basedOn w:val="DefaultParagraphFont"/>
    <w:link w:val="CommentText"/>
    <w:uiPriority w:val="99"/>
    <w:rsid w:val="0048534F"/>
  </w:style>
  <w:style w:type="paragraph" w:customStyle="1" w:styleId="Default">
    <w:name w:val="Default"/>
    <w:rsid w:val="0048534F"/>
    <w:pPr>
      <w:autoSpaceDE w:val="0"/>
      <w:autoSpaceDN w:val="0"/>
      <w:adjustRightInd w:val="0"/>
    </w:pPr>
    <w:rPr>
      <w:rFonts w:ascii="Arial" w:hAnsi="Arial" w:cs="Arial"/>
      <w:color w:val="000000"/>
      <w:sz w:val="24"/>
      <w:szCs w:val="24"/>
    </w:rPr>
  </w:style>
  <w:style w:type="paragraph" w:customStyle="1" w:styleId="paragraph">
    <w:name w:val="paragraph"/>
    <w:aliases w:val="a"/>
    <w:basedOn w:val="Normal"/>
    <w:rsid w:val="007C6620"/>
    <w:pPr>
      <w:keepLines w:val="0"/>
      <w:tabs>
        <w:tab w:val="right" w:pos="1531"/>
      </w:tabs>
      <w:spacing w:before="40" w:after="0"/>
      <w:ind w:left="1644" w:hanging="1644"/>
      <w:jc w:val="left"/>
    </w:pPr>
    <w:rPr>
      <w:sz w:val="22"/>
    </w:rPr>
  </w:style>
  <w:style w:type="character" w:styleId="Hyperlink">
    <w:name w:val="Hyperlink"/>
    <w:basedOn w:val="DefaultParagraphFont"/>
    <w:rsid w:val="0035332F"/>
    <w:rPr>
      <w:color w:val="0000FF"/>
      <w:u w:val="single"/>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L Char"/>
    <w:basedOn w:val="DefaultParagraphFont"/>
    <w:link w:val="ListParagraph"/>
    <w:uiPriority w:val="34"/>
    <w:qFormat/>
    <w:rsid w:val="0035332F"/>
    <w:rPr>
      <w:sz w:val="24"/>
      <w:szCs w:val="24"/>
    </w:rPr>
  </w:style>
  <w:style w:type="paragraph" w:styleId="Revision">
    <w:name w:val="Revision"/>
    <w:hidden/>
    <w:uiPriority w:val="99"/>
    <w:semiHidden/>
    <w:rsid w:val="00E66C7B"/>
  </w:style>
  <w:style w:type="paragraph" w:styleId="ListNumber">
    <w:name w:val="List Number"/>
    <w:basedOn w:val="Normal"/>
    <w:uiPriority w:val="99"/>
    <w:unhideWhenUsed/>
    <w:rsid w:val="00263812"/>
    <w:pPr>
      <w:keepLines w:val="0"/>
      <w:numPr>
        <w:numId w:val="15"/>
      </w:numPr>
      <w:spacing w:after="0"/>
      <w:contextualSpacing/>
      <w:jc w:val="left"/>
    </w:pPr>
    <w:rPr>
      <w:sz w:val="24"/>
      <w:szCs w:val="24"/>
    </w:rPr>
  </w:style>
  <w:style w:type="paragraph" w:styleId="NormalWeb">
    <w:name w:val="Normal (Web)"/>
    <w:basedOn w:val="Normal"/>
    <w:uiPriority w:val="99"/>
    <w:unhideWhenUsed/>
    <w:rsid w:val="006C0E96"/>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pbs/search?base=drugtype:gh,&amp;search-type=medici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GROWTHchar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9E67-C89B-4984-9360-C6224C70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2023-09-28T04:45:00Z</dcterms:created>
  <dcterms:modified xsi:type="dcterms:W3CDTF">2023-09-29T00:00:00Z</dcterms:modified>
</cp:coreProperties>
</file>