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7477" w14:textId="77777777" w:rsidR="0048364F" w:rsidRPr="00D74AAB" w:rsidRDefault="00193461" w:rsidP="0020300C">
      <w:pPr>
        <w:rPr>
          <w:sz w:val="28"/>
        </w:rPr>
      </w:pPr>
      <w:r w:rsidRPr="00D74AAB">
        <w:rPr>
          <w:noProof/>
          <w:lang w:eastAsia="en-AU"/>
        </w:rPr>
        <w:drawing>
          <wp:inline distT="0" distB="0" distL="0" distR="0" wp14:anchorId="470DD878" wp14:editId="79364FA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4D7CB80" w14:textId="77777777" w:rsidR="0048364F" w:rsidRPr="00D74AAB" w:rsidRDefault="0048364F" w:rsidP="0048364F">
      <w:pPr>
        <w:rPr>
          <w:sz w:val="19"/>
        </w:rPr>
      </w:pPr>
    </w:p>
    <w:p w14:paraId="722CEC71" w14:textId="2A4311A9" w:rsidR="00B02782" w:rsidRPr="00D74AAB" w:rsidRDefault="00B02782" w:rsidP="00B02782">
      <w:pPr>
        <w:rPr>
          <w:sz w:val="19"/>
        </w:rPr>
      </w:pPr>
      <w:r w:rsidRPr="00D74AAB">
        <w:rPr>
          <w:b/>
          <w:sz w:val="28"/>
          <w:szCs w:val="28"/>
        </w:rPr>
        <w:t xml:space="preserve">PB </w:t>
      </w:r>
      <w:r w:rsidR="00461E80" w:rsidRPr="00D74AAB">
        <w:rPr>
          <w:b/>
          <w:sz w:val="28"/>
          <w:szCs w:val="28"/>
        </w:rPr>
        <w:t xml:space="preserve">103 </w:t>
      </w:r>
      <w:r w:rsidRPr="00D74AAB">
        <w:rPr>
          <w:b/>
          <w:sz w:val="28"/>
          <w:szCs w:val="28"/>
        </w:rPr>
        <w:t>of 2023</w:t>
      </w:r>
    </w:p>
    <w:p w14:paraId="65236372" w14:textId="77777777" w:rsidR="00B02782" w:rsidRPr="00D74AAB" w:rsidRDefault="00B02782" w:rsidP="0048364F">
      <w:pPr>
        <w:rPr>
          <w:sz w:val="19"/>
        </w:rPr>
      </w:pPr>
    </w:p>
    <w:p w14:paraId="75A6D845" w14:textId="5FA08463" w:rsidR="0048364F" w:rsidRPr="00D74AAB" w:rsidRDefault="005A403B" w:rsidP="0048364F">
      <w:pPr>
        <w:pStyle w:val="ShortT"/>
      </w:pPr>
      <w:r w:rsidRPr="00D74AAB">
        <w:t>National Health (Minimum Stockholding) Amendment Determination</w:t>
      </w:r>
      <w:r w:rsidR="0093098D" w:rsidRPr="00D74AAB">
        <w:t xml:space="preserve"> (No. </w:t>
      </w:r>
      <w:r w:rsidR="00460786" w:rsidRPr="00D74AAB">
        <w:t>1</w:t>
      </w:r>
      <w:r w:rsidR="0093098D" w:rsidRPr="00D74AAB">
        <w:t>)</w:t>
      </w:r>
      <w:r w:rsidR="00F62CD4" w:rsidRPr="00D74AAB">
        <w:t xml:space="preserve"> </w:t>
      </w:r>
      <w:r w:rsidR="00460786" w:rsidRPr="00D74AAB">
        <w:t>2023</w:t>
      </w:r>
    </w:p>
    <w:p w14:paraId="1CC3C90D" w14:textId="4CB7CDB9" w:rsidR="005A403B" w:rsidRPr="00D74AAB" w:rsidRDefault="005A403B" w:rsidP="00911F87">
      <w:pPr>
        <w:pStyle w:val="SignCoverPageStart"/>
        <w:rPr>
          <w:szCs w:val="22"/>
        </w:rPr>
      </w:pPr>
      <w:r w:rsidRPr="00D74AAB">
        <w:rPr>
          <w:szCs w:val="22"/>
        </w:rPr>
        <w:t xml:space="preserve">I, </w:t>
      </w:r>
      <w:r w:rsidR="005B13F9" w:rsidRPr="00D74AAB">
        <w:rPr>
          <w:szCs w:val="22"/>
        </w:rPr>
        <w:t xml:space="preserve">Nikolai </w:t>
      </w:r>
      <w:proofErr w:type="spellStart"/>
      <w:r w:rsidR="005B13F9" w:rsidRPr="00D74AAB">
        <w:rPr>
          <w:szCs w:val="22"/>
        </w:rPr>
        <w:t>Tsyganov</w:t>
      </w:r>
      <w:proofErr w:type="spellEnd"/>
      <w:r w:rsidRPr="00D74AAB">
        <w:rPr>
          <w:szCs w:val="22"/>
        </w:rPr>
        <w:t xml:space="preserve">, </w:t>
      </w:r>
      <w:r w:rsidR="00935781" w:rsidRPr="00D74AAB">
        <w:rPr>
          <w:szCs w:val="22"/>
        </w:rPr>
        <w:t xml:space="preserve">as delegate of the </w:t>
      </w:r>
      <w:r w:rsidRPr="00D74AAB">
        <w:rPr>
          <w:szCs w:val="22"/>
        </w:rPr>
        <w:t>Minister for Health and Aged Care, make the following determination.</w:t>
      </w:r>
    </w:p>
    <w:p w14:paraId="1E04C67A" w14:textId="28F8BB6A" w:rsidR="005A403B" w:rsidRPr="00D74AAB" w:rsidRDefault="005A403B" w:rsidP="00911F87">
      <w:pPr>
        <w:keepNext/>
        <w:spacing w:before="300" w:line="240" w:lineRule="atLeast"/>
        <w:ind w:right="397"/>
        <w:jc w:val="both"/>
        <w:rPr>
          <w:szCs w:val="22"/>
        </w:rPr>
      </w:pPr>
      <w:r w:rsidRPr="00D74AAB">
        <w:rPr>
          <w:szCs w:val="22"/>
        </w:rPr>
        <w:t>Dated</w:t>
      </w:r>
      <w:r w:rsidR="00A3027B" w:rsidRPr="00D74AAB">
        <w:rPr>
          <w:szCs w:val="22"/>
        </w:rPr>
        <w:t xml:space="preserve"> 28 September 2023</w:t>
      </w:r>
    </w:p>
    <w:p w14:paraId="3285696B" w14:textId="61666D19" w:rsidR="00160D94" w:rsidRPr="00D74AAB" w:rsidRDefault="005B13F9" w:rsidP="00160D94">
      <w:pPr>
        <w:keepNext/>
        <w:tabs>
          <w:tab w:val="left" w:pos="3402"/>
        </w:tabs>
        <w:spacing w:before="1440" w:line="300" w:lineRule="atLeast"/>
        <w:ind w:right="397"/>
        <w:rPr>
          <w:szCs w:val="22"/>
        </w:rPr>
      </w:pPr>
      <w:r w:rsidRPr="00D74AAB">
        <w:rPr>
          <w:szCs w:val="22"/>
        </w:rPr>
        <w:t xml:space="preserve">Nikolai </w:t>
      </w:r>
      <w:proofErr w:type="spellStart"/>
      <w:r w:rsidRPr="00D74AAB">
        <w:rPr>
          <w:szCs w:val="22"/>
        </w:rPr>
        <w:t>Tsyganov</w:t>
      </w:r>
      <w:proofErr w:type="spellEnd"/>
    </w:p>
    <w:p w14:paraId="600F2F1E" w14:textId="77546AB3" w:rsidR="005A403B" w:rsidRPr="00D74AAB" w:rsidRDefault="00160D94" w:rsidP="00911F87">
      <w:pPr>
        <w:pStyle w:val="SignCoverPageEnd"/>
        <w:rPr>
          <w:szCs w:val="22"/>
        </w:rPr>
      </w:pPr>
      <w:r w:rsidRPr="00D74AAB">
        <w:rPr>
          <w:szCs w:val="22"/>
        </w:rPr>
        <w:t>Assistant Secretary</w:t>
      </w:r>
      <w:r w:rsidR="002B574C" w:rsidRPr="00D74AAB">
        <w:rPr>
          <w:szCs w:val="22"/>
        </w:rPr>
        <w:br/>
        <w:t>Pricing and PBS Policy Branch</w:t>
      </w:r>
      <w:r w:rsidRPr="00D74AAB">
        <w:rPr>
          <w:szCs w:val="22"/>
        </w:rPr>
        <w:br/>
        <w:t>Technology Assessment and Access Division</w:t>
      </w:r>
      <w:r w:rsidRPr="00D74AAB">
        <w:rPr>
          <w:szCs w:val="22"/>
        </w:rPr>
        <w:br/>
        <w:t>Department of Health and Aged Care</w:t>
      </w:r>
    </w:p>
    <w:p w14:paraId="730FD59E" w14:textId="415DC5B0" w:rsidR="005A403B" w:rsidRPr="00D74AAB" w:rsidRDefault="005A403B" w:rsidP="00960C90">
      <w:pPr>
        <w:pStyle w:val="notedraft"/>
      </w:pPr>
    </w:p>
    <w:p w14:paraId="4183028A" w14:textId="77777777" w:rsidR="0048364F" w:rsidRPr="00D74AAB" w:rsidRDefault="0048364F" w:rsidP="0048364F">
      <w:pPr>
        <w:sectPr w:rsidR="0048364F" w:rsidRPr="00D74AAB"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A053096" w14:textId="77777777" w:rsidR="00220A0C" w:rsidRPr="00D74AAB" w:rsidRDefault="0048364F" w:rsidP="0048364F">
      <w:pPr>
        <w:outlineLvl w:val="0"/>
        <w:rPr>
          <w:sz w:val="36"/>
        </w:rPr>
      </w:pPr>
      <w:r w:rsidRPr="00D74AAB">
        <w:rPr>
          <w:sz w:val="36"/>
        </w:rPr>
        <w:lastRenderedPageBreak/>
        <w:t>Contents</w:t>
      </w:r>
    </w:p>
    <w:p w14:paraId="1425DD23" w14:textId="77777777" w:rsidR="00FB1C68" w:rsidRPr="00D74AAB" w:rsidRDefault="007432A9">
      <w:pPr>
        <w:pStyle w:val="TOC5"/>
        <w:rPr>
          <w:rFonts w:asciiTheme="minorHAnsi" w:eastAsiaTheme="minorEastAsia" w:hAnsiTheme="minorHAnsi" w:cstheme="minorBidi"/>
          <w:noProof/>
          <w:kern w:val="0"/>
          <w:sz w:val="22"/>
          <w:szCs w:val="22"/>
        </w:rPr>
      </w:pPr>
      <w:r w:rsidRPr="00D74AAB">
        <w:fldChar w:fldCharType="begin"/>
      </w:r>
      <w:r w:rsidRPr="00D74AAB">
        <w:instrText xml:space="preserve"> TOC \o "1-9" </w:instrText>
      </w:r>
      <w:r w:rsidRPr="00D74AAB">
        <w:fldChar w:fldCharType="separate"/>
      </w:r>
      <w:r w:rsidR="00FB1C68" w:rsidRPr="00D74AAB">
        <w:rPr>
          <w:noProof/>
        </w:rPr>
        <w:t>1  Name</w:t>
      </w:r>
      <w:r w:rsidR="00FB1C68" w:rsidRPr="00D74AAB">
        <w:rPr>
          <w:noProof/>
        </w:rPr>
        <w:tab/>
      </w:r>
      <w:r w:rsidR="00FB1C68" w:rsidRPr="00D74AAB">
        <w:rPr>
          <w:noProof/>
        </w:rPr>
        <w:fldChar w:fldCharType="begin"/>
      </w:r>
      <w:r w:rsidR="00FB1C68" w:rsidRPr="00D74AAB">
        <w:rPr>
          <w:noProof/>
        </w:rPr>
        <w:instrText xml:space="preserve"> PAGEREF _Toc127964296 \h </w:instrText>
      </w:r>
      <w:r w:rsidR="00FB1C68" w:rsidRPr="00D74AAB">
        <w:rPr>
          <w:noProof/>
        </w:rPr>
      </w:r>
      <w:r w:rsidR="00FB1C68" w:rsidRPr="00D74AAB">
        <w:rPr>
          <w:noProof/>
        </w:rPr>
        <w:fldChar w:fldCharType="separate"/>
      </w:r>
      <w:r w:rsidR="00FB1C68" w:rsidRPr="00D74AAB">
        <w:rPr>
          <w:noProof/>
        </w:rPr>
        <w:t>1</w:t>
      </w:r>
      <w:r w:rsidR="00FB1C68" w:rsidRPr="00D74AAB">
        <w:rPr>
          <w:noProof/>
        </w:rPr>
        <w:fldChar w:fldCharType="end"/>
      </w:r>
    </w:p>
    <w:p w14:paraId="0BA137BF" w14:textId="77777777" w:rsidR="00FB1C68" w:rsidRPr="00D74AAB" w:rsidRDefault="00FB1C68">
      <w:pPr>
        <w:pStyle w:val="TOC5"/>
        <w:rPr>
          <w:rFonts w:asciiTheme="minorHAnsi" w:eastAsiaTheme="minorEastAsia" w:hAnsiTheme="minorHAnsi" w:cstheme="minorBidi"/>
          <w:noProof/>
          <w:kern w:val="0"/>
          <w:sz w:val="22"/>
          <w:szCs w:val="22"/>
        </w:rPr>
      </w:pPr>
      <w:r w:rsidRPr="00D74AAB">
        <w:rPr>
          <w:noProof/>
        </w:rPr>
        <w:t>2  Commencement</w:t>
      </w:r>
      <w:r w:rsidRPr="00D74AAB">
        <w:rPr>
          <w:noProof/>
        </w:rPr>
        <w:tab/>
      </w:r>
      <w:r w:rsidRPr="00D74AAB">
        <w:rPr>
          <w:noProof/>
        </w:rPr>
        <w:fldChar w:fldCharType="begin"/>
      </w:r>
      <w:r w:rsidRPr="00D74AAB">
        <w:rPr>
          <w:noProof/>
        </w:rPr>
        <w:instrText xml:space="preserve"> PAGEREF _Toc127964297 \h </w:instrText>
      </w:r>
      <w:r w:rsidRPr="00D74AAB">
        <w:rPr>
          <w:noProof/>
        </w:rPr>
      </w:r>
      <w:r w:rsidRPr="00D74AAB">
        <w:rPr>
          <w:noProof/>
        </w:rPr>
        <w:fldChar w:fldCharType="separate"/>
      </w:r>
      <w:r w:rsidRPr="00D74AAB">
        <w:rPr>
          <w:noProof/>
        </w:rPr>
        <w:t>1</w:t>
      </w:r>
      <w:r w:rsidRPr="00D74AAB">
        <w:rPr>
          <w:noProof/>
        </w:rPr>
        <w:fldChar w:fldCharType="end"/>
      </w:r>
    </w:p>
    <w:p w14:paraId="42E45E6C" w14:textId="77777777" w:rsidR="00FB1C68" w:rsidRPr="00D74AAB" w:rsidRDefault="00FB1C68">
      <w:pPr>
        <w:pStyle w:val="TOC5"/>
        <w:rPr>
          <w:rFonts w:asciiTheme="minorHAnsi" w:eastAsiaTheme="minorEastAsia" w:hAnsiTheme="minorHAnsi" w:cstheme="minorBidi"/>
          <w:noProof/>
          <w:kern w:val="0"/>
          <w:sz w:val="22"/>
          <w:szCs w:val="22"/>
        </w:rPr>
      </w:pPr>
      <w:r w:rsidRPr="00D74AAB">
        <w:rPr>
          <w:noProof/>
        </w:rPr>
        <w:t>3  Authority</w:t>
      </w:r>
      <w:r w:rsidRPr="00D74AAB">
        <w:rPr>
          <w:noProof/>
        </w:rPr>
        <w:tab/>
      </w:r>
      <w:r w:rsidRPr="00D74AAB">
        <w:rPr>
          <w:noProof/>
        </w:rPr>
        <w:fldChar w:fldCharType="begin"/>
      </w:r>
      <w:r w:rsidRPr="00D74AAB">
        <w:rPr>
          <w:noProof/>
        </w:rPr>
        <w:instrText xml:space="preserve"> PAGEREF _Toc127964298 \h </w:instrText>
      </w:r>
      <w:r w:rsidRPr="00D74AAB">
        <w:rPr>
          <w:noProof/>
        </w:rPr>
      </w:r>
      <w:r w:rsidRPr="00D74AAB">
        <w:rPr>
          <w:noProof/>
        </w:rPr>
        <w:fldChar w:fldCharType="separate"/>
      </w:r>
      <w:r w:rsidRPr="00D74AAB">
        <w:rPr>
          <w:noProof/>
        </w:rPr>
        <w:t>2</w:t>
      </w:r>
      <w:r w:rsidRPr="00D74AAB">
        <w:rPr>
          <w:noProof/>
        </w:rPr>
        <w:fldChar w:fldCharType="end"/>
      </w:r>
    </w:p>
    <w:p w14:paraId="4E072C60" w14:textId="77777777" w:rsidR="00FB1C68" w:rsidRPr="00D74AAB" w:rsidRDefault="00FB1C68">
      <w:pPr>
        <w:pStyle w:val="TOC5"/>
        <w:rPr>
          <w:rFonts w:asciiTheme="minorHAnsi" w:eastAsiaTheme="minorEastAsia" w:hAnsiTheme="minorHAnsi" w:cstheme="minorBidi"/>
          <w:noProof/>
          <w:kern w:val="0"/>
          <w:sz w:val="22"/>
          <w:szCs w:val="22"/>
        </w:rPr>
      </w:pPr>
      <w:r w:rsidRPr="00D74AAB">
        <w:rPr>
          <w:noProof/>
        </w:rPr>
        <w:t>4  Schedules</w:t>
      </w:r>
      <w:r w:rsidRPr="00D74AAB">
        <w:rPr>
          <w:noProof/>
        </w:rPr>
        <w:tab/>
      </w:r>
      <w:r w:rsidRPr="00D74AAB">
        <w:rPr>
          <w:noProof/>
        </w:rPr>
        <w:fldChar w:fldCharType="begin"/>
      </w:r>
      <w:r w:rsidRPr="00D74AAB">
        <w:rPr>
          <w:noProof/>
        </w:rPr>
        <w:instrText xml:space="preserve"> PAGEREF _Toc127964299 \h </w:instrText>
      </w:r>
      <w:r w:rsidRPr="00D74AAB">
        <w:rPr>
          <w:noProof/>
        </w:rPr>
      </w:r>
      <w:r w:rsidRPr="00D74AAB">
        <w:rPr>
          <w:noProof/>
        </w:rPr>
        <w:fldChar w:fldCharType="separate"/>
      </w:r>
      <w:r w:rsidRPr="00D74AAB">
        <w:rPr>
          <w:noProof/>
        </w:rPr>
        <w:t>2</w:t>
      </w:r>
      <w:r w:rsidRPr="00D74AAB">
        <w:rPr>
          <w:noProof/>
        </w:rPr>
        <w:fldChar w:fldCharType="end"/>
      </w:r>
    </w:p>
    <w:p w14:paraId="043E423C" w14:textId="77777777" w:rsidR="00FB1C68" w:rsidRPr="00D74AAB" w:rsidRDefault="00FB1C68">
      <w:pPr>
        <w:pStyle w:val="TOC6"/>
        <w:rPr>
          <w:rFonts w:asciiTheme="minorHAnsi" w:eastAsiaTheme="minorEastAsia" w:hAnsiTheme="minorHAnsi" w:cstheme="minorBidi"/>
          <w:b w:val="0"/>
          <w:noProof/>
          <w:kern w:val="0"/>
          <w:sz w:val="22"/>
          <w:szCs w:val="22"/>
        </w:rPr>
      </w:pPr>
      <w:r w:rsidRPr="00D74AAB">
        <w:rPr>
          <w:noProof/>
        </w:rPr>
        <w:t>Schedule 1—Amendments</w:t>
      </w:r>
      <w:r w:rsidRPr="00D74AAB">
        <w:rPr>
          <w:noProof/>
        </w:rPr>
        <w:tab/>
      </w:r>
      <w:r w:rsidRPr="00D74AAB">
        <w:rPr>
          <w:noProof/>
        </w:rPr>
        <w:fldChar w:fldCharType="begin"/>
      </w:r>
      <w:r w:rsidRPr="00D74AAB">
        <w:rPr>
          <w:noProof/>
        </w:rPr>
        <w:instrText xml:space="preserve"> PAGEREF _Toc127964300 \h </w:instrText>
      </w:r>
      <w:r w:rsidRPr="00D74AAB">
        <w:rPr>
          <w:noProof/>
        </w:rPr>
      </w:r>
      <w:r w:rsidRPr="00D74AAB">
        <w:rPr>
          <w:noProof/>
        </w:rPr>
        <w:fldChar w:fldCharType="separate"/>
      </w:r>
      <w:r w:rsidRPr="00D74AAB">
        <w:rPr>
          <w:noProof/>
        </w:rPr>
        <w:t>3</w:t>
      </w:r>
      <w:r w:rsidRPr="00D74AAB">
        <w:rPr>
          <w:noProof/>
        </w:rPr>
        <w:fldChar w:fldCharType="end"/>
      </w:r>
    </w:p>
    <w:p w14:paraId="637FA5BA" w14:textId="77777777" w:rsidR="00FB1C68" w:rsidRPr="00D74AAB" w:rsidRDefault="00FB1C68">
      <w:pPr>
        <w:pStyle w:val="TOC9"/>
        <w:rPr>
          <w:rFonts w:asciiTheme="minorHAnsi" w:eastAsiaTheme="minorEastAsia" w:hAnsiTheme="minorHAnsi" w:cstheme="minorBidi"/>
          <w:i w:val="0"/>
          <w:noProof/>
          <w:kern w:val="0"/>
          <w:sz w:val="22"/>
          <w:szCs w:val="22"/>
        </w:rPr>
      </w:pPr>
      <w:r w:rsidRPr="00D74AAB">
        <w:rPr>
          <w:noProof/>
        </w:rPr>
        <w:t>National Health (Minimum Stockholding) Determination 2023</w:t>
      </w:r>
      <w:r w:rsidRPr="00D74AAB">
        <w:rPr>
          <w:noProof/>
        </w:rPr>
        <w:tab/>
      </w:r>
      <w:r w:rsidRPr="00D74AAB">
        <w:rPr>
          <w:noProof/>
        </w:rPr>
        <w:fldChar w:fldCharType="begin"/>
      </w:r>
      <w:r w:rsidRPr="00D74AAB">
        <w:rPr>
          <w:noProof/>
        </w:rPr>
        <w:instrText xml:space="preserve"> PAGEREF _Toc127964301 \h </w:instrText>
      </w:r>
      <w:r w:rsidRPr="00D74AAB">
        <w:rPr>
          <w:noProof/>
        </w:rPr>
      </w:r>
      <w:r w:rsidRPr="00D74AAB">
        <w:rPr>
          <w:noProof/>
        </w:rPr>
        <w:fldChar w:fldCharType="separate"/>
      </w:r>
      <w:r w:rsidRPr="00D74AAB">
        <w:rPr>
          <w:noProof/>
        </w:rPr>
        <w:t>3</w:t>
      </w:r>
      <w:r w:rsidRPr="00D74AAB">
        <w:rPr>
          <w:noProof/>
        </w:rPr>
        <w:fldChar w:fldCharType="end"/>
      </w:r>
    </w:p>
    <w:p w14:paraId="3305B7AC" w14:textId="77777777" w:rsidR="0048364F" w:rsidRPr="00D74AAB" w:rsidRDefault="007432A9" w:rsidP="0048364F">
      <w:r w:rsidRPr="00D74AAB">
        <w:fldChar w:fldCharType="end"/>
      </w:r>
    </w:p>
    <w:p w14:paraId="7D6418EC" w14:textId="77777777" w:rsidR="0048364F" w:rsidRPr="00D74AAB" w:rsidRDefault="0048364F" w:rsidP="0048364F">
      <w:pPr>
        <w:sectPr w:rsidR="0048364F" w:rsidRPr="00D74AAB"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041D14F7" w14:textId="77777777" w:rsidR="0048364F" w:rsidRPr="00D74AAB" w:rsidRDefault="0048364F" w:rsidP="0048364F">
      <w:pPr>
        <w:pStyle w:val="ActHead5"/>
      </w:pPr>
      <w:bookmarkStart w:id="0" w:name="_Toc127964296"/>
      <w:r w:rsidRPr="00D74AAB">
        <w:rPr>
          <w:rStyle w:val="CharSectno"/>
        </w:rPr>
        <w:lastRenderedPageBreak/>
        <w:t>1</w:t>
      </w:r>
      <w:r w:rsidRPr="00D74AAB">
        <w:t xml:space="preserve">  </w:t>
      </w:r>
      <w:r w:rsidR="004F676E" w:rsidRPr="00D74AAB">
        <w:t>Name</w:t>
      </w:r>
      <w:bookmarkEnd w:id="0"/>
    </w:p>
    <w:p w14:paraId="6ABA0BB0" w14:textId="73587668" w:rsidR="0048364F" w:rsidRPr="00D74AAB" w:rsidRDefault="00461E80" w:rsidP="00461E80">
      <w:pPr>
        <w:pStyle w:val="subsection"/>
      </w:pPr>
      <w:r w:rsidRPr="00D74AAB">
        <w:tab/>
        <w:t>(1)</w:t>
      </w:r>
      <w:r w:rsidRPr="00D74AAB">
        <w:tab/>
      </w:r>
      <w:r w:rsidR="005A403B" w:rsidRPr="00D74AAB">
        <w:t>This instrument is</w:t>
      </w:r>
      <w:r w:rsidR="0048364F" w:rsidRPr="00D74AAB">
        <w:t xml:space="preserve"> the</w:t>
      </w:r>
      <w:r w:rsidR="00223835" w:rsidRPr="00D74AAB">
        <w:t xml:space="preserve"> </w:t>
      </w:r>
      <w:r w:rsidR="00160D94" w:rsidRPr="00D74AAB">
        <w:rPr>
          <w:i/>
          <w:iCs/>
        </w:rPr>
        <w:t xml:space="preserve">National Health (Minimum Stockholding) </w:t>
      </w:r>
      <w:r w:rsidR="00137277" w:rsidRPr="00D74AAB">
        <w:rPr>
          <w:i/>
          <w:iCs/>
        </w:rPr>
        <w:t xml:space="preserve">Amendment </w:t>
      </w:r>
      <w:r w:rsidR="00160D94" w:rsidRPr="00D74AAB">
        <w:rPr>
          <w:i/>
          <w:iCs/>
        </w:rPr>
        <w:t>Determination (No. 1) 2023</w:t>
      </w:r>
      <w:r w:rsidR="00EA05B4" w:rsidRPr="00D74AAB">
        <w:t>.</w:t>
      </w:r>
    </w:p>
    <w:p w14:paraId="036154CC" w14:textId="545C8BEB" w:rsidR="00461E80" w:rsidRPr="00D74AAB" w:rsidRDefault="00461E80" w:rsidP="00461E80">
      <w:pPr>
        <w:pStyle w:val="subsection"/>
      </w:pPr>
      <w:r w:rsidRPr="00D74AAB">
        <w:tab/>
        <w:t>(2)</w:t>
      </w:r>
      <w:r w:rsidRPr="00D74AAB">
        <w:tab/>
        <w:t>This instrument may also be cited as PB 103 of 2023.</w:t>
      </w:r>
    </w:p>
    <w:p w14:paraId="7E5F5578" w14:textId="77777777" w:rsidR="004F676E" w:rsidRPr="00D74AAB" w:rsidRDefault="0048364F" w:rsidP="005452CC">
      <w:pPr>
        <w:pStyle w:val="ActHead5"/>
      </w:pPr>
      <w:bookmarkStart w:id="1" w:name="_Toc127964297"/>
      <w:r w:rsidRPr="00D74AAB">
        <w:rPr>
          <w:rStyle w:val="CharSectno"/>
        </w:rPr>
        <w:t>2</w:t>
      </w:r>
      <w:r w:rsidRPr="00D74AAB">
        <w:t xml:space="preserve">  Commencement</w:t>
      </w:r>
      <w:bookmarkEnd w:id="1"/>
    </w:p>
    <w:p w14:paraId="2A5EEA6F" w14:textId="77777777" w:rsidR="005452CC" w:rsidRPr="00D74AAB" w:rsidRDefault="005452CC" w:rsidP="00911F87">
      <w:pPr>
        <w:pStyle w:val="subsection"/>
      </w:pPr>
      <w:r w:rsidRPr="00D74AAB">
        <w:tab/>
        <w:t>(1)</w:t>
      </w:r>
      <w:r w:rsidRPr="00D74AAB">
        <w:tab/>
        <w:t xml:space="preserve">Each provision of </w:t>
      </w:r>
      <w:r w:rsidR="005A403B" w:rsidRPr="00D74AAB">
        <w:t>this instrument</w:t>
      </w:r>
      <w:r w:rsidRPr="00D74AAB">
        <w:t xml:space="preserve"> specified in column 1 of the table commences, or is taken to have commenced, in accordance with column 2 of the table. Any other statement in column 2 has effect according to its terms.</w:t>
      </w:r>
    </w:p>
    <w:p w14:paraId="16547852" w14:textId="77777777" w:rsidR="005452CC" w:rsidRPr="00D74AAB" w:rsidRDefault="005452CC" w:rsidP="00911F8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74AAB" w14:paraId="19325A62" w14:textId="77777777" w:rsidTr="00AD7252">
        <w:trPr>
          <w:tblHeader/>
        </w:trPr>
        <w:tc>
          <w:tcPr>
            <w:tcW w:w="8364" w:type="dxa"/>
            <w:gridSpan w:val="3"/>
            <w:tcBorders>
              <w:top w:val="single" w:sz="12" w:space="0" w:color="auto"/>
              <w:bottom w:val="single" w:sz="6" w:space="0" w:color="auto"/>
            </w:tcBorders>
            <w:shd w:val="clear" w:color="auto" w:fill="auto"/>
            <w:hideMark/>
          </w:tcPr>
          <w:p w14:paraId="4198AD04" w14:textId="77777777" w:rsidR="005452CC" w:rsidRPr="00D74AAB" w:rsidRDefault="005452CC" w:rsidP="00911F87">
            <w:pPr>
              <w:pStyle w:val="TableHeading"/>
            </w:pPr>
            <w:r w:rsidRPr="00D74AAB">
              <w:t>Commencement information</w:t>
            </w:r>
          </w:p>
        </w:tc>
      </w:tr>
      <w:tr w:rsidR="005452CC" w:rsidRPr="00D74AAB" w14:paraId="0414EE4E" w14:textId="77777777" w:rsidTr="00AD7252">
        <w:trPr>
          <w:tblHeader/>
        </w:trPr>
        <w:tc>
          <w:tcPr>
            <w:tcW w:w="2127" w:type="dxa"/>
            <w:tcBorders>
              <w:top w:val="single" w:sz="6" w:space="0" w:color="auto"/>
              <w:bottom w:val="single" w:sz="6" w:space="0" w:color="auto"/>
            </w:tcBorders>
            <w:shd w:val="clear" w:color="auto" w:fill="auto"/>
            <w:hideMark/>
          </w:tcPr>
          <w:p w14:paraId="3BC2129B" w14:textId="77777777" w:rsidR="005452CC" w:rsidRPr="00D74AAB" w:rsidRDefault="005452CC" w:rsidP="00911F87">
            <w:pPr>
              <w:pStyle w:val="TableHeading"/>
            </w:pPr>
            <w:r w:rsidRPr="00D74AAB">
              <w:t>Column 1</w:t>
            </w:r>
          </w:p>
        </w:tc>
        <w:tc>
          <w:tcPr>
            <w:tcW w:w="4394" w:type="dxa"/>
            <w:tcBorders>
              <w:top w:val="single" w:sz="6" w:space="0" w:color="auto"/>
              <w:bottom w:val="single" w:sz="6" w:space="0" w:color="auto"/>
            </w:tcBorders>
            <w:shd w:val="clear" w:color="auto" w:fill="auto"/>
            <w:hideMark/>
          </w:tcPr>
          <w:p w14:paraId="1F509635" w14:textId="77777777" w:rsidR="005452CC" w:rsidRPr="00D74AAB" w:rsidRDefault="005452CC" w:rsidP="00911F87">
            <w:pPr>
              <w:pStyle w:val="TableHeading"/>
            </w:pPr>
            <w:r w:rsidRPr="00D74AAB">
              <w:t>Column 2</w:t>
            </w:r>
          </w:p>
        </w:tc>
        <w:tc>
          <w:tcPr>
            <w:tcW w:w="1843" w:type="dxa"/>
            <w:tcBorders>
              <w:top w:val="single" w:sz="6" w:space="0" w:color="auto"/>
              <w:bottom w:val="single" w:sz="6" w:space="0" w:color="auto"/>
            </w:tcBorders>
            <w:shd w:val="clear" w:color="auto" w:fill="auto"/>
            <w:hideMark/>
          </w:tcPr>
          <w:p w14:paraId="719F372F" w14:textId="77777777" w:rsidR="005452CC" w:rsidRPr="00D74AAB" w:rsidRDefault="005452CC" w:rsidP="00911F87">
            <w:pPr>
              <w:pStyle w:val="TableHeading"/>
            </w:pPr>
            <w:r w:rsidRPr="00D74AAB">
              <w:t>Column 3</w:t>
            </w:r>
          </w:p>
        </w:tc>
      </w:tr>
      <w:tr w:rsidR="005452CC" w:rsidRPr="00D74AAB" w14:paraId="39A419CA" w14:textId="77777777" w:rsidTr="00AD7252">
        <w:trPr>
          <w:tblHeader/>
        </w:trPr>
        <w:tc>
          <w:tcPr>
            <w:tcW w:w="2127" w:type="dxa"/>
            <w:tcBorders>
              <w:top w:val="single" w:sz="6" w:space="0" w:color="auto"/>
              <w:bottom w:val="single" w:sz="12" w:space="0" w:color="auto"/>
            </w:tcBorders>
            <w:shd w:val="clear" w:color="auto" w:fill="auto"/>
            <w:hideMark/>
          </w:tcPr>
          <w:p w14:paraId="3206CCED" w14:textId="77777777" w:rsidR="005452CC" w:rsidRPr="00D74AAB" w:rsidRDefault="005452CC" w:rsidP="00911F87">
            <w:pPr>
              <w:pStyle w:val="TableHeading"/>
            </w:pPr>
            <w:r w:rsidRPr="00D74AAB">
              <w:t>Provisions</w:t>
            </w:r>
          </w:p>
        </w:tc>
        <w:tc>
          <w:tcPr>
            <w:tcW w:w="4394" w:type="dxa"/>
            <w:tcBorders>
              <w:top w:val="single" w:sz="6" w:space="0" w:color="auto"/>
              <w:bottom w:val="single" w:sz="12" w:space="0" w:color="auto"/>
            </w:tcBorders>
            <w:shd w:val="clear" w:color="auto" w:fill="auto"/>
            <w:hideMark/>
          </w:tcPr>
          <w:p w14:paraId="49F0687A" w14:textId="77777777" w:rsidR="005452CC" w:rsidRPr="00D74AAB" w:rsidRDefault="005452CC" w:rsidP="00911F87">
            <w:pPr>
              <w:pStyle w:val="TableHeading"/>
            </w:pPr>
            <w:r w:rsidRPr="00D74AAB">
              <w:t>Commencement</w:t>
            </w:r>
          </w:p>
        </w:tc>
        <w:tc>
          <w:tcPr>
            <w:tcW w:w="1843" w:type="dxa"/>
            <w:tcBorders>
              <w:top w:val="single" w:sz="6" w:space="0" w:color="auto"/>
              <w:bottom w:val="single" w:sz="12" w:space="0" w:color="auto"/>
            </w:tcBorders>
            <w:shd w:val="clear" w:color="auto" w:fill="auto"/>
            <w:hideMark/>
          </w:tcPr>
          <w:p w14:paraId="26E4FBFE" w14:textId="77777777" w:rsidR="005452CC" w:rsidRPr="00D74AAB" w:rsidRDefault="005452CC" w:rsidP="00911F87">
            <w:pPr>
              <w:pStyle w:val="TableHeading"/>
            </w:pPr>
            <w:r w:rsidRPr="00D74AAB">
              <w:t>Date/Details</w:t>
            </w:r>
          </w:p>
        </w:tc>
      </w:tr>
      <w:tr w:rsidR="005452CC" w:rsidRPr="00D74AAB" w14:paraId="5B2F0CC5" w14:textId="77777777" w:rsidTr="00AD7252">
        <w:tc>
          <w:tcPr>
            <w:tcW w:w="2127" w:type="dxa"/>
            <w:tcBorders>
              <w:top w:val="single" w:sz="12" w:space="0" w:color="auto"/>
              <w:bottom w:val="single" w:sz="12" w:space="0" w:color="auto"/>
            </w:tcBorders>
            <w:shd w:val="clear" w:color="auto" w:fill="auto"/>
            <w:hideMark/>
          </w:tcPr>
          <w:p w14:paraId="677E1E0A" w14:textId="77777777" w:rsidR="005452CC" w:rsidRPr="00D74AAB" w:rsidRDefault="005452CC" w:rsidP="00AD7252">
            <w:pPr>
              <w:pStyle w:val="Tabletext"/>
            </w:pPr>
            <w:r w:rsidRPr="00D74AAB">
              <w:t xml:space="preserve">1.  </w:t>
            </w:r>
            <w:r w:rsidR="00AD7252" w:rsidRPr="00D74AAB">
              <w:t xml:space="preserve">The whole of </w:t>
            </w:r>
            <w:r w:rsidR="005A403B" w:rsidRPr="00D74AAB">
              <w:t>this instrument</w:t>
            </w:r>
          </w:p>
        </w:tc>
        <w:tc>
          <w:tcPr>
            <w:tcW w:w="4394" w:type="dxa"/>
            <w:tcBorders>
              <w:top w:val="single" w:sz="12" w:space="0" w:color="auto"/>
              <w:bottom w:val="single" w:sz="12" w:space="0" w:color="auto"/>
            </w:tcBorders>
            <w:shd w:val="clear" w:color="auto" w:fill="auto"/>
            <w:hideMark/>
          </w:tcPr>
          <w:p w14:paraId="6C5366A8" w14:textId="197C7C5E" w:rsidR="005452CC" w:rsidRPr="00D74AAB" w:rsidRDefault="007E4C75" w:rsidP="005452CC">
            <w:pPr>
              <w:pStyle w:val="Tabletext"/>
            </w:pPr>
            <w:r w:rsidRPr="00D74AAB">
              <w:t>1 October 2023</w:t>
            </w:r>
            <w:r w:rsidR="00F241BE" w:rsidRPr="00D74AAB">
              <w:t>.</w:t>
            </w:r>
          </w:p>
        </w:tc>
        <w:tc>
          <w:tcPr>
            <w:tcW w:w="1843" w:type="dxa"/>
            <w:tcBorders>
              <w:top w:val="single" w:sz="12" w:space="0" w:color="auto"/>
              <w:bottom w:val="single" w:sz="12" w:space="0" w:color="auto"/>
            </w:tcBorders>
            <w:shd w:val="clear" w:color="auto" w:fill="auto"/>
          </w:tcPr>
          <w:p w14:paraId="569632FE" w14:textId="79C758ED" w:rsidR="005452CC" w:rsidRPr="00D74AAB" w:rsidRDefault="00162EDC">
            <w:pPr>
              <w:pStyle w:val="Tabletext"/>
            </w:pPr>
            <w:r w:rsidRPr="00D74AAB">
              <w:t>1 October 2023</w:t>
            </w:r>
          </w:p>
        </w:tc>
      </w:tr>
    </w:tbl>
    <w:p w14:paraId="3709BAE2" w14:textId="77777777" w:rsidR="005452CC" w:rsidRPr="00D74AAB" w:rsidRDefault="005452CC" w:rsidP="00911F87">
      <w:pPr>
        <w:pStyle w:val="notetext"/>
      </w:pPr>
      <w:r w:rsidRPr="00D74AAB">
        <w:rPr>
          <w:snapToGrid w:val="0"/>
          <w:lang w:eastAsia="en-US"/>
        </w:rPr>
        <w:t>Note:</w:t>
      </w:r>
      <w:r w:rsidRPr="00D74AAB">
        <w:rPr>
          <w:snapToGrid w:val="0"/>
          <w:lang w:eastAsia="en-US"/>
        </w:rPr>
        <w:tab/>
        <w:t xml:space="preserve">This table relates only to the provisions of </w:t>
      </w:r>
      <w:r w:rsidR="005A403B" w:rsidRPr="00D74AAB">
        <w:rPr>
          <w:snapToGrid w:val="0"/>
          <w:lang w:eastAsia="en-US"/>
        </w:rPr>
        <w:t>this instrument</w:t>
      </w:r>
      <w:r w:rsidRPr="00D74AAB">
        <w:t xml:space="preserve"> </w:t>
      </w:r>
      <w:r w:rsidRPr="00D74AAB">
        <w:rPr>
          <w:snapToGrid w:val="0"/>
          <w:lang w:eastAsia="en-US"/>
        </w:rPr>
        <w:t xml:space="preserve">as originally made. It will not be amended to deal with any later amendments of </w:t>
      </w:r>
      <w:r w:rsidR="005A403B" w:rsidRPr="00D74AAB">
        <w:rPr>
          <w:snapToGrid w:val="0"/>
          <w:lang w:eastAsia="en-US"/>
        </w:rPr>
        <w:t>this instrument</w:t>
      </w:r>
      <w:r w:rsidRPr="00D74AAB">
        <w:rPr>
          <w:snapToGrid w:val="0"/>
          <w:lang w:eastAsia="en-US"/>
        </w:rPr>
        <w:t>.</w:t>
      </w:r>
    </w:p>
    <w:p w14:paraId="0B53375D" w14:textId="77777777" w:rsidR="005452CC" w:rsidRPr="00D74AAB" w:rsidRDefault="005452CC" w:rsidP="004F676E">
      <w:pPr>
        <w:pStyle w:val="subsection"/>
      </w:pPr>
      <w:r w:rsidRPr="00D74AAB">
        <w:tab/>
        <w:t>(2)</w:t>
      </w:r>
      <w:r w:rsidRPr="00D74AAB">
        <w:tab/>
        <w:t xml:space="preserve">Any information in column 3 of the table is not part of </w:t>
      </w:r>
      <w:r w:rsidR="005A403B" w:rsidRPr="00D74AAB">
        <w:t>this instrument</w:t>
      </w:r>
      <w:r w:rsidRPr="00D74AAB">
        <w:t xml:space="preserve">. Information may be inserted in this column, or information in it may be edited, in any published version of </w:t>
      </w:r>
      <w:r w:rsidR="005A403B" w:rsidRPr="00D74AAB">
        <w:t>this instrument</w:t>
      </w:r>
      <w:r w:rsidRPr="00D74AAB">
        <w:t>.</w:t>
      </w:r>
    </w:p>
    <w:p w14:paraId="45562829" w14:textId="19BE4449" w:rsidR="00BF6650" w:rsidRPr="00D74AAB" w:rsidRDefault="00BF6650" w:rsidP="00BF6650">
      <w:pPr>
        <w:pStyle w:val="ActHead5"/>
      </w:pPr>
      <w:bookmarkStart w:id="2" w:name="_Toc127964298"/>
      <w:r w:rsidRPr="00D74AAB">
        <w:rPr>
          <w:rStyle w:val="CharSectno"/>
        </w:rPr>
        <w:t>3</w:t>
      </w:r>
      <w:r w:rsidRPr="00D74AAB">
        <w:t xml:space="preserve">  Authority</w:t>
      </w:r>
      <w:bookmarkEnd w:id="2"/>
    </w:p>
    <w:p w14:paraId="154F8F81" w14:textId="77777777" w:rsidR="00BF6650" w:rsidRPr="00D74AAB" w:rsidRDefault="00BF6650" w:rsidP="00BF6650">
      <w:pPr>
        <w:pStyle w:val="subsection"/>
      </w:pPr>
      <w:r w:rsidRPr="00D74AAB">
        <w:tab/>
      </w:r>
      <w:r w:rsidRPr="00D74AAB">
        <w:tab/>
      </w:r>
      <w:r w:rsidR="005A403B" w:rsidRPr="00D74AAB">
        <w:t>This instrument is</w:t>
      </w:r>
      <w:r w:rsidRPr="00D74AAB">
        <w:t xml:space="preserve"> made under </w:t>
      </w:r>
      <w:r w:rsidR="00AB3D76" w:rsidRPr="00D74AAB">
        <w:t xml:space="preserve">subsection 99AEKC(2) of the </w:t>
      </w:r>
      <w:r w:rsidR="00AB3D76" w:rsidRPr="00D74AAB">
        <w:rPr>
          <w:i/>
        </w:rPr>
        <w:t>National Health Act 1953</w:t>
      </w:r>
      <w:r w:rsidR="00546FA3" w:rsidRPr="00D74AAB">
        <w:t>.</w:t>
      </w:r>
    </w:p>
    <w:p w14:paraId="2840FCD7" w14:textId="77777777" w:rsidR="00557C7A" w:rsidRPr="00D74AAB" w:rsidRDefault="00BF6650" w:rsidP="00557C7A">
      <w:pPr>
        <w:pStyle w:val="ActHead5"/>
      </w:pPr>
      <w:bookmarkStart w:id="3" w:name="_Toc127964299"/>
      <w:r w:rsidRPr="00D74AAB">
        <w:rPr>
          <w:rStyle w:val="CharSectno"/>
        </w:rPr>
        <w:t>4</w:t>
      </w:r>
      <w:r w:rsidR="00557C7A" w:rsidRPr="00D74AAB">
        <w:t xml:space="preserve">  </w:t>
      </w:r>
      <w:r w:rsidR="00083F48" w:rsidRPr="00D74AAB">
        <w:t>Schedules</w:t>
      </w:r>
      <w:bookmarkEnd w:id="3"/>
    </w:p>
    <w:p w14:paraId="603087B0" w14:textId="77777777" w:rsidR="00557C7A" w:rsidRPr="00D74AAB" w:rsidRDefault="00557C7A" w:rsidP="00557C7A">
      <w:pPr>
        <w:pStyle w:val="subsection"/>
      </w:pPr>
      <w:r w:rsidRPr="00D74AAB">
        <w:tab/>
      </w:r>
      <w:r w:rsidRPr="00D74AAB">
        <w:tab/>
      </w:r>
      <w:r w:rsidR="00083F48" w:rsidRPr="00D74AAB">
        <w:t xml:space="preserve">Each </w:t>
      </w:r>
      <w:r w:rsidR="00160BD7" w:rsidRPr="00D74AAB">
        <w:t>instrument</w:t>
      </w:r>
      <w:r w:rsidR="00083F48" w:rsidRPr="00D74AAB">
        <w:t xml:space="preserve"> that is specified in a Schedule to </w:t>
      </w:r>
      <w:r w:rsidR="005A403B" w:rsidRPr="00D74AAB">
        <w:t>this instrument</w:t>
      </w:r>
      <w:r w:rsidR="00083F48" w:rsidRPr="00D74AAB">
        <w:t xml:space="preserve"> is amended or repealed as set out in the applicable items in the Schedule concerned, and any other item in a Schedule to </w:t>
      </w:r>
      <w:r w:rsidR="005A403B" w:rsidRPr="00D74AAB">
        <w:t>this instrument</w:t>
      </w:r>
      <w:r w:rsidR="00083F48" w:rsidRPr="00D74AAB">
        <w:t xml:space="preserve"> has effect according to its terms.</w:t>
      </w:r>
    </w:p>
    <w:p w14:paraId="40D264FF" w14:textId="77777777" w:rsidR="0048364F" w:rsidRPr="00D74AAB" w:rsidRDefault="00C73A1C" w:rsidP="009C5989">
      <w:pPr>
        <w:pStyle w:val="ActHead6"/>
        <w:pageBreakBefore/>
      </w:pPr>
      <w:bookmarkStart w:id="4" w:name="_Toc127964300"/>
      <w:r w:rsidRPr="00D74AAB">
        <w:rPr>
          <w:rStyle w:val="CharAmSchNo"/>
        </w:rPr>
        <w:lastRenderedPageBreak/>
        <w:t>Schedule 1</w:t>
      </w:r>
      <w:r w:rsidR="0048364F" w:rsidRPr="00D74AAB">
        <w:t>—</w:t>
      </w:r>
      <w:r w:rsidR="00460499" w:rsidRPr="00D74AAB">
        <w:rPr>
          <w:rStyle w:val="CharAmSchText"/>
        </w:rPr>
        <w:t>Amendments</w:t>
      </w:r>
      <w:bookmarkEnd w:id="4"/>
    </w:p>
    <w:p w14:paraId="4B8BADD7" w14:textId="77777777" w:rsidR="000229B7" w:rsidRPr="00D74AAB" w:rsidRDefault="000229B7" w:rsidP="000229B7">
      <w:pPr>
        <w:pStyle w:val="ActHead9"/>
      </w:pPr>
      <w:bookmarkStart w:id="5" w:name="_Toc127964301"/>
      <w:r w:rsidRPr="00D74AAB">
        <w:t xml:space="preserve">National Health (Minimum Stockholding) </w:t>
      </w:r>
      <w:r w:rsidR="00C73A1C" w:rsidRPr="00D74AAB">
        <w:t>Determination 2</w:t>
      </w:r>
      <w:r w:rsidRPr="00D74AAB">
        <w:t>023</w:t>
      </w:r>
      <w:bookmarkEnd w:id="5"/>
    </w:p>
    <w:p w14:paraId="38F3A73E" w14:textId="6C7314A5" w:rsidR="0091002E" w:rsidRPr="00D74AAB" w:rsidRDefault="0091002E" w:rsidP="0091002E">
      <w:pPr>
        <w:pStyle w:val="ItemHead"/>
      </w:pPr>
      <w:r w:rsidRPr="00D74AAB">
        <w:t>1  After subsection 5(2)</w:t>
      </w:r>
    </w:p>
    <w:p w14:paraId="7663D128" w14:textId="77777777" w:rsidR="0091002E" w:rsidRPr="00D74AAB" w:rsidRDefault="0091002E" w:rsidP="0091002E">
      <w:pPr>
        <w:pStyle w:val="Item"/>
      </w:pPr>
      <w:r w:rsidRPr="00D74AAB">
        <w:t>Add:</w:t>
      </w:r>
    </w:p>
    <w:p w14:paraId="6E5BF15A" w14:textId="1B45D37E" w:rsidR="0091002E" w:rsidRPr="00D74AAB" w:rsidRDefault="0091002E" w:rsidP="0091002E">
      <w:pPr>
        <w:pStyle w:val="subsection"/>
        <w:ind w:hanging="425"/>
      </w:pPr>
      <w:r w:rsidRPr="00D74AAB">
        <w:t>(3)</w:t>
      </w:r>
      <w:r w:rsidRPr="00D74AAB">
        <w:tab/>
      </w:r>
      <w:r w:rsidRPr="00D74AAB">
        <w:tab/>
        <w:t xml:space="preserve">For the purposes of this section, a brand of pharmaceutical item to which section 99ADHC and therefore 99AEKA of the Act applies, but to which section 99ADD of the Act does not apply, is treated as if data collection periods applied to the brand, and as if the start day for the </w:t>
      </w:r>
      <w:r w:rsidR="009A14D2" w:rsidRPr="00D74AAB">
        <w:t xml:space="preserve">first </w:t>
      </w:r>
      <w:r w:rsidRPr="00D74AAB">
        <w:t>data collection period for the brand was the day on which that brand was first determined under subsection 85(6) of the Act.</w:t>
      </w:r>
    </w:p>
    <w:p w14:paraId="15BBC0D8" w14:textId="65802068" w:rsidR="00960C90" w:rsidRPr="00D74AAB" w:rsidRDefault="00E3445F" w:rsidP="00960C90">
      <w:pPr>
        <w:pStyle w:val="ItemHead"/>
      </w:pPr>
      <w:r w:rsidRPr="00D74AAB">
        <w:t>2</w:t>
      </w:r>
      <w:r w:rsidR="00960C90" w:rsidRPr="00D74AAB">
        <w:t xml:space="preserve">  Schedule 1</w:t>
      </w:r>
    </w:p>
    <w:p w14:paraId="5EE1EE0B" w14:textId="77777777" w:rsidR="00960C90" w:rsidRPr="00D74AAB" w:rsidRDefault="00960C90" w:rsidP="00960C90">
      <w:pPr>
        <w:pStyle w:val="Item"/>
      </w:pPr>
      <w:r w:rsidRPr="00D74AAB">
        <w:t>After:</w:t>
      </w:r>
    </w:p>
    <w:tbl>
      <w:tblPr>
        <w:tblW w:w="9923" w:type="dxa"/>
        <w:tblInd w:w="-709" w:type="dxa"/>
        <w:tblLayout w:type="fixed"/>
        <w:tblLook w:val="0000" w:firstRow="0" w:lastRow="0" w:firstColumn="0" w:lastColumn="0" w:noHBand="0" w:noVBand="0"/>
      </w:tblPr>
      <w:tblGrid>
        <w:gridCol w:w="1870"/>
        <w:gridCol w:w="2301"/>
        <w:gridCol w:w="1403"/>
        <w:gridCol w:w="2192"/>
        <w:gridCol w:w="2157"/>
      </w:tblGrid>
      <w:tr w:rsidR="00676E15" w:rsidRPr="00D74AAB" w14:paraId="1F965E70" w14:textId="77777777" w:rsidTr="00137277">
        <w:tc>
          <w:tcPr>
            <w:tcW w:w="1843" w:type="dxa"/>
            <w:shd w:val="clear" w:color="auto" w:fill="auto"/>
          </w:tcPr>
          <w:p w14:paraId="1C75F217" w14:textId="3973C7EA" w:rsidR="00960C90" w:rsidRPr="00D74AAB" w:rsidRDefault="00960C90" w:rsidP="00960C90">
            <w:pPr>
              <w:pStyle w:val="Tabletext"/>
            </w:pPr>
            <w:r w:rsidRPr="00D74AAB">
              <w:rPr>
                <w:color w:val="000000"/>
              </w:rPr>
              <w:t>Acarbose</w:t>
            </w:r>
          </w:p>
        </w:tc>
        <w:tc>
          <w:tcPr>
            <w:tcW w:w="2268" w:type="dxa"/>
            <w:shd w:val="clear" w:color="auto" w:fill="auto"/>
          </w:tcPr>
          <w:p w14:paraId="73D52AE1" w14:textId="25017014" w:rsidR="00960C90" w:rsidRPr="00D74AAB" w:rsidRDefault="00960C90" w:rsidP="00960C90">
            <w:pPr>
              <w:pStyle w:val="Tabletext"/>
            </w:pPr>
            <w:r w:rsidRPr="00D74AAB">
              <w:rPr>
                <w:color w:val="000000"/>
              </w:rPr>
              <w:t>Tablet 50 mg</w:t>
            </w:r>
          </w:p>
        </w:tc>
        <w:tc>
          <w:tcPr>
            <w:tcW w:w="1383" w:type="dxa"/>
            <w:shd w:val="clear" w:color="auto" w:fill="auto"/>
          </w:tcPr>
          <w:p w14:paraId="53DAE15D" w14:textId="74644A4F" w:rsidR="00960C90" w:rsidRPr="00D74AAB" w:rsidRDefault="00960C90" w:rsidP="00960C90">
            <w:pPr>
              <w:pStyle w:val="Tabletext"/>
            </w:pPr>
            <w:r w:rsidRPr="00D74AAB">
              <w:rPr>
                <w:color w:val="000000"/>
              </w:rPr>
              <w:t>Oral</w:t>
            </w:r>
          </w:p>
        </w:tc>
        <w:tc>
          <w:tcPr>
            <w:tcW w:w="2160" w:type="dxa"/>
            <w:shd w:val="clear" w:color="auto" w:fill="auto"/>
          </w:tcPr>
          <w:p w14:paraId="0F048EB8" w14:textId="46C682C0" w:rsidR="00960C90" w:rsidRPr="00D74AAB" w:rsidRDefault="00960C90" w:rsidP="00960C90">
            <w:pPr>
              <w:pStyle w:val="Tabletext"/>
            </w:pPr>
            <w:r w:rsidRPr="00D74AAB">
              <w:rPr>
                <w:color w:val="000000"/>
              </w:rPr>
              <w:t>GLYBOSAY</w:t>
            </w:r>
          </w:p>
        </w:tc>
        <w:tc>
          <w:tcPr>
            <w:tcW w:w="2126" w:type="dxa"/>
            <w:shd w:val="clear" w:color="auto" w:fill="auto"/>
          </w:tcPr>
          <w:p w14:paraId="3CE3EBD5" w14:textId="4ACE39E9" w:rsidR="00960C90" w:rsidRPr="00D74AAB" w:rsidRDefault="00960C90" w:rsidP="00137277">
            <w:pPr>
              <w:spacing w:line="240" w:lineRule="auto"/>
            </w:pPr>
            <w:r w:rsidRPr="00D74AAB">
              <w:rPr>
                <w:color w:val="000000"/>
                <w:sz w:val="20"/>
              </w:rPr>
              <w:t>2 months stock by reference to usual demand</w:t>
            </w:r>
          </w:p>
        </w:tc>
      </w:tr>
    </w:tbl>
    <w:p w14:paraId="0482B2A1" w14:textId="77777777" w:rsidR="00960C90" w:rsidRPr="00D74AAB" w:rsidRDefault="00960C90" w:rsidP="00960C9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3873DD" w:rsidRPr="00D74AAB" w14:paraId="34DD5425" w14:textId="77777777" w:rsidTr="003873DD">
        <w:tc>
          <w:tcPr>
            <w:tcW w:w="1832" w:type="dxa"/>
            <w:shd w:val="clear" w:color="auto" w:fill="auto"/>
          </w:tcPr>
          <w:p w14:paraId="250B732D" w14:textId="2C81E481" w:rsidR="00960C90" w:rsidRPr="00D74AAB" w:rsidRDefault="00960C90" w:rsidP="00960C90">
            <w:pPr>
              <w:pStyle w:val="Tabletext"/>
              <w:rPr>
                <w:color w:val="000000"/>
              </w:rPr>
            </w:pPr>
            <w:proofErr w:type="spellStart"/>
            <w:r w:rsidRPr="00D74AAB">
              <w:rPr>
                <w:color w:val="000000"/>
              </w:rPr>
              <w:t>Alendronic</w:t>
            </w:r>
            <w:proofErr w:type="spellEnd"/>
            <w:r w:rsidRPr="00D74AAB">
              <w:rPr>
                <w:color w:val="000000"/>
              </w:rPr>
              <w:t xml:space="preserve"> acid with </w:t>
            </w:r>
            <w:proofErr w:type="spellStart"/>
            <w:r w:rsidRPr="00D74AAB">
              <w:rPr>
                <w:color w:val="000000"/>
              </w:rPr>
              <w:t>colecalciferol</w:t>
            </w:r>
            <w:proofErr w:type="spellEnd"/>
          </w:p>
        </w:tc>
        <w:tc>
          <w:tcPr>
            <w:tcW w:w="2268" w:type="dxa"/>
            <w:shd w:val="clear" w:color="auto" w:fill="auto"/>
          </w:tcPr>
          <w:p w14:paraId="434E5106" w14:textId="2CCF09AA" w:rsidR="00960C90" w:rsidRPr="00D74AAB" w:rsidRDefault="00960C90" w:rsidP="00960C90">
            <w:pPr>
              <w:pStyle w:val="Tabletext"/>
              <w:rPr>
                <w:color w:val="000000"/>
              </w:rPr>
            </w:pPr>
            <w:r w:rsidRPr="00D74AAB">
              <w:rPr>
                <w:color w:val="000000"/>
              </w:rPr>
              <w:t xml:space="preserve">Tablet 70 mg (as alendronate sodium) with 140 micrograms </w:t>
            </w:r>
            <w:proofErr w:type="spellStart"/>
            <w:r w:rsidRPr="00D74AAB">
              <w:rPr>
                <w:color w:val="000000"/>
              </w:rPr>
              <w:t>colecalciferol</w:t>
            </w:r>
            <w:proofErr w:type="spellEnd"/>
          </w:p>
        </w:tc>
        <w:tc>
          <w:tcPr>
            <w:tcW w:w="1383" w:type="dxa"/>
            <w:shd w:val="clear" w:color="auto" w:fill="auto"/>
          </w:tcPr>
          <w:p w14:paraId="2E873E8E" w14:textId="04C6DA3B" w:rsidR="00960C90" w:rsidRPr="00D74AAB" w:rsidRDefault="00960C90" w:rsidP="00960C90">
            <w:pPr>
              <w:pStyle w:val="Tabletext"/>
              <w:rPr>
                <w:color w:val="000000"/>
              </w:rPr>
            </w:pPr>
            <w:r w:rsidRPr="00D74AAB">
              <w:rPr>
                <w:color w:val="000000"/>
              </w:rPr>
              <w:t>Oral</w:t>
            </w:r>
          </w:p>
        </w:tc>
        <w:tc>
          <w:tcPr>
            <w:tcW w:w="2160" w:type="dxa"/>
            <w:shd w:val="clear" w:color="auto" w:fill="auto"/>
          </w:tcPr>
          <w:p w14:paraId="15778C3B" w14:textId="5781201C" w:rsidR="00960C90" w:rsidRPr="00D74AAB" w:rsidRDefault="00960C90" w:rsidP="00960C90">
            <w:pPr>
              <w:pStyle w:val="Tabletext"/>
              <w:rPr>
                <w:color w:val="000000"/>
              </w:rPr>
            </w:pPr>
            <w:r w:rsidRPr="00D74AAB">
              <w:rPr>
                <w:color w:val="000000"/>
              </w:rPr>
              <w:t>Alendronate Plus D3 Sandoz</w:t>
            </w:r>
          </w:p>
        </w:tc>
        <w:tc>
          <w:tcPr>
            <w:tcW w:w="2126" w:type="dxa"/>
            <w:shd w:val="clear" w:color="auto" w:fill="auto"/>
          </w:tcPr>
          <w:p w14:paraId="264B6137" w14:textId="52320FF1" w:rsidR="00960C90" w:rsidRPr="00D74AAB" w:rsidRDefault="00960C90" w:rsidP="00137277">
            <w:pPr>
              <w:pStyle w:val="Tabletext"/>
              <w:rPr>
                <w:color w:val="000000"/>
              </w:rPr>
            </w:pPr>
            <w:r w:rsidRPr="00D74AAB">
              <w:rPr>
                <w:color w:val="000000"/>
              </w:rPr>
              <w:t>Between 1 October 2023 and 30 November 2023—0 months stock by reference to usual demand</w:t>
            </w:r>
          </w:p>
        </w:tc>
      </w:tr>
    </w:tbl>
    <w:p w14:paraId="6A2DC2D9" w14:textId="7F6827BF" w:rsidR="00960C90" w:rsidRPr="00D74AAB" w:rsidRDefault="00E3445F" w:rsidP="00960C90">
      <w:pPr>
        <w:pStyle w:val="ItemHead"/>
      </w:pPr>
      <w:r w:rsidRPr="00D74AAB">
        <w:t>3</w:t>
      </w:r>
      <w:r w:rsidR="00960C90" w:rsidRPr="00D74AAB">
        <w:t xml:space="preserve">  Schedule 1</w:t>
      </w:r>
    </w:p>
    <w:p w14:paraId="7898F943" w14:textId="77777777" w:rsidR="00960C90" w:rsidRPr="00D74AAB" w:rsidRDefault="00960C90" w:rsidP="00960C9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960C90" w:rsidRPr="00D74AAB" w14:paraId="6F0B4B99" w14:textId="77777777" w:rsidTr="00137277">
        <w:tc>
          <w:tcPr>
            <w:tcW w:w="1832" w:type="dxa"/>
            <w:shd w:val="clear" w:color="auto" w:fill="auto"/>
          </w:tcPr>
          <w:p w14:paraId="1F9F77E7" w14:textId="3B047802" w:rsidR="00960C90" w:rsidRPr="00D74AAB" w:rsidRDefault="00960C90" w:rsidP="00960C90">
            <w:pPr>
              <w:pStyle w:val="Tabletext"/>
            </w:pPr>
            <w:proofErr w:type="spellStart"/>
            <w:r w:rsidRPr="00D74AAB">
              <w:rPr>
                <w:color w:val="000000"/>
              </w:rPr>
              <w:t>Alendronic</w:t>
            </w:r>
            <w:proofErr w:type="spellEnd"/>
            <w:r w:rsidRPr="00D74AAB">
              <w:rPr>
                <w:color w:val="000000"/>
              </w:rPr>
              <w:t xml:space="preserve"> acid with </w:t>
            </w:r>
            <w:proofErr w:type="spellStart"/>
            <w:r w:rsidRPr="00D74AAB">
              <w:rPr>
                <w:color w:val="000000"/>
              </w:rPr>
              <w:t>colecalciferol</w:t>
            </w:r>
            <w:proofErr w:type="spellEnd"/>
          </w:p>
        </w:tc>
        <w:tc>
          <w:tcPr>
            <w:tcW w:w="2268" w:type="dxa"/>
            <w:shd w:val="clear" w:color="auto" w:fill="auto"/>
          </w:tcPr>
          <w:p w14:paraId="43C7966F" w14:textId="0F7C1D45" w:rsidR="00960C90" w:rsidRPr="00D74AAB" w:rsidRDefault="00960C90" w:rsidP="00960C90">
            <w:pPr>
              <w:pStyle w:val="Tabletext"/>
            </w:pPr>
            <w:r w:rsidRPr="00D74AAB">
              <w:rPr>
                <w:color w:val="000000"/>
              </w:rPr>
              <w:t xml:space="preserve">Tablet 70 mg (as alendronate sodium) with 140 micrograms </w:t>
            </w:r>
            <w:proofErr w:type="spellStart"/>
            <w:r w:rsidRPr="00D74AAB">
              <w:rPr>
                <w:color w:val="000000"/>
              </w:rPr>
              <w:t>colecalciferol</w:t>
            </w:r>
            <w:proofErr w:type="spellEnd"/>
          </w:p>
        </w:tc>
        <w:tc>
          <w:tcPr>
            <w:tcW w:w="1383" w:type="dxa"/>
            <w:shd w:val="clear" w:color="auto" w:fill="auto"/>
          </w:tcPr>
          <w:p w14:paraId="5AE2FF08" w14:textId="4D984D7C" w:rsidR="00960C90" w:rsidRPr="00D74AAB" w:rsidRDefault="00960C90" w:rsidP="00960C90">
            <w:pPr>
              <w:pStyle w:val="Tabletext"/>
            </w:pPr>
            <w:r w:rsidRPr="00D74AAB">
              <w:rPr>
                <w:color w:val="000000"/>
              </w:rPr>
              <w:t>Oral</w:t>
            </w:r>
          </w:p>
        </w:tc>
        <w:tc>
          <w:tcPr>
            <w:tcW w:w="2160" w:type="dxa"/>
            <w:shd w:val="clear" w:color="auto" w:fill="auto"/>
          </w:tcPr>
          <w:p w14:paraId="515EC686" w14:textId="6E7576FE" w:rsidR="00960C90" w:rsidRPr="00D74AAB" w:rsidRDefault="00960C90" w:rsidP="00960C90">
            <w:pPr>
              <w:pStyle w:val="Tabletext"/>
            </w:pPr>
            <w:r w:rsidRPr="00D74AAB">
              <w:rPr>
                <w:color w:val="000000"/>
              </w:rPr>
              <w:t>Fosamax Plus 70 mg/140 mcg</w:t>
            </w:r>
          </w:p>
        </w:tc>
        <w:tc>
          <w:tcPr>
            <w:tcW w:w="2126" w:type="dxa"/>
            <w:shd w:val="clear" w:color="auto" w:fill="auto"/>
          </w:tcPr>
          <w:p w14:paraId="75358997" w14:textId="77777777" w:rsidR="00960C90" w:rsidRPr="00D74AAB" w:rsidRDefault="00960C90" w:rsidP="00960C90">
            <w:pPr>
              <w:spacing w:line="240" w:lineRule="auto"/>
              <w:rPr>
                <w:color w:val="000000"/>
                <w:sz w:val="20"/>
              </w:rPr>
            </w:pPr>
            <w:r w:rsidRPr="00D74AAB">
              <w:rPr>
                <w:color w:val="000000"/>
                <w:sz w:val="20"/>
              </w:rPr>
              <w:t>between 1 July 2023 and 31 December 2023—1.5 months stock by reference to usual demand</w:t>
            </w:r>
          </w:p>
          <w:p w14:paraId="3BF2DCBE" w14:textId="4A97BD54" w:rsidR="00960C90" w:rsidRPr="00D74AAB" w:rsidRDefault="00960C90" w:rsidP="00960C90">
            <w:pPr>
              <w:pStyle w:val="Tablea"/>
            </w:pPr>
          </w:p>
        </w:tc>
      </w:tr>
    </w:tbl>
    <w:p w14:paraId="1F601FF9" w14:textId="77777777" w:rsidR="00960C90" w:rsidRPr="00D74AAB" w:rsidRDefault="00960C90" w:rsidP="00960C9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960C90" w:rsidRPr="00D74AAB" w14:paraId="1A2B5D77" w14:textId="77777777" w:rsidTr="00137277">
        <w:tc>
          <w:tcPr>
            <w:tcW w:w="1832" w:type="dxa"/>
            <w:shd w:val="clear" w:color="auto" w:fill="auto"/>
          </w:tcPr>
          <w:p w14:paraId="45B762CE" w14:textId="3DDDB33E" w:rsidR="00960C90" w:rsidRPr="00D74AAB" w:rsidRDefault="00960C90" w:rsidP="00960C90">
            <w:pPr>
              <w:pStyle w:val="Tabletext"/>
            </w:pPr>
            <w:proofErr w:type="spellStart"/>
            <w:r w:rsidRPr="00D74AAB">
              <w:rPr>
                <w:color w:val="000000"/>
              </w:rPr>
              <w:t>Alendronic</w:t>
            </w:r>
            <w:proofErr w:type="spellEnd"/>
            <w:r w:rsidRPr="00D74AAB">
              <w:rPr>
                <w:color w:val="000000"/>
              </w:rPr>
              <w:t xml:space="preserve"> acid with </w:t>
            </w:r>
            <w:proofErr w:type="spellStart"/>
            <w:r w:rsidRPr="00D74AAB">
              <w:rPr>
                <w:color w:val="000000"/>
              </w:rPr>
              <w:t>colecalciferol</w:t>
            </w:r>
            <w:proofErr w:type="spellEnd"/>
          </w:p>
        </w:tc>
        <w:tc>
          <w:tcPr>
            <w:tcW w:w="2268" w:type="dxa"/>
            <w:shd w:val="clear" w:color="auto" w:fill="auto"/>
          </w:tcPr>
          <w:p w14:paraId="27566063" w14:textId="06047F80" w:rsidR="00960C90" w:rsidRPr="00D74AAB" w:rsidRDefault="00960C90" w:rsidP="00960C90">
            <w:pPr>
              <w:pStyle w:val="Tabletext"/>
            </w:pPr>
            <w:r w:rsidRPr="00D74AAB">
              <w:rPr>
                <w:color w:val="000000"/>
              </w:rPr>
              <w:t xml:space="preserve">Tablet 70 mg (as alendronate sodium) with 70 micrograms </w:t>
            </w:r>
            <w:proofErr w:type="spellStart"/>
            <w:r w:rsidRPr="00D74AAB">
              <w:rPr>
                <w:color w:val="000000"/>
              </w:rPr>
              <w:t>colecalciferol</w:t>
            </w:r>
            <w:proofErr w:type="spellEnd"/>
          </w:p>
        </w:tc>
        <w:tc>
          <w:tcPr>
            <w:tcW w:w="1383" w:type="dxa"/>
            <w:shd w:val="clear" w:color="auto" w:fill="auto"/>
          </w:tcPr>
          <w:p w14:paraId="37BC90DB" w14:textId="7D9F0BFE" w:rsidR="00960C90" w:rsidRPr="00D74AAB" w:rsidRDefault="00960C90" w:rsidP="00960C90">
            <w:pPr>
              <w:pStyle w:val="Tabletext"/>
            </w:pPr>
            <w:r w:rsidRPr="00D74AAB">
              <w:rPr>
                <w:color w:val="000000"/>
              </w:rPr>
              <w:t>Oral</w:t>
            </w:r>
          </w:p>
        </w:tc>
        <w:tc>
          <w:tcPr>
            <w:tcW w:w="2160" w:type="dxa"/>
            <w:shd w:val="clear" w:color="auto" w:fill="auto"/>
          </w:tcPr>
          <w:p w14:paraId="580DE1B2" w14:textId="52A311B9" w:rsidR="00960C90" w:rsidRPr="00D74AAB" w:rsidRDefault="00960C90" w:rsidP="00960C90">
            <w:pPr>
              <w:pStyle w:val="Tabletext"/>
            </w:pPr>
            <w:r w:rsidRPr="00D74AAB">
              <w:rPr>
                <w:color w:val="000000"/>
              </w:rPr>
              <w:t>Alendronate Plus D3 Sandoz</w:t>
            </w:r>
          </w:p>
        </w:tc>
        <w:tc>
          <w:tcPr>
            <w:tcW w:w="2126" w:type="dxa"/>
            <w:shd w:val="clear" w:color="auto" w:fill="auto"/>
          </w:tcPr>
          <w:p w14:paraId="27985616" w14:textId="37E16B3A" w:rsidR="00960C90" w:rsidRPr="00D74AAB" w:rsidRDefault="00960C90" w:rsidP="00137277">
            <w:pPr>
              <w:spacing w:line="240" w:lineRule="auto"/>
            </w:pPr>
            <w:r w:rsidRPr="00D74AAB">
              <w:rPr>
                <w:color w:val="000000"/>
                <w:sz w:val="20"/>
              </w:rPr>
              <w:t>Between 1 October 2023 and 30 November 2023—0 months stock by reference to usual demand</w:t>
            </w:r>
          </w:p>
        </w:tc>
      </w:tr>
    </w:tbl>
    <w:p w14:paraId="074DB417" w14:textId="77777777" w:rsidR="00164CE3" w:rsidRPr="00D74AAB" w:rsidRDefault="00164CE3">
      <w:pPr>
        <w:spacing w:line="240" w:lineRule="auto"/>
        <w:rPr>
          <w:rFonts w:ascii="Arial" w:eastAsia="Times New Roman" w:hAnsi="Arial" w:cs="Times New Roman"/>
          <w:b/>
          <w:kern w:val="28"/>
          <w:sz w:val="24"/>
          <w:lang w:eastAsia="en-AU"/>
        </w:rPr>
      </w:pPr>
      <w:r w:rsidRPr="00D74AAB">
        <w:br w:type="page"/>
      </w:r>
    </w:p>
    <w:p w14:paraId="24C9A026" w14:textId="047B3FDD" w:rsidR="00461E80" w:rsidRPr="00D74AAB" w:rsidRDefault="00E3445F" w:rsidP="00461E80">
      <w:pPr>
        <w:pStyle w:val="ItemHead"/>
      </w:pPr>
      <w:r w:rsidRPr="00D74AAB">
        <w:lastRenderedPageBreak/>
        <w:t>4</w:t>
      </w:r>
      <w:r w:rsidR="00461E80" w:rsidRPr="00D74AAB">
        <w:t xml:space="preserve">  Schedule 1</w:t>
      </w:r>
    </w:p>
    <w:p w14:paraId="661199BC"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3F5C7672" w14:textId="77777777" w:rsidTr="00137277">
        <w:tc>
          <w:tcPr>
            <w:tcW w:w="1832" w:type="dxa"/>
            <w:shd w:val="clear" w:color="auto" w:fill="auto"/>
          </w:tcPr>
          <w:p w14:paraId="4C43A986" w14:textId="5E82EFE5" w:rsidR="00461E80" w:rsidRPr="00D74AAB" w:rsidRDefault="00461E80" w:rsidP="00461E80">
            <w:pPr>
              <w:pStyle w:val="Tabletext"/>
            </w:pPr>
            <w:proofErr w:type="spellStart"/>
            <w:r w:rsidRPr="00D74AAB">
              <w:rPr>
                <w:color w:val="000000"/>
              </w:rPr>
              <w:t>Amisulpride</w:t>
            </w:r>
            <w:proofErr w:type="spellEnd"/>
          </w:p>
        </w:tc>
        <w:tc>
          <w:tcPr>
            <w:tcW w:w="2268" w:type="dxa"/>
            <w:shd w:val="clear" w:color="auto" w:fill="auto"/>
          </w:tcPr>
          <w:p w14:paraId="5ACB468E" w14:textId="2C35062F" w:rsidR="00461E80" w:rsidRPr="00D74AAB" w:rsidRDefault="00461E80" w:rsidP="00461E80">
            <w:pPr>
              <w:pStyle w:val="Tabletext"/>
            </w:pPr>
            <w:r w:rsidRPr="00D74AAB">
              <w:rPr>
                <w:color w:val="000000"/>
              </w:rPr>
              <w:t>Oral solution 100 mg per mL, 60 mL</w:t>
            </w:r>
          </w:p>
        </w:tc>
        <w:tc>
          <w:tcPr>
            <w:tcW w:w="1383" w:type="dxa"/>
            <w:shd w:val="clear" w:color="auto" w:fill="auto"/>
          </w:tcPr>
          <w:p w14:paraId="435E9D5D" w14:textId="6B3E85C6" w:rsidR="00461E80" w:rsidRPr="00D74AAB" w:rsidRDefault="00461E80" w:rsidP="00461E80">
            <w:pPr>
              <w:pStyle w:val="Tabletext"/>
            </w:pPr>
            <w:r w:rsidRPr="00D74AAB">
              <w:rPr>
                <w:color w:val="000000"/>
              </w:rPr>
              <w:t>Oral</w:t>
            </w:r>
          </w:p>
        </w:tc>
        <w:tc>
          <w:tcPr>
            <w:tcW w:w="2160" w:type="dxa"/>
            <w:shd w:val="clear" w:color="auto" w:fill="auto"/>
          </w:tcPr>
          <w:p w14:paraId="1FC7C238" w14:textId="62CCDC47" w:rsidR="00461E80" w:rsidRPr="00D74AAB" w:rsidRDefault="00461E80" w:rsidP="00461E80">
            <w:pPr>
              <w:pStyle w:val="Tabletext"/>
            </w:pPr>
            <w:proofErr w:type="spellStart"/>
            <w:r w:rsidRPr="00D74AAB">
              <w:rPr>
                <w:color w:val="000000"/>
              </w:rPr>
              <w:t>Solian</w:t>
            </w:r>
            <w:proofErr w:type="spellEnd"/>
            <w:r w:rsidRPr="00D74AAB">
              <w:rPr>
                <w:color w:val="000000"/>
              </w:rPr>
              <w:t xml:space="preserve"> Solution</w:t>
            </w:r>
          </w:p>
        </w:tc>
        <w:tc>
          <w:tcPr>
            <w:tcW w:w="2126" w:type="dxa"/>
            <w:shd w:val="clear" w:color="auto" w:fill="auto"/>
          </w:tcPr>
          <w:p w14:paraId="4D72921E" w14:textId="58387D59" w:rsidR="00461E80" w:rsidRPr="00D74AAB" w:rsidRDefault="00461E80" w:rsidP="00137277">
            <w:pPr>
              <w:spacing w:line="240" w:lineRule="auto"/>
            </w:pPr>
            <w:r w:rsidRPr="00D74AAB">
              <w:rPr>
                <w:color w:val="000000"/>
                <w:sz w:val="20"/>
              </w:rPr>
              <w:t>4 months stock by reference to usual PBS demand</w:t>
            </w:r>
          </w:p>
        </w:tc>
      </w:tr>
    </w:tbl>
    <w:p w14:paraId="5938BC51"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52E390E3" w14:textId="77777777" w:rsidTr="00137277">
        <w:tc>
          <w:tcPr>
            <w:tcW w:w="1832" w:type="dxa"/>
            <w:tcBorders>
              <w:bottom w:val="single" w:sz="4" w:space="0" w:color="auto"/>
            </w:tcBorders>
            <w:shd w:val="clear" w:color="auto" w:fill="auto"/>
          </w:tcPr>
          <w:p w14:paraId="709D6583" w14:textId="2FD1FFCC" w:rsidR="00461E80" w:rsidRPr="00D74AAB" w:rsidRDefault="00461E80" w:rsidP="00461E80">
            <w:pPr>
              <w:pStyle w:val="Tabletext"/>
            </w:pPr>
            <w:proofErr w:type="spellStart"/>
            <w:r w:rsidRPr="00D74AAB">
              <w:rPr>
                <w:color w:val="000000"/>
              </w:rPr>
              <w:t>Amisulpride</w:t>
            </w:r>
            <w:proofErr w:type="spellEnd"/>
          </w:p>
        </w:tc>
        <w:tc>
          <w:tcPr>
            <w:tcW w:w="2268" w:type="dxa"/>
            <w:tcBorders>
              <w:bottom w:val="single" w:sz="4" w:space="0" w:color="auto"/>
            </w:tcBorders>
            <w:shd w:val="clear" w:color="auto" w:fill="auto"/>
          </w:tcPr>
          <w:p w14:paraId="614C369E" w14:textId="41EEF299" w:rsidR="00461E80" w:rsidRPr="00D74AAB" w:rsidRDefault="00461E80" w:rsidP="00461E80">
            <w:pPr>
              <w:pStyle w:val="Tabletext"/>
            </w:pPr>
            <w:r w:rsidRPr="00D74AAB">
              <w:rPr>
                <w:color w:val="000000"/>
              </w:rPr>
              <w:t>Tablet 100 mg</w:t>
            </w:r>
          </w:p>
        </w:tc>
        <w:tc>
          <w:tcPr>
            <w:tcW w:w="1383" w:type="dxa"/>
            <w:tcBorders>
              <w:bottom w:val="single" w:sz="4" w:space="0" w:color="auto"/>
            </w:tcBorders>
            <w:shd w:val="clear" w:color="auto" w:fill="auto"/>
          </w:tcPr>
          <w:p w14:paraId="43D8381F" w14:textId="7F31CD54" w:rsidR="00461E80" w:rsidRPr="00D74AAB" w:rsidRDefault="00461E80" w:rsidP="00461E80">
            <w:pPr>
              <w:pStyle w:val="Tabletext"/>
            </w:pPr>
            <w:r w:rsidRPr="00D74AAB">
              <w:rPr>
                <w:color w:val="000000"/>
              </w:rPr>
              <w:t>Oral</w:t>
            </w:r>
          </w:p>
        </w:tc>
        <w:tc>
          <w:tcPr>
            <w:tcW w:w="2160" w:type="dxa"/>
            <w:tcBorders>
              <w:bottom w:val="single" w:sz="4" w:space="0" w:color="auto"/>
            </w:tcBorders>
            <w:shd w:val="clear" w:color="auto" w:fill="auto"/>
          </w:tcPr>
          <w:p w14:paraId="58EDC63E" w14:textId="55B1F196" w:rsidR="00461E80" w:rsidRPr="00D74AAB" w:rsidRDefault="00461E80" w:rsidP="00461E80">
            <w:pPr>
              <w:pStyle w:val="Tabletext"/>
            </w:pPr>
            <w:proofErr w:type="spellStart"/>
            <w:r w:rsidRPr="00D74AAB">
              <w:rPr>
                <w:color w:val="000000"/>
              </w:rPr>
              <w:t>Amisulpride</w:t>
            </w:r>
            <w:proofErr w:type="spellEnd"/>
            <w:r w:rsidRPr="00D74AAB">
              <w:rPr>
                <w:color w:val="000000"/>
              </w:rPr>
              <w:t xml:space="preserve"> 100 Winthrop</w:t>
            </w:r>
          </w:p>
        </w:tc>
        <w:tc>
          <w:tcPr>
            <w:tcW w:w="2126" w:type="dxa"/>
            <w:tcBorders>
              <w:bottom w:val="single" w:sz="4" w:space="0" w:color="auto"/>
            </w:tcBorders>
            <w:shd w:val="clear" w:color="auto" w:fill="auto"/>
          </w:tcPr>
          <w:p w14:paraId="34DB0F37" w14:textId="3B8B8ABC" w:rsidR="00461E80" w:rsidRPr="00D74AAB" w:rsidRDefault="00461E80" w:rsidP="00137277">
            <w:pPr>
              <w:spacing w:line="240" w:lineRule="auto"/>
              <w:rPr>
                <w:color w:val="000000"/>
              </w:rPr>
            </w:pPr>
            <w:r w:rsidRPr="00D74AAB">
              <w:rPr>
                <w:rFonts w:cs="Times New Roman"/>
                <w:color w:val="000000"/>
                <w:sz w:val="20"/>
              </w:rPr>
              <w:t>Between 1 October 2023 and 31 January 2024—0 months stock by reference to usual demand</w:t>
            </w:r>
          </w:p>
        </w:tc>
      </w:tr>
      <w:tr w:rsidR="00461E80" w:rsidRPr="00D74AAB" w14:paraId="02600D91" w14:textId="77777777" w:rsidTr="00137277">
        <w:tc>
          <w:tcPr>
            <w:tcW w:w="1832" w:type="dxa"/>
            <w:tcBorders>
              <w:top w:val="single" w:sz="4" w:space="0" w:color="auto"/>
            </w:tcBorders>
            <w:shd w:val="clear" w:color="auto" w:fill="auto"/>
          </w:tcPr>
          <w:p w14:paraId="7F3A417B" w14:textId="72F65EED" w:rsidR="00461E80" w:rsidRPr="00D74AAB" w:rsidRDefault="00461E80" w:rsidP="00461E80">
            <w:pPr>
              <w:pStyle w:val="Tabletext"/>
            </w:pPr>
            <w:proofErr w:type="spellStart"/>
            <w:r w:rsidRPr="00D74AAB">
              <w:rPr>
                <w:color w:val="000000"/>
              </w:rPr>
              <w:t>Amisulpride</w:t>
            </w:r>
            <w:proofErr w:type="spellEnd"/>
          </w:p>
        </w:tc>
        <w:tc>
          <w:tcPr>
            <w:tcW w:w="2268" w:type="dxa"/>
            <w:tcBorders>
              <w:top w:val="single" w:sz="4" w:space="0" w:color="auto"/>
            </w:tcBorders>
            <w:shd w:val="clear" w:color="auto" w:fill="auto"/>
          </w:tcPr>
          <w:p w14:paraId="78EF16E6" w14:textId="7693AFD2" w:rsidR="00461E80" w:rsidRPr="00D74AAB" w:rsidRDefault="00461E80" w:rsidP="00461E80">
            <w:pPr>
              <w:pStyle w:val="Tabletext"/>
            </w:pPr>
            <w:r w:rsidRPr="00D74AAB">
              <w:rPr>
                <w:color w:val="000000"/>
              </w:rPr>
              <w:t>Tablet 400 mg</w:t>
            </w:r>
          </w:p>
        </w:tc>
        <w:tc>
          <w:tcPr>
            <w:tcW w:w="1383" w:type="dxa"/>
            <w:tcBorders>
              <w:top w:val="single" w:sz="4" w:space="0" w:color="auto"/>
            </w:tcBorders>
            <w:shd w:val="clear" w:color="auto" w:fill="auto"/>
          </w:tcPr>
          <w:p w14:paraId="074E6248" w14:textId="4875248E" w:rsidR="00461E80" w:rsidRPr="00D74AAB" w:rsidRDefault="00461E80" w:rsidP="00461E80">
            <w:pPr>
              <w:pStyle w:val="Tabletext"/>
            </w:pPr>
            <w:r w:rsidRPr="00D74AAB">
              <w:rPr>
                <w:color w:val="000000"/>
              </w:rPr>
              <w:t>Oral</w:t>
            </w:r>
          </w:p>
        </w:tc>
        <w:tc>
          <w:tcPr>
            <w:tcW w:w="2160" w:type="dxa"/>
            <w:tcBorders>
              <w:top w:val="single" w:sz="4" w:space="0" w:color="auto"/>
            </w:tcBorders>
            <w:shd w:val="clear" w:color="auto" w:fill="auto"/>
          </w:tcPr>
          <w:p w14:paraId="651D06D9" w14:textId="407B24DA" w:rsidR="00461E80" w:rsidRPr="00D74AAB" w:rsidRDefault="00461E80" w:rsidP="00461E80">
            <w:pPr>
              <w:pStyle w:val="Tabletext"/>
            </w:pPr>
            <w:proofErr w:type="spellStart"/>
            <w:r w:rsidRPr="00D74AAB">
              <w:rPr>
                <w:color w:val="000000"/>
              </w:rPr>
              <w:t>Amisulpride</w:t>
            </w:r>
            <w:proofErr w:type="spellEnd"/>
            <w:r w:rsidRPr="00D74AAB">
              <w:rPr>
                <w:color w:val="000000"/>
              </w:rPr>
              <w:t xml:space="preserve"> 400 Winthrop</w:t>
            </w:r>
          </w:p>
        </w:tc>
        <w:tc>
          <w:tcPr>
            <w:tcW w:w="2126" w:type="dxa"/>
            <w:tcBorders>
              <w:top w:val="single" w:sz="4" w:space="0" w:color="auto"/>
            </w:tcBorders>
            <w:shd w:val="clear" w:color="auto" w:fill="auto"/>
          </w:tcPr>
          <w:p w14:paraId="259C907F" w14:textId="5FA110D6" w:rsidR="00461E80" w:rsidRPr="00D74AAB" w:rsidRDefault="00461E80" w:rsidP="00137277">
            <w:pPr>
              <w:spacing w:line="240" w:lineRule="auto"/>
              <w:rPr>
                <w:color w:val="000000"/>
              </w:rPr>
            </w:pPr>
            <w:r w:rsidRPr="00D74AAB">
              <w:rPr>
                <w:rFonts w:cs="Times New Roman"/>
                <w:color w:val="000000"/>
                <w:sz w:val="20"/>
              </w:rPr>
              <w:t xml:space="preserve">Between 1 October 2023 and </w:t>
            </w:r>
            <w:r w:rsidR="00F908EF" w:rsidRPr="00D74AAB">
              <w:rPr>
                <w:rFonts w:cs="Times New Roman"/>
                <w:color w:val="000000"/>
                <w:sz w:val="20"/>
              </w:rPr>
              <w:t>30 November 2023</w:t>
            </w:r>
            <w:r w:rsidRPr="00D74AAB">
              <w:rPr>
                <w:rFonts w:cs="Times New Roman"/>
                <w:color w:val="000000"/>
                <w:sz w:val="20"/>
              </w:rPr>
              <w:t>—0 months stock by reference to usual demand</w:t>
            </w:r>
          </w:p>
        </w:tc>
      </w:tr>
    </w:tbl>
    <w:p w14:paraId="5A793992" w14:textId="40B2DA27" w:rsidR="00461E80" w:rsidRPr="00D74AAB" w:rsidRDefault="00917F99" w:rsidP="00461E80">
      <w:pPr>
        <w:pStyle w:val="ItemHead"/>
      </w:pPr>
      <w:r w:rsidRPr="00D74AAB">
        <w:t>5</w:t>
      </w:r>
      <w:r w:rsidR="00461E80" w:rsidRPr="00D74AAB">
        <w:t xml:space="preserve">  Schedule 1</w:t>
      </w:r>
    </w:p>
    <w:p w14:paraId="77A27006"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14321950" w14:textId="77777777" w:rsidTr="00137277">
        <w:tc>
          <w:tcPr>
            <w:tcW w:w="1832" w:type="dxa"/>
            <w:shd w:val="clear" w:color="auto" w:fill="auto"/>
          </w:tcPr>
          <w:p w14:paraId="2DB09C27" w14:textId="21E88201" w:rsidR="00461E80" w:rsidRPr="00D74AAB" w:rsidRDefault="00461E80" w:rsidP="00461E80">
            <w:pPr>
              <w:pStyle w:val="Tabletext"/>
            </w:pPr>
            <w:r w:rsidRPr="00D74AAB">
              <w:rPr>
                <w:color w:val="000000"/>
              </w:rPr>
              <w:t>Atomoxetine</w:t>
            </w:r>
          </w:p>
        </w:tc>
        <w:tc>
          <w:tcPr>
            <w:tcW w:w="2268" w:type="dxa"/>
            <w:shd w:val="clear" w:color="auto" w:fill="auto"/>
          </w:tcPr>
          <w:p w14:paraId="6B635550" w14:textId="20C90069" w:rsidR="00461E80" w:rsidRPr="00D74AAB" w:rsidRDefault="00461E80" w:rsidP="00461E80">
            <w:pPr>
              <w:pStyle w:val="Tabletext"/>
            </w:pPr>
            <w:r w:rsidRPr="00D74AAB">
              <w:rPr>
                <w:color w:val="000000"/>
              </w:rPr>
              <w:t>Capsule 80 mg (as hydrochloride)</w:t>
            </w:r>
          </w:p>
        </w:tc>
        <w:tc>
          <w:tcPr>
            <w:tcW w:w="1383" w:type="dxa"/>
            <w:shd w:val="clear" w:color="auto" w:fill="auto"/>
          </w:tcPr>
          <w:p w14:paraId="5CCCD366" w14:textId="5E8AA63A" w:rsidR="00461E80" w:rsidRPr="00D74AAB" w:rsidRDefault="00461E80" w:rsidP="00461E80">
            <w:pPr>
              <w:pStyle w:val="Tabletext"/>
            </w:pPr>
            <w:r w:rsidRPr="00D74AAB">
              <w:rPr>
                <w:color w:val="000000"/>
              </w:rPr>
              <w:t>Oral</w:t>
            </w:r>
          </w:p>
        </w:tc>
        <w:tc>
          <w:tcPr>
            <w:tcW w:w="2160" w:type="dxa"/>
            <w:shd w:val="clear" w:color="auto" w:fill="auto"/>
          </w:tcPr>
          <w:p w14:paraId="38D6DB47" w14:textId="1A476203" w:rsidR="00461E80" w:rsidRPr="00D74AAB" w:rsidRDefault="00461E80" w:rsidP="00461E80">
            <w:pPr>
              <w:pStyle w:val="Tabletext"/>
            </w:pPr>
            <w:r w:rsidRPr="00D74AAB">
              <w:rPr>
                <w:color w:val="000000"/>
              </w:rPr>
              <w:t>APO-Atomoxetine</w:t>
            </w:r>
          </w:p>
        </w:tc>
        <w:tc>
          <w:tcPr>
            <w:tcW w:w="2126" w:type="dxa"/>
            <w:shd w:val="clear" w:color="auto" w:fill="auto"/>
          </w:tcPr>
          <w:p w14:paraId="25A709DD" w14:textId="66BC6F01" w:rsidR="00461E80" w:rsidRPr="00D74AAB" w:rsidRDefault="00461E80" w:rsidP="00137277">
            <w:pPr>
              <w:spacing w:line="240" w:lineRule="auto"/>
            </w:pPr>
            <w:r w:rsidRPr="00D74AAB">
              <w:rPr>
                <w:color w:val="000000"/>
                <w:sz w:val="20"/>
              </w:rPr>
              <w:t>3 months stock by reference to usual demand</w:t>
            </w:r>
          </w:p>
        </w:tc>
      </w:tr>
    </w:tbl>
    <w:p w14:paraId="6101C41D"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0BA72FDE" w14:textId="77777777" w:rsidTr="00137277">
        <w:tc>
          <w:tcPr>
            <w:tcW w:w="1832" w:type="dxa"/>
            <w:tcBorders>
              <w:bottom w:val="single" w:sz="4" w:space="0" w:color="auto"/>
            </w:tcBorders>
            <w:shd w:val="clear" w:color="auto" w:fill="auto"/>
          </w:tcPr>
          <w:p w14:paraId="1BCD7344" w14:textId="4E8594CA" w:rsidR="00461E80" w:rsidRPr="00D74AAB" w:rsidRDefault="00461E80" w:rsidP="00461E80">
            <w:pPr>
              <w:pStyle w:val="Tabletext"/>
            </w:pPr>
            <w:r w:rsidRPr="00D74AAB">
              <w:rPr>
                <w:color w:val="000000"/>
              </w:rPr>
              <w:t>Atorvastatin</w:t>
            </w:r>
          </w:p>
        </w:tc>
        <w:tc>
          <w:tcPr>
            <w:tcW w:w="2268" w:type="dxa"/>
            <w:tcBorders>
              <w:bottom w:val="single" w:sz="4" w:space="0" w:color="auto"/>
            </w:tcBorders>
            <w:shd w:val="clear" w:color="auto" w:fill="auto"/>
          </w:tcPr>
          <w:p w14:paraId="33CBAC4E" w14:textId="145332CB" w:rsidR="00461E80" w:rsidRPr="00D74AAB" w:rsidRDefault="00461E80" w:rsidP="00461E80">
            <w:pPr>
              <w:pStyle w:val="Tabletext"/>
            </w:pPr>
            <w:r w:rsidRPr="00D74AAB">
              <w:rPr>
                <w:color w:val="000000"/>
              </w:rPr>
              <w:t>Tablet 20 mg (as calcium)</w:t>
            </w:r>
          </w:p>
        </w:tc>
        <w:tc>
          <w:tcPr>
            <w:tcW w:w="1383" w:type="dxa"/>
            <w:tcBorders>
              <w:bottom w:val="single" w:sz="4" w:space="0" w:color="auto"/>
            </w:tcBorders>
            <w:shd w:val="clear" w:color="auto" w:fill="auto"/>
          </w:tcPr>
          <w:p w14:paraId="279DF372" w14:textId="0F22E68E" w:rsidR="00461E80" w:rsidRPr="00D74AAB" w:rsidRDefault="00461E80" w:rsidP="00461E80">
            <w:pPr>
              <w:pStyle w:val="Tabletext"/>
            </w:pPr>
            <w:r w:rsidRPr="00D74AAB">
              <w:rPr>
                <w:color w:val="000000"/>
              </w:rPr>
              <w:t>Oral</w:t>
            </w:r>
          </w:p>
        </w:tc>
        <w:tc>
          <w:tcPr>
            <w:tcW w:w="2160" w:type="dxa"/>
            <w:tcBorders>
              <w:bottom w:val="single" w:sz="4" w:space="0" w:color="auto"/>
            </w:tcBorders>
            <w:shd w:val="clear" w:color="auto" w:fill="auto"/>
          </w:tcPr>
          <w:p w14:paraId="71911E59" w14:textId="4381A99A" w:rsidR="00461E80" w:rsidRPr="00D74AAB" w:rsidRDefault="00461E80" w:rsidP="00461E80">
            <w:pPr>
              <w:pStyle w:val="Tabletext"/>
            </w:pPr>
            <w:r w:rsidRPr="00D74AAB">
              <w:rPr>
                <w:color w:val="000000"/>
              </w:rPr>
              <w:t>Atorvastatin GH</w:t>
            </w:r>
          </w:p>
        </w:tc>
        <w:tc>
          <w:tcPr>
            <w:tcW w:w="2126" w:type="dxa"/>
            <w:tcBorders>
              <w:bottom w:val="single" w:sz="4" w:space="0" w:color="auto"/>
            </w:tcBorders>
            <w:shd w:val="clear" w:color="auto" w:fill="auto"/>
          </w:tcPr>
          <w:p w14:paraId="6746368A" w14:textId="20D9B56B" w:rsidR="00461E80" w:rsidRPr="00D74AAB" w:rsidRDefault="00461E80" w:rsidP="00137277">
            <w:pPr>
              <w:spacing w:line="240" w:lineRule="auto"/>
              <w:rPr>
                <w:color w:val="000000"/>
              </w:rPr>
            </w:pPr>
            <w:r w:rsidRPr="00D74AAB">
              <w:rPr>
                <w:color w:val="000000"/>
                <w:sz w:val="20"/>
              </w:rPr>
              <w:t>Between 1 October 2023 and 29 February 2024—0 months stock by reference to usual demand</w:t>
            </w:r>
          </w:p>
        </w:tc>
      </w:tr>
      <w:tr w:rsidR="00461E80" w:rsidRPr="00D74AAB" w14:paraId="3B1021F3" w14:textId="77777777" w:rsidTr="00137277">
        <w:tc>
          <w:tcPr>
            <w:tcW w:w="1832" w:type="dxa"/>
            <w:tcBorders>
              <w:top w:val="single" w:sz="4" w:space="0" w:color="auto"/>
            </w:tcBorders>
            <w:shd w:val="clear" w:color="auto" w:fill="auto"/>
          </w:tcPr>
          <w:p w14:paraId="27E4020F" w14:textId="54602A79" w:rsidR="00461E80" w:rsidRPr="00D74AAB" w:rsidRDefault="00461E80" w:rsidP="00461E80">
            <w:pPr>
              <w:pStyle w:val="Tabletext"/>
            </w:pPr>
            <w:r w:rsidRPr="00D74AAB">
              <w:rPr>
                <w:color w:val="000000"/>
              </w:rPr>
              <w:t>Azathioprine</w:t>
            </w:r>
          </w:p>
        </w:tc>
        <w:tc>
          <w:tcPr>
            <w:tcW w:w="2268" w:type="dxa"/>
            <w:tcBorders>
              <w:top w:val="single" w:sz="4" w:space="0" w:color="auto"/>
            </w:tcBorders>
            <w:shd w:val="clear" w:color="auto" w:fill="auto"/>
          </w:tcPr>
          <w:p w14:paraId="712FCBF1" w14:textId="23F2241E" w:rsidR="00461E80" w:rsidRPr="00D74AAB" w:rsidRDefault="00461E80" w:rsidP="00461E80">
            <w:pPr>
              <w:pStyle w:val="Tabletext"/>
            </w:pPr>
            <w:r w:rsidRPr="00D74AAB">
              <w:rPr>
                <w:color w:val="000000"/>
              </w:rPr>
              <w:t>Tablet 50 mg</w:t>
            </w:r>
          </w:p>
        </w:tc>
        <w:tc>
          <w:tcPr>
            <w:tcW w:w="1383" w:type="dxa"/>
            <w:tcBorders>
              <w:top w:val="single" w:sz="4" w:space="0" w:color="auto"/>
            </w:tcBorders>
            <w:shd w:val="clear" w:color="auto" w:fill="auto"/>
          </w:tcPr>
          <w:p w14:paraId="51AFDC3A" w14:textId="5C04CE2B" w:rsidR="00461E80" w:rsidRPr="00D74AAB" w:rsidRDefault="00461E80" w:rsidP="00461E80">
            <w:pPr>
              <w:pStyle w:val="Tabletext"/>
            </w:pPr>
            <w:r w:rsidRPr="00D74AAB">
              <w:rPr>
                <w:color w:val="000000"/>
              </w:rPr>
              <w:t>Oral</w:t>
            </w:r>
          </w:p>
        </w:tc>
        <w:tc>
          <w:tcPr>
            <w:tcW w:w="2160" w:type="dxa"/>
            <w:tcBorders>
              <w:top w:val="single" w:sz="4" w:space="0" w:color="auto"/>
            </w:tcBorders>
            <w:shd w:val="clear" w:color="auto" w:fill="auto"/>
          </w:tcPr>
          <w:p w14:paraId="62A08AB0" w14:textId="4EE47D98" w:rsidR="00461E80" w:rsidRPr="00D74AAB" w:rsidRDefault="00461E80" w:rsidP="00461E80">
            <w:pPr>
              <w:pStyle w:val="Tabletext"/>
            </w:pPr>
            <w:r w:rsidRPr="00D74AAB">
              <w:rPr>
                <w:color w:val="000000"/>
              </w:rPr>
              <w:t>Azathioprine GH</w:t>
            </w:r>
          </w:p>
        </w:tc>
        <w:tc>
          <w:tcPr>
            <w:tcW w:w="2126" w:type="dxa"/>
            <w:tcBorders>
              <w:top w:val="single" w:sz="4" w:space="0" w:color="auto"/>
            </w:tcBorders>
            <w:shd w:val="clear" w:color="auto" w:fill="auto"/>
          </w:tcPr>
          <w:p w14:paraId="43F5782D" w14:textId="3F0B59F6" w:rsidR="00461E80" w:rsidRPr="00D74AAB" w:rsidRDefault="00461E80" w:rsidP="00137277">
            <w:pPr>
              <w:spacing w:line="240" w:lineRule="auto"/>
              <w:rPr>
                <w:color w:val="000000"/>
              </w:rPr>
            </w:pPr>
            <w:r w:rsidRPr="00D74AAB">
              <w:rPr>
                <w:color w:val="000000"/>
                <w:sz w:val="20"/>
              </w:rPr>
              <w:t>Between 1 October 2023 and 31 January 2024—0 months stock by reference to usual demand</w:t>
            </w:r>
          </w:p>
        </w:tc>
      </w:tr>
    </w:tbl>
    <w:p w14:paraId="1AFD79F9" w14:textId="46E04300" w:rsidR="00461E80" w:rsidRPr="00D74AAB" w:rsidRDefault="00917F99" w:rsidP="00461E80">
      <w:pPr>
        <w:pStyle w:val="ItemHead"/>
      </w:pPr>
      <w:r w:rsidRPr="00D74AAB">
        <w:t>6</w:t>
      </w:r>
      <w:r w:rsidR="00461E80" w:rsidRPr="00D74AAB">
        <w:t xml:space="preserve">  Schedule 1</w:t>
      </w:r>
    </w:p>
    <w:p w14:paraId="093D151C"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2BAEC1D0" w14:textId="77777777" w:rsidTr="00137277">
        <w:tc>
          <w:tcPr>
            <w:tcW w:w="1832" w:type="dxa"/>
            <w:shd w:val="clear" w:color="auto" w:fill="auto"/>
          </w:tcPr>
          <w:p w14:paraId="075F89E0" w14:textId="766D918F" w:rsidR="00461E80" w:rsidRPr="00D74AAB" w:rsidRDefault="00461E80" w:rsidP="00461E80">
            <w:pPr>
              <w:pStyle w:val="Tabletext"/>
            </w:pPr>
            <w:r w:rsidRPr="00D74AAB">
              <w:rPr>
                <w:color w:val="000000"/>
              </w:rPr>
              <w:t>Captopril</w:t>
            </w:r>
          </w:p>
        </w:tc>
        <w:tc>
          <w:tcPr>
            <w:tcW w:w="2268" w:type="dxa"/>
            <w:shd w:val="clear" w:color="auto" w:fill="auto"/>
          </w:tcPr>
          <w:p w14:paraId="7738FA6A" w14:textId="21D15AC8" w:rsidR="00461E80" w:rsidRPr="00D74AAB" w:rsidRDefault="00461E80" w:rsidP="00461E80">
            <w:pPr>
              <w:pStyle w:val="Tabletext"/>
            </w:pPr>
            <w:r w:rsidRPr="00D74AAB">
              <w:rPr>
                <w:color w:val="000000"/>
              </w:rPr>
              <w:t>Oral solution 5 mg per mL, 95 mL</w:t>
            </w:r>
          </w:p>
        </w:tc>
        <w:tc>
          <w:tcPr>
            <w:tcW w:w="1383" w:type="dxa"/>
            <w:shd w:val="clear" w:color="auto" w:fill="auto"/>
          </w:tcPr>
          <w:p w14:paraId="5FEB9C82" w14:textId="155E8853" w:rsidR="00461E80" w:rsidRPr="00D74AAB" w:rsidRDefault="00461E80" w:rsidP="00461E80">
            <w:pPr>
              <w:pStyle w:val="Tabletext"/>
            </w:pPr>
            <w:r w:rsidRPr="00D74AAB">
              <w:rPr>
                <w:color w:val="000000"/>
              </w:rPr>
              <w:t>Oral</w:t>
            </w:r>
          </w:p>
        </w:tc>
        <w:tc>
          <w:tcPr>
            <w:tcW w:w="2160" w:type="dxa"/>
            <w:shd w:val="clear" w:color="auto" w:fill="auto"/>
          </w:tcPr>
          <w:p w14:paraId="6CE0058F" w14:textId="382AB063" w:rsidR="00461E80" w:rsidRPr="00D74AAB" w:rsidRDefault="00461E80" w:rsidP="00461E80">
            <w:pPr>
              <w:pStyle w:val="Tabletext"/>
            </w:pPr>
            <w:proofErr w:type="spellStart"/>
            <w:r w:rsidRPr="00D74AAB">
              <w:rPr>
                <w:color w:val="000000"/>
              </w:rPr>
              <w:t>Capoten</w:t>
            </w:r>
            <w:proofErr w:type="spellEnd"/>
          </w:p>
        </w:tc>
        <w:tc>
          <w:tcPr>
            <w:tcW w:w="2126" w:type="dxa"/>
            <w:shd w:val="clear" w:color="auto" w:fill="auto"/>
          </w:tcPr>
          <w:p w14:paraId="69423316" w14:textId="1ABA31A6" w:rsidR="00461E80" w:rsidRPr="00D74AAB" w:rsidRDefault="00461E80" w:rsidP="00137277">
            <w:pPr>
              <w:spacing w:line="240" w:lineRule="auto"/>
            </w:pPr>
            <w:r w:rsidRPr="00D74AAB">
              <w:rPr>
                <w:color w:val="000000"/>
                <w:sz w:val="20"/>
              </w:rPr>
              <w:t>4 months stock by reference to usual PBS demand</w:t>
            </w:r>
          </w:p>
        </w:tc>
      </w:tr>
    </w:tbl>
    <w:p w14:paraId="6A4E14D6"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773F3858" w14:textId="77777777" w:rsidTr="00137277">
        <w:tc>
          <w:tcPr>
            <w:tcW w:w="1832" w:type="dxa"/>
            <w:shd w:val="clear" w:color="auto" w:fill="auto"/>
          </w:tcPr>
          <w:p w14:paraId="5082527F" w14:textId="4EA45A06" w:rsidR="00461E80" w:rsidRPr="00D74AAB" w:rsidRDefault="00461E80" w:rsidP="00461E80">
            <w:pPr>
              <w:pStyle w:val="Tabletext"/>
            </w:pPr>
            <w:r w:rsidRPr="00D74AAB">
              <w:rPr>
                <w:color w:val="000000"/>
              </w:rPr>
              <w:t>Carboplatin</w:t>
            </w:r>
          </w:p>
        </w:tc>
        <w:tc>
          <w:tcPr>
            <w:tcW w:w="2268" w:type="dxa"/>
            <w:shd w:val="clear" w:color="auto" w:fill="auto"/>
          </w:tcPr>
          <w:p w14:paraId="32A3BC89" w14:textId="37FA199B" w:rsidR="00461E80" w:rsidRPr="00D74AAB" w:rsidRDefault="00461E80" w:rsidP="00461E80">
            <w:pPr>
              <w:pStyle w:val="Tabletext"/>
            </w:pPr>
            <w:r w:rsidRPr="00D74AAB">
              <w:rPr>
                <w:color w:val="000000"/>
              </w:rPr>
              <w:t>Solution for I.V. injection 450 mg in 45 mL</w:t>
            </w:r>
          </w:p>
        </w:tc>
        <w:tc>
          <w:tcPr>
            <w:tcW w:w="1383" w:type="dxa"/>
            <w:shd w:val="clear" w:color="auto" w:fill="auto"/>
          </w:tcPr>
          <w:p w14:paraId="4E84AAE9" w14:textId="2ECBD275" w:rsidR="00461E80" w:rsidRPr="00D74AAB" w:rsidRDefault="00461E80" w:rsidP="00461E80">
            <w:pPr>
              <w:pStyle w:val="Tabletext"/>
            </w:pPr>
            <w:r w:rsidRPr="00D74AAB">
              <w:rPr>
                <w:color w:val="000000"/>
              </w:rPr>
              <w:t>Injection</w:t>
            </w:r>
          </w:p>
        </w:tc>
        <w:tc>
          <w:tcPr>
            <w:tcW w:w="2160" w:type="dxa"/>
            <w:shd w:val="clear" w:color="auto" w:fill="auto"/>
          </w:tcPr>
          <w:p w14:paraId="529D9000" w14:textId="5D45E333" w:rsidR="00461E80" w:rsidRPr="00D74AAB" w:rsidRDefault="00461E80" w:rsidP="00461E80">
            <w:pPr>
              <w:pStyle w:val="Tabletext"/>
            </w:pPr>
            <w:r w:rsidRPr="00D74AAB">
              <w:rPr>
                <w:color w:val="000000"/>
              </w:rPr>
              <w:t>DBL Carboplatin</w:t>
            </w:r>
          </w:p>
        </w:tc>
        <w:tc>
          <w:tcPr>
            <w:tcW w:w="2126" w:type="dxa"/>
            <w:shd w:val="clear" w:color="auto" w:fill="auto"/>
          </w:tcPr>
          <w:p w14:paraId="01AA244C" w14:textId="698CA2B9" w:rsidR="00461E80" w:rsidRPr="00D74AAB" w:rsidRDefault="00461E80" w:rsidP="00137277">
            <w:pPr>
              <w:spacing w:line="240" w:lineRule="auto"/>
              <w:rPr>
                <w:color w:val="000000"/>
              </w:rPr>
            </w:pPr>
            <w:r w:rsidRPr="00D74AAB">
              <w:rPr>
                <w:color w:val="000000"/>
                <w:sz w:val="20"/>
              </w:rPr>
              <w:t>Between 1 October 2023 and 30 November 2023—0 months stock by reference to usual demand</w:t>
            </w:r>
          </w:p>
        </w:tc>
      </w:tr>
    </w:tbl>
    <w:p w14:paraId="3118E326" w14:textId="77777777" w:rsidR="00917F99" w:rsidRPr="00D74AAB" w:rsidRDefault="00917F99">
      <w:pPr>
        <w:spacing w:line="240" w:lineRule="auto"/>
        <w:rPr>
          <w:rFonts w:ascii="Arial" w:eastAsia="Times New Roman" w:hAnsi="Arial" w:cs="Times New Roman"/>
          <w:b/>
          <w:kern w:val="28"/>
          <w:sz w:val="24"/>
          <w:lang w:eastAsia="en-AU"/>
        </w:rPr>
      </w:pPr>
      <w:r w:rsidRPr="00D74AAB">
        <w:br w:type="page"/>
      </w:r>
    </w:p>
    <w:p w14:paraId="6CBC25A8" w14:textId="26193BD3" w:rsidR="00461E80" w:rsidRPr="00D74AAB" w:rsidRDefault="00917F99" w:rsidP="00461E80">
      <w:pPr>
        <w:pStyle w:val="ItemHead"/>
      </w:pPr>
      <w:r w:rsidRPr="00D74AAB">
        <w:lastRenderedPageBreak/>
        <w:t>7</w:t>
      </w:r>
      <w:r w:rsidR="00461E80" w:rsidRPr="00D74AAB">
        <w:t xml:space="preserve">  Schedule 1</w:t>
      </w:r>
    </w:p>
    <w:p w14:paraId="08FD8D74"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770638B7" w14:textId="77777777" w:rsidTr="00137277">
        <w:tc>
          <w:tcPr>
            <w:tcW w:w="1832" w:type="dxa"/>
            <w:shd w:val="clear" w:color="auto" w:fill="auto"/>
          </w:tcPr>
          <w:p w14:paraId="02285284" w14:textId="79D94B90" w:rsidR="00461E80" w:rsidRPr="00D74AAB" w:rsidRDefault="00461E80" w:rsidP="00461E80">
            <w:pPr>
              <w:pStyle w:val="Tabletext"/>
            </w:pPr>
            <w:r w:rsidRPr="00D74AAB">
              <w:rPr>
                <w:color w:val="000000"/>
              </w:rPr>
              <w:t>Cefalexin</w:t>
            </w:r>
          </w:p>
        </w:tc>
        <w:tc>
          <w:tcPr>
            <w:tcW w:w="2268" w:type="dxa"/>
            <w:shd w:val="clear" w:color="auto" w:fill="auto"/>
          </w:tcPr>
          <w:p w14:paraId="5FF24E58" w14:textId="21FA2ADD" w:rsidR="00461E80" w:rsidRPr="00D74AAB" w:rsidRDefault="00461E80" w:rsidP="00461E80">
            <w:pPr>
              <w:pStyle w:val="Tabletext"/>
            </w:pPr>
            <w:r w:rsidRPr="00D74AAB">
              <w:rPr>
                <w:color w:val="000000"/>
              </w:rPr>
              <w:t>Capsule 500 mg (as monohydrate)</w:t>
            </w:r>
          </w:p>
        </w:tc>
        <w:tc>
          <w:tcPr>
            <w:tcW w:w="1383" w:type="dxa"/>
            <w:shd w:val="clear" w:color="auto" w:fill="auto"/>
          </w:tcPr>
          <w:p w14:paraId="6DB46F3E" w14:textId="7D58C4F7" w:rsidR="00461E80" w:rsidRPr="00D74AAB" w:rsidRDefault="00461E80" w:rsidP="00461E80">
            <w:pPr>
              <w:pStyle w:val="Tabletext"/>
            </w:pPr>
            <w:r w:rsidRPr="00D74AAB">
              <w:rPr>
                <w:color w:val="000000"/>
              </w:rPr>
              <w:t>Oral</w:t>
            </w:r>
          </w:p>
        </w:tc>
        <w:tc>
          <w:tcPr>
            <w:tcW w:w="2160" w:type="dxa"/>
            <w:shd w:val="clear" w:color="auto" w:fill="auto"/>
          </w:tcPr>
          <w:p w14:paraId="3E1C963C" w14:textId="15B85A3B" w:rsidR="00461E80" w:rsidRPr="00D74AAB" w:rsidRDefault="00461E80" w:rsidP="00461E80">
            <w:pPr>
              <w:pStyle w:val="Tabletext"/>
            </w:pPr>
            <w:r w:rsidRPr="00D74AAB">
              <w:rPr>
                <w:color w:val="000000"/>
              </w:rPr>
              <w:t>APO-Cephalexin</w:t>
            </w:r>
          </w:p>
        </w:tc>
        <w:tc>
          <w:tcPr>
            <w:tcW w:w="2126" w:type="dxa"/>
            <w:shd w:val="clear" w:color="auto" w:fill="auto"/>
          </w:tcPr>
          <w:p w14:paraId="69BC473F" w14:textId="7883DDA6" w:rsidR="00461E80" w:rsidRPr="00D74AAB" w:rsidRDefault="00461E80" w:rsidP="00137277">
            <w:pPr>
              <w:spacing w:line="240" w:lineRule="auto"/>
            </w:pPr>
            <w:r w:rsidRPr="00D74AAB">
              <w:rPr>
                <w:color w:val="000000"/>
                <w:sz w:val="20"/>
              </w:rPr>
              <w:t>between 1 July 2023 and 31 December 2023—5.5 months stock by reference to usual demand</w:t>
            </w:r>
          </w:p>
        </w:tc>
      </w:tr>
    </w:tbl>
    <w:p w14:paraId="44BAB5D9"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5B2311A8" w14:textId="77777777" w:rsidTr="00137277">
        <w:tc>
          <w:tcPr>
            <w:tcW w:w="1832" w:type="dxa"/>
            <w:shd w:val="clear" w:color="auto" w:fill="auto"/>
          </w:tcPr>
          <w:p w14:paraId="49DF18ED" w14:textId="4A962F8B" w:rsidR="00461E80" w:rsidRPr="00D74AAB" w:rsidRDefault="00461E80" w:rsidP="00461E80">
            <w:pPr>
              <w:pStyle w:val="Tabletext"/>
            </w:pPr>
            <w:r w:rsidRPr="00D74AAB">
              <w:rPr>
                <w:color w:val="000000"/>
              </w:rPr>
              <w:t>Cefepime</w:t>
            </w:r>
          </w:p>
        </w:tc>
        <w:tc>
          <w:tcPr>
            <w:tcW w:w="2268" w:type="dxa"/>
            <w:shd w:val="clear" w:color="auto" w:fill="auto"/>
          </w:tcPr>
          <w:p w14:paraId="0ECC26CD" w14:textId="7785B4E3" w:rsidR="00461E80" w:rsidRPr="00D74AAB" w:rsidRDefault="00461E80" w:rsidP="00461E80">
            <w:pPr>
              <w:pStyle w:val="Tabletext"/>
            </w:pPr>
            <w:r w:rsidRPr="00D74AAB">
              <w:rPr>
                <w:color w:val="000000"/>
              </w:rPr>
              <w:t>Powder for injection 2 g (as hydrochloride)</w:t>
            </w:r>
          </w:p>
        </w:tc>
        <w:tc>
          <w:tcPr>
            <w:tcW w:w="1383" w:type="dxa"/>
            <w:shd w:val="clear" w:color="auto" w:fill="auto"/>
          </w:tcPr>
          <w:p w14:paraId="48F92CC3" w14:textId="791BB02E" w:rsidR="00461E80" w:rsidRPr="00D74AAB" w:rsidRDefault="00461E80" w:rsidP="00461E80">
            <w:pPr>
              <w:pStyle w:val="Tabletext"/>
            </w:pPr>
            <w:r w:rsidRPr="00D74AAB">
              <w:rPr>
                <w:color w:val="000000"/>
              </w:rPr>
              <w:t>Injection</w:t>
            </w:r>
          </w:p>
        </w:tc>
        <w:tc>
          <w:tcPr>
            <w:tcW w:w="2160" w:type="dxa"/>
            <w:shd w:val="clear" w:color="auto" w:fill="auto"/>
          </w:tcPr>
          <w:p w14:paraId="1A3707B7" w14:textId="3C53ADBD" w:rsidR="00461E80" w:rsidRPr="00D74AAB" w:rsidRDefault="00461E80" w:rsidP="00461E80">
            <w:pPr>
              <w:pStyle w:val="Tabletext"/>
            </w:pPr>
            <w:r w:rsidRPr="00D74AAB">
              <w:rPr>
                <w:color w:val="000000"/>
              </w:rPr>
              <w:t>Cefepime-AFT</w:t>
            </w:r>
          </w:p>
        </w:tc>
        <w:tc>
          <w:tcPr>
            <w:tcW w:w="2126" w:type="dxa"/>
            <w:shd w:val="clear" w:color="auto" w:fill="auto"/>
          </w:tcPr>
          <w:p w14:paraId="4C2FA6E9" w14:textId="4231B245" w:rsidR="00461E80" w:rsidRPr="00D74AAB" w:rsidRDefault="00461E80" w:rsidP="00137277">
            <w:pPr>
              <w:spacing w:line="240" w:lineRule="auto"/>
            </w:pPr>
            <w:r w:rsidRPr="00D74AAB">
              <w:rPr>
                <w:color w:val="000000"/>
                <w:sz w:val="20"/>
              </w:rPr>
              <w:t>Between 1 October 2023 and 30 November 2023—0 months stock by reference to usual demand</w:t>
            </w:r>
          </w:p>
        </w:tc>
      </w:tr>
    </w:tbl>
    <w:p w14:paraId="3881BF73" w14:textId="6B0DE2CB" w:rsidR="00461E80" w:rsidRPr="00D74AAB" w:rsidRDefault="00917F99" w:rsidP="00461E80">
      <w:pPr>
        <w:pStyle w:val="ItemHead"/>
      </w:pPr>
      <w:r w:rsidRPr="00D74AAB">
        <w:t>8</w:t>
      </w:r>
      <w:r w:rsidR="00461E80" w:rsidRPr="00D74AAB">
        <w:t xml:space="preserve">  Schedule 1</w:t>
      </w:r>
    </w:p>
    <w:p w14:paraId="649A5ED7"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2F1CFA8B" w14:textId="77777777" w:rsidTr="00137277">
        <w:tc>
          <w:tcPr>
            <w:tcW w:w="1832" w:type="dxa"/>
            <w:shd w:val="clear" w:color="auto" w:fill="auto"/>
          </w:tcPr>
          <w:p w14:paraId="11354390" w14:textId="664B4A42" w:rsidR="00461E80" w:rsidRPr="00D74AAB" w:rsidRDefault="00461E80" w:rsidP="00461E80">
            <w:pPr>
              <w:pStyle w:val="Tabletext"/>
            </w:pPr>
            <w:r w:rsidRPr="00D74AAB">
              <w:rPr>
                <w:color w:val="000000"/>
              </w:rPr>
              <w:t>Clonazepam</w:t>
            </w:r>
          </w:p>
        </w:tc>
        <w:tc>
          <w:tcPr>
            <w:tcW w:w="2268" w:type="dxa"/>
            <w:shd w:val="clear" w:color="auto" w:fill="auto"/>
          </w:tcPr>
          <w:p w14:paraId="436D9C8A" w14:textId="7331E0FE" w:rsidR="00461E80" w:rsidRPr="00D74AAB" w:rsidRDefault="00461E80" w:rsidP="00461E80">
            <w:pPr>
              <w:pStyle w:val="Tabletext"/>
            </w:pPr>
            <w:r w:rsidRPr="00D74AAB">
              <w:rPr>
                <w:color w:val="000000"/>
              </w:rPr>
              <w:t>Oral liquid 2.5 mg per mL, 10 mL</w:t>
            </w:r>
          </w:p>
        </w:tc>
        <w:tc>
          <w:tcPr>
            <w:tcW w:w="1383" w:type="dxa"/>
            <w:shd w:val="clear" w:color="auto" w:fill="auto"/>
          </w:tcPr>
          <w:p w14:paraId="5F1B40EF" w14:textId="7663C0C1" w:rsidR="00461E80" w:rsidRPr="00D74AAB" w:rsidRDefault="00461E80" w:rsidP="00461E80">
            <w:pPr>
              <w:pStyle w:val="Tabletext"/>
            </w:pPr>
            <w:r w:rsidRPr="00D74AAB">
              <w:rPr>
                <w:color w:val="000000"/>
              </w:rPr>
              <w:t>Oral</w:t>
            </w:r>
          </w:p>
        </w:tc>
        <w:tc>
          <w:tcPr>
            <w:tcW w:w="2160" w:type="dxa"/>
            <w:shd w:val="clear" w:color="auto" w:fill="auto"/>
          </w:tcPr>
          <w:p w14:paraId="3396F2C2" w14:textId="082EB6A0" w:rsidR="00461E80" w:rsidRPr="00D74AAB" w:rsidRDefault="00461E80" w:rsidP="00461E80">
            <w:pPr>
              <w:pStyle w:val="Tabletext"/>
            </w:pPr>
            <w:proofErr w:type="spellStart"/>
            <w:r w:rsidRPr="00D74AAB">
              <w:rPr>
                <w:color w:val="000000"/>
              </w:rPr>
              <w:t>Rivotril</w:t>
            </w:r>
            <w:proofErr w:type="spellEnd"/>
          </w:p>
        </w:tc>
        <w:tc>
          <w:tcPr>
            <w:tcW w:w="2126" w:type="dxa"/>
            <w:shd w:val="clear" w:color="auto" w:fill="auto"/>
          </w:tcPr>
          <w:p w14:paraId="40EBBF76" w14:textId="5FDD75C1" w:rsidR="00461E80" w:rsidRPr="00D74AAB" w:rsidRDefault="00461E80" w:rsidP="00137277">
            <w:pPr>
              <w:spacing w:line="240" w:lineRule="auto"/>
            </w:pPr>
            <w:r w:rsidRPr="00D74AAB">
              <w:rPr>
                <w:color w:val="000000"/>
                <w:sz w:val="20"/>
              </w:rPr>
              <w:t>6 months stock by reference to usual PBS demand</w:t>
            </w:r>
          </w:p>
        </w:tc>
      </w:tr>
    </w:tbl>
    <w:p w14:paraId="05C476D3"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09AC1D08" w14:textId="77777777" w:rsidTr="00137277">
        <w:tc>
          <w:tcPr>
            <w:tcW w:w="1832" w:type="dxa"/>
            <w:tcBorders>
              <w:bottom w:val="single" w:sz="4" w:space="0" w:color="auto"/>
            </w:tcBorders>
            <w:shd w:val="clear" w:color="auto" w:fill="auto"/>
          </w:tcPr>
          <w:p w14:paraId="5D0F2556" w14:textId="023C13D2" w:rsidR="00461E80" w:rsidRPr="00D74AAB" w:rsidRDefault="00461E80" w:rsidP="00461E80">
            <w:pPr>
              <w:pStyle w:val="Tabletext"/>
            </w:pPr>
            <w:r w:rsidRPr="00D74AAB">
              <w:rPr>
                <w:color w:val="000000"/>
              </w:rPr>
              <w:t>Clopidogrel</w:t>
            </w:r>
          </w:p>
        </w:tc>
        <w:tc>
          <w:tcPr>
            <w:tcW w:w="2268" w:type="dxa"/>
            <w:tcBorders>
              <w:bottom w:val="single" w:sz="4" w:space="0" w:color="auto"/>
            </w:tcBorders>
            <w:shd w:val="clear" w:color="auto" w:fill="auto"/>
          </w:tcPr>
          <w:p w14:paraId="29184649" w14:textId="514DF4ED" w:rsidR="00461E80" w:rsidRPr="00D74AAB" w:rsidRDefault="00461E80" w:rsidP="00461E80">
            <w:pPr>
              <w:pStyle w:val="Tabletext"/>
            </w:pPr>
            <w:r w:rsidRPr="00D74AAB">
              <w:rPr>
                <w:color w:val="000000"/>
              </w:rPr>
              <w:t xml:space="preserve">Tablet 75 mg (as </w:t>
            </w:r>
            <w:proofErr w:type="spellStart"/>
            <w:r w:rsidRPr="00D74AAB">
              <w:rPr>
                <w:color w:val="000000"/>
              </w:rPr>
              <w:t>besilate</w:t>
            </w:r>
            <w:proofErr w:type="spellEnd"/>
            <w:r w:rsidRPr="00D74AAB">
              <w:rPr>
                <w:color w:val="000000"/>
              </w:rPr>
              <w:t>)</w:t>
            </w:r>
          </w:p>
        </w:tc>
        <w:tc>
          <w:tcPr>
            <w:tcW w:w="1383" w:type="dxa"/>
            <w:tcBorders>
              <w:bottom w:val="single" w:sz="4" w:space="0" w:color="auto"/>
            </w:tcBorders>
            <w:shd w:val="clear" w:color="auto" w:fill="auto"/>
          </w:tcPr>
          <w:p w14:paraId="234D2388" w14:textId="58692C1F" w:rsidR="00461E80" w:rsidRPr="00D74AAB" w:rsidRDefault="00461E80" w:rsidP="00461E80">
            <w:pPr>
              <w:pStyle w:val="Tabletext"/>
            </w:pPr>
            <w:r w:rsidRPr="00D74AAB">
              <w:rPr>
                <w:color w:val="000000"/>
              </w:rPr>
              <w:t>Oral</w:t>
            </w:r>
          </w:p>
        </w:tc>
        <w:tc>
          <w:tcPr>
            <w:tcW w:w="2160" w:type="dxa"/>
            <w:tcBorders>
              <w:bottom w:val="single" w:sz="4" w:space="0" w:color="auto"/>
            </w:tcBorders>
            <w:shd w:val="clear" w:color="auto" w:fill="auto"/>
          </w:tcPr>
          <w:p w14:paraId="6158D70B" w14:textId="6CEDEAC5" w:rsidR="00461E80" w:rsidRPr="00D74AAB" w:rsidRDefault="00461E80" w:rsidP="00461E80">
            <w:pPr>
              <w:pStyle w:val="Tabletext"/>
            </w:pPr>
            <w:r w:rsidRPr="00D74AAB">
              <w:rPr>
                <w:color w:val="000000"/>
              </w:rPr>
              <w:t>Clopidogrel GH</w:t>
            </w:r>
          </w:p>
        </w:tc>
        <w:tc>
          <w:tcPr>
            <w:tcW w:w="2126" w:type="dxa"/>
            <w:tcBorders>
              <w:bottom w:val="single" w:sz="4" w:space="0" w:color="auto"/>
            </w:tcBorders>
            <w:shd w:val="clear" w:color="auto" w:fill="auto"/>
          </w:tcPr>
          <w:p w14:paraId="283EBB81" w14:textId="67F7401B" w:rsidR="00461E80" w:rsidRPr="00D74AAB" w:rsidRDefault="00461E80" w:rsidP="00137277">
            <w:pPr>
              <w:spacing w:line="240" w:lineRule="auto"/>
              <w:rPr>
                <w:color w:val="000000"/>
              </w:rPr>
            </w:pPr>
            <w:r w:rsidRPr="00D74AAB">
              <w:rPr>
                <w:color w:val="000000"/>
                <w:sz w:val="20"/>
              </w:rPr>
              <w:t>Between 1 October 2023 and 29 February 2024—0 months stock by reference to usual demand</w:t>
            </w:r>
          </w:p>
        </w:tc>
      </w:tr>
      <w:tr w:rsidR="00960C90" w:rsidRPr="00D74AAB" w14:paraId="4478CA51" w14:textId="77777777" w:rsidTr="00137277">
        <w:tc>
          <w:tcPr>
            <w:tcW w:w="1832" w:type="dxa"/>
            <w:tcBorders>
              <w:top w:val="single" w:sz="4" w:space="0" w:color="auto"/>
            </w:tcBorders>
            <w:shd w:val="clear" w:color="auto" w:fill="auto"/>
          </w:tcPr>
          <w:p w14:paraId="0F9C587E" w14:textId="556839AD" w:rsidR="00960C90" w:rsidRPr="00D74AAB" w:rsidRDefault="00960C90" w:rsidP="00960C90">
            <w:pPr>
              <w:pStyle w:val="Tabletext"/>
              <w:rPr>
                <w:color w:val="000000"/>
              </w:rPr>
            </w:pPr>
            <w:r w:rsidRPr="00D74AAB">
              <w:rPr>
                <w:color w:val="000000"/>
              </w:rPr>
              <w:t>Clopidogrel with aspirin</w:t>
            </w:r>
          </w:p>
        </w:tc>
        <w:tc>
          <w:tcPr>
            <w:tcW w:w="2268" w:type="dxa"/>
            <w:tcBorders>
              <w:top w:val="single" w:sz="4" w:space="0" w:color="auto"/>
            </w:tcBorders>
            <w:shd w:val="clear" w:color="auto" w:fill="auto"/>
          </w:tcPr>
          <w:p w14:paraId="7BFB8A8C" w14:textId="1A797518" w:rsidR="00960C90" w:rsidRPr="00D74AAB" w:rsidRDefault="00960C90" w:rsidP="00960C90">
            <w:pPr>
              <w:pStyle w:val="Tabletext"/>
              <w:rPr>
                <w:color w:val="000000"/>
              </w:rPr>
            </w:pPr>
            <w:r w:rsidRPr="00D74AAB">
              <w:rPr>
                <w:color w:val="000000"/>
              </w:rPr>
              <w:t xml:space="preserve">Tablet 75 mg (as hydrogen </w:t>
            </w:r>
            <w:proofErr w:type="spellStart"/>
            <w:r w:rsidRPr="00D74AAB">
              <w:rPr>
                <w:color w:val="000000"/>
              </w:rPr>
              <w:t>sulfate</w:t>
            </w:r>
            <w:proofErr w:type="spellEnd"/>
            <w:r w:rsidRPr="00D74AAB">
              <w:rPr>
                <w:color w:val="000000"/>
              </w:rPr>
              <w:t>)-100 mg</w:t>
            </w:r>
          </w:p>
        </w:tc>
        <w:tc>
          <w:tcPr>
            <w:tcW w:w="1383" w:type="dxa"/>
            <w:tcBorders>
              <w:top w:val="single" w:sz="4" w:space="0" w:color="auto"/>
            </w:tcBorders>
            <w:shd w:val="clear" w:color="auto" w:fill="auto"/>
          </w:tcPr>
          <w:p w14:paraId="7BFF2693" w14:textId="408DEBFE" w:rsidR="00960C90" w:rsidRPr="00D74AAB" w:rsidRDefault="00960C90" w:rsidP="00960C90">
            <w:pPr>
              <w:pStyle w:val="Tabletext"/>
              <w:rPr>
                <w:color w:val="000000"/>
              </w:rPr>
            </w:pPr>
            <w:r w:rsidRPr="00D74AAB">
              <w:rPr>
                <w:color w:val="000000"/>
              </w:rPr>
              <w:t>Oral</w:t>
            </w:r>
          </w:p>
        </w:tc>
        <w:tc>
          <w:tcPr>
            <w:tcW w:w="2160" w:type="dxa"/>
            <w:tcBorders>
              <w:top w:val="single" w:sz="4" w:space="0" w:color="auto"/>
            </w:tcBorders>
            <w:shd w:val="clear" w:color="auto" w:fill="auto"/>
          </w:tcPr>
          <w:p w14:paraId="0677D037" w14:textId="1FA333AF" w:rsidR="00960C90" w:rsidRPr="00D74AAB" w:rsidRDefault="00960C90" w:rsidP="00960C90">
            <w:pPr>
              <w:pStyle w:val="Tabletext"/>
              <w:rPr>
                <w:color w:val="000000"/>
              </w:rPr>
            </w:pPr>
            <w:r w:rsidRPr="00D74AAB">
              <w:rPr>
                <w:color w:val="000000"/>
              </w:rPr>
              <w:t>CLOPIDOGREL/ASPIRIN AN 75/100</w:t>
            </w:r>
          </w:p>
        </w:tc>
        <w:tc>
          <w:tcPr>
            <w:tcW w:w="2126" w:type="dxa"/>
            <w:tcBorders>
              <w:top w:val="single" w:sz="4" w:space="0" w:color="auto"/>
            </w:tcBorders>
            <w:shd w:val="clear" w:color="auto" w:fill="auto"/>
          </w:tcPr>
          <w:p w14:paraId="3D7B765E" w14:textId="68DC5825" w:rsidR="00960C90" w:rsidRPr="00D74AAB" w:rsidRDefault="00960C90" w:rsidP="00960C90">
            <w:pPr>
              <w:spacing w:line="240" w:lineRule="auto"/>
              <w:rPr>
                <w:color w:val="000000"/>
                <w:sz w:val="20"/>
              </w:rPr>
            </w:pPr>
            <w:r w:rsidRPr="00D74AAB">
              <w:rPr>
                <w:color w:val="000000"/>
                <w:sz w:val="20"/>
              </w:rPr>
              <w:t>Between 1 October 2023 and 31 October 2023—0 months stock by reference to usual demand</w:t>
            </w:r>
          </w:p>
        </w:tc>
      </w:tr>
    </w:tbl>
    <w:p w14:paraId="118A9046" w14:textId="6AB4D324" w:rsidR="00960C90" w:rsidRPr="00D74AAB" w:rsidRDefault="00917F99" w:rsidP="00960C90">
      <w:pPr>
        <w:pStyle w:val="ItemHead"/>
      </w:pPr>
      <w:r w:rsidRPr="00D74AAB">
        <w:t>9</w:t>
      </w:r>
      <w:r w:rsidR="00960C90" w:rsidRPr="00D74AAB">
        <w:t xml:space="preserve">  Schedule 1</w:t>
      </w:r>
    </w:p>
    <w:p w14:paraId="0BCD840E" w14:textId="77777777" w:rsidR="00960C90" w:rsidRPr="00D74AAB" w:rsidRDefault="00960C90" w:rsidP="00960C9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960C90" w:rsidRPr="00D74AAB" w14:paraId="5590A563" w14:textId="77777777" w:rsidTr="00137277">
        <w:tc>
          <w:tcPr>
            <w:tcW w:w="1832" w:type="dxa"/>
            <w:shd w:val="clear" w:color="auto" w:fill="auto"/>
          </w:tcPr>
          <w:p w14:paraId="664FD085" w14:textId="6E60EFFD" w:rsidR="00960C90" w:rsidRPr="00D74AAB" w:rsidRDefault="00960C90" w:rsidP="00960C90">
            <w:pPr>
              <w:pStyle w:val="Tabletext"/>
            </w:pPr>
            <w:r w:rsidRPr="00D74AAB">
              <w:rPr>
                <w:color w:val="000000"/>
              </w:rPr>
              <w:t>Fentanyl</w:t>
            </w:r>
          </w:p>
        </w:tc>
        <w:tc>
          <w:tcPr>
            <w:tcW w:w="2268" w:type="dxa"/>
            <w:shd w:val="clear" w:color="auto" w:fill="auto"/>
          </w:tcPr>
          <w:p w14:paraId="1EFF6A71" w14:textId="128DE4BE" w:rsidR="00960C90" w:rsidRPr="00D74AAB" w:rsidRDefault="00960C90" w:rsidP="00960C90">
            <w:pPr>
              <w:pStyle w:val="Tabletext"/>
            </w:pPr>
            <w:r w:rsidRPr="00D74AAB">
              <w:rPr>
                <w:color w:val="000000"/>
              </w:rPr>
              <w:t>Transdermal patch 8.4 mg</w:t>
            </w:r>
          </w:p>
        </w:tc>
        <w:tc>
          <w:tcPr>
            <w:tcW w:w="1383" w:type="dxa"/>
            <w:shd w:val="clear" w:color="auto" w:fill="auto"/>
          </w:tcPr>
          <w:p w14:paraId="47A328A6" w14:textId="05199783" w:rsidR="00960C90" w:rsidRPr="00D74AAB" w:rsidRDefault="00960C90" w:rsidP="00960C90">
            <w:pPr>
              <w:pStyle w:val="Tabletext"/>
            </w:pPr>
            <w:r w:rsidRPr="00D74AAB">
              <w:rPr>
                <w:color w:val="000000"/>
              </w:rPr>
              <w:t>Transdermal</w:t>
            </w:r>
          </w:p>
        </w:tc>
        <w:tc>
          <w:tcPr>
            <w:tcW w:w="2160" w:type="dxa"/>
            <w:shd w:val="clear" w:color="auto" w:fill="auto"/>
          </w:tcPr>
          <w:p w14:paraId="595B399A" w14:textId="4FCB3BAF" w:rsidR="00960C90" w:rsidRPr="00D74AAB" w:rsidRDefault="00960C90" w:rsidP="00960C90">
            <w:pPr>
              <w:pStyle w:val="Tabletext"/>
            </w:pPr>
            <w:r w:rsidRPr="00D74AAB">
              <w:rPr>
                <w:color w:val="000000"/>
              </w:rPr>
              <w:t>APO-Fentanyl</w:t>
            </w:r>
          </w:p>
        </w:tc>
        <w:tc>
          <w:tcPr>
            <w:tcW w:w="2126" w:type="dxa"/>
            <w:shd w:val="clear" w:color="auto" w:fill="auto"/>
          </w:tcPr>
          <w:p w14:paraId="1BBDA5DC" w14:textId="71E646C2" w:rsidR="00960C90" w:rsidRPr="00D74AAB" w:rsidRDefault="00960C90" w:rsidP="00137277">
            <w:pPr>
              <w:spacing w:line="240" w:lineRule="auto"/>
            </w:pPr>
            <w:r w:rsidRPr="00D74AAB">
              <w:rPr>
                <w:color w:val="000000"/>
                <w:sz w:val="20"/>
              </w:rPr>
              <w:t>3 months stock by reference to usual demand</w:t>
            </w:r>
          </w:p>
        </w:tc>
      </w:tr>
    </w:tbl>
    <w:p w14:paraId="2925B736" w14:textId="77777777" w:rsidR="00960C90" w:rsidRPr="00D74AAB" w:rsidRDefault="00960C90" w:rsidP="00960C90">
      <w:pPr>
        <w:pStyle w:val="Item"/>
      </w:pPr>
      <w:r w:rsidRPr="00D74AAB">
        <w:t>insert:</w:t>
      </w:r>
    </w:p>
    <w:tbl>
      <w:tblPr>
        <w:tblW w:w="9781" w:type="dxa"/>
        <w:tblInd w:w="-70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833"/>
        <w:gridCol w:w="2271"/>
        <w:gridCol w:w="1385"/>
        <w:gridCol w:w="2163"/>
        <w:gridCol w:w="2129"/>
      </w:tblGrid>
      <w:tr w:rsidR="00960C90" w:rsidRPr="00D74AAB" w14:paraId="37698A8C" w14:textId="77777777" w:rsidTr="00137277">
        <w:tc>
          <w:tcPr>
            <w:tcW w:w="1832" w:type="dxa"/>
            <w:tcBorders>
              <w:top w:val="nil"/>
            </w:tcBorders>
            <w:shd w:val="clear" w:color="auto" w:fill="auto"/>
          </w:tcPr>
          <w:p w14:paraId="26F249D7" w14:textId="4DFDB8A8" w:rsidR="00960C90" w:rsidRPr="00D74AAB" w:rsidRDefault="00960C90" w:rsidP="00960C90">
            <w:pPr>
              <w:pStyle w:val="Tabletext"/>
            </w:pPr>
            <w:r w:rsidRPr="00D74AAB">
              <w:rPr>
                <w:color w:val="000000"/>
              </w:rPr>
              <w:t>Filgrastim</w:t>
            </w:r>
          </w:p>
        </w:tc>
        <w:tc>
          <w:tcPr>
            <w:tcW w:w="2268" w:type="dxa"/>
            <w:tcBorders>
              <w:top w:val="nil"/>
            </w:tcBorders>
            <w:shd w:val="clear" w:color="auto" w:fill="auto"/>
          </w:tcPr>
          <w:p w14:paraId="380791ED" w14:textId="7040B614" w:rsidR="00960C90" w:rsidRPr="00D74AAB" w:rsidRDefault="00960C90" w:rsidP="00960C90">
            <w:pPr>
              <w:pStyle w:val="Tabletext"/>
            </w:pPr>
            <w:r w:rsidRPr="00D74AAB">
              <w:rPr>
                <w:color w:val="000000"/>
              </w:rPr>
              <w:t>Injection 300 micrograms in 0.5 mL single-use pre-filled syringe</w:t>
            </w:r>
          </w:p>
        </w:tc>
        <w:tc>
          <w:tcPr>
            <w:tcW w:w="1383" w:type="dxa"/>
            <w:tcBorders>
              <w:top w:val="nil"/>
            </w:tcBorders>
            <w:shd w:val="clear" w:color="auto" w:fill="auto"/>
          </w:tcPr>
          <w:p w14:paraId="1575FC41" w14:textId="038ACF9F" w:rsidR="00960C90" w:rsidRPr="00D74AAB" w:rsidRDefault="00960C90" w:rsidP="00960C90">
            <w:pPr>
              <w:pStyle w:val="Tabletext"/>
            </w:pPr>
            <w:r w:rsidRPr="00D74AAB">
              <w:rPr>
                <w:color w:val="000000"/>
              </w:rPr>
              <w:t>Injection</w:t>
            </w:r>
          </w:p>
        </w:tc>
        <w:tc>
          <w:tcPr>
            <w:tcW w:w="2160" w:type="dxa"/>
            <w:tcBorders>
              <w:top w:val="nil"/>
            </w:tcBorders>
            <w:shd w:val="clear" w:color="auto" w:fill="auto"/>
          </w:tcPr>
          <w:p w14:paraId="6A5B0434" w14:textId="14D32341" w:rsidR="00960C90" w:rsidRPr="00D74AAB" w:rsidRDefault="00960C90" w:rsidP="00960C90">
            <w:pPr>
              <w:pStyle w:val="Tabletext"/>
            </w:pPr>
            <w:r w:rsidRPr="00D74AAB">
              <w:rPr>
                <w:color w:val="000000"/>
              </w:rPr>
              <w:t>Neupogen</w:t>
            </w:r>
          </w:p>
        </w:tc>
        <w:tc>
          <w:tcPr>
            <w:tcW w:w="2126" w:type="dxa"/>
            <w:tcBorders>
              <w:top w:val="nil"/>
            </w:tcBorders>
            <w:shd w:val="clear" w:color="auto" w:fill="auto"/>
          </w:tcPr>
          <w:p w14:paraId="40BD40BE" w14:textId="5CB640BB" w:rsidR="00960C90" w:rsidRPr="00D74AAB" w:rsidRDefault="00960C90" w:rsidP="00960C90">
            <w:pPr>
              <w:pStyle w:val="Tabletext"/>
            </w:pPr>
            <w:r w:rsidRPr="00D74AAB">
              <w:rPr>
                <w:color w:val="000000"/>
              </w:rPr>
              <w:t>Bet</w:t>
            </w:r>
            <w:r w:rsidRPr="00D74AAB">
              <w:rPr>
                <w:rFonts w:eastAsiaTheme="minorHAnsi"/>
                <w:color w:val="000000"/>
                <w:lang w:eastAsia="en-US"/>
              </w:rPr>
              <w:t xml:space="preserve">ween 1 October 2023 and </w:t>
            </w:r>
            <w:r w:rsidRPr="00D74AAB">
              <w:rPr>
                <w:color w:val="000000"/>
              </w:rPr>
              <w:t>30 November 2023</w:t>
            </w:r>
            <w:r w:rsidRPr="00D74AAB">
              <w:rPr>
                <w:rFonts w:eastAsiaTheme="minorHAnsi"/>
                <w:color w:val="000000"/>
                <w:lang w:eastAsia="en-US"/>
              </w:rPr>
              <w:t>—0 months stock by reference to usual demand</w:t>
            </w:r>
          </w:p>
        </w:tc>
      </w:tr>
      <w:tr w:rsidR="00960C90" w:rsidRPr="00D74AAB" w14:paraId="0B2E5FBF" w14:textId="77777777" w:rsidTr="00137277">
        <w:tc>
          <w:tcPr>
            <w:tcW w:w="1832" w:type="dxa"/>
            <w:tcBorders>
              <w:bottom w:val="single" w:sz="2" w:space="0" w:color="auto"/>
            </w:tcBorders>
            <w:shd w:val="clear" w:color="auto" w:fill="auto"/>
          </w:tcPr>
          <w:p w14:paraId="66F4E84F" w14:textId="1D41DB8D" w:rsidR="00960C90" w:rsidRPr="00D74AAB" w:rsidRDefault="00960C90" w:rsidP="00960C90">
            <w:pPr>
              <w:pStyle w:val="Tabletext"/>
            </w:pPr>
            <w:r w:rsidRPr="00D74AAB">
              <w:rPr>
                <w:color w:val="000000"/>
              </w:rPr>
              <w:t>Filgrastim</w:t>
            </w:r>
          </w:p>
        </w:tc>
        <w:tc>
          <w:tcPr>
            <w:tcW w:w="2268" w:type="dxa"/>
            <w:tcBorders>
              <w:bottom w:val="single" w:sz="2" w:space="0" w:color="auto"/>
            </w:tcBorders>
            <w:shd w:val="clear" w:color="auto" w:fill="auto"/>
          </w:tcPr>
          <w:p w14:paraId="5C811B87" w14:textId="779B7AB8" w:rsidR="00960C90" w:rsidRPr="00D74AAB" w:rsidRDefault="00960C90" w:rsidP="00960C90">
            <w:pPr>
              <w:pStyle w:val="Tabletext"/>
            </w:pPr>
            <w:r w:rsidRPr="00D74AAB">
              <w:rPr>
                <w:color w:val="000000"/>
              </w:rPr>
              <w:t>Injection 300 micrograms in 1 mL</w:t>
            </w:r>
          </w:p>
        </w:tc>
        <w:tc>
          <w:tcPr>
            <w:tcW w:w="1383" w:type="dxa"/>
            <w:tcBorders>
              <w:bottom w:val="single" w:sz="2" w:space="0" w:color="auto"/>
            </w:tcBorders>
            <w:shd w:val="clear" w:color="auto" w:fill="auto"/>
          </w:tcPr>
          <w:p w14:paraId="6009FB68" w14:textId="3361AD0A" w:rsidR="00960C90" w:rsidRPr="00D74AAB" w:rsidRDefault="00960C90" w:rsidP="00960C90">
            <w:pPr>
              <w:pStyle w:val="Tabletext"/>
            </w:pPr>
            <w:r w:rsidRPr="00D74AAB">
              <w:rPr>
                <w:color w:val="000000"/>
              </w:rPr>
              <w:t>Injection</w:t>
            </w:r>
          </w:p>
        </w:tc>
        <w:tc>
          <w:tcPr>
            <w:tcW w:w="2160" w:type="dxa"/>
            <w:tcBorders>
              <w:bottom w:val="single" w:sz="2" w:space="0" w:color="auto"/>
            </w:tcBorders>
            <w:shd w:val="clear" w:color="auto" w:fill="auto"/>
          </w:tcPr>
          <w:p w14:paraId="79FEBE29" w14:textId="13BF2E21" w:rsidR="00960C90" w:rsidRPr="00D74AAB" w:rsidRDefault="00960C90" w:rsidP="00960C90">
            <w:pPr>
              <w:pStyle w:val="Tabletext"/>
            </w:pPr>
            <w:r w:rsidRPr="00D74AAB">
              <w:rPr>
                <w:color w:val="000000"/>
              </w:rPr>
              <w:t>Neupogen</w:t>
            </w:r>
          </w:p>
        </w:tc>
        <w:tc>
          <w:tcPr>
            <w:tcW w:w="2126" w:type="dxa"/>
            <w:tcBorders>
              <w:bottom w:val="single" w:sz="2" w:space="0" w:color="auto"/>
            </w:tcBorders>
            <w:shd w:val="clear" w:color="auto" w:fill="auto"/>
          </w:tcPr>
          <w:p w14:paraId="41A251F1" w14:textId="45C03E75" w:rsidR="00960C90" w:rsidRPr="00D74AAB" w:rsidRDefault="00960C90" w:rsidP="00137277">
            <w:pPr>
              <w:spacing w:line="240" w:lineRule="auto"/>
              <w:rPr>
                <w:color w:val="000000"/>
              </w:rPr>
            </w:pPr>
            <w:r w:rsidRPr="00D74AAB">
              <w:rPr>
                <w:color w:val="000000"/>
                <w:sz w:val="20"/>
              </w:rPr>
              <w:t>Between 1 October 2023 and 30 November 2023—0 months stock by reference to usual demand</w:t>
            </w:r>
          </w:p>
        </w:tc>
      </w:tr>
      <w:tr w:rsidR="00960C90" w:rsidRPr="00D74AAB" w14:paraId="559FD5FA" w14:textId="77777777" w:rsidTr="00137277">
        <w:tc>
          <w:tcPr>
            <w:tcW w:w="1832" w:type="dxa"/>
            <w:tcBorders>
              <w:top w:val="single" w:sz="2" w:space="0" w:color="auto"/>
              <w:bottom w:val="single" w:sz="2" w:space="0" w:color="auto"/>
            </w:tcBorders>
            <w:shd w:val="clear" w:color="auto" w:fill="auto"/>
          </w:tcPr>
          <w:p w14:paraId="0D1BEA06" w14:textId="08A643EE" w:rsidR="00960C90" w:rsidRPr="00D74AAB" w:rsidRDefault="00960C90" w:rsidP="00960C90">
            <w:pPr>
              <w:pStyle w:val="Tabletext"/>
            </w:pPr>
            <w:r w:rsidRPr="00D74AAB">
              <w:rPr>
                <w:color w:val="000000"/>
              </w:rPr>
              <w:t>Filgrastim</w:t>
            </w:r>
          </w:p>
        </w:tc>
        <w:tc>
          <w:tcPr>
            <w:tcW w:w="2268" w:type="dxa"/>
            <w:tcBorders>
              <w:top w:val="single" w:sz="2" w:space="0" w:color="auto"/>
              <w:bottom w:val="single" w:sz="2" w:space="0" w:color="auto"/>
            </w:tcBorders>
            <w:shd w:val="clear" w:color="auto" w:fill="auto"/>
          </w:tcPr>
          <w:p w14:paraId="02ED8E2C" w14:textId="30E5891C" w:rsidR="00960C90" w:rsidRPr="00D74AAB" w:rsidRDefault="00960C90" w:rsidP="00960C90">
            <w:pPr>
              <w:pStyle w:val="Tabletext"/>
            </w:pPr>
            <w:r w:rsidRPr="00D74AAB">
              <w:rPr>
                <w:color w:val="000000"/>
              </w:rPr>
              <w:t>Injection 480 micrograms in 0.5 mL single-use pre-filled syringe</w:t>
            </w:r>
          </w:p>
        </w:tc>
        <w:tc>
          <w:tcPr>
            <w:tcW w:w="1383" w:type="dxa"/>
            <w:tcBorders>
              <w:top w:val="single" w:sz="2" w:space="0" w:color="auto"/>
              <w:bottom w:val="single" w:sz="2" w:space="0" w:color="auto"/>
            </w:tcBorders>
            <w:shd w:val="clear" w:color="auto" w:fill="auto"/>
          </w:tcPr>
          <w:p w14:paraId="6E73E4FB" w14:textId="08AC3A0B" w:rsidR="00960C90" w:rsidRPr="00D74AAB" w:rsidRDefault="00960C90" w:rsidP="00960C90">
            <w:pPr>
              <w:pStyle w:val="Tabletext"/>
            </w:pPr>
            <w:r w:rsidRPr="00D74AAB">
              <w:rPr>
                <w:color w:val="000000"/>
              </w:rPr>
              <w:t>Injection</w:t>
            </w:r>
          </w:p>
        </w:tc>
        <w:tc>
          <w:tcPr>
            <w:tcW w:w="2160" w:type="dxa"/>
            <w:tcBorders>
              <w:top w:val="single" w:sz="2" w:space="0" w:color="auto"/>
              <w:bottom w:val="single" w:sz="2" w:space="0" w:color="auto"/>
            </w:tcBorders>
            <w:shd w:val="clear" w:color="auto" w:fill="auto"/>
          </w:tcPr>
          <w:p w14:paraId="6F245776" w14:textId="4BD35B6C" w:rsidR="00960C90" w:rsidRPr="00D74AAB" w:rsidRDefault="00960C90" w:rsidP="00960C90">
            <w:pPr>
              <w:pStyle w:val="Tabletext"/>
            </w:pPr>
            <w:r w:rsidRPr="00D74AAB">
              <w:rPr>
                <w:color w:val="000000"/>
              </w:rPr>
              <w:t>Neupogen</w:t>
            </w:r>
          </w:p>
        </w:tc>
        <w:tc>
          <w:tcPr>
            <w:tcW w:w="2126" w:type="dxa"/>
            <w:tcBorders>
              <w:top w:val="single" w:sz="2" w:space="0" w:color="auto"/>
              <w:bottom w:val="single" w:sz="2" w:space="0" w:color="auto"/>
            </w:tcBorders>
            <w:shd w:val="clear" w:color="auto" w:fill="auto"/>
          </w:tcPr>
          <w:p w14:paraId="19FB37FE" w14:textId="306D0012" w:rsidR="00960C90" w:rsidRPr="00D74AAB" w:rsidRDefault="00960C90" w:rsidP="00137277">
            <w:pPr>
              <w:spacing w:line="240" w:lineRule="auto"/>
              <w:rPr>
                <w:color w:val="000000"/>
              </w:rPr>
            </w:pPr>
            <w:r w:rsidRPr="00D74AAB">
              <w:rPr>
                <w:color w:val="000000"/>
                <w:sz w:val="20"/>
              </w:rPr>
              <w:t>Between 1 October 2023 and 30 November 2023—0 months stock by reference to usual demand</w:t>
            </w:r>
          </w:p>
        </w:tc>
      </w:tr>
      <w:tr w:rsidR="00960C90" w:rsidRPr="00D74AAB" w14:paraId="07501572" w14:textId="77777777" w:rsidTr="00137277">
        <w:tc>
          <w:tcPr>
            <w:tcW w:w="1832" w:type="dxa"/>
            <w:tcBorders>
              <w:top w:val="single" w:sz="2" w:space="0" w:color="auto"/>
              <w:bottom w:val="nil"/>
            </w:tcBorders>
            <w:shd w:val="clear" w:color="auto" w:fill="auto"/>
          </w:tcPr>
          <w:p w14:paraId="273CE87B" w14:textId="06672351" w:rsidR="00960C90" w:rsidRPr="00D74AAB" w:rsidRDefault="00960C90" w:rsidP="00960C90">
            <w:pPr>
              <w:pStyle w:val="Tabletext"/>
            </w:pPr>
            <w:r w:rsidRPr="00D74AAB">
              <w:rPr>
                <w:color w:val="000000"/>
              </w:rPr>
              <w:t>Filgrastim</w:t>
            </w:r>
          </w:p>
        </w:tc>
        <w:tc>
          <w:tcPr>
            <w:tcW w:w="2268" w:type="dxa"/>
            <w:tcBorders>
              <w:top w:val="single" w:sz="2" w:space="0" w:color="auto"/>
              <w:bottom w:val="nil"/>
            </w:tcBorders>
            <w:shd w:val="clear" w:color="auto" w:fill="auto"/>
          </w:tcPr>
          <w:p w14:paraId="66AF8DC0" w14:textId="3DC28F2D" w:rsidR="00960C90" w:rsidRPr="00D74AAB" w:rsidRDefault="00960C90" w:rsidP="00960C90">
            <w:pPr>
              <w:pStyle w:val="Tabletext"/>
            </w:pPr>
            <w:r w:rsidRPr="00D74AAB">
              <w:rPr>
                <w:color w:val="000000"/>
              </w:rPr>
              <w:t>Injection 480 micrograms in 1.6 mL</w:t>
            </w:r>
          </w:p>
        </w:tc>
        <w:tc>
          <w:tcPr>
            <w:tcW w:w="1383" w:type="dxa"/>
            <w:tcBorders>
              <w:top w:val="single" w:sz="2" w:space="0" w:color="auto"/>
              <w:bottom w:val="nil"/>
            </w:tcBorders>
            <w:shd w:val="clear" w:color="auto" w:fill="auto"/>
          </w:tcPr>
          <w:p w14:paraId="77DDDB22" w14:textId="6BFB8664" w:rsidR="00960C90" w:rsidRPr="00D74AAB" w:rsidRDefault="00960C90" w:rsidP="00960C90">
            <w:pPr>
              <w:pStyle w:val="Tabletext"/>
            </w:pPr>
            <w:r w:rsidRPr="00D74AAB">
              <w:rPr>
                <w:color w:val="000000"/>
              </w:rPr>
              <w:t>Injection</w:t>
            </w:r>
          </w:p>
        </w:tc>
        <w:tc>
          <w:tcPr>
            <w:tcW w:w="2160" w:type="dxa"/>
            <w:tcBorders>
              <w:top w:val="single" w:sz="2" w:space="0" w:color="auto"/>
              <w:bottom w:val="nil"/>
            </w:tcBorders>
            <w:shd w:val="clear" w:color="auto" w:fill="auto"/>
          </w:tcPr>
          <w:p w14:paraId="152CA622" w14:textId="2B5F8A63" w:rsidR="00960C90" w:rsidRPr="00D74AAB" w:rsidRDefault="00960C90" w:rsidP="00960C90">
            <w:pPr>
              <w:pStyle w:val="Tabletext"/>
            </w:pPr>
            <w:r w:rsidRPr="00D74AAB">
              <w:rPr>
                <w:color w:val="000000"/>
              </w:rPr>
              <w:t>Neupogen</w:t>
            </w:r>
          </w:p>
        </w:tc>
        <w:tc>
          <w:tcPr>
            <w:tcW w:w="2126" w:type="dxa"/>
            <w:tcBorders>
              <w:top w:val="single" w:sz="2" w:space="0" w:color="auto"/>
              <w:bottom w:val="nil"/>
            </w:tcBorders>
            <w:shd w:val="clear" w:color="auto" w:fill="auto"/>
          </w:tcPr>
          <w:p w14:paraId="6CEE26B6" w14:textId="72D9D44E" w:rsidR="00960C90" w:rsidRPr="00D74AAB" w:rsidRDefault="00960C90" w:rsidP="00137277">
            <w:pPr>
              <w:spacing w:line="240" w:lineRule="auto"/>
              <w:rPr>
                <w:color w:val="000000"/>
              </w:rPr>
            </w:pPr>
            <w:r w:rsidRPr="00D74AAB">
              <w:rPr>
                <w:color w:val="000000"/>
                <w:sz w:val="20"/>
              </w:rPr>
              <w:t xml:space="preserve">Between 1 October 2023 and 30 November 2023—0 months stock </w:t>
            </w:r>
            <w:r w:rsidRPr="00D74AAB">
              <w:rPr>
                <w:color w:val="000000"/>
                <w:sz w:val="20"/>
              </w:rPr>
              <w:lastRenderedPageBreak/>
              <w:t>by reference to usual demand</w:t>
            </w:r>
          </w:p>
        </w:tc>
      </w:tr>
    </w:tbl>
    <w:p w14:paraId="1D31D858" w14:textId="03DBFC58" w:rsidR="00461E80" w:rsidRPr="00D74AAB" w:rsidRDefault="00917F99" w:rsidP="00461E80">
      <w:pPr>
        <w:pStyle w:val="ItemHead"/>
      </w:pPr>
      <w:r w:rsidRPr="00D74AAB">
        <w:lastRenderedPageBreak/>
        <w:t>10</w:t>
      </w:r>
      <w:r w:rsidR="00461E80" w:rsidRPr="00D74AAB">
        <w:t xml:space="preserve">  Schedule 1</w:t>
      </w:r>
    </w:p>
    <w:p w14:paraId="1C455C32"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4E7ECB93" w14:textId="77777777" w:rsidTr="00137277">
        <w:tc>
          <w:tcPr>
            <w:tcW w:w="1832" w:type="dxa"/>
            <w:shd w:val="clear" w:color="auto" w:fill="auto"/>
          </w:tcPr>
          <w:p w14:paraId="2BEEB4CB" w14:textId="2EC9376E" w:rsidR="00461E80" w:rsidRPr="00D74AAB" w:rsidRDefault="00461E80" w:rsidP="00461E80">
            <w:pPr>
              <w:pStyle w:val="Tabletext"/>
            </w:pPr>
            <w:r w:rsidRPr="00D74AAB">
              <w:rPr>
                <w:color w:val="000000"/>
              </w:rPr>
              <w:t>Enalapril</w:t>
            </w:r>
          </w:p>
        </w:tc>
        <w:tc>
          <w:tcPr>
            <w:tcW w:w="2268" w:type="dxa"/>
            <w:shd w:val="clear" w:color="auto" w:fill="auto"/>
          </w:tcPr>
          <w:p w14:paraId="7F9AA649" w14:textId="1D235288" w:rsidR="00461E80" w:rsidRPr="00D74AAB" w:rsidRDefault="00461E80" w:rsidP="00461E80">
            <w:pPr>
              <w:pStyle w:val="Tabletext"/>
            </w:pPr>
            <w:r w:rsidRPr="00D74AAB">
              <w:rPr>
                <w:color w:val="000000"/>
              </w:rPr>
              <w:t>Tablet containing enalapril maleate 5 mg</w:t>
            </w:r>
          </w:p>
        </w:tc>
        <w:tc>
          <w:tcPr>
            <w:tcW w:w="1383" w:type="dxa"/>
            <w:shd w:val="clear" w:color="auto" w:fill="auto"/>
          </w:tcPr>
          <w:p w14:paraId="6AEA36DA" w14:textId="06331EF1" w:rsidR="00461E80" w:rsidRPr="00D74AAB" w:rsidRDefault="00461E80" w:rsidP="00461E80">
            <w:pPr>
              <w:pStyle w:val="Tabletext"/>
            </w:pPr>
            <w:r w:rsidRPr="00D74AAB">
              <w:rPr>
                <w:color w:val="000000"/>
              </w:rPr>
              <w:t>Oral</w:t>
            </w:r>
          </w:p>
        </w:tc>
        <w:tc>
          <w:tcPr>
            <w:tcW w:w="2160" w:type="dxa"/>
            <w:shd w:val="clear" w:color="auto" w:fill="auto"/>
          </w:tcPr>
          <w:p w14:paraId="36473E9C" w14:textId="3AA7BBBB" w:rsidR="00461E80" w:rsidRPr="00D74AAB" w:rsidRDefault="00461E80" w:rsidP="00461E80">
            <w:pPr>
              <w:pStyle w:val="Tabletext"/>
            </w:pPr>
            <w:proofErr w:type="spellStart"/>
            <w:r w:rsidRPr="00D74AAB">
              <w:rPr>
                <w:color w:val="000000"/>
              </w:rPr>
              <w:t>Malean</w:t>
            </w:r>
            <w:proofErr w:type="spellEnd"/>
          </w:p>
        </w:tc>
        <w:tc>
          <w:tcPr>
            <w:tcW w:w="2126" w:type="dxa"/>
            <w:shd w:val="clear" w:color="auto" w:fill="auto"/>
          </w:tcPr>
          <w:p w14:paraId="6639B26C" w14:textId="1530A3E4" w:rsidR="00461E80" w:rsidRPr="00D74AAB" w:rsidRDefault="00461E80" w:rsidP="00137277">
            <w:pPr>
              <w:spacing w:line="240" w:lineRule="auto"/>
            </w:pPr>
            <w:r w:rsidRPr="00D74AAB">
              <w:rPr>
                <w:color w:val="000000"/>
                <w:sz w:val="20"/>
              </w:rPr>
              <w:t>4 months stock by reference to usual demand</w:t>
            </w:r>
          </w:p>
        </w:tc>
      </w:tr>
    </w:tbl>
    <w:p w14:paraId="7154A748"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591D9CD1" w14:textId="77777777" w:rsidTr="00137277">
        <w:tc>
          <w:tcPr>
            <w:tcW w:w="1832" w:type="dxa"/>
            <w:shd w:val="clear" w:color="auto" w:fill="auto"/>
          </w:tcPr>
          <w:p w14:paraId="57A2700A" w14:textId="4ABD861A" w:rsidR="00461E80" w:rsidRPr="00D74AAB" w:rsidRDefault="00461E80" w:rsidP="00461E80">
            <w:pPr>
              <w:pStyle w:val="Tabletext"/>
            </w:pPr>
            <w:r w:rsidRPr="00D74AAB">
              <w:rPr>
                <w:color w:val="000000"/>
              </w:rPr>
              <w:t>Entecavir</w:t>
            </w:r>
          </w:p>
        </w:tc>
        <w:tc>
          <w:tcPr>
            <w:tcW w:w="2268" w:type="dxa"/>
            <w:shd w:val="clear" w:color="auto" w:fill="auto"/>
          </w:tcPr>
          <w:p w14:paraId="0DB10547" w14:textId="03DE3D31" w:rsidR="00461E80" w:rsidRPr="00D74AAB" w:rsidRDefault="00461E80" w:rsidP="00461E80">
            <w:pPr>
              <w:pStyle w:val="Tabletext"/>
            </w:pPr>
            <w:r w:rsidRPr="00D74AAB">
              <w:rPr>
                <w:color w:val="000000"/>
              </w:rPr>
              <w:t>Tablet 1 mg (as monohydrate)</w:t>
            </w:r>
          </w:p>
        </w:tc>
        <w:tc>
          <w:tcPr>
            <w:tcW w:w="1383" w:type="dxa"/>
            <w:shd w:val="clear" w:color="auto" w:fill="auto"/>
          </w:tcPr>
          <w:p w14:paraId="5B243FDF" w14:textId="513713E7" w:rsidR="00461E80" w:rsidRPr="00D74AAB" w:rsidRDefault="00461E80" w:rsidP="00461E80">
            <w:pPr>
              <w:pStyle w:val="Tabletext"/>
            </w:pPr>
            <w:r w:rsidRPr="00D74AAB">
              <w:rPr>
                <w:color w:val="000000"/>
              </w:rPr>
              <w:t>Oral</w:t>
            </w:r>
          </w:p>
        </w:tc>
        <w:tc>
          <w:tcPr>
            <w:tcW w:w="2160" w:type="dxa"/>
            <w:shd w:val="clear" w:color="auto" w:fill="auto"/>
          </w:tcPr>
          <w:p w14:paraId="18B32801" w14:textId="21822836" w:rsidR="00461E80" w:rsidRPr="00D74AAB" w:rsidRDefault="00461E80" w:rsidP="00461E80">
            <w:pPr>
              <w:pStyle w:val="Tabletext"/>
            </w:pPr>
            <w:r w:rsidRPr="00D74AAB">
              <w:rPr>
                <w:color w:val="000000"/>
              </w:rPr>
              <w:t>ENTAC</w:t>
            </w:r>
          </w:p>
        </w:tc>
        <w:tc>
          <w:tcPr>
            <w:tcW w:w="2126" w:type="dxa"/>
            <w:shd w:val="clear" w:color="auto" w:fill="auto"/>
          </w:tcPr>
          <w:p w14:paraId="2C12679C" w14:textId="1DC1113F" w:rsidR="00461E80" w:rsidRPr="00D74AAB" w:rsidRDefault="00461E80" w:rsidP="00137277">
            <w:pPr>
              <w:spacing w:line="240" w:lineRule="auto"/>
              <w:rPr>
                <w:color w:val="000000"/>
              </w:rPr>
            </w:pPr>
            <w:r w:rsidRPr="00D74AAB">
              <w:rPr>
                <w:color w:val="000000"/>
                <w:sz w:val="20"/>
              </w:rPr>
              <w:t>Between 1 October 2023 and 30 November 2023—0 months stock by reference to usual demand</w:t>
            </w:r>
          </w:p>
        </w:tc>
      </w:tr>
    </w:tbl>
    <w:p w14:paraId="08822942" w14:textId="08B51660" w:rsidR="00461E80" w:rsidRPr="00D74AAB" w:rsidRDefault="00E3445F" w:rsidP="00461E80">
      <w:pPr>
        <w:pStyle w:val="ItemHead"/>
      </w:pPr>
      <w:r w:rsidRPr="00D74AAB">
        <w:t>1</w:t>
      </w:r>
      <w:r w:rsidR="00917F99" w:rsidRPr="00D74AAB">
        <w:t>1</w:t>
      </w:r>
      <w:r w:rsidR="00461E80" w:rsidRPr="00D74AAB">
        <w:t xml:space="preserve">  Schedule 1</w:t>
      </w:r>
    </w:p>
    <w:p w14:paraId="04757E2E"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378BB321" w14:textId="77777777" w:rsidTr="00137277">
        <w:tc>
          <w:tcPr>
            <w:tcW w:w="1832" w:type="dxa"/>
            <w:shd w:val="clear" w:color="auto" w:fill="auto"/>
          </w:tcPr>
          <w:p w14:paraId="2A765CD7" w14:textId="70ECCC60" w:rsidR="00461E80" w:rsidRPr="00D74AAB" w:rsidRDefault="00461E80" w:rsidP="00461E80">
            <w:pPr>
              <w:pStyle w:val="Tabletext"/>
            </w:pPr>
            <w:proofErr w:type="spellStart"/>
            <w:r w:rsidRPr="00D74AAB">
              <w:rPr>
                <w:color w:val="000000"/>
              </w:rPr>
              <w:t>Fluorometholone</w:t>
            </w:r>
            <w:proofErr w:type="spellEnd"/>
          </w:p>
        </w:tc>
        <w:tc>
          <w:tcPr>
            <w:tcW w:w="2268" w:type="dxa"/>
            <w:shd w:val="clear" w:color="auto" w:fill="auto"/>
          </w:tcPr>
          <w:p w14:paraId="19D46B71" w14:textId="33D8840D" w:rsidR="00461E80" w:rsidRPr="00D74AAB" w:rsidRDefault="00461E80" w:rsidP="00461E80">
            <w:pPr>
              <w:pStyle w:val="Tabletext"/>
            </w:pPr>
            <w:r w:rsidRPr="00D74AAB">
              <w:rPr>
                <w:color w:val="000000"/>
              </w:rPr>
              <w:t xml:space="preserve">Eye drops containing </w:t>
            </w:r>
            <w:proofErr w:type="spellStart"/>
            <w:r w:rsidRPr="00D74AAB">
              <w:rPr>
                <w:color w:val="000000"/>
              </w:rPr>
              <w:t>fluorometholone</w:t>
            </w:r>
            <w:proofErr w:type="spellEnd"/>
            <w:r w:rsidRPr="00D74AAB">
              <w:rPr>
                <w:color w:val="000000"/>
              </w:rPr>
              <w:t xml:space="preserve"> acetate 1 mg per mL, 5 mL</w:t>
            </w:r>
          </w:p>
        </w:tc>
        <w:tc>
          <w:tcPr>
            <w:tcW w:w="1383" w:type="dxa"/>
            <w:shd w:val="clear" w:color="auto" w:fill="auto"/>
          </w:tcPr>
          <w:p w14:paraId="052A7E89" w14:textId="294FE7BD" w:rsidR="00461E80" w:rsidRPr="00D74AAB" w:rsidRDefault="00461E80" w:rsidP="00461E80">
            <w:pPr>
              <w:pStyle w:val="Tabletext"/>
            </w:pPr>
            <w:r w:rsidRPr="00D74AAB">
              <w:rPr>
                <w:color w:val="000000"/>
              </w:rPr>
              <w:t>Application to the Eye</w:t>
            </w:r>
          </w:p>
        </w:tc>
        <w:tc>
          <w:tcPr>
            <w:tcW w:w="2160" w:type="dxa"/>
            <w:shd w:val="clear" w:color="auto" w:fill="auto"/>
          </w:tcPr>
          <w:p w14:paraId="4A44EEE3" w14:textId="5C09B97D" w:rsidR="00461E80" w:rsidRPr="00D74AAB" w:rsidRDefault="00461E80" w:rsidP="00461E80">
            <w:pPr>
              <w:pStyle w:val="Tabletext"/>
            </w:pPr>
            <w:proofErr w:type="spellStart"/>
            <w:r w:rsidRPr="00D74AAB">
              <w:rPr>
                <w:color w:val="000000"/>
              </w:rPr>
              <w:t>Flarex</w:t>
            </w:r>
            <w:proofErr w:type="spellEnd"/>
          </w:p>
        </w:tc>
        <w:tc>
          <w:tcPr>
            <w:tcW w:w="2126" w:type="dxa"/>
            <w:shd w:val="clear" w:color="auto" w:fill="auto"/>
          </w:tcPr>
          <w:p w14:paraId="518D5F3E" w14:textId="7C6BFA93" w:rsidR="00461E80" w:rsidRPr="00D74AAB" w:rsidRDefault="00461E80" w:rsidP="00137277">
            <w:pPr>
              <w:spacing w:line="240" w:lineRule="auto"/>
            </w:pPr>
            <w:r w:rsidRPr="00D74AAB">
              <w:rPr>
                <w:color w:val="000000"/>
                <w:sz w:val="20"/>
              </w:rPr>
              <w:t>4 months stock by reference to usual PBS demand</w:t>
            </w:r>
          </w:p>
        </w:tc>
      </w:tr>
    </w:tbl>
    <w:p w14:paraId="0563B828"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1D27A7F7" w14:textId="77777777" w:rsidTr="00137277">
        <w:tc>
          <w:tcPr>
            <w:tcW w:w="1832" w:type="dxa"/>
            <w:shd w:val="clear" w:color="auto" w:fill="auto"/>
          </w:tcPr>
          <w:p w14:paraId="5D9C8EBA" w14:textId="3987A7F3" w:rsidR="00461E80" w:rsidRPr="00D74AAB" w:rsidRDefault="00461E80" w:rsidP="00461E80">
            <w:pPr>
              <w:pStyle w:val="Tabletext"/>
            </w:pPr>
            <w:r w:rsidRPr="00D74AAB">
              <w:rPr>
                <w:color w:val="000000"/>
              </w:rPr>
              <w:t>Fluorouracil</w:t>
            </w:r>
          </w:p>
        </w:tc>
        <w:tc>
          <w:tcPr>
            <w:tcW w:w="2268" w:type="dxa"/>
            <w:shd w:val="clear" w:color="auto" w:fill="auto"/>
          </w:tcPr>
          <w:p w14:paraId="5A1C5840" w14:textId="35B9D0A2" w:rsidR="00461E80" w:rsidRPr="00D74AAB" w:rsidRDefault="00461E80" w:rsidP="00461E80">
            <w:pPr>
              <w:pStyle w:val="Tabletext"/>
            </w:pPr>
            <w:r w:rsidRPr="00D74AAB">
              <w:rPr>
                <w:color w:val="000000"/>
              </w:rPr>
              <w:t>Injection 2500 mg in 50 mL</w:t>
            </w:r>
          </w:p>
        </w:tc>
        <w:tc>
          <w:tcPr>
            <w:tcW w:w="1383" w:type="dxa"/>
            <w:shd w:val="clear" w:color="auto" w:fill="auto"/>
          </w:tcPr>
          <w:p w14:paraId="0C72718F" w14:textId="4E799FEC" w:rsidR="00461E80" w:rsidRPr="00D74AAB" w:rsidRDefault="00461E80" w:rsidP="00461E80">
            <w:pPr>
              <w:pStyle w:val="Tabletext"/>
            </w:pPr>
            <w:r w:rsidRPr="00D74AAB">
              <w:rPr>
                <w:color w:val="000000"/>
              </w:rPr>
              <w:t>Injection</w:t>
            </w:r>
          </w:p>
        </w:tc>
        <w:tc>
          <w:tcPr>
            <w:tcW w:w="2160" w:type="dxa"/>
            <w:shd w:val="clear" w:color="auto" w:fill="auto"/>
          </w:tcPr>
          <w:p w14:paraId="1D7B3A6A" w14:textId="2C0AF294" w:rsidR="00461E80" w:rsidRPr="00D74AAB" w:rsidRDefault="00461E80" w:rsidP="00461E80">
            <w:pPr>
              <w:pStyle w:val="Tabletext"/>
            </w:pPr>
            <w:r w:rsidRPr="00D74AAB">
              <w:rPr>
                <w:color w:val="000000"/>
              </w:rPr>
              <w:t>DBL Fluorouracil Injection BP</w:t>
            </w:r>
          </w:p>
        </w:tc>
        <w:tc>
          <w:tcPr>
            <w:tcW w:w="2126" w:type="dxa"/>
            <w:shd w:val="clear" w:color="auto" w:fill="auto"/>
          </w:tcPr>
          <w:p w14:paraId="1B7CC894" w14:textId="5209540D" w:rsidR="00461E80" w:rsidRPr="00D74AAB" w:rsidRDefault="00461E80" w:rsidP="00137277">
            <w:pPr>
              <w:spacing w:line="240" w:lineRule="auto"/>
              <w:rPr>
                <w:color w:val="000000"/>
              </w:rPr>
            </w:pPr>
            <w:r w:rsidRPr="00D74AAB">
              <w:rPr>
                <w:color w:val="000000"/>
                <w:sz w:val="20"/>
              </w:rPr>
              <w:t>Between 1 October 2023 and 30 November 2023—0 months stock by reference to usual demand</w:t>
            </w:r>
          </w:p>
        </w:tc>
      </w:tr>
    </w:tbl>
    <w:p w14:paraId="082A31AF" w14:textId="397492E5" w:rsidR="00461E80" w:rsidRPr="00D74AAB" w:rsidRDefault="00917F99" w:rsidP="00461E80">
      <w:pPr>
        <w:pStyle w:val="ItemHead"/>
      </w:pPr>
      <w:r w:rsidRPr="00D74AAB">
        <w:t>12</w:t>
      </w:r>
      <w:r w:rsidR="00461E80" w:rsidRPr="00D74AAB">
        <w:t xml:space="preserve">  Schedule 1</w:t>
      </w:r>
    </w:p>
    <w:p w14:paraId="55C0BF72"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4569AE82" w14:textId="77777777" w:rsidTr="00137277">
        <w:tc>
          <w:tcPr>
            <w:tcW w:w="1832" w:type="dxa"/>
            <w:shd w:val="clear" w:color="auto" w:fill="auto"/>
          </w:tcPr>
          <w:p w14:paraId="5E7D4D15" w14:textId="69DADEA6" w:rsidR="00461E80" w:rsidRPr="00D74AAB" w:rsidRDefault="00461E80" w:rsidP="00461E80">
            <w:pPr>
              <w:pStyle w:val="Tabletext"/>
            </w:pPr>
            <w:r w:rsidRPr="00D74AAB">
              <w:rPr>
                <w:color w:val="000000"/>
              </w:rPr>
              <w:t>Gemfibrozil</w:t>
            </w:r>
          </w:p>
        </w:tc>
        <w:tc>
          <w:tcPr>
            <w:tcW w:w="2268" w:type="dxa"/>
            <w:shd w:val="clear" w:color="auto" w:fill="auto"/>
          </w:tcPr>
          <w:p w14:paraId="08030236" w14:textId="6712B23F" w:rsidR="00461E80" w:rsidRPr="00D74AAB" w:rsidRDefault="00461E80" w:rsidP="00461E80">
            <w:pPr>
              <w:pStyle w:val="Tabletext"/>
            </w:pPr>
            <w:r w:rsidRPr="00D74AAB">
              <w:rPr>
                <w:color w:val="000000"/>
              </w:rPr>
              <w:t>Tablet 600 mg</w:t>
            </w:r>
          </w:p>
        </w:tc>
        <w:tc>
          <w:tcPr>
            <w:tcW w:w="1383" w:type="dxa"/>
            <w:shd w:val="clear" w:color="auto" w:fill="auto"/>
          </w:tcPr>
          <w:p w14:paraId="76789473" w14:textId="4FE1555B" w:rsidR="00461E80" w:rsidRPr="00D74AAB" w:rsidRDefault="00461E80" w:rsidP="00461E80">
            <w:pPr>
              <w:pStyle w:val="Tabletext"/>
            </w:pPr>
            <w:r w:rsidRPr="00D74AAB">
              <w:rPr>
                <w:color w:val="000000"/>
              </w:rPr>
              <w:t>Oral</w:t>
            </w:r>
          </w:p>
        </w:tc>
        <w:tc>
          <w:tcPr>
            <w:tcW w:w="2160" w:type="dxa"/>
            <w:shd w:val="clear" w:color="auto" w:fill="auto"/>
          </w:tcPr>
          <w:p w14:paraId="0AE400E2" w14:textId="60701766" w:rsidR="00461E80" w:rsidRPr="00D74AAB" w:rsidRDefault="00461E80" w:rsidP="00461E80">
            <w:pPr>
              <w:pStyle w:val="Tabletext"/>
            </w:pPr>
            <w:proofErr w:type="spellStart"/>
            <w:r w:rsidRPr="00D74AAB">
              <w:rPr>
                <w:color w:val="000000"/>
              </w:rPr>
              <w:t>Lipigem</w:t>
            </w:r>
            <w:proofErr w:type="spellEnd"/>
          </w:p>
        </w:tc>
        <w:tc>
          <w:tcPr>
            <w:tcW w:w="2126" w:type="dxa"/>
            <w:shd w:val="clear" w:color="auto" w:fill="auto"/>
          </w:tcPr>
          <w:p w14:paraId="68029060" w14:textId="72384A5B" w:rsidR="00461E80" w:rsidRPr="00D74AAB" w:rsidRDefault="00461E80" w:rsidP="00137277">
            <w:pPr>
              <w:spacing w:line="240" w:lineRule="auto"/>
            </w:pPr>
            <w:r w:rsidRPr="00D74AAB">
              <w:rPr>
                <w:color w:val="000000"/>
                <w:sz w:val="20"/>
              </w:rPr>
              <w:t>between 1 July 2023 and 31 December 2023—2 months stock by reference to usual demand</w:t>
            </w:r>
          </w:p>
        </w:tc>
      </w:tr>
    </w:tbl>
    <w:p w14:paraId="02587FD5"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79A703FC" w14:textId="77777777" w:rsidTr="00137277">
        <w:tc>
          <w:tcPr>
            <w:tcW w:w="1832" w:type="dxa"/>
            <w:tcBorders>
              <w:bottom w:val="single" w:sz="4" w:space="0" w:color="auto"/>
            </w:tcBorders>
            <w:shd w:val="clear" w:color="auto" w:fill="auto"/>
          </w:tcPr>
          <w:p w14:paraId="182CB040" w14:textId="600255C6" w:rsidR="00461E80" w:rsidRPr="00D74AAB" w:rsidRDefault="00461E80" w:rsidP="00461E80">
            <w:pPr>
              <w:pStyle w:val="Tabletext"/>
            </w:pPr>
            <w:r w:rsidRPr="00D74AAB">
              <w:rPr>
                <w:color w:val="000000"/>
              </w:rPr>
              <w:t>Glimepiride</w:t>
            </w:r>
          </w:p>
        </w:tc>
        <w:tc>
          <w:tcPr>
            <w:tcW w:w="2268" w:type="dxa"/>
            <w:tcBorders>
              <w:bottom w:val="single" w:sz="4" w:space="0" w:color="auto"/>
            </w:tcBorders>
            <w:shd w:val="clear" w:color="auto" w:fill="auto"/>
          </w:tcPr>
          <w:p w14:paraId="05723EA1" w14:textId="509F91D7" w:rsidR="00461E80" w:rsidRPr="00D74AAB" w:rsidRDefault="00461E80" w:rsidP="00461E80">
            <w:pPr>
              <w:pStyle w:val="Tabletext"/>
            </w:pPr>
            <w:r w:rsidRPr="00D74AAB">
              <w:rPr>
                <w:color w:val="000000"/>
              </w:rPr>
              <w:t>Tablet 3 mg</w:t>
            </w:r>
          </w:p>
        </w:tc>
        <w:tc>
          <w:tcPr>
            <w:tcW w:w="1383" w:type="dxa"/>
            <w:tcBorders>
              <w:bottom w:val="single" w:sz="4" w:space="0" w:color="auto"/>
            </w:tcBorders>
            <w:shd w:val="clear" w:color="auto" w:fill="auto"/>
          </w:tcPr>
          <w:p w14:paraId="0AD95386" w14:textId="3DD0A9E1" w:rsidR="00461E80" w:rsidRPr="00D74AAB" w:rsidRDefault="00461E80" w:rsidP="00461E80">
            <w:pPr>
              <w:pStyle w:val="Tabletext"/>
            </w:pPr>
            <w:r w:rsidRPr="00D74AAB">
              <w:rPr>
                <w:color w:val="000000"/>
              </w:rPr>
              <w:t>Oral</w:t>
            </w:r>
          </w:p>
        </w:tc>
        <w:tc>
          <w:tcPr>
            <w:tcW w:w="2160" w:type="dxa"/>
            <w:tcBorders>
              <w:bottom w:val="single" w:sz="4" w:space="0" w:color="auto"/>
            </w:tcBorders>
            <w:shd w:val="clear" w:color="auto" w:fill="auto"/>
          </w:tcPr>
          <w:p w14:paraId="4E65F586" w14:textId="119A9887" w:rsidR="00461E80" w:rsidRPr="00D74AAB" w:rsidRDefault="00461E80" w:rsidP="00461E80">
            <w:pPr>
              <w:pStyle w:val="Tabletext"/>
            </w:pPr>
            <w:r w:rsidRPr="00D74AAB">
              <w:rPr>
                <w:color w:val="000000"/>
              </w:rPr>
              <w:t>Amaryl</w:t>
            </w:r>
          </w:p>
        </w:tc>
        <w:tc>
          <w:tcPr>
            <w:tcW w:w="2126" w:type="dxa"/>
            <w:tcBorders>
              <w:bottom w:val="single" w:sz="4" w:space="0" w:color="auto"/>
            </w:tcBorders>
            <w:shd w:val="clear" w:color="auto" w:fill="auto"/>
          </w:tcPr>
          <w:p w14:paraId="3888F836" w14:textId="6CD13805" w:rsidR="00461E80" w:rsidRPr="00D74AAB" w:rsidRDefault="00461E80" w:rsidP="00137277">
            <w:pPr>
              <w:spacing w:line="240" w:lineRule="auto"/>
              <w:rPr>
                <w:color w:val="000000"/>
              </w:rPr>
            </w:pPr>
            <w:r w:rsidRPr="00D74AAB">
              <w:rPr>
                <w:color w:val="000000"/>
                <w:sz w:val="20"/>
              </w:rPr>
              <w:t>Between 1 October 2023 and 31 December 2023—0 months stock by reference to usual demand</w:t>
            </w:r>
          </w:p>
        </w:tc>
      </w:tr>
      <w:tr w:rsidR="00960C90" w:rsidRPr="00D74AAB" w14:paraId="25B5FD9F" w14:textId="77777777" w:rsidTr="00137277">
        <w:tc>
          <w:tcPr>
            <w:tcW w:w="1832" w:type="dxa"/>
            <w:tcBorders>
              <w:top w:val="single" w:sz="4" w:space="0" w:color="auto"/>
            </w:tcBorders>
            <w:shd w:val="clear" w:color="auto" w:fill="auto"/>
          </w:tcPr>
          <w:p w14:paraId="58FECA1D" w14:textId="304BC421" w:rsidR="00960C90" w:rsidRPr="00D74AAB" w:rsidRDefault="00960C90" w:rsidP="00960C90">
            <w:pPr>
              <w:pStyle w:val="Tabletext"/>
              <w:rPr>
                <w:color w:val="000000"/>
              </w:rPr>
            </w:pPr>
            <w:r w:rsidRPr="00D74AAB">
              <w:rPr>
                <w:color w:val="000000"/>
              </w:rPr>
              <w:t>Glimepiride</w:t>
            </w:r>
          </w:p>
        </w:tc>
        <w:tc>
          <w:tcPr>
            <w:tcW w:w="2268" w:type="dxa"/>
            <w:tcBorders>
              <w:top w:val="single" w:sz="4" w:space="0" w:color="auto"/>
            </w:tcBorders>
            <w:shd w:val="clear" w:color="auto" w:fill="auto"/>
          </w:tcPr>
          <w:p w14:paraId="419CA4EF" w14:textId="65AFE347" w:rsidR="00960C90" w:rsidRPr="00D74AAB" w:rsidRDefault="00960C90" w:rsidP="00960C90">
            <w:pPr>
              <w:pStyle w:val="Tabletext"/>
              <w:rPr>
                <w:color w:val="000000"/>
              </w:rPr>
            </w:pPr>
            <w:r w:rsidRPr="00D74AAB">
              <w:rPr>
                <w:color w:val="000000"/>
              </w:rPr>
              <w:t>Tablet 4 mg</w:t>
            </w:r>
          </w:p>
        </w:tc>
        <w:tc>
          <w:tcPr>
            <w:tcW w:w="1383" w:type="dxa"/>
            <w:tcBorders>
              <w:top w:val="single" w:sz="4" w:space="0" w:color="auto"/>
            </w:tcBorders>
            <w:shd w:val="clear" w:color="auto" w:fill="auto"/>
          </w:tcPr>
          <w:p w14:paraId="31703BF8" w14:textId="27AF0AF6" w:rsidR="00960C90" w:rsidRPr="00D74AAB" w:rsidRDefault="00960C90" w:rsidP="00960C90">
            <w:pPr>
              <w:pStyle w:val="Tabletext"/>
              <w:rPr>
                <w:color w:val="000000"/>
              </w:rPr>
            </w:pPr>
            <w:r w:rsidRPr="00D74AAB">
              <w:rPr>
                <w:color w:val="000000"/>
              </w:rPr>
              <w:t>Oral</w:t>
            </w:r>
          </w:p>
        </w:tc>
        <w:tc>
          <w:tcPr>
            <w:tcW w:w="2160" w:type="dxa"/>
            <w:tcBorders>
              <w:top w:val="single" w:sz="4" w:space="0" w:color="auto"/>
            </w:tcBorders>
            <w:shd w:val="clear" w:color="auto" w:fill="auto"/>
          </w:tcPr>
          <w:p w14:paraId="39B95616" w14:textId="014455FD" w:rsidR="00960C90" w:rsidRPr="00D74AAB" w:rsidRDefault="00960C90" w:rsidP="00960C90">
            <w:pPr>
              <w:pStyle w:val="Tabletext"/>
              <w:rPr>
                <w:color w:val="000000"/>
              </w:rPr>
            </w:pPr>
            <w:r w:rsidRPr="00D74AAB">
              <w:rPr>
                <w:color w:val="000000"/>
              </w:rPr>
              <w:t>Amaryl</w:t>
            </w:r>
          </w:p>
        </w:tc>
        <w:tc>
          <w:tcPr>
            <w:tcW w:w="2126" w:type="dxa"/>
            <w:tcBorders>
              <w:top w:val="single" w:sz="4" w:space="0" w:color="auto"/>
            </w:tcBorders>
            <w:shd w:val="clear" w:color="auto" w:fill="auto"/>
          </w:tcPr>
          <w:p w14:paraId="16285E4A" w14:textId="6103B968" w:rsidR="00960C90" w:rsidRPr="00D74AAB" w:rsidRDefault="00960C90" w:rsidP="00960C90">
            <w:pPr>
              <w:spacing w:line="240" w:lineRule="auto"/>
              <w:rPr>
                <w:color w:val="000000"/>
                <w:sz w:val="20"/>
              </w:rPr>
            </w:pPr>
            <w:r w:rsidRPr="00D74AAB">
              <w:rPr>
                <w:color w:val="000000"/>
                <w:sz w:val="20"/>
              </w:rPr>
              <w:t>Between 1 October 2023 and 31 October 2023—0 months stock by reference to usual demand</w:t>
            </w:r>
          </w:p>
        </w:tc>
      </w:tr>
    </w:tbl>
    <w:p w14:paraId="3416424B" w14:textId="77777777" w:rsidR="00917F99" w:rsidRPr="00D74AAB" w:rsidRDefault="00917F99">
      <w:pPr>
        <w:spacing w:line="240" w:lineRule="auto"/>
        <w:rPr>
          <w:rFonts w:ascii="Arial" w:eastAsia="Times New Roman" w:hAnsi="Arial" w:cs="Times New Roman"/>
          <w:b/>
          <w:kern w:val="28"/>
          <w:sz w:val="24"/>
          <w:lang w:eastAsia="en-AU"/>
        </w:rPr>
      </w:pPr>
      <w:r w:rsidRPr="00D74AAB">
        <w:br w:type="page"/>
      </w:r>
    </w:p>
    <w:p w14:paraId="0CE33965" w14:textId="078929D3" w:rsidR="00461E80" w:rsidRPr="00D74AAB" w:rsidRDefault="00917F99" w:rsidP="00461E80">
      <w:pPr>
        <w:pStyle w:val="ItemHead"/>
      </w:pPr>
      <w:r w:rsidRPr="00D74AAB">
        <w:lastRenderedPageBreak/>
        <w:t>13</w:t>
      </w:r>
      <w:r w:rsidR="00461E80" w:rsidRPr="00D74AAB">
        <w:t xml:space="preserve">  Schedule 1</w:t>
      </w:r>
    </w:p>
    <w:p w14:paraId="041D8FBE"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7FAA04E2" w14:textId="77777777" w:rsidTr="00137277">
        <w:tc>
          <w:tcPr>
            <w:tcW w:w="1832" w:type="dxa"/>
            <w:shd w:val="clear" w:color="auto" w:fill="auto"/>
          </w:tcPr>
          <w:p w14:paraId="7D201A67" w14:textId="350B0D39" w:rsidR="00461E80" w:rsidRPr="00D74AAB" w:rsidRDefault="00461E80" w:rsidP="00461E80">
            <w:pPr>
              <w:pStyle w:val="Tabletext"/>
            </w:pPr>
            <w:r w:rsidRPr="00D74AAB">
              <w:rPr>
                <w:color w:val="000000"/>
              </w:rPr>
              <w:t>Ibuprofen</w:t>
            </w:r>
          </w:p>
        </w:tc>
        <w:tc>
          <w:tcPr>
            <w:tcW w:w="2268" w:type="dxa"/>
            <w:shd w:val="clear" w:color="auto" w:fill="auto"/>
          </w:tcPr>
          <w:p w14:paraId="53A1CBF7" w14:textId="1E02CCAF" w:rsidR="00461E80" w:rsidRPr="00D74AAB" w:rsidRDefault="00461E80" w:rsidP="00461E80">
            <w:pPr>
              <w:pStyle w:val="Tabletext"/>
            </w:pPr>
            <w:r w:rsidRPr="00D74AAB">
              <w:rPr>
                <w:color w:val="000000"/>
              </w:rPr>
              <w:t>Tablet 400 mg</w:t>
            </w:r>
          </w:p>
        </w:tc>
        <w:tc>
          <w:tcPr>
            <w:tcW w:w="1383" w:type="dxa"/>
            <w:shd w:val="clear" w:color="auto" w:fill="auto"/>
          </w:tcPr>
          <w:p w14:paraId="011AA7F6" w14:textId="156E1B0B" w:rsidR="00461E80" w:rsidRPr="00D74AAB" w:rsidRDefault="00461E80" w:rsidP="00461E80">
            <w:pPr>
              <w:pStyle w:val="Tabletext"/>
            </w:pPr>
            <w:r w:rsidRPr="00D74AAB">
              <w:rPr>
                <w:color w:val="000000"/>
              </w:rPr>
              <w:t>Oral</w:t>
            </w:r>
          </w:p>
        </w:tc>
        <w:tc>
          <w:tcPr>
            <w:tcW w:w="2160" w:type="dxa"/>
            <w:shd w:val="clear" w:color="auto" w:fill="auto"/>
          </w:tcPr>
          <w:p w14:paraId="76AA4B0D" w14:textId="534F373B" w:rsidR="00461E80" w:rsidRPr="00D74AAB" w:rsidRDefault="00461E80" w:rsidP="00461E80">
            <w:pPr>
              <w:pStyle w:val="Tabletext"/>
            </w:pPr>
            <w:r w:rsidRPr="00D74AAB">
              <w:rPr>
                <w:color w:val="000000"/>
              </w:rPr>
              <w:t>APO-Ibuprofen 400</w:t>
            </w:r>
          </w:p>
        </w:tc>
        <w:tc>
          <w:tcPr>
            <w:tcW w:w="2126" w:type="dxa"/>
            <w:shd w:val="clear" w:color="auto" w:fill="auto"/>
          </w:tcPr>
          <w:p w14:paraId="7E0E24E3" w14:textId="2DD4B56A" w:rsidR="00461E80" w:rsidRPr="00D74AAB" w:rsidRDefault="00461E80" w:rsidP="00137277">
            <w:pPr>
              <w:spacing w:line="240" w:lineRule="auto"/>
            </w:pPr>
            <w:r w:rsidRPr="00D74AAB">
              <w:rPr>
                <w:color w:val="000000"/>
                <w:sz w:val="20"/>
              </w:rPr>
              <w:t>between 1 July 2023 and 31 December 2023—5 months stock by reference to usual demand</w:t>
            </w:r>
          </w:p>
        </w:tc>
      </w:tr>
    </w:tbl>
    <w:p w14:paraId="388A4C03"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6451A7CB" w14:textId="77777777" w:rsidTr="00137277">
        <w:tc>
          <w:tcPr>
            <w:tcW w:w="1832" w:type="dxa"/>
            <w:shd w:val="clear" w:color="auto" w:fill="auto"/>
          </w:tcPr>
          <w:p w14:paraId="2C92D6F3" w14:textId="38034BA4" w:rsidR="00461E80" w:rsidRPr="00D74AAB" w:rsidRDefault="00461E80" w:rsidP="00461E80">
            <w:pPr>
              <w:pStyle w:val="Tabletext"/>
            </w:pPr>
            <w:r w:rsidRPr="00D74AAB">
              <w:rPr>
                <w:color w:val="000000"/>
              </w:rPr>
              <w:t>Imatinib</w:t>
            </w:r>
          </w:p>
        </w:tc>
        <w:tc>
          <w:tcPr>
            <w:tcW w:w="2268" w:type="dxa"/>
            <w:shd w:val="clear" w:color="auto" w:fill="auto"/>
          </w:tcPr>
          <w:p w14:paraId="184CE32C" w14:textId="61FE0BE1" w:rsidR="00461E80" w:rsidRPr="00D74AAB" w:rsidRDefault="00461E80" w:rsidP="00461E80">
            <w:pPr>
              <w:pStyle w:val="Tabletext"/>
            </w:pPr>
            <w:r w:rsidRPr="00D74AAB">
              <w:rPr>
                <w:color w:val="000000"/>
              </w:rPr>
              <w:t xml:space="preserve">Capsule 100 mg (as </w:t>
            </w:r>
            <w:proofErr w:type="spellStart"/>
            <w:r w:rsidRPr="00D74AAB">
              <w:rPr>
                <w:color w:val="000000"/>
              </w:rPr>
              <w:t>mesilate</w:t>
            </w:r>
            <w:proofErr w:type="spellEnd"/>
            <w:r w:rsidRPr="00D74AAB">
              <w:rPr>
                <w:color w:val="000000"/>
              </w:rPr>
              <w:t>)</w:t>
            </w:r>
          </w:p>
        </w:tc>
        <w:tc>
          <w:tcPr>
            <w:tcW w:w="1383" w:type="dxa"/>
            <w:shd w:val="clear" w:color="auto" w:fill="auto"/>
          </w:tcPr>
          <w:p w14:paraId="58B3DFFB" w14:textId="2C84B910" w:rsidR="00461E80" w:rsidRPr="00D74AAB" w:rsidRDefault="00461E80" w:rsidP="00461E80">
            <w:pPr>
              <w:pStyle w:val="Tabletext"/>
            </w:pPr>
            <w:r w:rsidRPr="00D74AAB">
              <w:rPr>
                <w:color w:val="000000"/>
              </w:rPr>
              <w:t>Oral</w:t>
            </w:r>
          </w:p>
        </w:tc>
        <w:tc>
          <w:tcPr>
            <w:tcW w:w="2160" w:type="dxa"/>
            <w:shd w:val="clear" w:color="auto" w:fill="auto"/>
          </w:tcPr>
          <w:p w14:paraId="07A48797" w14:textId="26A3CC95" w:rsidR="00461E80" w:rsidRPr="00D74AAB" w:rsidRDefault="00461E80" w:rsidP="00461E80">
            <w:pPr>
              <w:pStyle w:val="Tabletext"/>
            </w:pPr>
            <w:r w:rsidRPr="00D74AAB">
              <w:rPr>
                <w:color w:val="000000"/>
              </w:rPr>
              <w:t>CIPLA IMATINIB ADULT</w:t>
            </w:r>
          </w:p>
        </w:tc>
        <w:tc>
          <w:tcPr>
            <w:tcW w:w="2126" w:type="dxa"/>
            <w:shd w:val="clear" w:color="auto" w:fill="auto"/>
          </w:tcPr>
          <w:p w14:paraId="4DF25271" w14:textId="3A05D8DF" w:rsidR="00461E80" w:rsidRPr="00D74AAB" w:rsidRDefault="00461E80" w:rsidP="00137277">
            <w:pPr>
              <w:spacing w:line="240" w:lineRule="auto"/>
              <w:rPr>
                <w:color w:val="000000"/>
              </w:rPr>
            </w:pPr>
            <w:r w:rsidRPr="00D74AAB">
              <w:rPr>
                <w:color w:val="000000"/>
                <w:sz w:val="20"/>
              </w:rPr>
              <w:t>Between 1 October 2023 and 30 November 2023—0 months stock by reference to usual demand</w:t>
            </w:r>
          </w:p>
        </w:tc>
      </w:tr>
    </w:tbl>
    <w:p w14:paraId="49314E0D" w14:textId="4F78B2AC" w:rsidR="00461E80" w:rsidRPr="00D74AAB" w:rsidRDefault="00917F99" w:rsidP="00461E80">
      <w:pPr>
        <w:pStyle w:val="ItemHead"/>
      </w:pPr>
      <w:r w:rsidRPr="00D74AAB">
        <w:t>14</w:t>
      </w:r>
      <w:r w:rsidR="00461E80" w:rsidRPr="00D74AAB">
        <w:t xml:space="preserve">  Schedule 1</w:t>
      </w:r>
    </w:p>
    <w:p w14:paraId="038C19E0"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50005664" w14:textId="77777777" w:rsidTr="00137277">
        <w:tc>
          <w:tcPr>
            <w:tcW w:w="1832" w:type="dxa"/>
            <w:shd w:val="clear" w:color="auto" w:fill="auto"/>
          </w:tcPr>
          <w:p w14:paraId="30C94EFD" w14:textId="656C1FAF" w:rsidR="00461E80" w:rsidRPr="00D74AAB" w:rsidRDefault="00461E80" w:rsidP="00461E80">
            <w:pPr>
              <w:pStyle w:val="Tabletext"/>
            </w:pPr>
            <w:r w:rsidRPr="00D74AAB">
              <w:rPr>
                <w:color w:val="000000"/>
              </w:rPr>
              <w:t>Imatinib</w:t>
            </w:r>
          </w:p>
        </w:tc>
        <w:tc>
          <w:tcPr>
            <w:tcW w:w="2268" w:type="dxa"/>
            <w:shd w:val="clear" w:color="auto" w:fill="auto"/>
          </w:tcPr>
          <w:p w14:paraId="35E8049F" w14:textId="5CD09C31" w:rsidR="00461E80" w:rsidRPr="00D74AAB" w:rsidRDefault="00461E80" w:rsidP="00461E80">
            <w:pPr>
              <w:pStyle w:val="Tabletext"/>
            </w:pPr>
            <w:r w:rsidRPr="00D74AAB">
              <w:rPr>
                <w:color w:val="000000"/>
              </w:rPr>
              <w:t xml:space="preserve">Capsule 100 mg (as </w:t>
            </w:r>
            <w:proofErr w:type="spellStart"/>
            <w:r w:rsidRPr="00D74AAB">
              <w:rPr>
                <w:color w:val="000000"/>
              </w:rPr>
              <w:t>mesilate</w:t>
            </w:r>
            <w:proofErr w:type="spellEnd"/>
            <w:r w:rsidRPr="00D74AAB">
              <w:rPr>
                <w:color w:val="000000"/>
              </w:rPr>
              <w:t>)</w:t>
            </w:r>
          </w:p>
        </w:tc>
        <w:tc>
          <w:tcPr>
            <w:tcW w:w="1383" w:type="dxa"/>
            <w:shd w:val="clear" w:color="auto" w:fill="auto"/>
          </w:tcPr>
          <w:p w14:paraId="210610E5" w14:textId="3BE50BC7" w:rsidR="00461E80" w:rsidRPr="00D74AAB" w:rsidRDefault="00461E80" w:rsidP="00461E80">
            <w:pPr>
              <w:pStyle w:val="Tabletext"/>
            </w:pPr>
            <w:r w:rsidRPr="00D74AAB">
              <w:rPr>
                <w:color w:val="000000"/>
              </w:rPr>
              <w:t>Oral</w:t>
            </w:r>
          </w:p>
        </w:tc>
        <w:tc>
          <w:tcPr>
            <w:tcW w:w="2160" w:type="dxa"/>
            <w:shd w:val="clear" w:color="auto" w:fill="auto"/>
          </w:tcPr>
          <w:p w14:paraId="00C2DF76" w14:textId="248D8356" w:rsidR="00461E80" w:rsidRPr="00D74AAB" w:rsidRDefault="00461E80" w:rsidP="00461E80">
            <w:pPr>
              <w:pStyle w:val="Tabletext"/>
            </w:pPr>
            <w:r w:rsidRPr="00D74AAB">
              <w:rPr>
                <w:color w:val="000000"/>
              </w:rPr>
              <w:t>Imatinib GH</w:t>
            </w:r>
          </w:p>
        </w:tc>
        <w:tc>
          <w:tcPr>
            <w:tcW w:w="2126" w:type="dxa"/>
            <w:shd w:val="clear" w:color="auto" w:fill="auto"/>
          </w:tcPr>
          <w:p w14:paraId="4F03632B" w14:textId="0BAE162E" w:rsidR="00461E80" w:rsidRPr="00D74AAB" w:rsidRDefault="00461E80" w:rsidP="00137277">
            <w:pPr>
              <w:spacing w:line="240" w:lineRule="auto"/>
            </w:pPr>
            <w:r w:rsidRPr="00D74AAB">
              <w:rPr>
                <w:color w:val="000000"/>
                <w:sz w:val="20"/>
              </w:rPr>
              <w:t>between 1 July 2023 and 31 August 2023—0 months stock by reference to usual demand</w:t>
            </w:r>
          </w:p>
        </w:tc>
      </w:tr>
    </w:tbl>
    <w:p w14:paraId="37FF239A"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2D289BCE" w14:textId="77777777" w:rsidTr="00137277">
        <w:tc>
          <w:tcPr>
            <w:tcW w:w="1832" w:type="dxa"/>
            <w:shd w:val="clear" w:color="auto" w:fill="auto"/>
          </w:tcPr>
          <w:p w14:paraId="5205ACA7" w14:textId="32E84AE7" w:rsidR="00461E80" w:rsidRPr="00D74AAB" w:rsidRDefault="00461E80" w:rsidP="00461E80">
            <w:pPr>
              <w:pStyle w:val="Tabletext"/>
            </w:pPr>
            <w:r w:rsidRPr="00D74AAB">
              <w:rPr>
                <w:color w:val="000000"/>
              </w:rPr>
              <w:t>Imatinib</w:t>
            </w:r>
          </w:p>
        </w:tc>
        <w:tc>
          <w:tcPr>
            <w:tcW w:w="2268" w:type="dxa"/>
            <w:shd w:val="clear" w:color="auto" w:fill="auto"/>
          </w:tcPr>
          <w:p w14:paraId="3EBD571D" w14:textId="310B3C32" w:rsidR="00461E80" w:rsidRPr="00D74AAB" w:rsidRDefault="00461E80" w:rsidP="00461E80">
            <w:pPr>
              <w:pStyle w:val="Tabletext"/>
            </w:pPr>
            <w:r w:rsidRPr="00D74AAB">
              <w:rPr>
                <w:color w:val="000000"/>
              </w:rPr>
              <w:t xml:space="preserve">Capsule 400 mg (as </w:t>
            </w:r>
            <w:proofErr w:type="spellStart"/>
            <w:r w:rsidRPr="00D74AAB">
              <w:rPr>
                <w:color w:val="000000"/>
              </w:rPr>
              <w:t>mesilate</w:t>
            </w:r>
            <w:proofErr w:type="spellEnd"/>
            <w:r w:rsidRPr="00D74AAB">
              <w:rPr>
                <w:color w:val="000000"/>
              </w:rPr>
              <w:t>)</w:t>
            </w:r>
          </w:p>
        </w:tc>
        <w:tc>
          <w:tcPr>
            <w:tcW w:w="1383" w:type="dxa"/>
            <w:shd w:val="clear" w:color="auto" w:fill="auto"/>
          </w:tcPr>
          <w:p w14:paraId="00C3C237" w14:textId="73A4A714" w:rsidR="00461E80" w:rsidRPr="00D74AAB" w:rsidRDefault="00461E80" w:rsidP="00461E80">
            <w:pPr>
              <w:pStyle w:val="Tabletext"/>
            </w:pPr>
            <w:r w:rsidRPr="00D74AAB">
              <w:rPr>
                <w:color w:val="000000"/>
              </w:rPr>
              <w:t>Oral</w:t>
            </w:r>
          </w:p>
        </w:tc>
        <w:tc>
          <w:tcPr>
            <w:tcW w:w="2160" w:type="dxa"/>
            <w:shd w:val="clear" w:color="auto" w:fill="auto"/>
          </w:tcPr>
          <w:p w14:paraId="70FE60D0" w14:textId="457A0268" w:rsidR="00461E80" w:rsidRPr="00D74AAB" w:rsidRDefault="00461E80" w:rsidP="00461E80">
            <w:pPr>
              <w:pStyle w:val="Tabletext"/>
            </w:pPr>
            <w:r w:rsidRPr="00D74AAB">
              <w:rPr>
                <w:color w:val="000000"/>
              </w:rPr>
              <w:t>CIPLA IMATINIB ADULT</w:t>
            </w:r>
          </w:p>
        </w:tc>
        <w:tc>
          <w:tcPr>
            <w:tcW w:w="2126" w:type="dxa"/>
            <w:shd w:val="clear" w:color="auto" w:fill="auto"/>
          </w:tcPr>
          <w:p w14:paraId="69D50B8A" w14:textId="1474EAAB" w:rsidR="00461E80" w:rsidRPr="00D74AAB" w:rsidRDefault="00461E80" w:rsidP="00137277">
            <w:pPr>
              <w:spacing w:line="240" w:lineRule="auto"/>
              <w:rPr>
                <w:color w:val="000000"/>
              </w:rPr>
            </w:pPr>
            <w:r w:rsidRPr="00D74AAB">
              <w:rPr>
                <w:color w:val="000000"/>
                <w:sz w:val="20"/>
              </w:rPr>
              <w:t>Between 1 October 2023 and 30 November 2023—0 months stock by reference to usual demand</w:t>
            </w:r>
          </w:p>
        </w:tc>
      </w:tr>
    </w:tbl>
    <w:p w14:paraId="7EB25120" w14:textId="722737E9" w:rsidR="00461E80" w:rsidRPr="00D74AAB" w:rsidRDefault="00917F99" w:rsidP="00461E80">
      <w:pPr>
        <w:pStyle w:val="ItemHead"/>
      </w:pPr>
      <w:r w:rsidRPr="00D74AAB">
        <w:t>15</w:t>
      </w:r>
      <w:r w:rsidR="00461E80" w:rsidRPr="00D74AAB">
        <w:t xml:space="preserve">  Schedule 1</w:t>
      </w:r>
    </w:p>
    <w:p w14:paraId="19DF2D37"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015F7D16" w14:textId="77777777" w:rsidTr="00137277">
        <w:tc>
          <w:tcPr>
            <w:tcW w:w="1832" w:type="dxa"/>
            <w:shd w:val="clear" w:color="auto" w:fill="auto"/>
          </w:tcPr>
          <w:p w14:paraId="21D662BC" w14:textId="7C50472E" w:rsidR="00461E80" w:rsidRPr="00D74AAB" w:rsidRDefault="00461E80" w:rsidP="00461E80">
            <w:pPr>
              <w:pStyle w:val="Tabletext"/>
            </w:pPr>
            <w:r w:rsidRPr="00D74AAB">
              <w:rPr>
                <w:color w:val="000000"/>
              </w:rPr>
              <w:t>Letrozole</w:t>
            </w:r>
          </w:p>
        </w:tc>
        <w:tc>
          <w:tcPr>
            <w:tcW w:w="2268" w:type="dxa"/>
            <w:shd w:val="clear" w:color="auto" w:fill="auto"/>
          </w:tcPr>
          <w:p w14:paraId="38969246" w14:textId="3D417AEE" w:rsidR="00461E80" w:rsidRPr="00D74AAB" w:rsidRDefault="00461E80" w:rsidP="00461E80">
            <w:pPr>
              <w:pStyle w:val="Tabletext"/>
            </w:pPr>
            <w:r w:rsidRPr="00D74AAB">
              <w:rPr>
                <w:color w:val="000000"/>
              </w:rPr>
              <w:t>Tablet 2.5 mg</w:t>
            </w:r>
          </w:p>
        </w:tc>
        <w:tc>
          <w:tcPr>
            <w:tcW w:w="1383" w:type="dxa"/>
            <w:shd w:val="clear" w:color="auto" w:fill="auto"/>
          </w:tcPr>
          <w:p w14:paraId="03766851" w14:textId="21BA5CF4" w:rsidR="00461E80" w:rsidRPr="00D74AAB" w:rsidRDefault="00461E80" w:rsidP="00461E80">
            <w:pPr>
              <w:pStyle w:val="Tabletext"/>
            </w:pPr>
            <w:r w:rsidRPr="00D74AAB">
              <w:rPr>
                <w:color w:val="000000"/>
              </w:rPr>
              <w:t>Oral</w:t>
            </w:r>
          </w:p>
        </w:tc>
        <w:tc>
          <w:tcPr>
            <w:tcW w:w="2160" w:type="dxa"/>
            <w:shd w:val="clear" w:color="auto" w:fill="auto"/>
          </w:tcPr>
          <w:p w14:paraId="708C9994" w14:textId="031C0BC1" w:rsidR="00461E80" w:rsidRPr="00D74AAB" w:rsidRDefault="00461E80" w:rsidP="00461E80">
            <w:pPr>
              <w:pStyle w:val="Tabletext"/>
            </w:pPr>
            <w:r w:rsidRPr="00D74AAB">
              <w:rPr>
                <w:color w:val="000000"/>
              </w:rPr>
              <w:t>Letrozole FBM</w:t>
            </w:r>
          </w:p>
        </w:tc>
        <w:tc>
          <w:tcPr>
            <w:tcW w:w="2126" w:type="dxa"/>
            <w:shd w:val="clear" w:color="auto" w:fill="auto"/>
          </w:tcPr>
          <w:p w14:paraId="5CECBEC5" w14:textId="330C301D" w:rsidR="00461E80" w:rsidRPr="00D74AAB" w:rsidRDefault="00461E80" w:rsidP="00137277">
            <w:pPr>
              <w:spacing w:line="240" w:lineRule="auto"/>
              <w:rPr>
                <w:color w:val="000000"/>
              </w:rPr>
            </w:pPr>
            <w:r w:rsidRPr="00D74AAB">
              <w:rPr>
                <w:color w:val="000000"/>
                <w:sz w:val="20"/>
              </w:rPr>
              <w:t>between 1 July 2023 and 31 August 2023—0 months stock by reference to usual demand</w:t>
            </w:r>
          </w:p>
        </w:tc>
      </w:tr>
    </w:tbl>
    <w:p w14:paraId="474E6F96"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608BA1F7" w14:textId="77777777" w:rsidTr="00137277">
        <w:tc>
          <w:tcPr>
            <w:tcW w:w="1832" w:type="dxa"/>
            <w:shd w:val="clear" w:color="auto" w:fill="auto"/>
          </w:tcPr>
          <w:p w14:paraId="271BA8FC" w14:textId="0E2F6FFC" w:rsidR="00461E80" w:rsidRPr="00D74AAB" w:rsidRDefault="00461E80" w:rsidP="00461E80">
            <w:pPr>
              <w:pStyle w:val="Tabletext"/>
            </w:pPr>
            <w:r w:rsidRPr="00D74AAB">
              <w:rPr>
                <w:color w:val="000000"/>
              </w:rPr>
              <w:t xml:space="preserve">Levonorgestrel with </w:t>
            </w:r>
            <w:proofErr w:type="spellStart"/>
            <w:r w:rsidRPr="00D74AAB">
              <w:rPr>
                <w:color w:val="000000"/>
              </w:rPr>
              <w:t>ethinylestradiol</w:t>
            </w:r>
            <w:proofErr w:type="spellEnd"/>
          </w:p>
        </w:tc>
        <w:tc>
          <w:tcPr>
            <w:tcW w:w="2268" w:type="dxa"/>
            <w:shd w:val="clear" w:color="auto" w:fill="auto"/>
          </w:tcPr>
          <w:p w14:paraId="6B2E822B" w14:textId="73D952DD" w:rsidR="00461E80" w:rsidRPr="00D74AAB" w:rsidRDefault="00461E80" w:rsidP="00461E80">
            <w:pPr>
              <w:pStyle w:val="Tabletext"/>
            </w:pPr>
            <w:r w:rsidRPr="00D74AAB">
              <w:rPr>
                <w:color w:val="000000"/>
              </w:rPr>
              <w:t>Pack containing 21 tablets 150 micrograms-30 micrograms and 7 inert tablets</w:t>
            </w:r>
          </w:p>
        </w:tc>
        <w:tc>
          <w:tcPr>
            <w:tcW w:w="1383" w:type="dxa"/>
            <w:shd w:val="clear" w:color="auto" w:fill="auto"/>
          </w:tcPr>
          <w:p w14:paraId="7244956B" w14:textId="6588F577" w:rsidR="00461E80" w:rsidRPr="00D74AAB" w:rsidRDefault="00461E80" w:rsidP="00461E80">
            <w:pPr>
              <w:pStyle w:val="Tabletext"/>
            </w:pPr>
            <w:r w:rsidRPr="00D74AAB">
              <w:rPr>
                <w:color w:val="000000"/>
              </w:rPr>
              <w:t>Oral</w:t>
            </w:r>
          </w:p>
        </w:tc>
        <w:tc>
          <w:tcPr>
            <w:tcW w:w="2160" w:type="dxa"/>
            <w:shd w:val="clear" w:color="auto" w:fill="auto"/>
          </w:tcPr>
          <w:p w14:paraId="4C2515FE" w14:textId="27ABE544" w:rsidR="00461E80" w:rsidRPr="00D74AAB" w:rsidRDefault="00461E80" w:rsidP="00461E80">
            <w:pPr>
              <w:pStyle w:val="Tabletext"/>
            </w:pPr>
            <w:proofErr w:type="spellStart"/>
            <w:r w:rsidRPr="00D74AAB">
              <w:rPr>
                <w:color w:val="000000"/>
              </w:rPr>
              <w:t>Monofeme</w:t>
            </w:r>
            <w:proofErr w:type="spellEnd"/>
            <w:r w:rsidRPr="00D74AAB">
              <w:rPr>
                <w:color w:val="000000"/>
              </w:rPr>
              <w:t xml:space="preserve"> 28</w:t>
            </w:r>
          </w:p>
        </w:tc>
        <w:tc>
          <w:tcPr>
            <w:tcW w:w="2126" w:type="dxa"/>
            <w:shd w:val="clear" w:color="auto" w:fill="auto"/>
          </w:tcPr>
          <w:p w14:paraId="45C98F4F" w14:textId="0E98EABF" w:rsidR="00461E80" w:rsidRPr="00D74AAB" w:rsidRDefault="00461E80" w:rsidP="00137277">
            <w:pPr>
              <w:spacing w:line="240" w:lineRule="auto"/>
              <w:rPr>
                <w:color w:val="000000"/>
              </w:rPr>
            </w:pPr>
            <w:r w:rsidRPr="00D74AAB">
              <w:rPr>
                <w:color w:val="000000"/>
                <w:sz w:val="20"/>
              </w:rPr>
              <w:t>Between 1 October 2023 and 31 December 2023—0 months stock by reference to usual demand</w:t>
            </w:r>
          </w:p>
        </w:tc>
      </w:tr>
    </w:tbl>
    <w:p w14:paraId="00BAB979" w14:textId="3BF62DC1" w:rsidR="00960C90" w:rsidRPr="00D74AAB" w:rsidRDefault="00917F99" w:rsidP="00960C90">
      <w:pPr>
        <w:pStyle w:val="ItemHead"/>
      </w:pPr>
      <w:r w:rsidRPr="00D74AAB">
        <w:t>16</w:t>
      </w:r>
      <w:r w:rsidR="00960C90" w:rsidRPr="00D74AAB">
        <w:t xml:space="preserve">  Schedule 1</w:t>
      </w:r>
    </w:p>
    <w:p w14:paraId="1669FE68" w14:textId="77777777" w:rsidR="00960C90" w:rsidRPr="00D74AAB" w:rsidRDefault="00960C90" w:rsidP="00960C9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960C90" w:rsidRPr="00D74AAB" w14:paraId="5AFF6194" w14:textId="77777777" w:rsidTr="00137277">
        <w:tc>
          <w:tcPr>
            <w:tcW w:w="1832" w:type="dxa"/>
            <w:shd w:val="clear" w:color="auto" w:fill="auto"/>
          </w:tcPr>
          <w:p w14:paraId="7B51A6A1" w14:textId="47FAEED3" w:rsidR="00960C90" w:rsidRPr="00D74AAB" w:rsidRDefault="00960C90" w:rsidP="00960C90">
            <w:pPr>
              <w:pStyle w:val="Tabletext"/>
            </w:pPr>
            <w:r w:rsidRPr="00D74AAB">
              <w:rPr>
                <w:color w:val="000000"/>
              </w:rPr>
              <w:t>Losartan</w:t>
            </w:r>
          </w:p>
        </w:tc>
        <w:tc>
          <w:tcPr>
            <w:tcW w:w="2268" w:type="dxa"/>
            <w:shd w:val="clear" w:color="auto" w:fill="auto"/>
          </w:tcPr>
          <w:p w14:paraId="0672694D" w14:textId="6EA688DA" w:rsidR="00960C90" w:rsidRPr="00D74AAB" w:rsidRDefault="00960C90" w:rsidP="00960C90">
            <w:pPr>
              <w:pStyle w:val="Tabletext"/>
            </w:pPr>
            <w:r w:rsidRPr="00D74AAB">
              <w:rPr>
                <w:color w:val="000000"/>
              </w:rPr>
              <w:t>Tablet containing losartan potassium 25 mg</w:t>
            </w:r>
          </w:p>
        </w:tc>
        <w:tc>
          <w:tcPr>
            <w:tcW w:w="1383" w:type="dxa"/>
            <w:shd w:val="clear" w:color="auto" w:fill="auto"/>
          </w:tcPr>
          <w:p w14:paraId="6E3E575B" w14:textId="0CC552C7" w:rsidR="00960C90" w:rsidRPr="00D74AAB" w:rsidRDefault="00960C90" w:rsidP="00960C90">
            <w:pPr>
              <w:pStyle w:val="Tabletext"/>
            </w:pPr>
            <w:r w:rsidRPr="00D74AAB">
              <w:rPr>
                <w:color w:val="000000"/>
              </w:rPr>
              <w:t>Oral</w:t>
            </w:r>
          </w:p>
        </w:tc>
        <w:tc>
          <w:tcPr>
            <w:tcW w:w="2160" w:type="dxa"/>
            <w:shd w:val="clear" w:color="auto" w:fill="auto"/>
          </w:tcPr>
          <w:p w14:paraId="68AA3A96" w14:textId="29D54121" w:rsidR="00960C90" w:rsidRPr="00D74AAB" w:rsidRDefault="00960C90" w:rsidP="00960C90">
            <w:pPr>
              <w:pStyle w:val="Tabletext"/>
            </w:pPr>
            <w:proofErr w:type="spellStart"/>
            <w:r w:rsidRPr="00D74AAB">
              <w:rPr>
                <w:color w:val="000000"/>
              </w:rPr>
              <w:t>Cozavan</w:t>
            </w:r>
            <w:proofErr w:type="spellEnd"/>
          </w:p>
        </w:tc>
        <w:tc>
          <w:tcPr>
            <w:tcW w:w="2126" w:type="dxa"/>
            <w:shd w:val="clear" w:color="auto" w:fill="auto"/>
          </w:tcPr>
          <w:p w14:paraId="6596887F" w14:textId="1847C73B" w:rsidR="00960C90" w:rsidRPr="00D74AAB" w:rsidRDefault="00960C90" w:rsidP="00137277">
            <w:pPr>
              <w:spacing w:line="240" w:lineRule="auto"/>
            </w:pPr>
            <w:r w:rsidRPr="00D74AAB">
              <w:rPr>
                <w:color w:val="000000"/>
                <w:sz w:val="20"/>
              </w:rPr>
              <w:t>between 1 July 2023 and 31 August 2023—0 months stock by reference to usual demand</w:t>
            </w:r>
          </w:p>
        </w:tc>
      </w:tr>
    </w:tbl>
    <w:p w14:paraId="124F44C2" w14:textId="77777777" w:rsidR="00960C90" w:rsidRPr="00D74AAB" w:rsidRDefault="00960C90" w:rsidP="00960C9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960C90" w:rsidRPr="00D74AAB" w14:paraId="7C020BA2" w14:textId="77777777" w:rsidTr="00137277">
        <w:tc>
          <w:tcPr>
            <w:tcW w:w="1832" w:type="dxa"/>
            <w:shd w:val="clear" w:color="auto" w:fill="auto"/>
          </w:tcPr>
          <w:p w14:paraId="060D7FBA" w14:textId="2E5F0CEE" w:rsidR="00960C90" w:rsidRPr="00D74AAB" w:rsidRDefault="00960C90" w:rsidP="00960C90">
            <w:pPr>
              <w:pStyle w:val="Tabletext"/>
            </w:pPr>
            <w:r w:rsidRPr="00D74AAB">
              <w:rPr>
                <w:color w:val="000000"/>
              </w:rPr>
              <w:t>Macrogol 3350</w:t>
            </w:r>
          </w:p>
        </w:tc>
        <w:tc>
          <w:tcPr>
            <w:tcW w:w="2268" w:type="dxa"/>
            <w:shd w:val="clear" w:color="auto" w:fill="auto"/>
          </w:tcPr>
          <w:p w14:paraId="4EE9AD5B" w14:textId="354318E0" w:rsidR="00960C90" w:rsidRPr="00D74AAB" w:rsidRDefault="00960C90" w:rsidP="00960C90">
            <w:pPr>
              <w:pStyle w:val="Tabletext"/>
            </w:pPr>
            <w:r w:rsidRPr="00D74AAB">
              <w:rPr>
                <w:color w:val="000000"/>
              </w:rPr>
              <w:t>Oral liquid 13.125 g in 25 mL with electrolytes, 500 mL</w:t>
            </w:r>
          </w:p>
        </w:tc>
        <w:tc>
          <w:tcPr>
            <w:tcW w:w="1383" w:type="dxa"/>
            <w:shd w:val="clear" w:color="auto" w:fill="auto"/>
          </w:tcPr>
          <w:p w14:paraId="75AC4B08" w14:textId="491B472B" w:rsidR="00960C90" w:rsidRPr="00D74AAB" w:rsidRDefault="00960C90" w:rsidP="00960C90">
            <w:pPr>
              <w:pStyle w:val="Tabletext"/>
            </w:pPr>
            <w:r w:rsidRPr="00D74AAB">
              <w:rPr>
                <w:color w:val="000000"/>
              </w:rPr>
              <w:t>Oral</w:t>
            </w:r>
          </w:p>
        </w:tc>
        <w:tc>
          <w:tcPr>
            <w:tcW w:w="2160" w:type="dxa"/>
            <w:shd w:val="clear" w:color="auto" w:fill="auto"/>
          </w:tcPr>
          <w:p w14:paraId="6DC75CFA" w14:textId="513DDCDB" w:rsidR="00960C90" w:rsidRPr="00D74AAB" w:rsidRDefault="00960C90" w:rsidP="00960C90">
            <w:pPr>
              <w:pStyle w:val="Tabletext"/>
            </w:pPr>
            <w:r w:rsidRPr="00D74AAB">
              <w:rPr>
                <w:color w:val="000000"/>
              </w:rPr>
              <w:t>Movicol Liquid</w:t>
            </w:r>
          </w:p>
        </w:tc>
        <w:tc>
          <w:tcPr>
            <w:tcW w:w="2126" w:type="dxa"/>
            <w:shd w:val="clear" w:color="auto" w:fill="auto"/>
          </w:tcPr>
          <w:p w14:paraId="1446D264" w14:textId="735859CF" w:rsidR="00960C90" w:rsidRPr="00D74AAB" w:rsidRDefault="00960C90" w:rsidP="00137277">
            <w:pPr>
              <w:spacing w:line="240" w:lineRule="auto"/>
              <w:rPr>
                <w:color w:val="000000"/>
              </w:rPr>
            </w:pPr>
            <w:r w:rsidRPr="00D74AAB">
              <w:rPr>
                <w:color w:val="000000"/>
                <w:sz w:val="20"/>
              </w:rPr>
              <w:t>Between 1 October 2023 and 30 November 2023—0 months stock by reference to usual demand</w:t>
            </w:r>
          </w:p>
        </w:tc>
      </w:tr>
    </w:tbl>
    <w:p w14:paraId="37E30FAC" w14:textId="4F34FEA6" w:rsidR="00461E80" w:rsidRPr="00D74AAB" w:rsidRDefault="00E3445F" w:rsidP="00461E80">
      <w:pPr>
        <w:pStyle w:val="ItemHead"/>
      </w:pPr>
      <w:r w:rsidRPr="00D74AAB">
        <w:lastRenderedPageBreak/>
        <w:t>1</w:t>
      </w:r>
      <w:r w:rsidR="00917F99" w:rsidRPr="00D74AAB">
        <w:t>7</w:t>
      </w:r>
      <w:r w:rsidR="00461E80" w:rsidRPr="00D74AAB">
        <w:t xml:space="preserve">  Schedule 1</w:t>
      </w:r>
    </w:p>
    <w:p w14:paraId="1CDD058A"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54523EEE" w14:textId="77777777" w:rsidTr="00137277">
        <w:tc>
          <w:tcPr>
            <w:tcW w:w="1832" w:type="dxa"/>
            <w:shd w:val="clear" w:color="auto" w:fill="auto"/>
          </w:tcPr>
          <w:p w14:paraId="662A409E" w14:textId="0E1206C4" w:rsidR="00461E80" w:rsidRPr="00D74AAB" w:rsidRDefault="00461E80" w:rsidP="00461E80">
            <w:pPr>
              <w:pStyle w:val="Tabletext"/>
            </w:pPr>
            <w:r w:rsidRPr="00D74AAB">
              <w:rPr>
                <w:color w:val="000000"/>
              </w:rPr>
              <w:t>Olanzapine</w:t>
            </w:r>
          </w:p>
        </w:tc>
        <w:tc>
          <w:tcPr>
            <w:tcW w:w="2268" w:type="dxa"/>
            <w:shd w:val="clear" w:color="auto" w:fill="auto"/>
          </w:tcPr>
          <w:p w14:paraId="7DFDE428" w14:textId="0CA4A567" w:rsidR="00461E80" w:rsidRPr="00D74AAB" w:rsidRDefault="00461E80" w:rsidP="00461E80">
            <w:pPr>
              <w:pStyle w:val="Tabletext"/>
            </w:pPr>
            <w:r w:rsidRPr="00D74AAB">
              <w:rPr>
                <w:color w:val="000000"/>
              </w:rPr>
              <w:t>Tablet 5 mg (orally disintegrating)</w:t>
            </w:r>
          </w:p>
        </w:tc>
        <w:tc>
          <w:tcPr>
            <w:tcW w:w="1383" w:type="dxa"/>
            <w:shd w:val="clear" w:color="auto" w:fill="auto"/>
          </w:tcPr>
          <w:p w14:paraId="1026CEEA" w14:textId="39F12E30" w:rsidR="00461E80" w:rsidRPr="00D74AAB" w:rsidRDefault="00461E80" w:rsidP="00461E80">
            <w:pPr>
              <w:pStyle w:val="Tabletext"/>
            </w:pPr>
            <w:r w:rsidRPr="00D74AAB">
              <w:rPr>
                <w:color w:val="000000"/>
              </w:rPr>
              <w:t>Oral</w:t>
            </w:r>
          </w:p>
        </w:tc>
        <w:tc>
          <w:tcPr>
            <w:tcW w:w="2160" w:type="dxa"/>
            <w:shd w:val="clear" w:color="auto" w:fill="auto"/>
          </w:tcPr>
          <w:p w14:paraId="3BDCAE91" w14:textId="4A549277" w:rsidR="00461E80" w:rsidRPr="00D74AAB" w:rsidRDefault="00461E80" w:rsidP="00461E80">
            <w:pPr>
              <w:pStyle w:val="Tabletext"/>
            </w:pPr>
            <w:r w:rsidRPr="00D74AAB">
              <w:rPr>
                <w:color w:val="000000"/>
              </w:rPr>
              <w:t>APO-Olanzapine ODT</w:t>
            </w:r>
          </w:p>
        </w:tc>
        <w:tc>
          <w:tcPr>
            <w:tcW w:w="2126" w:type="dxa"/>
            <w:shd w:val="clear" w:color="auto" w:fill="auto"/>
          </w:tcPr>
          <w:p w14:paraId="1C21B610" w14:textId="6263BAFE" w:rsidR="00461E80" w:rsidRPr="00D74AAB" w:rsidRDefault="00461E80" w:rsidP="00137277">
            <w:pPr>
              <w:spacing w:line="240" w:lineRule="auto"/>
              <w:rPr>
                <w:color w:val="000000"/>
              </w:rPr>
            </w:pPr>
            <w:r w:rsidRPr="00D74AAB">
              <w:rPr>
                <w:color w:val="000000"/>
                <w:sz w:val="20"/>
              </w:rPr>
              <w:t>3 months stock by reference to usual demand</w:t>
            </w:r>
          </w:p>
        </w:tc>
      </w:tr>
    </w:tbl>
    <w:p w14:paraId="7245165C"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119E4A01" w14:textId="77777777" w:rsidTr="00137277">
        <w:tc>
          <w:tcPr>
            <w:tcW w:w="1832" w:type="dxa"/>
            <w:shd w:val="clear" w:color="auto" w:fill="auto"/>
          </w:tcPr>
          <w:p w14:paraId="5F77C8D2" w14:textId="3D483EAF" w:rsidR="00461E80" w:rsidRPr="00D74AAB" w:rsidRDefault="00461E80" w:rsidP="00461E80">
            <w:pPr>
              <w:pStyle w:val="Tabletext"/>
            </w:pPr>
            <w:r w:rsidRPr="00D74AAB">
              <w:rPr>
                <w:color w:val="000000"/>
              </w:rPr>
              <w:t>Olanzapine</w:t>
            </w:r>
          </w:p>
        </w:tc>
        <w:tc>
          <w:tcPr>
            <w:tcW w:w="2268" w:type="dxa"/>
            <w:shd w:val="clear" w:color="auto" w:fill="auto"/>
          </w:tcPr>
          <w:p w14:paraId="116014CE" w14:textId="7A62EBE4" w:rsidR="00461E80" w:rsidRPr="00D74AAB" w:rsidRDefault="00461E80" w:rsidP="00461E80">
            <w:pPr>
              <w:pStyle w:val="Tabletext"/>
            </w:pPr>
            <w:r w:rsidRPr="00D74AAB">
              <w:rPr>
                <w:color w:val="000000"/>
              </w:rPr>
              <w:t>Tablet 5 mg (orally disintegrating)</w:t>
            </w:r>
          </w:p>
        </w:tc>
        <w:tc>
          <w:tcPr>
            <w:tcW w:w="1383" w:type="dxa"/>
            <w:shd w:val="clear" w:color="auto" w:fill="auto"/>
          </w:tcPr>
          <w:p w14:paraId="2E0AE79F" w14:textId="7882897C" w:rsidR="00461E80" w:rsidRPr="00D74AAB" w:rsidRDefault="00461E80" w:rsidP="00461E80">
            <w:pPr>
              <w:pStyle w:val="Tabletext"/>
            </w:pPr>
            <w:r w:rsidRPr="00D74AAB">
              <w:rPr>
                <w:color w:val="000000"/>
              </w:rPr>
              <w:t>Oral</w:t>
            </w:r>
          </w:p>
        </w:tc>
        <w:tc>
          <w:tcPr>
            <w:tcW w:w="2160" w:type="dxa"/>
            <w:shd w:val="clear" w:color="auto" w:fill="auto"/>
          </w:tcPr>
          <w:p w14:paraId="73648EDB" w14:textId="59DD202B" w:rsidR="00461E80" w:rsidRPr="00D74AAB" w:rsidRDefault="00461E80" w:rsidP="00461E80">
            <w:pPr>
              <w:pStyle w:val="Tabletext"/>
            </w:pPr>
            <w:r w:rsidRPr="00D74AAB">
              <w:rPr>
                <w:color w:val="000000"/>
              </w:rPr>
              <w:t xml:space="preserve">Olanzapine ODT </w:t>
            </w:r>
            <w:proofErr w:type="spellStart"/>
            <w:r w:rsidRPr="00D74AAB">
              <w:rPr>
                <w:color w:val="000000"/>
              </w:rPr>
              <w:t>generichealth</w:t>
            </w:r>
            <w:proofErr w:type="spellEnd"/>
            <w:r w:rsidRPr="00D74AAB">
              <w:rPr>
                <w:color w:val="000000"/>
              </w:rPr>
              <w:t xml:space="preserve"> 5</w:t>
            </w:r>
          </w:p>
        </w:tc>
        <w:tc>
          <w:tcPr>
            <w:tcW w:w="2126" w:type="dxa"/>
            <w:shd w:val="clear" w:color="auto" w:fill="auto"/>
          </w:tcPr>
          <w:p w14:paraId="73C96E6D" w14:textId="2582626C" w:rsidR="00461E80" w:rsidRPr="00D74AAB" w:rsidRDefault="00461E80" w:rsidP="00137277">
            <w:pPr>
              <w:spacing w:line="240" w:lineRule="auto"/>
              <w:rPr>
                <w:color w:val="000000"/>
              </w:rPr>
            </w:pPr>
            <w:r w:rsidRPr="00D74AAB">
              <w:rPr>
                <w:color w:val="000000"/>
                <w:sz w:val="20"/>
              </w:rPr>
              <w:t>Between 1 October 2023 and 31 December 2023—0 months stock by reference to usual demand</w:t>
            </w:r>
          </w:p>
        </w:tc>
      </w:tr>
    </w:tbl>
    <w:p w14:paraId="2F11D80D" w14:textId="72009D6B" w:rsidR="00461E80" w:rsidRPr="00D74AAB" w:rsidRDefault="00265AD7" w:rsidP="00461E80">
      <w:pPr>
        <w:pStyle w:val="ItemHead"/>
      </w:pPr>
      <w:r w:rsidRPr="00D74AAB">
        <w:t>1</w:t>
      </w:r>
      <w:r w:rsidR="00917F99" w:rsidRPr="00D74AAB">
        <w:t>8</w:t>
      </w:r>
      <w:r w:rsidR="00461E80" w:rsidRPr="00D74AAB">
        <w:t xml:space="preserve">  Schedule 1</w:t>
      </w:r>
    </w:p>
    <w:p w14:paraId="5A9A24DE"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5C1F38F9" w14:textId="77777777" w:rsidTr="00137277">
        <w:tc>
          <w:tcPr>
            <w:tcW w:w="1832" w:type="dxa"/>
            <w:shd w:val="clear" w:color="auto" w:fill="auto"/>
          </w:tcPr>
          <w:p w14:paraId="668530B0" w14:textId="4E7D8669" w:rsidR="00461E80" w:rsidRPr="00D74AAB" w:rsidRDefault="00461E80" w:rsidP="00461E80">
            <w:pPr>
              <w:pStyle w:val="Tabletext"/>
            </w:pPr>
            <w:r w:rsidRPr="00D74AAB">
              <w:rPr>
                <w:color w:val="000000"/>
              </w:rPr>
              <w:t>Ondansetron</w:t>
            </w:r>
          </w:p>
        </w:tc>
        <w:tc>
          <w:tcPr>
            <w:tcW w:w="2268" w:type="dxa"/>
            <w:shd w:val="clear" w:color="auto" w:fill="auto"/>
          </w:tcPr>
          <w:p w14:paraId="1EA9BA30" w14:textId="78E14FB5" w:rsidR="00461E80" w:rsidRPr="00D74AAB" w:rsidRDefault="00461E80" w:rsidP="00461E80">
            <w:pPr>
              <w:pStyle w:val="Tabletext"/>
            </w:pPr>
            <w:r w:rsidRPr="00D74AAB">
              <w:rPr>
                <w:color w:val="000000"/>
              </w:rPr>
              <w:t>Tablet (orally disintegrating) 8 mg</w:t>
            </w:r>
          </w:p>
        </w:tc>
        <w:tc>
          <w:tcPr>
            <w:tcW w:w="1383" w:type="dxa"/>
            <w:shd w:val="clear" w:color="auto" w:fill="auto"/>
          </w:tcPr>
          <w:p w14:paraId="70588CA4" w14:textId="1DF4FA33" w:rsidR="00461E80" w:rsidRPr="00D74AAB" w:rsidRDefault="00461E80" w:rsidP="00461E80">
            <w:pPr>
              <w:pStyle w:val="Tabletext"/>
            </w:pPr>
            <w:r w:rsidRPr="00D74AAB">
              <w:rPr>
                <w:color w:val="000000"/>
              </w:rPr>
              <w:t>Oral</w:t>
            </w:r>
          </w:p>
        </w:tc>
        <w:tc>
          <w:tcPr>
            <w:tcW w:w="2160" w:type="dxa"/>
            <w:shd w:val="clear" w:color="auto" w:fill="auto"/>
          </w:tcPr>
          <w:p w14:paraId="10185B2E" w14:textId="61289A7A" w:rsidR="00461E80" w:rsidRPr="00D74AAB" w:rsidRDefault="00461E80" w:rsidP="00461E80">
            <w:pPr>
              <w:pStyle w:val="Tabletext"/>
            </w:pPr>
            <w:r w:rsidRPr="00D74AAB">
              <w:rPr>
                <w:color w:val="000000"/>
              </w:rPr>
              <w:t>Ondansetron ODT Lupin</w:t>
            </w:r>
          </w:p>
        </w:tc>
        <w:tc>
          <w:tcPr>
            <w:tcW w:w="2126" w:type="dxa"/>
            <w:shd w:val="clear" w:color="auto" w:fill="auto"/>
          </w:tcPr>
          <w:p w14:paraId="116EA0E5" w14:textId="3DBCFE5E" w:rsidR="00461E80" w:rsidRPr="00D74AAB" w:rsidRDefault="00461E80" w:rsidP="00137277">
            <w:pPr>
              <w:spacing w:line="240" w:lineRule="auto"/>
            </w:pPr>
            <w:r w:rsidRPr="00D74AAB">
              <w:rPr>
                <w:color w:val="000000"/>
                <w:sz w:val="20"/>
              </w:rPr>
              <w:t>between 1 July 2023 and 31 August 2023—0 months stock by reference to usual demand</w:t>
            </w:r>
          </w:p>
        </w:tc>
      </w:tr>
    </w:tbl>
    <w:p w14:paraId="34D982BF"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32E70299" w14:textId="77777777" w:rsidTr="00137277">
        <w:tc>
          <w:tcPr>
            <w:tcW w:w="1832" w:type="dxa"/>
            <w:shd w:val="clear" w:color="auto" w:fill="auto"/>
          </w:tcPr>
          <w:p w14:paraId="1779AE82" w14:textId="6852D6B6" w:rsidR="00461E80" w:rsidRPr="00D74AAB" w:rsidRDefault="00461E80" w:rsidP="00461E80">
            <w:pPr>
              <w:pStyle w:val="Tabletext"/>
            </w:pPr>
            <w:r w:rsidRPr="00D74AAB">
              <w:rPr>
                <w:color w:val="000000"/>
              </w:rPr>
              <w:t>Oxaliplatin</w:t>
            </w:r>
          </w:p>
        </w:tc>
        <w:tc>
          <w:tcPr>
            <w:tcW w:w="2268" w:type="dxa"/>
            <w:shd w:val="clear" w:color="auto" w:fill="auto"/>
          </w:tcPr>
          <w:p w14:paraId="322871E4" w14:textId="2B692F05" w:rsidR="00461E80" w:rsidRPr="00D74AAB" w:rsidRDefault="00461E80" w:rsidP="00461E80">
            <w:pPr>
              <w:pStyle w:val="Tabletext"/>
            </w:pPr>
            <w:r w:rsidRPr="00D74AAB">
              <w:rPr>
                <w:color w:val="000000"/>
              </w:rPr>
              <w:t xml:space="preserve">Solution </w:t>
            </w:r>
            <w:proofErr w:type="gramStart"/>
            <w:r w:rsidRPr="00D74AAB">
              <w:rPr>
                <w:color w:val="000000"/>
              </w:rPr>
              <w:t>concentrate</w:t>
            </w:r>
            <w:proofErr w:type="gramEnd"/>
            <w:r w:rsidRPr="00D74AAB">
              <w:rPr>
                <w:color w:val="000000"/>
              </w:rPr>
              <w:t xml:space="preserve"> for I.V. infusion 100 mg in 20 mL</w:t>
            </w:r>
          </w:p>
        </w:tc>
        <w:tc>
          <w:tcPr>
            <w:tcW w:w="1383" w:type="dxa"/>
            <w:shd w:val="clear" w:color="auto" w:fill="auto"/>
          </w:tcPr>
          <w:p w14:paraId="54A6084D" w14:textId="304B8D9C" w:rsidR="00461E80" w:rsidRPr="00D74AAB" w:rsidRDefault="00461E80" w:rsidP="00461E80">
            <w:pPr>
              <w:pStyle w:val="Tabletext"/>
            </w:pPr>
            <w:r w:rsidRPr="00D74AAB">
              <w:rPr>
                <w:color w:val="000000"/>
              </w:rPr>
              <w:t>Injection</w:t>
            </w:r>
          </w:p>
        </w:tc>
        <w:tc>
          <w:tcPr>
            <w:tcW w:w="2160" w:type="dxa"/>
            <w:shd w:val="clear" w:color="auto" w:fill="auto"/>
          </w:tcPr>
          <w:p w14:paraId="00994EF6" w14:textId="3B8CEE91" w:rsidR="00461E80" w:rsidRPr="00D74AAB" w:rsidRDefault="00461E80" w:rsidP="00461E80">
            <w:pPr>
              <w:pStyle w:val="Tabletext"/>
            </w:pPr>
            <w:r w:rsidRPr="00D74AAB">
              <w:rPr>
                <w:color w:val="000000"/>
              </w:rPr>
              <w:t>DBL Oxaliplatin Concentrate</w:t>
            </w:r>
          </w:p>
        </w:tc>
        <w:tc>
          <w:tcPr>
            <w:tcW w:w="2126" w:type="dxa"/>
            <w:shd w:val="clear" w:color="auto" w:fill="auto"/>
          </w:tcPr>
          <w:p w14:paraId="1476F6CE" w14:textId="0950769C" w:rsidR="00461E80" w:rsidRPr="00D74AAB" w:rsidRDefault="00461E80" w:rsidP="00137277">
            <w:pPr>
              <w:spacing w:line="240" w:lineRule="auto"/>
              <w:rPr>
                <w:color w:val="000000"/>
              </w:rPr>
            </w:pPr>
            <w:r w:rsidRPr="00D74AAB">
              <w:rPr>
                <w:color w:val="000000"/>
                <w:sz w:val="20"/>
              </w:rPr>
              <w:t>Between 1 October 2023 and 30 November 2023—0 months stock by reference to usual demand</w:t>
            </w:r>
          </w:p>
        </w:tc>
      </w:tr>
    </w:tbl>
    <w:p w14:paraId="43A0307B" w14:textId="090A09BA" w:rsidR="00461E80" w:rsidRPr="00D74AAB" w:rsidRDefault="00917F99" w:rsidP="00461E80">
      <w:pPr>
        <w:pStyle w:val="ItemHead"/>
      </w:pPr>
      <w:r w:rsidRPr="00D74AAB">
        <w:t>19</w:t>
      </w:r>
      <w:r w:rsidR="00461E80" w:rsidRPr="00D74AAB">
        <w:t xml:space="preserve">  Schedule 1</w:t>
      </w:r>
    </w:p>
    <w:p w14:paraId="7370B346"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05B36286" w14:textId="77777777" w:rsidTr="00137277">
        <w:tc>
          <w:tcPr>
            <w:tcW w:w="1832" w:type="dxa"/>
            <w:shd w:val="clear" w:color="auto" w:fill="auto"/>
          </w:tcPr>
          <w:p w14:paraId="459A8768" w14:textId="6CEF812B" w:rsidR="00461E80" w:rsidRPr="00D74AAB" w:rsidRDefault="00461E80" w:rsidP="00461E80">
            <w:pPr>
              <w:pStyle w:val="Tabletext"/>
            </w:pPr>
            <w:r w:rsidRPr="00D74AAB">
              <w:rPr>
                <w:color w:val="000000"/>
              </w:rPr>
              <w:t>Pantoprazole</w:t>
            </w:r>
          </w:p>
        </w:tc>
        <w:tc>
          <w:tcPr>
            <w:tcW w:w="2268" w:type="dxa"/>
            <w:shd w:val="clear" w:color="auto" w:fill="auto"/>
          </w:tcPr>
          <w:p w14:paraId="544967BD" w14:textId="6AC223A0" w:rsidR="00461E80" w:rsidRPr="00D74AAB" w:rsidRDefault="00461E80" w:rsidP="00461E80">
            <w:pPr>
              <w:pStyle w:val="Tabletext"/>
            </w:pPr>
            <w:r w:rsidRPr="00D74AAB">
              <w:rPr>
                <w:color w:val="000000"/>
              </w:rPr>
              <w:t>Tablet (enteric coated) 40 mg (as sodium sesquihydrate)</w:t>
            </w:r>
          </w:p>
        </w:tc>
        <w:tc>
          <w:tcPr>
            <w:tcW w:w="1383" w:type="dxa"/>
            <w:shd w:val="clear" w:color="auto" w:fill="auto"/>
          </w:tcPr>
          <w:p w14:paraId="1F1D9807" w14:textId="34BB39CA" w:rsidR="00461E80" w:rsidRPr="00D74AAB" w:rsidRDefault="00461E80" w:rsidP="00461E80">
            <w:pPr>
              <w:pStyle w:val="Tabletext"/>
            </w:pPr>
            <w:r w:rsidRPr="00D74AAB">
              <w:rPr>
                <w:color w:val="000000"/>
              </w:rPr>
              <w:t>Oral</w:t>
            </w:r>
          </w:p>
        </w:tc>
        <w:tc>
          <w:tcPr>
            <w:tcW w:w="2160" w:type="dxa"/>
            <w:shd w:val="clear" w:color="auto" w:fill="auto"/>
          </w:tcPr>
          <w:p w14:paraId="4D5DFA44" w14:textId="03EAA8DD" w:rsidR="00461E80" w:rsidRPr="00D74AAB" w:rsidRDefault="00461E80" w:rsidP="00461E80">
            <w:pPr>
              <w:pStyle w:val="Tabletext"/>
            </w:pPr>
            <w:proofErr w:type="spellStart"/>
            <w:r w:rsidRPr="00D74AAB">
              <w:rPr>
                <w:color w:val="000000"/>
              </w:rPr>
              <w:t>Sozol</w:t>
            </w:r>
            <w:proofErr w:type="spellEnd"/>
          </w:p>
        </w:tc>
        <w:tc>
          <w:tcPr>
            <w:tcW w:w="2126" w:type="dxa"/>
            <w:shd w:val="clear" w:color="auto" w:fill="auto"/>
          </w:tcPr>
          <w:p w14:paraId="38CC8DFC" w14:textId="77777777" w:rsidR="00461E80" w:rsidRPr="00D74AAB" w:rsidRDefault="00461E80" w:rsidP="00461E80">
            <w:pPr>
              <w:pStyle w:val="Tablea"/>
            </w:pPr>
            <w:r w:rsidRPr="00D74AAB">
              <w:t>(a) between 1 July 2023 and 31 December 2023—4.5 months stock by reference to usual demand</w:t>
            </w:r>
          </w:p>
          <w:p w14:paraId="2956E59C" w14:textId="1A6FC262" w:rsidR="00461E80" w:rsidRPr="00D74AAB" w:rsidRDefault="00461E80" w:rsidP="00461E80">
            <w:pPr>
              <w:pStyle w:val="Tablea"/>
            </w:pPr>
            <w:r w:rsidRPr="00D74AAB">
              <w:t>(b) after 31 December 2023—5.5 months stock by reference to usual demand</w:t>
            </w:r>
          </w:p>
        </w:tc>
      </w:tr>
    </w:tbl>
    <w:p w14:paraId="4DD761C8" w14:textId="77777777" w:rsidR="00461E80" w:rsidRPr="00D74AAB" w:rsidRDefault="00461E80" w:rsidP="00461E80">
      <w:pPr>
        <w:pStyle w:val="Item"/>
      </w:pPr>
      <w:r w:rsidRPr="00D74AAB">
        <w:t>insert:</w:t>
      </w:r>
    </w:p>
    <w:tbl>
      <w:tblPr>
        <w:tblW w:w="9781" w:type="dxa"/>
        <w:tblInd w:w="-70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833"/>
        <w:gridCol w:w="2271"/>
        <w:gridCol w:w="1385"/>
        <w:gridCol w:w="2163"/>
        <w:gridCol w:w="2129"/>
      </w:tblGrid>
      <w:tr w:rsidR="00461E80" w:rsidRPr="00D74AAB" w14:paraId="3CFC5D61" w14:textId="77777777" w:rsidTr="00137277">
        <w:tc>
          <w:tcPr>
            <w:tcW w:w="1832" w:type="dxa"/>
            <w:tcBorders>
              <w:top w:val="nil"/>
            </w:tcBorders>
            <w:shd w:val="clear" w:color="auto" w:fill="auto"/>
          </w:tcPr>
          <w:p w14:paraId="5ACF0AD9" w14:textId="431FCA00" w:rsidR="00461E80" w:rsidRPr="00D74AAB" w:rsidRDefault="00461E80" w:rsidP="00461E80">
            <w:pPr>
              <w:pStyle w:val="Tabletext"/>
            </w:pPr>
            <w:r w:rsidRPr="00D74AAB">
              <w:rPr>
                <w:color w:val="000000"/>
              </w:rPr>
              <w:t>Paracetamol</w:t>
            </w:r>
          </w:p>
        </w:tc>
        <w:tc>
          <w:tcPr>
            <w:tcW w:w="2268" w:type="dxa"/>
            <w:tcBorders>
              <w:top w:val="nil"/>
            </w:tcBorders>
            <w:shd w:val="clear" w:color="auto" w:fill="auto"/>
          </w:tcPr>
          <w:p w14:paraId="53E014D3" w14:textId="3750EDDC" w:rsidR="00461E80" w:rsidRPr="00D74AAB" w:rsidRDefault="00461E80" w:rsidP="00461E80">
            <w:pPr>
              <w:pStyle w:val="Tabletext"/>
            </w:pPr>
            <w:r w:rsidRPr="00D74AAB">
              <w:rPr>
                <w:color w:val="000000"/>
              </w:rPr>
              <w:t>Tablet 665 mg (modified release)</w:t>
            </w:r>
          </w:p>
        </w:tc>
        <w:tc>
          <w:tcPr>
            <w:tcW w:w="1383" w:type="dxa"/>
            <w:tcBorders>
              <w:top w:val="nil"/>
            </w:tcBorders>
            <w:shd w:val="clear" w:color="auto" w:fill="auto"/>
          </w:tcPr>
          <w:p w14:paraId="568BD55E" w14:textId="45754DC0" w:rsidR="00461E80" w:rsidRPr="00D74AAB" w:rsidRDefault="00461E80" w:rsidP="00461E80">
            <w:pPr>
              <w:pStyle w:val="Tabletext"/>
            </w:pPr>
            <w:r w:rsidRPr="00D74AAB">
              <w:rPr>
                <w:color w:val="000000"/>
              </w:rPr>
              <w:t>Oral</w:t>
            </w:r>
          </w:p>
        </w:tc>
        <w:tc>
          <w:tcPr>
            <w:tcW w:w="2160" w:type="dxa"/>
            <w:tcBorders>
              <w:top w:val="nil"/>
            </w:tcBorders>
            <w:shd w:val="clear" w:color="auto" w:fill="auto"/>
          </w:tcPr>
          <w:p w14:paraId="4D855482" w14:textId="3A7BA54C" w:rsidR="00461E80" w:rsidRPr="00D74AAB" w:rsidRDefault="00461E80" w:rsidP="00461E80">
            <w:pPr>
              <w:pStyle w:val="Tabletext"/>
            </w:pPr>
            <w:r w:rsidRPr="00D74AAB">
              <w:rPr>
                <w:color w:val="000000"/>
              </w:rPr>
              <w:t>CHEMISTS' OWN OSTEO RELIEF PARACETAMOL</w:t>
            </w:r>
          </w:p>
        </w:tc>
        <w:tc>
          <w:tcPr>
            <w:tcW w:w="2126" w:type="dxa"/>
            <w:tcBorders>
              <w:top w:val="nil"/>
            </w:tcBorders>
            <w:shd w:val="clear" w:color="auto" w:fill="auto"/>
          </w:tcPr>
          <w:p w14:paraId="0F07E582" w14:textId="7FD94A98" w:rsidR="00461E80" w:rsidRPr="00D74AAB" w:rsidRDefault="00461E80" w:rsidP="00461E80">
            <w:pPr>
              <w:pStyle w:val="Tabletext"/>
            </w:pPr>
            <w:r w:rsidRPr="00D74AAB">
              <w:rPr>
                <w:rFonts w:cstheme="minorBidi"/>
                <w:color w:val="000000"/>
              </w:rPr>
              <w:t>Bet</w:t>
            </w:r>
            <w:r w:rsidRPr="00D74AAB">
              <w:rPr>
                <w:rFonts w:eastAsiaTheme="minorHAnsi" w:cstheme="minorBidi"/>
                <w:color w:val="000000"/>
                <w:lang w:eastAsia="en-US"/>
              </w:rPr>
              <w:t xml:space="preserve">ween 1 October 2023 and </w:t>
            </w:r>
            <w:r w:rsidRPr="00D74AAB">
              <w:rPr>
                <w:color w:val="000000"/>
              </w:rPr>
              <w:t xml:space="preserve">31 October </w:t>
            </w:r>
            <w:r w:rsidRPr="00D74AAB">
              <w:rPr>
                <w:rFonts w:eastAsiaTheme="minorHAnsi" w:cstheme="minorBidi"/>
                <w:color w:val="000000"/>
                <w:lang w:eastAsia="en-US"/>
              </w:rPr>
              <w:t>2023—0 months stock by reference to usual demand</w:t>
            </w:r>
          </w:p>
        </w:tc>
      </w:tr>
      <w:tr w:rsidR="00461E80" w:rsidRPr="00D74AAB" w14:paraId="57D700F8" w14:textId="77777777" w:rsidTr="00137277">
        <w:tc>
          <w:tcPr>
            <w:tcW w:w="1832" w:type="dxa"/>
            <w:tcBorders>
              <w:bottom w:val="single" w:sz="2" w:space="0" w:color="auto"/>
            </w:tcBorders>
            <w:shd w:val="clear" w:color="auto" w:fill="auto"/>
          </w:tcPr>
          <w:p w14:paraId="38973213" w14:textId="5C2A5493" w:rsidR="00461E80" w:rsidRPr="00D74AAB" w:rsidRDefault="00461E80" w:rsidP="00461E80">
            <w:pPr>
              <w:pStyle w:val="Tabletext"/>
            </w:pPr>
            <w:r w:rsidRPr="00D74AAB">
              <w:rPr>
                <w:color w:val="000000"/>
              </w:rPr>
              <w:t>Pemetrexed</w:t>
            </w:r>
          </w:p>
        </w:tc>
        <w:tc>
          <w:tcPr>
            <w:tcW w:w="2268" w:type="dxa"/>
            <w:tcBorders>
              <w:bottom w:val="single" w:sz="2" w:space="0" w:color="auto"/>
            </w:tcBorders>
            <w:shd w:val="clear" w:color="auto" w:fill="auto"/>
          </w:tcPr>
          <w:p w14:paraId="1B68C298" w14:textId="710E0329" w:rsidR="00461E80" w:rsidRPr="00D74AAB" w:rsidRDefault="00461E80" w:rsidP="00461E80">
            <w:pPr>
              <w:pStyle w:val="Tabletext"/>
            </w:pPr>
            <w:r w:rsidRPr="00D74AAB">
              <w:rPr>
                <w:color w:val="000000"/>
              </w:rPr>
              <w:t>Powder for I.V. infusion 100 mg (as disodium)</w:t>
            </w:r>
          </w:p>
        </w:tc>
        <w:tc>
          <w:tcPr>
            <w:tcW w:w="1383" w:type="dxa"/>
            <w:tcBorders>
              <w:bottom w:val="single" w:sz="2" w:space="0" w:color="auto"/>
            </w:tcBorders>
            <w:shd w:val="clear" w:color="auto" w:fill="auto"/>
          </w:tcPr>
          <w:p w14:paraId="1CFE03D5" w14:textId="222A77DD" w:rsidR="00461E80" w:rsidRPr="00D74AAB" w:rsidRDefault="00461E80" w:rsidP="00461E80">
            <w:pPr>
              <w:pStyle w:val="Tabletext"/>
            </w:pPr>
            <w:r w:rsidRPr="00D74AAB">
              <w:rPr>
                <w:color w:val="000000"/>
              </w:rPr>
              <w:t>Injection</w:t>
            </w:r>
          </w:p>
        </w:tc>
        <w:tc>
          <w:tcPr>
            <w:tcW w:w="2160" w:type="dxa"/>
            <w:tcBorders>
              <w:bottom w:val="single" w:sz="2" w:space="0" w:color="auto"/>
            </w:tcBorders>
            <w:shd w:val="clear" w:color="auto" w:fill="auto"/>
          </w:tcPr>
          <w:p w14:paraId="57E5C836" w14:textId="3EF5FBC7" w:rsidR="00461E80" w:rsidRPr="00D74AAB" w:rsidRDefault="00461E80" w:rsidP="00461E80">
            <w:pPr>
              <w:pStyle w:val="Tabletext"/>
            </w:pPr>
            <w:r w:rsidRPr="00D74AAB">
              <w:rPr>
                <w:color w:val="000000"/>
              </w:rPr>
              <w:t>Pemetrexed-AFT</w:t>
            </w:r>
          </w:p>
        </w:tc>
        <w:tc>
          <w:tcPr>
            <w:tcW w:w="2126" w:type="dxa"/>
            <w:tcBorders>
              <w:bottom w:val="single" w:sz="2" w:space="0" w:color="auto"/>
            </w:tcBorders>
            <w:shd w:val="clear" w:color="auto" w:fill="auto"/>
          </w:tcPr>
          <w:p w14:paraId="5346A28E" w14:textId="2598424F" w:rsidR="00461E80" w:rsidRPr="00D74AAB" w:rsidRDefault="00461E80" w:rsidP="00137277">
            <w:pPr>
              <w:pStyle w:val="Tabletext"/>
              <w:rPr>
                <w:rFonts w:cstheme="minorBidi"/>
                <w:color w:val="000000"/>
              </w:rPr>
            </w:pPr>
            <w:r w:rsidRPr="00D74AAB">
              <w:rPr>
                <w:rFonts w:cstheme="minorBidi"/>
                <w:color w:val="000000"/>
              </w:rPr>
              <w:t>Between 1 October 2023 and 30 November 2023—0 months stock by reference to usual demand</w:t>
            </w:r>
          </w:p>
        </w:tc>
      </w:tr>
      <w:tr w:rsidR="00461E80" w:rsidRPr="00D74AAB" w14:paraId="346F8C1B" w14:textId="77777777" w:rsidTr="00137277">
        <w:tc>
          <w:tcPr>
            <w:tcW w:w="1832" w:type="dxa"/>
            <w:tcBorders>
              <w:top w:val="single" w:sz="2" w:space="0" w:color="auto"/>
              <w:bottom w:val="nil"/>
            </w:tcBorders>
            <w:shd w:val="clear" w:color="auto" w:fill="auto"/>
          </w:tcPr>
          <w:p w14:paraId="6E4D0CB2" w14:textId="1DF5D43E" w:rsidR="00461E80" w:rsidRPr="00D74AAB" w:rsidRDefault="00461E80" w:rsidP="00461E80">
            <w:pPr>
              <w:pStyle w:val="Tabletext"/>
            </w:pPr>
            <w:r w:rsidRPr="00D74AAB">
              <w:rPr>
                <w:color w:val="000000"/>
              </w:rPr>
              <w:t>Pemetrexed</w:t>
            </w:r>
          </w:p>
        </w:tc>
        <w:tc>
          <w:tcPr>
            <w:tcW w:w="2268" w:type="dxa"/>
            <w:tcBorders>
              <w:top w:val="single" w:sz="2" w:space="0" w:color="auto"/>
              <w:bottom w:val="nil"/>
            </w:tcBorders>
            <w:shd w:val="clear" w:color="auto" w:fill="auto"/>
          </w:tcPr>
          <w:p w14:paraId="1CED0A5E" w14:textId="655C8AA3" w:rsidR="00461E80" w:rsidRPr="00D74AAB" w:rsidRDefault="00461E80" w:rsidP="00461E80">
            <w:pPr>
              <w:pStyle w:val="Tabletext"/>
            </w:pPr>
            <w:r w:rsidRPr="00D74AAB">
              <w:rPr>
                <w:color w:val="000000"/>
              </w:rPr>
              <w:t>Powder for I.V. infusion 500 mg (as disodium)</w:t>
            </w:r>
          </w:p>
        </w:tc>
        <w:tc>
          <w:tcPr>
            <w:tcW w:w="1383" w:type="dxa"/>
            <w:tcBorders>
              <w:top w:val="single" w:sz="2" w:space="0" w:color="auto"/>
              <w:bottom w:val="nil"/>
            </w:tcBorders>
            <w:shd w:val="clear" w:color="auto" w:fill="auto"/>
          </w:tcPr>
          <w:p w14:paraId="4CB37BCF" w14:textId="5E7186F6" w:rsidR="00461E80" w:rsidRPr="00D74AAB" w:rsidRDefault="00461E80" w:rsidP="00461E80">
            <w:pPr>
              <w:pStyle w:val="Tabletext"/>
            </w:pPr>
            <w:r w:rsidRPr="00D74AAB">
              <w:rPr>
                <w:color w:val="000000"/>
              </w:rPr>
              <w:t>Injection</w:t>
            </w:r>
          </w:p>
        </w:tc>
        <w:tc>
          <w:tcPr>
            <w:tcW w:w="2160" w:type="dxa"/>
            <w:tcBorders>
              <w:top w:val="single" w:sz="2" w:space="0" w:color="auto"/>
              <w:bottom w:val="nil"/>
            </w:tcBorders>
            <w:shd w:val="clear" w:color="auto" w:fill="auto"/>
          </w:tcPr>
          <w:p w14:paraId="1CA18EDD" w14:textId="524C86A9" w:rsidR="00461E80" w:rsidRPr="00D74AAB" w:rsidRDefault="00461E80" w:rsidP="00461E80">
            <w:pPr>
              <w:pStyle w:val="Tabletext"/>
            </w:pPr>
            <w:r w:rsidRPr="00D74AAB">
              <w:rPr>
                <w:color w:val="000000"/>
              </w:rPr>
              <w:t>Pemetrexed-AFT</w:t>
            </w:r>
          </w:p>
        </w:tc>
        <w:tc>
          <w:tcPr>
            <w:tcW w:w="2126" w:type="dxa"/>
            <w:tcBorders>
              <w:top w:val="single" w:sz="2" w:space="0" w:color="auto"/>
              <w:bottom w:val="nil"/>
            </w:tcBorders>
            <w:shd w:val="clear" w:color="auto" w:fill="auto"/>
          </w:tcPr>
          <w:p w14:paraId="7F888BFE" w14:textId="402B5786" w:rsidR="00461E80" w:rsidRPr="00D74AAB" w:rsidRDefault="00461E80" w:rsidP="00137277">
            <w:pPr>
              <w:pStyle w:val="Tabletext"/>
              <w:rPr>
                <w:rFonts w:cstheme="minorBidi"/>
                <w:color w:val="000000"/>
              </w:rPr>
            </w:pPr>
            <w:r w:rsidRPr="00D74AAB">
              <w:rPr>
                <w:rFonts w:cstheme="minorBidi"/>
                <w:color w:val="000000"/>
              </w:rPr>
              <w:t xml:space="preserve">Between 1 October 2023 and 30 November 2023—0 months stock </w:t>
            </w:r>
            <w:r w:rsidRPr="00D74AAB">
              <w:rPr>
                <w:rFonts w:cstheme="minorBidi"/>
                <w:color w:val="000000"/>
              </w:rPr>
              <w:lastRenderedPageBreak/>
              <w:t>by reference to usual demand</w:t>
            </w:r>
          </w:p>
        </w:tc>
      </w:tr>
    </w:tbl>
    <w:p w14:paraId="5F1C89E3" w14:textId="5C526806" w:rsidR="00461E80" w:rsidRPr="00D74AAB" w:rsidRDefault="00917F99" w:rsidP="00461E80">
      <w:pPr>
        <w:pStyle w:val="ItemHead"/>
      </w:pPr>
      <w:r w:rsidRPr="00D74AAB">
        <w:lastRenderedPageBreak/>
        <w:t>20</w:t>
      </w:r>
      <w:r w:rsidR="00461E80" w:rsidRPr="00D74AAB">
        <w:t xml:space="preserve">  Schedule 1</w:t>
      </w:r>
    </w:p>
    <w:p w14:paraId="64E2A09B"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5B3F554D" w14:textId="77777777" w:rsidTr="00137277">
        <w:tc>
          <w:tcPr>
            <w:tcW w:w="1832" w:type="dxa"/>
            <w:shd w:val="clear" w:color="auto" w:fill="auto"/>
          </w:tcPr>
          <w:p w14:paraId="65383DA9" w14:textId="53300B9B" w:rsidR="00461E80" w:rsidRPr="00D74AAB" w:rsidRDefault="00461E80" w:rsidP="00461E80">
            <w:pPr>
              <w:pStyle w:val="Tabletext"/>
            </w:pPr>
            <w:r w:rsidRPr="00D74AAB">
              <w:rPr>
                <w:color w:val="000000"/>
              </w:rPr>
              <w:t>Perindopril</w:t>
            </w:r>
          </w:p>
        </w:tc>
        <w:tc>
          <w:tcPr>
            <w:tcW w:w="2268" w:type="dxa"/>
            <w:shd w:val="clear" w:color="auto" w:fill="auto"/>
          </w:tcPr>
          <w:p w14:paraId="39A2770E" w14:textId="525BEF30" w:rsidR="00461E80" w:rsidRPr="00D74AAB" w:rsidRDefault="00461E80" w:rsidP="00461E80">
            <w:pPr>
              <w:pStyle w:val="Tabletext"/>
            </w:pPr>
            <w:r w:rsidRPr="00D74AAB">
              <w:rPr>
                <w:color w:val="000000"/>
              </w:rPr>
              <w:t xml:space="preserve">Tablet containing perindopril </w:t>
            </w:r>
            <w:proofErr w:type="spellStart"/>
            <w:r w:rsidRPr="00D74AAB">
              <w:rPr>
                <w:color w:val="000000"/>
              </w:rPr>
              <w:t>erbumine</w:t>
            </w:r>
            <w:proofErr w:type="spellEnd"/>
            <w:r w:rsidRPr="00D74AAB">
              <w:rPr>
                <w:color w:val="000000"/>
              </w:rPr>
              <w:t xml:space="preserve"> 4 mg</w:t>
            </w:r>
          </w:p>
        </w:tc>
        <w:tc>
          <w:tcPr>
            <w:tcW w:w="1383" w:type="dxa"/>
            <w:shd w:val="clear" w:color="auto" w:fill="auto"/>
          </w:tcPr>
          <w:p w14:paraId="28BE14D3" w14:textId="1F0A2779" w:rsidR="00461E80" w:rsidRPr="00D74AAB" w:rsidRDefault="00461E80" w:rsidP="00461E80">
            <w:pPr>
              <w:pStyle w:val="Tabletext"/>
            </w:pPr>
            <w:r w:rsidRPr="00D74AAB">
              <w:rPr>
                <w:color w:val="000000"/>
              </w:rPr>
              <w:t>Oral</w:t>
            </w:r>
          </w:p>
        </w:tc>
        <w:tc>
          <w:tcPr>
            <w:tcW w:w="2160" w:type="dxa"/>
            <w:shd w:val="clear" w:color="auto" w:fill="auto"/>
          </w:tcPr>
          <w:p w14:paraId="1F31BA19" w14:textId="0186FEEC" w:rsidR="00461E80" w:rsidRPr="00D74AAB" w:rsidRDefault="00461E80" w:rsidP="00461E80">
            <w:pPr>
              <w:pStyle w:val="Tabletext"/>
            </w:pPr>
            <w:proofErr w:type="spellStart"/>
            <w:r w:rsidRPr="00D74AAB">
              <w:rPr>
                <w:color w:val="000000"/>
              </w:rPr>
              <w:t>Indosyl</w:t>
            </w:r>
            <w:proofErr w:type="spellEnd"/>
            <w:r w:rsidRPr="00D74AAB">
              <w:rPr>
                <w:color w:val="000000"/>
              </w:rPr>
              <w:t xml:space="preserve"> Mono 4</w:t>
            </w:r>
          </w:p>
        </w:tc>
        <w:tc>
          <w:tcPr>
            <w:tcW w:w="2126" w:type="dxa"/>
            <w:shd w:val="clear" w:color="auto" w:fill="auto"/>
          </w:tcPr>
          <w:p w14:paraId="26D4C7B6" w14:textId="77777777" w:rsidR="00461E80" w:rsidRPr="00D74AAB" w:rsidRDefault="00461E80" w:rsidP="00461E80">
            <w:pPr>
              <w:pStyle w:val="Tablea"/>
            </w:pPr>
            <w:r w:rsidRPr="00D74AAB">
              <w:t>(a) between 1 July 2023 and 31 December 2023—4.5 months stock by reference to usual demand</w:t>
            </w:r>
          </w:p>
          <w:p w14:paraId="51BD0395" w14:textId="4BFE596C" w:rsidR="00461E80" w:rsidRPr="00D74AAB" w:rsidRDefault="00461E80" w:rsidP="00461E80">
            <w:pPr>
              <w:pStyle w:val="Tablea"/>
            </w:pPr>
            <w:r w:rsidRPr="00D74AAB">
              <w:t>(b) after 31 December 2023—5.5 months stock by reference to usual demand</w:t>
            </w:r>
          </w:p>
        </w:tc>
      </w:tr>
    </w:tbl>
    <w:p w14:paraId="27B85393"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7BC29EFC" w14:textId="77777777" w:rsidTr="00137277">
        <w:tc>
          <w:tcPr>
            <w:tcW w:w="1832" w:type="dxa"/>
            <w:tcBorders>
              <w:bottom w:val="single" w:sz="4" w:space="0" w:color="auto"/>
            </w:tcBorders>
            <w:shd w:val="clear" w:color="auto" w:fill="auto"/>
          </w:tcPr>
          <w:p w14:paraId="656AF7C1" w14:textId="10A9D753" w:rsidR="00461E80" w:rsidRPr="00D74AAB" w:rsidRDefault="00461E80" w:rsidP="00461E80">
            <w:pPr>
              <w:pStyle w:val="Tabletext"/>
            </w:pPr>
            <w:r w:rsidRPr="00D74AAB">
              <w:rPr>
                <w:color w:val="000000"/>
              </w:rPr>
              <w:t>Perindopril</w:t>
            </w:r>
          </w:p>
        </w:tc>
        <w:tc>
          <w:tcPr>
            <w:tcW w:w="2268" w:type="dxa"/>
            <w:tcBorders>
              <w:bottom w:val="single" w:sz="4" w:space="0" w:color="auto"/>
            </w:tcBorders>
            <w:shd w:val="clear" w:color="auto" w:fill="auto"/>
          </w:tcPr>
          <w:p w14:paraId="53AFA0A5" w14:textId="12BE15F3" w:rsidR="00461E80" w:rsidRPr="00D74AAB" w:rsidRDefault="00461E80" w:rsidP="00461E80">
            <w:pPr>
              <w:pStyle w:val="Tabletext"/>
            </w:pPr>
            <w:r w:rsidRPr="00D74AAB">
              <w:rPr>
                <w:color w:val="000000"/>
              </w:rPr>
              <w:t xml:space="preserve">Tablet containing perindopril </w:t>
            </w:r>
            <w:proofErr w:type="spellStart"/>
            <w:r w:rsidRPr="00D74AAB">
              <w:rPr>
                <w:color w:val="000000"/>
              </w:rPr>
              <w:t>erbumine</w:t>
            </w:r>
            <w:proofErr w:type="spellEnd"/>
            <w:r w:rsidRPr="00D74AAB">
              <w:rPr>
                <w:color w:val="000000"/>
              </w:rPr>
              <w:t xml:space="preserve"> 4 mg</w:t>
            </w:r>
          </w:p>
        </w:tc>
        <w:tc>
          <w:tcPr>
            <w:tcW w:w="1383" w:type="dxa"/>
            <w:tcBorders>
              <w:bottom w:val="single" w:sz="4" w:space="0" w:color="auto"/>
            </w:tcBorders>
            <w:shd w:val="clear" w:color="auto" w:fill="auto"/>
          </w:tcPr>
          <w:p w14:paraId="13B2CB9C" w14:textId="7CEF50B7" w:rsidR="00461E80" w:rsidRPr="00D74AAB" w:rsidRDefault="00461E80" w:rsidP="00461E80">
            <w:pPr>
              <w:pStyle w:val="Tabletext"/>
            </w:pPr>
            <w:r w:rsidRPr="00D74AAB">
              <w:rPr>
                <w:color w:val="000000"/>
              </w:rPr>
              <w:t>Oral</w:t>
            </w:r>
          </w:p>
        </w:tc>
        <w:tc>
          <w:tcPr>
            <w:tcW w:w="2160" w:type="dxa"/>
            <w:tcBorders>
              <w:bottom w:val="single" w:sz="4" w:space="0" w:color="auto"/>
            </w:tcBorders>
            <w:shd w:val="clear" w:color="auto" w:fill="auto"/>
          </w:tcPr>
          <w:p w14:paraId="4D39E834" w14:textId="6D47692A" w:rsidR="00461E80" w:rsidRPr="00D74AAB" w:rsidRDefault="00461E80" w:rsidP="00461E80">
            <w:pPr>
              <w:pStyle w:val="Tabletext"/>
            </w:pPr>
            <w:r w:rsidRPr="00D74AAB">
              <w:rPr>
                <w:color w:val="000000"/>
              </w:rPr>
              <w:t xml:space="preserve">Perindopril </w:t>
            </w:r>
            <w:proofErr w:type="spellStart"/>
            <w:r w:rsidRPr="00D74AAB">
              <w:rPr>
                <w:color w:val="000000"/>
              </w:rPr>
              <w:t>generichealth</w:t>
            </w:r>
            <w:proofErr w:type="spellEnd"/>
          </w:p>
        </w:tc>
        <w:tc>
          <w:tcPr>
            <w:tcW w:w="2126" w:type="dxa"/>
            <w:tcBorders>
              <w:bottom w:val="single" w:sz="4" w:space="0" w:color="auto"/>
            </w:tcBorders>
            <w:shd w:val="clear" w:color="auto" w:fill="auto"/>
          </w:tcPr>
          <w:p w14:paraId="418DE623" w14:textId="54B2ADCF" w:rsidR="00461E80" w:rsidRPr="00D74AAB" w:rsidRDefault="00461E80" w:rsidP="00137277">
            <w:pPr>
              <w:pStyle w:val="Tabletext"/>
              <w:rPr>
                <w:rFonts w:cstheme="minorBidi"/>
                <w:color w:val="000000"/>
              </w:rPr>
            </w:pPr>
            <w:r w:rsidRPr="00D74AAB">
              <w:rPr>
                <w:rFonts w:cstheme="minorBidi"/>
                <w:color w:val="000000"/>
              </w:rPr>
              <w:t>Between 1 October 2023 and 31 January 2024—0 months stock by reference to usual demand</w:t>
            </w:r>
          </w:p>
        </w:tc>
      </w:tr>
      <w:tr w:rsidR="00461E80" w:rsidRPr="00D74AAB" w14:paraId="13AC0416" w14:textId="77777777" w:rsidTr="00137277">
        <w:tc>
          <w:tcPr>
            <w:tcW w:w="1832" w:type="dxa"/>
            <w:tcBorders>
              <w:top w:val="single" w:sz="4" w:space="0" w:color="auto"/>
            </w:tcBorders>
            <w:shd w:val="clear" w:color="auto" w:fill="auto"/>
          </w:tcPr>
          <w:p w14:paraId="745A1451" w14:textId="2AD090EE" w:rsidR="00461E80" w:rsidRPr="00D74AAB" w:rsidRDefault="00461E80" w:rsidP="00461E80">
            <w:pPr>
              <w:pStyle w:val="Tabletext"/>
            </w:pPr>
            <w:r w:rsidRPr="00D74AAB">
              <w:rPr>
                <w:color w:val="000000"/>
              </w:rPr>
              <w:t>Perindopril</w:t>
            </w:r>
          </w:p>
        </w:tc>
        <w:tc>
          <w:tcPr>
            <w:tcW w:w="2268" w:type="dxa"/>
            <w:tcBorders>
              <w:top w:val="single" w:sz="4" w:space="0" w:color="auto"/>
            </w:tcBorders>
            <w:shd w:val="clear" w:color="auto" w:fill="auto"/>
          </w:tcPr>
          <w:p w14:paraId="3ECA617C" w14:textId="336AAD4C" w:rsidR="00461E80" w:rsidRPr="00D74AAB" w:rsidRDefault="00461E80" w:rsidP="00461E80">
            <w:pPr>
              <w:pStyle w:val="Tabletext"/>
            </w:pPr>
            <w:r w:rsidRPr="00D74AAB">
              <w:rPr>
                <w:color w:val="000000"/>
              </w:rPr>
              <w:t xml:space="preserve">Tablet containing perindopril </w:t>
            </w:r>
            <w:proofErr w:type="spellStart"/>
            <w:r w:rsidRPr="00D74AAB">
              <w:rPr>
                <w:color w:val="000000"/>
              </w:rPr>
              <w:t>erbumine</w:t>
            </w:r>
            <w:proofErr w:type="spellEnd"/>
            <w:r w:rsidRPr="00D74AAB">
              <w:rPr>
                <w:color w:val="000000"/>
              </w:rPr>
              <w:t xml:space="preserve"> 8 mg</w:t>
            </w:r>
          </w:p>
        </w:tc>
        <w:tc>
          <w:tcPr>
            <w:tcW w:w="1383" w:type="dxa"/>
            <w:tcBorders>
              <w:top w:val="single" w:sz="4" w:space="0" w:color="auto"/>
            </w:tcBorders>
            <w:shd w:val="clear" w:color="auto" w:fill="auto"/>
          </w:tcPr>
          <w:p w14:paraId="750AA7D6" w14:textId="3EEDF187" w:rsidR="00461E80" w:rsidRPr="00D74AAB" w:rsidRDefault="00461E80" w:rsidP="00461E80">
            <w:pPr>
              <w:pStyle w:val="Tabletext"/>
            </w:pPr>
            <w:r w:rsidRPr="00D74AAB">
              <w:rPr>
                <w:color w:val="000000"/>
              </w:rPr>
              <w:t>Oral</w:t>
            </w:r>
          </w:p>
        </w:tc>
        <w:tc>
          <w:tcPr>
            <w:tcW w:w="2160" w:type="dxa"/>
            <w:tcBorders>
              <w:top w:val="single" w:sz="4" w:space="0" w:color="auto"/>
            </w:tcBorders>
            <w:shd w:val="clear" w:color="auto" w:fill="auto"/>
          </w:tcPr>
          <w:p w14:paraId="34D5BC1F" w14:textId="4220CA51" w:rsidR="00461E80" w:rsidRPr="00D74AAB" w:rsidRDefault="00461E80" w:rsidP="00461E80">
            <w:pPr>
              <w:pStyle w:val="Tabletext"/>
            </w:pPr>
            <w:r w:rsidRPr="00D74AAB">
              <w:rPr>
                <w:color w:val="000000"/>
              </w:rPr>
              <w:t xml:space="preserve">Perindopril </w:t>
            </w:r>
            <w:proofErr w:type="spellStart"/>
            <w:r w:rsidRPr="00D74AAB">
              <w:rPr>
                <w:color w:val="000000"/>
              </w:rPr>
              <w:t>generichealth</w:t>
            </w:r>
            <w:proofErr w:type="spellEnd"/>
          </w:p>
        </w:tc>
        <w:tc>
          <w:tcPr>
            <w:tcW w:w="2126" w:type="dxa"/>
            <w:tcBorders>
              <w:top w:val="single" w:sz="4" w:space="0" w:color="auto"/>
            </w:tcBorders>
            <w:shd w:val="clear" w:color="auto" w:fill="auto"/>
          </w:tcPr>
          <w:p w14:paraId="069EC303" w14:textId="539E55EE" w:rsidR="00461E80" w:rsidRPr="00D74AAB" w:rsidRDefault="00461E80" w:rsidP="00137277">
            <w:pPr>
              <w:pStyle w:val="Tabletext"/>
              <w:rPr>
                <w:rFonts w:cstheme="minorBidi"/>
                <w:color w:val="000000"/>
              </w:rPr>
            </w:pPr>
            <w:r w:rsidRPr="00D74AAB">
              <w:rPr>
                <w:rFonts w:cstheme="minorBidi"/>
                <w:color w:val="000000"/>
              </w:rPr>
              <w:t>Between 1 October 2023 and 31 January 2024—0 months stock by reference to usual demand</w:t>
            </w:r>
          </w:p>
        </w:tc>
      </w:tr>
    </w:tbl>
    <w:p w14:paraId="2B2DCBC9" w14:textId="044A46EB" w:rsidR="00960C90" w:rsidRPr="00D74AAB" w:rsidRDefault="00917F99" w:rsidP="00960C90">
      <w:pPr>
        <w:pStyle w:val="ItemHead"/>
      </w:pPr>
      <w:r w:rsidRPr="00D74AAB">
        <w:t>21</w:t>
      </w:r>
      <w:r w:rsidR="00960C90" w:rsidRPr="00D74AAB">
        <w:t xml:space="preserve">  Schedule 1</w:t>
      </w:r>
    </w:p>
    <w:p w14:paraId="16EFA38E" w14:textId="77777777" w:rsidR="00960C90" w:rsidRPr="00D74AAB" w:rsidRDefault="00960C90" w:rsidP="00960C90">
      <w:pPr>
        <w:pStyle w:val="Item"/>
      </w:pPr>
      <w:r w:rsidRPr="00D74AAB">
        <w:t>Omit: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960C90" w:rsidRPr="00D74AAB" w14:paraId="77672F2C" w14:textId="77777777" w:rsidTr="00137277">
        <w:tc>
          <w:tcPr>
            <w:tcW w:w="1832" w:type="dxa"/>
            <w:shd w:val="clear" w:color="auto" w:fill="auto"/>
          </w:tcPr>
          <w:p w14:paraId="026247A5" w14:textId="759F97C7" w:rsidR="00960C90" w:rsidRPr="00D74AAB" w:rsidRDefault="00960C90" w:rsidP="00960C90">
            <w:pPr>
              <w:pStyle w:val="Tabletext"/>
            </w:pPr>
            <w:r w:rsidRPr="00D74AAB">
              <w:rPr>
                <w:color w:val="000000"/>
              </w:rPr>
              <w:t>Ranitidine</w:t>
            </w:r>
          </w:p>
        </w:tc>
        <w:tc>
          <w:tcPr>
            <w:tcW w:w="2268" w:type="dxa"/>
            <w:shd w:val="clear" w:color="auto" w:fill="auto"/>
          </w:tcPr>
          <w:p w14:paraId="0F633C3E" w14:textId="2AAE325E" w:rsidR="00960C90" w:rsidRPr="00D74AAB" w:rsidRDefault="00960C90" w:rsidP="00960C90">
            <w:pPr>
              <w:pStyle w:val="Tabletext"/>
            </w:pPr>
            <w:r w:rsidRPr="00D74AAB">
              <w:rPr>
                <w:color w:val="000000"/>
              </w:rPr>
              <w:t>Syrup 150 mg (as hydrochloride) per 10 mL, 300 mL</w:t>
            </w:r>
          </w:p>
        </w:tc>
        <w:tc>
          <w:tcPr>
            <w:tcW w:w="1383" w:type="dxa"/>
            <w:shd w:val="clear" w:color="auto" w:fill="auto"/>
          </w:tcPr>
          <w:p w14:paraId="6D0ACBF2" w14:textId="5DA681C8" w:rsidR="00960C90" w:rsidRPr="00D74AAB" w:rsidRDefault="00960C90" w:rsidP="00960C90">
            <w:pPr>
              <w:pStyle w:val="Tabletext"/>
            </w:pPr>
            <w:r w:rsidRPr="00D74AAB">
              <w:rPr>
                <w:color w:val="000000"/>
              </w:rPr>
              <w:t>Oral</w:t>
            </w:r>
          </w:p>
        </w:tc>
        <w:tc>
          <w:tcPr>
            <w:tcW w:w="2160" w:type="dxa"/>
            <w:shd w:val="clear" w:color="auto" w:fill="auto"/>
          </w:tcPr>
          <w:p w14:paraId="523F0750" w14:textId="0A6A9A73" w:rsidR="00960C90" w:rsidRPr="00D74AAB" w:rsidRDefault="00960C90" w:rsidP="00960C90">
            <w:pPr>
              <w:pStyle w:val="Tabletext"/>
            </w:pPr>
            <w:r w:rsidRPr="00D74AAB">
              <w:rPr>
                <w:color w:val="000000"/>
              </w:rPr>
              <w:t>Zantac Syrup</w:t>
            </w:r>
          </w:p>
        </w:tc>
        <w:tc>
          <w:tcPr>
            <w:tcW w:w="2126" w:type="dxa"/>
            <w:shd w:val="clear" w:color="auto" w:fill="auto"/>
          </w:tcPr>
          <w:p w14:paraId="57086067" w14:textId="6139B055" w:rsidR="00960C90" w:rsidRPr="00D74AAB" w:rsidRDefault="00960C90" w:rsidP="00137277">
            <w:pPr>
              <w:spacing w:line="240" w:lineRule="auto"/>
            </w:pPr>
            <w:r w:rsidRPr="00D74AAB">
              <w:rPr>
                <w:color w:val="000000"/>
                <w:sz w:val="20"/>
              </w:rPr>
              <w:t>4 months stock by reference to usual PBS demand</w:t>
            </w:r>
          </w:p>
        </w:tc>
      </w:tr>
    </w:tbl>
    <w:p w14:paraId="4C89B06E" w14:textId="77777777" w:rsidR="00960C90" w:rsidRPr="00D74AAB" w:rsidRDefault="00960C90" w:rsidP="00960C90">
      <w:pPr>
        <w:pStyle w:val="Item"/>
      </w:pPr>
      <w:r w:rsidRPr="00D74AAB">
        <w:t>substitute:</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960C90" w:rsidRPr="00D74AAB" w14:paraId="205E8DA7" w14:textId="77777777" w:rsidTr="00137277">
        <w:tc>
          <w:tcPr>
            <w:tcW w:w="1832" w:type="dxa"/>
            <w:shd w:val="clear" w:color="auto" w:fill="auto"/>
          </w:tcPr>
          <w:p w14:paraId="59425921" w14:textId="33A1FDB4" w:rsidR="00960C90" w:rsidRPr="00D74AAB" w:rsidRDefault="00960C90" w:rsidP="00960C90">
            <w:pPr>
              <w:pStyle w:val="Tabletext"/>
            </w:pPr>
            <w:r w:rsidRPr="00D74AAB">
              <w:rPr>
                <w:color w:val="000000"/>
              </w:rPr>
              <w:t>Ranitidine</w:t>
            </w:r>
          </w:p>
        </w:tc>
        <w:tc>
          <w:tcPr>
            <w:tcW w:w="2268" w:type="dxa"/>
            <w:shd w:val="clear" w:color="auto" w:fill="auto"/>
          </w:tcPr>
          <w:p w14:paraId="616239C7" w14:textId="43D597C4" w:rsidR="00960C90" w:rsidRPr="00D74AAB" w:rsidRDefault="00960C90" w:rsidP="00960C90">
            <w:pPr>
              <w:pStyle w:val="Tabletext"/>
            </w:pPr>
            <w:r w:rsidRPr="00D74AAB">
              <w:rPr>
                <w:color w:val="000000"/>
              </w:rPr>
              <w:t>Syrup 150 mg (as hydrochloride) per 10 mL, 300 mL</w:t>
            </w:r>
          </w:p>
        </w:tc>
        <w:tc>
          <w:tcPr>
            <w:tcW w:w="1383" w:type="dxa"/>
            <w:shd w:val="clear" w:color="auto" w:fill="auto"/>
          </w:tcPr>
          <w:p w14:paraId="104F6BA0" w14:textId="58C20A69" w:rsidR="00960C90" w:rsidRPr="00D74AAB" w:rsidRDefault="00960C90" w:rsidP="00960C90">
            <w:pPr>
              <w:pStyle w:val="Tabletext"/>
            </w:pPr>
            <w:r w:rsidRPr="00D74AAB">
              <w:rPr>
                <w:color w:val="000000"/>
              </w:rPr>
              <w:t>Oral</w:t>
            </w:r>
          </w:p>
        </w:tc>
        <w:tc>
          <w:tcPr>
            <w:tcW w:w="2160" w:type="dxa"/>
            <w:shd w:val="clear" w:color="auto" w:fill="auto"/>
          </w:tcPr>
          <w:p w14:paraId="51E094EB" w14:textId="1BC780B4" w:rsidR="00960C90" w:rsidRPr="00D74AAB" w:rsidRDefault="00960C90" w:rsidP="00960C90">
            <w:pPr>
              <w:pStyle w:val="Tabletext"/>
            </w:pPr>
            <w:r w:rsidRPr="00D74AAB">
              <w:rPr>
                <w:color w:val="000000"/>
              </w:rPr>
              <w:t>Zantac Syrup</w:t>
            </w:r>
          </w:p>
        </w:tc>
        <w:tc>
          <w:tcPr>
            <w:tcW w:w="2126" w:type="dxa"/>
            <w:shd w:val="clear" w:color="auto" w:fill="auto"/>
          </w:tcPr>
          <w:p w14:paraId="2FBDD343" w14:textId="638D1D14" w:rsidR="00960C90" w:rsidRPr="00D74AAB" w:rsidRDefault="00960C90" w:rsidP="00137277">
            <w:pPr>
              <w:spacing w:line="240" w:lineRule="auto"/>
              <w:rPr>
                <w:color w:val="000000"/>
              </w:rPr>
            </w:pPr>
            <w:r w:rsidRPr="00D74AAB">
              <w:rPr>
                <w:color w:val="000000"/>
                <w:sz w:val="20"/>
              </w:rPr>
              <w:t xml:space="preserve">Between 1 October 2023 and 30 November 2023—0 months stock by reference to usual </w:t>
            </w:r>
            <w:r w:rsidR="00FB6D65" w:rsidRPr="00D74AAB">
              <w:rPr>
                <w:color w:val="000000"/>
                <w:sz w:val="20"/>
              </w:rPr>
              <w:t xml:space="preserve">PBS </w:t>
            </w:r>
            <w:r w:rsidRPr="00D74AAB">
              <w:rPr>
                <w:color w:val="000000"/>
                <w:sz w:val="20"/>
              </w:rPr>
              <w:t>demand</w:t>
            </w:r>
          </w:p>
        </w:tc>
      </w:tr>
    </w:tbl>
    <w:p w14:paraId="4FB146C5" w14:textId="3A642119" w:rsidR="00461E80" w:rsidRPr="00D74AAB" w:rsidRDefault="00917F99" w:rsidP="00461E80">
      <w:pPr>
        <w:pStyle w:val="ItemHead"/>
      </w:pPr>
      <w:r w:rsidRPr="00D74AAB">
        <w:t>22</w:t>
      </w:r>
      <w:r w:rsidR="00461E80" w:rsidRPr="00D74AAB">
        <w:t xml:space="preserve">  Schedule 1</w:t>
      </w:r>
    </w:p>
    <w:p w14:paraId="5EF4E156"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44C9FA95" w14:textId="77777777" w:rsidTr="00137277">
        <w:tc>
          <w:tcPr>
            <w:tcW w:w="1832" w:type="dxa"/>
            <w:shd w:val="clear" w:color="auto" w:fill="auto"/>
          </w:tcPr>
          <w:p w14:paraId="73757E0D" w14:textId="418606C2" w:rsidR="00461E80" w:rsidRPr="00D74AAB" w:rsidRDefault="00461E80" w:rsidP="00461E80">
            <w:pPr>
              <w:pStyle w:val="Tabletext"/>
            </w:pPr>
            <w:r w:rsidRPr="00D74AAB">
              <w:rPr>
                <w:color w:val="000000"/>
              </w:rPr>
              <w:t>Thiamine</w:t>
            </w:r>
          </w:p>
        </w:tc>
        <w:tc>
          <w:tcPr>
            <w:tcW w:w="2268" w:type="dxa"/>
            <w:shd w:val="clear" w:color="auto" w:fill="auto"/>
          </w:tcPr>
          <w:p w14:paraId="7D71A271" w14:textId="10AB4B1C" w:rsidR="00461E80" w:rsidRPr="00D74AAB" w:rsidRDefault="00461E80" w:rsidP="00461E80">
            <w:pPr>
              <w:pStyle w:val="Tabletext"/>
            </w:pPr>
            <w:r w:rsidRPr="00D74AAB">
              <w:rPr>
                <w:color w:val="000000"/>
              </w:rPr>
              <w:t>Tablet containing thiamine hydrochloride 100 mg</w:t>
            </w:r>
          </w:p>
        </w:tc>
        <w:tc>
          <w:tcPr>
            <w:tcW w:w="1383" w:type="dxa"/>
            <w:shd w:val="clear" w:color="auto" w:fill="auto"/>
          </w:tcPr>
          <w:p w14:paraId="0B71D4A5" w14:textId="75F850E5" w:rsidR="00461E80" w:rsidRPr="00D74AAB" w:rsidRDefault="00461E80" w:rsidP="00461E80">
            <w:pPr>
              <w:pStyle w:val="Tabletext"/>
            </w:pPr>
            <w:r w:rsidRPr="00D74AAB">
              <w:rPr>
                <w:color w:val="000000"/>
              </w:rPr>
              <w:t>Oral</w:t>
            </w:r>
          </w:p>
        </w:tc>
        <w:tc>
          <w:tcPr>
            <w:tcW w:w="2160" w:type="dxa"/>
            <w:shd w:val="clear" w:color="auto" w:fill="auto"/>
          </w:tcPr>
          <w:p w14:paraId="28F780B4" w14:textId="2159B3E5" w:rsidR="00461E80" w:rsidRPr="00D74AAB" w:rsidRDefault="00461E80" w:rsidP="00461E80">
            <w:pPr>
              <w:pStyle w:val="Tabletext"/>
            </w:pPr>
            <w:proofErr w:type="spellStart"/>
            <w:r w:rsidRPr="00D74AAB">
              <w:rPr>
                <w:color w:val="000000"/>
              </w:rPr>
              <w:t>Betavit</w:t>
            </w:r>
            <w:proofErr w:type="spellEnd"/>
          </w:p>
        </w:tc>
        <w:tc>
          <w:tcPr>
            <w:tcW w:w="2126" w:type="dxa"/>
            <w:shd w:val="clear" w:color="auto" w:fill="auto"/>
          </w:tcPr>
          <w:p w14:paraId="3A114D29" w14:textId="52055E4D" w:rsidR="00461E80" w:rsidRPr="00D74AAB" w:rsidRDefault="00461E80" w:rsidP="00137277">
            <w:pPr>
              <w:spacing w:line="240" w:lineRule="auto"/>
            </w:pPr>
            <w:r w:rsidRPr="00D74AAB">
              <w:rPr>
                <w:color w:val="000000"/>
                <w:sz w:val="20"/>
              </w:rPr>
              <w:t>4 months stock by reference to usual PBS demand</w:t>
            </w:r>
          </w:p>
        </w:tc>
      </w:tr>
    </w:tbl>
    <w:p w14:paraId="139EF40F"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5E9178AA" w14:textId="77777777" w:rsidTr="00137277">
        <w:tc>
          <w:tcPr>
            <w:tcW w:w="1832" w:type="dxa"/>
            <w:shd w:val="clear" w:color="auto" w:fill="auto"/>
          </w:tcPr>
          <w:p w14:paraId="54059354" w14:textId="3EB111DF" w:rsidR="00461E80" w:rsidRPr="00D74AAB" w:rsidRDefault="00461E80" w:rsidP="00461E80">
            <w:pPr>
              <w:pStyle w:val="Tabletext"/>
            </w:pPr>
            <w:r w:rsidRPr="00D74AAB">
              <w:rPr>
                <w:color w:val="000000"/>
              </w:rPr>
              <w:t>Tobramycin</w:t>
            </w:r>
          </w:p>
        </w:tc>
        <w:tc>
          <w:tcPr>
            <w:tcW w:w="2268" w:type="dxa"/>
            <w:shd w:val="clear" w:color="auto" w:fill="auto"/>
          </w:tcPr>
          <w:p w14:paraId="74F1D9F9" w14:textId="796E37F6" w:rsidR="00461E80" w:rsidRPr="00D74AAB" w:rsidRDefault="00461E80" w:rsidP="00461E80">
            <w:pPr>
              <w:pStyle w:val="Tabletext"/>
            </w:pPr>
            <w:r w:rsidRPr="00D74AAB">
              <w:rPr>
                <w:color w:val="000000"/>
              </w:rPr>
              <w:t>Injection 80 mg in 2 mL</w:t>
            </w:r>
          </w:p>
        </w:tc>
        <w:tc>
          <w:tcPr>
            <w:tcW w:w="1383" w:type="dxa"/>
            <w:shd w:val="clear" w:color="auto" w:fill="auto"/>
          </w:tcPr>
          <w:p w14:paraId="7D442B33" w14:textId="34FB4474" w:rsidR="00461E80" w:rsidRPr="00D74AAB" w:rsidRDefault="00461E80" w:rsidP="00461E80">
            <w:pPr>
              <w:pStyle w:val="Tabletext"/>
            </w:pPr>
            <w:r w:rsidRPr="00D74AAB">
              <w:rPr>
                <w:color w:val="000000"/>
              </w:rPr>
              <w:t>Injection</w:t>
            </w:r>
          </w:p>
        </w:tc>
        <w:tc>
          <w:tcPr>
            <w:tcW w:w="2160" w:type="dxa"/>
            <w:shd w:val="clear" w:color="auto" w:fill="auto"/>
          </w:tcPr>
          <w:p w14:paraId="3B3A4C92" w14:textId="497A75B3" w:rsidR="00461E80" w:rsidRPr="00D74AAB" w:rsidRDefault="00461E80" w:rsidP="00461E80">
            <w:pPr>
              <w:pStyle w:val="Tabletext"/>
            </w:pPr>
            <w:r w:rsidRPr="00D74AAB">
              <w:rPr>
                <w:color w:val="000000"/>
              </w:rPr>
              <w:t>DBL Tobramycin</w:t>
            </w:r>
          </w:p>
        </w:tc>
        <w:tc>
          <w:tcPr>
            <w:tcW w:w="2126" w:type="dxa"/>
            <w:shd w:val="clear" w:color="auto" w:fill="auto"/>
          </w:tcPr>
          <w:p w14:paraId="46985F6B" w14:textId="16D64EED" w:rsidR="00461E80" w:rsidRPr="00D74AAB" w:rsidRDefault="00461E80" w:rsidP="00137277">
            <w:pPr>
              <w:pStyle w:val="Tabletext"/>
              <w:rPr>
                <w:rFonts w:cstheme="minorBidi"/>
                <w:color w:val="000000"/>
              </w:rPr>
            </w:pPr>
            <w:r w:rsidRPr="00D74AAB">
              <w:rPr>
                <w:rFonts w:cstheme="minorBidi"/>
                <w:color w:val="000000"/>
              </w:rPr>
              <w:t>Between 1 October 2023 and 30 November 2023—0 months stock by reference to usual demand</w:t>
            </w:r>
          </w:p>
        </w:tc>
      </w:tr>
    </w:tbl>
    <w:p w14:paraId="4DF49321" w14:textId="50AB67B0" w:rsidR="00461E80" w:rsidRPr="00D74AAB" w:rsidRDefault="00265AD7" w:rsidP="00461E80">
      <w:pPr>
        <w:pStyle w:val="ItemHead"/>
      </w:pPr>
      <w:r w:rsidRPr="00D74AAB">
        <w:lastRenderedPageBreak/>
        <w:t>2</w:t>
      </w:r>
      <w:r w:rsidR="00917F99" w:rsidRPr="00D74AAB">
        <w:t>3</w:t>
      </w:r>
      <w:r w:rsidR="00461E80" w:rsidRPr="00D74AAB">
        <w:t xml:space="preserve">  Schedule 1</w:t>
      </w:r>
    </w:p>
    <w:p w14:paraId="3ABD408A"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75985AF4" w14:textId="77777777" w:rsidTr="00137277">
        <w:tc>
          <w:tcPr>
            <w:tcW w:w="1832" w:type="dxa"/>
            <w:shd w:val="clear" w:color="auto" w:fill="auto"/>
          </w:tcPr>
          <w:p w14:paraId="0961C906" w14:textId="3840C76F" w:rsidR="00461E80" w:rsidRPr="00D74AAB" w:rsidRDefault="00461E80" w:rsidP="00461E80">
            <w:pPr>
              <w:pStyle w:val="Tabletext"/>
            </w:pPr>
            <w:r w:rsidRPr="00D74AAB">
              <w:rPr>
                <w:color w:val="000000"/>
              </w:rPr>
              <w:t>Valproic acid</w:t>
            </w:r>
          </w:p>
        </w:tc>
        <w:tc>
          <w:tcPr>
            <w:tcW w:w="2268" w:type="dxa"/>
            <w:shd w:val="clear" w:color="auto" w:fill="auto"/>
          </w:tcPr>
          <w:p w14:paraId="0769AB52" w14:textId="497484E6" w:rsidR="00461E80" w:rsidRPr="00D74AAB" w:rsidRDefault="00461E80" w:rsidP="00461E80">
            <w:pPr>
              <w:pStyle w:val="Tabletext"/>
            </w:pPr>
            <w:r w:rsidRPr="00D74AAB">
              <w:rPr>
                <w:color w:val="000000"/>
              </w:rPr>
              <w:t>Tablet, crushable, containing sodium valproate 100 mg</w:t>
            </w:r>
          </w:p>
        </w:tc>
        <w:tc>
          <w:tcPr>
            <w:tcW w:w="1383" w:type="dxa"/>
            <w:shd w:val="clear" w:color="auto" w:fill="auto"/>
          </w:tcPr>
          <w:p w14:paraId="7BDE2ED8" w14:textId="45FB5B55" w:rsidR="00461E80" w:rsidRPr="00D74AAB" w:rsidRDefault="00461E80" w:rsidP="00461E80">
            <w:pPr>
              <w:pStyle w:val="Tabletext"/>
            </w:pPr>
            <w:r w:rsidRPr="00D74AAB">
              <w:rPr>
                <w:color w:val="000000"/>
              </w:rPr>
              <w:t>Oral</w:t>
            </w:r>
          </w:p>
        </w:tc>
        <w:tc>
          <w:tcPr>
            <w:tcW w:w="2160" w:type="dxa"/>
            <w:shd w:val="clear" w:color="auto" w:fill="auto"/>
          </w:tcPr>
          <w:p w14:paraId="15B80E4E" w14:textId="28F978C0" w:rsidR="00461E80" w:rsidRPr="00D74AAB" w:rsidRDefault="00461E80" w:rsidP="00461E80">
            <w:pPr>
              <w:pStyle w:val="Tabletext"/>
            </w:pPr>
            <w:r w:rsidRPr="00D74AAB">
              <w:rPr>
                <w:color w:val="000000"/>
              </w:rPr>
              <w:t>Epilim</w:t>
            </w:r>
          </w:p>
        </w:tc>
        <w:tc>
          <w:tcPr>
            <w:tcW w:w="2126" w:type="dxa"/>
            <w:shd w:val="clear" w:color="auto" w:fill="auto"/>
          </w:tcPr>
          <w:p w14:paraId="5109874C" w14:textId="5994C6EF" w:rsidR="00461E80" w:rsidRPr="00D74AAB" w:rsidRDefault="00461E80" w:rsidP="00137277">
            <w:pPr>
              <w:spacing w:line="240" w:lineRule="auto"/>
            </w:pPr>
            <w:r w:rsidRPr="00D74AAB">
              <w:rPr>
                <w:color w:val="000000"/>
                <w:sz w:val="20"/>
              </w:rPr>
              <w:t>4 months stock by reference to usual PBS demand</w:t>
            </w:r>
          </w:p>
        </w:tc>
      </w:tr>
    </w:tbl>
    <w:p w14:paraId="70E63581"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5D708E1F" w14:textId="77777777" w:rsidTr="00137277">
        <w:tc>
          <w:tcPr>
            <w:tcW w:w="1832" w:type="dxa"/>
            <w:tcBorders>
              <w:bottom w:val="single" w:sz="4" w:space="0" w:color="auto"/>
            </w:tcBorders>
            <w:shd w:val="clear" w:color="auto" w:fill="auto"/>
          </w:tcPr>
          <w:p w14:paraId="4A9F813C" w14:textId="6571B7D6" w:rsidR="00461E80" w:rsidRPr="00D74AAB" w:rsidRDefault="00461E80" w:rsidP="00461E80">
            <w:pPr>
              <w:pStyle w:val="Tabletext"/>
            </w:pPr>
            <w:r w:rsidRPr="00D74AAB">
              <w:rPr>
                <w:color w:val="000000"/>
              </w:rPr>
              <w:t>Vancomycin</w:t>
            </w:r>
          </w:p>
        </w:tc>
        <w:tc>
          <w:tcPr>
            <w:tcW w:w="2268" w:type="dxa"/>
            <w:tcBorders>
              <w:bottom w:val="single" w:sz="4" w:space="0" w:color="auto"/>
            </w:tcBorders>
            <w:shd w:val="clear" w:color="auto" w:fill="auto"/>
          </w:tcPr>
          <w:p w14:paraId="642DBFE0" w14:textId="4D9C9B8B" w:rsidR="00461E80" w:rsidRPr="00D74AAB" w:rsidRDefault="00461E80" w:rsidP="00461E80">
            <w:pPr>
              <w:pStyle w:val="Tabletext"/>
            </w:pPr>
            <w:r w:rsidRPr="00D74AAB">
              <w:rPr>
                <w:color w:val="000000"/>
              </w:rPr>
              <w:t>Powder for injection 1 g (1,000,000 I.U.) (as hydrochloride)</w:t>
            </w:r>
          </w:p>
        </w:tc>
        <w:tc>
          <w:tcPr>
            <w:tcW w:w="1383" w:type="dxa"/>
            <w:tcBorders>
              <w:bottom w:val="single" w:sz="4" w:space="0" w:color="auto"/>
            </w:tcBorders>
            <w:shd w:val="clear" w:color="auto" w:fill="auto"/>
          </w:tcPr>
          <w:p w14:paraId="4A26CF7D" w14:textId="2B0CECB7" w:rsidR="00461E80" w:rsidRPr="00D74AAB" w:rsidRDefault="00461E80" w:rsidP="00461E80">
            <w:pPr>
              <w:pStyle w:val="Tabletext"/>
            </w:pPr>
            <w:r w:rsidRPr="00D74AAB">
              <w:rPr>
                <w:color w:val="000000"/>
              </w:rPr>
              <w:t>Injection</w:t>
            </w:r>
          </w:p>
        </w:tc>
        <w:tc>
          <w:tcPr>
            <w:tcW w:w="2160" w:type="dxa"/>
            <w:tcBorders>
              <w:bottom w:val="single" w:sz="4" w:space="0" w:color="auto"/>
            </w:tcBorders>
            <w:shd w:val="clear" w:color="auto" w:fill="auto"/>
          </w:tcPr>
          <w:p w14:paraId="4DF2C374" w14:textId="5CC8093F" w:rsidR="00461E80" w:rsidRPr="00D74AAB" w:rsidRDefault="00461E80" w:rsidP="00461E80">
            <w:pPr>
              <w:pStyle w:val="Tabletext"/>
            </w:pPr>
            <w:r w:rsidRPr="00D74AAB">
              <w:rPr>
                <w:color w:val="000000"/>
              </w:rPr>
              <w:t xml:space="preserve">Vancomycin </w:t>
            </w:r>
            <w:proofErr w:type="spellStart"/>
            <w:r w:rsidRPr="00D74AAB">
              <w:rPr>
                <w:color w:val="000000"/>
              </w:rPr>
              <w:t>Viatris</w:t>
            </w:r>
            <w:proofErr w:type="spellEnd"/>
          </w:p>
        </w:tc>
        <w:tc>
          <w:tcPr>
            <w:tcW w:w="2126" w:type="dxa"/>
            <w:tcBorders>
              <w:bottom w:val="single" w:sz="4" w:space="0" w:color="auto"/>
            </w:tcBorders>
            <w:shd w:val="clear" w:color="auto" w:fill="auto"/>
          </w:tcPr>
          <w:p w14:paraId="75411932" w14:textId="598F084C" w:rsidR="00461E80" w:rsidRPr="00D74AAB" w:rsidRDefault="00461E80" w:rsidP="00137277">
            <w:pPr>
              <w:pStyle w:val="Tabletext"/>
              <w:rPr>
                <w:rFonts w:cstheme="minorBidi"/>
                <w:color w:val="000000"/>
              </w:rPr>
            </w:pPr>
            <w:r w:rsidRPr="00D74AAB">
              <w:rPr>
                <w:rFonts w:cstheme="minorBidi"/>
                <w:color w:val="000000"/>
              </w:rPr>
              <w:t>Between 1 October 2023 and 30 November 2023—0 months stock by reference to usual demand</w:t>
            </w:r>
          </w:p>
        </w:tc>
      </w:tr>
      <w:tr w:rsidR="00461E80" w:rsidRPr="00D74AAB" w14:paraId="4A64056A" w14:textId="77777777" w:rsidTr="00137277">
        <w:tc>
          <w:tcPr>
            <w:tcW w:w="1832" w:type="dxa"/>
            <w:tcBorders>
              <w:top w:val="single" w:sz="4" w:space="0" w:color="auto"/>
            </w:tcBorders>
            <w:shd w:val="clear" w:color="auto" w:fill="auto"/>
          </w:tcPr>
          <w:p w14:paraId="420917F3" w14:textId="0261682F" w:rsidR="00461E80" w:rsidRPr="00D74AAB" w:rsidRDefault="00461E80" w:rsidP="00461E80">
            <w:pPr>
              <w:pStyle w:val="Tabletext"/>
            </w:pPr>
            <w:r w:rsidRPr="00D74AAB">
              <w:rPr>
                <w:color w:val="000000"/>
              </w:rPr>
              <w:t>Vancomycin</w:t>
            </w:r>
          </w:p>
        </w:tc>
        <w:tc>
          <w:tcPr>
            <w:tcW w:w="2268" w:type="dxa"/>
            <w:tcBorders>
              <w:top w:val="single" w:sz="4" w:space="0" w:color="auto"/>
            </w:tcBorders>
            <w:shd w:val="clear" w:color="auto" w:fill="auto"/>
          </w:tcPr>
          <w:p w14:paraId="71E89333" w14:textId="3DEA61BC" w:rsidR="00461E80" w:rsidRPr="00D74AAB" w:rsidRDefault="00461E80" w:rsidP="00461E80">
            <w:pPr>
              <w:pStyle w:val="Tabletext"/>
            </w:pPr>
            <w:r w:rsidRPr="00D74AAB">
              <w:rPr>
                <w:color w:val="000000"/>
              </w:rPr>
              <w:t>Powder for injection 500 mg (500,000 I.U.) (as hydrochloride)</w:t>
            </w:r>
          </w:p>
        </w:tc>
        <w:tc>
          <w:tcPr>
            <w:tcW w:w="1383" w:type="dxa"/>
            <w:tcBorders>
              <w:top w:val="single" w:sz="4" w:space="0" w:color="auto"/>
            </w:tcBorders>
            <w:shd w:val="clear" w:color="auto" w:fill="auto"/>
          </w:tcPr>
          <w:p w14:paraId="02640823" w14:textId="129AC8C1" w:rsidR="00461E80" w:rsidRPr="00D74AAB" w:rsidRDefault="00461E80" w:rsidP="00461E80">
            <w:pPr>
              <w:pStyle w:val="Tabletext"/>
            </w:pPr>
            <w:r w:rsidRPr="00D74AAB">
              <w:rPr>
                <w:color w:val="000000"/>
              </w:rPr>
              <w:t>Injection</w:t>
            </w:r>
          </w:p>
        </w:tc>
        <w:tc>
          <w:tcPr>
            <w:tcW w:w="2160" w:type="dxa"/>
            <w:tcBorders>
              <w:top w:val="single" w:sz="4" w:space="0" w:color="auto"/>
            </w:tcBorders>
            <w:shd w:val="clear" w:color="auto" w:fill="auto"/>
          </w:tcPr>
          <w:p w14:paraId="5298DCE3" w14:textId="44160EF8" w:rsidR="00461E80" w:rsidRPr="00D74AAB" w:rsidRDefault="00461E80" w:rsidP="00461E80">
            <w:pPr>
              <w:pStyle w:val="Tabletext"/>
            </w:pPr>
            <w:r w:rsidRPr="00D74AAB">
              <w:rPr>
                <w:color w:val="000000"/>
              </w:rPr>
              <w:t xml:space="preserve">Vancomycin </w:t>
            </w:r>
            <w:proofErr w:type="spellStart"/>
            <w:r w:rsidRPr="00D74AAB">
              <w:rPr>
                <w:color w:val="000000"/>
              </w:rPr>
              <w:t>Viatris</w:t>
            </w:r>
            <w:proofErr w:type="spellEnd"/>
          </w:p>
        </w:tc>
        <w:tc>
          <w:tcPr>
            <w:tcW w:w="2126" w:type="dxa"/>
            <w:tcBorders>
              <w:top w:val="single" w:sz="4" w:space="0" w:color="auto"/>
            </w:tcBorders>
            <w:shd w:val="clear" w:color="auto" w:fill="auto"/>
          </w:tcPr>
          <w:p w14:paraId="4D5ED6D2" w14:textId="1D25783B" w:rsidR="00461E80" w:rsidRPr="00D74AAB" w:rsidRDefault="00461E80" w:rsidP="00137277">
            <w:pPr>
              <w:pStyle w:val="Tabletext"/>
              <w:rPr>
                <w:rFonts w:cstheme="minorBidi"/>
                <w:color w:val="000000"/>
              </w:rPr>
            </w:pPr>
            <w:r w:rsidRPr="00D74AAB">
              <w:rPr>
                <w:rFonts w:cstheme="minorBidi"/>
                <w:color w:val="000000"/>
              </w:rPr>
              <w:t>Between 1 October 2023 and 30 November 2023—0 months stock by reference to usual demand</w:t>
            </w:r>
          </w:p>
        </w:tc>
      </w:tr>
    </w:tbl>
    <w:p w14:paraId="36710C8E" w14:textId="26C83555" w:rsidR="00461E80" w:rsidRPr="00D74AAB" w:rsidRDefault="00917F99" w:rsidP="00461E80">
      <w:pPr>
        <w:pStyle w:val="ItemHead"/>
      </w:pPr>
      <w:r w:rsidRPr="00D74AAB">
        <w:t>24</w:t>
      </w:r>
      <w:r w:rsidR="00461E80" w:rsidRPr="00D74AAB">
        <w:t xml:space="preserve">  Schedule 1</w:t>
      </w:r>
    </w:p>
    <w:p w14:paraId="29FB836C" w14:textId="77777777" w:rsidR="00461E80" w:rsidRPr="00D74AAB" w:rsidRDefault="00461E80" w:rsidP="00461E80">
      <w:pPr>
        <w:pStyle w:val="Item"/>
      </w:pPr>
      <w:r w:rsidRPr="00D74AAB">
        <w:t>After:</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D74AAB" w14:paraId="1767E440" w14:textId="77777777" w:rsidTr="00137277">
        <w:tc>
          <w:tcPr>
            <w:tcW w:w="1832" w:type="dxa"/>
            <w:shd w:val="clear" w:color="auto" w:fill="auto"/>
          </w:tcPr>
          <w:p w14:paraId="30ED85ED" w14:textId="60420D68" w:rsidR="00461E80" w:rsidRPr="00D74AAB" w:rsidRDefault="00461E80" w:rsidP="00461E80">
            <w:pPr>
              <w:pStyle w:val="Tabletext"/>
            </w:pPr>
            <w:r w:rsidRPr="00D74AAB">
              <w:rPr>
                <w:color w:val="000000"/>
              </w:rPr>
              <w:t>Voriconazole</w:t>
            </w:r>
          </w:p>
        </w:tc>
        <w:tc>
          <w:tcPr>
            <w:tcW w:w="2268" w:type="dxa"/>
            <w:shd w:val="clear" w:color="auto" w:fill="auto"/>
          </w:tcPr>
          <w:p w14:paraId="233797B6" w14:textId="3BE039F6" w:rsidR="00461E80" w:rsidRPr="00D74AAB" w:rsidRDefault="00461E80" w:rsidP="00461E80">
            <w:pPr>
              <w:pStyle w:val="Tabletext"/>
            </w:pPr>
            <w:r w:rsidRPr="00D74AAB">
              <w:rPr>
                <w:color w:val="000000"/>
              </w:rPr>
              <w:t>Powder for oral suspension 40 mg per mL, 70 mL</w:t>
            </w:r>
          </w:p>
        </w:tc>
        <w:tc>
          <w:tcPr>
            <w:tcW w:w="1383" w:type="dxa"/>
            <w:shd w:val="clear" w:color="auto" w:fill="auto"/>
          </w:tcPr>
          <w:p w14:paraId="26C3E6F4" w14:textId="72C8EF67" w:rsidR="00461E80" w:rsidRPr="00D74AAB" w:rsidRDefault="00461E80" w:rsidP="00461E80">
            <w:pPr>
              <w:pStyle w:val="Tabletext"/>
            </w:pPr>
            <w:r w:rsidRPr="00D74AAB">
              <w:rPr>
                <w:color w:val="000000"/>
              </w:rPr>
              <w:t>Oral</w:t>
            </w:r>
          </w:p>
        </w:tc>
        <w:tc>
          <w:tcPr>
            <w:tcW w:w="2160" w:type="dxa"/>
            <w:shd w:val="clear" w:color="auto" w:fill="auto"/>
          </w:tcPr>
          <w:p w14:paraId="447FDD35" w14:textId="76B9590A" w:rsidR="00461E80" w:rsidRPr="00D74AAB" w:rsidRDefault="00461E80" w:rsidP="00461E80">
            <w:pPr>
              <w:pStyle w:val="Tabletext"/>
            </w:pPr>
            <w:proofErr w:type="spellStart"/>
            <w:r w:rsidRPr="00D74AAB">
              <w:rPr>
                <w:color w:val="000000"/>
              </w:rPr>
              <w:t>Vfend</w:t>
            </w:r>
            <w:proofErr w:type="spellEnd"/>
          </w:p>
        </w:tc>
        <w:tc>
          <w:tcPr>
            <w:tcW w:w="2126" w:type="dxa"/>
            <w:shd w:val="clear" w:color="auto" w:fill="auto"/>
          </w:tcPr>
          <w:p w14:paraId="7856076D" w14:textId="09869C96" w:rsidR="00461E80" w:rsidRPr="00D74AAB" w:rsidRDefault="00461E80" w:rsidP="00137277">
            <w:pPr>
              <w:spacing w:line="240" w:lineRule="auto"/>
            </w:pPr>
            <w:r w:rsidRPr="00D74AAB">
              <w:rPr>
                <w:color w:val="000000"/>
                <w:sz w:val="20"/>
              </w:rPr>
              <w:t>4 months stock by reference to usual PBS demand</w:t>
            </w:r>
          </w:p>
        </w:tc>
      </w:tr>
    </w:tbl>
    <w:p w14:paraId="07AC2446" w14:textId="77777777" w:rsidR="00461E80" w:rsidRPr="00D74AAB" w:rsidRDefault="00461E80" w:rsidP="00461E80">
      <w:pPr>
        <w:pStyle w:val="Item"/>
      </w:pPr>
      <w:r w:rsidRPr="00D74AAB">
        <w:t>insert:</w:t>
      </w:r>
    </w:p>
    <w:tbl>
      <w:tblPr>
        <w:tblW w:w="9781" w:type="dxa"/>
        <w:tblInd w:w="-709" w:type="dxa"/>
        <w:tblLayout w:type="fixed"/>
        <w:tblLook w:val="0000" w:firstRow="0" w:lastRow="0" w:firstColumn="0" w:lastColumn="0" w:noHBand="0" w:noVBand="0"/>
      </w:tblPr>
      <w:tblGrid>
        <w:gridCol w:w="1833"/>
        <w:gridCol w:w="2271"/>
        <w:gridCol w:w="1385"/>
        <w:gridCol w:w="2163"/>
        <w:gridCol w:w="2129"/>
      </w:tblGrid>
      <w:tr w:rsidR="00461E80" w:rsidRPr="00C73A1C" w14:paraId="0A8CC3CA" w14:textId="77777777" w:rsidTr="00137277">
        <w:tc>
          <w:tcPr>
            <w:tcW w:w="1832" w:type="dxa"/>
            <w:shd w:val="clear" w:color="auto" w:fill="auto"/>
          </w:tcPr>
          <w:p w14:paraId="71F84DAB" w14:textId="0EAA7630" w:rsidR="00461E80" w:rsidRPr="00D74AAB" w:rsidRDefault="00461E80" w:rsidP="00461E80">
            <w:pPr>
              <w:pStyle w:val="Tabletext"/>
            </w:pPr>
            <w:r w:rsidRPr="00D74AAB">
              <w:rPr>
                <w:color w:val="000000"/>
              </w:rPr>
              <w:t>Voriconazole</w:t>
            </w:r>
          </w:p>
        </w:tc>
        <w:tc>
          <w:tcPr>
            <w:tcW w:w="2268" w:type="dxa"/>
            <w:shd w:val="clear" w:color="auto" w:fill="auto"/>
          </w:tcPr>
          <w:p w14:paraId="5DC89AD2" w14:textId="4D7B2E11" w:rsidR="00461E80" w:rsidRPr="00D74AAB" w:rsidRDefault="00461E80" w:rsidP="00461E80">
            <w:pPr>
              <w:pStyle w:val="Tabletext"/>
            </w:pPr>
            <w:r w:rsidRPr="00D74AAB">
              <w:rPr>
                <w:color w:val="000000"/>
              </w:rPr>
              <w:t>Tablet 50 mg</w:t>
            </w:r>
          </w:p>
        </w:tc>
        <w:tc>
          <w:tcPr>
            <w:tcW w:w="1383" w:type="dxa"/>
            <w:shd w:val="clear" w:color="auto" w:fill="auto"/>
          </w:tcPr>
          <w:p w14:paraId="73E8544F" w14:textId="2262A66F" w:rsidR="00461E80" w:rsidRPr="00D74AAB" w:rsidRDefault="00461E80" w:rsidP="00461E80">
            <w:pPr>
              <w:pStyle w:val="Tabletext"/>
            </w:pPr>
            <w:r w:rsidRPr="00D74AAB">
              <w:rPr>
                <w:color w:val="000000"/>
              </w:rPr>
              <w:t>Oral</w:t>
            </w:r>
          </w:p>
        </w:tc>
        <w:tc>
          <w:tcPr>
            <w:tcW w:w="2160" w:type="dxa"/>
            <w:shd w:val="clear" w:color="auto" w:fill="auto"/>
          </w:tcPr>
          <w:p w14:paraId="32F75BBA" w14:textId="02E3028E" w:rsidR="00461E80" w:rsidRPr="00D74AAB" w:rsidRDefault="00461E80" w:rsidP="00461E80">
            <w:pPr>
              <w:pStyle w:val="Tabletext"/>
            </w:pPr>
            <w:proofErr w:type="spellStart"/>
            <w:r w:rsidRPr="00D74AAB">
              <w:rPr>
                <w:color w:val="000000"/>
              </w:rPr>
              <w:t>Vfend</w:t>
            </w:r>
            <w:proofErr w:type="spellEnd"/>
          </w:p>
        </w:tc>
        <w:tc>
          <w:tcPr>
            <w:tcW w:w="2126" w:type="dxa"/>
            <w:shd w:val="clear" w:color="auto" w:fill="auto"/>
          </w:tcPr>
          <w:p w14:paraId="5686C051" w14:textId="483ED3A0" w:rsidR="00461E80" w:rsidRPr="00137277" w:rsidRDefault="00461E80" w:rsidP="00137277">
            <w:pPr>
              <w:pStyle w:val="Tabletext"/>
              <w:rPr>
                <w:rFonts w:cstheme="minorBidi"/>
                <w:color w:val="000000"/>
              </w:rPr>
            </w:pPr>
            <w:r w:rsidRPr="00D74AAB">
              <w:rPr>
                <w:rFonts w:cstheme="minorBidi"/>
                <w:color w:val="000000"/>
              </w:rPr>
              <w:t>Between 1 October 2023 and 30 November 2023—0 months stock by reference to usual demand</w:t>
            </w:r>
          </w:p>
        </w:tc>
      </w:tr>
    </w:tbl>
    <w:p w14:paraId="6BE18DE7" w14:textId="0182F3B1" w:rsidR="00A51204" w:rsidRPr="00C73A1C" w:rsidRDefault="00A51204" w:rsidP="00A51204">
      <w:pPr>
        <w:pStyle w:val="notedraft"/>
      </w:pPr>
    </w:p>
    <w:sectPr w:rsidR="00A51204" w:rsidRPr="00C73A1C"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F6AA" w14:textId="77777777" w:rsidR="00D0616F" w:rsidRDefault="00D0616F" w:rsidP="0048364F">
      <w:pPr>
        <w:spacing w:line="240" w:lineRule="auto"/>
      </w:pPr>
      <w:r>
        <w:separator/>
      </w:r>
    </w:p>
  </w:endnote>
  <w:endnote w:type="continuationSeparator" w:id="0">
    <w:p w14:paraId="3B9EA06E" w14:textId="77777777" w:rsidR="00D0616F" w:rsidRDefault="00D0616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19C1" w14:textId="77777777" w:rsidR="00D20A95" w:rsidRPr="005F1388" w:rsidRDefault="00D20A95" w:rsidP="00685F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BCA9" w14:textId="77777777" w:rsidR="00D20A95" w:rsidRDefault="00D20A95" w:rsidP="00E97334"/>
  <w:p w14:paraId="04418C92" w14:textId="77777777" w:rsidR="00D20A95" w:rsidRPr="00E97334" w:rsidRDefault="00D20A95"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86C9" w14:textId="77777777" w:rsidR="00D20A95" w:rsidRPr="00ED79B6" w:rsidRDefault="00D20A95"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5836" w14:textId="77777777" w:rsidR="00D20A95" w:rsidRPr="00E33C1C" w:rsidRDefault="00D20A9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20A95" w14:paraId="7710D75D" w14:textId="77777777" w:rsidTr="00C8115E">
      <w:tc>
        <w:tcPr>
          <w:tcW w:w="709" w:type="dxa"/>
          <w:tcBorders>
            <w:top w:val="nil"/>
            <w:left w:val="nil"/>
            <w:bottom w:val="nil"/>
            <w:right w:val="nil"/>
          </w:tcBorders>
        </w:tcPr>
        <w:p w14:paraId="35FDF106" w14:textId="77777777" w:rsidR="00D20A95" w:rsidRDefault="00D20A95" w:rsidP="00911F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A14521D" w14:textId="77777777" w:rsidR="00D20A95" w:rsidRDefault="00D20A95" w:rsidP="00911F87">
          <w:pPr>
            <w:spacing w:line="0" w:lineRule="atLeast"/>
            <w:jc w:val="center"/>
            <w:rPr>
              <w:sz w:val="18"/>
            </w:rPr>
          </w:pPr>
          <w:r w:rsidRPr="007A1328">
            <w:rPr>
              <w:i/>
              <w:sz w:val="18"/>
            </w:rPr>
            <w:fldChar w:fldCharType="begin"/>
          </w:r>
          <w:r w:rsidR="00B15BE2">
            <w:rPr>
              <w:i/>
              <w:sz w:val="18"/>
            </w:rPr>
            <w:instrText xml:space="preserve"> STYLEREF ShortT </w:instrText>
          </w:r>
          <w:r w:rsidRPr="007A1328">
            <w:rPr>
              <w:i/>
              <w:sz w:val="18"/>
            </w:rPr>
            <w:fldChar w:fldCharType="separate"/>
          </w:r>
          <w:r w:rsidR="007936DE">
            <w:rPr>
              <w:i/>
              <w:noProof/>
              <w:sz w:val="18"/>
            </w:rPr>
            <w:t>National Health (Minimum Stockholding) Amendment Determination (No. number) Year [TEMPLATE]</w:t>
          </w:r>
          <w:r w:rsidRPr="007A1328">
            <w:rPr>
              <w:i/>
              <w:sz w:val="18"/>
            </w:rPr>
            <w:fldChar w:fldCharType="end"/>
          </w:r>
        </w:p>
      </w:tc>
      <w:tc>
        <w:tcPr>
          <w:tcW w:w="1384" w:type="dxa"/>
          <w:tcBorders>
            <w:top w:val="nil"/>
            <w:left w:val="nil"/>
            <w:bottom w:val="nil"/>
            <w:right w:val="nil"/>
          </w:tcBorders>
        </w:tcPr>
        <w:p w14:paraId="289F01B2" w14:textId="77777777" w:rsidR="00D20A95" w:rsidRDefault="00D20A95" w:rsidP="00911F87">
          <w:pPr>
            <w:spacing w:line="0" w:lineRule="atLeast"/>
            <w:jc w:val="right"/>
            <w:rPr>
              <w:sz w:val="18"/>
            </w:rPr>
          </w:pPr>
        </w:p>
      </w:tc>
    </w:tr>
  </w:tbl>
  <w:p w14:paraId="5C22F27C" w14:textId="77777777" w:rsidR="00D20A95" w:rsidRPr="00ED79B6" w:rsidRDefault="00D20A95"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B445" w14:textId="77777777" w:rsidR="00D20A95" w:rsidRPr="00E33C1C" w:rsidRDefault="00D20A9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20A95" w14:paraId="3E1C3872" w14:textId="77777777" w:rsidTr="00C8115E">
      <w:tc>
        <w:tcPr>
          <w:tcW w:w="1383" w:type="dxa"/>
          <w:tcBorders>
            <w:top w:val="nil"/>
            <w:left w:val="nil"/>
            <w:bottom w:val="nil"/>
            <w:right w:val="nil"/>
          </w:tcBorders>
        </w:tcPr>
        <w:p w14:paraId="377EA83D" w14:textId="77777777" w:rsidR="00D20A95" w:rsidRDefault="00D20A95" w:rsidP="00911F87">
          <w:pPr>
            <w:spacing w:line="0" w:lineRule="atLeast"/>
            <w:rPr>
              <w:sz w:val="18"/>
            </w:rPr>
          </w:pPr>
        </w:p>
      </w:tc>
      <w:tc>
        <w:tcPr>
          <w:tcW w:w="6379" w:type="dxa"/>
          <w:tcBorders>
            <w:top w:val="nil"/>
            <w:left w:val="nil"/>
            <w:bottom w:val="nil"/>
            <w:right w:val="nil"/>
          </w:tcBorders>
        </w:tcPr>
        <w:p w14:paraId="1108F897" w14:textId="676C9B9C" w:rsidR="00D20A95" w:rsidRDefault="00070258" w:rsidP="00911F87">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D74AAB">
            <w:rPr>
              <w:i/>
              <w:noProof/>
              <w:sz w:val="18"/>
            </w:rPr>
            <w:t>National Health (Minimum Stockholding) Amendment Determination (No. 1) 2023</w:t>
          </w:r>
          <w:r>
            <w:rPr>
              <w:i/>
              <w:sz w:val="18"/>
            </w:rPr>
            <w:fldChar w:fldCharType="end"/>
          </w:r>
        </w:p>
      </w:tc>
      <w:tc>
        <w:tcPr>
          <w:tcW w:w="710" w:type="dxa"/>
          <w:tcBorders>
            <w:top w:val="nil"/>
            <w:left w:val="nil"/>
            <w:bottom w:val="nil"/>
            <w:right w:val="nil"/>
          </w:tcBorders>
        </w:tcPr>
        <w:p w14:paraId="203576D3" w14:textId="77777777" w:rsidR="00D20A95" w:rsidRDefault="00D20A95" w:rsidP="00911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BAE454E" w14:textId="77777777" w:rsidR="00D20A95" w:rsidRPr="00ED79B6" w:rsidRDefault="00D20A95"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E32A" w14:textId="77777777" w:rsidR="00D20A95" w:rsidRPr="00E33C1C" w:rsidRDefault="00D20A95" w:rsidP="009C59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D20A95" w14:paraId="70DB5581" w14:textId="77777777" w:rsidTr="00FB1C68">
      <w:tc>
        <w:tcPr>
          <w:tcW w:w="418" w:type="pct"/>
          <w:tcBorders>
            <w:top w:val="nil"/>
            <w:left w:val="nil"/>
            <w:bottom w:val="nil"/>
            <w:right w:val="nil"/>
          </w:tcBorders>
        </w:tcPr>
        <w:p w14:paraId="73269E31" w14:textId="77777777" w:rsidR="00D20A95" w:rsidRDefault="00D20A95" w:rsidP="00911F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765" w:type="pct"/>
          <w:tcBorders>
            <w:top w:val="nil"/>
            <w:left w:val="nil"/>
            <w:bottom w:val="nil"/>
            <w:right w:val="nil"/>
          </w:tcBorders>
        </w:tcPr>
        <w:p w14:paraId="2B8FB922" w14:textId="71DBC19C" w:rsidR="00D20A95" w:rsidRDefault="00070258" w:rsidP="00911F87">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D74AAB">
            <w:rPr>
              <w:i/>
              <w:noProof/>
              <w:sz w:val="18"/>
            </w:rPr>
            <w:t>National Health (Minimum Stockholding) Amendment Determination (No. 1) 2023</w:t>
          </w:r>
          <w:r>
            <w:rPr>
              <w:i/>
              <w:sz w:val="18"/>
            </w:rPr>
            <w:fldChar w:fldCharType="end"/>
          </w:r>
        </w:p>
      </w:tc>
      <w:tc>
        <w:tcPr>
          <w:tcW w:w="817" w:type="pct"/>
          <w:tcBorders>
            <w:top w:val="nil"/>
            <w:left w:val="nil"/>
            <w:bottom w:val="nil"/>
            <w:right w:val="nil"/>
          </w:tcBorders>
        </w:tcPr>
        <w:p w14:paraId="43BE2697" w14:textId="77777777" w:rsidR="00D20A95" w:rsidRDefault="00D20A95" w:rsidP="00911F87">
          <w:pPr>
            <w:spacing w:line="0" w:lineRule="atLeast"/>
            <w:jc w:val="right"/>
            <w:rPr>
              <w:sz w:val="18"/>
            </w:rPr>
          </w:pPr>
        </w:p>
      </w:tc>
    </w:tr>
  </w:tbl>
  <w:p w14:paraId="296C3039" w14:textId="77777777" w:rsidR="00D20A95" w:rsidRPr="00ED79B6" w:rsidRDefault="00D20A95"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299F" w14:textId="77777777" w:rsidR="00D20A95" w:rsidRPr="00E33C1C" w:rsidRDefault="00D20A95" w:rsidP="009C59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D20A95" w14:paraId="0E409682" w14:textId="77777777" w:rsidTr="00FB1C68">
      <w:trPr>
        <w:trHeight w:val="433"/>
      </w:trPr>
      <w:tc>
        <w:tcPr>
          <w:tcW w:w="817" w:type="pct"/>
          <w:tcBorders>
            <w:top w:val="nil"/>
            <w:left w:val="nil"/>
            <w:bottom w:val="nil"/>
            <w:right w:val="nil"/>
          </w:tcBorders>
        </w:tcPr>
        <w:p w14:paraId="78908C01" w14:textId="77777777" w:rsidR="00D20A95" w:rsidRDefault="00D20A95" w:rsidP="00911F87">
          <w:pPr>
            <w:spacing w:line="0" w:lineRule="atLeast"/>
            <w:rPr>
              <w:sz w:val="18"/>
            </w:rPr>
          </w:pPr>
        </w:p>
      </w:tc>
      <w:tc>
        <w:tcPr>
          <w:tcW w:w="3765" w:type="pct"/>
          <w:tcBorders>
            <w:top w:val="nil"/>
            <w:left w:val="nil"/>
            <w:bottom w:val="nil"/>
            <w:right w:val="nil"/>
          </w:tcBorders>
        </w:tcPr>
        <w:p w14:paraId="5C57FAFF" w14:textId="379F75F2" w:rsidR="00D20A95" w:rsidRDefault="00070258" w:rsidP="00911F87">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D74AAB">
            <w:rPr>
              <w:i/>
              <w:noProof/>
              <w:sz w:val="18"/>
            </w:rPr>
            <w:t>National Health (Minimum Stockholding) Amendment Determination (No. 1) 2023</w:t>
          </w:r>
          <w:r>
            <w:rPr>
              <w:i/>
              <w:sz w:val="18"/>
            </w:rPr>
            <w:fldChar w:fldCharType="end"/>
          </w:r>
        </w:p>
      </w:tc>
      <w:tc>
        <w:tcPr>
          <w:tcW w:w="418" w:type="pct"/>
          <w:tcBorders>
            <w:top w:val="nil"/>
            <w:left w:val="nil"/>
            <w:bottom w:val="nil"/>
            <w:right w:val="nil"/>
          </w:tcBorders>
        </w:tcPr>
        <w:p w14:paraId="3644F38F" w14:textId="77777777" w:rsidR="00D20A95" w:rsidRDefault="00D20A95" w:rsidP="00911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EDABFBC" w14:textId="77777777" w:rsidR="00D20A95" w:rsidRPr="00ED79B6" w:rsidRDefault="00D20A95"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6960" w14:textId="77777777" w:rsidR="00D20A95" w:rsidRPr="00E33C1C" w:rsidRDefault="00D20A9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20A95" w14:paraId="1A094247" w14:textId="77777777" w:rsidTr="007A6863">
      <w:tc>
        <w:tcPr>
          <w:tcW w:w="1384" w:type="dxa"/>
          <w:tcBorders>
            <w:top w:val="nil"/>
            <w:left w:val="nil"/>
            <w:bottom w:val="nil"/>
            <w:right w:val="nil"/>
          </w:tcBorders>
        </w:tcPr>
        <w:p w14:paraId="307069E2" w14:textId="77777777" w:rsidR="00D20A95" w:rsidRDefault="00D20A95" w:rsidP="00911F87">
          <w:pPr>
            <w:spacing w:line="0" w:lineRule="atLeast"/>
            <w:rPr>
              <w:sz w:val="18"/>
            </w:rPr>
          </w:pPr>
        </w:p>
      </w:tc>
      <w:tc>
        <w:tcPr>
          <w:tcW w:w="6379" w:type="dxa"/>
          <w:tcBorders>
            <w:top w:val="nil"/>
            <w:left w:val="nil"/>
            <w:bottom w:val="nil"/>
            <w:right w:val="nil"/>
          </w:tcBorders>
        </w:tcPr>
        <w:p w14:paraId="639ACD0E" w14:textId="77777777" w:rsidR="00D20A95" w:rsidRDefault="00D20A95" w:rsidP="00911F87">
          <w:pPr>
            <w:spacing w:line="0" w:lineRule="atLeast"/>
            <w:jc w:val="center"/>
            <w:rPr>
              <w:sz w:val="18"/>
            </w:rPr>
          </w:pPr>
          <w:r w:rsidRPr="007A1328">
            <w:rPr>
              <w:i/>
              <w:sz w:val="18"/>
            </w:rPr>
            <w:fldChar w:fldCharType="begin"/>
          </w:r>
          <w:r w:rsidR="00B15BE2">
            <w:rPr>
              <w:i/>
              <w:sz w:val="18"/>
            </w:rPr>
            <w:instrText xml:space="preserve"> STYLEREF ShortT </w:instrText>
          </w:r>
          <w:r w:rsidRPr="007A1328">
            <w:rPr>
              <w:i/>
              <w:sz w:val="18"/>
            </w:rPr>
            <w:fldChar w:fldCharType="separate"/>
          </w:r>
          <w:r w:rsidR="007936DE">
            <w:rPr>
              <w:i/>
              <w:noProof/>
              <w:sz w:val="18"/>
            </w:rPr>
            <w:t>National Health (Minimum Stockholding) Amendment Determination (No. number) Year [TEMPLATE]</w:t>
          </w:r>
          <w:r w:rsidRPr="007A1328">
            <w:rPr>
              <w:i/>
              <w:sz w:val="18"/>
            </w:rPr>
            <w:fldChar w:fldCharType="end"/>
          </w:r>
        </w:p>
      </w:tc>
      <w:tc>
        <w:tcPr>
          <w:tcW w:w="709" w:type="dxa"/>
          <w:tcBorders>
            <w:top w:val="nil"/>
            <w:left w:val="nil"/>
            <w:bottom w:val="nil"/>
            <w:right w:val="nil"/>
          </w:tcBorders>
        </w:tcPr>
        <w:p w14:paraId="44B976A4" w14:textId="77777777" w:rsidR="00D20A95" w:rsidRDefault="00D20A95" w:rsidP="00911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0406951" w14:textId="77777777" w:rsidR="00D20A95" w:rsidRPr="00ED79B6" w:rsidRDefault="00D20A9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FD61" w14:textId="77777777" w:rsidR="00D0616F" w:rsidRDefault="00D0616F" w:rsidP="0048364F">
      <w:pPr>
        <w:spacing w:line="240" w:lineRule="auto"/>
      </w:pPr>
      <w:r>
        <w:separator/>
      </w:r>
    </w:p>
  </w:footnote>
  <w:footnote w:type="continuationSeparator" w:id="0">
    <w:p w14:paraId="3CE2AB04" w14:textId="77777777" w:rsidR="00D0616F" w:rsidRDefault="00D0616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8462" w14:textId="77777777" w:rsidR="00B6042E" w:rsidRDefault="00B6042E" w:rsidP="0048364F">
    <w:pPr>
      <w:pStyle w:val="Header"/>
      <w:tabs>
        <w:tab w:val="clear" w:pos="4150"/>
        <w:tab w:val="clear" w:pos="8307"/>
      </w:tabs>
    </w:pPr>
  </w:p>
  <w:p w14:paraId="7503871A" w14:textId="77777777" w:rsidR="00D20A95" w:rsidRPr="005F1388" w:rsidRDefault="00D20A9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D392" w14:textId="77777777" w:rsidR="00B6042E" w:rsidRDefault="00B6042E" w:rsidP="0048364F">
    <w:pPr>
      <w:pStyle w:val="Header"/>
      <w:tabs>
        <w:tab w:val="clear" w:pos="4150"/>
        <w:tab w:val="clear" w:pos="8307"/>
      </w:tabs>
    </w:pPr>
  </w:p>
  <w:p w14:paraId="32D940D6" w14:textId="77777777" w:rsidR="00D20A95" w:rsidRPr="005F1388" w:rsidRDefault="00D20A9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A0A5" w14:textId="77777777" w:rsidR="00B6042E" w:rsidRDefault="00B6042E" w:rsidP="0048364F">
    <w:pPr>
      <w:pStyle w:val="Header"/>
      <w:tabs>
        <w:tab w:val="clear" w:pos="4150"/>
        <w:tab w:val="clear" w:pos="8307"/>
      </w:tabs>
    </w:pPr>
  </w:p>
  <w:p w14:paraId="0FCEB7FB" w14:textId="77777777" w:rsidR="00D20A95" w:rsidRPr="005F1388" w:rsidRDefault="00D20A9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A9A5" w14:textId="77777777" w:rsidR="00B6042E" w:rsidRDefault="00B6042E" w:rsidP="00220A0C">
    <w:pPr>
      <w:pBdr>
        <w:bottom w:val="single" w:sz="6" w:space="1" w:color="auto"/>
      </w:pBdr>
      <w:spacing w:before="1000"/>
    </w:pPr>
  </w:p>
  <w:p w14:paraId="1C0DE7ED" w14:textId="77777777" w:rsidR="00D20A95" w:rsidRPr="00ED79B6" w:rsidRDefault="00D20A9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7881" w14:textId="77777777" w:rsidR="00B6042E" w:rsidRDefault="00B6042E" w:rsidP="00220A0C">
    <w:pPr>
      <w:pBdr>
        <w:bottom w:val="single" w:sz="6" w:space="1" w:color="auto"/>
      </w:pBdr>
      <w:spacing w:before="1000" w:line="240" w:lineRule="auto"/>
    </w:pPr>
  </w:p>
  <w:p w14:paraId="5394D9E2" w14:textId="77777777" w:rsidR="00D20A95" w:rsidRPr="00ED79B6" w:rsidRDefault="00D20A9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BAC1" w14:textId="77777777" w:rsidR="00B6042E" w:rsidRDefault="00B6042E" w:rsidP="0048364F">
    <w:pPr>
      <w:pStyle w:val="Header"/>
      <w:tabs>
        <w:tab w:val="clear" w:pos="4150"/>
        <w:tab w:val="clear" w:pos="8307"/>
      </w:tabs>
    </w:pPr>
  </w:p>
  <w:p w14:paraId="39124299" w14:textId="77777777" w:rsidR="00D20A95" w:rsidRPr="00ED79B6" w:rsidRDefault="00D20A9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DC9D" w14:textId="77777777" w:rsidR="00D20A95" w:rsidRPr="00A961C4" w:rsidRDefault="00D20A95" w:rsidP="0048364F">
    <w:pPr>
      <w:rPr>
        <w:b/>
        <w:sz w:val="20"/>
      </w:rPr>
    </w:pPr>
  </w:p>
  <w:p w14:paraId="0A664995" w14:textId="77777777" w:rsidR="00D20A95" w:rsidRPr="00A961C4" w:rsidRDefault="00D20A95" w:rsidP="0048364F">
    <w:pPr>
      <w:rPr>
        <w:b/>
        <w:sz w:val="20"/>
      </w:rPr>
    </w:pPr>
  </w:p>
  <w:p w14:paraId="112184BE" w14:textId="77777777" w:rsidR="00D20A95" w:rsidRPr="00A961C4" w:rsidRDefault="00D20A9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F30E" w14:textId="77777777" w:rsidR="00B6042E" w:rsidRDefault="00B6042E" w:rsidP="0048364F">
    <w:pPr>
      <w:jc w:val="right"/>
      <w:rPr>
        <w:sz w:val="20"/>
      </w:rPr>
    </w:pPr>
  </w:p>
  <w:p w14:paraId="2F222D57" w14:textId="77777777" w:rsidR="00D20A95" w:rsidRPr="00A961C4" w:rsidRDefault="00D20A95" w:rsidP="0048364F">
    <w:pPr>
      <w:jc w:val="right"/>
      <w:rPr>
        <w:b/>
        <w:sz w:val="20"/>
      </w:rPr>
    </w:pPr>
  </w:p>
  <w:p w14:paraId="4D32207F" w14:textId="77777777" w:rsidR="00D20A95" w:rsidRPr="00A961C4" w:rsidRDefault="00D20A9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1A6F" w14:textId="77777777" w:rsidR="00D20A95" w:rsidRPr="00A961C4" w:rsidRDefault="00D20A9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6F9C718C"/>
    <w:multiLevelType w:val="hybridMultilevel"/>
    <w:tmpl w:val="0E3C7AF8"/>
    <w:lvl w:ilvl="0" w:tplc="A4EA484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2041468756">
    <w:abstractNumId w:val="9"/>
  </w:num>
  <w:num w:numId="2" w16cid:durableId="893390771">
    <w:abstractNumId w:val="7"/>
  </w:num>
  <w:num w:numId="3" w16cid:durableId="216279825">
    <w:abstractNumId w:val="6"/>
  </w:num>
  <w:num w:numId="4" w16cid:durableId="1258907315">
    <w:abstractNumId w:val="5"/>
  </w:num>
  <w:num w:numId="5" w16cid:durableId="73207574">
    <w:abstractNumId w:val="4"/>
  </w:num>
  <w:num w:numId="6" w16cid:durableId="63143535">
    <w:abstractNumId w:val="8"/>
  </w:num>
  <w:num w:numId="7" w16cid:durableId="755978051">
    <w:abstractNumId w:val="3"/>
  </w:num>
  <w:num w:numId="8" w16cid:durableId="1440444625">
    <w:abstractNumId w:val="2"/>
  </w:num>
  <w:num w:numId="9" w16cid:durableId="1965849937">
    <w:abstractNumId w:val="1"/>
  </w:num>
  <w:num w:numId="10" w16cid:durableId="1798529661">
    <w:abstractNumId w:val="0"/>
  </w:num>
  <w:num w:numId="11" w16cid:durableId="798572302">
    <w:abstractNumId w:val="16"/>
  </w:num>
  <w:num w:numId="12" w16cid:durableId="287123062">
    <w:abstractNumId w:val="11"/>
  </w:num>
  <w:num w:numId="13" w16cid:durableId="1085804994">
    <w:abstractNumId w:val="12"/>
  </w:num>
  <w:num w:numId="14" w16cid:durableId="1244922760">
    <w:abstractNumId w:val="15"/>
  </w:num>
  <w:num w:numId="15" w16cid:durableId="726419721">
    <w:abstractNumId w:val="13"/>
  </w:num>
  <w:num w:numId="16" w16cid:durableId="1303269264">
    <w:abstractNumId w:val="10"/>
  </w:num>
  <w:num w:numId="17" w16cid:durableId="424422036">
    <w:abstractNumId w:val="18"/>
  </w:num>
  <w:num w:numId="18" w16cid:durableId="833492649">
    <w:abstractNumId w:val="17"/>
  </w:num>
  <w:num w:numId="19" w16cid:durableId="1241913445">
    <w:abstractNumId w:val="14"/>
  </w:num>
  <w:num w:numId="20" w16cid:durableId="9752996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29097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DE"/>
    <w:rsid w:val="00000263"/>
    <w:rsid w:val="000113BC"/>
    <w:rsid w:val="000136AF"/>
    <w:rsid w:val="000229B7"/>
    <w:rsid w:val="00036E24"/>
    <w:rsid w:val="0004044E"/>
    <w:rsid w:val="00046F47"/>
    <w:rsid w:val="0005120E"/>
    <w:rsid w:val="00054577"/>
    <w:rsid w:val="000614BF"/>
    <w:rsid w:val="00070258"/>
    <w:rsid w:val="0007169C"/>
    <w:rsid w:val="00077593"/>
    <w:rsid w:val="00083F48"/>
    <w:rsid w:val="000924B6"/>
    <w:rsid w:val="0009777A"/>
    <w:rsid w:val="000A7DF9"/>
    <w:rsid w:val="000C719B"/>
    <w:rsid w:val="000D05EF"/>
    <w:rsid w:val="000D5485"/>
    <w:rsid w:val="000F21C1"/>
    <w:rsid w:val="00100F94"/>
    <w:rsid w:val="00105D72"/>
    <w:rsid w:val="0010745C"/>
    <w:rsid w:val="00117277"/>
    <w:rsid w:val="00137277"/>
    <w:rsid w:val="00143D0E"/>
    <w:rsid w:val="00155873"/>
    <w:rsid w:val="00160BD7"/>
    <w:rsid w:val="00160D94"/>
    <w:rsid w:val="00162EDC"/>
    <w:rsid w:val="001643C9"/>
    <w:rsid w:val="00164CE3"/>
    <w:rsid w:val="00165568"/>
    <w:rsid w:val="00166082"/>
    <w:rsid w:val="00166C2F"/>
    <w:rsid w:val="001716C9"/>
    <w:rsid w:val="001826BF"/>
    <w:rsid w:val="00184261"/>
    <w:rsid w:val="00190BA1"/>
    <w:rsid w:val="00190DF5"/>
    <w:rsid w:val="00193461"/>
    <w:rsid w:val="001939E1"/>
    <w:rsid w:val="00195382"/>
    <w:rsid w:val="001A3B9F"/>
    <w:rsid w:val="001A4302"/>
    <w:rsid w:val="001A65C0"/>
    <w:rsid w:val="001B13BC"/>
    <w:rsid w:val="001B53B7"/>
    <w:rsid w:val="001B6456"/>
    <w:rsid w:val="001B7A5D"/>
    <w:rsid w:val="001C69C4"/>
    <w:rsid w:val="001E0A8D"/>
    <w:rsid w:val="001E3590"/>
    <w:rsid w:val="001E72E2"/>
    <w:rsid w:val="001E7407"/>
    <w:rsid w:val="00201D27"/>
    <w:rsid w:val="0020300C"/>
    <w:rsid w:val="00220A0C"/>
    <w:rsid w:val="00223835"/>
    <w:rsid w:val="00223E4A"/>
    <w:rsid w:val="002302EA"/>
    <w:rsid w:val="00237D72"/>
    <w:rsid w:val="00240749"/>
    <w:rsid w:val="00243A61"/>
    <w:rsid w:val="002468D7"/>
    <w:rsid w:val="00263886"/>
    <w:rsid w:val="002651E7"/>
    <w:rsid w:val="00265AD7"/>
    <w:rsid w:val="00274963"/>
    <w:rsid w:val="00280877"/>
    <w:rsid w:val="00285CDD"/>
    <w:rsid w:val="00291167"/>
    <w:rsid w:val="00297ECB"/>
    <w:rsid w:val="002B5163"/>
    <w:rsid w:val="002B574C"/>
    <w:rsid w:val="002C152A"/>
    <w:rsid w:val="002D043A"/>
    <w:rsid w:val="002D5246"/>
    <w:rsid w:val="0031713F"/>
    <w:rsid w:val="00321913"/>
    <w:rsid w:val="00323179"/>
    <w:rsid w:val="00324EE6"/>
    <w:rsid w:val="003301D5"/>
    <w:rsid w:val="003316DC"/>
    <w:rsid w:val="00332E0D"/>
    <w:rsid w:val="00341137"/>
    <w:rsid w:val="003415D3"/>
    <w:rsid w:val="00346335"/>
    <w:rsid w:val="00352B0F"/>
    <w:rsid w:val="00354A4B"/>
    <w:rsid w:val="003561B0"/>
    <w:rsid w:val="00363711"/>
    <w:rsid w:val="00367960"/>
    <w:rsid w:val="00384A30"/>
    <w:rsid w:val="003873DD"/>
    <w:rsid w:val="00393AAC"/>
    <w:rsid w:val="003A0283"/>
    <w:rsid w:val="003A15AC"/>
    <w:rsid w:val="003A56EB"/>
    <w:rsid w:val="003B0627"/>
    <w:rsid w:val="003B0E17"/>
    <w:rsid w:val="003C5F2B"/>
    <w:rsid w:val="003D0BFE"/>
    <w:rsid w:val="003D460E"/>
    <w:rsid w:val="003D5700"/>
    <w:rsid w:val="003F0F5A"/>
    <w:rsid w:val="00400A30"/>
    <w:rsid w:val="004022CA"/>
    <w:rsid w:val="004116CD"/>
    <w:rsid w:val="00414ADE"/>
    <w:rsid w:val="00421FBE"/>
    <w:rsid w:val="00424CA9"/>
    <w:rsid w:val="004257BB"/>
    <w:rsid w:val="004261D9"/>
    <w:rsid w:val="0044291A"/>
    <w:rsid w:val="004516C0"/>
    <w:rsid w:val="00457189"/>
    <w:rsid w:val="00460499"/>
    <w:rsid w:val="00460786"/>
    <w:rsid w:val="00461E80"/>
    <w:rsid w:val="00474835"/>
    <w:rsid w:val="004819C7"/>
    <w:rsid w:val="0048364F"/>
    <w:rsid w:val="0048437F"/>
    <w:rsid w:val="00490F2E"/>
    <w:rsid w:val="00496DB3"/>
    <w:rsid w:val="00496F97"/>
    <w:rsid w:val="004A53EA"/>
    <w:rsid w:val="004B1634"/>
    <w:rsid w:val="004B545F"/>
    <w:rsid w:val="004B7ABF"/>
    <w:rsid w:val="004B7CDB"/>
    <w:rsid w:val="004F1FAC"/>
    <w:rsid w:val="004F676E"/>
    <w:rsid w:val="00503255"/>
    <w:rsid w:val="00516B8D"/>
    <w:rsid w:val="0052686F"/>
    <w:rsid w:val="0052756C"/>
    <w:rsid w:val="00530230"/>
    <w:rsid w:val="00530CC9"/>
    <w:rsid w:val="00535F7E"/>
    <w:rsid w:val="00537FBC"/>
    <w:rsid w:val="00541D73"/>
    <w:rsid w:val="00543469"/>
    <w:rsid w:val="005452CC"/>
    <w:rsid w:val="00546FA3"/>
    <w:rsid w:val="0055113A"/>
    <w:rsid w:val="0055368D"/>
    <w:rsid w:val="00554243"/>
    <w:rsid w:val="00557C7A"/>
    <w:rsid w:val="005623CE"/>
    <w:rsid w:val="00562A58"/>
    <w:rsid w:val="00570C1F"/>
    <w:rsid w:val="00570FF7"/>
    <w:rsid w:val="00581211"/>
    <w:rsid w:val="00584811"/>
    <w:rsid w:val="00593AA6"/>
    <w:rsid w:val="00594161"/>
    <w:rsid w:val="00594512"/>
    <w:rsid w:val="00594749"/>
    <w:rsid w:val="005A0A60"/>
    <w:rsid w:val="005A403B"/>
    <w:rsid w:val="005A482B"/>
    <w:rsid w:val="005B13F9"/>
    <w:rsid w:val="005B4067"/>
    <w:rsid w:val="005C1E95"/>
    <w:rsid w:val="005C36E0"/>
    <w:rsid w:val="005C3F41"/>
    <w:rsid w:val="005D168D"/>
    <w:rsid w:val="005D20C6"/>
    <w:rsid w:val="005D5EA1"/>
    <w:rsid w:val="005E61D3"/>
    <w:rsid w:val="005F4840"/>
    <w:rsid w:val="005F7738"/>
    <w:rsid w:val="00600219"/>
    <w:rsid w:val="006134C7"/>
    <w:rsid w:val="00613EAD"/>
    <w:rsid w:val="006158AC"/>
    <w:rsid w:val="006322FB"/>
    <w:rsid w:val="00637E8F"/>
    <w:rsid w:val="00640402"/>
    <w:rsid w:val="00640F78"/>
    <w:rsid w:val="00646E7B"/>
    <w:rsid w:val="00655D6A"/>
    <w:rsid w:val="00656DE9"/>
    <w:rsid w:val="006674BD"/>
    <w:rsid w:val="00676E15"/>
    <w:rsid w:val="00677CC2"/>
    <w:rsid w:val="00685F42"/>
    <w:rsid w:val="006866A1"/>
    <w:rsid w:val="0069207B"/>
    <w:rsid w:val="006A4309"/>
    <w:rsid w:val="006B0E55"/>
    <w:rsid w:val="006B3E76"/>
    <w:rsid w:val="006B7006"/>
    <w:rsid w:val="006C7F8C"/>
    <w:rsid w:val="006D7AB9"/>
    <w:rsid w:val="006E5572"/>
    <w:rsid w:val="00700B2C"/>
    <w:rsid w:val="007035FF"/>
    <w:rsid w:val="00713084"/>
    <w:rsid w:val="00720FC2"/>
    <w:rsid w:val="00731E00"/>
    <w:rsid w:val="00732E9D"/>
    <w:rsid w:val="0073491A"/>
    <w:rsid w:val="00741C05"/>
    <w:rsid w:val="007432A9"/>
    <w:rsid w:val="007440B7"/>
    <w:rsid w:val="00747993"/>
    <w:rsid w:val="007634AD"/>
    <w:rsid w:val="007715C9"/>
    <w:rsid w:val="00774EDD"/>
    <w:rsid w:val="007757EC"/>
    <w:rsid w:val="007936DE"/>
    <w:rsid w:val="007A0D01"/>
    <w:rsid w:val="007A115D"/>
    <w:rsid w:val="007A35E6"/>
    <w:rsid w:val="007A6863"/>
    <w:rsid w:val="007D45C1"/>
    <w:rsid w:val="007E4C75"/>
    <w:rsid w:val="007E7D4A"/>
    <w:rsid w:val="007F120D"/>
    <w:rsid w:val="007F48ED"/>
    <w:rsid w:val="007F5DAC"/>
    <w:rsid w:val="007F7947"/>
    <w:rsid w:val="007F7DFB"/>
    <w:rsid w:val="008073F6"/>
    <w:rsid w:val="008129AB"/>
    <w:rsid w:val="00812F45"/>
    <w:rsid w:val="008210D5"/>
    <w:rsid w:val="00823120"/>
    <w:rsid w:val="0082327D"/>
    <w:rsid w:val="00823B55"/>
    <w:rsid w:val="0084172C"/>
    <w:rsid w:val="00856A31"/>
    <w:rsid w:val="00862DDF"/>
    <w:rsid w:val="00863C91"/>
    <w:rsid w:val="00867FC7"/>
    <w:rsid w:val="008754D0"/>
    <w:rsid w:val="00877D48"/>
    <w:rsid w:val="008816F0"/>
    <w:rsid w:val="0088345B"/>
    <w:rsid w:val="008A16A5"/>
    <w:rsid w:val="008B000B"/>
    <w:rsid w:val="008B3F5B"/>
    <w:rsid w:val="008B5D42"/>
    <w:rsid w:val="008C2B5D"/>
    <w:rsid w:val="008D0EE0"/>
    <w:rsid w:val="008D4D91"/>
    <w:rsid w:val="008D5B99"/>
    <w:rsid w:val="008D7A27"/>
    <w:rsid w:val="008E28CE"/>
    <w:rsid w:val="008E4702"/>
    <w:rsid w:val="008E69AA"/>
    <w:rsid w:val="008F4F1C"/>
    <w:rsid w:val="0091002E"/>
    <w:rsid w:val="00911F87"/>
    <w:rsid w:val="00917F99"/>
    <w:rsid w:val="00922764"/>
    <w:rsid w:val="0093098D"/>
    <w:rsid w:val="00932377"/>
    <w:rsid w:val="00935781"/>
    <w:rsid w:val="009408EA"/>
    <w:rsid w:val="00943102"/>
    <w:rsid w:val="00943A92"/>
    <w:rsid w:val="0094523D"/>
    <w:rsid w:val="009559E6"/>
    <w:rsid w:val="009560C3"/>
    <w:rsid w:val="00960C90"/>
    <w:rsid w:val="0097516A"/>
    <w:rsid w:val="0097617C"/>
    <w:rsid w:val="00976A63"/>
    <w:rsid w:val="00983419"/>
    <w:rsid w:val="00994821"/>
    <w:rsid w:val="009A14D2"/>
    <w:rsid w:val="009C3431"/>
    <w:rsid w:val="009C37B0"/>
    <w:rsid w:val="009C4C35"/>
    <w:rsid w:val="009C5989"/>
    <w:rsid w:val="009D08DA"/>
    <w:rsid w:val="00A06860"/>
    <w:rsid w:val="00A136F5"/>
    <w:rsid w:val="00A231E2"/>
    <w:rsid w:val="00A2550D"/>
    <w:rsid w:val="00A3027B"/>
    <w:rsid w:val="00A4169B"/>
    <w:rsid w:val="00A445F2"/>
    <w:rsid w:val="00A45BE8"/>
    <w:rsid w:val="00A50D55"/>
    <w:rsid w:val="00A51204"/>
    <w:rsid w:val="00A5165B"/>
    <w:rsid w:val="00A52FDA"/>
    <w:rsid w:val="00A64912"/>
    <w:rsid w:val="00A70A74"/>
    <w:rsid w:val="00A74DC2"/>
    <w:rsid w:val="00A83E0E"/>
    <w:rsid w:val="00A90EA8"/>
    <w:rsid w:val="00AA0343"/>
    <w:rsid w:val="00AA2A5C"/>
    <w:rsid w:val="00AA48B9"/>
    <w:rsid w:val="00AB3D76"/>
    <w:rsid w:val="00AB78E9"/>
    <w:rsid w:val="00AC2E36"/>
    <w:rsid w:val="00AD3467"/>
    <w:rsid w:val="00AD5641"/>
    <w:rsid w:val="00AD7252"/>
    <w:rsid w:val="00AE0F9B"/>
    <w:rsid w:val="00AF55FF"/>
    <w:rsid w:val="00B02782"/>
    <w:rsid w:val="00B032D8"/>
    <w:rsid w:val="00B15292"/>
    <w:rsid w:val="00B15BE2"/>
    <w:rsid w:val="00B22487"/>
    <w:rsid w:val="00B33B3C"/>
    <w:rsid w:val="00B40D74"/>
    <w:rsid w:val="00B41F7B"/>
    <w:rsid w:val="00B52663"/>
    <w:rsid w:val="00B56DCB"/>
    <w:rsid w:val="00B57970"/>
    <w:rsid w:val="00B6042E"/>
    <w:rsid w:val="00B74828"/>
    <w:rsid w:val="00B770D2"/>
    <w:rsid w:val="00B92B6E"/>
    <w:rsid w:val="00B94F68"/>
    <w:rsid w:val="00BA47A3"/>
    <w:rsid w:val="00BA5026"/>
    <w:rsid w:val="00BB5244"/>
    <w:rsid w:val="00BB6E79"/>
    <w:rsid w:val="00BC00C8"/>
    <w:rsid w:val="00BE3B31"/>
    <w:rsid w:val="00BE3F05"/>
    <w:rsid w:val="00BE4C99"/>
    <w:rsid w:val="00BE719A"/>
    <w:rsid w:val="00BE720A"/>
    <w:rsid w:val="00BF6650"/>
    <w:rsid w:val="00C01368"/>
    <w:rsid w:val="00C04D6E"/>
    <w:rsid w:val="00C067E5"/>
    <w:rsid w:val="00C12AE5"/>
    <w:rsid w:val="00C15854"/>
    <w:rsid w:val="00C164CA"/>
    <w:rsid w:val="00C3227A"/>
    <w:rsid w:val="00C42BF8"/>
    <w:rsid w:val="00C460AE"/>
    <w:rsid w:val="00C50043"/>
    <w:rsid w:val="00C50A0F"/>
    <w:rsid w:val="00C63C14"/>
    <w:rsid w:val="00C71A14"/>
    <w:rsid w:val="00C73A1C"/>
    <w:rsid w:val="00C7573B"/>
    <w:rsid w:val="00C76CF3"/>
    <w:rsid w:val="00C8115E"/>
    <w:rsid w:val="00C839C0"/>
    <w:rsid w:val="00CA7844"/>
    <w:rsid w:val="00CA7FB9"/>
    <w:rsid w:val="00CB58EF"/>
    <w:rsid w:val="00CE7D64"/>
    <w:rsid w:val="00CF0BB2"/>
    <w:rsid w:val="00D005DC"/>
    <w:rsid w:val="00D0616F"/>
    <w:rsid w:val="00D13441"/>
    <w:rsid w:val="00D16351"/>
    <w:rsid w:val="00D20665"/>
    <w:rsid w:val="00D20A95"/>
    <w:rsid w:val="00D20F46"/>
    <w:rsid w:val="00D243A3"/>
    <w:rsid w:val="00D25CA7"/>
    <w:rsid w:val="00D2645E"/>
    <w:rsid w:val="00D3200B"/>
    <w:rsid w:val="00D33440"/>
    <w:rsid w:val="00D52EFE"/>
    <w:rsid w:val="00D56A0D"/>
    <w:rsid w:val="00D5767F"/>
    <w:rsid w:val="00D63EF6"/>
    <w:rsid w:val="00D66518"/>
    <w:rsid w:val="00D70DFB"/>
    <w:rsid w:val="00D71EEA"/>
    <w:rsid w:val="00D735CD"/>
    <w:rsid w:val="00D74AAB"/>
    <w:rsid w:val="00D766DF"/>
    <w:rsid w:val="00D83AF7"/>
    <w:rsid w:val="00D95891"/>
    <w:rsid w:val="00D9687C"/>
    <w:rsid w:val="00DA031D"/>
    <w:rsid w:val="00DB462F"/>
    <w:rsid w:val="00DB4AE1"/>
    <w:rsid w:val="00DB5CB4"/>
    <w:rsid w:val="00DC6A48"/>
    <w:rsid w:val="00DD4367"/>
    <w:rsid w:val="00DE149E"/>
    <w:rsid w:val="00E05704"/>
    <w:rsid w:val="00E12F1A"/>
    <w:rsid w:val="00E15561"/>
    <w:rsid w:val="00E21CFB"/>
    <w:rsid w:val="00E22935"/>
    <w:rsid w:val="00E3445F"/>
    <w:rsid w:val="00E54292"/>
    <w:rsid w:val="00E60191"/>
    <w:rsid w:val="00E74DC7"/>
    <w:rsid w:val="00E85EBD"/>
    <w:rsid w:val="00E87699"/>
    <w:rsid w:val="00E91E5C"/>
    <w:rsid w:val="00E92E27"/>
    <w:rsid w:val="00E9586B"/>
    <w:rsid w:val="00E97334"/>
    <w:rsid w:val="00EA05B4"/>
    <w:rsid w:val="00EA0D36"/>
    <w:rsid w:val="00EB7CD8"/>
    <w:rsid w:val="00ED4928"/>
    <w:rsid w:val="00EE3749"/>
    <w:rsid w:val="00EE6190"/>
    <w:rsid w:val="00EF119B"/>
    <w:rsid w:val="00EF2E3A"/>
    <w:rsid w:val="00EF307F"/>
    <w:rsid w:val="00EF6402"/>
    <w:rsid w:val="00EF774C"/>
    <w:rsid w:val="00F02269"/>
    <w:rsid w:val="00F025DF"/>
    <w:rsid w:val="00F0387D"/>
    <w:rsid w:val="00F047E2"/>
    <w:rsid w:val="00F04D57"/>
    <w:rsid w:val="00F078DC"/>
    <w:rsid w:val="00F13E86"/>
    <w:rsid w:val="00F241BE"/>
    <w:rsid w:val="00F32FCB"/>
    <w:rsid w:val="00F36150"/>
    <w:rsid w:val="00F60C0B"/>
    <w:rsid w:val="00F62CD4"/>
    <w:rsid w:val="00F63C45"/>
    <w:rsid w:val="00F6709F"/>
    <w:rsid w:val="00F677A9"/>
    <w:rsid w:val="00F723BD"/>
    <w:rsid w:val="00F732EA"/>
    <w:rsid w:val="00F84CF5"/>
    <w:rsid w:val="00F8612E"/>
    <w:rsid w:val="00F908EF"/>
    <w:rsid w:val="00F95760"/>
    <w:rsid w:val="00FA420B"/>
    <w:rsid w:val="00FB1C68"/>
    <w:rsid w:val="00FB6D65"/>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61E80"/>
    <w:pPr>
      <w:spacing w:line="260" w:lineRule="atLeast"/>
    </w:pPr>
    <w:rPr>
      <w:sz w:val="22"/>
    </w:rPr>
  </w:style>
  <w:style w:type="paragraph" w:styleId="Heading1">
    <w:name w:val="heading 1"/>
    <w:basedOn w:val="Normal"/>
    <w:next w:val="Normal"/>
    <w:link w:val="Heading1Char"/>
    <w:uiPriority w:val="9"/>
    <w:qFormat/>
    <w:rsid w:val="00C73A1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A1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3A1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3A1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3A1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73A1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73A1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73A1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73A1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73A1C"/>
  </w:style>
  <w:style w:type="paragraph" w:customStyle="1" w:styleId="OPCParaBase">
    <w:name w:val="OPCParaBase"/>
    <w:qFormat/>
    <w:rsid w:val="00C73A1C"/>
    <w:pPr>
      <w:spacing w:line="260" w:lineRule="atLeast"/>
    </w:pPr>
    <w:rPr>
      <w:rFonts w:eastAsia="Times New Roman" w:cs="Times New Roman"/>
      <w:sz w:val="22"/>
      <w:lang w:eastAsia="en-AU"/>
    </w:rPr>
  </w:style>
  <w:style w:type="paragraph" w:customStyle="1" w:styleId="ShortT">
    <w:name w:val="ShortT"/>
    <w:basedOn w:val="OPCParaBase"/>
    <w:next w:val="Normal"/>
    <w:qFormat/>
    <w:rsid w:val="00C73A1C"/>
    <w:pPr>
      <w:spacing w:line="240" w:lineRule="auto"/>
    </w:pPr>
    <w:rPr>
      <w:b/>
      <w:sz w:val="40"/>
    </w:rPr>
  </w:style>
  <w:style w:type="paragraph" w:customStyle="1" w:styleId="ActHead1">
    <w:name w:val="ActHead 1"/>
    <w:aliases w:val="c"/>
    <w:basedOn w:val="OPCParaBase"/>
    <w:next w:val="Normal"/>
    <w:qFormat/>
    <w:rsid w:val="00C73A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3A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3A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3A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73A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3A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3A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3A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3A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3A1C"/>
  </w:style>
  <w:style w:type="paragraph" w:customStyle="1" w:styleId="Blocks">
    <w:name w:val="Blocks"/>
    <w:aliases w:val="bb"/>
    <w:basedOn w:val="OPCParaBase"/>
    <w:qFormat/>
    <w:rsid w:val="00C73A1C"/>
    <w:pPr>
      <w:spacing w:line="240" w:lineRule="auto"/>
    </w:pPr>
    <w:rPr>
      <w:sz w:val="24"/>
    </w:rPr>
  </w:style>
  <w:style w:type="paragraph" w:customStyle="1" w:styleId="BoxText">
    <w:name w:val="BoxText"/>
    <w:aliases w:val="bt"/>
    <w:basedOn w:val="OPCParaBase"/>
    <w:qFormat/>
    <w:rsid w:val="00C73A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3A1C"/>
    <w:rPr>
      <w:b/>
    </w:rPr>
  </w:style>
  <w:style w:type="paragraph" w:customStyle="1" w:styleId="BoxHeadItalic">
    <w:name w:val="BoxHeadItalic"/>
    <w:aliases w:val="bhi"/>
    <w:basedOn w:val="BoxText"/>
    <w:next w:val="BoxStep"/>
    <w:qFormat/>
    <w:rsid w:val="00C73A1C"/>
    <w:rPr>
      <w:i/>
    </w:rPr>
  </w:style>
  <w:style w:type="paragraph" w:customStyle="1" w:styleId="BoxList">
    <w:name w:val="BoxList"/>
    <w:aliases w:val="bl"/>
    <w:basedOn w:val="BoxText"/>
    <w:qFormat/>
    <w:rsid w:val="00C73A1C"/>
    <w:pPr>
      <w:ind w:left="1559" w:hanging="425"/>
    </w:pPr>
  </w:style>
  <w:style w:type="paragraph" w:customStyle="1" w:styleId="BoxNote">
    <w:name w:val="BoxNote"/>
    <w:aliases w:val="bn"/>
    <w:basedOn w:val="BoxText"/>
    <w:qFormat/>
    <w:rsid w:val="00C73A1C"/>
    <w:pPr>
      <w:tabs>
        <w:tab w:val="left" w:pos="1985"/>
      </w:tabs>
      <w:spacing w:before="122" w:line="198" w:lineRule="exact"/>
      <w:ind w:left="2948" w:hanging="1814"/>
    </w:pPr>
    <w:rPr>
      <w:sz w:val="18"/>
    </w:rPr>
  </w:style>
  <w:style w:type="paragraph" w:customStyle="1" w:styleId="BoxPara">
    <w:name w:val="BoxPara"/>
    <w:aliases w:val="bp"/>
    <w:basedOn w:val="BoxText"/>
    <w:qFormat/>
    <w:rsid w:val="00C73A1C"/>
    <w:pPr>
      <w:tabs>
        <w:tab w:val="right" w:pos="2268"/>
      </w:tabs>
      <w:ind w:left="2552" w:hanging="1418"/>
    </w:pPr>
  </w:style>
  <w:style w:type="paragraph" w:customStyle="1" w:styleId="BoxStep">
    <w:name w:val="BoxStep"/>
    <w:aliases w:val="bs"/>
    <w:basedOn w:val="BoxText"/>
    <w:qFormat/>
    <w:rsid w:val="00C73A1C"/>
    <w:pPr>
      <w:ind w:left="1985" w:hanging="851"/>
    </w:pPr>
  </w:style>
  <w:style w:type="character" w:customStyle="1" w:styleId="CharAmPartNo">
    <w:name w:val="CharAmPartNo"/>
    <w:basedOn w:val="OPCCharBase"/>
    <w:qFormat/>
    <w:rsid w:val="00C73A1C"/>
  </w:style>
  <w:style w:type="character" w:customStyle="1" w:styleId="CharAmPartText">
    <w:name w:val="CharAmPartText"/>
    <w:basedOn w:val="OPCCharBase"/>
    <w:qFormat/>
    <w:rsid w:val="00C73A1C"/>
  </w:style>
  <w:style w:type="character" w:customStyle="1" w:styleId="CharAmSchNo">
    <w:name w:val="CharAmSchNo"/>
    <w:basedOn w:val="OPCCharBase"/>
    <w:qFormat/>
    <w:rsid w:val="00C73A1C"/>
  </w:style>
  <w:style w:type="character" w:customStyle="1" w:styleId="CharAmSchText">
    <w:name w:val="CharAmSchText"/>
    <w:basedOn w:val="OPCCharBase"/>
    <w:qFormat/>
    <w:rsid w:val="00C73A1C"/>
  </w:style>
  <w:style w:type="character" w:customStyle="1" w:styleId="CharBoldItalic">
    <w:name w:val="CharBoldItalic"/>
    <w:basedOn w:val="OPCCharBase"/>
    <w:uiPriority w:val="1"/>
    <w:qFormat/>
    <w:rsid w:val="00C73A1C"/>
    <w:rPr>
      <w:b/>
      <w:i/>
    </w:rPr>
  </w:style>
  <w:style w:type="character" w:customStyle="1" w:styleId="CharChapNo">
    <w:name w:val="CharChapNo"/>
    <w:basedOn w:val="OPCCharBase"/>
    <w:uiPriority w:val="1"/>
    <w:qFormat/>
    <w:rsid w:val="00C73A1C"/>
  </w:style>
  <w:style w:type="character" w:customStyle="1" w:styleId="CharChapText">
    <w:name w:val="CharChapText"/>
    <w:basedOn w:val="OPCCharBase"/>
    <w:uiPriority w:val="1"/>
    <w:qFormat/>
    <w:rsid w:val="00C73A1C"/>
  </w:style>
  <w:style w:type="character" w:customStyle="1" w:styleId="CharDivNo">
    <w:name w:val="CharDivNo"/>
    <w:basedOn w:val="OPCCharBase"/>
    <w:uiPriority w:val="1"/>
    <w:qFormat/>
    <w:rsid w:val="00C73A1C"/>
  </w:style>
  <w:style w:type="character" w:customStyle="1" w:styleId="CharDivText">
    <w:name w:val="CharDivText"/>
    <w:basedOn w:val="OPCCharBase"/>
    <w:uiPriority w:val="1"/>
    <w:qFormat/>
    <w:rsid w:val="00C73A1C"/>
  </w:style>
  <w:style w:type="character" w:customStyle="1" w:styleId="CharItalic">
    <w:name w:val="CharItalic"/>
    <w:basedOn w:val="OPCCharBase"/>
    <w:uiPriority w:val="1"/>
    <w:qFormat/>
    <w:rsid w:val="00C73A1C"/>
    <w:rPr>
      <w:i/>
    </w:rPr>
  </w:style>
  <w:style w:type="character" w:customStyle="1" w:styleId="CharPartNo">
    <w:name w:val="CharPartNo"/>
    <w:basedOn w:val="OPCCharBase"/>
    <w:uiPriority w:val="1"/>
    <w:qFormat/>
    <w:rsid w:val="00C73A1C"/>
  </w:style>
  <w:style w:type="character" w:customStyle="1" w:styleId="CharPartText">
    <w:name w:val="CharPartText"/>
    <w:basedOn w:val="OPCCharBase"/>
    <w:uiPriority w:val="1"/>
    <w:qFormat/>
    <w:rsid w:val="00C73A1C"/>
  </w:style>
  <w:style w:type="character" w:customStyle="1" w:styleId="CharSectno">
    <w:name w:val="CharSectno"/>
    <w:basedOn w:val="OPCCharBase"/>
    <w:qFormat/>
    <w:rsid w:val="00C73A1C"/>
  </w:style>
  <w:style w:type="character" w:customStyle="1" w:styleId="CharSubdNo">
    <w:name w:val="CharSubdNo"/>
    <w:basedOn w:val="OPCCharBase"/>
    <w:uiPriority w:val="1"/>
    <w:qFormat/>
    <w:rsid w:val="00C73A1C"/>
  </w:style>
  <w:style w:type="character" w:customStyle="1" w:styleId="CharSubdText">
    <w:name w:val="CharSubdText"/>
    <w:basedOn w:val="OPCCharBase"/>
    <w:uiPriority w:val="1"/>
    <w:qFormat/>
    <w:rsid w:val="00C73A1C"/>
  </w:style>
  <w:style w:type="paragraph" w:customStyle="1" w:styleId="CTA--">
    <w:name w:val="CTA --"/>
    <w:basedOn w:val="OPCParaBase"/>
    <w:next w:val="Normal"/>
    <w:rsid w:val="00C73A1C"/>
    <w:pPr>
      <w:spacing w:before="60" w:line="240" w:lineRule="atLeast"/>
      <w:ind w:left="142" w:hanging="142"/>
    </w:pPr>
    <w:rPr>
      <w:sz w:val="20"/>
    </w:rPr>
  </w:style>
  <w:style w:type="paragraph" w:customStyle="1" w:styleId="CTA-">
    <w:name w:val="CTA -"/>
    <w:basedOn w:val="OPCParaBase"/>
    <w:rsid w:val="00C73A1C"/>
    <w:pPr>
      <w:spacing w:before="60" w:line="240" w:lineRule="atLeast"/>
      <w:ind w:left="85" w:hanging="85"/>
    </w:pPr>
    <w:rPr>
      <w:sz w:val="20"/>
    </w:rPr>
  </w:style>
  <w:style w:type="paragraph" w:customStyle="1" w:styleId="CTA---">
    <w:name w:val="CTA ---"/>
    <w:basedOn w:val="OPCParaBase"/>
    <w:next w:val="Normal"/>
    <w:rsid w:val="00C73A1C"/>
    <w:pPr>
      <w:spacing w:before="60" w:line="240" w:lineRule="atLeast"/>
      <w:ind w:left="198" w:hanging="198"/>
    </w:pPr>
    <w:rPr>
      <w:sz w:val="20"/>
    </w:rPr>
  </w:style>
  <w:style w:type="paragraph" w:customStyle="1" w:styleId="CTA----">
    <w:name w:val="CTA ----"/>
    <w:basedOn w:val="OPCParaBase"/>
    <w:next w:val="Normal"/>
    <w:rsid w:val="00C73A1C"/>
    <w:pPr>
      <w:spacing w:before="60" w:line="240" w:lineRule="atLeast"/>
      <w:ind w:left="255" w:hanging="255"/>
    </w:pPr>
    <w:rPr>
      <w:sz w:val="20"/>
    </w:rPr>
  </w:style>
  <w:style w:type="paragraph" w:customStyle="1" w:styleId="CTA1a">
    <w:name w:val="CTA 1(a)"/>
    <w:basedOn w:val="OPCParaBase"/>
    <w:rsid w:val="00C73A1C"/>
    <w:pPr>
      <w:tabs>
        <w:tab w:val="right" w:pos="414"/>
      </w:tabs>
      <w:spacing w:before="40" w:line="240" w:lineRule="atLeast"/>
      <w:ind w:left="675" w:hanging="675"/>
    </w:pPr>
    <w:rPr>
      <w:sz w:val="20"/>
    </w:rPr>
  </w:style>
  <w:style w:type="paragraph" w:customStyle="1" w:styleId="CTA1ai">
    <w:name w:val="CTA 1(a)(i)"/>
    <w:basedOn w:val="OPCParaBase"/>
    <w:rsid w:val="00C73A1C"/>
    <w:pPr>
      <w:tabs>
        <w:tab w:val="right" w:pos="1004"/>
      </w:tabs>
      <w:spacing w:before="40" w:line="240" w:lineRule="atLeast"/>
      <w:ind w:left="1253" w:hanging="1253"/>
    </w:pPr>
    <w:rPr>
      <w:sz w:val="20"/>
    </w:rPr>
  </w:style>
  <w:style w:type="paragraph" w:customStyle="1" w:styleId="CTA2a">
    <w:name w:val="CTA 2(a)"/>
    <w:basedOn w:val="OPCParaBase"/>
    <w:rsid w:val="00C73A1C"/>
    <w:pPr>
      <w:tabs>
        <w:tab w:val="right" w:pos="482"/>
      </w:tabs>
      <w:spacing w:before="40" w:line="240" w:lineRule="atLeast"/>
      <w:ind w:left="748" w:hanging="748"/>
    </w:pPr>
    <w:rPr>
      <w:sz w:val="20"/>
    </w:rPr>
  </w:style>
  <w:style w:type="paragraph" w:customStyle="1" w:styleId="CTA2ai">
    <w:name w:val="CTA 2(a)(i)"/>
    <w:basedOn w:val="OPCParaBase"/>
    <w:rsid w:val="00C73A1C"/>
    <w:pPr>
      <w:tabs>
        <w:tab w:val="right" w:pos="1089"/>
      </w:tabs>
      <w:spacing w:before="40" w:line="240" w:lineRule="atLeast"/>
      <w:ind w:left="1327" w:hanging="1327"/>
    </w:pPr>
    <w:rPr>
      <w:sz w:val="20"/>
    </w:rPr>
  </w:style>
  <w:style w:type="paragraph" w:customStyle="1" w:styleId="CTA3a">
    <w:name w:val="CTA 3(a)"/>
    <w:basedOn w:val="OPCParaBase"/>
    <w:rsid w:val="00C73A1C"/>
    <w:pPr>
      <w:tabs>
        <w:tab w:val="right" w:pos="556"/>
      </w:tabs>
      <w:spacing w:before="40" w:line="240" w:lineRule="atLeast"/>
      <w:ind w:left="805" w:hanging="805"/>
    </w:pPr>
    <w:rPr>
      <w:sz w:val="20"/>
    </w:rPr>
  </w:style>
  <w:style w:type="paragraph" w:customStyle="1" w:styleId="CTA3ai">
    <w:name w:val="CTA 3(a)(i)"/>
    <w:basedOn w:val="OPCParaBase"/>
    <w:rsid w:val="00C73A1C"/>
    <w:pPr>
      <w:tabs>
        <w:tab w:val="right" w:pos="1140"/>
      </w:tabs>
      <w:spacing w:before="40" w:line="240" w:lineRule="atLeast"/>
      <w:ind w:left="1361" w:hanging="1361"/>
    </w:pPr>
    <w:rPr>
      <w:sz w:val="20"/>
    </w:rPr>
  </w:style>
  <w:style w:type="paragraph" w:customStyle="1" w:styleId="CTA4a">
    <w:name w:val="CTA 4(a)"/>
    <w:basedOn w:val="OPCParaBase"/>
    <w:rsid w:val="00C73A1C"/>
    <w:pPr>
      <w:tabs>
        <w:tab w:val="right" w:pos="624"/>
      </w:tabs>
      <w:spacing w:before="40" w:line="240" w:lineRule="atLeast"/>
      <w:ind w:left="873" w:hanging="873"/>
    </w:pPr>
    <w:rPr>
      <w:sz w:val="20"/>
    </w:rPr>
  </w:style>
  <w:style w:type="paragraph" w:customStyle="1" w:styleId="CTA4ai">
    <w:name w:val="CTA 4(a)(i)"/>
    <w:basedOn w:val="OPCParaBase"/>
    <w:rsid w:val="00C73A1C"/>
    <w:pPr>
      <w:tabs>
        <w:tab w:val="right" w:pos="1213"/>
      </w:tabs>
      <w:spacing w:before="40" w:line="240" w:lineRule="atLeast"/>
      <w:ind w:left="1452" w:hanging="1452"/>
    </w:pPr>
    <w:rPr>
      <w:sz w:val="20"/>
    </w:rPr>
  </w:style>
  <w:style w:type="paragraph" w:customStyle="1" w:styleId="CTACAPS">
    <w:name w:val="CTA CAPS"/>
    <w:basedOn w:val="OPCParaBase"/>
    <w:rsid w:val="00C73A1C"/>
    <w:pPr>
      <w:spacing w:before="60" w:line="240" w:lineRule="atLeast"/>
    </w:pPr>
    <w:rPr>
      <w:sz w:val="20"/>
    </w:rPr>
  </w:style>
  <w:style w:type="paragraph" w:customStyle="1" w:styleId="CTAright">
    <w:name w:val="CTA right"/>
    <w:basedOn w:val="OPCParaBase"/>
    <w:rsid w:val="00C73A1C"/>
    <w:pPr>
      <w:spacing w:before="60" w:line="240" w:lineRule="auto"/>
      <w:jc w:val="right"/>
    </w:pPr>
    <w:rPr>
      <w:sz w:val="20"/>
    </w:rPr>
  </w:style>
  <w:style w:type="paragraph" w:customStyle="1" w:styleId="subsection">
    <w:name w:val="subsection"/>
    <w:aliases w:val="ss,Subsection"/>
    <w:basedOn w:val="OPCParaBase"/>
    <w:link w:val="subsectionChar"/>
    <w:rsid w:val="00C73A1C"/>
    <w:pPr>
      <w:tabs>
        <w:tab w:val="right" w:pos="1021"/>
      </w:tabs>
      <w:spacing w:before="180" w:line="240" w:lineRule="auto"/>
      <w:ind w:left="1134" w:hanging="1134"/>
    </w:pPr>
  </w:style>
  <w:style w:type="paragraph" w:customStyle="1" w:styleId="Definition">
    <w:name w:val="Definition"/>
    <w:aliases w:val="dd"/>
    <w:basedOn w:val="OPCParaBase"/>
    <w:rsid w:val="00C73A1C"/>
    <w:pPr>
      <w:spacing w:before="180" w:line="240" w:lineRule="auto"/>
      <w:ind w:left="1134"/>
    </w:pPr>
  </w:style>
  <w:style w:type="paragraph" w:customStyle="1" w:styleId="ETAsubitem">
    <w:name w:val="ETA(subitem)"/>
    <w:basedOn w:val="OPCParaBase"/>
    <w:rsid w:val="00C73A1C"/>
    <w:pPr>
      <w:tabs>
        <w:tab w:val="right" w:pos="340"/>
      </w:tabs>
      <w:spacing w:before="60" w:line="240" w:lineRule="auto"/>
      <w:ind w:left="454" w:hanging="454"/>
    </w:pPr>
    <w:rPr>
      <w:sz w:val="20"/>
    </w:rPr>
  </w:style>
  <w:style w:type="paragraph" w:customStyle="1" w:styleId="ETApara">
    <w:name w:val="ETA(para)"/>
    <w:basedOn w:val="OPCParaBase"/>
    <w:rsid w:val="00C73A1C"/>
    <w:pPr>
      <w:tabs>
        <w:tab w:val="right" w:pos="754"/>
      </w:tabs>
      <w:spacing w:before="60" w:line="240" w:lineRule="auto"/>
      <w:ind w:left="828" w:hanging="828"/>
    </w:pPr>
    <w:rPr>
      <w:sz w:val="20"/>
    </w:rPr>
  </w:style>
  <w:style w:type="paragraph" w:customStyle="1" w:styleId="ETAsubpara">
    <w:name w:val="ETA(subpara)"/>
    <w:basedOn w:val="OPCParaBase"/>
    <w:rsid w:val="00C73A1C"/>
    <w:pPr>
      <w:tabs>
        <w:tab w:val="right" w:pos="1083"/>
      </w:tabs>
      <w:spacing w:before="60" w:line="240" w:lineRule="auto"/>
      <w:ind w:left="1191" w:hanging="1191"/>
    </w:pPr>
    <w:rPr>
      <w:sz w:val="20"/>
    </w:rPr>
  </w:style>
  <w:style w:type="paragraph" w:customStyle="1" w:styleId="ETAsub-subpara">
    <w:name w:val="ETA(sub-subpara)"/>
    <w:basedOn w:val="OPCParaBase"/>
    <w:rsid w:val="00C73A1C"/>
    <w:pPr>
      <w:tabs>
        <w:tab w:val="right" w:pos="1412"/>
      </w:tabs>
      <w:spacing w:before="60" w:line="240" w:lineRule="auto"/>
      <w:ind w:left="1525" w:hanging="1525"/>
    </w:pPr>
    <w:rPr>
      <w:sz w:val="20"/>
    </w:rPr>
  </w:style>
  <w:style w:type="paragraph" w:customStyle="1" w:styleId="Formula">
    <w:name w:val="Formula"/>
    <w:basedOn w:val="OPCParaBase"/>
    <w:rsid w:val="00C73A1C"/>
    <w:pPr>
      <w:spacing w:line="240" w:lineRule="auto"/>
      <w:ind w:left="1134"/>
    </w:pPr>
    <w:rPr>
      <w:sz w:val="20"/>
    </w:rPr>
  </w:style>
  <w:style w:type="paragraph" w:styleId="Header">
    <w:name w:val="header"/>
    <w:basedOn w:val="OPCParaBase"/>
    <w:link w:val="HeaderChar"/>
    <w:unhideWhenUsed/>
    <w:rsid w:val="00C73A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73A1C"/>
    <w:rPr>
      <w:rFonts w:eastAsia="Times New Roman" w:cs="Times New Roman"/>
      <w:sz w:val="16"/>
      <w:lang w:eastAsia="en-AU"/>
    </w:rPr>
  </w:style>
  <w:style w:type="paragraph" w:customStyle="1" w:styleId="House">
    <w:name w:val="House"/>
    <w:basedOn w:val="OPCParaBase"/>
    <w:rsid w:val="00C73A1C"/>
    <w:pPr>
      <w:spacing w:line="240" w:lineRule="auto"/>
    </w:pPr>
    <w:rPr>
      <w:sz w:val="28"/>
    </w:rPr>
  </w:style>
  <w:style w:type="paragraph" w:customStyle="1" w:styleId="Item">
    <w:name w:val="Item"/>
    <w:aliases w:val="i"/>
    <w:basedOn w:val="OPCParaBase"/>
    <w:next w:val="ItemHead"/>
    <w:rsid w:val="00C73A1C"/>
    <w:pPr>
      <w:keepLines/>
      <w:spacing w:before="80" w:line="240" w:lineRule="auto"/>
      <w:ind w:left="709"/>
    </w:pPr>
  </w:style>
  <w:style w:type="paragraph" w:customStyle="1" w:styleId="ItemHead">
    <w:name w:val="ItemHead"/>
    <w:aliases w:val="ih"/>
    <w:basedOn w:val="OPCParaBase"/>
    <w:next w:val="Item"/>
    <w:rsid w:val="00C73A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73A1C"/>
    <w:pPr>
      <w:spacing w:line="240" w:lineRule="auto"/>
    </w:pPr>
    <w:rPr>
      <w:b/>
      <w:sz w:val="32"/>
    </w:rPr>
  </w:style>
  <w:style w:type="paragraph" w:customStyle="1" w:styleId="notedraft">
    <w:name w:val="note(draft)"/>
    <w:aliases w:val="nd"/>
    <w:basedOn w:val="OPCParaBase"/>
    <w:rsid w:val="00C73A1C"/>
    <w:pPr>
      <w:spacing w:before="240" w:line="240" w:lineRule="auto"/>
      <w:ind w:left="284" w:hanging="284"/>
    </w:pPr>
    <w:rPr>
      <w:i/>
      <w:sz w:val="24"/>
    </w:rPr>
  </w:style>
  <w:style w:type="paragraph" w:customStyle="1" w:styleId="notemargin">
    <w:name w:val="note(margin)"/>
    <w:aliases w:val="nm"/>
    <w:basedOn w:val="OPCParaBase"/>
    <w:rsid w:val="00C73A1C"/>
    <w:pPr>
      <w:tabs>
        <w:tab w:val="left" w:pos="709"/>
      </w:tabs>
      <w:spacing w:before="122" w:line="198" w:lineRule="exact"/>
      <w:ind w:left="709" w:hanging="709"/>
    </w:pPr>
    <w:rPr>
      <w:sz w:val="18"/>
    </w:rPr>
  </w:style>
  <w:style w:type="paragraph" w:customStyle="1" w:styleId="noteToPara">
    <w:name w:val="noteToPara"/>
    <w:aliases w:val="ntp"/>
    <w:basedOn w:val="OPCParaBase"/>
    <w:rsid w:val="00C73A1C"/>
    <w:pPr>
      <w:spacing w:before="122" w:line="198" w:lineRule="exact"/>
      <w:ind w:left="2353" w:hanging="709"/>
    </w:pPr>
    <w:rPr>
      <w:sz w:val="18"/>
    </w:rPr>
  </w:style>
  <w:style w:type="paragraph" w:customStyle="1" w:styleId="noteParlAmend">
    <w:name w:val="note(ParlAmend)"/>
    <w:aliases w:val="npp"/>
    <w:basedOn w:val="OPCParaBase"/>
    <w:next w:val="ParlAmend"/>
    <w:rsid w:val="00C73A1C"/>
    <w:pPr>
      <w:spacing w:line="240" w:lineRule="auto"/>
      <w:jc w:val="right"/>
    </w:pPr>
    <w:rPr>
      <w:rFonts w:ascii="Arial" w:hAnsi="Arial"/>
      <w:b/>
      <w:i/>
    </w:rPr>
  </w:style>
  <w:style w:type="paragraph" w:customStyle="1" w:styleId="Page1">
    <w:name w:val="Page1"/>
    <w:basedOn w:val="OPCParaBase"/>
    <w:rsid w:val="00C73A1C"/>
    <w:pPr>
      <w:spacing w:before="5600" w:line="240" w:lineRule="auto"/>
    </w:pPr>
    <w:rPr>
      <w:b/>
      <w:sz w:val="32"/>
    </w:rPr>
  </w:style>
  <w:style w:type="paragraph" w:customStyle="1" w:styleId="PageBreak">
    <w:name w:val="PageBreak"/>
    <w:aliases w:val="pb"/>
    <w:basedOn w:val="OPCParaBase"/>
    <w:rsid w:val="00C73A1C"/>
    <w:pPr>
      <w:spacing w:line="240" w:lineRule="auto"/>
    </w:pPr>
    <w:rPr>
      <w:sz w:val="20"/>
    </w:rPr>
  </w:style>
  <w:style w:type="paragraph" w:customStyle="1" w:styleId="paragraphsub">
    <w:name w:val="paragraph(sub)"/>
    <w:aliases w:val="aa"/>
    <w:basedOn w:val="OPCParaBase"/>
    <w:rsid w:val="00C73A1C"/>
    <w:pPr>
      <w:tabs>
        <w:tab w:val="right" w:pos="1985"/>
      </w:tabs>
      <w:spacing w:before="40" w:line="240" w:lineRule="auto"/>
      <w:ind w:left="2098" w:hanging="2098"/>
    </w:pPr>
  </w:style>
  <w:style w:type="paragraph" w:customStyle="1" w:styleId="paragraphsub-sub">
    <w:name w:val="paragraph(sub-sub)"/>
    <w:aliases w:val="aaa"/>
    <w:basedOn w:val="OPCParaBase"/>
    <w:rsid w:val="00C73A1C"/>
    <w:pPr>
      <w:tabs>
        <w:tab w:val="right" w:pos="2722"/>
      </w:tabs>
      <w:spacing w:before="40" w:line="240" w:lineRule="auto"/>
      <w:ind w:left="2835" w:hanging="2835"/>
    </w:pPr>
  </w:style>
  <w:style w:type="paragraph" w:customStyle="1" w:styleId="paragraph">
    <w:name w:val="paragraph"/>
    <w:aliases w:val="a"/>
    <w:basedOn w:val="OPCParaBase"/>
    <w:rsid w:val="00C73A1C"/>
    <w:pPr>
      <w:tabs>
        <w:tab w:val="right" w:pos="1531"/>
      </w:tabs>
      <w:spacing w:before="40" w:line="240" w:lineRule="auto"/>
      <w:ind w:left="1644" w:hanging="1644"/>
    </w:pPr>
  </w:style>
  <w:style w:type="paragraph" w:customStyle="1" w:styleId="ParlAmend">
    <w:name w:val="ParlAmend"/>
    <w:aliases w:val="pp"/>
    <w:basedOn w:val="OPCParaBase"/>
    <w:rsid w:val="00C73A1C"/>
    <w:pPr>
      <w:spacing w:before="240" w:line="240" w:lineRule="atLeast"/>
      <w:ind w:hanging="567"/>
    </w:pPr>
    <w:rPr>
      <w:sz w:val="24"/>
    </w:rPr>
  </w:style>
  <w:style w:type="paragraph" w:customStyle="1" w:styleId="Penalty">
    <w:name w:val="Penalty"/>
    <w:basedOn w:val="OPCParaBase"/>
    <w:rsid w:val="00C73A1C"/>
    <w:pPr>
      <w:tabs>
        <w:tab w:val="left" w:pos="2977"/>
      </w:tabs>
      <w:spacing w:before="180" w:line="240" w:lineRule="auto"/>
      <w:ind w:left="1985" w:hanging="851"/>
    </w:pPr>
  </w:style>
  <w:style w:type="paragraph" w:customStyle="1" w:styleId="Portfolio">
    <w:name w:val="Portfolio"/>
    <w:basedOn w:val="OPCParaBase"/>
    <w:rsid w:val="00C73A1C"/>
    <w:pPr>
      <w:spacing w:line="240" w:lineRule="auto"/>
    </w:pPr>
    <w:rPr>
      <w:i/>
      <w:sz w:val="20"/>
    </w:rPr>
  </w:style>
  <w:style w:type="paragraph" w:customStyle="1" w:styleId="Preamble">
    <w:name w:val="Preamble"/>
    <w:basedOn w:val="OPCParaBase"/>
    <w:next w:val="Normal"/>
    <w:rsid w:val="00C73A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3A1C"/>
    <w:pPr>
      <w:spacing w:line="240" w:lineRule="auto"/>
    </w:pPr>
    <w:rPr>
      <w:i/>
      <w:sz w:val="20"/>
    </w:rPr>
  </w:style>
  <w:style w:type="paragraph" w:customStyle="1" w:styleId="Session">
    <w:name w:val="Session"/>
    <w:basedOn w:val="OPCParaBase"/>
    <w:rsid w:val="00C73A1C"/>
    <w:pPr>
      <w:spacing w:line="240" w:lineRule="auto"/>
    </w:pPr>
    <w:rPr>
      <w:sz w:val="28"/>
    </w:rPr>
  </w:style>
  <w:style w:type="paragraph" w:customStyle="1" w:styleId="Sponsor">
    <w:name w:val="Sponsor"/>
    <w:basedOn w:val="OPCParaBase"/>
    <w:rsid w:val="00C73A1C"/>
    <w:pPr>
      <w:spacing w:line="240" w:lineRule="auto"/>
    </w:pPr>
    <w:rPr>
      <w:i/>
    </w:rPr>
  </w:style>
  <w:style w:type="paragraph" w:customStyle="1" w:styleId="Subitem">
    <w:name w:val="Subitem"/>
    <w:aliases w:val="iss"/>
    <w:basedOn w:val="OPCParaBase"/>
    <w:rsid w:val="00C73A1C"/>
    <w:pPr>
      <w:spacing w:before="180" w:line="240" w:lineRule="auto"/>
      <w:ind w:left="709" w:hanging="709"/>
    </w:pPr>
  </w:style>
  <w:style w:type="paragraph" w:customStyle="1" w:styleId="SubitemHead">
    <w:name w:val="SubitemHead"/>
    <w:aliases w:val="issh"/>
    <w:basedOn w:val="OPCParaBase"/>
    <w:rsid w:val="00C73A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3A1C"/>
    <w:pPr>
      <w:spacing w:before="40" w:line="240" w:lineRule="auto"/>
      <w:ind w:left="1134"/>
    </w:pPr>
  </w:style>
  <w:style w:type="paragraph" w:customStyle="1" w:styleId="SubsectionHead">
    <w:name w:val="SubsectionHead"/>
    <w:aliases w:val="ssh"/>
    <w:basedOn w:val="OPCParaBase"/>
    <w:next w:val="subsection"/>
    <w:rsid w:val="00C73A1C"/>
    <w:pPr>
      <w:keepNext/>
      <w:keepLines/>
      <w:spacing w:before="240" w:line="240" w:lineRule="auto"/>
      <w:ind w:left="1134"/>
    </w:pPr>
    <w:rPr>
      <w:i/>
    </w:rPr>
  </w:style>
  <w:style w:type="paragraph" w:customStyle="1" w:styleId="Tablea">
    <w:name w:val="Table(a)"/>
    <w:aliases w:val="ta"/>
    <w:basedOn w:val="OPCParaBase"/>
    <w:rsid w:val="00C73A1C"/>
    <w:pPr>
      <w:spacing w:before="60" w:line="240" w:lineRule="auto"/>
      <w:ind w:left="284" w:hanging="284"/>
    </w:pPr>
    <w:rPr>
      <w:sz w:val="20"/>
    </w:rPr>
  </w:style>
  <w:style w:type="paragraph" w:customStyle="1" w:styleId="TableAA">
    <w:name w:val="Table(AA)"/>
    <w:aliases w:val="taaa"/>
    <w:basedOn w:val="OPCParaBase"/>
    <w:rsid w:val="00C73A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73A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73A1C"/>
    <w:pPr>
      <w:spacing w:before="60" w:line="240" w:lineRule="atLeast"/>
    </w:pPr>
    <w:rPr>
      <w:sz w:val="20"/>
    </w:rPr>
  </w:style>
  <w:style w:type="paragraph" w:customStyle="1" w:styleId="TLPBoxTextnote">
    <w:name w:val="TLPBoxText(note"/>
    <w:aliases w:val="right)"/>
    <w:basedOn w:val="OPCParaBase"/>
    <w:rsid w:val="00C73A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3A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3A1C"/>
    <w:pPr>
      <w:spacing w:before="122" w:line="198" w:lineRule="exact"/>
      <w:ind w:left="1985" w:hanging="851"/>
      <w:jc w:val="right"/>
    </w:pPr>
    <w:rPr>
      <w:sz w:val="18"/>
    </w:rPr>
  </w:style>
  <w:style w:type="paragraph" w:customStyle="1" w:styleId="TLPTableBullet">
    <w:name w:val="TLPTableBullet"/>
    <w:aliases w:val="ttb"/>
    <w:basedOn w:val="OPCParaBase"/>
    <w:rsid w:val="00C73A1C"/>
    <w:pPr>
      <w:spacing w:line="240" w:lineRule="exact"/>
      <w:ind w:left="284" w:hanging="284"/>
    </w:pPr>
    <w:rPr>
      <w:sz w:val="20"/>
    </w:rPr>
  </w:style>
  <w:style w:type="paragraph" w:styleId="TOC1">
    <w:name w:val="toc 1"/>
    <w:basedOn w:val="Normal"/>
    <w:next w:val="Normal"/>
    <w:uiPriority w:val="39"/>
    <w:unhideWhenUsed/>
    <w:rsid w:val="00C73A1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73A1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73A1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73A1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80877"/>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73A1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73A1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73A1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73A1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73A1C"/>
    <w:pPr>
      <w:keepLines/>
      <w:spacing w:before="240" w:after="120" w:line="240" w:lineRule="auto"/>
      <w:ind w:left="794"/>
    </w:pPr>
    <w:rPr>
      <w:b/>
      <w:kern w:val="28"/>
      <w:sz w:val="20"/>
    </w:rPr>
  </w:style>
  <w:style w:type="paragraph" w:customStyle="1" w:styleId="TofSectsHeading">
    <w:name w:val="TofSects(Heading)"/>
    <w:basedOn w:val="OPCParaBase"/>
    <w:rsid w:val="00C73A1C"/>
    <w:pPr>
      <w:spacing w:before="240" w:after="120" w:line="240" w:lineRule="auto"/>
    </w:pPr>
    <w:rPr>
      <w:b/>
      <w:sz w:val="24"/>
    </w:rPr>
  </w:style>
  <w:style w:type="paragraph" w:customStyle="1" w:styleId="TofSectsSection">
    <w:name w:val="TofSects(Section)"/>
    <w:basedOn w:val="OPCParaBase"/>
    <w:rsid w:val="00C73A1C"/>
    <w:pPr>
      <w:keepLines/>
      <w:spacing w:before="40" w:line="240" w:lineRule="auto"/>
      <w:ind w:left="1588" w:hanging="794"/>
    </w:pPr>
    <w:rPr>
      <w:kern w:val="28"/>
      <w:sz w:val="18"/>
    </w:rPr>
  </w:style>
  <w:style w:type="paragraph" w:customStyle="1" w:styleId="TofSectsSubdiv">
    <w:name w:val="TofSects(Subdiv)"/>
    <w:basedOn w:val="OPCParaBase"/>
    <w:rsid w:val="00C73A1C"/>
    <w:pPr>
      <w:keepLines/>
      <w:spacing w:before="80" w:line="240" w:lineRule="auto"/>
      <w:ind w:left="1588" w:hanging="794"/>
    </w:pPr>
    <w:rPr>
      <w:kern w:val="28"/>
    </w:rPr>
  </w:style>
  <w:style w:type="paragraph" w:customStyle="1" w:styleId="WRStyle">
    <w:name w:val="WR Style"/>
    <w:aliases w:val="WR"/>
    <w:basedOn w:val="OPCParaBase"/>
    <w:rsid w:val="00C73A1C"/>
    <w:pPr>
      <w:spacing w:before="240" w:line="240" w:lineRule="auto"/>
      <w:ind w:left="284" w:hanging="284"/>
    </w:pPr>
    <w:rPr>
      <w:b/>
      <w:i/>
      <w:kern w:val="28"/>
      <w:sz w:val="24"/>
    </w:rPr>
  </w:style>
  <w:style w:type="paragraph" w:customStyle="1" w:styleId="notepara">
    <w:name w:val="note(para)"/>
    <w:aliases w:val="na"/>
    <w:basedOn w:val="OPCParaBase"/>
    <w:rsid w:val="00C73A1C"/>
    <w:pPr>
      <w:spacing w:before="40" w:line="198" w:lineRule="exact"/>
      <w:ind w:left="2354" w:hanging="369"/>
    </w:pPr>
    <w:rPr>
      <w:sz w:val="18"/>
    </w:rPr>
  </w:style>
  <w:style w:type="paragraph" w:styleId="Footer">
    <w:name w:val="footer"/>
    <w:link w:val="FooterChar"/>
    <w:rsid w:val="00C73A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73A1C"/>
    <w:rPr>
      <w:rFonts w:eastAsia="Times New Roman" w:cs="Times New Roman"/>
      <w:sz w:val="22"/>
      <w:szCs w:val="24"/>
      <w:lang w:eastAsia="en-AU"/>
    </w:rPr>
  </w:style>
  <w:style w:type="character" w:styleId="LineNumber">
    <w:name w:val="line number"/>
    <w:basedOn w:val="OPCCharBase"/>
    <w:uiPriority w:val="99"/>
    <w:unhideWhenUsed/>
    <w:rsid w:val="00C73A1C"/>
    <w:rPr>
      <w:sz w:val="16"/>
    </w:rPr>
  </w:style>
  <w:style w:type="table" w:customStyle="1" w:styleId="CFlag">
    <w:name w:val="CFlag"/>
    <w:basedOn w:val="TableNormal"/>
    <w:uiPriority w:val="99"/>
    <w:rsid w:val="00C73A1C"/>
    <w:rPr>
      <w:rFonts w:eastAsia="Times New Roman" w:cs="Times New Roman"/>
      <w:lang w:eastAsia="en-AU"/>
    </w:rPr>
    <w:tblPr/>
  </w:style>
  <w:style w:type="paragraph" w:styleId="BalloonText">
    <w:name w:val="Balloon Text"/>
    <w:basedOn w:val="Normal"/>
    <w:link w:val="BalloonTextChar"/>
    <w:uiPriority w:val="99"/>
    <w:unhideWhenUsed/>
    <w:rsid w:val="00C73A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3A1C"/>
    <w:rPr>
      <w:rFonts w:ascii="Tahoma" w:hAnsi="Tahoma" w:cs="Tahoma"/>
      <w:sz w:val="16"/>
      <w:szCs w:val="16"/>
    </w:rPr>
  </w:style>
  <w:style w:type="table" w:styleId="TableGrid">
    <w:name w:val="Table Grid"/>
    <w:basedOn w:val="TableNormal"/>
    <w:uiPriority w:val="59"/>
    <w:rsid w:val="00C7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73A1C"/>
    <w:rPr>
      <w:b/>
      <w:sz w:val="28"/>
      <w:szCs w:val="32"/>
    </w:rPr>
  </w:style>
  <w:style w:type="paragraph" w:customStyle="1" w:styleId="LegislationMadeUnder">
    <w:name w:val="LegislationMadeUnder"/>
    <w:basedOn w:val="OPCParaBase"/>
    <w:next w:val="Normal"/>
    <w:rsid w:val="00C73A1C"/>
    <w:rPr>
      <w:i/>
      <w:sz w:val="32"/>
      <w:szCs w:val="32"/>
    </w:rPr>
  </w:style>
  <w:style w:type="paragraph" w:customStyle="1" w:styleId="SignCoverPageEnd">
    <w:name w:val="SignCoverPageEnd"/>
    <w:basedOn w:val="OPCParaBase"/>
    <w:next w:val="Normal"/>
    <w:rsid w:val="00C73A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3A1C"/>
    <w:pPr>
      <w:pBdr>
        <w:top w:val="single" w:sz="4" w:space="1" w:color="auto"/>
      </w:pBdr>
      <w:spacing w:before="360"/>
      <w:ind w:right="397"/>
      <w:jc w:val="both"/>
    </w:pPr>
  </w:style>
  <w:style w:type="paragraph" w:customStyle="1" w:styleId="NotesHeading1">
    <w:name w:val="NotesHeading 1"/>
    <w:basedOn w:val="OPCParaBase"/>
    <w:next w:val="Normal"/>
    <w:rsid w:val="00C73A1C"/>
    <w:rPr>
      <w:b/>
      <w:sz w:val="28"/>
      <w:szCs w:val="28"/>
    </w:rPr>
  </w:style>
  <w:style w:type="paragraph" w:customStyle="1" w:styleId="NotesHeading2">
    <w:name w:val="NotesHeading 2"/>
    <w:basedOn w:val="OPCParaBase"/>
    <w:next w:val="Normal"/>
    <w:rsid w:val="00C73A1C"/>
    <w:rPr>
      <w:b/>
      <w:sz w:val="28"/>
      <w:szCs w:val="28"/>
    </w:rPr>
  </w:style>
  <w:style w:type="paragraph" w:customStyle="1" w:styleId="ENotesText">
    <w:name w:val="ENotesText"/>
    <w:aliases w:val="Ent"/>
    <w:basedOn w:val="OPCParaBase"/>
    <w:next w:val="Normal"/>
    <w:rsid w:val="00C73A1C"/>
    <w:pPr>
      <w:spacing w:before="120"/>
    </w:pPr>
  </w:style>
  <w:style w:type="paragraph" w:customStyle="1" w:styleId="CompiledActNo">
    <w:name w:val="CompiledActNo"/>
    <w:basedOn w:val="OPCParaBase"/>
    <w:next w:val="Normal"/>
    <w:rsid w:val="00C73A1C"/>
    <w:rPr>
      <w:b/>
      <w:sz w:val="24"/>
      <w:szCs w:val="24"/>
    </w:rPr>
  </w:style>
  <w:style w:type="paragraph" w:customStyle="1" w:styleId="CompiledMadeUnder">
    <w:name w:val="CompiledMadeUnder"/>
    <w:basedOn w:val="OPCParaBase"/>
    <w:next w:val="Normal"/>
    <w:rsid w:val="00C73A1C"/>
    <w:rPr>
      <w:i/>
      <w:sz w:val="24"/>
      <w:szCs w:val="24"/>
    </w:rPr>
  </w:style>
  <w:style w:type="paragraph" w:customStyle="1" w:styleId="Paragraphsub-sub-sub">
    <w:name w:val="Paragraph(sub-sub-sub)"/>
    <w:aliases w:val="aaaa"/>
    <w:basedOn w:val="OPCParaBase"/>
    <w:rsid w:val="00C73A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3A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3A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3A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3A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73A1C"/>
    <w:pPr>
      <w:spacing w:before="60" w:line="240" w:lineRule="auto"/>
    </w:pPr>
    <w:rPr>
      <w:rFonts w:cs="Arial"/>
      <w:sz w:val="20"/>
      <w:szCs w:val="22"/>
    </w:rPr>
  </w:style>
  <w:style w:type="paragraph" w:customStyle="1" w:styleId="NoteToSubpara">
    <w:name w:val="NoteToSubpara"/>
    <w:aliases w:val="nts"/>
    <w:basedOn w:val="OPCParaBase"/>
    <w:rsid w:val="00C73A1C"/>
    <w:pPr>
      <w:spacing w:before="40" w:line="198" w:lineRule="exact"/>
      <w:ind w:left="2835" w:hanging="709"/>
    </w:pPr>
    <w:rPr>
      <w:sz w:val="18"/>
    </w:rPr>
  </w:style>
  <w:style w:type="paragraph" w:customStyle="1" w:styleId="ENoteTableHeading">
    <w:name w:val="ENoteTableHeading"/>
    <w:aliases w:val="enth"/>
    <w:basedOn w:val="OPCParaBase"/>
    <w:rsid w:val="00C73A1C"/>
    <w:pPr>
      <w:keepNext/>
      <w:spacing w:before="60" w:line="240" w:lineRule="atLeast"/>
    </w:pPr>
    <w:rPr>
      <w:rFonts w:ascii="Arial" w:hAnsi="Arial"/>
      <w:b/>
      <w:sz w:val="16"/>
    </w:rPr>
  </w:style>
  <w:style w:type="paragraph" w:customStyle="1" w:styleId="ENoteTTi">
    <w:name w:val="ENoteTTi"/>
    <w:aliases w:val="entti"/>
    <w:basedOn w:val="OPCParaBase"/>
    <w:rsid w:val="00C73A1C"/>
    <w:pPr>
      <w:keepNext/>
      <w:spacing w:before="60" w:line="240" w:lineRule="atLeast"/>
      <w:ind w:left="170"/>
    </w:pPr>
    <w:rPr>
      <w:sz w:val="16"/>
    </w:rPr>
  </w:style>
  <w:style w:type="paragraph" w:customStyle="1" w:styleId="ENotesHeading1">
    <w:name w:val="ENotesHeading 1"/>
    <w:aliases w:val="Enh1"/>
    <w:basedOn w:val="OPCParaBase"/>
    <w:next w:val="Normal"/>
    <w:rsid w:val="00C73A1C"/>
    <w:pPr>
      <w:spacing w:before="120"/>
      <w:outlineLvl w:val="1"/>
    </w:pPr>
    <w:rPr>
      <w:b/>
      <w:sz w:val="28"/>
      <w:szCs w:val="28"/>
    </w:rPr>
  </w:style>
  <w:style w:type="paragraph" w:customStyle="1" w:styleId="ENotesHeading2">
    <w:name w:val="ENotesHeading 2"/>
    <w:aliases w:val="Enh2"/>
    <w:basedOn w:val="OPCParaBase"/>
    <w:next w:val="Normal"/>
    <w:rsid w:val="00C73A1C"/>
    <w:pPr>
      <w:spacing w:before="120" w:after="120"/>
      <w:outlineLvl w:val="2"/>
    </w:pPr>
    <w:rPr>
      <w:b/>
      <w:sz w:val="24"/>
      <w:szCs w:val="28"/>
    </w:rPr>
  </w:style>
  <w:style w:type="paragraph" w:customStyle="1" w:styleId="ENoteTTIndentHeading">
    <w:name w:val="ENoteTTIndentHeading"/>
    <w:aliases w:val="enTTHi"/>
    <w:basedOn w:val="OPCParaBase"/>
    <w:rsid w:val="00C73A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3A1C"/>
    <w:pPr>
      <w:spacing w:before="60" w:line="240" w:lineRule="atLeast"/>
    </w:pPr>
    <w:rPr>
      <w:sz w:val="16"/>
    </w:rPr>
  </w:style>
  <w:style w:type="paragraph" w:customStyle="1" w:styleId="MadeunderText">
    <w:name w:val="MadeunderText"/>
    <w:basedOn w:val="OPCParaBase"/>
    <w:next w:val="Normal"/>
    <w:rsid w:val="00C73A1C"/>
    <w:pPr>
      <w:spacing w:before="240"/>
    </w:pPr>
    <w:rPr>
      <w:sz w:val="24"/>
      <w:szCs w:val="24"/>
    </w:rPr>
  </w:style>
  <w:style w:type="paragraph" w:customStyle="1" w:styleId="ENotesHeading3">
    <w:name w:val="ENotesHeading 3"/>
    <w:aliases w:val="Enh3"/>
    <w:basedOn w:val="OPCParaBase"/>
    <w:next w:val="Normal"/>
    <w:rsid w:val="00C73A1C"/>
    <w:pPr>
      <w:keepNext/>
      <w:spacing w:before="120" w:line="240" w:lineRule="auto"/>
      <w:outlineLvl w:val="4"/>
    </w:pPr>
    <w:rPr>
      <w:b/>
      <w:szCs w:val="24"/>
    </w:rPr>
  </w:style>
  <w:style w:type="character" w:customStyle="1" w:styleId="CharSubPartTextCASA">
    <w:name w:val="CharSubPartText(CASA)"/>
    <w:basedOn w:val="OPCCharBase"/>
    <w:uiPriority w:val="1"/>
    <w:rsid w:val="00C73A1C"/>
  </w:style>
  <w:style w:type="character" w:customStyle="1" w:styleId="CharSubPartNoCASA">
    <w:name w:val="CharSubPartNo(CASA)"/>
    <w:basedOn w:val="OPCCharBase"/>
    <w:uiPriority w:val="1"/>
    <w:rsid w:val="00C73A1C"/>
  </w:style>
  <w:style w:type="paragraph" w:customStyle="1" w:styleId="ENoteTTIndentHeadingSub">
    <w:name w:val="ENoteTTIndentHeadingSub"/>
    <w:aliases w:val="enTTHis"/>
    <w:basedOn w:val="OPCParaBase"/>
    <w:rsid w:val="00C73A1C"/>
    <w:pPr>
      <w:keepNext/>
      <w:spacing w:before="60" w:line="240" w:lineRule="atLeast"/>
      <w:ind w:left="340"/>
    </w:pPr>
    <w:rPr>
      <w:b/>
      <w:sz w:val="16"/>
    </w:rPr>
  </w:style>
  <w:style w:type="paragraph" w:customStyle="1" w:styleId="ENoteTTiSub">
    <w:name w:val="ENoteTTiSub"/>
    <w:aliases w:val="enttis"/>
    <w:basedOn w:val="OPCParaBase"/>
    <w:rsid w:val="00C73A1C"/>
    <w:pPr>
      <w:keepNext/>
      <w:spacing w:before="60" w:line="240" w:lineRule="atLeast"/>
      <w:ind w:left="340"/>
    </w:pPr>
    <w:rPr>
      <w:sz w:val="16"/>
    </w:rPr>
  </w:style>
  <w:style w:type="paragraph" w:customStyle="1" w:styleId="SubDivisionMigration">
    <w:name w:val="SubDivisionMigration"/>
    <w:aliases w:val="sdm"/>
    <w:basedOn w:val="OPCParaBase"/>
    <w:rsid w:val="00C73A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3A1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73A1C"/>
    <w:pPr>
      <w:spacing w:before="122" w:line="240" w:lineRule="auto"/>
      <w:ind w:left="1985" w:hanging="851"/>
    </w:pPr>
    <w:rPr>
      <w:sz w:val="18"/>
    </w:rPr>
  </w:style>
  <w:style w:type="paragraph" w:customStyle="1" w:styleId="FreeForm">
    <w:name w:val="FreeForm"/>
    <w:rsid w:val="00C73A1C"/>
    <w:rPr>
      <w:rFonts w:ascii="Arial" w:hAnsi="Arial"/>
      <w:sz w:val="22"/>
    </w:rPr>
  </w:style>
  <w:style w:type="paragraph" w:customStyle="1" w:styleId="SOText">
    <w:name w:val="SO Text"/>
    <w:aliases w:val="sot"/>
    <w:link w:val="SOTextChar"/>
    <w:rsid w:val="00C73A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73A1C"/>
    <w:rPr>
      <w:sz w:val="22"/>
    </w:rPr>
  </w:style>
  <w:style w:type="paragraph" w:customStyle="1" w:styleId="SOTextNote">
    <w:name w:val="SO TextNote"/>
    <w:aliases w:val="sont"/>
    <w:basedOn w:val="SOText"/>
    <w:qFormat/>
    <w:rsid w:val="00C73A1C"/>
    <w:pPr>
      <w:spacing w:before="122" w:line="198" w:lineRule="exact"/>
      <w:ind w:left="1843" w:hanging="709"/>
    </w:pPr>
    <w:rPr>
      <w:sz w:val="18"/>
    </w:rPr>
  </w:style>
  <w:style w:type="paragraph" w:customStyle="1" w:styleId="SOPara">
    <w:name w:val="SO Para"/>
    <w:aliases w:val="soa"/>
    <w:basedOn w:val="SOText"/>
    <w:link w:val="SOParaChar"/>
    <w:qFormat/>
    <w:rsid w:val="00C73A1C"/>
    <w:pPr>
      <w:tabs>
        <w:tab w:val="right" w:pos="1786"/>
      </w:tabs>
      <w:spacing w:before="40"/>
      <w:ind w:left="2070" w:hanging="936"/>
    </w:pPr>
  </w:style>
  <w:style w:type="character" w:customStyle="1" w:styleId="SOParaChar">
    <w:name w:val="SO Para Char"/>
    <w:aliases w:val="soa Char"/>
    <w:basedOn w:val="DefaultParagraphFont"/>
    <w:link w:val="SOPara"/>
    <w:rsid w:val="00C73A1C"/>
    <w:rPr>
      <w:sz w:val="22"/>
    </w:rPr>
  </w:style>
  <w:style w:type="paragraph" w:customStyle="1" w:styleId="FileName">
    <w:name w:val="FileName"/>
    <w:basedOn w:val="Normal"/>
    <w:rsid w:val="00C73A1C"/>
  </w:style>
  <w:style w:type="paragraph" w:customStyle="1" w:styleId="TableHeading">
    <w:name w:val="TableHeading"/>
    <w:aliases w:val="th"/>
    <w:basedOn w:val="OPCParaBase"/>
    <w:next w:val="Tabletext"/>
    <w:rsid w:val="00C73A1C"/>
    <w:pPr>
      <w:keepNext/>
      <w:spacing w:before="60" w:line="240" w:lineRule="atLeast"/>
    </w:pPr>
    <w:rPr>
      <w:b/>
      <w:sz w:val="20"/>
    </w:rPr>
  </w:style>
  <w:style w:type="paragraph" w:customStyle="1" w:styleId="SOHeadBold">
    <w:name w:val="SO HeadBold"/>
    <w:aliases w:val="sohb"/>
    <w:basedOn w:val="SOText"/>
    <w:next w:val="SOText"/>
    <w:link w:val="SOHeadBoldChar"/>
    <w:qFormat/>
    <w:rsid w:val="00C73A1C"/>
    <w:rPr>
      <w:b/>
    </w:rPr>
  </w:style>
  <w:style w:type="character" w:customStyle="1" w:styleId="SOHeadBoldChar">
    <w:name w:val="SO HeadBold Char"/>
    <w:aliases w:val="sohb Char"/>
    <w:basedOn w:val="DefaultParagraphFont"/>
    <w:link w:val="SOHeadBold"/>
    <w:rsid w:val="00C73A1C"/>
    <w:rPr>
      <w:b/>
      <w:sz w:val="22"/>
    </w:rPr>
  </w:style>
  <w:style w:type="paragraph" w:customStyle="1" w:styleId="SOHeadItalic">
    <w:name w:val="SO HeadItalic"/>
    <w:aliases w:val="sohi"/>
    <w:basedOn w:val="SOText"/>
    <w:next w:val="SOText"/>
    <w:link w:val="SOHeadItalicChar"/>
    <w:qFormat/>
    <w:rsid w:val="00C73A1C"/>
    <w:rPr>
      <w:i/>
    </w:rPr>
  </w:style>
  <w:style w:type="character" w:customStyle="1" w:styleId="SOHeadItalicChar">
    <w:name w:val="SO HeadItalic Char"/>
    <w:aliases w:val="sohi Char"/>
    <w:basedOn w:val="DefaultParagraphFont"/>
    <w:link w:val="SOHeadItalic"/>
    <w:rsid w:val="00C73A1C"/>
    <w:rPr>
      <w:i/>
      <w:sz w:val="22"/>
    </w:rPr>
  </w:style>
  <w:style w:type="paragraph" w:customStyle="1" w:styleId="SOBullet">
    <w:name w:val="SO Bullet"/>
    <w:aliases w:val="sotb"/>
    <w:basedOn w:val="SOText"/>
    <w:link w:val="SOBulletChar"/>
    <w:qFormat/>
    <w:rsid w:val="00C73A1C"/>
    <w:pPr>
      <w:ind w:left="1559" w:hanging="425"/>
    </w:pPr>
  </w:style>
  <w:style w:type="character" w:customStyle="1" w:styleId="SOBulletChar">
    <w:name w:val="SO Bullet Char"/>
    <w:aliases w:val="sotb Char"/>
    <w:basedOn w:val="DefaultParagraphFont"/>
    <w:link w:val="SOBullet"/>
    <w:rsid w:val="00C73A1C"/>
    <w:rPr>
      <w:sz w:val="22"/>
    </w:rPr>
  </w:style>
  <w:style w:type="paragraph" w:customStyle="1" w:styleId="SOBulletNote">
    <w:name w:val="SO BulletNote"/>
    <w:aliases w:val="sonb"/>
    <w:basedOn w:val="SOTextNote"/>
    <w:link w:val="SOBulletNoteChar"/>
    <w:qFormat/>
    <w:rsid w:val="00C73A1C"/>
    <w:pPr>
      <w:tabs>
        <w:tab w:val="left" w:pos="1560"/>
      </w:tabs>
      <w:ind w:left="2268" w:hanging="1134"/>
    </w:pPr>
  </w:style>
  <w:style w:type="character" w:customStyle="1" w:styleId="SOBulletNoteChar">
    <w:name w:val="SO BulletNote Char"/>
    <w:aliases w:val="sonb Char"/>
    <w:basedOn w:val="DefaultParagraphFont"/>
    <w:link w:val="SOBulletNote"/>
    <w:rsid w:val="00C73A1C"/>
    <w:rPr>
      <w:sz w:val="18"/>
    </w:rPr>
  </w:style>
  <w:style w:type="paragraph" w:customStyle="1" w:styleId="SOText2">
    <w:name w:val="SO Text2"/>
    <w:aliases w:val="sot2"/>
    <w:basedOn w:val="Normal"/>
    <w:next w:val="SOText"/>
    <w:link w:val="SOText2Char"/>
    <w:rsid w:val="00C73A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73A1C"/>
    <w:rPr>
      <w:sz w:val="22"/>
    </w:rPr>
  </w:style>
  <w:style w:type="paragraph" w:customStyle="1" w:styleId="SubPartCASA">
    <w:name w:val="SubPart(CASA)"/>
    <w:aliases w:val="csp"/>
    <w:basedOn w:val="OPCParaBase"/>
    <w:next w:val="ActHead3"/>
    <w:rsid w:val="00C73A1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73A1C"/>
    <w:rPr>
      <w:rFonts w:eastAsia="Times New Roman" w:cs="Times New Roman"/>
      <w:sz w:val="22"/>
      <w:lang w:eastAsia="en-AU"/>
    </w:rPr>
  </w:style>
  <w:style w:type="character" w:customStyle="1" w:styleId="notetextChar">
    <w:name w:val="note(text) Char"/>
    <w:aliases w:val="n Char"/>
    <w:basedOn w:val="DefaultParagraphFont"/>
    <w:link w:val="notetext"/>
    <w:rsid w:val="00C73A1C"/>
    <w:rPr>
      <w:rFonts w:eastAsia="Times New Roman" w:cs="Times New Roman"/>
      <w:sz w:val="18"/>
      <w:lang w:eastAsia="en-AU"/>
    </w:rPr>
  </w:style>
  <w:style w:type="character" w:customStyle="1" w:styleId="Heading1Char">
    <w:name w:val="Heading 1 Char"/>
    <w:basedOn w:val="DefaultParagraphFont"/>
    <w:link w:val="Heading1"/>
    <w:uiPriority w:val="9"/>
    <w:rsid w:val="00C73A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3A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3A1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73A1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73A1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73A1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73A1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73A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73A1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73A1C"/>
  </w:style>
  <w:style w:type="character" w:customStyle="1" w:styleId="charlegsubtitle1">
    <w:name w:val="charlegsubtitle1"/>
    <w:basedOn w:val="DefaultParagraphFont"/>
    <w:rsid w:val="00C73A1C"/>
    <w:rPr>
      <w:rFonts w:ascii="Arial" w:hAnsi="Arial" w:cs="Arial" w:hint="default"/>
      <w:b/>
      <w:bCs/>
      <w:sz w:val="28"/>
      <w:szCs w:val="28"/>
    </w:rPr>
  </w:style>
  <w:style w:type="paragraph" w:styleId="Index1">
    <w:name w:val="index 1"/>
    <w:basedOn w:val="Normal"/>
    <w:next w:val="Normal"/>
    <w:autoRedefine/>
    <w:rsid w:val="00C73A1C"/>
    <w:pPr>
      <w:ind w:left="240" w:hanging="240"/>
    </w:pPr>
  </w:style>
  <w:style w:type="paragraph" w:styleId="Index2">
    <w:name w:val="index 2"/>
    <w:basedOn w:val="Normal"/>
    <w:next w:val="Normal"/>
    <w:autoRedefine/>
    <w:rsid w:val="00C73A1C"/>
    <w:pPr>
      <w:ind w:left="480" w:hanging="240"/>
    </w:pPr>
  </w:style>
  <w:style w:type="paragraph" w:styleId="Index3">
    <w:name w:val="index 3"/>
    <w:basedOn w:val="Normal"/>
    <w:next w:val="Normal"/>
    <w:autoRedefine/>
    <w:rsid w:val="00C73A1C"/>
    <w:pPr>
      <w:ind w:left="720" w:hanging="240"/>
    </w:pPr>
  </w:style>
  <w:style w:type="paragraph" w:styleId="Index4">
    <w:name w:val="index 4"/>
    <w:basedOn w:val="Normal"/>
    <w:next w:val="Normal"/>
    <w:autoRedefine/>
    <w:rsid w:val="00C73A1C"/>
    <w:pPr>
      <w:ind w:left="960" w:hanging="240"/>
    </w:pPr>
  </w:style>
  <w:style w:type="paragraph" w:styleId="Index5">
    <w:name w:val="index 5"/>
    <w:basedOn w:val="Normal"/>
    <w:next w:val="Normal"/>
    <w:autoRedefine/>
    <w:rsid w:val="00C73A1C"/>
    <w:pPr>
      <w:ind w:left="1200" w:hanging="240"/>
    </w:pPr>
  </w:style>
  <w:style w:type="paragraph" w:styleId="Index6">
    <w:name w:val="index 6"/>
    <w:basedOn w:val="Normal"/>
    <w:next w:val="Normal"/>
    <w:autoRedefine/>
    <w:rsid w:val="00C73A1C"/>
    <w:pPr>
      <w:ind w:left="1440" w:hanging="240"/>
    </w:pPr>
  </w:style>
  <w:style w:type="paragraph" w:styleId="Index7">
    <w:name w:val="index 7"/>
    <w:basedOn w:val="Normal"/>
    <w:next w:val="Normal"/>
    <w:autoRedefine/>
    <w:rsid w:val="00C73A1C"/>
    <w:pPr>
      <w:ind w:left="1680" w:hanging="240"/>
    </w:pPr>
  </w:style>
  <w:style w:type="paragraph" w:styleId="Index8">
    <w:name w:val="index 8"/>
    <w:basedOn w:val="Normal"/>
    <w:next w:val="Normal"/>
    <w:autoRedefine/>
    <w:rsid w:val="00C73A1C"/>
    <w:pPr>
      <w:ind w:left="1920" w:hanging="240"/>
    </w:pPr>
  </w:style>
  <w:style w:type="paragraph" w:styleId="Index9">
    <w:name w:val="index 9"/>
    <w:basedOn w:val="Normal"/>
    <w:next w:val="Normal"/>
    <w:autoRedefine/>
    <w:rsid w:val="00C73A1C"/>
    <w:pPr>
      <w:ind w:left="2160" w:hanging="240"/>
    </w:pPr>
  </w:style>
  <w:style w:type="paragraph" w:styleId="NormalIndent">
    <w:name w:val="Normal Indent"/>
    <w:basedOn w:val="Normal"/>
    <w:rsid w:val="00C73A1C"/>
    <w:pPr>
      <w:ind w:left="720"/>
    </w:pPr>
  </w:style>
  <w:style w:type="paragraph" w:styleId="FootnoteText">
    <w:name w:val="footnote text"/>
    <w:basedOn w:val="Normal"/>
    <w:link w:val="FootnoteTextChar"/>
    <w:rsid w:val="00C73A1C"/>
    <w:rPr>
      <w:sz w:val="20"/>
    </w:rPr>
  </w:style>
  <w:style w:type="character" w:customStyle="1" w:styleId="FootnoteTextChar">
    <w:name w:val="Footnote Text Char"/>
    <w:basedOn w:val="DefaultParagraphFont"/>
    <w:link w:val="FootnoteText"/>
    <w:rsid w:val="00C73A1C"/>
  </w:style>
  <w:style w:type="paragraph" w:styleId="CommentText">
    <w:name w:val="annotation text"/>
    <w:basedOn w:val="Normal"/>
    <w:link w:val="CommentTextChar"/>
    <w:rsid w:val="00C73A1C"/>
    <w:rPr>
      <w:sz w:val="20"/>
    </w:rPr>
  </w:style>
  <w:style w:type="character" w:customStyle="1" w:styleId="CommentTextChar">
    <w:name w:val="Comment Text Char"/>
    <w:basedOn w:val="DefaultParagraphFont"/>
    <w:link w:val="CommentText"/>
    <w:rsid w:val="00C73A1C"/>
  </w:style>
  <w:style w:type="paragraph" w:styleId="IndexHeading">
    <w:name w:val="index heading"/>
    <w:basedOn w:val="Normal"/>
    <w:next w:val="Index1"/>
    <w:rsid w:val="00C73A1C"/>
    <w:rPr>
      <w:rFonts w:ascii="Arial" w:hAnsi="Arial" w:cs="Arial"/>
      <w:b/>
      <w:bCs/>
    </w:rPr>
  </w:style>
  <w:style w:type="paragraph" w:styleId="Caption">
    <w:name w:val="caption"/>
    <w:basedOn w:val="Normal"/>
    <w:next w:val="Normal"/>
    <w:qFormat/>
    <w:rsid w:val="00C73A1C"/>
    <w:pPr>
      <w:spacing w:before="120" w:after="120"/>
    </w:pPr>
    <w:rPr>
      <w:b/>
      <w:bCs/>
      <w:sz w:val="20"/>
    </w:rPr>
  </w:style>
  <w:style w:type="paragraph" w:styleId="TableofFigures">
    <w:name w:val="table of figures"/>
    <w:basedOn w:val="Normal"/>
    <w:next w:val="Normal"/>
    <w:rsid w:val="00C73A1C"/>
    <w:pPr>
      <w:ind w:left="480" w:hanging="480"/>
    </w:pPr>
  </w:style>
  <w:style w:type="paragraph" w:styleId="EnvelopeAddress">
    <w:name w:val="envelope address"/>
    <w:basedOn w:val="Normal"/>
    <w:rsid w:val="00C73A1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73A1C"/>
    <w:rPr>
      <w:rFonts w:ascii="Arial" w:hAnsi="Arial" w:cs="Arial"/>
      <w:sz w:val="20"/>
    </w:rPr>
  </w:style>
  <w:style w:type="character" w:styleId="FootnoteReference">
    <w:name w:val="footnote reference"/>
    <w:basedOn w:val="DefaultParagraphFont"/>
    <w:rsid w:val="00C73A1C"/>
    <w:rPr>
      <w:rFonts w:ascii="Times New Roman" w:hAnsi="Times New Roman"/>
      <w:sz w:val="20"/>
      <w:vertAlign w:val="superscript"/>
    </w:rPr>
  </w:style>
  <w:style w:type="character" w:styleId="CommentReference">
    <w:name w:val="annotation reference"/>
    <w:basedOn w:val="DefaultParagraphFont"/>
    <w:rsid w:val="00C73A1C"/>
    <w:rPr>
      <w:sz w:val="16"/>
      <w:szCs w:val="16"/>
    </w:rPr>
  </w:style>
  <w:style w:type="character" w:styleId="PageNumber">
    <w:name w:val="page number"/>
    <w:basedOn w:val="DefaultParagraphFont"/>
    <w:rsid w:val="00C73A1C"/>
  </w:style>
  <w:style w:type="character" w:styleId="EndnoteReference">
    <w:name w:val="endnote reference"/>
    <w:basedOn w:val="DefaultParagraphFont"/>
    <w:rsid w:val="00C73A1C"/>
    <w:rPr>
      <w:vertAlign w:val="superscript"/>
    </w:rPr>
  </w:style>
  <w:style w:type="paragraph" w:styleId="EndnoteText">
    <w:name w:val="endnote text"/>
    <w:basedOn w:val="Normal"/>
    <w:link w:val="EndnoteTextChar"/>
    <w:rsid w:val="00C73A1C"/>
    <w:rPr>
      <w:sz w:val="20"/>
    </w:rPr>
  </w:style>
  <w:style w:type="character" w:customStyle="1" w:styleId="EndnoteTextChar">
    <w:name w:val="Endnote Text Char"/>
    <w:basedOn w:val="DefaultParagraphFont"/>
    <w:link w:val="EndnoteText"/>
    <w:rsid w:val="00C73A1C"/>
  </w:style>
  <w:style w:type="paragraph" w:styleId="TableofAuthorities">
    <w:name w:val="table of authorities"/>
    <w:basedOn w:val="Normal"/>
    <w:next w:val="Normal"/>
    <w:rsid w:val="00C73A1C"/>
    <w:pPr>
      <w:ind w:left="240" w:hanging="240"/>
    </w:pPr>
  </w:style>
  <w:style w:type="paragraph" w:styleId="MacroText">
    <w:name w:val="macro"/>
    <w:link w:val="MacroTextChar"/>
    <w:rsid w:val="00C73A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73A1C"/>
    <w:rPr>
      <w:rFonts w:ascii="Courier New" w:eastAsia="Times New Roman" w:hAnsi="Courier New" w:cs="Courier New"/>
      <w:lang w:eastAsia="en-AU"/>
    </w:rPr>
  </w:style>
  <w:style w:type="paragraph" w:styleId="TOAHeading">
    <w:name w:val="toa heading"/>
    <w:basedOn w:val="Normal"/>
    <w:next w:val="Normal"/>
    <w:rsid w:val="00C73A1C"/>
    <w:pPr>
      <w:spacing w:before="120"/>
    </w:pPr>
    <w:rPr>
      <w:rFonts w:ascii="Arial" w:hAnsi="Arial" w:cs="Arial"/>
      <w:b/>
      <w:bCs/>
    </w:rPr>
  </w:style>
  <w:style w:type="paragraph" w:styleId="List">
    <w:name w:val="List"/>
    <w:basedOn w:val="Normal"/>
    <w:rsid w:val="00C73A1C"/>
    <w:pPr>
      <w:ind w:left="283" w:hanging="283"/>
    </w:pPr>
  </w:style>
  <w:style w:type="paragraph" w:styleId="ListBullet">
    <w:name w:val="List Bullet"/>
    <w:basedOn w:val="Normal"/>
    <w:autoRedefine/>
    <w:rsid w:val="00C73A1C"/>
    <w:pPr>
      <w:tabs>
        <w:tab w:val="num" w:pos="360"/>
      </w:tabs>
      <w:ind w:left="360" w:hanging="360"/>
    </w:pPr>
  </w:style>
  <w:style w:type="paragraph" w:styleId="ListNumber">
    <w:name w:val="List Number"/>
    <w:basedOn w:val="Normal"/>
    <w:rsid w:val="00C73A1C"/>
    <w:pPr>
      <w:tabs>
        <w:tab w:val="num" w:pos="360"/>
      </w:tabs>
      <w:ind w:left="360" w:hanging="360"/>
    </w:pPr>
  </w:style>
  <w:style w:type="paragraph" w:styleId="List2">
    <w:name w:val="List 2"/>
    <w:basedOn w:val="Normal"/>
    <w:rsid w:val="00C73A1C"/>
    <w:pPr>
      <w:ind w:left="566" w:hanging="283"/>
    </w:pPr>
  </w:style>
  <w:style w:type="paragraph" w:styleId="List3">
    <w:name w:val="List 3"/>
    <w:basedOn w:val="Normal"/>
    <w:rsid w:val="00C73A1C"/>
    <w:pPr>
      <w:ind w:left="849" w:hanging="283"/>
    </w:pPr>
  </w:style>
  <w:style w:type="paragraph" w:styleId="List4">
    <w:name w:val="List 4"/>
    <w:basedOn w:val="Normal"/>
    <w:rsid w:val="00C73A1C"/>
    <w:pPr>
      <w:ind w:left="1132" w:hanging="283"/>
    </w:pPr>
  </w:style>
  <w:style w:type="paragraph" w:styleId="List5">
    <w:name w:val="List 5"/>
    <w:basedOn w:val="Normal"/>
    <w:rsid w:val="00C73A1C"/>
    <w:pPr>
      <w:ind w:left="1415" w:hanging="283"/>
    </w:pPr>
  </w:style>
  <w:style w:type="paragraph" w:styleId="ListBullet2">
    <w:name w:val="List Bullet 2"/>
    <w:basedOn w:val="Normal"/>
    <w:autoRedefine/>
    <w:rsid w:val="00C73A1C"/>
    <w:pPr>
      <w:tabs>
        <w:tab w:val="num" w:pos="360"/>
      </w:tabs>
    </w:pPr>
  </w:style>
  <w:style w:type="paragraph" w:styleId="ListBullet3">
    <w:name w:val="List Bullet 3"/>
    <w:basedOn w:val="Normal"/>
    <w:autoRedefine/>
    <w:rsid w:val="00C73A1C"/>
    <w:pPr>
      <w:tabs>
        <w:tab w:val="num" w:pos="926"/>
      </w:tabs>
      <w:ind w:left="926" w:hanging="360"/>
    </w:pPr>
  </w:style>
  <w:style w:type="paragraph" w:styleId="ListBullet4">
    <w:name w:val="List Bullet 4"/>
    <w:basedOn w:val="Normal"/>
    <w:autoRedefine/>
    <w:rsid w:val="00C73A1C"/>
    <w:pPr>
      <w:tabs>
        <w:tab w:val="num" w:pos="1209"/>
      </w:tabs>
      <w:ind w:left="1209" w:hanging="360"/>
    </w:pPr>
  </w:style>
  <w:style w:type="paragraph" w:styleId="ListBullet5">
    <w:name w:val="List Bullet 5"/>
    <w:basedOn w:val="Normal"/>
    <w:autoRedefine/>
    <w:rsid w:val="00C73A1C"/>
    <w:pPr>
      <w:tabs>
        <w:tab w:val="num" w:pos="1492"/>
      </w:tabs>
      <w:ind w:left="1492" w:hanging="360"/>
    </w:pPr>
  </w:style>
  <w:style w:type="paragraph" w:styleId="ListNumber2">
    <w:name w:val="List Number 2"/>
    <w:basedOn w:val="Normal"/>
    <w:rsid w:val="00C73A1C"/>
    <w:pPr>
      <w:tabs>
        <w:tab w:val="num" w:pos="643"/>
      </w:tabs>
      <w:ind w:left="643" w:hanging="360"/>
    </w:pPr>
  </w:style>
  <w:style w:type="paragraph" w:styleId="ListNumber3">
    <w:name w:val="List Number 3"/>
    <w:basedOn w:val="Normal"/>
    <w:rsid w:val="00C73A1C"/>
    <w:pPr>
      <w:tabs>
        <w:tab w:val="num" w:pos="926"/>
      </w:tabs>
      <w:ind w:left="926" w:hanging="360"/>
    </w:pPr>
  </w:style>
  <w:style w:type="paragraph" w:styleId="ListNumber4">
    <w:name w:val="List Number 4"/>
    <w:basedOn w:val="Normal"/>
    <w:rsid w:val="00C73A1C"/>
    <w:pPr>
      <w:tabs>
        <w:tab w:val="num" w:pos="1209"/>
      </w:tabs>
      <w:ind w:left="1209" w:hanging="360"/>
    </w:pPr>
  </w:style>
  <w:style w:type="paragraph" w:styleId="ListNumber5">
    <w:name w:val="List Number 5"/>
    <w:basedOn w:val="Normal"/>
    <w:rsid w:val="00C73A1C"/>
    <w:pPr>
      <w:tabs>
        <w:tab w:val="num" w:pos="1492"/>
      </w:tabs>
      <w:ind w:left="1492" w:hanging="360"/>
    </w:pPr>
  </w:style>
  <w:style w:type="paragraph" w:styleId="Title">
    <w:name w:val="Title"/>
    <w:basedOn w:val="Normal"/>
    <w:link w:val="TitleChar"/>
    <w:qFormat/>
    <w:rsid w:val="00C73A1C"/>
    <w:pPr>
      <w:spacing w:before="240" w:after="60"/>
    </w:pPr>
    <w:rPr>
      <w:rFonts w:ascii="Arial" w:hAnsi="Arial" w:cs="Arial"/>
      <w:b/>
      <w:bCs/>
      <w:sz w:val="40"/>
      <w:szCs w:val="40"/>
    </w:rPr>
  </w:style>
  <w:style w:type="character" w:customStyle="1" w:styleId="TitleChar">
    <w:name w:val="Title Char"/>
    <w:basedOn w:val="DefaultParagraphFont"/>
    <w:link w:val="Title"/>
    <w:rsid w:val="00C73A1C"/>
    <w:rPr>
      <w:rFonts w:ascii="Arial" w:hAnsi="Arial" w:cs="Arial"/>
      <w:b/>
      <w:bCs/>
      <w:sz w:val="40"/>
      <w:szCs w:val="40"/>
    </w:rPr>
  </w:style>
  <w:style w:type="paragraph" w:styleId="Closing">
    <w:name w:val="Closing"/>
    <w:basedOn w:val="Normal"/>
    <w:link w:val="ClosingChar"/>
    <w:rsid w:val="00C73A1C"/>
    <w:pPr>
      <w:ind w:left="4252"/>
    </w:pPr>
  </w:style>
  <w:style w:type="character" w:customStyle="1" w:styleId="ClosingChar">
    <w:name w:val="Closing Char"/>
    <w:basedOn w:val="DefaultParagraphFont"/>
    <w:link w:val="Closing"/>
    <w:rsid w:val="00C73A1C"/>
    <w:rPr>
      <w:sz w:val="22"/>
    </w:rPr>
  </w:style>
  <w:style w:type="paragraph" w:styleId="Signature">
    <w:name w:val="Signature"/>
    <w:basedOn w:val="Normal"/>
    <w:link w:val="SignatureChar"/>
    <w:rsid w:val="00C73A1C"/>
    <w:pPr>
      <w:ind w:left="4252"/>
    </w:pPr>
  </w:style>
  <w:style w:type="character" w:customStyle="1" w:styleId="SignatureChar">
    <w:name w:val="Signature Char"/>
    <w:basedOn w:val="DefaultParagraphFont"/>
    <w:link w:val="Signature"/>
    <w:rsid w:val="00C73A1C"/>
    <w:rPr>
      <w:sz w:val="22"/>
    </w:rPr>
  </w:style>
  <w:style w:type="paragraph" w:styleId="BodyText">
    <w:name w:val="Body Text"/>
    <w:basedOn w:val="Normal"/>
    <w:link w:val="BodyTextChar"/>
    <w:rsid w:val="00C73A1C"/>
    <w:pPr>
      <w:spacing w:after="120"/>
    </w:pPr>
  </w:style>
  <w:style w:type="character" w:customStyle="1" w:styleId="BodyTextChar">
    <w:name w:val="Body Text Char"/>
    <w:basedOn w:val="DefaultParagraphFont"/>
    <w:link w:val="BodyText"/>
    <w:rsid w:val="00C73A1C"/>
    <w:rPr>
      <w:sz w:val="22"/>
    </w:rPr>
  </w:style>
  <w:style w:type="paragraph" w:styleId="BodyTextIndent">
    <w:name w:val="Body Text Indent"/>
    <w:basedOn w:val="Normal"/>
    <w:link w:val="BodyTextIndentChar"/>
    <w:rsid w:val="00C73A1C"/>
    <w:pPr>
      <w:spacing w:after="120"/>
      <w:ind w:left="283"/>
    </w:pPr>
  </w:style>
  <w:style w:type="character" w:customStyle="1" w:styleId="BodyTextIndentChar">
    <w:name w:val="Body Text Indent Char"/>
    <w:basedOn w:val="DefaultParagraphFont"/>
    <w:link w:val="BodyTextIndent"/>
    <w:rsid w:val="00C73A1C"/>
    <w:rPr>
      <w:sz w:val="22"/>
    </w:rPr>
  </w:style>
  <w:style w:type="paragraph" w:styleId="ListContinue">
    <w:name w:val="List Continue"/>
    <w:basedOn w:val="Normal"/>
    <w:rsid w:val="00C73A1C"/>
    <w:pPr>
      <w:spacing w:after="120"/>
      <w:ind w:left="283"/>
    </w:pPr>
  </w:style>
  <w:style w:type="paragraph" w:styleId="ListContinue2">
    <w:name w:val="List Continue 2"/>
    <w:basedOn w:val="Normal"/>
    <w:rsid w:val="00C73A1C"/>
    <w:pPr>
      <w:spacing w:after="120"/>
      <w:ind w:left="566"/>
    </w:pPr>
  </w:style>
  <w:style w:type="paragraph" w:styleId="ListContinue3">
    <w:name w:val="List Continue 3"/>
    <w:basedOn w:val="Normal"/>
    <w:rsid w:val="00C73A1C"/>
    <w:pPr>
      <w:spacing w:after="120"/>
      <w:ind w:left="849"/>
    </w:pPr>
  </w:style>
  <w:style w:type="paragraph" w:styleId="ListContinue4">
    <w:name w:val="List Continue 4"/>
    <w:basedOn w:val="Normal"/>
    <w:rsid w:val="00C73A1C"/>
    <w:pPr>
      <w:spacing w:after="120"/>
      <w:ind w:left="1132"/>
    </w:pPr>
  </w:style>
  <w:style w:type="paragraph" w:styleId="ListContinue5">
    <w:name w:val="List Continue 5"/>
    <w:basedOn w:val="Normal"/>
    <w:rsid w:val="00C73A1C"/>
    <w:pPr>
      <w:spacing w:after="120"/>
      <w:ind w:left="1415"/>
    </w:pPr>
  </w:style>
  <w:style w:type="paragraph" w:styleId="MessageHeader">
    <w:name w:val="Message Header"/>
    <w:basedOn w:val="Normal"/>
    <w:link w:val="MessageHeaderChar"/>
    <w:rsid w:val="00C73A1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73A1C"/>
    <w:rPr>
      <w:rFonts w:ascii="Arial" w:hAnsi="Arial" w:cs="Arial"/>
      <w:sz w:val="22"/>
      <w:shd w:val="pct20" w:color="auto" w:fill="auto"/>
    </w:rPr>
  </w:style>
  <w:style w:type="paragraph" w:styleId="Subtitle">
    <w:name w:val="Subtitle"/>
    <w:basedOn w:val="Normal"/>
    <w:link w:val="SubtitleChar"/>
    <w:qFormat/>
    <w:rsid w:val="00C73A1C"/>
    <w:pPr>
      <w:spacing w:after="60"/>
      <w:jc w:val="center"/>
      <w:outlineLvl w:val="1"/>
    </w:pPr>
    <w:rPr>
      <w:rFonts w:ascii="Arial" w:hAnsi="Arial" w:cs="Arial"/>
    </w:rPr>
  </w:style>
  <w:style w:type="character" w:customStyle="1" w:styleId="SubtitleChar">
    <w:name w:val="Subtitle Char"/>
    <w:basedOn w:val="DefaultParagraphFont"/>
    <w:link w:val="Subtitle"/>
    <w:rsid w:val="00C73A1C"/>
    <w:rPr>
      <w:rFonts w:ascii="Arial" w:hAnsi="Arial" w:cs="Arial"/>
      <w:sz w:val="22"/>
    </w:rPr>
  </w:style>
  <w:style w:type="paragraph" w:styleId="Salutation">
    <w:name w:val="Salutation"/>
    <w:basedOn w:val="Normal"/>
    <w:next w:val="Normal"/>
    <w:link w:val="SalutationChar"/>
    <w:rsid w:val="00C73A1C"/>
  </w:style>
  <w:style w:type="character" w:customStyle="1" w:styleId="SalutationChar">
    <w:name w:val="Salutation Char"/>
    <w:basedOn w:val="DefaultParagraphFont"/>
    <w:link w:val="Salutation"/>
    <w:rsid w:val="00C73A1C"/>
    <w:rPr>
      <w:sz w:val="22"/>
    </w:rPr>
  </w:style>
  <w:style w:type="paragraph" w:styleId="Date">
    <w:name w:val="Date"/>
    <w:basedOn w:val="Normal"/>
    <w:next w:val="Normal"/>
    <w:link w:val="DateChar"/>
    <w:rsid w:val="00C73A1C"/>
  </w:style>
  <w:style w:type="character" w:customStyle="1" w:styleId="DateChar">
    <w:name w:val="Date Char"/>
    <w:basedOn w:val="DefaultParagraphFont"/>
    <w:link w:val="Date"/>
    <w:rsid w:val="00C73A1C"/>
    <w:rPr>
      <w:sz w:val="22"/>
    </w:rPr>
  </w:style>
  <w:style w:type="paragraph" w:styleId="BodyTextFirstIndent">
    <w:name w:val="Body Text First Indent"/>
    <w:basedOn w:val="BodyText"/>
    <w:link w:val="BodyTextFirstIndentChar"/>
    <w:rsid w:val="00C73A1C"/>
    <w:pPr>
      <w:ind w:firstLine="210"/>
    </w:pPr>
  </w:style>
  <w:style w:type="character" w:customStyle="1" w:styleId="BodyTextFirstIndentChar">
    <w:name w:val="Body Text First Indent Char"/>
    <w:basedOn w:val="BodyTextChar"/>
    <w:link w:val="BodyTextFirstIndent"/>
    <w:rsid w:val="00C73A1C"/>
    <w:rPr>
      <w:sz w:val="22"/>
    </w:rPr>
  </w:style>
  <w:style w:type="paragraph" w:styleId="BodyTextFirstIndent2">
    <w:name w:val="Body Text First Indent 2"/>
    <w:basedOn w:val="BodyTextIndent"/>
    <w:link w:val="BodyTextFirstIndent2Char"/>
    <w:rsid w:val="00C73A1C"/>
    <w:pPr>
      <w:ind w:firstLine="210"/>
    </w:pPr>
  </w:style>
  <w:style w:type="character" w:customStyle="1" w:styleId="BodyTextFirstIndent2Char">
    <w:name w:val="Body Text First Indent 2 Char"/>
    <w:basedOn w:val="BodyTextIndentChar"/>
    <w:link w:val="BodyTextFirstIndent2"/>
    <w:rsid w:val="00C73A1C"/>
    <w:rPr>
      <w:sz w:val="22"/>
    </w:rPr>
  </w:style>
  <w:style w:type="paragraph" w:styleId="BodyText2">
    <w:name w:val="Body Text 2"/>
    <w:basedOn w:val="Normal"/>
    <w:link w:val="BodyText2Char"/>
    <w:rsid w:val="00C73A1C"/>
    <w:pPr>
      <w:spacing w:after="120" w:line="480" w:lineRule="auto"/>
    </w:pPr>
  </w:style>
  <w:style w:type="character" w:customStyle="1" w:styleId="BodyText2Char">
    <w:name w:val="Body Text 2 Char"/>
    <w:basedOn w:val="DefaultParagraphFont"/>
    <w:link w:val="BodyText2"/>
    <w:rsid w:val="00C73A1C"/>
    <w:rPr>
      <w:sz w:val="22"/>
    </w:rPr>
  </w:style>
  <w:style w:type="paragraph" w:styleId="BodyText3">
    <w:name w:val="Body Text 3"/>
    <w:basedOn w:val="Normal"/>
    <w:link w:val="BodyText3Char"/>
    <w:rsid w:val="00C73A1C"/>
    <w:pPr>
      <w:spacing w:after="120"/>
    </w:pPr>
    <w:rPr>
      <w:sz w:val="16"/>
      <w:szCs w:val="16"/>
    </w:rPr>
  </w:style>
  <w:style w:type="character" w:customStyle="1" w:styleId="BodyText3Char">
    <w:name w:val="Body Text 3 Char"/>
    <w:basedOn w:val="DefaultParagraphFont"/>
    <w:link w:val="BodyText3"/>
    <w:rsid w:val="00C73A1C"/>
    <w:rPr>
      <w:sz w:val="16"/>
      <w:szCs w:val="16"/>
    </w:rPr>
  </w:style>
  <w:style w:type="paragraph" w:styleId="BodyTextIndent2">
    <w:name w:val="Body Text Indent 2"/>
    <w:basedOn w:val="Normal"/>
    <w:link w:val="BodyTextIndent2Char"/>
    <w:rsid w:val="00C73A1C"/>
    <w:pPr>
      <w:spacing w:after="120" w:line="480" w:lineRule="auto"/>
      <w:ind w:left="283"/>
    </w:pPr>
  </w:style>
  <w:style w:type="character" w:customStyle="1" w:styleId="BodyTextIndent2Char">
    <w:name w:val="Body Text Indent 2 Char"/>
    <w:basedOn w:val="DefaultParagraphFont"/>
    <w:link w:val="BodyTextIndent2"/>
    <w:rsid w:val="00C73A1C"/>
    <w:rPr>
      <w:sz w:val="22"/>
    </w:rPr>
  </w:style>
  <w:style w:type="paragraph" w:styleId="BodyTextIndent3">
    <w:name w:val="Body Text Indent 3"/>
    <w:basedOn w:val="Normal"/>
    <w:link w:val="BodyTextIndent3Char"/>
    <w:rsid w:val="00C73A1C"/>
    <w:pPr>
      <w:spacing w:after="120"/>
      <w:ind w:left="283"/>
    </w:pPr>
    <w:rPr>
      <w:sz w:val="16"/>
      <w:szCs w:val="16"/>
    </w:rPr>
  </w:style>
  <w:style w:type="character" w:customStyle="1" w:styleId="BodyTextIndent3Char">
    <w:name w:val="Body Text Indent 3 Char"/>
    <w:basedOn w:val="DefaultParagraphFont"/>
    <w:link w:val="BodyTextIndent3"/>
    <w:rsid w:val="00C73A1C"/>
    <w:rPr>
      <w:sz w:val="16"/>
      <w:szCs w:val="16"/>
    </w:rPr>
  </w:style>
  <w:style w:type="paragraph" w:styleId="BlockText">
    <w:name w:val="Block Text"/>
    <w:basedOn w:val="Normal"/>
    <w:rsid w:val="00C73A1C"/>
    <w:pPr>
      <w:spacing w:after="120"/>
      <w:ind w:left="1440" w:right="1440"/>
    </w:pPr>
  </w:style>
  <w:style w:type="character" w:styleId="Hyperlink">
    <w:name w:val="Hyperlink"/>
    <w:basedOn w:val="DefaultParagraphFont"/>
    <w:rsid w:val="00C73A1C"/>
    <w:rPr>
      <w:color w:val="0000FF"/>
      <w:u w:val="single"/>
    </w:rPr>
  </w:style>
  <w:style w:type="character" w:styleId="FollowedHyperlink">
    <w:name w:val="FollowedHyperlink"/>
    <w:basedOn w:val="DefaultParagraphFont"/>
    <w:rsid w:val="00C73A1C"/>
    <w:rPr>
      <w:color w:val="800080"/>
      <w:u w:val="single"/>
    </w:rPr>
  </w:style>
  <w:style w:type="character" w:styleId="Strong">
    <w:name w:val="Strong"/>
    <w:basedOn w:val="DefaultParagraphFont"/>
    <w:qFormat/>
    <w:rsid w:val="00C73A1C"/>
    <w:rPr>
      <w:b/>
      <w:bCs/>
    </w:rPr>
  </w:style>
  <w:style w:type="character" w:styleId="Emphasis">
    <w:name w:val="Emphasis"/>
    <w:basedOn w:val="DefaultParagraphFont"/>
    <w:qFormat/>
    <w:rsid w:val="00C73A1C"/>
    <w:rPr>
      <w:i/>
      <w:iCs/>
    </w:rPr>
  </w:style>
  <w:style w:type="paragraph" w:styleId="DocumentMap">
    <w:name w:val="Document Map"/>
    <w:basedOn w:val="Normal"/>
    <w:link w:val="DocumentMapChar"/>
    <w:rsid w:val="00C73A1C"/>
    <w:pPr>
      <w:shd w:val="clear" w:color="auto" w:fill="000080"/>
    </w:pPr>
    <w:rPr>
      <w:rFonts w:ascii="Tahoma" w:hAnsi="Tahoma" w:cs="Tahoma"/>
    </w:rPr>
  </w:style>
  <w:style w:type="character" w:customStyle="1" w:styleId="DocumentMapChar">
    <w:name w:val="Document Map Char"/>
    <w:basedOn w:val="DefaultParagraphFont"/>
    <w:link w:val="DocumentMap"/>
    <w:rsid w:val="00C73A1C"/>
    <w:rPr>
      <w:rFonts w:ascii="Tahoma" w:hAnsi="Tahoma" w:cs="Tahoma"/>
      <w:sz w:val="22"/>
      <w:shd w:val="clear" w:color="auto" w:fill="000080"/>
    </w:rPr>
  </w:style>
  <w:style w:type="paragraph" w:styleId="PlainText">
    <w:name w:val="Plain Text"/>
    <w:basedOn w:val="Normal"/>
    <w:link w:val="PlainTextChar"/>
    <w:rsid w:val="00C73A1C"/>
    <w:rPr>
      <w:rFonts w:ascii="Courier New" w:hAnsi="Courier New" w:cs="Courier New"/>
      <w:sz w:val="20"/>
    </w:rPr>
  </w:style>
  <w:style w:type="character" w:customStyle="1" w:styleId="PlainTextChar">
    <w:name w:val="Plain Text Char"/>
    <w:basedOn w:val="DefaultParagraphFont"/>
    <w:link w:val="PlainText"/>
    <w:rsid w:val="00C73A1C"/>
    <w:rPr>
      <w:rFonts w:ascii="Courier New" w:hAnsi="Courier New" w:cs="Courier New"/>
    </w:rPr>
  </w:style>
  <w:style w:type="paragraph" w:styleId="E-mailSignature">
    <w:name w:val="E-mail Signature"/>
    <w:basedOn w:val="Normal"/>
    <w:link w:val="E-mailSignatureChar"/>
    <w:rsid w:val="00C73A1C"/>
  </w:style>
  <w:style w:type="character" w:customStyle="1" w:styleId="E-mailSignatureChar">
    <w:name w:val="E-mail Signature Char"/>
    <w:basedOn w:val="DefaultParagraphFont"/>
    <w:link w:val="E-mailSignature"/>
    <w:rsid w:val="00C73A1C"/>
    <w:rPr>
      <w:sz w:val="22"/>
    </w:rPr>
  </w:style>
  <w:style w:type="paragraph" w:styleId="NormalWeb">
    <w:name w:val="Normal (Web)"/>
    <w:basedOn w:val="Normal"/>
    <w:rsid w:val="00C73A1C"/>
  </w:style>
  <w:style w:type="character" w:styleId="HTMLAcronym">
    <w:name w:val="HTML Acronym"/>
    <w:basedOn w:val="DefaultParagraphFont"/>
    <w:rsid w:val="00C73A1C"/>
  </w:style>
  <w:style w:type="paragraph" w:styleId="HTMLAddress">
    <w:name w:val="HTML Address"/>
    <w:basedOn w:val="Normal"/>
    <w:link w:val="HTMLAddressChar"/>
    <w:rsid w:val="00C73A1C"/>
    <w:rPr>
      <w:i/>
      <w:iCs/>
    </w:rPr>
  </w:style>
  <w:style w:type="character" w:customStyle="1" w:styleId="HTMLAddressChar">
    <w:name w:val="HTML Address Char"/>
    <w:basedOn w:val="DefaultParagraphFont"/>
    <w:link w:val="HTMLAddress"/>
    <w:rsid w:val="00C73A1C"/>
    <w:rPr>
      <w:i/>
      <w:iCs/>
      <w:sz w:val="22"/>
    </w:rPr>
  </w:style>
  <w:style w:type="character" w:styleId="HTMLCite">
    <w:name w:val="HTML Cite"/>
    <w:basedOn w:val="DefaultParagraphFont"/>
    <w:rsid w:val="00C73A1C"/>
    <w:rPr>
      <w:i/>
      <w:iCs/>
    </w:rPr>
  </w:style>
  <w:style w:type="character" w:styleId="HTMLCode">
    <w:name w:val="HTML Code"/>
    <w:basedOn w:val="DefaultParagraphFont"/>
    <w:rsid w:val="00C73A1C"/>
    <w:rPr>
      <w:rFonts w:ascii="Courier New" w:hAnsi="Courier New" w:cs="Courier New"/>
      <w:sz w:val="20"/>
      <w:szCs w:val="20"/>
    </w:rPr>
  </w:style>
  <w:style w:type="character" w:styleId="HTMLDefinition">
    <w:name w:val="HTML Definition"/>
    <w:basedOn w:val="DefaultParagraphFont"/>
    <w:rsid w:val="00C73A1C"/>
    <w:rPr>
      <w:i/>
      <w:iCs/>
    </w:rPr>
  </w:style>
  <w:style w:type="character" w:styleId="HTMLKeyboard">
    <w:name w:val="HTML Keyboard"/>
    <w:basedOn w:val="DefaultParagraphFont"/>
    <w:rsid w:val="00C73A1C"/>
    <w:rPr>
      <w:rFonts w:ascii="Courier New" w:hAnsi="Courier New" w:cs="Courier New"/>
      <w:sz w:val="20"/>
      <w:szCs w:val="20"/>
    </w:rPr>
  </w:style>
  <w:style w:type="paragraph" w:styleId="HTMLPreformatted">
    <w:name w:val="HTML Preformatted"/>
    <w:basedOn w:val="Normal"/>
    <w:link w:val="HTMLPreformattedChar"/>
    <w:rsid w:val="00C73A1C"/>
    <w:rPr>
      <w:rFonts w:ascii="Courier New" w:hAnsi="Courier New" w:cs="Courier New"/>
      <w:sz w:val="20"/>
    </w:rPr>
  </w:style>
  <w:style w:type="character" w:customStyle="1" w:styleId="HTMLPreformattedChar">
    <w:name w:val="HTML Preformatted Char"/>
    <w:basedOn w:val="DefaultParagraphFont"/>
    <w:link w:val="HTMLPreformatted"/>
    <w:rsid w:val="00C73A1C"/>
    <w:rPr>
      <w:rFonts w:ascii="Courier New" w:hAnsi="Courier New" w:cs="Courier New"/>
    </w:rPr>
  </w:style>
  <w:style w:type="character" w:styleId="HTMLSample">
    <w:name w:val="HTML Sample"/>
    <w:basedOn w:val="DefaultParagraphFont"/>
    <w:rsid w:val="00C73A1C"/>
    <w:rPr>
      <w:rFonts w:ascii="Courier New" w:hAnsi="Courier New" w:cs="Courier New"/>
    </w:rPr>
  </w:style>
  <w:style w:type="character" w:styleId="HTMLTypewriter">
    <w:name w:val="HTML Typewriter"/>
    <w:basedOn w:val="DefaultParagraphFont"/>
    <w:rsid w:val="00C73A1C"/>
    <w:rPr>
      <w:rFonts w:ascii="Courier New" w:hAnsi="Courier New" w:cs="Courier New"/>
      <w:sz w:val="20"/>
      <w:szCs w:val="20"/>
    </w:rPr>
  </w:style>
  <w:style w:type="character" w:styleId="HTMLVariable">
    <w:name w:val="HTML Variable"/>
    <w:basedOn w:val="DefaultParagraphFont"/>
    <w:rsid w:val="00C73A1C"/>
    <w:rPr>
      <w:i/>
      <w:iCs/>
    </w:rPr>
  </w:style>
  <w:style w:type="paragraph" w:styleId="CommentSubject">
    <w:name w:val="annotation subject"/>
    <w:basedOn w:val="CommentText"/>
    <w:next w:val="CommentText"/>
    <w:link w:val="CommentSubjectChar"/>
    <w:rsid w:val="00C73A1C"/>
    <w:rPr>
      <w:b/>
      <w:bCs/>
    </w:rPr>
  </w:style>
  <w:style w:type="character" w:customStyle="1" w:styleId="CommentSubjectChar">
    <w:name w:val="Comment Subject Char"/>
    <w:basedOn w:val="CommentTextChar"/>
    <w:link w:val="CommentSubject"/>
    <w:rsid w:val="00C73A1C"/>
    <w:rPr>
      <w:b/>
      <w:bCs/>
    </w:rPr>
  </w:style>
  <w:style w:type="numbering" w:styleId="1ai">
    <w:name w:val="Outline List 1"/>
    <w:basedOn w:val="NoList"/>
    <w:rsid w:val="00C73A1C"/>
    <w:pPr>
      <w:numPr>
        <w:numId w:val="14"/>
      </w:numPr>
    </w:pPr>
  </w:style>
  <w:style w:type="numbering" w:styleId="111111">
    <w:name w:val="Outline List 2"/>
    <w:basedOn w:val="NoList"/>
    <w:rsid w:val="00C73A1C"/>
    <w:pPr>
      <w:numPr>
        <w:numId w:val="15"/>
      </w:numPr>
    </w:pPr>
  </w:style>
  <w:style w:type="numbering" w:styleId="ArticleSection">
    <w:name w:val="Outline List 3"/>
    <w:basedOn w:val="NoList"/>
    <w:rsid w:val="00C73A1C"/>
    <w:pPr>
      <w:numPr>
        <w:numId w:val="17"/>
      </w:numPr>
    </w:pPr>
  </w:style>
  <w:style w:type="table" w:styleId="TableSimple1">
    <w:name w:val="Table Simple 1"/>
    <w:basedOn w:val="TableNormal"/>
    <w:rsid w:val="00C73A1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3A1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3A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73A1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3A1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3A1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3A1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3A1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3A1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3A1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3A1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3A1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3A1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3A1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3A1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73A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3A1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3A1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3A1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3A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3A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3A1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3A1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3A1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3A1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3A1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3A1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3A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3A1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3A1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3A1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73A1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3A1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3A1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73A1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3A1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73A1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3A1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3A1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73A1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3A1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3A1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73A1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73A1C"/>
    <w:rPr>
      <w:rFonts w:eastAsia="Times New Roman" w:cs="Times New Roman"/>
      <w:b/>
      <w:kern w:val="28"/>
      <w:sz w:val="24"/>
      <w:lang w:eastAsia="en-AU"/>
    </w:rPr>
  </w:style>
  <w:style w:type="paragraph" w:customStyle="1" w:styleId="BodyNum">
    <w:name w:val="BodyNum"/>
    <w:aliases w:val="b1"/>
    <w:basedOn w:val="Normal"/>
    <w:rsid w:val="0097617C"/>
    <w:pPr>
      <w:numPr>
        <w:numId w:val="19"/>
      </w:numPr>
      <w:spacing w:before="240" w:line="240" w:lineRule="auto"/>
    </w:pPr>
    <w:rPr>
      <w:rFonts w:eastAsia="Times New Roman" w:cs="Times New Roman"/>
      <w:sz w:val="24"/>
      <w:lang w:eastAsia="en-AU"/>
    </w:rPr>
  </w:style>
  <w:style w:type="paragraph" w:customStyle="1" w:styleId="BodyPara">
    <w:name w:val="BodyPara"/>
    <w:aliases w:val="ba"/>
    <w:basedOn w:val="Normal"/>
    <w:rsid w:val="0097617C"/>
    <w:pPr>
      <w:numPr>
        <w:ilvl w:val="1"/>
        <w:numId w:val="19"/>
      </w:numPr>
      <w:spacing w:before="240" w:line="240" w:lineRule="auto"/>
    </w:pPr>
    <w:rPr>
      <w:rFonts w:eastAsia="Times New Roman" w:cs="Times New Roman"/>
      <w:sz w:val="24"/>
      <w:lang w:eastAsia="en-AU"/>
    </w:rPr>
  </w:style>
  <w:style w:type="numbering" w:customStyle="1" w:styleId="OPCBodyList">
    <w:name w:val="OPCBodyList"/>
    <w:uiPriority w:val="99"/>
    <w:rsid w:val="0097617C"/>
    <w:pPr>
      <w:numPr>
        <w:numId w:val="19"/>
      </w:numPr>
    </w:pPr>
  </w:style>
  <w:style w:type="character" w:styleId="UnresolvedMention">
    <w:name w:val="Unresolved Mention"/>
    <w:basedOn w:val="DefaultParagraphFont"/>
    <w:uiPriority w:val="99"/>
    <w:semiHidden/>
    <w:unhideWhenUsed/>
    <w:rsid w:val="00862DDF"/>
    <w:rPr>
      <w:color w:val="605E5C"/>
      <w:shd w:val="clear" w:color="auto" w:fill="E1DFDD"/>
    </w:rPr>
  </w:style>
  <w:style w:type="paragraph" w:styleId="Revision">
    <w:name w:val="Revision"/>
    <w:hidden/>
    <w:uiPriority w:val="99"/>
    <w:semiHidden/>
    <w:rsid w:val="004607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089">
      <w:bodyDiv w:val="1"/>
      <w:marLeft w:val="0"/>
      <w:marRight w:val="0"/>
      <w:marTop w:val="0"/>
      <w:marBottom w:val="0"/>
      <w:divBdr>
        <w:top w:val="none" w:sz="0" w:space="0" w:color="auto"/>
        <w:left w:val="none" w:sz="0" w:space="0" w:color="auto"/>
        <w:bottom w:val="none" w:sz="0" w:space="0" w:color="auto"/>
        <w:right w:val="none" w:sz="0" w:space="0" w:color="auto"/>
      </w:divBdr>
    </w:div>
    <w:div w:id="122161437">
      <w:bodyDiv w:val="1"/>
      <w:marLeft w:val="0"/>
      <w:marRight w:val="0"/>
      <w:marTop w:val="0"/>
      <w:marBottom w:val="0"/>
      <w:divBdr>
        <w:top w:val="none" w:sz="0" w:space="0" w:color="auto"/>
        <w:left w:val="none" w:sz="0" w:space="0" w:color="auto"/>
        <w:bottom w:val="none" w:sz="0" w:space="0" w:color="auto"/>
        <w:right w:val="none" w:sz="0" w:space="0" w:color="auto"/>
      </w:divBdr>
    </w:div>
    <w:div w:id="144664606">
      <w:bodyDiv w:val="1"/>
      <w:marLeft w:val="0"/>
      <w:marRight w:val="0"/>
      <w:marTop w:val="0"/>
      <w:marBottom w:val="0"/>
      <w:divBdr>
        <w:top w:val="none" w:sz="0" w:space="0" w:color="auto"/>
        <w:left w:val="none" w:sz="0" w:space="0" w:color="auto"/>
        <w:bottom w:val="none" w:sz="0" w:space="0" w:color="auto"/>
        <w:right w:val="none" w:sz="0" w:space="0" w:color="auto"/>
      </w:divBdr>
    </w:div>
    <w:div w:id="330452924">
      <w:bodyDiv w:val="1"/>
      <w:marLeft w:val="0"/>
      <w:marRight w:val="0"/>
      <w:marTop w:val="0"/>
      <w:marBottom w:val="0"/>
      <w:divBdr>
        <w:top w:val="none" w:sz="0" w:space="0" w:color="auto"/>
        <w:left w:val="none" w:sz="0" w:space="0" w:color="auto"/>
        <w:bottom w:val="none" w:sz="0" w:space="0" w:color="auto"/>
        <w:right w:val="none" w:sz="0" w:space="0" w:color="auto"/>
      </w:divBdr>
    </w:div>
    <w:div w:id="396318244">
      <w:bodyDiv w:val="1"/>
      <w:marLeft w:val="0"/>
      <w:marRight w:val="0"/>
      <w:marTop w:val="0"/>
      <w:marBottom w:val="0"/>
      <w:divBdr>
        <w:top w:val="none" w:sz="0" w:space="0" w:color="auto"/>
        <w:left w:val="none" w:sz="0" w:space="0" w:color="auto"/>
        <w:bottom w:val="none" w:sz="0" w:space="0" w:color="auto"/>
        <w:right w:val="none" w:sz="0" w:space="0" w:color="auto"/>
      </w:divBdr>
    </w:div>
    <w:div w:id="462695668">
      <w:bodyDiv w:val="1"/>
      <w:marLeft w:val="0"/>
      <w:marRight w:val="0"/>
      <w:marTop w:val="0"/>
      <w:marBottom w:val="0"/>
      <w:divBdr>
        <w:top w:val="none" w:sz="0" w:space="0" w:color="auto"/>
        <w:left w:val="none" w:sz="0" w:space="0" w:color="auto"/>
        <w:bottom w:val="none" w:sz="0" w:space="0" w:color="auto"/>
        <w:right w:val="none" w:sz="0" w:space="0" w:color="auto"/>
      </w:divBdr>
    </w:div>
    <w:div w:id="593242644">
      <w:bodyDiv w:val="1"/>
      <w:marLeft w:val="0"/>
      <w:marRight w:val="0"/>
      <w:marTop w:val="0"/>
      <w:marBottom w:val="0"/>
      <w:divBdr>
        <w:top w:val="none" w:sz="0" w:space="0" w:color="auto"/>
        <w:left w:val="none" w:sz="0" w:space="0" w:color="auto"/>
        <w:bottom w:val="none" w:sz="0" w:space="0" w:color="auto"/>
        <w:right w:val="none" w:sz="0" w:space="0" w:color="auto"/>
      </w:divBdr>
    </w:div>
    <w:div w:id="897783154">
      <w:bodyDiv w:val="1"/>
      <w:marLeft w:val="0"/>
      <w:marRight w:val="0"/>
      <w:marTop w:val="0"/>
      <w:marBottom w:val="0"/>
      <w:divBdr>
        <w:top w:val="none" w:sz="0" w:space="0" w:color="auto"/>
        <w:left w:val="none" w:sz="0" w:space="0" w:color="auto"/>
        <w:bottom w:val="none" w:sz="0" w:space="0" w:color="auto"/>
        <w:right w:val="none" w:sz="0" w:space="0" w:color="auto"/>
      </w:divBdr>
    </w:div>
    <w:div w:id="930241431">
      <w:bodyDiv w:val="1"/>
      <w:marLeft w:val="0"/>
      <w:marRight w:val="0"/>
      <w:marTop w:val="0"/>
      <w:marBottom w:val="0"/>
      <w:divBdr>
        <w:top w:val="none" w:sz="0" w:space="0" w:color="auto"/>
        <w:left w:val="none" w:sz="0" w:space="0" w:color="auto"/>
        <w:bottom w:val="none" w:sz="0" w:space="0" w:color="auto"/>
        <w:right w:val="none" w:sz="0" w:space="0" w:color="auto"/>
      </w:divBdr>
    </w:div>
    <w:div w:id="1084109065">
      <w:bodyDiv w:val="1"/>
      <w:marLeft w:val="0"/>
      <w:marRight w:val="0"/>
      <w:marTop w:val="0"/>
      <w:marBottom w:val="0"/>
      <w:divBdr>
        <w:top w:val="none" w:sz="0" w:space="0" w:color="auto"/>
        <w:left w:val="none" w:sz="0" w:space="0" w:color="auto"/>
        <w:bottom w:val="none" w:sz="0" w:space="0" w:color="auto"/>
        <w:right w:val="none" w:sz="0" w:space="0" w:color="auto"/>
      </w:divBdr>
    </w:div>
    <w:div w:id="1091004764">
      <w:bodyDiv w:val="1"/>
      <w:marLeft w:val="0"/>
      <w:marRight w:val="0"/>
      <w:marTop w:val="0"/>
      <w:marBottom w:val="0"/>
      <w:divBdr>
        <w:top w:val="none" w:sz="0" w:space="0" w:color="auto"/>
        <w:left w:val="none" w:sz="0" w:space="0" w:color="auto"/>
        <w:bottom w:val="none" w:sz="0" w:space="0" w:color="auto"/>
        <w:right w:val="none" w:sz="0" w:space="0" w:color="auto"/>
      </w:divBdr>
    </w:div>
    <w:div w:id="1110707955">
      <w:bodyDiv w:val="1"/>
      <w:marLeft w:val="0"/>
      <w:marRight w:val="0"/>
      <w:marTop w:val="0"/>
      <w:marBottom w:val="0"/>
      <w:divBdr>
        <w:top w:val="none" w:sz="0" w:space="0" w:color="auto"/>
        <w:left w:val="none" w:sz="0" w:space="0" w:color="auto"/>
        <w:bottom w:val="none" w:sz="0" w:space="0" w:color="auto"/>
        <w:right w:val="none" w:sz="0" w:space="0" w:color="auto"/>
      </w:divBdr>
    </w:div>
    <w:div w:id="1174416331">
      <w:bodyDiv w:val="1"/>
      <w:marLeft w:val="0"/>
      <w:marRight w:val="0"/>
      <w:marTop w:val="0"/>
      <w:marBottom w:val="0"/>
      <w:divBdr>
        <w:top w:val="none" w:sz="0" w:space="0" w:color="auto"/>
        <w:left w:val="none" w:sz="0" w:space="0" w:color="auto"/>
        <w:bottom w:val="none" w:sz="0" w:space="0" w:color="auto"/>
        <w:right w:val="none" w:sz="0" w:space="0" w:color="auto"/>
      </w:divBdr>
    </w:div>
    <w:div w:id="1230649877">
      <w:bodyDiv w:val="1"/>
      <w:marLeft w:val="0"/>
      <w:marRight w:val="0"/>
      <w:marTop w:val="0"/>
      <w:marBottom w:val="0"/>
      <w:divBdr>
        <w:top w:val="none" w:sz="0" w:space="0" w:color="auto"/>
        <w:left w:val="none" w:sz="0" w:space="0" w:color="auto"/>
        <w:bottom w:val="none" w:sz="0" w:space="0" w:color="auto"/>
        <w:right w:val="none" w:sz="0" w:space="0" w:color="auto"/>
      </w:divBdr>
    </w:div>
    <w:div w:id="1316761413">
      <w:bodyDiv w:val="1"/>
      <w:marLeft w:val="0"/>
      <w:marRight w:val="0"/>
      <w:marTop w:val="0"/>
      <w:marBottom w:val="0"/>
      <w:divBdr>
        <w:top w:val="none" w:sz="0" w:space="0" w:color="auto"/>
        <w:left w:val="none" w:sz="0" w:space="0" w:color="auto"/>
        <w:bottom w:val="none" w:sz="0" w:space="0" w:color="auto"/>
        <w:right w:val="none" w:sz="0" w:space="0" w:color="auto"/>
      </w:divBdr>
    </w:div>
    <w:div w:id="1331828501">
      <w:bodyDiv w:val="1"/>
      <w:marLeft w:val="0"/>
      <w:marRight w:val="0"/>
      <w:marTop w:val="0"/>
      <w:marBottom w:val="0"/>
      <w:divBdr>
        <w:top w:val="none" w:sz="0" w:space="0" w:color="auto"/>
        <w:left w:val="none" w:sz="0" w:space="0" w:color="auto"/>
        <w:bottom w:val="none" w:sz="0" w:space="0" w:color="auto"/>
        <w:right w:val="none" w:sz="0" w:space="0" w:color="auto"/>
      </w:divBdr>
    </w:div>
    <w:div w:id="1348292067">
      <w:bodyDiv w:val="1"/>
      <w:marLeft w:val="0"/>
      <w:marRight w:val="0"/>
      <w:marTop w:val="0"/>
      <w:marBottom w:val="0"/>
      <w:divBdr>
        <w:top w:val="none" w:sz="0" w:space="0" w:color="auto"/>
        <w:left w:val="none" w:sz="0" w:space="0" w:color="auto"/>
        <w:bottom w:val="none" w:sz="0" w:space="0" w:color="auto"/>
        <w:right w:val="none" w:sz="0" w:space="0" w:color="auto"/>
      </w:divBdr>
    </w:div>
    <w:div w:id="1352994803">
      <w:bodyDiv w:val="1"/>
      <w:marLeft w:val="0"/>
      <w:marRight w:val="0"/>
      <w:marTop w:val="0"/>
      <w:marBottom w:val="0"/>
      <w:divBdr>
        <w:top w:val="none" w:sz="0" w:space="0" w:color="auto"/>
        <w:left w:val="none" w:sz="0" w:space="0" w:color="auto"/>
        <w:bottom w:val="none" w:sz="0" w:space="0" w:color="auto"/>
        <w:right w:val="none" w:sz="0" w:space="0" w:color="auto"/>
      </w:divBdr>
    </w:div>
    <w:div w:id="1365710937">
      <w:bodyDiv w:val="1"/>
      <w:marLeft w:val="0"/>
      <w:marRight w:val="0"/>
      <w:marTop w:val="0"/>
      <w:marBottom w:val="0"/>
      <w:divBdr>
        <w:top w:val="none" w:sz="0" w:space="0" w:color="auto"/>
        <w:left w:val="none" w:sz="0" w:space="0" w:color="auto"/>
        <w:bottom w:val="none" w:sz="0" w:space="0" w:color="auto"/>
        <w:right w:val="none" w:sz="0" w:space="0" w:color="auto"/>
      </w:divBdr>
    </w:div>
    <w:div w:id="1371805624">
      <w:bodyDiv w:val="1"/>
      <w:marLeft w:val="0"/>
      <w:marRight w:val="0"/>
      <w:marTop w:val="0"/>
      <w:marBottom w:val="0"/>
      <w:divBdr>
        <w:top w:val="none" w:sz="0" w:space="0" w:color="auto"/>
        <w:left w:val="none" w:sz="0" w:space="0" w:color="auto"/>
        <w:bottom w:val="none" w:sz="0" w:space="0" w:color="auto"/>
        <w:right w:val="none" w:sz="0" w:space="0" w:color="auto"/>
      </w:divBdr>
    </w:div>
    <w:div w:id="1421872153">
      <w:bodyDiv w:val="1"/>
      <w:marLeft w:val="0"/>
      <w:marRight w:val="0"/>
      <w:marTop w:val="0"/>
      <w:marBottom w:val="0"/>
      <w:divBdr>
        <w:top w:val="none" w:sz="0" w:space="0" w:color="auto"/>
        <w:left w:val="none" w:sz="0" w:space="0" w:color="auto"/>
        <w:bottom w:val="none" w:sz="0" w:space="0" w:color="auto"/>
        <w:right w:val="none" w:sz="0" w:space="0" w:color="auto"/>
      </w:divBdr>
    </w:div>
    <w:div w:id="1483233830">
      <w:bodyDiv w:val="1"/>
      <w:marLeft w:val="0"/>
      <w:marRight w:val="0"/>
      <w:marTop w:val="0"/>
      <w:marBottom w:val="0"/>
      <w:divBdr>
        <w:top w:val="none" w:sz="0" w:space="0" w:color="auto"/>
        <w:left w:val="none" w:sz="0" w:space="0" w:color="auto"/>
        <w:bottom w:val="none" w:sz="0" w:space="0" w:color="auto"/>
        <w:right w:val="none" w:sz="0" w:space="0" w:color="auto"/>
      </w:divBdr>
    </w:div>
    <w:div w:id="1866867329">
      <w:bodyDiv w:val="1"/>
      <w:marLeft w:val="0"/>
      <w:marRight w:val="0"/>
      <w:marTop w:val="0"/>
      <w:marBottom w:val="0"/>
      <w:divBdr>
        <w:top w:val="none" w:sz="0" w:space="0" w:color="auto"/>
        <w:left w:val="none" w:sz="0" w:space="0" w:color="auto"/>
        <w:bottom w:val="none" w:sz="0" w:space="0" w:color="auto"/>
        <w:right w:val="none" w:sz="0" w:space="0" w:color="auto"/>
      </w:divBdr>
    </w:div>
    <w:div w:id="21170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SESA\AppData\Local\Hewlett-Packard\HP%20TRIM\TEMP\HPTRIM.17168\D23-680041%20%20OPC%20Template%20-%20Amendments%20to%20the%20National%20Health%20(Minimum%20Stockholding)%20Determination%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D23-680041  OPC Template - Amendments to the National Health (Minimum Stockholding) Determination 2023.DOTX</Template>
  <TotalTime>0</TotalTime>
  <Pages>13</Pages>
  <Words>1810</Words>
  <Characters>10323</Characters>
  <Application>Microsoft Office Word</Application>
  <DocSecurity>0</DocSecurity>
  <PresentationFormat/>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2023-09-28T04:28:00Z</dcterms:created>
  <dcterms:modified xsi:type="dcterms:W3CDTF">2023-09-28T06:54:00Z</dcterms:modified>
  <cp:category/>
  <cp:contentStatus/>
  <dc:language/>
  <cp:version/>
</cp:coreProperties>
</file>