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2B6DF" w14:textId="77777777" w:rsidR="00A64BB6" w:rsidRPr="008B24C8" w:rsidRDefault="00A64BB6" w:rsidP="00A64BB6">
      <w:pPr>
        <w:pStyle w:val="ESTitleHeader"/>
      </w:pPr>
      <w:r w:rsidRPr="008B24C8">
        <w:t>EXPLANATORY STATEMENT</w:t>
      </w:r>
    </w:p>
    <w:p w14:paraId="142E6302" w14:textId="77777777" w:rsidR="00A64BB6" w:rsidRPr="008B24C8" w:rsidRDefault="00A64BB6" w:rsidP="00A64BB6">
      <w:pPr>
        <w:pStyle w:val="ESTitleDecisionMaker"/>
      </w:pPr>
      <w:r w:rsidRPr="008B24C8">
        <w:t xml:space="preserve">Issued by authority of the </w:t>
      </w:r>
      <w:r>
        <w:t>Minister for Immigration, Citizenship and Multicultural Affairs</w:t>
      </w:r>
    </w:p>
    <w:p w14:paraId="5298ED9C" w14:textId="77777777" w:rsidR="00A64BB6" w:rsidRPr="008B24C8" w:rsidRDefault="00A64BB6" w:rsidP="00A64BB6">
      <w:pPr>
        <w:pStyle w:val="ESTitleEnablingLegislation"/>
      </w:pPr>
      <w:r>
        <w:t>Migration Regulations 1994</w:t>
      </w:r>
    </w:p>
    <w:p w14:paraId="24491BE6" w14:textId="77777777" w:rsidR="00777264" w:rsidRPr="00777264" w:rsidRDefault="00777264" w:rsidP="00777264">
      <w:pPr>
        <w:pStyle w:val="ESHeading"/>
        <w:jc w:val="center"/>
      </w:pPr>
      <w:r w:rsidRPr="00777264">
        <w:t>Migration (LIN 19/198: Evidence of financial capacity—Subclass 500 Visa and Subclass 590 Visa) Amendment (LIN 23/070) Specification 2023</w:t>
      </w:r>
    </w:p>
    <w:p w14:paraId="6F0716B2" w14:textId="5A71D82B" w:rsidR="00A64BB6" w:rsidRDefault="00A64BB6" w:rsidP="00A64BB6">
      <w:pPr>
        <w:pStyle w:val="ESSubparaHeader"/>
        <w:ind w:left="567" w:hanging="425"/>
      </w:pPr>
      <w:r w:rsidRPr="008B24C8">
        <w:t>The inst</w:t>
      </w:r>
      <w:r>
        <w:t xml:space="preserve">rument, </w:t>
      </w:r>
      <w:r w:rsidR="00AA7620">
        <w:t>d</w:t>
      </w:r>
      <w:r>
        <w:t>epartmental reference LIN 23/070</w:t>
      </w:r>
      <w:r w:rsidRPr="008B24C8">
        <w:t xml:space="preserve">, is made under </w:t>
      </w:r>
      <w:r>
        <w:t xml:space="preserve">the </w:t>
      </w:r>
      <w:r w:rsidRPr="00A232D2">
        <w:rPr>
          <w:i/>
        </w:rPr>
        <w:t>Migration Regulations 1994</w:t>
      </w:r>
      <w:r>
        <w:t xml:space="preserve"> (the Migration Regulations)</w:t>
      </w:r>
      <w:r w:rsidR="00AA7620">
        <w:t xml:space="preserve"> for the purposes of the following provisions</w:t>
      </w:r>
      <w:r w:rsidR="00976985">
        <w:t xml:space="preserve"> in Schedule 2 to the Migration Regulations</w:t>
      </w:r>
      <w:r>
        <w:t>:</w:t>
      </w:r>
    </w:p>
    <w:p w14:paraId="7DFE95A9" w14:textId="5C7ED717" w:rsidR="00A64BB6" w:rsidRDefault="00A64BB6" w:rsidP="00A64BB6">
      <w:pPr>
        <w:pStyle w:val="ESSubparaList"/>
        <w:ind w:left="993" w:hanging="425"/>
      </w:pPr>
      <w:r>
        <w:t>subclause 500.214(4);</w:t>
      </w:r>
    </w:p>
    <w:p w14:paraId="2AC05CEC" w14:textId="090E75A9" w:rsidR="00A64BB6" w:rsidRDefault="00A64BB6" w:rsidP="00A64BB6">
      <w:pPr>
        <w:pStyle w:val="ESSubparaList"/>
        <w:ind w:left="993" w:hanging="425"/>
      </w:pPr>
      <w:r>
        <w:t>subclause 500.313(4); and</w:t>
      </w:r>
    </w:p>
    <w:p w14:paraId="30B98C32" w14:textId="0AC481E1" w:rsidR="00A64BB6" w:rsidRPr="008B24C8" w:rsidRDefault="00A64BB6" w:rsidP="00A64BB6">
      <w:pPr>
        <w:pStyle w:val="ESSubparaList"/>
        <w:ind w:left="993" w:hanging="425"/>
      </w:pPr>
      <w:proofErr w:type="gramStart"/>
      <w:r>
        <w:t>subclause</w:t>
      </w:r>
      <w:proofErr w:type="gramEnd"/>
      <w:r>
        <w:t xml:space="preserve"> 590.216(4).</w:t>
      </w:r>
    </w:p>
    <w:p w14:paraId="5944386C" w14:textId="1C2F5503" w:rsidR="00A64BB6" w:rsidRPr="008B24C8" w:rsidRDefault="00A64BB6" w:rsidP="00A64BB6">
      <w:pPr>
        <w:pStyle w:val="ESSubparaHeader"/>
        <w:ind w:left="567" w:hanging="425"/>
      </w:pPr>
      <w:r>
        <w:t xml:space="preserve">The instrument </w:t>
      </w:r>
      <w:r w:rsidR="00B17A6A">
        <w:t>amends</w:t>
      </w:r>
      <w:r>
        <w:t xml:space="preserve"> </w:t>
      </w:r>
      <w:r w:rsidRPr="00E17876">
        <w:rPr>
          <w:i/>
        </w:rPr>
        <w:t>Migration (LIN 19/198: Evidence of financial capacity—Subclass 500 Visa and Subclass 590 Visa) Instrument 2019</w:t>
      </w:r>
      <w:r w:rsidRPr="008B24C8">
        <w:t xml:space="preserve"> </w:t>
      </w:r>
      <w:r>
        <w:t>(LIN 19/198) (</w:t>
      </w:r>
      <w:r w:rsidRPr="00A232D2">
        <w:t>F2019L01366</w:t>
      </w:r>
      <w:r>
        <w:t>)</w:t>
      </w:r>
      <w:r w:rsidR="00976985">
        <w:t>. S</w:t>
      </w:r>
      <w:r w:rsidRPr="008B24C8">
        <w:t xml:space="preserve">ubsection 33(3) of the </w:t>
      </w:r>
      <w:r w:rsidRPr="0007172E">
        <w:rPr>
          <w:i/>
        </w:rPr>
        <w:t>Acts Interpretation Act 1901</w:t>
      </w:r>
      <w:r w:rsidR="00976985">
        <w:t xml:space="preserve"> relevantly</w:t>
      </w:r>
      <w:r w:rsidRPr="008B24C8">
        <w:t xml:space="preserve"> provides that </w:t>
      </w:r>
      <w:r>
        <w:t>a power to make a legislative instrument includes a power to amend or repeal that instrument in the same manner, and subject to the same conditions, as the power to make the instrument</w:t>
      </w:r>
      <w:r w:rsidR="00976985">
        <w:t>.</w:t>
      </w:r>
    </w:p>
    <w:p w14:paraId="29357468" w14:textId="78DA6B4D" w:rsidR="00BE133F" w:rsidRDefault="00A64BB6" w:rsidP="00A64BE8">
      <w:pPr>
        <w:pStyle w:val="ESSubparaHeader"/>
        <w:ind w:left="567" w:hanging="425"/>
      </w:pPr>
      <w:r>
        <w:t>The instrument commences</w:t>
      </w:r>
      <w:r w:rsidR="00BD5A8D">
        <w:t xml:space="preserve"> on</w:t>
      </w:r>
      <w:r>
        <w:t xml:space="preserve"> 1 October 2023 and i</w:t>
      </w:r>
      <w:r w:rsidRPr="008B24C8">
        <w:t xml:space="preserve">s a </w:t>
      </w:r>
      <w:r>
        <w:t>legislative</w:t>
      </w:r>
      <w:r w:rsidRPr="008B24C8">
        <w:t xml:space="preserve"> instrument for </w:t>
      </w:r>
      <w:r>
        <w:t>the</w:t>
      </w:r>
      <w:r w:rsidR="005A40AD">
        <w:t xml:space="preserve"> purposes of the</w:t>
      </w:r>
      <w:r>
        <w:t xml:space="preserve"> </w:t>
      </w:r>
      <w:r>
        <w:rPr>
          <w:i/>
        </w:rPr>
        <w:t>Legislation Act 2003</w:t>
      </w:r>
      <w:r>
        <w:t xml:space="preserve"> (the Legislation Act)</w:t>
      </w:r>
      <w:r w:rsidR="00976985">
        <w:t>.</w:t>
      </w:r>
    </w:p>
    <w:p w14:paraId="02BF8636" w14:textId="77777777" w:rsidR="00A64BE8" w:rsidRDefault="00A64BE8" w:rsidP="00A64BE8">
      <w:pPr>
        <w:pStyle w:val="ESSubparaList"/>
        <w:numPr>
          <w:ilvl w:val="0"/>
          <w:numId w:val="0"/>
        </w:numPr>
        <w:rPr>
          <w:b/>
          <w:i/>
        </w:rPr>
      </w:pPr>
      <w:r w:rsidRPr="00A64BE8">
        <w:rPr>
          <w:b/>
          <w:i/>
        </w:rPr>
        <w:t>Purpose</w:t>
      </w:r>
    </w:p>
    <w:p w14:paraId="4A60F2AA" w14:textId="2A13F70D" w:rsidR="003311BD" w:rsidRDefault="00A853EE" w:rsidP="00A64BE8">
      <w:pPr>
        <w:pStyle w:val="ESSubparaHeader"/>
      </w:pPr>
      <w:r>
        <w:t>LIN 19/198</w:t>
      </w:r>
      <w:r w:rsidR="003311BD">
        <w:t xml:space="preserve"> specifies</w:t>
      </w:r>
      <w:r w:rsidR="007D2916">
        <w:t xml:space="preserve">, </w:t>
      </w:r>
      <w:r w:rsidR="001D3E8E">
        <w:t>for</w:t>
      </w:r>
      <w:r w:rsidR="007D2916">
        <w:t xml:space="preserve"> subclauses 500.214(4), 500.313(4)</w:t>
      </w:r>
      <w:r w:rsidR="00976985">
        <w:t xml:space="preserve"> and 590.216(4) of Schedule 2 to</w:t>
      </w:r>
      <w:r w:rsidR="007D2916">
        <w:t xml:space="preserve"> the Migration Regulations,</w:t>
      </w:r>
      <w:r w:rsidR="003311BD">
        <w:t xml:space="preserve"> the requirements for</w:t>
      </w:r>
      <w:r w:rsidR="007D2916">
        <w:t xml:space="preserve"> evidence of financial capacity t</w:t>
      </w:r>
      <w:r w:rsidR="007D2916">
        <w:rPr>
          <w:rStyle w:val="ui-provider"/>
        </w:rPr>
        <w:t>hat must be given by an applicant for a Subclass 500 (Student) visa (Subclass 500 visa) or Subclass 590 (Student Guardian) visa (Subclass 590 visa), if required by the Minister to do so.</w:t>
      </w:r>
    </w:p>
    <w:p w14:paraId="3BE39931" w14:textId="0929A380" w:rsidR="00A853EE" w:rsidRDefault="00A853EE" w:rsidP="00A853EE">
      <w:pPr>
        <w:pStyle w:val="ESSubparaHeader"/>
      </w:pPr>
      <w:r>
        <w:t>These requirements include specification</w:t>
      </w:r>
      <w:r w:rsidR="005A40AD">
        <w:t>, in Australian dollars (AUD),</w:t>
      </w:r>
      <w:r>
        <w:t xml:space="preserve"> of the amount of funds required to be evidenced by an applicant seeking to satisfy the primary criteria for the grant of a Subclass 500 visa, secondary criteria for the grant of a Subclass 500 visa, or primary criteria for the grant of a Subcla</w:t>
      </w:r>
      <w:r w:rsidR="007D2916">
        <w:t xml:space="preserve">ss 590 visa. </w:t>
      </w:r>
      <w:r w:rsidR="0039097C">
        <w:t>These figures were last updated in 2019</w:t>
      </w:r>
      <w:r w:rsidR="001D3E8E">
        <w:t>,</w:t>
      </w:r>
      <w:r w:rsidR="0039097C">
        <w:t xml:space="preserve"> and prior to this</w:t>
      </w:r>
      <w:r w:rsidR="001D3E8E">
        <w:t>,</w:t>
      </w:r>
      <w:r w:rsidR="0039097C">
        <w:t xml:space="preserve"> </w:t>
      </w:r>
      <w:proofErr w:type="gramStart"/>
      <w:r w:rsidR="0039097C">
        <w:t>annually</w:t>
      </w:r>
      <w:proofErr w:type="gramEnd"/>
      <w:r w:rsidR="001D3E8E">
        <w:t>. However, due to the COVID-19 P</w:t>
      </w:r>
      <w:r w:rsidR="0039097C">
        <w:t>andemic and its impact, these requirements have not been updated</w:t>
      </w:r>
      <w:r w:rsidR="005A40AD">
        <w:t xml:space="preserve"> in recent years</w:t>
      </w:r>
      <w:r w:rsidR="0039097C">
        <w:t>.</w:t>
      </w:r>
    </w:p>
    <w:p w14:paraId="1E6E681C" w14:textId="52234FE8" w:rsidR="00A853EE" w:rsidRDefault="00A853EE" w:rsidP="003311BD">
      <w:pPr>
        <w:pStyle w:val="ESSubparaHeader"/>
      </w:pPr>
      <w:r>
        <w:t xml:space="preserve">The purpose of LIN 23/070 is to amend LIN 19/198 to </w:t>
      </w:r>
      <w:r w:rsidR="001D3E8E">
        <w:t>revise and increase</w:t>
      </w:r>
      <w:r>
        <w:t xml:space="preserve"> the amount of funds required to be evidenced by a Subclass 500 visa applicant or Subclass 590 visa applicant, to reflect </w:t>
      </w:r>
      <w:r w:rsidR="003536B5">
        <w:t xml:space="preserve">the current </w:t>
      </w:r>
      <w:r>
        <w:t xml:space="preserve">cost of living pressures that Subclass 500 and Subclass 590 visa holders will be subject to once they arrive in Australia. </w:t>
      </w:r>
      <w:r w:rsidR="003536B5">
        <w:t xml:space="preserve">This will help to reduce the number of international </w:t>
      </w:r>
      <w:r w:rsidR="003536B5">
        <w:lastRenderedPageBreak/>
        <w:t>students experiencing financial hardship while in Aus</w:t>
      </w:r>
      <w:r w:rsidR="007D2916">
        <w:t>tralia, and ensure that they have</w:t>
      </w:r>
      <w:r w:rsidR="003536B5">
        <w:t xml:space="preserve"> adequate financial support for the duration of their studies. </w:t>
      </w:r>
    </w:p>
    <w:p w14:paraId="337FA544" w14:textId="0A17BFDF" w:rsidR="0039097C" w:rsidRDefault="0039097C" w:rsidP="0039097C">
      <w:pPr>
        <w:pStyle w:val="ESSubparaHeader"/>
      </w:pPr>
      <w:r>
        <w:t xml:space="preserve">The following annual living costs and expenses from LIN 19/198 are updated by this instrument, in line with Consumer Price Index (CPI) increases from June 2019 to June 2023. Adjustments in the CPI are provided by the </w:t>
      </w:r>
      <w:r w:rsidR="00E24BC5">
        <w:t>Australian Bureau of Statistics.</w:t>
      </w:r>
    </w:p>
    <w:p w14:paraId="42F3FC11" w14:textId="5ADC2B99" w:rsidR="0039097C" w:rsidRDefault="00000557" w:rsidP="0039097C">
      <w:pPr>
        <w:pStyle w:val="ESSubparaList"/>
        <w:ind w:left="1134" w:hanging="425"/>
      </w:pPr>
      <w:r>
        <w:t xml:space="preserve">The amount of living costs and expenses required </w:t>
      </w:r>
      <w:r w:rsidR="0039097C">
        <w:t xml:space="preserve">for an applicant </w:t>
      </w:r>
      <w:r>
        <w:t xml:space="preserve">seeking to meet the primary criteria for a Subclass 500 visa or Subclass 590 visa </w:t>
      </w:r>
      <w:r w:rsidR="0039097C">
        <w:t>under clauses 500.214 or 590.216</w:t>
      </w:r>
      <w:r>
        <w:t>, respectively</w:t>
      </w:r>
      <w:r w:rsidR="0039097C">
        <w:t>:</w:t>
      </w:r>
    </w:p>
    <w:p w14:paraId="2519F444" w14:textId="77777777" w:rsidR="0039097C" w:rsidRPr="00E17876" w:rsidRDefault="0039097C" w:rsidP="00E24BC5">
      <w:pPr>
        <w:pStyle w:val="ESSubparaList"/>
        <w:numPr>
          <w:ilvl w:val="1"/>
          <w:numId w:val="7"/>
        </w:numPr>
      </w:pPr>
      <w:r w:rsidRPr="00E17876">
        <w:t>an increase from AUD21,041</w:t>
      </w:r>
      <w:r>
        <w:t xml:space="preserve"> to AUD24,505</w:t>
      </w:r>
      <w:r w:rsidRPr="00E17876">
        <w:t>;</w:t>
      </w:r>
    </w:p>
    <w:p w14:paraId="6FBC913E" w14:textId="00B85055" w:rsidR="0039097C" w:rsidRDefault="00000557" w:rsidP="0039097C">
      <w:pPr>
        <w:pStyle w:val="ESSubparaList"/>
        <w:ind w:left="1134" w:hanging="425"/>
      </w:pPr>
      <w:r>
        <w:t xml:space="preserve">The living costs </w:t>
      </w:r>
      <w:r w:rsidR="0039097C">
        <w:t xml:space="preserve">for a spouse or de facto partner of an applicant under clauses 500.214 or 590.216: </w:t>
      </w:r>
    </w:p>
    <w:p w14:paraId="301CEEBC" w14:textId="77777777" w:rsidR="0039097C" w:rsidRDefault="0039097C" w:rsidP="00E24BC5">
      <w:pPr>
        <w:pStyle w:val="ESSubparaList"/>
        <w:numPr>
          <w:ilvl w:val="1"/>
          <w:numId w:val="7"/>
        </w:numPr>
      </w:pPr>
      <w:r>
        <w:t>an increase from AUD7,362 to AUD8,574;</w:t>
      </w:r>
    </w:p>
    <w:p w14:paraId="60FF7BD6" w14:textId="32F570D0" w:rsidR="0039097C" w:rsidRDefault="00000557" w:rsidP="0039097C">
      <w:pPr>
        <w:pStyle w:val="ESSubparaList"/>
        <w:ind w:left="1134" w:hanging="425"/>
      </w:pPr>
      <w:r>
        <w:t xml:space="preserve">The living costs for each </w:t>
      </w:r>
      <w:r w:rsidR="0039097C">
        <w:t>dependent child:</w:t>
      </w:r>
    </w:p>
    <w:p w14:paraId="443E9CE7" w14:textId="77777777" w:rsidR="0039097C" w:rsidRPr="00E17876" w:rsidRDefault="0039097C" w:rsidP="00E24BC5">
      <w:pPr>
        <w:pStyle w:val="ESSubparaList"/>
        <w:numPr>
          <w:ilvl w:val="1"/>
          <w:numId w:val="7"/>
        </w:numPr>
      </w:pPr>
      <w:r w:rsidRPr="00E17876">
        <w:t>an increase from AUD3,152</w:t>
      </w:r>
      <w:r>
        <w:t xml:space="preserve"> to AUD3,670</w:t>
      </w:r>
      <w:r w:rsidRPr="00E17876">
        <w:t>;</w:t>
      </w:r>
    </w:p>
    <w:p w14:paraId="311633CB" w14:textId="0A1DEA77" w:rsidR="0039097C" w:rsidRDefault="00000557" w:rsidP="0039097C">
      <w:pPr>
        <w:pStyle w:val="ESSubparaList"/>
        <w:ind w:left="1134" w:hanging="425"/>
      </w:pPr>
      <w:r>
        <w:t xml:space="preserve">The </w:t>
      </w:r>
      <w:r w:rsidR="0039097C">
        <w:t>annual school costs</w:t>
      </w:r>
      <w:r>
        <w:t xml:space="preserve"> for each school-aged dependent child</w:t>
      </w:r>
      <w:r w:rsidR="0039097C">
        <w:t>:</w:t>
      </w:r>
    </w:p>
    <w:p w14:paraId="3BCDBF79" w14:textId="77777777" w:rsidR="0039097C" w:rsidRPr="00E17876" w:rsidRDefault="0039097C" w:rsidP="00E24BC5">
      <w:pPr>
        <w:pStyle w:val="ESSubparaList"/>
        <w:numPr>
          <w:ilvl w:val="1"/>
          <w:numId w:val="7"/>
        </w:numPr>
      </w:pPr>
      <w:r w:rsidRPr="00E17876">
        <w:t>an increase from AUD8,296</w:t>
      </w:r>
      <w:r>
        <w:t xml:space="preserve"> to AUD9,661</w:t>
      </w:r>
      <w:r w:rsidRPr="00E17876">
        <w:t>;</w:t>
      </w:r>
    </w:p>
    <w:p w14:paraId="5F375ECB" w14:textId="252168DF" w:rsidR="0039097C" w:rsidRDefault="00000557" w:rsidP="0039097C">
      <w:pPr>
        <w:pStyle w:val="ESSubparaList"/>
        <w:ind w:left="1134" w:hanging="425"/>
      </w:pPr>
      <w:r>
        <w:t xml:space="preserve">The </w:t>
      </w:r>
      <w:r w:rsidR="0039097C">
        <w:t>personal annual income</w:t>
      </w:r>
      <w:r>
        <w:t xml:space="preserve"> for a primary applicant</w:t>
      </w:r>
      <w:r w:rsidR="0039097C">
        <w:t xml:space="preserve"> if there is no </w:t>
      </w:r>
      <w:r w:rsidR="00AC6165">
        <w:t>secondary</w:t>
      </w:r>
      <w:r w:rsidR="0039097C">
        <w:t xml:space="preserve"> applicant: </w:t>
      </w:r>
    </w:p>
    <w:p w14:paraId="6A3C89C7" w14:textId="77777777" w:rsidR="0039097C" w:rsidRDefault="0039097C" w:rsidP="00E24BC5">
      <w:pPr>
        <w:pStyle w:val="ESSubparaList"/>
        <w:numPr>
          <w:ilvl w:val="1"/>
          <w:numId w:val="7"/>
        </w:numPr>
      </w:pPr>
      <w:r>
        <w:t>an increase from AUD62,222 to AUD72,465;</w:t>
      </w:r>
    </w:p>
    <w:p w14:paraId="2F7E970C" w14:textId="0D30309C" w:rsidR="0039097C" w:rsidRDefault="00000557" w:rsidP="0039097C">
      <w:pPr>
        <w:pStyle w:val="ESSubparaList"/>
        <w:ind w:left="1134" w:hanging="425"/>
      </w:pPr>
      <w:r>
        <w:t xml:space="preserve">The </w:t>
      </w:r>
      <w:r w:rsidR="0039097C">
        <w:t xml:space="preserve">personal annual income </w:t>
      </w:r>
      <w:r>
        <w:t xml:space="preserve">for a primary applicant </w:t>
      </w:r>
      <w:r w:rsidR="0039097C">
        <w:t xml:space="preserve">where there is a </w:t>
      </w:r>
      <w:r w:rsidR="00AC6165">
        <w:t>secondary applicant</w:t>
      </w:r>
      <w:r w:rsidR="0039097C">
        <w:t xml:space="preserve">: </w:t>
      </w:r>
    </w:p>
    <w:p w14:paraId="26757596" w14:textId="77777777" w:rsidR="0039097C" w:rsidRPr="00535D0D" w:rsidRDefault="0039097C" w:rsidP="00E24BC5">
      <w:pPr>
        <w:pStyle w:val="ESSubparaList"/>
        <w:numPr>
          <w:ilvl w:val="1"/>
          <w:numId w:val="7"/>
        </w:numPr>
      </w:pPr>
      <w:r>
        <w:t>an increase from AUD72,592 to AUD 84,543</w:t>
      </w:r>
    </w:p>
    <w:p w14:paraId="43039AEF" w14:textId="44076285" w:rsidR="00000557" w:rsidRPr="00000557" w:rsidRDefault="0039097C" w:rsidP="00000557">
      <w:pPr>
        <w:pStyle w:val="ESSubparaHeader"/>
      </w:pPr>
      <w:r>
        <w:t>Th</w:t>
      </w:r>
      <w:r w:rsidR="001A1103">
        <w:t>is</w:t>
      </w:r>
      <w:r>
        <w:t xml:space="preserve"> instrument also </w:t>
      </w:r>
      <w:r w:rsidR="003536B5">
        <w:t>correct</w:t>
      </w:r>
      <w:r w:rsidR="001A1103">
        <w:t>s</w:t>
      </w:r>
      <w:r w:rsidR="003536B5">
        <w:t xml:space="preserve"> some minor draft</w:t>
      </w:r>
      <w:r w:rsidR="00D64AE1">
        <w:t>ing</w:t>
      </w:r>
      <w:r w:rsidR="003536B5">
        <w:t xml:space="preserve"> errors in LIN 19/198</w:t>
      </w:r>
      <w:r w:rsidR="00D64AE1">
        <w:t xml:space="preserve">, including </w:t>
      </w:r>
      <w:r w:rsidR="001A1103">
        <w:t xml:space="preserve">amendments </w:t>
      </w:r>
      <w:r w:rsidR="00D64AE1">
        <w:t>to the headings of section 6 and section 7.</w:t>
      </w:r>
    </w:p>
    <w:p w14:paraId="5B9F8E6A" w14:textId="77777777" w:rsidR="00C532F6" w:rsidRDefault="00C532F6" w:rsidP="00C532F6">
      <w:pPr>
        <w:pStyle w:val="ESHeading"/>
      </w:pPr>
      <w:r w:rsidRPr="008B24C8">
        <w:t>Consultation</w:t>
      </w:r>
    </w:p>
    <w:p w14:paraId="6014C8C2" w14:textId="319BB925" w:rsidR="00000557" w:rsidRDefault="00C532F6" w:rsidP="00000557">
      <w:pPr>
        <w:pStyle w:val="ESSubparaHeader"/>
      </w:pPr>
      <w:r>
        <w:t>The Department of Home Affairs (the Department) has undertaken consultation with the Australian Bureau of Statistics, Austrade, the Department of Education and the Education Visa Consultative Committee.</w:t>
      </w:r>
    </w:p>
    <w:p w14:paraId="3E1A94A9" w14:textId="77777777" w:rsidR="00000557" w:rsidRPr="00000557" w:rsidRDefault="00000557" w:rsidP="00000557">
      <w:pPr>
        <w:pStyle w:val="ESSubparaList"/>
        <w:numPr>
          <w:ilvl w:val="0"/>
          <w:numId w:val="0"/>
        </w:numPr>
      </w:pPr>
    </w:p>
    <w:p w14:paraId="6902950A" w14:textId="12E413CB" w:rsidR="00080AFC" w:rsidRPr="00080AFC" w:rsidRDefault="00C532F6" w:rsidP="00000557">
      <w:pPr>
        <w:pStyle w:val="ESSubparaHeader"/>
      </w:pPr>
      <w:r w:rsidRPr="00417FEC">
        <w:lastRenderedPageBreak/>
        <w:t xml:space="preserve">The Office of Impact Analysis (OIA) was also consulted and considered that the instrument dealt with matters of a minor or machinery nature and no regulatory impact statement was required.  The OIA reference number is </w:t>
      </w:r>
      <w:r>
        <w:t>OIA23-05668.</w:t>
      </w:r>
    </w:p>
    <w:p w14:paraId="38793314" w14:textId="77777777" w:rsidR="00C532F6" w:rsidRDefault="00C532F6" w:rsidP="00C532F6">
      <w:pPr>
        <w:pStyle w:val="ESHeading"/>
      </w:pPr>
      <w:r>
        <w:t>Details of the instrument</w:t>
      </w:r>
    </w:p>
    <w:p w14:paraId="1CA961C1" w14:textId="77777777" w:rsidR="00C532F6" w:rsidRDefault="00C532F6" w:rsidP="00C532F6">
      <w:pPr>
        <w:pStyle w:val="ESSubparaHeader"/>
      </w:pPr>
      <w:r>
        <w:t xml:space="preserve">Section 1 sets out the name of the instrument. </w:t>
      </w:r>
    </w:p>
    <w:p w14:paraId="2917FAA3" w14:textId="77777777" w:rsidR="00C532F6" w:rsidRDefault="00C532F6" w:rsidP="00C532F6">
      <w:pPr>
        <w:pStyle w:val="ESSubparaHeader"/>
      </w:pPr>
      <w:r>
        <w:t>Section 2 sets out that the instrument commences on 1 October 2023.</w:t>
      </w:r>
    </w:p>
    <w:p w14:paraId="17F70AAC" w14:textId="38E85A30" w:rsidR="00C532F6" w:rsidRDefault="00C532F6" w:rsidP="00C532F6">
      <w:pPr>
        <w:pStyle w:val="ESSubparaHeader"/>
      </w:pPr>
      <w:r>
        <w:t xml:space="preserve">Section 3 sets out the </w:t>
      </w:r>
      <w:r w:rsidR="001C16ED">
        <w:t xml:space="preserve">authority </w:t>
      </w:r>
      <w:r w:rsidR="00435A64">
        <w:t>under which the</w:t>
      </w:r>
      <w:r>
        <w:t xml:space="preserve"> instrument</w:t>
      </w:r>
      <w:r w:rsidR="00435A64">
        <w:t xml:space="preserve"> is made</w:t>
      </w:r>
      <w:r>
        <w:t>.</w:t>
      </w:r>
    </w:p>
    <w:p w14:paraId="7B611896" w14:textId="7366327C" w:rsidR="00190DEB" w:rsidRDefault="00C532F6" w:rsidP="00190DEB">
      <w:pPr>
        <w:pStyle w:val="ESSubparaHeader"/>
      </w:pPr>
      <w:r>
        <w:t xml:space="preserve">Section 4 </w:t>
      </w:r>
      <w:r w:rsidR="001C16ED">
        <w:t xml:space="preserve">provides that Schedule 1 to the instrument amends LIN 19/198. </w:t>
      </w:r>
    </w:p>
    <w:p w14:paraId="32ABBAFB" w14:textId="4344D0EB" w:rsidR="001C16ED" w:rsidRDefault="00A57BB9" w:rsidP="00A57BB9">
      <w:pPr>
        <w:pStyle w:val="ESSubparaHeader"/>
      </w:pPr>
      <w:r>
        <w:t>Item 1 of Schedule 1 to the instrument omits the use of ‘Subclause’ in the heading of sectio</w:t>
      </w:r>
      <w:r w:rsidR="001D3E8E">
        <w:t>n 6 of the i</w:t>
      </w:r>
      <w:r>
        <w:t xml:space="preserve">nstrument and substitutes it with ‘Subclass’. This corrects a minor drafting error to reference the Subclass 500 visa to which section 6 applies. </w:t>
      </w:r>
    </w:p>
    <w:p w14:paraId="4F444F7F" w14:textId="7ED8BA49" w:rsidR="00A57BB9" w:rsidRDefault="003643FF" w:rsidP="00A57BB9">
      <w:pPr>
        <w:pStyle w:val="ESSubparaHeader"/>
      </w:pPr>
      <w:r>
        <w:t>Item 2 of Schedule 1</w:t>
      </w:r>
      <w:r w:rsidR="00A57BB9">
        <w:t xml:space="preserve"> to the instrument repeals subsection 6(2) </w:t>
      </w:r>
      <w:r w:rsidR="00C63894">
        <w:t xml:space="preserve">of LIN 19/198 </w:t>
      </w:r>
      <w:r w:rsidR="00A57BB9">
        <w:t xml:space="preserve">and </w:t>
      </w:r>
      <w:proofErr w:type="gramStart"/>
      <w:r w:rsidR="00A57BB9">
        <w:t>substitutes</w:t>
      </w:r>
      <w:proofErr w:type="gramEnd"/>
      <w:r w:rsidR="00A57BB9">
        <w:t xml:space="preserve"> </w:t>
      </w:r>
      <w:r w:rsidR="00C63894">
        <w:t xml:space="preserve">new subsection 6(2). New subsection 6(2) </w:t>
      </w:r>
      <w:r w:rsidR="00777264">
        <w:t>includes</w:t>
      </w:r>
      <w:r w:rsidR="00C63894">
        <w:t xml:space="preserve"> updated figures in accordance with the CPI increased from June 2019 and June 2023 for the purposes of sub-subparagraph</w:t>
      </w:r>
      <w:r w:rsidR="00777264">
        <w:t>s</w:t>
      </w:r>
      <w:r w:rsidR="00C63894">
        <w:t xml:space="preserve"> 6(2)(b)(</w:t>
      </w:r>
      <w:proofErr w:type="spellStart"/>
      <w:r w:rsidR="00C63894">
        <w:t>i</w:t>
      </w:r>
      <w:proofErr w:type="spellEnd"/>
      <w:r w:rsidR="00C63894">
        <w:t>)(A), 6(2)(c)(i</w:t>
      </w:r>
      <w:r w:rsidR="00777264">
        <w:t>i</w:t>
      </w:r>
      <w:r w:rsidR="00C63894">
        <w:t>)(A), 6(2)(c)(ii)(B)</w:t>
      </w:r>
      <w:r w:rsidR="00777264">
        <w:t xml:space="preserve"> and 6(2)(c)(iv)(A). It also corrects minor drafting errors in LIN</w:t>
      </w:r>
      <w:r w:rsidR="001D3E8E">
        <w:t> </w:t>
      </w:r>
      <w:r w:rsidR="00777264">
        <w:t>19/198</w:t>
      </w:r>
      <w:r w:rsidR="001D3E8E">
        <w:t>, including ensuring that paragraph 6(2</w:t>
      </w:r>
      <w:proofErr w:type="gramStart"/>
      <w:r w:rsidR="001D3E8E">
        <w:t>)(</w:t>
      </w:r>
      <w:proofErr w:type="gramEnd"/>
      <w:r w:rsidR="001D3E8E">
        <w:t>c) is correctly numbered</w:t>
      </w:r>
      <w:r w:rsidR="00777264">
        <w:t>.</w:t>
      </w:r>
    </w:p>
    <w:p w14:paraId="1053B001" w14:textId="1D46FEE7" w:rsidR="00A57BB9" w:rsidRDefault="00A57BB9" w:rsidP="00A57BB9">
      <w:pPr>
        <w:pStyle w:val="ESSubparaHeader"/>
      </w:pPr>
      <w:r>
        <w:t xml:space="preserve">Items 3, 4, 6 to 12 of Schedule 1 to the instrument omit the outdated figures and substitutes the updated figures in accordance with the CPI increases from June 2019 to June 2023. </w:t>
      </w:r>
    </w:p>
    <w:p w14:paraId="47AD9DEA" w14:textId="09A6366D" w:rsidR="00A57BB9" w:rsidRDefault="00D5378A" w:rsidP="00A57BB9">
      <w:pPr>
        <w:pStyle w:val="ESSubparaHeader"/>
      </w:pPr>
      <w:r>
        <w:t>Item 5</w:t>
      </w:r>
      <w:bookmarkStart w:id="0" w:name="_GoBack"/>
      <w:bookmarkEnd w:id="0"/>
      <w:r w:rsidR="00A57BB9">
        <w:t xml:space="preserve"> of Schedule 1 to the instrument omits the use of ‘Subclause’ in the heading of section 7 of the Instrument and substitutes it with ‘Subclass’. This corrects a minor drafting error to reference the Subclass 500 visa to which section 7 applies. </w:t>
      </w:r>
    </w:p>
    <w:p w14:paraId="4ED478A7" w14:textId="3EABB5E0" w:rsidR="00C63894" w:rsidRPr="00C63894" w:rsidRDefault="00C63894" w:rsidP="00C63894">
      <w:pPr>
        <w:pStyle w:val="ESSubparaHeader"/>
      </w:pPr>
      <w:r>
        <w:t>Item 13 of Sched</w:t>
      </w:r>
      <w:r w:rsidR="003B752D">
        <w:t xml:space="preserve">ule 1 to the instrument adds a new </w:t>
      </w:r>
      <w:r>
        <w:t>Part 3</w:t>
      </w:r>
      <w:r w:rsidR="003B752D">
        <w:t xml:space="preserve"> to LIN 19/198. New Part 3</w:t>
      </w:r>
      <w:r>
        <w:t xml:space="preserve"> provides for the application, saving and transitional provisions t</w:t>
      </w:r>
      <w:r w:rsidR="003B752D">
        <w:t>o which the amendments to this i</w:t>
      </w:r>
      <w:r>
        <w:t xml:space="preserve">nstrument apply. It provides that the amendments in Schedule 1 </w:t>
      </w:r>
      <w:r w:rsidR="00777264">
        <w:t>apply</w:t>
      </w:r>
      <w:r>
        <w:t xml:space="preserve"> in relation to a Student (Temporary) (Class TU) visa </w:t>
      </w:r>
      <w:r w:rsidR="00777264">
        <w:t xml:space="preserve">application </w:t>
      </w:r>
      <w:r>
        <w:t>made on or after the day this Instrument commences.</w:t>
      </w:r>
    </w:p>
    <w:p w14:paraId="1A3B8ECC" w14:textId="77777777" w:rsidR="00C532F6" w:rsidRPr="00AA4557" w:rsidRDefault="00C532F6" w:rsidP="00C532F6">
      <w:pPr>
        <w:pStyle w:val="ESHeading"/>
      </w:pPr>
      <w:r>
        <w:t xml:space="preserve">Parliamentary scrutiny etc.  </w:t>
      </w:r>
    </w:p>
    <w:p w14:paraId="79E1F55B" w14:textId="10C2DB25" w:rsidR="00C532F6" w:rsidRDefault="00C532F6" w:rsidP="00C532F6">
      <w:pPr>
        <w:pStyle w:val="ESSubparaHeader"/>
      </w:pPr>
      <w:r>
        <w:t xml:space="preserve">The instrument is exempt from disallowance under section 42 of the Legislation Act.  This is because an instrument made under Part 2 and Schedule 2 of the Migration Regulations is </w:t>
      </w:r>
      <w:r>
        <w:lastRenderedPageBreak/>
        <w:t>pr</w:t>
      </w:r>
      <w:r w:rsidR="00B1737D">
        <w:t xml:space="preserve">escribed as exempt under </w:t>
      </w:r>
      <w:r>
        <w:t xml:space="preserve">paragraph 20(b) </w:t>
      </w:r>
      <w:r w:rsidR="00B1737D">
        <w:t>in</w:t>
      </w:r>
      <w:r>
        <w:t xml:space="preserve"> the table </w:t>
      </w:r>
      <w:r w:rsidR="00B1737D">
        <w:t>under</w:t>
      </w:r>
      <w:r>
        <w:t xml:space="preserve"> section 10</w:t>
      </w:r>
      <w:r w:rsidR="00B1737D">
        <w:t xml:space="preserve"> of the</w:t>
      </w:r>
      <w:r>
        <w:t xml:space="preserve"> </w:t>
      </w:r>
      <w:r>
        <w:rPr>
          <w:i/>
        </w:rPr>
        <w:t>Legislation (Exemptions and Other Matters) Regulation 2015</w:t>
      </w:r>
      <w:r>
        <w:t>.</w:t>
      </w:r>
    </w:p>
    <w:p w14:paraId="6C8EAEAC" w14:textId="77777777" w:rsidR="00C532F6" w:rsidRDefault="00C532F6" w:rsidP="00C532F6">
      <w:pPr>
        <w:pStyle w:val="ESSubparaHeader"/>
      </w:pPr>
      <w:r>
        <w:t xml:space="preserve">As the instrument is exempt from disallowance, a Statement of Compatibility with Human Rights is not required. </w:t>
      </w:r>
    </w:p>
    <w:p w14:paraId="38CFFE30" w14:textId="77777777" w:rsidR="00C532F6" w:rsidRPr="00C532F6" w:rsidRDefault="00C532F6" w:rsidP="00C532F6">
      <w:pPr>
        <w:pStyle w:val="ESSubparaHeader"/>
      </w:pPr>
      <w:r w:rsidRPr="00B75478">
        <w:t xml:space="preserve">The </w:t>
      </w:r>
      <w:r>
        <w:t xml:space="preserve">instrument was made by a delegate of the Minister, in accordance with </w:t>
      </w:r>
      <w:r>
        <w:rPr>
          <w:i/>
        </w:rPr>
        <w:t>Migration (Minister) (Instrument-making powers) Delegation 2021 (No.2)</w:t>
      </w:r>
      <w:r>
        <w:t xml:space="preserve">. </w:t>
      </w:r>
    </w:p>
    <w:p w14:paraId="1E573B1A" w14:textId="77777777" w:rsidR="00AE511F" w:rsidRPr="00AE511F" w:rsidRDefault="00AE511F" w:rsidP="00AE511F">
      <w:pPr>
        <w:pStyle w:val="ESSubparaList"/>
        <w:numPr>
          <w:ilvl w:val="0"/>
          <w:numId w:val="0"/>
        </w:numPr>
      </w:pPr>
    </w:p>
    <w:sectPr w:rsidR="00AE511F" w:rsidRPr="00AE51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FBA343" w14:textId="77777777" w:rsidR="005112A2" w:rsidRDefault="005112A2" w:rsidP="005112A2">
      <w:pPr>
        <w:spacing w:after="0" w:line="240" w:lineRule="auto"/>
      </w:pPr>
      <w:r>
        <w:separator/>
      </w:r>
    </w:p>
  </w:endnote>
  <w:endnote w:type="continuationSeparator" w:id="0">
    <w:p w14:paraId="693D31CD" w14:textId="77777777" w:rsidR="005112A2" w:rsidRDefault="005112A2" w:rsidP="00511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9C083" w14:textId="77777777" w:rsidR="005112A2" w:rsidRDefault="005112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BE605" w14:textId="77777777" w:rsidR="005112A2" w:rsidRDefault="005112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71FDB" w14:textId="77777777" w:rsidR="005112A2" w:rsidRDefault="005112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139143" w14:textId="77777777" w:rsidR="005112A2" w:rsidRDefault="005112A2" w:rsidP="005112A2">
      <w:pPr>
        <w:spacing w:after="0" w:line="240" w:lineRule="auto"/>
      </w:pPr>
      <w:r>
        <w:separator/>
      </w:r>
    </w:p>
  </w:footnote>
  <w:footnote w:type="continuationSeparator" w:id="0">
    <w:p w14:paraId="45B25905" w14:textId="77777777" w:rsidR="005112A2" w:rsidRDefault="005112A2" w:rsidP="00511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938E7" w14:textId="77777777" w:rsidR="005112A2" w:rsidRDefault="005112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37ED5" w14:textId="77777777" w:rsidR="005112A2" w:rsidRDefault="005112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913DC" w14:textId="77777777" w:rsidR="005112A2" w:rsidRDefault="005112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71994"/>
    <w:multiLevelType w:val="hybridMultilevel"/>
    <w:tmpl w:val="A1A4B93A"/>
    <w:lvl w:ilvl="0" w:tplc="0C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3AE532A9"/>
    <w:multiLevelType w:val="hybridMultilevel"/>
    <w:tmpl w:val="ABEE7182"/>
    <w:lvl w:ilvl="0" w:tplc="1846BE4A">
      <w:start w:val="1"/>
      <w:numFmt w:val="decimal"/>
      <w:pStyle w:val="ESSubparaHead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i w:val="0"/>
      </w:rPr>
    </w:lvl>
    <w:lvl w:ilvl="1" w:tplc="9BBCE73A">
      <w:start w:val="1"/>
      <w:numFmt w:val="lowerLetter"/>
      <w:pStyle w:val="ESSubparaList"/>
      <w:lvlText w:val="(%2)"/>
      <w:lvlJc w:val="left"/>
      <w:pPr>
        <w:ind w:left="144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376A8"/>
    <w:multiLevelType w:val="hybridMultilevel"/>
    <w:tmpl w:val="F468D63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5761ED"/>
    <w:multiLevelType w:val="hybridMultilevel"/>
    <w:tmpl w:val="DF6CACBE"/>
    <w:lvl w:ilvl="0" w:tplc="46803334">
      <w:start w:val="1"/>
      <w:numFmt w:val="bullet"/>
      <w:lvlText w:val="-"/>
      <w:lvlJc w:val="left"/>
      <w:pPr>
        <w:ind w:left="1854" w:hanging="360"/>
      </w:pPr>
      <w:rPr>
        <w:rFonts w:ascii="Arial" w:hAnsi="Arial" w:hint="default"/>
      </w:rPr>
    </w:lvl>
    <w:lvl w:ilvl="1" w:tplc="46803334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2C6645"/>
    <w:multiLevelType w:val="hybridMultilevel"/>
    <w:tmpl w:val="09BE40BA"/>
    <w:lvl w:ilvl="0" w:tplc="E5AE00C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4"/>
  </w:num>
  <w:num w:numId="6">
    <w:abstractNumId w:val="2"/>
  </w:num>
  <w:num w:numId="7">
    <w:abstractNumId w:val="3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BB6"/>
    <w:rsid w:val="00000557"/>
    <w:rsid w:val="00016BAE"/>
    <w:rsid w:val="00080AFC"/>
    <w:rsid w:val="00147CD6"/>
    <w:rsid w:val="00190DEB"/>
    <w:rsid w:val="001A1103"/>
    <w:rsid w:val="001B1460"/>
    <w:rsid w:val="001C16ED"/>
    <w:rsid w:val="001D3E8E"/>
    <w:rsid w:val="002B03FC"/>
    <w:rsid w:val="003311BD"/>
    <w:rsid w:val="003536B5"/>
    <w:rsid w:val="003643FF"/>
    <w:rsid w:val="0039097C"/>
    <w:rsid w:val="00391627"/>
    <w:rsid w:val="003B752D"/>
    <w:rsid w:val="00435A64"/>
    <w:rsid w:val="0050152E"/>
    <w:rsid w:val="005112A2"/>
    <w:rsid w:val="00530FC0"/>
    <w:rsid w:val="00535D0D"/>
    <w:rsid w:val="00545D55"/>
    <w:rsid w:val="0054693F"/>
    <w:rsid w:val="00576C7C"/>
    <w:rsid w:val="005A40AD"/>
    <w:rsid w:val="005F6138"/>
    <w:rsid w:val="00777264"/>
    <w:rsid w:val="007C0353"/>
    <w:rsid w:val="007C089D"/>
    <w:rsid w:val="007D2916"/>
    <w:rsid w:val="0080061C"/>
    <w:rsid w:val="008B387B"/>
    <w:rsid w:val="008B3A74"/>
    <w:rsid w:val="0096266B"/>
    <w:rsid w:val="00976985"/>
    <w:rsid w:val="00A56011"/>
    <w:rsid w:val="00A57BB9"/>
    <w:rsid w:val="00A64BB6"/>
    <w:rsid w:val="00A64BE8"/>
    <w:rsid w:val="00A853EE"/>
    <w:rsid w:val="00AA12FD"/>
    <w:rsid w:val="00AA7620"/>
    <w:rsid w:val="00AC6165"/>
    <w:rsid w:val="00AE511F"/>
    <w:rsid w:val="00B1737D"/>
    <w:rsid w:val="00B17A6A"/>
    <w:rsid w:val="00BD5A8D"/>
    <w:rsid w:val="00C532F6"/>
    <w:rsid w:val="00C63894"/>
    <w:rsid w:val="00D5378A"/>
    <w:rsid w:val="00D64AE1"/>
    <w:rsid w:val="00DB14E7"/>
    <w:rsid w:val="00DB7BF4"/>
    <w:rsid w:val="00E24BC5"/>
    <w:rsid w:val="00E46052"/>
    <w:rsid w:val="00F7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4938C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SParagraph">
    <w:name w:val="ES_Paragraph"/>
    <w:basedOn w:val="ListParagraph"/>
    <w:link w:val="ESParagraphChar"/>
    <w:rsid w:val="00A64BB6"/>
    <w:pPr>
      <w:spacing w:before="240" w:after="240" w:line="276" w:lineRule="auto"/>
      <w:ind w:left="567" w:hanging="567"/>
      <w:contextualSpacing w:val="0"/>
    </w:pPr>
    <w:rPr>
      <w:rFonts w:ascii="Times New Roman" w:hAnsi="Times New Roman" w:cs="Times New Roman"/>
      <w:lang w:val="en-AU"/>
    </w:rPr>
  </w:style>
  <w:style w:type="character" w:customStyle="1" w:styleId="ESParagraphChar">
    <w:name w:val="ES_Paragraph Char"/>
    <w:basedOn w:val="DefaultParagraphFont"/>
    <w:link w:val="ESParagraph"/>
    <w:rsid w:val="00A64BB6"/>
    <w:rPr>
      <w:rFonts w:ascii="Times New Roman" w:hAnsi="Times New Roman" w:cs="Times New Roman"/>
      <w:lang w:val="en-AU"/>
    </w:rPr>
  </w:style>
  <w:style w:type="paragraph" w:customStyle="1" w:styleId="ESTitleEnablingLegislation">
    <w:name w:val="ESTitle_EnablingLegislation"/>
    <w:basedOn w:val="Normal"/>
    <w:link w:val="ESTitleEnablingLegislationChar"/>
    <w:qFormat/>
    <w:rsid w:val="00A64BB6"/>
    <w:pPr>
      <w:spacing w:line="276" w:lineRule="auto"/>
      <w:jc w:val="center"/>
    </w:pPr>
    <w:rPr>
      <w:rFonts w:ascii="Times New Roman" w:hAnsi="Times New Roman" w:cs="Times New Roman"/>
      <w:i/>
      <w:lang w:val="en-AU"/>
    </w:rPr>
  </w:style>
  <w:style w:type="paragraph" w:customStyle="1" w:styleId="ESTitleDecisionMaker">
    <w:name w:val="ESTitle_DecisionMaker"/>
    <w:basedOn w:val="Normal"/>
    <w:link w:val="ESTitleDecisionMakerChar"/>
    <w:qFormat/>
    <w:rsid w:val="00A64BB6"/>
    <w:pPr>
      <w:spacing w:line="276" w:lineRule="auto"/>
      <w:jc w:val="center"/>
    </w:pPr>
    <w:rPr>
      <w:rFonts w:ascii="Times New Roman" w:hAnsi="Times New Roman" w:cs="Times New Roman"/>
      <w:lang w:val="en-AU"/>
    </w:rPr>
  </w:style>
  <w:style w:type="character" w:customStyle="1" w:styleId="ESTitleEnablingLegislationChar">
    <w:name w:val="ESTitle_EnablingLegislation Char"/>
    <w:basedOn w:val="DefaultParagraphFont"/>
    <w:link w:val="ESTitleEnablingLegislation"/>
    <w:rsid w:val="00A64BB6"/>
    <w:rPr>
      <w:rFonts w:ascii="Times New Roman" w:hAnsi="Times New Roman" w:cs="Times New Roman"/>
      <w:i/>
      <w:lang w:val="en-AU"/>
    </w:rPr>
  </w:style>
  <w:style w:type="paragraph" w:customStyle="1" w:styleId="ESTitleHeader">
    <w:name w:val="ESTitle_Header"/>
    <w:basedOn w:val="Normal"/>
    <w:link w:val="ESTitleHeaderChar"/>
    <w:qFormat/>
    <w:rsid w:val="00A64BB6"/>
    <w:pPr>
      <w:spacing w:line="276" w:lineRule="auto"/>
      <w:jc w:val="center"/>
    </w:pPr>
    <w:rPr>
      <w:rFonts w:ascii="Times New Roman" w:hAnsi="Times New Roman" w:cs="Times New Roman"/>
      <w:u w:val="single"/>
      <w:lang w:val="en-AU"/>
    </w:rPr>
  </w:style>
  <w:style w:type="character" w:customStyle="1" w:styleId="ESTitleDecisionMakerChar">
    <w:name w:val="ESTitle_DecisionMaker Char"/>
    <w:basedOn w:val="DefaultParagraphFont"/>
    <w:link w:val="ESTitleDecisionMaker"/>
    <w:rsid w:val="00A64BB6"/>
    <w:rPr>
      <w:rFonts w:ascii="Times New Roman" w:hAnsi="Times New Roman" w:cs="Times New Roman"/>
      <w:lang w:val="en-AU"/>
    </w:rPr>
  </w:style>
  <w:style w:type="paragraph" w:customStyle="1" w:styleId="ESSubparaHeader">
    <w:name w:val="ES_SubparaHeader"/>
    <w:basedOn w:val="ListParagraph"/>
    <w:next w:val="ESSubparaList"/>
    <w:link w:val="ESSubparaHeaderChar"/>
    <w:qFormat/>
    <w:rsid w:val="00A64BB6"/>
    <w:pPr>
      <w:keepNext/>
      <w:numPr>
        <w:numId w:val="1"/>
      </w:numPr>
      <w:spacing w:before="240" w:after="240" w:line="276" w:lineRule="auto"/>
      <w:contextualSpacing w:val="0"/>
    </w:pPr>
    <w:rPr>
      <w:rFonts w:ascii="Times New Roman" w:hAnsi="Times New Roman" w:cs="Times New Roman"/>
      <w:lang w:val="en-AU"/>
    </w:rPr>
  </w:style>
  <w:style w:type="character" w:customStyle="1" w:styleId="ESTitleHeaderChar">
    <w:name w:val="ESTitle_Header Char"/>
    <w:basedOn w:val="DefaultParagraphFont"/>
    <w:link w:val="ESTitleHeader"/>
    <w:rsid w:val="00A64BB6"/>
    <w:rPr>
      <w:rFonts w:ascii="Times New Roman" w:hAnsi="Times New Roman" w:cs="Times New Roman"/>
      <w:u w:val="single"/>
      <w:lang w:val="en-AU"/>
    </w:rPr>
  </w:style>
  <w:style w:type="paragraph" w:customStyle="1" w:styleId="ESSubparaList">
    <w:name w:val="ES_SubparaList"/>
    <w:basedOn w:val="ListParagraph"/>
    <w:link w:val="ESSubparaListChar"/>
    <w:qFormat/>
    <w:rsid w:val="00A64BB6"/>
    <w:pPr>
      <w:numPr>
        <w:ilvl w:val="1"/>
        <w:numId w:val="1"/>
      </w:numPr>
      <w:spacing w:before="240" w:after="240" w:line="276" w:lineRule="auto"/>
      <w:contextualSpacing w:val="0"/>
    </w:pPr>
    <w:rPr>
      <w:rFonts w:ascii="Times New Roman" w:hAnsi="Times New Roman" w:cs="Times New Roman"/>
      <w:lang w:val="en-AU"/>
    </w:rPr>
  </w:style>
  <w:style w:type="character" w:customStyle="1" w:styleId="ESSubparaHeaderChar">
    <w:name w:val="ES_SubparaHeader Char"/>
    <w:basedOn w:val="DefaultParagraphFont"/>
    <w:link w:val="ESSubparaHeader"/>
    <w:rsid w:val="00A64BB6"/>
    <w:rPr>
      <w:rFonts w:ascii="Times New Roman" w:hAnsi="Times New Roman" w:cs="Times New Roman"/>
      <w:lang w:val="en-AU"/>
    </w:rPr>
  </w:style>
  <w:style w:type="character" w:customStyle="1" w:styleId="ESSubparaListChar">
    <w:name w:val="ES_SubparaList Char"/>
    <w:basedOn w:val="DefaultParagraphFont"/>
    <w:link w:val="ESSubparaList"/>
    <w:rsid w:val="00A64BB6"/>
    <w:rPr>
      <w:rFonts w:ascii="Times New Roman" w:hAnsi="Times New Roman" w:cs="Times New Roman"/>
      <w:lang w:val="en-AU"/>
    </w:rPr>
  </w:style>
  <w:style w:type="paragraph" w:styleId="ListParagraph">
    <w:name w:val="List Paragraph"/>
    <w:basedOn w:val="Normal"/>
    <w:uiPriority w:val="34"/>
    <w:qFormat/>
    <w:rsid w:val="00A64BB6"/>
    <w:pPr>
      <w:ind w:left="720"/>
      <w:contextualSpacing/>
    </w:pPr>
  </w:style>
  <w:style w:type="paragraph" w:customStyle="1" w:styleId="ESAttHeading">
    <w:name w:val="ESAtt_Heading"/>
    <w:basedOn w:val="Normal"/>
    <w:link w:val="ESAttHeadingChar"/>
    <w:qFormat/>
    <w:rsid w:val="00535D0D"/>
    <w:pPr>
      <w:keepNext/>
      <w:spacing w:before="240" w:after="240" w:line="276" w:lineRule="auto"/>
    </w:pPr>
    <w:rPr>
      <w:rFonts w:ascii="Times New Roman" w:hAnsi="Times New Roman" w:cs="Times New Roman"/>
      <w:b/>
      <w:lang w:val="en-AU"/>
    </w:rPr>
  </w:style>
  <w:style w:type="character" w:customStyle="1" w:styleId="ESAttHeadingChar">
    <w:name w:val="ESAtt_Heading Char"/>
    <w:basedOn w:val="DefaultParagraphFont"/>
    <w:link w:val="ESAttHeading"/>
    <w:rsid w:val="00535D0D"/>
    <w:rPr>
      <w:rFonts w:ascii="Times New Roman" w:hAnsi="Times New Roman" w:cs="Times New Roman"/>
      <w:b/>
      <w:lang w:val="en-AU"/>
    </w:rPr>
  </w:style>
  <w:style w:type="paragraph" w:customStyle="1" w:styleId="ESHeading">
    <w:name w:val="ES_Heading"/>
    <w:basedOn w:val="ListParagraph"/>
    <w:link w:val="ESHeadingChar"/>
    <w:qFormat/>
    <w:rsid w:val="00C532F6"/>
    <w:pPr>
      <w:keepNext/>
      <w:spacing w:before="240" w:after="240" w:line="276" w:lineRule="auto"/>
      <w:ind w:left="0"/>
      <w:contextualSpacing w:val="0"/>
    </w:pPr>
    <w:rPr>
      <w:rFonts w:ascii="Times New Roman" w:hAnsi="Times New Roman" w:cs="Times New Roman"/>
      <w:b/>
      <w:i/>
      <w:lang w:val="en-AU"/>
    </w:rPr>
  </w:style>
  <w:style w:type="character" w:customStyle="1" w:styleId="ESHeadingChar">
    <w:name w:val="ES_Heading Char"/>
    <w:basedOn w:val="DefaultParagraphFont"/>
    <w:link w:val="ESHeading"/>
    <w:rsid w:val="00C532F6"/>
    <w:rPr>
      <w:rFonts w:ascii="Times New Roman" w:hAnsi="Times New Roman" w:cs="Times New Roman"/>
      <w:b/>
      <w:i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C532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32F6"/>
    <w:pPr>
      <w:spacing w:line="240" w:lineRule="auto"/>
    </w:pPr>
    <w:rPr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32F6"/>
    <w:rPr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2F6"/>
    <w:rPr>
      <w:rFonts w:ascii="Segoe UI" w:hAnsi="Segoe UI" w:cs="Segoe UI"/>
      <w:sz w:val="18"/>
      <w:szCs w:val="18"/>
    </w:rPr>
  </w:style>
  <w:style w:type="paragraph" w:customStyle="1" w:styleId="ESAttNormal">
    <w:name w:val="ESAtt_Normal"/>
    <w:basedOn w:val="Normal"/>
    <w:link w:val="ESAttNormalChar"/>
    <w:qFormat/>
    <w:rsid w:val="00C532F6"/>
    <w:pPr>
      <w:spacing w:before="240" w:after="240" w:line="276" w:lineRule="auto"/>
    </w:pPr>
    <w:rPr>
      <w:rFonts w:ascii="Times New Roman" w:hAnsi="Times New Roman" w:cs="Times New Roman"/>
      <w:lang w:val="en-AU"/>
    </w:rPr>
  </w:style>
  <w:style w:type="character" w:customStyle="1" w:styleId="ESAttNormalChar">
    <w:name w:val="ESAtt_Normal Char"/>
    <w:basedOn w:val="DefaultParagraphFont"/>
    <w:link w:val="ESAttNormal"/>
    <w:rsid w:val="00C532F6"/>
    <w:rPr>
      <w:rFonts w:ascii="Times New Roman" w:hAnsi="Times New Roman" w:cs="Times New Roman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0353"/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0353"/>
    <w:rPr>
      <w:b/>
      <w:bCs/>
      <w:sz w:val="20"/>
      <w:szCs w:val="20"/>
      <w:lang w:val="en-AU"/>
    </w:rPr>
  </w:style>
  <w:style w:type="character" w:customStyle="1" w:styleId="ui-provider">
    <w:name w:val="ui-provider"/>
    <w:basedOn w:val="DefaultParagraphFont"/>
    <w:rsid w:val="007D2916"/>
  </w:style>
  <w:style w:type="paragraph" w:styleId="Header">
    <w:name w:val="header"/>
    <w:basedOn w:val="Normal"/>
    <w:link w:val="HeaderChar"/>
    <w:uiPriority w:val="99"/>
    <w:unhideWhenUsed/>
    <w:rsid w:val="005112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2A2"/>
  </w:style>
  <w:style w:type="paragraph" w:styleId="Footer">
    <w:name w:val="footer"/>
    <w:basedOn w:val="Normal"/>
    <w:link w:val="FooterChar"/>
    <w:uiPriority w:val="99"/>
    <w:unhideWhenUsed/>
    <w:rsid w:val="005112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2023-09-29T02:34:00Z</dcterms:created>
  <dcterms:modified xsi:type="dcterms:W3CDTF">2023-09-29T04:06:00Z</dcterms:modified>
</cp:coreProperties>
</file>