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B27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70732FA" wp14:editId="0A3B70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6DAD1" w14:textId="77777777" w:rsidR="005E317F" w:rsidRDefault="005E317F" w:rsidP="005E317F">
      <w:pPr>
        <w:rPr>
          <w:sz w:val="19"/>
        </w:rPr>
      </w:pPr>
    </w:p>
    <w:p w14:paraId="58F55320" w14:textId="77777777" w:rsidR="005E317F" w:rsidRPr="00E500D4" w:rsidRDefault="00B165F5" w:rsidP="005E317F">
      <w:pPr>
        <w:pStyle w:val="ShortT"/>
      </w:pPr>
      <w:r w:rsidRPr="00B165F5">
        <w:t xml:space="preserve">Migration (LIN 19/198: Evidence of financial capacity—Subclass 500 Visa and Subclass 590 Visa) </w:t>
      </w:r>
      <w:r w:rsidR="005E317F">
        <w:t>Amendment (</w:t>
      </w:r>
      <w:r w:rsidR="001B627D">
        <w:t>LIN 23/070</w:t>
      </w:r>
      <w:r w:rsidR="005E317F">
        <w:t xml:space="preserve">) </w:t>
      </w:r>
      <w:r>
        <w:t>Specification</w:t>
      </w:r>
      <w:r w:rsidR="005E317F" w:rsidRPr="00B973E5">
        <w:t xml:space="preserve"> </w:t>
      </w:r>
      <w:r>
        <w:t>2023</w:t>
      </w:r>
    </w:p>
    <w:p w14:paraId="5682CC3D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B627D">
        <w:rPr>
          <w:szCs w:val="22"/>
        </w:rPr>
        <w:t xml:space="preserve">James </w:t>
      </w:r>
      <w:proofErr w:type="spellStart"/>
      <w:r w:rsidR="001B627D">
        <w:rPr>
          <w:szCs w:val="22"/>
        </w:rPr>
        <w:t>Goodsell</w:t>
      </w:r>
      <w:proofErr w:type="spellEnd"/>
      <w:r w:rsidRPr="00DA182D">
        <w:rPr>
          <w:szCs w:val="22"/>
        </w:rPr>
        <w:t xml:space="preserve">, </w:t>
      </w:r>
      <w:r w:rsidR="001B627D">
        <w:rPr>
          <w:szCs w:val="22"/>
        </w:rPr>
        <w:t>delegate of the Minister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1B627D">
        <w:rPr>
          <w:szCs w:val="22"/>
        </w:rPr>
        <w:t>specification</w:t>
      </w:r>
      <w:r w:rsidRPr="00DA182D">
        <w:rPr>
          <w:szCs w:val="22"/>
        </w:rPr>
        <w:t>.</w:t>
      </w:r>
    </w:p>
    <w:p w14:paraId="72E2234A" w14:textId="2722B586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FD64ED">
        <w:rPr>
          <w:szCs w:val="22"/>
        </w:rPr>
        <w:tab/>
        <w:t>29 September 2023</w:t>
      </w:r>
      <w:bookmarkStart w:id="0" w:name="_GoBack"/>
      <w:bookmarkEnd w:id="0"/>
    </w:p>
    <w:p w14:paraId="6870B3A2" w14:textId="0A3F4403" w:rsidR="005E317F" w:rsidRDefault="001B627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James </w:t>
      </w:r>
      <w:proofErr w:type="spellStart"/>
      <w:r>
        <w:rPr>
          <w:szCs w:val="22"/>
        </w:rPr>
        <w:t>Goodsell</w:t>
      </w:r>
      <w:proofErr w:type="spellEnd"/>
    </w:p>
    <w:p w14:paraId="46A84177" w14:textId="77777777" w:rsidR="001B627D" w:rsidRPr="001B627D" w:rsidRDefault="001B627D" w:rsidP="001B627D">
      <w:pPr>
        <w:pStyle w:val="SignCoverPageEnd"/>
        <w:ind w:right="91"/>
        <w:rPr>
          <w:sz w:val="22"/>
        </w:rPr>
      </w:pPr>
      <w:r>
        <w:rPr>
          <w:sz w:val="22"/>
        </w:rPr>
        <w:t>A/g Assistant Secretary</w:t>
      </w:r>
      <w:r>
        <w:rPr>
          <w:sz w:val="22"/>
        </w:rPr>
        <w:br/>
        <w:t>Immigration Programs Division</w:t>
      </w:r>
      <w:r>
        <w:rPr>
          <w:sz w:val="22"/>
        </w:rPr>
        <w:br/>
        <w:t>Department of Home Affairs</w:t>
      </w:r>
    </w:p>
    <w:p w14:paraId="3FE4567C" w14:textId="77777777" w:rsidR="00B20990" w:rsidRDefault="00B20990" w:rsidP="00B20990"/>
    <w:p w14:paraId="35D6AE3C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7E70FD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6565423" w14:textId="77777777" w:rsidR="008941B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941BE">
        <w:rPr>
          <w:noProof/>
        </w:rPr>
        <w:t>1  Name</w:t>
      </w:r>
      <w:r w:rsidR="008941BE">
        <w:rPr>
          <w:noProof/>
        </w:rPr>
        <w:tab/>
      </w:r>
      <w:r w:rsidR="008941BE">
        <w:rPr>
          <w:noProof/>
        </w:rPr>
        <w:fldChar w:fldCharType="begin"/>
      </w:r>
      <w:r w:rsidR="008941BE">
        <w:rPr>
          <w:noProof/>
        </w:rPr>
        <w:instrText xml:space="preserve"> PAGEREF _Toc146784952 \h </w:instrText>
      </w:r>
      <w:r w:rsidR="008941BE">
        <w:rPr>
          <w:noProof/>
        </w:rPr>
      </w:r>
      <w:r w:rsidR="008941BE">
        <w:rPr>
          <w:noProof/>
        </w:rPr>
        <w:fldChar w:fldCharType="separate"/>
      </w:r>
      <w:r w:rsidR="008941BE">
        <w:rPr>
          <w:noProof/>
        </w:rPr>
        <w:t>1</w:t>
      </w:r>
      <w:r w:rsidR="008941BE">
        <w:rPr>
          <w:noProof/>
        </w:rPr>
        <w:fldChar w:fldCharType="end"/>
      </w:r>
    </w:p>
    <w:p w14:paraId="78E697AE" w14:textId="77777777" w:rsidR="008941BE" w:rsidRDefault="008941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_Toc146784953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155EDAA" w14:textId="77777777" w:rsidR="008941BE" w:rsidRDefault="008941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_Toc146784954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8B6B8D" w14:textId="77777777" w:rsidR="008941BE" w:rsidRDefault="008941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_Toc146784955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7A9BD11" w14:textId="77777777" w:rsidR="008941BE" w:rsidRDefault="008941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_Toc146784956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5C6FB8A" w14:textId="77777777" w:rsidR="008941BE" w:rsidRDefault="008941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19/198: Evidence of financial capacity—Subclass 500 Visa and Subclass 590 Visa) Instrument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_Toc146784957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DAC7FC0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DADBF72" w14:textId="77777777" w:rsidR="00B20990" w:rsidRDefault="00B20990" w:rsidP="00B20990"/>
    <w:p w14:paraId="2D9631F6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077106" w14:textId="77777777" w:rsidR="005E317F" w:rsidRPr="009C2562" w:rsidRDefault="005E317F" w:rsidP="005E317F">
      <w:pPr>
        <w:pStyle w:val="ActHead5"/>
      </w:pPr>
      <w:bookmarkStart w:id="2" w:name="_Toc14678495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1687D809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B627D" w:rsidRPr="001B627D">
        <w:rPr>
          <w:i/>
        </w:rPr>
        <w:t>Migration (LIN 19/198: Evidence of financial capacity—Subclass 500 Visa and Subclass 590 Visa) Amendment (LIN 23/070) Specification 2023</w:t>
      </w:r>
      <w:r w:rsidRPr="009C2562">
        <w:t>.</w:t>
      </w:r>
    </w:p>
    <w:p w14:paraId="747797A0" w14:textId="77777777" w:rsidR="005E317F" w:rsidRDefault="005E317F" w:rsidP="005E317F">
      <w:pPr>
        <w:pStyle w:val="ActHead5"/>
      </w:pPr>
      <w:bookmarkStart w:id="4" w:name="_Toc14678495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B00C478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1B627D">
        <w:t>on 1 October 2023</w:t>
      </w:r>
      <w:r>
        <w:t>.</w:t>
      </w:r>
    </w:p>
    <w:p w14:paraId="577E066F" w14:textId="77777777" w:rsidR="005E317F" w:rsidRPr="009C2562" w:rsidRDefault="005E317F" w:rsidP="005E317F">
      <w:pPr>
        <w:pStyle w:val="ActHead5"/>
      </w:pPr>
      <w:bookmarkStart w:id="5" w:name="_Toc14678495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18C9BE2C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DD0E58">
        <w:t xml:space="preserve"> the </w:t>
      </w:r>
      <w:r w:rsidR="00DD0E58" w:rsidRPr="00DD0E58">
        <w:rPr>
          <w:i/>
        </w:rPr>
        <w:t>Migration Regulations 1994</w:t>
      </w:r>
      <w:r w:rsidRPr="009C2562">
        <w:t>.</w:t>
      </w:r>
    </w:p>
    <w:p w14:paraId="0E915C67" w14:textId="77777777" w:rsidR="005E317F" w:rsidRPr="006065DA" w:rsidRDefault="005E317F" w:rsidP="005E317F">
      <w:pPr>
        <w:pStyle w:val="ActHead5"/>
      </w:pPr>
      <w:bookmarkStart w:id="6" w:name="_Toc146784955"/>
      <w:proofErr w:type="gramStart"/>
      <w:r w:rsidRPr="006065DA">
        <w:t>4  Schedules</w:t>
      </w:r>
      <w:bookmarkEnd w:id="6"/>
      <w:proofErr w:type="gramEnd"/>
    </w:p>
    <w:p w14:paraId="79929AA7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8440490" w14:textId="77777777" w:rsidR="005E317F" w:rsidRDefault="005E317F" w:rsidP="005E317F">
      <w:pPr>
        <w:pStyle w:val="ActHead6"/>
        <w:pageBreakBefore/>
      </w:pPr>
      <w:bookmarkStart w:id="7" w:name="_Toc14678495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46FC096" w14:textId="77777777" w:rsidR="005E317F" w:rsidRDefault="001B627D" w:rsidP="005E317F">
      <w:pPr>
        <w:pStyle w:val="ActHead9"/>
      </w:pPr>
      <w:bookmarkStart w:id="8" w:name="_Toc146784957"/>
      <w:r w:rsidRPr="001B627D">
        <w:t>Migration (LIN 19/198: Evidence of financial capacity—Subclass 500 Visa and Subclass 590 Visa) Instrument 2019</w:t>
      </w:r>
      <w:bookmarkEnd w:id="8"/>
    </w:p>
    <w:p w14:paraId="3E3BFDC7" w14:textId="267AB3AA" w:rsidR="00A1396D" w:rsidRDefault="005E317F" w:rsidP="005E317F">
      <w:pPr>
        <w:pStyle w:val="ItemHead"/>
      </w:pPr>
      <w:proofErr w:type="gramStart"/>
      <w:r>
        <w:t xml:space="preserve">1 </w:t>
      </w:r>
      <w:r w:rsidR="00A60FFB">
        <w:t xml:space="preserve"> </w:t>
      </w:r>
      <w:r w:rsidR="00A1396D">
        <w:t>Section</w:t>
      </w:r>
      <w:proofErr w:type="gramEnd"/>
      <w:r w:rsidR="00A1396D">
        <w:t xml:space="preserve"> 6 (heading)</w:t>
      </w:r>
    </w:p>
    <w:p w14:paraId="1E83997B" w14:textId="77777777" w:rsidR="00A1396D" w:rsidRPr="00A1396D" w:rsidRDefault="00A1396D" w:rsidP="00A60FFB">
      <w:pPr>
        <w:pStyle w:val="Item"/>
      </w:pPr>
      <w:r>
        <w:t>Omit “</w:t>
      </w:r>
      <w:r w:rsidRPr="00A60FFB">
        <w:rPr>
          <w:b/>
        </w:rPr>
        <w:t>Subclause</w:t>
      </w:r>
      <w:r>
        <w:t>”, substitute “</w:t>
      </w:r>
      <w:r w:rsidRPr="00A60FFB">
        <w:rPr>
          <w:b/>
        </w:rPr>
        <w:t>Subclass</w:t>
      </w:r>
      <w:r>
        <w:t>”.</w:t>
      </w:r>
    </w:p>
    <w:p w14:paraId="39A3C386" w14:textId="1A191B98" w:rsidR="008672AF" w:rsidRDefault="00A1396D" w:rsidP="005E317F">
      <w:pPr>
        <w:pStyle w:val="ItemHead"/>
      </w:pPr>
      <w:proofErr w:type="gramStart"/>
      <w:r>
        <w:t>2</w:t>
      </w:r>
      <w:r w:rsidR="005E317F">
        <w:t xml:space="preserve"> </w:t>
      </w:r>
      <w:r w:rsidR="00A60FFB">
        <w:t xml:space="preserve"> </w:t>
      </w:r>
      <w:r w:rsidR="008672AF">
        <w:t>Subsection</w:t>
      </w:r>
      <w:proofErr w:type="gramEnd"/>
      <w:r w:rsidR="008672AF">
        <w:t xml:space="preserve"> 6(2)</w:t>
      </w:r>
    </w:p>
    <w:p w14:paraId="5A90BC3A" w14:textId="77777777" w:rsidR="008672AF" w:rsidRDefault="008672AF" w:rsidP="008672AF">
      <w:pPr>
        <w:pStyle w:val="Item"/>
      </w:pPr>
      <w:r>
        <w:t>Repeal the subsection, substitute:</w:t>
      </w:r>
    </w:p>
    <w:p w14:paraId="7D91E105" w14:textId="77777777" w:rsidR="008672AF" w:rsidRDefault="008672AF" w:rsidP="008672AF">
      <w:pPr>
        <w:pStyle w:val="subsection"/>
      </w:pPr>
      <w:r>
        <w:tab/>
        <w:t>(2)</w:t>
      </w:r>
      <w:r>
        <w:tab/>
      </w:r>
      <w:r w:rsidRPr="008672AF">
        <w:t>The evidence of financial capacity</w:t>
      </w:r>
      <w:r>
        <w:t>:</w:t>
      </w:r>
    </w:p>
    <w:p w14:paraId="607288DB" w14:textId="77777777" w:rsidR="008672AF" w:rsidRDefault="008672AF" w:rsidP="008672AF">
      <w:pPr>
        <w:pStyle w:val="paragraph"/>
      </w:pPr>
      <w:r>
        <w:tab/>
      </w:r>
      <w:r w:rsidRPr="008672AF">
        <w:t>(a)</w:t>
      </w:r>
      <w:r>
        <w:tab/>
      </w:r>
      <w:proofErr w:type="gramStart"/>
      <w:r w:rsidRPr="008672AF">
        <w:t>is</w:t>
      </w:r>
      <w:proofErr w:type="gramEnd"/>
      <w:r w:rsidRPr="008672AF">
        <w:t xml:space="preserve"> in the form specified in section 10; and</w:t>
      </w:r>
    </w:p>
    <w:p w14:paraId="24F92622" w14:textId="77777777" w:rsidR="008672AF" w:rsidRDefault="008672AF" w:rsidP="008672AF">
      <w:pPr>
        <w:pStyle w:val="paragraph"/>
        <w:rPr>
          <w:color w:val="000000"/>
        </w:rPr>
      </w:pPr>
      <w:r>
        <w:tab/>
        <w:t>(b)</w:t>
      </w:r>
      <w:r>
        <w:tab/>
      </w:r>
      <w:proofErr w:type="gramStart"/>
      <w:r w:rsidR="007E7C21">
        <w:rPr>
          <w:color w:val="000000"/>
        </w:rPr>
        <w:t>demonstrates</w:t>
      </w:r>
      <w:proofErr w:type="gramEnd"/>
      <w:r w:rsidR="007E7C21">
        <w:rPr>
          <w:color w:val="000000"/>
        </w:rPr>
        <w:t xml:space="preserve"> that the primary applicant has sufficient funds available to meet the following costs and expenses of the primary applicant:</w:t>
      </w:r>
    </w:p>
    <w:p w14:paraId="0538A166" w14:textId="77777777" w:rsidR="007E7C21" w:rsidRDefault="007E7C21" w:rsidP="007E7C21">
      <w:pPr>
        <w:pStyle w:val="paragraphsub"/>
        <w:rPr>
          <w:color w:val="000000"/>
          <w:spacing w:val="6"/>
        </w:rPr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rPr>
          <w:color w:val="000000"/>
          <w:spacing w:val="6"/>
        </w:rPr>
        <w:t>travel</w:t>
      </w:r>
      <w:proofErr w:type="gramEnd"/>
      <w:r>
        <w:rPr>
          <w:color w:val="000000"/>
          <w:spacing w:val="6"/>
        </w:rPr>
        <w:t xml:space="preserve"> expenses; and</w:t>
      </w:r>
    </w:p>
    <w:p w14:paraId="68947EA0" w14:textId="77777777" w:rsidR="007E7C21" w:rsidRDefault="007E7C21" w:rsidP="007E7C21">
      <w:pPr>
        <w:pStyle w:val="paragraphsub"/>
        <w:rPr>
          <w:color w:val="000000"/>
          <w:spacing w:val="1"/>
        </w:rPr>
      </w:pPr>
      <w:r>
        <w:tab/>
        <w:t>(ii)</w:t>
      </w:r>
      <w:r>
        <w:tab/>
      </w:r>
      <w:proofErr w:type="gramStart"/>
      <w:r>
        <w:rPr>
          <w:color w:val="000000"/>
          <w:spacing w:val="1"/>
        </w:rPr>
        <w:t>the</w:t>
      </w:r>
      <w:proofErr w:type="gramEnd"/>
      <w:r>
        <w:rPr>
          <w:color w:val="000000"/>
          <w:spacing w:val="1"/>
        </w:rPr>
        <w:t xml:space="preserve"> following living costs and expenses:</w:t>
      </w:r>
    </w:p>
    <w:p w14:paraId="23CA9F49" w14:textId="77777777" w:rsidR="007E7C21" w:rsidRPr="0017433B" w:rsidRDefault="007E7C21" w:rsidP="0017433B">
      <w:pPr>
        <w:pStyle w:val="paragraphsub-sub"/>
      </w:pPr>
      <w:r>
        <w:tab/>
        <w:t>(A)</w:t>
      </w:r>
      <w:r>
        <w:tab/>
      </w:r>
      <w:proofErr w:type="gramStart"/>
      <w:r w:rsidRPr="0017433B">
        <w:t>if</w:t>
      </w:r>
      <w:proofErr w:type="gramEnd"/>
      <w:r w:rsidRPr="0017433B">
        <w:t xml:space="preserve"> the primary applicant intends to stay in Australia for a period of 12 months or more</w:t>
      </w:r>
      <w:r w:rsidR="00946738">
        <w:t>—</w:t>
      </w:r>
      <w:r w:rsidR="005C112D">
        <w:t>AUD</w:t>
      </w:r>
      <w:r w:rsidRPr="0017433B">
        <w:t>2</w:t>
      </w:r>
      <w:r w:rsidR="00CC7E83">
        <w:t>4,505</w:t>
      </w:r>
      <w:r w:rsidRPr="0017433B">
        <w:t xml:space="preserve"> (</w:t>
      </w:r>
      <w:r w:rsidR="00CC7E83" w:rsidRPr="00CC7E83">
        <w:rPr>
          <w:b/>
          <w:i/>
        </w:rPr>
        <w:t xml:space="preserve">primary applicant </w:t>
      </w:r>
      <w:r w:rsidRPr="00CC7E83">
        <w:rPr>
          <w:b/>
          <w:i/>
        </w:rPr>
        <w:t>annual living costs</w:t>
      </w:r>
      <w:r w:rsidRPr="0017433B">
        <w:t>); and</w:t>
      </w:r>
    </w:p>
    <w:p w14:paraId="2F4D8139" w14:textId="77777777" w:rsidR="007E7C21" w:rsidRPr="0017433B" w:rsidRDefault="007E7C21" w:rsidP="0017433B">
      <w:pPr>
        <w:pStyle w:val="paragraphsub-sub"/>
      </w:pPr>
      <w:r>
        <w:tab/>
        <w:t>(B)</w:t>
      </w:r>
      <w:r>
        <w:tab/>
      </w:r>
      <w:r w:rsidRPr="0017433B">
        <w:t>if the primary applicant intends to stay in Australia for a period of less than 12 months</w:t>
      </w:r>
      <w:r w:rsidR="00946738">
        <w:t>—</w:t>
      </w:r>
      <w:r w:rsidRPr="0017433B">
        <w:t xml:space="preserve">the pro rata equivalent of </w:t>
      </w:r>
      <w:r w:rsidR="00CC7E83">
        <w:t xml:space="preserve">primary applicant </w:t>
      </w:r>
      <w:r w:rsidRPr="0017433B">
        <w:t>annual living costs, calculated as specified in section 11; and</w:t>
      </w:r>
    </w:p>
    <w:p w14:paraId="4B63290B" w14:textId="77777777" w:rsidR="007E7C21" w:rsidRDefault="007E7C21" w:rsidP="007E7C21">
      <w:pPr>
        <w:pStyle w:val="paragraphsub"/>
        <w:rPr>
          <w:color w:val="000000"/>
          <w:spacing w:val="2"/>
        </w:rPr>
      </w:pPr>
      <w:r>
        <w:tab/>
        <w:t>(iii)</w:t>
      </w:r>
      <w:r>
        <w:tab/>
      </w:r>
      <w:proofErr w:type="gramStart"/>
      <w:r>
        <w:rPr>
          <w:color w:val="000000"/>
          <w:spacing w:val="2"/>
        </w:rPr>
        <w:t>the</w:t>
      </w:r>
      <w:proofErr w:type="gramEnd"/>
      <w:r>
        <w:rPr>
          <w:color w:val="000000"/>
          <w:spacing w:val="2"/>
        </w:rPr>
        <w:t xml:space="preserve"> following course fees, minus any amount already paid:</w:t>
      </w:r>
    </w:p>
    <w:p w14:paraId="362A73D2" w14:textId="77777777" w:rsidR="007E7C21" w:rsidRPr="0017433B" w:rsidRDefault="007E7C21" w:rsidP="0017433B">
      <w:pPr>
        <w:pStyle w:val="paragraphsub-sub"/>
      </w:pPr>
      <w:r>
        <w:tab/>
        <w:t>(A)</w:t>
      </w:r>
      <w:r>
        <w:tab/>
      </w:r>
      <w:proofErr w:type="gramStart"/>
      <w:r w:rsidRPr="0017433B">
        <w:t>if</w:t>
      </w:r>
      <w:proofErr w:type="gramEnd"/>
      <w:r w:rsidRPr="0017433B">
        <w:t xml:space="preserve"> the duration, or the remainder, of the primary applicant’s period of study in Australia is less than 12 months</w:t>
      </w:r>
      <w:r w:rsidR="00946738">
        <w:t>—</w:t>
      </w:r>
      <w:r w:rsidRPr="0017433B">
        <w:t>the fees for the course of study or the remaining components of the course of study; or</w:t>
      </w:r>
    </w:p>
    <w:p w14:paraId="15AA1D8D" w14:textId="77777777" w:rsidR="007E7C21" w:rsidRPr="0017433B" w:rsidRDefault="007E7C21" w:rsidP="0017433B">
      <w:pPr>
        <w:pStyle w:val="paragraphsub-sub"/>
      </w:pPr>
      <w:r>
        <w:tab/>
        <w:t>(B)</w:t>
      </w:r>
      <w:r>
        <w:tab/>
      </w:r>
      <w:r w:rsidRPr="0017433B">
        <w:t>if the duration, or the remainder, of the primary applicant’s period of study in Australia is more than 12 months</w:t>
      </w:r>
      <w:r w:rsidR="00946738">
        <w:t>—</w:t>
      </w:r>
      <w:r w:rsidRPr="0017433B">
        <w:t>course fees for the first 12 months of the period study in Australia; and</w:t>
      </w:r>
    </w:p>
    <w:p w14:paraId="3A3C7108" w14:textId="77777777" w:rsidR="001B760A" w:rsidRPr="00B94E6C" w:rsidRDefault="00B94E6C" w:rsidP="00B94E6C">
      <w:pPr>
        <w:pStyle w:val="notetext"/>
        <w:spacing w:line="240" w:lineRule="auto"/>
        <w:ind w:left="3011"/>
      </w:pPr>
      <w:r>
        <w:t>Note:</w:t>
      </w:r>
      <w:r>
        <w:tab/>
      </w:r>
      <w:r w:rsidR="001B760A" w:rsidRPr="00B94E6C">
        <w:t xml:space="preserve">The period of study is the period beginning </w:t>
      </w:r>
      <w:r>
        <w:t>on</w:t>
      </w:r>
      <w:r w:rsidR="001B760A" w:rsidRPr="00B94E6C">
        <w:t xml:space="preserve"> one of the following </w:t>
      </w:r>
      <w:r>
        <w:t>days</w:t>
      </w:r>
      <w:r w:rsidR="001B760A" w:rsidRPr="00B94E6C">
        <w:t xml:space="preserve"> and ending on the final day of the applicant’s final course of study:</w:t>
      </w:r>
    </w:p>
    <w:p w14:paraId="3BC90C55" w14:textId="77777777" w:rsidR="001B760A" w:rsidRPr="00B94E6C" w:rsidRDefault="001B760A" w:rsidP="00B94E6C">
      <w:pPr>
        <w:pStyle w:val="notetext"/>
        <w:spacing w:line="240" w:lineRule="auto"/>
        <w:ind w:left="3402" w:hanging="425"/>
      </w:pPr>
      <w:r w:rsidRPr="00B94E6C">
        <w:t>(a)</w:t>
      </w:r>
      <w:r w:rsidRPr="00B94E6C">
        <w:tab/>
      </w:r>
      <w:proofErr w:type="gramStart"/>
      <w:r w:rsidRPr="00B94E6C">
        <w:t>if</w:t>
      </w:r>
      <w:proofErr w:type="gramEnd"/>
      <w:r w:rsidRPr="00B94E6C">
        <w:t xml:space="preserve"> the applicant’s first course of study commenced after the date of application</w:t>
      </w:r>
      <w:r w:rsidR="00946738">
        <w:t>—</w:t>
      </w:r>
      <w:r w:rsidRPr="00B94E6C">
        <w:t>the first day of the first course of study; or</w:t>
      </w:r>
    </w:p>
    <w:p w14:paraId="2AEAFD36" w14:textId="77777777" w:rsidR="001B760A" w:rsidRPr="00B94E6C" w:rsidRDefault="001B760A" w:rsidP="00B94E6C">
      <w:pPr>
        <w:pStyle w:val="notetext"/>
        <w:spacing w:line="240" w:lineRule="auto"/>
        <w:ind w:left="3402" w:hanging="425"/>
      </w:pPr>
      <w:r w:rsidRPr="00B94E6C">
        <w:t>(b)</w:t>
      </w:r>
      <w:r w:rsidRPr="00B94E6C">
        <w:tab/>
      </w:r>
      <w:proofErr w:type="gramStart"/>
      <w:r w:rsidRPr="00B94E6C">
        <w:t>if</w:t>
      </w:r>
      <w:proofErr w:type="gramEnd"/>
      <w:r w:rsidRPr="00B94E6C">
        <w:t xml:space="preserve"> the applicant’s first course of study commenced before the date of application</w:t>
      </w:r>
      <w:r w:rsidR="00946738">
        <w:t>—</w:t>
      </w:r>
      <w:r w:rsidRPr="00B94E6C">
        <w:t>the date of application.</w:t>
      </w:r>
    </w:p>
    <w:p w14:paraId="1400BC6A" w14:textId="77777777" w:rsidR="007E7C21" w:rsidRDefault="007E7C21" w:rsidP="007E7C21">
      <w:pPr>
        <w:pStyle w:val="paragraph"/>
      </w:pPr>
      <w:r>
        <w:tab/>
        <w:t>(c)</w:t>
      </w:r>
      <w:r>
        <w:tab/>
      </w:r>
      <w:proofErr w:type="gramStart"/>
      <w:r w:rsidRPr="007E7C21">
        <w:t>demonstrates</w:t>
      </w:r>
      <w:proofErr w:type="gramEnd"/>
      <w:r w:rsidRPr="007E7C21">
        <w:t xml:space="preserve"> that the primary applicant has sufficient funds available to meet the following costs and expenses of each secondary applicant making a combined application with the primary applicant:</w:t>
      </w:r>
    </w:p>
    <w:p w14:paraId="7B48E008" w14:textId="77777777" w:rsidR="007E7C21" w:rsidRDefault="007E7C21" w:rsidP="007E7C21">
      <w:pPr>
        <w:pStyle w:val="paragraphsub"/>
        <w:rPr>
          <w:color w:val="000000"/>
          <w:spacing w:val="5"/>
        </w:rPr>
      </w:pPr>
      <w:r>
        <w:rPr>
          <w:color w:val="000000"/>
          <w:spacing w:val="6"/>
        </w:rPr>
        <w:tab/>
        <w:t>(</w:t>
      </w:r>
      <w:proofErr w:type="spellStart"/>
      <w:r>
        <w:rPr>
          <w:color w:val="000000"/>
          <w:spacing w:val="6"/>
        </w:rPr>
        <w:t>i</w:t>
      </w:r>
      <w:proofErr w:type="spellEnd"/>
      <w:r>
        <w:rPr>
          <w:color w:val="000000"/>
          <w:spacing w:val="6"/>
        </w:rPr>
        <w:t>)</w:t>
      </w:r>
      <w:r>
        <w:rPr>
          <w:color w:val="000000"/>
          <w:spacing w:val="6"/>
        </w:rPr>
        <w:tab/>
      </w:r>
      <w:proofErr w:type="gramStart"/>
      <w:r>
        <w:rPr>
          <w:color w:val="000000"/>
          <w:spacing w:val="5"/>
        </w:rPr>
        <w:t>travel</w:t>
      </w:r>
      <w:proofErr w:type="gramEnd"/>
      <w:r>
        <w:rPr>
          <w:color w:val="000000"/>
          <w:spacing w:val="5"/>
        </w:rPr>
        <w:t xml:space="preserve"> expenses; and</w:t>
      </w:r>
    </w:p>
    <w:p w14:paraId="35C79595" w14:textId="77777777" w:rsidR="007E7C21" w:rsidRDefault="007E7C21" w:rsidP="007E7C21">
      <w:pPr>
        <w:pStyle w:val="paragraphsub"/>
        <w:rPr>
          <w:color w:val="000000"/>
          <w:spacing w:val="-1"/>
        </w:rPr>
      </w:pPr>
      <w:r>
        <w:rPr>
          <w:color w:val="000000"/>
          <w:spacing w:val="5"/>
        </w:rPr>
        <w:tab/>
        <w:t>(ii)</w:t>
      </w:r>
      <w:r>
        <w:rPr>
          <w:color w:val="000000"/>
          <w:spacing w:val="5"/>
        </w:rPr>
        <w:tab/>
      </w:r>
      <w:proofErr w:type="gramStart"/>
      <w:r>
        <w:rPr>
          <w:color w:val="000000"/>
          <w:spacing w:val="-1"/>
        </w:rPr>
        <w:t>for</w:t>
      </w:r>
      <w:proofErr w:type="gramEnd"/>
      <w:r>
        <w:rPr>
          <w:color w:val="000000"/>
          <w:spacing w:val="-1"/>
        </w:rPr>
        <w:t xml:space="preserve"> each secondary applicant who intends to stay in Australia for a period of 12 months or more</w:t>
      </w:r>
      <w:r w:rsidR="00946738">
        <w:rPr>
          <w:color w:val="000000"/>
          <w:spacing w:val="-1"/>
        </w:rPr>
        <w:t>—</w:t>
      </w:r>
      <w:r>
        <w:rPr>
          <w:color w:val="000000"/>
          <w:spacing w:val="-1"/>
        </w:rPr>
        <w:t>the following costs (</w:t>
      </w:r>
      <w:r w:rsidR="00CC7E83" w:rsidRPr="00CC7E83">
        <w:rPr>
          <w:b/>
          <w:i/>
          <w:color w:val="000000"/>
          <w:spacing w:val="-1"/>
        </w:rPr>
        <w:t>secondary applicant</w:t>
      </w:r>
      <w:r w:rsidR="00CC7E83">
        <w:rPr>
          <w:color w:val="000000"/>
          <w:spacing w:val="-1"/>
        </w:rPr>
        <w:t xml:space="preserve"> </w:t>
      </w:r>
      <w:r>
        <w:rPr>
          <w:b/>
          <w:i/>
          <w:color w:val="000000"/>
          <w:spacing w:val="-1"/>
        </w:rPr>
        <w:t>annual living costs</w:t>
      </w:r>
      <w:r>
        <w:rPr>
          <w:color w:val="000000"/>
          <w:spacing w:val="-1"/>
        </w:rPr>
        <w:t>):</w:t>
      </w:r>
    </w:p>
    <w:p w14:paraId="44C24693" w14:textId="77777777" w:rsidR="007E7C21" w:rsidRPr="0017433B" w:rsidRDefault="007E7C21" w:rsidP="0017433B">
      <w:pPr>
        <w:pStyle w:val="paragraphsub-sub"/>
      </w:pPr>
      <w:r w:rsidRPr="0017433B">
        <w:tab/>
        <w:t>(A)</w:t>
      </w:r>
      <w:r w:rsidRPr="0017433B">
        <w:tab/>
      </w:r>
      <w:proofErr w:type="gramStart"/>
      <w:r w:rsidRPr="0017433B">
        <w:t>for</w:t>
      </w:r>
      <w:proofErr w:type="gramEnd"/>
      <w:r w:rsidRPr="0017433B">
        <w:t xml:space="preserve"> a spouse or de facto partner</w:t>
      </w:r>
      <w:r w:rsidR="00946738">
        <w:t>—</w:t>
      </w:r>
      <w:r w:rsidR="005C112D" w:rsidRPr="005C112D">
        <w:t xml:space="preserve"> </w:t>
      </w:r>
      <w:r w:rsidR="005C112D">
        <w:t>AUD</w:t>
      </w:r>
      <w:r w:rsidR="00CC7E83">
        <w:t>8,574</w:t>
      </w:r>
      <w:r w:rsidR="00BE7A91">
        <w:t>; and</w:t>
      </w:r>
    </w:p>
    <w:p w14:paraId="6C1A603F" w14:textId="77777777" w:rsidR="007E7C21" w:rsidRPr="0017433B" w:rsidRDefault="007E7C21" w:rsidP="0017433B">
      <w:pPr>
        <w:pStyle w:val="paragraphsub-sub"/>
      </w:pPr>
      <w:r w:rsidRPr="0017433B">
        <w:tab/>
        <w:t>(B)</w:t>
      </w:r>
      <w:r w:rsidRPr="0017433B">
        <w:tab/>
      </w:r>
      <w:proofErr w:type="gramStart"/>
      <w:r w:rsidRPr="0017433B">
        <w:t>for</w:t>
      </w:r>
      <w:proofErr w:type="gramEnd"/>
      <w:r w:rsidRPr="0017433B">
        <w:t xml:space="preserve"> a dependent child</w:t>
      </w:r>
      <w:r w:rsidR="00946738">
        <w:t>—</w:t>
      </w:r>
      <w:r w:rsidR="005C112D" w:rsidRPr="005C112D">
        <w:t xml:space="preserve"> </w:t>
      </w:r>
      <w:r w:rsidR="005C112D">
        <w:t>AUD</w:t>
      </w:r>
      <w:r w:rsidRPr="0017433B">
        <w:t>3,</w:t>
      </w:r>
      <w:r w:rsidR="00CC7E83">
        <w:t>670</w:t>
      </w:r>
      <w:r w:rsidRPr="0017433B">
        <w:t>; and</w:t>
      </w:r>
    </w:p>
    <w:p w14:paraId="4AEB51D7" w14:textId="77777777" w:rsidR="007E7C21" w:rsidRDefault="007E7C21" w:rsidP="007E7C21">
      <w:pPr>
        <w:pStyle w:val="paragraphsub"/>
        <w:rPr>
          <w:color w:val="000000"/>
        </w:rPr>
      </w:pPr>
      <w:r>
        <w:rPr>
          <w:color w:val="000000"/>
          <w:spacing w:val="6"/>
        </w:rPr>
        <w:lastRenderedPageBreak/>
        <w:tab/>
        <w:t>(iii)</w:t>
      </w:r>
      <w:r>
        <w:rPr>
          <w:color w:val="000000"/>
          <w:spacing w:val="6"/>
        </w:rPr>
        <w:tab/>
      </w:r>
      <w:r>
        <w:rPr>
          <w:color w:val="000000"/>
        </w:rPr>
        <w:t>for each secondary applicant who intends to stay in Australia for a period of less than 12 months</w:t>
      </w:r>
      <w:r w:rsidR="00946738">
        <w:rPr>
          <w:color w:val="000000"/>
        </w:rPr>
        <w:t>—</w:t>
      </w:r>
      <w:r>
        <w:rPr>
          <w:color w:val="000000"/>
        </w:rPr>
        <w:t xml:space="preserve">the pro rata equivalent of </w:t>
      </w:r>
      <w:r w:rsidR="00CC7E83">
        <w:rPr>
          <w:color w:val="000000"/>
        </w:rPr>
        <w:t xml:space="preserve">secondary applicant </w:t>
      </w:r>
      <w:r w:rsidRPr="007E7C21">
        <w:rPr>
          <w:color w:val="000000"/>
        </w:rPr>
        <w:t>annual living costs</w:t>
      </w:r>
      <w:r>
        <w:rPr>
          <w:color w:val="000000"/>
        </w:rPr>
        <w:t>, calculated as specified in section 11; and</w:t>
      </w:r>
    </w:p>
    <w:p w14:paraId="40AF6FCF" w14:textId="77777777" w:rsidR="007E7C21" w:rsidRDefault="007E7C21" w:rsidP="007E7C21">
      <w:pPr>
        <w:pStyle w:val="paragraphsub"/>
        <w:rPr>
          <w:color w:val="000000"/>
        </w:rPr>
      </w:pPr>
      <w:r>
        <w:rPr>
          <w:color w:val="000000"/>
        </w:rPr>
        <w:tab/>
        <w:t>(iv)</w:t>
      </w:r>
      <w:r>
        <w:rPr>
          <w:color w:val="000000"/>
        </w:rPr>
        <w:tab/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following school fees for each school-age dependant:</w:t>
      </w:r>
    </w:p>
    <w:p w14:paraId="256135B6" w14:textId="77777777" w:rsidR="007E7C21" w:rsidRPr="0017433B" w:rsidRDefault="007E7C21" w:rsidP="0017433B">
      <w:pPr>
        <w:pStyle w:val="paragraphsub-sub"/>
      </w:pPr>
      <w:r>
        <w:rPr>
          <w:color w:val="000000"/>
          <w:spacing w:val="-3"/>
        </w:rPr>
        <w:tab/>
      </w:r>
      <w:r w:rsidR="00BE7A91">
        <w:t>(A)</w:t>
      </w:r>
      <w:r w:rsidR="00BE7A91">
        <w:tab/>
      </w:r>
      <w:proofErr w:type="gramStart"/>
      <w:r w:rsidRPr="0017433B">
        <w:t>if</w:t>
      </w:r>
      <w:proofErr w:type="gramEnd"/>
      <w:r w:rsidRPr="0017433B">
        <w:t xml:space="preserve"> the school-age dependant intends to stay in Australia for more than 12 months</w:t>
      </w:r>
      <w:r w:rsidR="00946738">
        <w:t>—</w:t>
      </w:r>
      <w:r w:rsidR="005C112D" w:rsidRPr="005C112D">
        <w:t xml:space="preserve"> </w:t>
      </w:r>
      <w:r w:rsidR="005C112D">
        <w:t>AUD</w:t>
      </w:r>
      <w:r w:rsidR="00CC7E83">
        <w:t>9,661</w:t>
      </w:r>
      <w:r w:rsidRPr="0017433B">
        <w:t xml:space="preserve"> (</w:t>
      </w:r>
      <w:r w:rsidRPr="00CC7E83">
        <w:rPr>
          <w:b/>
          <w:i/>
        </w:rPr>
        <w:t>annual school costs</w:t>
      </w:r>
      <w:r w:rsidRPr="0017433B">
        <w:t>); or</w:t>
      </w:r>
    </w:p>
    <w:p w14:paraId="1D5654F8" w14:textId="77777777" w:rsidR="007E7C21" w:rsidRPr="0017433B" w:rsidRDefault="007E7C21" w:rsidP="0017433B">
      <w:pPr>
        <w:pStyle w:val="paragraphsub-sub"/>
      </w:pPr>
      <w:r w:rsidRPr="0017433B">
        <w:tab/>
      </w:r>
      <w:r w:rsidR="00BE7A91">
        <w:t>(B)</w:t>
      </w:r>
      <w:r w:rsidR="00BE7A91">
        <w:tab/>
      </w:r>
      <w:r w:rsidRPr="0017433B">
        <w:t>if the school-age dependant intends to stay in Australia for less than 12 months</w:t>
      </w:r>
      <w:r w:rsidR="00946738">
        <w:t>—</w:t>
      </w:r>
      <w:r w:rsidRPr="0017433B">
        <w:t>the pro rata equivalent of annual school costs, calculated as specified in section 11; or</w:t>
      </w:r>
    </w:p>
    <w:p w14:paraId="14067D5F" w14:textId="77777777" w:rsidR="007E7C21" w:rsidRDefault="007E7C21" w:rsidP="0017433B">
      <w:pPr>
        <w:pStyle w:val="paragraphsub-sub"/>
      </w:pPr>
      <w:r w:rsidRPr="0017433B">
        <w:tab/>
      </w:r>
      <w:r w:rsidR="00BE7A91">
        <w:t>(C)</w:t>
      </w:r>
      <w:r w:rsidR="00BE7A91">
        <w:tab/>
      </w:r>
      <w:r w:rsidRPr="0017433B">
        <w:t>if the school-age dependant is enrolled in a course of study at a State or Territory government school where the fees have been waived, and the Primary Applicant is enrolled in a course as a doctoral degree student, a Foreign Affairs student, a Defence student or a Commonwealth sponsored student</w:t>
      </w:r>
      <w:r w:rsidR="00946738">
        <w:t>—</w:t>
      </w:r>
      <w:r w:rsidRPr="0017433B">
        <w:t>nil.</w:t>
      </w:r>
    </w:p>
    <w:p w14:paraId="3AD967F1" w14:textId="701E67C3" w:rsidR="008672AF" w:rsidRDefault="00A1396D" w:rsidP="005E317F">
      <w:pPr>
        <w:pStyle w:val="ItemHead"/>
      </w:pPr>
      <w:proofErr w:type="gramStart"/>
      <w:r>
        <w:t>3</w:t>
      </w:r>
      <w:r w:rsidR="005E317F">
        <w:t xml:space="preserve">  </w:t>
      </w:r>
      <w:r w:rsidR="008672AF">
        <w:t>Subparagraph</w:t>
      </w:r>
      <w:proofErr w:type="gramEnd"/>
      <w:r w:rsidR="008672AF">
        <w:t xml:space="preserve"> 6(3)(b)(</w:t>
      </w:r>
      <w:proofErr w:type="spellStart"/>
      <w:r w:rsidR="008672AF">
        <w:t>i</w:t>
      </w:r>
      <w:proofErr w:type="spellEnd"/>
      <w:r w:rsidR="008672AF">
        <w:t>)</w:t>
      </w:r>
    </w:p>
    <w:p w14:paraId="41756EAE" w14:textId="77777777" w:rsidR="008672AF" w:rsidRDefault="008672AF" w:rsidP="008672AF">
      <w:pPr>
        <w:pStyle w:val="Item"/>
      </w:pPr>
      <w:r>
        <w:t>Omit “AUD62</w:t>
      </w:r>
      <w:proofErr w:type="gramStart"/>
      <w:r>
        <w:t>,222</w:t>
      </w:r>
      <w:proofErr w:type="gramEnd"/>
      <w:r>
        <w:t>”, substitute “</w:t>
      </w:r>
      <w:r w:rsidR="005C112D">
        <w:t>AUD</w:t>
      </w:r>
      <w:r w:rsidR="00CC7E83">
        <w:t>72,465</w:t>
      </w:r>
      <w:r>
        <w:t>”.</w:t>
      </w:r>
    </w:p>
    <w:p w14:paraId="5123D2CA" w14:textId="597F96B4" w:rsidR="008672AF" w:rsidRDefault="00A1396D" w:rsidP="008672AF">
      <w:pPr>
        <w:pStyle w:val="ItemHead"/>
      </w:pPr>
      <w:proofErr w:type="gramStart"/>
      <w:r>
        <w:t>4</w:t>
      </w:r>
      <w:r w:rsidR="008672AF">
        <w:t xml:space="preserve">  Subparagraph</w:t>
      </w:r>
      <w:proofErr w:type="gramEnd"/>
      <w:r w:rsidR="008672AF">
        <w:t xml:space="preserve"> 6(3)(b)(ii)</w:t>
      </w:r>
    </w:p>
    <w:p w14:paraId="665A7775" w14:textId="77777777" w:rsidR="008672AF" w:rsidRPr="008672AF" w:rsidRDefault="008672AF" w:rsidP="008672AF">
      <w:pPr>
        <w:pStyle w:val="Item"/>
      </w:pPr>
      <w:r>
        <w:t>Omit “AUD72</w:t>
      </w:r>
      <w:proofErr w:type="gramStart"/>
      <w:r>
        <w:t>,592</w:t>
      </w:r>
      <w:proofErr w:type="gramEnd"/>
      <w:r>
        <w:t>”, substitute “</w:t>
      </w:r>
      <w:r w:rsidR="005C112D">
        <w:t>AUD</w:t>
      </w:r>
      <w:r w:rsidR="00CC7E83">
        <w:t>84,543</w:t>
      </w:r>
      <w:r>
        <w:t>”.</w:t>
      </w:r>
    </w:p>
    <w:p w14:paraId="37A5A8CF" w14:textId="0EC562C4" w:rsidR="00255F6C" w:rsidRDefault="00A1396D" w:rsidP="005E317F">
      <w:pPr>
        <w:pStyle w:val="ItemHead"/>
      </w:pPr>
      <w:proofErr w:type="gramStart"/>
      <w:r>
        <w:t>5</w:t>
      </w:r>
      <w:r w:rsidR="00255F6C">
        <w:t xml:space="preserve">  Section</w:t>
      </w:r>
      <w:proofErr w:type="gramEnd"/>
      <w:r w:rsidR="00255F6C">
        <w:t xml:space="preserve"> 7 (heading)</w:t>
      </w:r>
    </w:p>
    <w:p w14:paraId="6949D6DA" w14:textId="77777777" w:rsidR="00255F6C" w:rsidRPr="00255F6C" w:rsidRDefault="00255F6C" w:rsidP="00A60FFB">
      <w:pPr>
        <w:pStyle w:val="Item"/>
      </w:pPr>
      <w:r>
        <w:t>Omit “</w:t>
      </w:r>
      <w:r w:rsidRPr="00A60FFB">
        <w:rPr>
          <w:b/>
        </w:rPr>
        <w:t>Subclause</w:t>
      </w:r>
      <w:r>
        <w:t>”, substitute “</w:t>
      </w:r>
      <w:r w:rsidRPr="00A60FFB">
        <w:rPr>
          <w:b/>
        </w:rPr>
        <w:t>Subclass</w:t>
      </w:r>
      <w:r>
        <w:t>”.</w:t>
      </w:r>
    </w:p>
    <w:p w14:paraId="50C4583D" w14:textId="77777777" w:rsidR="008672AF" w:rsidRDefault="00255F6C" w:rsidP="005E317F">
      <w:pPr>
        <w:pStyle w:val="ItemHead"/>
      </w:pPr>
      <w:proofErr w:type="gramStart"/>
      <w:r>
        <w:t>6</w:t>
      </w:r>
      <w:r w:rsidR="00DA599E">
        <w:t xml:space="preserve">  </w:t>
      </w:r>
      <w:r w:rsidR="008672AF">
        <w:t>Paragraph</w:t>
      </w:r>
      <w:proofErr w:type="gramEnd"/>
      <w:r w:rsidR="008672AF">
        <w:t xml:space="preserve"> 7(3)(b)</w:t>
      </w:r>
    </w:p>
    <w:p w14:paraId="1779FD58" w14:textId="77777777" w:rsidR="008672AF" w:rsidRPr="008672AF" w:rsidRDefault="008672AF" w:rsidP="008672AF">
      <w:pPr>
        <w:pStyle w:val="Item"/>
      </w:pPr>
      <w:r>
        <w:t>Omit “AUD72</w:t>
      </w:r>
      <w:proofErr w:type="gramStart"/>
      <w:r>
        <w:t>,592</w:t>
      </w:r>
      <w:proofErr w:type="gramEnd"/>
      <w:r>
        <w:t>”, substitute “</w:t>
      </w:r>
      <w:r w:rsidR="005C112D">
        <w:t>AUD</w:t>
      </w:r>
      <w:r w:rsidR="00CC7E83">
        <w:t>84,543</w:t>
      </w:r>
      <w:r>
        <w:t>”.</w:t>
      </w:r>
    </w:p>
    <w:p w14:paraId="3DF8E300" w14:textId="456AB7D8" w:rsidR="005E317F" w:rsidRDefault="00255F6C" w:rsidP="005E317F">
      <w:pPr>
        <w:pStyle w:val="ItemHead"/>
      </w:pPr>
      <w:proofErr w:type="gramStart"/>
      <w:r>
        <w:t>7</w:t>
      </w:r>
      <w:r w:rsidR="00DA599E">
        <w:t xml:space="preserve">  </w:t>
      </w:r>
      <w:r w:rsidR="008672AF">
        <w:t>Paragraph</w:t>
      </w:r>
      <w:proofErr w:type="gramEnd"/>
      <w:r w:rsidR="008672AF">
        <w:t xml:space="preserve"> 8(3)(b)</w:t>
      </w:r>
    </w:p>
    <w:p w14:paraId="10293C29" w14:textId="77777777" w:rsidR="005E317F" w:rsidRPr="006065DA" w:rsidRDefault="005E317F" w:rsidP="005E317F">
      <w:pPr>
        <w:pStyle w:val="Item"/>
      </w:pPr>
      <w:r>
        <w:t>Omit “</w:t>
      </w:r>
      <w:r w:rsidR="008672AF">
        <w:t>AUD72</w:t>
      </w:r>
      <w:proofErr w:type="gramStart"/>
      <w:r w:rsidR="008672AF">
        <w:t>,592</w:t>
      </w:r>
      <w:proofErr w:type="gramEnd"/>
      <w:r>
        <w:t>”, substitute “</w:t>
      </w:r>
      <w:r w:rsidR="005C112D">
        <w:t>AUD</w:t>
      </w:r>
      <w:r w:rsidR="00CC7E83">
        <w:t>84,543</w:t>
      </w:r>
      <w:r>
        <w:t>”.</w:t>
      </w:r>
    </w:p>
    <w:p w14:paraId="18F5BD79" w14:textId="2A1BAD9D" w:rsidR="005E317F" w:rsidRDefault="00255F6C" w:rsidP="005E317F">
      <w:pPr>
        <w:pStyle w:val="ItemHead"/>
      </w:pPr>
      <w:proofErr w:type="gramStart"/>
      <w:r>
        <w:t>8</w:t>
      </w:r>
      <w:r w:rsidR="005E317F">
        <w:t xml:space="preserve">  </w:t>
      </w:r>
      <w:r w:rsidR="001B627D">
        <w:t>Section</w:t>
      </w:r>
      <w:proofErr w:type="gramEnd"/>
      <w:r w:rsidR="001B627D">
        <w:t xml:space="preserve"> 9</w:t>
      </w:r>
    </w:p>
    <w:p w14:paraId="267296DC" w14:textId="77777777" w:rsidR="00DA599E" w:rsidRDefault="001B627D" w:rsidP="00313E61">
      <w:pPr>
        <w:pStyle w:val="Item"/>
      </w:pPr>
      <w:r>
        <w:t>Omit “AUD21</w:t>
      </w:r>
      <w:proofErr w:type="gramStart"/>
      <w:r>
        <w:t>,041</w:t>
      </w:r>
      <w:proofErr w:type="gramEnd"/>
      <w:r>
        <w:t>” (wherever occurring), substitute “</w:t>
      </w:r>
      <w:r w:rsidR="005C112D">
        <w:t>AUD</w:t>
      </w:r>
      <w:r w:rsidR="00CC7E83">
        <w:t>24,505</w:t>
      </w:r>
      <w:r>
        <w:t>”</w:t>
      </w:r>
      <w:r w:rsidR="005E317F">
        <w:t>.</w:t>
      </w:r>
    </w:p>
    <w:p w14:paraId="15124FD7" w14:textId="77777777" w:rsidR="00DD093D" w:rsidRDefault="00255F6C" w:rsidP="00AE2D8C">
      <w:pPr>
        <w:pStyle w:val="ItemHead"/>
      </w:pPr>
      <w:proofErr w:type="gramStart"/>
      <w:r>
        <w:t>9</w:t>
      </w:r>
      <w:r w:rsidR="00DD093D">
        <w:t xml:space="preserve">  Sub</w:t>
      </w:r>
      <w:proofErr w:type="gramEnd"/>
      <w:r w:rsidR="00DD093D">
        <w:t>-subparagraph 9(2)(</w:t>
      </w:r>
      <w:r w:rsidR="00DA0E59">
        <w:t>d</w:t>
      </w:r>
      <w:r w:rsidR="00DD093D">
        <w:t>)(ii)(A)</w:t>
      </w:r>
    </w:p>
    <w:p w14:paraId="7A8D9D61" w14:textId="77777777" w:rsidR="00DD093D" w:rsidRPr="00DD093D" w:rsidRDefault="00DD093D" w:rsidP="00A60FFB">
      <w:pPr>
        <w:pStyle w:val="Item"/>
      </w:pPr>
      <w:r>
        <w:t>Omit “AUD7</w:t>
      </w:r>
      <w:proofErr w:type="gramStart"/>
      <w:r>
        <w:t>,362</w:t>
      </w:r>
      <w:proofErr w:type="gramEnd"/>
      <w:r>
        <w:t>”, substitute “AUD8,574”.</w:t>
      </w:r>
    </w:p>
    <w:p w14:paraId="25DB8DDF" w14:textId="77777777" w:rsidR="00DD093D" w:rsidRDefault="00255F6C" w:rsidP="00DD093D">
      <w:pPr>
        <w:pStyle w:val="ItemHead"/>
      </w:pPr>
      <w:proofErr w:type="gramStart"/>
      <w:r>
        <w:t>10</w:t>
      </w:r>
      <w:r w:rsidR="00DD093D">
        <w:t xml:space="preserve">  Sub</w:t>
      </w:r>
      <w:proofErr w:type="gramEnd"/>
      <w:r w:rsidR="00DD093D">
        <w:t>-subparagraph 9(2)(d)(ii)(B)</w:t>
      </w:r>
    </w:p>
    <w:p w14:paraId="72DE72C2" w14:textId="77777777" w:rsidR="00DD093D" w:rsidRPr="00DD093D" w:rsidRDefault="00DD093D" w:rsidP="00DD093D">
      <w:pPr>
        <w:pStyle w:val="Item"/>
      </w:pPr>
      <w:r>
        <w:t>Omit “AUD3</w:t>
      </w:r>
      <w:proofErr w:type="gramStart"/>
      <w:r>
        <w:t>,152</w:t>
      </w:r>
      <w:proofErr w:type="gramEnd"/>
      <w:r>
        <w:t>”, substitute “AUD3,670”.</w:t>
      </w:r>
    </w:p>
    <w:p w14:paraId="5AE57902" w14:textId="77777777" w:rsidR="00DD093D" w:rsidRDefault="00255F6C" w:rsidP="00AE2D8C">
      <w:pPr>
        <w:pStyle w:val="ItemHead"/>
      </w:pPr>
      <w:proofErr w:type="gramStart"/>
      <w:r>
        <w:t>11</w:t>
      </w:r>
      <w:r w:rsidR="00DD093D">
        <w:t xml:space="preserve">  Sub</w:t>
      </w:r>
      <w:proofErr w:type="gramEnd"/>
      <w:r w:rsidR="00DD093D">
        <w:t>-subparagraph 9(2)(d)(iv)(A)</w:t>
      </w:r>
    </w:p>
    <w:p w14:paraId="3060175F" w14:textId="77777777" w:rsidR="00DD093D" w:rsidRPr="00DD093D" w:rsidRDefault="00DD093D" w:rsidP="00A60FFB">
      <w:pPr>
        <w:pStyle w:val="Item"/>
      </w:pPr>
      <w:r>
        <w:t>Omit “AUD8</w:t>
      </w:r>
      <w:proofErr w:type="gramStart"/>
      <w:r>
        <w:t>,296</w:t>
      </w:r>
      <w:proofErr w:type="gramEnd"/>
      <w:r>
        <w:t>”, substitute “AUD9,661”.</w:t>
      </w:r>
    </w:p>
    <w:p w14:paraId="716D6296" w14:textId="77777777" w:rsidR="00DD093D" w:rsidRDefault="00255F6C" w:rsidP="00DD093D">
      <w:pPr>
        <w:pStyle w:val="ItemHead"/>
      </w:pPr>
      <w:proofErr w:type="gramStart"/>
      <w:r>
        <w:t>12</w:t>
      </w:r>
      <w:r w:rsidR="00DD093D">
        <w:t xml:space="preserve">  Paragraph</w:t>
      </w:r>
      <w:proofErr w:type="gramEnd"/>
      <w:r w:rsidR="00DD093D">
        <w:t xml:space="preserve"> 9(3)(b)</w:t>
      </w:r>
    </w:p>
    <w:p w14:paraId="0C6C14D9" w14:textId="77777777" w:rsidR="00DD093D" w:rsidRPr="00DD093D" w:rsidRDefault="00DD093D" w:rsidP="00DD093D">
      <w:pPr>
        <w:pStyle w:val="Item"/>
      </w:pPr>
      <w:r>
        <w:t>Omit “AUD72</w:t>
      </w:r>
      <w:proofErr w:type="gramStart"/>
      <w:r>
        <w:t>,592</w:t>
      </w:r>
      <w:proofErr w:type="gramEnd"/>
      <w:r>
        <w:t>”, substitute “AUD84,543”.</w:t>
      </w:r>
    </w:p>
    <w:p w14:paraId="29688227" w14:textId="02E03934" w:rsidR="00AE2D8C" w:rsidRDefault="00255F6C" w:rsidP="00AE2D8C">
      <w:pPr>
        <w:pStyle w:val="ItemHead"/>
      </w:pPr>
      <w:proofErr w:type="gramStart"/>
      <w:r>
        <w:t>13</w:t>
      </w:r>
      <w:r w:rsidR="00AE2D8C">
        <w:t xml:space="preserve">  At</w:t>
      </w:r>
      <w:proofErr w:type="gramEnd"/>
      <w:r w:rsidR="00AE2D8C">
        <w:t xml:space="preserve"> the end of Part 2</w:t>
      </w:r>
    </w:p>
    <w:p w14:paraId="2955EA49" w14:textId="77777777" w:rsidR="00AE2D8C" w:rsidRDefault="00AE2D8C" w:rsidP="00AE2D8C">
      <w:pPr>
        <w:pStyle w:val="Item"/>
      </w:pPr>
      <w:r>
        <w:t>Add:</w:t>
      </w:r>
    </w:p>
    <w:p w14:paraId="6009BD5F" w14:textId="77777777" w:rsidR="00AE2D8C" w:rsidRPr="008941BE" w:rsidRDefault="00AE2D8C" w:rsidP="008941BE">
      <w:pPr>
        <w:pStyle w:val="Transitional"/>
        <w:rPr>
          <w:rStyle w:val="CharAmPartNo"/>
        </w:rPr>
      </w:pPr>
      <w:r w:rsidRPr="008941BE">
        <w:rPr>
          <w:rStyle w:val="CharAmPartNo"/>
        </w:rPr>
        <w:lastRenderedPageBreak/>
        <w:t>Part 3—Application, Saving and Transitional Provisions</w:t>
      </w:r>
    </w:p>
    <w:p w14:paraId="70B2D0F5" w14:textId="77777777" w:rsidR="00AE2D8C" w:rsidRPr="00AE2D8C" w:rsidRDefault="00AE2D8C" w:rsidP="00AE2D8C">
      <w:pPr>
        <w:pStyle w:val="Item"/>
      </w:pPr>
      <w:r>
        <w:t xml:space="preserve">The amendments made to this instrument by </w:t>
      </w:r>
      <w:r w:rsidRPr="008941BE">
        <w:rPr>
          <w:i/>
        </w:rPr>
        <w:t>Migration (LIN 19/198: Evidence of financial capacity—Subclass 500 Visa and Subclass 590 Visa) Amendment (LIN 23/070) Specification 2023</w:t>
      </w:r>
      <w:r w:rsidRPr="00AE2D8C">
        <w:t xml:space="preserve"> (the </w:t>
      </w:r>
      <w:r w:rsidRPr="008941BE">
        <w:rPr>
          <w:b/>
          <w:i/>
        </w:rPr>
        <w:t>amending instrument</w:t>
      </w:r>
      <w:r w:rsidRPr="00AE2D8C">
        <w:t xml:space="preserve">) </w:t>
      </w:r>
      <w:r>
        <w:t xml:space="preserve">apply in relation to an application for </w:t>
      </w:r>
      <w:r w:rsidR="00AD5E8B">
        <w:t xml:space="preserve">a Student (Temporary) (Class TU) visa </w:t>
      </w:r>
      <w:r>
        <w:t>made on or after the day the amending instrument commences.</w:t>
      </w:r>
    </w:p>
    <w:sectPr w:rsidR="00AE2D8C" w:rsidRPr="00AE2D8C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4CB2F" w14:textId="77777777" w:rsidR="00DD295B" w:rsidRDefault="00DD295B" w:rsidP="0048364F">
      <w:pPr>
        <w:spacing w:line="240" w:lineRule="auto"/>
      </w:pPr>
      <w:r>
        <w:separator/>
      </w:r>
    </w:p>
  </w:endnote>
  <w:endnote w:type="continuationSeparator" w:id="0">
    <w:p w14:paraId="420895F2" w14:textId="77777777" w:rsidR="00DD295B" w:rsidRDefault="00DD29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7B1FCCE" w14:textId="77777777" w:rsidTr="0001176A">
      <w:tc>
        <w:tcPr>
          <w:tcW w:w="5000" w:type="pct"/>
        </w:tcPr>
        <w:p w14:paraId="74590F6F" w14:textId="77777777" w:rsidR="009278C1" w:rsidRDefault="009278C1" w:rsidP="0001176A">
          <w:pPr>
            <w:rPr>
              <w:sz w:val="18"/>
            </w:rPr>
          </w:pPr>
        </w:p>
      </w:tc>
    </w:tr>
  </w:tbl>
  <w:p w14:paraId="223C187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3B7E36C" w14:textId="77777777" w:rsidTr="00C160A1">
      <w:tc>
        <w:tcPr>
          <w:tcW w:w="5000" w:type="pct"/>
        </w:tcPr>
        <w:p w14:paraId="2DA52637" w14:textId="77777777" w:rsidR="00B20990" w:rsidRDefault="00B20990" w:rsidP="007946FE">
          <w:pPr>
            <w:rPr>
              <w:sz w:val="18"/>
            </w:rPr>
          </w:pPr>
        </w:p>
      </w:tc>
    </w:tr>
  </w:tbl>
  <w:p w14:paraId="309C7F1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5936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0FC3819" w14:textId="77777777" w:rsidTr="00C160A1">
      <w:tc>
        <w:tcPr>
          <w:tcW w:w="5000" w:type="pct"/>
        </w:tcPr>
        <w:p w14:paraId="7F0514CF" w14:textId="77777777" w:rsidR="00B20990" w:rsidRDefault="00B20990" w:rsidP="00465764">
          <w:pPr>
            <w:rPr>
              <w:sz w:val="18"/>
            </w:rPr>
          </w:pPr>
        </w:p>
      </w:tc>
    </w:tr>
  </w:tbl>
  <w:p w14:paraId="6700C3F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AA1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002DB0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1BD779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A1A9C8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4EB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0FB33E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1D43F2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89907F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688085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9B2C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7EB632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FA8DCB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278037" w14:textId="1570D7D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7732F">
            <w:rPr>
              <w:i/>
              <w:noProof/>
              <w:sz w:val="18"/>
            </w:rPr>
            <w:t>Migration (LIN 19/198: Evidence of financial capacity—Subclass 500 Visa and Subclass 590 Visa) Amendment (LIN 23/070) Specification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26E98DF" w14:textId="253F4E5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73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134A58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C479539" w14:textId="77777777" w:rsidR="00B20990" w:rsidRDefault="00B20990" w:rsidP="007946FE">
          <w:pPr>
            <w:rPr>
              <w:sz w:val="18"/>
            </w:rPr>
          </w:pPr>
        </w:p>
      </w:tc>
    </w:tr>
  </w:tbl>
  <w:p w14:paraId="2BBF867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3FA1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54F933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DD261B" w14:textId="100DE8D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732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0BC209" w14:textId="77F4922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7732F">
            <w:rPr>
              <w:i/>
              <w:noProof/>
              <w:sz w:val="18"/>
            </w:rPr>
            <w:t>Migration (LIN 19/198: Evidence of financial capacity—Subclass 500 Visa and Subclass 590 Visa) Amendment (LIN 23/070) Specification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1FA02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E8B4A1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CF94C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0A55BB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7D54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2DFB94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5D290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FAF803" w14:textId="3952FBC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7732F">
            <w:rPr>
              <w:i/>
              <w:noProof/>
              <w:sz w:val="18"/>
            </w:rPr>
            <w:t>Migration (LIN 19/198: Evidence of financial capacity—Subclass 500 Visa and Subclass 590 Visa) Amendment (LIN 23/070) Specification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94D1B" w14:textId="39342DB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732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79483C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D2F883" w14:textId="77777777" w:rsidR="00EE57E8" w:rsidRDefault="00EE57E8" w:rsidP="00EE57E8">
          <w:pPr>
            <w:rPr>
              <w:sz w:val="18"/>
            </w:rPr>
          </w:pPr>
        </w:p>
      </w:tc>
    </w:tr>
  </w:tbl>
  <w:p w14:paraId="678FEFA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926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FD30A8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62196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49A6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4EB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53EDB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8FBB20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46B0DC" w14:textId="74D7C77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F4EB1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D64ED">
            <w:rPr>
              <w:i/>
              <w:noProof/>
              <w:sz w:val="18"/>
            </w:rPr>
            <w:t>29/9/2023 12:36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E982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4CF17" w14:textId="77777777" w:rsidR="00DD295B" w:rsidRDefault="00DD295B" w:rsidP="0048364F">
      <w:pPr>
        <w:spacing w:line="240" w:lineRule="auto"/>
      </w:pPr>
      <w:r>
        <w:separator/>
      </w:r>
    </w:p>
  </w:footnote>
  <w:footnote w:type="continuationSeparator" w:id="0">
    <w:p w14:paraId="27B36CB4" w14:textId="77777777" w:rsidR="00DD295B" w:rsidRDefault="00DD29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40A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0C23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C23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CF3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4773F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D1B3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8F45" w14:textId="77777777" w:rsidR="00EE57E8" w:rsidRPr="00A961C4" w:rsidRDefault="00EE57E8" w:rsidP="0048364F">
    <w:pPr>
      <w:rPr>
        <w:b/>
        <w:sz w:val="20"/>
      </w:rPr>
    </w:pPr>
  </w:p>
  <w:p w14:paraId="42E14493" w14:textId="77777777" w:rsidR="00EE57E8" w:rsidRPr="00A961C4" w:rsidRDefault="00EE57E8" w:rsidP="0048364F">
    <w:pPr>
      <w:rPr>
        <w:b/>
        <w:sz w:val="20"/>
      </w:rPr>
    </w:pPr>
  </w:p>
  <w:p w14:paraId="571094A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316F" w14:textId="77777777" w:rsidR="00EE57E8" w:rsidRPr="00A961C4" w:rsidRDefault="00EE57E8" w:rsidP="0048364F">
    <w:pPr>
      <w:jc w:val="right"/>
      <w:rPr>
        <w:sz w:val="20"/>
      </w:rPr>
    </w:pPr>
  </w:p>
  <w:p w14:paraId="4DD01430" w14:textId="77777777" w:rsidR="00EE57E8" w:rsidRPr="00A961C4" w:rsidRDefault="00EE57E8" w:rsidP="0048364F">
    <w:pPr>
      <w:jc w:val="right"/>
      <w:rPr>
        <w:b/>
        <w:sz w:val="20"/>
      </w:rPr>
    </w:pPr>
  </w:p>
  <w:p w14:paraId="42A35D5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D40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5C3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8C8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70E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14F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6A6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423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EED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36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AC1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DA84DA6"/>
    <w:multiLevelType w:val="hybridMultilevel"/>
    <w:tmpl w:val="DB583786"/>
    <w:lvl w:ilvl="0" w:tplc="C5A0203A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B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7433B"/>
    <w:rsid w:val="00184261"/>
    <w:rsid w:val="00193461"/>
    <w:rsid w:val="001939E1"/>
    <w:rsid w:val="0019452E"/>
    <w:rsid w:val="00195382"/>
    <w:rsid w:val="001A3B9F"/>
    <w:rsid w:val="001A5520"/>
    <w:rsid w:val="001A65C0"/>
    <w:rsid w:val="001B627D"/>
    <w:rsid w:val="001B760A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5F6C"/>
    <w:rsid w:val="00256C81"/>
    <w:rsid w:val="00285CDD"/>
    <w:rsid w:val="00291167"/>
    <w:rsid w:val="0029489E"/>
    <w:rsid w:val="00297ECB"/>
    <w:rsid w:val="002C152A"/>
    <w:rsid w:val="002D043A"/>
    <w:rsid w:val="002E0A36"/>
    <w:rsid w:val="00313E61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71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732F"/>
    <w:rsid w:val="00581211"/>
    <w:rsid w:val="00584811"/>
    <w:rsid w:val="00593AA6"/>
    <w:rsid w:val="00594161"/>
    <w:rsid w:val="00594749"/>
    <w:rsid w:val="00594956"/>
    <w:rsid w:val="005B1555"/>
    <w:rsid w:val="005B4067"/>
    <w:rsid w:val="005C112D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60D6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26A"/>
    <w:rsid w:val="00722E89"/>
    <w:rsid w:val="00731E00"/>
    <w:rsid w:val="007339C7"/>
    <w:rsid w:val="00740056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C21"/>
    <w:rsid w:val="007E7D4A"/>
    <w:rsid w:val="007F48ED"/>
    <w:rsid w:val="007F5E3F"/>
    <w:rsid w:val="00812F45"/>
    <w:rsid w:val="00834FDC"/>
    <w:rsid w:val="00836FE9"/>
    <w:rsid w:val="0084172C"/>
    <w:rsid w:val="0085175E"/>
    <w:rsid w:val="00856A31"/>
    <w:rsid w:val="008672AF"/>
    <w:rsid w:val="008754D0"/>
    <w:rsid w:val="00877C69"/>
    <w:rsid w:val="00877D48"/>
    <w:rsid w:val="0088345B"/>
    <w:rsid w:val="008941BE"/>
    <w:rsid w:val="008A16A5"/>
    <w:rsid w:val="008A5C57"/>
    <w:rsid w:val="008B7EB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46738"/>
    <w:rsid w:val="00971915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1396D"/>
    <w:rsid w:val="00A231E2"/>
    <w:rsid w:val="00A2550D"/>
    <w:rsid w:val="00A379BB"/>
    <w:rsid w:val="00A4169B"/>
    <w:rsid w:val="00A50D55"/>
    <w:rsid w:val="00A52FDA"/>
    <w:rsid w:val="00A60FFB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D5E8B"/>
    <w:rsid w:val="00AE2D8C"/>
    <w:rsid w:val="00AF33DB"/>
    <w:rsid w:val="00B032D8"/>
    <w:rsid w:val="00B05D72"/>
    <w:rsid w:val="00B165F5"/>
    <w:rsid w:val="00B20990"/>
    <w:rsid w:val="00B23FAF"/>
    <w:rsid w:val="00B33B3C"/>
    <w:rsid w:val="00B40D74"/>
    <w:rsid w:val="00B42649"/>
    <w:rsid w:val="00B46467"/>
    <w:rsid w:val="00B46891"/>
    <w:rsid w:val="00B52663"/>
    <w:rsid w:val="00B56DCB"/>
    <w:rsid w:val="00B61728"/>
    <w:rsid w:val="00B770D2"/>
    <w:rsid w:val="00B93516"/>
    <w:rsid w:val="00B94E6C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E7A91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7E83"/>
    <w:rsid w:val="00CE0A93"/>
    <w:rsid w:val="00CF0BB2"/>
    <w:rsid w:val="00D12B0D"/>
    <w:rsid w:val="00D13441"/>
    <w:rsid w:val="00D14200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07E6"/>
    <w:rsid w:val="00D90841"/>
    <w:rsid w:val="00DA0E59"/>
    <w:rsid w:val="00DA2439"/>
    <w:rsid w:val="00DA599E"/>
    <w:rsid w:val="00DA6F05"/>
    <w:rsid w:val="00DB64FC"/>
    <w:rsid w:val="00DD093D"/>
    <w:rsid w:val="00DD0E58"/>
    <w:rsid w:val="00DD295B"/>
    <w:rsid w:val="00DE149E"/>
    <w:rsid w:val="00DF4EB1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E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60A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B94E6C"/>
    <w:rPr>
      <w:rFonts w:eastAsia="Times New Roman" w:cs="Times New Roman"/>
      <w:sz w:val="18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8941BE"/>
  </w:style>
  <w:style w:type="character" w:styleId="CommentReference">
    <w:name w:val="annotation reference"/>
    <w:basedOn w:val="DefaultParagraphFont"/>
    <w:uiPriority w:val="99"/>
    <w:semiHidden/>
    <w:unhideWhenUsed/>
    <w:rsid w:val="00B46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89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8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2023-09-29T02:37:00Z</dcterms:created>
  <dcterms:modified xsi:type="dcterms:W3CDTF">2023-09-29T02:37:00Z</dcterms:modified>
</cp:coreProperties>
</file>