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54EA" w14:textId="77777777" w:rsidR="00715914" w:rsidRPr="006F79D6" w:rsidRDefault="00DA186E" w:rsidP="00B05CF4">
      <w:pPr>
        <w:rPr>
          <w:sz w:val="28"/>
        </w:rPr>
      </w:pPr>
      <w:r w:rsidRPr="006F79D6">
        <w:rPr>
          <w:noProof/>
          <w:lang w:eastAsia="en-AU"/>
        </w:rPr>
        <w:drawing>
          <wp:inline distT="0" distB="0" distL="0" distR="0" wp14:anchorId="4053DFB2" wp14:editId="6CB980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4DF5" w14:textId="77777777" w:rsidR="00715914" w:rsidRPr="006F79D6" w:rsidRDefault="00715914" w:rsidP="00715914">
      <w:pPr>
        <w:rPr>
          <w:sz w:val="19"/>
        </w:rPr>
      </w:pPr>
    </w:p>
    <w:p w14:paraId="389A6547" w14:textId="77777777" w:rsidR="00715914" w:rsidRPr="006F79D6" w:rsidRDefault="003002CB" w:rsidP="00715914">
      <w:pPr>
        <w:pStyle w:val="ShortT"/>
      </w:pPr>
      <w:r w:rsidRPr="006F79D6">
        <w:t xml:space="preserve">Future Fund (Investment Funds </w:t>
      </w:r>
      <w:r w:rsidR="000B20DB" w:rsidRPr="006F79D6">
        <w:t>Periodic Investment Report</w:t>
      </w:r>
      <w:r w:rsidRPr="006F79D6">
        <w:t xml:space="preserve">) </w:t>
      </w:r>
      <w:r w:rsidR="0010564E" w:rsidRPr="006F79D6">
        <w:t>Rules 2</w:t>
      </w:r>
      <w:r w:rsidRPr="006F79D6">
        <w:t>02</w:t>
      </w:r>
      <w:r w:rsidR="00D56137" w:rsidRPr="006F79D6">
        <w:t>3</w:t>
      </w:r>
    </w:p>
    <w:p w14:paraId="162C3441" w14:textId="77777777" w:rsidR="00D6518C" w:rsidRPr="006F79D6" w:rsidRDefault="00D6518C" w:rsidP="00085E2F">
      <w:pPr>
        <w:pStyle w:val="SignCoverPageStart"/>
        <w:rPr>
          <w:szCs w:val="22"/>
        </w:rPr>
      </w:pPr>
      <w:r w:rsidRPr="006F79D6">
        <w:rPr>
          <w:szCs w:val="22"/>
        </w:rPr>
        <w:t>I, Katy Gallagher, Minister for Finance, make the following rules.</w:t>
      </w:r>
    </w:p>
    <w:p w14:paraId="38DD64D3" w14:textId="26724DC2" w:rsidR="00D6518C" w:rsidRPr="006F79D6" w:rsidRDefault="00D6518C" w:rsidP="00085E2F">
      <w:pPr>
        <w:keepNext/>
        <w:spacing w:before="300" w:line="240" w:lineRule="atLeast"/>
        <w:ind w:right="397"/>
        <w:jc w:val="both"/>
        <w:rPr>
          <w:szCs w:val="22"/>
        </w:rPr>
      </w:pPr>
      <w:r w:rsidRPr="006F79D6">
        <w:rPr>
          <w:szCs w:val="22"/>
        </w:rPr>
        <w:t>Dated</w:t>
      </w:r>
      <w:r w:rsidRPr="006F79D6">
        <w:rPr>
          <w:szCs w:val="22"/>
        </w:rPr>
        <w:tab/>
      </w:r>
      <w:r w:rsidR="00445BFC">
        <w:rPr>
          <w:szCs w:val="22"/>
        </w:rPr>
        <w:t xml:space="preserve">23 September </w:t>
      </w:r>
      <w:r w:rsidRPr="006F79D6">
        <w:rPr>
          <w:szCs w:val="22"/>
        </w:rPr>
        <w:fldChar w:fldCharType="begin"/>
      </w:r>
      <w:r w:rsidRPr="006F79D6">
        <w:rPr>
          <w:szCs w:val="22"/>
        </w:rPr>
        <w:instrText xml:space="preserve"> DOCPROPERTY  DateMade </w:instrText>
      </w:r>
      <w:r w:rsidRPr="006F79D6">
        <w:rPr>
          <w:szCs w:val="22"/>
        </w:rPr>
        <w:fldChar w:fldCharType="separate"/>
      </w:r>
      <w:r w:rsidR="00FF220B">
        <w:rPr>
          <w:szCs w:val="22"/>
        </w:rPr>
        <w:t>2023</w:t>
      </w:r>
      <w:r w:rsidRPr="006F79D6">
        <w:rPr>
          <w:szCs w:val="22"/>
        </w:rPr>
        <w:fldChar w:fldCharType="end"/>
      </w:r>
    </w:p>
    <w:p w14:paraId="2071C9DF" w14:textId="77777777" w:rsidR="00D6518C" w:rsidRPr="006F79D6" w:rsidRDefault="00D6518C" w:rsidP="00085E2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F79D6">
        <w:rPr>
          <w:szCs w:val="22"/>
        </w:rPr>
        <w:t>Katy Gallagher</w:t>
      </w:r>
    </w:p>
    <w:p w14:paraId="485A33F9" w14:textId="77777777" w:rsidR="00D6518C" w:rsidRPr="006F79D6" w:rsidRDefault="00D6518C" w:rsidP="00085E2F">
      <w:pPr>
        <w:pStyle w:val="SignCoverPageEnd"/>
        <w:rPr>
          <w:szCs w:val="22"/>
        </w:rPr>
      </w:pPr>
      <w:r w:rsidRPr="006F79D6">
        <w:rPr>
          <w:szCs w:val="22"/>
        </w:rPr>
        <w:t>Minister for Finance</w:t>
      </w:r>
    </w:p>
    <w:p w14:paraId="4788A7A1" w14:textId="77777777" w:rsidR="00D6518C" w:rsidRPr="006F79D6" w:rsidRDefault="00D6518C" w:rsidP="00085E2F"/>
    <w:p w14:paraId="6093B2F6" w14:textId="77777777" w:rsidR="00715914" w:rsidRPr="002A1F47" w:rsidRDefault="00715914" w:rsidP="00715914">
      <w:pPr>
        <w:pStyle w:val="Header"/>
        <w:tabs>
          <w:tab w:val="clear" w:pos="4150"/>
          <w:tab w:val="clear" w:pos="8307"/>
        </w:tabs>
      </w:pPr>
      <w:r w:rsidRPr="002A1F47">
        <w:rPr>
          <w:rStyle w:val="CharChapNo"/>
        </w:rPr>
        <w:t xml:space="preserve"> </w:t>
      </w:r>
      <w:r w:rsidRPr="002A1F47">
        <w:rPr>
          <w:rStyle w:val="CharChapText"/>
        </w:rPr>
        <w:t xml:space="preserve"> </w:t>
      </w:r>
    </w:p>
    <w:p w14:paraId="1D4581A7" w14:textId="77777777" w:rsidR="00715914" w:rsidRPr="002A1F47" w:rsidRDefault="00715914" w:rsidP="00715914">
      <w:pPr>
        <w:pStyle w:val="Header"/>
        <w:tabs>
          <w:tab w:val="clear" w:pos="4150"/>
          <w:tab w:val="clear" w:pos="8307"/>
        </w:tabs>
      </w:pPr>
      <w:r w:rsidRPr="002A1F47">
        <w:rPr>
          <w:rStyle w:val="CharPartNo"/>
        </w:rPr>
        <w:t xml:space="preserve"> </w:t>
      </w:r>
      <w:r w:rsidRPr="002A1F47">
        <w:rPr>
          <w:rStyle w:val="CharPartText"/>
        </w:rPr>
        <w:t xml:space="preserve"> </w:t>
      </w:r>
    </w:p>
    <w:p w14:paraId="0E8BA7EE" w14:textId="77777777" w:rsidR="00715914" w:rsidRPr="002A1F47" w:rsidRDefault="00715914" w:rsidP="00715914">
      <w:pPr>
        <w:pStyle w:val="Header"/>
        <w:tabs>
          <w:tab w:val="clear" w:pos="4150"/>
          <w:tab w:val="clear" w:pos="8307"/>
        </w:tabs>
      </w:pPr>
      <w:r w:rsidRPr="002A1F47">
        <w:rPr>
          <w:rStyle w:val="CharDivNo"/>
        </w:rPr>
        <w:t xml:space="preserve"> </w:t>
      </w:r>
      <w:r w:rsidRPr="002A1F47">
        <w:rPr>
          <w:rStyle w:val="CharDivText"/>
        </w:rPr>
        <w:t xml:space="preserve"> </w:t>
      </w:r>
    </w:p>
    <w:p w14:paraId="1EB61B26" w14:textId="77777777" w:rsidR="00715914" w:rsidRPr="006F79D6" w:rsidRDefault="00715914" w:rsidP="00715914">
      <w:pPr>
        <w:sectPr w:rsidR="00715914" w:rsidRPr="006F79D6" w:rsidSect="00353E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3C316F" w14:textId="77777777" w:rsidR="00F67BCA" w:rsidRPr="006F79D6" w:rsidRDefault="00715914" w:rsidP="00715914">
      <w:pPr>
        <w:outlineLvl w:val="0"/>
        <w:rPr>
          <w:sz w:val="36"/>
        </w:rPr>
      </w:pPr>
      <w:r w:rsidRPr="006F79D6">
        <w:rPr>
          <w:sz w:val="36"/>
        </w:rPr>
        <w:lastRenderedPageBreak/>
        <w:t>Contents</w:t>
      </w:r>
    </w:p>
    <w:p w14:paraId="5F4144BE" w14:textId="00BD23DE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fldChar w:fldCharType="begin"/>
      </w:r>
      <w:r w:rsidRPr="006F79D6">
        <w:instrText xml:space="preserve"> TOC \o "1-9" </w:instrText>
      </w:r>
      <w:r w:rsidRPr="006F79D6">
        <w:fldChar w:fldCharType="separate"/>
      </w:r>
      <w:r w:rsidRPr="006F79D6">
        <w:rPr>
          <w:noProof/>
        </w:rPr>
        <w:t>1</w:t>
      </w:r>
      <w:r w:rsidRPr="006F79D6">
        <w:rPr>
          <w:noProof/>
        </w:rPr>
        <w:tab/>
        <w:t>Name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_Toc88207052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1</w:t>
      </w:r>
      <w:r w:rsidRPr="006F79D6">
        <w:rPr>
          <w:noProof/>
        </w:rPr>
        <w:fldChar w:fldCharType="end"/>
      </w:r>
    </w:p>
    <w:p w14:paraId="65F7098F" w14:textId="200C25E6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2</w:t>
      </w:r>
      <w:r w:rsidRPr="006F79D6">
        <w:rPr>
          <w:noProof/>
        </w:rPr>
        <w:tab/>
        <w:t>Commencement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_Toc88207053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1</w:t>
      </w:r>
      <w:r w:rsidRPr="006F79D6">
        <w:rPr>
          <w:noProof/>
        </w:rPr>
        <w:fldChar w:fldCharType="end"/>
      </w:r>
    </w:p>
    <w:p w14:paraId="5136994D" w14:textId="38BFE152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3</w:t>
      </w:r>
      <w:r w:rsidRPr="006F79D6">
        <w:rPr>
          <w:noProof/>
        </w:rPr>
        <w:tab/>
        <w:t>Authority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_Toc88207054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1</w:t>
      </w:r>
      <w:r w:rsidRPr="006F79D6">
        <w:rPr>
          <w:noProof/>
        </w:rPr>
        <w:fldChar w:fldCharType="end"/>
      </w:r>
    </w:p>
    <w:p w14:paraId="36A3FD75" w14:textId="41497FAF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4</w:t>
      </w:r>
      <w:r w:rsidRPr="006F79D6">
        <w:rPr>
          <w:noProof/>
        </w:rPr>
        <w:tab/>
        <w:t>Definitions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_Toc88207055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1</w:t>
      </w:r>
      <w:r w:rsidRPr="006F79D6">
        <w:rPr>
          <w:noProof/>
        </w:rPr>
        <w:fldChar w:fldCharType="end"/>
      </w:r>
    </w:p>
    <w:p w14:paraId="4C3F4D37" w14:textId="0A731F60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5</w:t>
      </w:r>
      <w:r w:rsidRPr="006F79D6">
        <w:rPr>
          <w:noProof/>
        </w:rPr>
        <w:tab/>
        <w:t>Periodic investment reports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_Toc88207056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1</w:t>
      </w:r>
      <w:r w:rsidRPr="006F79D6">
        <w:rPr>
          <w:noProof/>
        </w:rPr>
        <w:fldChar w:fldCharType="end"/>
      </w:r>
    </w:p>
    <w:p w14:paraId="33821D69" w14:textId="4C2B26FD" w:rsidR="00080B2B" w:rsidRPr="006F79D6" w:rsidRDefault="00080B2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79D6">
        <w:rPr>
          <w:noProof/>
        </w:rPr>
        <w:t>Schedule 1—Tables for periodic investment reporting</w:t>
      </w:r>
      <w:r w:rsidRPr="006F79D6">
        <w:rPr>
          <w:b w:val="0"/>
          <w:noProof/>
          <w:sz w:val="18"/>
        </w:rPr>
        <w:tab/>
      </w:r>
      <w:r w:rsidRPr="006F79D6">
        <w:rPr>
          <w:b w:val="0"/>
          <w:noProof/>
          <w:sz w:val="18"/>
        </w:rPr>
        <w:fldChar w:fldCharType="begin"/>
      </w:r>
      <w:r w:rsidRPr="006F79D6">
        <w:rPr>
          <w:b w:val="0"/>
          <w:noProof/>
          <w:sz w:val="18"/>
        </w:rPr>
        <w:instrText xml:space="preserve"> PAGEREF _Toc88207057 \h </w:instrText>
      </w:r>
      <w:r w:rsidRPr="006F79D6">
        <w:rPr>
          <w:b w:val="0"/>
          <w:noProof/>
          <w:sz w:val="18"/>
        </w:rPr>
      </w:r>
      <w:r w:rsidRPr="006F79D6">
        <w:rPr>
          <w:b w:val="0"/>
          <w:noProof/>
          <w:sz w:val="18"/>
        </w:rPr>
        <w:fldChar w:fldCharType="separate"/>
      </w:r>
      <w:r w:rsidR="00FF220B">
        <w:rPr>
          <w:b w:val="0"/>
          <w:noProof/>
          <w:sz w:val="18"/>
        </w:rPr>
        <w:t>3</w:t>
      </w:r>
      <w:r w:rsidRPr="006F79D6">
        <w:rPr>
          <w:b w:val="0"/>
          <w:noProof/>
          <w:sz w:val="18"/>
        </w:rPr>
        <w:fldChar w:fldCharType="end"/>
      </w:r>
    </w:p>
    <w:p w14:paraId="21AF043D" w14:textId="087B446D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1</w:t>
      </w:r>
      <w:r w:rsidRPr="006F79D6">
        <w:rPr>
          <w:noProof/>
        </w:rPr>
        <w:tab/>
        <w:t>Table 1—Investments other than derivatives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_Toc88207058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3</w:t>
      </w:r>
      <w:r w:rsidRPr="006F79D6">
        <w:rPr>
          <w:noProof/>
        </w:rPr>
        <w:fldChar w:fldCharType="end"/>
      </w:r>
    </w:p>
    <w:p w14:paraId="52424963" w14:textId="29DD145A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2</w:t>
      </w:r>
      <w:r w:rsidRPr="006F79D6">
        <w:rPr>
          <w:noProof/>
        </w:rPr>
        <w:tab/>
        <w:t>Table 2—Derivatives by kind of derivative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_Toc88207059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5</w:t>
      </w:r>
      <w:r w:rsidRPr="006F79D6">
        <w:rPr>
          <w:noProof/>
        </w:rPr>
        <w:fldChar w:fldCharType="end"/>
      </w:r>
    </w:p>
    <w:p w14:paraId="540641C4" w14:textId="5CB2E3C1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3</w:t>
      </w:r>
      <w:r w:rsidRPr="006F79D6">
        <w:rPr>
          <w:noProof/>
        </w:rPr>
        <w:tab/>
        <w:t>Table 3—Derivatives by asset class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_Toc88207060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6</w:t>
      </w:r>
      <w:r w:rsidRPr="006F79D6">
        <w:rPr>
          <w:noProof/>
        </w:rPr>
        <w:fldChar w:fldCharType="end"/>
      </w:r>
    </w:p>
    <w:p w14:paraId="0F15DE23" w14:textId="64B56227" w:rsidR="00080B2B" w:rsidRPr="006F79D6" w:rsidRDefault="00080B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9D6">
        <w:rPr>
          <w:noProof/>
        </w:rPr>
        <w:t>4</w:t>
      </w:r>
      <w:r w:rsidRPr="006F79D6">
        <w:rPr>
          <w:noProof/>
        </w:rPr>
        <w:tab/>
        <w:t>Table 4—Derivatives by currency</w:t>
      </w:r>
      <w:r w:rsidRPr="006F79D6">
        <w:rPr>
          <w:noProof/>
        </w:rPr>
        <w:tab/>
      </w:r>
      <w:r w:rsidRPr="006F79D6">
        <w:rPr>
          <w:noProof/>
        </w:rPr>
        <w:fldChar w:fldCharType="begin"/>
      </w:r>
      <w:r w:rsidRPr="006F79D6">
        <w:rPr>
          <w:noProof/>
        </w:rPr>
        <w:instrText xml:space="preserve"> PAGEREF _Toc88207061 \h </w:instrText>
      </w:r>
      <w:r w:rsidRPr="006F79D6">
        <w:rPr>
          <w:noProof/>
        </w:rPr>
      </w:r>
      <w:r w:rsidRPr="006F79D6">
        <w:rPr>
          <w:noProof/>
        </w:rPr>
        <w:fldChar w:fldCharType="separate"/>
      </w:r>
      <w:r w:rsidR="00FF220B">
        <w:rPr>
          <w:noProof/>
        </w:rPr>
        <w:t>6</w:t>
      </w:r>
      <w:r w:rsidRPr="006F79D6">
        <w:rPr>
          <w:noProof/>
        </w:rPr>
        <w:fldChar w:fldCharType="end"/>
      </w:r>
    </w:p>
    <w:p w14:paraId="54F7A7B3" w14:textId="77777777" w:rsidR="00670EA1" w:rsidRPr="006F79D6" w:rsidRDefault="00080B2B" w:rsidP="00715914">
      <w:r w:rsidRPr="006F79D6">
        <w:fldChar w:fldCharType="end"/>
      </w:r>
    </w:p>
    <w:p w14:paraId="3BE966B4" w14:textId="77777777" w:rsidR="00670EA1" w:rsidRPr="006F79D6" w:rsidRDefault="00670EA1" w:rsidP="00715914">
      <w:pPr>
        <w:sectPr w:rsidR="00670EA1" w:rsidRPr="006F79D6" w:rsidSect="00353E2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5D7B8" w14:textId="77777777" w:rsidR="00571792" w:rsidRPr="006F79D6" w:rsidRDefault="00571792" w:rsidP="00571792">
      <w:pPr>
        <w:pStyle w:val="Header"/>
      </w:pPr>
      <w:r w:rsidRPr="002A1F47">
        <w:lastRenderedPageBreak/>
        <w:t xml:space="preserve">  </w:t>
      </w:r>
    </w:p>
    <w:p w14:paraId="55015687" w14:textId="77777777" w:rsidR="00571792" w:rsidRPr="006F79D6" w:rsidRDefault="00571792" w:rsidP="00715914">
      <w:pPr>
        <w:pStyle w:val="Header"/>
      </w:pPr>
      <w:r w:rsidRPr="002A1F47">
        <w:t xml:space="preserve">  </w:t>
      </w:r>
    </w:p>
    <w:p w14:paraId="2F616B16" w14:textId="77777777" w:rsidR="00715914" w:rsidRPr="006F79D6" w:rsidRDefault="00715914" w:rsidP="00715914">
      <w:pPr>
        <w:pStyle w:val="Header"/>
      </w:pPr>
      <w:r w:rsidRPr="002A1F47">
        <w:t xml:space="preserve">  </w:t>
      </w:r>
    </w:p>
    <w:p w14:paraId="4755F000" w14:textId="77777777" w:rsidR="00715914" w:rsidRPr="006F79D6" w:rsidRDefault="00715914" w:rsidP="00715914">
      <w:pPr>
        <w:pStyle w:val="ActHead5"/>
      </w:pPr>
      <w:bookmarkStart w:id="0" w:name="_Toc88207052"/>
      <w:r w:rsidRPr="002A1F47">
        <w:rPr>
          <w:rStyle w:val="CharSectno"/>
        </w:rPr>
        <w:t>1</w:t>
      </w:r>
      <w:r w:rsidRPr="006F79D6">
        <w:t xml:space="preserve">  </w:t>
      </w:r>
      <w:r w:rsidR="00CE493D" w:rsidRPr="006F79D6">
        <w:t>Name</w:t>
      </w:r>
      <w:bookmarkEnd w:id="0"/>
    </w:p>
    <w:p w14:paraId="46E51501" w14:textId="77777777" w:rsidR="00715914" w:rsidRPr="006F79D6" w:rsidRDefault="00715914" w:rsidP="00715914">
      <w:pPr>
        <w:pStyle w:val="subsection"/>
      </w:pPr>
      <w:r w:rsidRPr="006F79D6">
        <w:tab/>
      </w:r>
      <w:r w:rsidRPr="006F79D6">
        <w:tab/>
      </w:r>
      <w:r w:rsidR="003002CB" w:rsidRPr="006F79D6">
        <w:t>This instrument is</w:t>
      </w:r>
      <w:r w:rsidR="00CE493D" w:rsidRPr="006F79D6">
        <w:t xml:space="preserve"> the </w:t>
      </w:r>
      <w:r w:rsidR="00401904" w:rsidRPr="006F79D6">
        <w:rPr>
          <w:i/>
          <w:noProof/>
        </w:rPr>
        <w:t>Future Fund (Investment Funds Periodic Investment Report) Rules 2023</w:t>
      </w:r>
      <w:r w:rsidRPr="006F79D6">
        <w:t>.</w:t>
      </w:r>
    </w:p>
    <w:p w14:paraId="5D639B82" w14:textId="77777777" w:rsidR="00715914" w:rsidRPr="006F79D6" w:rsidRDefault="00715914" w:rsidP="00715914">
      <w:pPr>
        <w:pStyle w:val="ActHead5"/>
      </w:pPr>
      <w:bookmarkStart w:id="1" w:name="_Toc88207053"/>
      <w:r w:rsidRPr="002A1F47">
        <w:rPr>
          <w:rStyle w:val="CharSectno"/>
        </w:rPr>
        <w:t>2</w:t>
      </w:r>
      <w:r w:rsidRPr="006F79D6">
        <w:t xml:space="preserve">  Commencement</w:t>
      </w:r>
      <w:bookmarkEnd w:id="1"/>
    </w:p>
    <w:p w14:paraId="5151A364" w14:textId="77777777" w:rsidR="00AE3652" w:rsidRPr="006F79D6" w:rsidRDefault="00807626" w:rsidP="00AE3652">
      <w:pPr>
        <w:pStyle w:val="subsection"/>
      </w:pPr>
      <w:r w:rsidRPr="006F79D6">
        <w:tab/>
      </w:r>
      <w:r w:rsidR="00AE3652" w:rsidRPr="006F79D6">
        <w:t>(1)</w:t>
      </w:r>
      <w:r w:rsidR="00AE3652" w:rsidRPr="006F79D6">
        <w:tab/>
        <w:t xml:space="preserve">Each provision of </w:t>
      </w:r>
      <w:r w:rsidR="003002CB" w:rsidRPr="006F79D6">
        <w:t>this instrument</w:t>
      </w:r>
      <w:r w:rsidR="00AE3652" w:rsidRPr="006F79D6">
        <w:t xml:space="preserve"> specified in column 1 of the table commences, or is taken to have commenced, in accordance with column 2 of the table. Any other statement in column 2 has effect according to its terms.</w:t>
      </w:r>
    </w:p>
    <w:p w14:paraId="43F61303" w14:textId="77777777" w:rsidR="00AE3652" w:rsidRPr="006F79D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F79D6" w:rsidRPr="006F79D6" w14:paraId="1D46E61C" w14:textId="77777777" w:rsidTr="00F641E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443234" w14:textId="77777777" w:rsidR="00AE3652" w:rsidRPr="006F79D6" w:rsidRDefault="00AE3652" w:rsidP="00F641EC">
            <w:pPr>
              <w:pStyle w:val="TableHeading"/>
            </w:pPr>
            <w:r w:rsidRPr="006F79D6">
              <w:t>Commencement information</w:t>
            </w:r>
          </w:p>
        </w:tc>
      </w:tr>
      <w:tr w:rsidR="006F79D6" w:rsidRPr="006F79D6" w14:paraId="5536CD7E" w14:textId="77777777" w:rsidTr="00F641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F68541" w14:textId="77777777" w:rsidR="00AE3652" w:rsidRPr="006F79D6" w:rsidRDefault="00AE3652" w:rsidP="00F641EC">
            <w:pPr>
              <w:pStyle w:val="TableHeading"/>
            </w:pPr>
            <w:r w:rsidRPr="006F79D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62FA95" w14:textId="77777777" w:rsidR="00AE3652" w:rsidRPr="006F79D6" w:rsidRDefault="00AE3652" w:rsidP="00F641EC">
            <w:pPr>
              <w:pStyle w:val="TableHeading"/>
            </w:pPr>
            <w:r w:rsidRPr="006F79D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341C83" w14:textId="77777777" w:rsidR="00AE3652" w:rsidRPr="006F79D6" w:rsidRDefault="00AE3652" w:rsidP="00F641EC">
            <w:pPr>
              <w:pStyle w:val="TableHeading"/>
            </w:pPr>
            <w:r w:rsidRPr="006F79D6">
              <w:t>Column 3</w:t>
            </w:r>
          </w:p>
        </w:tc>
      </w:tr>
      <w:tr w:rsidR="006F79D6" w:rsidRPr="006F79D6" w14:paraId="4B3BA0F4" w14:textId="77777777" w:rsidTr="00F641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7636F0" w14:textId="77777777" w:rsidR="00AE3652" w:rsidRPr="006F79D6" w:rsidRDefault="00AE3652" w:rsidP="00F641EC">
            <w:pPr>
              <w:pStyle w:val="TableHeading"/>
            </w:pPr>
            <w:r w:rsidRPr="006F79D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2658B2" w14:textId="77777777" w:rsidR="00AE3652" w:rsidRPr="006F79D6" w:rsidRDefault="00AE3652" w:rsidP="00F641EC">
            <w:pPr>
              <w:pStyle w:val="TableHeading"/>
            </w:pPr>
            <w:r w:rsidRPr="006F79D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2597C0" w14:textId="77777777" w:rsidR="00AE3652" w:rsidRPr="006F79D6" w:rsidRDefault="00AE3652" w:rsidP="00F641EC">
            <w:pPr>
              <w:pStyle w:val="TableHeading"/>
            </w:pPr>
            <w:r w:rsidRPr="006F79D6">
              <w:t>Date/Details</w:t>
            </w:r>
          </w:p>
        </w:tc>
      </w:tr>
      <w:tr w:rsidR="006F79D6" w:rsidRPr="006F79D6" w14:paraId="0244E1E8" w14:textId="77777777" w:rsidTr="00F641E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9A8250" w14:textId="77777777" w:rsidR="00AE3652" w:rsidRPr="006F79D6" w:rsidRDefault="00AE3652" w:rsidP="00F641EC">
            <w:pPr>
              <w:pStyle w:val="Tabletext"/>
            </w:pPr>
            <w:r w:rsidRPr="006F79D6">
              <w:t xml:space="preserve">1.  The whole of </w:t>
            </w:r>
            <w:r w:rsidR="003002CB" w:rsidRPr="006F79D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861074" w14:textId="77777777" w:rsidR="00AE3652" w:rsidRPr="006F79D6" w:rsidRDefault="00AE3652" w:rsidP="00F641EC">
            <w:pPr>
              <w:pStyle w:val="Tabletext"/>
            </w:pPr>
            <w:r w:rsidRPr="006F79D6">
              <w:t xml:space="preserve">The day after </w:t>
            </w:r>
            <w:r w:rsidR="003002CB" w:rsidRPr="006F79D6">
              <w:t>this instrument is</w:t>
            </w:r>
            <w:r w:rsidRPr="006F79D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32005D" w14:textId="112EA121" w:rsidR="00AE3652" w:rsidRPr="006F79D6" w:rsidRDefault="0065555C" w:rsidP="00F641EC">
            <w:pPr>
              <w:pStyle w:val="Tabletext"/>
            </w:pPr>
            <w:r>
              <w:t>5 October 2023</w:t>
            </w:r>
            <w:bookmarkStart w:id="2" w:name="_GoBack"/>
            <w:bookmarkEnd w:id="2"/>
          </w:p>
        </w:tc>
      </w:tr>
    </w:tbl>
    <w:p w14:paraId="279B26F9" w14:textId="77777777" w:rsidR="00AE3652" w:rsidRPr="006F79D6" w:rsidRDefault="00AE3652" w:rsidP="00AE3652">
      <w:pPr>
        <w:pStyle w:val="notetext"/>
      </w:pPr>
      <w:r w:rsidRPr="006F79D6">
        <w:rPr>
          <w:snapToGrid w:val="0"/>
          <w:lang w:eastAsia="en-US"/>
        </w:rPr>
        <w:t>Note:</w:t>
      </w:r>
      <w:r w:rsidRPr="006F79D6">
        <w:rPr>
          <w:snapToGrid w:val="0"/>
          <w:lang w:eastAsia="en-US"/>
        </w:rPr>
        <w:tab/>
        <w:t xml:space="preserve">This table relates only to the provisions of </w:t>
      </w:r>
      <w:r w:rsidR="003002CB" w:rsidRPr="006F79D6">
        <w:rPr>
          <w:snapToGrid w:val="0"/>
          <w:lang w:eastAsia="en-US"/>
        </w:rPr>
        <w:t>this instrument</w:t>
      </w:r>
      <w:r w:rsidRPr="006F79D6">
        <w:t xml:space="preserve"> </w:t>
      </w:r>
      <w:r w:rsidRPr="006F79D6">
        <w:rPr>
          <w:snapToGrid w:val="0"/>
          <w:lang w:eastAsia="en-US"/>
        </w:rPr>
        <w:t xml:space="preserve">as originally made. It will not be amended to deal with any later amendments of </w:t>
      </w:r>
      <w:r w:rsidR="003002CB" w:rsidRPr="006F79D6">
        <w:rPr>
          <w:snapToGrid w:val="0"/>
          <w:lang w:eastAsia="en-US"/>
        </w:rPr>
        <w:t>this instrument</w:t>
      </w:r>
      <w:r w:rsidRPr="006F79D6">
        <w:rPr>
          <w:snapToGrid w:val="0"/>
          <w:lang w:eastAsia="en-US"/>
        </w:rPr>
        <w:t>.</w:t>
      </w:r>
    </w:p>
    <w:p w14:paraId="0632DFF3" w14:textId="77777777" w:rsidR="00807626" w:rsidRPr="006F79D6" w:rsidRDefault="00AE3652" w:rsidP="00AE3652">
      <w:pPr>
        <w:pStyle w:val="subsection"/>
      </w:pPr>
      <w:r w:rsidRPr="006F79D6">
        <w:tab/>
        <w:t>(2)</w:t>
      </w:r>
      <w:r w:rsidRPr="006F79D6">
        <w:tab/>
        <w:t xml:space="preserve">Any information in column 3 of the table is not part of </w:t>
      </w:r>
      <w:r w:rsidR="003002CB" w:rsidRPr="006F79D6">
        <w:t>this instrument</w:t>
      </w:r>
      <w:r w:rsidRPr="006F79D6">
        <w:t xml:space="preserve">. Information may be inserted in this column, or information in it may be edited, in any published version of </w:t>
      </w:r>
      <w:r w:rsidR="003002CB" w:rsidRPr="006F79D6">
        <w:t>this instrument</w:t>
      </w:r>
      <w:r w:rsidRPr="006F79D6">
        <w:t>.</w:t>
      </w:r>
    </w:p>
    <w:p w14:paraId="68C62E50" w14:textId="77777777" w:rsidR="007500C8" w:rsidRPr="006F79D6" w:rsidRDefault="007500C8" w:rsidP="007500C8">
      <w:pPr>
        <w:pStyle w:val="ActHead5"/>
      </w:pPr>
      <w:bookmarkStart w:id="3" w:name="_Toc88207054"/>
      <w:r w:rsidRPr="002A1F47">
        <w:rPr>
          <w:rStyle w:val="CharSectno"/>
        </w:rPr>
        <w:t>3</w:t>
      </w:r>
      <w:r w:rsidRPr="006F79D6">
        <w:t xml:space="preserve">  Authority</w:t>
      </w:r>
      <w:bookmarkEnd w:id="3"/>
    </w:p>
    <w:p w14:paraId="15EBA661" w14:textId="77777777" w:rsidR="00157B8B" w:rsidRPr="006F79D6" w:rsidRDefault="007500C8" w:rsidP="007E667A">
      <w:pPr>
        <w:pStyle w:val="subsection"/>
      </w:pPr>
      <w:r w:rsidRPr="006F79D6">
        <w:tab/>
      </w:r>
      <w:r w:rsidRPr="006F79D6">
        <w:tab/>
      </w:r>
      <w:r w:rsidR="003002CB" w:rsidRPr="006F79D6">
        <w:t>This instrument is</w:t>
      </w:r>
      <w:r w:rsidRPr="006F79D6">
        <w:t xml:space="preserve"> made under the </w:t>
      </w:r>
      <w:r w:rsidR="000113E6" w:rsidRPr="006F79D6">
        <w:rPr>
          <w:i/>
        </w:rPr>
        <w:t>Future Fund Act 2006</w:t>
      </w:r>
      <w:r w:rsidR="00F4350D" w:rsidRPr="006F79D6">
        <w:t>.</w:t>
      </w:r>
    </w:p>
    <w:p w14:paraId="0C5A9F9F" w14:textId="77777777" w:rsidR="00606A0C" w:rsidRPr="006F79D6" w:rsidRDefault="00606A0C" w:rsidP="000113E6">
      <w:pPr>
        <w:pStyle w:val="ActHead5"/>
      </w:pPr>
      <w:bookmarkStart w:id="4" w:name="_Toc88207055"/>
      <w:r w:rsidRPr="002A1F47">
        <w:rPr>
          <w:rStyle w:val="CharSectno"/>
        </w:rPr>
        <w:t>4</w:t>
      </w:r>
      <w:r w:rsidRPr="006F79D6">
        <w:t xml:space="preserve">  Definitions</w:t>
      </w:r>
      <w:bookmarkEnd w:id="4"/>
    </w:p>
    <w:p w14:paraId="0BAA5C13" w14:textId="77777777" w:rsidR="00606A0C" w:rsidRPr="006F79D6" w:rsidRDefault="00606A0C" w:rsidP="00606A0C">
      <w:pPr>
        <w:pStyle w:val="subsection"/>
      </w:pPr>
      <w:r w:rsidRPr="006F79D6">
        <w:tab/>
      </w:r>
      <w:r w:rsidRPr="006F79D6">
        <w:tab/>
        <w:t>In this instrument:</w:t>
      </w:r>
    </w:p>
    <w:p w14:paraId="219AF90E" w14:textId="77777777" w:rsidR="00606A0C" w:rsidRPr="006F79D6" w:rsidRDefault="00606A0C" w:rsidP="00606A0C">
      <w:pPr>
        <w:pStyle w:val="Definition"/>
      </w:pPr>
      <w:r w:rsidRPr="006F79D6">
        <w:rPr>
          <w:b/>
          <w:i/>
        </w:rPr>
        <w:t xml:space="preserve">Act </w:t>
      </w:r>
      <w:r w:rsidRPr="006F79D6">
        <w:t xml:space="preserve">means the </w:t>
      </w:r>
      <w:r w:rsidRPr="006F79D6">
        <w:rPr>
          <w:i/>
        </w:rPr>
        <w:t>Future Fund Act 2006</w:t>
      </w:r>
      <w:r w:rsidRPr="006F79D6">
        <w:t>.</w:t>
      </w:r>
    </w:p>
    <w:p w14:paraId="515151BF" w14:textId="77777777" w:rsidR="000F6563" w:rsidRPr="006F79D6" w:rsidRDefault="000F6563" w:rsidP="00606A0C">
      <w:pPr>
        <w:pStyle w:val="Definition"/>
      </w:pPr>
      <w:r w:rsidRPr="006F79D6">
        <w:rPr>
          <w:b/>
          <w:i/>
        </w:rPr>
        <w:t xml:space="preserve">associated entity </w:t>
      </w:r>
      <w:r w:rsidR="003418DC" w:rsidRPr="006F79D6">
        <w:t xml:space="preserve">has the same meaning as in the </w:t>
      </w:r>
      <w:r w:rsidR="003418DC" w:rsidRPr="006F79D6">
        <w:rPr>
          <w:i/>
        </w:rPr>
        <w:t>Corporations Act 2001</w:t>
      </w:r>
      <w:r w:rsidR="003418DC" w:rsidRPr="006F79D6">
        <w:t>.</w:t>
      </w:r>
    </w:p>
    <w:p w14:paraId="37B9E70D" w14:textId="77777777" w:rsidR="000113E6" w:rsidRPr="006F79D6" w:rsidRDefault="000F6563" w:rsidP="000113E6">
      <w:pPr>
        <w:pStyle w:val="ActHead5"/>
      </w:pPr>
      <w:bookmarkStart w:id="5" w:name="_Toc88207056"/>
      <w:r w:rsidRPr="002A1F47">
        <w:rPr>
          <w:rStyle w:val="CharSectno"/>
        </w:rPr>
        <w:t>5</w:t>
      </w:r>
      <w:r w:rsidR="000113E6" w:rsidRPr="006F79D6">
        <w:t xml:space="preserve">  </w:t>
      </w:r>
      <w:r w:rsidR="00F641EC" w:rsidRPr="006F79D6">
        <w:t>Periodic investment reports</w:t>
      </w:r>
      <w:bookmarkEnd w:id="5"/>
    </w:p>
    <w:p w14:paraId="71E1AF51" w14:textId="77777777" w:rsidR="00FB2295" w:rsidRPr="006F79D6" w:rsidRDefault="00F641EC" w:rsidP="00F641EC">
      <w:pPr>
        <w:pStyle w:val="subsection"/>
      </w:pPr>
      <w:r w:rsidRPr="006F79D6">
        <w:tab/>
        <w:t>(1)</w:t>
      </w:r>
      <w:r w:rsidRPr="006F79D6">
        <w:tab/>
      </w:r>
      <w:r w:rsidR="007F7098" w:rsidRPr="006F79D6">
        <w:t xml:space="preserve">For the purposes of </w:t>
      </w:r>
      <w:r w:rsidR="00A72B47" w:rsidRPr="006F79D6">
        <w:t>subsection 5</w:t>
      </w:r>
      <w:r w:rsidR="007F7098" w:rsidRPr="006F79D6">
        <w:t>5A</w:t>
      </w:r>
      <w:r w:rsidR="00FB2295" w:rsidRPr="006F79D6">
        <w:t>(1)</w:t>
      </w:r>
      <w:r w:rsidR="007F7098" w:rsidRPr="006F79D6">
        <w:t xml:space="preserve"> of the Act</w:t>
      </w:r>
      <w:r w:rsidR="00FB2295" w:rsidRPr="006F79D6">
        <w:t>, the Board must:</w:t>
      </w:r>
    </w:p>
    <w:p w14:paraId="7A0FAF35" w14:textId="77777777" w:rsidR="007F7098" w:rsidRPr="006F79D6" w:rsidRDefault="00FB2295" w:rsidP="00FB2295">
      <w:pPr>
        <w:pStyle w:val="paragraph"/>
      </w:pPr>
      <w:r w:rsidRPr="006F79D6">
        <w:tab/>
        <w:t>(a)</w:t>
      </w:r>
      <w:r w:rsidRPr="006F79D6">
        <w:tab/>
        <w:t xml:space="preserve">prepare a periodic investment report </w:t>
      </w:r>
      <w:r w:rsidR="00AB1FB3" w:rsidRPr="006F79D6">
        <w:t xml:space="preserve">referred to in that subsection </w:t>
      </w:r>
      <w:r w:rsidRPr="006F79D6">
        <w:t xml:space="preserve">for each reporting </w:t>
      </w:r>
      <w:r w:rsidR="00A52F42" w:rsidRPr="006F79D6">
        <w:t>day</w:t>
      </w:r>
      <w:r w:rsidRPr="006F79D6">
        <w:t xml:space="preserve"> in accordance with this section; and</w:t>
      </w:r>
    </w:p>
    <w:p w14:paraId="46C17CF7" w14:textId="77777777" w:rsidR="00937683" w:rsidRPr="006F79D6" w:rsidRDefault="00FB2295" w:rsidP="00937683">
      <w:pPr>
        <w:pStyle w:val="paragraph"/>
      </w:pPr>
      <w:r w:rsidRPr="006F79D6">
        <w:tab/>
        <w:t>(b)</w:t>
      </w:r>
      <w:r w:rsidRPr="006F79D6">
        <w:tab/>
        <w:t>make the report available on the internet</w:t>
      </w:r>
      <w:r w:rsidR="00937683" w:rsidRPr="006F79D6">
        <w:t xml:space="preserve"> </w:t>
      </w:r>
      <w:r w:rsidR="00BA264A" w:rsidRPr="006F79D6">
        <w:t xml:space="preserve">as soon as practicable </w:t>
      </w:r>
      <w:r w:rsidR="00937683" w:rsidRPr="006F79D6">
        <w:t xml:space="preserve">after the </w:t>
      </w:r>
      <w:r w:rsidR="00BA264A" w:rsidRPr="006F79D6">
        <w:t>end of the 90 day</w:t>
      </w:r>
      <w:r w:rsidR="00D03892" w:rsidRPr="006F79D6">
        <w:t>s after the reporting day</w:t>
      </w:r>
      <w:r w:rsidR="00937683" w:rsidRPr="006F79D6">
        <w:t>.</w:t>
      </w:r>
    </w:p>
    <w:p w14:paraId="07E3DB30" w14:textId="77777777" w:rsidR="00437B26" w:rsidRPr="006F79D6" w:rsidRDefault="00FB2295" w:rsidP="00FB2295">
      <w:pPr>
        <w:pStyle w:val="subsection"/>
      </w:pPr>
      <w:r w:rsidRPr="006F79D6">
        <w:tab/>
        <w:t>(2)</w:t>
      </w:r>
      <w:r w:rsidRPr="006F79D6">
        <w:tab/>
      </w:r>
      <w:r w:rsidR="000E7084" w:rsidRPr="006F79D6">
        <w:t>For the purposes of paragraph 55A(1)(b) of the Act, t</w:t>
      </w:r>
      <w:r w:rsidR="00147037" w:rsidRPr="006F79D6">
        <w:t>h</w:t>
      </w:r>
      <w:r w:rsidRPr="006F79D6">
        <w:t xml:space="preserve">e </w:t>
      </w:r>
      <w:r w:rsidR="00437B26" w:rsidRPr="006F79D6">
        <w:t>publication period referred to in that paragraph is the period:</w:t>
      </w:r>
    </w:p>
    <w:p w14:paraId="4B5C708B" w14:textId="77777777" w:rsidR="005E6B7B" w:rsidRPr="006F79D6" w:rsidRDefault="00437B26" w:rsidP="00BA264A">
      <w:pPr>
        <w:pStyle w:val="paragraph"/>
      </w:pPr>
      <w:r w:rsidRPr="006F79D6">
        <w:tab/>
        <w:t>(a)</w:t>
      </w:r>
      <w:r w:rsidRPr="006F79D6">
        <w:tab/>
        <w:t>beginning</w:t>
      </w:r>
      <w:r w:rsidR="005E6B7B" w:rsidRPr="006F79D6">
        <w:t>:</w:t>
      </w:r>
    </w:p>
    <w:p w14:paraId="34564F80" w14:textId="77777777" w:rsidR="005E6B7B" w:rsidRPr="006F79D6" w:rsidRDefault="005E6B7B" w:rsidP="005E6B7B">
      <w:pPr>
        <w:pStyle w:val="paragraphsub"/>
      </w:pPr>
      <w:r w:rsidRPr="006F79D6">
        <w:lastRenderedPageBreak/>
        <w:tab/>
        <w:t>(i)</w:t>
      </w:r>
      <w:r w:rsidRPr="006F79D6">
        <w:tab/>
        <w:t xml:space="preserve">if the </w:t>
      </w:r>
      <w:r w:rsidR="008E01BE" w:rsidRPr="006F79D6">
        <w:t xml:space="preserve">periodic investment report is made available on the internet in accordance with </w:t>
      </w:r>
      <w:r w:rsidR="004A184E" w:rsidRPr="006F79D6">
        <w:t>paragraph (</w:t>
      </w:r>
      <w:r w:rsidR="008E01BE" w:rsidRPr="006F79D6">
        <w:t>1)(b) of this section</w:t>
      </w:r>
      <w:r w:rsidRPr="006F79D6">
        <w:t>—on the day it is made available</w:t>
      </w:r>
      <w:r w:rsidR="00437B26" w:rsidRPr="006F79D6">
        <w:t xml:space="preserve">; </w:t>
      </w:r>
      <w:r w:rsidRPr="006F79D6">
        <w:t>or</w:t>
      </w:r>
    </w:p>
    <w:p w14:paraId="6E34B485" w14:textId="77777777" w:rsidR="005E6B7B" w:rsidRPr="006F79D6" w:rsidRDefault="005E6B7B" w:rsidP="005E6B7B">
      <w:pPr>
        <w:pStyle w:val="paragraphsub"/>
      </w:pPr>
      <w:r w:rsidRPr="006F79D6">
        <w:tab/>
        <w:t>(ii)</w:t>
      </w:r>
      <w:r w:rsidRPr="006F79D6">
        <w:tab/>
        <w:t xml:space="preserve">if the periodic investment report is made available on the internet earlier </w:t>
      </w:r>
      <w:r w:rsidR="008E37F2" w:rsidRPr="006F79D6">
        <w:t xml:space="preserve">in accordance with </w:t>
      </w:r>
      <w:r w:rsidR="004A184E" w:rsidRPr="006F79D6">
        <w:t>subsection (</w:t>
      </w:r>
      <w:r w:rsidR="008E37F2" w:rsidRPr="006F79D6">
        <w:t>3) of this section</w:t>
      </w:r>
      <w:r w:rsidRPr="006F79D6">
        <w:t>—</w:t>
      </w:r>
      <w:r w:rsidR="008E37F2" w:rsidRPr="006F79D6">
        <w:t xml:space="preserve">the day after the end of the 90 day </w:t>
      </w:r>
      <w:r w:rsidRPr="006F79D6">
        <w:t>period</w:t>
      </w:r>
      <w:r w:rsidR="008E37F2" w:rsidRPr="006F79D6">
        <w:t xml:space="preserve"> referred to in that subsection</w:t>
      </w:r>
      <w:r w:rsidRPr="006F79D6">
        <w:t>; and</w:t>
      </w:r>
    </w:p>
    <w:p w14:paraId="76FE360B" w14:textId="77777777" w:rsidR="00437B26" w:rsidRPr="006F79D6" w:rsidRDefault="00437B26" w:rsidP="00B9240C">
      <w:pPr>
        <w:pStyle w:val="paragraph"/>
      </w:pPr>
      <w:r w:rsidRPr="006F79D6">
        <w:tab/>
        <w:t>(b)</w:t>
      </w:r>
      <w:r w:rsidRPr="006F79D6">
        <w:tab/>
        <w:t>ending on the day</w:t>
      </w:r>
      <w:r w:rsidR="00147037" w:rsidRPr="006F79D6">
        <w:t xml:space="preserve"> the periodic investment report </w:t>
      </w:r>
      <w:r w:rsidR="00FB2295" w:rsidRPr="006F79D6">
        <w:t xml:space="preserve">for the subsequent reporting </w:t>
      </w:r>
      <w:r w:rsidR="0010430E" w:rsidRPr="006F79D6">
        <w:t>day</w:t>
      </w:r>
      <w:r w:rsidR="00FB2295" w:rsidRPr="006F79D6">
        <w:t xml:space="preserve"> is made available on the internet</w:t>
      </w:r>
      <w:r w:rsidR="00A52F42" w:rsidRPr="006F79D6">
        <w:t xml:space="preserve"> in accordance with </w:t>
      </w:r>
      <w:r w:rsidR="004A184E" w:rsidRPr="006F79D6">
        <w:t>paragraph (</w:t>
      </w:r>
      <w:r w:rsidR="00A361F8" w:rsidRPr="006F79D6">
        <w:t>1)(b)</w:t>
      </w:r>
      <w:r w:rsidR="00686218" w:rsidRPr="006F79D6">
        <w:t xml:space="preserve"> </w:t>
      </w:r>
      <w:r w:rsidR="008E37F2" w:rsidRPr="006F79D6">
        <w:t xml:space="preserve">or </w:t>
      </w:r>
      <w:r w:rsidR="004A184E" w:rsidRPr="006F79D6">
        <w:t>subsection (</w:t>
      </w:r>
      <w:r w:rsidR="008E37F2" w:rsidRPr="006F79D6">
        <w:t xml:space="preserve">3) </w:t>
      </w:r>
      <w:r w:rsidR="00686218" w:rsidRPr="006F79D6">
        <w:t>of this section</w:t>
      </w:r>
      <w:r w:rsidR="00B9240C" w:rsidRPr="006F79D6">
        <w:t>.</w:t>
      </w:r>
    </w:p>
    <w:p w14:paraId="116C3B36" w14:textId="77777777" w:rsidR="00437B26" w:rsidRPr="006F79D6" w:rsidRDefault="00437B26" w:rsidP="00437B26">
      <w:pPr>
        <w:pStyle w:val="subsection"/>
      </w:pPr>
      <w:r w:rsidRPr="006F79D6">
        <w:tab/>
        <w:t>(3)</w:t>
      </w:r>
      <w:r w:rsidRPr="006F79D6">
        <w:tab/>
      </w:r>
      <w:r w:rsidR="00AB4D57" w:rsidRPr="006F79D6">
        <w:t>Subsection (</w:t>
      </w:r>
      <w:r w:rsidRPr="006F79D6">
        <w:t>1) does not prevent the Board</w:t>
      </w:r>
      <w:r w:rsidR="00686218" w:rsidRPr="006F79D6">
        <w:t xml:space="preserve">, in accordance with </w:t>
      </w:r>
      <w:r w:rsidR="00A72B47" w:rsidRPr="006F79D6">
        <w:t>subsection 5</w:t>
      </w:r>
      <w:r w:rsidR="00686218" w:rsidRPr="006F79D6">
        <w:t>5A(3) of the Act,</w:t>
      </w:r>
      <w:r w:rsidRPr="006F79D6">
        <w:t xml:space="preserve"> </w:t>
      </w:r>
      <w:r w:rsidR="00686218" w:rsidRPr="006F79D6">
        <w:t xml:space="preserve">from </w:t>
      </w:r>
      <w:r w:rsidRPr="006F79D6">
        <w:t xml:space="preserve">making a periodic investment report available on the internet earlier than 90 days after the reporting day </w:t>
      </w:r>
      <w:r w:rsidR="00A81D03" w:rsidRPr="006F79D6">
        <w:t>to which the report relates</w:t>
      </w:r>
      <w:r w:rsidRPr="006F79D6">
        <w:t>.</w:t>
      </w:r>
    </w:p>
    <w:p w14:paraId="002839CC" w14:textId="77777777" w:rsidR="003E778F" w:rsidRPr="006F79D6" w:rsidRDefault="005E6B7B" w:rsidP="00147037">
      <w:pPr>
        <w:pStyle w:val="subsection"/>
      </w:pPr>
      <w:bookmarkStart w:id="6" w:name="_Hlk142575440"/>
      <w:bookmarkStart w:id="7" w:name="_Hlk142658105"/>
      <w:r w:rsidRPr="006F79D6">
        <w:tab/>
      </w:r>
      <w:bookmarkStart w:id="8" w:name="_Hlk142658059"/>
      <w:r w:rsidR="00FB2295" w:rsidRPr="006F79D6">
        <w:t>(</w:t>
      </w:r>
      <w:r w:rsidR="00437B26" w:rsidRPr="006F79D6">
        <w:t>4</w:t>
      </w:r>
      <w:r w:rsidR="00FB2295" w:rsidRPr="006F79D6">
        <w:t>)</w:t>
      </w:r>
      <w:r w:rsidR="00FB2295" w:rsidRPr="006F79D6">
        <w:tab/>
      </w:r>
      <w:bookmarkEnd w:id="6"/>
      <w:r w:rsidR="003E778F" w:rsidRPr="006F79D6">
        <w:t xml:space="preserve">For the purposes of paragraph 55A(4)(b) and subsection 55A(5) of the Act, in a periodic investment report </w:t>
      </w:r>
      <w:r w:rsidR="00B45132" w:rsidRPr="006F79D6">
        <w:t xml:space="preserve">for a reporting day </w:t>
      </w:r>
      <w:r w:rsidR="003E778F" w:rsidRPr="006F79D6">
        <w:t>the Board must:</w:t>
      </w:r>
    </w:p>
    <w:p w14:paraId="223DFCE9" w14:textId="77777777" w:rsidR="003E778F" w:rsidRPr="006F79D6" w:rsidRDefault="003E778F" w:rsidP="003E778F">
      <w:pPr>
        <w:pStyle w:val="paragraph"/>
      </w:pPr>
      <w:r w:rsidRPr="006F79D6">
        <w:tab/>
        <w:t>(a)</w:t>
      </w:r>
      <w:r w:rsidRPr="006F79D6">
        <w:tab/>
        <w:t xml:space="preserve">include </w:t>
      </w:r>
      <w:bookmarkStart w:id="9" w:name="_Hlk143097387"/>
      <w:r w:rsidRPr="006F79D6">
        <w:t xml:space="preserve">information relating to investments held by, or on behalf of, the Board, for each fund that is referred to in </w:t>
      </w:r>
      <w:r w:rsidR="0010564E" w:rsidRPr="006F79D6">
        <w:t>section 8</w:t>
      </w:r>
      <w:r w:rsidRPr="006F79D6">
        <w:t>1 of the Act at the end of the reporting day</w:t>
      </w:r>
      <w:bookmarkEnd w:id="9"/>
      <w:r w:rsidRPr="006F79D6">
        <w:t>; and</w:t>
      </w:r>
      <w:bookmarkEnd w:id="8"/>
      <w:bookmarkEnd w:id="7"/>
    </w:p>
    <w:p w14:paraId="3F1C3A28" w14:textId="77777777" w:rsidR="00147037" w:rsidRPr="006F79D6" w:rsidRDefault="003E778F" w:rsidP="003E778F">
      <w:pPr>
        <w:pStyle w:val="paragraph"/>
      </w:pPr>
      <w:r w:rsidRPr="006F79D6">
        <w:tab/>
        <w:t>(</w:t>
      </w:r>
      <w:r w:rsidR="00B45132" w:rsidRPr="006F79D6">
        <w:t>b</w:t>
      </w:r>
      <w:r w:rsidRPr="006F79D6">
        <w:t>)</w:t>
      </w:r>
      <w:r w:rsidRPr="006F79D6">
        <w:tab/>
      </w:r>
      <w:r w:rsidR="00112CE9" w:rsidRPr="006F79D6">
        <w:t xml:space="preserve">set out </w:t>
      </w:r>
      <w:r w:rsidR="00147037" w:rsidRPr="006F79D6">
        <w:t xml:space="preserve">the information </w:t>
      </w:r>
      <w:r w:rsidR="00760136" w:rsidRPr="006F79D6">
        <w:t>relating to</w:t>
      </w:r>
      <w:r w:rsidR="00147037" w:rsidRPr="006F79D6">
        <w:t xml:space="preserve"> </w:t>
      </w:r>
      <w:r w:rsidR="007C212A" w:rsidRPr="006F79D6">
        <w:t>the investments</w:t>
      </w:r>
      <w:r w:rsidR="00760136" w:rsidRPr="006F79D6">
        <w:t xml:space="preserve"> </w:t>
      </w:r>
      <w:r w:rsidR="006F4C61" w:rsidRPr="006F79D6">
        <w:t xml:space="preserve">separately for </w:t>
      </w:r>
      <w:r w:rsidR="00604AD1" w:rsidRPr="006F79D6">
        <w:t>each</w:t>
      </w:r>
      <w:r w:rsidR="00B45132" w:rsidRPr="006F79D6">
        <w:t xml:space="preserve"> </w:t>
      </w:r>
      <w:r w:rsidR="00604AD1" w:rsidRPr="006F79D6">
        <w:t xml:space="preserve">fund </w:t>
      </w:r>
      <w:r w:rsidR="00147037" w:rsidRPr="006F79D6">
        <w:t>in a way that:</w:t>
      </w:r>
    </w:p>
    <w:p w14:paraId="38EFEBA5" w14:textId="77777777" w:rsidR="00147037" w:rsidRPr="006F79D6" w:rsidRDefault="00147037" w:rsidP="003E778F">
      <w:pPr>
        <w:pStyle w:val="paragraphsub"/>
      </w:pPr>
      <w:r w:rsidRPr="006F79D6">
        <w:tab/>
        <w:t>(</w:t>
      </w:r>
      <w:r w:rsidR="003E778F" w:rsidRPr="006F79D6">
        <w:t>i</w:t>
      </w:r>
      <w:r w:rsidRPr="006F79D6">
        <w:t>)</w:t>
      </w:r>
      <w:r w:rsidRPr="006F79D6">
        <w:tab/>
        <w:t xml:space="preserve">is consistent with the tables in </w:t>
      </w:r>
      <w:r w:rsidR="000E7084" w:rsidRPr="006F79D6">
        <w:t>Schedule 1</w:t>
      </w:r>
      <w:r w:rsidRPr="006F79D6">
        <w:t xml:space="preserve"> to these R</w:t>
      </w:r>
      <w:r w:rsidR="00841FE3" w:rsidRPr="006F79D6">
        <w:t>ules</w:t>
      </w:r>
      <w:r w:rsidRPr="006F79D6">
        <w:t>; and</w:t>
      </w:r>
    </w:p>
    <w:p w14:paraId="672FEDFC" w14:textId="77777777" w:rsidR="00147037" w:rsidRPr="006F79D6" w:rsidRDefault="00147037" w:rsidP="003E778F">
      <w:pPr>
        <w:pStyle w:val="paragraphsub"/>
      </w:pPr>
      <w:r w:rsidRPr="006F79D6">
        <w:tab/>
        <w:t>(</w:t>
      </w:r>
      <w:r w:rsidR="003E778F" w:rsidRPr="006F79D6">
        <w:t>ii</w:t>
      </w:r>
      <w:r w:rsidRPr="006F79D6">
        <w:t>)</w:t>
      </w:r>
      <w:r w:rsidRPr="006F79D6">
        <w:tab/>
        <w:t>is easily downloadable and readable; and</w:t>
      </w:r>
    </w:p>
    <w:p w14:paraId="34C9BC9B" w14:textId="77777777" w:rsidR="007C212A" w:rsidRPr="006F79D6" w:rsidRDefault="00147037" w:rsidP="003E778F">
      <w:pPr>
        <w:pStyle w:val="paragraphsub"/>
      </w:pPr>
      <w:r w:rsidRPr="006F79D6">
        <w:tab/>
        <w:t>(</w:t>
      </w:r>
      <w:r w:rsidR="003E778F" w:rsidRPr="006F79D6">
        <w:t>iii</w:t>
      </w:r>
      <w:r w:rsidRPr="006F79D6">
        <w:t>)</w:t>
      </w:r>
      <w:r w:rsidRPr="006F79D6">
        <w:tab/>
        <w:t>is in one or more formats, with at least one of those formats being a delimited file format</w:t>
      </w:r>
      <w:r w:rsidR="006F4C61" w:rsidRPr="006F79D6">
        <w:t>.</w:t>
      </w:r>
    </w:p>
    <w:p w14:paraId="3A555AE7" w14:textId="77777777" w:rsidR="00147037" w:rsidRPr="006F79D6" w:rsidRDefault="00147037" w:rsidP="00147037">
      <w:pPr>
        <w:pStyle w:val="subsection"/>
      </w:pPr>
      <w:r w:rsidRPr="006F79D6">
        <w:tab/>
      </w:r>
      <w:r w:rsidR="00437B26" w:rsidRPr="006F79D6">
        <w:t>(</w:t>
      </w:r>
      <w:r w:rsidR="00B45132" w:rsidRPr="006F79D6">
        <w:t>5</w:t>
      </w:r>
      <w:r w:rsidRPr="006F79D6">
        <w:t>)</w:t>
      </w:r>
      <w:r w:rsidRPr="006F79D6">
        <w:tab/>
        <w:t xml:space="preserve">For the purposes of </w:t>
      </w:r>
      <w:r w:rsidR="004A184E" w:rsidRPr="006F79D6">
        <w:t>paragraph (</w:t>
      </w:r>
      <w:r w:rsidR="00B45132" w:rsidRPr="006F79D6">
        <w:t>4</w:t>
      </w:r>
      <w:r w:rsidRPr="006F79D6">
        <w:t>)(</w:t>
      </w:r>
      <w:r w:rsidR="00B45132" w:rsidRPr="006F79D6">
        <w:t>b</w:t>
      </w:r>
      <w:r w:rsidRPr="006F79D6">
        <w:t>)</w:t>
      </w:r>
      <w:r w:rsidR="00887738" w:rsidRPr="006F79D6">
        <w:t xml:space="preserve"> of this </w:t>
      </w:r>
      <w:r w:rsidR="00F93253" w:rsidRPr="006F79D6">
        <w:t>section</w:t>
      </w:r>
      <w:r w:rsidRPr="006F79D6">
        <w:t xml:space="preserve">, when </w:t>
      </w:r>
      <w:r w:rsidR="00750112" w:rsidRPr="006F79D6">
        <w:t>setting out</w:t>
      </w:r>
      <w:r w:rsidRPr="006F79D6">
        <w:t xml:space="preserve"> the information </w:t>
      </w:r>
      <w:r w:rsidR="00760136" w:rsidRPr="006F79D6">
        <w:t>relating to</w:t>
      </w:r>
      <w:r w:rsidRPr="006F79D6">
        <w:t xml:space="preserve"> a</w:t>
      </w:r>
      <w:r w:rsidR="00DB04DC" w:rsidRPr="006F79D6">
        <w:t xml:space="preserve"> kind of</w:t>
      </w:r>
      <w:r w:rsidRPr="006F79D6">
        <w:t xml:space="preserve"> investment in a way that is consistent with the tables in </w:t>
      </w:r>
      <w:r w:rsidR="000E7084" w:rsidRPr="006F79D6">
        <w:t>Schedule 1</w:t>
      </w:r>
      <w:r w:rsidR="00841FE3" w:rsidRPr="006F79D6">
        <w:t>,</w:t>
      </w:r>
      <w:r w:rsidRPr="006F79D6">
        <w:t xml:space="preserve"> the tables used for th</w:t>
      </w:r>
      <w:r w:rsidR="00DB04DC" w:rsidRPr="006F79D6">
        <w:t>at kind of</w:t>
      </w:r>
      <w:r w:rsidRPr="006F79D6">
        <w:t xml:space="preserve"> investment</w:t>
      </w:r>
      <w:r w:rsidR="0024548E" w:rsidRPr="006F79D6">
        <w:t xml:space="preserve"> </w:t>
      </w:r>
      <w:r w:rsidRPr="006F79D6">
        <w:t>may have a different number of rows or columns from those in the tables in that Schedule.</w:t>
      </w:r>
    </w:p>
    <w:p w14:paraId="778D2C87" w14:textId="77777777" w:rsidR="00147037" w:rsidRPr="006F79D6" w:rsidRDefault="00147037" w:rsidP="00147037">
      <w:pPr>
        <w:pStyle w:val="subsection"/>
      </w:pPr>
      <w:r w:rsidRPr="006F79D6">
        <w:tab/>
        <w:t>(</w:t>
      </w:r>
      <w:r w:rsidR="00B45132" w:rsidRPr="006F79D6">
        <w:t>6</w:t>
      </w:r>
      <w:r w:rsidRPr="006F79D6">
        <w:t>)</w:t>
      </w:r>
      <w:r w:rsidRPr="006F79D6">
        <w:tab/>
      </w:r>
      <w:r w:rsidR="005A2864" w:rsidRPr="006F79D6">
        <w:t>Paragraph (4)(b)</w:t>
      </w:r>
      <w:r w:rsidR="00887738" w:rsidRPr="006F79D6">
        <w:t xml:space="preserve"> of this </w:t>
      </w:r>
      <w:r w:rsidR="00F93253" w:rsidRPr="006F79D6">
        <w:t>section</w:t>
      </w:r>
      <w:r w:rsidRPr="006F79D6">
        <w:t xml:space="preserve"> does not prevent the information </w:t>
      </w:r>
      <w:r w:rsidR="00760136" w:rsidRPr="006F79D6">
        <w:t>relating to</w:t>
      </w:r>
      <w:r w:rsidRPr="006F79D6">
        <w:t xml:space="preserve"> </w:t>
      </w:r>
      <w:r w:rsidR="00DB04DC" w:rsidRPr="006F79D6">
        <w:t>a kind of investment</w:t>
      </w:r>
      <w:r w:rsidR="00760136" w:rsidRPr="006F79D6">
        <w:t xml:space="preserve"> </w:t>
      </w:r>
      <w:r w:rsidRPr="006F79D6">
        <w:t>from being expressed in a table that:</w:t>
      </w:r>
    </w:p>
    <w:p w14:paraId="7DF2245C" w14:textId="77777777" w:rsidR="00147037" w:rsidRPr="006F79D6" w:rsidRDefault="00147037" w:rsidP="00147037">
      <w:pPr>
        <w:pStyle w:val="paragraph"/>
      </w:pPr>
      <w:r w:rsidRPr="006F79D6">
        <w:tab/>
        <w:t>(a)</w:t>
      </w:r>
      <w:r w:rsidRPr="006F79D6">
        <w:tab/>
        <w:t xml:space="preserve">deals only with </w:t>
      </w:r>
      <w:r w:rsidR="00DB04DC" w:rsidRPr="006F79D6">
        <w:t>that kind of investmen</w:t>
      </w:r>
      <w:r w:rsidR="0024548E" w:rsidRPr="006F79D6">
        <w:t>t</w:t>
      </w:r>
      <w:r w:rsidRPr="006F79D6">
        <w:t>; and</w:t>
      </w:r>
    </w:p>
    <w:p w14:paraId="4D69DE39" w14:textId="77777777" w:rsidR="00147037" w:rsidRPr="006F79D6" w:rsidRDefault="00147037" w:rsidP="00147037">
      <w:pPr>
        <w:pStyle w:val="paragraph"/>
      </w:pPr>
      <w:r w:rsidRPr="006F79D6">
        <w:tab/>
        <w:t>(b)</w:t>
      </w:r>
      <w:r w:rsidRPr="006F79D6">
        <w:tab/>
        <w:t>makes use of one or more subsidiary tables;</w:t>
      </w:r>
    </w:p>
    <w:p w14:paraId="717F13D6" w14:textId="77777777" w:rsidR="00147037" w:rsidRPr="006F79D6" w:rsidRDefault="00147037" w:rsidP="00147037">
      <w:pPr>
        <w:pStyle w:val="subsection2"/>
      </w:pPr>
      <w:r w:rsidRPr="006F79D6">
        <w:t xml:space="preserve">if all of the information referred to in </w:t>
      </w:r>
      <w:r w:rsidR="000E7084" w:rsidRPr="006F79D6">
        <w:t>Schedule 1</w:t>
      </w:r>
      <w:r w:rsidRPr="006F79D6">
        <w:t xml:space="preserve"> is readily accessible from that combination of tables.</w:t>
      </w:r>
    </w:p>
    <w:p w14:paraId="3328DE7F" w14:textId="77777777" w:rsidR="003418DC" w:rsidRPr="006F79D6" w:rsidRDefault="003418DC" w:rsidP="003418DC">
      <w:pPr>
        <w:pStyle w:val="subsection"/>
      </w:pPr>
      <w:r w:rsidRPr="006F79D6">
        <w:tab/>
        <w:t>(</w:t>
      </w:r>
      <w:r w:rsidR="00B45132" w:rsidRPr="006F79D6">
        <w:t>7</w:t>
      </w:r>
      <w:r w:rsidRPr="006F79D6">
        <w:t>)</w:t>
      </w:r>
      <w:r w:rsidRPr="006F79D6">
        <w:tab/>
        <w:t xml:space="preserve">For the purposes of </w:t>
      </w:r>
      <w:r w:rsidR="00A72B47" w:rsidRPr="006F79D6">
        <w:t>subsection 5</w:t>
      </w:r>
      <w:r w:rsidRPr="006F79D6">
        <w:t>5A(6) of the Act, each of the following</w:t>
      </w:r>
      <w:r w:rsidR="00760136" w:rsidRPr="006F79D6">
        <w:t xml:space="preserve"> that occurs on or after the commencement of this section</w:t>
      </w:r>
      <w:r w:rsidRPr="006F79D6">
        <w:t xml:space="preserve"> </w:t>
      </w:r>
      <w:r w:rsidR="00AB1FB3" w:rsidRPr="006F79D6">
        <w:t xml:space="preserve">is a reporting </w:t>
      </w:r>
      <w:r w:rsidR="00A52F42" w:rsidRPr="006F79D6">
        <w:t xml:space="preserve">day </w:t>
      </w:r>
      <w:r w:rsidR="00AB1FB3" w:rsidRPr="006F79D6">
        <w:t>referred to in that subsection:</w:t>
      </w:r>
    </w:p>
    <w:p w14:paraId="41EC7B63" w14:textId="77777777" w:rsidR="00AB1FB3" w:rsidRPr="006F79D6" w:rsidRDefault="00AB1FB3" w:rsidP="00AB1FB3">
      <w:pPr>
        <w:pStyle w:val="paragraph"/>
      </w:pPr>
      <w:r w:rsidRPr="006F79D6">
        <w:tab/>
        <w:t>(a)</w:t>
      </w:r>
      <w:r w:rsidRPr="006F79D6">
        <w:tab/>
      </w:r>
      <w:r w:rsidR="00770AC6" w:rsidRPr="006F79D6">
        <w:t>30 June each year;</w:t>
      </w:r>
    </w:p>
    <w:p w14:paraId="28466938" w14:textId="77777777" w:rsidR="00A52F42" w:rsidRPr="006F79D6" w:rsidRDefault="00AB1FB3" w:rsidP="00AB1FB3">
      <w:pPr>
        <w:pStyle w:val="paragraph"/>
      </w:pPr>
      <w:r w:rsidRPr="006F79D6">
        <w:tab/>
        <w:t>(b)</w:t>
      </w:r>
      <w:r w:rsidRPr="006F79D6">
        <w:tab/>
      </w:r>
      <w:r w:rsidR="00770AC6" w:rsidRPr="006F79D6">
        <w:t>31 December each year</w:t>
      </w:r>
      <w:r w:rsidR="00760136" w:rsidRPr="006F79D6">
        <w:t>.</w:t>
      </w:r>
    </w:p>
    <w:p w14:paraId="303F6488" w14:textId="77777777" w:rsidR="0098577D" w:rsidRPr="006F79D6" w:rsidRDefault="0098577D" w:rsidP="00A72B47">
      <w:pPr>
        <w:sectPr w:rsidR="0098577D" w:rsidRPr="006F79D6" w:rsidSect="00353E2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0" w:name="OPCSB_BodyPrincipleA4"/>
    </w:p>
    <w:p w14:paraId="0B00916C" w14:textId="77777777" w:rsidR="00DB04DC" w:rsidRPr="006F79D6" w:rsidRDefault="000E7084" w:rsidP="00DB04DC">
      <w:pPr>
        <w:pStyle w:val="ActHead1"/>
        <w:pageBreakBefore/>
      </w:pPr>
      <w:bookmarkStart w:id="11" w:name="_Toc88207057"/>
      <w:bookmarkEnd w:id="10"/>
      <w:r w:rsidRPr="002A1F47">
        <w:rPr>
          <w:rStyle w:val="CharChapNo"/>
        </w:rPr>
        <w:lastRenderedPageBreak/>
        <w:t>Schedule 1</w:t>
      </w:r>
      <w:r w:rsidR="00DB04DC" w:rsidRPr="006F79D6">
        <w:t>—</w:t>
      </w:r>
      <w:r w:rsidR="00DB04DC" w:rsidRPr="002A1F47">
        <w:rPr>
          <w:rStyle w:val="CharChapText"/>
        </w:rPr>
        <w:t xml:space="preserve">Tables for </w:t>
      </w:r>
      <w:r w:rsidR="00195DCF" w:rsidRPr="002A1F47">
        <w:rPr>
          <w:rStyle w:val="CharChapText"/>
        </w:rPr>
        <w:t>periodic investment reporting</w:t>
      </w:r>
      <w:bookmarkEnd w:id="11"/>
    </w:p>
    <w:p w14:paraId="2FD791CF" w14:textId="77777777" w:rsidR="0010564E" w:rsidRPr="006F79D6" w:rsidRDefault="0010564E" w:rsidP="0010564E">
      <w:pPr>
        <w:pStyle w:val="notemargin"/>
      </w:pPr>
      <w:r w:rsidRPr="006F79D6">
        <w:t>Note:</w:t>
      </w:r>
      <w:r w:rsidRPr="006F79D6">
        <w:tab/>
        <w:t>See subsection 5(4).</w:t>
      </w:r>
    </w:p>
    <w:p w14:paraId="7C01872A" w14:textId="77777777" w:rsidR="00254C42" w:rsidRPr="002A1F47" w:rsidRDefault="00254C42" w:rsidP="00254C42">
      <w:pPr>
        <w:pStyle w:val="Header"/>
      </w:pPr>
      <w:r w:rsidRPr="002A1F47">
        <w:rPr>
          <w:rStyle w:val="CharPartNo"/>
        </w:rPr>
        <w:t xml:space="preserve"> </w:t>
      </w:r>
      <w:r w:rsidRPr="002A1F47">
        <w:rPr>
          <w:rStyle w:val="CharPartText"/>
        </w:rPr>
        <w:t xml:space="preserve"> </w:t>
      </w:r>
    </w:p>
    <w:p w14:paraId="61AB55B6" w14:textId="77777777" w:rsidR="0010564E" w:rsidRPr="002A1F47" w:rsidRDefault="0010564E" w:rsidP="00254C42">
      <w:pPr>
        <w:pStyle w:val="Header"/>
      </w:pPr>
      <w:r w:rsidRPr="002A1F47">
        <w:rPr>
          <w:rStyle w:val="CharDivNo"/>
        </w:rPr>
        <w:t xml:space="preserve"> </w:t>
      </w:r>
      <w:r w:rsidRPr="002A1F47">
        <w:rPr>
          <w:rStyle w:val="CharDivText"/>
        </w:rPr>
        <w:t xml:space="preserve"> </w:t>
      </w:r>
    </w:p>
    <w:p w14:paraId="0503FFE9" w14:textId="77777777" w:rsidR="000F6563" w:rsidRPr="006F79D6" w:rsidRDefault="000F6563" w:rsidP="000F6563">
      <w:pPr>
        <w:pStyle w:val="ActHead5"/>
      </w:pPr>
      <w:bookmarkStart w:id="12" w:name="_Toc88207058"/>
      <w:r w:rsidRPr="002A1F47">
        <w:rPr>
          <w:rStyle w:val="CharSectno"/>
        </w:rPr>
        <w:t>1</w:t>
      </w:r>
      <w:r w:rsidRPr="006F79D6">
        <w:t xml:space="preserve">  Table 1—Investments other than derivatives</w:t>
      </w:r>
      <w:bookmarkEnd w:id="12"/>
    </w:p>
    <w:p w14:paraId="057D4A7D" w14:textId="77777777" w:rsidR="000F6563" w:rsidRPr="006F79D6" w:rsidRDefault="000F6563" w:rsidP="000F6563">
      <w:pPr>
        <w:pStyle w:val="Tabletext"/>
      </w:pPr>
    </w:p>
    <w:tbl>
      <w:tblPr>
        <w:tblW w:w="837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512"/>
        <w:gridCol w:w="1565"/>
        <w:gridCol w:w="1417"/>
        <w:gridCol w:w="142"/>
        <w:gridCol w:w="1425"/>
      </w:tblGrid>
      <w:tr w:rsidR="006F79D6" w:rsidRPr="006F79D6" w14:paraId="094FE28E" w14:textId="77777777" w:rsidTr="00DD03E2"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63C5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bookmarkStart w:id="13" w:name="_Hlk86229187"/>
            <w:r w:rsidRPr="006F79D6">
              <w:rPr>
                <w:b/>
                <w:bCs/>
                <w:sz w:val="16"/>
                <w:szCs w:val="16"/>
              </w:rPr>
              <w:t>Portfolio Holdings Information</w:t>
            </w:r>
            <w:r w:rsidR="006F4C61" w:rsidRPr="006F79D6">
              <w:rPr>
                <w:b/>
                <w:bCs/>
                <w:sz w:val="16"/>
                <w:szCs w:val="16"/>
              </w:rPr>
              <w:t xml:space="preserve"> for [</w:t>
            </w:r>
            <w:r w:rsidR="006F4C61" w:rsidRPr="006F79D6">
              <w:rPr>
                <w:b/>
                <w:bCs/>
                <w:i/>
                <w:sz w:val="16"/>
                <w:szCs w:val="16"/>
              </w:rPr>
              <w:t>Name of Fund</w:t>
            </w:r>
            <w:r w:rsidR="006F4C61" w:rsidRPr="006F79D6">
              <w:rPr>
                <w:b/>
                <w:bCs/>
                <w:sz w:val="16"/>
                <w:szCs w:val="16"/>
              </w:rPr>
              <w:t>]</w:t>
            </w:r>
            <w:r w:rsidRPr="006F79D6">
              <w:rPr>
                <w:b/>
                <w:bCs/>
                <w:sz w:val="16"/>
                <w:szCs w:val="16"/>
              </w:rPr>
              <w:t>—Investments other than derivatives</w:t>
            </w:r>
          </w:p>
        </w:tc>
        <w:tc>
          <w:tcPr>
            <w:tcW w:w="298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458C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Summary</w:t>
            </w:r>
          </w:p>
        </w:tc>
      </w:tr>
      <w:tr w:rsidR="006F79D6" w:rsidRPr="006F79D6" w14:paraId="1C346795" w14:textId="77777777" w:rsidTr="00DD03E2"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1B2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bookmarkStart w:id="14" w:name="_Hlk86156619"/>
            <w:r w:rsidRPr="006F79D6">
              <w:rPr>
                <w:b/>
                <w:sz w:val="16"/>
                <w:szCs w:val="16"/>
              </w:rPr>
              <w:t>Cash</w:t>
            </w:r>
          </w:p>
        </w:tc>
        <w:tc>
          <w:tcPr>
            <w:tcW w:w="2984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AE02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79D6" w:rsidRPr="006F79D6" w14:paraId="3C168E7E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8557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 of Institution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15A6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Currency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603D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Value (AUD)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E351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Weighting (%)</w:t>
            </w:r>
          </w:p>
        </w:tc>
      </w:tr>
      <w:tr w:rsidR="006F79D6" w:rsidRPr="006F79D6" w14:paraId="552359A3" w14:textId="77777777" w:rsidTr="00DD03E2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3930" w14:textId="77777777" w:rsidR="000F6563" w:rsidRPr="006F79D6" w:rsidRDefault="000F6563" w:rsidP="000F6563">
            <w:pPr>
              <w:rPr>
                <w:bCs/>
                <w:i/>
                <w:iCs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>Individual investment names not required to be disclosed.</w:t>
            </w:r>
          </w:p>
          <w:p w14:paraId="6E4FAFDD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>Only disclose the name of the relevant institution for the investment.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B1CB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>Values and weighting for individual investments not disclosed. Only disclose total values and weighting for the investment aggregated by the institution.</w:t>
            </w:r>
          </w:p>
        </w:tc>
      </w:tr>
      <w:tr w:rsidR="006F79D6" w:rsidRPr="006F79D6" w14:paraId="5CEAA6B9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B874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1CBF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6356BDD4" w14:textId="77777777" w:rsidTr="00DD03E2">
        <w:trPr>
          <w:trHeight w:val="322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F12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Fixed Income</w:t>
            </w:r>
          </w:p>
          <w:p w14:paraId="0BD25F3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209C09CA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Internally managed</w:t>
            </w:r>
          </w:p>
        </w:tc>
        <w:tc>
          <w:tcPr>
            <w:tcW w:w="2984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5C6F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1AF56B82" w14:textId="77777777" w:rsidTr="00DD03E2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4E00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 of Issuer / Counterparty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23A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91DC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43290B24" w14:textId="77777777" w:rsidTr="00DD03E2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11BF" w14:textId="77777777" w:rsidR="000F6563" w:rsidRPr="006F79D6" w:rsidRDefault="000F6563" w:rsidP="000F6563">
            <w:pPr>
              <w:rPr>
                <w:bCs/>
                <w:i/>
                <w:iCs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>Individual investment names not required to be disclosed.</w:t>
            </w:r>
          </w:p>
          <w:p w14:paraId="6CF7BD14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>Only disclose the name of the issuer / counterparty for the investment.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894B" w14:textId="77777777" w:rsidR="000F6563" w:rsidRPr="006F79D6" w:rsidRDefault="000F6563" w:rsidP="000F6563">
            <w:pPr>
              <w:rPr>
                <w:i/>
                <w:iCs/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>Values and weighting for individual investments not disclosed. Only disclose total values and weighting aggregated by the issuer or counterparty of the investment.</w:t>
            </w:r>
          </w:p>
        </w:tc>
      </w:tr>
      <w:tr w:rsidR="006F79D6" w:rsidRPr="006F79D6" w14:paraId="0587E143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3886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3B5A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36BF5BC6" w14:textId="77777777" w:rsidTr="00DD03E2">
        <w:trPr>
          <w:trHeight w:val="322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7A97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Fixed Income</w:t>
            </w:r>
          </w:p>
          <w:p w14:paraId="5A40D5FC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Investment in non</w:t>
            </w:r>
            <w:r w:rsidR="006F79D6" w:rsidRPr="006F79D6">
              <w:rPr>
                <w:b/>
                <w:sz w:val="16"/>
                <w:szCs w:val="16"/>
              </w:rPr>
              <w:noBreakHyphen/>
            </w:r>
            <w:r w:rsidRPr="006F79D6">
              <w:rPr>
                <w:b/>
                <w:sz w:val="16"/>
                <w:szCs w:val="16"/>
              </w:rPr>
              <w:t>associated entities;</w:t>
            </w:r>
          </w:p>
          <w:p w14:paraId="045E0A4E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26BDF913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Externally managed</w:t>
            </w:r>
          </w:p>
        </w:tc>
        <w:tc>
          <w:tcPr>
            <w:tcW w:w="2984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2438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6262FF4C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963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 xml:space="preserve">Name of </w:t>
            </w:r>
            <w:r w:rsidR="00195DCF" w:rsidRPr="006F79D6">
              <w:rPr>
                <w:b/>
                <w:bCs/>
                <w:sz w:val="16"/>
                <w:szCs w:val="16"/>
              </w:rPr>
              <w:t xml:space="preserve">Investment </w:t>
            </w:r>
            <w:r w:rsidRPr="006F79D6">
              <w:rPr>
                <w:b/>
                <w:bCs/>
                <w:sz w:val="16"/>
                <w:szCs w:val="16"/>
              </w:rPr>
              <w:t>Manager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B8C7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A87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3ECB524F" w14:textId="77777777" w:rsidTr="00DD03E2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029F" w14:textId="77777777" w:rsidR="000F6563" w:rsidRPr="006F79D6" w:rsidRDefault="000F6563" w:rsidP="000F6563">
            <w:pPr>
              <w:rPr>
                <w:bCs/>
                <w:i/>
                <w:iCs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>Individual investment names not required to be disclosed.</w:t>
            </w:r>
          </w:p>
          <w:p w14:paraId="2816327A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 xml:space="preserve">Only disclose the name of the </w:t>
            </w:r>
            <w:r w:rsidR="00195DCF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 xml:space="preserve"> manager responsible for managing the investment.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4C4E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 xml:space="preserve">Values and weightings for individual investments not disclosed. Only disclose total values and weighting aggregated by the </w:t>
            </w:r>
            <w:r w:rsidR="00195DCF" w:rsidRPr="006F79D6">
              <w:rPr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i/>
                <w:iCs/>
                <w:sz w:val="16"/>
                <w:szCs w:val="16"/>
              </w:rPr>
              <w:t xml:space="preserve"> manager responsible for managing the investment.</w:t>
            </w:r>
          </w:p>
        </w:tc>
      </w:tr>
      <w:tr w:rsidR="006F79D6" w:rsidRPr="006F79D6" w14:paraId="6FA3A9E8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71D9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60CF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3CCD6DB1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18C6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Listed Equity</w:t>
            </w:r>
          </w:p>
        </w:tc>
        <w:tc>
          <w:tcPr>
            <w:tcW w:w="2984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488F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1C640EA7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EDAD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DF8A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Security Identifier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74DE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Units held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4A49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79A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27B32471" w14:textId="77777777" w:rsidTr="00DD03E2"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D098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592C57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406C644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158A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2C45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04AE3F69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C09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5963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539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6E8E7082" w14:textId="77777777" w:rsidTr="00DD03E2">
        <w:trPr>
          <w:trHeight w:val="222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5F5C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Equity</w:t>
            </w:r>
          </w:p>
          <w:p w14:paraId="012E1974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60932020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532E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CBB3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06150DBB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2D4D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C966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% Ownership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338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D9D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6000154A" w14:textId="77777777" w:rsidTr="00DD03E2"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7A80" w14:textId="77777777" w:rsidR="000F6563" w:rsidRPr="006F79D6" w:rsidRDefault="000F6563" w:rsidP="000F6563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469DA" w14:textId="77777777" w:rsidR="000F6563" w:rsidRPr="006F79D6" w:rsidRDefault="000F6563" w:rsidP="000F6563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92A8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>Values and weighting for individual investments not disclosed. Only disclose total value and weighting.</w:t>
            </w:r>
          </w:p>
        </w:tc>
      </w:tr>
      <w:tr w:rsidR="006F79D6" w:rsidRPr="006F79D6" w14:paraId="019D7088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A50D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D684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43E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1A31F9C0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C2F0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Equity</w:t>
            </w:r>
          </w:p>
          <w:p w14:paraId="6F2D2722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Investment in non</w:t>
            </w:r>
            <w:r w:rsidR="006F79D6" w:rsidRPr="006F79D6">
              <w:rPr>
                <w:b/>
                <w:sz w:val="16"/>
                <w:szCs w:val="16"/>
              </w:rPr>
              <w:noBreakHyphen/>
            </w:r>
            <w:r w:rsidRPr="006F79D6">
              <w:rPr>
                <w:b/>
                <w:sz w:val="16"/>
                <w:szCs w:val="16"/>
              </w:rPr>
              <w:t>associated entities;</w:t>
            </w:r>
          </w:p>
          <w:p w14:paraId="324346AA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59FABB00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Externally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E7A3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1CA0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11E102FA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FA2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 xml:space="preserve">Name of </w:t>
            </w:r>
            <w:r w:rsidR="00195DCF" w:rsidRPr="006F79D6">
              <w:rPr>
                <w:b/>
                <w:bCs/>
                <w:sz w:val="16"/>
                <w:szCs w:val="16"/>
              </w:rPr>
              <w:t>Investment</w:t>
            </w:r>
            <w:r w:rsidRPr="006F79D6">
              <w:rPr>
                <w:b/>
                <w:bCs/>
                <w:sz w:val="16"/>
                <w:szCs w:val="16"/>
              </w:rPr>
              <w:t xml:space="preserve"> Manager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042D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2F0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1B02134F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E5B9" w14:textId="77777777" w:rsidR="000F6563" w:rsidRPr="006F79D6" w:rsidRDefault="000F6563" w:rsidP="000F6563">
            <w:pPr>
              <w:tabs>
                <w:tab w:val="center" w:pos="1322"/>
              </w:tabs>
              <w:rPr>
                <w:bCs/>
                <w:i/>
                <w:iCs/>
                <w:sz w:val="16"/>
                <w:szCs w:val="16"/>
              </w:rPr>
            </w:pPr>
            <w:bookmarkStart w:id="15" w:name="_Hlk86393580"/>
            <w:r w:rsidRPr="006F79D6">
              <w:rPr>
                <w:bCs/>
                <w:i/>
                <w:iCs/>
                <w:sz w:val="16"/>
                <w:szCs w:val="16"/>
              </w:rPr>
              <w:t>Individual investment names not required to be disclosed.</w:t>
            </w:r>
          </w:p>
          <w:p w14:paraId="14E8A6D4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 xml:space="preserve">Only disclose the name of the </w:t>
            </w:r>
            <w:r w:rsidR="00195DCF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 xml:space="preserve"> manager responsible for managing the investment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C478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 xml:space="preserve">Values and weightings for individual investments not disclosed. Only disclose total values and weighting aggregated by the </w:t>
            </w:r>
            <w:r w:rsidR="00195DCF" w:rsidRPr="006F79D6">
              <w:rPr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i/>
                <w:iCs/>
                <w:sz w:val="16"/>
                <w:szCs w:val="16"/>
              </w:rPr>
              <w:t xml:space="preserve"> manager responsible for managing the investments.</w:t>
            </w:r>
          </w:p>
        </w:tc>
      </w:tr>
      <w:bookmarkEnd w:id="15"/>
      <w:tr w:rsidR="006F79D6" w:rsidRPr="006F79D6" w14:paraId="1643963D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6FFA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9F1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03F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51B331AA" w14:textId="77777777" w:rsidTr="00DD03E2"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6509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Listed Property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D54F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2159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</w:p>
        </w:tc>
      </w:tr>
      <w:tr w:rsidR="006F79D6" w:rsidRPr="006F79D6" w14:paraId="1BC21AAF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3AE5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51DD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Security Identifier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499F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Units held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5DC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C533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04380ED6" w14:textId="77777777" w:rsidTr="00DD03E2"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6772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3B38E9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031AD6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6107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28DB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1ECEF209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E0D6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5B51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09B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A2C6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51F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6E9289CA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13AC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Property</w:t>
            </w:r>
          </w:p>
          <w:p w14:paraId="10875D24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340CF5A3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3399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5611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3D207673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EC65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8249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E8B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% of property held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5ED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4387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5988A70A" w14:textId="77777777" w:rsidTr="00DD03E2"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DC8A" w14:textId="77777777" w:rsidR="000F6563" w:rsidRPr="006F79D6" w:rsidDel="009662CB" w:rsidRDefault="000F6563" w:rsidP="000F6563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556DE7" w14:textId="77777777" w:rsidR="000F6563" w:rsidRPr="006F79D6" w:rsidRDefault="000F6563" w:rsidP="000F656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66139B" w14:textId="77777777" w:rsidR="000F6563" w:rsidRPr="006F79D6" w:rsidRDefault="000F6563" w:rsidP="000F656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EF3C" w14:textId="77777777" w:rsidR="000F6563" w:rsidRPr="006F79D6" w:rsidRDefault="000F6563" w:rsidP="000F6563">
            <w:pPr>
              <w:rPr>
                <w:i/>
                <w:iCs/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>Values and weighting for individual investments not disclosed. Only disclose total value and weighting.</w:t>
            </w:r>
          </w:p>
        </w:tc>
      </w:tr>
      <w:tr w:rsidR="006F79D6" w:rsidRPr="006F79D6" w14:paraId="6546D10F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071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031A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DF0E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380626C2" w14:textId="77777777" w:rsidTr="00DD03E2"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1665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Property</w:t>
            </w:r>
          </w:p>
          <w:p w14:paraId="6B9B1ABF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Investment in non</w:t>
            </w:r>
            <w:r w:rsidR="006F79D6" w:rsidRPr="006F79D6">
              <w:rPr>
                <w:b/>
                <w:sz w:val="16"/>
                <w:szCs w:val="16"/>
              </w:rPr>
              <w:noBreakHyphen/>
            </w:r>
            <w:r w:rsidRPr="006F79D6">
              <w:rPr>
                <w:b/>
                <w:sz w:val="16"/>
                <w:szCs w:val="16"/>
              </w:rPr>
              <w:t>associated entities;</w:t>
            </w:r>
          </w:p>
          <w:p w14:paraId="385E0D7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0B3786A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Externally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177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5066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7135B4E0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A1D0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 xml:space="preserve">Name of </w:t>
            </w:r>
            <w:r w:rsidR="00195DCF" w:rsidRPr="006F79D6">
              <w:rPr>
                <w:b/>
                <w:bCs/>
                <w:sz w:val="16"/>
                <w:szCs w:val="16"/>
              </w:rPr>
              <w:t xml:space="preserve">Investment </w:t>
            </w:r>
            <w:r w:rsidRPr="006F79D6">
              <w:rPr>
                <w:b/>
                <w:bCs/>
                <w:sz w:val="16"/>
                <w:szCs w:val="16"/>
              </w:rPr>
              <w:t>Manager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9164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6139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66B59332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E82B" w14:textId="77777777" w:rsidR="000F6563" w:rsidRPr="006F79D6" w:rsidRDefault="000F6563" w:rsidP="000F6563">
            <w:pPr>
              <w:tabs>
                <w:tab w:val="center" w:pos="1322"/>
              </w:tabs>
              <w:rPr>
                <w:bCs/>
                <w:i/>
                <w:iCs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>Individual investment names not required to be disclosed.</w:t>
            </w:r>
          </w:p>
          <w:p w14:paraId="379F7796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 xml:space="preserve">Only disclose the name of the </w:t>
            </w:r>
            <w:r w:rsidR="00195DCF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 xml:space="preserve"> manager responsible for managing the investment.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97A5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 xml:space="preserve">Values and weightings for individual investments not disclosed. Only disclose total values and weighting aggregated by the </w:t>
            </w:r>
            <w:r w:rsidR="00195DCF" w:rsidRPr="006F79D6">
              <w:rPr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i/>
                <w:iCs/>
                <w:sz w:val="16"/>
                <w:szCs w:val="16"/>
              </w:rPr>
              <w:t xml:space="preserve"> manager responsible for managing the investments.</w:t>
            </w:r>
          </w:p>
        </w:tc>
      </w:tr>
      <w:tr w:rsidR="006F79D6" w:rsidRPr="006F79D6" w14:paraId="0FAB6584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C18D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16A3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51F0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692ABF5A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4036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Listed Infrastructure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277D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D861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23DB6C6C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CFCA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4809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Security Identifier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7F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Units held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EF7F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DA2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0D39F5EE" w14:textId="77777777" w:rsidTr="00DD03E2"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40CE" w14:textId="77777777" w:rsidR="000F6563" w:rsidRPr="006F79D6" w:rsidRDefault="000F6563" w:rsidP="000F656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E2F1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7C3C06" w14:textId="77777777" w:rsidR="000F6563" w:rsidRPr="006F79D6" w:rsidRDefault="000F6563" w:rsidP="000F656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916A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642E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7BDE8CE1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6E4D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345A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12E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CFD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D75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08BC124E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973D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Infrastructure</w:t>
            </w:r>
          </w:p>
          <w:p w14:paraId="6DE9D09B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3DF4B528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9A44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21A2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3BE7B417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F4A2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AA77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% Ownership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793D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E31E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4D7383D7" w14:textId="77777777" w:rsidTr="00DD03E2"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A70E" w14:textId="77777777" w:rsidR="000F6563" w:rsidRPr="006F79D6" w:rsidRDefault="000F6563" w:rsidP="000F6563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B98F9D" w14:textId="77777777" w:rsidR="000F6563" w:rsidRPr="006F79D6" w:rsidRDefault="000F6563" w:rsidP="000F6563">
            <w:pPr>
              <w:rPr>
                <w:bCs/>
                <w:sz w:val="16"/>
                <w:szCs w:val="16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5778" w14:textId="77777777" w:rsidR="000F6563" w:rsidRPr="006F79D6" w:rsidRDefault="000F6563" w:rsidP="000F6563">
            <w:pPr>
              <w:rPr>
                <w:i/>
                <w:iCs/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 xml:space="preserve">Value and weighting for individual </w:t>
            </w:r>
            <w:r w:rsidR="00F17C9D" w:rsidRPr="006F79D6">
              <w:rPr>
                <w:i/>
                <w:iCs/>
                <w:sz w:val="16"/>
                <w:szCs w:val="16"/>
              </w:rPr>
              <w:t>investments</w:t>
            </w:r>
            <w:r w:rsidRPr="006F79D6">
              <w:rPr>
                <w:i/>
                <w:iCs/>
                <w:sz w:val="16"/>
                <w:szCs w:val="16"/>
              </w:rPr>
              <w:t xml:space="preserve"> not disclosed. Only disclose total value and weighting.</w:t>
            </w:r>
          </w:p>
        </w:tc>
      </w:tr>
      <w:tr w:rsidR="006F79D6" w:rsidRPr="006F79D6" w14:paraId="3682475F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A2A6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A87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1E1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0049C481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CF25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Infrastructure</w:t>
            </w:r>
          </w:p>
          <w:p w14:paraId="6A2F8ACB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lastRenderedPageBreak/>
              <w:t>Investment in non</w:t>
            </w:r>
            <w:r w:rsidR="006F79D6" w:rsidRPr="006F79D6">
              <w:rPr>
                <w:b/>
                <w:sz w:val="16"/>
                <w:szCs w:val="16"/>
              </w:rPr>
              <w:noBreakHyphen/>
            </w:r>
            <w:r w:rsidRPr="006F79D6">
              <w:rPr>
                <w:b/>
                <w:sz w:val="16"/>
                <w:szCs w:val="16"/>
              </w:rPr>
              <w:t>associated entities;</w:t>
            </w:r>
          </w:p>
          <w:p w14:paraId="3CEC6B1B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54D5D116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Externally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1083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2B0F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5E7A916D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4B7A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 xml:space="preserve">Name of </w:t>
            </w:r>
            <w:r w:rsidR="00195DCF" w:rsidRPr="006F79D6">
              <w:rPr>
                <w:b/>
                <w:bCs/>
                <w:sz w:val="16"/>
                <w:szCs w:val="16"/>
              </w:rPr>
              <w:t>Investment</w:t>
            </w:r>
            <w:r w:rsidRPr="006F79D6">
              <w:rPr>
                <w:b/>
                <w:bCs/>
                <w:sz w:val="16"/>
                <w:szCs w:val="16"/>
              </w:rPr>
              <w:t xml:space="preserve"> Manager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4D2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C47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27789A0C" w14:textId="77777777" w:rsidTr="00DD03E2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EE46" w14:textId="77777777" w:rsidR="000F6563" w:rsidRPr="006F79D6" w:rsidRDefault="000F6563" w:rsidP="000F6563">
            <w:pPr>
              <w:tabs>
                <w:tab w:val="center" w:pos="1322"/>
              </w:tabs>
              <w:rPr>
                <w:bCs/>
                <w:i/>
                <w:iCs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 xml:space="preserve">Individual </w:t>
            </w:r>
            <w:r w:rsidR="00F17C9D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 xml:space="preserve"> names not required to be disclosed.</w:t>
            </w:r>
          </w:p>
          <w:p w14:paraId="26A6A79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 xml:space="preserve">Only disclose the name of the </w:t>
            </w:r>
            <w:r w:rsidR="00195DCF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 xml:space="preserve"> manager responsible for managing the </w:t>
            </w:r>
            <w:r w:rsidR="00F17C9D" w:rsidRPr="006F79D6">
              <w:rPr>
                <w:bCs/>
                <w:i/>
                <w:iCs/>
                <w:sz w:val="16"/>
                <w:szCs w:val="16"/>
              </w:rPr>
              <w:t>investment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C2CA" w14:textId="77777777" w:rsidR="000F6563" w:rsidRPr="006F79D6" w:rsidRDefault="000F6563" w:rsidP="000F6563">
            <w:pPr>
              <w:rPr>
                <w:i/>
                <w:iCs/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 xml:space="preserve">Values and weightings for individual </w:t>
            </w:r>
            <w:r w:rsidR="00F17C9D" w:rsidRPr="006F79D6">
              <w:rPr>
                <w:i/>
                <w:iCs/>
                <w:sz w:val="16"/>
                <w:szCs w:val="16"/>
              </w:rPr>
              <w:t>investments</w:t>
            </w:r>
            <w:r w:rsidRPr="006F79D6">
              <w:rPr>
                <w:i/>
                <w:iCs/>
                <w:sz w:val="16"/>
                <w:szCs w:val="16"/>
              </w:rPr>
              <w:t xml:space="preserve"> not disclosed. Only disclose total values and weighting aggregated by the </w:t>
            </w:r>
            <w:r w:rsidR="00195DCF" w:rsidRPr="006F79D6">
              <w:rPr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i/>
                <w:iCs/>
                <w:sz w:val="16"/>
                <w:szCs w:val="16"/>
              </w:rPr>
              <w:t xml:space="preserve"> manager responsible for managing the </w:t>
            </w:r>
            <w:r w:rsidR="00F17C9D" w:rsidRPr="006F79D6">
              <w:rPr>
                <w:i/>
                <w:iCs/>
                <w:sz w:val="16"/>
                <w:szCs w:val="16"/>
              </w:rPr>
              <w:t>investments</w:t>
            </w:r>
            <w:r w:rsidRPr="006F79D6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6F79D6" w:rsidRPr="006F79D6" w14:paraId="43F8964B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8FF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7C6E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33F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4092B974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8AE5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Listed Alternatives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5040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9805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33E1F9A7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7579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9718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Security Identifier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6263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Units held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54BE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E2A0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35C6C78E" w14:textId="77777777" w:rsidTr="00DD03E2"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5A39" w14:textId="77777777" w:rsidR="000F6563" w:rsidRPr="006F79D6" w:rsidRDefault="000F6563" w:rsidP="000F656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45C0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95B922" w14:textId="77777777" w:rsidR="000F6563" w:rsidRPr="006F79D6" w:rsidRDefault="000F6563" w:rsidP="000F656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13DC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B5D7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530D0A45" w14:textId="77777777" w:rsidTr="00DD03E2">
        <w:tc>
          <w:tcPr>
            <w:tcW w:w="231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733F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F77F" w14:textId="77777777" w:rsidR="000F6563" w:rsidRPr="006F79D6" w:rsidRDefault="000F6563" w:rsidP="000F65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CB8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042F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3D56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50E2A0C9" w14:textId="77777777" w:rsidTr="00DD03E2">
        <w:trPr>
          <w:trHeight w:val="208"/>
        </w:trPr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E6FD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Alternatives</w:t>
            </w:r>
          </w:p>
          <w:p w14:paraId="325D3D4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3E0547BA" w14:textId="77777777" w:rsidR="000F6563" w:rsidRPr="006F79D6" w:rsidRDefault="000F6563" w:rsidP="000F6563">
            <w:pPr>
              <w:rPr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9078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4CFF" w14:textId="77777777" w:rsidR="000F6563" w:rsidRPr="006F79D6" w:rsidRDefault="000F6563" w:rsidP="000F6563">
            <w:pPr>
              <w:rPr>
                <w:sz w:val="16"/>
                <w:szCs w:val="16"/>
              </w:rPr>
            </w:pPr>
          </w:p>
        </w:tc>
      </w:tr>
      <w:tr w:rsidR="006F79D6" w:rsidRPr="006F79D6" w14:paraId="0F04F6BD" w14:textId="77777777" w:rsidTr="00DD03E2">
        <w:trPr>
          <w:trHeight w:val="36"/>
        </w:trPr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2A2B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Name/kind of investment item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83B9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0A5A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79349968" w14:textId="77777777" w:rsidTr="00DD03E2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748B" w14:textId="77777777" w:rsidR="000F6563" w:rsidRPr="006F79D6" w:rsidRDefault="000F6563" w:rsidP="000F6563">
            <w:pPr>
              <w:rPr>
                <w:bCs/>
                <w:sz w:val="16"/>
                <w:szCs w:val="16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E811" w14:textId="77777777" w:rsidR="000F6563" w:rsidRPr="006F79D6" w:rsidRDefault="000F6563" w:rsidP="000F6563">
            <w:pPr>
              <w:rPr>
                <w:i/>
                <w:iCs/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 xml:space="preserve">Value and weighting for individual </w:t>
            </w:r>
            <w:r w:rsidR="001B4BAC" w:rsidRPr="006F79D6">
              <w:rPr>
                <w:i/>
                <w:iCs/>
                <w:sz w:val="16"/>
                <w:szCs w:val="16"/>
              </w:rPr>
              <w:t>investments</w:t>
            </w:r>
            <w:r w:rsidRPr="006F79D6">
              <w:rPr>
                <w:i/>
                <w:iCs/>
                <w:sz w:val="16"/>
                <w:szCs w:val="16"/>
              </w:rPr>
              <w:t xml:space="preserve"> not disclosed. Only disclose total value and weighting.</w:t>
            </w:r>
          </w:p>
        </w:tc>
      </w:tr>
      <w:tr w:rsidR="006F79D6" w:rsidRPr="006F79D6" w14:paraId="385BEB40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24B0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622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79DC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29491E44" w14:textId="77777777" w:rsidTr="00DD03E2"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9AE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Unlisted Alternative</w:t>
            </w:r>
            <w:r w:rsidR="00BA264A" w:rsidRPr="006F79D6">
              <w:rPr>
                <w:b/>
                <w:sz w:val="16"/>
                <w:szCs w:val="16"/>
              </w:rPr>
              <w:t>s</w:t>
            </w:r>
          </w:p>
          <w:p w14:paraId="3A17C379" w14:textId="77777777" w:rsidR="000F6563" w:rsidRPr="006F79D6" w:rsidRDefault="000F6563" w:rsidP="000F6563">
            <w:pPr>
              <w:tabs>
                <w:tab w:val="center" w:pos="1322"/>
              </w:tabs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Investment in non</w:t>
            </w:r>
            <w:r w:rsidR="006F79D6" w:rsidRPr="006F79D6">
              <w:rPr>
                <w:b/>
                <w:sz w:val="16"/>
                <w:szCs w:val="16"/>
              </w:rPr>
              <w:noBreakHyphen/>
            </w:r>
            <w:r w:rsidRPr="006F79D6">
              <w:rPr>
                <w:b/>
                <w:sz w:val="16"/>
                <w:szCs w:val="16"/>
              </w:rPr>
              <w:t>associated entities;</w:t>
            </w:r>
          </w:p>
          <w:p w14:paraId="3CB2DBF0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Held directly or by associated entities</w:t>
            </w:r>
          </w:p>
          <w:p w14:paraId="34AC5E01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Externally managed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21B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F253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6F79D6" w:rsidRPr="006F79D6" w14:paraId="1591D9EE" w14:textId="77777777" w:rsidTr="00DD03E2">
        <w:trPr>
          <w:trHeight w:val="36"/>
        </w:trPr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CE7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 xml:space="preserve">Name of </w:t>
            </w:r>
            <w:r w:rsidR="00195DCF" w:rsidRPr="006F79D6">
              <w:rPr>
                <w:b/>
                <w:bCs/>
                <w:sz w:val="16"/>
                <w:szCs w:val="16"/>
              </w:rPr>
              <w:t>Investment</w:t>
            </w:r>
            <w:r w:rsidRPr="006F79D6">
              <w:rPr>
                <w:b/>
                <w:bCs/>
                <w:sz w:val="16"/>
                <w:szCs w:val="16"/>
              </w:rPr>
              <w:t xml:space="preserve"> Manager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F103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Value (AUD)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D4D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sz w:val="16"/>
                <w:szCs w:val="16"/>
              </w:rPr>
              <w:t>Weighting (%)</w:t>
            </w:r>
          </w:p>
        </w:tc>
      </w:tr>
      <w:tr w:rsidR="006F79D6" w:rsidRPr="006F79D6" w14:paraId="2D6AB8B4" w14:textId="77777777" w:rsidTr="00DD03E2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3E2E" w14:textId="77777777" w:rsidR="000F6563" w:rsidRPr="006F79D6" w:rsidRDefault="000F6563" w:rsidP="000F6563">
            <w:pPr>
              <w:rPr>
                <w:bCs/>
                <w:i/>
                <w:iCs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 xml:space="preserve">Individual </w:t>
            </w:r>
            <w:r w:rsidR="001B4BAC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 xml:space="preserve"> names not required to be disclosed.</w:t>
            </w:r>
          </w:p>
          <w:p w14:paraId="2EF81F76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Cs/>
                <w:i/>
                <w:iCs/>
                <w:sz w:val="16"/>
                <w:szCs w:val="16"/>
              </w:rPr>
              <w:t xml:space="preserve">Only disclose the name of the </w:t>
            </w:r>
            <w:r w:rsidR="00195DCF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 xml:space="preserve"> manager responsible for managing the </w:t>
            </w:r>
            <w:r w:rsidR="001B4BAC" w:rsidRPr="006F79D6">
              <w:rPr>
                <w:bCs/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C6E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i/>
                <w:iCs/>
                <w:sz w:val="16"/>
                <w:szCs w:val="16"/>
              </w:rPr>
              <w:t xml:space="preserve">Values and weightings for individual </w:t>
            </w:r>
            <w:r w:rsidR="001B4BAC" w:rsidRPr="006F79D6">
              <w:rPr>
                <w:i/>
                <w:iCs/>
                <w:sz w:val="16"/>
                <w:szCs w:val="16"/>
              </w:rPr>
              <w:t>investments</w:t>
            </w:r>
            <w:r w:rsidRPr="006F79D6">
              <w:rPr>
                <w:i/>
                <w:iCs/>
                <w:sz w:val="16"/>
                <w:szCs w:val="16"/>
              </w:rPr>
              <w:t xml:space="preserve"> not disclosed. Only disclose total values and weighting aggregated by the </w:t>
            </w:r>
            <w:r w:rsidR="00195DCF" w:rsidRPr="006F79D6">
              <w:rPr>
                <w:i/>
                <w:iCs/>
                <w:sz w:val="16"/>
                <w:szCs w:val="16"/>
              </w:rPr>
              <w:t>investment</w:t>
            </w:r>
            <w:r w:rsidRPr="006F79D6">
              <w:rPr>
                <w:i/>
                <w:iCs/>
                <w:sz w:val="16"/>
                <w:szCs w:val="16"/>
              </w:rPr>
              <w:t xml:space="preserve"> manager responsible for managing the </w:t>
            </w:r>
            <w:r w:rsidR="001B4BAC" w:rsidRPr="006F79D6">
              <w:rPr>
                <w:i/>
                <w:iCs/>
                <w:sz w:val="16"/>
                <w:szCs w:val="16"/>
              </w:rPr>
              <w:t>investments</w:t>
            </w:r>
            <w:r w:rsidRPr="006F79D6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6F79D6" w:rsidRPr="006F79D6" w14:paraId="7C841DB4" w14:textId="77777777" w:rsidTr="00DD03E2"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A622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50E7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6CC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tr w:rsidR="000F6563" w:rsidRPr="006F79D6" w14:paraId="17C5EF75" w14:textId="77777777" w:rsidTr="00DD03E2">
        <w:tc>
          <w:tcPr>
            <w:tcW w:w="538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75B4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  <w:r w:rsidRPr="006F79D6">
              <w:rPr>
                <w:b/>
                <w:bCs/>
                <w:sz w:val="16"/>
                <w:szCs w:val="16"/>
              </w:rPr>
              <w:t>Total Investment Items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6935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08F8" w14:textId="77777777" w:rsidR="000F6563" w:rsidRPr="006F79D6" w:rsidRDefault="000F6563" w:rsidP="000F6563">
            <w:pPr>
              <w:rPr>
                <w:b/>
                <w:sz w:val="16"/>
                <w:szCs w:val="16"/>
              </w:rPr>
            </w:pPr>
          </w:p>
        </w:tc>
      </w:tr>
      <w:bookmarkEnd w:id="13"/>
      <w:bookmarkEnd w:id="14"/>
    </w:tbl>
    <w:p w14:paraId="1F801B6C" w14:textId="77777777" w:rsidR="000F6563" w:rsidRPr="006F79D6" w:rsidRDefault="000F6563" w:rsidP="00401904">
      <w:pPr>
        <w:pStyle w:val="Tabletext"/>
      </w:pPr>
    </w:p>
    <w:p w14:paraId="10A8AF64" w14:textId="77777777" w:rsidR="003A76A7" w:rsidRPr="006F79D6" w:rsidRDefault="003A76A7" w:rsidP="003A7D35">
      <w:pPr>
        <w:pStyle w:val="ActHead5"/>
      </w:pPr>
      <w:bookmarkStart w:id="16" w:name="_Toc88207059"/>
      <w:r w:rsidRPr="002A1F47">
        <w:rPr>
          <w:rStyle w:val="CharSectno"/>
        </w:rPr>
        <w:t>2</w:t>
      </w:r>
      <w:r w:rsidRPr="006F79D6">
        <w:t xml:space="preserve">  Table 2—Derivatives by kind of derivative</w:t>
      </w:r>
      <w:bookmarkEnd w:id="16"/>
    </w:p>
    <w:p w14:paraId="325D48CD" w14:textId="77777777" w:rsidR="003A76A7" w:rsidRPr="006F79D6" w:rsidRDefault="003A76A7" w:rsidP="003A76A7">
      <w:pPr>
        <w:pStyle w:val="Tabletext"/>
      </w:pPr>
    </w:p>
    <w:tbl>
      <w:tblPr>
        <w:tblW w:w="4907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3007"/>
        <w:gridCol w:w="2485"/>
        <w:gridCol w:w="2666"/>
      </w:tblGrid>
      <w:tr w:rsidR="006F79D6" w:rsidRPr="006F79D6" w14:paraId="0F132DDF" w14:textId="77777777" w:rsidTr="00DD03E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BEA029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Portfolio Holdings Information</w:t>
            </w:r>
            <w:r w:rsidR="006F4C61" w:rsidRPr="006F79D6">
              <w:rPr>
                <w:sz w:val="16"/>
                <w:szCs w:val="16"/>
              </w:rPr>
              <w:t xml:space="preserve"> </w:t>
            </w:r>
            <w:r w:rsidR="006F4C61" w:rsidRPr="006F79D6">
              <w:rPr>
                <w:bCs/>
                <w:sz w:val="16"/>
                <w:szCs w:val="16"/>
              </w:rPr>
              <w:t>for [</w:t>
            </w:r>
            <w:r w:rsidR="006F4C61" w:rsidRPr="006F79D6">
              <w:rPr>
                <w:bCs/>
                <w:i/>
                <w:sz w:val="16"/>
                <w:szCs w:val="16"/>
              </w:rPr>
              <w:t>Name of Fund</w:t>
            </w:r>
            <w:r w:rsidR="006F4C61" w:rsidRPr="006F79D6">
              <w:rPr>
                <w:bCs/>
                <w:sz w:val="16"/>
                <w:szCs w:val="16"/>
              </w:rPr>
              <w:t>]</w:t>
            </w:r>
            <w:r w:rsidRPr="006F79D6">
              <w:rPr>
                <w:sz w:val="16"/>
                <w:szCs w:val="16"/>
              </w:rPr>
              <w:t>—Derivatives</w:t>
            </w:r>
          </w:p>
        </w:tc>
      </w:tr>
      <w:tr w:rsidR="006F79D6" w:rsidRPr="006F79D6" w14:paraId="30BADA97" w14:textId="77777777" w:rsidTr="00401904">
        <w:trPr>
          <w:tblHeader/>
        </w:trPr>
        <w:tc>
          <w:tcPr>
            <w:tcW w:w="18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D389D8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Kind of derivative</w:t>
            </w:r>
          </w:p>
        </w:tc>
        <w:tc>
          <w:tcPr>
            <w:tcW w:w="152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5C0865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Value</w:t>
            </w:r>
          </w:p>
        </w:tc>
        <w:tc>
          <w:tcPr>
            <w:tcW w:w="163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BAFE4E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Weighting</w:t>
            </w:r>
          </w:p>
        </w:tc>
      </w:tr>
      <w:tr w:rsidR="006F79D6" w:rsidRPr="006F79D6" w14:paraId="37FD00AA" w14:textId="77777777" w:rsidTr="00401904">
        <w:tc>
          <w:tcPr>
            <w:tcW w:w="1843" w:type="pct"/>
            <w:tcBorders>
              <w:top w:val="single" w:sz="12" w:space="0" w:color="auto"/>
            </w:tcBorders>
            <w:shd w:val="clear" w:color="auto" w:fill="auto"/>
          </w:tcPr>
          <w:p w14:paraId="0B60AE0C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Swaps</w:t>
            </w:r>
          </w:p>
        </w:tc>
        <w:tc>
          <w:tcPr>
            <w:tcW w:w="3157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701B803" w14:textId="77777777" w:rsidR="003A76A7" w:rsidRPr="006F79D6" w:rsidRDefault="003A76A7" w:rsidP="00C71521">
            <w:pPr>
              <w:pStyle w:val="Tabletext"/>
              <w:rPr>
                <w:i/>
                <w:sz w:val="16"/>
                <w:szCs w:val="16"/>
              </w:rPr>
            </w:pPr>
            <w:r w:rsidRPr="006F79D6">
              <w:rPr>
                <w:i/>
                <w:sz w:val="16"/>
                <w:szCs w:val="16"/>
              </w:rPr>
              <w:t>Values and weighting for individual derivatives not disclosed. Only disclose total values and weighting for this kind of derivative.</w:t>
            </w:r>
          </w:p>
        </w:tc>
      </w:tr>
      <w:tr w:rsidR="006F79D6" w:rsidRPr="006F79D6" w14:paraId="0EDB421D" w14:textId="77777777" w:rsidTr="00401904">
        <w:tc>
          <w:tcPr>
            <w:tcW w:w="1843" w:type="pct"/>
            <w:shd w:val="clear" w:color="auto" w:fill="auto"/>
          </w:tcPr>
          <w:p w14:paraId="000F4EBB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Forwards</w:t>
            </w:r>
          </w:p>
        </w:tc>
        <w:tc>
          <w:tcPr>
            <w:tcW w:w="3157" w:type="pct"/>
            <w:gridSpan w:val="2"/>
            <w:shd w:val="clear" w:color="auto" w:fill="auto"/>
          </w:tcPr>
          <w:p w14:paraId="664C0EA8" w14:textId="77777777" w:rsidR="003A76A7" w:rsidRPr="006F79D6" w:rsidRDefault="003A76A7" w:rsidP="00C71521">
            <w:pPr>
              <w:pStyle w:val="Tabletext"/>
              <w:rPr>
                <w:i/>
                <w:sz w:val="16"/>
                <w:szCs w:val="16"/>
              </w:rPr>
            </w:pPr>
            <w:r w:rsidRPr="006F79D6">
              <w:rPr>
                <w:i/>
                <w:sz w:val="16"/>
                <w:szCs w:val="16"/>
              </w:rPr>
              <w:t>Values and weighting for individual derivatives not disclosed. Only disclose total values and weighting for this kind of derivative.</w:t>
            </w:r>
          </w:p>
        </w:tc>
      </w:tr>
      <w:tr w:rsidR="006F79D6" w:rsidRPr="006F79D6" w14:paraId="5C0700D4" w14:textId="77777777" w:rsidTr="00401904">
        <w:tc>
          <w:tcPr>
            <w:tcW w:w="1843" w:type="pct"/>
            <w:shd w:val="clear" w:color="auto" w:fill="auto"/>
          </w:tcPr>
          <w:p w14:paraId="0C84160D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Futures</w:t>
            </w:r>
          </w:p>
        </w:tc>
        <w:tc>
          <w:tcPr>
            <w:tcW w:w="3157" w:type="pct"/>
            <w:gridSpan w:val="2"/>
            <w:shd w:val="clear" w:color="auto" w:fill="auto"/>
          </w:tcPr>
          <w:p w14:paraId="424E9716" w14:textId="77777777" w:rsidR="003A76A7" w:rsidRPr="006F79D6" w:rsidRDefault="003A76A7" w:rsidP="00C71521">
            <w:pPr>
              <w:pStyle w:val="Tabletext"/>
              <w:rPr>
                <w:i/>
                <w:sz w:val="16"/>
                <w:szCs w:val="16"/>
              </w:rPr>
            </w:pPr>
            <w:r w:rsidRPr="006F79D6">
              <w:rPr>
                <w:i/>
                <w:sz w:val="16"/>
                <w:szCs w:val="16"/>
              </w:rPr>
              <w:t>Values and weighting for individual derivatives not disclosed. Only disclose total values and weighting for this kind of derivative.</w:t>
            </w:r>
          </w:p>
        </w:tc>
      </w:tr>
      <w:tr w:rsidR="006F79D6" w:rsidRPr="006F79D6" w14:paraId="4685A7C3" w14:textId="77777777" w:rsidTr="00401904">
        <w:tc>
          <w:tcPr>
            <w:tcW w:w="1843" w:type="pct"/>
            <w:shd w:val="clear" w:color="auto" w:fill="auto"/>
          </w:tcPr>
          <w:p w14:paraId="13B7BD0E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lastRenderedPageBreak/>
              <w:t>Options</w:t>
            </w:r>
          </w:p>
        </w:tc>
        <w:tc>
          <w:tcPr>
            <w:tcW w:w="3157" w:type="pct"/>
            <w:gridSpan w:val="2"/>
            <w:shd w:val="clear" w:color="auto" w:fill="auto"/>
          </w:tcPr>
          <w:p w14:paraId="0ADC751E" w14:textId="77777777" w:rsidR="003A76A7" w:rsidRPr="006F79D6" w:rsidRDefault="003A76A7" w:rsidP="00C71521">
            <w:pPr>
              <w:pStyle w:val="Tabletext"/>
              <w:rPr>
                <w:i/>
                <w:sz w:val="16"/>
                <w:szCs w:val="16"/>
              </w:rPr>
            </w:pPr>
            <w:r w:rsidRPr="006F79D6">
              <w:rPr>
                <w:i/>
                <w:sz w:val="16"/>
                <w:szCs w:val="16"/>
              </w:rPr>
              <w:t>Values and weighting for individual derivatives not disclosed. Only disclose total values and weighting for this kind of derivative.</w:t>
            </w:r>
          </w:p>
        </w:tc>
      </w:tr>
      <w:tr w:rsidR="003A76A7" w:rsidRPr="006F79D6" w14:paraId="1744F9E2" w14:textId="77777777" w:rsidTr="00401904">
        <w:tc>
          <w:tcPr>
            <w:tcW w:w="184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81AF98" w14:textId="77777777" w:rsidR="003A76A7" w:rsidRPr="006F79D6" w:rsidRDefault="003A76A7" w:rsidP="00C71521">
            <w:pPr>
              <w:pStyle w:val="Tabletext"/>
              <w:rPr>
                <w:rFonts w:cs="Arial"/>
                <w:b/>
                <w:bCs/>
                <w:sz w:val="16"/>
                <w:szCs w:val="16"/>
              </w:rPr>
            </w:pPr>
            <w:r w:rsidRPr="006F79D6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2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3A2632" w14:textId="77777777" w:rsidR="003A76A7" w:rsidRPr="006F79D6" w:rsidRDefault="003A76A7" w:rsidP="00C71521">
            <w:pPr>
              <w:pStyle w:val="Tabletext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3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D82D0D" w14:textId="77777777" w:rsidR="003A76A7" w:rsidRPr="006F79D6" w:rsidRDefault="003A76A7" w:rsidP="00C71521">
            <w:pPr>
              <w:pStyle w:val="Tabletext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</w:tr>
    </w:tbl>
    <w:p w14:paraId="4C330262" w14:textId="77777777" w:rsidR="00401904" w:rsidRPr="006F79D6" w:rsidRDefault="00401904" w:rsidP="00401904">
      <w:pPr>
        <w:pStyle w:val="Tabletext"/>
      </w:pPr>
      <w:bookmarkStart w:id="17" w:name="_Toc88207060"/>
    </w:p>
    <w:p w14:paraId="5BEF34AE" w14:textId="77777777" w:rsidR="003A76A7" w:rsidRPr="006F79D6" w:rsidRDefault="003A76A7" w:rsidP="003A76A7">
      <w:pPr>
        <w:pStyle w:val="ActHead5"/>
      </w:pPr>
      <w:r w:rsidRPr="002A1F47">
        <w:rPr>
          <w:rStyle w:val="CharSectno"/>
        </w:rPr>
        <w:t>3</w:t>
      </w:r>
      <w:r w:rsidRPr="006F79D6">
        <w:t xml:space="preserve">  Table 3—Derivatives by asset class</w:t>
      </w:r>
      <w:bookmarkEnd w:id="17"/>
    </w:p>
    <w:p w14:paraId="02C4D134" w14:textId="77777777" w:rsidR="003A76A7" w:rsidRPr="006F79D6" w:rsidRDefault="003A76A7" w:rsidP="003A76A7">
      <w:pPr>
        <w:pStyle w:val="Tabletext"/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2561"/>
        <w:gridCol w:w="2702"/>
      </w:tblGrid>
      <w:tr w:rsidR="006F79D6" w:rsidRPr="006F79D6" w14:paraId="66F31CDD" w14:textId="77777777" w:rsidTr="00DD03E2">
        <w:trPr>
          <w:tblHeader/>
        </w:trPr>
        <w:tc>
          <w:tcPr>
            <w:tcW w:w="836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9A7123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Portfolio Holdings Information</w:t>
            </w:r>
            <w:r w:rsidR="006F4C61" w:rsidRPr="006F79D6">
              <w:rPr>
                <w:sz w:val="16"/>
                <w:szCs w:val="16"/>
              </w:rPr>
              <w:t xml:space="preserve"> </w:t>
            </w:r>
            <w:r w:rsidR="006F4C61" w:rsidRPr="006F79D6">
              <w:rPr>
                <w:bCs/>
                <w:sz w:val="16"/>
                <w:szCs w:val="16"/>
              </w:rPr>
              <w:t>for [</w:t>
            </w:r>
            <w:r w:rsidR="006F4C61" w:rsidRPr="006F79D6">
              <w:rPr>
                <w:bCs/>
                <w:i/>
                <w:sz w:val="16"/>
                <w:szCs w:val="16"/>
              </w:rPr>
              <w:t>Name of Fund</w:t>
            </w:r>
            <w:r w:rsidR="006F4C61" w:rsidRPr="006F79D6">
              <w:rPr>
                <w:bCs/>
                <w:sz w:val="16"/>
                <w:szCs w:val="16"/>
              </w:rPr>
              <w:t>]</w:t>
            </w:r>
            <w:r w:rsidRPr="006F79D6">
              <w:rPr>
                <w:sz w:val="16"/>
                <w:szCs w:val="16"/>
              </w:rPr>
              <w:t>—Derivatives by asset class</w:t>
            </w:r>
          </w:p>
        </w:tc>
      </w:tr>
      <w:tr w:rsidR="006F79D6" w:rsidRPr="006F79D6" w14:paraId="3D54B113" w14:textId="77777777" w:rsidTr="00DD03E2">
        <w:trPr>
          <w:tblHeader/>
        </w:trPr>
        <w:tc>
          <w:tcPr>
            <w:tcW w:w="31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A73044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Asset class</w:t>
            </w: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F35C5A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 xml:space="preserve">Actual asset allocation (% of total </w:t>
            </w:r>
            <w:r w:rsidR="00275C07" w:rsidRPr="006F79D6">
              <w:rPr>
                <w:sz w:val="16"/>
                <w:szCs w:val="16"/>
              </w:rPr>
              <w:t>investments</w:t>
            </w:r>
            <w:r w:rsidRPr="006F79D6">
              <w:rPr>
                <w:sz w:val="16"/>
                <w:szCs w:val="16"/>
              </w:rPr>
              <w:t xml:space="preserve"> (including derivatives)</w:t>
            </w:r>
            <w:r w:rsidR="00195DCF" w:rsidRPr="006F79D6">
              <w:rPr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A2A8C4A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 xml:space="preserve">Effect of derivatives exposure (% of total </w:t>
            </w:r>
            <w:r w:rsidR="00275C07" w:rsidRPr="006F79D6">
              <w:rPr>
                <w:sz w:val="16"/>
                <w:szCs w:val="16"/>
              </w:rPr>
              <w:t>investments</w:t>
            </w:r>
            <w:r w:rsidRPr="006F79D6">
              <w:rPr>
                <w:sz w:val="16"/>
                <w:szCs w:val="16"/>
              </w:rPr>
              <w:t xml:space="preserve"> (including derivatives))</w:t>
            </w:r>
          </w:p>
        </w:tc>
      </w:tr>
      <w:tr w:rsidR="006F79D6" w:rsidRPr="006F79D6" w14:paraId="0EB77194" w14:textId="77777777" w:rsidTr="00DD03E2">
        <w:tc>
          <w:tcPr>
            <w:tcW w:w="3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19F699" w14:textId="77777777" w:rsidR="003A76A7" w:rsidRPr="006F79D6" w:rsidRDefault="003A76A7" w:rsidP="00C71521">
            <w:pPr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Cash</w:t>
            </w:r>
          </w:p>
        </w:tc>
        <w:tc>
          <w:tcPr>
            <w:tcW w:w="25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163D7A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12864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</w:tr>
      <w:tr w:rsidR="006F79D6" w:rsidRPr="006F79D6" w14:paraId="615F06C1" w14:textId="77777777" w:rsidTr="00DD03E2">
        <w:trPr>
          <w:trHeight w:val="61"/>
        </w:trPr>
        <w:tc>
          <w:tcPr>
            <w:tcW w:w="3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8CF596" w14:textId="77777777" w:rsidR="003A76A7" w:rsidRPr="006F79D6" w:rsidRDefault="003A76A7" w:rsidP="00C71521">
            <w:pPr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Fixed Income</w:t>
            </w:r>
          </w:p>
        </w:tc>
        <w:tc>
          <w:tcPr>
            <w:tcW w:w="25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64585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95EAD7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</w:tr>
      <w:tr w:rsidR="006F79D6" w:rsidRPr="006F79D6" w14:paraId="78A5E452" w14:textId="77777777" w:rsidTr="00DD03E2">
        <w:tc>
          <w:tcPr>
            <w:tcW w:w="3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3135A" w14:textId="77777777" w:rsidR="003A76A7" w:rsidRPr="006F79D6" w:rsidRDefault="003A76A7" w:rsidP="00C71521">
            <w:pPr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Equities</w:t>
            </w:r>
          </w:p>
        </w:tc>
        <w:tc>
          <w:tcPr>
            <w:tcW w:w="25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5A1320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9C8BA5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</w:tr>
      <w:tr w:rsidR="006F79D6" w:rsidRPr="006F79D6" w14:paraId="3D7B56FC" w14:textId="77777777" w:rsidTr="00DD03E2">
        <w:tc>
          <w:tcPr>
            <w:tcW w:w="3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352483" w14:textId="77777777" w:rsidR="003A76A7" w:rsidRPr="006F79D6" w:rsidRDefault="003A76A7" w:rsidP="00C71521">
            <w:pPr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Property</w:t>
            </w:r>
          </w:p>
        </w:tc>
        <w:tc>
          <w:tcPr>
            <w:tcW w:w="25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C67FD9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235B88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</w:tr>
      <w:tr w:rsidR="006F79D6" w:rsidRPr="006F79D6" w14:paraId="230A4A03" w14:textId="77777777" w:rsidTr="00DD03E2">
        <w:tc>
          <w:tcPr>
            <w:tcW w:w="3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4CE93" w14:textId="77777777" w:rsidR="003A76A7" w:rsidRPr="006F79D6" w:rsidRDefault="003A76A7" w:rsidP="00C71521">
            <w:pPr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Infrastructure</w:t>
            </w:r>
          </w:p>
        </w:tc>
        <w:tc>
          <w:tcPr>
            <w:tcW w:w="25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5ACC0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31294D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</w:tr>
      <w:tr w:rsidR="006F79D6" w:rsidRPr="006F79D6" w14:paraId="4B12E66A" w14:textId="77777777" w:rsidTr="00DD03E2">
        <w:tc>
          <w:tcPr>
            <w:tcW w:w="3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C6232A" w14:textId="77777777" w:rsidR="003A76A7" w:rsidRPr="006F79D6" w:rsidRDefault="003A76A7" w:rsidP="00C71521">
            <w:pPr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Alternatives</w:t>
            </w:r>
          </w:p>
        </w:tc>
        <w:tc>
          <w:tcPr>
            <w:tcW w:w="25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FE670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782AE9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</w:tr>
      <w:tr w:rsidR="006F79D6" w:rsidRPr="006F79D6" w14:paraId="2B106C01" w14:textId="77777777" w:rsidTr="00DD03E2">
        <w:tc>
          <w:tcPr>
            <w:tcW w:w="310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F1E4C12" w14:textId="77777777" w:rsidR="003A76A7" w:rsidRPr="006F79D6" w:rsidRDefault="003A76A7" w:rsidP="00C71521">
            <w:pPr>
              <w:pStyle w:val="TableHeading"/>
              <w:rPr>
                <w:sz w:val="16"/>
                <w:szCs w:val="16"/>
              </w:rPr>
            </w:pPr>
            <w:r w:rsidRPr="006F79D6">
              <w:rPr>
                <w:sz w:val="16"/>
                <w:szCs w:val="16"/>
              </w:rPr>
              <w:t>Total</w:t>
            </w:r>
          </w:p>
        </w:tc>
        <w:tc>
          <w:tcPr>
            <w:tcW w:w="25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8592708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3B253D" w14:textId="77777777" w:rsidR="003A76A7" w:rsidRPr="006F79D6" w:rsidRDefault="003A76A7" w:rsidP="00C71521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300C29D9" w14:textId="77777777" w:rsidR="00401904" w:rsidRPr="006F79D6" w:rsidRDefault="00401904" w:rsidP="00401904">
      <w:pPr>
        <w:pStyle w:val="Tabletext"/>
      </w:pPr>
      <w:bookmarkStart w:id="18" w:name="_Toc88207061"/>
    </w:p>
    <w:p w14:paraId="5DAE283F" w14:textId="77777777" w:rsidR="003A76A7" w:rsidRPr="006F79D6" w:rsidRDefault="003A76A7" w:rsidP="003A76A7">
      <w:pPr>
        <w:pStyle w:val="ActHead5"/>
      </w:pPr>
      <w:r w:rsidRPr="002A1F47">
        <w:rPr>
          <w:rStyle w:val="CharSectno"/>
        </w:rPr>
        <w:t>4</w:t>
      </w:r>
      <w:r w:rsidRPr="006F79D6">
        <w:t xml:space="preserve">  Table 4—Derivatives by currency</w:t>
      </w:r>
      <w:bookmarkEnd w:id="18"/>
    </w:p>
    <w:p w14:paraId="7D4ADE7C" w14:textId="77777777" w:rsidR="003A76A7" w:rsidRPr="006F79D6" w:rsidRDefault="003A76A7" w:rsidP="003A76A7">
      <w:pPr>
        <w:pStyle w:val="Tabletext"/>
      </w:pPr>
    </w:p>
    <w:tbl>
      <w:tblPr>
        <w:tblW w:w="0" w:type="auto"/>
        <w:tblInd w:w="11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2562"/>
        <w:gridCol w:w="2715"/>
      </w:tblGrid>
      <w:tr w:rsidR="006F79D6" w:rsidRPr="006F79D6" w14:paraId="6F1C43D2" w14:textId="77777777" w:rsidTr="00DD03E2">
        <w:trPr>
          <w:tblHeader/>
        </w:trPr>
        <w:tc>
          <w:tcPr>
            <w:tcW w:w="836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4646F0" w14:textId="77777777" w:rsidR="003A76A7" w:rsidRPr="006F79D6" w:rsidRDefault="003A76A7" w:rsidP="00C71521">
            <w:pPr>
              <w:pStyle w:val="TableHeading"/>
              <w:rPr>
                <w:sz w:val="16"/>
              </w:rPr>
            </w:pPr>
            <w:r w:rsidRPr="006F79D6">
              <w:rPr>
                <w:sz w:val="16"/>
              </w:rPr>
              <w:t>Portfolio Holdings Information</w:t>
            </w:r>
            <w:r w:rsidR="006F4C61" w:rsidRPr="006F79D6">
              <w:rPr>
                <w:sz w:val="16"/>
              </w:rPr>
              <w:t xml:space="preserve"> </w:t>
            </w:r>
            <w:r w:rsidR="006F4C61" w:rsidRPr="006F79D6">
              <w:rPr>
                <w:bCs/>
                <w:sz w:val="16"/>
                <w:szCs w:val="16"/>
              </w:rPr>
              <w:t>for [</w:t>
            </w:r>
            <w:r w:rsidR="006F4C61" w:rsidRPr="006F79D6">
              <w:rPr>
                <w:bCs/>
                <w:i/>
                <w:sz w:val="16"/>
                <w:szCs w:val="16"/>
              </w:rPr>
              <w:t>Name of Fund</w:t>
            </w:r>
            <w:r w:rsidR="006F4C61" w:rsidRPr="006F79D6">
              <w:rPr>
                <w:bCs/>
                <w:sz w:val="16"/>
                <w:szCs w:val="16"/>
              </w:rPr>
              <w:t>]</w:t>
            </w:r>
            <w:r w:rsidRPr="006F79D6">
              <w:rPr>
                <w:sz w:val="16"/>
              </w:rPr>
              <w:t>—Derivatives by currency</w:t>
            </w:r>
          </w:p>
        </w:tc>
      </w:tr>
      <w:tr w:rsidR="006F79D6" w:rsidRPr="006F79D6" w14:paraId="44E23FCF" w14:textId="77777777" w:rsidTr="00DD03E2">
        <w:trPr>
          <w:tblHeader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62B8F1" w14:textId="77777777" w:rsidR="003A76A7" w:rsidRPr="006F79D6" w:rsidRDefault="003A76A7" w:rsidP="00C71521">
            <w:pPr>
              <w:rPr>
                <w:b/>
                <w:bCs/>
                <w:sz w:val="16"/>
              </w:rPr>
            </w:pPr>
            <w:r w:rsidRPr="006F79D6">
              <w:rPr>
                <w:b/>
                <w:bCs/>
                <w:sz w:val="16"/>
              </w:rPr>
              <w:t>Currency exposure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DAD86" w14:textId="77777777" w:rsidR="003A76A7" w:rsidRPr="006F79D6" w:rsidRDefault="003A76A7" w:rsidP="00C71521">
            <w:pPr>
              <w:pStyle w:val="TableHeading"/>
              <w:rPr>
                <w:sz w:val="16"/>
              </w:rPr>
            </w:pPr>
            <w:r w:rsidRPr="006F79D6">
              <w:rPr>
                <w:sz w:val="16"/>
              </w:rPr>
              <w:t xml:space="preserve">Actual currency exposure (% of </w:t>
            </w:r>
            <w:r w:rsidR="00275C07" w:rsidRPr="006F79D6">
              <w:rPr>
                <w:sz w:val="16"/>
              </w:rPr>
              <w:t xml:space="preserve">investments (including </w:t>
            </w:r>
            <w:r w:rsidRPr="006F79D6">
              <w:rPr>
                <w:sz w:val="16"/>
              </w:rPr>
              <w:t>derivatives</w:t>
            </w:r>
            <w:r w:rsidR="00275C07" w:rsidRPr="006F79D6">
              <w:rPr>
                <w:sz w:val="16"/>
              </w:rPr>
              <w:t>)</w:t>
            </w:r>
            <w:r w:rsidRPr="006F79D6">
              <w:rPr>
                <w:sz w:val="16"/>
              </w:rPr>
              <w:t>)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D6BB75" w14:textId="77777777" w:rsidR="003A76A7" w:rsidRPr="006F79D6" w:rsidRDefault="003A76A7" w:rsidP="00C71521">
            <w:pPr>
              <w:pStyle w:val="TableHeading"/>
              <w:rPr>
                <w:sz w:val="16"/>
              </w:rPr>
            </w:pPr>
            <w:r w:rsidRPr="006F79D6">
              <w:rPr>
                <w:sz w:val="16"/>
              </w:rPr>
              <w:t xml:space="preserve">Effect of derivatives exposure (% of </w:t>
            </w:r>
            <w:r w:rsidR="00275C07" w:rsidRPr="006F79D6">
              <w:rPr>
                <w:sz w:val="16"/>
              </w:rPr>
              <w:t>investments</w:t>
            </w:r>
            <w:r w:rsidR="00EE41D8" w:rsidRPr="006F79D6">
              <w:rPr>
                <w:sz w:val="16"/>
              </w:rPr>
              <w:t xml:space="preserve"> </w:t>
            </w:r>
            <w:r w:rsidR="00275C07" w:rsidRPr="006F79D6">
              <w:rPr>
                <w:sz w:val="16"/>
              </w:rPr>
              <w:t xml:space="preserve">(including </w:t>
            </w:r>
            <w:r w:rsidRPr="006F79D6">
              <w:rPr>
                <w:sz w:val="16"/>
              </w:rPr>
              <w:t>derivatives</w:t>
            </w:r>
            <w:r w:rsidR="00275C07" w:rsidRPr="006F79D6">
              <w:rPr>
                <w:sz w:val="16"/>
              </w:rPr>
              <w:t>)</w:t>
            </w:r>
            <w:r w:rsidRPr="006F79D6">
              <w:rPr>
                <w:sz w:val="16"/>
              </w:rPr>
              <w:t>)</w:t>
            </w:r>
          </w:p>
        </w:tc>
      </w:tr>
      <w:tr w:rsidR="006F79D6" w:rsidRPr="006F79D6" w14:paraId="73CE4332" w14:textId="77777777" w:rsidTr="00DD03E2">
        <w:tc>
          <w:tcPr>
            <w:tcW w:w="3089" w:type="dxa"/>
            <w:tcBorders>
              <w:top w:val="single" w:sz="12" w:space="0" w:color="auto"/>
            </w:tcBorders>
            <w:shd w:val="clear" w:color="auto" w:fill="auto"/>
          </w:tcPr>
          <w:p w14:paraId="36B6CCE7" w14:textId="77777777" w:rsidR="003A76A7" w:rsidRPr="006F79D6" w:rsidRDefault="003A76A7" w:rsidP="00C71521">
            <w:pPr>
              <w:rPr>
                <w:sz w:val="16"/>
              </w:rPr>
            </w:pPr>
            <w:r w:rsidRPr="006F79D6">
              <w:rPr>
                <w:sz w:val="16"/>
              </w:rPr>
              <w:t>AUD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shd w:val="clear" w:color="auto" w:fill="auto"/>
          </w:tcPr>
          <w:p w14:paraId="1DDF988E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  <w:tc>
          <w:tcPr>
            <w:tcW w:w="2715" w:type="dxa"/>
            <w:tcBorders>
              <w:top w:val="single" w:sz="12" w:space="0" w:color="auto"/>
            </w:tcBorders>
            <w:shd w:val="clear" w:color="auto" w:fill="auto"/>
          </w:tcPr>
          <w:p w14:paraId="25EC42E0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</w:tr>
      <w:tr w:rsidR="006F79D6" w:rsidRPr="006F79D6" w14:paraId="5FB02013" w14:textId="77777777" w:rsidTr="00DD03E2">
        <w:tc>
          <w:tcPr>
            <w:tcW w:w="3089" w:type="dxa"/>
            <w:shd w:val="clear" w:color="auto" w:fill="auto"/>
          </w:tcPr>
          <w:p w14:paraId="4AF4BB5E" w14:textId="77777777" w:rsidR="003A76A7" w:rsidRPr="006F79D6" w:rsidRDefault="003A76A7" w:rsidP="00C71521">
            <w:pPr>
              <w:rPr>
                <w:sz w:val="16"/>
              </w:rPr>
            </w:pPr>
            <w:r w:rsidRPr="006F79D6">
              <w:rPr>
                <w:sz w:val="16"/>
              </w:rPr>
              <w:t>USD</w:t>
            </w:r>
          </w:p>
        </w:tc>
        <w:tc>
          <w:tcPr>
            <w:tcW w:w="2562" w:type="dxa"/>
            <w:shd w:val="clear" w:color="auto" w:fill="auto"/>
          </w:tcPr>
          <w:p w14:paraId="29C4D5B3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  <w:tc>
          <w:tcPr>
            <w:tcW w:w="2715" w:type="dxa"/>
            <w:shd w:val="clear" w:color="auto" w:fill="auto"/>
          </w:tcPr>
          <w:p w14:paraId="7F46F19D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</w:tr>
      <w:tr w:rsidR="006F79D6" w:rsidRPr="006F79D6" w14:paraId="0FEAB302" w14:textId="77777777" w:rsidTr="00DD03E2">
        <w:tc>
          <w:tcPr>
            <w:tcW w:w="3089" w:type="dxa"/>
            <w:tcBorders>
              <w:bottom w:val="single" w:sz="2" w:space="0" w:color="auto"/>
            </w:tcBorders>
            <w:shd w:val="clear" w:color="auto" w:fill="auto"/>
          </w:tcPr>
          <w:p w14:paraId="02CB657A" w14:textId="77777777" w:rsidR="003A76A7" w:rsidRPr="006F79D6" w:rsidRDefault="003A76A7" w:rsidP="00C71521">
            <w:pPr>
              <w:rPr>
                <w:sz w:val="16"/>
              </w:rPr>
            </w:pPr>
            <w:r w:rsidRPr="006F79D6">
              <w:rPr>
                <w:sz w:val="16"/>
              </w:rPr>
              <w:t>Currencies of other developed markets</w:t>
            </w:r>
          </w:p>
        </w:tc>
        <w:tc>
          <w:tcPr>
            <w:tcW w:w="2562" w:type="dxa"/>
            <w:tcBorders>
              <w:bottom w:val="single" w:sz="2" w:space="0" w:color="auto"/>
            </w:tcBorders>
            <w:shd w:val="clear" w:color="auto" w:fill="auto"/>
          </w:tcPr>
          <w:p w14:paraId="5000B45D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  <w:tc>
          <w:tcPr>
            <w:tcW w:w="2715" w:type="dxa"/>
            <w:tcBorders>
              <w:bottom w:val="single" w:sz="2" w:space="0" w:color="auto"/>
            </w:tcBorders>
            <w:shd w:val="clear" w:color="auto" w:fill="auto"/>
          </w:tcPr>
          <w:p w14:paraId="461432B9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</w:tr>
      <w:tr w:rsidR="006F79D6" w:rsidRPr="006F79D6" w14:paraId="6057BE0C" w14:textId="77777777" w:rsidTr="00DD03E2">
        <w:tc>
          <w:tcPr>
            <w:tcW w:w="3089" w:type="dxa"/>
            <w:tcBorders>
              <w:bottom w:val="single" w:sz="12" w:space="0" w:color="auto"/>
            </w:tcBorders>
            <w:shd w:val="clear" w:color="auto" w:fill="auto"/>
          </w:tcPr>
          <w:p w14:paraId="39E2185D" w14:textId="77777777" w:rsidR="003A76A7" w:rsidRPr="006F79D6" w:rsidRDefault="003A76A7" w:rsidP="00C71521">
            <w:pPr>
              <w:rPr>
                <w:sz w:val="16"/>
              </w:rPr>
            </w:pPr>
            <w:r w:rsidRPr="006F79D6">
              <w:rPr>
                <w:sz w:val="16"/>
              </w:rPr>
              <w:t>Currencies of emerging markets</w:t>
            </w:r>
          </w:p>
        </w:tc>
        <w:tc>
          <w:tcPr>
            <w:tcW w:w="2562" w:type="dxa"/>
            <w:tcBorders>
              <w:bottom w:val="single" w:sz="12" w:space="0" w:color="auto"/>
            </w:tcBorders>
            <w:shd w:val="clear" w:color="auto" w:fill="auto"/>
          </w:tcPr>
          <w:p w14:paraId="31CD69F3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  <w:tc>
          <w:tcPr>
            <w:tcW w:w="2715" w:type="dxa"/>
            <w:tcBorders>
              <w:bottom w:val="single" w:sz="12" w:space="0" w:color="auto"/>
            </w:tcBorders>
            <w:shd w:val="clear" w:color="auto" w:fill="auto"/>
          </w:tcPr>
          <w:p w14:paraId="306651AA" w14:textId="77777777" w:rsidR="003A76A7" w:rsidRPr="006F79D6" w:rsidRDefault="003A76A7" w:rsidP="00C71521">
            <w:pPr>
              <w:pStyle w:val="Tabletext"/>
              <w:rPr>
                <w:sz w:val="16"/>
              </w:rPr>
            </w:pPr>
          </w:p>
        </w:tc>
      </w:tr>
    </w:tbl>
    <w:p w14:paraId="2122C3A7" w14:textId="77777777" w:rsidR="0098577D" w:rsidRPr="006F79D6" w:rsidRDefault="0098577D" w:rsidP="00A72B47">
      <w:pPr>
        <w:sectPr w:rsidR="0098577D" w:rsidRPr="006F79D6" w:rsidSect="00353E2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DB8A9B8" w14:textId="77777777" w:rsidR="00DB04DC" w:rsidRPr="006F79D6" w:rsidRDefault="00DB04DC" w:rsidP="0098577D"/>
    <w:sectPr w:rsidR="00DB04DC" w:rsidRPr="006F79D6" w:rsidSect="00353E2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25FB" w14:textId="77777777" w:rsidR="003E778F" w:rsidRDefault="003E778F" w:rsidP="00715914">
      <w:pPr>
        <w:spacing w:line="240" w:lineRule="auto"/>
      </w:pPr>
      <w:r>
        <w:separator/>
      </w:r>
    </w:p>
  </w:endnote>
  <w:endnote w:type="continuationSeparator" w:id="0">
    <w:p w14:paraId="479233C0" w14:textId="77777777" w:rsidR="003E778F" w:rsidRDefault="003E778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66D3" w14:textId="77777777" w:rsidR="002A1F47" w:rsidRPr="00353E22" w:rsidRDefault="00353E22" w:rsidP="00353E22">
    <w:pPr>
      <w:pStyle w:val="Footer"/>
      <w:rPr>
        <w:i/>
        <w:sz w:val="18"/>
      </w:rPr>
    </w:pPr>
    <w:r w:rsidRPr="00353E22">
      <w:rPr>
        <w:i/>
        <w:sz w:val="18"/>
      </w:rPr>
      <w:t>OPC65582 -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AFA2" w14:textId="77777777" w:rsidR="003E778F" w:rsidRPr="00D1021D" w:rsidRDefault="003E778F" w:rsidP="00DD03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E778F" w14:paraId="4E52060E" w14:textId="77777777" w:rsidTr="00A72B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2CB3B1" w14:textId="77777777" w:rsidR="003E778F" w:rsidRDefault="003E778F" w:rsidP="00A72B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65EF9" w14:textId="7388D7C5" w:rsidR="003E778F" w:rsidRDefault="003E778F" w:rsidP="00A72B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A64FD8" w14:textId="77777777" w:rsidR="003E778F" w:rsidRDefault="003E778F" w:rsidP="00A72B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BF3934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1EBD" w14:textId="77777777" w:rsidR="003E778F" w:rsidRPr="00E33C1C" w:rsidRDefault="003E778F" w:rsidP="00DD03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E778F" w14:paraId="1C8B1BC1" w14:textId="77777777" w:rsidTr="00A72B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E2A1A" w14:textId="77777777" w:rsidR="003E778F" w:rsidRDefault="003E778F" w:rsidP="00DD03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A20196" w14:textId="6F137C7C" w:rsidR="003E778F" w:rsidRDefault="003E778F" w:rsidP="00DD03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239EAD" w14:textId="77777777" w:rsidR="003E778F" w:rsidRDefault="003E778F" w:rsidP="00DD03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B48AD7" w14:textId="77777777" w:rsidR="003E778F" w:rsidRPr="00ED79B6" w:rsidRDefault="003E778F" w:rsidP="00DD03E2">
    <w:pPr>
      <w:rPr>
        <w:i/>
        <w:sz w:val="18"/>
      </w:rPr>
    </w:pPr>
  </w:p>
  <w:p w14:paraId="6C3F17C5" w14:textId="77777777" w:rsidR="003E778F" w:rsidRPr="00353E22" w:rsidRDefault="00353E22" w:rsidP="00353E22">
    <w:pPr>
      <w:pStyle w:val="Footer"/>
      <w:rPr>
        <w:i/>
        <w:sz w:val="18"/>
      </w:rPr>
    </w:pPr>
    <w:r w:rsidRPr="00353E22">
      <w:rPr>
        <w:i/>
        <w:sz w:val="18"/>
      </w:rPr>
      <w:t>OPC65582 -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0D60" w14:textId="77777777" w:rsidR="003E778F" w:rsidRPr="00E33C1C" w:rsidRDefault="003E77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778F" w14:paraId="41F9789E" w14:textId="77777777" w:rsidTr="002A1F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BDF303" w14:textId="77777777" w:rsidR="003E778F" w:rsidRDefault="003E778F" w:rsidP="00F641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20C3D0" w14:textId="74F5131C" w:rsidR="003E778F" w:rsidRDefault="003E778F" w:rsidP="00F641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04B0A6" w14:textId="77777777" w:rsidR="003E778F" w:rsidRDefault="003E778F" w:rsidP="00F641EC">
          <w:pPr>
            <w:spacing w:line="0" w:lineRule="atLeast"/>
            <w:jc w:val="right"/>
            <w:rPr>
              <w:sz w:val="18"/>
            </w:rPr>
          </w:pPr>
        </w:p>
      </w:tc>
    </w:tr>
  </w:tbl>
  <w:p w14:paraId="1A95149A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604C" w14:textId="77777777" w:rsidR="003E778F" w:rsidRPr="00E33C1C" w:rsidRDefault="003E77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E778F" w14:paraId="7EF30F44" w14:textId="77777777" w:rsidTr="00F641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710300" w14:textId="77777777" w:rsidR="003E778F" w:rsidRDefault="003E778F" w:rsidP="00F641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CE419" w14:textId="69F21AF8" w:rsidR="003E778F" w:rsidRDefault="003E778F" w:rsidP="00F641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178FC4" w14:textId="77777777" w:rsidR="003E778F" w:rsidRDefault="003E778F" w:rsidP="00F641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9DA554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1386" w14:textId="77777777" w:rsidR="003E778F" w:rsidRPr="00E33C1C" w:rsidRDefault="003E778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E778F" w14:paraId="3927015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33B8BF" w14:textId="77777777" w:rsidR="003E778F" w:rsidRDefault="003E778F" w:rsidP="00F641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4352A7" w14:textId="3CB410E0" w:rsidR="003E778F" w:rsidRDefault="003E778F" w:rsidP="00F641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C68D4A" w14:textId="77777777" w:rsidR="003E778F" w:rsidRDefault="003E778F" w:rsidP="00F641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6B1597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4160" w14:textId="77777777" w:rsidR="003E778F" w:rsidRDefault="003E778F" w:rsidP="007500C8">
    <w:pPr>
      <w:pStyle w:val="Footer"/>
    </w:pPr>
  </w:p>
  <w:p w14:paraId="7750C0AF" w14:textId="77777777" w:rsidR="003E778F" w:rsidRPr="00353E22" w:rsidRDefault="00353E22" w:rsidP="00353E22">
    <w:pPr>
      <w:pStyle w:val="Footer"/>
      <w:rPr>
        <w:i/>
        <w:sz w:val="18"/>
      </w:rPr>
    </w:pPr>
    <w:r w:rsidRPr="00353E22">
      <w:rPr>
        <w:i/>
        <w:sz w:val="18"/>
      </w:rPr>
      <w:t>OPC65582 -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90BA" w14:textId="77777777" w:rsidR="003E778F" w:rsidRPr="00353E22" w:rsidRDefault="00353E22" w:rsidP="00353E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53E22">
      <w:rPr>
        <w:i/>
        <w:sz w:val="18"/>
      </w:rPr>
      <w:t>OPC65582 -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D8C4" w14:textId="77777777" w:rsidR="003E778F" w:rsidRPr="00E33C1C" w:rsidRDefault="003E77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778F" w14:paraId="02E2AAA0" w14:textId="77777777" w:rsidTr="002A1F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3EBDA1" w14:textId="77777777" w:rsidR="003E778F" w:rsidRDefault="003E778F" w:rsidP="00F641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DAEF1" w14:textId="427F569B" w:rsidR="003E778F" w:rsidRDefault="003E778F" w:rsidP="00F641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2D2B4A" w14:textId="77777777" w:rsidR="003E778F" w:rsidRDefault="003E778F" w:rsidP="00F641EC">
          <w:pPr>
            <w:spacing w:line="0" w:lineRule="atLeast"/>
            <w:jc w:val="right"/>
            <w:rPr>
              <w:sz w:val="18"/>
            </w:rPr>
          </w:pPr>
        </w:p>
      </w:tc>
    </w:tr>
  </w:tbl>
  <w:p w14:paraId="4CB86F9A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F5CC" w14:textId="77777777" w:rsidR="003E778F" w:rsidRPr="00E33C1C" w:rsidRDefault="003E77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E778F" w14:paraId="2DD9CCD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5831E8" w14:textId="77777777" w:rsidR="003E778F" w:rsidRDefault="003E778F" w:rsidP="00F641E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67F5DDC" w14:textId="31D84D6C" w:rsidR="003E778F" w:rsidRDefault="003E778F" w:rsidP="00F641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0A3D4" w14:textId="77777777" w:rsidR="003E778F" w:rsidRDefault="003E778F" w:rsidP="00F641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9513C1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97DC" w14:textId="77777777" w:rsidR="003E778F" w:rsidRPr="00E33C1C" w:rsidRDefault="003E778F" w:rsidP="009857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778F" w14:paraId="2E835764" w14:textId="77777777" w:rsidTr="002A1F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9AC004" w14:textId="77777777" w:rsidR="003E778F" w:rsidRDefault="003E778F" w:rsidP="00A72B4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C54546" w14:textId="718DF9ED" w:rsidR="003E778F" w:rsidRDefault="003E778F" w:rsidP="00A72B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FF76F4" w14:textId="77777777" w:rsidR="003E778F" w:rsidRDefault="003E778F" w:rsidP="00A72B47">
          <w:pPr>
            <w:spacing w:line="0" w:lineRule="atLeast"/>
            <w:jc w:val="right"/>
            <w:rPr>
              <w:sz w:val="18"/>
            </w:rPr>
          </w:pPr>
        </w:p>
      </w:tc>
    </w:tr>
  </w:tbl>
  <w:p w14:paraId="7FBC6E9E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1165A" w14:textId="77777777" w:rsidR="003E778F" w:rsidRPr="00E33C1C" w:rsidRDefault="003E778F" w:rsidP="009857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E778F" w14:paraId="7B0ED065" w14:textId="77777777" w:rsidTr="00A72B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93629E" w14:textId="77777777" w:rsidR="003E778F" w:rsidRDefault="003E778F" w:rsidP="00A72B4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3B4521" w14:textId="6BC6BCF2" w:rsidR="003E778F" w:rsidRDefault="003E778F" w:rsidP="00A72B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D7D4E3" w14:textId="77777777" w:rsidR="003E778F" w:rsidRDefault="003E778F" w:rsidP="00A72B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5D9AEC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1113" w14:textId="77777777" w:rsidR="003E778F" w:rsidRPr="00E33C1C" w:rsidRDefault="003E778F" w:rsidP="009857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E778F" w14:paraId="10192858" w14:textId="77777777" w:rsidTr="00A72B4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EF0C0" w14:textId="77777777" w:rsidR="003E778F" w:rsidRDefault="003E778F" w:rsidP="009857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46D056" w14:textId="67606698" w:rsidR="003E778F" w:rsidRDefault="003E778F" w:rsidP="009857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B3643C" w14:textId="77777777" w:rsidR="003E778F" w:rsidRDefault="003E778F" w:rsidP="009857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2D6394" w14:textId="77777777" w:rsidR="003E778F" w:rsidRPr="00ED79B6" w:rsidRDefault="003E778F" w:rsidP="0098577D">
    <w:pPr>
      <w:rPr>
        <w:i/>
        <w:sz w:val="18"/>
      </w:rPr>
    </w:pPr>
  </w:p>
  <w:p w14:paraId="5851F3AA" w14:textId="77777777" w:rsidR="003E778F" w:rsidRPr="00353E22" w:rsidRDefault="00353E22" w:rsidP="00353E22">
    <w:pPr>
      <w:pStyle w:val="Footer"/>
      <w:rPr>
        <w:i/>
        <w:sz w:val="18"/>
      </w:rPr>
    </w:pPr>
    <w:r w:rsidRPr="00353E22">
      <w:rPr>
        <w:i/>
        <w:sz w:val="18"/>
      </w:rPr>
      <w:t>OPC65582 -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FDD7" w14:textId="77777777" w:rsidR="003E778F" w:rsidRPr="00FF448D" w:rsidRDefault="003E778F" w:rsidP="00DD03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778F" w14:paraId="478030AB" w14:textId="77777777" w:rsidTr="002A1F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B2D6D4" w14:textId="77777777" w:rsidR="003E778F" w:rsidRDefault="003E778F" w:rsidP="00A72B4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E865EB" w14:textId="1957FAD4" w:rsidR="003E778F" w:rsidRDefault="003E778F" w:rsidP="00A72B4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20B">
            <w:rPr>
              <w:i/>
              <w:sz w:val="18"/>
            </w:rPr>
            <w:t>Future Fund (Investment Funds Periodic Investment Report)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ADF95" w14:textId="77777777" w:rsidR="003E778F" w:rsidRDefault="003E778F" w:rsidP="00A72B47">
          <w:pPr>
            <w:spacing w:line="0" w:lineRule="atLeast"/>
            <w:jc w:val="right"/>
            <w:rPr>
              <w:sz w:val="18"/>
            </w:rPr>
          </w:pPr>
        </w:p>
      </w:tc>
    </w:tr>
  </w:tbl>
  <w:p w14:paraId="1BD7EC49" w14:textId="77777777" w:rsidR="003E778F" w:rsidRPr="00353E22" w:rsidRDefault="00353E22" w:rsidP="00353E22">
    <w:pPr>
      <w:rPr>
        <w:rFonts w:cs="Times New Roman"/>
        <w:i/>
        <w:sz w:val="18"/>
      </w:rPr>
    </w:pPr>
    <w:r w:rsidRPr="00353E22">
      <w:rPr>
        <w:rFonts w:cs="Times New Roman"/>
        <w:i/>
        <w:sz w:val="18"/>
      </w:rPr>
      <w:t>OPC65582 -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6532" w14:textId="77777777" w:rsidR="003E778F" w:rsidRDefault="003E778F" w:rsidP="00715914">
      <w:pPr>
        <w:spacing w:line="240" w:lineRule="auto"/>
      </w:pPr>
      <w:r>
        <w:separator/>
      </w:r>
    </w:p>
  </w:footnote>
  <w:footnote w:type="continuationSeparator" w:id="0">
    <w:p w14:paraId="4D3356D8" w14:textId="77777777" w:rsidR="003E778F" w:rsidRDefault="003E778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48DC" w14:textId="77777777" w:rsidR="003E778F" w:rsidRPr="005F1388" w:rsidRDefault="003E778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7F89" w14:textId="298CB0EA" w:rsidR="003E778F" w:rsidRPr="00D1021D" w:rsidRDefault="003E778F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5555C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5555C">
      <w:rPr>
        <w:noProof/>
        <w:sz w:val="20"/>
      </w:rPr>
      <w:t>Tables for periodic investment reporting</w:t>
    </w:r>
    <w:r w:rsidRPr="00D1021D">
      <w:rPr>
        <w:sz w:val="20"/>
      </w:rPr>
      <w:fldChar w:fldCharType="end"/>
    </w:r>
  </w:p>
  <w:p w14:paraId="5AEB8F06" w14:textId="70785922" w:rsidR="003E778F" w:rsidRPr="00D1021D" w:rsidRDefault="003E778F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14:paraId="19DAB45F" w14:textId="4DB9AAB4" w:rsidR="003E778F" w:rsidRPr="00D1021D" w:rsidRDefault="003E778F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76465628" w14:textId="77777777" w:rsidR="003E778F" w:rsidRPr="00DD03E2" w:rsidRDefault="003E778F" w:rsidP="00DD03E2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466C" w14:textId="120C7BD1" w:rsidR="003E778F" w:rsidRPr="00D1021D" w:rsidRDefault="003E778F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65555C">
      <w:rPr>
        <w:noProof/>
        <w:sz w:val="20"/>
      </w:rPr>
      <w:t>Tables for periodic investment reporting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65555C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14:paraId="0C597D4C" w14:textId="791B16C0" w:rsidR="003E778F" w:rsidRPr="00D1021D" w:rsidRDefault="003E778F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14:paraId="60287AD7" w14:textId="1933C4CA" w:rsidR="003E778F" w:rsidRPr="00D1021D" w:rsidRDefault="003E778F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0BFD66B8" w14:textId="77777777" w:rsidR="003E778F" w:rsidRPr="00DD03E2" w:rsidRDefault="003E778F" w:rsidP="00DD03E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6488" w14:textId="77777777" w:rsidR="003E778F" w:rsidRPr="00DD03E2" w:rsidRDefault="003E778F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7925" w14:textId="6C1CAE46" w:rsidR="003E778F" w:rsidRDefault="003E778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F220B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FF220B">
      <w:rPr>
        <w:noProof/>
        <w:sz w:val="20"/>
      </w:rPr>
      <w:t>Tables for periodic investment reporting</w:t>
    </w:r>
    <w:r>
      <w:rPr>
        <w:sz w:val="20"/>
      </w:rPr>
      <w:fldChar w:fldCharType="end"/>
    </w:r>
  </w:p>
  <w:p w14:paraId="246442D4" w14:textId="04E93FF6" w:rsidR="003E778F" w:rsidRDefault="003E778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564964F" w14:textId="2DC80335" w:rsidR="003E778F" w:rsidRPr="007A1328" w:rsidRDefault="003E778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EE72B20" w14:textId="77777777" w:rsidR="003E778F" w:rsidRPr="007A1328" w:rsidRDefault="003E778F" w:rsidP="00715914">
    <w:pPr>
      <w:rPr>
        <w:b/>
        <w:sz w:val="24"/>
      </w:rPr>
    </w:pPr>
  </w:p>
  <w:p w14:paraId="356E6BA7" w14:textId="7C7C1133" w:rsidR="003E778F" w:rsidRPr="007A1328" w:rsidRDefault="003E778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F220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F220B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3DDD" w14:textId="4A8DD13D" w:rsidR="003E778F" w:rsidRPr="007A1328" w:rsidRDefault="003E778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FF220B">
      <w:rPr>
        <w:noProof/>
        <w:sz w:val="20"/>
      </w:rPr>
      <w:t>Tables for periodic investment reporting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F220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25B37C1" w14:textId="4145E6E5" w:rsidR="003E778F" w:rsidRPr="007A1328" w:rsidRDefault="003E778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076B33E" w14:textId="0FEAADEC" w:rsidR="003E778F" w:rsidRPr="007A1328" w:rsidRDefault="003E778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4C719FC" w14:textId="77777777" w:rsidR="003E778F" w:rsidRPr="007A1328" w:rsidRDefault="003E778F" w:rsidP="00715914">
    <w:pPr>
      <w:jc w:val="right"/>
      <w:rPr>
        <w:b/>
        <w:sz w:val="24"/>
      </w:rPr>
    </w:pPr>
  </w:p>
  <w:p w14:paraId="653C7E75" w14:textId="711AEA95" w:rsidR="003E778F" w:rsidRPr="007A1328" w:rsidRDefault="003E778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F220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F220B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21B2" w14:textId="77777777" w:rsidR="003E778F" w:rsidRPr="007A1328" w:rsidRDefault="003E778F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49A7" w14:textId="77777777" w:rsidR="003E778F" w:rsidRPr="005F1388" w:rsidRDefault="003E778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7113" w14:textId="77777777" w:rsidR="003E778F" w:rsidRPr="005F1388" w:rsidRDefault="003E778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97BB" w14:textId="77777777" w:rsidR="003E778F" w:rsidRPr="00ED79B6" w:rsidRDefault="003E778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8AF3" w14:textId="77777777" w:rsidR="003E778F" w:rsidRPr="00ED79B6" w:rsidRDefault="003E778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E88B" w14:textId="77777777" w:rsidR="003E778F" w:rsidRPr="00ED79B6" w:rsidRDefault="003E778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67FA" w14:textId="410A6BB3" w:rsidR="003E778F" w:rsidRDefault="003E778F" w:rsidP="00A72B4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0E7C81A" w14:textId="0A18E090" w:rsidR="003E778F" w:rsidRDefault="003E778F" w:rsidP="00A72B4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6F43E9A" w14:textId="2CB9FC3E" w:rsidR="003E778F" w:rsidRPr="007A1328" w:rsidRDefault="003E778F" w:rsidP="00A72B4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312536B" w14:textId="77777777" w:rsidR="003E778F" w:rsidRPr="007A1328" w:rsidRDefault="003E778F" w:rsidP="00A72B47">
    <w:pPr>
      <w:rPr>
        <w:b/>
        <w:sz w:val="24"/>
      </w:rPr>
    </w:pPr>
  </w:p>
  <w:p w14:paraId="7116EF8F" w14:textId="2CDB6E19" w:rsidR="003E778F" w:rsidRPr="0098577D" w:rsidRDefault="003E778F" w:rsidP="0098577D">
    <w:pPr>
      <w:pBdr>
        <w:bottom w:val="single" w:sz="6" w:space="1" w:color="auto"/>
      </w:pBdr>
      <w:spacing w:after="120"/>
      <w:rPr>
        <w:sz w:val="24"/>
      </w:rPr>
    </w:pPr>
    <w:r w:rsidRPr="0098577D">
      <w:rPr>
        <w:sz w:val="24"/>
      </w:rPr>
      <w:fldChar w:fldCharType="begin"/>
    </w:r>
    <w:r w:rsidRPr="0098577D">
      <w:rPr>
        <w:sz w:val="24"/>
      </w:rPr>
      <w:instrText xml:space="preserve"> DOCPROPERTY  Header </w:instrText>
    </w:r>
    <w:r w:rsidRPr="0098577D">
      <w:rPr>
        <w:sz w:val="24"/>
      </w:rPr>
      <w:fldChar w:fldCharType="separate"/>
    </w:r>
    <w:r w:rsidR="00FF220B">
      <w:rPr>
        <w:sz w:val="24"/>
      </w:rPr>
      <w:t>Section</w:t>
    </w:r>
    <w:r w:rsidRPr="0098577D">
      <w:rPr>
        <w:sz w:val="24"/>
      </w:rPr>
      <w:fldChar w:fldCharType="end"/>
    </w:r>
    <w:r w:rsidRPr="0098577D">
      <w:rPr>
        <w:sz w:val="24"/>
      </w:rPr>
      <w:t xml:space="preserve"> </w:t>
    </w:r>
    <w:r w:rsidRPr="0098577D">
      <w:rPr>
        <w:sz w:val="24"/>
      </w:rPr>
      <w:fldChar w:fldCharType="begin"/>
    </w:r>
    <w:r w:rsidRPr="0098577D">
      <w:rPr>
        <w:sz w:val="24"/>
      </w:rPr>
      <w:instrText xml:space="preserve"> STYLEREF CharSectno </w:instrText>
    </w:r>
    <w:r w:rsidRPr="0098577D">
      <w:rPr>
        <w:sz w:val="24"/>
      </w:rPr>
      <w:fldChar w:fldCharType="separate"/>
    </w:r>
    <w:r w:rsidR="0065555C">
      <w:rPr>
        <w:noProof/>
        <w:sz w:val="24"/>
      </w:rPr>
      <w:t>5</w:t>
    </w:r>
    <w:r w:rsidRPr="0098577D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45F0" w14:textId="7FF2BFD0" w:rsidR="003E778F" w:rsidRPr="007A1328" w:rsidRDefault="003E778F" w:rsidP="00A72B4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8A1BDB0" w14:textId="0AA72795" w:rsidR="003E778F" w:rsidRPr="007A1328" w:rsidRDefault="003E778F" w:rsidP="00A72B4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FF6D6F1" w14:textId="2EF7BAB6" w:rsidR="003E778F" w:rsidRPr="007A1328" w:rsidRDefault="003E778F" w:rsidP="00A72B4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BA09267" w14:textId="77777777" w:rsidR="003E778F" w:rsidRPr="007A1328" w:rsidRDefault="003E778F" w:rsidP="00A72B47">
    <w:pPr>
      <w:jc w:val="right"/>
      <w:rPr>
        <w:b/>
        <w:sz w:val="24"/>
      </w:rPr>
    </w:pPr>
  </w:p>
  <w:p w14:paraId="2A1D2B66" w14:textId="7709C2FE" w:rsidR="003E778F" w:rsidRPr="0098577D" w:rsidRDefault="003E778F" w:rsidP="0098577D">
    <w:pPr>
      <w:pBdr>
        <w:bottom w:val="single" w:sz="6" w:space="1" w:color="auto"/>
      </w:pBdr>
      <w:spacing w:after="120"/>
      <w:jc w:val="right"/>
      <w:rPr>
        <w:sz w:val="24"/>
      </w:rPr>
    </w:pPr>
    <w:r w:rsidRPr="0098577D">
      <w:rPr>
        <w:sz w:val="24"/>
      </w:rPr>
      <w:fldChar w:fldCharType="begin"/>
    </w:r>
    <w:r w:rsidRPr="0098577D">
      <w:rPr>
        <w:sz w:val="24"/>
      </w:rPr>
      <w:instrText xml:space="preserve"> DOCPROPERTY  Header </w:instrText>
    </w:r>
    <w:r w:rsidRPr="0098577D">
      <w:rPr>
        <w:sz w:val="24"/>
      </w:rPr>
      <w:fldChar w:fldCharType="separate"/>
    </w:r>
    <w:r w:rsidR="00FF220B">
      <w:rPr>
        <w:sz w:val="24"/>
      </w:rPr>
      <w:t>Section</w:t>
    </w:r>
    <w:r w:rsidRPr="0098577D">
      <w:rPr>
        <w:sz w:val="24"/>
      </w:rPr>
      <w:fldChar w:fldCharType="end"/>
    </w:r>
    <w:r w:rsidRPr="0098577D">
      <w:rPr>
        <w:sz w:val="24"/>
      </w:rPr>
      <w:t xml:space="preserve"> </w:t>
    </w:r>
    <w:r w:rsidRPr="0098577D">
      <w:rPr>
        <w:sz w:val="24"/>
      </w:rPr>
      <w:fldChar w:fldCharType="begin"/>
    </w:r>
    <w:r w:rsidRPr="0098577D">
      <w:rPr>
        <w:sz w:val="24"/>
      </w:rPr>
      <w:instrText xml:space="preserve"> STYLEREF CharSectno </w:instrText>
    </w:r>
    <w:r w:rsidRPr="0098577D">
      <w:rPr>
        <w:sz w:val="24"/>
      </w:rPr>
      <w:fldChar w:fldCharType="separate"/>
    </w:r>
    <w:r w:rsidR="0065555C">
      <w:rPr>
        <w:noProof/>
        <w:sz w:val="24"/>
      </w:rPr>
      <w:t>1</w:t>
    </w:r>
    <w:r w:rsidRPr="0098577D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29688" w14:textId="77777777" w:rsidR="003E778F" w:rsidRPr="0098577D" w:rsidRDefault="003E778F" w:rsidP="00A72B47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B"/>
    <w:rsid w:val="00004470"/>
    <w:rsid w:val="000113E6"/>
    <w:rsid w:val="000136AF"/>
    <w:rsid w:val="00022B2C"/>
    <w:rsid w:val="000245AB"/>
    <w:rsid w:val="000437C1"/>
    <w:rsid w:val="000525F8"/>
    <w:rsid w:val="00052951"/>
    <w:rsid w:val="0005365D"/>
    <w:rsid w:val="000614BF"/>
    <w:rsid w:val="00080B2B"/>
    <w:rsid w:val="00085E2F"/>
    <w:rsid w:val="000B20DB"/>
    <w:rsid w:val="000B58FA"/>
    <w:rsid w:val="000B7E30"/>
    <w:rsid w:val="000D05EF"/>
    <w:rsid w:val="000E2261"/>
    <w:rsid w:val="000E7084"/>
    <w:rsid w:val="000F21C1"/>
    <w:rsid w:val="000F6563"/>
    <w:rsid w:val="0010430E"/>
    <w:rsid w:val="0010564E"/>
    <w:rsid w:val="0010745C"/>
    <w:rsid w:val="00112CE9"/>
    <w:rsid w:val="00120580"/>
    <w:rsid w:val="00123EF5"/>
    <w:rsid w:val="00132CEB"/>
    <w:rsid w:val="00142B62"/>
    <w:rsid w:val="00142FC6"/>
    <w:rsid w:val="0014539C"/>
    <w:rsid w:val="00147037"/>
    <w:rsid w:val="00153893"/>
    <w:rsid w:val="00157B8B"/>
    <w:rsid w:val="00166C2F"/>
    <w:rsid w:val="001721AC"/>
    <w:rsid w:val="001809D7"/>
    <w:rsid w:val="00190680"/>
    <w:rsid w:val="00192F05"/>
    <w:rsid w:val="001939E1"/>
    <w:rsid w:val="00194BEC"/>
    <w:rsid w:val="00194C3E"/>
    <w:rsid w:val="00195382"/>
    <w:rsid w:val="00195DCF"/>
    <w:rsid w:val="001A4D1C"/>
    <w:rsid w:val="001B4BAC"/>
    <w:rsid w:val="001C61C5"/>
    <w:rsid w:val="001C69C4"/>
    <w:rsid w:val="001D37EF"/>
    <w:rsid w:val="001D6621"/>
    <w:rsid w:val="001E3590"/>
    <w:rsid w:val="001E5EE7"/>
    <w:rsid w:val="001E7407"/>
    <w:rsid w:val="001F043B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548E"/>
    <w:rsid w:val="00247C0D"/>
    <w:rsid w:val="00254C42"/>
    <w:rsid w:val="002564A4"/>
    <w:rsid w:val="0026736C"/>
    <w:rsid w:val="00275C07"/>
    <w:rsid w:val="0027631D"/>
    <w:rsid w:val="00281308"/>
    <w:rsid w:val="00284719"/>
    <w:rsid w:val="00296E7A"/>
    <w:rsid w:val="00297ECB"/>
    <w:rsid w:val="002A0513"/>
    <w:rsid w:val="002A0DFF"/>
    <w:rsid w:val="002A1F47"/>
    <w:rsid w:val="002A7BCF"/>
    <w:rsid w:val="002B7061"/>
    <w:rsid w:val="002C4A40"/>
    <w:rsid w:val="002D043A"/>
    <w:rsid w:val="002D6224"/>
    <w:rsid w:val="002E3F4B"/>
    <w:rsid w:val="003002CB"/>
    <w:rsid w:val="00304F8B"/>
    <w:rsid w:val="003140F3"/>
    <w:rsid w:val="003354D2"/>
    <w:rsid w:val="00335BC6"/>
    <w:rsid w:val="003415D3"/>
    <w:rsid w:val="003418DC"/>
    <w:rsid w:val="00342CE5"/>
    <w:rsid w:val="00344701"/>
    <w:rsid w:val="00350D66"/>
    <w:rsid w:val="00352B0F"/>
    <w:rsid w:val="00353E22"/>
    <w:rsid w:val="00356690"/>
    <w:rsid w:val="00360459"/>
    <w:rsid w:val="003A76A7"/>
    <w:rsid w:val="003A7D35"/>
    <w:rsid w:val="003B77A7"/>
    <w:rsid w:val="003C6231"/>
    <w:rsid w:val="003C733E"/>
    <w:rsid w:val="003D0BFE"/>
    <w:rsid w:val="003D5700"/>
    <w:rsid w:val="003E341B"/>
    <w:rsid w:val="003E778F"/>
    <w:rsid w:val="00401904"/>
    <w:rsid w:val="0040448B"/>
    <w:rsid w:val="004116CD"/>
    <w:rsid w:val="00412AD8"/>
    <w:rsid w:val="004144EC"/>
    <w:rsid w:val="00417EB9"/>
    <w:rsid w:val="00424CA9"/>
    <w:rsid w:val="00431E9B"/>
    <w:rsid w:val="004379E3"/>
    <w:rsid w:val="00437B26"/>
    <w:rsid w:val="00437E5C"/>
    <w:rsid w:val="0044015E"/>
    <w:rsid w:val="0044291A"/>
    <w:rsid w:val="00444ABD"/>
    <w:rsid w:val="00445BFC"/>
    <w:rsid w:val="00461C81"/>
    <w:rsid w:val="00467661"/>
    <w:rsid w:val="004705B7"/>
    <w:rsid w:val="00472DBE"/>
    <w:rsid w:val="00474A19"/>
    <w:rsid w:val="004805DB"/>
    <w:rsid w:val="00496F97"/>
    <w:rsid w:val="004A184E"/>
    <w:rsid w:val="004B4922"/>
    <w:rsid w:val="004C4CD2"/>
    <w:rsid w:val="004C6AE8"/>
    <w:rsid w:val="004D3593"/>
    <w:rsid w:val="004E063A"/>
    <w:rsid w:val="004E7BEC"/>
    <w:rsid w:val="004F53FA"/>
    <w:rsid w:val="00505D3D"/>
    <w:rsid w:val="00506AF6"/>
    <w:rsid w:val="00510DA0"/>
    <w:rsid w:val="00516B8D"/>
    <w:rsid w:val="00537FBC"/>
    <w:rsid w:val="005407F5"/>
    <w:rsid w:val="00554954"/>
    <w:rsid w:val="005574D1"/>
    <w:rsid w:val="00571792"/>
    <w:rsid w:val="00583297"/>
    <w:rsid w:val="00584811"/>
    <w:rsid w:val="00585784"/>
    <w:rsid w:val="00593AA6"/>
    <w:rsid w:val="00594161"/>
    <w:rsid w:val="00594749"/>
    <w:rsid w:val="005A2864"/>
    <w:rsid w:val="005B4067"/>
    <w:rsid w:val="005C3F41"/>
    <w:rsid w:val="005D2D09"/>
    <w:rsid w:val="005E6B7B"/>
    <w:rsid w:val="005F5BB9"/>
    <w:rsid w:val="00600219"/>
    <w:rsid w:val="00603DC4"/>
    <w:rsid w:val="00604AD1"/>
    <w:rsid w:val="00606A0C"/>
    <w:rsid w:val="00615A4D"/>
    <w:rsid w:val="00620076"/>
    <w:rsid w:val="00631E9B"/>
    <w:rsid w:val="0065374C"/>
    <w:rsid w:val="0065555C"/>
    <w:rsid w:val="00670EA1"/>
    <w:rsid w:val="00677CC2"/>
    <w:rsid w:val="00680030"/>
    <w:rsid w:val="00686218"/>
    <w:rsid w:val="00687703"/>
    <w:rsid w:val="006905DE"/>
    <w:rsid w:val="0069207B"/>
    <w:rsid w:val="006944A8"/>
    <w:rsid w:val="006A46FD"/>
    <w:rsid w:val="006A74CE"/>
    <w:rsid w:val="006B5789"/>
    <w:rsid w:val="006C30C5"/>
    <w:rsid w:val="006C6694"/>
    <w:rsid w:val="006C702B"/>
    <w:rsid w:val="006C7F8C"/>
    <w:rsid w:val="006D43F4"/>
    <w:rsid w:val="006E6246"/>
    <w:rsid w:val="006F318F"/>
    <w:rsid w:val="006F37FB"/>
    <w:rsid w:val="006F4226"/>
    <w:rsid w:val="006F4C61"/>
    <w:rsid w:val="006F79D6"/>
    <w:rsid w:val="0070017E"/>
    <w:rsid w:val="00700B2C"/>
    <w:rsid w:val="007050A2"/>
    <w:rsid w:val="007104AE"/>
    <w:rsid w:val="00713084"/>
    <w:rsid w:val="00714F20"/>
    <w:rsid w:val="0071590F"/>
    <w:rsid w:val="00715914"/>
    <w:rsid w:val="00731E00"/>
    <w:rsid w:val="007440B7"/>
    <w:rsid w:val="007500C8"/>
    <w:rsid w:val="00750112"/>
    <w:rsid w:val="00756272"/>
    <w:rsid w:val="00760136"/>
    <w:rsid w:val="0076681A"/>
    <w:rsid w:val="00770AC6"/>
    <w:rsid w:val="007715C9"/>
    <w:rsid w:val="00771613"/>
    <w:rsid w:val="00774EDD"/>
    <w:rsid w:val="007757EC"/>
    <w:rsid w:val="00783139"/>
    <w:rsid w:val="00783E89"/>
    <w:rsid w:val="00793915"/>
    <w:rsid w:val="007C212A"/>
    <w:rsid w:val="007C2253"/>
    <w:rsid w:val="007D5A63"/>
    <w:rsid w:val="007D7B81"/>
    <w:rsid w:val="007E163D"/>
    <w:rsid w:val="007E667A"/>
    <w:rsid w:val="007F28C9"/>
    <w:rsid w:val="007F7098"/>
    <w:rsid w:val="008017C5"/>
    <w:rsid w:val="00802BD5"/>
    <w:rsid w:val="00803587"/>
    <w:rsid w:val="00807626"/>
    <w:rsid w:val="008117E9"/>
    <w:rsid w:val="00811853"/>
    <w:rsid w:val="00824498"/>
    <w:rsid w:val="00835267"/>
    <w:rsid w:val="00841740"/>
    <w:rsid w:val="00841FE3"/>
    <w:rsid w:val="0085654A"/>
    <w:rsid w:val="00856A31"/>
    <w:rsid w:val="00864B24"/>
    <w:rsid w:val="00867B37"/>
    <w:rsid w:val="008754D0"/>
    <w:rsid w:val="00875D8F"/>
    <w:rsid w:val="008855C9"/>
    <w:rsid w:val="00886456"/>
    <w:rsid w:val="00887738"/>
    <w:rsid w:val="008A46E1"/>
    <w:rsid w:val="008A4F43"/>
    <w:rsid w:val="008B2706"/>
    <w:rsid w:val="008C1135"/>
    <w:rsid w:val="008D0EE0"/>
    <w:rsid w:val="008E01BE"/>
    <w:rsid w:val="008E37F2"/>
    <w:rsid w:val="008E3AF1"/>
    <w:rsid w:val="008E6067"/>
    <w:rsid w:val="008E6184"/>
    <w:rsid w:val="008F0C48"/>
    <w:rsid w:val="008F1F61"/>
    <w:rsid w:val="008F319D"/>
    <w:rsid w:val="008F54E7"/>
    <w:rsid w:val="00903422"/>
    <w:rsid w:val="00915DF9"/>
    <w:rsid w:val="0092540F"/>
    <w:rsid w:val="009254C3"/>
    <w:rsid w:val="00932377"/>
    <w:rsid w:val="00937683"/>
    <w:rsid w:val="0094764A"/>
    <w:rsid w:val="00947D5A"/>
    <w:rsid w:val="009532A5"/>
    <w:rsid w:val="009702E5"/>
    <w:rsid w:val="00982242"/>
    <w:rsid w:val="0098577D"/>
    <w:rsid w:val="009868E9"/>
    <w:rsid w:val="009974C4"/>
    <w:rsid w:val="009B356F"/>
    <w:rsid w:val="009B5A0D"/>
    <w:rsid w:val="009B5AB3"/>
    <w:rsid w:val="009C29B2"/>
    <w:rsid w:val="009D2AD0"/>
    <w:rsid w:val="009E5CFC"/>
    <w:rsid w:val="00A01B73"/>
    <w:rsid w:val="00A079CB"/>
    <w:rsid w:val="00A12128"/>
    <w:rsid w:val="00A22C98"/>
    <w:rsid w:val="00A231E2"/>
    <w:rsid w:val="00A265E3"/>
    <w:rsid w:val="00A361F8"/>
    <w:rsid w:val="00A414D6"/>
    <w:rsid w:val="00A45DAA"/>
    <w:rsid w:val="00A52F42"/>
    <w:rsid w:val="00A60DFA"/>
    <w:rsid w:val="00A64912"/>
    <w:rsid w:val="00A70A74"/>
    <w:rsid w:val="00A72B47"/>
    <w:rsid w:val="00A73CFF"/>
    <w:rsid w:val="00A81D03"/>
    <w:rsid w:val="00A84ADD"/>
    <w:rsid w:val="00A97B1A"/>
    <w:rsid w:val="00AB1FB3"/>
    <w:rsid w:val="00AB4D57"/>
    <w:rsid w:val="00AC64FF"/>
    <w:rsid w:val="00AC7D84"/>
    <w:rsid w:val="00AD2C4D"/>
    <w:rsid w:val="00AD2E72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2EF5"/>
    <w:rsid w:val="00B33285"/>
    <w:rsid w:val="00B33709"/>
    <w:rsid w:val="00B33B3C"/>
    <w:rsid w:val="00B36556"/>
    <w:rsid w:val="00B40FE1"/>
    <w:rsid w:val="00B426BE"/>
    <w:rsid w:val="00B438DB"/>
    <w:rsid w:val="00B44D9D"/>
    <w:rsid w:val="00B45132"/>
    <w:rsid w:val="00B458A0"/>
    <w:rsid w:val="00B50ADC"/>
    <w:rsid w:val="00B566B1"/>
    <w:rsid w:val="00B63834"/>
    <w:rsid w:val="00B65F8A"/>
    <w:rsid w:val="00B72734"/>
    <w:rsid w:val="00B7402C"/>
    <w:rsid w:val="00B74CD4"/>
    <w:rsid w:val="00B75B54"/>
    <w:rsid w:val="00B80199"/>
    <w:rsid w:val="00B83204"/>
    <w:rsid w:val="00B8767F"/>
    <w:rsid w:val="00B9240C"/>
    <w:rsid w:val="00BA0C87"/>
    <w:rsid w:val="00BA220B"/>
    <w:rsid w:val="00BA264A"/>
    <w:rsid w:val="00BA3A57"/>
    <w:rsid w:val="00BA691F"/>
    <w:rsid w:val="00BB1A9F"/>
    <w:rsid w:val="00BB4E1A"/>
    <w:rsid w:val="00BC015E"/>
    <w:rsid w:val="00BC76AC"/>
    <w:rsid w:val="00BD0ECB"/>
    <w:rsid w:val="00BE2155"/>
    <w:rsid w:val="00BE2213"/>
    <w:rsid w:val="00BE4C1F"/>
    <w:rsid w:val="00BE4DDD"/>
    <w:rsid w:val="00BE719A"/>
    <w:rsid w:val="00BE720A"/>
    <w:rsid w:val="00BF0D73"/>
    <w:rsid w:val="00BF2465"/>
    <w:rsid w:val="00C076DC"/>
    <w:rsid w:val="00C25E7F"/>
    <w:rsid w:val="00C2746F"/>
    <w:rsid w:val="00C324A0"/>
    <w:rsid w:val="00C3300F"/>
    <w:rsid w:val="00C42BF8"/>
    <w:rsid w:val="00C50043"/>
    <w:rsid w:val="00C54B61"/>
    <w:rsid w:val="00C55C33"/>
    <w:rsid w:val="00C64FE1"/>
    <w:rsid w:val="00C71521"/>
    <w:rsid w:val="00C7573B"/>
    <w:rsid w:val="00C80741"/>
    <w:rsid w:val="00C921AB"/>
    <w:rsid w:val="00C93C03"/>
    <w:rsid w:val="00CB2C8E"/>
    <w:rsid w:val="00CB602E"/>
    <w:rsid w:val="00CE051D"/>
    <w:rsid w:val="00CE1335"/>
    <w:rsid w:val="00CE493D"/>
    <w:rsid w:val="00CF00BB"/>
    <w:rsid w:val="00CF07FA"/>
    <w:rsid w:val="00CF0BB2"/>
    <w:rsid w:val="00CF23CB"/>
    <w:rsid w:val="00CF27DD"/>
    <w:rsid w:val="00CF3EE8"/>
    <w:rsid w:val="00D03892"/>
    <w:rsid w:val="00D050E6"/>
    <w:rsid w:val="00D07A93"/>
    <w:rsid w:val="00D13441"/>
    <w:rsid w:val="00D150E7"/>
    <w:rsid w:val="00D15A93"/>
    <w:rsid w:val="00D179EA"/>
    <w:rsid w:val="00D32F65"/>
    <w:rsid w:val="00D44C48"/>
    <w:rsid w:val="00D47E3B"/>
    <w:rsid w:val="00D52DC2"/>
    <w:rsid w:val="00D53BCC"/>
    <w:rsid w:val="00D56137"/>
    <w:rsid w:val="00D6518C"/>
    <w:rsid w:val="00D67B12"/>
    <w:rsid w:val="00D67E8A"/>
    <w:rsid w:val="00D70DFB"/>
    <w:rsid w:val="00D750CD"/>
    <w:rsid w:val="00D766DF"/>
    <w:rsid w:val="00D87B3D"/>
    <w:rsid w:val="00D91A21"/>
    <w:rsid w:val="00DA186E"/>
    <w:rsid w:val="00DA4116"/>
    <w:rsid w:val="00DB04DC"/>
    <w:rsid w:val="00DB251C"/>
    <w:rsid w:val="00DB4630"/>
    <w:rsid w:val="00DC4F88"/>
    <w:rsid w:val="00DD03E2"/>
    <w:rsid w:val="00DD3A5F"/>
    <w:rsid w:val="00DD4385"/>
    <w:rsid w:val="00E05704"/>
    <w:rsid w:val="00E11E44"/>
    <w:rsid w:val="00E30CED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35D2"/>
    <w:rsid w:val="00EB6AD0"/>
    <w:rsid w:val="00EC31AB"/>
    <w:rsid w:val="00ED2BB6"/>
    <w:rsid w:val="00ED34E1"/>
    <w:rsid w:val="00ED3B8D"/>
    <w:rsid w:val="00ED659C"/>
    <w:rsid w:val="00EE41D8"/>
    <w:rsid w:val="00EF0435"/>
    <w:rsid w:val="00EF2E3A"/>
    <w:rsid w:val="00EF4320"/>
    <w:rsid w:val="00F072A7"/>
    <w:rsid w:val="00F078DC"/>
    <w:rsid w:val="00F17C9D"/>
    <w:rsid w:val="00F32BA8"/>
    <w:rsid w:val="00F349F1"/>
    <w:rsid w:val="00F4350D"/>
    <w:rsid w:val="00F43512"/>
    <w:rsid w:val="00F53479"/>
    <w:rsid w:val="00F567F7"/>
    <w:rsid w:val="00F62036"/>
    <w:rsid w:val="00F641EC"/>
    <w:rsid w:val="00F65B52"/>
    <w:rsid w:val="00F67BCA"/>
    <w:rsid w:val="00F73BD6"/>
    <w:rsid w:val="00F8304C"/>
    <w:rsid w:val="00F83989"/>
    <w:rsid w:val="00F85099"/>
    <w:rsid w:val="00F93253"/>
    <w:rsid w:val="00F9379C"/>
    <w:rsid w:val="00F9632C"/>
    <w:rsid w:val="00FA1E52"/>
    <w:rsid w:val="00FA7AA1"/>
    <w:rsid w:val="00FB1409"/>
    <w:rsid w:val="00FB2295"/>
    <w:rsid w:val="00FB7C3E"/>
    <w:rsid w:val="00FC34F2"/>
    <w:rsid w:val="00FE4688"/>
    <w:rsid w:val="00FE53ED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7B43D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056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6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6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6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56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56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56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56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56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56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564E"/>
  </w:style>
  <w:style w:type="paragraph" w:customStyle="1" w:styleId="OPCParaBase">
    <w:name w:val="OPCParaBase"/>
    <w:qFormat/>
    <w:rsid w:val="001056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56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56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56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56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56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56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56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56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56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56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564E"/>
  </w:style>
  <w:style w:type="paragraph" w:customStyle="1" w:styleId="Blocks">
    <w:name w:val="Blocks"/>
    <w:aliases w:val="bb"/>
    <w:basedOn w:val="OPCParaBase"/>
    <w:qFormat/>
    <w:rsid w:val="001056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56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564E"/>
    <w:rPr>
      <w:i/>
    </w:rPr>
  </w:style>
  <w:style w:type="paragraph" w:customStyle="1" w:styleId="BoxList">
    <w:name w:val="BoxList"/>
    <w:aliases w:val="bl"/>
    <w:basedOn w:val="BoxText"/>
    <w:qFormat/>
    <w:rsid w:val="001056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56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56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564E"/>
    <w:pPr>
      <w:ind w:left="1985" w:hanging="851"/>
    </w:pPr>
  </w:style>
  <w:style w:type="character" w:customStyle="1" w:styleId="CharAmPartNo">
    <w:name w:val="CharAmPartNo"/>
    <w:basedOn w:val="OPCCharBase"/>
    <w:qFormat/>
    <w:rsid w:val="0010564E"/>
  </w:style>
  <w:style w:type="character" w:customStyle="1" w:styleId="CharAmPartText">
    <w:name w:val="CharAmPartText"/>
    <w:basedOn w:val="OPCCharBase"/>
    <w:qFormat/>
    <w:rsid w:val="0010564E"/>
  </w:style>
  <w:style w:type="character" w:customStyle="1" w:styleId="CharAmSchNo">
    <w:name w:val="CharAmSchNo"/>
    <w:basedOn w:val="OPCCharBase"/>
    <w:qFormat/>
    <w:rsid w:val="0010564E"/>
  </w:style>
  <w:style w:type="character" w:customStyle="1" w:styleId="CharAmSchText">
    <w:name w:val="CharAmSchText"/>
    <w:basedOn w:val="OPCCharBase"/>
    <w:qFormat/>
    <w:rsid w:val="0010564E"/>
  </w:style>
  <w:style w:type="character" w:customStyle="1" w:styleId="CharBoldItalic">
    <w:name w:val="CharBoldItalic"/>
    <w:basedOn w:val="OPCCharBase"/>
    <w:uiPriority w:val="1"/>
    <w:qFormat/>
    <w:rsid w:val="001056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564E"/>
  </w:style>
  <w:style w:type="character" w:customStyle="1" w:styleId="CharChapText">
    <w:name w:val="CharChapText"/>
    <w:basedOn w:val="OPCCharBase"/>
    <w:uiPriority w:val="1"/>
    <w:qFormat/>
    <w:rsid w:val="0010564E"/>
  </w:style>
  <w:style w:type="character" w:customStyle="1" w:styleId="CharDivNo">
    <w:name w:val="CharDivNo"/>
    <w:basedOn w:val="OPCCharBase"/>
    <w:uiPriority w:val="1"/>
    <w:qFormat/>
    <w:rsid w:val="0010564E"/>
  </w:style>
  <w:style w:type="character" w:customStyle="1" w:styleId="CharDivText">
    <w:name w:val="CharDivText"/>
    <w:basedOn w:val="OPCCharBase"/>
    <w:uiPriority w:val="1"/>
    <w:qFormat/>
    <w:rsid w:val="0010564E"/>
  </w:style>
  <w:style w:type="character" w:customStyle="1" w:styleId="CharItalic">
    <w:name w:val="CharItalic"/>
    <w:basedOn w:val="OPCCharBase"/>
    <w:uiPriority w:val="1"/>
    <w:qFormat/>
    <w:rsid w:val="0010564E"/>
    <w:rPr>
      <w:i/>
    </w:rPr>
  </w:style>
  <w:style w:type="character" w:customStyle="1" w:styleId="CharPartNo">
    <w:name w:val="CharPartNo"/>
    <w:basedOn w:val="OPCCharBase"/>
    <w:uiPriority w:val="1"/>
    <w:qFormat/>
    <w:rsid w:val="0010564E"/>
  </w:style>
  <w:style w:type="character" w:customStyle="1" w:styleId="CharPartText">
    <w:name w:val="CharPartText"/>
    <w:basedOn w:val="OPCCharBase"/>
    <w:uiPriority w:val="1"/>
    <w:qFormat/>
    <w:rsid w:val="0010564E"/>
  </w:style>
  <w:style w:type="character" w:customStyle="1" w:styleId="CharSectno">
    <w:name w:val="CharSectno"/>
    <w:basedOn w:val="OPCCharBase"/>
    <w:qFormat/>
    <w:rsid w:val="0010564E"/>
  </w:style>
  <w:style w:type="character" w:customStyle="1" w:styleId="CharSubdNo">
    <w:name w:val="CharSubdNo"/>
    <w:basedOn w:val="OPCCharBase"/>
    <w:uiPriority w:val="1"/>
    <w:qFormat/>
    <w:rsid w:val="0010564E"/>
  </w:style>
  <w:style w:type="character" w:customStyle="1" w:styleId="CharSubdText">
    <w:name w:val="CharSubdText"/>
    <w:basedOn w:val="OPCCharBase"/>
    <w:uiPriority w:val="1"/>
    <w:qFormat/>
    <w:rsid w:val="0010564E"/>
  </w:style>
  <w:style w:type="paragraph" w:customStyle="1" w:styleId="CTA--">
    <w:name w:val="CTA --"/>
    <w:basedOn w:val="OPCParaBase"/>
    <w:next w:val="Normal"/>
    <w:rsid w:val="001056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56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56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56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56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56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56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56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56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56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56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56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56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56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056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56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056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5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5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5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56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56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56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56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56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56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56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56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56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56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56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56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56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56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56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056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56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56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56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56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56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56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56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56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56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56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56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56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56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56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56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56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56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56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056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056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056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056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056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056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056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056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056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056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56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56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56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56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56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56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56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0564E"/>
    <w:rPr>
      <w:sz w:val="16"/>
    </w:rPr>
  </w:style>
  <w:style w:type="table" w:customStyle="1" w:styleId="CFlag">
    <w:name w:val="CFlag"/>
    <w:basedOn w:val="TableNormal"/>
    <w:uiPriority w:val="99"/>
    <w:rsid w:val="001056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05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56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056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56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56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56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56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564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056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056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056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56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056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56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56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56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56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56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56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56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56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56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0564E"/>
  </w:style>
  <w:style w:type="character" w:customStyle="1" w:styleId="CharSubPartNoCASA">
    <w:name w:val="CharSubPartNo(CASA)"/>
    <w:basedOn w:val="OPCCharBase"/>
    <w:uiPriority w:val="1"/>
    <w:rsid w:val="0010564E"/>
  </w:style>
  <w:style w:type="paragraph" w:customStyle="1" w:styleId="ENoteTTIndentHeadingSub">
    <w:name w:val="ENoteTTIndentHeadingSub"/>
    <w:aliases w:val="enTTHis"/>
    <w:basedOn w:val="OPCParaBase"/>
    <w:rsid w:val="001056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56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56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56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056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56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564E"/>
    <w:rPr>
      <w:sz w:val="22"/>
    </w:rPr>
  </w:style>
  <w:style w:type="paragraph" w:customStyle="1" w:styleId="SOTextNote">
    <w:name w:val="SO TextNote"/>
    <w:aliases w:val="sont"/>
    <w:basedOn w:val="SOText"/>
    <w:qFormat/>
    <w:rsid w:val="001056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56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564E"/>
    <w:rPr>
      <w:sz w:val="22"/>
    </w:rPr>
  </w:style>
  <w:style w:type="paragraph" w:customStyle="1" w:styleId="FileName">
    <w:name w:val="FileName"/>
    <w:basedOn w:val="Normal"/>
    <w:rsid w:val="0010564E"/>
  </w:style>
  <w:style w:type="paragraph" w:customStyle="1" w:styleId="TableHeading">
    <w:name w:val="TableHeading"/>
    <w:aliases w:val="th"/>
    <w:basedOn w:val="OPCParaBase"/>
    <w:next w:val="Tabletext"/>
    <w:rsid w:val="001056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56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56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56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56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56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56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56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56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56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56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056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56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56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6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056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56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56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56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056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05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056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0564E"/>
    <w:pPr>
      <w:ind w:left="240" w:hanging="240"/>
    </w:pPr>
  </w:style>
  <w:style w:type="paragraph" w:styleId="Index2">
    <w:name w:val="index 2"/>
    <w:basedOn w:val="Normal"/>
    <w:next w:val="Normal"/>
    <w:autoRedefine/>
    <w:rsid w:val="0010564E"/>
    <w:pPr>
      <w:ind w:left="480" w:hanging="240"/>
    </w:pPr>
  </w:style>
  <w:style w:type="paragraph" w:styleId="Index3">
    <w:name w:val="index 3"/>
    <w:basedOn w:val="Normal"/>
    <w:next w:val="Normal"/>
    <w:autoRedefine/>
    <w:rsid w:val="0010564E"/>
    <w:pPr>
      <w:ind w:left="720" w:hanging="240"/>
    </w:pPr>
  </w:style>
  <w:style w:type="paragraph" w:styleId="Index4">
    <w:name w:val="index 4"/>
    <w:basedOn w:val="Normal"/>
    <w:next w:val="Normal"/>
    <w:autoRedefine/>
    <w:rsid w:val="0010564E"/>
    <w:pPr>
      <w:ind w:left="960" w:hanging="240"/>
    </w:pPr>
  </w:style>
  <w:style w:type="paragraph" w:styleId="Index5">
    <w:name w:val="index 5"/>
    <w:basedOn w:val="Normal"/>
    <w:next w:val="Normal"/>
    <w:autoRedefine/>
    <w:rsid w:val="0010564E"/>
    <w:pPr>
      <w:ind w:left="1200" w:hanging="240"/>
    </w:pPr>
  </w:style>
  <w:style w:type="paragraph" w:styleId="Index6">
    <w:name w:val="index 6"/>
    <w:basedOn w:val="Normal"/>
    <w:next w:val="Normal"/>
    <w:autoRedefine/>
    <w:rsid w:val="0010564E"/>
    <w:pPr>
      <w:ind w:left="1440" w:hanging="240"/>
    </w:pPr>
  </w:style>
  <w:style w:type="paragraph" w:styleId="Index7">
    <w:name w:val="index 7"/>
    <w:basedOn w:val="Normal"/>
    <w:next w:val="Normal"/>
    <w:autoRedefine/>
    <w:rsid w:val="0010564E"/>
    <w:pPr>
      <w:ind w:left="1680" w:hanging="240"/>
    </w:pPr>
  </w:style>
  <w:style w:type="paragraph" w:styleId="Index8">
    <w:name w:val="index 8"/>
    <w:basedOn w:val="Normal"/>
    <w:next w:val="Normal"/>
    <w:autoRedefine/>
    <w:rsid w:val="0010564E"/>
    <w:pPr>
      <w:ind w:left="1920" w:hanging="240"/>
    </w:pPr>
  </w:style>
  <w:style w:type="paragraph" w:styleId="Index9">
    <w:name w:val="index 9"/>
    <w:basedOn w:val="Normal"/>
    <w:next w:val="Normal"/>
    <w:autoRedefine/>
    <w:rsid w:val="0010564E"/>
    <w:pPr>
      <w:ind w:left="2160" w:hanging="240"/>
    </w:pPr>
  </w:style>
  <w:style w:type="paragraph" w:styleId="NormalIndent">
    <w:name w:val="Normal Indent"/>
    <w:basedOn w:val="Normal"/>
    <w:rsid w:val="0010564E"/>
    <w:pPr>
      <w:ind w:left="720"/>
    </w:pPr>
  </w:style>
  <w:style w:type="paragraph" w:styleId="FootnoteText">
    <w:name w:val="footnote text"/>
    <w:basedOn w:val="Normal"/>
    <w:link w:val="FootnoteTextChar"/>
    <w:rsid w:val="001056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564E"/>
  </w:style>
  <w:style w:type="paragraph" w:styleId="CommentText">
    <w:name w:val="annotation text"/>
    <w:basedOn w:val="Normal"/>
    <w:link w:val="CommentTextChar"/>
    <w:rsid w:val="001056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564E"/>
  </w:style>
  <w:style w:type="paragraph" w:styleId="IndexHeading">
    <w:name w:val="index heading"/>
    <w:basedOn w:val="Normal"/>
    <w:next w:val="Index1"/>
    <w:rsid w:val="001056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056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0564E"/>
    <w:pPr>
      <w:ind w:left="480" w:hanging="480"/>
    </w:pPr>
  </w:style>
  <w:style w:type="paragraph" w:styleId="EnvelopeAddress">
    <w:name w:val="envelope address"/>
    <w:basedOn w:val="Normal"/>
    <w:rsid w:val="001056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056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056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0564E"/>
    <w:rPr>
      <w:sz w:val="16"/>
      <w:szCs w:val="16"/>
    </w:rPr>
  </w:style>
  <w:style w:type="character" w:styleId="PageNumber">
    <w:name w:val="page number"/>
    <w:basedOn w:val="DefaultParagraphFont"/>
    <w:rsid w:val="0010564E"/>
  </w:style>
  <w:style w:type="character" w:styleId="EndnoteReference">
    <w:name w:val="endnote reference"/>
    <w:basedOn w:val="DefaultParagraphFont"/>
    <w:rsid w:val="0010564E"/>
    <w:rPr>
      <w:vertAlign w:val="superscript"/>
    </w:rPr>
  </w:style>
  <w:style w:type="paragraph" w:styleId="EndnoteText">
    <w:name w:val="endnote text"/>
    <w:basedOn w:val="Normal"/>
    <w:link w:val="EndnoteTextChar"/>
    <w:rsid w:val="001056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0564E"/>
  </w:style>
  <w:style w:type="paragraph" w:styleId="TableofAuthorities">
    <w:name w:val="table of authorities"/>
    <w:basedOn w:val="Normal"/>
    <w:next w:val="Normal"/>
    <w:rsid w:val="0010564E"/>
    <w:pPr>
      <w:ind w:left="240" w:hanging="240"/>
    </w:pPr>
  </w:style>
  <w:style w:type="paragraph" w:styleId="MacroText">
    <w:name w:val="macro"/>
    <w:link w:val="MacroTextChar"/>
    <w:rsid w:val="001056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056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056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0564E"/>
    <w:pPr>
      <w:ind w:left="283" w:hanging="283"/>
    </w:pPr>
  </w:style>
  <w:style w:type="paragraph" w:styleId="ListBullet">
    <w:name w:val="List Bullet"/>
    <w:basedOn w:val="Normal"/>
    <w:autoRedefine/>
    <w:rsid w:val="001056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056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0564E"/>
    <w:pPr>
      <w:ind w:left="566" w:hanging="283"/>
    </w:pPr>
  </w:style>
  <w:style w:type="paragraph" w:styleId="List3">
    <w:name w:val="List 3"/>
    <w:basedOn w:val="Normal"/>
    <w:rsid w:val="0010564E"/>
    <w:pPr>
      <w:ind w:left="849" w:hanging="283"/>
    </w:pPr>
  </w:style>
  <w:style w:type="paragraph" w:styleId="List4">
    <w:name w:val="List 4"/>
    <w:basedOn w:val="Normal"/>
    <w:rsid w:val="0010564E"/>
    <w:pPr>
      <w:ind w:left="1132" w:hanging="283"/>
    </w:pPr>
  </w:style>
  <w:style w:type="paragraph" w:styleId="List5">
    <w:name w:val="List 5"/>
    <w:basedOn w:val="Normal"/>
    <w:rsid w:val="0010564E"/>
    <w:pPr>
      <w:ind w:left="1415" w:hanging="283"/>
    </w:pPr>
  </w:style>
  <w:style w:type="paragraph" w:styleId="ListBullet2">
    <w:name w:val="List Bullet 2"/>
    <w:basedOn w:val="Normal"/>
    <w:autoRedefine/>
    <w:rsid w:val="001056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056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056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056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056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056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056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056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056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056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0564E"/>
    <w:pPr>
      <w:ind w:left="4252"/>
    </w:pPr>
  </w:style>
  <w:style w:type="character" w:customStyle="1" w:styleId="ClosingChar">
    <w:name w:val="Closing Char"/>
    <w:basedOn w:val="DefaultParagraphFont"/>
    <w:link w:val="Closing"/>
    <w:rsid w:val="0010564E"/>
    <w:rPr>
      <w:sz w:val="22"/>
    </w:rPr>
  </w:style>
  <w:style w:type="paragraph" w:styleId="Signature">
    <w:name w:val="Signature"/>
    <w:basedOn w:val="Normal"/>
    <w:link w:val="SignatureChar"/>
    <w:rsid w:val="001056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0564E"/>
    <w:rPr>
      <w:sz w:val="22"/>
    </w:rPr>
  </w:style>
  <w:style w:type="paragraph" w:styleId="BodyText">
    <w:name w:val="Body Text"/>
    <w:basedOn w:val="Normal"/>
    <w:link w:val="BodyTextChar"/>
    <w:rsid w:val="001056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64E"/>
    <w:rPr>
      <w:sz w:val="22"/>
    </w:rPr>
  </w:style>
  <w:style w:type="paragraph" w:styleId="BodyTextIndent">
    <w:name w:val="Body Text Indent"/>
    <w:basedOn w:val="Normal"/>
    <w:link w:val="BodyTextIndentChar"/>
    <w:rsid w:val="001056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564E"/>
    <w:rPr>
      <w:sz w:val="22"/>
    </w:rPr>
  </w:style>
  <w:style w:type="paragraph" w:styleId="ListContinue">
    <w:name w:val="List Continue"/>
    <w:basedOn w:val="Normal"/>
    <w:rsid w:val="0010564E"/>
    <w:pPr>
      <w:spacing w:after="120"/>
      <w:ind w:left="283"/>
    </w:pPr>
  </w:style>
  <w:style w:type="paragraph" w:styleId="ListContinue2">
    <w:name w:val="List Continue 2"/>
    <w:basedOn w:val="Normal"/>
    <w:rsid w:val="0010564E"/>
    <w:pPr>
      <w:spacing w:after="120"/>
      <w:ind w:left="566"/>
    </w:pPr>
  </w:style>
  <w:style w:type="paragraph" w:styleId="ListContinue3">
    <w:name w:val="List Continue 3"/>
    <w:basedOn w:val="Normal"/>
    <w:rsid w:val="0010564E"/>
    <w:pPr>
      <w:spacing w:after="120"/>
      <w:ind w:left="849"/>
    </w:pPr>
  </w:style>
  <w:style w:type="paragraph" w:styleId="ListContinue4">
    <w:name w:val="List Continue 4"/>
    <w:basedOn w:val="Normal"/>
    <w:rsid w:val="0010564E"/>
    <w:pPr>
      <w:spacing w:after="120"/>
      <w:ind w:left="1132"/>
    </w:pPr>
  </w:style>
  <w:style w:type="paragraph" w:styleId="ListContinue5">
    <w:name w:val="List Continue 5"/>
    <w:basedOn w:val="Normal"/>
    <w:rsid w:val="001056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056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056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056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056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0564E"/>
  </w:style>
  <w:style w:type="character" w:customStyle="1" w:styleId="SalutationChar">
    <w:name w:val="Salutation Char"/>
    <w:basedOn w:val="DefaultParagraphFont"/>
    <w:link w:val="Salutation"/>
    <w:rsid w:val="0010564E"/>
    <w:rPr>
      <w:sz w:val="22"/>
    </w:rPr>
  </w:style>
  <w:style w:type="paragraph" w:styleId="Date">
    <w:name w:val="Date"/>
    <w:basedOn w:val="Normal"/>
    <w:next w:val="Normal"/>
    <w:link w:val="DateChar"/>
    <w:rsid w:val="0010564E"/>
  </w:style>
  <w:style w:type="character" w:customStyle="1" w:styleId="DateChar">
    <w:name w:val="Date Char"/>
    <w:basedOn w:val="DefaultParagraphFont"/>
    <w:link w:val="Date"/>
    <w:rsid w:val="0010564E"/>
    <w:rPr>
      <w:sz w:val="22"/>
    </w:rPr>
  </w:style>
  <w:style w:type="paragraph" w:styleId="BodyTextFirstIndent">
    <w:name w:val="Body Text First Indent"/>
    <w:basedOn w:val="BodyText"/>
    <w:link w:val="BodyTextFirstIndentChar"/>
    <w:rsid w:val="001056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056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056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0564E"/>
    <w:rPr>
      <w:sz w:val="22"/>
    </w:rPr>
  </w:style>
  <w:style w:type="paragraph" w:styleId="BodyText2">
    <w:name w:val="Body Text 2"/>
    <w:basedOn w:val="Normal"/>
    <w:link w:val="BodyText2Char"/>
    <w:rsid w:val="001056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564E"/>
    <w:rPr>
      <w:sz w:val="22"/>
    </w:rPr>
  </w:style>
  <w:style w:type="paragraph" w:styleId="BodyText3">
    <w:name w:val="Body Text 3"/>
    <w:basedOn w:val="Normal"/>
    <w:link w:val="BodyText3Char"/>
    <w:rsid w:val="001056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56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056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564E"/>
    <w:rPr>
      <w:sz w:val="22"/>
    </w:rPr>
  </w:style>
  <w:style w:type="paragraph" w:styleId="BodyTextIndent3">
    <w:name w:val="Body Text Indent 3"/>
    <w:basedOn w:val="Normal"/>
    <w:link w:val="BodyTextIndent3Char"/>
    <w:rsid w:val="001056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564E"/>
    <w:rPr>
      <w:sz w:val="16"/>
      <w:szCs w:val="16"/>
    </w:rPr>
  </w:style>
  <w:style w:type="paragraph" w:styleId="BlockText">
    <w:name w:val="Block Text"/>
    <w:basedOn w:val="Normal"/>
    <w:rsid w:val="0010564E"/>
    <w:pPr>
      <w:spacing w:after="120"/>
      <w:ind w:left="1440" w:right="1440"/>
    </w:pPr>
  </w:style>
  <w:style w:type="character" w:styleId="Hyperlink">
    <w:name w:val="Hyperlink"/>
    <w:basedOn w:val="DefaultParagraphFont"/>
    <w:rsid w:val="0010564E"/>
    <w:rPr>
      <w:color w:val="0000FF"/>
      <w:u w:val="single"/>
    </w:rPr>
  </w:style>
  <w:style w:type="character" w:styleId="FollowedHyperlink">
    <w:name w:val="FollowedHyperlink"/>
    <w:basedOn w:val="DefaultParagraphFont"/>
    <w:rsid w:val="0010564E"/>
    <w:rPr>
      <w:color w:val="800080"/>
      <w:u w:val="single"/>
    </w:rPr>
  </w:style>
  <w:style w:type="character" w:styleId="Strong">
    <w:name w:val="Strong"/>
    <w:basedOn w:val="DefaultParagraphFont"/>
    <w:qFormat/>
    <w:rsid w:val="0010564E"/>
    <w:rPr>
      <w:b/>
      <w:bCs/>
    </w:rPr>
  </w:style>
  <w:style w:type="character" w:styleId="Emphasis">
    <w:name w:val="Emphasis"/>
    <w:basedOn w:val="DefaultParagraphFont"/>
    <w:qFormat/>
    <w:rsid w:val="0010564E"/>
    <w:rPr>
      <w:i/>
      <w:iCs/>
    </w:rPr>
  </w:style>
  <w:style w:type="paragraph" w:styleId="DocumentMap">
    <w:name w:val="Document Map"/>
    <w:basedOn w:val="Normal"/>
    <w:link w:val="DocumentMapChar"/>
    <w:rsid w:val="001056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056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056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056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0564E"/>
  </w:style>
  <w:style w:type="character" w:customStyle="1" w:styleId="E-mailSignatureChar">
    <w:name w:val="E-mail Signature Char"/>
    <w:basedOn w:val="DefaultParagraphFont"/>
    <w:link w:val="E-mailSignature"/>
    <w:rsid w:val="0010564E"/>
    <w:rPr>
      <w:sz w:val="22"/>
    </w:rPr>
  </w:style>
  <w:style w:type="paragraph" w:styleId="NormalWeb">
    <w:name w:val="Normal (Web)"/>
    <w:basedOn w:val="Normal"/>
    <w:rsid w:val="0010564E"/>
  </w:style>
  <w:style w:type="character" w:styleId="HTMLAcronym">
    <w:name w:val="HTML Acronym"/>
    <w:basedOn w:val="DefaultParagraphFont"/>
    <w:rsid w:val="0010564E"/>
  </w:style>
  <w:style w:type="paragraph" w:styleId="HTMLAddress">
    <w:name w:val="HTML Address"/>
    <w:basedOn w:val="Normal"/>
    <w:link w:val="HTMLAddressChar"/>
    <w:rsid w:val="001056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564E"/>
    <w:rPr>
      <w:i/>
      <w:iCs/>
      <w:sz w:val="22"/>
    </w:rPr>
  </w:style>
  <w:style w:type="character" w:styleId="HTMLCite">
    <w:name w:val="HTML Cite"/>
    <w:basedOn w:val="DefaultParagraphFont"/>
    <w:rsid w:val="0010564E"/>
    <w:rPr>
      <w:i/>
      <w:iCs/>
    </w:rPr>
  </w:style>
  <w:style w:type="character" w:styleId="HTMLCode">
    <w:name w:val="HTML Code"/>
    <w:basedOn w:val="DefaultParagraphFont"/>
    <w:rsid w:val="001056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0564E"/>
    <w:rPr>
      <w:i/>
      <w:iCs/>
    </w:rPr>
  </w:style>
  <w:style w:type="character" w:styleId="HTMLKeyboard">
    <w:name w:val="HTML Keyboard"/>
    <w:basedOn w:val="DefaultParagraphFont"/>
    <w:rsid w:val="001056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056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056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056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056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056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05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564E"/>
    <w:rPr>
      <w:b/>
      <w:bCs/>
    </w:rPr>
  </w:style>
  <w:style w:type="numbering" w:styleId="1ai">
    <w:name w:val="Outline List 1"/>
    <w:basedOn w:val="NoList"/>
    <w:rsid w:val="0010564E"/>
    <w:pPr>
      <w:numPr>
        <w:numId w:val="14"/>
      </w:numPr>
    </w:pPr>
  </w:style>
  <w:style w:type="numbering" w:styleId="111111">
    <w:name w:val="Outline List 2"/>
    <w:basedOn w:val="NoList"/>
    <w:rsid w:val="0010564E"/>
    <w:pPr>
      <w:numPr>
        <w:numId w:val="15"/>
      </w:numPr>
    </w:pPr>
  </w:style>
  <w:style w:type="numbering" w:styleId="ArticleSection">
    <w:name w:val="Outline List 3"/>
    <w:basedOn w:val="NoList"/>
    <w:rsid w:val="0010564E"/>
    <w:pPr>
      <w:numPr>
        <w:numId w:val="17"/>
      </w:numPr>
    </w:pPr>
  </w:style>
  <w:style w:type="table" w:styleId="TableSimple1">
    <w:name w:val="Table Simple 1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056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056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056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056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056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056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056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056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056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056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056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056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056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056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056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056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056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056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056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056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056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056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056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056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056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056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056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056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056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056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056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056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056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056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056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0564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056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56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56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56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0564E"/>
  </w:style>
  <w:style w:type="character" w:customStyle="1" w:styleId="paragraphChar">
    <w:name w:val="paragraph Char"/>
    <w:aliases w:val="a Char"/>
    <w:link w:val="paragraph"/>
    <w:rsid w:val="0014703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9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footer" Target="footer1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20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Funds</TermName>
          <TermId xmlns="http://schemas.microsoft.com/office/infopath/2007/PartnerControls">085d3ce9-d508-4461-8b60-afec832bdd3a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lcf76f155ced4ddcb4097134ff3c332f xmlns="f4779725-d62b-4f67-840c-1d1da6cf128d">
      <Terms xmlns="http://schemas.microsoft.com/office/infopath/2007/PartnerControls"/>
    </lcf76f155ced4ddcb4097134ff3c332f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FIN33757-401221797-23890</_dlc_DocId>
    <_dlc_DocIdUrl xmlns="6a7e9632-768a-49bf-85ac-c69233ab2a52">
      <Url>https://financegovau.sharepoint.com/sites/M365_DoF_50033757/_layouts/15/DocIdRedir.aspx?ID=FIN33757-401221797-23890</Url>
      <Description>FIN33757-401221797-23890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C49C7E8ED54DB4CB1BDC7C25122FEB7" ma:contentTypeVersion="29" ma:contentTypeDescription="Create a new document." ma:contentTypeScope="" ma:versionID="d209507c23142bd4b8ef5391adbb101a">
  <xsd:schema xmlns:xsd="http://www.w3.org/2001/XMLSchema" xmlns:xs="http://www.w3.org/2001/XMLSchema" xmlns:p="http://schemas.microsoft.com/office/2006/metadata/properties" xmlns:ns2="a334ba3b-e131-42d3-95f3-2728f5a41884" xmlns:ns3="f4779725-d62b-4f67-840c-1d1da6cf128d" xmlns:ns4="6a7e9632-768a-49bf-85ac-c69233ab2a52" targetNamespace="http://schemas.microsoft.com/office/2006/metadata/properties" ma:root="true" ma:fieldsID="3b26331adc72a913fdf01bf2d769a63f" ns2:_="" ns3:_="" ns4:_="">
    <xsd:import namespace="a334ba3b-e131-42d3-95f3-2728f5a41884"/>
    <xsd:import namespace="f4779725-d62b-4f67-840c-1d1da6cf128d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2:TaxCatchAllLabel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 ma:readOnly="false">
      <xsd:simpleType>
        <xsd:restriction base="dms:DateTime"/>
      </xsd:simpleType>
    </xsd:element>
    <xsd:element name="e0fcb3f570964638902a63147cd98219" ma:index="10" nillable="true" ma:taxonomy="true" ma:internalName="e0fcb3f570964638902a63147cd98219" ma:taxonomyFieldName="Organisation_x0020_Unit" ma:displayName="Organisation Unit" ma:default="2;#Funds|085d3ce9-d508-4461-8b60-afec832bdd3a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2" nillable="true" ma:taxonomy="true" ma:internalName="f0888ba7078d4a1bac90b097c1ed0fad" ma:taxonomyFieldName="Initiating_x0020_Entity" ma:displayName="Initiating Entity" ma:readOnly="false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4" nillable="true" ma:taxonomy="true" ma:internalName="of934ccb37d6451ba60cdb89c1817167" ma:taxonomyFieldName="About_x0020_Entity" ma:displayName="About Entity" ma:readOnly="false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19" nillable="true" ma:taxonomy="true" ma:internalName="lf395e0388bc45bfb8642f07b9d090f4" ma:taxonomyFieldName="Function_x0020_and_x0020_Activity" ma:displayName="Function and Activity" ma:readOnly="false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863b59d-461a-4118-a473-dae298484fbd}" ma:internalName="TaxCatchAll" ma:readOnly="false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7863b59d-461a-4118-a473-dae298484fbd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9725-d62b-4f67-840c-1d1da6cf1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5867-735D-4645-A1AF-8EE25033C2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460759A-636A-4A54-BF63-A83AD698E7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656963-9B1A-47CF-9A2E-89B13B946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F09BE-2C4B-43DE-936F-A22C4D73090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a7e9632-768a-49bf-85ac-c69233ab2a52"/>
    <ds:schemaRef ds:uri="http://schemas.openxmlformats.org/package/2006/metadata/core-properties"/>
    <ds:schemaRef ds:uri="a334ba3b-e131-42d3-95f3-2728f5a41884"/>
    <ds:schemaRef ds:uri="http://purl.org/dc/elements/1.1/"/>
    <ds:schemaRef ds:uri="f4779725-d62b-4f67-840c-1d1da6cf128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6F250E-FBDB-4AB7-8222-043575F7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f4779725-d62b-4f67-840c-1d1da6cf128d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C518587-E23B-45C3-9164-A891396E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1934</Words>
  <Characters>9538</Characters>
  <Application>Microsoft Office Word</Application>
  <DocSecurity>0</DocSecurity>
  <PresentationFormat/>
  <Lines>794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2023-08-29T05:40:00Z</cp:lastPrinted>
  <dcterms:created xsi:type="dcterms:W3CDTF">2023-09-28T03:58:00Z</dcterms:created>
  <dcterms:modified xsi:type="dcterms:W3CDTF">2023-09-28T03:58:00Z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Future Fund (Investment Funds Periodic Investment Report) Rules 2023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OPC65582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HMAC">
    <vt:lpwstr>v=2022.1;a=SHA256;h=20343149988AA1D25225B8D74F7C79947BA5ED274D3E6D189C452842A0C718E6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ProtectiveMarkingValue_Header">
    <vt:lpwstr>OFFICIAL</vt:lpwstr>
  </property>
  <property fmtid="{D5CDD505-2E9C-101B-9397-08002B2CF9AE}" pid="26" name="PM_OriginationTimeStamp">
    <vt:lpwstr>2023-09-18T06:10:44Z</vt:lpwstr>
  </property>
  <property fmtid="{D5CDD505-2E9C-101B-9397-08002B2CF9AE}" pid="27" name="PM_Markers">
    <vt:lpwstr/>
  </property>
  <property fmtid="{D5CDD505-2E9C-101B-9397-08002B2CF9AE}" pid="28" name="MSIP_Label_87d6481e-ccdd-4ab6-8b26-05a0df5699e7_Name">
    <vt:lpwstr>OFFICIAL</vt:lpwstr>
  </property>
  <property fmtid="{D5CDD505-2E9C-101B-9397-08002B2CF9AE}" pid="29" name="MSIP_Label_87d6481e-ccdd-4ab6-8b26-05a0df5699e7_SiteId">
    <vt:lpwstr>08954cee-4782-4ff6-9ad5-1997dccef4b0</vt:lpwstr>
  </property>
  <property fmtid="{D5CDD505-2E9C-101B-9397-08002B2CF9AE}" pid="30" name="MSIP_Label_87d6481e-ccdd-4ab6-8b26-05a0df5699e7_Enabled">
    <vt:lpwstr>true</vt:lpwstr>
  </property>
  <property fmtid="{D5CDD505-2E9C-101B-9397-08002B2CF9AE}" pid="31" name="PM_OriginatorUserAccountName_SHA256">
    <vt:lpwstr>CD6B5B5DCE086ED4DC80910A5CB30D9DF8B294D40780A7392EA0C33DE37F70D2</vt:lpwstr>
  </property>
  <property fmtid="{D5CDD505-2E9C-101B-9397-08002B2CF9AE}" pid="32" name="MSIP_Label_87d6481e-ccdd-4ab6-8b26-05a0df5699e7_SetDate">
    <vt:lpwstr>2023-09-18T06:10:44Z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ca305e5679544d80a9485b5e0211f3c5</vt:lpwstr>
  </property>
  <property fmtid="{D5CDD505-2E9C-101B-9397-08002B2CF9AE}" pid="36" name="PM_InsertionValue">
    <vt:lpwstr>OFFICIAL</vt:lpwstr>
  </property>
  <property fmtid="{D5CDD505-2E9C-101B-9397-08002B2CF9AE}" pid="37" name="PM_Originator_Hash_SHA1">
    <vt:lpwstr>B948CB1FD26A4D65B4A62AF32BCD809746D7DC22</vt:lpwstr>
  </property>
  <property fmtid="{D5CDD505-2E9C-101B-9397-08002B2CF9AE}" pid="38" name="PM_DisplayValueSecClassificationWithQualifier">
    <vt:lpwstr>OFFICIAL</vt:lpwstr>
  </property>
  <property fmtid="{D5CDD505-2E9C-101B-9397-08002B2CF9AE}" pid="39" name="PM_Originating_FileId">
    <vt:lpwstr>4ADF3BE8BC2C45B3B042E7EADBCE28DE</vt:lpwstr>
  </property>
  <property fmtid="{D5CDD505-2E9C-101B-9397-08002B2CF9AE}" pid="40" name="PM_ProtectiveMarkingValue_Footer">
    <vt:lpwstr>OFFICIAL</vt:lpwstr>
  </property>
  <property fmtid="{D5CDD505-2E9C-101B-9397-08002B2CF9AE}" pid="41" name="PM_ProtectiveMarkingImage_Header">
    <vt:lpwstr>C:\Program Files\Common Files\janusNET Shared\janusSEAL\Images\DocumentSlashBlue.png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Display">
    <vt:lpwstr>OFFICIAL</vt:lpwstr>
  </property>
  <property fmtid="{D5CDD505-2E9C-101B-9397-08002B2CF9AE}" pid="44" name="PM_OriginatorDomainName_SHA256">
    <vt:lpwstr>325440F6CA31C4C3BCE4433552DC42928CAAD3E2731ABE35FDE729ECEB763AF0</vt:lpwstr>
  </property>
  <property fmtid="{D5CDD505-2E9C-101B-9397-08002B2CF9AE}" pid="45" name="PMUuid">
    <vt:lpwstr>v=2022.2;d=gov.au;g=46DD6D7C-8107-577B-BC6E-F348953B2E44</vt:lpwstr>
  </property>
  <property fmtid="{D5CDD505-2E9C-101B-9397-08002B2CF9AE}" pid="46" name="PM_Hash_Version">
    <vt:lpwstr>2022.1</vt:lpwstr>
  </property>
  <property fmtid="{D5CDD505-2E9C-101B-9397-08002B2CF9AE}" pid="47" name="PM_Hash_Salt_Prev">
    <vt:lpwstr>0EAFA6574358013D53C92C59E779CAF5</vt:lpwstr>
  </property>
  <property fmtid="{D5CDD505-2E9C-101B-9397-08002B2CF9AE}" pid="48" name="PM_Hash_Salt">
    <vt:lpwstr>73D48EEF7C1BD47E0F954D2CF989DE04</vt:lpwstr>
  </property>
  <property fmtid="{D5CDD505-2E9C-101B-9397-08002B2CF9AE}" pid="49" name="PM_Hash_SHA1">
    <vt:lpwstr>D75BCE04555ABFDDAC14489CEB3196A098D3412C</vt:lpwstr>
  </property>
  <property fmtid="{D5CDD505-2E9C-101B-9397-08002B2CF9AE}" pid="50" name="ContentTypeId">
    <vt:lpwstr>0x010100B7B479F47583304BA8B631462CC772D7004C49C7E8ED54DB4CB1BDC7C25122FEB7</vt:lpwstr>
  </property>
  <property fmtid="{D5CDD505-2E9C-101B-9397-08002B2CF9AE}" pid="51" name="TaxKeyword">
    <vt:lpwstr>20;#[SEC=OFFICIAL]|07351cc0-de73-4913-be2f-56f124cbf8bb</vt:lpwstr>
  </property>
  <property fmtid="{D5CDD505-2E9C-101B-9397-08002B2CF9AE}" pid="52" name="Organisation Unit">
    <vt:lpwstr>2;#Funds|085d3ce9-d508-4461-8b60-afec832bdd3a</vt:lpwstr>
  </property>
  <property fmtid="{D5CDD505-2E9C-101B-9397-08002B2CF9AE}" pid="53" name="_dlc_DocIdItemGuid">
    <vt:lpwstr>1a752361-95b7-4855-8b32-f43552852cc5</vt:lpwstr>
  </property>
  <property fmtid="{D5CDD505-2E9C-101B-9397-08002B2CF9AE}" pid="54" name="About Entity">
    <vt:lpwstr>1;#Department of Finance|fd660e8f-8f31-49bd-92a3-d31d4da31afe</vt:lpwstr>
  </property>
  <property fmtid="{D5CDD505-2E9C-101B-9397-08002B2CF9AE}" pid="55" name="Initiating Entity">
    <vt:lpwstr>1;#Department of Finance|fd660e8f-8f31-49bd-92a3-d31d4da31afe</vt:lpwstr>
  </property>
  <property fmtid="{D5CDD505-2E9C-101B-9397-08002B2CF9AE}" pid="56" name="MediaServiceImageTags">
    <vt:lpwstr/>
  </property>
  <property fmtid="{D5CDD505-2E9C-101B-9397-08002B2CF9AE}" pid="57" name="Function and Activity">
    <vt:lpwstr/>
  </property>
  <property fmtid="{D5CDD505-2E9C-101B-9397-08002B2CF9AE}" pid="58" name="PM_SecurityClassification_Prev">
    <vt:lpwstr>OFFICIAL</vt:lpwstr>
  </property>
  <property fmtid="{D5CDD505-2E9C-101B-9397-08002B2CF9AE}" pid="59" name="PM_Qualifier_Prev">
    <vt:lpwstr/>
  </property>
</Properties>
</file>