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46FAD" w14:textId="77777777" w:rsidR="005833BE" w:rsidRPr="0049650D" w:rsidRDefault="00F109D4" w:rsidP="00BF7ED6">
      <w:pPr>
        <w:pStyle w:val="Heading1"/>
        <w:spacing w:before="120" w:after="120"/>
        <w:rPr>
          <w:rFonts w:ascii="Times New Roman" w:hAnsi="Times New Roman"/>
          <w:szCs w:val="28"/>
        </w:rPr>
      </w:pPr>
      <w:bookmarkStart w:id="0" w:name="OLE_LINK1"/>
      <w:bookmarkStart w:id="1" w:name="OLE_LINK2"/>
      <w:r w:rsidRPr="0049650D">
        <w:rPr>
          <w:rFonts w:ascii="Times New Roman" w:hAnsi="Times New Roman"/>
          <w:szCs w:val="28"/>
        </w:rPr>
        <w:t>EXPLANATORY STATEMENT</w:t>
      </w:r>
    </w:p>
    <w:p w14:paraId="68CD1796" w14:textId="77777777" w:rsidR="00941C0D" w:rsidRPr="0049650D" w:rsidRDefault="00941C0D" w:rsidP="00BF7ED6">
      <w:pPr>
        <w:pStyle w:val="Heading2"/>
        <w:spacing w:before="120" w:after="120"/>
        <w:jc w:val="center"/>
        <w:rPr>
          <w:b w:val="0"/>
          <w:sz w:val="24"/>
          <w:szCs w:val="24"/>
        </w:rPr>
      </w:pPr>
      <w:r w:rsidRPr="0049650D">
        <w:rPr>
          <w:b w:val="0"/>
          <w:sz w:val="24"/>
          <w:szCs w:val="24"/>
        </w:rPr>
        <w:t xml:space="preserve">Issued by authority of the </w:t>
      </w:r>
      <w:r w:rsidR="0039795F" w:rsidRPr="0049650D">
        <w:rPr>
          <w:b w:val="0"/>
          <w:sz w:val="24"/>
          <w:szCs w:val="24"/>
        </w:rPr>
        <w:t xml:space="preserve">Minister for </w:t>
      </w:r>
      <w:r w:rsidR="00FB4B9D" w:rsidRPr="0049650D">
        <w:rPr>
          <w:b w:val="0"/>
          <w:sz w:val="24"/>
          <w:szCs w:val="24"/>
        </w:rPr>
        <w:t>Climate Change and Energy</w:t>
      </w:r>
    </w:p>
    <w:p w14:paraId="1F0ECA3C" w14:textId="77777777" w:rsidR="00B460E9" w:rsidRPr="0049650D" w:rsidRDefault="004A4D33" w:rsidP="00BF7ED6">
      <w:pPr>
        <w:jc w:val="center"/>
        <w:rPr>
          <w:i/>
          <w:szCs w:val="24"/>
        </w:rPr>
      </w:pPr>
      <w:r w:rsidRPr="0049650D">
        <w:rPr>
          <w:i/>
          <w:iCs/>
          <w:szCs w:val="24"/>
        </w:rPr>
        <w:t>National Greenhouse and Energy Reporting Act 2007</w:t>
      </w:r>
    </w:p>
    <w:p w14:paraId="7D01F130" w14:textId="77777777" w:rsidR="00150F42" w:rsidRPr="0049650D" w:rsidRDefault="00150F42" w:rsidP="00BF7ED6">
      <w:pPr>
        <w:jc w:val="center"/>
        <w:rPr>
          <w:i/>
          <w:szCs w:val="24"/>
        </w:rPr>
      </w:pPr>
      <w:bookmarkStart w:id="2" w:name="_Hlk142387033"/>
      <w:bookmarkStart w:id="3" w:name="_Hlk142386688"/>
      <w:r w:rsidRPr="0049650D">
        <w:rPr>
          <w:i/>
          <w:szCs w:val="24"/>
        </w:rPr>
        <w:t>National Greenhouse and Energy Reporting (Safeguard Mechanism) Amendment (Production Variables Update) Rules 2023</w:t>
      </w:r>
      <w:bookmarkEnd w:id="2"/>
    </w:p>
    <w:bookmarkEnd w:id="3"/>
    <w:p w14:paraId="22D5B1F9" w14:textId="77777777" w:rsidR="00A806D6" w:rsidRPr="0049650D" w:rsidRDefault="00A806D6" w:rsidP="00BF7ED6">
      <w:pPr>
        <w:rPr>
          <w:b/>
          <w:iCs/>
          <w:szCs w:val="24"/>
        </w:rPr>
      </w:pPr>
    </w:p>
    <w:p w14:paraId="1702DA96" w14:textId="6F838016" w:rsidR="00FD584B" w:rsidRPr="0049650D" w:rsidRDefault="006D7C7D" w:rsidP="00BF7ED6">
      <w:pPr>
        <w:rPr>
          <w:b/>
          <w:iCs/>
          <w:szCs w:val="24"/>
        </w:rPr>
      </w:pPr>
      <w:r w:rsidRPr="0049650D">
        <w:rPr>
          <w:b/>
          <w:iCs/>
          <w:szCs w:val="24"/>
        </w:rPr>
        <w:t>Background</w:t>
      </w:r>
    </w:p>
    <w:p w14:paraId="6310BFB6" w14:textId="232B2A9F" w:rsidR="00FD584B" w:rsidRPr="0049650D" w:rsidRDefault="00C17A58" w:rsidP="00BF7ED6">
      <w:r w:rsidRPr="0049650D">
        <w:t xml:space="preserve">The </w:t>
      </w:r>
      <w:r w:rsidR="00081688" w:rsidRPr="0049650D">
        <w:rPr>
          <w:i/>
          <w:iCs/>
        </w:rPr>
        <w:t>National Greenhouse and Energy Reporting Act 2007</w:t>
      </w:r>
      <w:r w:rsidR="00033A08" w:rsidRPr="0049650D">
        <w:t xml:space="preserve">, </w:t>
      </w:r>
      <w:r w:rsidR="00033A08" w:rsidRPr="0049650D">
        <w:rPr>
          <w:i/>
          <w:iCs/>
        </w:rPr>
        <w:t>National Greenhouse and Energy Reporting Regulations 2008</w:t>
      </w:r>
      <w:r w:rsidR="00081688" w:rsidRPr="0049650D">
        <w:rPr>
          <w:i/>
          <w:iCs/>
        </w:rPr>
        <w:t xml:space="preserve"> </w:t>
      </w:r>
      <w:r w:rsidR="00081688" w:rsidRPr="0049650D">
        <w:t>and</w:t>
      </w:r>
      <w:r w:rsidR="00033A08" w:rsidRPr="0049650D">
        <w:t xml:space="preserve"> the</w:t>
      </w:r>
      <w:r w:rsidR="00081688" w:rsidRPr="0049650D">
        <w:t xml:space="preserve"> </w:t>
      </w:r>
      <w:bookmarkStart w:id="4" w:name="_Hlk142380667"/>
      <w:r w:rsidR="00D876B1" w:rsidRPr="0049650D">
        <w:rPr>
          <w:i/>
          <w:iCs/>
        </w:rPr>
        <w:t>National Greenhouse and Energy Reporting (Safeguard Mechanism) Rule 2015</w:t>
      </w:r>
      <w:bookmarkEnd w:id="4"/>
      <w:r w:rsidR="00252005" w:rsidRPr="0049650D">
        <w:rPr>
          <w:i/>
          <w:iCs/>
        </w:rPr>
        <w:t xml:space="preserve"> </w:t>
      </w:r>
      <w:r w:rsidR="00252005" w:rsidRPr="0049650D">
        <w:t xml:space="preserve">(Safeguard Rules) </w:t>
      </w:r>
      <w:r w:rsidRPr="0049650D">
        <w:t xml:space="preserve">provides </w:t>
      </w:r>
      <w:r w:rsidR="00745D6F" w:rsidRPr="0049650D">
        <w:t>a</w:t>
      </w:r>
      <w:r w:rsidRPr="0049650D">
        <w:t xml:space="preserve"> legislat</w:t>
      </w:r>
      <w:r w:rsidR="00F034AC" w:rsidRPr="0049650D">
        <w:t>ive</w:t>
      </w:r>
      <w:r w:rsidRPr="0049650D">
        <w:t xml:space="preserve"> framework</w:t>
      </w:r>
      <w:r w:rsidR="00BF2D83" w:rsidRPr="0049650D">
        <w:t xml:space="preserve"> (Safeguard Mechanism)</w:t>
      </w:r>
      <w:r w:rsidRPr="0049650D">
        <w:t xml:space="preserve"> that limits the net emissions </w:t>
      </w:r>
      <w:r w:rsidR="00E36B25" w:rsidRPr="0049650D">
        <w:t>of</w:t>
      </w:r>
      <w:r w:rsidR="00E571B5" w:rsidRPr="0049650D">
        <w:t xml:space="preserve"> certain</w:t>
      </w:r>
      <w:r w:rsidRPr="0049650D">
        <w:t xml:space="preserve"> facilities—those </w:t>
      </w:r>
      <w:r w:rsidR="00043553" w:rsidRPr="0049650D">
        <w:t xml:space="preserve">that </w:t>
      </w:r>
      <w:r w:rsidR="001D292D" w:rsidRPr="0049650D">
        <w:t>produce</w:t>
      </w:r>
      <w:r w:rsidRPr="0049650D">
        <w:t xml:space="preserve"> more than 100,000 tonnes </w:t>
      </w:r>
      <w:r w:rsidR="006E0128" w:rsidRPr="0049650D">
        <w:t>of covered emissions</w:t>
      </w:r>
      <w:r w:rsidRPr="0049650D">
        <w:t xml:space="preserve"> each year. </w:t>
      </w:r>
    </w:p>
    <w:p w14:paraId="61EDF32C" w14:textId="30667C08" w:rsidR="00203E6C" w:rsidRPr="0049650D" w:rsidRDefault="006D2528" w:rsidP="00BF7ED6">
      <w:r w:rsidRPr="0049650D">
        <w:t xml:space="preserve">The Safeguard Mechanism </w:t>
      </w:r>
      <w:r w:rsidR="00C17A58" w:rsidRPr="0049650D">
        <w:t xml:space="preserve">sets </w:t>
      </w:r>
      <w:r w:rsidR="00B11183" w:rsidRPr="0049650D">
        <w:t xml:space="preserve">emissions </w:t>
      </w:r>
      <w:r w:rsidR="00252E7E" w:rsidRPr="0049650D">
        <w:t xml:space="preserve">limits </w:t>
      </w:r>
      <w:r w:rsidR="00C17A58" w:rsidRPr="0049650D">
        <w:t xml:space="preserve">—known as baselines—on the </w:t>
      </w:r>
      <w:r w:rsidR="00103CED" w:rsidRPr="0049650D">
        <w:t xml:space="preserve">net </w:t>
      </w:r>
      <w:r w:rsidR="00C17A58" w:rsidRPr="0049650D">
        <w:t xml:space="preserve">greenhouse gas emissions </w:t>
      </w:r>
      <w:r w:rsidR="00252E7E" w:rsidRPr="0049650D">
        <w:t>o</w:t>
      </w:r>
      <w:r w:rsidR="00103CED" w:rsidRPr="0049650D">
        <w:t>f</w:t>
      </w:r>
      <w:r w:rsidR="00C17A58" w:rsidRPr="0049650D">
        <w:t xml:space="preserve"> th</w:t>
      </w:r>
      <w:r w:rsidR="00F011F3" w:rsidRPr="0049650D">
        <w:t>ose</w:t>
      </w:r>
      <w:r w:rsidR="00C17A58" w:rsidRPr="0049650D">
        <w:t xml:space="preserve"> facilities.</w:t>
      </w:r>
      <w:r w:rsidR="00F034AC" w:rsidRPr="0049650D">
        <w:t xml:space="preserve"> These baselines will decline gradually, on a trajectory consistent with achieving Australia’s emission reduction targets of 43% below 2005 levels by 2030 and net zero by 2050.</w:t>
      </w:r>
      <w:r w:rsidR="00C17A58" w:rsidRPr="0049650D">
        <w:t xml:space="preserve"> </w:t>
      </w:r>
      <w:r w:rsidR="00B538D8" w:rsidRPr="0049650D">
        <w:t xml:space="preserve">The Safeguard Rules provide detail on the </w:t>
      </w:r>
      <w:r w:rsidR="00BF5FC8" w:rsidRPr="0049650D">
        <w:t xml:space="preserve">calculation of those </w:t>
      </w:r>
      <w:r w:rsidR="00FE2FB6" w:rsidRPr="0049650D">
        <w:t>baselines</w:t>
      </w:r>
      <w:r w:rsidR="008F3392" w:rsidRPr="0049650D">
        <w:t xml:space="preserve">, which </w:t>
      </w:r>
      <w:r w:rsidR="00E16779" w:rsidRPr="0049650D">
        <w:t xml:space="preserve">includes the use of production variables and </w:t>
      </w:r>
      <w:r w:rsidR="00703CEB" w:rsidRPr="0049650D">
        <w:t xml:space="preserve">default </w:t>
      </w:r>
      <w:r w:rsidR="00E16779" w:rsidRPr="0049650D">
        <w:t xml:space="preserve">emissions intensity </w:t>
      </w:r>
      <w:r w:rsidR="002055E0" w:rsidRPr="0049650D">
        <w:t>numbers.</w:t>
      </w:r>
      <w:r w:rsidR="00066634" w:rsidRPr="0049650D">
        <w:t xml:space="preserve"> B</w:t>
      </w:r>
      <w:r w:rsidR="00203E6C" w:rsidRPr="0049650D">
        <w:t>aselines are production-adjusted, meaning that they increase and decrease as a facility’s production varies.</w:t>
      </w:r>
    </w:p>
    <w:p w14:paraId="10E142EB" w14:textId="0B4119DC" w:rsidR="00FD584B" w:rsidRPr="0049650D" w:rsidRDefault="00203E6C" w:rsidP="00BF7ED6">
      <w:r w:rsidRPr="0049650D">
        <w:t xml:space="preserve">Production variables and emissions intensity values have been part of the Safeguard Mechanism since its inception in 2016. Production variables </w:t>
      </w:r>
      <w:r w:rsidR="00BA6804" w:rsidRPr="0049650D">
        <w:t xml:space="preserve">generally </w:t>
      </w:r>
      <w:r w:rsidRPr="0049650D">
        <w:t xml:space="preserve">represent the output of a facility (e.g. tonnes of aluminium). </w:t>
      </w:r>
      <w:r w:rsidR="006A1211" w:rsidRPr="0049650D">
        <w:t xml:space="preserve">Default emissions intensities are set at </w:t>
      </w:r>
      <w:r w:rsidR="008E185F" w:rsidRPr="0049650D">
        <w:t xml:space="preserve">an industry average level. </w:t>
      </w:r>
    </w:p>
    <w:p w14:paraId="6E921228" w14:textId="19CC7084" w:rsidR="005A741A" w:rsidRPr="0049650D" w:rsidRDefault="00623300" w:rsidP="00BF7ED6">
      <w:r w:rsidRPr="0049650D">
        <w:rPr>
          <w:rStyle w:val="ui-provider"/>
          <w:szCs w:val="24"/>
        </w:rPr>
        <w:t>U</w:t>
      </w:r>
      <w:r w:rsidR="00F034AC" w:rsidRPr="0049650D">
        <w:rPr>
          <w:rStyle w:val="ui-provider"/>
          <w:szCs w:val="24"/>
        </w:rPr>
        <w:t xml:space="preserve">pdates to production variables </w:t>
      </w:r>
      <w:r w:rsidR="005D74DC" w:rsidRPr="0049650D">
        <w:rPr>
          <w:rStyle w:val="ui-provider"/>
          <w:szCs w:val="24"/>
        </w:rPr>
        <w:t>and certain emissions intensities</w:t>
      </w:r>
      <w:r w:rsidR="00115DB8" w:rsidRPr="0049650D">
        <w:rPr>
          <w:rStyle w:val="ui-provider"/>
          <w:szCs w:val="24"/>
        </w:rPr>
        <w:t xml:space="preserve"> </w:t>
      </w:r>
      <w:r w:rsidR="00F034AC" w:rsidRPr="0049650D">
        <w:rPr>
          <w:rStyle w:val="ui-provider"/>
          <w:szCs w:val="24"/>
        </w:rPr>
        <w:t>were foreshadowed during the reform process</w:t>
      </w:r>
      <w:r w:rsidRPr="0049650D">
        <w:rPr>
          <w:rStyle w:val="ui-provider"/>
          <w:szCs w:val="24"/>
        </w:rPr>
        <w:t xml:space="preserve">, and other </w:t>
      </w:r>
      <w:r w:rsidR="003339B0" w:rsidRPr="0049650D">
        <w:rPr>
          <w:rStyle w:val="ui-provider"/>
          <w:szCs w:val="24"/>
        </w:rPr>
        <w:t>c</w:t>
      </w:r>
      <w:r w:rsidRPr="0049650D">
        <w:rPr>
          <w:rStyle w:val="ui-provider"/>
          <w:szCs w:val="24"/>
        </w:rPr>
        <w:t>hanges included in this Amendment are technical in nature</w:t>
      </w:r>
      <w:r w:rsidR="00F034AC" w:rsidRPr="0049650D">
        <w:rPr>
          <w:rStyle w:val="ui-provider"/>
          <w:szCs w:val="24"/>
        </w:rPr>
        <w:t xml:space="preserve">. </w:t>
      </w:r>
      <w:r w:rsidR="00F034AC" w:rsidRPr="0049650D">
        <w:t>The amendments make changes to add new production variable definitions, update existing definitions, and set industry average emissions intensities</w:t>
      </w:r>
      <w:r w:rsidR="005A741A" w:rsidRPr="0049650D">
        <w:t>.</w:t>
      </w:r>
      <w:r w:rsidR="00F034AC" w:rsidRPr="0049650D">
        <w:t xml:space="preserve"> </w:t>
      </w:r>
    </w:p>
    <w:p w14:paraId="6F8A4CF2" w14:textId="6F8ABFEB" w:rsidR="00F034AC" w:rsidRPr="0049650D" w:rsidRDefault="005A741A" w:rsidP="00BF7ED6">
      <w:r w:rsidRPr="0049650D">
        <w:t>These changes</w:t>
      </w:r>
      <w:r w:rsidR="00AB78D8" w:rsidRPr="0049650D">
        <w:t xml:space="preserve"> </w:t>
      </w:r>
      <w:r w:rsidR="00DE18FA" w:rsidRPr="0049650D">
        <w:t xml:space="preserve">help </w:t>
      </w:r>
      <w:r w:rsidR="006F0D41" w:rsidRPr="0049650D">
        <w:t xml:space="preserve">to </w:t>
      </w:r>
      <w:r w:rsidR="00DE18FA" w:rsidRPr="0049650D">
        <w:t>ensure</w:t>
      </w:r>
      <w:r w:rsidR="006F0D41" w:rsidRPr="0049650D">
        <w:t xml:space="preserve"> that</w:t>
      </w:r>
      <w:r w:rsidR="00F034AC" w:rsidRPr="0049650D">
        <w:t xml:space="preserve"> a comprehensive set of suitable production variables are in place for setting Safeguard Mechanism baselines</w:t>
      </w:r>
      <w:r w:rsidR="00873903" w:rsidRPr="0049650D">
        <w:t xml:space="preserve"> and </w:t>
      </w:r>
      <w:r w:rsidR="00F034AC" w:rsidRPr="0049650D">
        <w:rPr>
          <w:rStyle w:val="CommentReference"/>
          <w:sz w:val="24"/>
          <w:szCs w:val="24"/>
        </w:rPr>
        <w:t>production variable definitions</w:t>
      </w:r>
      <w:r w:rsidR="00F034AC" w:rsidRPr="0049650D">
        <w:t xml:space="preserve"> support incentives for decarbonisation.</w:t>
      </w:r>
      <w:r w:rsidR="00EC10B3" w:rsidRPr="0049650D">
        <w:t xml:space="preserve"> The Government </w:t>
      </w:r>
      <w:r w:rsidR="00707919" w:rsidRPr="0049650D">
        <w:t>foresees</w:t>
      </w:r>
      <w:r w:rsidR="00EC10B3" w:rsidRPr="0049650D">
        <w:t xml:space="preserve"> </w:t>
      </w:r>
      <w:r w:rsidR="006A7EB1" w:rsidRPr="0049650D">
        <w:t>a further</w:t>
      </w:r>
      <w:r w:rsidR="00EC10B3" w:rsidRPr="0049650D">
        <w:t xml:space="preserve"> set of ch</w:t>
      </w:r>
      <w:r w:rsidR="00AA2062" w:rsidRPr="0049650D">
        <w:t xml:space="preserve">anges </w:t>
      </w:r>
      <w:r w:rsidR="006C14A8" w:rsidRPr="0049650D">
        <w:t xml:space="preserve">around the end of </w:t>
      </w:r>
      <w:r w:rsidR="006A7AE3" w:rsidRPr="0049650D">
        <w:t>2023</w:t>
      </w:r>
      <w:r w:rsidR="006C14A8" w:rsidRPr="0049650D">
        <w:t xml:space="preserve"> to </w:t>
      </w:r>
      <w:r w:rsidR="00870520" w:rsidRPr="0049650D">
        <w:t>complete the updates to production variables</w:t>
      </w:r>
      <w:r w:rsidR="00DD0EB7" w:rsidRPr="0049650D">
        <w:t xml:space="preserve">. </w:t>
      </w:r>
    </w:p>
    <w:p w14:paraId="5D8C01E0" w14:textId="77777777" w:rsidR="00B02D6E" w:rsidRPr="0049650D" w:rsidRDefault="00B02D6E" w:rsidP="00BF7ED6"/>
    <w:p w14:paraId="6FF3BC1B" w14:textId="0F5E8729" w:rsidR="00FD584B" w:rsidRPr="0049650D" w:rsidRDefault="00F6053F" w:rsidP="00BF7ED6">
      <w:pPr>
        <w:rPr>
          <w:b/>
          <w:bCs/>
          <w:szCs w:val="24"/>
        </w:rPr>
      </w:pPr>
      <w:r w:rsidRPr="0049650D">
        <w:rPr>
          <w:b/>
          <w:bCs/>
          <w:szCs w:val="24"/>
        </w:rPr>
        <w:t>Purpose and Operation</w:t>
      </w:r>
    </w:p>
    <w:p w14:paraId="4914FDF7" w14:textId="6B1B4D37" w:rsidR="00F6053F" w:rsidRPr="0049650D" w:rsidRDefault="00F6053F" w:rsidP="00BF7ED6">
      <w:pPr>
        <w:rPr>
          <w:szCs w:val="24"/>
        </w:rPr>
      </w:pPr>
      <w:r w:rsidRPr="0049650D">
        <w:rPr>
          <w:szCs w:val="24"/>
        </w:rPr>
        <w:t>The purpose of this Instrument is to</w:t>
      </w:r>
      <w:r w:rsidR="00861995" w:rsidRPr="0049650D">
        <w:rPr>
          <w:szCs w:val="24"/>
        </w:rPr>
        <w:t>:</w:t>
      </w:r>
    </w:p>
    <w:p w14:paraId="1C1245CD" w14:textId="49A45623" w:rsidR="004B5D55" w:rsidRPr="0049650D" w:rsidRDefault="00FA7386" w:rsidP="007051A9">
      <w:pPr>
        <w:pStyle w:val="ListParagraph"/>
        <w:numPr>
          <w:ilvl w:val="0"/>
          <w:numId w:val="5"/>
        </w:numPr>
        <w:ind w:left="714" w:hanging="357"/>
        <w:contextualSpacing w:val="0"/>
        <w:rPr>
          <w:szCs w:val="24"/>
        </w:rPr>
      </w:pPr>
      <w:r w:rsidRPr="0049650D">
        <w:rPr>
          <w:szCs w:val="24"/>
        </w:rPr>
        <w:t>m</w:t>
      </w:r>
      <w:r w:rsidR="004B5D55" w:rsidRPr="0049650D">
        <w:rPr>
          <w:szCs w:val="24"/>
        </w:rPr>
        <w:t xml:space="preserve">ake changes to </w:t>
      </w:r>
      <w:r w:rsidR="006A7198" w:rsidRPr="0049650D">
        <w:rPr>
          <w:szCs w:val="24"/>
        </w:rPr>
        <w:t xml:space="preserve">certain default emissions intensity </w:t>
      </w:r>
      <w:r w:rsidRPr="0049650D">
        <w:rPr>
          <w:szCs w:val="24"/>
        </w:rPr>
        <w:t>numbers</w:t>
      </w:r>
      <w:r w:rsidR="00861995" w:rsidRPr="0049650D">
        <w:rPr>
          <w:szCs w:val="24"/>
        </w:rPr>
        <w:t>;</w:t>
      </w:r>
    </w:p>
    <w:p w14:paraId="2112EB8B" w14:textId="712067DE" w:rsidR="00FA7386" w:rsidRPr="0049650D" w:rsidRDefault="00A40196" w:rsidP="007051A9">
      <w:pPr>
        <w:pStyle w:val="ListParagraph"/>
        <w:numPr>
          <w:ilvl w:val="0"/>
          <w:numId w:val="5"/>
        </w:numPr>
        <w:ind w:left="714" w:hanging="357"/>
        <w:contextualSpacing w:val="0"/>
        <w:rPr>
          <w:szCs w:val="24"/>
        </w:rPr>
      </w:pPr>
      <w:r w:rsidRPr="0049650D">
        <w:rPr>
          <w:szCs w:val="24"/>
        </w:rPr>
        <w:t>insert new</w:t>
      </w:r>
      <w:r w:rsidR="005E0E33" w:rsidRPr="0049650D">
        <w:rPr>
          <w:szCs w:val="24"/>
        </w:rPr>
        <w:t xml:space="preserve"> </w:t>
      </w:r>
      <w:r w:rsidR="00D93A2E" w:rsidRPr="0049650D">
        <w:rPr>
          <w:szCs w:val="24"/>
        </w:rPr>
        <w:t>production variables</w:t>
      </w:r>
      <w:r w:rsidR="005E0E33" w:rsidRPr="0049650D">
        <w:rPr>
          <w:szCs w:val="24"/>
        </w:rPr>
        <w:t xml:space="preserve"> with </w:t>
      </w:r>
      <w:r w:rsidR="003F7EA9" w:rsidRPr="0049650D">
        <w:rPr>
          <w:szCs w:val="24"/>
        </w:rPr>
        <w:t>specified emissions intensity numbers</w:t>
      </w:r>
      <w:r w:rsidR="00861995" w:rsidRPr="0049650D">
        <w:rPr>
          <w:szCs w:val="24"/>
        </w:rPr>
        <w:t>;</w:t>
      </w:r>
    </w:p>
    <w:p w14:paraId="3181EA95" w14:textId="6BFE2480" w:rsidR="00992860" w:rsidRPr="0049650D" w:rsidRDefault="00992860" w:rsidP="007051A9">
      <w:pPr>
        <w:pStyle w:val="ListParagraph"/>
        <w:numPr>
          <w:ilvl w:val="0"/>
          <w:numId w:val="5"/>
        </w:numPr>
        <w:ind w:left="714" w:hanging="357"/>
        <w:contextualSpacing w:val="0"/>
        <w:rPr>
          <w:szCs w:val="24"/>
        </w:rPr>
      </w:pPr>
      <w:r w:rsidRPr="0049650D">
        <w:rPr>
          <w:szCs w:val="24"/>
        </w:rPr>
        <w:t>make changes to certain definitions</w:t>
      </w:r>
      <w:r w:rsidR="00C63CF6" w:rsidRPr="0049650D">
        <w:rPr>
          <w:szCs w:val="24"/>
        </w:rPr>
        <w:t xml:space="preserve"> </w:t>
      </w:r>
      <w:r w:rsidR="006D7235" w:rsidRPr="0049650D">
        <w:rPr>
          <w:szCs w:val="24"/>
        </w:rPr>
        <w:t>for the</w:t>
      </w:r>
      <w:r w:rsidR="00C63CF6" w:rsidRPr="0049650D">
        <w:rPr>
          <w:szCs w:val="24"/>
        </w:rPr>
        <w:t xml:space="preserve"> purpose</w:t>
      </w:r>
      <w:r w:rsidR="006D7235" w:rsidRPr="0049650D">
        <w:rPr>
          <w:szCs w:val="24"/>
        </w:rPr>
        <w:t>s</w:t>
      </w:r>
      <w:r w:rsidR="00C63CF6" w:rsidRPr="0049650D">
        <w:rPr>
          <w:szCs w:val="24"/>
        </w:rPr>
        <w:t xml:space="preserve"> </w:t>
      </w:r>
      <w:r w:rsidR="006D7235" w:rsidRPr="0049650D">
        <w:rPr>
          <w:szCs w:val="24"/>
        </w:rPr>
        <w:t>of</w:t>
      </w:r>
      <w:r w:rsidR="00C63CF6" w:rsidRPr="0049650D">
        <w:rPr>
          <w:szCs w:val="24"/>
        </w:rPr>
        <w:t xml:space="preserve"> </w:t>
      </w:r>
      <w:r w:rsidR="00FA5512" w:rsidRPr="0049650D">
        <w:rPr>
          <w:szCs w:val="24"/>
        </w:rPr>
        <w:t>changing</w:t>
      </w:r>
      <w:r w:rsidR="00C63CF6" w:rsidRPr="0049650D">
        <w:rPr>
          <w:szCs w:val="24"/>
        </w:rPr>
        <w:t xml:space="preserve"> the production variables</w:t>
      </w:r>
      <w:r w:rsidR="00861995" w:rsidRPr="0049650D">
        <w:rPr>
          <w:szCs w:val="24"/>
        </w:rPr>
        <w:t>;</w:t>
      </w:r>
    </w:p>
    <w:p w14:paraId="3EB4EB75" w14:textId="39BDF0D0" w:rsidR="00485250" w:rsidRPr="0049650D" w:rsidRDefault="00DA68D0" w:rsidP="007051A9">
      <w:pPr>
        <w:pStyle w:val="ListParagraph"/>
        <w:numPr>
          <w:ilvl w:val="0"/>
          <w:numId w:val="5"/>
        </w:numPr>
        <w:ind w:left="714" w:hanging="357"/>
        <w:contextualSpacing w:val="0"/>
        <w:rPr>
          <w:szCs w:val="24"/>
        </w:rPr>
      </w:pPr>
      <w:r w:rsidRPr="0049650D">
        <w:rPr>
          <w:szCs w:val="24"/>
        </w:rPr>
        <w:t>make changes to</w:t>
      </w:r>
      <w:r w:rsidR="008C1892" w:rsidRPr="0049650D">
        <w:rPr>
          <w:szCs w:val="24"/>
        </w:rPr>
        <w:t xml:space="preserve"> certain</w:t>
      </w:r>
      <w:r w:rsidRPr="0049650D">
        <w:rPr>
          <w:szCs w:val="24"/>
        </w:rPr>
        <w:t xml:space="preserve"> production variables for </w:t>
      </w:r>
      <w:r w:rsidR="005642E9" w:rsidRPr="0049650D">
        <w:rPr>
          <w:szCs w:val="24"/>
        </w:rPr>
        <w:t>the purpose of adjusting the emissions intensity numbers</w:t>
      </w:r>
      <w:r w:rsidR="00861995" w:rsidRPr="0049650D">
        <w:rPr>
          <w:szCs w:val="24"/>
        </w:rPr>
        <w:t>, and</w:t>
      </w:r>
    </w:p>
    <w:p w14:paraId="35696B1C" w14:textId="05F638D5" w:rsidR="00E3288B" w:rsidRPr="0049650D" w:rsidRDefault="00BB1347" w:rsidP="007051A9">
      <w:pPr>
        <w:pStyle w:val="ListParagraph"/>
        <w:numPr>
          <w:ilvl w:val="0"/>
          <w:numId w:val="5"/>
        </w:numPr>
        <w:ind w:left="714" w:hanging="357"/>
        <w:contextualSpacing w:val="0"/>
        <w:rPr>
          <w:szCs w:val="24"/>
        </w:rPr>
      </w:pPr>
      <w:r w:rsidRPr="0049650D">
        <w:rPr>
          <w:szCs w:val="24"/>
        </w:rPr>
        <w:lastRenderedPageBreak/>
        <w:t xml:space="preserve">insert new production variables into the trade-exposed </w:t>
      </w:r>
      <w:r w:rsidR="00D43BEF" w:rsidRPr="0049650D">
        <w:rPr>
          <w:szCs w:val="24"/>
        </w:rPr>
        <w:t xml:space="preserve">production </w:t>
      </w:r>
      <w:r w:rsidR="00805528" w:rsidRPr="0049650D">
        <w:rPr>
          <w:szCs w:val="24"/>
        </w:rPr>
        <w:t>variables that are also manufacturing production variables</w:t>
      </w:r>
      <w:r w:rsidR="00861995" w:rsidRPr="0049650D">
        <w:rPr>
          <w:szCs w:val="24"/>
        </w:rPr>
        <w:t>.</w:t>
      </w:r>
    </w:p>
    <w:p w14:paraId="167EE446" w14:textId="77777777" w:rsidR="00A806D6" w:rsidRPr="0049650D" w:rsidRDefault="00A806D6" w:rsidP="00BF7ED6">
      <w:pPr>
        <w:rPr>
          <w:b/>
          <w:iCs/>
          <w:szCs w:val="24"/>
        </w:rPr>
      </w:pPr>
    </w:p>
    <w:p w14:paraId="76FDFEF8" w14:textId="7B19592C" w:rsidR="00F034AC" w:rsidRPr="0049650D" w:rsidRDefault="00511E33" w:rsidP="00BF7ED6">
      <w:pPr>
        <w:rPr>
          <w:b/>
          <w:iCs/>
          <w:szCs w:val="24"/>
        </w:rPr>
      </w:pPr>
      <w:r w:rsidRPr="0049650D">
        <w:rPr>
          <w:b/>
          <w:iCs/>
          <w:szCs w:val="24"/>
        </w:rPr>
        <w:t>Legislative Authority</w:t>
      </w:r>
    </w:p>
    <w:p w14:paraId="31EF46B3" w14:textId="531DBAF6" w:rsidR="00FD584B" w:rsidRPr="0049650D" w:rsidRDefault="00AD295C" w:rsidP="00BF7ED6">
      <w:pPr>
        <w:keepNext/>
        <w:rPr>
          <w:szCs w:val="24"/>
        </w:rPr>
      </w:pPr>
      <w:r w:rsidRPr="0049650D">
        <w:rPr>
          <w:szCs w:val="24"/>
        </w:rPr>
        <w:t>Th</w:t>
      </w:r>
      <w:r w:rsidR="00583CC3" w:rsidRPr="0049650D">
        <w:rPr>
          <w:szCs w:val="24"/>
        </w:rPr>
        <w:t xml:space="preserve">is Instrument is made under section 22XS of the Act. </w:t>
      </w:r>
    </w:p>
    <w:p w14:paraId="34BB7957" w14:textId="799CCDB4" w:rsidR="00BD6B93" w:rsidRPr="0049650D" w:rsidRDefault="003F33B3" w:rsidP="00BF7ED6">
      <w:pPr>
        <w:keepNext/>
        <w:rPr>
          <w:szCs w:val="24"/>
        </w:rPr>
      </w:pPr>
      <w:r w:rsidRPr="0049650D">
        <w:rPr>
          <w:szCs w:val="24"/>
        </w:rPr>
        <w:t xml:space="preserve">The conditions set out in subsection 22XS(1A) and </w:t>
      </w:r>
      <w:r w:rsidR="00141B85" w:rsidRPr="0049650D">
        <w:rPr>
          <w:szCs w:val="24"/>
        </w:rPr>
        <w:t>(</w:t>
      </w:r>
      <w:r w:rsidRPr="0049650D">
        <w:rPr>
          <w:szCs w:val="24"/>
        </w:rPr>
        <w:t xml:space="preserve">1B) </w:t>
      </w:r>
      <w:r w:rsidR="00BD6B93" w:rsidRPr="0049650D">
        <w:rPr>
          <w:szCs w:val="24"/>
        </w:rPr>
        <w:t xml:space="preserve">require the Minister to be </w:t>
      </w:r>
      <w:r w:rsidR="00FF1EC6" w:rsidRPr="0049650D">
        <w:rPr>
          <w:szCs w:val="24"/>
        </w:rPr>
        <w:t>satisfied</w:t>
      </w:r>
      <w:r w:rsidR="00BD6B93" w:rsidRPr="0049650D">
        <w:rPr>
          <w:szCs w:val="24"/>
        </w:rPr>
        <w:t xml:space="preserve"> of, and </w:t>
      </w:r>
      <w:proofErr w:type="gramStart"/>
      <w:r w:rsidR="00BD6B93" w:rsidRPr="0049650D">
        <w:rPr>
          <w:szCs w:val="24"/>
        </w:rPr>
        <w:t>take into account</w:t>
      </w:r>
      <w:proofErr w:type="gramEnd"/>
      <w:r w:rsidR="00BD6B93" w:rsidRPr="0049650D">
        <w:rPr>
          <w:szCs w:val="24"/>
        </w:rPr>
        <w:t xml:space="preserve">, certain safeguard outcomes set out in the Act. </w:t>
      </w:r>
    </w:p>
    <w:p w14:paraId="56759F68" w14:textId="67772D1B" w:rsidR="00BD6B93" w:rsidRPr="0049650D" w:rsidRDefault="004C0F0A" w:rsidP="00BF7ED6">
      <w:pPr>
        <w:keepNext/>
        <w:rPr>
          <w:szCs w:val="24"/>
        </w:rPr>
      </w:pPr>
      <w:r w:rsidRPr="0049650D">
        <w:rPr>
          <w:szCs w:val="24"/>
        </w:rPr>
        <w:t>T</w:t>
      </w:r>
      <w:r w:rsidR="003F33B3" w:rsidRPr="0049650D">
        <w:rPr>
          <w:szCs w:val="24"/>
        </w:rPr>
        <w:t xml:space="preserve">he Minister </w:t>
      </w:r>
      <w:r w:rsidR="00FD584B" w:rsidRPr="0049650D">
        <w:rPr>
          <w:szCs w:val="24"/>
        </w:rPr>
        <w:t>has considered and is satisfied</w:t>
      </w:r>
      <w:r w:rsidR="005E4447" w:rsidRPr="0049650D">
        <w:rPr>
          <w:szCs w:val="24"/>
        </w:rPr>
        <w:t xml:space="preserve"> </w:t>
      </w:r>
      <w:r w:rsidR="00FD584B" w:rsidRPr="0049650D">
        <w:rPr>
          <w:szCs w:val="24"/>
        </w:rPr>
        <w:t xml:space="preserve">that the Amendment Instrument is </w:t>
      </w:r>
      <w:r w:rsidR="005E4447" w:rsidRPr="0049650D">
        <w:rPr>
          <w:szCs w:val="24"/>
        </w:rPr>
        <w:t xml:space="preserve">consistent with each of the safeguard outcomes in paragraphs 3(2)(b), (c) and (d), </w:t>
      </w:r>
      <w:r w:rsidR="00BD6B93" w:rsidRPr="0049650D">
        <w:rPr>
          <w:szCs w:val="24"/>
        </w:rPr>
        <w:t>being the achievement of:</w:t>
      </w:r>
    </w:p>
    <w:p w14:paraId="3CABEEED" w14:textId="0ECB1415" w:rsidR="00BD6B93" w:rsidRPr="0049650D" w:rsidRDefault="00BD6B93" w:rsidP="007051A9">
      <w:pPr>
        <w:pStyle w:val="ListParagraph"/>
        <w:keepNext/>
        <w:numPr>
          <w:ilvl w:val="0"/>
          <w:numId w:val="7"/>
        </w:numPr>
        <w:contextualSpacing w:val="0"/>
        <w:rPr>
          <w:szCs w:val="24"/>
        </w:rPr>
      </w:pPr>
      <w:r w:rsidRPr="0049650D">
        <w:rPr>
          <w:szCs w:val="24"/>
        </w:rPr>
        <w:t>total net safeguard emissions for all of the financial years between 1 July 2020 and 30 June 2030 not exceeding a total of 1,233 million tonnes of carbon dioxide equivalence;</w:t>
      </w:r>
    </w:p>
    <w:p w14:paraId="797AB9D7" w14:textId="096BBE96" w:rsidR="00BD6B93" w:rsidRPr="0049650D" w:rsidRDefault="00BD6B93" w:rsidP="007051A9">
      <w:pPr>
        <w:pStyle w:val="ListParagraph"/>
        <w:keepNext/>
        <w:numPr>
          <w:ilvl w:val="0"/>
          <w:numId w:val="7"/>
        </w:numPr>
        <w:contextualSpacing w:val="0"/>
        <w:rPr>
          <w:szCs w:val="24"/>
        </w:rPr>
      </w:pPr>
      <w:r w:rsidRPr="0049650D">
        <w:rPr>
          <w:szCs w:val="24"/>
        </w:rPr>
        <w:t>net safeguard emissions declining to:</w:t>
      </w:r>
    </w:p>
    <w:p w14:paraId="34A6775C" w14:textId="105306DC" w:rsidR="00BD6B93" w:rsidRPr="0049650D" w:rsidRDefault="00BD6B93" w:rsidP="00BF7ED6">
      <w:pPr>
        <w:pStyle w:val="ListParagraph"/>
        <w:keepNext/>
        <w:ind w:left="1440"/>
        <w:contextualSpacing w:val="0"/>
        <w:rPr>
          <w:szCs w:val="24"/>
        </w:rPr>
      </w:pPr>
      <w:r w:rsidRPr="0049650D">
        <w:rPr>
          <w:szCs w:val="24"/>
        </w:rPr>
        <w:t>(</w:t>
      </w:r>
      <w:proofErr w:type="spellStart"/>
      <w:r w:rsidRPr="0049650D">
        <w:rPr>
          <w:szCs w:val="24"/>
        </w:rPr>
        <w:t>i</w:t>
      </w:r>
      <w:proofErr w:type="spellEnd"/>
      <w:r w:rsidRPr="0049650D">
        <w:rPr>
          <w:szCs w:val="24"/>
        </w:rPr>
        <w:t>)  no more than 100 million tonnes of carbon dioxide equivalence for the financial year beginning on 1 July 2029; and</w:t>
      </w:r>
    </w:p>
    <w:p w14:paraId="4ADF8943" w14:textId="38316344" w:rsidR="00BD6B93" w:rsidRPr="0049650D" w:rsidRDefault="00BD6B93" w:rsidP="00BF7ED6">
      <w:pPr>
        <w:pStyle w:val="ListParagraph"/>
        <w:keepNext/>
        <w:ind w:firstLine="720"/>
        <w:contextualSpacing w:val="0"/>
        <w:rPr>
          <w:szCs w:val="24"/>
        </w:rPr>
      </w:pPr>
      <w:r w:rsidRPr="0049650D">
        <w:rPr>
          <w:szCs w:val="24"/>
        </w:rPr>
        <w:t>(ii)  zero for any financial year to begin after 30 June 2049; and</w:t>
      </w:r>
    </w:p>
    <w:p w14:paraId="70D7A51A" w14:textId="15D95A9C" w:rsidR="00BD6B93" w:rsidRPr="0049650D" w:rsidRDefault="00BD6B93" w:rsidP="007051A9">
      <w:pPr>
        <w:pStyle w:val="ListParagraph"/>
        <w:keepNext/>
        <w:numPr>
          <w:ilvl w:val="0"/>
          <w:numId w:val="7"/>
        </w:numPr>
        <w:contextualSpacing w:val="0"/>
        <w:rPr>
          <w:szCs w:val="24"/>
        </w:rPr>
      </w:pPr>
      <w:r w:rsidRPr="0049650D">
        <w:rPr>
          <w:szCs w:val="24"/>
        </w:rPr>
        <w:t>the 5‑year rolling average safeguard emissions for each financial year that begins after 30 June 2024 being lower than the past 5‑year rolling average safeguard emissions for that financial year.</w:t>
      </w:r>
    </w:p>
    <w:p w14:paraId="1BCD5212" w14:textId="066B0A4E" w:rsidR="00822553" w:rsidRPr="0049650D" w:rsidRDefault="00BD6B93" w:rsidP="00BF7ED6">
      <w:pPr>
        <w:keepNext/>
        <w:rPr>
          <w:szCs w:val="24"/>
        </w:rPr>
      </w:pPr>
      <w:r w:rsidRPr="0049650D">
        <w:rPr>
          <w:szCs w:val="24"/>
        </w:rPr>
        <w:t xml:space="preserve">The Minister has also </w:t>
      </w:r>
      <w:proofErr w:type="gramStart"/>
      <w:r w:rsidR="005E4447" w:rsidRPr="0049650D">
        <w:rPr>
          <w:szCs w:val="24"/>
        </w:rPr>
        <w:t>take</w:t>
      </w:r>
      <w:r w:rsidR="004C0F0A" w:rsidRPr="0049650D">
        <w:rPr>
          <w:szCs w:val="24"/>
        </w:rPr>
        <w:t>n</w:t>
      </w:r>
      <w:r w:rsidR="005E4447" w:rsidRPr="0049650D">
        <w:rPr>
          <w:szCs w:val="24"/>
        </w:rPr>
        <w:t xml:space="preserve"> into account</w:t>
      </w:r>
      <w:proofErr w:type="gramEnd"/>
      <w:r w:rsidR="005E4447" w:rsidRPr="0049650D">
        <w:rPr>
          <w:szCs w:val="24"/>
        </w:rPr>
        <w:t xml:space="preserve"> the safeguard outcomes in paragraphs 3(2)</w:t>
      </w:r>
      <w:r w:rsidR="00374A62" w:rsidRPr="0049650D">
        <w:rPr>
          <w:szCs w:val="24"/>
        </w:rPr>
        <w:t>(e)</w:t>
      </w:r>
      <w:r w:rsidR="005E4447" w:rsidRPr="0049650D">
        <w:rPr>
          <w:szCs w:val="24"/>
        </w:rPr>
        <w:t xml:space="preserve"> and (f)</w:t>
      </w:r>
      <w:r w:rsidRPr="0049650D">
        <w:rPr>
          <w:szCs w:val="24"/>
        </w:rPr>
        <w:t>, being:</w:t>
      </w:r>
    </w:p>
    <w:p w14:paraId="1743B874" w14:textId="62553741" w:rsidR="00BD6B93" w:rsidRPr="0049650D" w:rsidRDefault="00BD6B93" w:rsidP="007051A9">
      <w:pPr>
        <w:pStyle w:val="ListParagraph"/>
        <w:keepNext/>
        <w:numPr>
          <w:ilvl w:val="0"/>
          <w:numId w:val="8"/>
        </w:numPr>
        <w:contextualSpacing w:val="0"/>
        <w:rPr>
          <w:szCs w:val="24"/>
        </w:rPr>
      </w:pPr>
      <w:r w:rsidRPr="0049650D">
        <w:rPr>
          <w:szCs w:val="24"/>
        </w:rPr>
        <w:t>the responsible emitter for each designated large facility has a material incentive to invest in reducing covered emissions from the operation of the facility; and</w:t>
      </w:r>
    </w:p>
    <w:p w14:paraId="7673A476" w14:textId="305C9DA4" w:rsidR="00BD6B93" w:rsidRPr="0049650D" w:rsidRDefault="00BD6B93" w:rsidP="007051A9">
      <w:pPr>
        <w:pStyle w:val="ListParagraph"/>
        <w:keepNext/>
        <w:numPr>
          <w:ilvl w:val="0"/>
          <w:numId w:val="8"/>
        </w:numPr>
        <w:contextualSpacing w:val="0"/>
        <w:rPr>
          <w:szCs w:val="24"/>
        </w:rPr>
      </w:pPr>
      <w:r w:rsidRPr="0049650D">
        <w:rPr>
          <w:szCs w:val="24"/>
        </w:rPr>
        <w:t>the competitiveness of trade‑exposed industries is appropriately supported as Australia and its regions seize the opportunities of the move to a global net zero economy.</w:t>
      </w:r>
    </w:p>
    <w:p w14:paraId="65E330D6" w14:textId="77C49B02" w:rsidR="00BD6B93" w:rsidRPr="0049650D" w:rsidRDefault="00FF1EC6" w:rsidP="00BF7ED6">
      <w:pPr>
        <w:keepNext/>
        <w:rPr>
          <w:szCs w:val="24"/>
        </w:rPr>
      </w:pPr>
      <w:r w:rsidRPr="0049650D">
        <w:rPr>
          <w:szCs w:val="24"/>
        </w:rPr>
        <w:t xml:space="preserve">Pursuant to s 22XS(1B), the Minister’s </w:t>
      </w:r>
      <w:r w:rsidR="00BD6B93" w:rsidRPr="0049650D">
        <w:rPr>
          <w:szCs w:val="24"/>
        </w:rPr>
        <w:t xml:space="preserve">Statement of Reasons </w:t>
      </w:r>
      <w:r w:rsidRPr="0049650D">
        <w:rPr>
          <w:szCs w:val="24"/>
        </w:rPr>
        <w:t xml:space="preserve">was published on the department’s website and </w:t>
      </w:r>
      <w:r w:rsidR="00BD6B93" w:rsidRPr="0049650D">
        <w:rPr>
          <w:szCs w:val="24"/>
        </w:rPr>
        <w:t xml:space="preserve">is included at </w:t>
      </w:r>
      <w:r w:rsidR="00BD6B93" w:rsidRPr="0049650D">
        <w:rPr>
          <w:b/>
          <w:bCs/>
          <w:szCs w:val="24"/>
        </w:rPr>
        <w:t>Attachment C</w:t>
      </w:r>
      <w:r w:rsidR="00BD6B93" w:rsidRPr="0049650D">
        <w:rPr>
          <w:szCs w:val="24"/>
        </w:rPr>
        <w:t xml:space="preserve">. </w:t>
      </w:r>
    </w:p>
    <w:p w14:paraId="5EE90888" w14:textId="243A1304" w:rsidR="00775E9E" w:rsidRPr="0049650D" w:rsidRDefault="00FD584B" w:rsidP="00BF7ED6">
      <w:pPr>
        <w:keepNext/>
        <w:rPr>
          <w:szCs w:val="24"/>
        </w:rPr>
      </w:pPr>
      <w:r w:rsidRPr="0049650D">
        <w:rPr>
          <w:szCs w:val="24"/>
        </w:rPr>
        <w:t>Consistent with s 22</w:t>
      </w:r>
      <w:proofErr w:type="gramStart"/>
      <w:r w:rsidRPr="0049650D">
        <w:rPr>
          <w:szCs w:val="24"/>
        </w:rPr>
        <w:t>XS(</w:t>
      </w:r>
      <w:proofErr w:type="gramEnd"/>
      <w:r w:rsidRPr="0049650D">
        <w:rPr>
          <w:szCs w:val="24"/>
        </w:rPr>
        <w:t>2)</w:t>
      </w:r>
      <w:r w:rsidR="00775E9E" w:rsidRPr="0049650D">
        <w:rPr>
          <w:szCs w:val="24"/>
        </w:rPr>
        <w:t>, th</w:t>
      </w:r>
      <w:r w:rsidR="00906D4E" w:rsidRPr="0049650D">
        <w:rPr>
          <w:szCs w:val="24"/>
        </w:rPr>
        <w:t>e</w:t>
      </w:r>
      <w:r w:rsidR="00775E9E" w:rsidRPr="0049650D">
        <w:rPr>
          <w:szCs w:val="24"/>
        </w:rPr>
        <w:t xml:space="preserve"> Instrument does not</w:t>
      </w:r>
      <w:r w:rsidRPr="0049650D">
        <w:rPr>
          <w:szCs w:val="24"/>
        </w:rPr>
        <w:t>:</w:t>
      </w:r>
    </w:p>
    <w:p w14:paraId="2E60AF1F" w14:textId="2A6F7103" w:rsidR="00D74BE7" w:rsidRPr="0049650D" w:rsidRDefault="00D74BE7" w:rsidP="007051A9">
      <w:pPr>
        <w:pStyle w:val="ListParagraph"/>
        <w:keepNext/>
        <w:numPr>
          <w:ilvl w:val="0"/>
          <w:numId w:val="6"/>
        </w:numPr>
        <w:ind w:left="714" w:hanging="357"/>
        <w:contextualSpacing w:val="0"/>
        <w:rPr>
          <w:szCs w:val="24"/>
        </w:rPr>
      </w:pPr>
      <w:r w:rsidRPr="0049650D">
        <w:rPr>
          <w:szCs w:val="24"/>
        </w:rPr>
        <w:t>create a</w:t>
      </w:r>
      <w:r w:rsidR="00DC7FCC" w:rsidRPr="0049650D">
        <w:rPr>
          <w:szCs w:val="24"/>
        </w:rPr>
        <w:t xml:space="preserve"> civil or criminal</w:t>
      </w:r>
      <w:r w:rsidRPr="0049650D">
        <w:rPr>
          <w:szCs w:val="24"/>
        </w:rPr>
        <w:t xml:space="preserve"> offense,</w:t>
      </w:r>
    </w:p>
    <w:p w14:paraId="433656E9" w14:textId="5D04DBDB" w:rsidR="00D74BE7" w:rsidRPr="0049650D" w:rsidRDefault="00612342" w:rsidP="007051A9">
      <w:pPr>
        <w:pStyle w:val="ListParagraph"/>
        <w:keepNext/>
        <w:numPr>
          <w:ilvl w:val="0"/>
          <w:numId w:val="6"/>
        </w:numPr>
        <w:ind w:left="714" w:hanging="357"/>
        <w:contextualSpacing w:val="0"/>
        <w:rPr>
          <w:szCs w:val="24"/>
        </w:rPr>
      </w:pPr>
      <w:r w:rsidRPr="0049650D">
        <w:rPr>
          <w:szCs w:val="24"/>
        </w:rPr>
        <w:t>create powers of arrest or</w:t>
      </w:r>
      <w:r w:rsidR="000820FF" w:rsidRPr="0049650D">
        <w:rPr>
          <w:szCs w:val="24"/>
        </w:rPr>
        <w:t xml:space="preserve"> authorise a</w:t>
      </w:r>
      <w:r w:rsidR="004A57A3" w:rsidRPr="0049650D">
        <w:rPr>
          <w:szCs w:val="24"/>
        </w:rPr>
        <w:t xml:space="preserve">ny </w:t>
      </w:r>
      <w:r w:rsidR="00A0307B" w:rsidRPr="0049650D">
        <w:rPr>
          <w:szCs w:val="24"/>
        </w:rPr>
        <w:t>act</w:t>
      </w:r>
      <w:r w:rsidRPr="0049650D">
        <w:rPr>
          <w:szCs w:val="24"/>
        </w:rPr>
        <w:t xml:space="preserve"> of trespass,</w:t>
      </w:r>
    </w:p>
    <w:p w14:paraId="0E45C720" w14:textId="10592CE0" w:rsidR="00612342" w:rsidRPr="0049650D" w:rsidRDefault="00612342" w:rsidP="007051A9">
      <w:pPr>
        <w:pStyle w:val="ListParagraph"/>
        <w:keepNext/>
        <w:numPr>
          <w:ilvl w:val="0"/>
          <w:numId w:val="6"/>
        </w:numPr>
        <w:ind w:left="714" w:hanging="357"/>
        <w:contextualSpacing w:val="0"/>
        <w:rPr>
          <w:szCs w:val="24"/>
        </w:rPr>
      </w:pPr>
      <w:r w:rsidRPr="0049650D">
        <w:rPr>
          <w:szCs w:val="24"/>
        </w:rPr>
        <w:t>impose a tax,</w:t>
      </w:r>
    </w:p>
    <w:p w14:paraId="5C59916A" w14:textId="4C01E853" w:rsidR="00612342" w:rsidRPr="0049650D" w:rsidRDefault="006F72DF" w:rsidP="007051A9">
      <w:pPr>
        <w:pStyle w:val="ListParagraph"/>
        <w:keepNext/>
        <w:numPr>
          <w:ilvl w:val="0"/>
          <w:numId w:val="6"/>
        </w:numPr>
        <w:ind w:left="714" w:hanging="357"/>
        <w:contextualSpacing w:val="0"/>
        <w:rPr>
          <w:szCs w:val="24"/>
        </w:rPr>
      </w:pPr>
      <w:r w:rsidRPr="0049650D">
        <w:rPr>
          <w:szCs w:val="24"/>
        </w:rPr>
        <w:t>appropriate money from the consolidated fund, or</w:t>
      </w:r>
    </w:p>
    <w:p w14:paraId="6745EC13" w14:textId="1BB4A405" w:rsidR="00E3288B" w:rsidRPr="0049650D" w:rsidRDefault="006F72DF" w:rsidP="007051A9">
      <w:pPr>
        <w:pStyle w:val="ListParagraph"/>
        <w:keepNext/>
        <w:numPr>
          <w:ilvl w:val="0"/>
          <w:numId w:val="6"/>
        </w:numPr>
        <w:ind w:left="714" w:hanging="357"/>
        <w:contextualSpacing w:val="0"/>
        <w:rPr>
          <w:szCs w:val="24"/>
        </w:rPr>
      </w:pPr>
      <w:r w:rsidRPr="0049650D">
        <w:rPr>
          <w:szCs w:val="24"/>
        </w:rPr>
        <w:t xml:space="preserve">amend the </w:t>
      </w:r>
      <w:r w:rsidR="00FD584B" w:rsidRPr="0049650D">
        <w:rPr>
          <w:szCs w:val="24"/>
        </w:rPr>
        <w:t xml:space="preserve">NGER </w:t>
      </w:r>
      <w:r w:rsidRPr="0049650D">
        <w:rPr>
          <w:szCs w:val="24"/>
        </w:rPr>
        <w:t>Act.</w:t>
      </w:r>
    </w:p>
    <w:p w14:paraId="58ADFE92" w14:textId="77777777" w:rsidR="00A806D6" w:rsidRPr="0049650D" w:rsidRDefault="00A806D6" w:rsidP="00BF7ED6">
      <w:pPr>
        <w:tabs>
          <w:tab w:val="left" w:pos="1701"/>
          <w:tab w:val="right" w:pos="9072"/>
        </w:tabs>
        <w:spacing w:line="360" w:lineRule="auto"/>
        <w:ind w:right="91"/>
        <w:rPr>
          <w:b/>
          <w:szCs w:val="24"/>
        </w:rPr>
      </w:pPr>
    </w:p>
    <w:p w14:paraId="54AD16AA" w14:textId="1D080B80" w:rsidR="007E7318" w:rsidRPr="0049650D" w:rsidRDefault="007E7318" w:rsidP="00A806D6">
      <w:pPr>
        <w:keepNext/>
        <w:tabs>
          <w:tab w:val="left" w:pos="1701"/>
          <w:tab w:val="right" w:pos="9072"/>
        </w:tabs>
        <w:spacing w:line="360" w:lineRule="auto"/>
        <w:ind w:right="91"/>
        <w:rPr>
          <w:b/>
          <w:szCs w:val="24"/>
        </w:rPr>
      </w:pPr>
      <w:r w:rsidRPr="0049650D">
        <w:rPr>
          <w:b/>
          <w:szCs w:val="24"/>
        </w:rPr>
        <w:lastRenderedPageBreak/>
        <w:t>Regulatory Impact</w:t>
      </w:r>
    </w:p>
    <w:p w14:paraId="2110A1AA" w14:textId="656D3749" w:rsidR="00FD198E" w:rsidRPr="0049650D" w:rsidRDefault="007911AE" w:rsidP="00BF7ED6">
      <w:pPr>
        <w:rPr>
          <w:szCs w:val="24"/>
          <w:lang w:val="en-GB"/>
        </w:rPr>
      </w:pPr>
      <w:r w:rsidRPr="0049650D">
        <w:rPr>
          <w:szCs w:val="24"/>
          <w:lang w:val="en-GB"/>
        </w:rPr>
        <w:t>According to The Australian Government Guide to Regulatory Impact Analysis, a Regulatory Impact Analysis (RIA) is mandatory for decisions made by any Australian Government entity if that decision is likely to have a more than minor impact on businesses, community organisations, individuals, or any combination.</w:t>
      </w:r>
      <w:r w:rsidR="00AC68C4" w:rsidRPr="0049650D">
        <w:rPr>
          <w:szCs w:val="24"/>
          <w:lang w:val="en-GB"/>
        </w:rPr>
        <w:t xml:space="preserve"> </w:t>
      </w:r>
    </w:p>
    <w:p w14:paraId="29855AC5" w14:textId="4964FD6B" w:rsidR="00683A28" w:rsidRPr="0049650D" w:rsidRDefault="003775EE" w:rsidP="00683A28">
      <w:pPr>
        <w:rPr>
          <w:color w:val="00B050"/>
          <w:szCs w:val="24"/>
          <w:lang w:val="en-GB"/>
        </w:rPr>
      </w:pPr>
      <w:r w:rsidRPr="0049650D">
        <w:rPr>
          <w:szCs w:val="24"/>
          <w:lang w:val="en-GB"/>
        </w:rPr>
        <w:t>T</w:t>
      </w:r>
      <w:r w:rsidR="00AC68C4" w:rsidRPr="0049650D">
        <w:rPr>
          <w:szCs w:val="24"/>
          <w:lang w:val="en-GB"/>
        </w:rPr>
        <w:t>h</w:t>
      </w:r>
      <w:r w:rsidR="00FD198E" w:rsidRPr="0049650D">
        <w:rPr>
          <w:szCs w:val="24"/>
          <w:lang w:val="en-GB"/>
        </w:rPr>
        <w:t xml:space="preserve">e </w:t>
      </w:r>
      <w:r w:rsidR="00D40BE1" w:rsidRPr="0049650D">
        <w:rPr>
          <w:szCs w:val="24"/>
          <w:lang w:val="en-GB"/>
        </w:rPr>
        <w:t xml:space="preserve">regulatory impacts of the </w:t>
      </w:r>
      <w:r w:rsidR="003A5FCE" w:rsidRPr="0049650D">
        <w:rPr>
          <w:szCs w:val="24"/>
          <w:lang w:val="en-GB"/>
        </w:rPr>
        <w:t>R</w:t>
      </w:r>
      <w:r w:rsidR="00D40BE1" w:rsidRPr="0049650D">
        <w:rPr>
          <w:szCs w:val="24"/>
          <w:lang w:val="en-GB"/>
        </w:rPr>
        <w:t>eforms to the Safeguard Mechanism were assessed as part of the RIA published in May 2023, and the technical and minor amendments made by this pro</w:t>
      </w:r>
      <w:r w:rsidR="00B23454" w:rsidRPr="0049650D">
        <w:rPr>
          <w:szCs w:val="24"/>
          <w:lang w:val="en-GB"/>
        </w:rPr>
        <w:t xml:space="preserve">duction variable review </w:t>
      </w:r>
      <w:r w:rsidR="00B93696" w:rsidRPr="0049650D">
        <w:rPr>
          <w:szCs w:val="24"/>
          <w:lang w:val="en-GB"/>
        </w:rPr>
        <w:t xml:space="preserve">are an important step in </w:t>
      </w:r>
      <w:r w:rsidR="00BF4715" w:rsidRPr="0049650D">
        <w:rPr>
          <w:szCs w:val="24"/>
          <w:lang w:val="en-GB"/>
        </w:rPr>
        <w:t>implementing</w:t>
      </w:r>
      <w:r w:rsidR="00B93696" w:rsidRPr="0049650D">
        <w:rPr>
          <w:szCs w:val="24"/>
          <w:lang w:val="en-GB"/>
        </w:rPr>
        <w:t xml:space="preserve"> the reforms</w:t>
      </w:r>
      <w:r w:rsidR="00B23454" w:rsidRPr="0049650D">
        <w:rPr>
          <w:szCs w:val="24"/>
          <w:lang w:val="en-GB"/>
        </w:rPr>
        <w:t xml:space="preserve">. </w:t>
      </w:r>
      <w:r w:rsidR="00623DB1" w:rsidRPr="0049650D">
        <w:rPr>
          <w:szCs w:val="24"/>
          <w:lang w:val="en-GB"/>
        </w:rPr>
        <w:t xml:space="preserve">Therefore </w:t>
      </w:r>
      <w:proofErr w:type="gramStart"/>
      <w:r w:rsidR="00623DB1" w:rsidRPr="0049650D">
        <w:rPr>
          <w:szCs w:val="24"/>
          <w:lang w:val="en-GB"/>
        </w:rPr>
        <w:t>a</w:t>
      </w:r>
      <w:proofErr w:type="gramEnd"/>
      <w:r w:rsidR="00623DB1" w:rsidRPr="0049650D">
        <w:rPr>
          <w:szCs w:val="24"/>
          <w:lang w:val="en-GB"/>
        </w:rPr>
        <w:t xml:space="preserve"> RIA is not required for </w:t>
      </w:r>
      <w:r w:rsidR="006B2364" w:rsidRPr="0049650D">
        <w:rPr>
          <w:szCs w:val="24"/>
          <w:lang w:val="en-GB"/>
        </w:rPr>
        <w:t>the decision</w:t>
      </w:r>
      <w:r w:rsidR="000852B6" w:rsidRPr="0049650D">
        <w:rPr>
          <w:szCs w:val="24"/>
          <w:lang w:val="en-GB"/>
        </w:rPr>
        <w:t xml:space="preserve"> on </w:t>
      </w:r>
      <w:r w:rsidR="00B432ED" w:rsidRPr="0049650D">
        <w:rPr>
          <w:szCs w:val="24"/>
          <w:lang w:val="en-GB"/>
        </w:rPr>
        <w:t xml:space="preserve">this </w:t>
      </w:r>
      <w:r w:rsidR="007D722A" w:rsidRPr="0049650D">
        <w:rPr>
          <w:szCs w:val="24"/>
          <w:lang w:val="en-GB"/>
        </w:rPr>
        <w:t>I</w:t>
      </w:r>
      <w:r w:rsidR="00B432ED" w:rsidRPr="0049650D">
        <w:rPr>
          <w:szCs w:val="24"/>
          <w:lang w:val="en-GB"/>
        </w:rPr>
        <w:t>nstrument.</w:t>
      </w:r>
    </w:p>
    <w:p w14:paraId="68CAD54D" w14:textId="007E8812" w:rsidR="00683A28" w:rsidRPr="0049650D" w:rsidRDefault="00AE0E28" w:rsidP="00683A28">
      <w:pPr>
        <w:rPr>
          <w:b/>
          <w:szCs w:val="24"/>
        </w:rPr>
      </w:pPr>
      <w:r w:rsidRPr="0049650D">
        <w:rPr>
          <w:b/>
          <w:szCs w:val="24"/>
        </w:rPr>
        <w:t>Consultation</w:t>
      </w:r>
    </w:p>
    <w:p w14:paraId="6FDF8508" w14:textId="20887BA9" w:rsidR="00703C8C" w:rsidRPr="0049650D" w:rsidRDefault="00AF2078" w:rsidP="00683A28">
      <w:pPr>
        <w:rPr>
          <w:b/>
          <w:szCs w:val="24"/>
        </w:rPr>
      </w:pPr>
      <w:r w:rsidRPr="0049650D">
        <w:rPr>
          <w:szCs w:val="24"/>
        </w:rPr>
        <w:t xml:space="preserve">An exposure draft of the </w:t>
      </w:r>
      <w:r w:rsidRPr="0049650D">
        <w:rPr>
          <w:i/>
          <w:iCs/>
          <w:szCs w:val="24"/>
        </w:rPr>
        <w:t xml:space="preserve">National Greenhouse and Energy Reporting (Safeguard Mechanism) Amendment (Production Variables Update) Rules 2023 </w:t>
      </w:r>
      <w:r w:rsidRPr="0049650D">
        <w:rPr>
          <w:szCs w:val="24"/>
        </w:rPr>
        <w:t>was open for public consultation from 21 July 2023 to</w:t>
      </w:r>
      <w:r w:rsidR="004F1624" w:rsidRPr="0049650D">
        <w:rPr>
          <w:szCs w:val="24"/>
        </w:rPr>
        <w:t xml:space="preserve"> 11 August 2023</w:t>
      </w:r>
      <w:r w:rsidR="001A294F" w:rsidRPr="0049650D">
        <w:rPr>
          <w:szCs w:val="24"/>
        </w:rPr>
        <w:t xml:space="preserve">, along with an explanatory document and </w:t>
      </w:r>
      <w:r w:rsidR="00B30517" w:rsidRPr="0049650D">
        <w:rPr>
          <w:szCs w:val="24"/>
        </w:rPr>
        <w:t>an extract of changes proposed to the Safeguard Mechanism Document</w:t>
      </w:r>
      <w:r w:rsidR="004F1624" w:rsidRPr="0049650D">
        <w:rPr>
          <w:szCs w:val="24"/>
        </w:rPr>
        <w:t xml:space="preserve">. </w:t>
      </w:r>
    </w:p>
    <w:p w14:paraId="3FCE0DDF" w14:textId="6AD7683A" w:rsidR="00B30517" w:rsidRPr="0049650D" w:rsidRDefault="00F257A0" w:rsidP="00683A28">
      <w:pPr>
        <w:rPr>
          <w:szCs w:val="24"/>
        </w:rPr>
      </w:pPr>
      <w:r w:rsidRPr="0049650D">
        <w:rPr>
          <w:szCs w:val="24"/>
        </w:rPr>
        <w:t>Seventeen</w:t>
      </w:r>
      <w:r w:rsidR="00433908" w:rsidRPr="0049650D">
        <w:rPr>
          <w:szCs w:val="24"/>
        </w:rPr>
        <w:t xml:space="preserve"> s</w:t>
      </w:r>
      <w:r w:rsidR="004F1624" w:rsidRPr="0049650D">
        <w:rPr>
          <w:szCs w:val="24"/>
        </w:rPr>
        <w:t>ubmissions were received from businesses, industry groups and individuals, and all non-confidential submissions were published on the Department</w:t>
      </w:r>
      <w:r w:rsidR="008F57C3" w:rsidRPr="0049650D">
        <w:rPr>
          <w:szCs w:val="24"/>
        </w:rPr>
        <w:t>’s</w:t>
      </w:r>
      <w:r w:rsidR="004F1624" w:rsidRPr="0049650D">
        <w:rPr>
          <w:szCs w:val="24"/>
        </w:rPr>
        <w:t xml:space="preserve"> website.</w:t>
      </w:r>
    </w:p>
    <w:p w14:paraId="5EFE5D8F" w14:textId="5B202552" w:rsidR="00343D9F" w:rsidRPr="0049650D" w:rsidRDefault="004756E8" w:rsidP="00BF7ED6">
      <w:pPr>
        <w:spacing w:line="259" w:lineRule="auto"/>
      </w:pPr>
      <w:r w:rsidRPr="0049650D">
        <w:t xml:space="preserve">There were no changes in response to submissions, however the </w:t>
      </w:r>
      <w:r w:rsidR="00A61131" w:rsidRPr="0049650D">
        <w:t xml:space="preserve">final Amendment </w:t>
      </w:r>
      <w:r w:rsidR="00770915" w:rsidRPr="0049650D">
        <w:t>Rules</w:t>
      </w:r>
      <w:r w:rsidR="00A61131" w:rsidRPr="0049650D">
        <w:t xml:space="preserve"> </w:t>
      </w:r>
      <w:r w:rsidR="0064774E" w:rsidRPr="0049650D">
        <w:t>incorporate</w:t>
      </w:r>
      <w:r w:rsidR="00A61131" w:rsidRPr="0049650D">
        <w:t xml:space="preserve"> </w:t>
      </w:r>
      <w:r w:rsidR="2D0F0BF0" w:rsidRPr="0049650D">
        <w:t xml:space="preserve">further </w:t>
      </w:r>
      <w:r w:rsidR="00A61131" w:rsidRPr="0049650D">
        <w:t>minor</w:t>
      </w:r>
      <w:r w:rsidR="329B28BB" w:rsidRPr="0049650D">
        <w:t xml:space="preserve"> technical</w:t>
      </w:r>
      <w:r w:rsidR="00CD6F13" w:rsidRPr="0049650D">
        <w:t xml:space="preserve"> changes</w:t>
      </w:r>
      <w:r w:rsidR="23815207" w:rsidRPr="0049650D">
        <w:t>.</w:t>
      </w:r>
    </w:p>
    <w:p w14:paraId="6D2432FE" w14:textId="77777777" w:rsidR="00B3237F" w:rsidRPr="0049650D" w:rsidRDefault="00B3237F" w:rsidP="00BF7ED6">
      <w:pPr>
        <w:pStyle w:val="Heading2"/>
        <w:shd w:val="clear" w:color="auto" w:fill="FFFFFF"/>
        <w:spacing w:before="120" w:after="120"/>
        <w:rPr>
          <w:color w:val="000000"/>
          <w:sz w:val="24"/>
          <w:szCs w:val="24"/>
        </w:rPr>
      </w:pPr>
    </w:p>
    <w:p w14:paraId="0795C1B8" w14:textId="449A43B4" w:rsidR="00B3237F" w:rsidRPr="0049650D" w:rsidRDefault="00B3237F" w:rsidP="00BF7ED6">
      <w:pPr>
        <w:pStyle w:val="Heading2"/>
        <w:shd w:val="clear" w:color="auto" w:fill="FFFFFF"/>
        <w:spacing w:before="120" w:after="120"/>
        <w:rPr>
          <w:color w:val="000000"/>
          <w:sz w:val="24"/>
          <w:szCs w:val="24"/>
          <w:u w:val="none"/>
        </w:rPr>
      </w:pPr>
      <w:r w:rsidRPr="0049650D">
        <w:rPr>
          <w:color w:val="000000"/>
          <w:sz w:val="24"/>
          <w:szCs w:val="24"/>
          <w:u w:val="none"/>
        </w:rPr>
        <w:t>Commencement</w:t>
      </w:r>
    </w:p>
    <w:p w14:paraId="670AFE53" w14:textId="29F62699" w:rsidR="00B3237F" w:rsidRPr="0049650D" w:rsidRDefault="00B3237F" w:rsidP="008F57C3">
      <w:pPr>
        <w:shd w:val="clear" w:color="auto" w:fill="FFFFFF"/>
        <w:rPr>
          <w:color w:val="000000"/>
          <w:szCs w:val="24"/>
        </w:rPr>
      </w:pPr>
      <w:r w:rsidRPr="0049650D">
        <w:rPr>
          <w:color w:val="000000"/>
          <w:szCs w:val="24"/>
        </w:rPr>
        <w:t>This instrument is a legislative instrument within the meaning of the</w:t>
      </w:r>
      <w:r w:rsidRPr="0049650D">
        <w:rPr>
          <w:i/>
          <w:iCs/>
          <w:color w:val="000000"/>
          <w:szCs w:val="24"/>
        </w:rPr>
        <w:t xml:space="preserve"> Legislation Act 2003</w:t>
      </w:r>
      <w:r w:rsidRPr="0049650D">
        <w:rPr>
          <w:color w:val="000000"/>
          <w:szCs w:val="24"/>
        </w:rPr>
        <w:t xml:space="preserve">. It commences on the day after it is registered on the Federal Register of Legislation. </w:t>
      </w:r>
    </w:p>
    <w:p w14:paraId="2A815DEE" w14:textId="45680128" w:rsidR="00B3237F" w:rsidRPr="0049650D" w:rsidRDefault="00805528" w:rsidP="00BF7ED6">
      <w:pPr>
        <w:rPr>
          <w:szCs w:val="24"/>
        </w:rPr>
      </w:pPr>
      <w:r w:rsidRPr="0049650D">
        <w:rPr>
          <w:szCs w:val="24"/>
        </w:rPr>
        <w:t xml:space="preserve">Further details of the </w:t>
      </w:r>
      <w:r w:rsidR="005E4447" w:rsidRPr="0049650D">
        <w:rPr>
          <w:szCs w:val="24"/>
        </w:rPr>
        <w:t>Instrument</w:t>
      </w:r>
      <w:r w:rsidRPr="0049650D">
        <w:rPr>
          <w:szCs w:val="24"/>
        </w:rPr>
        <w:t xml:space="preserve"> are outlined in </w:t>
      </w:r>
      <w:r w:rsidRPr="0049650D">
        <w:rPr>
          <w:b/>
          <w:bCs/>
          <w:szCs w:val="24"/>
        </w:rPr>
        <w:t>Attachment A</w:t>
      </w:r>
      <w:r w:rsidRPr="0049650D">
        <w:rPr>
          <w:szCs w:val="24"/>
        </w:rPr>
        <w:t xml:space="preserve">. </w:t>
      </w:r>
    </w:p>
    <w:p w14:paraId="323E635D" w14:textId="2149CFFA" w:rsidR="00906D4E" w:rsidRPr="0049650D" w:rsidRDefault="00805528" w:rsidP="00BF7ED6">
      <w:pPr>
        <w:rPr>
          <w:szCs w:val="24"/>
        </w:rPr>
      </w:pPr>
      <w:r w:rsidRPr="0049650D">
        <w:rPr>
          <w:szCs w:val="24"/>
        </w:rPr>
        <w:t xml:space="preserve">A statement of the </w:t>
      </w:r>
      <w:r w:rsidR="005E4447" w:rsidRPr="0049650D">
        <w:rPr>
          <w:szCs w:val="24"/>
        </w:rPr>
        <w:t>Instrument’s</w:t>
      </w:r>
      <w:r w:rsidRPr="0049650D">
        <w:rPr>
          <w:szCs w:val="24"/>
        </w:rPr>
        <w:t xml:space="preserve"> compatibility with human rights is set out in </w:t>
      </w:r>
      <w:r w:rsidRPr="0049650D">
        <w:rPr>
          <w:b/>
          <w:bCs/>
          <w:szCs w:val="24"/>
        </w:rPr>
        <w:t>Attachment B</w:t>
      </w:r>
      <w:r w:rsidRPr="0049650D">
        <w:rPr>
          <w:szCs w:val="24"/>
        </w:rPr>
        <w:t>.</w:t>
      </w:r>
      <w:bookmarkEnd w:id="0"/>
      <w:bookmarkEnd w:id="1"/>
    </w:p>
    <w:p w14:paraId="4AB814F0" w14:textId="13081089" w:rsidR="00E3288B" w:rsidRPr="0049650D" w:rsidRDefault="00E3288B" w:rsidP="00BF7ED6">
      <w:pPr>
        <w:rPr>
          <w:szCs w:val="24"/>
        </w:rPr>
      </w:pPr>
      <w:r w:rsidRPr="0049650D">
        <w:rPr>
          <w:szCs w:val="24"/>
        </w:rPr>
        <w:br w:type="page"/>
      </w:r>
    </w:p>
    <w:p w14:paraId="376F06FA" w14:textId="77777777" w:rsidR="00E3288B" w:rsidRPr="0049650D" w:rsidRDefault="00E3288B" w:rsidP="00BF7ED6">
      <w:pPr>
        <w:rPr>
          <w:szCs w:val="24"/>
        </w:rPr>
      </w:pPr>
    </w:p>
    <w:p w14:paraId="4416E7AD" w14:textId="77777777" w:rsidR="002D0C0C" w:rsidRPr="0049650D" w:rsidRDefault="002D0C0C" w:rsidP="00BF7ED6">
      <w:pPr>
        <w:tabs>
          <w:tab w:val="right" w:pos="9072"/>
        </w:tabs>
        <w:ind w:right="91"/>
        <w:jc w:val="right"/>
        <w:rPr>
          <w:b/>
          <w:szCs w:val="24"/>
          <w:u w:val="single"/>
        </w:rPr>
      </w:pPr>
      <w:r w:rsidRPr="0049650D">
        <w:rPr>
          <w:b/>
          <w:szCs w:val="24"/>
          <w:u w:val="single"/>
        </w:rPr>
        <w:t>ATTACHMENT</w:t>
      </w:r>
      <w:r w:rsidR="00534C53" w:rsidRPr="0049650D">
        <w:rPr>
          <w:b/>
          <w:szCs w:val="24"/>
          <w:u w:val="single"/>
        </w:rPr>
        <w:t xml:space="preserve"> A</w:t>
      </w:r>
    </w:p>
    <w:p w14:paraId="3DC2B97B" w14:textId="0A9F2C8E" w:rsidR="00024882" w:rsidRPr="0049650D" w:rsidRDefault="00326BDF" w:rsidP="00BF7ED6">
      <w:pPr>
        <w:rPr>
          <w:b/>
          <w:i/>
          <w:szCs w:val="24"/>
        </w:rPr>
      </w:pPr>
      <w:r w:rsidRPr="0049650D">
        <w:rPr>
          <w:b/>
          <w:i/>
          <w:szCs w:val="24"/>
        </w:rPr>
        <w:t>National Greenhouse and Energy Reporting (Safeguard Mechanism) Amendment (Production Variables Update) Rules 2023</w:t>
      </w:r>
    </w:p>
    <w:p w14:paraId="72527128" w14:textId="6A0EDC18" w:rsidR="001F5A3D" w:rsidRPr="0049650D" w:rsidRDefault="0019209B" w:rsidP="00BF7ED6">
      <w:pPr>
        <w:ind w:right="91"/>
        <w:rPr>
          <w:szCs w:val="24"/>
        </w:rPr>
      </w:pPr>
      <w:r w:rsidRPr="0049650D">
        <w:rPr>
          <w:szCs w:val="24"/>
          <w:u w:val="single"/>
        </w:rPr>
        <w:t xml:space="preserve">Section </w:t>
      </w:r>
      <w:r w:rsidR="008019CF" w:rsidRPr="0049650D">
        <w:rPr>
          <w:szCs w:val="24"/>
          <w:u w:val="single"/>
        </w:rPr>
        <w:t xml:space="preserve">1 – Name of </w:t>
      </w:r>
      <w:r w:rsidR="00834A60" w:rsidRPr="0049650D">
        <w:rPr>
          <w:szCs w:val="24"/>
          <w:u w:val="single"/>
        </w:rPr>
        <w:t>Instrument</w:t>
      </w:r>
    </w:p>
    <w:p w14:paraId="5FCC04B0" w14:textId="414A35EE" w:rsidR="001F5A3D" w:rsidRPr="0049650D" w:rsidRDefault="00663792" w:rsidP="00BF7ED6">
      <w:pPr>
        <w:ind w:right="91"/>
        <w:rPr>
          <w:szCs w:val="24"/>
        </w:rPr>
      </w:pPr>
      <w:r w:rsidRPr="0049650D">
        <w:rPr>
          <w:szCs w:val="24"/>
        </w:rPr>
        <w:t xml:space="preserve">This </w:t>
      </w:r>
      <w:r w:rsidR="0019209B" w:rsidRPr="0049650D">
        <w:rPr>
          <w:szCs w:val="24"/>
        </w:rPr>
        <w:t xml:space="preserve">section </w:t>
      </w:r>
      <w:r w:rsidR="001F5A3D" w:rsidRPr="0049650D">
        <w:rPr>
          <w:szCs w:val="24"/>
        </w:rPr>
        <w:t>provide</w:t>
      </w:r>
      <w:r w:rsidR="003A2330" w:rsidRPr="0049650D">
        <w:rPr>
          <w:szCs w:val="24"/>
        </w:rPr>
        <w:t>s</w:t>
      </w:r>
      <w:r w:rsidR="001F5A3D" w:rsidRPr="0049650D">
        <w:rPr>
          <w:szCs w:val="24"/>
        </w:rPr>
        <w:t xml:space="preserve"> that the title of the </w:t>
      </w:r>
      <w:r w:rsidRPr="0049650D">
        <w:rPr>
          <w:szCs w:val="24"/>
        </w:rPr>
        <w:t>Instrument</w:t>
      </w:r>
      <w:r w:rsidR="001F5A3D" w:rsidRPr="0049650D">
        <w:rPr>
          <w:szCs w:val="24"/>
        </w:rPr>
        <w:t xml:space="preserve"> is the</w:t>
      </w:r>
      <w:r w:rsidR="00A8472E" w:rsidRPr="0049650D">
        <w:rPr>
          <w:szCs w:val="24"/>
        </w:rPr>
        <w:t xml:space="preserve"> </w:t>
      </w:r>
      <w:r w:rsidR="00A8472E" w:rsidRPr="0049650D">
        <w:rPr>
          <w:i/>
          <w:iCs/>
          <w:szCs w:val="24"/>
        </w:rPr>
        <w:t>National Greenhouse and Energy Reporting (Safeguard Mechanism) Amendment (Production Variables Update) Rules 2023</w:t>
      </w:r>
      <w:r w:rsidR="0073556A" w:rsidRPr="0049650D">
        <w:rPr>
          <w:szCs w:val="24"/>
        </w:rPr>
        <w:t xml:space="preserve"> (t</w:t>
      </w:r>
      <w:r w:rsidR="00FC3E62" w:rsidRPr="0049650D">
        <w:rPr>
          <w:szCs w:val="24"/>
        </w:rPr>
        <w:t>he Instrument)</w:t>
      </w:r>
      <w:r w:rsidR="001F5A3D" w:rsidRPr="0049650D">
        <w:rPr>
          <w:szCs w:val="24"/>
        </w:rPr>
        <w:t>.</w:t>
      </w:r>
    </w:p>
    <w:p w14:paraId="30DCC934" w14:textId="77777777" w:rsidR="001F5A3D" w:rsidRPr="0049650D" w:rsidRDefault="0019209B" w:rsidP="00BF7ED6">
      <w:pPr>
        <w:ind w:right="91"/>
        <w:rPr>
          <w:szCs w:val="24"/>
          <w:u w:val="single"/>
        </w:rPr>
      </w:pPr>
      <w:r w:rsidRPr="0049650D">
        <w:rPr>
          <w:szCs w:val="24"/>
          <w:u w:val="single"/>
        </w:rPr>
        <w:t xml:space="preserve">Section </w:t>
      </w:r>
      <w:r w:rsidR="00663792" w:rsidRPr="0049650D">
        <w:rPr>
          <w:szCs w:val="24"/>
          <w:u w:val="single"/>
        </w:rPr>
        <w:t>2</w:t>
      </w:r>
      <w:r w:rsidR="001F5A3D" w:rsidRPr="0049650D">
        <w:rPr>
          <w:szCs w:val="24"/>
          <w:u w:val="single"/>
        </w:rPr>
        <w:t xml:space="preserve"> – Commencement</w:t>
      </w:r>
    </w:p>
    <w:p w14:paraId="211F8DA2" w14:textId="45DA7679" w:rsidR="001F5A3D" w:rsidRPr="0049650D" w:rsidRDefault="00663792" w:rsidP="00BF7ED6">
      <w:pPr>
        <w:ind w:right="91"/>
        <w:rPr>
          <w:szCs w:val="24"/>
        </w:rPr>
      </w:pPr>
      <w:r w:rsidRPr="0049650D">
        <w:rPr>
          <w:szCs w:val="24"/>
        </w:rPr>
        <w:t xml:space="preserve">This </w:t>
      </w:r>
      <w:r w:rsidR="0019209B" w:rsidRPr="0049650D">
        <w:rPr>
          <w:szCs w:val="24"/>
        </w:rPr>
        <w:t xml:space="preserve">section </w:t>
      </w:r>
      <w:r w:rsidR="001F5A3D" w:rsidRPr="0049650D">
        <w:rPr>
          <w:szCs w:val="24"/>
        </w:rPr>
        <w:t>provide</w:t>
      </w:r>
      <w:r w:rsidR="004E7915" w:rsidRPr="0049650D">
        <w:rPr>
          <w:szCs w:val="24"/>
        </w:rPr>
        <w:t>s</w:t>
      </w:r>
      <w:r w:rsidRPr="0049650D">
        <w:rPr>
          <w:szCs w:val="24"/>
        </w:rPr>
        <w:t xml:space="preserve"> for the </w:t>
      </w:r>
      <w:r w:rsidR="0073556A" w:rsidRPr="0049650D">
        <w:rPr>
          <w:szCs w:val="24"/>
        </w:rPr>
        <w:t>Instrument</w:t>
      </w:r>
      <w:r w:rsidRPr="0049650D">
        <w:rPr>
          <w:szCs w:val="24"/>
        </w:rPr>
        <w:t xml:space="preserve"> to commence </w:t>
      </w:r>
      <w:r w:rsidR="00AA26FB" w:rsidRPr="0049650D">
        <w:rPr>
          <w:szCs w:val="24"/>
        </w:rPr>
        <w:t xml:space="preserve">the day after the </w:t>
      </w:r>
      <w:r w:rsidR="00FC3E62" w:rsidRPr="0049650D">
        <w:rPr>
          <w:szCs w:val="24"/>
        </w:rPr>
        <w:t>I</w:t>
      </w:r>
      <w:r w:rsidR="00AA26FB" w:rsidRPr="0049650D">
        <w:rPr>
          <w:szCs w:val="24"/>
        </w:rPr>
        <w:t>nstrument is registered.</w:t>
      </w:r>
    </w:p>
    <w:p w14:paraId="52894D1A" w14:textId="77777777" w:rsidR="001F5A3D" w:rsidRPr="0049650D" w:rsidRDefault="0019209B" w:rsidP="00BF7ED6">
      <w:pPr>
        <w:ind w:right="91"/>
        <w:rPr>
          <w:szCs w:val="24"/>
        </w:rPr>
      </w:pPr>
      <w:r w:rsidRPr="0049650D">
        <w:rPr>
          <w:szCs w:val="24"/>
          <w:u w:val="single"/>
        </w:rPr>
        <w:t xml:space="preserve">Section </w:t>
      </w:r>
      <w:r w:rsidR="001F5A3D" w:rsidRPr="0049650D">
        <w:rPr>
          <w:szCs w:val="24"/>
          <w:u w:val="single"/>
        </w:rPr>
        <w:t>3 – Authority</w:t>
      </w:r>
    </w:p>
    <w:p w14:paraId="785FC2B2" w14:textId="62C6263B" w:rsidR="00663792" w:rsidRPr="0049650D" w:rsidRDefault="00663792" w:rsidP="00BF7ED6">
      <w:pPr>
        <w:rPr>
          <w:szCs w:val="24"/>
        </w:rPr>
      </w:pPr>
      <w:r w:rsidRPr="0049650D">
        <w:rPr>
          <w:szCs w:val="24"/>
        </w:rPr>
        <w:t xml:space="preserve">This </w:t>
      </w:r>
      <w:r w:rsidR="0019209B" w:rsidRPr="0049650D">
        <w:rPr>
          <w:szCs w:val="24"/>
        </w:rPr>
        <w:t xml:space="preserve">section </w:t>
      </w:r>
      <w:r w:rsidRPr="0049650D">
        <w:rPr>
          <w:szCs w:val="24"/>
        </w:rPr>
        <w:t xml:space="preserve">outlines that the </w:t>
      </w:r>
      <w:r w:rsidR="00FC3E62" w:rsidRPr="0049650D">
        <w:rPr>
          <w:szCs w:val="24"/>
        </w:rPr>
        <w:t>Instrument</w:t>
      </w:r>
      <w:r w:rsidRPr="0049650D">
        <w:rPr>
          <w:szCs w:val="24"/>
        </w:rPr>
        <w:t xml:space="preserve"> </w:t>
      </w:r>
      <w:r w:rsidR="00FF49A7" w:rsidRPr="0049650D">
        <w:rPr>
          <w:szCs w:val="24"/>
        </w:rPr>
        <w:t>is made</w:t>
      </w:r>
      <w:r w:rsidRPr="0049650D">
        <w:rPr>
          <w:szCs w:val="24"/>
        </w:rPr>
        <w:t xml:space="preserve"> under s</w:t>
      </w:r>
      <w:r w:rsidR="00076992" w:rsidRPr="0049650D">
        <w:rPr>
          <w:szCs w:val="24"/>
        </w:rPr>
        <w:t>ection 22XS</w:t>
      </w:r>
      <w:r w:rsidRPr="0049650D">
        <w:rPr>
          <w:szCs w:val="24"/>
        </w:rPr>
        <w:t xml:space="preserve"> of the </w:t>
      </w:r>
      <w:r w:rsidR="00D15BD6" w:rsidRPr="0049650D">
        <w:rPr>
          <w:szCs w:val="24"/>
        </w:rPr>
        <w:t>Act.</w:t>
      </w:r>
      <w:r w:rsidR="00FF49A7" w:rsidRPr="0049650D">
        <w:rPr>
          <w:szCs w:val="24"/>
        </w:rPr>
        <w:t xml:space="preserve"> The power to make legislative instruments under this subsection includes the power to amend or revoke instruments that have already been made, with any doubt about this resolved by subsection 33(3) of the </w:t>
      </w:r>
      <w:r w:rsidR="00FF49A7" w:rsidRPr="0049650D">
        <w:rPr>
          <w:i/>
          <w:szCs w:val="24"/>
        </w:rPr>
        <w:t>Acts Interpretation Act 1901</w:t>
      </w:r>
      <w:r w:rsidR="00FF49A7" w:rsidRPr="0049650D">
        <w:rPr>
          <w:szCs w:val="24"/>
        </w:rPr>
        <w:t>.</w:t>
      </w:r>
    </w:p>
    <w:p w14:paraId="0CBD2838" w14:textId="77777777" w:rsidR="001F5A3D" w:rsidRPr="0049650D" w:rsidRDefault="0019209B" w:rsidP="00BF7ED6">
      <w:pPr>
        <w:ind w:right="91"/>
        <w:rPr>
          <w:szCs w:val="24"/>
          <w:u w:val="single"/>
        </w:rPr>
      </w:pPr>
      <w:r w:rsidRPr="0049650D">
        <w:rPr>
          <w:szCs w:val="24"/>
          <w:u w:val="single"/>
        </w:rPr>
        <w:t xml:space="preserve">Section </w:t>
      </w:r>
      <w:r w:rsidR="001F5A3D" w:rsidRPr="0049650D">
        <w:rPr>
          <w:szCs w:val="24"/>
          <w:u w:val="single"/>
        </w:rPr>
        <w:t>4 – Schedules</w:t>
      </w:r>
    </w:p>
    <w:p w14:paraId="280A3704" w14:textId="75D237ED" w:rsidR="0085306C" w:rsidRPr="0049650D" w:rsidRDefault="00606413" w:rsidP="00BF7ED6">
      <w:pPr>
        <w:rPr>
          <w:szCs w:val="24"/>
        </w:rPr>
      </w:pPr>
      <w:r w:rsidRPr="0049650D">
        <w:rPr>
          <w:szCs w:val="24"/>
        </w:rPr>
        <w:t>A</w:t>
      </w:r>
      <w:r w:rsidR="005A0267" w:rsidRPr="0049650D">
        <w:rPr>
          <w:szCs w:val="24"/>
        </w:rPr>
        <w:t>mendments to the</w:t>
      </w:r>
      <w:r w:rsidR="00B33EC4" w:rsidRPr="0049650D">
        <w:rPr>
          <w:szCs w:val="24"/>
        </w:rPr>
        <w:t xml:space="preserve"> </w:t>
      </w:r>
      <w:r w:rsidR="00B33EC4" w:rsidRPr="0049650D">
        <w:rPr>
          <w:i/>
          <w:iCs/>
          <w:szCs w:val="24"/>
        </w:rPr>
        <w:t>National Greenhouse and Energy Reporting (Safeguard Mechanism) Rule 2015</w:t>
      </w:r>
      <w:r w:rsidR="005A0267" w:rsidRPr="0049650D">
        <w:rPr>
          <w:i/>
          <w:iCs/>
          <w:szCs w:val="24"/>
        </w:rPr>
        <w:t xml:space="preserve"> </w:t>
      </w:r>
      <w:r w:rsidR="005A0267" w:rsidRPr="0049650D">
        <w:rPr>
          <w:szCs w:val="24"/>
        </w:rPr>
        <w:t>are outlined at Schedule 1</w:t>
      </w:r>
      <w:r w:rsidR="001F5A3D" w:rsidRPr="0049650D">
        <w:rPr>
          <w:szCs w:val="24"/>
        </w:rPr>
        <w:t>.</w:t>
      </w:r>
    </w:p>
    <w:p w14:paraId="702EB61E" w14:textId="1BD2DB96" w:rsidR="0085306C" w:rsidRPr="0049650D" w:rsidRDefault="0085306C" w:rsidP="00BF7ED6">
      <w:pPr>
        <w:rPr>
          <w:b/>
          <w:bCs/>
          <w:szCs w:val="24"/>
        </w:rPr>
      </w:pPr>
      <w:r w:rsidRPr="0049650D">
        <w:rPr>
          <w:b/>
          <w:bCs/>
          <w:szCs w:val="24"/>
        </w:rPr>
        <w:t xml:space="preserve">Schedule 1 </w:t>
      </w:r>
      <w:r w:rsidR="009003BA" w:rsidRPr="0049650D">
        <w:rPr>
          <w:b/>
          <w:bCs/>
          <w:szCs w:val="24"/>
        </w:rPr>
        <w:t>– Amendments</w:t>
      </w:r>
    </w:p>
    <w:p w14:paraId="74549CF9" w14:textId="6A52A4B9" w:rsidR="008106F3" w:rsidRPr="0049650D" w:rsidRDefault="003061F3" w:rsidP="00BF7ED6">
      <w:pPr>
        <w:rPr>
          <w:szCs w:val="24"/>
          <w:u w:val="single"/>
        </w:rPr>
      </w:pPr>
      <w:r w:rsidRPr="0049650D">
        <w:rPr>
          <w:szCs w:val="24"/>
          <w:u w:val="single"/>
        </w:rPr>
        <w:t xml:space="preserve">Item </w:t>
      </w:r>
      <w:r w:rsidR="00A83328" w:rsidRPr="0049650D">
        <w:rPr>
          <w:szCs w:val="24"/>
          <w:u w:val="single"/>
        </w:rPr>
        <w:t>1</w:t>
      </w:r>
      <w:r w:rsidR="00A140FB" w:rsidRPr="0049650D">
        <w:rPr>
          <w:szCs w:val="24"/>
          <w:u w:val="single"/>
        </w:rPr>
        <w:t xml:space="preserve"> </w:t>
      </w:r>
    </w:p>
    <w:p w14:paraId="37317B10" w14:textId="6224882D" w:rsidR="000C4712" w:rsidRPr="0049650D" w:rsidRDefault="008106F3" w:rsidP="000C4712">
      <w:r w:rsidRPr="0049650D">
        <w:rPr>
          <w:szCs w:val="24"/>
        </w:rPr>
        <w:t>Item 1</w:t>
      </w:r>
      <w:r w:rsidR="002240E7" w:rsidRPr="0049650D">
        <w:rPr>
          <w:szCs w:val="24"/>
        </w:rPr>
        <w:t xml:space="preserve"> </w:t>
      </w:r>
      <w:r w:rsidR="00A83328" w:rsidRPr="0049650D">
        <w:rPr>
          <w:szCs w:val="24"/>
        </w:rPr>
        <w:t xml:space="preserve">inserts an updated definition of the Safeguard Mechanism document </w:t>
      </w:r>
      <w:r w:rsidRPr="0049650D">
        <w:rPr>
          <w:szCs w:val="24"/>
        </w:rPr>
        <w:t>so that it means a</w:t>
      </w:r>
      <w:r w:rsidR="00EB0693" w:rsidRPr="0049650D">
        <w:rPr>
          <w:szCs w:val="24"/>
        </w:rPr>
        <w:t xml:space="preserve"> </w:t>
      </w:r>
      <w:r w:rsidR="00EB0693" w:rsidRPr="0049650D">
        <w:rPr>
          <w:szCs w:val="22"/>
        </w:rPr>
        <w:t xml:space="preserve">document of that name published on the Department’s website, as in force from time to time. </w:t>
      </w:r>
      <w:r w:rsidR="00E00F07" w:rsidRPr="0049650D">
        <w:rPr>
          <w:szCs w:val="22"/>
        </w:rPr>
        <w:t xml:space="preserve"> </w:t>
      </w:r>
      <w:r w:rsidR="00E00F07" w:rsidRPr="0049650D">
        <w:t xml:space="preserve">The </w:t>
      </w:r>
      <w:r w:rsidR="00E00F07" w:rsidRPr="0049650D">
        <w:rPr>
          <w:i/>
          <w:iCs/>
        </w:rPr>
        <w:t>Safeguard Mechanism Document</w:t>
      </w:r>
      <w:r w:rsidR="00E00F07" w:rsidRPr="0049650D">
        <w:t xml:space="preserve">, </w:t>
      </w:r>
      <w:r w:rsidR="00AC7D1E" w:rsidRPr="0049650D">
        <w:t xml:space="preserve">is </w:t>
      </w:r>
      <w:r w:rsidR="00E00F07" w:rsidRPr="0049650D">
        <w:t xml:space="preserve">referred to in section 16 of the Safeguard Rule, and </w:t>
      </w:r>
      <w:r w:rsidR="0066764A" w:rsidRPr="0049650D">
        <w:t>provides context to</w:t>
      </w:r>
      <w:r w:rsidR="00E00F07" w:rsidRPr="0049650D">
        <w:t xml:space="preserve"> the definitions of </w:t>
      </w:r>
      <w:r w:rsidR="00AC7D1E" w:rsidRPr="0049650D">
        <w:t>production variables</w:t>
      </w:r>
      <w:r w:rsidR="00E00F07" w:rsidRPr="0049650D">
        <w:t xml:space="preserve"> and describes the emissions relevantly associated with </w:t>
      </w:r>
      <w:r w:rsidR="00AC7D1E" w:rsidRPr="0049650D">
        <w:t>production variables</w:t>
      </w:r>
      <w:r w:rsidR="00E00F07" w:rsidRPr="0049650D">
        <w:t>.</w:t>
      </w:r>
      <w:r w:rsidR="000C4712" w:rsidRPr="0049650D">
        <w:t xml:space="preserve"> It is important for this technical document to remain current in light of technological and other developments in production at safeguard facilities. The document is freely available from </w:t>
      </w:r>
      <w:r w:rsidR="000C4712" w:rsidRPr="0049650D">
        <w:br/>
        <w:t>https://www.dcceew.gov.au/climate-change/publications/safeguard-mechanism-document.</w:t>
      </w:r>
    </w:p>
    <w:p w14:paraId="54065A5B" w14:textId="004ADEC5" w:rsidR="00A140FB" w:rsidRPr="0049650D" w:rsidRDefault="000C4712" w:rsidP="000C4712">
      <w:pPr>
        <w:rPr>
          <w:szCs w:val="24"/>
          <w:u w:val="single"/>
        </w:rPr>
      </w:pPr>
      <w:r w:rsidRPr="0049650D">
        <w:t>The power for the rules to incorporate documents as in force from time to time is provided by subsection 22</w:t>
      </w:r>
      <w:proofErr w:type="gramStart"/>
      <w:r w:rsidRPr="0049650D">
        <w:t>XS(</w:t>
      </w:r>
      <w:proofErr w:type="gramEnd"/>
      <w:r w:rsidRPr="0049650D">
        <w:t>4) of the Act.</w:t>
      </w:r>
    </w:p>
    <w:p w14:paraId="7EF9165F" w14:textId="6759409F" w:rsidR="00376340" w:rsidRPr="0049650D" w:rsidRDefault="00376340" w:rsidP="00BF7ED6">
      <w:pPr>
        <w:rPr>
          <w:szCs w:val="24"/>
          <w:u w:val="single"/>
        </w:rPr>
      </w:pPr>
      <w:r w:rsidRPr="0049650D">
        <w:rPr>
          <w:szCs w:val="24"/>
          <w:u w:val="single"/>
        </w:rPr>
        <w:t xml:space="preserve">Item </w:t>
      </w:r>
      <w:r w:rsidR="00EB0693" w:rsidRPr="0049650D">
        <w:rPr>
          <w:szCs w:val="24"/>
          <w:u w:val="single"/>
        </w:rPr>
        <w:t xml:space="preserve">2 </w:t>
      </w:r>
    </w:p>
    <w:p w14:paraId="18EFC740" w14:textId="7C508631" w:rsidR="009003BA" w:rsidRPr="0049650D" w:rsidRDefault="00F930C6" w:rsidP="00BF7ED6">
      <w:pPr>
        <w:rPr>
          <w:szCs w:val="24"/>
        </w:rPr>
      </w:pPr>
      <w:r w:rsidRPr="0049650D">
        <w:rPr>
          <w:szCs w:val="24"/>
        </w:rPr>
        <w:t>Item</w:t>
      </w:r>
      <w:r w:rsidR="006940D6" w:rsidRPr="0049650D">
        <w:rPr>
          <w:szCs w:val="24"/>
        </w:rPr>
        <w:t xml:space="preserve"> </w:t>
      </w:r>
      <w:r w:rsidR="00CC545E" w:rsidRPr="0049650D">
        <w:rPr>
          <w:szCs w:val="24"/>
        </w:rPr>
        <w:t>2</w:t>
      </w:r>
      <w:r w:rsidR="00376340" w:rsidRPr="0049650D">
        <w:rPr>
          <w:szCs w:val="24"/>
        </w:rPr>
        <w:t xml:space="preserve"> i</w:t>
      </w:r>
      <w:r w:rsidR="004B0C5C" w:rsidRPr="0049650D">
        <w:rPr>
          <w:szCs w:val="24"/>
        </w:rPr>
        <w:t>nserts</w:t>
      </w:r>
      <w:r w:rsidR="00DE655E" w:rsidRPr="0049650D">
        <w:rPr>
          <w:szCs w:val="24"/>
        </w:rPr>
        <w:t xml:space="preserve"> an editorial note to section 20(6)</w:t>
      </w:r>
      <w:r w:rsidR="002D5655" w:rsidRPr="0049650D">
        <w:rPr>
          <w:szCs w:val="24"/>
        </w:rPr>
        <w:t xml:space="preserve">, which links </w:t>
      </w:r>
      <w:r w:rsidR="00711816" w:rsidRPr="0049650D">
        <w:rPr>
          <w:szCs w:val="24"/>
        </w:rPr>
        <w:t xml:space="preserve">the provisions for determining a facility-specific emissions intensity number for a </w:t>
      </w:r>
      <w:r w:rsidR="003557E0" w:rsidRPr="0049650D">
        <w:rPr>
          <w:szCs w:val="24"/>
        </w:rPr>
        <w:t>transitional</w:t>
      </w:r>
      <w:r w:rsidR="00711816" w:rsidRPr="0049650D">
        <w:rPr>
          <w:szCs w:val="24"/>
        </w:rPr>
        <w:t xml:space="preserve"> production variable </w:t>
      </w:r>
      <w:r w:rsidR="002D5655" w:rsidRPr="0049650D">
        <w:rPr>
          <w:szCs w:val="24"/>
        </w:rPr>
        <w:t>to new subsection 91(2)</w:t>
      </w:r>
      <w:r w:rsidR="00CC545E" w:rsidRPr="0049650D">
        <w:rPr>
          <w:szCs w:val="24"/>
        </w:rPr>
        <w:t xml:space="preserve"> (</w:t>
      </w:r>
      <w:r w:rsidR="00711816" w:rsidRPr="0049650D">
        <w:rPr>
          <w:szCs w:val="24"/>
        </w:rPr>
        <w:t xml:space="preserve">inserted in </w:t>
      </w:r>
      <w:r w:rsidR="00CC545E" w:rsidRPr="0049650D">
        <w:rPr>
          <w:szCs w:val="24"/>
        </w:rPr>
        <w:t>Item 3)</w:t>
      </w:r>
    </w:p>
    <w:p w14:paraId="611DEC64" w14:textId="4BF84247" w:rsidR="00376340" w:rsidRPr="0049650D" w:rsidRDefault="00376340" w:rsidP="00BF7ED6">
      <w:pPr>
        <w:rPr>
          <w:szCs w:val="24"/>
          <w:u w:val="single"/>
        </w:rPr>
      </w:pPr>
      <w:r w:rsidRPr="0049650D">
        <w:rPr>
          <w:szCs w:val="24"/>
          <w:u w:val="single"/>
        </w:rPr>
        <w:t xml:space="preserve">Item </w:t>
      </w:r>
      <w:r w:rsidR="00EB0693" w:rsidRPr="0049650D">
        <w:rPr>
          <w:szCs w:val="24"/>
          <w:u w:val="single"/>
        </w:rPr>
        <w:t xml:space="preserve">3 </w:t>
      </w:r>
    </w:p>
    <w:p w14:paraId="4D169CB0" w14:textId="43079C53" w:rsidR="00706282" w:rsidRPr="0049650D" w:rsidRDefault="00F930C6" w:rsidP="00BF7ED6">
      <w:pPr>
        <w:rPr>
          <w:szCs w:val="24"/>
        </w:rPr>
      </w:pPr>
      <w:r w:rsidRPr="0049650D">
        <w:rPr>
          <w:szCs w:val="24"/>
        </w:rPr>
        <w:t xml:space="preserve">Item </w:t>
      </w:r>
      <w:r w:rsidR="00CC545E" w:rsidRPr="0049650D">
        <w:rPr>
          <w:szCs w:val="24"/>
        </w:rPr>
        <w:t>3</w:t>
      </w:r>
      <w:r w:rsidRPr="0049650D">
        <w:rPr>
          <w:szCs w:val="24"/>
        </w:rPr>
        <w:t xml:space="preserve"> </w:t>
      </w:r>
      <w:r w:rsidR="004B0C5C" w:rsidRPr="0049650D">
        <w:rPr>
          <w:szCs w:val="24"/>
        </w:rPr>
        <w:t xml:space="preserve">inserts </w:t>
      </w:r>
      <w:r w:rsidR="000F73D9" w:rsidRPr="0049650D">
        <w:rPr>
          <w:szCs w:val="24"/>
        </w:rPr>
        <w:t xml:space="preserve">Division 6 to the end of Part 3 </w:t>
      </w:r>
      <w:r w:rsidR="00141B4A" w:rsidRPr="0049650D">
        <w:rPr>
          <w:szCs w:val="24"/>
        </w:rPr>
        <w:t xml:space="preserve">to provide </w:t>
      </w:r>
      <w:r w:rsidR="00767B31" w:rsidRPr="0049650D">
        <w:rPr>
          <w:szCs w:val="24"/>
        </w:rPr>
        <w:t xml:space="preserve">transitional provision relating to </w:t>
      </w:r>
      <w:r w:rsidR="009350D7" w:rsidRPr="0049650D">
        <w:rPr>
          <w:szCs w:val="24"/>
        </w:rPr>
        <w:t xml:space="preserve">default emissions intensity </w:t>
      </w:r>
      <w:r w:rsidR="00767B31" w:rsidRPr="0049650D">
        <w:rPr>
          <w:szCs w:val="24"/>
        </w:rPr>
        <w:t>emission</w:t>
      </w:r>
      <w:r w:rsidR="00AE5D13" w:rsidRPr="0049650D">
        <w:rPr>
          <w:szCs w:val="24"/>
        </w:rPr>
        <w:t xml:space="preserve"> value</w:t>
      </w:r>
      <w:r w:rsidR="00D9363C" w:rsidRPr="0049650D">
        <w:rPr>
          <w:szCs w:val="24"/>
        </w:rPr>
        <w:t xml:space="preserve">s </w:t>
      </w:r>
      <w:r w:rsidR="003557E0" w:rsidRPr="0049650D">
        <w:rPr>
          <w:szCs w:val="24"/>
        </w:rPr>
        <w:t>included in this Amendment Rule</w:t>
      </w:r>
      <w:r w:rsidR="00CC545E" w:rsidRPr="0049650D">
        <w:rPr>
          <w:szCs w:val="24"/>
        </w:rPr>
        <w:t xml:space="preserve">. </w:t>
      </w:r>
    </w:p>
    <w:p w14:paraId="71BFD291" w14:textId="7B8C3693" w:rsidR="00592D5B" w:rsidRPr="0049650D" w:rsidRDefault="00592D5B" w:rsidP="00BF7ED6">
      <w:pPr>
        <w:rPr>
          <w:color w:val="000000"/>
          <w:szCs w:val="24"/>
        </w:rPr>
      </w:pPr>
      <w:r w:rsidRPr="0049650D">
        <w:rPr>
          <w:color w:val="000000"/>
          <w:szCs w:val="24"/>
        </w:rPr>
        <w:t xml:space="preserve">As set out in subsections 12(4) and 20(5) of the Safeguard Rules, if a facility undertakes commercial production of a production variable in the financial year </w:t>
      </w:r>
      <w:r w:rsidRPr="0049650D">
        <w:rPr>
          <w:color w:val="000000"/>
          <w:szCs w:val="24"/>
        </w:rPr>
        <w:lastRenderedPageBreak/>
        <w:t xml:space="preserve">beginning on 1 July 2022 but not during any historical production years, that production variable is a transitional production variable for the facility, and the facility-specific emissions intensity number is set to be equal to the default emissions intensity number for that production variable. </w:t>
      </w:r>
    </w:p>
    <w:p w14:paraId="37C91D6D" w14:textId="557AF8AC" w:rsidR="00592D5B" w:rsidRPr="0049650D" w:rsidRDefault="00370BB1" w:rsidP="00BF7ED6">
      <w:pPr>
        <w:rPr>
          <w:szCs w:val="24"/>
        </w:rPr>
      </w:pPr>
      <w:r w:rsidRPr="0049650D">
        <w:rPr>
          <w:color w:val="000000"/>
          <w:szCs w:val="24"/>
        </w:rPr>
        <w:t>S</w:t>
      </w:r>
      <w:r w:rsidR="00305E8C" w:rsidRPr="0049650D">
        <w:rPr>
          <w:color w:val="000000"/>
          <w:szCs w:val="24"/>
        </w:rPr>
        <w:t>ubsection</w:t>
      </w:r>
      <w:r w:rsidR="003F0BBB" w:rsidRPr="0049650D">
        <w:rPr>
          <w:color w:val="000000"/>
          <w:szCs w:val="24"/>
        </w:rPr>
        <w:t xml:space="preserve"> </w:t>
      </w:r>
      <w:r w:rsidR="00020071" w:rsidRPr="0049650D">
        <w:rPr>
          <w:color w:val="000000"/>
          <w:szCs w:val="24"/>
        </w:rPr>
        <w:t>91(1) ensures the default emissions intensities used in relation to transitional production variables reflect the changes to emiss</w:t>
      </w:r>
      <w:r w:rsidR="005D2051" w:rsidRPr="0049650D">
        <w:rPr>
          <w:color w:val="000000"/>
          <w:szCs w:val="24"/>
        </w:rPr>
        <w:t xml:space="preserve">ions intensities made in the Amendment Rule. New subsection </w:t>
      </w:r>
      <w:r w:rsidR="00706282" w:rsidRPr="0049650D">
        <w:rPr>
          <w:color w:val="000000"/>
          <w:szCs w:val="24"/>
        </w:rPr>
        <w:t xml:space="preserve">91(2) ensures the default emissions intensity number also applies </w:t>
      </w:r>
      <w:r w:rsidR="007D3991" w:rsidRPr="0049650D">
        <w:rPr>
          <w:color w:val="000000"/>
          <w:szCs w:val="24"/>
        </w:rPr>
        <w:t xml:space="preserve">for the case that new </w:t>
      </w:r>
      <w:r w:rsidR="005D2051" w:rsidRPr="0049650D">
        <w:rPr>
          <w:color w:val="000000"/>
          <w:szCs w:val="24"/>
        </w:rPr>
        <w:t>production variables</w:t>
      </w:r>
      <w:r w:rsidR="007D3991" w:rsidRPr="0049650D">
        <w:rPr>
          <w:color w:val="000000"/>
          <w:szCs w:val="24"/>
        </w:rPr>
        <w:t xml:space="preserve"> are </w:t>
      </w:r>
      <w:r w:rsidR="00CF68E0" w:rsidRPr="0049650D">
        <w:rPr>
          <w:color w:val="000000"/>
          <w:szCs w:val="24"/>
        </w:rPr>
        <w:t xml:space="preserve">inserted by </w:t>
      </w:r>
      <w:r w:rsidR="007D3991" w:rsidRPr="0049650D">
        <w:rPr>
          <w:color w:val="000000"/>
          <w:szCs w:val="24"/>
        </w:rPr>
        <w:t xml:space="preserve">this Amendment Rule </w:t>
      </w:r>
      <w:r w:rsidR="00AF4606" w:rsidRPr="0049650D">
        <w:rPr>
          <w:color w:val="000000"/>
          <w:szCs w:val="24"/>
        </w:rPr>
        <w:t>and this</w:t>
      </w:r>
      <w:r w:rsidR="00CF68E0" w:rsidRPr="0049650D">
        <w:rPr>
          <w:color w:val="000000"/>
          <w:szCs w:val="24"/>
        </w:rPr>
        <w:t xml:space="preserve"> production variable is identified as a </w:t>
      </w:r>
      <w:r w:rsidR="007D3991" w:rsidRPr="0049650D">
        <w:rPr>
          <w:color w:val="000000"/>
          <w:szCs w:val="24"/>
        </w:rPr>
        <w:t>transitional production variable. This applies to</w:t>
      </w:r>
      <w:r w:rsidR="00706282" w:rsidRPr="0049650D">
        <w:rPr>
          <w:color w:val="000000"/>
          <w:szCs w:val="24"/>
        </w:rPr>
        <w:t xml:space="preserve"> </w:t>
      </w:r>
      <w:r w:rsidR="00706282" w:rsidRPr="0049650D">
        <w:rPr>
          <w:szCs w:val="24"/>
        </w:rPr>
        <w:t>run-of-mine coal, reservoir carbon dioxide from existing gas fields or natural gas throughput</w:t>
      </w:r>
      <w:r w:rsidR="00CF68E0" w:rsidRPr="0049650D">
        <w:rPr>
          <w:szCs w:val="24"/>
        </w:rPr>
        <w:t xml:space="preserve"> PVs. The emissions intensity values set out in Column 2 are the same as the </w:t>
      </w:r>
      <w:r w:rsidR="00A10625" w:rsidRPr="0049650D">
        <w:rPr>
          <w:szCs w:val="24"/>
        </w:rPr>
        <w:t xml:space="preserve">emissions intensity </w:t>
      </w:r>
      <w:r w:rsidR="00CF68E0" w:rsidRPr="0049650D">
        <w:rPr>
          <w:szCs w:val="24"/>
        </w:rPr>
        <w:t xml:space="preserve">values </w:t>
      </w:r>
      <w:r w:rsidR="00A10625" w:rsidRPr="0049650D">
        <w:rPr>
          <w:szCs w:val="24"/>
        </w:rPr>
        <w:t xml:space="preserve">this Amendment Rule </w:t>
      </w:r>
      <w:r w:rsidR="00CF68E0" w:rsidRPr="0049650D">
        <w:rPr>
          <w:szCs w:val="24"/>
        </w:rPr>
        <w:t>insert in</w:t>
      </w:r>
      <w:r w:rsidR="00A10625" w:rsidRPr="0049650D">
        <w:rPr>
          <w:szCs w:val="24"/>
        </w:rPr>
        <w:t xml:space="preserve">serts </w:t>
      </w:r>
      <w:r w:rsidR="00CF68E0" w:rsidRPr="0049650D">
        <w:rPr>
          <w:szCs w:val="24"/>
        </w:rPr>
        <w:t>in Schedule 1</w:t>
      </w:r>
      <w:r w:rsidR="00A10625" w:rsidRPr="0049650D">
        <w:rPr>
          <w:szCs w:val="24"/>
        </w:rPr>
        <w:t>.</w:t>
      </w:r>
    </w:p>
    <w:p w14:paraId="5FF87C22" w14:textId="2FE5306E" w:rsidR="00376340" w:rsidRPr="0049650D" w:rsidRDefault="00376340" w:rsidP="00BF7ED6">
      <w:pPr>
        <w:rPr>
          <w:szCs w:val="24"/>
          <w:u w:val="single"/>
        </w:rPr>
      </w:pPr>
      <w:r w:rsidRPr="0049650D">
        <w:rPr>
          <w:szCs w:val="24"/>
          <w:u w:val="single"/>
        </w:rPr>
        <w:t xml:space="preserve">Item </w:t>
      </w:r>
      <w:r w:rsidR="00965E1C" w:rsidRPr="0049650D">
        <w:rPr>
          <w:szCs w:val="24"/>
          <w:u w:val="single"/>
        </w:rPr>
        <w:t>4</w:t>
      </w:r>
      <w:r w:rsidRPr="0049650D">
        <w:rPr>
          <w:szCs w:val="24"/>
          <w:u w:val="single"/>
        </w:rPr>
        <w:t xml:space="preserve"> </w:t>
      </w:r>
    </w:p>
    <w:p w14:paraId="6B77211B" w14:textId="6C71FBD5" w:rsidR="000408D0" w:rsidRPr="0049650D" w:rsidRDefault="000408D0" w:rsidP="00BF7ED6">
      <w:pPr>
        <w:rPr>
          <w:szCs w:val="24"/>
        </w:rPr>
      </w:pPr>
      <w:r w:rsidRPr="0049650D">
        <w:rPr>
          <w:szCs w:val="24"/>
        </w:rPr>
        <w:t xml:space="preserve">Item </w:t>
      </w:r>
      <w:r w:rsidR="007F2E94" w:rsidRPr="0049650D">
        <w:rPr>
          <w:szCs w:val="24"/>
        </w:rPr>
        <w:t>4</w:t>
      </w:r>
      <w:r w:rsidRPr="0049650D">
        <w:rPr>
          <w:szCs w:val="24"/>
        </w:rPr>
        <w:t xml:space="preserve"> </w:t>
      </w:r>
      <w:r w:rsidR="00197BBC" w:rsidRPr="0049650D">
        <w:rPr>
          <w:szCs w:val="24"/>
        </w:rPr>
        <w:t xml:space="preserve">amends </w:t>
      </w:r>
      <w:r w:rsidR="00BC55C9" w:rsidRPr="0049650D">
        <w:rPr>
          <w:szCs w:val="24"/>
        </w:rPr>
        <w:t>sub</w:t>
      </w:r>
      <w:r w:rsidR="00197BBC" w:rsidRPr="0049650D">
        <w:rPr>
          <w:szCs w:val="24"/>
        </w:rPr>
        <w:t>se</w:t>
      </w:r>
      <w:r w:rsidR="00F17228" w:rsidRPr="0049650D">
        <w:rPr>
          <w:szCs w:val="24"/>
        </w:rPr>
        <w:t>ction 7(3) to insert a new default emissions intensity for aluminium; removing</w:t>
      </w:r>
      <w:r w:rsidR="00757CB4" w:rsidRPr="0049650D">
        <w:rPr>
          <w:szCs w:val="24"/>
        </w:rPr>
        <w:t xml:space="preserve"> the</w:t>
      </w:r>
      <w:r w:rsidR="00F17228" w:rsidRPr="0049650D">
        <w:rPr>
          <w:szCs w:val="24"/>
        </w:rPr>
        <w:t xml:space="preserve"> </w:t>
      </w:r>
      <w:r w:rsidR="006D2C2B" w:rsidRPr="0049650D">
        <w:rPr>
          <w:szCs w:val="24"/>
        </w:rPr>
        <w:t>previous</w:t>
      </w:r>
      <w:r w:rsidR="00F17228" w:rsidRPr="0049650D">
        <w:rPr>
          <w:szCs w:val="24"/>
        </w:rPr>
        <w:t xml:space="preserve"> value </w:t>
      </w:r>
      <w:r w:rsidR="00E22B0E" w:rsidRPr="0049650D">
        <w:rPr>
          <w:szCs w:val="24"/>
        </w:rPr>
        <w:t xml:space="preserve">of </w:t>
      </w:r>
      <w:r w:rsidR="00F17228" w:rsidRPr="0049650D">
        <w:rPr>
          <w:szCs w:val="24"/>
        </w:rPr>
        <w:t>1.85</w:t>
      </w:r>
      <w:r w:rsidR="007B3693" w:rsidRPr="0049650D">
        <w:rPr>
          <w:szCs w:val="24"/>
        </w:rPr>
        <w:t xml:space="preserve"> </w:t>
      </w:r>
      <w:r w:rsidR="007B3693" w:rsidRPr="0049650D">
        <w:rPr>
          <w:color w:val="000000"/>
          <w:szCs w:val="24"/>
          <w:shd w:val="clear" w:color="auto" w:fill="FFFFFF"/>
        </w:rPr>
        <w:t>t CO</w:t>
      </w:r>
      <w:r w:rsidR="007B3693" w:rsidRPr="0049650D">
        <w:rPr>
          <w:color w:val="000000"/>
          <w:szCs w:val="24"/>
          <w:shd w:val="clear" w:color="auto" w:fill="FFFFFF"/>
          <w:vertAlign w:val="subscript"/>
        </w:rPr>
        <w:t>2</w:t>
      </w:r>
      <w:r w:rsidR="007B3693" w:rsidRPr="0049650D">
        <w:rPr>
          <w:color w:val="000000"/>
          <w:szCs w:val="24"/>
          <w:shd w:val="clear" w:color="auto" w:fill="FFFFFF"/>
        </w:rPr>
        <w:noBreakHyphen/>
        <w:t>e per tonne of primary aluminium</w:t>
      </w:r>
      <w:r w:rsidR="00F17228" w:rsidRPr="0049650D">
        <w:rPr>
          <w:szCs w:val="24"/>
        </w:rPr>
        <w:t xml:space="preserve"> and inserting the new value </w:t>
      </w:r>
      <w:r w:rsidR="00E22B0E" w:rsidRPr="0049650D">
        <w:rPr>
          <w:szCs w:val="24"/>
        </w:rPr>
        <w:t xml:space="preserve">of </w:t>
      </w:r>
      <w:r w:rsidR="00F17228" w:rsidRPr="0049650D">
        <w:rPr>
          <w:szCs w:val="24"/>
        </w:rPr>
        <w:t>1.94</w:t>
      </w:r>
      <w:r w:rsidR="007B3693" w:rsidRPr="0049650D">
        <w:rPr>
          <w:szCs w:val="24"/>
        </w:rPr>
        <w:t xml:space="preserve"> </w:t>
      </w:r>
      <w:r w:rsidR="007B3693" w:rsidRPr="0049650D">
        <w:rPr>
          <w:color w:val="000000"/>
          <w:szCs w:val="24"/>
          <w:shd w:val="clear" w:color="auto" w:fill="FFFFFF"/>
        </w:rPr>
        <w:t>t CO</w:t>
      </w:r>
      <w:r w:rsidR="007B3693" w:rsidRPr="0049650D">
        <w:rPr>
          <w:color w:val="000000"/>
          <w:szCs w:val="24"/>
          <w:shd w:val="clear" w:color="auto" w:fill="FFFFFF"/>
          <w:vertAlign w:val="subscript"/>
        </w:rPr>
        <w:t>2</w:t>
      </w:r>
      <w:r w:rsidR="007B3693" w:rsidRPr="0049650D">
        <w:rPr>
          <w:color w:val="000000"/>
          <w:szCs w:val="24"/>
          <w:shd w:val="clear" w:color="auto" w:fill="FFFFFF"/>
        </w:rPr>
        <w:noBreakHyphen/>
        <w:t>e per tonne of primary aluminium</w:t>
      </w:r>
      <w:r w:rsidR="00F17228" w:rsidRPr="0049650D">
        <w:rPr>
          <w:szCs w:val="24"/>
        </w:rPr>
        <w:t>.</w:t>
      </w:r>
      <w:r w:rsidR="00F034AC" w:rsidRPr="0049650D">
        <w:rPr>
          <w:szCs w:val="24"/>
        </w:rPr>
        <w:t xml:space="preserve"> The new value was calculated using contemporaneous data given that perfluorocarbon emissions from aluminium smelters had increased materially since the previous value had been calculated, due to the sector’s role stabilising the electricity grid. </w:t>
      </w:r>
    </w:p>
    <w:p w14:paraId="16FCEDB1" w14:textId="4A7AAF84" w:rsidR="00376340" w:rsidRPr="0049650D" w:rsidRDefault="00376340" w:rsidP="00BF7ED6">
      <w:pPr>
        <w:rPr>
          <w:szCs w:val="24"/>
          <w:u w:val="single"/>
        </w:rPr>
      </w:pPr>
      <w:r w:rsidRPr="0049650D">
        <w:rPr>
          <w:szCs w:val="24"/>
          <w:u w:val="single"/>
        </w:rPr>
        <w:t xml:space="preserve">Item </w:t>
      </w:r>
      <w:r w:rsidR="00576D16" w:rsidRPr="0049650D">
        <w:rPr>
          <w:szCs w:val="24"/>
          <w:u w:val="single"/>
        </w:rPr>
        <w:t>5</w:t>
      </w:r>
      <w:r w:rsidRPr="0049650D">
        <w:rPr>
          <w:szCs w:val="24"/>
          <w:u w:val="single"/>
        </w:rPr>
        <w:t xml:space="preserve"> </w:t>
      </w:r>
    </w:p>
    <w:p w14:paraId="09B69023" w14:textId="0E12EDE1" w:rsidR="002E1B1D" w:rsidRPr="0049650D" w:rsidRDefault="005973D4" w:rsidP="00BF7ED6">
      <w:pPr>
        <w:rPr>
          <w:szCs w:val="24"/>
        </w:rPr>
      </w:pPr>
      <w:r w:rsidRPr="0049650D">
        <w:rPr>
          <w:szCs w:val="24"/>
        </w:rPr>
        <w:t xml:space="preserve">Item </w:t>
      </w:r>
      <w:r w:rsidR="00576D16" w:rsidRPr="0049650D">
        <w:rPr>
          <w:szCs w:val="24"/>
        </w:rPr>
        <w:t>5</w:t>
      </w:r>
      <w:r w:rsidRPr="0049650D">
        <w:rPr>
          <w:szCs w:val="24"/>
        </w:rPr>
        <w:t xml:space="preserve"> </w:t>
      </w:r>
      <w:r w:rsidR="00D7380E" w:rsidRPr="0049650D">
        <w:rPr>
          <w:szCs w:val="24"/>
        </w:rPr>
        <w:t>rep</w:t>
      </w:r>
      <w:r w:rsidR="00040219" w:rsidRPr="0049650D">
        <w:rPr>
          <w:szCs w:val="24"/>
        </w:rPr>
        <w:t xml:space="preserve">eals and replaces section </w:t>
      </w:r>
      <w:r w:rsidR="006E28D7" w:rsidRPr="0049650D">
        <w:rPr>
          <w:szCs w:val="24"/>
        </w:rPr>
        <w:t xml:space="preserve">12 </w:t>
      </w:r>
      <w:r w:rsidR="006A11D2" w:rsidRPr="0049650D">
        <w:rPr>
          <w:szCs w:val="24"/>
        </w:rPr>
        <w:t>as well as</w:t>
      </w:r>
      <w:r w:rsidR="006E28D7" w:rsidRPr="0049650D">
        <w:rPr>
          <w:szCs w:val="24"/>
        </w:rPr>
        <w:t xml:space="preserve"> insert</w:t>
      </w:r>
      <w:r w:rsidR="006A11D2" w:rsidRPr="0049650D">
        <w:rPr>
          <w:szCs w:val="24"/>
        </w:rPr>
        <w:t>s</w:t>
      </w:r>
      <w:r w:rsidR="006E28D7" w:rsidRPr="0049650D">
        <w:rPr>
          <w:szCs w:val="24"/>
        </w:rPr>
        <w:t xml:space="preserve"> </w:t>
      </w:r>
      <w:r w:rsidR="00C519FC" w:rsidRPr="0049650D">
        <w:rPr>
          <w:szCs w:val="24"/>
        </w:rPr>
        <w:t>section 12A</w:t>
      </w:r>
      <w:r w:rsidR="006A11D2" w:rsidRPr="0049650D">
        <w:rPr>
          <w:szCs w:val="24"/>
        </w:rPr>
        <w:t xml:space="preserve">, which </w:t>
      </w:r>
      <w:r w:rsidR="000E01DE" w:rsidRPr="0049650D">
        <w:rPr>
          <w:szCs w:val="24"/>
        </w:rPr>
        <w:t xml:space="preserve">provides for </w:t>
      </w:r>
      <w:r w:rsidR="00EE20E0" w:rsidRPr="0049650D">
        <w:rPr>
          <w:szCs w:val="24"/>
        </w:rPr>
        <w:t xml:space="preserve">distinct </w:t>
      </w:r>
      <w:r w:rsidR="000E01DE" w:rsidRPr="0049650D">
        <w:rPr>
          <w:szCs w:val="24"/>
        </w:rPr>
        <w:t>production variable</w:t>
      </w:r>
      <w:r w:rsidR="00E22B0E" w:rsidRPr="0049650D">
        <w:rPr>
          <w:szCs w:val="24"/>
        </w:rPr>
        <w:t>s</w:t>
      </w:r>
      <w:r w:rsidR="000E01DE" w:rsidRPr="0049650D">
        <w:rPr>
          <w:szCs w:val="24"/>
        </w:rPr>
        <w:t xml:space="preserve"> </w:t>
      </w:r>
      <w:r w:rsidR="00EE20E0" w:rsidRPr="0049650D">
        <w:rPr>
          <w:szCs w:val="24"/>
        </w:rPr>
        <w:t>for</w:t>
      </w:r>
      <w:r w:rsidR="000E01DE" w:rsidRPr="0049650D">
        <w:rPr>
          <w:szCs w:val="24"/>
        </w:rPr>
        <w:t xml:space="preserve"> </w:t>
      </w:r>
      <w:r w:rsidR="00476442" w:rsidRPr="0049650D">
        <w:rPr>
          <w:szCs w:val="24"/>
        </w:rPr>
        <w:t>m</w:t>
      </w:r>
      <w:r w:rsidR="000E01DE" w:rsidRPr="0049650D">
        <w:rPr>
          <w:szCs w:val="24"/>
        </w:rPr>
        <w:t xml:space="preserve">onoammonium phosphate and </w:t>
      </w:r>
      <w:r w:rsidR="007C2B58" w:rsidRPr="0049650D">
        <w:rPr>
          <w:szCs w:val="24"/>
        </w:rPr>
        <w:t>diammonium phosphate.</w:t>
      </w:r>
      <w:r w:rsidR="00F034AC" w:rsidRPr="0049650D">
        <w:rPr>
          <w:szCs w:val="24"/>
        </w:rPr>
        <w:t xml:space="preserve"> These </w:t>
      </w:r>
      <w:r w:rsidR="00476442" w:rsidRPr="0049650D">
        <w:rPr>
          <w:szCs w:val="24"/>
        </w:rPr>
        <w:t xml:space="preserve">two </w:t>
      </w:r>
      <w:r w:rsidR="00F034AC" w:rsidRPr="0049650D">
        <w:rPr>
          <w:szCs w:val="24"/>
        </w:rPr>
        <w:t xml:space="preserve">products </w:t>
      </w:r>
      <w:r w:rsidR="00476442" w:rsidRPr="0049650D">
        <w:rPr>
          <w:szCs w:val="24"/>
        </w:rPr>
        <w:t xml:space="preserve">were </w:t>
      </w:r>
      <w:r w:rsidR="00E22B0E" w:rsidRPr="0049650D">
        <w:rPr>
          <w:szCs w:val="24"/>
        </w:rPr>
        <w:t xml:space="preserve">previously </w:t>
      </w:r>
      <w:r w:rsidR="00476442" w:rsidRPr="0049650D">
        <w:rPr>
          <w:szCs w:val="24"/>
        </w:rPr>
        <w:t>included</w:t>
      </w:r>
      <w:r w:rsidR="00F034AC" w:rsidRPr="0049650D">
        <w:rPr>
          <w:szCs w:val="24"/>
        </w:rPr>
        <w:t xml:space="preserve"> </w:t>
      </w:r>
      <w:r w:rsidR="00476442" w:rsidRPr="0049650D">
        <w:rPr>
          <w:szCs w:val="24"/>
        </w:rPr>
        <w:t>in</w:t>
      </w:r>
      <w:r w:rsidR="00F034AC" w:rsidRPr="0049650D">
        <w:rPr>
          <w:szCs w:val="24"/>
        </w:rPr>
        <w:t xml:space="preserve"> a single production variable (ammonium phosphate). </w:t>
      </w:r>
    </w:p>
    <w:p w14:paraId="53CFF2B3" w14:textId="2D3ECFDD" w:rsidR="005973D4" w:rsidRPr="0049650D" w:rsidRDefault="00F034AC" w:rsidP="00BF7ED6">
      <w:pPr>
        <w:rPr>
          <w:szCs w:val="24"/>
        </w:rPr>
      </w:pPr>
      <w:r w:rsidRPr="0049650D">
        <w:rPr>
          <w:szCs w:val="24"/>
        </w:rPr>
        <w:t>This amendment separates monoammonium phosphate</w:t>
      </w:r>
      <w:r w:rsidR="00E22B0E" w:rsidRPr="0049650D">
        <w:rPr>
          <w:szCs w:val="24"/>
        </w:rPr>
        <w:t xml:space="preserve"> and diammonium phosphate</w:t>
      </w:r>
      <w:r w:rsidRPr="0049650D">
        <w:rPr>
          <w:szCs w:val="24"/>
        </w:rPr>
        <w:t xml:space="preserve"> into distinct production variable</w:t>
      </w:r>
      <w:r w:rsidR="00E22B0E" w:rsidRPr="0049650D">
        <w:rPr>
          <w:szCs w:val="24"/>
        </w:rPr>
        <w:t>s</w:t>
      </w:r>
      <w:r w:rsidRPr="0049650D">
        <w:rPr>
          <w:szCs w:val="24"/>
        </w:rPr>
        <w:t xml:space="preserve"> to better enable the calculation of baselines under the Safeguard Mechanism reforms.</w:t>
      </w:r>
    </w:p>
    <w:p w14:paraId="201AFD26" w14:textId="50BB8BEA" w:rsidR="00FB7067" w:rsidRPr="0049650D" w:rsidRDefault="00FB7067" w:rsidP="00BF7ED6">
      <w:pPr>
        <w:rPr>
          <w:szCs w:val="24"/>
        </w:rPr>
      </w:pPr>
      <w:r w:rsidRPr="0049650D">
        <w:rPr>
          <w:szCs w:val="24"/>
        </w:rPr>
        <w:t xml:space="preserve">The new production variables retain their existing default emissions intensity figures of </w:t>
      </w:r>
      <w:r w:rsidRPr="0049650D">
        <w:t>0.088 t CO</w:t>
      </w:r>
      <w:r w:rsidRPr="0049650D">
        <w:rPr>
          <w:vertAlign w:val="subscript"/>
        </w:rPr>
        <w:t>2</w:t>
      </w:r>
      <w:r w:rsidRPr="0049650D">
        <w:t>-e per tonne of monoammonium phosphate products and 0.078 t CO</w:t>
      </w:r>
      <w:r w:rsidRPr="0049650D">
        <w:rPr>
          <w:vertAlign w:val="subscript"/>
        </w:rPr>
        <w:t>2</w:t>
      </w:r>
      <w:r w:rsidRPr="0049650D">
        <w:t>-e per tonne of diammonium phosphate products.</w:t>
      </w:r>
    </w:p>
    <w:p w14:paraId="2AC5AD25" w14:textId="6D04BAD2" w:rsidR="00376340" w:rsidRPr="0049650D" w:rsidRDefault="00376340" w:rsidP="00BF7ED6">
      <w:pPr>
        <w:rPr>
          <w:szCs w:val="24"/>
          <w:u w:val="single"/>
        </w:rPr>
      </w:pPr>
      <w:r w:rsidRPr="0049650D">
        <w:rPr>
          <w:szCs w:val="24"/>
          <w:u w:val="single"/>
        </w:rPr>
        <w:t xml:space="preserve">Item </w:t>
      </w:r>
      <w:r w:rsidR="00576D16" w:rsidRPr="0049650D">
        <w:rPr>
          <w:szCs w:val="24"/>
          <w:u w:val="single"/>
        </w:rPr>
        <w:t>6</w:t>
      </w:r>
      <w:r w:rsidRPr="0049650D">
        <w:rPr>
          <w:szCs w:val="24"/>
          <w:u w:val="single"/>
        </w:rPr>
        <w:t xml:space="preserve"> </w:t>
      </w:r>
    </w:p>
    <w:p w14:paraId="33C2E33D" w14:textId="2A71CC7F" w:rsidR="0061107A" w:rsidRPr="0049650D" w:rsidRDefault="0061107A" w:rsidP="00BF7ED6">
      <w:pPr>
        <w:rPr>
          <w:szCs w:val="24"/>
        </w:rPr>
      </w:pPr>
      <w:r w:rsidRPr="0049650D">
        <w:rPr>
          <w:szCs w:val="24"/>
        </w:rPr>
        <w:t xml:space="preserve">Item </w:t>
      </w:r>
      <w:r w:rsidR="00820427" w:rsidRPr="0049650D">
        <w:rPr>
          <w:szCs w:val="24"/>
        </w:rPr>
        <w:t>6</w:t>
      </w:r>
      <w:r w:rsidRPr="0049650D">
        <w:rPr>
          <w:szCs w:val="24"/>
        </w:rPr>
        <w:t xml:space="preserve"> </w:t>
      </w:r>
      <w:r w:rsidR="00B67347" w:rsidRPr="0049650D">
        <w:rPr>
          <w:szCs w:val="24"/>
        </w:rPr>
        <w:t xml:space="preserve">repeals and replaces subsection 16(2) </w:t>
      </w:r>
      <w:r w:rsidR="002017F2" w:rsidRPr="0049650D">
        <w:rPr>
          <w:szCs w:val="24"/>
        </w:rPr>
        <w:t xml:space="preserve">of Schedule 1 </w:t>
      </w:r>
      <w:r w:rsidR="00B67347" w:rsidRPr="0049650D">
        <w:rPr>
          <w:szCs w:val="24"/>
        </w:rPr>
        <w:t xml:space="preserve">to </w:t>
      </w:r>
      <w:r w:rsidR="00636945" w:rsidRPr="0049650D">
        <w:rPr>
          <w:szCs w:val="24"/>
        </w:rPr>
        <w:t xml:space="preserve">remove the definition of </w:t>
      </w:r>
      <w:r w:rsidR="00636945" w:rsidRPr="0049650D">
        <w:rPr>
          <w:i/>
          <w:iCs/>
          <w:szCs w:val="24"/>
        </w:rPr>
        <w:t>coal mine waste gas</w:t>
      </w:r>
      <w:r w:rsidR="00636945" w:rsidRPr="0049650D">
        <w:rPr>
          <w:szCs w:val="24"/>
        </w:rPr>
        <w:t xml:space="preserve">. This definition is no longer required because the </w:t>
      </w:r>
      <w:r w:rsidR="00BE6B50" w:rsidRPr="0049650D">
        <w:rPr>
          <w:szCs w:val="24"/>
        </w:rPr>
        <w:t xml:space="preserve">coal mine waste gas (CMWG) </w:t>
      </w:r>
      <w:r w:rsidR="00B93C01" w:rsidRPr="0049650D">
        <w:rPr>
          <w:szCs w:val="24"/>
        </w:rPr>
        <w:t>production variable</w:t>
      </w:r>
      <w:r w:rsidR="00BE6B50" w:rsidRPr="0049650D">
        <w:rPr>
          <w:szCs w:val="24"/>
        </w:rPr>
        <w:t xml:space="preserve"> is removed (see item 9). The</w:t>
      </w:r>
      <w:r w:rsidR="00636945" w:rsidRPr="0049650D">
        <w:rPr>
          <w:szCs w:val="24"/>
        </w:rPr>
        <w:t xml:space="preserve"> </w:t>
      </w:r>
      <w:r w:rsidR="00B67347" w:rsidRPr="0049650D">
        <w:rPr>
          <w:szCs w:val="24"/>
        </w:rPr>
        <w:t xml:space="preserve">definition for </w:t>
      </w:r>
      <w:r w:rsidR="006F0490" w:rsidRPr="0049650D">
        <w:rPr>
          <w:i/>
          <w:iCs/>
          <w:szCs w:val="24"/>
        </w:rPr>
        <w:t>decommissioned underground mine</w:t>
      </w:r>
      <w:r w:rsidR="00666BAF" w:rsidRPr="0049650D">
        <w:rPr>
          <w:szCs w:val="24"/>
        </w:rPr>
        <w:t xml:space="preserve"> </w:t>
      </w:r>
      <w:r w:rsidR="00396CEF" w:rsidRPr="0049650D">
        <w:rPr>
          <w:szCs w:val="24"/>
        </w:rPr>
        <w:t>in subsection 16(</w:t>
      </w:r>
      <w:r w:rsidR="00B63BDF" w:rsidRPr="0049650D">
        <w:rPr>
          <w:szCs w:val="24"/>
        </w:rPr>
        <w:t xml:space="preserve">2) </w:t>
      </w:r>
      <w:r w:rsidR="00666BAF" w:rsidRPr="0049650D">
        <w:rPr>
          <w:szCs w:val="24"/>
        </w:rPr>
        <w:t>is unchanged</w:t>
      </w:r>
      <w:r w:rsidR="0037394F" w:rsidRPr="0049650D">
        <w:rPr>
          <w:szCs w:val="24"/>
        </w:rPr>
        <w:t>.</w:t>
      </w:r>
    </w:p>
    <w:p w14:paraId="7E88A44E" w14:textId="66910EC7" w:rsidR="00376340" w:rsidRPr="0049650D" w:rsidRDefault="007C2B58" w:rsidP="00BF7ED6">
      <w:pPr>
        <w:rPr>
          <w:szCs w:val="24"/>
          <w:u w:val="single"/>
        </w:rPr>
      </w:pPr>
      <w:r w:rsidRPr="0049650D">
        <w:rPr>
          <w:szCs w:val="24"/>
          <w:u w:val="single"/>
        </w:rPr>
        <w:t xml:space="preserve">Item </w:t>
      </w:r>
      <w:r w:rsidR="00576D16" w:rsidRPr="0049650D">
        <w:rPr>
          <w:szCs w:val="24"/>
          <w:u w:val="single"/>
        </w:rPr>
        <w:t>7</w:t>
      </w:r>
      <w:r w:rsidRPr="0049650D">
        <w:rPr>
          <w:szCs w:val="24"/>
          <w:u w:val="single"/>
        </w:rPr>
        <w:t xml:space="preserve"> </w:t>
      </w:r>
    </w:p>
    <w:p w14:paraId="74EB1B13" w14:textId="65F0E439" w:rsidR="00D00825" w:rsidRPr="0049650D" w:rsidRDefault="00376340" w:rsidP="00BF7ED6">
      <w:pPr>
        <w:rPr>
          <w:szCs w:val="24"/>
        </w:rPr>
      </w:pPr>
      <w:r w:rsidRPr="0049650D">
        <w:rPr>
          <w:szCs w:val="24"/>
        </w:rPr>
        <w:t xml:space="preserve">Item </w:t>
      </w:r>
      <w:r w:rsidR="004D22F8" w:rsidRPr="0049650D">
        <w:rPr>
          <w:szCs w:val="24"/>
        </w:rPr>
        <w:t>7</w:t>
      </w:r>
      <w:r w:rsidRPr="0049650D">
        <w:rPr>
          <w:szCs w:val="24"/>
        </w:rPr>
        <w:t xml:space="preserve"> </w:t>
      </w:r>
      <w:r w:rsidR="00AC324F" w:rsidRPr="0049650D">
        <w:rPr>
          <w:szCs w:val="24"/>
        </w:rPr>
        <w:t xml:space="preserve">repeals </w:t>
      </w:r>
      <w:r w:rsidR="005C4B75" w:rsidRPr="0049650D">
        <w:rPr>
          <w:szCs w:val="24"/>
        </w:rPr>
        <w:t xml:space="preserve">and replaces </w:t>
      </w:r>
      <w:r w:rsidR="00AC324F" w:rsidRPr="0049650D">
        <w:rPr>
          <w:szCs w:val="24"/>
        </w:rPr>
        <w:t>subsection 1</w:t>
      </w:r>
      <w:r w:rsidR="00D10793" w:rsidRPr="0049650D">
        <w:rPr>
          <w:szCs w:val="24"/>
        </w:rPr>
        <w:t>7</w:t>
      </w:r>
      <w:r w:rsidR="00AC324F" w:rsidRPr="0049650D">
        <w:rPr>
          <w:szCs w:val="24"/>
        </w:rPr>
        <w:t>(2)</w:t>
      </w:r>
      <w:r w:rsidR="002017F2" w:rsidRPr="0049650D">
        <w:rPr>
          <w:szCs w:val="24"/>
        </w:rPr>
        <w:t xml:space="preserve"> of Schedule 1</w:t>
      </w:r>
      <w:r w:rsidR="00AC324F" w:rsidRPr="0049650D">
        <w:rPr>
          <w:szCs w:val="24"/>
        </w:rPr>
        <w:t xml:space="preserve"> </w:t>
      </w:r>
      <w:r w:rsidR="005C4B75" w:rsidRPr="0049650D">
        <w:rPr>
          <w:szCs w:val="24"/>
        </w:rPr>
        <w:t>to provide that the metric in subsection 1</w:t>
      </w:r>
      <w:r w:rsidR="0080107F" w:rsidRPr="0049650D">
        <w:rPr>
          <w:szCs w:val="24"/>
        </w:rPr>
        <w:t>7</w:t>
      </w:r>
      <w:r w:rsidR="005C4B75" w:rsidRPr="0049650D">
        <w:rPr>
          <w:szCs w:val="24"/>
        </w:rPr>
        <w:t xml:space="preserve">(1) </w:t>
      </w:r>
      <w:r w:rsidR="00226632" w:rsidRPr="0049650D">
        <w:rPr>
          <w:szCs w:val="24"/>
        </w:rPr>
        <w:t xml:space="preserve">is </w:t>
      </w:r>
      <w:r w:rsidR="00D00825" w:rsidRPr="0049650D">
        <w:rPr>
          <w:szCs w:val="24"/>
        </w:rPr>
        <w:t>applicable to a facility that conducts the activity of coal mining.</w:t>
      </w:r>
      <w:r w:rsidR="00507E86" w:rsidRPr="0049650D">
        <w:rPr>
          <w:szCs w:val="24"/>
        </w:rPr>
        <w:t xml:space="preserve"> A single production variable for run-of-mine coal will incorporate all emissions relating to the coal mining activity</w:t>
      </w:r>
      <w:r w:rsidR="000E4FCB" w:rsidRPr="0049650D">
        <w:rPr>
          <w:szCs w:val="24"/>
        </w:rPr>
        <w:t>, including CMWG</w:t>
      </w:r>
      <w:r w:rsidR="00507E86" w:rsidRPr="0049650D">
        <w:rPr>
          <w:szCs w:val="24"/>
        </w:rPr>
        <w:t>.</w:t>
      </w:r>
    </w:p>
    <w:p w14:paraId="74B94820" w14:textId="6570492E" w:rsidR="00376340" w:rsidRPr="0049650D" w:rsidRDefault="00376340" w:rsidP="00BF7ED6">
      <w:pPr>
        <w:rPr>
          <w:szCs w:val="24"/>
          <w:u w:val="single"/>
        </w:rPr>
      </w:pPr>
      <w:r w:rsidRPr="0049650D">
        <w:rPr>
          <w:szCs w:val="24"/>
          <w:u w:val="single"/>
        </w:rPr>
        <w:t xml:space="preserve">Item </w:t>
      </w:r>
      <w:r w:rsidR="00576D16" w:rsidRPr="0049650D">
        <w:rPr>
          <w:szCs w:val="24"/>
          <w:u w:val="single"/>
        </w:rPr>
        <w:t>8</w:t>
      </w:r>
      <w:r w:rsidRPr="0049650D">
        <w:rPr>
          <w:szCs w:val="24"/>
          <w:u w:val="single"/>
        </w:rPr>
        <w:t xml:space="preserve"> </w:t>
      </w:r>
    </w:p>
    <w:p w14:paraId="0B5CA565" w14:textId="43BD37DF" w:rsidR="00722B70" w:rsidRPr="0049650D" w:rsidRDefault="00D00825" w:rsidP="00BF7ED6">
      <w:r w:rsidRPr="0049650D">
        <w:lastRenderedPageBreak/>
        <w:t xml:space="preserve">Item </w:t>
      </w:r>
      <w:r w:rsidR="00207195" w:rsidRPr="0049650D">
        <w:t>8</w:t>
      </w:r>
      <w:r w:rsidR="006F0490" w:rsidRPr="0049650D">
        <w:t xml:space="preserve"> </w:t>
      </w:r>
      <w:r w:rsidR="00280BEF" w:rsidRPr="0049650D">
        <w:t>repeals and replaces subsection 17(3)</w:t>
      </w:r>
      <w:r w:rsidR="002017F2" w:rsidRPr="0049650D">
        <w:t xml:space="preserve"> of Schedule 1</w:t>
      </w:r>
      <w:r w:rsidR="006D2194" w:rsidRPr="0049650D">
        <w:t xml:space="preserve"> to provide</w:t>
      </w:r>
      <w:r w:rsidR="00280BEF" w:rsidRPr="0049650D">
        <w:t xml:space="preserve"> </w:t>
      </w:r>
      <w:r w:rsidR="00F50273" w:rsidRPr="0049650D">
        <w:t xml:space="preserve">a default emissions intensity number </w:t>
      </w:r>
      <w:r w:rsidR="00722B70" w:rsidRPr="0049650D">
        <w:t xml:space="preserve">for </w:t>
      </w:r>
      <w:r w:rsidR="00507E86" w:rsidRPr="0049650D">
        <w:t>coal mining. This default emissions intensity value now incorporates all emissions relating to the coal mining activity including fuel combustion, fugitive emissions and coal mine waste gas</w:t>
      </w:r>
      <w:r w:rsidR="003643D6" w:rsidRPr="0049650D">
        <w:t xml:space="preserve">. The default value </w:t>
      </w:r>
      <w:r w:rsidR="00E306F2" w:rsidRPr="0049650D">
        <w:t xml:space="preserve">is </w:t>
      </w:r>
      <w:r w:rsidR="003643D6" w:rsidRPr="0049650D">
        <w:t>calculated using greater weighting to</w:t>
      </w:r>
      <w:r w:rsidR="00E70E52" w:rsidRPr="0049650D">
        <w:t xml:space="preserve"> the facility-specific</w:t>
      </w:r>
      <w:r w:rsidR="00E306F2" w:rsidRPr="0049650D">
        <w:t xml:space="preserve"> </w:t>
      </w:r>
      <w:r w:rsidR="00CC3BB4" w:rsidRPr="0049650D">
        <w:t>emissions</w:t>
      </w:r>
      <w:r w:rsidR="003643D6" w:rsidRPr="0049650D">
        <w:t xml:space="preserve"> intensity. The effect will be that in 2029-30 the </w:t>
      </w:r>
      <w:r w:rsidR="00844D9B" w:rsidRPr="0049650D">
        <w:t xml:space="preserve">default value </w:t>
      </w:r>
      <w:r w:rsidR="003643D6" w:rsidRPr="0049650D">
        <w:t xml:space="preserve">will be </w:t>
      </w:r>
      <w:r w:rsidR="00D565EE" w:rsidRPr="0049650D">
        <w:t>the average of</w:t>
      </w:r>
      <w:r w:rsidR="003643D6" w:rsidRPr="0049650D">
        <w:t xml:space="preserve"> the calculated industry average value </w:t>
      </w:r>
      <w:r w:rsidR="00844D9B" w:rsidRPr="0049650D">
        <w:t>(0.0</w:t>
      </w:r>
      <w:r w:rsidR="0060477B" w:rsidRPr="0049650D">
        <w:t>653</w:t>
      </w:r>
      <w:r w:rsidR="00AF2675" w:rsidRPr="0049650D">
        <w:t xml:space="preserve"> t CO</w:t>
      </w:r>
      <w:r w:rsidR="00AF2675" w:rsidRPr="0049650D">
        <w:rPr>
          <w:vertAlign w:val="subscript"/>
        </w:rPr>
        <w:t>2</w:t>
      </w:r>
      <w:r w:rsidR="00AF2675" w:rsidRPr="0049650D">
        <w:t>-e</w:t>
      </w:r>
      <w:r w:rsidR="0060477B" w:rsidRPr="0049650D">
        <w:t xml:space="preserve">) </w:t>
      </w:r>
      <w:r w:rsidR="003643D6" w:rsidRPr="0049650D">
        <w:t xml:space="preserve">and a facility’s site-specific </w:t>
      </w:r>
      <w:r w:rsidR="00E306F2" w:rsidRPr="0049650D">
        <w:t xml:space="preserve">emissions </w:t>
      </w:r>
      <w:r w:rsidR="003643D6" w:rsidRPr="0049650D">
        <w:t>intensity, in recognition that the variability in emissions intensity is widest in the coal sector compared to all other sectors.</w:t>
      </w:r>
      <w:r w:rsidR="008239C1" w:rsidRPr="0049650D">
        <w:t xml:space="preserve"> The appropriateness of this weighting will be considered in the 2026-27 review of the Safeguard Mechanism.</w:t>
      </w:r>
    </w:p>
    <w:p w14:paraId="7F7A7AC2" w14:textId="051D435A" w:rsidR="00376340" w:rsidRPr="0049650D" w:rsidRDefault="00376340" w:rsidP="00BF7ED6">
      <w:pPr>
        <w:rPr>
          <w:szCs w:val="24"/>
          <w:u w:val="single"/>
        </w:rPr>
      </w:pPr>
      <w:r w:rsidRPr="0049650D">
        <w:rPr>
          <w:szCs w:val="24"/>
          <w:u w:val="single"/>
        </w:rPr>
        <w:t xml:space="preserve">Item </w:t>
      </w:r>
      <w:r w:rsidR="00576D16" w:rsidRPr="0049650D">
        <w:rPr>
          <w:szCs w:val="24"/>
          <w:u w:val="single"/>
        </w:rPr>
        <w:t>9</w:t>
      </w:r>
      <w:r w:rsidRPr="0049650D">
        <w:rPr>
          <w:szCs w:val="24"/>
          <w:u w:val="single"/>
        </w:rPr>
        <w:t xml:space="preserve"> </w:t>
      </w:r>
    </w:p>
    <w:p w14:paraId="24E83A3B" w14:textId="32E660C7" w:rsidR="007C2B58" w:rsidRPr="0049650D" w:rsidRDefault="00722B70" w:rsidP="00BF7ED6">
      <w:pPr>
        <w:rPr>
          <w:szCs w:val="24"/>
        </w:rPr>
      </w:pPr>
      <w:r w:rsidRPr="0049650D">
        <w:rPr>
          <w:szCs w:val="24"/>
        </w:rPr>
        <w:t xml:space="preserve">Item </w:t>
      </w:r>
      <w:r w:rsidR="000421FC" w:rsidRPr="0049650D">
        <w:rPr>
          <w:szCs w:val="24"/>
        </w:rPr>
        <w:t>9</w:t>
      </w:r>
      <w:r w:rsidRPr="0049650D">
        <w:rPr>
          <w:szCs w:val="24"/>
        </w:rPr>
        <w:t xml:space="preserve"> </w:t>
      </w:r>
      <w:r w:rsidR="0054501F" w:rsidRPr="0049650D">
        <w:rPr>
          <w:szCs w:val="24"/>
        </w:rPr>
        <w:t xml:space="preserve">repeals Division 3 </w:t>
      </w:r>
      <w:r w:rsidR="00507E86" w:rsidRPr="0049650D">
        <w:rPr>
          <w:szCs w:val="24"/>
        </w:rPr>
        <w:t xml:space="preserve">(Coal mine waste gas) </w:t>
      </w:r>
      <w:r w:rsidR="0054501F" w:rsidRPr="0049650D">
        <w:rPr>
          <w:szCs w:val="24"/>
        </w:rPr>
        <w:t xml:space="preserve">of </w:t>
      </w:r>
      <w:r w:rsidR="00576D16" w:rsidRPr="0049650D">
        <w:rPr>
          <w:szCs w:val="24"/>
        </w:rPr>
        <w:t xml:space="preserve">Part 13 of </w:t>
      </w:r>
      <w:r w:rsidR="0054501F" w:rsidRPr="0049650D">
        <w:rPr>
          <w:szCs w:val="24"/>
        </w:rPr>
        <w:t>Schedule 1</w:t>
      </w:r>
      <w:r w:rsidR="00336E95" w:rsidRPr="0049650D">
        <w:rPr>
          <w:szCs w:val="24"/>
        </w:rPr>
        <w:t xml:space="preserve">, which had contained the </w:t>
      </w:r>
      <w:r w:rsidR="002B28A3" w:rsidRPr="0049650D">
        <w:rPr>
          <w:szCs w:val="24"/>
        </w:rPr>
        <w:t>c</w:t>
      </w:r>
      <w:r w:rsidR="00A81C4E" w:rsidRPr="0049650D">
        <w:rPr>
          <w:szCs w:val="24"/>
        </w:rPr>
        <w:t>oal mine waste gas</w:t>
      </w:r>
      <w:r w:rsidR="00336E95" w:rsidRPr="0049650D">
        <w:rPr>
          <w:szCs w:val="24"/>
        </w:rPr>
        <w:t xml:space="preserve"> production variable and default emissions intensity</w:t>
      </w:r>
      <w:r w:rsidR="003A2A80" w:rsidRPr="0049650D">
        <w:rPr>
          <w:szCs w:val="24"/>
        </w:rPr>
        <w:t xml:space="preserve">, however these </w:t>
      </w:r>
      <w:r w:rsidR="002D3342" w:rsidRPr="0049650D">
        <w:rPr>
          <w:szCs w:val="24"/>
        </w:rPr>
        <w:t xml:space="preserve">emissions </w:t>
      </w:r>
      <w:r w:rsidR="003A2A80" w:rsidRPr="0049650D">
        <w:rPr>
          <w:szCs w:val="24"/>
        </w:rPr>
        <w:t xml:space="preserve">have now been </w:t>
      </w:r>
      <w:r w:rsidR="002D3342" w:rsidRPr="0049650D">
        <w:rPr>
          <w:szCs w:val="24"/>
        </w:rPr>
        <w:t>encompassed by the run of mine</w:t>
      </w:r>
      <w:r w:rsidR="008239C1" w:rsidRPr="0049650D">
        <w:rPr>
          <w:szCs w:val="24"/>
        </w:rPr>
        <w:t xml:space="preserve"> </w:t>
      </w:r>
      <w:r w:rsidR="00562097" w:rsidRPr="0049650D">
        <w:rPr>
          <w:szCs w:val="24"/>
        </w:rPr>
        <w:t>c</w:t>
      </w:r>
      <w:r w:rsidR="008239C1" w:rsidRPr="0049650D">
        <w:rPr>
          <w:szCs w:val="24"/>
        </w:rPr>
        <w:t>oal</w:t>
      </w:r>
      <w:r w:rsidR="00562097" w:rsidRPr="0049650D">
        <w:rPr>
          <w:szCs w:val="24"/>
        </w:rPr>
        <w:t xml:space="preserve"> production variable at item 8</w:t>
      </w:r>
      <w:r w:rsidR="000421FC" w:rsidRPr="0049650D">
        <w:rPr>
          <w:szCs w:val="24"/>
        </w:rPr>
        <w:t>.</w:t>
      </w:r>
    </w:p>
    <w:p w14:paraId="0B503AD9" w14:textId="2232CA32" w:rsidR="00376340" w:rsidRPr="0049650D" w:rsidRDefault="00376340" w:rsidP="00BF7ED6">
      <w:pPr>
        <w:rPr>
          <w:szCs w:val="24"/>
          <w:u w:val="single"/>
        </w:rPr>
      </w:pPr>
      <w:r w:rsidRPr="0049650D">
        <w:rPr>
          <w:szCs w:val="24"/>
          <w:u w:val="single"/>
        </w:rPr>
        <w:t xml:space="preserve">Item </w:t>
      </w:r>
      <w:r w:rsidR="000421FC" w:rsidRPr="0049650D">
        <w:rPr>
          <w:szCs w:val="24"/>
          <w:u w:val="single"/>
        </w:rPr>
        <w:t>10</w:t>
      </w:r>
      <w:r w:rsidRPr="0049650D">
        <w:rPr>
          <w:szCs w:val="24"/>
          <w:u w:val="single"/>
        </w:rPr>
        <w:t xml:space="preserve"> </w:t>
      </w:r>
    </w:p>
    <w:p w14:paraId="5077870D" w14:textId="5AE97035" w:rsidR="0054501F" w:rsidRPr="0049650D" w:rsidRDefault="0054501F" w:rsidP="00BF7ED6">
      <w:pPr>
        <w:rPr>
          <w:szCs w:val="24"/>
        </w:rPr>
      </w:pPr>
      <w:r w:rsidRPr="0049650D">
        <w:rPr>
          <w:szCs w:val="24"/>
        </w:rPr>
        <w:t xml:space="preserve">Item </w:t>
      </w:r>
      <w:r w:rsidR="000421FC" w:rsidRPr="0049650D">
        <w:rPr>
          <w:szCs w:val="24"/>
        </w:rPr>
        <w:t>10</w:t>
      </w:r>
      <w:r w:rsidRPr="0049650D">
        <w:rPr>
          <w:szCs w:val="24"/>
        </w:rPr>
        <w:t xml:space="preserve"> renumbers Division </w:t>
      </w:r>
      <w:r w:rsidR="00D22392" w:rsidRPr="0049650D">
        <w:rPr>
          <w:szCs w:val="24"/>
        </w:rPr>
        <w:t xml:space="preserve">4 of </w:t>
      </w:r>
      <w:r w:rsidR="000421FC" w:rsidRPr="0049650D">
        <w:rPr>
          <w:szCs w:val="24"/>
        </w:rPr>
        <w:t xml:space="preserve">Part 13 of </w:t>
      </w:r>
      <w:r w:rsidR="00D22392" w:rsidRPr="0049650D">
        <w:rPr>
          <w:szCs w:val="24"/>
        </w:rPr>
        <w:t>Schedule 1 as Division 3</w:t>
      </w:r>
      <w:r w:rsidR="000421FC" w:rsidRPr="0049650D">
        <w:rPr>
          <w:szCs w:val="24"/>
        </w:rPr>
        <w:t xml:space="preserve">, as a consequence of </w:t>
      </w:r>
      <w:r w:rsidR="00562097" w:rsidRPr="0049650D">
        <w:rPr>
          <w:szCs w:val="24"/>
        </w:rPr>
        <w:t>the repeal of Division</w:t>
      </w:r>
      <w:r w:rsidR="00276FC7" w:rsidRPr="0049650D">
        <w:rPr>
          <w:szCs w:val="24"/>
        </w:rPr>
        <w:t xml:space="preserve"> 3</w:t>
      </w:r>
      <w:r w:rsidR="00562097" w:rsidRPr="0049650D">
        <w:rPr>
          <w:szCs w:val="24"/>
        </w:rPr>
        <w:t xml:space="preserve"> at </w:t>
      </w:r>
      <w:r w:rsidR="000421FC" w:rsidRPr="0049650D">
        <w:rPr>
          <w:szCs w:val="24"/>
        </w:rPr>
        <w:t>Item 9</w:t>
      </w:r>
      <w:r w:rsidR="00D22392" w:rsidRPr="0049650D">
        <w:rPr>
          <w:szCs w:val="24"/>
        </w:rPr>
        <w:t>.</w:t>
      </w:r>
    </w:p>
    <w:p w14:paraId="5B863915" w14:textId="0213F19D" w:rsidR="00376340" w:rsidRPr="0049650D" w:rsidRDefault="00376340" w:rsidP="00BF7ED6">
      <w:pPr>
        <w:rPr>
          <w:szCs w:val="24"/>
          <w:u w:val="single"/>
        </w:rPr>
      </w:pPr>
      <w:r w:rsidRPr="0049650D">
        <w:rPr>
          <w:szCs w:val="24"/>
          <w:u w:val="single"/>
        </w:rPr>
        <w:t xml:space="preserve">Item </w:t>
      </w:r>
      <w:r w:rsidR="000421FC" w:rsidRPr="0049650D">
        <w:rPr>
          <w:szCs w:val="24"/>
          <w:u w:val="single"/>
        </w:rPr>
        <w:t>11</w:t>
      </w:r>
      <w:r w:rsidRPr="0049650D">
        <w:rPr>
          <w:szCs w:val="24"/>
          <w:u w:val="single"/>
        </w:rPr>
        <w:t xml:space="preserve"> </w:t>
      </w:r>
    </w:p>
    <w:p w14:paraId="6453AE47" w14:textId="5914389A" w:rsidR="00376340" w:rsidRPr="0049650D" w:rsidRDefault="00D22392" w:rsidP="00BF7ED6">
      <w:pPr>
        <w:rPr>
          <w:szCs w:val="24"/>
        </w:rPr>
      </w:pPr>
      <w:r w:rsidRPr="0049650D">
        <w:rPr>
          <w:szCs w:val="24"/>
        </w:rPr>
        <w:t>Item 1</w:t>
      </w:r>
      <w:r w:rsidR="00B63E9C" w:rsidRPr="0049650D">
        <w:rPr>
          <w:szCs w:val="24"/>
        </w:rPr>
        <w:t>1</w:t>
      </w:r>
      <w:r w:rsidRPr="0049650D">
        <w:rPr>
          <w:szCs w:val="24"/>
        </w:rPr>
        <w:t xml:space="preserve"> </w:t>
      </w:r>
      <w:r w:rsidR="00764669" w:rsidRPr="0049650D">
        <w:rPr>
          <w:szCs w:val="24"/>
        </w:rPr>
        <w:t>omits “Tonnes of iron ore”</w:t>
      </w:r>
      <w:r w:rsidR="00C57712" w:rsidRPr="0049650D">
        <w:rPr>
          <w:szCs w:val="24"/>
        </w:rPr>
        <w:t xml:space="preserve"> from subsection20(1) of Schedule 1</w:t>
      </w:r>
      <w:r w:rsidR="00764669" w:rsidRPr="0049650D">
        <w:rPr>
          <w:szCs w:val="24"/>
        </w:rPr>
        <w:t xml:space="preserve"> and inserts instead </w:t>
      </w:r>
      <w:r w:rsidR="00C57712" w:rsidRPr="0049650D">
        <w:rPr>
          <w:szCs w:val="24"/>
        </w:rPr>
        <w:t>“Tonnes of run-of-mine iron ore”.</w:t>
      </w:r>
      <w:r w:rsidR="00507E86" w:rsidRPr="0049650D">
        <w:rPr>
          <w:szCs w:val="24"/>
        </w:rPr>
        <w:t xml:space="preserve"> This amendment modifies the definition of the iron ore production variable to specify that the quantity of production is measured at the run-of-mine stage. </w:t>
      </w:r>
    </w:p>
    <w:p w14:paraId="517AE192" w14:textId="77CC62DB" w:rsidR="00D22392" w:rsidRPr="0049650D" w:rsidRDefault="00507E86" w:rsidP="00BF7ED6">
      <w:pPr>
        <w:rPr>
          <w:szCs w:val="24"/>
        </w:rPr>
      </w:pPr>
      <w:r w:rsidRPr="0049650D">
        <w:rPr>
          <w:szCs w:val="24"/>
        </w:rPr>
        <w:t>This is to ensure that facilities are reporting the quantity of production at a consistent point in the production process, and better reflect the definition of the production variable which covers the emissions associated with the extraction and initial processing of the ore.</w:t>
      </w:r>
    </w:p>
    <w:p w14:paraId="44B25E8A" w14:textId="76F95AF9" w:rsidR="00376340" w:rsidRPr="0049650D" w:rsidRDefault="00376340" w:rsidP="00BF7ED6">
      <w:pPr>
        <w:rPr>
          <w:szCs w:val="24"/>
          <w:u w:val="single"/>
        </w:rPr>
      </w:pPr>
      <w:r w:rsidRPr="0049650D">
        <w:rPr>
          <w:szCs w:val="24"/>
          <w:u w:val="single"/>
        </w:rPr>
        <w:t>Item 1</w:t>
      </w:r>
      <w:r w:rsidR="000421FC" w:rsidRPr="0049650D">
        <w:rPr>
          <w:szCs w:val="24"/>
          <w:u w:val="single"/>
        </w:rPr>
        <w:t>2</w:t>
      </w:r>
      <w:r w:rsidRPr="0049650D">
        <w:rPr>
          <w:szCs w:val="24"/>
          <w:u w:val="single"/>
        </w:rPr>
        <w:t xml:space="preserve"> </w:t>
      </w:r>
    </w:p>
    <w:p w14:paraId="4ED52119" w14:textId="1C1C586B" w:rsidR="00C57712" w:rsidRPr="0049650D" w:rsidRDefault="00C57712" w:rsidP="00BF7ED6">
      <w:pPr>
        <w:rPr>
          <w:szCs w:val="24"/>
        </w:rPr>
      </w:pPr>
      <w:r w:rsidRPr="0049650D">
        <w:rPr>
          <w:szCs w:val="24"/>
        </w:rPr>
        <w:t>Item 1</w:t>
      </w:r>
      <w:r w:rsidR="000421FC" w:rsidRPr="0049650D">
        <w:rPr>
          <w:szCs w:val="24"/>
        </w:rPr>
        <w:t>2</w:t>
      </w:r>
      <w:r w:rsidRPr="0049650D">
        <w:rPr>
          <w:szCs w:val="24"/>
        </w:rPr>
        <w:t xml:space="preserve"> </w:t>
      </w:r>
      <w:r w:rsidR="00B71976" w:rsidRPr="0049650D">
        <w:rPr>
          <w:szCs w:val="24"/>
        </w:rPr>
        <w:t xml:space="preserve">omits “tonne of iron ore” from subsection </w:t>
      </w:r>
      <w:r w:rsidR="00EF1879" w:rsidRPr="0049650D">
        <w:rPr>
          <w:szCs w:val="24"/>
        </w:rPr>
        <w:t xml:space="preserve">20(4) of Schedule 1 and </w:t>
      </w:r>
      <w:r w:rsidR="00475115" w:rsidRPr="0049650D">
        <w:rPr>
          <w:szCs w:val="24"/>
        </w:rPr>
        <w:t>inserts</w:t>
      </w:r>
      <w:r w:rsidR="00EF1879" w:rsidRPr="0049650D">
        <w:rPr>
          <w:szCs w:val="24"/>
        </w:rPr>
        <w:t xml:space="preserve"> instead “tonne of run-of-mine iron ore”</w:t>
      </w:r>
      <w:r w:rsidR="00337124" w:rsidRPr="0049650D">
        <w:rPr>
          <w:szCs w:val="24"/>
        </w:rPr>
        <w:t>, consistent with the changes to the production variable</w:t>
      </w:r>
      <w:r w:rsidR="00A05F84" w:rsidRPr="0049650D">
        <w:rPr>
          <w:szCs w:val="24"/>
        </w:rPr>
        <w:t xml:space="preserve"> included in Item 11</w:t>
      </w:r>
      <w:r w:rsidR="00337124" w:rsidRPr="0049650D">
        <w:rPr>
          <w:szCs w:val="24"/>
        </w:rPr>
        <w:t>.</w:t>
      </w:r>
    </w:p>
    <w:p w14:paraId="2FF454A3" w14:textId="0678CAC1" w:rsidR="00376340" w:rsidRPr="0049650D" w:rsidRDefault="00376340" w:rsidP="00BF7ED6">
      <w:pPr>
        <w:rPr>
          <w:szCs w:val="24"/>
          <w:u w:val="single"/>
        </w:rPr>
      </w:pPr>
      <w:r w:rsidRPr="0049650D">
        <w:rPr>
          <w:szCs w:val="24"/>
          <w:u w:val="single"/>
        </w:rPr>
        <w:t>Item 1</w:t>
      </w:r>
      <w:r w:rsidR="000421FC" w:rsidRPr="0049650D">
        <w:rPr>
          <w:szCs w:val="24"/>
          <w:u w:val="single"/>
        </w:rPr>
        <w:t>3</w:t>
      </w:r>
      <w:r w:rsidRPr="0049650D">
        <w:rPr>
          <w:szCs w:val="24"/>
          <w:u w:val="single"/>
        </w:rPr>
        <w:t xml:space="preserve"> </w:t>
      </w:r>
    </w:p>
    <w:p w14:paraId="2BFBB415" w14:textId="0E4A3B94" w:rsidR="00EF1879" w:rsidRPr="0049650D" w:rsidRDefault="00EF1879" w:rsidP="00BF7ED6">
      <w:pPr>
        <w:rPr>
          <w:szCs w:val="24"/>
        </w:rPr>
      </w:pPr>
      <w:r w:rsidRPr="0049650D">
        <w:rPr>
          <w:szCs w:val="24"/>
        </w:rPr>
        <w:t>Item 1</w:t>
      </w:r>
      <w:r w:rsidR="000421FC" w:rsidRPr="0049650D">
        <w:rPr>
          <w:szCs w:val="24"/>
        </w:rPr>
        <w:t>3</w:t>
      </w:r>
      <w:r w:rsidRPr="0049650D">
        <w:rPr>
          <w:szCs w:val="24"/>
        </w:rPr>
        <w:t xml:space="preserve"> </w:t>
      </w:r>
      <w:r w:rsidR="007627FF" w:rsidRPr="0049650D">
        <w:rPr>
          <w:szCs w:val="24"/>
        </w:rPr>
        <w:t xml:space="preserve">repeals subsection 35(3) </w:t>
      </w:r>
      <w:r w:rsidR="00475115" w:rsidRPr="0049650D">
        <w:rPr>
          <w:szCs w:val="24"/>
        </w:rPr>
        <w:t>of Schedule 1</w:t>
      </w:r>
      <w:r w:rsidR="00177A03" w:rsidRPr="0049650D">
        <w:rPr>
          <w:szCs w:val="24"/>
        </w:rPr>
        <w:t>, being the previous method for</w:t>
      </w:r>
      <w:r w:rsidR="003C6F4A" w:rsidRPr="0049650D">
        <w:rPr>
          <w:szCs w:val="24"/>
        </w:rPr>
        <w:t xml:space="preserve"> determining</w:t>
      </w:r>
      <w:r w:rsidR="00177A03" w:rsidRPr="0049650D">
        <w:rPr>
          <w:szCs w:val="24"/>
        </w:rPr>
        <w:t xml:space="preserve"> </w:t>
      </w:r>
      <w:r w:rsidR="00476605" w:rsidRPr="0049650D">
        <w:rPr>
          <w:szCs w:val="24"/>
        </w:rPr>
        <w:t>the default emissions intensity of reservoir carbon dioxide from existing gas fields,</w:t>
      </w:r>
      <w:r w:rsidR="00475115" w:rsidRPr="0049650D">
        <w:rPr>
          <w:szCs w:val="24"/>
        </w:rPr>
        <w:t xml:space="preserve"> and </w:t>
      </w:r>
      <w:r w:rsidR="00177A03" w:rsidRPr="0049650D">
        <w:rPr>
          <w:szCs w:val="24"/>
        </w:rPr>
        <w:t>replaces it with</w:t>
      </w:r>
      <w:r w:rsidR="00475115" w:rsidRPr="0049650D">
        <w:rPr>
          <w:szCs w:val="24"/>
        </w:rPr>
        <w:t xml:space="preserve"> a </w:t>
      </w:r>
      <w:r w:rsidR="00507E86" w:rsidRPr="0049650D">
        <w:rPr>
          <w:szCs w:val="24"/>
        </w:rPr>
        <w:t xml:space="preserve">new </w:t>
      </w:r>
      <w:r w:rsidR="002E1900" w:rsidRPr="0049650D">
        <w:rPr>
          <w:szCs w:val="24"/>
        </w:rPr>
        <w:t>default emissions intensity number</w:t>
      </w:r>
      <w:r w:rsidR="00507E86" w:rsidRPr="0049650D">
        <w:rPr>
          <w:szCs w:val="24"/>
        </w:rPr>
        <w:t xml:space="preserve"> </w:t>
      </w:r>
      <w:r w:rsidR="00177A03" w:rsidRPr="0049650D">
        <w:rPr>
          <w:szCs w:val="24"/>
        </w:rPr>
        <w:t xml:space="preserve">of </w:t>
      </w:r>
      <w:r w:rsidR="00B27CED" w:rsidRPr="0049650D">
        <w:rPr>
          <w:szCs w:val="24"/>
        </w:rPr>
        <w:t>0</w:t>
      </w:r>
      <w:r w:rsidR="00FD70BB" w:rsidRPr="0049650D">
        <w:rPr>
          <w:szCs w:val="24"/>
        </w:rPr>
        <w:t>.928 t CO</w:t>
      </w:r>
      <w:r w:rsidR="00FD70BB" w:rsidRPr="0049650D">
        <w:rPr>
          <w:szCs w:val="24"/>
          <w:vertAlign w:val="subscript"/>
        </w:rPr>
        <w:t>2</w:t>
      </w:r>
      <w:r w:rsidR="00FD70BB" w:rsidRPr="0049650D">
        <w:rPr>
          <w:szCs w:val="24"/>
        </w:rPr>
        <w:t>-e</w:t>
      </w:r>
      <w:r w:rsidR="000F09D6" w:rsidRPr="0049650D">
        <w:rPr>
          <w:szCs w:val="24"/>
        </w:rPr>
        <w:t xml:space="preserve"> </w:t>
      </w:r>
      <w:r w:rsidR="00132488" w:rsidRPr="0049650D">
        <w:rPr>
          <w:szCs w:val="24"/>
        </w:rPr>
        <w:t>per tonne</w:t>
      </w:r>
      <w:r w:rsidR="00EF69F2" w:rsidRPr="0049650D">
        <w:rPr>
          <w:szCs w:val="24"/>
        </w:rPr>
        <w:t xml:space="preserve"> of</w:t>
      </w:r>
      <w:r w:rsidR="00507E86" w:rsidRPr="0049650D">
        <w:rPr>
          <w:szCs w:val="24"/>
        </w:rPr>
        <w:t xml:space="preserve"> reservoir carbon dioxide</w:t>
      </w:r>
      <w:r w:rsidR="002E1900" w:rsidRPr="0049650D">
        <w:rPr>
          <w:szCs w:val="24"/>
        </w:rPr>
        <w:t>.</w:t>
      </w:r>
    </w:p>
    <w:p w14:paraId="69E62750" w14:textId="44AFBD05" w:rsidR="00376340" w:rsidRPr="0049650D" w:rsidRDefault="00376340" w:rsidP="00BF7ED6">
      <w:pPr>
        <w:rPr>
          <w:szCs w:val="24"/>
          <w:u w:val="single"/>
        </w:rPr>
      </w:pPr>
      <w:r w:rsidRPr="0049650D">
        <w:rPr>
          <w:szCs w:val="24"/>
          <w:u w:val="single"/>
        </w:rPr>
        <w:t>Item 1</w:t>
      </w:r>
      <w:r w:rsidR="00132488" w:rsidRPr="0049650D">
        <w:rPr>
          <w:szCs w:val="24"/>
          <w:u w:val="single"/>
        </w:rPr>
        <w:t>4</w:t>
      </w:r>
      <w:r w:rsidRPr="0049650D">
        <w:rPr>
          <w:szCs w:val="24"/>
          <w:u w:val="single"/>
        </w:rPr>
        <w:t xml:space="preserve"> </w:t>
      </w:r>
    </w:p>
    <w:p w14:paraId="4FA00062" w14:textId="55F8BAF0" w:rsidR="000E6A29" w:rsidRPr="0049650D" w:rsidRDefault="002E1900" w:rsidP="00BF7ED6">
      <w:pPr>
        <w:rPr>
          <w:szCs w:val="24"/>
        </w:rPr>
      </w:pPr>
      <w:r w:rsidRPr="0049650D">
        <w:rPr>
          <w:szCs w:val="24"/>
        </w:rPr>
        <w:t>Item 1</w:t>
      </w:r>
      <w:r w:rsidR="00132488" w:rsidRPr="0049650D">
        <w:rPr>
          <w:szCs w:val="24"/>
        </w:rPr>
        <w:t>4</w:t>
      </w:r>
      <w:r w:rsidRPr="0049650D">
        <w:rPr>
          <w:szCs w:val="24"/>
        </w:rPr>
        <w:t xml:space="preserve"> </w:t>
      </w:r>
      <w:r w:rsidR="00B175E8" w:rsidRPr="0049650D">
        <w:rPr>
          <w:szCs w:val="24"/>
        </w:rPr>
        <w:t>inserts the</w:t>
      </w:r>
      <w:r w:rsidR="007E14AB" w:rsidRPr="0049650D">
        <w:rPr>
          <w:szCs w:val="24"/>
        </w:rPr>
        <w:t xml:space="preserve"> missing word “than</w:t>
      </w:r>
      <w:r w:rsidR="00236E5A" w:rsidRPr="0049650D">
        <w:rPr>
          <w:szCs w:val="24"/>
        </w:rPr>
        <w:t>”</w:t>
      </w:r>
      <w:r w:rsidR="00B175E8" w:rsidRPr="0049650D">
        <w:rPr>
          <w:szCs w:val="24"/>
        </w:rPr>
        <w:t xml:space="preserve"> in paragraph 35A(3)(a) of Schedule 1</w:t>
      </w:r>
      <w:r w:rsidR="00D67202" w:rsidRPr="0049650D">
        <w:rPr>
          <w:szCs w:val="24"/>
        </w:rPr>
        <w:t>.</w:t>
      </w:r>
    </w:p>
    <w:p w14:paraId="269958DE" w14:textId="699036BA" w:rsidR="00376340" w:rsidRPr="0049650D" w:rsidRDefault="00376340" w:rsidP="00BF7ED6">
      <w:pPr>
        <w:rPr>
          <w:szCs w:val="24"/>
          <w:u w:val="single"/>
        </w:rPr>
      </w:pPr>
      <w:r w:rsidRPr="0049650D">
        <w:rPr>
          <w:szCs w:val="24"/>
          <w:u w:val="single"/>
        </w:rPr>
        <w:t>Item 1</w:t>
      </w:r>
      <w:r w:rsidR="000443B8" w:rsidRPr="0049650D">
        <w:rPr>
          <w:szCs w:val="24"/>
          <w:u w:val="single"/>
        </w:rPr>
        <w:t>5</w:t>
      </w:r>
      <w:r w:rsidRPr="0049650D">
        <w:rPr>
          <w:szCs w:val="24"/>
          <w:u w:val="single"/>
        </w:rPr>
        <w:t xml:space="preserve"> </w:t>
      </w:r>
    </w:p>
    <w:p w14:paraId="2D9C2485" w14:textId="59EF9761" w:rsidR="00376340" w:rsidRPr="0049650D" w:rsidRDefault="000E6A29" w:rsidP="00BF7ED6">
      <w:pPr>
        <w:rPr>
          <w:bCs/>
          <w:iCs/>
          <w:szCs w:val="24"/>
        </w:rPr>
      </w:pPr>
      <w:r w:rsidRPr="0049650D">
        <w:rPr>
          <w:szCs w:val="24"/>
        </w:rPr>
        <w:t>Item 1</w:t>
      </w:r>
      <w:r w:rsidR="000443B8" w:rsidRPr="0049650D">
        <w:rPr>
          <w:szCs w:val="24"/>
        </w:rPr>
        <w:t>5</w:t>
      </w:r>
      <w:r w:rsidRPr="0049650D">
        <w:rPr>
          <w:szCs w:val="24"/>
        </w:rPr>
        <w:t xml:space="preserve"> </w:t>
      </w:r>
      <w:r w:rsidR="006874C3" w:rsidRPr="0049650D">
        <w:rPr>
          <w:szCs w:val="24"/>
        </w:rPr>
        <w:t xml:space="preserve">repeals </w:t>
      </w:r>
      <w:r w:rsidR="00B62144" w:rsidRPr="0049650D">
        <w:rPr>
          <w:szCs w:val="24"/>
        </w:rPr>
        <w:t xml:space="preserve">and replaces </w:t>
      </w:r>
      <w:r w:rsidR="006874C3" w:rsidRPr="0049650D">
        <w:rPr>
          <w:szCs w:val="24"/>
        </w:rPr>
        <w:t>subsection 36(1)</w:t>
      </w:r>
      <w:r w:rsidR="00DF210A" w:rsidRPr="0049650D">
        <w:rPr>
          <w:szCs w:val="24"/>
        </w:rPr>
        <w:t xml:space="preserve"> of Schedule 1</w:t>
      </w:r>
      <w:r w:rsidR="006874C3" w:rsidRPr="0049650D">
        <w:rPr>
          <w:szCs w:val="24"/>
        </w:rPr>
        <w:t xml:space="preserve"> </w:t>
      </w:r>
      <w:r w:rsidR="00B62144" w:rsidRPr="0049650D">
        <w:rPr>
          <w:szCs w:val="24"/>
        </w:rPr>
        <w:t xml:space="preserve">to </w:t>
      </w:r>
      <w:r w:rsidR="00987ADA" w:rsidRPr="0049650D">
        <w:rPr>
          <w:szCs w:val="24"/>
        </w:rPr>
        <w:t>update the</w:t>
      </w:r>
      <w:r w:rsidR="00E753BA" w:rsidRPr="0049650D">
        <w:rPr>
          <w:szCs w:val="24"/>
        </w:rPr>
        <w:t xml:space="preserve"> definition for </w:t>
      </w:r>
      <w:r w:rsidR="00283D1C" w:rsidRPr="0049650D">
        <w:rPr>
          <w:bCs/>
          <w:i/>
          <w:szCs w:val="24"/>
        </w:rPr>
        <w:t>integrated iron and steel manufacturing</w:t>
      </w:r>
      <w:r w:rsidR="00283D1C" w:rsidRPr="0049650D">
        <w:rPr>
          <w:bCs/>
          <w:iCs/>
          <w:szCs w:val="24"/>
        </w:rPr>
        <w:t>.</w:t>
      </w:r>
      <w:r w:rsidR="00507E86" w:rsidRPr="0049650D">
        <w:rPr>
          <w:bCs/>
          <w:iCs/>
          <w:szCs w:val="24"/>
        </w:rPr>
        <w:t xml:space="preserve"> </w:t>
      </w:r>
    </w:p>
    <w:p w14:paraId="10BCAAB4" w14:textId="2D9533B5" w:rsidR="00507E86" w:rsidRPr="0049650D" w:rsidRDefault="00507E86" w:rsidP="00BF7ED6">
      <w:pPr>
        <w:rPr>
          <w:szCs w:val="24"/>
        </w:rPr>
      </w:pPr>
      <w:r w:rsidRPr="0049650D">
        <w:rPr>
          <w:szCs w:val="24"/>
        </w:rPr>
        <w:t>The updated definition</w:t>
      </w:r>
      <w:r w:rsidR="0026480D" w:rsidRPr="0049650D">
        <w:rPr>
          <w:szCs w:val="24"/>
        </w:rPr>
        <w:t xml:space="preserve"> </w:t>
      </w:r>
      <w:r w:rsidRPr="0049650D">
        <w:rPr>
          <w:szCs w:val="24"/>
        </w:rPr>
        <w:t>cover</w:t>
      </w:r>
      <w:r w:rsidR="00987ADA" w:rsidRPr="0049650D">
        <w:rPr>
          <w:szCs w:val="24"/>
        </w:rPr>
        <w:t>s</w:t>
      </w:r>
      <w:r w:rsidR="0026480D" w:rsidRPr="0049650D">
        <w:rPr>
          <w:szCs w:val="24"/>
        </w:rPr>
        <w:t xml:space="preserve"> </w:t>
      </w:r>
      <w:r w:rsidRPr="0049650D">
        <w:rPr>
          <w:szCs w:val="24"/>
        </w:rPr>
        <w:t xml:space="preserve">a broader range of intermediate and final products that may be produced from iron ore, such as crude iron and hot briquetted iron, and </w:t>
      </w:r>
      <w:r w:rsidRPr="0049650D">
        <w:rPr>
          <w:szCs w:val="24"/>
        </w:rPr>
        <w:lastRenderedPageBreak/>
        <w:t>remove the requirements of some specific processes and inputs that may not be used in future production methods.</w:t>
      </w:r>
    </w:p>
    <w:p w14:paraId="1461EBFF" w14:textId="4FED65D8" w:rsidR="00376340" w:rsidRPr="0049650D" w:rsidRDefault="00376340" w:rsidP="00BF7ED6">
      <w:pPr>
        <w:rPr>
          <w:bCs/>
          <w:iCs/>
          <w:szCs w:val="24"/>
          <w:u w:val="single"/>
        </w:rPr>
      </w:pPr>
      <w:r w:rsidRPr="0049650D">
        <w:rPr>
          <w:bCs/>
          <w:iCs/>
          <w:szCs w:val="24"/>
          <w:u w:val="single"/>
        </w:rPr>
        <w:t>Item 1</w:t>
      </w:r>
      <w:r w:rsidR="00D61B30" w:rsidRPr="0049650D">
        <w:rPr>
          <w:bCs/>
          <w:iCs/>
          <w:szCs w:val="24"/>
          <w:u w:val="single"/>
        </w:rPr>
        <w:t>6</w:t>
      </w:r>
      <w:r w:rsidRPr="0049650D">
        <w:rPr>
          <w:bCs/>
          <w:iCs/>
          <w:szCs w:val="24"/>
          <w:u w:val="single"/>
        </w:rPr>
        <w:t xml:space="preserve"> </w:t>
      </w:r>
    </w:p>
    <w:p w14:paraId="0BC071EC" w14:textId="5632F005" w:rsidR="00D5623C" w:rsidRPr="0049650D" w:rsidRDefault="00283D1C" w:rsidP="00BF7ED6">
      <w:pPr>
        <w:rPr>
          <w:szCs w:val="24"/>
        </w:rPr>
      </w:pPr>
      <w:r w:rsidRPr="0049650D">
        <w:rPr>
          <w:bCs/>
          <w:iCs/>
          <w:szCs w:val="24"/>
        </w:rPr>
        <w:t>Item 1</w:t>
      </w:r>
      <w:r w:rsidR="00D61B30" w:rsidRPr="0049650D">
        <w:rPr>
          <w:bCs/>
          <w:iCs/>
          <w:szCs w:val="24"/>
        </w:rPr>
        <w:t>6</w:t>
      </w:r>
      <w:r w:rsidRPr="0049650D">
        <w:rPr>
          <w:bCs/>
          <w:iCs/>
          <w:szCs w:val="24"/>
        </w:rPr>
        <w:t xml:space="preserve"> </w:t>
      </w:r>
      <w:r w:rsidR="004B2493" w:rsidRPr="0049650D">
        <w:rPr>
          <w:bCs/>
          <w:iCs/>
          <w:szCs w:val="24"/>
        </w:rPr>
        <w:t xml:space="preserve">omits </w:t>
      </w:r>
      <w:r w:rsidR="001E442B" w:rsidRPr="0049650D">
        <w:rPr>
          <w:bCs/>
          <w:iCs/>
          <w:szCs w:val="24"/>
        </w:rPr>
        <w:t>“(</w:t>
      </w:r>
      <w:r w:rsidR="003E33C7" w:rsidRPr="0049650D">
        <w:rPr>
          <w:bCs/>
          <w:iCs/>
          <w:szCs w:val="24"/>
        </w:rPr>
        <w:t xml:space="preserve">such as ferrous scrap, pig iron and flat iron)” from subsection 36(2) </w:t>
      </w:r>
      <w:r w:rsidR="00D5623C" w:rsidRPr="0049650D">
        <w:rPr>
          <w:bCs/>
          <w:iCs/>
          <w:szCs w:val="24"/>
        </w:rPr>
        <w:t>of Schedule 1 and inserts instead “(such as ferrous scrap, hot briquetted iron, pig iron and flat iron)”</w:t>
      </w:r>
      <w:r w:rsidR="00F00A36" w:rsidRPr="0049650D">
        <w:rPr>
          <w:bCs/>
          <w:iCs/>
          <w:szCs w:val="24"/>
        </w:rPr>
        <w:t xml:space="preserve"> to include hot briquetted iron as an </w:t>
      </w:r>
      <w:r w:rsidR="00FC4917" w:rsidRPr="0049650D">
        <w:rPr>
          <w:bCs/>
          <w:iCs/>
          <w:szCs w:val="24"/>
        </w:rPr>
        <w:t xml:space="preserve">additional </w:t>
      </w:r>
      <w:r w:rsidR="00F00A36" w:rsidRPr="0049650D">
        <w:rPr>
          <w:bCs/>
          <w:iCs/>
          <w:szCs w:val="24"/>
        </w:rPr>
        <w:t xml:space="preserve">example </w:t>
      </w:r>
      <w:r w:rsidR="008138C6" w:rsidRPr="0049650D">
        <w:rPr>
          <w:bCs/>
          <w:iCs/>
          <w:szCs w:val="24"/>
        </w:rPr>
        <w:t>of a</w:t>
      </w:r>
      <w:r w:rsidR="00F00A36" w:rsidRPr="0049650D">
        <w:rPr>
          <w:bCs/>
          <w:iCs/>
          <w:szCs w:val="24"/>
        </w:rPr>
        <w:t xml:space="preserve"> product covered by the provision</w:t>
      </w:r>
      <w:r w:rsidR="00D5623C" w:rsidRPr="0049650D">
        <w:rPr>
          <w:bCs/>
          <w:iCs/>
          <w:szCs w:val="24"/>
        </w:rPr>
        <w:t>.</w:t>
      </w:r>
    </w:p>
    <w:p w14:paraId="48424DE2" w14:textId="10751141" w:rsidR="00376340" w:rsidRPr="0049650D" w:rsidRDefault="00376340" w:rsidP="00BF7ED6">
      <w:pPr>
        <w:rPr>
          <w:bCs/>
          <w:iCs/>
          <w:szCs w:val="24"/>
          <w:u w:val="single"/>
        </w:rPr>
      </w:pPr>
      <w:r w:rsidRPr="0049650D">
        <w:rPr>
          <w:bCs/>
          <w:iCs/>
          <w:szCs w:val="24"/>
          <w:u w:val="single"/>
        </w:rPr>
        <w:t>Item 1</w:t>
      </w:r>
      <w:r w:rsidR="00B67324" w:rsidRPr="0049650D">
        <w:rPr>
          <w:bCs/>
          <w:iCs/>
          <w:szCs w:val="24"/>
          <w:u w:val="single"/>
        </w:rPr>
        <w:t>7</w:t>
      </w:r>
      <w:r w:rsidRPr="0049650D">
        <w:rPr>
          <w:bCs/>
          <w:iCs/>
          <w:szCs w:val="24"/>
          <w:u w:val="single"/>
        </w:rPr>
        <w:t xml:space="preserve"> </w:t>
      </w:r>
    </w:p>
    <w:p w14:paraId="58E8A4B7" w14:textId="58BBB9E4" w:rsidR="00376340" w:rsidRPr="0049650D" w:rsidRDefault="00D5623C" w:rsidP="00BF7ED6">
      <w:pPr>
        <w:rPr>
          <w:bCs/>
          <w:iCs/>
          <w:szCs w:val="24"/>
        </w:rPr>
      </w:pPr>
      <w:r w:rsidRPr="0049650D">
        <w:rPr>
          <w:bCs/>
          <w:iCs/>
          <w:szCs w:val="24"/>
        </w:rPr>
        <w:t>Item 1</w:t>
      </w:r>
      <w:r w:rsidR="00B67324" w:rsidRPr="0049650D">
        <w:rPr>
          <w:bCs/>
          <w:iCs/>
          <w:szCs w:val="24"/>
        </w:rPr>
        <w:t>7</w:t>
      </w:r>
      <w:r w:rsidRPr="0049650D">
        <w:rPr>
          <w:bCs/>
          <w:iCs/>
          <w:szCs w:val="24"/>
        </w:rPr>
        <w:t xml:space="preserve"> </w:t>
      </w:r>
      <w:r w:rsidR="00AA3376" w:rsidRPr="0049650D">
        <w:rPr>
          <w:bCs/>
          <w:iCs/>
          <w:szCs w:val="24"/>
        </w:rPr>
        <w:t xml:space="preserve">repeals section 56 of Schedule 1 </w:t>
      </w:r>
      <w:r w:rsidR="001707A1" w:rsidRPr="0049650D">
        <w:rPr>
          <w:bCs/>
          <w:iCs/>
          <w:szCs w:val="24"/>
        </w:rPr>
        <w:t xml:space="preserve">and </w:t>
      </w:r>
      <w:r w:rsidR="00E10E1A" w:rsidRPr="0049650D">
        <w:rPr>
          <w:bCs/>
          <w:iCs/>
          <w:szCs w:val="24"/>
        </w:rPr>
        <w:t>insert</w:t>
      </w:r>
      <w:r w:rsidR="001707A1" w:rsidRPr="0049650D">
        <w:rPr>
          <w:bCs/>
          <w:iCs/>
          <w:szCs w:val="24"/>
        </w:rPr>
        <w:t>s</w:t>
      </w:r>
      <w:r w:rsidR="006D352D" w:rsidRPr="0049650D">
        <w:rPr>
          <w:bCs/>
          <w:iCs/>
          <w:szCs w:val="24"/>
        </w:rPr>
        <w:t xml:space="preserve"> </w:t>
      </w:r>
      <w:r w:rsidR="006B7E63" w:rsidRPr="0049650D">
        <w:rPr>
          <w:bCs/>
          <w:iCs/>
          <w:szCs w:val="24"/>
        </w:rPr>
        <w:t>new</w:t>
      </w:r>
      <w:r w:rsidR="00E10E1A" w:rsidRPr="0049650D">
        <w:rPr>
          <w:bCs/>
          <w:iCs/>
          <w:szCs w:val="24"/>
        </w:rPr>
        <w:t xml:space="preserve"> section</w:t>
      </w:r>
      <w:r w:rsidR="001707A1" w:rsidRPr="0049650D">
        <w:rPr>
          <w:bCs/>
          <w:iCs/>
          <w:szCs w:val="24"/>
        </w:rPr>
        <w:t>s 56 and</w:t>
      </w:r>
      <w:r w:rsidR="00E10E1A" w:rsidRPr="0049650D">
        <w:rPr>
          <w:bCs/>
          <w:iCs/>
          <w:szCs w:val="24"/>
        </w:rPr>
        <w:t xml:space="preserve"> 56A</w:t>
      </w:r>
      <w:r w:rsidR="001707A1" w:rsidRPr="0049650D">
        <w:rPr>
          <w:bCs/>
          <w:iCs/>
          <w:szCs w:val="24"/>
        </w:rPr>
        <w:t xml:space="preserve">, the effect of which is to separate </w:t>
      </w:r>
      <w:r w:rsidR="00192AEE" w:rsidRPr="0049650D">
        <w:rPr>
          <w:bCs/>
          <w:iCs/>
          <w:szCs w:val="24"/>
        </w:rPr>
        <w:t>the</w:t>
      </w:r>
      <w:r w:rsidR="001707A1" w:rsidRPr="0049650D">
        <w:rPr>
          <w:bCs/>
          <w:iCs/>
          <w:szCs w:val="24"/>
        </w:rPr>
        <w:t xml:space="preserve"> single production variable for wastewater handling into two distinct production variables</w:t>
      </w:r>
      <w:r w:rsidR="00192AEE" w:rsidRPr="0049650D">
        <w:rPr>
          <w:bCs/>
          <w:iCs/>
          <w:szCs w:val="24"/>
        </w:rPr>
        <w:t xml:space="preserve">; </w:t>
      </w:r>
      <w:r w:rsidR="00507E86" w:rsidRPr="0049650D">
        <w:rPr>
          <w:bCs/>
          <w:iCs/>
          <w:szCs w:val="24"/>
        </w:rPr>
        <w:t>chemical oxygen demand (</w:t>
      </w:r>
      <w:r w:rsidR="00EE20E0" w:rsidRPr="0049650D">
        <w:rPr>
          <w:bCs/>
          <w:iCs/>
          <w:szCs w:val="24"/>
        </w:rPr>
        <w:t>COD</w:t>
      </w:r>
      <w:r w:rsidR="00507E86" w:rsidRPr="0049650D">
        <w:rPr>
          <w:bCs/>
          <w:iCs/>
          <w:szCs w:val="24"/>
        </w:rPr>
        <w:t>)</w:t>
      </w:r>
      <w:r w:rsidR="00EE20E0" w:rsidRPr="0049650D">
        <w:rPr>
          <w:bCs/>
          <w:iCs/>
          <w:szCs w:val="24"/>
        </w:rPr>
        <w:t xml:space="preserve"> removed from wastewater (domestic and commercial) and </w:t>
      </w:r>
      <w:r w:rsidR="003F0E47" w:rsidRPr="0049650D">
        <w:rPr>
          <w:bCs/>
          <w:iCs/>
          <w:szCs w:val="24"/>
        </w:rPr>
        <w:t>section 56A provides for a distinct production variable for</w:t>
      </w:r>
      <w:r w:rsidR="00EE20E0" w:rsidRPr="0049650D">
        <w:rPr>
          <w:bCs/>
          <w:iCs/>
          <w:szCs w:val="24"/>
        </w:rPr>
        <w:t xml:space="preserve"> </w:t>
      </w:r>
      <w:r w:rsidR="00C5168E" w:rsidRPr="0049650D">
        <w:rPr>
          <w:bCs/>
          <w:iCs/>
          <w:szCs w:val="24"/>
        </w:rPr>
        <w:t>n</w:t>
      </w:r>
      <w:r w:rsidR="00793D42" w:rsidRPr="0049650D">
        <w:rPr>
          <w:bCs/>
          <w:iCs/>
          <w:szCs w:val="24"/>
        </w:rPr>
        <w:t>itrogen removed from wastewater (domestic and commercial).</w:t>
      </w:r>
      <w:r w:rsidR="00C44900" w:rsidRPr="0049650D">
        <w:rPr>
          <w:bCs/>
          <w:iCs/>
          <w:szCs w:val="24"/>
        </w:rPr>
        <w:t xml:space="preserve"> </w:t>
      </w:r>
      <w:r w:rsidR="001707A1" w:rsidRPr="0049650D">
        <w:rPr>
          <w:bCs/>
          <w:iCs/>
          <w:szCs w:val="24"/>
        </w:rPr>
        <w:t>O</w:t>
      </w:r>
      <w:r w:rsidR="00C5168E" w:rsidRPr="0049650D">
        <w:rPr>
          <w:bCs/>
          <w:iCs/>
          <w:szCs w:val="24"/>
        </w:rPr>
        <w:t xml:space="preserve">ther than separating </w:t>
      </w:r>
      <w:r w:rsidR="001707A1" w:rsidRPr="0049650D">
        <w:rPr>
          <w:bCs/>
          <w:iCs/>
          <w:szCs w:val="24"/>
        </w:rPr>
        <w:t>the two production variables</w:t>
      </w:r>
      <w:r w:rsidR="00C5168E" w:rsidRPr="0049650D">
        <w:rPr>
          <w:bCs/>
          <w:iCs/>
          <w:szCs w:val="24"/>
        </w:rPr>
        <w:t xml:space="preserve">, there is no change to the definitions. </w:t>
      </w:r>
    </w:p>
    <w:p w14:paraId="20782FD4" w14:textId="45366DFB" w:rsidR="00373C3B" w:rsidRPr="0049650D" w:rsidRDefault="00373C3B" w:rsidP="00BF7ED6">
      <w:pPr>
        <w:rPr>
          <w:bCs/>
          <w:iCs/>
          <w:szCs w:val="24"/>
        </w:rPr>
      </w:pPr>
      <w:r w:rsidRPr="0049650D">
        <w:rPr>
          <w:bCs/>
          <w:iCs/>
          <w:szCs w:val="24"/>
        </w:rPr>
        <w:t xml:space="preserve">The two new production variables retain their existing default emissions intensities of </w:t>
      </w:r>
      <w:r w:rsidR="00504A4F" w:rsidRPr="0049650D">
        <w:t>0.513 t CO</w:t>
      </w:r>
      <w:r w:rsidR="00504A4F" w:rsidRPr="0049650D">
        <w:rPr>
          <w:vertAlign w:val="subscript"/>
        </w:rPr>
        <w:t>2</w:t>
      </w:r>
      <w:r w:rsidR="00504A4F" w:rsidRPr="0049650D">
        <w:t xml:space="preserve">-e per tonne of COD removed and </w:t>
      </w:r>
      <w:r w:rsidR="00192CAB" w:rsidRPr="0049650D">
        <w:t>4.48 t CO</w:t>
      </w:r>
      <w:r w:rsidR="00192CAB" w:rsidRPr="0049650D">
        <w:rPr>
          <w:vertAlign w:val="subscript"/>
        </w:rPr>
        <w:t>2</w:t>
      </w:r>
      <w:r w:rsidR="00192CAB" w:rsidRPr="0049650D">
        <w:t>-e per tonne of nitrogen removed.</w:t>
      </w:r>
    </w:p>
    <w:p w14:paraId="57BFACF1" w14:textId="34D7582B" w:rsidR="00793D42" w:rsidRPr="0049650D" w:rsidRDefault="00C5168E" w:rsidP="00BF7ED6">
      <w:pPr>
        <w:rPr>
          <w:bCs/>
          <w:iCs/>
          <w:szCs w:val="24"/>
        </w:rPr>
      </w:pPr>
      <w:r w:rsidRPr="0049650D">
        <w:rPr>
          <w:szCs w:val="24"/>
        </w:rPr>
        <w:t xml:space="preserve">Separating the production variables is </w:t>
      </w:r>
      <w:r w:rsidR="00C44900" w:rsidRPr="0049650D">
        <w:rPr>
          <w:szCs w:val="24"/>
        </w:rPr>
        <w:t xml:space="preserve">intended to </w:t>
      </w:r>
      <w:r w:rsidR="001707A1" w:rsidRPr="0049650D">
        <w:rPr>
          <w:szCs w:val="24"/>
        </w:rPr>
        <w:t xml:space="preserve">better </w:t>
      </w:r>
      <w:r w:rsidR="00C44900" w:rsidRPr="0049650D">
        <w:rPr>
          <w:szCs w:val="24"/>
        </w:rPr>
        <w:t>enable the calculation of baselines under the Safeguard Mechanism.</w:t>
      </w:r>
    </w:p>
    <w:p w14:paraId="7F5841F6" w14:textId="56631404" w:rsidR="00376340" w:rsidRPr="0049650D" w:rsidRDefault="00376340" w:rsidP="00BF7ED6">
      <w:pPr>
        <w:rPr>
          <w:bCs/>
          <w:iCs/>
          <w:szCs w:val="24"/>
          <w:u w:val="single"/>
        </w:rPr>
      </w:pPr>
      <w:r w:rsidRPr="0049650D">
        <w:rPr>
          <w:bCs/>
          <w:iCs/>
          <w:szCs w:val="24"/>
          <w:u w:val="single"/>
        </w:rPr>
        <w:t>Item 1</w:t>
      </w:r>
      <w:r w:rsidR="00504340" w:rsidRPr="0049650D">
        <w:rPr>
          <w:bCs/>
          <w:iCs/>
          <w:szCs w:val="24"/>
          <w:u w:val="single"/>
        </w:rPr>
        <w:t>8</w:t>
      </w:r>
      <w:r w:rsidRPr="0049650D">
        <w:rPr>
          <w:bCs/>
          <w:iCs/>
          <w:szCs w:val="24"/>
          <w:u w:val="single"/>
        </w:rPr>
        <w:t xml:space="preserve"> </w:t>
      </w:r>
    </w:p>
    <w:p w14:paraId="6835BAB1" w14:textId="159E3EC8" w:rsidR="004E08F1" w:rsidRPr="0049650D" w:rsidRDefault="00793D42" w:rsidP="00BF7ED6">
      <w:pPr>
        <w:rPr>
          <w:bCs/>
          <w:iCs/>
          <w:szCs w:val="24"/>
        </w:rPr>
      </w:pPr>
      <w:r w:rsidRPr="0049650D">
        <w:rPr>
          <w:bCs/>
          <w:iCs/>
          <w:szCs w:val="24"/>
        </w:rPr>
        <w:t>Item 1</w:t>
      </w:r>
      <w:r w:rsidR="00504340" w:rsidRPr="0049650D">
        <w:rPr>
          <w:bCs/>
          <w:iCs/>
          <w:szCs w:val="24"/>
        </w:rPr>
        <w:t>8</w:t>
      </w:r>
      <w:r w:rsidRPr="0049650D">
        <w:rPr>
          <w:bCs/>
          <w:iCs/>
          <w:szCs w:val="24"/>
        </w:rPr>
        <w:t xml:space="preserve"> </w:t>
      </w:r>
      <w:r w:rsidR="003D0BDD" w:rsidRPr="0049650D">
        <w:rPr>
          <w:bCs/>
          <w:iCs/>
          <w:szCs w:val="24"/>
        </w:rPr>
        <w:t xml:space="preserve">repeals </w:t>
      </w:r>
      <w:r w:rsidR="008B37F5" w:rsidRPr="0049650D">
        <w:rPr>
          <w:bCs/>
          <w:iCs/>
          <w:szCs w:val="24"/>
        </w:rPr>
        <w:t>section 61 of Schedule 1</w:t>
      </w:r>
      <w:r w:rsidR="00747435" w:rsidRPr="0049650D">
        <w:rPr>
          <w:bCs/>
          <w:iCs/>
          <w:szCs w:val="24"/>
        </w:rPr>
        <w:t xml:space="preserve">, being </w:t>
      </w:r>
      <w:r w:rsidR="00B82F5D" w:rsidRPr="0049650D">
        <w:rPr>
          <w:bCs/>
          <w:iCs/>
          <w:szCs w:val="24"/>
        </w:rPr>
        <w:t xml:space="preserve">the previous production variable for </w:t>
      </w:r>
      <w:r w:rsidR="00702F5E" w:rsidRPr="0049650D">
        <w:rPr>
          <w:bCs/>
          <w:i/>
          <w:szCs w:val="24"/>
        </w:rPr>
        <w:t>w</w:t>
      </w:r>
      <w:r w:rsidR="00B82F5D" w:rsidRPr="0049650D">
        <w:rPr>
          <w:bCs/>
          <w:i/>
          <w:szCs w:val="24"/>
        </w:rPr>
        <w:t xml:space="preserve">ork of compression applied to natural gas or plant </w:t>
      </w:r>
      <w:r w:rsidR="001E442B" w:rsidRPr="0049650D">
        <w:rPr>
          <w:bCs/>
          <w:i/>
          <w:szCs w:val="24"/>
        </w:rPr>
        <w:t>condensate</w:t>
      </w:r>
      <w:r w:rsidR="001E442B" w:rsidRPr="0049650D">
        <w:rPr>
          <w:bCs/>
          <w:iCs/>
          <w:szCs w:val="24"/>
        </w:rPr>
        <w:t xml:space="preserve"> and</w:t>
      </w:r>
      <w:r w:rsidR="00B82F5D" w:rsidRPr="0049650D">
        <w:rPr>
          <w:bCs/>
          <w:iCs/>
          <w:szCs w:val="24"/>
        </w:rPr>
        <w:t xml:space="preserve"> replaces it with</w:t>
      </w:r>
      <w:r w:rsidR="00071ACB" w:rsidRPr="0049650D">
        <w:rPr>
          <w:bCs/>
          <w:iCs/>
          <w:szCs w:val="24"/>
        </w:rPr>
        <w:t xml:space="preserve"> a</w:t>
      </w:r>
      <w:r w:rsidR="00916460" w:rsidRPr="0049650D">
        <w:rPr>
          <w:bCs/>
          <w:iCs/>
          <w:szCs w:val="24"/>
        </w:rPr>
        <w:t xml:space="preserve"> new production variable </w:t>
      </w:r>
      <w:r w:rsidR="00B3237F" w:rsidRPr="0049650D">
        <w:rPr>
          <w:bCs/>
          <w:iCs/>
          <w:szCs w:val="24"/>
        </w:rPr>
        <w:t xml:space="preserve">for natural gas </w:t>
      </w:r>
      <w:r w:rsidR="00341A96" w:rsidRPr="0049650D">
        <w:rPr>
          <w:bCs/>
          <w:iCs/>
          <w:szCs w:val="24"/>
        </w:rPr>
        <w:t>transmission</w:t>
      </w:r>
      <w:r w:rsidR="00B82F5D" w:rsidRPr="0049650D">
        <w:rPr>
          <w:bCs/>
          <w:iCs/>
          <w:szCs w:val="24"/>
        </w:rPr>
        <w:t>,</w:t>
      </w:r>
      <w:r w:rsidR="00B3237F" w:rsidRPr="0049650D">
        <w:rPr>
          <w:bCs/>
          <w:iCs/>
          <w:szCs w:val="24"/>
        </w:rPr>
        <w:t xml:space="preserve"> </w:t>
      </w:r>
      <w:r w:rsidR="00916460" w:rsidRPr="0049650D">
        <w:rPr>
          <w:bCs/>
          <w:iCs/>
          <w:szCs w:val="24"/>
        </w:rPr>
        <w:t xml:space="preserve">with a new corresponding </w:t>
      </w:r>
      <w:r w:rsidR="004E08F1" w:rsidRPr="0049650D">
        <w:rPr>
          <w:bCs/>
          <w:iCs/>
          <w:szCs w:val="24"/>
        </w:rPr>
        <w:t xml:space="preserve">default </w:t>
      </w:r>
      <w:r w:rsidR="00916460" w:rsidRPr="0049650D">
        <w:rPr>
          <w:bCs/>
          <w:iCs/>
          <w:szCs w:val="24"/>
        </w:rPr>
        <w:t xml:space="preserve">emissions intensity value. </w:t>
      </w:r>
    </w:p>
    <w:p w14:paraId="4A447F0D" w14:textId="0048140C" w:rsidR="00376340" w:rsidRPr="0049650D" w:rsidRDefault="00C44900" w:rsidP="00BF7ED6">
      <w:pPr>
        <w:rPr>
          <w:szCs w:val="24"/>
        </w:rPr>
      </w:pPr>
      <w:r w:rsidRPr="0049650D">
        <w:rPr>
          <w:szCs w:val="24"/>
        </w:rPr>
        <w:t xml:space="preserve">The natural gas throughput production variable is gigajoules of natural gas received by the facility (a transmission pipeline) carrying out the natural gas transmission activity. </w:t>
      </w:r>
      <w:r w:rsidR="00C518B4" w:rsidRPr="0049650D">
        <w:rPr>
          <w:szCs w:val="24"/>
        </w:rPr>
        <w:t>The new production variable replaces the work of compression production variable</w:t>
      </w:r>
      <w:r w:rsidR="009B7235" w:rsidRPr="0049650D">
        <w:rPr>
          <w:szCs w:val="24"/>
        </w:rPr>
        <w:t xml:space="preserve"> and its associated default emissions intensity</w:t>
      </w:r>
      <w:r w:rsidR="00C518B4" w:rsidRPr="0049650D">
        <w:rPr>
          <w:szCs w:val="24"/>
        </w:rPr>
        <w:t xml:space="preserve">. </w:t>
      </w:r>
    </w:p>
    <w:p w14:paraId="0454FA6A" w14:textId="2CCDA19A" w:rsidR="00561FF3" w:rsidRPr="0049650D" w:rsidRDefault="00C44900" w:rsidP="00BF7ED6">
      <w:pPr>
        <w:rPr>
          <w:szCs w:val="24"/>
        </w:rPr>
      </w:pPr>
      <w:r w:rsidRPr="0049650D">
        <w:rPr>
          <w:szCs w:val="24"/>
        </w:rPr>
        <w:t xml:space="preserve">The default emissions intensity value </w:t>
      </w:r>
      <w:r w:rsidR="001B5460" w:rsidRPr="0049650D">
        <w:rPr>
          <w:szCs w:val="24"/>
        </w:rPr>
        <w:t xml:space="preserve">of </w:t>
      </w:r>
      <w:r w:rsidR="004E7AB1" w:rsidRPr="0049650D">
        <w:t>0.000518 t CO</w:t>
      </w:r>
      <w:r w:rsidR="004E7AB1" w:rsidRPr="0049650D">
        <w:rPr>
          <w:vertAlign w:val="subscript"/>
        </w:rPr>
        <w:t>2</w:t>
      </w:r>
      <w:r w:rsidR="004E7AB1" w:rsidRPr="0049650D">
        <w:t>-e per gigajoule of natural gas</w:t>
      </w:r>
      <w:r w:rsidR="004E7AB1" w:rsidRPr="0049650D">
        <w:rPr>
          <w:szCs w:val="24"/>
        </w:rPr>
        <w:t xml:space="preserve"> </w:t>
      </w:r>
      <w:r w:rsidRPr="0049650D">
        <w:rPr>
          <w:szCs w:val="24"/>
        </w:rPr>
        <w:t>incorporates all emissions from natural gas transmission facilities, apart from fugitive emissions and emissions from on-site electricity generation</w:t>
      </w:r>
      <w:r w:rsidR="00754F31" w:rsidRPr="0049650D">
        <w:rPr>
          <w:szCs w:val="24"/>
        </w:rPr>
        <w:t xml:space="preserve">, which is consistent with the emissions </w:t>
      </w:r>
      <w:r w:rsidR="00E57917" w:rsidRPr="0049650D">
        <w:rPr>
          <w:szCs w:val="24"/>
        </w:rPr>
        <w:t xml:space="preserve">that were </w:t>
      </w:r>
      <w:r w:rsidR="00754F31" w:rsidRPr="0049650D">
        <w:rPr>
          <w:szCs w:val="24"/>
        </w:rPr>
        <w:t xml:space="preserve">incorporated in the </w:t>
      </w:r>
      <w:r w:rsidR="00E57917" w:rsidRPr="0049650D">
        <w:rPr>
          <w:szCs w:val="24"/>
        </w:rPr>
        <w:t>repealed</w:t>
      </w:r>
      <w:r w:rsidR="00754F31" w:rsidRPr="0049650D">
        <w:rPr>
          <w:szCs w:val="24"/>
        </w:rPr>
        <w:t xml:space="preserve"> production</w:t>
      </w:r>
      <w:r w:rsidR="0021418E" w:rsidRPr="0049650D">
        <w:rPr>
          <w:szCs w:val="24"/>
        </w:rPr>
        <w:t xml:space="preserve"> variable.</w:t>
      </w:r>
    </w:p>
    <w:p w14:paraId="680E51F2" w14:textId="3FA0511F" w:rsidR="00376340" w:rsidRPr="0049650D" w:rsidRDefault="00376340" w:rsidP="00BF7ED6">
      <w:pPr>
        <w:rPr>
          <w:bCs/>
          <w:iCs/>
          <w:szCs w:val="24"/>
          <w:u w:val="single"/>
        </w:rPr>
      </w:pPr>
      <w:r w:rsidRPr="0049650D">
        <w:rPr>
          <w:bCs/>
          <w:iCs/>
          <w:szCs w:val="24"/>
          <w:u w:val="single"/>
        </w:rPr>
        <w:t>Item 1</w:t>
      </w:r>
      <w:r w:rsidR="008F6AE2" w:rsidRPr="0049650D">
        <w:rPr>
          <w:bCs/>
          <w:iCs/>
          <w:szCs w:val="24"/>
          <w:u w:val="single"/>
        </w:rPr>
        <w:t>9</w:t>
      </w:r>
      <w:r w:rsidRPr="0049650D">
        <w:rPr>
          <w:bCs/>
          <w:iCs/>
          <w:szCs w:val="24"/>
          <w:u w:val="single"/>
        </w:rPr>
        <w:t xml:space="preserve"> </w:t>
      </w:r>
    </w:p>
    <w:p w14:paraId="6CBAB3E2" w14:textId="02C64AD9" w:rsidR="00916460" w:rsidRPr="0049650D" w:rsidRDefault="00916460" w:rsidP="00BF7ED6">
      <w:pPr>
        <w:rPr>
          <w:bCs/>
          <w:iCs/>
          <w:szCs w:val="24"/>
        </w:rPr>
      </w:pPr>
      <w:r w:rsidRPr="0049650D">
        <w:rPr>
          <w:bCs/>
          <w:iCs/>
          <w:szCs w:val="24"/>
        </w:rPr>
        <w:t>Item 1</w:t>
      </w:r>
      <w:r w:rsidR="008F6AE2" w:rsidRPr="0049650D">
        <w:rPr>
          <w:bCs/>
          <w:iCs/>
          <w:szCs w:val="24"/>
        </w:rPr>
        <w:t>9</w:t>
      </w:r>
      <w:r w:rsidR="008A5B37" w:rsidRPr="0049650D">
        <w:rPr>
          <w:bCs/>
          <w:iCs/>
          <w:szCs w:val="24"/>
        </w:rPr>
        <w:t xml:space="preserve"> inserts </w:t>
      </w:r>
      <w:r w:rsidR="00D94B91" w:rsidRPr="0049650D">
        <w:rPr>
          <w:bCs/>
          <w:iCs/>
          <w:szCs w:val="24"/>
        </w:rPr>
        <w:t xml:space="preserve">a definition for supplementary cementitious material </w:t>
      </w:r>
      <w:r w:rsidR="005E5BEA" w:rsidRPr="0049650D">
        <w:rPr>
          <w:bCs/>
          <w:iCs/>
          <w:szCs w:val="24"/>
        </w:rPr>
        <w:t>in subsection 62(1) of Schedule 1.</w:t>
      </w:r>
      <w:r w:rsidR="00754F31" w:rsidRPr="0049650D">
        <w:rPr>
          <w:bCs/>
          <w:iCs/>
          <w:szCs w:val="24"/>
        </w:rPr>
        <w:t xml:space="preserve"> This definition </w:t>
      </w:r>
      <w:r w:rsidR="00862FCE" w:rsidRPr="0049650D">
        <w:rPr>
          <w:bCs/>
          <w:iCs/>
          <w:szCs w:val="24"/>
        </w:rPr>
        <w:t>is referred to in the amended production variable for the cement sector (see Item 20).</w:t>
      </w:r>
    </w:p>
    <w:p w14:paraId="7551AC4F" w14:textId="03718EE1" w:rsidR="00915DE1" w:rsidRPr="0049650D" w:rsidRDefault="00434585" w:rsidP="00E17444">
      <w:pPr>
        <w:pStyle w:val="Definition0"/>
        <w:ind w:left="0"/>
        <w:rPr>
          <w:bCs/>
          <w:iCs/>
          <w:sz w:val="24"/>
          <w:szCs w:val="24"/>
        </w:rPr>
      </w:pPr>
      <w:r w:rsidRPr="0049650D">
        <w:rPr>
          <w:bCs/>
          <w:iCs/>
          <w:sz w:val="24"/>
          <w:szCs w:val="24"/>
        </w:rPr>
        <w:t xml:space="preserve">The definition </w:t>
      </w:r>
      <w:r w:rsidR="00071E44" w:rsidRPr="0049650D">
        <w:rPr>
          <w:bCs/>
          <w:iCs/>
          <w:sz w:val="24"/>
          <w:szCs w:val="24"/>
        </w:rPr>
        <w:t>refers to the</w:t>
      </w:r>
      <w:r w:rsidR="0040229A" w:rsidRPr="0049650D">
        <w:rPr>
          <w:bCs/>
          <w:iCs/>
          <w:sz w:val="24"/>
          <w:szCs w:val="24"/>
        </w:rPr>
        <w:t xml:space="preserve"> minimum requirements for </w:t>
      </w:r>
      <w:r w:rsidR="002C50D9" w:rsidRPr="0049650D">
        <w:rPr>
          <w:bCs/>
          <w:iCs/>
          <w:sz w:val="24"/>
          <w:szCs w:val="24"/>
        </w:rPr>
        <w:t>cementitious material as</w:t>
      </w:r>
      <w:r w:rsidR="0040229A" w:rsidRPr="0049650D">
        <w:rPr>
          <w:bCs/>
          <w:iCs/>
          <w:sz w:val="24"/>
          <w:szCs w:val="24"/>
        </w:rPr>
        <w:t xml:space="preserve"> set out in any of Australian Standards AS 3582.1:2016, AS 3582.2:2016, AS 3582.3:2016 or AS 3582.4:2022</w:t>
      </w:r>
      <w:r w:rsidR="00CA535B" w:rsidRPr="0049650D">
        <w:rPr>
          <w:bCs/>
          <w:iCs/>
          <w:sz w:val="24"/>
          <w:szCs w:val="24"/>
        </w:rPr>
        <w:t>.</w:t>
      </w:r>
    </w:p>
    <w:p w14:paraId="6EE07979" w14:textId="41B22D93" w:rsidR="00430D00" w:rsidRPr="0049650D" w:rsidRDefault="005E2002" w:rsidP="00E17444">
      <w:pPr>
        <w:pStyle w:val="Definition0"/>
        <w:ind w:left="0"/>
        <w:rPr>
          <w:bCs/>
          <w:iCs/>
          <w:sz w:val="24"/>
          <w:szCs w:val="24"/>
        </w:rPr>
      </w:pPr>
      <w:r w:rsidRPr="0049650D">
        <w:rPr>
          <w:bCs/>
          <w:iCs/>
          <w:sz w:val="24"/>
          <w:szCs w:val="24"/>
        </w:rPr>
        <w:t xml:space="preserve">Australian Standards are </w:t>
      </w:r>
      <w:r w:rsidR="00884ED4" w:rsidRPr="0049650D">
        <w:rPr>
          <w:bCs/>
          <w:iCs/>
          <w:sz w:val="24"/>
          <w:szCs w:val="24"/>
        </w:rPr>
        <w:t>used</w:t>
      </w:r>
      <w:r w:rsidRPr="0049650D">
        <w:rPr>
          <w:bCs/>
          <w:iCs/>
          <w:sz w:val="24"/>
          <w:szCs w:val="24"/>
        </w:rPr>
        <w:t xml:space="preserve"> by cement </w:t>
      </w:r>
      <w:r w:rsidR="00443A3B" w:rsidRPr="0049650D">
        <w:rPr>
          <w:bCs/>
          <w:iCs/>
          <w:sz w:val="24"/>
          <w:szCs w:val="24"/>
        </w:rPr>
        <w:t xml:space="preserve">producers </w:t>
      </w:r>
      <w:r w:rsidR="009529C1" w:rsidRPr="0049650D">
        <w:rPr>
          <w:bCs/>
          <w:iCs/>
          <w:sz w:val="24"/>
          <w:szCs w:val="24"/>
        </w:rPr>
        <w:t>to</w:t>
      </w:r>
      <w:r w:rsidR="00B93DD0" w:rsidRPr="0049650D">
        <w:rPr>
          <w:bCs/>
          <w:iCs/>
          <w:sz w:val="24"/>
          <w:szCs w:val="24"/>
        </w:rPr>
        <w:t xml:space="preserve"> demonstrate conformance</w:t>
      </w:r>
      <w:r w:rsidR="00976F26" w:rsidRPr="0049650D">
        <w:rPr>
          <w:bCs/>
          <w:iCs/>
          <w:sz w:val="24"/>
          <w:szCs w:val="24"/>
        </w:rPr>
        <w:t xml:space="preserve"> </w:t>
      </w:r>
      <w:r w:rsidR="001B0061" w:rsidRPr="0049650D">
        <w:rPr>
          <w:bCs/>
          <w:iCs/>
          <w:sz w:val="24"/>
          <w:szCs w:val="24"/>
        </w:rPr>
        <w:t>with</w:t>
      </w:r>
      <w:r w:rsidR="00976F26" w:rsidRPr="0049650D">
        <w:rPr>
          <w:bCs/>
          <w:iCs/>
          <w:sz w:val="24"/>
          <w:szCs w:val="24"/>
        </w:rPr>
        <w:t xml:space="preserve"> product </w:t>
      </w:r>
      <w:r w:rsidR="000D5C4A" w:rsidRPr="0049650D">
        <w:rPr>
          <w:bCs/>
          <w:iCs/>
          <w:sz w:val="24"/>
          <w:szCs w:val="24"/>
        </w:rPr>
        <w:t>specifications</w:t>
      </w:r>
      <w:r w:rsidR="00B93DD0" w:rsidRPr="0049650D">
        <w:rPr>
          <w:bCs/>
          <w:iCs/>
          <w:sz w:val="24"/>
          <w:szCs w:val="24"/>
        </w:rPr>
        <w:t xml:space="preserve">. In </w:t>
      </w:r>
      <w:r w:rsidR="009529C1" w:rsidRPr="0049650D">
        <w:rPr>
          <w:bCs/>
          <w:iCs/>
          <w:sz w:val="24"/>
          <w:szCs w:val="24"/>
        </w:rPr>
        <w:t>this context</w:t>
      </w:r>
      <w:r w:rsidR="001B0061" w:rsidRPr="0049650D">
        <w:rPr>
          <w:bCs/>
          <w:iCs/>
          <w:sz w:val="24"/>
          <w:szCs w:val="24"/>
        </w:rPr>
        <w:t xml:space="preserve">, </w:t>
      </w:r>
      <w:r w:rsidR="003347E9" w:rsidRPr="0049650D">
        <w:rPr>
          <w:bCs/>
          <w:iCs/>
          <w:sz w:val="24"/>
          <w:szCs w:val="24"/>
        </w:rPr>
        <w:t>the</w:t>
      </w:r>
      <w:r w:rsidR="000D5C4A" w:rsidRPr="0049650D">
        <w:rPr>
          <w:bCs/>
          <w:iCs/>
          <w:sz w:val="24"/>
          <w:szCs w:val="24"/>
        </w:rPr>
        <w:t xml:space="preserve"> AS 3582</w:t>
      </w:r>
      <w:r w:rsidR="007F78AE" w:rsidRPr="0049650D">
        <w:rPr>
          <w:bCs/>
          <w:iCs/>
          <w:sz w:val="24"/>
          <w:szCs w:val="24"/>
        </w:rPr>
        <w:t xml:space="preserve"> standards are</w:t>
      </w:r>
      <w:r w:rsidR="001B0061" w:rsidRPr="0049650D">
        <w:rPr>
          <w:bCs/>
          <w:iCs/>
          <w:sz w:val="24"/>
          <w:szCs w:val="24"/>
        </w:rPr>
        <w:t xml:space="preserve"> </w:t>
      </w:r>
      <w:r w:rsidR="009529C1" w:rsidRPr="0049650D">
        <w:rPr>
          <w:bCs/>
          <w:iCs/>
          <w:sz w:val="24"/>
          <w:szCs w:val="24"/>
        </w:rPr>
        <w:t xml:space="preserve">referred </w:t>
      </w:r>
      <w:r w:rsidR="006A30B6" w:rsidRPr="0049650D">
        <w:rPr>
          <w:bCs/>
          <w:iCs/>
          <w:sz w:val="24"/>
          <w:szCs w:val="24"/>
        </w:rPr>
        <w:t xml:space="preserve">to for </w:t>
      </w:r>
      <w:r w:rsidR="003347E9" w:rsidRPr="0049650D">
        <w:rPr>
          <w:bCs/>
          <w:iCs/>
          <w:sz w:val="24"/>
          <w:szCs w:val="24"/>
        </w:rPr>
        <w:t>compatibility</w:t>
      </w:r>
      <w:r w:rsidR="000D5C4A" w:rsidRPr="0049650D">
        <w:rPr>
          <w:bCs/>
          <w:iCs/>
          <w:sz w:val="24"/>
          <w:szCs w:val="24"/>
        </w:rPr>
        <w:t xml:space="preserve"> </w:t>
      </w:r>
      <w:r w:rsidR="001B0061" w:rsidRPr="0049650D">
        <w:rPr>
          <w:bCs/>
          <w:iCs/>
          <w:sz w:val="24"/>
          <w:szCs w:val="24"/>
        </w:rPr>
        <w:t xml:space="preserve">of the cement product </w:t>
      </w:r>
      <w:r w:rsidR="000D5C4A" w:rsidRPr="0049650D">
        <w:rPr>
          <w:bCs/>
          <w:iCs/>
          <w:sz w:val="24"/>
          <w:szCs w:val="24"/>
        </w:rPr>
        <w:t xml:space="preserve">with </w:t>
      </w:r>
      <w:r w:rsidR="001B2E0D" w:rsidRPr="0049650D">
        <w:rPr>
          <w:bCs/>
          <w:iCs/>
          <w:sz w:val="24"/>
          <w:szCs w:val="24"/>
        </w:rPr>
        <w:t>cementitious cements.</w:t>
      </w:r>
      <w:r w:rsidR="001B0061" w:rsidRPr="0049650D">
        <w:rPr>
          <w:bCs/>
          <w:iCs/>
          <w:sz w:val="24"/>
          <w:szCs w:val="24"/>
        </w:rPr>
        <w:t xml:space="preserve"> </w:t>
      </w:r>
      <w:r w:rsidR="004B7D49" w:rsidRPr="0049650D">
        <w:rPr>
          <w:bCs/>
          <w:iCs/>
          <w:sz w:val="24"/>
          <w:szCs w:val="24"/>
        </w:rPr>
        <w:t>Given this, it is</w:t>
      </w:r>
      <w:r w:rsidR="001B0061" w:rsidRPr="0049650D">
        <w:rPr>
          <w:bCs/>
          <w:iCs/>
          <w:sz w:val="24"/>
          <w:szCs w:val="24"/>
        </w:rPr>
        <w:t xml:space="preserve"> </w:t>
      </w:r>
      <w:r w:rsidR="001B0061" w:rsidRPr="0049650D">
        <w:rPr>
          <w:bCs/>
          <w:iCs/>
          <w:sz w:val="24"/>
          <w:szCs w:val="24"/>
        </w:rPr>
        <w:lastRenderedPageBreak/>
        <w:t>expected that relevant facilities will</w:t>
      </w:r>
      <w:r w:rsidR="006A30B6" w:rsidRPr="0049650D">
        <w:rPr>
          <w:bCs/>
          <w:iCs/>
          <w:sz w:val="24"/>
          <w:szCs w:val="24"/>
        </w:rPr>
        <w:t xml:space="preserve"> likely</w:t>
      </w:r>
      <w:r w:rsidR="001B0061" w:rsidRPr="0049650D">
        <w:rPr>
          <w:bCs/>
          <w:iCs/>
          <w:sz w:val="24"/>
          <w:szCs w:val="24"/>
        </w:rPr>
        <w:t xml:space="preserve"> already have </w:t>
      </w:r>
      <w:r w:rsidR="00FD0EEE" w:rsidRPr="0049650D">
        <w:rPr>
          <w:bCs/>
          <w:iCs/>
          <w:sz w:val="24"/>
          <w:szCs w:val="24"/>
        </w:rPr>
        <w:t xml:space="preserve">access to </w:t>
      </w:r>
      <w:r w:rsidR="001B0061" w:rsidRPr="0049650D">
        <w:rPr>
          <w:bCs/>
          <w:iCs/>
          <w:sz w:val="24"/>
          <w:szCs w:val="24"/>
        </w:rPr>
        <w:t xml:space="preserve">the standards used in the definition. </w:t>
      </w:r>
    </w:p>
    <w:p w14:paraId="5E26CFE8" w14:textId="77777777" w:rsidR="00915DE1" w:rsidRPr="0049650D" w:rsidRDefault="00915DE1" w:rsidP="00CA535B">
      <w:pPr>
        <w:pStyle w:val="notetext"/>
        <w:ind w:left="0" w:firstLine="0"/>
        <w:rPr>
          <w:bCs/>
          <w:iCs/>
          <w:sz w:val="24"/>
          <w:szCs w:val="24"/>
        </w:rPr>
      </w:pPr>
    </w:p>
    <w:p w14:paraId="649C5A99" w14:textId="54C7F7DE" w:rsidR="0014232E" w:rsidRPr="0049650D" w:rsidRDefault="00FD0EEE" w:rsidP="004614F9">
      <w:pPr>
        <w:pStyle w:val="NormalWeb"/>
        <w:shd w:val="clear" w:color="auto" w:fill="FFFFFF"/>
        <w:spacing w:before="0" w:beforeAutospacing="0" w:after="312" w:afterAutospacing="0"/>
        <w:rPr>
          <w:bCs/>
          <w:iCs/>
          <w:color w:val="22222A"/>
        </w:rPr>
      </w:pPr>
      <w:r w:rsidRPr="0049650D">
        <w:rPr>
          <w:bCs/>
          <w:iCs/>
          <w:color w:val="22222A"/>
        </w:rPr>
        <w:t xml:space="preserve">If </w:t>
      </w:r>
      <w:r w:rsidR="00112807" w:rsidRPr="0049650D">
        <w:rPr>
          <w:bCs/>
          <w:iCs/>
          <w:color w:val="22222A"/>
        </w:rPr>
        <w:t xml:space="preserve">access is needed, then </w:t>
      </w:r>
      <w:r w:rsidR="00E17444" w:rsidRPr="0049650D">
        <w:rPr>
          <w:bCs/>
          <w:iCs/>
          <w:color w:val="22222A"/>
        </w:rPr>
        <w:t>Australian s</w:t>
      </w:r>
      <w:r w:rsidR="00603566" w:rsidRPr="0049650D">
        <w:rPr>
          <w:bCs/>
          <w:iCs/>
          <w:color w:val="22222A"/>
        </w:rPr>
        <w:t>tandards</w:t>
      </w:r>
      <w:r w:rsidR="00343EAE" w:rsidRPr="0049650D">
        <w:rPr>
          <w:bCs/>
          <w:iCs/>
          <w:color w:val="22222A"/>
        </w:rPr>
        <w:t xml:space="preserve">, </w:t>
      </w:r>
      <w:r w:rsidR="00603566" w:rsidRPr="0049650D">
        <w:rPr>
          <w:bCs/>
          <w:iCs/>
          <w:color w:val="22222A"/>
        </w:rPr>
        <w:t>can be purchased online</w:t>
      </w:r>
      <w:r w:rsidR="00343EAE" w:rsidRPr="0049650D">
        <w:rPr>
          <w:bCs/>
          <w:iCs/>
          <w:color w:val="22222A"/>
        </w:rPr>
        <w:t xml:space="preserve"> </w:t>
      </w:r>
      <w:r w:rsidR="00603566" w:rsidRPr="0049650D">
        <w:rPr>
          <w:bCs/>
          <w:iCs/>
          <w:color w:val="22222A"/>
        </w:rPr>
        <w:t xml:space="preserve">from </w:t>
      </w:r>
      <w:hyperlink r:id="rId12" w:history="1">
        <w:r w:rsidR="00193A30" w:rsidRPr="0049650D">
          <w:rPr>
            <w:rStyle w:val="Hyperlink"/>
            <w:bCs/>
            <w:iCs/>
            <w:shd w:val="clear" w:color="auto" w:fill="FFFFFF"/>
          </w:rPr>
          <w:t>www.store.standards.org.au</w:t>
        </w:r>
      </w:hyperlink>
      <w:r w:rsidR="00193A30" w:rsidRPr="0049650D">
        <w:rPr>
          <w:bCs/>
          <w:iCs/>
          <w:color w:val="22222A"/>
        </w:rPr>
        <w:t xml:space="preserve"> and </w:t>
      </w:r>
      <w:hyperlink r:id="rId13" w:history="1">
        <w:r w:rsidR="00193A30" w:rsidRPr="0049650D">
          <w:rPr>
            <w:rStyle w:val="Hyperlink"/>
            <w:bCs/>
            <w:iCs/>
            <w:shd w:val="clear" w:color="auto" w:fill="FFFFFF"/>
          </w:rPr>
          <w:t>www.infostore.saiglobal.com</w:t>
        </w:r>
      </w:hyperlink>
      <w:r w:rsidR="00193A30" w:rsidRPr="0049650D">
        <w:rPr>
          <w:bCs/>
          <w:iCs/>
          <w:color w:val="222222"/>
          <w:shd w:val="clear" w:color="auto" w:fill="FFFFFF"/>
        </w:rPr>
        <w:t xml:space="preserve">. </w:t>
      </w:r>
      <w:r w:rsidR="00572CB7" w:rsidRPr="0049650D">
        <w:rPr>
          <w:bCs/>
          <w:iCs/>
          <w:color w:val="222222"/>
          <w:shd w:val="clear" w:color="auto" w:fill="FFFFFF"/>
        </w:rPr>
        <w:t xml:space="preserve">In August 2023, </w:t>
      </w:r>
      <w:r w:rsidR="00E17444" w:rsidRPr="0049650D">
        <w:rPr>
          <w:bCs/>
          <w:iCs/>
          <w:color w:val="222222"/>
          <w:shd w:val="clear" w:color="auto" w:fill="FFFFFF"/>
        </w:rPr>
        <w:t xml:space="preserve">each of the </w:t>
      </w:r>
      <w:r w:rsidR="001D1523" w:rsidRPr="0049650D">
        <w:rPr>
          <w:bCs/>
          <w:iCs/>
          <w:color w:val="222222"/>
          <w:shd w:val="clear" w:color="auto" w:fill="FFFFFF"/>
        </w:rPr>
        <w:t>AS 3582 editions</w:t>
      </w:r>
      <w:r w:rsidR="00E17444" w:rsidRPr="0049650D">
        <w:rPr>
          <w:bCs/>
          <w:iCs/>
          <w:color w:val="222222"/>
          <w:shd w:val="clear" w:color="auto" w:fill="FFFFFF"/>
        </w:rPr>
        <w:t xml:space="preserve"> referred to in the definition </w:t>
      </w:r>
      <w:r w:rsidR="00572CB7" w:rsidRPr="0049650D">
        <w:rPr>
          <w:bCs/>
          <w:iCs/>
          <w:color w:val="222222"/>
          <w:shd w:val="clear" w:color="auto" w:fill="FFFFFF"/>
        </w:rPr>
        <w:t>can be purchased for between $71.17-$106.33 (hardcopy) or $69.53-$95.89 (</w:t>
      </w:r>
      <w:r w:rsidR="00BF268F" w:rsidRPr="0049650D">
        <w:rPr>
          <w:bCs/>
          <w:iCs/>
          <w:color w:val="222222"/>
          <w:shd w:val="clear" w:color="auto" w:fill="FFFFFF"/>
        </w:rPr>
        <w:t xml:space="preserve">PDF </w:t>
      </w:r>
      <w:r w:rsidR="00572CB7" w:rsidRPr="0049650D">
        <w:rPr>
          <w:bCs/>
          <w:iCs/>
          <w:color w:val="222222"/>
          <w:shd w:val="clear" w:color="auto" w:fill="FFFFFF"/>
        </w:rPr>
        <w:t>or web reader), with the price varying if the publication date is 2016 or 2022.</w:t>
      </w:r>
      <w:r w:rsidR="00E17444" w:rsidRPr="0049650D">
        <w:rPr>
          <w:bCs/>
          <w:iCs/>
          <w:color w:val="22222A"/>
        </w:rPr>
        <w:t xml:space="preserve"> There may</w:t>
      </w:r>
      <w:r w:rsidR="00C01883" w:rsidRPr="0049650D">
        <w:rPr>
          <w:bCs/>
          <w:iCs/>
          <w:color w:val="22222A"/>
        </w:rPr>
        <w:t xml:space="preserve"> also</w:t>
      </w:r>
      <w:r w:rsidR="00E17444" w:rsidRPr="0049650D">
        <w:rPr>
          <w:bCs/>
          <w:iCs/>
          <w:color w:val="22222A"/>
        </w:rPr>
        <w:t xml:space="preserve"> be free public access to standards in public libraries that maintain a subscription to Australian Standard</w:t>
      </w:r>
      <w:r w:rsidR="004614F9" w:rsidRPr="0049650D">
        <w:rPr>
          <w:bCs/>
          <w:iCs/>
          <w:color w:val="22222A"/>
        </w:rPr>
        <w:t>s.</w:t>
      </w:r>
    </w:p>
    <w:p w14:paraId="24CB4B44" w14:textId="65BA6B9F" w:rsidR="00376340" w:rsidRPr="0049650D" w:rsidRDefault="00376340" w:rsidP="00BF7ED6">
      <w:pPr>
        <w:rPr>
          <w:szCs w:val="24"/>
          <w:u w:val="single"/>
        </w:rPr>
      </w:pPr>
      <w:r w:rsidRPr="0049650D">
        <w:rPr>
          <w:szCs w:val="24"/>
          <w:u w:val="single"/>
        </w:rPr>
        <w:t xml:space="preserve">Item </w:t>
      </w:r>
      <w:r w:rsidR="008F6AE2" w:rsidRPr="0049650D">
        <w:rPr>
          <w:szCs w:val="24"/>
          <w:u w:val="single"/>
        </w:rPr>
        <w:t>20</w:t>
      </w:r>
      <w:r w:rsidRPr="0049650D">
        <w:rPr>
          <w:szCs w:val="24"/>
          <w:u w:val="single"/>
        </w:rPr>
        <w:t xml:space="preserve"> </w:t>
      </w:r>
    </w:p>
    <w:p w14:paraId="77534197" w14:textId="53B89EA3" w:rsidR="00681D37" w:rsidRPr="0049650D" w:rsidRDefault="005E5BEA" w:rsidP="00BF7ED6">
      <w:r w:rsidRPr="0049650D">
        <w:rPr>
          <w:szCs w:val="24"/>
        </w:rPr>
        <w:t xml:space="preserve">Item </w:t>
      </w:r>
      <w:r w:rsidR="008F6AE2" w:rsidRPr="0049650D">
        <w:rPr>
          <w:szCs w:val="24"/>
        </w:rPr>
        <w:t>20</w:t>
      </w:r>
      <w:r w:rsidR="00FB78BB" w:rsidRPr="0049650D">
        <w:rPr>
          <w:szCs w:val="24"/>
        </w:rPr>
        <w:t xml:space="preserve"> repeals and replaces </w:t>
      </w:r>
      <w:r w:rsidR="0038260A" w:rsidRPr="0049650D">
        <w:rPr>
          <w:szCs w:val="24"/>
        </w:rPr>
        <w:t>section 64 of Schedule 1</w:t>
      </w:r>
      <w:r w:rsidR="008E42BB" w:rsidRPr="0049650D">
        <w:rPr>
          <w:szCs w:val="24"/>
        </w:rPr>
        <w:t xml:space="preserve">, </w:t>
      </w:r>
      <w:r w:rsidR="00370BB1" w:rsidRPr="0049650D">
        <w:rPr>
          <w:szCs w:val="24"/>
        </w:rPr>
        <w:t>which changes</w:t>
      </w:r>
      <w:r w:rsidR="00681D37" w:rsidRPr="0049650D">
        <w:t xml:space="preserve"> the</w:t>
      </w:r>
      <w:r w:rsidR="00BF4715" w:rsidRPr="0049650D">
        <w:t xml:space="preserve"> </w:t>
      </w:r>
      <w:r w:rsidR="00681D37" w:rsidRPr="0049650D">
        <w:t xml:space="preserve">title of the production variable from ‘cement produced from clinker at a facility’ to ‘cement produced from clinker and supplementary cementitious material’. </w:t>
      </w:r>
    </w:p>
    <w:p w14:paraId="5008246F" w14:textId="7FE7381B" w:rsidR="00681D37" w:rsidRPr="0049650D" w:rsidRDefault="008E42BB" w:rsidP="00BF7ED6">
      <w:r w:rsidRPr="0049650D">
        <w:t>P</w:t>
      </w:r>
      <w:r w:rsidR="001716A3" w:rsidRPr="0049650D">
        <w:t>aragraph</w:t>
      </w:r>
      <w:r w:rsidR="00AC6AC2" w:rsidRPr="0049650D">
        <w:t xml:space="preserve"> 64</w:t>
      </w:r>
      <w:r w:rsidRPr="0049650D">
        <w:t>(1)(b)</w:t>
      </w:r>
      <w:r w:rsidR="00681D37" w:rsidRPr="0049650D">
        <w:t xml:space="preserve"> allow SCMs to be counted as part of the quantity of this production variable, along with cement, so long as the SCMs are supplied by a ‘related entity’ and added to cement meeting the requirements in paragraph 64(1)(a) of the Rule.</w:t>
      </w:r>
    </w:p>
    <w:p w14:paraId="636A836C" w14:textId="0D113975" w:rsidR="00681D37" w:rsidRPr="0049650D" w:rsidRDefault="00370BB1" w:rsidP="00BF7ED6">
      <w:r w:rsidRPr="0049650D">
        <w:t>Subsection 64(2)</w:t>
      </w:r>
      <w:r w:rsidR="00681D37" w:rsidRPr="0049650D">
        <w:t xml:space="preserve"> provides for the term ‘related entity’ to mean any of the following:</w:t>
      </w:r>
    </w:p>
    <w:p w14:paraId="0840C2EB" w14:textId="77777777" w:rsidR="00681D37" w:rsidRPr="0049650D" w:rsidRDefault="00681D37" w:rsidP="007051A9">
      <w:pPr>
        <w:pStyle w:val="ListParagraph"/>
        <w:numPr>
          <w:ilvl w:val="0"/>
          <w:numId w:val="9"/>
        </w:numPr>
        <w:spacing w:line="256" w:lineRule="auto"/>
        <w:contextualSpacing w:val="0"/>
      </w:pPr>
      <w:r w:rsidRPr="0049650D">
        <w:t>the responsible emitter</w:t>
      </w:r>
    </w:p>
    <w:p w14:paraId="37826E70" w14:textId="77777777" w:rsidR="00681D37" w:rsidRPr="0049650D" w:rsidRDefault="00681D37" w:rsidP="007051A9">
      <w:pPr>
        <w:pStyle w:val="ListParagraph"/>
        <w:numPr>
          <w:ilvl w:val="0"/>
          <w:numId w:val="9"/>
        </w:numPr>
        <w:spacing w:line="256" w:lineRule="auto"/>
        <w:contextualSpacing w:val="0"/>
      </w:pPr>
      <w:r w:rsidRPr="0049650D">
        <w:t>any entity within the same corporate group as the responsible emitter</w:t>
      </w:r>
    </w:p>
    <w:p w14:paraId="21D399F4" w14:textId="77777777" w:rsidR="00681D37" w:rsidRPr="0049650D" w:rsidRDefault="00681D37" w:rsidP="007051A9">
      <w:pPr>
        <w:pStyle w:val="ListParagraph"/>
        <w:numPr>
          <w:ilvl w:val="0"/>
          <w:numId w:val="9"/>
        </w:numPr>
        <w:spacing w:line="256" w:lineRule="auto"/>
        <w:contextualSpacing w:val="0"/>
      </w:pPr>
      <w:r w:rsidRPr="0049650D">
        <w:t>any entity with the same chief executive officer, and which has the same operational, health and safety, and environmental policies, as the responsible emitter</w:t>
      </w:r>
    </w:p>
    <w:p w14:paraId="4DC5E242" w14:textId="77777777" w:rsidR="00681D37" w:rsidRPr="0049650D" w:rsidRDefault="00681D37" w:rsidP="007051A9">
      <w:pPr>
        <w:pStyle w:val="ListParagraph"/>
        <w:numPr>
          <w:ilvl w:val="0"/>
          <w:numId w:val="9"/>
        </w:numPr>
        <w:spacing w:line="256" w:lineRule="auto"/>
        <w:contextualSpacing w:val="0"/>
      </w:pPr>
      <w:r w:rsidRPr="0049650D">
        <w:t>any joint venture entity that the responsible emitter, or a member of their corporate group, has at least a 50% shareholding.</w:t>
      </w:r>
    </w:p>
    <w:p w14:paraId="3B85D5CB" w14:textId="7DDC358C" w:rsidR="00681D37" w:rsidRPr="0049650D" w:rsidRDefault="00370BB1" w:rsidP="00BF7ED6">
      <w:r w:rsidRPr="0049650D">
        <w:t>Subsection 64(3)</w:t>
      </w:r>
      <w:r w:rsidR="00681D37" w:rsidRPr="0049650D">
        <w:t xml:space="preserve"> requires the following additional information to be included when reporting each year on the calculation of this production variable quantity under paragraph 4.23C(2)(b) of the </w:t>
      </w:r>
      <w:r w:rsidR="00681D37" w:rsidRPr="0049650D">
        <w:rPr>
          <w:i/>
          <w:iCs/>
        </w:rPr>
        <w:t>National Greenhouse and Energy Reporting Regulations 2008</w:t>
      </w:r>
      <w:r w:rsidR="00681D37" w:rsidRPr="0049650D">
        <w:t xml:space="preserve"> (NGER Regulations):</w:t>
      </w:r>
    </w:p>
    <w:p w14:paraId="1867A218" w14:textId="77777777" w:rsidR="00681D37" w:rsidRPr="0049650D" w:rsidRDefault="00681D37" w:rsidP="007051A9">
      <w:pPr>
        <w:pStyle w:val="ListParagraph"/>
        <w:numPr>
          <w:ilvl w:val="0"/>
          <w:numId w:val="9"/>
        </w:numPr>
        <w:spacing w:line="256" w:lineRule="auto"/>
        <w:contextualSpacing w:val="0"/>
      </w:pPr>
      <w:r w:rsidRPr="0049650D">
        <w:t xml:space="preserve">the amount of SCMs reported each year </w:t>
      </w:r>
    </w:p>
    <w:p w14:paraId="5AC221EC" w14:textId="77777777" w:rsidR="00681D37" w:rsidRPr="0049650D" w:rsidRDefault="00681D37" w:rsidP="007051A9">
      <w:pPr>
        <w:pStyle w:val="ListParagraph"/>
        <w:numPr>
          <w:ilvl w:val="0"/>
          <w:numId w:val="9"/>
        </w:numPr>
        <w:spacing w:line="256" w:lineRule="auto"/>
        <w:contextualSpacing w:val="0"/>
      </w:pPr>
      <w:r w:rsidRPr="0049650D">
        <w:t>evidence that this amount was added to cement covered under paragraph 64(1)(b)</w:t>
      </w:r>
    </w:p>
    <w:p w14:paraId="649C4535" w14:textId="77777777" w:rsidR="00681D37" w:rsidRPr="0049650D" w:rsidRDefault="00681D37" w:rsidP="007051A9">
      <w:pPr>
        <w:pStyle w:val="ListParagraph"/>
        <w:numPr>
          <w:ilvl w:val="0"/>
          <w:numId w:val="9"/>
        </w:numPr>
        <w:spacing w:line="256" w:lineRule="auto"/>
        <w:contextualSpacing w:val="0"/>
      </w:pPr>
      <w:r w:rsidRPr="0049650D">
        <w:t>evidence that this amount was provided by a ‘related entity’, except where that entity is the responsible emitter.</w:t>
      </w:r>
    </w:p>
    <w:p w14:paraId="58FA6991" w14:textId="1B7824F4" w:rsidR="005E5BEA" w:rsidRPr="0049650D" w:rsidRDefault="00DD1CCF" w:rsidP="00BF7ED6">
      <w:pPr>
        <w:rPr>
          <w:szCs w:val="24"/>
        </w:rPr>
      </w:pPr>
      <w:r w:rsidRPr="0049650D">
        <w:rPr>
          <w:szCs w:val="24"/>
        </w:rPr>
        <w:t xml:space="preserve">Subsection </w:t>
      </w:r>
      <w:r w:rsidR="0064249D" w:rsidRPr="0049650D">
        <w:rPr>
          <w:szCs w:val="24"/>
        </w:rPr>
        <w:t>64(4) set the new default emissions intensity for this production variable as 0.708</w:t>
      </w:r>
      <w:r w:rsidR="00465AB9" w:rsidRPr="0049650D">
        <w:rPr>
          <w:szCs w:val="24"/>
        </w:rPr>
        <w:t xml:space="preserve"> </w:t>
      </w:r>
      <w:r w:rsidR="00465AB9" w:rsidRPr="0049650D">
        <w:rPr>
          <w:rStyle w:val="normaltextrun"/>
          <w:sz w:val="22"/>
          <w:szCs w:val="22"/>
          <w:shd w:val="clear" w:color="auto" w:fill="FFFFFF"/>
        </w:rPr>
        <w:t xml:space="preserve">per tonne of cement and </w:t>
      </w:r>
      <w:r w:rsidR="00465AB9" w:rsidRPr="0049650D">
        <w:rPr>
          <w:rStyle w:val="normaltextrun"/>
          <w:color w:val="000000"/>
          <w:sz w:val="22"/>
          <w:szCs w:val="22"/>
          <w:shd w:val="clear" w:color="auto" w:fill="FFFFFF"/>
        </w:rPr>
        <w:t>supplementary cementitious material</w:t>
      </w:r>
      <w:r w:rsidR="00465AB9" w:rsidRPr="0049650D">
        <w:rPr>
          <w:rStyle w:val="normaltextrun"/>
          <w:sz w:val="22"/>
          <w:szCs w:val="22"/>
          <w:shd w:val="clear" w:color="auto" w:fill="FFFFFF"/>
        </w:rPr>
        <w:t>.</w:t>
      </w:r>
    </w:p>
    <w:p w14:paraId="1C3EA230" w14:textId="6B2E5724" w:rsidR="00376340" w:rsidRPr="0049650D" w:rsidRDefault="00376340" w:rsidP="00BF7ED6">
      <w:pPr>
        <w:rPr>
          <w:szCs w:val="24"/>
          <w:u w:val="single"/>
        </w:rPr>
      </w:pPr>
      <w:r w:rsidRPr="0049650D">
        <w:rPr>
          <w:szCs w:val="24"/>
          <w:u w:val="single"/>
        </w:rPr>
        <w:t>Item 2</w:t>
      </w:r>
      <w:r w:rsidR="008F6AE2" w:rsidRPr="0049650D">
        <w:rPr>
          <w:szCs w:val="24"/>
          <w:u w:val="single"/>
        </w:rPr>
        <w:t>1</w:t>
      </w:r>
      <w:r w:rsidRPr="0049650D">
        <w:rPr>
          <w:szCs w:val="24"/>
          <w:u w:val="single"/>
        </w:rPr>
        <w:t xml:space="preserve"> </w:t>
      </w:r>
    </w:p>
    <w:p w14:paraId="052FE655" w14:textId="145E632C" w:rsidR="001C0CCA" w:rsidRPr="0049650D" w:rsidRDefault="001C0CCA" w:rsidP="00BF7ED6">
      <w:pPr>
        <w:rPr>
          <w:szCs w:val="24"/>
        </w:rPr>
      </w:pPr>
      <w:r w:rsidRPr="0049650D">
        <w:rPr>
          <w:szCs w:val="24"/>
        </w:rPr>
        <w:t>Item 2</w:t>
      </w:r>
      <w:r w:rsidR="008F6AE2" w:rsidRPr="0049650D">
        <w:rPr>
          <w:szCs w:val="24"/>
        </w:rPr>
        <w:t>1</w:t>
      </w:r>
      <w:r w:rsidRPr="0049650D">
        <w:rPr>
          <w:szCs w:val="24"/>
        </w:rPr>
        <w:t xml:space="preserve"> </w:t>
      </w:r>
      <w:r w:rsidR="001D1D81" w:rsidRPr="0049650D">
        <w:rPr>
          <w:szCs w:val="24"/>
        </w:rPr>
        <w:t>omits “mass;”</w:t>
      </w:r>
      <w:r w:rsidR="00111DBC" w:rsidRPr="0049650D">
        <w:rPr>
          <w:szCs w:val="24"/>
        </w:rPr>
        <w:t xml:space="preserve"> from paragraph 72(1)(a)</w:t>
      </w:r>
      <w:r w:rsidR="00BC4522" w:rsidRPr="0049650D">
        <w:rPr>
          <w:szCs w:val="24"/>
        </w:rPr>
        <w:t xml:space="preserve"> of Schedule 1</w:t>
      </w:r>
      <w:r w:rsidR="001D1D81" w:rsidRPr="0049650D">
        <w:rPr>
          <w:szCs w:val="24"/>
        </w:rPr>
        <w:t xml:space="preserve"> and inserts instead </w:t>
      </w:r>
      <w:r w:rsidR="00111DBC" w:rsidRPr="0049650D">
        <w:rPr>
          <w:szCs w:val="24"/>
        </w:rPr>
        <w:t>“mass on an annual average basis;”.</w:t>
      </w:r>
      <w:r w:rsidR="00C44900" w:rsidRPr="0049650D">
        <w:rPr>
          <w:szCs w:val="24"/>
        </w:rPr>
        <w:t xml:space="preserve"> This clarifies that the measurement of the anode concentration</w:t>
      </w:r>
      <w:r w:rsidR="00251A9F" w:rsidRPr="0049650D">
        <w:rPr>
          <w:szCs w:val="24"/>
        </w:rPr>
        <w:t xml:space="preserve"> under the copper anode production variable</w:t>
      </w:r>
      <w:r w:rsidR="00C44900" w:rsidRPr="0049650D">
        <w:rPr>
          <w:szCs w:val="24"/>
        </w:rPr>
        <w:t xml:space="preserve"> is an annual average.</w:t>
      </w:r>
    </w:p>
    <w:p w14:paraId="5CD00DEC" w14:textId="6F1481EC" w:rsidR="00376340" w:rsidRPr="0049650D" w:rsidRDefault="00376340" w:rsidP="00C22652">
      <w:pPr>
        <w:keepNext/>
        <w:keepLines/>
        <w:rPr>
          <w:szCs w:val="24"/>
          <w:u w:val="single"/>
        </w:rPr>
      </w:pPr>
      <w:r w:rsidRPr="0049650D">
        <w:rPr>
          <w:szCs w:val="24"/>
          <w:u w:val="single"/>
        </w:rPr>
        <w:lastRenderedPageBreak/>
        <w:t>Item 2</w:t>
      </w:r>
      <w:r w:rsidR="008F6AE2" w:rsidRPr="0049650D">
        <w:rPr>
          <w:szCs w:val="24"/>
          <w:u w:val="single"/>
        </w:rPr>
        <w:t>2</w:t>
      </w:r>
      <w:r w:rsidRPr="0049650D">
        <w:rPr>
          <w:szCs w:val="24"/>
          <w:u w:val="single"/>
        </w:rPr>
        <w:t xml:space="preserve"> </w:t>
      </w:r>
    </w:p>
    <w:p w14:paraId="6AAE76A6" w14:textId="00C93180" w:rsidR="00BC4522" w:rsidRPr="0049650D" w:rsidRDefault="00BC4522" w:rsidP="00C22652">
      <w:pPr>
        <w:keepNext/>
        <w:keepLines/>
        <w:rPr>
          <w:szCs w:val="24"/>
        </w:rPr>
      </w:pPr>
      <w:r w:rsidRPr="0049650D">
        <w:rPr>
          <w:szCs w:val="24"/>
        </w:rPr>
        <w:t>Item 2</w:t>
      </w:r>
      <w:r w:rsidR="00A463D0" w:rsidRPr="0049650D">
        <w:rPr>
          <w:szCs w:val="24"/>
        </w:rPr>
        <w:t>2</w:t>
      </w:r>
      <w:r w:rsidRPr="0049650D">
        <w:rPr>
          <w:szCs w:val="24"/>
        </w:rPr>
        <w:t xml:space="preserve"> repeals and replaces subsection 72(2) of Schedule 1 to provide </w:t>
      </w:r>
      <w:r w:rsidR="00710836" w:rsidRPr="0049650D">
        <w:rPr>
          <w:szCs w:val="24"/>
        </w:rPr>
        <w:t xml:space="preserve">that the metric in that section </w:t>
      </w:r>
      <w:r w:rsidR="00B20662" w:rsidRPr="0049650D">
        <w:rPr>
          <w:szCs w:val="24"/>
        </w:rPr>
        <w:t xml:space="preserve">is applied to </w:t>
      </w:r>
      <w:r w:rsidR="00C37F5F" w:rsidRPr="0049650D">
        <w:rPr>
          <w:szCs w:val="24"/>
        </w:rPr>
        <w:t xml:space="preserve">the activity of </w:t>
      </w:r>
      <w:r w:rsidR="00C37F5F" w:rsidRPr="0049650D">
        <w:rPr>
          <w:b/>
          <w:bCs/>
          <w:i/>
          <w:iCs/>
          <w:szCs w:val="24"/>
        </w:rPr>
        <w:t>copper anode production activity</w:t>
      </w:r>
      <w:r w:rsidR="00C37F5F" w:rsidRPr="0049650D">
        <w:rPr>
          <w:szCs w:val="24"/>
        </w:rPr>
        <w:t>.</w:t>
      </w:r>
    </w:p>
    <w:p w14:paraId="4E177A7E" w14:textId="417CAB3B" w:rsidR="00376340" w:rsidRPr="0049650D" w:rsidRDefault="00376340" w:rsidP="00BF7ED6">
      <w:pPr>
        <w:rPr>
          <w:szCs w:val="24"/>
          <w:u w:val="single"/>
        </w:rPr>
      </w:pPr>
      <w:r w:rsidRPr="0049650D">
        <w:rPr>
          <w:szCs w:val="24"/>
          <w:u w:val="single"/>
        </w:rPr>
        <w:t>Item 2</w:t>
      </w:r>
      <w:r w:rsidR="00A463D0" w:rsidRPr="0049650D">
        <w:rPr>
          <w:szCs w:val="24"/>
          <w:u w:val="single"/>
        </w:rPr>
        <w:t>3</w:t>
      </w:r>
      <w:r w:rsidRPr="0049650D">
        <w:rPr>
          <w:szCs w:val="24"/>
          <w:u w:val="single"/>
        </w:rPr>
        <w:t xml:space="preserve"> </w:t>
      </w:r>
    </w:p>
    <w:p w14:paraId="6FFD38A3" w14:textId="67BD4D1C" w:rsidR="00C37F5F" w:rsidRPr="0049650D" w:rsidRDefault="00C37F5F" w:rsidP="00BF7ED6">
      <w:pPr>
        <w:rPr>
          <w:szCs w:val="24"/>
        </w:rPr>
      </w:pPr>
      <w:r w:rsidRPr="0049650D">
        <w:rPr>
          <w:szCs w:val="24"/>
        </w:rPr>
        <w:t>Item 2</w:t>
      </w:r>
      <w:r w:rsidR="00A463D0" w:rsidRPr="0049650D">
        <w:rPr>
          <w:szCs w:val="24"/>
        </w:rPr>
        <w:t>3</w:t>
      </w:r>
      <w:r w:rsidRPr="0049650D">
        <w:rPr>
          <w:szCs w:val="24"/>
        </w:rPr>
        <w:t xml:space="preserve"> </w:t>
      </w:r>
      <w:r w:rsidR="00F5024E" w:rsidRPr="0049650D">
        <w:rPr>
          <w:szCs w:val="24"/>
        </w:rPr>
        <w:t>inserts Part 47</w:t>
      </w:r>
      <w:r w:rsidR="00243A6E" w:rsidRPr="0049650D">
        <w:rPr>
          <w:szCs w:val="24"/>
        </w:rPr>
        <w:t xml:space="preserve"> to the end of Schedule 1 to </w:t>
      </w:r>
      <w:r w:rsidR="00FD584B" w:rsidRPr="0049650D">
        <w:rPr>
          <w:szCs w:val="24"/>
        </w:rPr>
        <w:t xml:space="preserve">include </w:t>
      </w:r>
      <w:r w:rsidR="00C44900" w:rsidRPr="0049650D">
        <w:rPr>
          <w:szCs w:val="24"/>
        </w:rPr>
        <w:t>a new production variable for l</w:t>
      </w:r>
      <w:r w:rsidR="004015FB" w:rsidRPr="0049650D">
        <w:rPr>
          <w:szCs w:val="24"/>
        </w:rPr>
        <w:t>ithium hydroxide</w:t>
      </w:r>
      <w:r w:rsidR="00997430" w:rsidRPr="0049650D">
        <w:rPr>
          <w:szCs w:val="24"/>
        </w:rPr>
        <w:t xml:space="preserve">, which is </w:t>
      </w:r>
      <w:r w:rsidR="00997430" w:rsidRPr="0049650D">
        <w:t>applicable to a facility that conducts the activity of producing lithium hydroxide monohydrate that has a concentration of lithium hydroxide monohydrate equal to or greater than 98.9% by weight</w:t>
      </w:r>
      <w:r w:rsidR="00C44900" w:rsidRPr="0049650D">
        <w:rPr>
          <w:szCs w:val="24"/>
        </w:rPr>
        <w:t>.</w:t>
      </w:r>
      <w:r w:rsidR="008E2DE2" w:rsidRPr="0049650D">
        <w:rPr>
          <w:szCs w:val="24"/>
        </w:rPr>
        <w:t xml:space="preserve"> </w:t>
      </w:r>
      <w:r w:rsidR="008E2DE2" w:rsidRPr="0049650D">
        <w:t>The default emissions intensity</w:t>
      </w:r>
      <w:r w:rsidR="00997430" w:rsidRPr="0049650D">
        <w:t xml:space="preserve"> for this activity</w:t>
      </w:r>
      <w:r w:rsidR="008E2DE2" w:rsidRPr="0049650D">
        <w:t xml:space="preserve"> is yet to </w:t>
      </w:r>
      <w:r w:rsidR="00AD780E" w:rsidRPr="0049650D">
        <w:t>be</w:t>
      </w:r>
      <w:r w:rsidR="0021418E" w:rsidRPr="0049650D">
        <w:t xml:space="preserve"> </w:t>
      </w:r>
      <w:r w:rsidR="008E2DE2" w:rsidRPr="0049650D">
        <w:t>specified.</w:t>
      </w:r>
    </w:p>
    <w:p w14:paraId="0324CB6E" w14:textId="532E188F" w:rsidR="00376340" w:rsidRPr="0049650D" w:rsidRDefault="00376340" w:rsidP="00BF7ED6">
      <w:pPr>
        <w:rPr>
          <w:szCs w:val="24"/>
          <w:u w:val="single"/>
        </w:rPr>
      </w:pPr>
      <w:r w:rsidRPr="0049650D">
        <w:rPr>
          <w:szCs w:val="24"/>
          <w:u w:val="single"/>
        </w:rPr>
        <w:t>Item 2</w:t>
      </w:r>
      <w:r w:rsidR="00F8487F" w:rsidRPr="0049650D">
        <w:rPr>
          <w:szCs w:val="24"/>
          <w:u w:val="single"/>
        </w:rPr>
        <w:t>4</w:t>
      </w:r>
      <w:r w:rsidRPr="0049650D">
        <w:rPr>
          <w:szCs w:val="24"/>
          <w:u w:val="single"/>
        </w:rPr>
        <w:t xml:space="preserve"> </w:t>
      </w:r>
    </w:p>
    <w:p w14:paraId="263987AC" w14:textId="5CC235AC" w:rsidR="004015FB" w:rsidRPr="0049650D" w:rsidRDefault="004015FB" w:rsidP="00BF7ED6">
      <w:pPr>
        <w:rPr>
          <w:szCs w:val="24"/>
        </w:rPr>
      </w:pPr>
      <w:r w:rsidRPr="0049650D">
        <w:rPr>
          <w:szCs w:val="24"/>
        </w:rPr>
        <w:t>Item 2</w:t>
      </w:r>
      <w:r w:rsidR="00F8487F" w:rsidRPr="0049650D">
        <w:rPr>
          <w:szCs w:val="24"/>
        </w:rPr>
        <w:t>4</w:t>
      </w:r>
      <w:r w:rsidRPr="0049650D">
        <w:rPr>
          <w:szCs w:val="24"/>
        </w:rPr>
        <w:t xml:space="preserve"> </w:t>
      </w:r>
      <w:r w:rsidR="0015708F" w:rsidRPr="0049650D">
        <w:rPr>
          <w:szCs w:val="24"/>
        </w:rPr>
        <w:t>repeals and replaces the table</w:t>
      </w:r>
      <w:r w:rsidR="008B56EF" w:rsidRPr="0049650D">
        <w:rPr>
          <w:szCs w:val="24"/>
        </w:rPr>
        <w:t xml:space="preserve"> in </w:t>
      </w:r>
      <w:r w:rsidR="008A1865" w:rsidRPr="0049650D">
        <w:rPr>
          <w:szCs w:val="24"/>
        </w:rPr>
        <w:t>section 1 of Schedule 2</w:t>
      </w:r>
      <w:r w:rsidR="0015708F" w:rsidRPr="0049650D">
        <w:rPr>
          <w:szCs w:val="24"/>
        </w:rPr>
        <w:t xml:space="preserve"> to </w:t>
      </w:r>
      <w:r w:rsidR="00997430" w:rsidRPr="0049650D">
        <w:rPr>
          <w:szCs w:val="24"/>
        </w:rPr>
        <w:t xml:space="preserve">add </w:t>
      </w:r>
      <w:proofErr w:type="gramStart"/>
      <w:r w:rsidR="00997430" w:rsidRPr="0049650D">
        <w:rPr>
          <w:szCs w:val="24"/>
        </w:rPr>
        <w:t>the  p</w:t>
      </w:r>
      <w:r w:rsidR="0033559D" w:rsidRPr="0049650D">
        <w:rPr>
          <w:szCs w:val="24"/>
        </w:rPr>
        <w:t>roduction</w:t>
      </w:r>
      <w:proofErr w:type="gramEnd"/>
      <w:r w:rsidR="0033559D" w:rsidRPr="0049650D">
        <w:rPr>
          <w:szCs w:val="24"/>
        </w:rPr>
        <w:t xml:space="preserve"> variables </w:t>
      </w:r>
      <w:r w:rsidR="00C44900" w:rsidRPr="0049650D">
        <w:rPr>
          <w:szCs w:val="24"/>
        </w:rPr>
        <w:t>for</w:t>
      </w:r>
      <w:r w:rsidR="00D95B7C" w:rsidRPr="0049650D">
        <w:rPr>
          <w:szCs w:val="24"/>
        </w:rPr>
        <w:t xml:space="preserve"> ferromanganese alloy</w:t>
      </w:r>
      <w:r w:rsidR="00F8487F" w:rsidRPr="0049650D">
        <w:rPr>
          <w:szCs w:val="24"/>
        </w:rPr>
        <w:t xml:space="preserve">, </w:t>
      </w:r>
      <w:r w:rsidR="00D95B7C" w:rsidRPr="0049650D">
        <w:rPr>
          <w:szCs w:val="24"/>
        </w:rPr>
        <w:t>silicomanganese alloy</w:t>
      </w:r>
      <w:r w:rsidR="00F8487F" w:rsidRPr="0049650D">
        <w:rPr>
          <w:szCs w:val="24"/>
        </w:rPr>
        <w:t xml:space="preserve"> and lithium hydroxide to the list of Trade-exposed production variables that are also manufacturing product variables</w:t>
      </w:r>
      <w:r w:rsidR="00C44900" w:rsidRPr="0049650D">
        <w:rPr>
          <w:szCs w:val="24"/>
        </w:rPr>
        <w:t>.</w:t>
      </w:r>
    </w:p>
    <w:p w14:paraId="469B1030" w14:textId="77777777" w:rsidR="00CD641C" w:rsidRPr="0049650D" w:rsidRDefault="00CD641C" w:rsidP="00BF7ED6">
      <w:pPr>
        <w:rPr>
          <w:szCs w:val="24"/>
        </w:rPr>
      </w:pPr>
    </w:p>
    <w:p w14:paraId="2646D02D" w14:textId="58AC29EB" w:rsidR="00111DBC" w:rsidRPr="0049650D" w:rsidRDefault="00111DBC" w:rsidP="00BF7ED6">
      <w:pPr>
        <w:rPr>
          <w:szCs w:val="24"/>
        </w:rPr>
      </w:pPr>
    </w:p>
    <w:p w14:paraId="12A24916" w14:textId="5C586062" w:rsidR="005A741A" w:rsidRPr="0049650D" w:rsidRDefault="005A741A" w:rsidP="00BF7ED6">
      <w:pPr>
        <w:rPr>
          <w:szCs w:val="24"/>
        </w:rPr>
      </w:pPr>
      <w:r w:rsidRPr="0049650D">
        <w:rPr>
          <w:szCs w:val="24"/>
        </w:rPr>
        <w:br w:type="page"/>
      </w:r>
    </w:p>
    <w:p w14:paraId="45768085" w14:textId="77777777" w:rsidR="00567F6A" w:rsidRPr="0049650D" w:rsidRDefault="00567F6A" w:rsidP="00BF7ED6">
      <w:pPr>
        <w:rPr>
          <w:szCs w:val="24"/>
          <w:u w:val="single"/>
        </w:rPr>
      </w:pPr>
    </w:p>
    <w:p w14:paraId="2AD873BC" w14:textId="77777777" w:rsidR="005B17D1" w:rsidRPr="0049650D" w:rsidRDefault="00C15EDB" w:rsidP="00BF7ED6">
      <w:pPr>
        <w:tabs>
          <w:tab w:val="right" w:pos="9072"/>
        </w:tabs>
        <w:ind w:right="91"/>
        <w:jc w:val="right"/>
        <w:rPr>
          <w:b/>
          <w:szCs w:val="24"/>
          <w:u w:val="single"/>
        </w:rPr>
      </w:pPr>
      <w:r w:rsidRPr="0049650D">
        <w:rPr>
          <w:b/>
          <w:szCs w:val="24"/>
          <w:u w:val="single"/>
        </w:rPr>
        <w:t>ATTACHMENT B</w:t>
      </w:r>
    </w:p>
    <w:p w14:paraId="4CDCB1C9" w14:textId="77777777" w:rsidR="003A5D5E" w:rsidRPr="0049650D" w:rsidRDefault="003A5D5E" w:rsidP="00BF7ED6">
      <w:pPr>
        <w:pStyle w:val="Heading3"/>
        <w:spacing w:before="120"/>
        <w:jc w:val="center"/>
        <w:rPr>
          <w:rFonts w:ascii="Times New Roman" w:hAnsi="Times New Roman"/>
          <w:szCs w:val="24"/>
        </w:rPr>
      </w:pPr>
    </w:p>
    <w:p w14:paraId="499D5897" w14:textId="77777777" w:rsidR="005B17D1" w:rsidRPr="0049650D" w:rsidRDefault="005B17D1" w:rsidP="00BF7ED6">
      <w:pPr>
        <w:pStyle w:val="Heading3"/>
        <w:spacing w:before="120"/>
        <w:jc w:val="center"/>
        <w:rPr>
          <w:rFonts w:ascii="Times New Roman" w:hAnsi="Times New Roman"/>
          <w:szCs w:val="24"/>
        </w:rPr>
      </w:pPr>
      <w:r w:rsidRPr="0049650D">
        <w:rPr>
          <w:rFonts w:ascii="Times New Roman" w:hAnsi="Times New Roman"/>
          <w:szCs w:val="24"/>
        </w:rPr>
        <w:t>Statement of Compatibility with Human Rights</w:t>
      </w:r>
    </w:p>
    <w:p w14:paraId="345C7A43" w14:textId="77777777" w:rsidR="005B17D1" w:rsidRPr="0049650D" w:rsidRDefault="005B17D1" w:rsidP="00BF7ED6">
      <w:pPr>
        <w:jc w:val="center"/>
        <w:rPr>
          <w:i/>
          <w:szCs w:val="24"/>
        </w:rPr>
      </w:pPr>
      <w:r w:rsidRPr="0049650D">
        <w:rPr>
          <w:i/>
          <w:szCs w:val="24"/>
        </w:rPr>
        <w:t>Prepared in accordance with Part 3 of the Human Rights (Parliamentary Scrutiny) Act 2011</w:t>
      </w:r>
    </w:p>
    <w:p w14:paraId="37C5AE63" w14:textId="569AB176" w:rsidR="00CD641C" w:rsidRPr="0049650D" w:rsidRDefault="00CD641C" w:rsidP="00BF7ED6">
      <w:pPr>
        <w:jc w:val="center"/>
        <w:rPr>
          <w:b/>
          <w:i/>
          <w:szCs w:val="24"/>
        </w:rPr>
      </w:pPr>
      <w:r w:rsidRPr="0049650D">
        <w:rPr>
          <w:b/>
          <w:i/>
          <w:szCs w:val="24"/>
        </w:rPr>
        <w:t>National Greenhouse and Energy Reporting (Safeguard Mechanism) Amendment (Production Variables Update) Rules 2023</w:t>
      </w:r>
    </w:p>
    <w:p w14:paraId="5ACB3B46" w14:textId="35BFE654" w:rsidR="0023138A" w:rsidRPr="0049650D" w:rsidRDefault="0023138A" w:rsidP="00BF7ED6">
      <w:pPr>
        <w:jc w:val="center"/>
        <w:rPr>
          <w:b/>
          <w:i/>
          <w:szCs w:val="24"/>
        </w:rPr>
      </w:pPr>
    </w:p>
    <w:p w14:paraId="41ADCB97" w14:textId="77777777" w:rsidR="005B17D1" w:rsidRPr="0049650D" w:rsidRDefault="005B17D1" w:rsidP="00BF7ED6">
      <w:pPr>
        <w:rPr>
          <w:szCs w:val="24"/>
        </w:rPr>
      </w:pPr>
      <w:r w:rsidRPr="0049650D">
        <w:rPr>
          <w:szCs w:val="24"/>
        </w:rPr>
        <w:t xml:space="preserve">This Legislative Instrument is compatible with the human rights and freedoms recognised or declared in the international instruments listed in section 3 of the </w:t>
      </w:r>
      <w:r w:rsidRPr="0049650D">
        <w:rPr>
          <w:i/>
          <w:szCs w:val="24"/>
        </w:rPr>
        <w:t>Human Rights (Parliamentary Scrutiny) Act 2011</w:t>
      </w:r>
      <w:r w:rsidRPr="0049650D">
        <w:rPr>
          <w:szCs w:val="24"/>
        </w:rPr>
        <w:t>.</w:t>
      </w:r>
      <w:r w:rsidR="00221281" w:rsidRPr="0049650D">
        <w:rPr>
          <w:szCs w:val="24"/>
        </w:rPr>
        <w:t xml:space="preserve"> </w:t>
      </w:r>
    </w:p>
    <w:p w14:paraId="43682D8E" w14:textId="77777777" w:rsidR="005B17D1" w:rsidRPr="0049650D" w:rsidRDefault="005B17D1" w:rsidP="00BF7ED6">
      <w:pPr>
        <w:pStyle w:val="Heading4"/>
        <w:rPr>
          <w:szCs w:val="24"/>
        </w:rPr>
      </w:pPr>
      <w:r w:rsidRPr="0049650D">
        <w:rPr>
          <w:szCs w:val="24"/>
        </w:rPr>
        <w:t>Overview of the Legislative Instrument</w:t>
      </w:r>
    </w:p>
    <w:p w14:paraId="72814157" w14:textId="1FA4355E" w:rsidR="00434C54" w:rsidRPr="0049650D" w:rsidRDefault="000F0BED" w:rsidP="00BF7ED6">
      <w:pPr>
        <w:rPr>
          <w:rFonts w:eastAsia="Calibri"/>
          <w:szCs w:val="24"/>
          <w:lang w:eastAsia="en-US"/>
        </w:rPr>
      </w:pPr>
      <w:r w:rsidRPr="0049650D">
        <w:rPr>
          <w:szCs w:val="24"/>
        </w:rPr>
        <w:t>T</w:t>
      </w:r>
      <w:r w:rsidR="005B17D1" w:rsidRPr="0049650D">
        <w:rPr>
          <w:szCs w:val="24"/>
        </w:rPr>
        <w:t xml:space="preserve">he </w:t>
      </w:r>
      <w:r w:rsidR="00CD641C" w:rsidRPr="0049650D">
        <w:rPr>
          <w:i/>
          <w:iCs/>
          <w:szCs w:val="24"/>
        </w:rPr>
        <w:t>National Greenhouse and Energy Reporting (Safeguard Mechanism) Amendment (Production Variables Update) Rules 2023</w:t>
      </w:r>
      <w:r w:rsidR="0023138A" w:rsidRPr="0049650D">
        <w:rPr>
          <w:i/>
          <w:szCs w:val="24"/>
        </w:rPr>
        <w:t xml:space="preserve"> </w:t>
      </w:r>
      <w:r w:rsidR="00265B58" w:rsidRPr="0049650D">
        <w:rPr>
          <w:szCs w:val="24"/>
        </w:rPr>
        <w:t xml:space="preserve">makes </w:t>
      </w:r>
      <w:r w:rsidR="0077430D" w:rsidRPr="0049650D">
        <w:rPr>
          <w:szCs w:val="24"/>
        </w:rPr>
        <w:t xml:space="preserve">technical </w:t>
      </w:r>
      <w:r w:rsidR="00265B58" w:rsidRPr="0049650D">
        <w:rPr>
          <w:szCs w:val="24"/>
        </w:rPr>
        <w:t>amendment</w:t>
      </w:r>
      <w:r w:rsidR="00CD641C" w:rsidRPr="0049650D">
        <w:rPr>
          <w:szCs w:val="24"/>
        </w:rPr>
        <w:t>s</w:t>
      </w:r>
      <w:r w:rsidR="00265B58" w:rsidRPr="0049650D">
        <w:rPr>
          <w:szCs w:val="24"/>
        </w:rPr>
        <w:t xml:space="preserve"> to</w:t>
      </w:r>
      <w:r w:rsidR="003515C5" w:rsidRPr="0049650D">
        <w:rPr>
          <w:szCs w:val="24"/>
        </w:rPr>
        <w:t xml:space="preserve"> the </w:t>
      </w:r>
      <w:r w:rsidR="00140D69" w:rsidRPr="0049650D">
        <w:rPr>
          <w:i/>
          <w:iCs/>
          <w:szCs w:val="24"/>
        </w:rPr>
        <w:t>National Greenhouse and Energy Reporting (Safeguard Mechanism) Rule 2015</w:t>
      </w:r>
      <w:r w:rsidR="00E3288B" w:rsidRPr="0049650D">
        <w:rPr>
          <w:i/>
          <w:iCs/>
          <w:szCs w:val="24"/>
        </w:rPr>
        <w:t>.</w:t>
      </w:r>
      <w:r w:rsidR="00140D69" w:rsidRPr="0049650D">
        <w:rPr>
          <w:szCs w:val="24"/>
        </w:rPr>
        <w:t xml:space="preserve"> </w:t>
      </w:r>
      <w:r w:rsidR="00E3288B" w:rsidRPr="0049650D">
        <w:rPr>
          <w:szCs w:val="24"/>
        </w:rPr>
        <w:t>These amendments</w:t>
      </w:r>
      <w:r w:rsidR="00140D69" w:rsidRPr="0049650D">
        <w:rPr>
          <w:szCs w:val="24"/>
        </w:rPr>
        <w:t xml:space="preserve"> </w:t>
      </w:r>
      <w:r w:rsidR="009305DF" w:rsidRPr="0049650D">
        <w:rPr>
          <w:szCs w:val="24"/>
        </w:rPr>
        <w:t xml:space="preserve">make changes to production variables and emissions intensity values in order to </w:t>
      </w:r>
      <w:r w:rsidR="004D5DC8" w:rsidRPr="0049650D">
        <w:rPr>
          <w:szCs w:val="24"/>
        </w:rPr>
        <w:t xml:space="preserve">help </w:t>
      </w:r>
      <w:r w:rsidR="004E1DC8" w:rsidRPr="0049650D">
        <w:rPr>
          <w:szCs w:val="24"/>
        </w:rPr>
        <w:t xml:space="preserve">ensure a comprehensive set </w:t>
      </w:r>
      <w:r w:rsidR="00F36A2A" w:rsidRPr="0049650D">
        <w:rPr>
          <w:szCs w:val="24"/>
        </w:rPr>
        <w:t>are available</w:t>
      </w:r>
      <w:r w:rsidR="000E1D6E" w:rsidRPr="0049650D">
        <w:rPr>
          <w:szCs w:val="24"/>
        </w:rPr>
        <w:t>. T</w:t>
      </w:r>
      <w:r w:rsidR="002B6605" w:rsidRPr="0049650D">
        <w:rPr>
          <w:szCs w:val="24"/>
        </w:rPr>
        <w:t>hese</w:t>
      </w:r>
      <w:r w:rsidR="00F36A2A" w:rsidRPr="0049650D">
        <w:rPr>
          <w:szCs w:val="24"/>
        </w:rPr>
        <w:t xml:space="preserve"> production variables and emissions intensities</w:t>
      </w:r>
      <w:r w:rsidR="002B6605" w:rsidRPr="0049650D">
        <w:rPr>
          <w:szCs w:val="24"/>
        </w:rPr>
        <w:t xml:space="preserve"> are p</w:t>
      </w:r>
      <w:r w:rsidR="000E1D6E" w:rsidRPr="0049650D">
        <w:rPr>
          <w:szCs w:val="24"/>
        </w:rPr>
        <w:t>art of the</w:t>
      </w:r>
      <w:r w:rsidR="008F2CB2" w:rsidRPr="0049650D">
        <w:rPr>
          <w:szCs w:val="24"/>
        </w:rPr>
        <w:t xml:space="preserve"> Safeguard Mechanism’s</w:t>
      </w:r>
      <w:r w:rsidR="000E1D6E" w:rsidRPr="0049650D">
        <w:rPr>
          <w:szCs w:val="24"/>
        </w:rPr>
        <w:t xml:space="preserve"> robust, legislated framework that limits the emission of large industrial </w:t>
      </w:r>
      <w:r w:rsidR="008F2CB2" w:rsidRPr="0049650D">
        <w:rPr>
          <w:szCs w:val="24"/>
        </w:rPr>
        <w:t xml:space="preserve">facilities. </w:t>
      </w:r>
      <w:r w:rsidR="004E1DC8" w:rsidRPr="0049650D">
        <w:rPr>
          <w:szCs w:val="24"/>
        </w:rPr>
        <w:t xml:space="preserve"> </w:t>
      </w:r>
      <w:r w:rsidR="001F1905" w:rsidRPr="0049650D">
        <w:rPr>
          <w:szCs w:val="24"/>
        </w:rPr>
        <w:t>These limit</w:t>
      </w:r>
      <w:r w:rsidR="00A112BA" w:rsidRPr="0049650D">
        <w:rPr>
          <w:szCs w:val="24"/>
        </w:rPr>
        <w:t xml:space="preserve">s—known as baselines—are declining on a trajectory to </w:t>
      </w:r>
      <w:r w:rsidR="009305DF" w:rsidRPr="0049650D">
        <w:rPr>
          <w:szCs w:val="24"/>
        </w:rPr>
        <w:t>meet Australia’s international commitments that Australia’s emissions reduction targets are 43% below 2005 levels by 2030 and net zero by 2050.</w:t>
      </w:r>
    </w:p>
    <w:p w14:paraId="63B4AB3A" w14:textId="77777777" w:rsidR="005B17D1" w:rsidRPr="0049650D" w:rsidRDefault="005B17D1" w:rsidP="00BF7ED6">
      <w:pPr>
        <w:pStyle w:val="Heading4"/>
        <w:rPr>
          <w:szCs w:val="24"/>
        </w:rPr>
      </w:pPr>
      <w:r w:rsidRPr="0049650D">
        <w:rPr>
          <w:szCs w:val="24"/>
        </w:rPr>
        <w:t>Human rights implications</w:t>
      </w:r>
    </w:p>
    <w:p w14:paraId="2519BD65" w14:textId="77777777" w:rsidR="00C507FD" w:rsidRPr="0049650D" w:rsidRDefault="005B17D1" w:rsidP="00BF7ED6">
      <w:pPr>
        <w:rPr>
          <w:szCs w:val="24"/>
        </w:rPr>
      </w:pPr>
      <w:r w:rsidRPr="0049650D">
        <w:rPr>
          <w:szCs w:val="24"/>
        </w:rPr>
        <w:t>This Legislative Instrument does not engage any of the applicable human rights or free</w:t>
      </w:r>
      <w:r w:rsidR="00221281" w:rsidRPr="0049650D">
        <w:rPr>
          <w:szCs w:val="24"/>
        </w:rPr>
        <w:t xml:space="preserve">doms. </w:t>
      </w:r>
    </w:p>
    <w:p w14:paraId="67837FB1" w14:textId="77777777" w:rsidR="005B17D1" w:rsidRPr="0049650D" w:rsidRDefault="005B17D1" w:rsidP="00BF7ED6">
      <w:pPr>
        <w:pStyle w:val="Heading4"/>
        <w:rPr>
          <w:szCs w:val="24"/>
        </w:rPr>
      </w:pPr>
      <w:r w:rsidRPr="0049650D">
        <w:rPr>
          <w:szCs w:val="24"/>
        </w:rPr>
        <w:t>Conclusion</w:t>
      </w:r>
    </w:p>
    <w:p w14:paraId="3AC68563" w14:textId="77777777" w:rsidR="003515C5" w:rsidRPr="0049650D" w:rsidRDefault="005B17D1" w:rsidP="00BF7ED6">
      <w:pPr>
        <w:rPr>
          <w:szCs w:val="24"/>
        </w:rPr>
      </w:pPr>
      <w:r w:rsidRPr="0049650D">
        <w:rPr>
          <w:szCs w:val="24"/>
        </w:rPr>
        <w:t>This Legislative Instrument is compatible with human rights as it does not</w:t>
      </w:r>
      <w:r w:rsidR="00D00C39" w:rsidRPr="0049650D">
        <w:rPr>
          <w:szCs w:val="24"/>
        </w:rPr>
        <w:t xml:space="preserve"> raise any human rights issues. </w:t>
      </w:r>
    </w:p>
    <w:p w14:paraId="037BE51E" w14:textId="77777777" w:rsidR="00E3288B" w:rsidRPr="0049650D" w:rsidRDefault="00E3288B" w:rsidP="00BF7ED6">
      <w:pPr>
        <w:jc w:val="center"/>
        <w:rPr>
          <w:b/>
          <w:szCs w:val="24"/>
        </w:rPr>
      </w:pPr>
    </w:p>
    <w:p w14:paraId="6CF809DE" w14:textId="2887F983" w:rsidR="00723C9D" w:rsidRPr="0049650D" w:rsidRDefault="00723C9D" w:rsidP="00BF7ED6">
      <w:pPr>
        <w:jc w:val="center"/>
        <w:rPr>
          <w:b/>
          <w:szCs w:val="24"/>
        </w:rPr>
      </w:pPr>
      <w:r w:rsidRPr="0049650D">
        <w:rPr>
          <w:b/>
          <w:szCs w:val="24"/>
        </w:rPr>
        <w:t xml:space="preserve">The Hon </w:t>
      </w:r>
      <w:r w:rsidR="00375D14" w:rsidRPr="0049650D">
        <w:rPr>
          <w:b/>
          <w:szCs w:val="24"/>
        </w:rPr>
        <w:t>Chris Bowen MP</w:t>
      </w:r>
    </w:p>
    <w:p w14:paraId="029F80DD" w14:textId="47246054" w:rsidR="00AC5531" w:rsidRPr="0049650D" w:rsidRDefault="00723C9D" w:rsidP="00BF7ED6">
      <w:pPr>
        <w:jc w:val="center"/>
        <w:rPr>
          <w:b/>
          <w:szCs w:val="24"/>
        </w:rPr>
      </w:pPr>
      <w:r w:rsidRPr="0049650D">
        <w:rPr>
          <w:b/>
          <w:szCs w:val="24"/>
        </w:rPr>
        <w:t xml:space="preserve">Minister for </w:t>
      </w:r>
      <w:r w:rsidR="00375D14" w:rsidRPr="0049650D">
        <w:rPr>
          <w:b/>
          <w:szCs w:val="24"/>
        </w:rPr>
        <w:t>Climate Change and Energy</w:t>
      </w:r>
    </w:p>
    <w:p w14:paraId="59904377" w14:textId="0E791AFA" w:rsidR="009A6A29" w:rsidRPr="0049650D" w:rsidRDefault="009A6A29" w:rsidP="00BF7ED6">
      <w:pPr>
        <w:jc w:val="center"/>
        <w:rPr>
          <w:b/>
          <w:szCs w:val="24"/>
        </w:rPr>
      </w:pPr>
    </w:p>
    <w:p w14:paraId="570CAE21" w14:textId="1C810281" w:rsidR="009A6A29" w:rsidRPr="0049650D" w:rsidRDefault="009A6A29" w:rsidP="00BF7ED6">
      <w:pPr>
        <w:jc w:val="center"/>
        <w:rPr>
          <w:b/>
          <w:szCs w:val="24"/>
        </w:rPr>
      </w:pPr>
    </w:p>
    <w:p w14:paraId="1C49D287" w14:textId="571E3958" w:rsidR="009A6A29" w:rsidRPr="0049650D" w:rsidRDefault="009A6A29" w:rsidP="00BF7ED6">
      <w:pPr>
        <w:jc w:val="center"/>
        <w:rPr>
          <w:b/>
          <w:szCs w:val="24"/>
        </w:rPr>
      </w:pPr>
    </w:p>
    <w:p w14:paraId="3D8AB691" w14:textId="0D8AAB1A" w:rsidR="009A6A29" w:rsidRPr="0049650D" w:rsidRDefault="009A6A29" w:rsidP="00BF7ED6">
      <w:pPr>
        <w:jc w:val="center"/>
        <w:rPr>
          <w:b/>
          <w:szCs w:val="24"/>
        </w:rPr>
      </w:pPr>
    </w:p>
    <w:p w14:paraId="1BD2B06E" w14:textId="7CC73756" w:rsidR="009A6A29" w:rsidRPr="0049650D" w:rsidRDefault="009A6A29" w:rsidP="00BF7ED6">
      <w:pPr>
        <w:jc w:val="center"/>
        <w:rPr>
          <w:b/>
          <w:szCs w:val="24"/>
        </w:rPr>
      </w:pPr>
    </w:p>
    <w:p w14:paraId="01A2D41C" w14:textId="5EAFDF02" w:rsidR="009A6A29" w:rsidRPr="0049650D" w:rsidRDefault="009A6A29" w:rsidP="00BF7ED6">
      <w:pPr>
        <w:jc w:val="center"/>
        <w:rPr>
          <w:b/>
          <w:szCs w:val="24"/>
        </w:rPr>
      </w:pPr>
    </w:p>
    <w:p w14:paraId="1C0B2958" w14:textId="733DDD32" w:rsidR="009A6A29" w:rsidRPr="0049650D" w:rsidRDefault="009A6A29" w:rsidP="00BF7ED6">
      <w:pPr>
        <w:jc w:val="center"/>
        <w:rPr>
          <w:b/>
          <w:szCs w:val="24"/>
        </w:rPr>
      </w:pPr>
    </w:p>
    <w:p w14:paraId="275BCB44" w14:textId="0791AC2D" w:rsidR="009A6A29" w:rsidRPr="0049650D" w:rsidRDefault="009A6A29" w:rsidP="00BF7ED6">
      <w:pPr>
        <w:jc w:val="center"/>
        <w:rPr>
          <w:b/>
          <w:szCs w:val="24"/>
        </w:rPr>
      </w:pPr>
    </w:p>
    <w:p w14:paraId="22FA44DF" w14:textId="618DBA79" w:rsidR="009A6A29" w:rsidRPr="0049650D" w:rsidRDefault="009A6A29" w:rsidP="009A6A29">
      <w:pPr>
        <w:tabs>
          <w:tab w:val="right" w:pos="9072"/>
        </w:tabs>
        <w:ind w:right="91"/>
        <w:jc w:val="right"/>
        <w:rPr>
          <w:b/>
          <w:szCs w:val="24"/>
          <w:u w:val="single"/>
        </w:rPr>
      </w:pPr>
      <w:r w:rsidRPr="0049650D">
        <w:rPr>
          <w:b/>
          <w:szCs w:val="24"/>
          <w:u w:val="single"/>
        </w:rPr>
        <w:lastRenderedPageBreak/>
        <w:t>ATTACHMENT C</w:t>
      </w:r>
    </w:p>
    <w:p w14:paraId="6E56CF40" w14:textId="77777777" w:rsidR="009A6A29" w:rsidRPr="0049650D" w:rsidRDefault="009A6A29" w:rsidP="009A6A29">
      <w:pPr>
        <w:widowControl w:val="0"/>
        <w:contextualSpacing/>
        <w:outlineLvl w:val="0"/>
        <w:rPr>
          <w:rFonts w:ascii="Calibri" w:eastAsiaTheme="minorHAnsi" w:hAnsi="Calibri" w:cstheme="minorBidi"/>
          <w:b/>
          <w:bCs/>
          <w:spacing w:val="5"/>
          <w:kern w:val="28"/>
          <w:sz w:val="32"/>
          <w:szCs w:val="28"/>
          <w:lang w:eastAsia="en-US"/>
        </w:rPr>
      </w:pPr>
      <w:r w:rsidRPr="0049650D">
        <w:rPr>
          <w:rFonts w:ascii="Calibri" w:eastAsiaTheme="minorHAnsi" w:hAnsi="Calibri" w:cstheme="minorBidi"/>
          <w:b/>
          <w:bCs/>
          <w:spacing w:val="5"/>
          <w:kern w:val="28"/>
          <w:sz w:val="32"/>
          <w:szCs w:val="28"/>
          <w:lang w:eastAsia="en-US"/>
        </w:rPr>
        <w:t xml:space="preserve">Statement of reasons under s 22XS(1B) of the </w:t>
      </w:r>
      <w:r w:rsidRPr="0049650D">
        <w:rPr>
          <w:rFonts w:ascii="Calibri" w:eastAsiaTheme="minorHAnsi" w:hAnsi="Calibri" w:cstheme="minorBidi"/>
          <w:b/>
          <w:bCs/>
          <w:i/>
          <w:spacing w:val="5"/>
          <w:kern w:val="28"/>
          <w:sz w:val="32"/>
          <w:szCs w:val="28"/>
          <w:lang w:eastAsia="en-US"/>
        </w:rPr>
        <w:t xml:space="preserve">National Greenhouse and Energy Reporting Act 2007 </w:t>
      </w:r>
      <w:r w:rsidRPr="0049650D">
        <w:rPr>
          <w:rFonts w:ascii="Calibri" w:eastAsiaTheme="minorHAnsi" w:hAnsi="Calibri" w:cstheme="minorBidi"/>
          <w:b/>
          <w:bCs/>
          <w:spacing w:val="5"/>
          <w:kern w:val="28"/>
          <w:sz w:val="32"/>
          <w:szCs w:val="28"/>
          <w:lang w:eastAsia="en-US"/>
        </w:rPr>
        <w:t xml:space="preserve">(NGER Act) – How the </w:t>
      </w:r>
      <w:r w:rsidRPr="0049650D">
        <w:rPr>
          <w:rFonts w:ascii="Calibri" w:eastAsiaTheme="minorHAnsi" w:hAnsi="Calibri" w:cstheme="minorBidi"/>
          <w:b/>
          <w:bCs/>
          <w:i/>
          <w:spacing w:val="5"/>
          <w:kern w:val="28"/>
          <w:sz w:val="32"/>
          <w:szCs w:val="28"/>
          <w:lang w:eastAsia="en-US"/>
        </w:rPr>
        <w:t>National Greenhouse and Energy Reporting (Safeguard Mechanism) Rule 2015</w:t>
      </w:r>
      <w:r w:rsidRPr="0049650D">
        <w:rPr>
          <w:rFonts w:ascii="Calibri" w:eastAsiaTheme="minorHAnsi" w:hAnsi="Calibri" w:cstheme="minorBidi"/>
          <w:b/>
          <w:bCs/>
          <w:spacing w:val="5"/>
          <w:kern w:val="28"/>
          <w:sz w:val="32"/>
          <w:szCs w:val="28"/>
          <w:lang w:eastAsia="en-US"/>
        </w:rPr>
        <w:t xml:space="preserve"> as amended by the Production Variables Update delivers the legislated safeguard outcomes </w:t>
      </w:r>
    </w:p>
    <w:p w14:paraId="1359B6E6" w14:textId="77777777" w:rsidR="009A6A29" w:rsidRPr="0049650D" w:rsidRDefault="009A6A29" w:rsidP="009A6A29">
      <w:pPr>
        <w:spacing w:before="0" w:after="200" w:line="276" w:lineRule="auto"/>
        <w:rPr>
          <w:rFonts w:asciiTheme="minorHAnsi" w:eastAsiaTheme="minorHAnsi" w:hAnsiTheme="minorHAnsi" w:cstheme="minorBidi"/>
          <w:sz w:val="22"/>
          <w:szCs w:val="22"/>
          <w:lang w:eastAsia="en-US"/>
        </w:rPr>
      </w:pPr>
    </w:p>
    <w:p w14:paraId="73CA57B7" w14:textId="2065A2E9"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 xml:space="preserve">In accordance with section 22XS(1A) and (1B) of the NGER Act, this statement sets out my reasons for being satisfied that the </w:t>
      </w:r>
      <w:r w:rsidRPr="0049650D">
        <w:rPr>
          <w:rFonts w:asciiTheme="minorHAnsi" w:eastAsiaTheme="minorHAnsi" w:hAnsiTheme="minorHAnsi" w:cstheme="minorBidi"/>
          <w:i/>
          <w:sz w:val="22"/>
          <w:szCs w:val="22"/>
          <w:lang w:eastAsia="en-US"/>
        </w:rPr>
        <w:t>National Greenhouse and Energy Reporting (Safeguard Mechanism) Rule 2015</w:t>
      </w:r>
      <w:r w:rsidRPr="0049650D">
        <w:rPr>
          <w:rFonts w:asciiTheme="minorHAnsi" w:eastAsiaTheme="minorHAnsi" w:hAnsiTheme="minorHAnsi" w:cstheme="minorBidi"/>
          <w:sz w:val="22"/>
          <w:szCs w:val="22"/>
          <w:lang w:eastAsia="en-US"/>
        </w:rPr>
        <w:t xml:space="preserve"> (</w:t>
      </w:r>
      <w:r w:rsidRPr="0049650D">
        <w:rPr>
          <w:rFonts w:asciiTheme="minorHAnsi" w:eastAsiaTheme="minorHAnsi" w:hAnsiTheme="minorHAnsi" w:cstheme="minorBidi"/>
          <w:b/>
          <w:sz w:val="22"/>
          <w:szCs w:val="22"/>
          <w:lang w:eastAsia="en-US"/>
        </w:rPr>
        <w:t>Safeguard Rules</w:t>
      </w:r>
      <w:r w:rsidRPr="0049650D">
        <w:rPr>
          <w:rFonts w:asciiTheme="minorHAnsi" w:eastAsiaTheme="minorHAnsi" w:hAnsiTheme="minorHAnsi" w:cstheme="minorBidi"/>
          <w:sz w:val="22"/>
          <w:szCs w:val="22"/>
          <w:lang w:eastAsia="en-US"/>
        </w:rPr>
        <w:t xml:space="preserve">) as amended by the </w:t>
      </w:r>
      <w:r w:rsidRPr="0049650D">
        <w:rPr>
          <w:rFonts w:asciiTheme="minorHAnsi" w:eastAsiaTheme="minorHAnsi" w:hAnsiTheme="minorHAnsi" w:cstheme="minorBidi"/>
          <w:i/>
          <w:sz w:val="22"/>
          <w:szCs w:val="22"/>
          <w:lang w:eastAsia="en-US"/>
        </w:rPr>
        <w:t xml:space="preserve">National Greenhouse and Energy Reporting (Safeguard Mechanism) Amendment (Production Variables Update) Rules 2023 </w:t>
      </w:r>
      <w:r w:rsidRPr="0049650D">
        <w:rPr>
          <w:rFonts w:asciiTheme="minorHAnsi" w:eastAsiaTheme="minorHAnsi" w:hAnsiTheme="minorHAnsi" w:cstheme="minorBidi"/>
          <w:sz w:val="22"/>
          <w:szCs w:val="22"/>
          <w:lang w:eastAsia="en-US"/>
        </w:rPr>
        <w:t>(</w:t>
      </w:r>
      <w:r w:rsidRPr="0049650D">
        <w:rPr>
          <w:rFonts w:asciiTheme="minorHAnsi" w:eastAsiaTheme="minorHAnsi" w:hAnsiTheme="minorHAnsi" w:cstheme="minorBidi"/>
          <w:b/>
          <w:sz w:val="22"/>
          <w:szCs w:val="22"/>
          <w:lang w:eastAsia="en-US"/>
        </w:rPr>
        <w:t>Production Variables Update</w:t>
      </w:r>
      <w:r w:rsidRPr="0049650D">
        <w:rPr>
          <w:rFonts w:asciiTheme="minorHAnsi" w:eastAsiaTheme="minorHAnsi" w:hAnsiTheme="minorHAnsi" w:cstheme="minorBidi"/>
          <w:sz w:val="22"/>
          <w:szCs w:val="22"/>
          <w:lang w:eastAsia="en-US"/>
        </w:rPr>
        <w:t xml:space="preserve">) are consistent with each of the safeguard outcomes in paragraphs 3(2)(b), (c) and (d), and that they take into account the safeguard outcomes in paragraphs 3(2)(e) and (f), of the NGER Act. </w:t>
      </w:r>
    </w:p>
    <w:p w14:paraId="3493F03B" w14:textId="77777777" w:rsidR="009A6A29" w:rsidRPr="0049650D" w:rsidRDefault="009A6A29" w:rsidP="009A6A29">
      <w:pPr>
        <w:keepNext/>
        <w:spacing w:after="240"/>
        <w:outlineLvl w:val="1"/>
        <w:rPr>
          <w:rFonts w:ascii="Calibri" w:eastAsiaTheme="minorEastAsia" w:hAnsi="Calibri" w:cstheme="minorBidi"/>
          <w:b/>
          <w:bCs/>
          <w:szCs w:val="28"/>
          <w:lang w:eastAsia="ja-JP"/>
        </w:rPr>
      </w:pPr>
      <w:r w:rsidRPr="0049650D">
        <w:rPr>
          <w:rFonts w:ascii="Calibri" w:eastAsiaTheme="minorEastAsia" w:hAnsi="Calibri" w:cstheme="minorBidi"/>
          <w:b/>
          <w:bCs/>
          <w:szCs w:val="28"/>
          <w:lang w:eastAsia="ja-JP"/>
        </w:rPr>
        <w:t>Summary</w:t>
      </w:r>
    </w:p>
    <w:p w14:paraId="2A73DEE0" w14:textId="629BCB03"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ja-JP"/>
        </w:rPr>
      </w:pPr>
      <w:r w:rsidRPr="0049650D">
        <w:rPr>
          <w:rFonts w:asciiTheme="minorHAnsi" w:eastAsiaTheme="minorHAnsi" w:hAnsiTheme="minorHAnsi" w:cstheme="minorBidi"/>
          <w:sz w:val="22"/>
          <w:szCs w:val="22"/>
          <w:lang w:eastAsia="ja-JP"/>
        </w:rPr>
        <w:t>The Production Variables Update makes technical changes to the Safeguard Rules by adding new production variables (</w:t>
      </w:r>
      <w:r w:rsidRPr="0049650D">
        <w:rPr>
          <w:rFonts w:asciiTheme="minorHAnsi" w:eastAsiaTheme="minorHAnsi" w:hAnsiTheme="minorHAnsi" w:cstheme="minorBidi"/>
          <w:b/>
          <w:sz w:val="22"/>
          <w:szCs w:val="22"/>
          <w:lang w:eastAsia="ja-JP"/>
        </w:rPr>
        <w:t>PVs</w:t>
      </w:r>
      <w:r w:rsidRPr="0049650D">
        <w:rPr>
          <w:rFonts w:asciiTheme="minorHAnsi" w:eastAsiaTheme="minorHAnsi" w:hAnsiTheme="minorHAnsi" w:cstheme="minorBidi"/>
          <w:sz w:val="22"/>
          <w:szCs w:val="22"/>
          <w:lang w:eastAsia="ja-JP"/>
        </w:rPr>
        <w:t xml:space="preserve">), updating existing PVs and setting industry average emission intensities </w:t>
      </w:r>
      <w:r w:rsidRPr="0049650D">
        <w:rPr>
          <w:rFonts w:asciiTheme="minorHAnsi" w:eastAsiaTheme="minorHAnsi" w:hAnsiTheme="minorHAnsi" w:cstheme="minorBidi"/>
          <w:sz w:val="22"/>
          <w:szCs w:val="22"/>
          <w:lang w:eastAsia="en-US"/>
        </w:rPr>
        <w:t>(also referred to as default emissions intensities (</w:t>
      </w:r>
      <w:r w:rsidRPr="0049650D">
        <w:rPr>
          <w:rFonts w:asciiTheme="minorHAnsi" w:eastAsiaTheme="minorHAnsi" w:hAnsiTheme="minorHAnsi" w:cstheme="minorBidi"/>
          <w:b/>
          <w:sz w:val="22"/>
          <w:szCs w:val="22"/>
          <w:lang w:eastAsia="en-US"/>
        </w:rPr>
        <w:t>EIs</w:t>
      </w:r>
      <w:r w:rsidRPr="0049650D">
        <w:rPr>
          <w:rFonts w:asciiTheme="minorHAnsi" w:eastAsiaTheme="minorHAnsi" w:hAnsiTheme="minorHAnsi" w:cstheme="minorBidi"/>
          <w:sz w:val="22"/>
          <w:szCs w:val="22"/>
          <w:lang w:eastAsia="en-US"/>
        </w:rPr>
        <w:t xml:space="preserve">)) to ensure a comprehensive set of suitable PVs are in place for setting Safeguard Mechanism baselines, while incentivising low emissions production.  </w:t>
      </w:r>
    </w:p>
    <w:p w14:paraId="3A3A103E" w14:textId="03F130A8"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ja-JP"/>
        </w:rPr>
      </w:pPr>
      <w:r w:rsidRPr="0049650D">
        <w:rPr>
          <w:rFonts w:asciiTheme="minorHAnsi" w:eastAsiaTheme="minorHAnsi" w:hAnsiTheme="minorHAnsi" w:cstheme="minorBidi"/>
          <w:sz w:val="22"/>
          <w:szCs w:val="22"/>
          <w:lang w:eastAsia="ja-JP"/>
        </w:rPr>
        <w:t xml:space="preserve">The Safeguard Rules as amended by the Production Variables Update deliver the required emission reductions consistent with safeguard outcomes </w:t>
      </w:r>
      <w:r w:rsidRPr="0049650D">
        <w:rPr>
          <w:rFonts w:asciiTheme="minorHAnsi" w:eastAsiaTheme="minorHAnsi" w:hAnsiTheme="minorHAnsi" w:cstheme="minorBidi"/>
          <w:sz w:val="22"/>
          <w:szCs w:val="22"/>
          <w:lang w:eastAsia="en-US"/>
        </w:rPr>
        <w:t>3(2)(b), (c) and (d), while providing strong incentives to reduce onsite emissions at each designated large facility and supporting the competitiveness of trade exposed industries in accounting for safeguard outcomes 3(2)(e) and (f), of the NGER Act. The Safeguard Rules as amended ensure that:</w:t>
      </w:r>
    </w:p>
    <w:p w14:paraId="608DDE55" w14:textId="77777777" w:rsidR="009A6A29" w:rsidRPr="0049650D" w:rsidRDefault="009A6A29" w:rsidP="007051A9">
      <w:pPr>
        <w:numPr>
          <w:ilvl w:val="1"/>
          <w:numId w:val="19"/>
        </w:numPr>
        <w:tabs>
          <w:tab w:val="left" w:pos="142"/>
        </w:tabs>
        <w:spacing w:before="0" w:after="200" w:line="276" w:lineRule="auto"/>
        <w:rPr>
          <w:rFonts w:asciiTheme="minorHAnsi" w:eastAsiaTheme="minorHAnsi" w:hAnsiTheme="minorHAnsi" w:cstheme="minorBidi"/>
          <w:sz w:val="22"/>
          <w:szCs w:val="22"/>
          <w:lang w:eastAsia="ja-JP"/>
        </w:rPr>
      </w:pPr>
      <w:r w:rsidRPr="0049650D">
        <w:rPr>
          <w:rFonts w:asciiTheme="minorHAnsi" w:eastAsiaTheme="minorHAnsi" w:hAnsiTheme="minorHAnsi" w:cstheme="minorBidi"/>
          <w:sz w:val="22"/>
          <w:szCs w:val="22"/>
          <w:lang w:eastAsia="en-US"/>
        </w:rPr>
        <w:t>Enforceable baselines are set for the net emissions of each designated large facility (relevant to safeguard outcome (a) - but noting that this safeguard outcome is not engaged by the requirement in section 22XS(1A) of the NGER Act)</w:t>
      </w:r>
    </w:p>
    <w:p w14:paraId="3D974B7B" w14:textId="77777777" w:rsidR="009A6A29" w:rsidRPr="0049650D" w:rsidRDefault="009A6A29" w:rsidP="007051A9">
      <w:pPr>
        <w:numPr>
          <w:ilvl w:val="1"/>
          <w:numId w:val="19"/>
        </w:numPr>
        <w:tabs>
          <w:tab w:val="left" w:pos="142"/>
        </w:tabs>
        <w:spacing w:before="0" w:after="200" w:line="276" w:lineRule="auto"/>
        <w:rPr>
          <w:rFonts w:asciiTheme="minorHAnsi" w:eastAsiaTheme="minorHAnsi" w:hAnsiTheme="minorHAnsi" w:cstheme="minorBidi"/>
          <w:sz w:val="22"/>
          <w:szCs w:val="22"/>
          <w:lang w:eastAsia="ja-JP"/>
        </w:rPr>
      </w:pPr>
      <w:r w:rsidRPr="0049650D">
        <w:rPr>
          <w:rFonts w:asciiTheme="minorHAnsi" w:eastAsiaTheme="minorHAnsi" w:hAnsiTheme="minorHAnsi" w:cstheme="minorBidi"/>
          <w:sz w:val="22"/>
          <w:szCs w:val="22"/>
          <w:lang w:eastAsia="en-US"/>
        </w:rPr>
        <w:t>Baselines will decline and are reasonably expected to achieve the 1,233 million tonne 10-year limit on total net safeguard emissions (referred to as the 'net emissions budget'), including with an appropriate reserve for uncertainty about future emissions (relevant to safeguard outcome (b))</w:t>
      </w:r>
    </w:p>
    <w:p w14:paraId="70377709" w14:textId="59AE0BD3" w:rsidR="009A6A29" w:rsidRPr="0049650D" w:rsidRDefault="009A6A29" w:rsidP="007051A9">
      <w:pPr>
        <w:numPr>
          <w:ilvl w:val="1"/>
          <w:numId w:val="19"/>
        </w:numPr>
        <w:tabs>
          <w:tab w:val="left" w:pos="142"/>
        </w:tabs>
        <w:spacing w:before="0" w:after="200" w:line="276" w:lineRule="auto"/>
        <w:rPr>
          <w:rFonts w:asciiTheme="minorHAnsi" w:eastAsiaTheme="minorHAnsi" w:hAnsiTheme="minorHAnsi" w:cstheme="minorBidi"/>
          <w:sz w:val="22"/>
          <w:szCs w:val="22"/>
          <w:lang w:eastAsia="ja-JP"/>
        </w:rPr>
      </w:pPr>
      <w:r w:rsidRPr="0049650D">
        <w:rPr>
          <w:rFonts w:asciiTheme="minorHAnsi" w:eastAsiaTheme="minorHAnsi" w:hAnsiTheme="minorHAnsi" w:cstheme="minorBidi"/>
          <w:sz w:val="22"/>
          <w:szCs w:val="22"/>
          <w:lang w:eastAsia="en-US"/>
        </w:rPr>
        <w:t>The baseline decline is reasonably expected to result in less than 100 million tonnes of net safeguard emissions in 20</w:t>
      </w:r>
      <w:r w:rsidR="008E0DEE" w:rsidRPr="0049650D">
        <w:rPr>
          <w:rFonts w:asciiTheme="minorHAnsi" w:eastAsiaTheme="minorHAnsi" w:hAnsiTheme="minorHAnsi" w:cstheme="minorBidi"/>
          <w:sz w:val="22"/>
          <w:szCs w:val="22"/>
          <w:lang w:eastAsia="en-US"/>
        </w:rPr>
        <w:t>29-</w:t>
      </w:r>
      <w:r w:rsidRPr="0049650D">
        <w:rPr>
          <w:rFonts w:asciiTheme="minorHAnsi" w:eastAsiaTheme="minorHAnsi" w:hAnsiTheme="minorHAnsi" w:cstheme="minorBidi"/>
          <w:sz w:val="22"/>
          <w:szCs w:val="22"/>
          <w:lang w:eastAsia="en-US"/>
        </w:rPr>
        <w:t>30, and baselines will be set at zero from 30 June 2049 (relevant to safeguard outcome (c))</w:t>
      </w:r>
    </w:p>
    <w:p w14:paraId="1ADE8DCE" w14:textId="77777777" w:rsidR="009A6A29" w:rsidRPr="0049650D" w:rsidRDefault="009A6A29" w:rsidP="007051A9">
      <w:pPr>
        <w:numPr>
          <w:ilvl w:val="1"/>
          <w:numId w:val="19"/>
        </w:numPr>
        <w:tabs>
          <w:tab w:val="left" w:pos="142"/>
        </w:tabs>
        <w:spacing w:before="0" w:after="200" w:line="276" w:lineRule="auto"/>
        <w:rPr>
          <w:rFonts w:asciiTheme="minorHAnsi" w:eastAsiaTheme="minorHAnsi" w:hAnsiTheme="minorHAnsi" w:cstheme="minorBidi"/>
          <w:sz w:val="22"/>
          <w:szCs w:val="22"/>
          <w:lang w:eastAsia="ja-JP"/>
        </w:rPr>
      </w:pPr>
      <w:r w:rsidRPr="0049650D">
        <w:rPr>
          <w:rFonts w:asciiTheme="minorHAnsi" w:eastAsiaTheme="minorHAnsi" w:hAnsiTheme="minorHAnsi" w:cstheme="minorBidi"/>
          <w:sz w:val="22"/>
          <w:szCs w:val="22"/>
          <w:lang w:eastAsia="en-US"/>
        </w:rPr>
        <w:lastRenderedPageBreak/>
        <w:t>The incentives created are reasonably expected to result in emissions declining consistent with the 5-year rolling average for each financial year that begins after 30 June 2024 (relevant to safeguard outcome (d))</w:t>
      </w:r>
    </w:p>
    <w:p w14:paraId="66F2E349" w14:textId="77777777" w:rsidR="009A6A29" w:rsidRPr="0049650D" w:rsidRDefault="009A6A29" w:rsidP="007051A9">
      <w:pPr>
        <w:numPr>
          <w:ilvl w:val="1"/>
          <w:numId w:val="19"/>
        </w:numPr>
        <w:tabs>
          <w:tab w:val="left" w:pos="142"/>
        </w:tabs>
        <w:spacing w:before="0" w:after="200" w:line="276" w:lineRule="auto"/>
        <w:rPr>
          <w:rFonts w:asciiTheme="minorHAnsi" w:eastAsiaTheme="minorHAnsi" w:hAnsiTheme="minorHAnsi" w:cstheme="minorBidi"/>
          <w:sz w:val="22"/>
          <w:szCs w:val="22"/>
          <w:lang w:eastAsia="ja-JP"/>
        </w:rPr>
      </w:pPr>
      <w:r w:rsidRPr="0049650D">
        <w:rPr>
          <w:rFonts w:asciiTheme="minorHAnsi" w:eastAsiaTheme="minorHAnsi" w:hAnsiTheme="minorHAnsi" w:cstheme="minorBidi"/>
          <w:sz w:val="22"/>
          <w:szCs w:val="22"/>
          <w:lang w:eastAsia="en-US"/>
        </w:rPr>
        <w:t>Strong incentives from baseline decline and Safeguard Mechanism Credits continue to provide a material incentive for the responsible emitter for each designated large facility to invest in reducing covered emissions from the operation of their facilities</w:t>
      </w:r>
      <w:r w:rsidRPr="0049650D" w:rsidDel="00BA7933">
        <w:rPr>
          <w:rFonts w:asciiTheme="minorHAnsi" w:eastAsiaTheme="minorHAnsi" w:hAnsiTheme="minorHAnsi" w:cstheme="minorBidi"/>
          <w:sz w:val="22"/>
          <w:szCs w:val="22"/>
          <w:lang w:eastAsia="en-US"/>
        </w:rPr>
        <w:t xml:space="preserve"> </w:t>
      </w:r>
      <w:r w:rsidRPr="0049650D">
        <w:rPr>
          <w:rFonts w:asciiTheme="minorHAnsi" w:eastAsiaTheme="minorHAnsi" w:hAnsiTheme="minorHAnsi" w:cstheme="minorBidi"/>
          <w:sz w:val="22"/>
          <w:szCs w:val="22"/>
          <w:lang w:eastAsia="en-US"/>
        </w:rPr>
        <w:t>(relevant to safeguard outcome (e))</w:t>
      </w:r>
    </w:p>
    <w:p w14:paraId="0F06645A" w14:textId="77777777" w:rsidR="009A6A29" w:rsidRPr="0049650D" w:rsidRDefault="009A6A29" w:rsidP="007051A9">
      <w:pPr>
        <w:numPr>
          <w:ilvl w:val="1"/>
          <w:numId w:val="19"/>
        </w:numPr>
        <w:tabs>
          <w:tab w:val="left" w:pos="142"/>
        </w:tabs>
        <w:spacing w:before="0" w:after="200" w:line="276" w:lineRule="auto"/>
        <w:rPr>
          <w:rFonts w:asciiTheme="minorHAnsi" w:eastAsiaTheme="minorHAnsi" w:hAnsiTheme="minorHAnsi" w:cstheme="minorBidi"/>
          <w:sz w:val="22"/>
          <w:szCs w:val="22"/>
          <w:lang w:eastAsia="ja-JP"/>
        </w:rPr>
      </w:pPr>
      <w:r w:rsidRPr="0049650D">
        <w:rPr>
          <w:rFonts w:asciiTheme="minorHAnsi" w:eastAsiaTheme="minorHAnsi" w:hAnsiTheme="minorHAnsi" w:cstheme="minorBidi"/>
          <w:sz w:val="22"/>
          <w:szCs w:val="22"/>
          <w:lang w:eastAsia="en-US"/>
        </w:rPr>
        <w:t>Competitiveness of trade-exposed industries is supported, including through trade exposed baseline adjusted provisions (relevant to safeguard outcome (f)).</w:t>
      </w:r>
    </w:p>
    <w:p w14:paraId="03449BB4" w14:textId="6E162C27"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ja-JP"/>
        </w:rPr>
      </w:pPr>
      <w:r w:rsidRPr="0049650D">
        <w:rPr>
          <w:rFonts w:asciiTheme="minorHAnsi" w:eastAsiaTheme="minorHAnsi" w:hAnsiTheme="minorHAnsi" w:cstheme="minorBidi"/>
          <w:sz w:val="22"/>
          <w:szCs w:val="22"/>
          <w:lang w:eastAsia="ja-JP"/>
        </w:rPr>
        <w:t>The Production Variables Update amends the Safeguard Rules to</w:t>
      </w:r>
      <w:r w:rsidRPr="0049650D" w:rsidDel="001301D5">
        <w:rPr>
          <w:rFonts w:asciiTheme="minorHAnsi" w:eastAsiaTheme="minorHAnsi" w:hAnsiTheme="minorHAnsi" w:cstheme="minorBidi"/>
          <w:sz w:val="22"/>
          <w:szCs w:val="22"/>
          <w:lang w:eastAsia="ja-JP"/>
        </w:rPr>
        <w:t xml:space="preserve"> </w:t>
      </w:r>
      <w:r w:rsidRPr="0049650D">
        <w:rPr>
          <w:rFonts w:asciiTheme="minorHAnsi" w:eastAsiaTheme="minorHAnsi" w:hAnsiTheme="minorHAnsi" w:cstheme="minorBidi"/>
          <w:sz w:val="22"/>
          <w:szCs w:val="22"/>
          <w:lang w:eastAsia="ja-JP"/>
        </w:rPr>
        <w:t>provide</w:t>
      </w:r>
      <w:r w:rsidRPr="0049650D">
        <w:rPr>
          <w:rFonts w:asciiTheme="minorHAnsi" w:eastAsiaTheme="minorHAnsi" w:hAnsiTheme="minorHAnsi" w:cstheme="minorBidi"/>
          <w:sz w:val="22"/>
          <w:szCs w:val="22"/>
          <w:lang w:eastAsia="en-US"/>
        </w:rPr>
        <w:t xml:space="preserve"> greater certainty for facilities in understanding the PVs and EIs determined for each facility, so they are able to better manage their emissions reporting and other requirements under the Safeguard Mechanism. It does this by confirming that the PVs and EIs the subject of the Production Variables Update have undergone review to ensure the PVs are technically correct and the EIs represent industry average emissions intensities.  Taken together, the amended PVs and EIs better support incentives for decarbonisation by providing a suitable basis for setting baselines that reflect emissions per unit of production. </w:t>
      </w:r>
    </w:p>
    <w:p w14:paraId="7A15F50B" w14:textId="77777777" w:rsidR="009A6A29" w:rsidRPr="0049650D" w:rsidRDefault="009A6A29" w:rsidP="009A6A29">
      <w:pPr>
        <w:keepNext/>
        <w:spacing w:after="240"/>
        <w:outlineLvl w:val="1"/>
        <w:rPr>
          <w:rFonts w:asciiTheme="minorHAnsi" w:eastAsiaTheme="minorEastAsia" w:hAnsiTheme="minorHAnsi" w:cstheme="minorHAnsi"/>
          <w:b/>
          <w:bCs/>
          <w:sz w:val="22"/>
          <w:szCs w:val="22"/>
          <w:lang w:eastAsia="ja-JP"/>
        </w:rPr>
      </w:pPr>
      <w:r w:rsidRPr="0049650D">
        <w:rPr>
          <w:rFonts w:asciiTheme="minorHAnsi" w:eastAsiaTheme="minorEastAsia" w:hAnsiTheme="minorHAnsi" w:cstheme="minorHAnsi"/>
          <w:b/>
          <w:bCs/>
          <w:sz w:val="22"/>
          <w:szCs w:val="22"/>
          <w:lang w:eastAsia="ja-JP"/>
        </w:rPr>
        <w:t>Definitions</w:t>
      </w:r>
    </w:p>
    <w:tbl>
      <w:tblPr>
        <w:tblW w:w="90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4"/>
        <w:gridCol w:w="7700"/>
      </w:tblGrid>
      <w:tr w:rsidR="009A6A29" w:rsidRPr="0049650D" w14:paraId="3CAC8CC8" w14:textId="77777777" w:rsidTr="007341A1">
        <w:trPr>
          <w:trHeight w:val="375"/>
          <w:tblHeader/>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3766B118"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b/>
                <w:sz w:val="22"/>
                <w:szCs w:val="22"/>
              </w:rPr>
              <w:t>Abbreviation</w:t>
            </w:r>
            <w:r w:rsidRPr="0049650D">
              <w:rPr>
                <w:rFonts w:asciiTheme="minorHAnsi" w:hAnsiTheme="minorHAnsi" w:cstheme="minorHAnsi"/>
                <w:sz w:val="22"/>
                <w:szCs w:val="22"/>
              </w:rPr>
              <w:t>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79A4A721"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b/>
                <w:sz w:val="22"/>
                <w:szCs w:val="22"/>
              </w:rPr>
              <w:t>Definition</w:t>
            </w:r>
            <w:r w:rsidRPr="0049650D">
              <w:rPr>
                <w:rFonts w:asciiTheme="minorHAnsi" w:hAnsiTheme="minorHAnsi" w:cstheme="minorHAnsi"/>
                <w:sz w:val="22"/>
                <w:szCs w:val="22"/>
              </w:rPr>
              <w:t> </w:t>
            </w:r>
          </w:p>
        </w:tc>
      </w:tr>
      <w:tr w:rsidR="009A6A29" w:rsidRPr="0049650D" w14:paraId="6974F926"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2A1AECC"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ACCU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4FBB8F4A" w14:textId="77777777" w:rsidR="009A6A29" w:rsidRPr="0049650D" w:rsidRDefault="009A6A29" w:rsidP="009A6A29">
            <w:pPr>
              <w:spacing w:before="0" w:after="0"/>
              <w:ind w:right="90"/>
              <w:textAlignment w:val="baseline"/>
              <w:rPr>
                <w:rFonts w:asciiTheme="minorHAnsi" w:eastAsiaTheme="minorHAnsi" w:hAnsiTheme="minorHAnsi" w:cstheme="minorBidi"/>
                <w:sz w:val="22"/>
                <w:szCs w:val="22"/>
                <w:lang w:eastAsia="en-US"/>
              </w:rPr>
            </w:pPr>
            <w:r w:rsidRPr="0049650D">
              <w:rPr>
                <w:rFonts w:asciiTheme="minorHAnsi" w:hAnsiTheme="minorHAnsi" w:cstheme="minorHAnsi"/>
                <w:sz w:val="22"/>
                <w:szCs w:val="22"/>
              </w:rPr>
              <w:t xml:space="preserve">Australian Carbon Credit Unit, which has the same meaning as in the </w:t>
            </w:r>
            <w:r w:rsidRPr="0049650D">
              <w:rPr>
                <w:rFonts w:asciiTheme="minorHAnsi" w:hAnsiTheme="minorHAnsi" w:cstheme="minorHAnsi"/>
                <w:i/>
                <w:iCs/>
                <w:sz w:val="22"/>
                <w:szCs w:val="22"/>
              </w:rPr>
              <w:t>Carbon Credits (Carbon Farming Initiative) Act 2011.</w:t>
            </w:r>
          </w:p>
        </w:tc>
      </w:tr>
      <w:tr w:rsidR="009A6A29" w:rsidRPr="0049650D" w14:paraId="441AD034"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7871CE4"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Baseline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256C3ADC"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The baseline emissions number for a facility, as specified in section 22XL of the NGER Act.  </w:t>
            </w:r>
          </w:p>
        </w:tc>
      </w:tr>
      <w:tr w:rsidR="009A6A29" w:rsidRPr="0049650D" w14:paraId="2D8F417D"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53B24344"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CO</w:t>
            </w:r>
            <w:r w:rsidRPr="0049650D">
              <w:rPr>
                <w:rFonts w:asciiTheme="minorHAnsi" w:hAnsiTheme="minorHAnsi" w:cstheme="minorHAnsi"/>
                <w:sz w:val="22"/>
                <w:szCs w:val="22"/>
                <w:vertAlign w:val="subscript"/>
              </w:rPr>
              <w:t>2</w:t>
            </w:r>
            <w:r w:rsidRPr="0049650D">
              <w:rPr>
                <w:rFonts w:asciiTheme="minorHAnsi" w:hAnsiTheme="minorHAnsi" w:cstheme="minorHAnsi"/>
                <w:sz w:val="22"/>
                <w:szCs w:val="22"/>
              </w:rPr>
              <w:t>-e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78CB6283"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 xml:space="preserve">Abbreviation for carbon dioxide equivalent, a way of quantifying greenhouse gases to reflect their contribution to climate change compared to a unit of carbon dioxide equivalent. In the NGER Act, the </w:t>
            </w:r>
            <w:r w:rsidRPr="0049650D">
              <w:rPr>
                <w:rFonts w:asciiTheme="minorHAnsi" w:eastAsiaTheme="minorHAnsi" w:hAnsiTheme="minorHAnsi" w:cstheme="minorBidi"/>
                <w:sz w:val="22"/>
                <w:szCs w:val="22"/>
                <w:lang w:eastAsia="en-US"/>
              </w:rPr>
              <w:t>carbon dioxide equivalence of an amount of greenhouse gas, means the amount of the gas multiplied by a value specified in the regulations in relation to that kind of greenhouse gas.</w:t>
            </w:r>
            <w:r w:rsidRPr="0049650D">
              <w:rPr>
                <w:rFonts w:asciiTheme="minorHAnsi" w:hAnsiTheme="minorHAnsi" w:cstheme="minorHAnsi"/>
                <w:sz w:val="22"/>
                <w:szCs w:val="22"/>
              </w:rPr>
              <w:t> </w:t>
            </w:r>
          </w:p>
        </w:tc>
      </w:tr>
      <w:tr w:rsidR="009A6A29" w:rsidRPr="0049650D" w14:paraId="55EF3804"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6BD022A9"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Covered emissions</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2ACEADD3"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eastAsiaTheme="minorHAnsi" w:hAnsiTheme="minorHAnsi" w:cstheme="minorBidi"/>
                <w:sz w:val="22"/>
                <w:szCs w:val="22"/>
                <w:lang w:eastAsia="en-US"/>
              </w:rPr>
              <w:t>Has the meaning given by section 22XI of the NGER Act</w:t>
            </w:r>
            <w:r w:rsidRPr="0049650D">
              <w:rPr>
                <w:rFonts w:asciiTheme="minorHAnsi" w:hAnsiTheme="minorHAnsi" w:cstheme="minorHAnsi"/>
                <w:sz w:val="22"/>
                <w:szCs w:val="22"/>
              </w:rPr>
              <w:t xml:space="preserve"> </w:t>
            </w:r>
            <w:proofErr w:type="gramStart"/>
            <w:r w:rsidRPr="0049650D">
              <w:rPr>
                <w:rFonts w:asciiTheme="minorHAnsi" w:hAnsiTheme="minorHAnsi" w:cstheme="minorHAnsi"/>
                <w:sz w:val="22"/>
                <w:szCs w:val="22"/>
              </w:rPr>
              <w:t>i.e.</w:t>
            </w:r>
            <w:proofErr w:type="gramEnd"/>
            <w:r w:rsidRPr="0049650D">
              <w:rPr>
                <w:rFonts w:asciiTheme="minorHAnsi" w:hAnsiTheme="minorHAnsi" w:cstheme="minorHAnsi"/>
                <w:sz w:val="22"/>
                <w:szCs w:val="22"/>
              </w:rPr>
              <w:t xml:space="preserve"> </w:t>
            </w:r>
            <w:r w:rsidRPr="0049650D">
              <w:rPr>
                <w:rFonts w:asciiTheme="minorHAnsi" w:eastAsiaTheme="minorHAnsi" w:hAnsiTheme="minorHAnsi" w:cstheme="minorBidi"/>
                <w:sz w:val="22"/>
                <w:szCs w:val="22"/>
                <w:lang w:eastAsia="en-US"/>
              </w:rPr>
              <w:t>scope 1 emissions of one or more greenhouse gases, other than emissions of a kind specified in the Safeguard Rules.</w:t>
            </w:r>
          </w:p>
        </w:tc>
      </w:tr>
      <w:tr w:rsidR="009A6A29" w:rsidRPr="0049650D" w14:paraId="2D03BE1F"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5544CC6A"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Department</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4B62EBFA" w14:textId="77777777" w:rsidR="009A6A29" w:rsidRPr="0049650D" w:rsidDel="003A21E1"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Department of Climate Change, Energy, the Environment and Water</w:t>
            </w:r>
          </w:p>
        </w:tc>
      </w:tr>
      <w:tr w:rsidR="009A6A29" w:rsidRPr="0049650D" w14:paraId="494F2909"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03A17F1C"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Default emissions reduction contribution</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65961276"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For a financial year, has the meaning given by section 31 of the Safeguard Rules.</w:t>
            </w:r>
          </w:p>
        </w:tc>
      </w:tr>
      <w:tr w:rsidR="009A6A29" w:rsidRPr="0049650D" w14:paraId="495A5DA2"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7CE614E2"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Designated large facility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21BC2168"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A facility covered by the Safeguard Mechanism, as defined in section 22XJ of the NGER Act.</w:t>
            </w:r>
          </w:p>
        </w:tc>
      </w:tr>
      <w:tr w:rsidR="009A6A29" w:rsidRPr="0049650D" w14:paraId="513BEA27"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2AC6FB4D"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Default Emissions Intensity (EI)</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2EA37E95"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eastAsiaTheme="minorHAnsi" w:hAnsiTheme="minorHAnsi" w:cstheme="minorBidi"/>
                <w:color w:val="000000"/>
                <w:sz w:val="22"/>
                <w:szCs w:val="22"/>
                <w:shd w:val="clear" w:color="auto" w:fill="FFFFFF"/>
                <w:lang w:eastAsia="en-US"/>
              </w:rPr>
              <w:t>For a production variable for a financial year, means the default emissions intensity specified, in t CO</w:t>
            </w:r>
            <w:r w:rsidRPr="0049650D">
              <w:rPr>
                <w:rFonts w:asciiTheme="minorHAnsi" w:eastAsiaTheme="minorHAnsi" w:hAnsiTheme="minorHAnsi" w:cstheme="minorBidi"/>
                <w:color w:val="000000"/>
                <w:sz w:val="17"/>
                <w:szCs w:val="17"/>
                <w:shd w:val="clear" w:color="auto" w:fill="FFFFFF"/>
                <w:vertAlign w:val="subscript"/>
                <w:lang w:eastAsia="en-US"/>
              </w:rPr>
              <w:t>2</w:t>
            </w:r>
            <w:r w:rsidRPr="0049650D">
              <w:rPr>
                <w:rFonts w:asciiTheme="minorHAnsi" w:eastAsiaTheme="minorHAnsi" w:hAnsiTheme="minorHAnsi" w:cstheme="minorBidi"/>
                <w:color w:val="000000"/>
                <w:sz w:val="22"/>
                <w:szCs w:val="22"/>
                <w:shd w:val="clear" w:color="auto" w:fill="FFFFFF"/>
                <w:lang w:eastAsia="en-US"/>
              </w:rPr>
              <w:noBreakHyphen/>
              <w:t>e per unit of the production variable, in relation to the production variable in Schedule 1 as in force at the start of that financial year, as defined in section 4 of the Safeguard Rules.</w:t>
            </w:r>
          </w:p>
        </w:tc>
      </w:tr>
      <w:tr w:rsidR="009A6A29" w:rsidRPr="0049650D" w14:paraId="484DB4E2"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0292B3B6"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lastRenderedPageBreak/>
              <w:t>Facility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510502EA"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An activity or a series of activities that involve greenhouse gas emissions, the production of energy or the consumption of energy, as defined in section 9 of the NGER Act. </w:t>
            </w:r>
          </w:p>
        </w:tc>
      </w:tr>
      <w:tr w:rsidR="009A6A29" w:rsidRPr="0049650D" w14:paraId="739203A9"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682125D4"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Mt</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5AB52D26"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Million tonnes</w:t>
            </w:r>
          </w:p>
        </w:tc>
      </w:tr>
      <w:tr w:rsidR="009A6A29" w:rsidRPr="0049650D" w14:paraId="18104EC5"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3A36A13"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NDC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6F292228"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Nationally Determined Contribution under the Paris Agreement</w:t>
            </w:r>
          </w:p>
        </w:tc>
      </w:tr>
      <w:tr w:rsidR="009A6A29" w:rsidRPr="0049650D" w14:paraId="2CAD0016"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44AAA752"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Net covered emissions</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61E1C0C4" w14:textId="77777777" w:rsidR="009A6A29" w:rsidRPr="0049650D" w:rsidRDefault="009A6A29" w:rsidP="009A6A29">
            <w:pPr>
              <w:spacing w:before="0" w:after="0"/>
              <w:ind w:right="90"/>
              <w:textAlignment w:val="baseline"/>
              <w:rPr>
                <w:rFonts w:asciiTheme="minorHAnsi" w:hAnsiTheme="minorHAnsi" w:cstheme="minorHAnsi"/>
                <w:iCs/>
                <w:sz w:val="22"/>
                <w:szCs w:val="22"/>
              </w:rPr>
            </w:pPr>
            <w:r w:rsidRPr="0049650D">
              <w:rPr>
                <w:rFonts w:asciiTheme="minorHAnsi" w:hAnsiTheme="minorHAnsi" w:cstheme="minorHAnsi"/>
                <w:iCs/>
                <w:sz w:val="22"/>
                <w:szCs w:val="22"/>
              </w:rPr>
              <w:t xml:space="preserve">Means the total amount, in tonnes of carbon dioxide equivalence, of covered emissions for a particular designated large facility adjusted for the total amount of prescribed carbon units (ACCUs or SMCs) surrendered. The NGER Act established the Safeguard Mechanism to ensure </w:t>
            </w:r>
            <w:r w:rsidRPr="0049650D">
              <w:rPr>
                <w:rFonts w:asciiTheme="minorHAnsi" w:eastAsiaTheme="minorHAnsi" w:hAnsiTheme="minorHAnsi" w:cstheme="minorBidi"/>
                <w:sz w:val="22"/>
                <w:szCs w:val="22"/>
                <w:lang w:eastAsia="en-US"/>
              </w:rPr>
              <w:t>that net covered emissions of greenhouse gases from the operation of a designated large facility do not exceed the baseline applicable to the facility.</w:t>
            </w:r>
          </w:p>
        </w:tc>
      </w:tr>
      <w:tr w:rsidR="009A6A29" w:rsidRPr="0049650D" w14:paraId="563523E0"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03E92084"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Net emissions budget</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2191173C" w14:textId="77777777" w:rsidR="009A6A29" w:rsidRPr="0049650D" w:rsidRDefault="009A6A29" w:rsidP="009A6A29">
            <w:pPr>
              <w:spacing w:before="0" w:after="0"/>
              <w:ind w:right="90"/>
              <w:textAlignment w:val="baseline"/>
              <w:rPr>
                <w:rFonts w:asciiTheme="minorHAnsi" w:hAnsiTheme="minorHAnsi" w:cstheme="minorHAnsi"/>
                <w:iCs/>
                <w:sz w:val="22"/>
                <w:szCs w:val="22"/>
              </w:rPr>
            </w:pPr>
            <w:r w:rsidRPr="0049650D">
              <w:rPr>
                <w:rFonts w:asciiTheme="minorHAnsi" w:eastAsiaTheme="minorHAnsi" w:hAnsiTheme="minorHAnsi" w:cstheme="minorBidi"/>
                <w:sz w:val="22"/>
                <w:szCs w:val="22"/>
                <w:lang w:eastAsia="en-US"/>
              </w:rPr>
              <w:t>The 1,233 million tonne limit on net safeguard emissions for all of the financial years between 1 July 2020 and 30 June 2030 referred to in safeguard outcome (b).</w:t>
            </w:r>
          </w:p>
        </w:tc>
      </w:tr>
      <w:tr w:rsidR="009A6A29" w:rsidRPr="0049650D" w14:paraId="54E40D7D"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4FAE225D"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Net emissions number</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66692964" w14:textId="77777777" w:rsidR="009A6A29" w:rsidRPr="0049650D" w:rsidRDefault="009A6A29" w:rsidP="009A6A29">
            <w:pPr>
              <w:spacing w:before="0" w:after="0"/>
              <w:ind w:right="90"/>
              <w:textAlignment w:val="baseline"/>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Has the meaning given by section 22XD of the NGER Act, i.e., the number of tonnes of carbon dioxide equivalence of the total amount of covered emissions of greenhouse gases from the operation of the facility during the period:</w:t>
            </w:r>
          </w:p>
          <w:p w14:paraId="6B65D8D6" w14:textId="77777777" w:rsidR="009A6A29" w:rsidRPr="0049650D" w:rsidRDefault="009A6A29" w:rsidP="007051A9">
            <w:pPr>
              <w:numPr>
                <w:ilvl w:val="0"/>
                <w:numId w:val="22"/>
              </w:numPr>
              <w:spacing w:before="0" w:after="0" w:line="276" w:lineRule="auto"/>
              <w:ind w:right="90"/>
              <w:textAlignment w:val="baseline"/>
              <w:rPr>
                <w:rFonts w:ascii="Calibri" w:eastAsiaTheme="minorHAnsi" w:hAnsi="Calibri" w:cs="Calibri"/>
                <w:sz w:val="22"/>
                <w:szCs w:val="22"/>
                <w:lang w:eastAsia="en-US"/>
              </w:rPr>
            </w:pPr>
            <w:r w:rsidRPr="0049650D">
              <w:rPr>
                <w:rFonts w:ascii="Calibri" w:eastAsiaTheme="minorHAnsi" w:hAnsi="Calibri" w:cs="Calibri"/>
                <w:sz w:val="22"/>
                <w:szCs w:val="22"/>
                <w:lang w:eastAsia="en-US"/>
              </w:rPr>
              <w:t>reduced by surrendered prescribed carbon units; and</w:t>
            </w:r>
          </w:p>
          <w:p w14:paraId="3D3C7F15" w14:textId="77777777" w:rsidR="009A6A29" w:rsidRPr="0049650D" w:rsidRDefault="009A6A29" w:rsidP="007051A9">
            <w:pPr>
              <w:numPr>
                <w:ilvl w:val="0"/>
                <w:numId w:val="22"/>
              </w:numPr>
              <w:spacing w:before="0" w:after="0" w:line="276" w:lineRule="auto"/>
              <w:ind w:right="90"/>
              <w:textAlignment w:val="baseline"/>
              <w:rPr>
                <w:rFonts w:ascii="Calibri" w:eastAsiaTheme="minorHAnsi" w:hAnsi="Calibri" w:cs="Calibri"/>
                <w:sz w:val="22"/>
                <w:szCs w:val="22"/>
                <w:lang w:eastAsia="en-US"/>
              </w:rPr>
            </w:pPr>
            <w:r w:rsidRPr="0049650D">
              <w:rPr>
                <w:rFonts w:ascii="Calibri" w:eastAsiaTheme="minorHAnsi" w:hAnsi="Calibri" w:cs="Calibri"/>
                <w:sz w:val="22"/>
                <w:szCs w:val="22"/>
                <w:lang w:eastAsia="en-US"/>
              </w:rPr>
              <w:t>increased by Australian carbon credit units that were issued in relation to the facility.</w:t>
            </w:r>
          </w:p>
        </w:tc>
      </w:tr>
      <w:tr w:rsidR="009A6A29" w:rsidRPr="0049650D" w14:paraId="26FFEF2C"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4BE64B7A"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Net safeguard emissions</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5CEA63B5" w14:textId="77777777" w:rsidR="009A6A29" w:rsidRPr="0049650D" w:rsidRDefault="009A6A29" w:rsidP="009A6A29">
            <w:pPr>
              <w:spacing w:before="0" w:after="0"/>
              <w:ind w:right="90"/>
              <w:textAlignment w:val="baseline"/>
              <w:rPr>
                <w:rFonts w:asciiTheme="minorHAnsi" w:hAnsiTheme="minorHAnsi" w:cstheme="minorHAnsi"/>
                <w:iCs/>
                <w:sz w:val="22"/>
                <w:szCs w:val="22"/>
              </w:rPr>
            </w:pPr>
            <w:r w:rsidRPr="0049650D">
              <w:rPr>
                <w:rFonts w:asciiTheme="minorHAnsi" w:hAnsiTheme="minorHAnsi" w:cstheme="minorHAnsi"/>
                <w:iCs/>
                <w:sz w:val="22"/>
                <w:szCs w:val="22"/>
              </w:rPr>
              <w:t>For a financial year, means the total amount, in tonnes of carbon dioxide equivalence, of net covered emissions from the operation, during the financial year, of all designated large facilities in the financial year, as defined in section 7 of the NGER Act.</w:t>
            </w:r>
          </w:p>
        </w:tc>
      </w:tr>
      <w:tr w:rsidR="009A6A29" w:rsidRPr="0049650D" w14:paraId="3BC1BAB8"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3872B59"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NGER Act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3396D04C"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i/>
                <w:sz w:val="22"/>
                <w:szCs w:val="22"/>
              </w:rPr>
              <w:t>National Greenhouse and Energy Reporting Act 2007</w:t>
            </w:r>
            <w:r w:rsidRPr="0049650D">
              <w:rPr>
                <w:rFonts w:asciiTheme="minorHAnsi" w:hAnsiTheme="minorHAnsi" w:cstheme="minorHAnsi"/>
                <w:sz w:val="22"/>
                <w:szCs w:val="22"/>
              </w:rPr>
              <w:t>  </w:t>
            </w:r>
          </w:p>
        </w:tc>
      </w:tr>
      <w:tr w:rsidR="009A6A29" w:rsidRPr="0049650D" w14:paraId="6ABAC427"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1224E6C9"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Prescribed carbon unit</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2CB65A81"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Has the meaning given by section 22XM of the NGER Act, namely ACCUs and SMCs.</w:t>
            </w:r>
          </w:p>
        </w:tc>
      </w:tr>
      <w:tr w:rsidR="009A6A29" w:rsidRPr="0049650D" w14:paraId="2728E1DD"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1A03FC57"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Production Variable (PV)</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25F445DC"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eastAsiaTheme="minorHAnsi" w:hAnsiTheme="minorHAnsi" w:cstheme="minorBidi"/>
                <w:color w:val="000000"/>
                <w:sz w:val="22"/>
                <w:szCs w:val="22"/>
                <w:shd w:val="clear" w:color="auto" w:fill="FFFFFF"/>
                <w:lang w:eastAsia="en-US"/>
              </w:rPr>
              <w:t>For a facility, means a production variable that</w:t>
            </w:r>
            <w:r w:rsidRPr="0049650D">
              <w:rPr>
                <w:rFonts w:asciiTheme="minorHAnsi" w:eastAsiaTheme="minorHAnsi" w:hAnsiTheme="minorHAnsi" w:cstheme="minorBidi"/>
                <w:b/>
                <w:bCs/>
                <w:i/>
                <w:iCs/>
                <w:color w:val="000000"/>
                <w:sz w:val="22"/>
                <w:szCs w:val="22"/>
                <w:shd w:val="clear" w:color="auto" w:fill="FFFFFF"/>
                <w:lang w:eastAsia="en-US"/>
              </w:rPr>
              <w:t> </w:t>
            </w:r>
            <w:r w:rsidRPr="0049650D">
              <w:rPr>
                <w:rFonts w:asciiTheme="minorHAnsi" w:eastAsiaTheme="minorHAnsi" w:hAnsiTheme="minorHAnsi" w:cstheme="minorBidi"/>
                <w:color w:val="000000"/>
                <w:sz w:val="22"/>
                <w:szCs w:val="22"/>
                <w:shd w:val="clear" w:color="auto" w:fill="FFFFFF"/>
                <w:lang w:eastAsia="en-US"/>
              </w:rPr>
              <w:t>is applicable to the facility in accordance with Schedule 1 of the Safeguard Rules, as defined in section 4 of the Safeguard Rules.</w:t>
            </w:r>
          </w:p>
        </w:tc>
      </w:tr>
      <w:tr w:rsidR="009A6A29" w:rsidRPr="0049650D" w14:paraId="6E473EF9"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666DA610"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Production Variables Update</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1788984B"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eastAsiaTheme="minorHAnsi" w:hAnsiTheme="minorHAnsi" w:cstheme="minorBidi"/>
                <w:sz w:val="22"/>
                <w:szCs w:val="22"/>
                <w:lang w:eastAsia="en-US"/>
              </w:rPr>
              <w:t xml:space="preserve">The </w:t>
            </w:r>
            <w:r w:rsidRPr="0049650D">
              <w:rPr>
                <w:rFonts w:asciiTheme="minorHAnsi" w:eastAsiaTheme="minorHAnsi" w:hAnsiTheme="minorHAnsi" w:cstheme="minorBidi"/>
                <w:i/>
                <w:noProof/>
                <w:sz w:val="22"/>
                <w:szCs w:val="22"/>
                <w:lang w:eastAsia="en-US"/>
              </w:rPr>
              <w:t>National Greenhouse and Energy Reporting (Safeguard Mechanism) Amendment (Production Variables Update) Rules 2023</w:t>
            </w:r>
          </w:p>
        </w:tc>
      </w:tr>
      <w:tr w:rsidR="009A6A29" w:rsidRPr="0049650D" w14:paraId="25687B4F"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3E47CC78"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Regulator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637BF4BA"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Clean Energy Regulator</w:t>
            </w:r>
          </w:p>
        </w:tc>
      </w:tr>
      <w:tr w:rsidR="009A6A29" w:rsidRPr="0049650D" w14:paraId="27AD178E"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344F4337"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Responsible emitter</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5FD273B0"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The person with operational control of a facility (see further section 22XH of the NGER Act).</w:t>
            </w:r>
          </w:p>
        </w:tc>
      </w:tr>
      <w:tr w:rsidR="009A6A29" w:rsidRPr="0049650D" w14:paraId="27CDF521"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366D7CA7"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Safeguard Mechanism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2153D2E2"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A mechanism to ensure the net covered emissions of greenhouse gases from the operation of a designated large facility do not exceed the baseline applicable to the facility and ensure that aggregate net covered emissions from the operation of designated large facilities decline. The mechanism is established under Part 3H of the NGER Act. </w:t>
            </w:r>
          </w:p>
        </w:tc>
      </w:tr>
      <w:tr w:rsidR="009A6A29" w:rsidRPr="0049650D" w14:paraId="4060FAA2"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2341C257"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Safeguard Mechanism Act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2CC944CB"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i/>
                <w:sz w:val="22"/>
                <w:szCs w:val="22"/>
              </w:rPr>
              <w:t>Safeguard Mechanism (Crediting) Amendment Act 2023</w:t>
            </w:r>
            <w:r w:rsidRPr="0049650D">
              <w:rPr>
                <w:rFonts w:asciiTheme="minorHAnsi" w:hAnsiTheme="minorHAnsi" w:cstheme="minorHAnsi"/>
                <w:sz w:val="22"/>
                <w:szCs w:val="22"/>
              </w:rPr>
              <w:t> </w:t>
            </w:r>
          </w:p>
        </w:tc>
      </w:tr>
      <w:tr w:rsidR="009A6A29" w:rsidRPr="0049650D" w14:paraId="47DDAE5E"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637BFF5A"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Safeguard Reforms Amendment Rules</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27000C1E" w14:textId="77777777" w:rsidR="009A6A29" w:rsidRPr="0049650D" w:rsidRDefault="009A6A29" w:rsidP="009A6A29">
            <w:pPr>
              <w:spacing w:before="0" w:after="0"/>
              <w:ind w:right="90"/>
              <w:textAlignment w:val="baseline"/>
              <w:rPr>
                <w:rFonts w:asciiTheme="minorHAnsi" w:eastAsiaTheme="minorHAnsi" w:hAnsiTheme="minorHAnsi" w:cstheme="minorBidi"/>
                <w:i/>
                <w:sz w:val="22"/>
                <w:szCs w:val="22"/>
                <w:lang w:eastAsia="en-US"/>
              </w:rPr>
            </w:pPr>
            <w:r w:rsidRPr="0049650D">
              <w:rPr>
                <w:rFonts w:asciiTheme="minorHAnsi" w:eastAsiaTheme="minorHAnsi" w:hAnsiTheme="minorHAnsi" w:cstheme="minorBidi"/>
                <w:iCs/>
                <w:sz w:val="22"/>
                <w:szCs w:val="22"/>
                <w:lang w:eastAsia="en-US"/>
              </w:rPr>
              <w:t xml:space="preserve">The </w:t>
            </w:r>
            <w:r w:rsidRPr="0049650D">
              <w:rPr>
                <w:rFonts w:asciiTheme="minorHAnsi" w:eastAsiaTheme="minorHAnsi" w:hAnsiTheme="minorHAnsi" w:cstheme="minorBidi"/>
                <w:i/>
                <w:sz w:val="22"/>
                <w:szCs w:val="22"/>
                <w:lang w:eastAsia="en-US"/>
              </w:rPr>
              <w:t>National Greenhouse and Energy Reporting (Safeguard Mechanism) Amendment (Reforms) Rules 2023</w:t>
            </w:r>
          </w:p>
        </w:tc>
      </w:tr>
      <w:tr w:rsidR="009A6A29" w:rsidRPr="0049650D" w14:paraId="2E25CA0F"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1E773354"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lastRenderedPageBreak/>
              <w:t>Safeguard Rules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5DF8D58F"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eastAsiaTheme="minorHAnsi" w:hAnsiTheme="minorHAnsi" w:cstheme="minorBidi"/>
                <w:i/>
                <w:sz w:val="22"/>
                <w:szCs w:val="22"/>
                <w:lang w:eastAsia="en-US"/>
              </w:rPr>
              <w:t>National Greenhouse and Energy Reporting (Safeguard Mechanism) Rule 2015</w:t>
            </w:r>
          </w:p>
        </w:tc>
      </w:tr>
      <w:tr w:rsidR="009A6A29" w:rsidRPr="0049650D" w14:paraId="77A071A5"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7AC565A1"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Safeguard emissions</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01D8DCEF"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For a financial year, means the total amount in tonnes of carbon dioxide equivalence, of covered emissions from the operation, during the financial year, of all designated large facilities for the financial year, as defined in section 7 of the NGER Act.</w:t>
            </w:r>
          </w:p>
        </w:tc>
      </w:tr>
      <w:tr w:rsidR="009A6A29" w:rsidRPr="0049650D" w14:paraId="6E5590EB"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6134C951"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Scope 1 emissions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411C1B71"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Emissions released to the atmosphere as a direct result of an activity, or series of activities at a facility level (sometimes referred to as direct emissions). </w:t>
            </w:r>
          </w:p>
        </w:tc>
      </w:tr>
      <w:tr w:rsidR="009A6A29" w:rsidRPr="0049650D" w14:paraId="0AB91012"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63A58387"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SMCs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5FB3AB22"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Safeguard Mechanism Credit units, which are units issued under section 22XNA of the NGER Act.</w:t>
            </w:r>
          </w:p>
        </w:tc>
      </w:tr>
      <w:tr w:rsidR="009A6A29" w:rsidRPr="0049650D" w14:paraId="672326AA"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78AA3869"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TEBA facilities</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354304FD"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 xml:space="preserve">Trade-exposed baseline-adjusted facilities </w:t>
            </w:r>
          </w:p>
        </w:tc>
      </w:tr>
      <w:tr w:rsidR="009A6A29" w:rsidRPr="0049650D" w14:paraId="60B3E41E"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4A8F2FE8"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Trade exposed facilities</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722DC38D"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eastAsiaTheme="minorHAnsi" w:hAnsiTheme="minorHAnsi" w:cstheme="minorBidi"/>
                <w:sz w:val="22"/>
                <w:szCs w:val="22"/>
                <w:lang w:eastAsia="en-US"/>
              </w:rPr>
              <w:t xml:space="preserve">Designated large facilities </w:t>
            </w:r>
            <w:r w:rsidRPr="0049650D">
              <w:rPr>
                <w:rFonts w:asciiTheme="minorHAnsi" w:hAnsiTheme="minorHAnsi" w:cstheme="minorHAnsi"/>
                <w:sz w:val="22"/>
                <w:szCs w:val="22"/>
              </w:rPr>
              <w:t xml:space="preserve">for </w:t>
            </w:r>
            <w:r w:rsidRPr="0049650D">
              <w:rPr>
                <w:rFonts w:asciiTheme="minorHAnsi" w:eastAsiaTheme="minorHAnsi" w:hAnsiTheme="minorHAnsi" w:cstheme="minorBidi"/>
                <w:sz w:val="22"/>
                <w:szCs w:val="22"/>
                <w:lang w:eastAsia="en-US"/>
              </w:rPr>
              <w:t xml:space="preserve">which </w:t>
            </w:r>
            <w:r w:rsidRPr="0049650D">
              <w:rPr>
                <w:rFonts w:asciiTheme="minorHAnsi" w:hAnsiTheme="minorHAnsi" w:cstheme="minorHAnsi"/>
                <w:sz w:val="22"/>
                <w:szCs w:val="22"/>
              </w:rPr>
              <w:t>the primary</w:t>
            </w:r>
            <w:r w:rsidRPr="0049650D">
              <w:rPr>
                <w:rFonts w:asciiTheme="minorHAnsi" w:eastAsiaTheme="minorHAnsi" w:hAnsiTheme="minorHAnsi" w:cstheme="minorBidi"/>
                <w:sz w:val="22"/>
                <w:szCs w:val="22"/>
                <w:lang w:eastAsia="en-US"/>
              </w:rPr>
              <w:t xml:space="preserve"> production </w:t>
            </w:r>
            <w:r w:rsidRPr="0049650D">
              <w:rPr>
                <w:rFonts w:asciiTheme="minorHAnsi" w:hAnsiTheme="minorHAnsi" w:cstheme="minorHAnsi"/>
                <w:sz w:val="22"/>
                <w:szCs w:val="22"/>
              </w:rPr>
              <w:t xml:space="preserve">variable </w:t>
            </w:r>
            <w:r w:rsidRPr="0049650D">
              <w:rPr>
                <w:rFonts w:asciiTheme="minorHAnsi" w:eastAsiaTheme="minorHAnsi" w:hAnsiTheme="minorHAnsi" w:cstheme="minorBidi"/>
                <w:sz w:val="22"/>
                <w:szCs w:val="22"/>
                <w:lang w:eastAsia="en-US"/>
              </w:rPr>
              <w:t>is listed in Schedule 2 of the Safeguard Rules, as amended</w:t>
            </w:r>
            <w:r w:rsidRPr="0049650D">
              <w:rPr>
                <w:rFonts w:asciiTheme="minorHAnsi" w:hAnsiTheme="minorHAnsi" w:cstheme="minorHAnsi"/>
                <w:sz w:val="22"/>
                <w:szCs w:val="22"/>
              </w:rPr>
              <w:t>. T</w:t>
            </w:r>
            <w:r w:rsidRPr="0049650D">
              <w:rPr>
                <w:rFonts w:asciiTheme="minorHAnsi" w:eastAsiaTheme="minorHAnsi" w:hAnsiTheme="minorHAnsi" w:cstheme="minorBidi"/>
                <w:sz w:val="22"/>
                <w:szCs w:val="22"/>
                <w:lang w:eastAsia="en-US"/>
              </w:rPr>
              <w:t>he primary production variable for a facility is the production variable that is most significant for its operation, having primary regard to the share of revenue and covered emissions attributable to that production variable.</w:t>
            </w:r>
          </w:p>
        </w:tc>
      </w:tr>
      <w:tr w:rsidR="009A6A29" w:rsidRPr="0049650D" w14:paraId="33D456EE" w14:textId="77777777" w:rsidTr="007341A1">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70434250" w14:textId="77777777" w:rsidR="009A6A29" w:rsidRPr="0049650D" w:rsidRDefault="009A6A29" w:rsidP="009A6A29">
            <w:pPr>
              <w:spacing w:before="0" w:after="0"/>
              <w:ind w:right="90"/>
              <w:textAlignment w:val="baseline"/>
              <w:rPr>
                <w:rFonts w:asciiTheme="minorHAnsi" w:hAnsiTheme="minorHAnsi" w:cstheme="minorHAnsi"/>
                <w:sz w:val="22"/>
                <w:szCs w:val="22"/>
              </w:rPr>
            </w:pPr>
            <w:r w:rsidRPr="0049650D">
              <w:rPr>
                <w:rFonts w:asciiTheme="minorHAnsi" w:hAnsiTheme="minorHAnsi" w:cstheme="minorHAnsi"/>
                <w:sz w:val="22"/>
                <w:szCs w:val="22"/>
              </w:rPr>
              <w:t>Transitional facility</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5F53FB16" w14:textId="77777777" w:rsidR="009A6A29" w:rsidRPr="0049650D" w:rsidRDefault="009A6A29" w:rsidP="009A6A29">
            <w:pPr>
              <w:spacing w:before="0" w:after="0"/>
              <w:ind w:right="90"/>
              <w:textAlignment w:val="baseline"/>
              <w:rPr>
                <w:rFonts w:asciiTheme="minorHAnsi" w:eastAsiaTheme="minorHAnsi" w:hAnsiTheme="minorHAnsi" w:cstheme="minorBidi"/>
                <w:sz w:val="22"/>
                <w:szCs w:val="22"/>
                <w:lang w:eastAsia="en-US"/>
              </w:rPr>
            </w:pPr>
            <w:r w:rsidRPr="0049650D">
              <w:rPr>
                <w:rFonts w:asciiTheme="minorHAnsi" w:eastAsiaTheme="minorHAnsi" w:hAnsiTheme="minorHAnsi" w:cstheme="minorBidi"/>
                <w:color w:val="000000"/>
                <w:sz w:val="22"/>
                <w:szCs w:val="22"/>
                <w:shd w:val="clear" w:color="auto" w:fill="FFFFFF"/>
                <w:lang w:eastAsia="en-US"/>
              </w:rPr>
              <w:t>A facility that undertakes commercial production of a production variable in the financial year beginning on 1 July 2022 but not during any historical production years. A transitional production variable is used for calculating the facility’s baseline, and the facility-specific emissions intensity number is set to be equal to the default emissions intensity number for that production variable.</w:t>
            </w:r>
          </w:p>
        </w:tc>
      </w:tr>
    </w:tbl>
    <w:p w14:paraId="7417BD6D" w14:textId="77777777" w:rsidR="009A6A29" w:rsidRPr="0049650D" w:rsidRDefault="009A6A29" w:rsidP="009A6A29">
      <w:pPr>
        <w:keepNext/>
        <w:spacing w:after="240"/>
        <w:outlineLvl w:val="1"/>
        <w:rPr>
          <w:rFonts w:ascii="Calibri" w:eastAsiaTheme="minorEastAsia" w:hAnsi="Calibri" w:cstheme="minorBidi"/>
          <w:b/>
          <w:bCs/>
          <w:szCs w:val="28"/>
          <w:lang w:eastAsia="ja-JP"/>
        </w:rPr>
      </w:pPr>
    </w:p>
    <w:p w14:paraId="4DCAFE0D" w14:textId="72AA5EA4"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 xml:space="preserve">Note that numbers in this document designated with an * have been rounded to a whole number. </w:t>
      </w:r>
    </w:p>
    <w:p w14:paraId="7F811182" w14:textId="77777777" w:rsidR="009A6A29" w:rsidRPr="0049650D" w:rsidRDefault="009A6A29" w:rsidP="009A6A29">
      <w:pPr>
        <w:keepNext/>
        <w:spacing w:after="240"/>
        <w:outlineLvl w:val="1"/>
        <w:rPr>
          <w:rFonts w:ascii="Calibri" w:eastAsiaTheme="minorEastAsia" w:hAnsi="Calibri" w:cstheme="minorBidi"/>
          <w:b/>
          <w:bCs/>
          <w:szCs w:val="28"/>
          <w:lang w:eastAsia="ja-JP"/>
        </w:rPr>
      </w:pPr>
      <w:r w:rsidRPr="0049650D">
        <w:rPr>
          <w:rFonts w:ascii="Calibri" w:eastAsiaTheme="minorEastAsia" w:hAnsi="Calibri" w:cstheme="minorBidi"/>
          <w:b/>
          <w:bCs/>
          <w:szCs w:val="28"/>
          <w:lang w:eastAsia="ja-JP"/>
        </w:rPr>
        <w:br w:type="page"/>
      </w:r>
    </w:p>
    <w:p w14:paraId="1589B1CC" w14:textId="77777777" w:rsidR="009A6A29" w:rsidRPr="0049650D" w:rsidRDefault="009A6A29" w:rsidP="009A6A29">
      <w:pPr>
        <w:keepNext/>
        <w:spacing w:after="240"/>
        <w:outlineLvl w:val="1"/>
        <w:rPr>
          <w:rFonts w:ascii="Calibri" w:eastAsiaTheme="minorEastAsia" w:hAnsi="Calibri" w:cstheme="minorBidi"/>
          <w:b/>
          <w:bCs/>
          <w:szCs w:val="28"/>
          <w:lang w:eastAsia="ja-JP"/>
        </w:rPr>
      </w:pPr>
      <w:r w:rsidRPr="0049650D">
        <w:rPr>
          <w:rFonts w:ascii="Calibri" w:eastAsiaTheme="minorEastAsia" w:hAnsi="Calibri" w:cstheme="minorBidi"/>
          <w:b/>
          <w:bCs/>
          <w:szCs w:val="28"/>
          <w:lang w:eastAsia="ja-JP"/>
        </w:rPr>
        <w:lastRenderedPageBreak/>
        <w:t>Key legislative provisions</w:t>
      </w:r>
    </w:p>
    <w:p w14:paraId="5E76A577" w14:textId="3184BB29"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Section 22XS of the NGER Act relevantly provides:</w:t>
      </w:r>
    </w:p>
    <w:p w14:paraId="08B6B594" w14:textId="77777777" w:rsidR="009A6A29" w:rsidRPr="0049650D" w:rsidRDefault="009A6A29" w:rsidP="009A6A29">
      <w:pPr>
        <w:spacing w:before="0" w:after="200" w:line="276" w:lineRule="auto"/>
        <w:ind w:left="1363" w:hanging="643"/>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 xml:space="preserve">(1A) </w:t>
      </w:r>
      <w:r w:rsidRPr="0049650D">
        <w:rPr>
          <w:rFonts w:asciiTheme="minorHAnsi" w:eastAsiaTheme="minorHAnsi" w:hAnsiTheme="minorHAnsi" w:cstheme="minorBidi"/>
          <w:sz w:val="22"/>
          <w:szCs w:val="22"/>
          <w:lang w:eastAsia="en-US"/>
        </w:rPr>
        <w:tab/>
        <w:t>The Minister must not make safeguard rules unless the Minister is satisfied that those rules:</w:t>
      </w:r>
    </w:p>
    <w:p w14:paraId="64609F18" w14:textId="77777777" w:rsidR="009A6A29" w:rsidRPr="0049650D" w:rsidRDefault="009A6A29" w:rsidP="007051A9">
      <w:pPr>
        <w:numPr>
          <w:ilvl w:val="0"/>
          <w:numId w:val="20"/>
        </w:numPr>
        <w:tabs>
          <w:tab w:val="right" w:pos="1021"/>
        </w:tabs>
        <w:spacing w:before="180" w:after="200" w:line="276" w:lineRule="auto"/>
        <w:ind w:left="1723"/>
        <w:rPr>
          <w:rFonts w:asciiTheme="minorHAnsi" w:hAnsiTheme="minorHAnsi"/>
          <w:sz w:val="22"/>
        </w:rPr>
      </w:pPr>
      <w:r w:rsidRPr="0049650D">
        <w:rPr>
          <w:rFonts w:asciiTheme="minorHAnsi" w:hAnsiTheme="minorHAnsi"/>
          <w:sz w:val="22"/>
        </w:rPr>
        <w:t xml:space="preserve">are consistent with each of the safeguard outcomes in paragraphs 3(2)(b), (c) and (d); and </w:t>
      </w:r>
    </w:p>
    <w:p w14:paraId="69C43BA0" w14:textId="77777777" w:rsidR="009A6A29" w:rsidRPr="0049650D" w:rsidRDefault="009A6A29" w:rsidP="007051A9">
      <w:pPr>
        <w:numPr>
          <w:ilvl w:val="0"/>
          <w:numId w:val="20"/>
        </w:numPr>
        <w:tabs>
          <w:tab w:val="right" w:pos="1021"/>
        </w:tabs>
        <w:spacing w:before="180" w:after="200" w:line="276" w:lineRule="auto"/>
        <w:ind w:left="1723"/>
        <w:rPr>
          <w:rFonts w:asciiTheme="minorHAnsi" w:hAnsiTheme="minorHAnsi"/>
          <w:sz w:val="22"/>
        </w:rPr>
      </w:pPr>
      <w:proofErr w:type="gramStart"/>
      <w:r w:rsidRPr="0049650D">
        <w:rPr>
          <w:rFonts w:asciiTheme="minorHAnsi" w:hAnsiTheme="minorHAnsi"/>
          <w:sz w:val="22"/>
        </w:rPr>
        <w:t>take into account</w:t>
      </w:r>
      <w:proofErr w:type="gramEnd"/>
      <w:r w:rsidRPr="0049650D">
        <w:rPr>
          <w:rFonts w:asciiTheme="minorHAnsi" w:hAnsiTheme="minorHAnsi"/>
          <w:sz w:val="22"/>
        </w:rPr>
        <w:t xml:space="preserve"> the safeguard outcomes in paragraphs 3(2)(e) and (f).</w:t>
      </w:r>
    </w:p>
    <w:p w14:paraId="28305626" w14:textId="77777777" w:rsidR="009A6A29" w:rsidRPr="0049650D" w:rsidRDefault="009A6A29" w:rsidP="009A6A29">
      <w:pPr>
        <w:spacing w:before="0" w:after="200" w:line="276" w:lineRule="auto"/>
        <w:ind w:left="1363" w:hanging="643"/>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 xml:space="preserve">(1B) </w:t>
      </w:r>
      <w:r w:rsidRPr="0049650D">
        <w:rPr>
          <w:rFonts w:asciiTheme="minorHAnsi" w:eastAsiaTheme="minorHAnsi" w:hAnsiTheme="minorHAnsi" w:cstheme="minorBidi"/>
          <w:sz w:val="22"/>
          <w:szCs w:val="22"/>
          <w:lang w:eastAsia="en-US"/>
        </w:rPr>
        <w:tab/>
        <w:t xml:space="preserve">If the Minister makes safeguard rules, the Minister must publish on the Department’s website the Minister’s reasons for being satisfied that the safeguard rules: </w:t>
      </w:r>
    </w:p>
    <w:p w14:paraId="6165AE4B" w14:textId="77777777" w:rsidR="009A6A29" w:rsidRPr="0049650D" w:rsidRDefault="009A6A29" w:rsidP="007051A9">
      <w:pPr>
        <w:numPr>
          <w:ilvl w:val="0"/>
          <w:numId w:val="20"/>
        </w:numPr>
        <w:tabs>
          <w:tab w:val="right" w:pos="1021"/>
        </w:tabs>
        <w:spacing w:before="180" w:after="200" w:line="276" w:lineRule="auto"/>
        <w:ind w:left="1723"/>
        <w:rPr>
          <w:rFonts w:asciiTheme="minorHAnsi" w:hAnsiTheme="minorHAnsi"/>
          <w:sz w:val="22"/>
        </w:rPr>
      </w:pPr>
      <w:r w:rsidRPr="0049650D">
        <w:rPr>
          <w:rFonts w:asciiTheme="minorHAnsi" w:hAnsiTheme="minorHAnsi"/>
          <w:sz w:val="22"/>
        </w:rPr>
        <w:t>are consistent with each of the safeguard outcomes in paragraphs 3(2)(b), (c) and (d); and</w:t>
      </w:r>
    </w:p>
    <w:p w14:paraId="14DC5FD2" w14:textId="77777777" w:rsidR="009A6A29" w:rsidRPr="0049650D" w:rsidRDefault="009A6A29" w:rsidP="007051A9">
      <w:pPr>
        <w:numPr>
          <w:ilvl w:val="0"/>
          <w:numId w:val="20"/>
        </w:numPr>
        <w:tabs>
          <w:tab w:val="right" w:pos="1021"/>
        </w:tabs>
        <w:spacing w:before="180" w:after="200" w:line="276" w:lineRule="auto"/>
        <w:ind w:left="1723"/>
        <w:rPr>
          <w:rFonts w:asciiTheme="minorHAnsi" w:hAnsiTheme="minorHAnsi"/>
          <w:sz w:val="22"/>
        </w:rPr>
      </w:pPr>
      <w:proofErr w:type="gramStart"/>
      <w:r w:rsidRPr="0049650D">
        <w:rPr>
          <w:rFonts w:asciiTheme="minorHAnsi" w:hAnsiTheme="minorHAnsi"/>
          <w:sz w:val="22"/>
        </w:rPr>
        <w:t>take into account</w:t>
      </w:r>
      <w:proofErr w:type="gramEnd"/>
      <w:r w:rsidRPr="0049650D">
        <w:rPr>
          <w:rFonts w:asciiTheme="minorHAnsi" w:hAnsiTheme="minorHAnsi"/>
          <w:sz w:val="22"/>
        </w:rPr>
        <w:t xml:space="preserve"> the safeguard outcomes in paragraphs 3(2)(e) and (f).</w:t>
      </w:r>
    </w:p>
    <w:p w14:paraId="6554B655" w14:textId="1441AB15"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Section 3(2) of the NGER Act sets out the safeguard outcomes as follows:</w:t>
      </w:r>
    </w:p>
    <w:p w14:paraId="7DE3B9CF" w14:textId="77777777" w:rsidR="009A6A29" w:rsidRPr="0049650D" w:rsidRDefault="009A6A29" w:rsidP="009A6A29">
      <w:pPr>
        <w:tabs>
          <w:tab w:val="right" w:pos="1021"/>
        </w:tabs>
        <w:spacing w:before="180" w:after="200"/>
        <w:ind w:left="1440" w:hanging="731"/>
        <w:rPr>
          <w:rFonts w:asciiTheme="minorHAnsi" w:hAnsiTheme="minorHAnsi" w:cstheme="minorHAnsi"/>
          <w:sz w:val="22"/>
        </w:rPr>
      </w:pPr>
      <w:r w:rsidRPr="0049650D">
        <w:rPr>
          <w:rFonts w:asciiTheme="minorHAnsi" w:hAnsiTheme="minorHAnsi" w:cstheme="minorHAnsi"/>
          <w:sz w:val="22"/>
        </w:rPr>
        <w:t xml:space="preserve"> (2) </w:t>
      </w:r>
      <w:r w:rsidRPr="0049650D" w:rsidDel="00EB53F7">
        <w:rPr>
          <w:rFonts w:asciiTheme="minorHAnsi" w:hAnsiTheme="minorHAnsi" w:cstheme="minorHAnsi"/>
          <w:sz w:val="22"/>
        </w:rPr>
        <w:tab/>
      </w:r>
      <w:r w:rsidRPr="0049650D">
        <w:rPr>
          <w:rFonts w:asciiTheme="minorHAnsi" w:hAnsiTheme="minorHAnsi" w:cstheme="minorHAnsi"/>
          <w:sz w:val="22"/>
        </w:rPr>
        <w:t xml:space="preserve">The second object of this Act is to contribute to the achievement of Australia’s greenhouse gas emissions reduction targets by ensuring that each of the following outcomes (the </w:t>
      </w:r>
      <w:r w:rsidRPr="0049650D">
        <w:rPr>
          <w:rFonts w:asciiTheme="minorHAnsi" w:hAnsiTheme="minorHAnsi" w:cstheme="minorHAnsi"/>
          <w:b/>
          <w:i/>
          <w:sz w:val="22"/>
        </w:rPr>
        <w:t>safeguard outcomes</w:t>
      </w:r>
      <w:r w:rsidRPr="0049650D">
        <w:rPr>
          <w:rFonts w:asciiTheme="minorHAnsi" w:hAnsiTheme="minorHAnsi" w:cstheme="minorHAnsi"/>
          <w:sz w:val="22"/>
        </w:rPr>
        <w:t>) are achieved:</w:t>
      </w:r>
    </w:p>
    <w:p w14:paraId="245C3FB9" w14:textId="77777777" w:rsidR="009A6A29" w:rsidRPr="0049650D" w:rsidRDefault="009A6A29" w:rsidP="007051A9">
      <w:pPr>
        <w:numPr>
          <w:ilvl w:val="0"/>
          <w:numId w:val="21"/>
        </w:numPr>
        <w:tabs>
          <w:tab w:val="right" w:pos="1021"/>
        </w:tabs>
        <w:spacing w:before="180" w:after="200" w:line="276" w:lineRule="auto"/>
        <w:rPr>
          <w:rFonts w:asciiTheme="minorHAnsi" w:hAnsiTheme="minorHAnsi" w:cstheme="minorBidi"/>
          <w:sz w:val="22"/>
        </w:rPr>
      </w:pPr>
      <w:r w:rsidRPr="0049650D">
        <w:rPr>
          <w:rFonts w:asciiTheme="minorHAnsi" w:hAnsiTheme="minorHAnsi" w:cstheme="minorBidi"/>
          <w:sz w:val="22"/>
        </w:rPr>
        <w:t>net covered emissions of greenhouse gases from the operation of a designated large facility do not exceed the baseline applicable to the facility;</w:t>
      </w:r>
    </w:p>
    <w:p w14:paraId="02056A10" w14:textId="77777777" w:rsidR="009A6A29" w:rsidRPr="0049650D" w:rsidRDefault="009A6A29" w:rsidP="007051A9">
      <w:pPr>
        <w:numPr>
          <w:ilvl w:val="0"/>
          <w:numId w:val="21"/>
        </w:numPr>
        <w:tabs>
          <w:tab w:val="right" w:pos="1021"/>
        </w:tabs>
        <w:spacing w:before="180" w:after="200" w:line="276" w:lineRule="auto"/>
        <w:rPr>
          <w:rFonts w:asciiTheme="minorHAnsi" w:hAnsiTheme="minorHAnsi" w:cstheme="minorHAnsi"/>
          <w:sz w:val="22"/>
        </w:rPr>
      </w:pPr>
      <w:r w:rsidRPr="0049650D">
        <w:rPr>
          <w:rFonts w:asciiTheme="minorHAnsi" w:hAnsiTheme="minorHAnsi" w:cstheme="minorHAnsi"/>
          <w:sz w:val="22"/>
        </w:rPr>
        <w:t>total net safeguard emissions for all of the financial years between 1 July 2020 and 30 June 2030 do not exceed a total of 1,233 million tonnes of carbon dioxide equivalence;</w:t>
      </w:r>
    </w:p>
    <w:p w14:paraId="24C290BA" w14:textId="77777777" w:rsidR="009A6A29" w:rsidRPr="0049650D" w:rsidRDefault="009A6A29" w:rsidP="007051A9">
      <w:pPr>
        <w:numPr>
          <w:ilvl w:val="0"/>
          <w:numId w:val="21"/>
        </w:numPr>
        <w:tabs>
          <w:tab w:val="right" w:pos="1531"/>
        </w:tabs>
        <w:spacing w:before="40" w:after="0" w:line="276" w:lineRule="auto"/>
        <w:rPr>
          <w:rFonts w:asciiTheme="minorHAnsi" w:hAnsiTheme="minorHAnsi" w:cstheme="minorBidi"/>
          <w:sz w:val="22"/>
        </w:rPr>
      </w:pPr>
      <w:r w:rsidRPr="0049650D">
        <w:rPr>
          <w:rFonts w:asciiTheme="minorHAnsi" w:hAnsiTheme="minorHAnsi" w:cstheme="minorBidi"/>
          <w:sz w:val="22"/>
        </w:rPr>
        <w:t>net safeguard emissions decline to:</w:t>
      </w:r>
    </w:p>
    <w:p w14:paraId="5736E9CA" w14:textId="77777777" w:rsidR="009A6A29" w:rsidRPr="0049650D" w:rsidRDefault="009A6A29" w:rsidP="007051A9">
      <w:pPr>
        <w:numPr>
          <w:ilvl w:val="1"/>
          <w:numId w:val="21"/>
        </w:numPr>
        <w:tabs>
          <w:tab w:val="right" w:pos="1985"/>
        </w:tabs>
        <w:spacing w:before="40" w:after="0" w:line="276" w:lineRule="auto"/>
        <w:rPr>
          <w:rFonts w:asciiTheme="minorHAnsi" w:hAnsiTheme="minorHAnsi" w:cstheme="minorBidi"/>
          <w:sz w:val="22"/>
        </w:rPr>
      </w:pPr>
      <w:r w:rsidRPr="0049650D">
        <w:rPr>
          <w:rFonts w:asciiTheme="minorHAnsi" w:hAnsiTheme="minorHAnsi" w:cstheme="minorBidi"/>
          <w:sz w:val="22"/>
        </w:rPr>
        <w:t>no more than 100 million tonnes of carbon dioxide equivalence for the financial year beginning on 1 July 2029; and</w:t>
      </w:r>
    </w:p>
    <w:p w14:paraId="70B3E064" w14:textId="77777777" w:rsidR="009A6A29" w:rsidRPr="0049650D" w:rsidRDefault="009A6A29" w:rsidP="007051A9">
      <w:pPr>
        <w:numPr>
          <w:ilvl w:val="1"/>
          <w:numId w:val="21"/>
        </w:numPr>
        <w:tabs>
          <w:tab w:val="right" w:pos="1985"/>
        </w:tabs>
        <w:spacing w:before="40" w:after="0" w:line="276" w:lineRule="auto"/>
        <w:rPr>
          <w:rFonts w:asciiTheme="minorHAnsi" w:hAnsiTheme="minorHAnsi" w:cstheme="minorBidi"/>
          <w:sz w:val="22"/>
        </w:rPr>
      </w:pPr>
      <w:r w:rsidRPr="0049650D">
        <w:rPr>
          <w:rFonts w:asciiTheme="minorHAnsi" w:hAnsiTheme="minorHAnsi" w:cstheme="minorBidi"/>
          <w:sz w:val="22"/>
        </w:rPr>
        <w:t>zero for any financial year to begin after 30 June 2049;</w:t>
      </w:r>
    </w:p>
    <w:p w14:paraId="3FB45FC1" w14:textId="77777777" w:rsidR="009A6A29" w:rsidRPr="0049650D" w:rsidRDefault="009A6A29" w:rsidP="007051A9">
      <w:pPr>
        <w:numPr>
          <w:ilvl w:val="0"/>
          <w:numId w:val="21"/>
        </w:numPr>
        <w:tabs>
          <w:tab w:val="right" w:pos="1021"/>
        </w:tabs>
        <w:spacing w:before="180" w:after="200" w:line="276" w:lineRule="auto"/>
        <w:rPr>
          <w:rFonts w:asciiTheme="minorHAnsi" w:hAnsiTheme="minorHAnsi" w:cstheme="minorHAnsi"/>
          <w:sz w:val="22"/>
        </w:rPr>
      </w:pPr>
      <w:r w:rsidRPr="0049650D">
        <w:rPr>
          <w:rFonts w:asciiTheme="minorHAnsi" w:hAnsiTheme="minorHAnsi" w:cstheme="minorHAnsi"/>
          <w:sz w:val="22"/>
        </w:rPr>
        <w:t>the 5</w:t>
      </w:r>
      <w:r w:rsidRPr="0049650D">
        <w:rPr>
          <w:rFonts w:asciiTheme="minorHAnsi" w:hAnsiTheme="minorHAnsi" w:cstheme="minorHAnsi"/>
          <w:sz w:val="22"/>
        </w:rPr>
        <w:noBreakHyphen/>
        <w:t>year rolling average safeguard emissions for each financial year that begins after 30 June 2024 are lower than the past 5</w:t>
      </w:r>
      <w:r w:rsidRPr="0049650D">
        <w:rPr>
          <w:rFonts w:asciiTheme="minorHAnsi" w:hAnsiTheme="minorHAnsi" w:cstheme="minorHAnsi"/>
          <w:sz w:val="22"/>
        </w:rPr>
        <w:noBreakHyphen/>
        <w:t>year rolling average safeguard emissions for that financial year;</w:t>
      </w:r>
    </w:p>
    <w:p w14:paraId="05CA39AC" w14:textId="77777777" w:rsidR="009A6A29" w:rsidRPr="0049650D" w:rsidRDefault="009A6A29" w:rsidP="007051A9">
      <w:pPr>
        <w:numPr>
          <w:ilvl w:val="0"/>
          <w:numId w:val="21"/>
        </w:numPr>
        <w:tabs>
          <w:tab w:val="right" w:pos="1021"/>
        </w:tabs>
        <w:spacing w:before="180" w:after="200" w:line="276" w:lineRule="auto"/>
        <w:rPr>
          <w:rFonts w:asciiTheme="minorHAnsi" w:hAnsiTheme="minorHAnsi" w:cstheme="minorHAnsi"/>
          <w:sz w:val="22"/>
        </w:rPr>
      </w:pPr>
      <w:r w:rsidRPr="0049650D">
        <w:rPr>
          <w:rFonts w:asciiTheme="minorHAnsi" w:hAnsiTheme="minorHAnsi" w:cstheme="minorHAnsi"/>
          <w:sz w:val="22"/>
        </w:rPr>
        <w:t>the responsible emitter for each designated large facility has a material incentive to invest in reducing covered emissions from the operation of the facility;</w:t>
      </w:r>
    </w:p>
    <w:p w14:paraId="3A1324B2" w14:textId="77777777" w:rsidR="009A6A29" w:rsidRPr="0049650D" w:rsidRDefault="009A6A29" w:rsidP="007051A9">
      <w:pPr>
        <w:numPr>
          <w:ilvl w:val="0"/>
          <w:numId w:val="21"/>
        </w:numPr>
        <w:tabs>
          <w:tab w:val="right" w:pos="1021"/>
        </w:tabs>
        <w:spacing w:before="180" w:after="200" w:line="276" w:lineRule="auto"/>
        <w:rPr>
          <w:rFonts w:asciiTheme="minorHAnsi" w:hAnsiTheme="minorHAnsi" w:cstheme="minorHAnsi"/>
          <w:sz w:val="22"/>
        </w:rPr>
      </w:pPr>
      <w:r w:rsidRPr="0049650D">
        <w:rPr>
          <w:rFonts w:asciiTheme="minorHAnsi" w:hAnsiTheme="minorHAnsi" w:cstheme="minorHAnsi"/>
          <w:sz w:val="22"/>
        </w:rPr>
        <w:t>the competitiveness of trade-exposed industries is appropriately supported as Australia and its regions seize the opportunities of the move to a global net zero economy.</w:t>
      </w:r>
    </w:p>
    <w:p w14:paraId="6C6B5F00" w14:textId="77777777" w:rsidR="009A6A29" w:rsidRPr="0049650D" w:rsidRDefault="009A6A29" w:rsidP="009A6A29">
      <w:pPr>
        <w:keepNext/>
        <w:spacing w:after="240"/>
        <w:outlineLvl w:val="1"/>
        <w:rPr>
          <w:rFonts w:ascii="Calibri" w:eastAsiaTheme="minorEastAsia" w:hAnsi="Calibri" w:cstheme="minorBidi"/>
          <w:b/>
          <w:bCs/>
          <w:szCs w:val="28"/>
          <w:lang w:eastAsia="ja-JP"/>
        </w:rPr>
      </w:pPr>
      <w:r w:rsidRPr="0049650D">
        <w:rPr>
          <w:rFonts w:ascii="Calibri" w:eastAsiaTheme="minorEastAsia" w:hAnsi="Calibri" w:cstheme="minorBidi"/>
          <w:b/>
          <w:bCs/>
          <w:szCs w:val="28"/>
          <w:lang w:eastAsia="ja-JP"/>
        </w:rPr>
        <w:lastRenderedPageBreak/>
        <w:t>Background</w:t>
      </w:r>
    </w:p>
    <w:p w14:paraId="6E286AA0" w14:textId="77777777" w:rsidR="009A6A29" w:rsidRPr="0049650D" w:rsidRDefault="009A6A29" w:rsidP="009A6A29">
      <w:pPr>
        <w:keepNext/>
        <w:spacing w:before="0" w:after="0"/>
        <w:outlineLvl w:val="3"/>
        <w:rPr>
          <w:rFonts w:ascii="Calibri" w:hAnsi="Calibri"/>
          <w:b/>
          <w:bCs/>
          <w:i/>
          <w:sz w:val="22"/>
          <w:szCs w:val="24"/>
          <w:lang w:eastAsia="en-US"/>
        </w:rPr>
      </w:pPr>
      <w:r w:rsidRPr="0049650D">
        <w:rPr>
          <w:rFonts w:ascii="Calibri" w:hAnsi="Calibri"/>
          <w:b/>
          <w:bCs/>
          <w:i/>
          <w:sz w:val="22"/>
          <w:szCs w:val="24"/>
          <w:lang w:eastAsia="en-US"/>
        </w:rPr>
        <w:t xml:space="preserve">Reform to the Safeguard Mechanism </w:t>
      </w:r>
    </w:p>
    <w:p w14:paraId="1F8F5E0F" w14:textId="6E627916" w:rsidR="009A6A29" w:rsidRPr="0049650D" w:rsidRDefault="009A6A29" w:rsidP="007051A9">
      <w:pPr>
        <w:pStyle w:val="ListNumberDotted"/>
        <w:numPr>
          <w:ilvl w:val="0"/>
          <w:numId w:val="23"/>
        </w:numPr>
        <w:spacing w:after="0"/>
      </w:pPr>
      <w:r w:rsidRPr="0049650D">
        <w:t>The NGER Act establishes a single national framework for reporting and disseminating company information about greenhouse gas emissions, energy production, energy consumption and other information. The Safeguard Mechanism is established under Part 3H of the Act. Together with the reporting obligations under the Act, the Safeguard Mechanism provides a framework for Australia’s largest industrial emitters to measure, report and manage their emissions.</w:t>
      </w:r>
    </w:p>
    <w:p w14:paraId="5A182882" w14:textId="111BA717" w:rsidR="009A6A29" w:rsidRPr="0049650D" w:rsidRDefault="009A6A29" w:rsidP="007051A9">
      <w:pPr>
        <w:pStyle w:val="ListNumberDotted"/>
        <w:numPr>
          <w:ilvl w:val="0"/>
          <w:numId w:val="23"/>
        </w:numPr>
        <w:rPr>
          <w:szCs w:val="24"/>
        </w:rPr>
      </w:pPr>
      <w:r w:rsidRPr="0049650D">
        <w:t>The Safeguard Mechanism provides a legislated framework that limits the net emissions of around 215 large industrial facilities—those with more than 100,000</w:t>
      </w:r>
      <w:r w:rsidRPr="0049650D">
        <w:rPr>
          <w:szCs w:val="24"/>
        </w:rPr>
        <w:t xml:space="preserve"> tonnes of scope 1 (direct) carbon dioxide equivalent (CO</w:t>
      </w:r>
      <w:r w:rsidRPr="0049650D">
        <w:rPr>
          <w:color w:val="000000" w:themeColor="text1"/>
          <w:szCs w:val="24"/>
          <w:vertAlign w:val="subscript"/>
        </w:rPr>
        <w:t>2</w:t>
      </w:r>
      <w:r w:rsidRPr="0049650D">
        <w:rPr>
          <w:szCs w:val="24"/>
        </w:rPr>
        <w:t>-e) emissions each year (‘designated large facilities’ under s 22XJ of the NGER Act). Each year, every designated large facility needs to prove that their net emissions for that year are equal to or below their baseline. Each designated large facility reports their emissions to the Regulator, which publishes the results on its website.</w:t>
      </w:r>
    </w:p>
    <w:p w14:paraId="6BD6F2DE" w14:textId="0D04A00C"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Since</w:t>
      </w:r>
      <w:r w:rsidRPr="0049650D" w:rsidDel="003D65B6">
        <w:rPr>
          <w:rFonts w:asciiTheme="minorHAnsi" w:eastAsiaTheme="minorHAnsi" w:hAnsiTheme="minorHAnsi" w:cstheme="minorBidi"/>
          <w:sz w:val="22"/>
          <w:szCs w:val="22"/>
          <w:lang w:eastAsia="en-US"/>
        </w:rPr>
        <w:t xml:space="preserve"> </w:t>
      </w:r>
      <w:r w:rsidRPr="0049650D">
        <w:rPr>
          <w:rFonts w:asciiTheme="minorHAnsi" w:eastAsiaTheme="minorHAnsi" w:hAnsiTheme="minorHAnsi" w:cstheme="minorBidi"/>
          <w:sz w:val="22"/>
          <w:szCs w:val="22"/>
          <w:lang w:eastAsia="en-US"/>
        </w:rPr>
        <w:t>the Safeguard Mechanism commenced on 1 July 2016, reported covered emissions from designated large facilities have grown over 4 per cent from 131.3 Mt CO</w:t>
      </w:r>
      <w:r w:rsidRPr="0049650D">
        <w:rPr>
          <w:rFonts w:asciiTheme="minorHAnsi" w:eastAsiaTheme="minorHAnsi" w:hAnsiTheme="minorHAnsi" w:cstheme="minorBidi"/>
          <w:sz w:val="22"/>
          <w:szCs w:val="22"/>
          <w:vertAlign w:val="subscript"/>
          <w:lang w:eastAsia="en-US"/>
        </w:rPr>
        <w:t>2</w:t>
      </w:r>
      <w:r w:rsidRPr="0049650D">
        <w:rPr>
          <w:rFonts w:asciiTheme="minorHAnsi" w:eastAsiaTheme="minorHAnsi" w:hAnsiTheme="minorHAnsi" w:cstheme="minorBidi"/>
          <w:sz w:val="22"/>
          <w:szCs w:val="22"/>
          <w:lang w:eastAsia="en-US"/>
        </w:rPr>
        <w:t>-e in 2016-17 to 137.5 Mt CO</w:t>
      </w:r>
      <w:r w:rsidRPr="0049650D">
        <w:rPr>
          <w:rFonts w:asciiTheme="minorHAnsi" w:eastAsiaTheme="minorHAnsi" w:hAnsiTheme="minorHAnsi" w:cstheme="minorBidi"/>
          <w:sz w:val="22"/>
          <w:szCs w:val="22"/>
          <w:vertAlign w:val="subscript"/>
          <w:lang w:eastAsia="en-US"/>
        </w:rPr>
        <w:t>2</w:t>
      </w:r>
      <w:r w:rsidRPr="0049650D">
        <w:rPr>
          <w:rFonts w:asciiTheme="minorHAnsi" w:eastAsiaTheme="minorHAnsi" w:hAnsiTheme="minorHAnsi" w:cstheme="minorBidi"/>
          <w:sz w:val="22"/>
          <w:szCs w:val="22"/>
          <w:lang w:eastAsia="en-US"/>
        </w:rPr>
        <w:t>-e in 2021-22.</w:t>
      </w:r>
      <w:r w:rsidRPr="0049650D">
        <w:rPr>
          <w:rFonts w:eastAsiaTheme="minorHAnsi"/>
          <w:vertAlign w:val="superscript"/>
          <w:lang w:eastAsia="en-US"/>
        </w:rPr>
        <w:footnoteReference w:id="2"/>
      </w:r>
      <w:r w:rsidRPr="0049650D">
        <w:rPr>
          <w:rFonts w:asciiTheme="minorHAnsi" w:eastAsiaTheme="minorHAnsi" w:hAnsiTheme="minorHAnsi" w:cstheme="minorBidi"/>
          <w:sz w:val="22"/>
          <w:szCs w:val="22"/>
          <w:lang w:eastAsia="en-US"/>
        </w:rPr>
        <w:t xml:space="preserve"> </w:t>
      </w:r>
    </w:p>
    <w:p w14:paraId="30302137" w14:textId="796B17DC" w:rsidR="009A6A29" w:rsidRPr="0049650D" w:rsidRDefault="009A6A29" w:rsidP="007051A9">
      <w:pPr>
        <w:pStyle w:val="ListParagraph"/>
        <w:numPr>
          <w:ilvl w:val="0"/>
          <w:numId w:val="23"/>
        </w:numPr>
        <w:tabs>
          <w:tab w:val="left" w:pos="142"/>
        </w:tabs>
        <w:spacing w:line="276" w:lineRule="auto"/>
        <w:ind w:left="641" w:hanging="357"/>
        <w:rPr>
          <w:rFonts w:asciiTheme="minorHAnsi" w:eastAsiaTheme="minorHAnsi" w:hAnsiTheme="minorHAnsi" w:cstheme="minorBidi"/>
          <w:sz w:val="22"/>
          <w:szCs w:val="24"/>
          <w:lang w:eastAsia="en-US"/>
        </w:rPr>
      </w:pPr>
      <w:r w:rsidRPr="0049650D">
        <w:rPr>
          <w:rFonts w:asciiTheme="minorHAnsi" w:eastAsiaTheme="minorHAnsi" w:hAnsiTheme="minorHAnsi" w:cstheme="minorBidi"/>
          <w:sz w:val="22"/>
          <w:szCs w:val="22"/>
          <w:lang w:eastAsia="en-US"/>
        </w:rPr>
        <w:t>Under the Paris Agreement, to which Australia is a Party, Parties are required to communicate their Nationally Determined Contribution (NDC) which sets out their emissions reduction commitments. On 16 June 2022, Australia communicated its updated NDC under Article 4 of the Paris Agreement to the United Nations.</w:t>
      </w:r>
      <w:r w:rsidRPr="0049650D">
        <w:rPr>
          <w:rFonts w:eastAsiaTheme="minorHAnsi"/>
          <w:vertAlign w:val="superscript"/>
          <w:lang w:eastAsia="en-US"/>
        </w:rPr>
        <w:footnoteReference w:id="3"/>
      </w:r>
      <w:r w:rsidRPr="0049650D">
        <w:rPr>
          <w:rFonts w:asciiTheme="minorHAnsi" w:eastAsiaTheme="minorHAnsi" w:hAnsiTheme="minorHAnsi" w:cstheme="minorBidi"/>
          <w:sz w:val="22"/>
          <w:szCs w:val="22"/>
          <w:lang w:eastAsia="en-US"/>
        </w:rPr>
        <w:t xml:space="preserve"> This updated NDC included confirmation of Australia’s commitment to achieve net zero emissions by 2050, and a new, increased 2030 target of 43 per cent below 2005 levels by 2030. The </w:t>
      </w:r>
      <w:r w:rsidRPr="0049650D">
        <w:rPr>
          <w:rFonts w:asciiTheme="minorHAnsi" w:eastAsiaTheme="minorHAnsi" w:hAnsiTheme="minorHAnsi" w:cstheme="minorBidi"/>
          <w:i/>
          <w:iCs/>
          <w:sz w:val="22"/>
          <w:szCs w:val="22"/>
          <w:lang w:eastAsia="en-US"/>
        </w:rPr>
        <w:t>Climate Change Act 2022</w:t>
      </w:r>
      <w:r w:rsidRPr="0049650D">
        <w:rPr>
          <w:rFonts w:asciiTheme="minorHAnsi" w:eastAsiaTheme="minorHAnsi" w:hAnsiTheme="minorHAnsi" w:cstheme="minorBidi"/>
          <w:sz w:val="22"/>
          <w:szCs w:val="22"/>
          <w:lang w:eastAsia="en-US"/>
        </w:rPr>
        <w:t xml:space="preserve"> prescribes these commitments into </w:t>
      </w:r>
      <w:r w:rsidRPr="0049650D">
        <w:rPr>
          <w:rFonts w:asciiTheme="minorHAnsi" w:eastAsiaTheme="minorHAnsi" w:hAnsiTheme="minorHAnsi" w:cstheme="minorBidi"/>
          <w:sz w:val="22"/>
          <w:szCs w:val="24"/>
          <w:lang w:eastAsia="en-US"/>
        </w:rPr>
        <w:t>Australian law.</w:t>
      </w:r>
    </w:p>
    <w:p w14:paraId="41770A7B" w14:textId="08F38EB0" w:rsidR="009A6A29" w:rsidRPr="0049650D" w:rsidRDefault="009A6A29" w:rsidP="007051A9">
      <w:pPr>
        <w:pStyle w:val="ListParagraph"/>
        <w:numPr>
          <w:ilvl w:val="0"/>
          <w:numId w:val="23"/>
        </w:numPr>
        <w:tabs>
          <w:tab w:val="left" w:pos="142"/>
        </w:tabs>
        <w:spacing w:line="276" w:lineRule="auto"/>
        <w:ind w:left="641" w:hanging="357"/>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 xml:space="preserve">On 30 March 2023, Parliament passed the Safeguard Mechanism (Crediting) Amendment Bill 2023. It amended the NGER Act and other legislation, to establish the framework to give effect to key elements of the reforms, such as introducing Safeguard Mechanism Credits (SMCs) to the scheme to provide an incentive to facilities to go beyond their baselines. Much of the detail of the Safeguard Mechanism is set out in legislative rules, primarily the Safeguard Rules.  </w:t>
      </w:r>
    </w:p>
    <w:p w14:paraId="0ED9DFD0" w14:textId="3E9247EF"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 xml:space="preserve">On 3 May 2023, I amended the Safeguard Rules to reduce emissions consistent with the legislated targets. The amendments made by the </w:t>
      </w:r>
      <w:r w:rsidRPr="0049650D">
        <w:rPr>
          <w:rFonts w:asciiTheme="minorHAnsi" w:hAnsiTheme="minorHAnsi" w:cstheme="minorHAnsi"/>
          <w:sz w:val="22"/>
          <w:szCs w:val="22"/>
        </w:rPr>
        <w:t>Safeguard Reforms Amendment Rules</w:t>
      </w:r>
      <w:r w:rsidRPr="0049650D" w:rsidDel="009D2AA7">
        <w:rPr>
          <w:rFonts w:asciiTheme="minorHAnsi" w:eastAsiaTheme="minorHAnsi" w:hAnsiTheme="minorHAnsi" w:cstheme="minorBidi"/>
          <w:sz w:val="22"/>
          <w:szCs w:val="22"/>
          <w:lang w:eastAsia="en-US"/>
        </w:rPr>
        <w:t xml:space="preserve"> </w:t>
      </w:r>
      <w:r w:rsidRPr="0049650D">
        <w:rPr>
          <w:rFonts w:asciiTheme="minorHAnsi" w:eastAsiaTheme="minorHAnsi" w:hAnsiTheme="minorHAnsi" w:cstheme="minorBidi"/>
          <w:sz w:val="22"/>
          <w:szCs w:val="22"/>
          <w:lang w:eastAsia="en-US"/>
        </w:rPr>
        <w:t xml:space="preserve">were to support industry to reduce emissions efficiently, and to help them maintain competitiveness as the global economy decarbonises. On 3 May 2023, I set out my reasons for being satisfied that the Safeguard Rules as amended by Safeguard Reforms Amendment Rules </w:t>
      </w:r>
      <w:r w:rsidRPr="0049650D">
        <w:rPr>
          <w:rFonts w:asciiTheme="minorHAnsi" w:eastAsiaTheme="minorHAnsi" w:hAnsiTheme="minorHAnsi" w:cstheme="minorBidi"/>
          <w:iCs/>
          <w:sz w:val="22"/>
          <w:szCs w:val="22"/>
          <w:lang w:eastAsia="en-US"/>
        </w:rPr>
        <w:t xml:space="preserve">are </w:t>
      </w:r>
      <w:r w:rsidRPr="0049650D">
        <w:rPr>
          <w:rFonts w:asciiTheme="minorHAnsi" w:eastAsiaTheme="minorHAnsi" w:hAnsiTheme="minorHAnsi" w:cstheme="minorBidi"/>
          <w:sz w:val="22"/>
          <w:szCs w:val="22"/>
          <w:lang w:eastAsia="en-US"/>
        </w:rPr>
        <w:t xml:space="preserve">consistent with each of the safeguard outcomes in </w:t>
      </w:r>
      <w:r w:rsidRPr="0049650D">
        <w:rPr>
          <w:rFonts w:asciiTheme="minorHAnsi" w:eastAsiaTheme="minorHAnsi" w:hAnsiTheme="minorHAnsi" w:cstheme="minorBidi"/>
          <w:sz w:val="22"/>
          <w:szCs w:val="22"/>
          <w:lang w:eastAsia="en-US"/>
        </w:rPr>
        <w:lastRenderedPageBreak/>
        <w:t xml:space="preserve">paragraphs 3(2)(b), (c) and (d), and that they </w:t>
      </w:r>
      <w:proofErr w:type="gramStart"/>
      <w:r w:rsidRPr="0049650D">
        <w:rPr>
          <w:rFonts w:asciiTheme="minorHAnsi" w:eastAsiaTheme="minorHAnsi" w:hAnsiTheme="minorHAnsi" w:cstheme="minorBidi"/>
          <w:sz w:val="22"/>
          <w:szCs w:val="22"/>
          <w:lang w:eastAsia="en-US"/>
        </w:rPr>
        <w:t>take into account</w:t>
      </w:r>
      <w:proofErr w:type="gramEnd"/>
      <w:r w:rsidRPr="0049650D">
        <w:rPr>
          <w:rFonts w:asciiTheme="minorHAnsi" w:eastAsiaTheme="minorHAnsi" w:hAnsiTheme="minorHAnsi" w:cstheme="minorBidi"/>
          <w:sz w:val="22"/>
          <w:szCs w:val="22"/>
          <w:lang w:eastAsia="en-US"/>
        </w:rPr>
        <w:t xml:space="preserve"> the safeguard outcomes in paragraphs 3(2)(e) and (f), of the NGER Act. Those reasons are published on the Department’s website in accordance with section 22XS(1B) of the NGER Act. </w:t>
      </w:r>
    </w:p>
    <w:p w14:paraId="576BDAD8" w14:textId="050881E9"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 xml:space="preserve">The Safeguard Reforms Amendment Rules, and the reforms made by those rules, commenced on 1 July 2023.  </w:t>
      </w:r>
    </w:p>
    <w:p w14:paraId="5FB777B8" w14:textId="005D5F8F"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As part of the reform to the Safeguard Mechanism, the Government committed to reviewing PVs to ensure they are effective in meeting the emissions reduction objectives of the reforms, including by encouraging facilities to reduce their emissions as well as incentivising production to occur where it is least emissions intensive. As part of the review, the Government has</w:t>
      </w:r>
      <w:r w:rsidRPr="0049650D" w:rsidDel="00491908">
        <w:rPr>
          <w:rFonts w:asciiTheme="minorHAnsi" w:eastAsiaTheme="minorHAnsi" w:hAnsiTheme="minorHAnsi" w:cstheme="minorBidi"/>
          <w:sz w:val="22"/>
          <w:szCs w:val="22"/>
          <w:lang w:eastAsia="en-US"/>
        </w:rPr>
        <w:t xml:space="preserve"> </w:t>
      </w:r>
      <w:r w:rsidRPr="0049650D">
        <w:rPr>
          <w:rFonts w:asciiTheme="minorHAnsi" w:eastAsiaTheme="minorHAnsi" w:hAnsiTheme="minorHAnsi" w:cstheme="minorBidi"/>
          <w:sz w:val="22"/>
          <w:szCs w:val="22"/>
          <w:lang w:eastAsia="en-US"/>
        </w:rPr>
        <w:t xml:space="preserve">also recalculated certain EI values associated with PVs to ensure relevance and consistency with the reforms. These PVs and EIs are an input to the calculations for determining the baseline emissions number for each facility. The Production Variables Update </w:t>
      </w:r>
      <w:r w:rsidR="00AD1B61" w:rsidRPr="0049650D">
        <w:rPr>
          <w:rFonts w:asciiTheme="minorHAnsi" w:eastAsiaTheme="minorHAnsi" w:hAnsiTheme="minorHAnsi" w:cstheme="minorBidi"/>
          <w:sz w:val="22"/>
          <w:szCs w:val="22"/>
          <w:lang w:eastAsia="en-US"/>
        </w:rPr>
        <w:t>is the first tranche of changes</w:t>
      </w:r>
      <w:r w:rsidRPr="0049650D">
        <w:rPr>
          <w:rFonts w:asciiTheme="minorHAnsi" w:eastAsiaTheme="minorHAnsi" w:hAnsiTheme="minorHAnsi" w:cstheme="minorBidi"/>
          <w:sz w:val="22"/>
          <w:szCs w:val="22"/>
          <w:lang w:eastAsia="en-US"/>
        </w:rPr>
        <w:t xml:space="preserve">. A second tranche of reviewed PVs and EIs is expected at the end of 2023. </w:t>
      </w:r>
    </w:p>
    <w:p w14:paraId="1C78B339" w14:textId="77777777" w:rsidR="009A6A29" w:rsidRPr="0049650D" w:rsidRDefault="009A6A29" w:rsidP="009A6A29">
      <w:pPr>
        <w:tabs>
          <w:tab w:val="left" w:pos="142"/>
        </w:tabs>
        <w:spacing w:line="276" w:lineRule="auto"/>
        <w:ind w:left="142"/>
        <w:rPr>
          <w:rFonts w:asciiTheme="minorHAnsi" w:eastAsiaTheme="minorHAnsi" w:hAnsiTheme="minorHAnsi" w:cstheme="minorBidi"/>
          <w:b/>
          <w:i/>
          <w:sz w:val="22"/>
          <w:szCs w:val="22"/>
        </w:rPr>
      </w:pPr>
      <w:r w:rsidRPr="0049650D">
        <w:rPr>
          <w:rFonts w:asciiTheme="minorHAnsi" w:eastAsiaTheme="minorHAnsi" w:hAnsiTheme="minorHAnsi" w:cstheme="minorBidi"/>
          <w:b/>
          <w:i/>
          <w:sz w:val="22"/>
          <w:szCs w:val="22"/>
        </w:rPr>
        <w:t xml:space="preserve">Amendments to the Safeguard Rules </w:t>
      </w:r>
    </w:p>
    <w:p w14:paraId="5D806254" w14:textId="13C903BA"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iCs/>
          <w:sz w:val="22"/>
          <w:szCs w:val="22"/>
          <w:lang w:eastAsia="en-US"/>
        </w:rPr>
      </w:pPr>
      <w:r w:rsidRPr="0049650D">
        <w:rPr>
          <w:rFonts w:asciiTheme="minorHAnsi" w:eastAsiaTheme="minorHAnsi" w:hAnsiTheme="minorHAnsi" w:cstheme="minorBidi"/>
          <w:sz w:val="22"/>
          <w:szCs w:val="22"/>
          <w:lang w:eastAsia="en-US"/>
        </w:rPr>
        <w:t>Section 22XS of the NGER Act empowers me to make rules to implement the Safeguard Mechanism by legislative instrument. These rules may prescribe matters required or permitted by the NGER Act and matters necessary or convenient to be prescribed for carrying out or giving effect to the Safeguard provisions in the NGER Act. The Safeguard Rules are a legislative instrument made under section 22</w:t>
      </w:r>
      <w:proofErr w:type="gramStart"/>
      <w:r w:rsidRPr="0049650D">
        <w:rPr>
          <w:rFonts w:asciiTheme="minorHAnsi" w:eastAsiaTheme="minorHAnsi" w:hAnsiTheme="minorHAnsi" w:cstheme="minorBidi"/>
          <w:sz w:val="22"/>
          <w:szCs w:val="22"/>
          <w:lang w:eastAsia="en-US"/>
        </w:rPr>
        <w:t>XS(</w:t>
      </w:r>
      <w:proofErr w:type="gramEnd"/>
      <w:r w:rsidRPr="0049650D">
        <w:rPr>
          <w:rFonts w:asciiTheme="minorHAnsi" w:eastAsiaTheme="minorHAnsi" w:hAnsiTheme="minorHAnsi" w:cstheme="minorBidi"/>
          <w:sz w:val="22"/>
          <w:szCs w:val="22"/>
          <w:lang w:eastAsia="en-US"/>
        </w:rPr>
        <w:t xml:space="preserve">1) of the NGER Act. The Production Variables Update amends the </w:t>
      </w:r>
      <w:r w:rsidRPr="0049650D">
        <w:rPr>
          <w:rFonts w:asciiTheme="minorHAnsi" w:eastAsiaTheme="minorHAnsi" w:hAnsiTheme="minorHAnsi" w:cstheme="minorBidi"/>
          <w:iCs/>
          <w:sz w:val="22"/>
          <w:szCs w:val="22"/>
          <w:lang w:eastAsia="en-US"/>
        </w:rPr>
        <w:t>Safeguard Rules</w:t>
      </w:r>
      <w:r w:rsidRPr="0049650D">
        <w:rPr>
          <w:rFonts w:asciiTheme="minorHAnsi" w:eastAsiaTheme="minorHAnsi" w:hAnsiTheme="minorHAnsi" w:cstheme="minorBidi"/>
          <w:i/>
          <w:sz w:val="22"/>
          <w:szCs w:val="22"/>
          <w:lang w:eastAsia="en-US"/>
        </w:rPr>
        <w:t xml:space="preserve">. </w:t>
      </w:r>
    </w:p>
    <w:p w14:paraId="21491B71" w14:textId="69AFA720"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iCs/>
          <w:sz w:val="22"/>
          <w:szCs w:val="22"/>
          <w:lang w:eastAsia="en-US"/>
        </w:rPr>
      </w:pPr>
      <w:r w:rsidRPr="0049650D">
        <w:rPr>
          <w:rFonts w:asciiTheme="minorHAnsi" w:eastAsiaTheme="minorHAnsi" w:hAnsiTheme="minorHAnsi" w:cstheme="minorBidi"/>
          <w:iCs/>
          <w:sz w:val="22"/>
          <w:szCs w:val="22"/>
          <w:lang w:eastAsia="en-US"/>
        </w:rPr>
        <w:t>The Production Variables Update updates published PVs and EIs within Schedule 1 of the Safeguard Rules. This includes redefining or creating new PVs, resulting in the following amendments to definitions or additional definitions: ‘monoammonium phosphate’ and ‘diammonium phosphate’ (replacing a PV that defined both outputs); ‘COD removed from wastewater’ and ‘nitrogen removed from wastewater’ (replacing a PV that defined both outputs); ‘run of mine coal’ (which encompasses the emissions previously addressed by the now superseded</w:t>
      </w:r>
      <w:r w:rsidRPr="0049650D" w:rsidDel="00CD73CD">
        <w:rPr>
          <w:rFonts w:asciiTheme="minorHAnsi" w:eastAsiaTheme="minorHAnsi" w:hAnsiTheme="minorHAnsi" w:cstheme="minorBidi"/>
          <w:iCs/>
          <w:sz w:val="22"/>
          <w:szCs w:val="22"/>
          <w:lang w:eastAsia="en-US"/>
        </w:rPr>
        <w:t xml:space="preserve"> </w:t>
      </w:r>
      <w:r w:rsidRPr="0049650D">
        <w:rPr>
          <w:rFonts w:asciiTheme="minorHAnsi" w:eastAsiaTheme="minorHAnsi" w:hAnsiTheme="minorHAnsi" w:cstheme="minorBidi"/>
          <w:iCs/>
          <w:sz w:val="22"/>
          <w:szCs w:val="22"/>
          <w:lang w:eastAsia="en-US"/>
        </w:rPr>
        <w:t>coal mine waste gas PV); ‘natural gas throughput’ (to replace ‘work of compression applied to natural gas or plant condensate’ PV); ‘lithium hydroxide’ (new PV); ‘iron ore’ (redefining the PV to apply to run of mine iron ore);  ‘cement production from clinker and supplementary cementitious material’ (including supplementary cementitious material in the PV definition); ‘copper anode’ (clarifying the measurement basis and inputs); and, the integrated iron and steel manufacturing activity is updated to cover a broader range of intermediate and final products to reflect industry conditions.</w:t>
      </w:r>
    </w:p>
    <w:p w14:paraId="0CAE793F" w14:textId="66B9C902"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iCs/>
          <w:sz w:val="22"/>
          <w:szCs w:val="22"/>
          <w:lang w:eastAsia="en-US"/>
        </w:rPr>
      </w:pPr>
      <w:r w:rsidRPr="0049650D">
        <w:rPr>
          <w:rFonts w:asciiTheme="minorHAnsi" w:eastAsiaTheme="minorHAnsi" w:hAnsiTheme="minorHAnsi" w:cstheme="minorBidi"/>
          <w:iCs/>
          <w:sz w:val="22"/>
          <w:szCs w:val="22"/>
          <w:lang w:eastAsia="en-US"/>
        </w:rPr>
        <w:t>The Production Variables Update adds new EIs for the new ‘run-of-mine coal’ and ‘natural gas throughput’ PVs and updates the EIs of ‘reservoir carbon dioxide from existing gas fields’ and ‘aluminium’ to better reflect current industry conditions.</w:t>
      </w:r>
    </w:p>
    <w:p w14:paraId="1C6E2C66" w14:textId="2BFA1C79"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 xml:space="preserve">It also adds three PVs to the trade exposed list in Schedule 2 of the Safeguard Rules (silicomanganese alloy, ferromanganese alloy, and lithium hydroxide). </w:t>
      </w:r>
    </w:p>
    <w:p w14:paraId="090479AA" w14:textId="77777777" w:rsidR="008E0DEE" w:rsidRPr="0049650D" w:rsidRDefault="008E0DEE" w:rsidP="009A6A29">
      <w:pPr>
        <w:tabs>
          <w:tab w:val="left" w:pos="142"/>
        </w:tabs>
        <w:spacing w:line="276" w:lineRule="auto"/>
        <w:rPr>
          <w:rFonts w:asciiTheme="minorHAnsi" w:eastAsiaTheme="minorHAnsi" w:hAnsiTheme="minorHAnsi" w:cstheme="minorBidi"/>
          <w:b/>
          <w:i/>
          <w:color w:val="000000"/>
          <w:sz w:val="22"/>
          <w:szCs w:val="22"/>
          <w:shd w:val="clear" w:color="auto" w:fill="FFFFFF"/>
          <w:lang w:eastAsia="en-US"/>
        </w:rPr>
      </w:pPr>
      <w:r w:rsidRPr="0049650D">
        <w:rPr>
          <w:rFonts w:asciiTheme="minorHAnsi" w:eastAsiaTheme="minorHAnsi" w:hAnsiTheme="minorHAnsi" w:cstheme="minorBidi"/>
          <w:b/>
          <w:i/>
          <w:color w:val="000000"/>
          <w:sz w:val="22"/>
          <w:szCs w:val="22"/>
          <w:shd w:val="clear" w:color="auto" w:fill="FFFFFF"/>
          <w:lang w:eastAsia="en-US"/>
        </w:rPr>
        <w:br w:type="page"/>
      </w:r>
    </w:p>
    <w:p w14:paraId="49A9F59C" w14:textId="443A3B5F" w:rsidR="009A6A29" w:rsidRPr="0049650D" w:rsidRDefault="009A6A29" w:rsidP="009A6A29">
      <w:pPr>
        <w:tabs>
          <w:tab w:val="left" w:pos="142"/>
        </w:tabs>
        <w:spacing w:line="276" w:lineRule="auto"/>
        <w:rPr>
          <w:rFonts w:asciiTheme="minorHAnsi" w:eastAsiaTheme="minorHAnsi" w:hAnsiTheme="minorHAnsi" w:cstheme="minorBidi"/>
          <w:b/>
          <w:i/>
          <w:color w:val="000000"/>
          <w:sz w:val="22"/>
          <w:szCs w:val="22"/>
          <w:shd w:val="clear" w:color="auto" w:fill="FFFFFF"/>
          <w:lang w:eastAsia="en-US"/>
        </w:rPr>
      </w:pPr>
      <w:r w:rsidRPr="0049650D">
        <w:rPr>
          <w:rFonts w:asciiTheme="minorHAnsi" w:eastAsiaTheme="minorHAnsi" w:hAnsiTheme="minorHAnsi" w:cstheme="minorBidi"/>
          <w:b/>
          <w:i/>
          <w:color w:val="000000"/>
          <w:sz w:val="22"/>
          <w:szCs w:val="22"/>
          <w:shd w:val="clear" w:color="auto" w:fill="FFFFFF"/>
          <w:lang w:eastAsia="en-US"/>
        </w:rPr>
        <w:lastRenderedPageBreak/>
        <w:t>Consultation</w:t>
      </w:r>
    </w:p>
    <w:p w14:paraId="18403020" w14:textId="3EB94629"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 xml:space="preserve">In February 2023, the Department commenced consultation directly with impacted stakeholders on options to amend certain PVs and EIs. Consultation has been undertaken to understand the best approach to setting PVs and EIs in a way that will encourage, recognise and reward emissions abatement, and appropriately incentivise low emissions production. </w:t>
      </w:r>
    </w:p>
    <w:p w14:paraId="7182F5EB" w14:textId="326C7C78"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On 21 July 2023</w:t>
      </w:r>
      <w:r w:rsidR="008E0DEE" w:rsidRPr="0049650D">
        <w:rPr>
          <w:rFonts w:asciiTheme="minorHAnsi" w:eastAsiaTheme="minorHAnsi" w:hAnsiTheme="minorHAnsi" w:cstheme="minorBidi"/>
          <w:sz w:val="22"/>
          <w:szCs w:val="22"/>
          <w:lang w:eastAsia="en-US"/>
        </w:rPr>
        <w:t>,</w:t>
      </w:r>
      <w:r w:rsidRPr="0049650D">
        <w:rPr>
          <w:rFonts w:asciiTheme="minorHAnsi" w:eastAsiaTheme="minorHAnsi" w:hAnsiTheme="minorHAnsi" w:cstheme="minorBidi"/>
          <w:sz w:val="22"/>
          <w:szCs w:val="22"/>
          <w:lang w:eastAsia="en-US"/>
        </w:rPr>
        <w:t xml:space="preserve"> the Government released for consultation an exposure draft of the Production Variables Update, with the consultation period being open until 5pm on 11 August 2023.</w:t>
      </w:r>
    </w:p>
    <w:p w14:paraId="48211E59" w14:textId="450EF1C8"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Eighteen formal submissions were received, comprising eight submissions from designated large facilities or businesses, four from industry associations and the remaining from individuals and non-government organisations. The Department will publish non-confidential submissions on its website. Most submissions concerned the run-of-mine coal PV and expressed diverse views, including that the amended run of mine coal PV would impact underground coal mines more than opencut mines. In relation to this concern, I note that the run of mine coal PV is defined to include all emissions associated with mining coal, including fugitive emissions. Accordingly, it represents an average emissions intensity of coal production and on balance I consider it is suitable for setting baselines.  Submissions on other PVs and EIs were broadly supportive of the Production Variables Update.</w:t>
      </w:r>
    </w:p>
    <w:p w14:paraId="39961E6A" w14:textId="77777777" w:rsidR="009A6A29" w:rsidRPr="0049650D" w:rsidRDefault="009A6A29" w:rsidP="009A6A29">
      <w:pPr>
        <w:keepNext/>
        <w:spacing w:after="240"/>
        <w:outlineLvl w:val="1"/>
        <w:rPr>
          <w:rFonts w:ascii="Calibri" w:eastAsiaTheme="minorEastAsia" w:hAnsi="Calibri" w:cstheme="minorBidi"/>
          <w:b/>
          <w:bCs/>
          <w:szCs w:val="28"/>
          <w:lang w:eastAsia="ja-JP"/>
        </w:rPr>
      </w:pPr>
      <w:r w:rsidRPr="0049650D">
        <w:rPr>
          <w:rFonts w:ascii="Calibri" w:eastAsiaTheme="minorEastAsia" w:hAnsi="Calibri" w:cstheme="minorBidi"/>
          <w:b/>
          <w:bCs/>
          <w:szCs w:val="28"/>
          <w:lang w:eastAsia="ja-JP"/>
        </w:rPr>
        <w:t>Material on which my decision was based</w:t>
      </w:r>
    </w:p>
    <w:p w14:paraId="4F19996E" w14:textId="446F0091" w:rsidR="009A6A29" w:rsidRPr="0049650D" w:rsidRDefault="009A6A29" w:rsidP="007051A9">
      <w:pPr>
        <w:pStyle w:val="ListParagraph"/>
        <w:numPr>
          <w:ilvl w:val="0"/>
          <w:numId w:val="23"/>
        </w:numPr>
        <w:tabs>
          <w:tab w:val="left" w:pos="142"/>
        </w:tabs>
        <w:spacing w:line="276" w:lineRule="auto"/>
        <w:rPr>
          <w:rFonts w:ascii="Calibri" w:eastAsiaTheme="minorHAnsi" w:hAnsi="Calibri" w:cs="Calibri"/>
          <w:sz w:val="22"/>
          <w:szCs w:val="22"/>
          <w:lang w:eastAsia="en-US"/>
        </w:rPr>
      </w:pPr>
      <w:r w:rsidRPr="0049650D">
        <w:rPr>
          <w:rFonts w:ascii="Calibri" w:eastAsiaTheme="minorHAnsi" w:hAnsi="Calibri" w:cs="Calibri"/>
          <w:sz w:val="22"/>
          <w:szCs w:val="22"/>
          <w:lang w:eastAsia="en-US"/>
        </w:rPr>
        <w:t xml:space="preserve">My decision that I was satisfied that the Safeguard Rules as amended are consistent with each of the outcomes in paragraphs 3(2)(b), (c) and (d), and </w:t>
      </w:r>
      <w:proofErr w:type="gramStart"/>
      <w:r w:rsidRPr="0049650D">
        <w:rPr>
          <w:rFonts w:ascii="Calibri" w:eastAsiaTheme="minorHAnsi" w:hAnsi="Calibri" w:cs="Calibri"/>
          <w:sz w:val="22"/>
          <w:szCs w:val="22"/>
          <w:lang w:eastAsia="en-US"/>
        </w:rPr>
        <w:t>take into account</w:t>
      </w:r>
      <w:proofErr w:type="gramEnd"/>
      <w:r w:rsidRPr="0049650D">
        <w:rPr>
          <w:rFonts w:ascii="Calibri" w:eastAsiaTheme="minorHAnsi" w:hAnsi="Calibri" w:cs="Calibri"/>
          <w:sz w:val="22"/>
          <w:szCs w:val="22"/>
          <w:lang w:eastAsia="en-US"/>
        </w:rPr>
        <w:t xml:space="preserve"> the safeguard outcomes in paragraphs 3(2)(e) and (f) was made after considering a brief from the Department (MS23-</w:t>
      </w:r>
      <w:r w:rsidR="008E0DEE" w:rsidRPr="0049650D">
        <w:rPr>
          <w:rFonts w:ascii="Calibri" w:eastAsiaTheme="minorHAnsi" w:hAnsi="Calibri" w:cs="Calibri"/>
          <w:sz w:val="22"/>
          <w:szCs w:val="22"/>
          <w:lang w:eastAsia="en-US"/>
        </w:rPr>
        <w:t>900844</w:t>
      </w:r>
      <w:r w:rsidRPr="0049650D">
        <w:rPr>
          <w:rFonts w:ascii="Calibri" w:eastAsiaTheme="minorHAnsi" w:hAnsi="Calibri" w:cs="Calibri"/>
          <w:sz w:val="22"/>
          <w:szCs w:val="22"/>
          <w:lang w:eastAsia="en-US"/>
        </w:rPr>
        <w:t>), which contained the following attachments relevant to this decision:</w:t>
      </w:r>
    </w:p>
    <w:p w14:paraId="241FF165" w14:textId="77777777" w:rsidR="009A6A29" w:rsidRPr="0049650D" w:rsidRDefault="009A6A29" w:rsidP="007051A9">
      <w:pPr>
        <w:numPr>
          <w:ilvl w:val="0"/>
          <w:numId w:val="24"/>
        </w:numPr>
        <w:tabs>
          <w:tab w:val="left" w:pos="142"/>
        </w:tabs>
        <w:spacing w:before="0" w:after="200" w:line="276" w:lineRule="auto"/>
        <w:rPr>
          <w:rFonts w:ascii="Calibri" w:eastAsiaTheme="minorHAnsi" w:hAnsi="Calibri" w:cs="Calibri"/>
          <w:sz w:val="22"/>
          <w:szCs w:val="22"/>
          <w:lang w:eastAsia="en-US"/>
        </w:rPr>
      </w:pPr>
      <w:r w:rsidRPr="0049650D">
        <w:rPr>
          <w:rFonts w:ascii="Calibri" w:eastAsiaTheme="minorHAnsi" w:hAnsi="Calibri" w:cs="Calibri"/>
          <w:sz w:val="22"/>
          <w:szCs w:val="22"/>
          <w:lang w:eastAsia="en-US"/>
        </w:rPr>
        <w:t>National Greenhouse and Energy Reporting (Safeguard Mechanism) Amendment (Production Variables Update) Rules 2023</w:t>
      </w:r>
    </w:p>
    <w:p w14:paraId="787C80C3" w14:textId="77777777" w:rsidR="009A6A29" w:rsidRPr="0049650D" w:rsidRDefault="009A6A29" w:rsidP="007051A9">
      <w:pPr>
        <w:numPr>
          <w:ilvl w:val="0"/>
          <w:numId w:val="24"/>
        </w:numPr>
        <w:tabs>
          <w:tab w:val="left" w:pos="142"/>
        </w:tabs>
        <w:spacing w:before="0" w:after="200" w:line="276" w:lineRule="auto"/>
        <w:rPr>
          <w:rFonts w:ascii="Calibri" w:eastAsiaTheme="minorHAnsi" w:hAnsi="Calibri" w:cs="Calibri"/>
          <w:sz w:val="22"/>
          <w:szCs w:val="22"/>
          <w:lang w:eastAsia="en-US"/>
        </w:rPr>
      </w:pPr>
      <w:r w:rsidRPr="0049650D">
        <w:rPr>
          <w:rFonts w:ascii="Calibri" w:eastAsiaTheme="minorHAnsi" w:hAnsi="Calibri" w:cs="Calibri"/>
          <w:sz w:val="22"/>
          <w:szCs w:val="22"/>
          <w:lang w:eastAsia="en-US"/>
        </w:rPr>
        <w:t>Explanatory Document: National Greenhouse and Energy Reporting (Safeguard Mechanism) Amendment (Production Variables Update) Rules 2023</w:t>
      </w:r>
    </w:p>
    <w:p w14:paraId="5B64A735" w14:textId="77777777" w:rsidR="009A6A29" w:rsidRPr="0049650D" w:rsidRDefault="009A6A29" w:rsidP="007051A9">
      <w:pPr>
        <w:numPr>
          <w:ilvl w:val="0"/>
          <w:numId w:val="24"/>
        </w:numPr>
        <w:tabs>
          <w:tab w:val="left" w:pos="142"/>
        </w:tabs>
        <w:spacing w:before="0" w:after="200" w:line="276" w:lineRule="auto"/>
        <w:rPr>
          <w:rFonts w:ascii="Calibri" w:eastAsiaTheme="minorHAnsi" w:hAnsi="Calibri" w:cs="Calibri"/>
          <w:sz w:val="22"/>
          <w:szCs w:val="22"/>
          <w:lang w:eastAsia="en-US"/>
        </w:rPr>
      </w:pPr>
      <w:r w:rsidRPr="0049650D">
        <w:rPr>
          <w:rFonts w:ascii="Calibri" w:eastAsiaTheme="minorHAnsi" w:hAnsi="Calibri" w:cs="Calibri"/>
          <w:sz w:val="22"/>
          <w:szCs w:val="22"/>
          <w:lang w:eastAsia="en-US"/>
        </w:rPr>
        <w:t>Safeguard Mechanism: Prescribed production variables and default emissions intensities</w:t>
      </w:r>
    </w:p>
    <w:p w14:paraId="3F6F8B86" w14:textId="77777777" w:rsidR="009A6A29" w:rsidRPr="0049650D" w:rsidRDefault="009A6A29" w:rsidP="007051A9">
      <w:pPr>
        <w:numPr>
          <w:ilvl w:val="0"/>
          <w:numId w:val="24"/>
        </w:numPr>
        <w:tabs>
          <w:tab w:val="left" w:pos="142"/>
        </w:tabs>
        <w:spacing w:before="0" w:after="200" w:line="276" w:lineRule="auto"/>
        <w:rPr>
          <w:rFonts w:ascii="Calibri" w:eastAsiaTheme="minorHAnsi" w:hAnsi="Calibri" w:cs="Calibri"/>
          <w:sz w:val="22"/>
          <w:szCs w:val="22"/>
          <w:lang w:eastAsia="en-US"/>
        </w:rPr>
      </w:pPr>
      <w:r w:rsidRPr="0049650D">
        <w:rPr>
          <w:rFonts w:ascii="Calibri" w:eastAsiaTheme="minorHAnsi" w:hAnsi="Calibri" w:cs="Calibri"/>
          <w:sz w:val="22"/>
          <w:szCs w:val="22"/>
          <w:lang w:eastAsia="en-US"/>
        </w:rPr>
        <w:t xml:space="preserve">The following Departmental analysis – including calculations that contain Cabinet-in-Confidence information: </w:t>
      </w:r>
    </w:p>
    <w:p w14:paraId="35486368" w14:textId="77777777" w:rsidR="009A6A29" w:rsidRPr="0049650D" w:rsidRDefault="009A6A29" w:rsidP="007051A9">
      <w:pPr>
        <w:numPr>
          <w:ilvl w:val="2"/>
          <w:numId w:val="19"/>
        </w:numPr>
        <w:tabs>
          <w:tab w:val="left" w:pos="142"/>
        </w:tabs>
        <w:spacing w:before="0" w:after="200"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Decline rate analysis – Calculations from the Department relating to the safeguard emissions budget and total baseline emissions.</w:t>
      </w:r>
    </w:p>
    <w:p w14:paraId="351A4A73" w14:textId="77777777" w:rsidR="009A6A29" w:rsidRPr="0049650D" w:rsidRDefault="009A6A29" w:rsidP="007051A9">
      <w:pPr>
        <w:numPr>
          <w:ilvl w:val="2"/>
          <w:numId w:val="19"/>
        </w:numPr>
        <w:tabs>
          <w:tab w:val="left" w:pos="142"/>
        </w:tabs>
        <w:spacing w:before="0" w:after="200"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 xml:space="preserve">Gross emissions analysis – Calculations from the Department relating to projected emissions without reforms and from the Production Variables Update, potential uptake of on-site abatement </w:t>
      </w:r>
      <w:r w:rsidRPr="0049650D">
        <w:rPr>
          <w:rFonts w:asciiTheme="minorHAnsi" w:eastAsiaTheme="minorHAnsi" w:hAnsiTheme="minorHAnsi" w:cstheme="minorBidi"/>
          <w:sz w:val="22"/>
          <w:szCs w:val="22"/>
          <w:lang w:eastAsia="en-US"/>
        </w:rPr>
        <w:lastRenderedPageBreak/>
        <w:t>and historical emissions data, relating to 5 year rolling average emissions outcomes. Some of the data underlying these calculations is classified Cabinet in Confidence and in addition, the information could be market sensitive. This has consequently been covered by public interest immunity claims tabled to the Senate Environment and Communications Legislation Committee (1 March 2023) and provided to the Senate on 9 March 2023 under a Senate Order of 7 March 2023.</w:t>
      </w:r>
    </w:p>
    <w:p w14:paraId="4CA6E40F" w14:textId="77777777" w:rsidR="009A6A29" w:rsidRPr="0049650D" w:rsidRDefault="009A6A29" w:rsidP="007051A9">
      <w:pPr>
        <w:numPr>
          <w:ilvl w:val="0"/>
          <w:numId w:val="24"/>
        </w:numPr>
        <w:tabs>
          <w:tab w:val="left" w:pos="142"/>
        </w:tabs>
        <w:spacing w:before="0" w:after="200" w:line="276" w:lineRule="auto"/>
        <w:rPr>
          <w:rFonts w:ascii="Calibri" w:eastAsiaTheme="minorHAnsi" w:hAnsi="Calibri" w:cs="Calibri"/>
          <w:sz w:val="22"/>
          <w:szCs w:val="22"/>
          <w:lang w:eastAsia="en-US"/>
        </w:rPr>
      </w:pPr>
      <w:r w:rsidRPr="0049650D">
        <w:rPr>
          <w:rFonts w:ascii="Calibri" w:eastAsiaTheme="minorHAnsi" w:hAnsi="Calibri" w:cs="Calibri"/>
          <w:sz w:val="22"/>
          <w:szCs w:val="22"/>
          <w:lang w:eastAsia="en-US"/>
        </w:rPr>
        <w:t>A summary of the stakeholder consultations</w:t>
      </w:r>
    </w:p>
    <w:p w14:paraId="3987FBD3" w14:textId="77777777" w:rsidR="009A6A29" w:rsidRPr="0049650D" w:rsidRDefault="009A6A29" w:rsidP="009A6A29">
      <w:pPr>
        <w:keepNext/>
        <w:spacing w:after="240"/>
        <w:outlineLvl w:val="1"/>
        <w:rPr>
          <w:rFonts w:ascii="Calibri" w:eastAsiaTheme="minorEastAsia" w:hAnsi="Calibri" w:cstheme="minorBidi"/>
          <w:b/>
          <w:bCs/>
          <w:szCs w:val="28"/>
          <w:lang w:eastAsia="ja-JP"/>
        </w:rPr>
      </w:pPr>
      <w:r w:rsidRPr="0049650D">
        <w:rPr>
          <w:rFonts w:ascii="Calibri" w:eastAsiaTheme="minorEastAsia" w:hAnsi="Calibri" w:cstheme="minorBidi"/>
          <w:b/>
          <w:bCs/>
          <w:szCs w:val="28"/>
          <w:lang w:eastAsia="ja-JP"/>
        </w:rPr>
        <w:t xml:space="preserve">Reasons </w:t>
      </w:r>
    </w:p>
    <w:p w14:paraId="30D4A877" w14:textId="77777777" w:rsidR="009A6A29" w:rsidRPr="0049650D" w:rsidRDefault="009A6A29" w:rsidP="009A6A29">
      <w:pPr>
        <w:tabs>
          <w:tab w:val="right" w:pos="1531"/>
        </w:tabs>
        <w:spacing w:before="40" w:after="0"/>
        <w:rPr>
          <w:rFonts w:asciiTheme="minorHAnsi" w:hAnsiTheme="minorHAnsi" w:cstheme="minorHAnsi"/>
          <w:b/>
          <w:bCs/>
          <w:sz w:val="22"/>
        </w:rPr>
      </w:pPr>
      <w:r w:rsidRPr="0049650D">
        <w:rPr>
          <w:rFonts w:asciiTheme="minorHAnsi" w:hAnsiTheme="minorHAnsi" w:cstheme="minorHAnsi"/>
          <w:i/>
          <w:iCs/>
          <w:sz w:val="22"/>
        </w:rPr>
        <w:tab/>
      </w:r>
      <w:r w:rsidRPr="0049650D">
        <w:rPr>
          <w:rFonts w:asciiTheme="minorHAnsi" w:hAnsiTheme="minorHAnsi" w:cstheme="minorHAnsi"/>
          <w:b/>
          <w:bCs/>
          <w:sz w:val="22"/>
        </w:rPr>
        <w:t>I am satisfied that the Safeguard Rules as amended are consistent with safeguard outcome (b): that total net safeguard emissions for all of the financial years between 1 July 2020 and 30 June 2030 do not exceed a total of 1,233 million tonnes of carbon dioxide equivalence.</w:t>
      </w:r>
    </w:p>
    <w:p w14:paraId="694FBCC3" w14:textId="3C52CFD3"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4"/>
        </w:rPr>
      </w:pPr>
      <w:bookmarkStart w:id="5" w:name="_Ref142315878"/>
      <w:r w:rsidRPr="0049650D">
        <w:rPr>
          <w:rFonts w:asciiTheme="minorHAnsi" w:eastAsiaTheme="minorHAnsi" w:hAnsiTheme="minorHAnsi" w:cstheme="minorBidi"/>
          <w:sz w:val="22"/>
          <w:szCs w:val="24"/>
        </w:rPr>
        <w:t>The Production Variables Update updates certain PVs and EIs in Schedule 1 of the Safeguard Rules. These updates better reflect the emissions sources that contribute to the calculation of an EI value associated with each PV. Updated PVs and EIs in Schedule 1 of the Safeguard Rules contribute to updated baseline emission numbers for existing facilities as set out in Division 2, Part 3 of the Safeguard Rules.</w:t>
      </w:r>
      <w:bookmarkEnd w:id="5"/>
    </w:p>
    <w:p w14:paraId="33097562" w14:textId="6AB370D2"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rPr>
      </w:pPr>
      <w:r w:rsidRPr="0049650D">
        <w:rPr>
          <w:rFonts w:asciiTheme="minorHAnsi" w:eastAsiaTheme="minorHAnsi" w:hAnsiTheme="minorHAnsi" w:cstheme="minorBidi"/>
          <w:sz w:val="22"/>
          <w:szCs w:val="22"/>
        </w:rPr>
        <w:t xml:space="preserve">This engages safeguard outcome (b) because default EIs and PV definitions affect Safeguard baselines, which affect net Safeguard emissions, given that the Safeguard Mechanism requires designated large facilities to have net emissions below their baseline. </w:t>
      </w:r>
    </w:p>
    <w:p w14:paraId="0CE903B3" w14:textId="4DC58224"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rPr>
        <w:t>The Department has</w:t>
      </w:r>
      <w:r w:rsidRPr="0049650D" w:rsidDel="006F2168">
        <w:rPr>
          <w:rFonts w:asciiTheme="minorHAnsi" w:eastAsiaTheme="minorHAnsi" w:hAnsiTheme="minorHAnsi" w:cstheme="minorBidi"/>
          <w:sz w:val="22"/>
          <w:szCs w:val="22"/>
        </w:rPr>
        <w:t xml:space="preserve"> </w:t>
      </w:r>
      <w:r w:rsidRPr="0049650D">
        <w:rPr>
          <w:rFonts w:asciiTheme="minorHAnsi" w:eastAsiaTheme="minorHAnsi" w:hAnsiTheme="minorHAnsi" w:cstheme="minorBidi"/>
          <w:sz w:val="22"/>
          <w:szCs w:val="22"/>
        </w:rPr>
        <w:t>updated its decline rate analysis to reflect the effect of the Production Variables Update. I have taken the Department’s updated decline rate analysis, which is described below, into account to be satisfied that the Safeguard Rules as amended are consistent with safeguard outcome (b).</w:t>
      </w:r>
      <w:r w:rsidRPr="0049650D">
        <w:rPr>
          <w:rFonts w:asciiTheme="minorHAnsi" w:eastAsiaTheme="minorHAnsi" w:hAnsiTheme="minorHAnsi" w:cstheme="minorBidi"/>
          <w:sz w:val="22"/>
          <w:szCs w:val="22"/>
          <w:lang w:eastAsia="en-US"/>
        </w:rPr>
        <w:t xml:space="preserve"> In summary, the updated total baseline emission number will be lowered because of the changes to PVs and EIs in the Production Variables Update. This remains the case when allowing for Trade Exposed Baseline Adjusted (TEBA) facilities.  Designated large facilities must keep their net emissions below their baseline, so a lower total baseline number means baseline analysis continues to show that net safeguard emissions for all designated large facilities will remain under the maximum of 1,233 tonnes of CO</w:t>
      </w:r>
      <w:r w:rsidRPr="0049650D">
        <w:rPr>
          <w:rFonts w:asciiTheme="minorHAnsi" w:eastAsiaTheme="minorHAnsi" w:hAnsiTheme="minorHAnsi" w:cstheme="minorBidi"/>
          <w:sz w:val="22"/>
          <w:szCs w:val="22"/>
          <w:vertAlign w:val="subscript"/>
          <w:lang w:eastAsia="en-US"/>
        </w:rPr>
        <w:t>2</w:t>
      </w:r>
      <w:r w:rsidRPr="0049650D">
        <w:rPr>
          <w:rFonts w:asciiTheme="minorHAnsi" w:eastAsiaTheme="minorHAnsi" w:hAnsiTheme="minorHAnsi" w:cstheme="minorBidi"/>
          <w:sz w:val="22"/>
          <w:szCs w:val="22"/>
          <w:lang w:eastAsia="en-US"/>
        </w:rPr>
        <w:t xml:space="preserve">e in safeguard outcome (b). </w:t>
      </w:r>
    </w:p>
    <w:p w14:paraId="623FAE5C" w14:textId="60F49D14"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4"/>
        </w:rPr>
      </w:pPr>
      <w:bookmarkStart w:id="6" w:name="_Ref142481660"/>
      <w:r w:rsidRPr="0049650D">
        <w:rPr>
          <w:rFonts w:asciiTheme="minorHAnsi" w:eastAsiaTheme="minorHAnsi" w:hAnsiTheme="minorHAnsi" w:cstheme="minorBidi"/>
          <w:sz w:val="22"/>
          <w:szCs w:val="24"/>
        </w:rPr>
        <w:t xml:space="preserve">The </w:t>
      </w:r>
      <w:r w:rsidRPr="0049650D">
        <w:rPr>
          <w:rFonts w:asciiTheme="minorHAnsi" w:eastAsiaTheme="minorHAnsi" w:hAnsiTheme="minorHAnsi" w:cstheme="minorBidi"/>
          <w:sz w:val="22"/>
          <w:szCs w:val="22"/>
          <w:lang w:eastAsia="en-US"/>
        </w:rPr>
        <w:t>1,233 Mt CO</w:t>
      </w:r>
      <w:r w:rsidRPr="0049650D">
        <w:rPr>
          <w:rFonts w:asciiTheme="minorHAnsi" w:eastAsiaTheme="minorHAnsi" w:hAnsiTheme="minorHAnsi" w:cstheme="minorBidi"/>
          <w:sz w:val="22"/>
          <w:szCs w:val="22"/>
          <w:vertAlign w:val="subscript"/>
          <w:lang w:eastAsia="en-US"/>
        </w:rPr>
        <w:t>2</w:t>
      </w:r>
      <w:r w:rsidRPr="0049650D">
        <w:rPr>
          <w:rFonts w:asciiTheme="minorHAnsi" w:eastAsiaTheme="minorHAnsi" w:hAnsiTheme="minorHAnsi" w:cstheme="minorBidi"/>
          <w:sz w:val="22"/>
          <w:szCs w:val="22"/>
          <w:lang w:eastAsia="en-US"/>
        </w:rPr>
        <w:t>-e safeguard net emissions budget for the period 1 July 2020 and 30 June 2030 corresponds to a 815* Mt CO</w:t>
      </w:r>
      <w:r w:rsidRPr="0049650D">
        <w:rPr>
          <w:rFonts w:asciiTheme="minorHAnsi" w:eastAsiaTheme="minorHAnsi" w:hAnsiTheme="minorHAnsi" w:cstheme="minorBidi"/>
          <w:sz w:val="22"/>
          <w:szCs w:val="22"/>
          <w:vertAlign w:val="subscript"/>
          <w:lang w:eastAsia="en-US"/>
        </w:rPr>
        <w:t>2</w:t>
      </w:r>
      <w:r w:rsidRPr="0049650D">
        <w:rPr>
          <w:rFonts w:asciiTheme="minorHAnsi" w:eastAsiaTheme="minorHAnsi" w:hAnsiTheme="minorHAnsi" w:cstheme="minorBidi"/>
          <w:sz w:val="22"/>
          <w:szCs w:val="22"/>
          <w:lang w:eastAsia="en-US"/>
        </w:rPr>
        <w:t>-e net emissions budget for the period between 2023-24 to 2029-30.</w:t>
      </w:r>
      <w:r w:rsidRPr="0049650D">
        <w:rPr>
          <w:rFonts w:eastAsiaTheme="minorHAnsi"/>
          <w:vertAlign w:val="superscript"/>
          <w:lang w:eastAsia="en-US"/>
        </w:rPr>
        <w:footnoteReference w:id="4"/>
      </w:r>
      <w:r w:rsidRPr="0049650D">
        <w:rPr>
          <w:rFonts w:asciiTheme="minorHAnsi" w:eastAsiaTheme="minorHAnsi" w:hAnsiTheme="minorHAnsi" w:cstheme="minorBidi"/>
          <w:sz w:val="22"/>
          <w:szCs w:val="22"/>
          <w:lang w:eastAsia="en-US"/>
        </w:rPr>
        <w:t xml:space="preserve"> </w:t>
      </w:r>
      <w:r w:rsidRPr="0049650D">
        <w:rPr>
          <w:rFonts w:asciiTheme="minorHAnsi" w:eastAsiaTheme="minorHAnsi" w:hAnsiTheme="minorHAnsi" w:cstheme="minorBidi"/>
          <w:sz w:val="22"/>
          <w:szCs w:val="24"/>
        </w:rPr>
        <w:t xml:space="preserve">My Department’s original decline rate analysis underpinning the 3 May 2023 amendments, projected baselines to add up to </w:t>
      </w:r>
      <w:r w:rsidRPr="0049650D">
        <w:rPr>
          <w:rFonts w:asciiTheme="minorHAnsi" w:eastAsiaTheme="minorHAnsi" w:hAnsiTheme="minorHAnsi" w:cstheme="minorBidi"/>
          <w:sz w:val="22"/>
          <w:szCs w:val="22"/>
          <w:lang w:eastAsia="en-US"/>
        </w:rPr>
        <w:t>net emissions of 800* Mt CO</w:t>
      </w:r>
      <w:r w:rsidRPr="0049650D">
        <w:rPr>
          <w:rFonts w:asciiTheme="minorHAnsi" w:eastAsiaTheme="minorHAnsi" w:hAnsiTheme="minorHAnsi" w:cstheme="minorBidi"/>
          <w:sz w:val="22"/>
          <w:szCs w:val="22"/>
          <w:vertAlign w:val="subscript"/>
          <w:lang w:eastAsia="en-US"/>
        </w:rPr>
        <w:t>2</w:t>
      </w:r>
      <w:r w:rsidRPr="0049650D">
        <w:rPr>
          <w:rFonts w:asciiTheme="minorHAnsi" w:eastAsiaTheme="minorHAnsi" w:hAnsiTheme="minorHAnsi" w:cstheme="minorBidi"/>
          <w:sz w:val="22"/>
          <w:szCs w:val="22"/>
          <w:lang w:eastAsia="en-US"/>
        </w:rPr>
        <w:t>-e between 2023</w:t>
      </w:r>
      <w:r w:rsidRPr="0049650D">
        <w:rPr>
          <w:rFonts w:asciiTheme="minorHAnsi" w:eastAsiaTheme="minorHAnsi" w:hAnsiTheme="minorHAnsi" w:cstheme="minorBidi"/>
          <w:sz w:val="22"/>
          <w:szCs w:val="22"/>
          <w:lang w:eastAsia="en-US"/>
        </w:rPr>
        <w:noBreakHyphen/>
        <w:t xml:space="preserve">24 to 2029-30 having regard to the </w:t>
      </w:r>
      <w:r w:rsidRPr="0049650D">
        <w:rPr>
          <w:rFonts w:asciiTheme="minorHAnsi" w:eastAsiaTheme="minorHAnsi" w:hAnsiTheme="minorHAnsi" w:cstheme="minorBidi"/>
          <w:sz w:val="22"/>
          <w:szCs w:val="22"/>
          <w:lang w:eastAsia="en-US"/>
        </w:rPr>
        <w:lastRenderedPageBreak/>
        <w:t xml:space="preserve">changes made by the </w:t>
      </w:r>
      <w:r w:rsidRPr="0049650D">
        <w:rPr>
          <w:rFonts w:asciiTheme="minorHAnsi" w:hAnsiTheme="minorHAnsi" w:cstheme="minorHAnsi"/>
          <w:sz w:val="22"/>
          <w:szCs w:val="22"/>
        </w:rPr>
        <w:t>Safeguard Reforms Amendment Rules</w:t>
      </w:r>
      <w:r w:rsidRPr="0049650D">
        <w:rPr>
          <w:rFonts w:asciiTheme="minorHAnsi" w:eastAsiaTheme="minorHAnsi" w:hAnsiTheme="minorHAnsi" w:cstheme="minorBidi"/>
          <w:sz w:val="22"/>
          <w:szCs w:val="22"/>
          <w:lang w:eastAsia="en-US"/>
        </w:rPr>
        <w:t>.</w:t>
      </w:r>
      <w:r w:rsidRPr="0049650D">
        <w:rPr>
          <w:rFonts w:eastAsiaTheme="minorHAnsi"/>
          <w:vertAlign w:val="superscript"/>
          <w:lang w:eastAsia="en-US"/>
        </w:rPr>
        <w:footnoteReference w:id="5"/>
      </w:r>
      <w:r w:rsidRPr="0049650D">
        <w:rPr>
          <w:rFonts w:asciiTheme="minorHAnsi" w:eastAsiaTheme="minorHAnsi" w:hAnsiTheme="minorHAnsi" w:cstheme="minorBidi"/>
          <w:sz w:val="22"/>
          <w:szCs w:val="22"/>
          <w:lang w:eastAsia="en-US"/>
        </w:rPr>
        <w:t xml:space="preserve"> </w:t>
      </w:r>
      <w:bookmarkEnd w:id="6"/>
      <w:r w:rsidR="008E0DEE" w:rsidRPr="0049650D">
        <w:rPr>
          <w:rFonts w:asciiTheme="minorHAnsi" w:hAnsiTheme="minorHAnsi" w:cstheme="minorHAnsi"/>
          <w:sz w:val="22"/>
          <w:szCs w:val="22"/>
        </w:rPr>
        <w:t>My Department has updated this decline rate analysis to reflect the Production Variables Update and a revised calculation approach to the underlying analysis related to emissions from new gas fields supplying existing liquefied natural gas facilities and now projects baselines to add up to net emissions of 793* Mt CO</w:t>
      </w:r>
      <w:r w:rsidR="008E0DEE" w:rsidRPr="0049650D">
        <w:rPr>
          <w:rFonts w:asciiTheme="minorHAnsi" w:hAnsiTheme="minorHAnsi" w:cstheme="minorHAnsi"/>
          <w:sz w:val="22"/>
          <w:szCs w:val="22"/>
          <w:vertAlign w:val="subscript"/>
        </w:rPr>
        <w:t>2</w:t>
      </w:r>
      <w:r w:rsidR="008E0DEE" w:rsidRPr="0049650D">
        <w:rPr>
          <w:rFonts w:asciiTheme="minorHAnsi" w:hAnsiTheme="minorHAnsi" w:cstheme="minorHAnsi"/>
          <w:sz w:val="22"/>
          <w:szCs w:val="22"/>
        </w:rPr>
        <w:t>-e between 2023</w:t>
      </w:r>
      <w:r w:rsidR="008E0DEE" w:rsidRPr="0049650D">
        <w:rPr>
          <w:rFonts w:asciiTheme="minorHAnsi" w:hAnsiTheme="minorHAnsi" w:cstheme="minorHAnsi"/>
          <w:sz w:val="22"/>
          <w:szCs w:val="22"/>
        </w:rPr>
        <w:noBreakHyphen/>
        <w:t xml:space="preserve">24 to 2029-30.  </w:t>
      </w:r>
    </w:p>
    <w:p w14:paraId="4010F270" w14:textId="001C7856"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4"/>
        </w:rPr>
      </w:pPr>
      <w:r w:rsidRPr="0049650D">
        <w:rPr>
          <w:rFonts w:asciiTheme="minorHAnsi" w:eastAsiaTheme="minorHAnsi" w:hAnsiTheme="minorHAnsi" w:cstheme="minorBidi"/>
          <w:sz w:val="22"/>
          <w:szCs w:val="22"/>
          <w:lang w:eastAsia="en-US"/>
        </w:rPr>
        <w:t>The decline rate analysis I considered in relation to the Safeguard Reforms Amendment Rules allowed for a reserve, to account for uncertainty about future emissions, of 15* Mt CO</w:t>
      </w:r>
      <w:r w:rsidRPr="0049650D">
        <w:rPr>
          <w:rFonts w:asciiTheme="minorHAnsi" w:eastAsiaTheme="minorHAnsi" w:hAnsiTheme="minorHAnsi" w:cstheme="minorBidi"/>
          <w:sz w:val="22"/>
          <w:szCs w:val="22"/>
          <w:vertAlign w:val="subscript"/>
          <w:lang w:eastAsia="en-US"/>
        </w:rPr>
        <w:t>2</w:t>
      </w:r>
      <w:r w:rsidRPr="0049650D">
        <w:rPr>
          <w:rFonts w:asciiTheme="minorHAnsi" w:eastAsiaTheme="minorHAnsi" w:hAnsiTheme="minorHAnsi" w:cstheme="minorBidi"/>
          <w:sz w:val="22"/>
          <w:szCs w:val="22"/>
          <w:lang w:eastAsia="en-US"/>
        </w:rPr>
        <w:t>-e.</w:t>
      </w:r>
      <w:r w:rsidRPr="0049650D">
        <w:rPr>
          <w:rFonts w:eastAsiaTheme="minorHAnsi"/>
          <w:vertAlign w:val="superscript"/>
          <w:lang w:eastAsia="en-US"/>
        </w:rPr>
        <w:footnoteReference w:id="6"/>
      </w:r>
      <w:r w:rsidRPr="0049650D">
        <w:rPr>
          <w:rFonts w:asciiTheme="minorHAnsi" w:eastAsiaTheme="minorHAnsi" w:hAnsiTheme="minorHAnsi" w:cstheme="minorBidi"/>
          <w:sz w:val="22"/>
          <w:szCs w:val="22"/>
          <w:lang w:eastAsia="en-US"/>
        </w:rPr>
        <w:t xml:space="preserve"> The reduction in aggregate baselines now means that the reserve is 2</w:t>
      </w:r>
      <w:r w:rsidR="004A5EF0" w:rsidRPr="0049650D">
        <w:rPr>
          <w:rFonts w:asciiTheme="minorHAnsi" w:eastAsiaTheme="minorHAnsi" w:hAnsiTheme="minorHAnsi" w:cstheme="minorBidi"/>
          <w:sz w:val="22"/>
          <w:szCs w:val="22"/>
          <w:lang w:eastAsia="en-US"/>
        </w:rPr>
        <w:t>2</w:t>
      </w:r>
      <w:r w:rsidRPr="0049650D">
        <w:rPr>
          <w:rFonts w:asciiTheme="minorHAnsi" w:eastAsiaTheme="minorHAnsi" w:hAnsiTheme="minorHAnsi" w:cstheme="minorBidi"/>
          <w:sz w:val="22"/>
          <w:szCs w:val="22"/>
          <w:lang w:eastAsia="en-US"/>
        </w:rPr>
        <w:t>* Mt CO</w:t>
      </w:r>
      <w:r w:rsidRPr="0049650D">
        <w:rPr>
          <w:rFonts w:asciiTheme="minorHAnsi" w:eastAsiaTheme="minorHAnsi" w:hAnsiTheme="minorHAnsi" w:cstheme="minorBidi"/>
          <w:sz w:val="22"/>
          <w:szCs w:val="22"/>
          <w:vertAlign w:val="subscript"/>
          <w:lang w:eastAsia="en-US"/>
        </w:rPr>
        <w:t>2</w:t>
      </w:r>
      <w:r w:rsidRPr="0049650D">
        <w:rPr>
          <w:rFonts w:asciiTheme="minorHAnsi" w:eastAsiaTheme="minorHAnsi" w:hAnsiTheme="minorHAnsi" w:cstheme="minorBidi"/>
          <w:sz w:val="22"/>
          <w:szCs w:val="22"/>
          <w:lang w:eastAsia="en-US"/>
        </w:rPr>
        <w:t>-e.</w:t>
      </w:r>
      <w:r w:rsidRPr="0049650D">
        <w:rPr>
          <w:rFonts w:asciiTheme="minorHAnsi" w:eastAsiaTheme="minorHAnsi" w:hAnsiTheme="minorHAnsi" w:cstheme="minorBidi"/>
          <w:sz w:val="22"/>
          <w:szCs w:val="24"/>
        </w:rPr>
        <w:t xml:space="preserve"> </w:t>
      </w:r>
    </w:p>
    <w:p w14:paraId="6531858E" w14:textId="0DF53BF4"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4"/>
        </w:rPr>
      </w:pPr>
      <w:r w:rsidRPr="0049650D">
        <w:rPr>
          <w:rFonts w:asciiTheme="minorHAnsi" w:eastAsiaTheme="minorHAnsi" w:hAnsiTheme="minorHAnsi" w:cstheme="minorBidi"/>
          <w:sz w:val="22"/>
          <w:szCs w:val="24"/>
        </w:rPr>
        <w:t xml:space="preserve">The </w:t>
      </w:r>
      <w:r w:rsidRPr="0049650D">
        <w:rPr>
          <w:rFonts w:asciiTheme="minorHAnsi" w:eastAsiaTheme="minorHAnsi" w:hAnsiTheme="minorHAnsi" w:cstheme="minorBidi"/>
          <w:sz w:val="22"/>
          <w:szCs w:val="22"/>
          <w:lang w:eastAsia="en-US"/>
        </w:rPr>
        <w:t>approach to setting baselines for new entrants under the Safeguard Rules, as amended by the Safeguard Reforms Amendment Rules, at international best practice (as outlined in Part 3, Division 3, Section 29 of the Safeguard Rules) led to net emissions from new entrants being estimated at 15* Mt to 2030, compared to estimated emissions of 38* Mt to 2030 without the Safeguard Reforms Amendment Rules reforms.</w:t>
      </w:r>
      <w:r w:rsidRPr="0049650D">
        <w:rPr>
          <w:rFonts w:eastAsiaTheme="minorHAnsi"/>
          <w:vertAlign w:val="superscript"/>
          <w:lang w:eastAsia="en-US"/>
        </w:rPr>
        <w:footnoteReference w:id="7"/>
      </w:r>
      <w:r w:rsidRPr="0049650D">
        <w:rPr>
          <w:rFonts w:asciiTheme="minorHAnsi" w:eastAsiaTheme="minorHAnsi" w:hAnsiTheme="minorHAnsi" w:cstheme="minorBidi"/>
          <w:sz w:val="22"/>
          <w:szCs w:val="22"/>
          <w:lang w:eastAsia="en-US"/>
        </w:rPr>
        <w:t xml:space="preserve"> The update to my Department’s decline rate analysis now indicates that emissions from new entrants are expected be 13* Mt to 2030. This reflects changes to the PVs and EIs and </w:t>
      </w:r>
      <w:bookmarkStart w:id="7" w:name="_Ref142481663"/>
      <w:r w:rsidRPr="0049650D">
        <w:rPr>
          <w:rFonts w:asciiTheme="minorHAnsi" w:eastAsiaTheme="minorHAnsi" w:hAnsiTheme="minorHAnsi" w:cstheme="minorBidi"/>
          <w:sz w:val="22"/>
          <w:szCs w:val="22"/>
          <w:lang w:eastAsia="en-US"/>
        </w:rPr>
        <w:t xml:space="preserve">a revised calculation approach that </w:t>
      </w:r>
      <w:proofErr w:type="gramStart"/>
      <w:r w:rsidRPr="0049650D">
        <w:rPr>
          <w:rFonts w:asciiTheme="minorHAnsi" w:eastAsiaTheme="minorHAnsi" w:hAnsiTheme="minorHAnsi" w:cstheme="minorBidi"/>
          <w:sz w:val="22"/>
          <w:szCs w:val="22"/>
          <w:lang w:eastAsia="en-US"/>
        </w:rPr>
        <w:t>takes into account</w:t>
      </w:r>
      <w:proofErr w:type="gramEnd"/>
      <w:r w:rsidRPr="0049650D">
        <w:rPr>
          <w:rFonts w:asciiTheme="minorHAnsi" w:eastAsiaTheme="minorHAnsi" w:hAnsiTheme="minorHAnsi" w:cstheme="minorBidi"/>
          <w:sz w:val="22"/>
          <w:szCs w:val="22"/>
          <w:lang w:eastAsia="en-US"/>
        </w:rPr>
        <w:t xml:space="preserve"> the </w:t>
      </w:r>
      <w:r w:rsidRPr="0049650D">
        <w:rPr>
          <w:rFonts w:asciiTheme="minorHAnsi" w:eastAsiaTheme="minorHAnsi" w:hAnsiTheme="minorHAnsi" w:cstheme="minorBidi"/>
          <w:sz w:val="22"/>
          <w:szCs w:val="24"/>
        </w:rPr>
        <w:t xml:space="preserve">minimum baselines for new facilities. Apart from shale gas extraction facilities, designated large facilities have a minimum baseline of 100,000 t </w:t>
      </w:r>
      <w:r w:rsidRPr="0049650D">
        <w:rPr>
          <w:rFonts w:asciiTheme="minorHAnsi" w:eastAsiaTheme="minorHAnsi" w:hAnsiTheme="minorHAnsi" w:cstheme="minorBidi"/>
          <w:sz w:val="22"/>
          <w:szCs w:val="22"/>
          <w:lang w:eastAsia="en-US"/>
        </w:rPr>
        <w:t>CO</w:t>
      </w:r>
      <w:r w:rsidRPr="0049650D">
        <w:rPr>
          <w:rFonts w:asciiTheme="minorHAnsi" w:eastAsiaTheme="minorHAnsi" w:hAnsiTheme="minorHAnsi" w:cstheme="minorBidi"/>
          <w:sz w:val="22"/>
          <w:szCs w:val="22"/>
          <w:vertAlign w:val="subscript"/>
          <w:lang w:eastAsia="en-US"/>
        </w:rPr>
        <w:t>2</w:t>
      </w:r>
      <w:r w:rsidRPr="0049650D">
        <w:rPr>
          <w:rFonts w:asciiTheme="minorHAnsi" w:eastAsiaTheme="minorHAnsi" w:hAnsiTheme="minorHAnsi" w:cstheme="minorBidi"/>
          <w:sz w:val="22"/>
          <w:szCs w:val="22"/>
          <w:lang w:eastAsia="en-US"/>
        </w:rPr>
        <w:t xml:space="preserve">-e. </w:t>
      </w:r>
      <w:bookmarkEnd w:id="7"/>
    </w:p>
    <w:p w14:paraId="37DD94BE" w14:textId="360B615E"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4"/>
        </w:rPr>
      </w:pPr>
      <w:bookmarkStart w:id="8" w:name="_Ref142315897"/>
      <w:r w:rsidRPr="0049650D">
        <w:rPr>
          <w:rFonts w:asciiTheme="minorHAnsi" w:eastAsiaTheme="minorHAnsi" w:hAnsiTheme="minorHAnsi" w:cstheme="minorBidi"/>
          <w:sz w:val="22"/>
          <w:szCs w:val="24"/>
        </w:rPr>
        <w:t xml:space="preserve">My Department’s decline rate analysis accounts for the impact of likely trade-exposed baseline-adjusted (TEBA) facilities, which get a lower baseline decline rate. The Production Variables Update adds silicomanganese alloy, ferromanganese alloy and lithium hydroxide to trade exposed production variables listed in Schedule 2 of the Safeguard Rules. Facilities that have silicomanganese alloy, ferromanganese alloy or lithium hydroxide as their primary PV may be eligible for TEBA status. For the case of silicomanganese alloy and ferromanganese alloys, this addition does not change the expected emissions outcomes calculated as they are used by a facility already assumed to have TEBA status in the Department’s decline rate analysis. </w:t>
      </w:r>
      <w:r w:rsidRPr="0049650D">
        <w:rPr>
          <w:rFonts w:asciiTheme="minorHAnsi" w:eastAsiaTheme="minorHAnsi" w:hAnsiTheme="minorHAnsi" w:cstheme="minorBidi"/>
          <w:sz w:val="22"/>
          <w:szCs w:val="22"/>
        </w:rPr>
        <w:t>The addition of lithium hydroxide will only apply to facilities that are not yet designated large facilities. The potential future access to TEBA arrangements by operations which are not yet designated large facilities is mitigated by the existence of the reserve.</w:t>
      </w:r>
    </w:p>
    <w:bookmarkEnd w:id="8"/>
    <w:p w14:paraId="4AA0160A" w14:textId="66F00948"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4"/>
        </w:rPr>
      </w:pPr>
      <w:r w:rsidRPr="0049650D">
        <w:rPr>
          <w:rFonts w:asciiTheme="minorHAnsi" w:eastAsiaTheme="minorHAnsi" w:hAnsiTheme="minorHAnsi" w:cstheme="minorBidi"/>
          <w:sz w:val="22"/>
          <w:szCs w:val="24"/>
        </w:rPr>
        <w:t xml:space="preserve">I am satisfied that the Safeguard Rules as amended are consistent with safeguard outcome (b), for the reasons outlined in paragraphs 29-35 of my 3 May 2023 statement of reasons, having regard to my Department’s updated decline rate analysis setting out expected net covered emissions as a result of the Production Variable Update and the </w:t>
      </w:r>
      <w:r w:rsidRPr="0049650D">
        <w:rPr>
          <w:rFonts w:asciiTheme="minorHAnsi" w:eastAsiaTheme="minorHAnsi" w:hAnsiTheme="minorHAnsi" w:cstheme="minorBidi"/>
          <w:sz w:val="22"/>
          <w:szCs w:val="22"/>
          <w:lang w:eastAsia="en-US"/>
        </w:rPr>
        <w:t>815 Mt CO</w:t>
      </w:r>
      <w:r w:rsidRPr="0049650D">
        <w:rPr>
          <w:rFonts w:asciiTheme="minorHAnsi" w:eastAsiaTheme="minorHAnsi" w:hAnsiTheme="minorHAnsi" w:cstheme="minorBidi"/>
          <w:sz w:val="22"/>
          <w:szCs w:val="22"/>
          <w:vertAlign w:val="subscript"/>
          <w:lang w:eastAsia="en-US"/>
        </w:rPr>
        <w:t>2</w:t>
      </w:r>
      <w:r w:rsidRPr="0049650D">
        <w:rPr>
          <w:rFonts w:asciiTheme="minorHAnsi" w:eastAsiaTheme="minorHAnsi" w:hAnsiTheme="minorHAnsi" w:cstheme="minorBidi"/>
          <w:sz w:val="22"/>
          <w:szCs w:val="22"/>
          <w:lang w:eastAsia="en-US"/>
        </w:rPr>
        <w:t>-e net emissions budget for the period between 2023-24 to 2029-30</w:t>
      </w:r>
      <w:r w:rsidRPr="0049650D">
        <w:rPr>
          <w:rFonts w:asciiTheme="minorHAnsi" w:eastAsiaTheme="minorHAnsi" w:hAnsiTheme="minorHAnsi" w:cstheme="minorBidi"/>
          <w:sz w:val="22"/>
          <w:szCs w:val="24"/>
        </w:rPr>
        <w:t>, described in paragraphs 24-30 above.</w:t>
      </w:r>
    </w:p>
    <w:p w14:paraId="7A7A4F60" w14:textId="77777777" w:rsidR="009A6A29" w:rsidRPr="0049650D" w:rsidRDefault="009A6A29" w:rsidP="009A6A29">
      <w:pPr>
        <w:tabs>
          <w:tab w:val="right" w:pos="1531"/>
        </w:tabs>
        <w:spacing w:before="40" w:after="0"/>
        <w:rPr>
          <w:rFonts w:asciiTheme="minorHAnsi" w:hAnsiTheme="minorHAnsi" w:cstheme="minorBidi"/>
          <w:b/>
          <w:sz w:val="22"/>
        </w:rPr>
      </w:pPr>
      <w:r w:rsidRPr="0049650D">
        <w:rPr>
          <w:rFonts w:asciiTheme="minorHAnsi" w:eastAsiaTheme="minorEastAsia" w:hAnsiTheme="minorHAnsi" w:cstheme="minorBidi"/>
          <w:b/>
          <w:sz w:val="22"/>
          <w:lang w:eastAsia="en-US"/>
        </w:rPr>
        <w:t>I am satisfied that the Safeguard Rules as amended are consistent with safeguard outcome (c): that net safeguard emissions decline to (</w:t>
      </w:r>
      <w:proofErr w:type="spellStart"/>
      <w:r w:rsidRPr="0049650D">
        <w:rPr>
          <w:rFonts w:asciiTheme="minorHAnsi" w:eastAsiaTheme="minorEastAsia" w:hAnsiTheme="minorHAnsi" w:cstheme="minorBidi"/>
          <w:b/>
          <w:sz w:val="22"/>
          <w:lang w:eastAsia="en-US"/>
        </w:rPr>
        <w:t>i</w:t>
      </w:r>
      <w:proofErr w:type="spellEnd"/>
      <w:r w:rsidRPr="0049650D">
        <w:rPr>
          <w:rFonts w:asciiTheme="minorHAnsi" w:eastAsiaTheme="minorEastAsia" w:hAnsiTheme="minorHAnsi" w:cstheme="minorBidi"/>
          <w:b/>
          <w:sz w:val="22"/>
          <w:lang w:eastAsia="en-US"/>
        </w:rPr>
        <w:t xml:space="preserve">) no more than 100 million tonnes of carbon </w:t>
      </w:r>
      <w:r w:rsidRPr="0049650D">
        <w:rPr>
          <w:rFonts w:asciiTheme="minorHAnsi" w:eastAsiaTheme="minorEastAsia" w:hAnsiTheme="minorHAnsi" w:cstheme="minorBidi"/>
          <w:b/>
          <w:sz w:val="22"/>
          <w:lang w:eastAsia="en-US"/>
        </w:rPr>
        <w:lastRenderedPageBreak/>
        <w:t>dioxide equivalence for the financial year beginning on 1 July 2029; and (ii) zero for any financial year to begin after 30 June 2049</w:t>
      </w:r>
    </w:p>
    <w:p w14:paraId="41441C99" w14:textId="4384FB4D"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4"/>
        </w:rPr>
        <w:t xml:space="preserve">My </w:t>
      </w:r>
      <w:proofErr w:type="gramStart"/>
      <w:r w:rsidRPr="0049650D">
        <w:rPr>
          <w:rFonts w:asciiTheme="minorHAnsi" w:eastAsiaTheme="minorHAnsi" w:hAnsiTheme="minorHAnsi" w:cstheme="minorBidi"/>
          <w:sz w:val="22"/>
          <w:szCs w:val="24"/>
        </w:rPr>
        <w:t>Department’s</w:t>
      </w:r>
      <w:proofErr w:type="gramEnd"/>
      <w:r w:rsidRPr="0049650D">
        <w:rPr>
          <w:rFonts w:asciiTheme="minorHAnsi" w:eastAsiaTheme="minorHAnsi" w:hAnsiTheme="minorHAnsi" w:cstheme="minorBidi"/>
          <w:sz w:val="22"/>
          <w:szCs w:val="24"/>
        </w:rPr>
        <w:t xml:space="preserve"> decline rate analysis based on the Safeguard Rules as amended by the Safeguard Reforms Amendment Rule forecasted that net Safeguard emissions would decline to 96.0 Mt </w:t>
      </w:r>
      <w:r w:rsidRPr="0049650D">
        <w:rPr>
          <w:rFonts w:asciiTheme="minorHAnsi" w:eastAsiaTheme="minorHAnsi" w:hAnsiTheme="minorHAnsi" w:cstheme="minorBidi"/>
          <w:sz w:val="22"/>
          <w:szCs w:val="22"/>
          <w:lang w:eastAsia="en-US"/>
        </w:rPr>
        <w:t>CO</w:t>
      </w:r>
      <w:r w:rsidRPr="0049650D">
        <w:rPr>
          <w:rFonts w:asciiTheme="minorHAnsi" w:eastAsiaTheme="minorHAnsi" w:hAnsiTheme="minorHAnsi" w:cstheme="minorBidi"/>
          <w:sz w:val="22"/>
          <w:szCs w:val="22"/>
          <w:vertAlign w:val="subscript"/>
          <w:lang w:eastAsia="en-US"/>
        </w:rPr>
        <w:t>2</w:t>
      </w:r>
      <w:r w:rsidRPr="0049650D">
        <w:rPr>
          <w:rFonts w:asciiTheme="minorHAnsi" w:eastAsiaTheme="minorHAnsi" w:hAnsiTheme="minorHAnsi" w:cstheme="minorBidi"/>
          <w:sz w:val="22"/>
          <w:szCs w:val="22"/>
          <w:lang w:eastAsia="en-US"/>
        </w:rPr>
        <w:t>-e</w:t>
      </w:r>
      <w:r w:rsidRPr="0049650D">
        <w:rPr>
          <w:rFonts w:asciiTheme="minorHAnsi" w:eastAsiaTheme="minorHAnsi" w:hAnsiTheme="minorHAnsi" w:cstheme="minorBidi"/>
          <w:sz w:val="22"/>
          <w:szCs w:val="24"/>
        </w:rPr>
        <w:t xml:space="preserve"> in the financial year 2029-30, taking into account the reserve allowance, which is below 100 Mt </w:t>
      </w:r>
      <w:r w:rsidRPr="0049650D">
        <w:rPr>
          <w:rFonts w:asciiTheme="minorHAnsi" w:eastAsiaTheme="minorHAnsi" w:hAnsiTheme="minorHAnsi" w:cstheme="minorBidi"/>
          <w:sz w:val="22"/>
          <w:szCs w:val="22"/>
          <w:lang w:eastAsia="en-US"/>
        </w:rPr>
        <w:t>CO</w:t>
      </w:r>
      <w:r w:rsidRPr="0049650D">
        <w:rPr>
          <w:rFonts w:asciiTheme="minorHAnsi" w:eastAsiaTheme="minorHAnsi" w:hAnsiTheme="minorHAnsi" w:cstheme="minorBidi"/>
          <w:sz w:val="22"/>
          <w:szCs w:val="22"/>
          <w:vertAlign w:val="subscript"/>
          <w:lang w:eastAsia="en-US"/>
        </w:rPr>
        <w:t>2</w:t>
      </w:r>
      <w:r w:rsidRPr="0049650D">
        <w:rPr>
          <w:rFonts w:asciiTheme="minorHAnsi" w:eastAsiaTheme="minorHAnsi" w:hAnsiTheme="minorHAnsi" w:cstheme="minorBidi"/>
          <w:sz w:val="22"/>
          <w:szCs w:val="22"/>
          <w:lang w:eastAsia="en-US"/>
        </w:rPr>
        <w:t>-e</w:t>
      </w:r>
      <w:r w:rsidRPr="0049650D">
        <w:rPr>
          <w:rFonts w:asciiTheme="minorHAnsi" w:eastAsiaTheme="minorHAnsi" w:hAnsiTheme="minorHAnsi" w:cstheme="minorBidi"/>
          <w:sz w:val="22"/>
          <w:szCs w:val="24"/>
        </w:rPr>
        <w:t>.</w:t>
      </w:r>
    </w:p>
    <w:p w14:paraId="6D09E3D5" w14:textId="62F7C832"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4"/>
        </w:rPr>
        <w:t xml:space="preserve">My Department’s update to the decline rate analysis to reflect the Production Variable Update forecasts that net Safeguard emissions would decline to </w:t>
      </w:r>
      <w:r w:rsidRPr="0049650D" w:rsidDel="00F05158">
        <w:rPr>
          <w:rFonts w:asciiTheme="minorHAnsi" w:eastAsiaTheme="minorHAnsi" w:hAnsiTheme="minorHAnsi" w:cstheme="minorBidi"/>
          <w:sz w:val="22"/>
          <w:szCs w:val="24"/>
        </w:rPr>
        <w:t>9</w:t>
      </w:r>
      <w:r w:rsidR="004A5EF0" w:rsidRPr="0049650D">
        <w:rPr>
          <w:rFonts w:asciiTheme="minorHAnsi" w:eastAsiaTheme="minorHAnsi" w:hAnsiTheme="minorHAnsi" w:cstheme="minorBidi"/>
          <w:sz w:val="22"/>
          <w:szCs w:val="24"/>
        </w:rPr>
        <w:t>5.9</w:t>
      </w:r>
      <w:r w:rsidRPr="0049650D">
        <w:rPr>
          <w:rFonts w:asciiTheme="minorHAnsi" w:eastAsiaTheme="minorHAnsi" w:hAnsiTheme="minorHAnsi" w:cstheme="minorBidi"/>
          <w:sz w:val="22"/>
          <w:szCs w:val="24"/>
        </w:rPr>
        <w:t xml:space="preserve"> Mt </w:t>
      </w:r>
      <w:r w:rsidRPr="0049650D">
        <w:rPr>
          <w:rFonts w:asciiTheme="minorHAnsi" w:eastAsiaTheme="minorHAnsi" w:hAnsiTheme="minorHAnsi" w:cstheme="minorBidi"/>
          <w:sz w:val="22"/>
          <w:szCs w:val="22"/>
          <w:lang w:eastAsia="en-US"/>
        </w:rPr>
        <w:t>CO</w:t>
      </w:r>
      <w:r w:rsidRPr="0049650D">
        <w:rPr>
          <w:rFonts w:asciiTheme="minorHAnsi" w:eastAsiaTheme="minorHAnsi" w:hAnsiTheme="minorHAnsi" w:cstheme="minorBidi"/>
          <w:sz w:val="22"/>
          <w:szCs w:val="22"/>
          <w:vertAlign w:val="subscript"/>
          <w:lang w:eastAsia="en-US"/>
        </w:rPr>
        <w:t>2</w:t>
      </w:r>
      <w:r w:rsidRPr="0049650D">
        <w:rPr>
          <w:rFonts w:asciiTheme="minorHAnsi" w:eastAsiaTheme="minorHAnsi" w:hAnsiTheme="minorHAnsi" w:cstheme="minorBidi"/>
          <w:sz w:val="22"/>
          <w:szCs w:val="22"/>
          <w:lang w:eastAsia="en-US"/>
        </w:rPr>
        <w:t xml:space="preserve">-e in the financial year 2029-30, taking into account the reserve allowance. As this is below </w:t>
      </w:r>
      <w:r w:rsidRPr="0049650D">
        <w:rPr>
          <w:rFonts w:asciiTheme="minorHAnsi" w:eastAsiaTheme="minorHAnsi" w:hAnsiTheme="minorHAnsi" w:cstheme="minorBidi"/>
          <w:sz w:val="22"/>
          <w:szCs w:val="24"/>
        </w:rPr>
        <w:t xml:space="preserve">100 Mt </w:t>
      </w:r>
      <w:r w:rsidRPr="0049650D">
        <w:rPr>
          <w:rFonts w:asciiTheme="minorHAnsi" w:eastAsiaTheme="minorHAnsi" w:hAnsiTheme="minorHAnsi" w:cstheme="minorBidi"/>
          <w:sz w:val="22"/>
          <w:szCs w:val="22"/>
          <w:lang w:eastAsia="en-US"/>
        </w:rPr>
        <w:t>CO</w:t>
      </w:r>
      <w:r w:rsidRPr="0049650D">
        <w:rPr>
          <w:rFonts w:asciiTheme="minorHAnsi" w:eastAsiaTheme="minorHAnsi" w:hAnsiTheme="minorHAnsi" w:cstheme="minorBidi"/>
          <w:sz w:val="22"/>
          <w:szCs w:val="22"/>
          <w:vertAlign w:val="subscript"/>
          <w:lang w:eastAsia="en-US"/>
        </w:rPr>
        <w:t>2</w:t>
      </w:r>
      <w:r w:rsidRPr="0049650D">
        <w:rPr>
          <w:rFonts w:asciiTheme="minorHAnsi" w:eastAsiaTheme="minorHAnsi" w:hAnsiTheme="minorHAnsi" w:cstheme="minorBidi"/>
          <w:sz w:val="22"/>
          <w:szCs w:val="22"/>
          <w:lang w:eastAsia="en-US"/>
        </w:rPr>
        <w:t>-e, I am satisfied that the Safeguard Rules as amended are consistent with safeguard outcome (c)(</w:t>
      </w:r>
      <w:proofErr w:type="spellStart"/>
      <w:r w:rsidRPr="0049650D">
        <w:rPr>
          <w:rFonts w:asciiTheme="minorHAnsi" w:eastAsiaTheme="minorHAnsi" w:hAnsiTheme="minorHAnsi" w:cstheme="minorBidi"/>
          <w:sz w:val="22"/>
          <w:szCs w:val="22"/>
          <w:lang w:eastAsia="en-US"/>
        </w:rPr>
        <w:t>i</w:t>
      </w:r>
      <w:proofErr w:type="spellEnd"/>
      <w:r w:rsidRPr="0049650D">
        <w:rPr>
          <w:rFonts w:asciiTheme="minorHAnsi" w:eastAsiaTheme="minorHAnsi" w:hAnsiTheme="minorHAnsi" w:cstheme="minorBidi"/>
          <w:sz w:val="22"/>
          <w:szCs w:val="22"/>
          <w:lang w:eastAsia="en-US"/>
        </w:rPr>
        <w:t xml:space="preserve">). </w:t>
      </w:r>
    </w:p>
    <w:p w14:paraId="2F7662CF" w14:textId="7F7B7904"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As set out in paragraphs 37 and 38 of my reasons of 3 May 2023, the default decline rate detailed within Part 3, Division 5 of the Safeguard Rules for a financial year beginning 1 July 2030 or later is a rate that reduces to zero over the 20 years 2030-31 to 2049-50, ensuring that aggregate baselines for designated large facilities reach net zero by 2049-50. Part 3, Division 1 of the Safeguard Rules requires that baselines for facilities for a financial year that begins after 30 June 2049 must be zero. The</w:t>
      </w:r>
      <w:r w:rsidRPr="0049650D" w:rsidDel="00805C2A">
        <w:rPr>
          <w:rFonts w:asciiTheme="minorHAnsi" w:eastAsiaTheme="minorHAnsi" w:hAnsiTheme="minorHAnsi" w:cstheme="minorBidi"/>
          <w:sz w:val="22"/>
          <w:szCs w:val="22"/>
          <w:lang w:eastAsia="en-US"/>
        </w:rPr>
        <w:t xml:space="preserve"> </w:t>
      </w:r>
      <w:r w:rsidRPr="0049650D">
        <w:rPr>
          <w:rFonts w:asciiTheme="minorHAnsi" w:eastAsiaTheme="minorHAnsi" w:hAnsiTheme="minorHAnsi" w:cstheme="minorBidi"/>
          <w:sz w:val="22"/>
          <w:szCs w:val="22"/>
          <w:lang w:eastAsia="en-US"/>
        </w:rPr>
        <w:t>Production Variables Update does not specifically amend Part 3 and the PV amendments will not directly impact Part 3 Division 5. Having regard to Part 3 of the Safeguard Rules, I am satisfied the Safeguard Rules, as amended by the Production Variables Update, are consistent with safeguard outcome (c)(ii).</w:t>
      </w:r>
    </w:p>
    <w:p w14:paraId="6BB95F8F" w14:textId="77777777" w:rsidR="009A6A29" w:rsidRPr="0049650D" w:rsidRDefault="009A6A29" w:rsidP="009A6A29">
      <w:pPr>
        <w:tabs>
          <w:tab w:val="right" w:pos="1531"/>
        </w:tabs>
        <w:spacing w:before="40" w:after="0"/>
        <w:rPr>
          <w:rFonts w:asciiTheme="minorHAnsi" w:eastAsiaTheme="minorEastAsia" w:hAnsiTheme="minorHAnsi" w:cstheme="minorBidi"/>
          <w:b/>
          <w:sz w:val="22"/>
          <w:lang w:eastAsia="en-US"/>
        </w:rPr>
      </w:pPr>
      <w:r w:rsidRPr="0049650D">
        <w:rPr>
          <w:rFonts w:asciiTheme="minorHAnsi" w:eastAsiaTheme="minorEastAsia" w:hAnsiTheme="minorHAnsi" w:cstheme="minorBidi"/>
          <w:b/>
          <w:sz w:val="22"/>
          <w:lang w:eastAsia="en-US"/>
        </w:rPr>
        <w:t xml:space="preserve">I am satisfied that the Safeguard Rules as amended are consistent with safeguard outcome (d): that the 5-year rolling average safeguard emissions for each financial year that begins after 30 June 2024 are lower than the past 5-year rolling average safeguard emissions for that financial year. </w:t>
      </w:r>
    </w:p>
    <w:p w14:paraId="4193F247" w14:textId="3393E4A3"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 xml:space="preserve">Safeguard outcome (d) requires the 5-year rolling average safeguard emissions for each financial year that begins after 30 June 2024 to be lower than the past 5-year rolling average safeguard emissions for that financial year, where the past 5-year rolling average Safeguard emissions is defined as one fifth of the total amount of safeguard emissions for the 5 financial years previous to the financial year that ended 3 years before the start of the current financial year (for financial years that begin before 1 July 2027), and from the 2027-28 financial year onwards, for the 5 financial years that ended 2 years before the start of the current financial year. </w:t>
      </w:r>
    </w:p>
    <w:p w14:paraId="63C2550C" w14:textId="4777BA0C"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 xml:space="preserve">The Department, alongside the Department of the Treasury, undertook </w:t>
      </w:r>
      <w:r w:rsidR="00AD1B61" w:rsidRPr="0049650D">
        <w:rPr>
          <w:rFonts w:asciiTheme="minorHAnsi" w:eastAsiaTheme="minorHAnsi" w:hAnsiTheme="minorHAnsi" w:cstheme="minorBidi"/>
          <w:sz w:val="22"/>
          <w:szCs w:val="22"/>
          <w:lang w:eastAsia="en-US"/>
        </w:rPr>
        <w:t>analysis</w:t>
      </w:r>
      <w:r w:rsidRPr="0049650D">
        <w:rPr>
          <w:rFonts w:asciiTheme="minorHAnsi" w:eastAsiaTheme="minorHAnsi" w:hAnsiTheme="minorHAnsi" w:cstheme="minorBidi"/>
          <w:sz w:val="22"/>
          <w:szCs w:val="22"/>
          <w:lang w:eastAsia="en-US"/>
        </w:rPr>
        <w:t xml:space="preserve"> of the abatement and carbon market opportunities and the resulting safeguard emissions under policy elements, including borrowing, reflected in Safeguard Rules, to inform Cabinet deliberations. A summary of this analysis, on which I relied, was included in the Department’s gross emissions analysis for the statement of reasons of 3 May 2023 for the </w:t>
      </w:r>
      <w:r w:rsidRPr="0049650D">
        <w:rPr>
          <w:rFonts w:asciiTheme="minorHAnsi" w:hAnsiTheme="minorHAnsi" w:cstheme="minorHAnsi"/>
          <w:sz w:val="22"/>
          <w:szCs w:val="22"/>
        </w:rPr>
        <w:t>Safeguard Reforms Amendment Rules.</w:t>
      </w:r>
    </w:p>
    <w:p w14:paraId="3145A399" w14:textId="180D82D6"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The amendments made by the Production Variables Update will incentivise efficiencies and investments in measures to reduce emissions, in particular in relation to the ‘</w:t>
      </w:r>
      <w:r w:rsidRPr="0049650D">
        <w:rPr>
          <w:rFonts w:asciiTheme="minorHAnsi" w:eastAsiaTheme="minorHAnsi" w:hAnsiTheme="minorHAnsi" w:cstheme="minorBidi"/>
          <w:iCs/>
          <w:sz w:val="22"/>
          <w:szCs w:val="22"/>
          <w:lang w:eastAsia="en-US"/>
        </w:rPr>
        <w:t xml:space="preserve">work of compression applied to natural gas or plant condensate’ PV and EI, the definition of ‘integrated iron and steel manufacturing’, the definition of the ‘run of mine coal’ PV and EI, the ‘reservoir carbon dioxide from existing gas fields’ EI and </w:t>
      </w:r>
      <w:r w:rsidRPr="0049650D">
        <w:rPr>
          <w:rFonts w:asciiTheme="minorHAnsi" w:eastAsiaTheme="minorHAnsi" w:hAnsiTheme="minorHAnsi" w:cstheme="minorBidi"/>
          <w:iCs/>
          <w:sz w:val="22"/>
          <w:szCs w:val="22"/>
          <w:lang w:eastAsia="en-US"/>
        </w:rPr>
        <w:lastRenderedPageBreak/>
        <w:t xml:space="preserve">‘cement produced from clinker and supplementary cementitious material’ PV and EI. </w:t>
      </w:r>
      <w:r w:rsidRPr="0049650D">
        <w:rPr>
          <w:rFonts w:asciiTheme="minorHAnsi" w:eastAsiaTheme="minorHAnsi" w:hAnsiTheme="minorHAnsi" w:cstheme="minorBidi"/>
          <w:sz w:val="22"/>
          <w:szCs w:val="22"/>
          <w:lang w:eastAsia="en-US"/>
        </w:rPr>
        <w:t>These amendments engage safeguard outcome (d) by making it more likely that the 5-year rolling average safeguard emissions for each financial year that begins after 30 June 2024 will be lower than the past 5-year rolling average safeguard emissions for that financial year, to the extent that opportunities are taken up.</w:t>
      </w:r>
    </w:p>
    <w:p w14:paraId="57A1F02F" w14:textId="4C33839A"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 xml:space="preserve">The Department’s updated gross emissions analysis for the Production Variable Update, on which I am now relying, indicates the 5-year rolling average safeguard emissions for each financial year that begins after 30 June 2024 are estimated to be lower than the past 5-year rolling average safeguard emissions for that financial year, which is consistent with outcome (d). </w:t>
      </w:r>
      <w:r w:rsidRPr="0049650D">
        <w:rPr>
          <w:rFonts w:asciiTheme="minorHAnsi" w:hAnsiTheme="minorHAnsi" w:cstheme="minorHAnsi"/>
          <w:sz w:val="22"/>
          <w:szCs w:val="22"/>
        </w:rPr>
        <w:t xml:space="preserve">I </w:t>
      </w:r>
      <w:r w:rsidRPr="0049650D">
        <w:rPr>
          <w:rFonts w:asciiTheme="minorHAnsi" w:eastAsiaTheme="minorHAnsi" w:hAnsiTheme="minorHAnsi" w:cstheme="minorBidi"/>
          <w:sz w:val="22"/>
          <w:szCs w:val="22"/>
          <w:lang w:eastAsia="en-US"/>
        </w:rPr>
        <w:t>am satisfied the Safeguard Rules, as amended by the Production Variables Update, are consistent with safeguard outcome (d).</w:t>
      </w:r>
    </w:p>
    <w:p w14:paraId="7A881F7A" w14:textId="77777777" w:rsidR="009A6A29" w:rsidRPr="0049650D" w:rsidRDefault="009A6A29" w:rsidP="009A6A29">
      <w:pPr>
        <w:tabs>
          <w:tab w:val="right" w:pos="1531"/>
        </w:tabs>
        <w:spacing w:before="40" w:after="0"/>
        <w:rPr>
          <w:rFonts w:asciiTheme="minorHAnsi" w:eastAsiaTheme="minorEastAsia" w:hAnsiTheme="minorHAnsi" w:cstheme="minorBidi"/>
          <w:b/>
          <w:sz w:val="22"/>
          <w:lang w:eastAsia="en-US"/>
        </w:rPr>
      </w:pPr>
      <w:r w:rsidRPr="0049650D">
        <w:rPr>
          <w:rFonts w:asciiTheme="minorHAnsi" w:eastAsiaTheme="minorEastAsia" w:hAnsiTheme="minorHAnsi" w:cstheme="minorBidi"/>
          <w:b/>
          <w:sz w:val="22"/>
          <w:lang w:eastAsia="en-US"/>
        </w:rPr>
        <w:t xml:space="preserve">I am satisfied the Safeguard Rules as amended </w:t>
      </w:r>
      <w:proofErr w:type="gramStart"/>
      <w:r w:rsidRPr="0049650D">
        <w:rPr>
          <w:rFonts w:asciiTheme="minorHAnsi" w:eastAsiaTheme="minorEastAsia" w:hAnsiTheme="minorHAnsi" w:cstheme="minorBidi"/>
          <w:b/>
          <w:sz w:val="22"/>
          <w:lang w:eastAsia="en-US"/>
        </w:rPr>
        <w:t>take into account</w:t>
      </w:r>
      <w:proofErr w:type="gramEnd"/>
      <w:r w:rsidRPr="0049650D">
        <w:rPr>
          <w:rFonts w:asciiTheme="minorHAnsi" w:eastAsiaTheme="minorEastAsia" w:hAnsiTheme="minorHAnsi" w:cstheme="minorBidi"/>
          <w:b/>
          <w:sz w:val="22"/>
          <w:lang w:eastAsia="en-US"/>
        </w:rPr>
        <w:t xml:space="preserve"> safeguard outcome (e): that the responsible emitter for each designated large facility has a material incentive to invest in reducing covered emissions from the operation of the facility.</w:t>
      </w:r>
    </w:p>
    <w:p w14:paraId="532C7472" w14:textId="600D4FB4"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bookmarkStart w:id="9" w:name="_Ref142324061"/>
      <w:r w:rsidRPr="0049650D">
        <w:rPr>
          <w:rFonts w:asciiTheme="minorHAnsi" w:eastAsiaTheme="minorHAnsi" w:hAnsiTheme="minorHAnsi" w:cstheme="minorBidi"/>
          <w:sz w:val="22"/>
          <w:szCs w:val="22"/>
          <w:lang w:eastAsia="en-US"/>
        </w:rPr>
        <w:t>The amendments made</w:t>
      </w:r>
      <w:r w:rsidRPr="0049650D" w:rsidDel="003717F8">
        <w:rPr>
          <w:rFonts w:asciiTheme="minorHAnsi" w:eastAsiaTheme="minorHAnsi" w:hAnsiTheme="minorHAnsi" w:cstheme="minorBidi"/>
          <w:sz w:val="22"/>
          <w:szCs w:val="22"/>
          <w:lang w:eastAsia="en-US"/>
        </w:rPr>
        <w:t xml:space="preserve"> by the </w:t>
      </w:r>
      <w:r w:rsidRPr="0049650D">
        <w:rPr>
          <w:rFonts w:asciiTheme="minorHAnsi" w:eastAsiaTheme="minorHAnsi" w:hAnsiTheme="minorHAnsi" w:cstheme="minorBidi"/>
          <w:sz w:val="22"/>
          <w:szCs w:val="22"/>
          <w:lang w:eastAsia="en-US"/>
        </w:rPr>
        <w:t>Production Variables Update to the ‘</w:t>
      </w:r>
      <w:r w:rsidRPr="0049650D">
        <w:rPr>
          <w:rFonts w:asciiTheme="minorHAnsi" w:eastAsiaTheme="minorHAnsi" w:hAnsiTheme="minorHAnsi" w:cstheme="minorBidi"/>
          <w:iCs/>
          <w:sz w:val="22"/>
          <w:szCs w:val="22"/>
          <w:lang w:eastAsia="en-US"/>
        </w:rPr>
        <w:t xml:space="preserve">work of compression applied to natural gas or plant condensate’ PV and the definition of ‘integrated iron and steel manufacturing’ </w:t>
      </w:r>
      <w:r w:rsidRPr="0049650D" w:rsidDel="00BF2C74">
        <w:rPr>
          <w:rFonts w:asciiTheme="minorHAnsi" w:eastAsiaTheme="minorHAnsi" w:hAnsiTheme="minorHAnsi" w:cstheme="minorBidi"/>
          <w:iCs/>
          <w:sz w:val="22"/>
          <w:szCs w:val="22"/>
          <w:lang w:eastAsia="en-US"/>
        </w:rPr>
        <w:t>activity</w:t>
      </w:r>
      <w:r w:rsidRPr="0049650D" w:rsidDel="00BF2C74">
        <w:rPr>
          <w:rFonts w:asciiTheme="minorHAnsi" w:eastAsiaTheme="minorHAnsi" w:hAnsiTheme="minorHAnsi" w:cstheme="minorBidi"/>
          <w:sz w:val="22"/>
          <w:szCs w:val="22"/>
          <w:lang w:eastAsia="en-US"/>
        </w:rPr>
        <w:t xml:space="preserve"> </w:t>
      </w:r>
      <w:r w:rsidRPr="0049650D">
        <w:rPr>
          <w:rFonts w:asciiTheme="minorHAnsi" w:eastAsiaTheme="minorHAnsi" w:hAnsiTheme="minorHAnsi" w:cstheme="minorBidi"/>
          <w:sz w:val="22"/>
          <w:szCs w:val="22"/>
          <w:lang w:eastAsia="en-US"/>
        </w:rPr>
        <w:t>will incentivise more opportunities for emissions reductions. This engages safeguard outcome (e) by providing material incentives to take advantage of new opportunities for emissions reductions. It will also engage safeguard outcome (d) by making it more likely that the 5-year rolling average safeguard emissions for each financial year that begins after 30 June 2024 will lower than the past 5-year rolling average safeguard emissions for that financial year, to the extent that opportunities are taken up.</w:t>
      </w:r>
      <w:bookmarkEnd w:id="9"/>
    </w:p>
    <w:p w14:paraId="6B7C0D42" w14:textId="69691B20"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The Production Variables Update replaces the ‘</w:t>
      </w:r>
      <w:r w:rsidRPr="0049650D">
        <w:rPr>
          <w:rFonts w:asciiTheme="minorHAnsi" w:eastAsiaTheme="minorHAnsi" w:hAnsiTheme="minorHAnsi" w:cstheme="minorBidi"/>
          <w:iCs/>
          <w:sz w:val="22"/>
          <w:szCs w:val="22"/>
          <w:lang w:eastAsia="en-US"/>
        </w:rPr>
        <w:t xml:space="preserve">work of compression applied to natural gas or plant condensate’ PV with a ‘natural gas throughput’ PV for gas transmission pipelines. These PVs relate to the operation of compressors that are used to maintain the pressure inside gas transmission pipelines and transport the gas through the pipeline. </w:t>
      </w:r>
      <w:r w:rsidRPr="0049650D">
        <w:rPr>
          <w:rFonts w:asciiTheme="minorHAnsi" w:eastAsiaTheme="minorHAnsi" w:hAnsiTheme="minorHAnsi" w:cstheme="minorBidi"/>
          <w:sz w:val="22"/>
          <w:szCs w:val="22"/>
          <w:lang w:eastAsia="en-US"/>
        </w:rPr>
        <w:t>The ‘</w:t>
      </w:r>
      <w:r w:rsidRPr="0049650D">
        <w:rPr>
          <w:rFonts w:asciiTheme="minorHAnsi" w:eastAsiaTheme="minorHAnsi" w:hAnsiTheme="minorHAnsi" w:cstheme="minorBidi"/>
          <w:iCs/>
          <w:sz w:val="22"/>
          <w:szCs w:val="22"/>
          <w:lang w:eastAsia="en-US"/>
        </w:rPr>
        <w:t>work of compression applied to natural gas or plant condensate’ PV measured how much energy was added to the gas by increasing its pressure, and incentivised pipelines to operate their compressors more efficiently. The ‘natural gas throughput’ PV also incentivises pipelines to operate their compressors more efficiently, but also incentivises measures that can reduce the amount of work that compressors need to do to operate the pipeline, though activities like pipeline looping, and reducing the amount that compressors operate in recycle mode, which also result in emissions reductions.</w:t>
      </w:r>
    </w:p>
    <w:p w14:paraId="111580A2" w14:textId="634DD595"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bookmarkStart w:id="10" w:name="_Ref142324074"/>
      <w:r w:rsidRPr="0049650D">
        <w:rPr>
          <w:rFonts w:asciiTheme="minorHAnsi" w:eastAsiaTheme="minorHAnsi" w:hAnsiTheme="minorHAnsi" w:cstheme="minorBidi"/>
          <w:iCs/>
          <w:sz w:val="22"/>
          <w:szCs w:val="22"/>
          <w:lang w:eastAsia="en-US"/>
        </w:rPr>
        <w:t>The Production Variables Update also updates the definition of ‘integrated iron and steel manufacturing’ activity to account for hot briquetted iron. Hot briquetted iron is produced by direct reduced iron (DRI) technology, which is a lower emission form of producing iron. The change facilitates investment in DRI as a way to reduced Safeguard covered emissions. My Department is engaging in further consultation on PVs related to steel manufacturing, which I expect to be reflected in a subsequent update to the Safeguard Rules.</w:t>
      </w:r>
      <w:bookmarkEnd w:id="10"/>
    </w:p>
    <w:p w14:paraId="00F490CF" w14:textId="6526D9A2" w:rsidR="009A6A29" w:rsidRPr="0049650D" w:rsidRDefault="009A6A29" w:rsidP="007051A9">
      <w:pPr>
        <w:pStyle w:val="ListParagraph"/>
        <w:numPr>
          <w:ilvl w:val="0"/>
          <w:numId w:val="23"/>
        </w:numPr>
        <w:tabs>
          <w:tab w:val="left" w:pos="142"/>
        </w:tabs>
        <w:spacing w:line="276" w:lineRule="auto"/>
        <w:rPr>
          <w:rFonts w:ascii="Calibri" w:eastAsiaTheme="minorHAnsi" w:hAnsi="Calibri" w:cs="Calibri"/>
          <w:sz w:val="22"/>
          <w:szCs w:val="22"/>
          <w:lang w:eastAsia="en-US"/>
        </w:rPr>
      </w:pPr>
      <w:r w:rsidRPr="0049650D">
        <w:rPr>
          <w:rFonts w:asciiTheme="minorHAnsi" w:eastAsiaTheme="minorHAnsi" w:hAnsiTheme="minorHAnsi" w:cstheme="minorBidi"/>
          <w:sz w:val="22"/>
          <w:szCs w:val="22"/>
          <w:lang w:eastAsia="en-US"/>
        </w:rPr>
        <w:t>The changes to the cement PV will enable the Safeguard Mechanism to recognise lower emissions cement made with supplementary cementitious materials (S</w:t>
      </w:r>
      <w:r w:rsidR="00AD1B61" w:rsidRPr="0049650D">
        <w:rPr>
          <w:rFonts w:asciiTheme="minorHAnsi" w:eastAsiaTheme="minorHAnsi" w:hAnsiTheme="minorHAnsi" w:cstheme="minorBidi"/>
          <w:sz w:val="22"/>
          <w:szCs w:val="22"/>
          <w:lang w:eastAsia="en-US"/>
        </w:rPr>
        <w:t>C</w:t>
      </w:r>
      <w:r w:rsidRPr="0049650D">
        <w:rPr>
          <w:rFonts w:asciiTheme="minorHAnsi" w:eastAsiaTheme="minorHAnsi" w:hAnsiTheme="minorHAnsi" w:cstheme="minorBidi"/>
          <w:sz w:val="22"/>
          <w:szCs w:val="22"/>
          <w:lang w:eastAsia="en-US"/>
        </w:rPr>
        <w:t xml:space="preserve">Ms). A </w:t>
      </w:r>
      <w:r w:rsidRPr="0049650D">
        <w:rPr>
          <w:rFonts w:asciiTheme="minorHAnsi" w:eastAsiaTheme="minorHAnsi" w:hAnsiTheme="minorHAnsi" w:cstheme="minorBidi"/>
          <w:sz w:val="22"/>
          <w:szCs w:val="22"/>
          <w:lang w:eastAsia="en-US"/>
        </w:rPr>
        <w:lastRenderedPageBreak/>
        <w:t>way of reducing the emissions of cement is to blend SCMs, such as fly ash and slag, into cement. This reduces the amount of emissions-intensive clinker required to make cement. The PV changes strengthen the incentives for designated large facilities to invest in using SCMs in cement production.</w:t>
      </w:r>
    </w:p>
    <w:p w14:paraId="41641364" w14:textId="46B6EAF7"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 xml:space="preserve">The definition of the ‘run of mine coal’ PV to encompass coal mine waste gas and other fugitives will encourage both the reduction of fugitive emissions and more efficient use of fossil fuel energy sources, like diesel. </w:t>
      </w:r>
    </w:p>
    <w:p w14:paraId="3748B407" w14:textId="40BF5F2C"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 xml:space="preserve">Other changes to PVs are more technical in nature, such as clarifying the measurement point of the ‘copper anode’ and ‘iron ore’ PVs, and splitting the COD removed and nitrogen PVs and monoammonium and diammonium phosphate PVs into respective components to better enable the calculation of baselines. The calculation of the EIs for the existing PVs ‘aluminium’ and ‘reservoir carbon dioxide from existing gas fields’ is to better represent the average emissions intensity of the respective sectors. </w:t>
      </w:r>
    </w:p>
    <w:p w14:paraId="7B2F4788" w14:textId="57678016"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sidDel="003717F8">
        <w:rPr>
          <w:rFonts w:asciiTheme="minorHAnsi" w:eastAsiaTheme="minorHAnsi" w:hAnsiTheme="minorHAnsi" w:cstheme="minorBidi"/>
          <w:sz w:val="22"/>
          <w:szCs w:val="22"/>
          <w:lang w:eastAsia="en-US"/>
        </w:rPr>
        <w:t xml:space="preserve">I am satisfied that the Safeguard Rules as amended </w:t>
      </w:r>
      <w:proofErr w:type="gramStart"/>
      <w:r w:rsidRPr="0049650D">
        <w:rPr>
          <w:rFonts w:asciiTheme="minorHAnsi" w:eastAsiaTheme="minorHAnsi" w:hAnsiTheme="minorHAnsi" w:cstheme="minorBidi"/>
          <w:sz w:val="22"/>
          <w:szCs w:val="22"/>
          <w:lang w:eastAsia="en-US"/>
        </w:rPr>
        <w:t>take into account</w:t>
      </w:r>
      <w:proofErr w:type="gramEnd"/>
      <w:r w:rsidRPr="0049650D">
        <w:rPr>
          <w:rFonts w:asciiTheme="minorHAnsi" w:eastAsiaTheme="minorHAnsi" w:hAnsiTheme="minorHAnsi" w:cstheme="minorBidi"/>
          <w:sz w:val="22"/>
          <w:szCs w:val="22"/>
          <w:lang w:eastAsia="en-US"/>
        </w:rPr>
        <w:t xml:space="preserve"> safeguard outcome (e), because of the reasons outlined in paragraphs 50-53 of my 3 May 2023 statement of reasons, and because this outcome was taken into account during development of the amendments including in the Production Variables Update as described in paragraphs 41-44 above.</w:t>
      </w:r>
    </w:p>
    <w:p w14:paraId="5FD82830" w14:textId="77777777" w:rsidR="009A6A29" w:rsidRPr="0049650D" w:rsidRDefault="009A6A29" w:rsidP="009A6A29">
      <w:pPr>
        <w:tabs>
          <w:tab w:val="right" w:pos="1531"/>
        </w:tabs>
        <w:spacing w:before="40" w:after="0"/>
        <w:rPr>
          <w:rFonts w:asciiTheme="minorHAnsi" w:hAnsiTheme="minorHAnsi" w:cstheme="minorBidi"/>
          <w:b/>
          <w:sz w:val="22"/>
        </w:rPr>
      </w:pPr>
      <w:r w:rsidRPr="0049650D">
        <w:rPr>
          <w:rFonts w:asciiTheme="minorHAnsi" w:hAnsiTheme="minorHAnsi" w:cstheme="minorHAnsi"/>
          <w:b/>
          <w:sz w:val="22"/>
        </w:rPr>
        <w:t xml:space="preserve">I am </w:t>
      </w:r>
      <w:bookmarkStart w:id="11" w:name="_Hlk142325521"/>
      <w:r w:rsidRPr="0049650D">
        <w:rPr>
          <w:rFonts w:asciiTheme="minorHAnsi" w:hAnsiTheme="minorHAnsi" w:cstheme="minorHAnsi"/>
          <w:b/>
          <w:sz w:val="22"/>
        </w:rPr>
        <w:t xml:space="preserve">satisfied the Safeguard Rules as amended </w:t>
      </w:r>
      <w:proofErr w:type="gramStart"/>
      <w:r w:rsidRPr="0049650D">
        <w:rPr>
          <w:rFonts w:asciiTheme="minorHAnsi" w:hAnsiTheme="minorHAnsi" w:cstheme="minorHAnsi"/>
          <w:b/>
          <w:sz w:val="22"/>
        </w:rPr>
        <w:t>take into account</w:t>
      </w:r>
      <w:proofErr w:type="gramEnd"/>
      <w:r w:rsidRPr="0049650D">
        <w:rPr>
          <w:rFonts w:asciiTheme="minorHAnsi" w:hAnsiTheme="minorHAnsi" w:cstheme="minorHAnsi"/>
          <w:b/>
          <w:sz w:val="22"/>
        </w:rPr>
        <w:t xml:space="preserve"> safeguard outcome </w:t>
      </w:r>
      <w:r w:rsidRPr="0049650D">
        <w:rPr>
          <w:rFonts w:asciiTheme="minorHAnsi" w:hAnsiTheme="minorHAnsi" w:cstheme="minorBidi"/>
          <w:b/>
          <w:sz w:val="22"/>
        </w:rPr>
        <w:t>(f)</w:t>
      </w:r>
      <w:bookmarkEnd w:id="11"/>
      <w:r w:rsidRPr="0049650D">
        <w:rPr>
          <w:rFonts w:asciiTheme="minorHAnsi" w:hAnsiTheme="minorHAnsi" w:cstheme="minorBidi"/>
          <w:b/>
          <w:sz w:val="22"/>
        </w:rPr>
        <w:t>: the competitiveness of trade-exposed industries is appropriately supported as Australia and its regions seize the opportunities of the move to a global net zero economy</w:t>
      </w:r>
      <w:r w:rsidRPr="0049650D">
        <w:rPr>
          <w:rFonts w:asciiTheme="minorHAnsi" w:hAnsiTheme="minorHAnsi" w:cstheme="minorBidi"/>
          <w:b/>
          <w:bCs/>
          <w:sz w:val="22"/>
        </w:rPr>
        <w:t>.</w:t>
      </w:r>
    </w:p>
    <w:p w14:paraId="028A95FA" w14:textId="253ABFFE"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Currently, two categories of trade exposed facilities receive assistance to manage competitiveness issues and carbon leakage risks. These categories are ‘trade exposed’ facilities and TEBA facilities, which are defined in section 4 of the Safeguard Rules</w:t>
      </w:r>
      <w:r w:rsidRPr="0049650D">
        <w:rPr>
          <w:rFonts w:eastAsiaTheme="minorHAnsi"/>
          <w:vertAlign w:val="superscript"/>
          <w:lang w:eastAsia="en-US"/>
        </w:rPr>
        <w:footnoteReference w:id="8"/>
      </w:r>
      <w:r w:rsidRPr="0049650D">
        <w:rPr>
          <w:rFonts w:asciiTheme="minorHAnsi" w:eastAsiaTheme="minorHAnsi" w:hAnsiTheme="minorHAnsi" w:cstheme="minorBidi"/>
          <w:i/>
          <w:sz w:val="22"/>
          <w:szCs w:val="22"/>
          <w:lang w:eastAsia="en-US"/>
        </w:rPr>
        <w:t xml:space="preserve">. </w:t>
      </w:r>
      <w:r w:rsidRPr="0049650D">
        <w:rPr>
          <w:rFonts w:asciiTheme="minorHAnsi" w:eastAsiaTheme="minorHAnsi" w:hAnsiTheme="minorHAnsi" w:cstheme="minorBidi"/>
          <w:sz w:val="22"/>
          <w:szCs w:val="22"/>
          <w:lang w:eastAsia="en-US"/>
        </w:rPr>
        <w:t>As provided by Part 3, Division 5, Subdivision D, of the Safeguard Rules, the responsible emitter for a facility can apply to the Regulator for the facility to be a TEBA facility,</w:t>
      </w:r>
      <w:r w:rsidRPr="0049650D" w:rsidDel="00B62935">
        <w:rPr>
          <w:rFonts w:asciiTheme="minorHAnsi" w:eastAsiaTheme="minorHAnsi" w:hAnsiTheme="minorHAnsi" w:cstheme="minorBidi"/>
          <w:sz w:val="22"/>
          <w:szCs w:val="22"/>
          <w:lang w:eastAsia="en-US"/>
        </w:rPr>
        <w:t xml:space="preserve"> </w:t>
      </w:r>
      <w:r w:rsidRPr="0049650D">
        <w:rPr>
          <w:rFonts w:asciiTheme="minorHAnsi" w:eastAsiaTheme="minorHAnsi" w:hAnsiTheme="minorHAnsi" w:cstheme="minorBidi"/>
          <w:sz w:val="22"/>
          <w:szCs w:val="22"/>
          <w:lang w:eastAsia="en-US"/>
        </w:rPr>
        <w:t xml:space="preserve">which will be eligible for a discounted decline rate based on a scheme impact metric. </w:t>
      </w:r>
    </w:p>
    <w:p w14:paraId="19A857D0" w14:textId="166469D5"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4"/>
        </w:rPr>
        <w:t>The Production Variables Update includes the addition of silicomanganese alloy, ferromanganese alloy and lithium hydroxide PVs as trade exposed in Schedule 2 of the Safeguard Rules. This means facilities that have silicomanganese alloy, ferromanganese alloy or lithium hydroxide as their primary PV may be able to apply to be a TEBA facility, and have their competitiveness be appropriately supported as Australia and its regions seize the opportunities of the move to a global net zero economy.</w:t>
      </w:r>
    </w:p>
    <w:p w14:paraId="6A3D7EAF" w14:textId="58F5D9B1"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4"/>
        </w:rPr>
        <w:t xml:space="preserve">In making the amendments concerning silicomanganese alloy, ferromanganese alloy and lithium hydroxide PVs in Schedule 2, I have </w:t>
      </w:r>
      <w:proofErr w:type="gramStart"/>
      <w:r w:rsidRPr="0049650D">
        <w:rPr>
          <w:rFonts w:asciiTheme="minorHAnsi" w:eastAsiaTheme="minorHAnsi" w:hAnsiTheme="minorHAnsi" w:cstheme="minorBidi"/>
          <w:sz w:val="22"/>
          <w:szCs w:val="24"/>
        </w:rPr>
        <w:t>taken into account</w:t>
      </w:r>
      <w:proofErr w:type="gramEnd"/>
      <w:r w:rsidRPr="0049650D">
        <w:rPr>
          <w:rFonts w:asciiTheme="minorHAnsi" w:eastAsiaTheme="minorHAnsi" w:hAnsiTheme="minorHAnsi" w:cstheme="minorBidi"/>
          <w:sz w:val="22"/>
          <w:szCs w:val="24"/>
        </w:rPr>
        <w:t xml:space="preserve"> safeguard outcome (f). For this reason, along with the reasons outlined in paragraphs 54-61 of my 3 May 2023 statement of reasons, I am satisfied the Safeguard Rules as amended </w:t>
      </w:r>
      <w:proofErr w:type="gramStart"/>
      <w:r w:rsidRPr="0049650D">
        <w:rPr>
          <w:rFonts w:asciiTheme="minorHAnsi" w:eastAsiaTheme="minorHAnsi" w:hAnsiTheme="minorHAnsi" w:cstheme="minorBidi"/>
          <w:sz w:val="22"/>
          <w:szCs w:val="24"/>
        </w:rPr>
        <w:t>take into account</w:t>
      </w:r>
      <w:proofErr w:type="gramEnd"/>
      <w:r w:rsidRPr="0049650D">
        <w:rPr>
          <w:rFonts w:asciiTheme="minorHAnsi" w:eastAsiaTheme="minorHAnsi" w:hAnsiTheme="minorHAnsi" w:cstheme="minorBidi"/>
          <w:sz w:val="22"/>
          <w:szCs w:val="24"/>
        </w:rPr>
        <w:t xml:space="preserve"> safeguard outcome (f).</w:t>
      </w:r>
    </w:p>
    <w:p w14:paraId="5431F24A" w14:textId="77777777" w:rsidR="009A6A29" w:rsidRPr="0049650D" w:rsidRDefault="009A6A29" w:rsidP="009A6A29">
      <w:pPr>
        <w:keepNext/>
        <w:tabs>
          <w:tab w:val="right" w:pos="1531"/>
        </w:tabs>
        <w:spacing w:before="40" w:after="0"/>
        <w:rPr>
          <w:rFonts w:cstheme="minorHAnsi"/>
          <w:b/>
          <w:sz w:val="22"/>
        </w:rPr>
      </w:pPr>
      <w:r w:rsidRPr="0049650D">
        <w:rPr>
          <w:rFonts w:asciiTheme="minorHAnsi" w:hAnsiTheme="minorHAnsi" w:cstheme="minorHAnsi"/>
          <w:b/>
          <w:sz w:val="22"/>
        </w:rPr>
        <w:lastRenderedPageBreak/>
        <w:t xml:space="preserve">Other provisions </w:t>
      </w:r>
    </w:p>
    <w:p w14:paraId="1B28DE3F" w14:textId="5016F0C8"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I have</w:t>
      </w:r>
      <w:r w:rsidRPr="0049650D" w:rsidDel="00CF035D">
        <w:rPr>
          <w:rFonts w:asciiTheme="minorHAnsi" w:eastAsiaTheme="minorHAnsi" w:hAnsiTheme="minorHAnsi" w:cstheme="minorBidi"/>
          <w:sz w:val="22"/>
          <w:szCs w:val="22"/>
          <w:lang w:eastAsia="en-US"/>
        </w:rPr>
        <w:t xml:space="preserve"> </w:t>
      </w:r>
      <w:r w:rsidRPr="0049650D">
        <w:rPr>
          <w:rFonts w:asciiTheme="minorHAnsi" w:eastAsiaTheme="minorHAnsi" w:hAnsiTheme="minorHAnsi" w:cstheme="minorBidi"/>
          <w:sz w:val="22"/>
          <w:szCs w:val="22"/>
          <w:lang w:eastAsia="en-US"/>
        </w:rPr>
        <w:t>had regard to other parts of the Safeguard Rules that support the effective operation of the Safeguard Mechanism regulatory scheme, but which do not otherwise directly relate to the safeguard outcomes. These include Parts 1, 2, 5 and 6 of the Safeguard Rules.</w:t>
      </w:r>
    </w:p>
    <w:p w14:paraId="09E2D6CE" w14:textId="1C440AC2" w:rsidR="009A6A29" w:rsidRPr="0049650D" w:rsidRDefault="009A6A29" w:rsidP="007051A9">
      <w:pPr>
        <w:pStyle w:val="ListParagraph"/>
        <w:numPr>
          <w:ilvl w:val="0"/>
          <w:numId w:val="23"/>
        </w:num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The Production Variables Update adds a new Division 6 to Part 6 of the Safeguard Rules. This Division includes an application and transitional provision that ensures that default EIs set in the Production Variables Update apply to Safeguard Mechanism baselines for the financial year 2023-24 and subsequent financial years.</w:t>
      </w:r>
    </w:p>
    <w:p w14:paraId="5E574DFD" w14:textId="77777777" w:rsidR="009A6A29" w:rsidRPr="0049650D" w:rsidRDefault="009A6A29" w:rsidP="009A6A29">
      <w:pPr>
        <w:tabs>
          <w:tab w:val="left" w:pos="142"/>
        </w:tabs>
        <w:spacing w:line="276" w:lineRule="auto"/>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 xml:space="preserve">For the reasons above, I, the Hon Chris Bowen MP, Minister for Climate Change and Energy, am satisfied that Safeguard Rules as amended are consistent with the safeguard outcomes in paragraphs 3(2)(b), (c) and (d), and </w:t>
      </w:r>
      <w:proofErr w:type="gramStart"/>
      <w:r w:rsidRPr="0049650D">
        <w:rPr>
          <w:rFonts w:asciiTheme="minorHAnsi" w:eastAsiaTheme="minorHAnsi" w:hAnsiTheme="minorHAnsi" w:cstheme="minorBidi"/>
          <w:sz w:val="22"/>
          <w:szCs w:val="22"/>
          <w:lang w:eastAsia="en-US"/>
        </w:rPr>
        <w:t>take into account</w:t>
      </w:r>
      <w:proofErr w:type="gramEnd"/>
      <w:r w:rsidRPr="0049650D">
        <w:rPr>
          <w:rFonts w:asciiTheme="minorHAnsi" w:eastAsiaTheme="minorHAnsi" w:hAnsiTheme="minorHAnsi" w:cstheme="minorBidi"/>
          <w:sz w:val="22"/>
          <w:szCs w:val="22"/>
          <w:lang w:eastAsia="en-US"/>
        </w:rPr>
        <w:t xml:space="preserve"> the safeguard outcomes in paragraphs 3(2)(e) and (f), of the NGER Act.</w:t>
      </w:r>
    </w:p>
    <w:p w14:paraId="5657C2BE" w14:textId="77777777" w:rsidR="009A6A29" w:rsidRPr="0049650D" w:rsidRDefault="009A6A29" w:rsidP="009A6A29">
      <w:pPr>
        <w:tabs>
          <w:tab w:val="left" w:pos="142"/>
        </w:tabs>
        <w:spacing w:line="276" w:lineRule="auto"/>
        <w:ind w:left="425" w:hanging="425"/>
        <w:rPr>
          <w:rFonts w:asciiTheme="minorHAnsi" w:eastAsiaTheme="minorHAnsi" w:hAnsiTheme="minorHAnsi" w:cstheme="minorBidi"/>
          <w:sz w:val="22"/>
          <w:szCs w:val="22"/>
          <w:lang w:eastAsia="en-US"/>
        </w:rPr>
      </w:pPr>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076"/>
        <w:gridCol w:w="6230"/>
      </w:tblGrid>
      <w:tr w:rsidR="009A6A29" w:rsidRPr="0049650D" w14:paraId="2B72FBA6" w14:textId="77777777" w:rsidTr="007341A1">
        <w:tc>
          <w:tcPr>
            <w:tcW w:w="1250" w:type="pct"/>
            <w:tcMar>
              <w:left w:w="108" w:type="dxa"/>
              <w:right w:w="108" w:type="dxa"/>
            </w:tcMar>
          </w:tcPr>
          <w:p w14:paraId="7FD6D912" w14:textId="77777777" w:rsidR="009A6A29" w:rsidRPr="0049650D" w:rsidRDefault="009A6A29" w:rsidP="009A6A29">
            <w:pPr>
              <w:spacing w:before="0" w:after="200" w:line="276" w:lineRule="auto"/>
              <w:rPr>
                <w:rFonts w:asciiTheme="minorHAnsi" w:eastAsiaTheme="minorHAnsi" w:hAnsiTheme="minorHAnsi" w:cstheme="minorBidi"/>
                <w:b/>
                <w:bCs/>
                <w:sz w:val="22"/>
                <w:szCs w:val="22"/>
                <w:lang w:eastAsia="en-US"/>
              </w:rPr>
            </w:pPr>
            <w:r w:rsidRPr="0049650D">
              <w:rPr>
                <w:rFonts w:asciiTheme="minorHAnsi" w:eastAsiaTheme="minorHAnsi" w:hAnsiTheme="minorHAnsi" w:cstheme="minorBidi"/>
                <w:b/>
                <w:bCs/>
                <w:sz w:val="22"/>
                <w:szCs w:val="22"/>
                <w:lang w:eastAsia="en-US"/>
              </w:rPr>
              <w:t>Name and position</w:t>
            </w:r>
          </w:p>
        </w:tc>
        <w:tc>
          <w:tcPr>
            <w:tcW w:w="3750" w:type="pct"/>
            <w:tcMar>
              <w:left w:w="108" w:type="dxa"/>
              <w:right w:w="108" w:type="dxa"/>
            </w:tcMar>
          </w:tcPr>
          <w:p w14:paraId="705296E0" w14:textId="65E4BB45" w:rsidR="009A6A29" w:rsidRPr="0049650D" w:rsidRDefault="009A6A29" w:rsidP="009A6A29">
            <w:pPr>
              <w:spacing w:before="0" w:after="0"/>
              <w:rPr>
                <w:rFonts w:asciiTheme="minorHAnsi" w:eastAsiaTheme="minorHAnsi" w:hAnsiTheme="minorHAnsi" w:cstheme="minorBidi"/>
                <w:sz w:val="22"/>
                <w:szCs w:val="22"/>
                <w:lang w:eastAsia="en-US"/>
              </w:rPr>
            </w:pPr>
            <w:r w:rsidRPr="0049650D">
              <w:rPr>
                <w:rFonts w:asciiTheme="minorHAnsi" w:eastAsiaTheme="minorHAnsi" w:hAnsiTheme="minorHAnsi" w:cstheme="minorBidi"/>
                <w:sz w:val="22"/>
                <w:szCs w:val="22"/>
                <w:lang w:eastAsia="en-US"/>
              </w:rPr>
              <w:t xml:space="preserve">Hon Chris Bowen MP, Minister for Climate Change and Energy </w:t>
            </w:r>
          </w:p>
        </w:tc>
      </w:tr>
      <w:tr w:rsidR="009A6A29" w:rsidRPr="0049650D" w14:paraId="21351A94" w14:textId="77777777" w:rsidTr="007341A1">
        <w:tc>
          <w:tcPr>
            <w:tcW w:w="1250" w:type="pct"/>
            <w:tcMar>
              <w:left w:w="108" w:type="dxa"/>
              <w:right w:w="108" w:type="dxa"/>
            </w:tcMar>
          </w:tcPr>
          <w:p w14:paraId="752CD4E9" w14:textId="77777777" w:rsidR="009A6A29" w:rsidRPr="0049650D" w:rsidRDefault="009A6A29" w:rsidP="009A6A29">
            <w:pPr>
              <w:spacing w:before="0" w:after="200" w:line="276" w:lineRule="auto"/>
              <w:rPr>
                <w:rFonts w:asciiTheme="minorHAnsi" w:eastAsiaTheme="minorHAnsi" w:hAnsiTheme="minorHAnsi" w:cstheme="minorBidi"/>
                <w:b/>
                <w:bCs/>
                <w:sz w:val="22"/>
                <w:szCs w:val="22"/>
                <w:lang w:eastAsia="en-US"/>
              </w:rPr>
            </w:pPr>
            <w:r w:rsidRPr="0049650D">
              <w:rPr>
                <w:rFonts w:asciiTheme="minorHAnsi" w:eastAsiaTheme="minorHAnsi" w:hAnsiTheme="minorHAnsi" w:cstheme="minorBidi"/>
                <w:b/>
                <w:bCs/>
                <w:sz w:val="22"/>
                <w:szCs w:val="22"/>
                <w:lang w:eastAsia="en-US"/>
              </w:rPr>
              <w:t>Signature</w:t>
            </w:r>
          </w:p>
        </w:tc>
        <w:tc>
          <w:tcPr>
            <w:tcW w:w="3750" w:type="pct"/>
            <w:tcMar>
              <w:left w:w="108" w:type="dxa"/>
              <w:right w:w="108" w:type="dxa"/>
            </w:tcMar>
          </w:tcPr>
          <w:p w14:paraId="53F0E508" w14:textId="77777777" w:rsidR="009A6A29" w:rsidRPr="0049650D" w:rsidRDefault="009A6A29" w:rsidP="009A6A29">
            <w:pPr>
              <w:spacing w:before="0" w:after="200" w:line="276" w:lineRule="auto"/>
              <w:rPr>
                <w:rFonts w:asciiTheme="minorHAnsi" w:eastAsiaTheme="minorHAnsi" w:hAnsiTheme="minorHAnsi" w:cstheme="minorBidi"/>
                <w:sz w:val="22"/>
                <w:szCs w:val="22"/>
                <w:lang w:eastAsia="en-US"/>
              </w:rPr>
            </w:pPr>
          </w:p>
          <w:p w14:paraId="5B8F3D72" w14:textId="77777777" w:rsidR="009A6A29" w:rsidRPr="0049650D" w:rsidRDefault="009A6A29" w:rsidP="009A6A29">
            <w:pPr>
              <w:spacing w:before="0" w:after="200" w:line="276" w:lineRule="auto"/>
              <w:rPr>
                <w:rFonts w:asciiTheme="minorHAnsi" w:eastAsiaTheme="minorHAnsi" w:hAnsiTheme="minorHAnsi" w:cstheme="minorBidi"/>
                <w:sz w:val="22"/>
                <w:szCs w:val="22"/>
                <w:lang w:eastAsia="en-US"/>
              </w:rPr>
            </w:pPr>
          </w:p>
        </w:tc>
      </w:tr>
      <w:tr w:rsidR="009A6A29" w:rsidRPr="009A6A29" w14:paraId="66FA3327" w14:textId="77777777" w:rsidTr="007341A1">
        <w:tc>
          <w:tcPr>
            <w:tcW w:w="1250" w:type="pct"/>
            <w:tcMar>
              <w:left w:w="108" w:type="dxa"/>
              <w:right w:w="108" w:type="dxa"/>
            </w:tcMar>
          </w:tcPr>
          <w:p w14:paraId="0D496348" w14:textId="77777777" w:rsidR="009A6A29" w:rsidRPr="0049650D" w:rsidRDefault="009A6A29" w:rsidP="009A6A29">
            <w:pPr>
              <w:spacing w:before="0" w:after="200" w:line="276" w:lineRule="auto"/>
              <w:rPr>
                <w:rFonts w:asciiTheme="minorHAnsi" w:eastAsiaTheme="minorHAnsi" w:hAnsiTheme="minorHAnsi" w:cstheme="minorBidi"/>
                <w:b/>
                <w:bCs/>
                <w:sz w:val="22"/>
                <w:szCs w:val="22"/>
                <w:lang w:eastAsia="en-US"/>
              </w:rPr>
            </w:pPr>
            <w:r w:rsidRPr="0049650D">
              <w:rPr>
                <w:rFonts w:asciiTheme="minorHAnsi" w:eastAsiaTheme="minorHAnsi" w:hAnsiTheme="minorHAnsi" w:cstheme="minorBidi"/>
                <w:b/>
                <w:bCs/>
                <w:sz w:val="22"/>
                <w:szCs w:val="22"/>
                <w:lang w:eastAsia="en-US"/>
              </w:rPr>
              <w:t>Date of decision</w:t>
            </w:r>
          </w:p>
        </w:tc>
        <w:tc>
          <w:tcPr>
            <w:tcW w:w="3750" w:type="pct"/>
            <w:tcMar>
              <w:left w:w="108" w:type="dxa"/>
              <w:right w:w="108" w:type="dxa"/>
            </w:tcMar>
          </w:tcPr>
          <w:p w14:paraId="53726785" w14:textId="12F13D21" w:rsidR="009A6A29" w:rsidRPr="00855E8F" w:rsidRDefault="00855E8F" w:rsidP="009A6A29">
            <w:pPr>
              <w:spacing w:before="0" w:after="200" w:line="276" w:lineRule="auto"/>
              <w:rPr>
                <w:rFonts w:asciiTheme="minorHAnsi" w:eastAsiaTheme="minorHAnsi" w:hAnsiTheme="minorHAnsi" w:cstheme="minorBidi"/>
                <w:sz w:val="22"/>
                <w:szCs w:val="22"/>
                <w:shd w:val="clear" w:color="auto" w:fill="EEECE1"/>
                <w:lang w:eastAsia="en-US"/>
              </w:rPr>
            </w:pPr>
            <w:r w:rsidRPr="0049650D">
              <w:rPr>
                <w:rFonts w:asciiTheme="minorHAnsi" w:eastAsiaTheme="minorHAnsi" w:hAnsiTheme="minorHAnsi" w:cstheme="minorBidi"/>
                <w:sz w:val="22"/>
                <w:szCs w:val="22"/>
                <w:lang w:eastAsia="en-US"/>
              </w:rPr>
              <w:t>29 September 2023</w:t>
            </w:r>
          </w:p>
        </w:tc>
      </w:tr>
    </w:tbl>
    <w:p w14:paraId="27895734" w14:textId="77777777" w:rsidR="009A6A29" w:rsidRPr="009A6A29" w:rsidRDefault="009A6A29" w:rsidP="009A6A29">
      <w:pPr>
        <w:spacing w:before="0" w:after="200" w:line="276" w:lineRule="auto"/>
        <w:rPr>
          <w:rFonts w:asciiTheme="minorHAnsi" w:eastAsiaTheme="minorHAnsi" w:hAnsiTheme="minorHAnsi" w:cstheme="minorBidi"/>
          <w:sz w:val="22"/>
          <w:szCs w:val="22"/>
          <w:lang w:eastAsia="en-US"/>
        </w:rPr>
      </w:pPr>
    </w:p>
    <w:p w14:paraId="7A86DDDC" w14:textId="77777777" w:rsidR="009A6A29" w:rsidRPr="00FF1EC6" w:rsidRDefault="009A6A29" w:rsidP="00BF7ED6">
      <w:pPr>
        <w:jc w:val="center"/>
        <w:rPr>
          <w:b/>
          <w:szCs w:val="24"/>
        </w:rPr>
      </w:pPr>
    </w:p>
    <w:sectPr w:rsidR="009A6A29" w:rsidRPr="00FF1EC6" w:rsidSect="00392BBA">
      <w:footerReference w:type="default" r:id="rId14"/>
      <w:footerReference w:type="firs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388E2" w14:textId="77777777" w:rsidR="00201CDF" w:rsidRDefault="00201CDF" w:rsidP="00CF785C">
      <w:pPr>
        <w:spacing w:before="0" w:after="0"/>
      </w:pPr>
      <w:r>
        <w:separator/>
      </w:r>
    </w:p>
  </w:endnote>
  <w:endnote w:type="continuationSeparator" w:id="0">
    <w:p w14:paraId="2E8778BF" w14:textId="77777777" w:rsidR="00201CDF" w:rsidRDefault="00201CDF" w:rsidP="00CF785C">
      <w:pPr>
        <w:spacing w:before="0" w:after="0"/>
      </w:pPr>
      <w:r>
        <w:continuationSeparator/>
      </w:r>
    </w:p>
  </w:endnote>
  <w:endnote w:type="continuationNotice" w:id="1">
    <w:p w14:paraId="3411DB41" w14:textId="77777777" w:rsidR="00201CDF" w:rsidRDefault="00201C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2959" w14:textId="77777777" w:rsidR="005A741A" w:rsidRPr="005A741A" w:rsidRDefault="005A741A" w:rsidP="005A741A">
    <w:pPr>
      <w:pStyle w:val="Footer"/>
      <w:jc w:val="right"/>
      <w:rPr>
        <w:caps/>
        <w:noProof/>
      </w:rPr>
    </w:pPr>
    <w:r w:rsidRPr="005A741A">
      <w:rPr>
        <w:caps/>
      </w:rPr>
      <w:fldChar w:fldCharType="begin"/>
    </w:r>
    <w:r w:rsidRPr="005A741A">
      <w:rPr>
        <w:caps/>
      </w:rPr>
      <w:instrText xml:space="preserve"> PAGE   \* MERGEFORMAT </w:instrText>
    </w:r>
    <w:r w:rsidRPr="005A741A">
      <w:rPr>
        <w:caps/>
      </w:rPr>
      <w:fldChar w:fldCharType="separate"/>
    </w:r>
    <w:r w:rsidRPr="005A741A">
      <w:rPr>
        <w:caps/>
        <w:noProof/>
      </w:rPr>
      <w:t>2</w:t>
    </w:r>
    <w:r w:rsidRPr="005A741A">
      <w:rPr>
        <w:caps/>
        <w:noProof/>
      </w:rPr>
      <w:fldChar w:fldCharType="end"/>
    </w:r>
  </w:p>
  <w:p w14:paraId="45237AF4" w14:textId="77777777" w:rsidR="00C92563" w:rsidRDefault="00C92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DE34" w14:textId="77777777" w:rsidR="00C92563" w:rsidRDefault="00C92563">
    <w:pPr>
      <w:pStyle w:val="Footer"/>
      <w:jc w:val="right"/>
    </w:pPr>
  </w:p>
  <w:p w14:paraId="310F438A" w14:textId="77777777" w:rsidR="00C92563" w:rsidRDefault="00C92563">
    <w:pPr>
      <w:pStyle w:val="Footer"/>
      <w:jc w:val="right"/>
    </w:pPr>
  </w:p>
  <w:p w14:paraId="319EC606" w14:textId="77777777" w:rsidR="00C92563" w:rsidRDefault="00C92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A781" w14:textId="77777777" w:rsidR="00201CDF" w:rsidRDefault="00201CDF" w:rsidP="00CF785C">
      <w:pPr>
        <w:spacing w:before="0" w:after="0"/>
      </w:pPr>
      <w:r>
        <w:separator/>
      </w:r>
    </w:p>
  </w:footnote>
  <w:footnote w:type="continuationSeparator" w:id="0">
    <w:p w14:paraId="4DA35AB0" w14:textId="77777777" w:rsidR="00201CDF" w:rsidRDefault="00201CDF" w:rsidP="00CF785C">
      <w:pPr>
        <w:spacing w:before="0" w:after="0"/>
      </w:pPr>
      <w:r>
        <w:continuationSeparator/>
      </w:r>
    </w:p>
  </w:footnote>
  <w:footnote w:type="continuationNotice" w:id="1">
    <w:p w14:paraId="7F438695" w14:textId="77777777" w:rsidR="00201CDF" w:rsidRDefault="00201CDF">
      <w:pPr>
        <w:spacing w:before="0" w:after="0"/>
      </w:pPr>
    </w:p>
  </w:footnote>
  <w:footnote w:id="2">
    <w:p w14:paraId="5AE33F47" w14:textId="77777777" w:rsidR="009A6A29" w:rsidRDefault="009A6A29" w:rsidP="009A6A29">
      <w:pPr>
        <w:pStyle w:val="FootnoteText"/>
      </w:pPr>
      <w:r>
        <w:rPr>
          <w:rStyle w:val="FootnoteReference"/>
        </w:rPr>
        <w:footnoteRef/>
      </w:r>
      <w:r>
        <w:t xml:space="preserve"> Designated large facility emissions are published by the Clean Energy Regulator at: </w:t>
      </w:r>
      <w:hyperlink r:id="rId1" w:history="1">
        <w:r w:rsidRPr="00B43DCA">
          <w:rPr>
            <w:rStyle w:val="Hyperlink"/>
          </w:rPr>
          <w:t>https://www.cleanenergyregulator.gov.au/NGER/The-safeguard-mechanism/safeguard-data/safeguard-facility-reported-emissions</w:t>
        </w:r>
      </w:hyperlink>
    </w:p>
  </w:footnote>
  <w:footnote w:id="3">
    <w:p w14:paraId="5AFF7B61" w14:textId="77777777" w:rsidR="009A6A29" w:rsidRDefault="009A6A29" w:rsidP="009A6A29">
      <w:pPr>
        <w:pStyle w:val="FootnoteText"/>
      </w:pPr>
      <w:r>
        <w:rPr>
          <w:rStyle w:val="FootnoteReference"/>
        </w:rPr>
        <w:footnoteRef/>
      </w:r>
      <w:r>
        <w:t xml:space="preserve"> Australia’s Nationally Determined Contribution, available at: </w:t>
      </w:r>
      <w:hyperlink r:id="rId2" w:history="1">
        <w:r>
          <w:rPr>
            <w:rStyle w:val="Hyperlink"/>
          </w:rPr>
          <w:t>https://unfccc.int/sites/default/files/NDC/2022-06/Australias NDC June 2022 Update %283%29.pdf</w:t>
        </w:r>
      </w:hyperlink>
    </w:p>
  </w:footnote>
  <w:footnote w:id="4">
    <w:p w14:paraId="162D2A5B" w14:textId="77777777" w:rsidR="009A6A29" w:rsidRDefault="009A6A29" w:rsidP="009A6A29">
      <w:pPr>
        <w:pStyle w:val="FootnoteText"/>
      </w:pPr>
      <w:r>
        <w:rPr>
          <w:rStyle w:val="FootnoteReference"/>
        </w:rPr>
        <w:footnoteRef/>
      </w:r>
      <w:r>
        <w:t xml:space="preserve">  See paragraph 23 of the statement of reasons of 3 May 2023 for the </w:t>
      </w:r>
      <w:r>
        <w:rPr>
          <w:rFonts w:cstheme="minorHAnsi"/>
        </w:rPr>
        <w:t xml:space="preserve">Safeguard Reforms Amendment Rules which details the basis of these calculations. </w:t>
      </w:r>
    </w:p>
  </w:footnote>
  <w:footnote w:id="5">
    <w:p w14:paraId="5DBEB109" w14:textId="77777777" w:rsidR="009A6A29" w:rsidRDefault="009A6A29" w:rsidP="009A6A29">
      <w:pPr>
        <w:pStyle w:val="FootnoteText"/>
      </w:pPr>
      <w:r>
        <w:rPr>
          <w:rStyle w:val="FootnoteReference"/>
        </w:rPr>
        <w:footnoteRef/>
      </w:r>
      <w:r>
        <w:t xml:space="preserve"> See paragraph 28 of the statement of reasons of 3 May 2023 for the </w:t>
      </w:r>
      <w:r>
        <w:rPr>
          <w:rFonts w:cstheme="minorHAnsi"/>
        </w:rPr>
        <w:t>Safeguard Reforms Amendment Rules which details the basis of these calculations.</w:t>
      </w:r>
    </w:p>
  </w:footnote>
  <w:footnote w:id="6">
    <w:p w14:paraId="779A8726" w14:textId="77777777" w:rsidR="009A6A29" w:rsidRDefault="009A6A29" w:rsidP="009A6A29">
      <w:pPr>
        <w:pStyle w:val="FootnoteText"/>
      </w:pPr>
      <w:r>
        <w:rPr>
          <w:rStyle w:val="FootnoteReference"/>
        </w:rPr>
        <w:footnoteRef/>
      </w:r>
      <w:r>
        <w:t xml:space="preserve"> See paragraph 26 of the statement of reasons of 3 May 2023 for the </w:t>
      </w:r>
      <w:r>
        <w:rPr>
          <w:rFonts w:cstheme="minorHAnsi"/>
        </w:rPr>
        <w:t>Safeguard Reforms Amendment Rules which details the basis of these calculations.</w:t>
      </w:r>
    </w:p>
  </w:footnote>
  <w:footnote w:id="7">
    <w:p w14:paraId="7E3FB7AF" w14:textId="77777777" w:rsidR="009A6A29" w:rsidRDefault="009A6A29" w:rsidP="009A6A29">
      <w:pPr>
        <w:pStyle w:val="FootnoteText"/>
      </w:pPr>
      <w:r>
        <w:rPr>
          <w:rStyle w:val="FootnoteReference"/>
        </w:rPr>
        <w:footnoteRef/>
      </w:r>
      <w:r>
        <w:t xml:space="preserve"> See paragraph 26.a.iii. of the statement of reasons of 3 May 2023 for the </w:t>
      </w:r>
      <w:r>
        <w:rPr>
          <w:rFonts w:cstheme="minorHAnsi"/>
        </w:rPr>
        <w:t>Safeguard Reforms Amendment Rules which details the basis of these calculations.</w:t>
      </w:r>
    </w:p>
  </w:footnote>
  <w:footnote w:id="8">
    <w:p w14:paraId="6D76B094" w14:textId="77777777" w:rsidR="009A6A29" w:rsidRDefault="009A6A29" w:rsidP="009A6A29">
      <w:pPr>
        <w:pStyle w:val="FootnoteText"/>
      </w:pPr>
      <w:r>
        <w:rPr>
          <w:rStyle w:val="FootnoteReference"/>
        </w:rPr>
        <w:footnoteRef/>
      </w:r>
      <w:r>
        <w:t xml:space="preserve"> Trade exposed facilities and TEBA facilities are eligible to access funding under the Powering the Regions Fund.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2AD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1F193DC6"/>
    <w:multiLevelType w:val="hybridMultilevel"/>
    <w:tmpl w:val="DFFC76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6" w15:restartNumberingAfterBreak="0">
    <w:nsid w:val="30840673"/>
    <w:multiLevelType w:val="hybridMultilevel"/>
    <w:tmpl w:val="DFFC76FE"/>
    <w:lvl w:ilvl="0" w:tplc="A70020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2B97BDF"/>
    <w:multiLevelType w:val="hybridMultilevel"/>
    <w:tmpl w:val="9F50374E"/>
    <w:lvl w:ilvl="0" w:tplc="F678F2B6">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763D6"/>
    <w:multiLevelType w:val="hybridMultilevel"/>
    <w:tmpl w:val="988EE918"/>
    <w:lvl w:ilvl="0" w:tplc="081A18AE">
      <w:start w:val="1"/>
      <w:numFmt w:val="lowerLetter"/>
      <w:lvlText w:val="%1."/>
      <w:lvlJc w:val="left"/>
      <w:pPr>
        <w:ind w:left="144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B2574E"/>
    <w:multiLevelType w:val="hybridMultilevel"/>
    <w:tmpl w:val="78640CD8"/>
    <w:lvl w:ilvl="0" w:tplc="1C7401D0">
      <w:start w:val="1"/>
      <w:numFmt w:val="lowerLetter"/>
      <w:lvlText w:val="(%1)"/>
      <w:lvlJc w:val="left"/>
      <w:pPr>
        <w:ind w:left="1080" w:hanging="360"/>
      </w:pPr>
      <w:rPr>
        <w:rFonts w:hint="default"/>
      </w:rPr>
    </w:lvl>
    <w:lvl w:ilvl="1" w:tplc="10503CEC">
      <w:start w:val="1"/>
      <w:numFmt w:val="lowerRoman"/>
      <w:lvlText w:val="(%2)"/>
      <w:lvlJc w:val="left"/>
      <w:pPr>
        <w:ind w:left="1800" w:hanging="360"/>
      </w:pPr>
      <w:rPr>
        <w:rFonts w:asciiTheme="minorHAnsi" w:eastAsia="Times New Roman" w:hAnsiTheme="minorHAnsi" w:cstheme="minorBidi"/>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3A93ACE"/>
    <w:multiLevelType w:val="hybridMultilevel"/>
    <w:tmpl w:val="FCF615B6"/>
    <w:lvl w:ilvl="0" w:tplc="58960924">
      <w:start w:val="1"/>
      <w:numFmt w:val="decimal"/>
      <w:lvlText w:val="%1."/>
      <w:lvlJc w:val="left"/>
      <w:pPr>
        <w:ind w:left="643" w:hanging="360"/>
      </w:pPr>
      <w:rPr>
        <w:b w:val="0"/>
        <w:bCs w:val="0"/>
        <w:i w:val="0"/>
        <w:iCs/>
        <w:sz w:val="22"/>
        <w:szCs w:val="22"/>
      </w:rPr>
    </w:lvl>
    <w:lvl w:ilvl="1" w:tplc="081A18AE">
      <w:start w:val="1"/>
      <w:numFmt w:val="lowerLetter"/>
      <w:lvlText w:val="%2."/>
      <w:lvlJc w:val="left"/>
      <w:pPr>
        <w:ind w:left="1440" w:hanging="360"/>
      </w:pPr>
      <w:rPr>
        <w:b w:val="0"/>
        <w:bCs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4"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6" w15:restartNumberingAfterBreak="0">
    <w:nsid w:val="65456429"/>
    <w:multiLevelType w:val="multilevel"/>
    <w:tmpl w:val="E898CC72"/>
    <w:lvl w:ilvl="0">
      <w:numFmt w:val="decimal"/>
      <w:pStyle w:val="ListNumber"/>
      <w:lvlText w:val=""/>
      <w:lvlJc w:val="left"/>
    </w:lvl>
    <w:lvl w:ilvl="1">
      <w:numFmt w:val="decimal"/>
      <w:pStyle w:val="ListNumber2"/>
      <w:lvlText w:val=""/>
      <w:lvlJc w:val="left"/>
    </w:lvl>
    <w:lvl w:ilvl="2">
      <w:numFmt w:val="decimal"/>
      <w:pStyle w:val="ListNumber3"/>
      <w:lvlText w:val=""/>
      <w:lvlJc w:val="left"/>
    </w:lvl>
    <w:lvl w:ilvl="3">
      <w:numFmt w:val="decimal"/>
      <w:pStyle w:val="ListNumber4"/>
      <w:lvlText w:val=""/>
      <w:lvlJc w:val="left"/>
    </w:lvl>
    <w:lvl w:ilvl="4">
      <w:numFmt w:val="decimal"/>
      <w:pStyle w:val="ListNumber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3D57DF"/>
    <w:multiLevelType w:val="hybridMultilevel"/>
    <w:tmpl w:val="D3AADAF2"/>
    <w:lvl w:ilvl="0" w:tplc="161C7A28">
      <w:start w:val="6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9B21F21"/>
    <w:multiLevelType w:val="hybridMultilevel"/>
    <w:tmpl w:val="C3900A70"/>
    <w:lvl w:ilvl="0" w:tplc="B672E708">
      <w:start w:val="1"/>
      <w:numFmt w:val="decimal"/>
      <w:pStyle w:val="Normal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62665F7"/>
    <w:multiLevelType w:val="hybridMultilevel"/>
    <w:tmpl w:val="70A0392C"/>
    <w:lvl w:ilvl="0" w:tplc="72EA1AB2">
      <w:start w:val="1"/>
      <w:numFmt w:val="decimal"/>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1" w15:restartNumberingAfterBreak="0">
    <w:nsid w:val="78800DC5"/>
    <w:multiLevelType w:val="hybridMultilevel"/>
    <w:tmpl w:val="5830C5A0"/>
    <w:lvl w:ilvl="0" w:tplc="FFFFFFFF">
      <w:start w:val="1"/>
      <w:numFmt w:val="lowerLetter"/>
      <w:lvlText w:val="(%1)"/>
      <w:lvlJc w:val="left"/>
      <w:pPr>
        <w:ind w:left="1800" w:hanging="360"/>
      </w:pPr>
      <w:rPr>
        <w:rFonts w:hint="default"/>
      </w:rPr>
    </w:lvl>
    <w:lvl w:ilvl="1" w:tplc="FFFFFFFF">
      <w:start w:val="1"/>
      <w:numFmt w:val="lowerRoman"/>
      <w:lvlText w:val="(%2)"/>
      <w:lvlJc w:val="left"/>
      <w:pPr>
        <w:ind w:left="2520" w:hanging="360"/>
      </w:pPr>
      <w:rPr>
        <w:rFonts w:asciiTheme="minorHAnsi" w:eastAsia="Times New Roman" w:hAnsiTheme="minorHAnsi" w:cstheme="minorBidi"/>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7C713DDD"/>
    <w:multiLevelType w:val="hybridMultilevel"/>
    <w:tmpl w:val="535ED436"/>
    <w:lvl w:ilvl="0" w:tplc="A70020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CE104FC"/>
    <w:multiLevelType w:val="hybridMultilevel"/>
    <w:tmpl w:val="AECEC6CE"/>
    <w:lvl w:ilvl="0" w:tplc="1C7401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14538400">
    <w:abstractNumId w:val="5"/>
  </w:num>
  <w:num w:numId="2" w16cid:durableId="1798719079">
    <w:abstractNumId w:val="18"/>
  </w:num>
  <w:num w:numId="3" w16cid:durableId="52972806">
    <w:abstractNumId w:val="0"/>
  </w:num>
  <w:num w:numId="4" w16cid:durableId="1296107839">
    <w:abstractNumId w:val="16"/>
  </w:num>
  <w:num w:numId="5" w16cid:durableId="502555033">
    <w:abstractNumId w:val="22"/>
  </w:num>
  <w:num w:numId="6" w16cid:durableId="1778282812">
    <w:abstractNumId w:val="7"/>
  </w:num>
  <w:num w:numId="7" w16cid:durableId="1185437103">
    <w:abstractNumId w:val="6"/>
  </w:num>
  <w:num w:numId="8" w16cid:durableId="2093966213">
    <w:abstractNumId w:val="3"/>
  </w:num>
  <w:num w:numId="9" w16cid:durableId="861364294">
    <w:abstractNumId w:val="17"/>
  </w:num>
  <w:num w:numId="10" w16cid:durableId="1539902026">
    <w:abstractNumId w:val="9"/>
  </w:num>
  <w:num w:numId="11" w16cid:durableId="2106488248">
    <w:abstractNumId w:val="2"/>
  </w:num>
  <w:num w:numId="12" w16cid:durableId="2105150820">
    <w:abstractNumId w:val="14"/>
  </w:num>
  <w:num w:numId="13" w16cid:durableId="242766541">
    <w:abstractNumId w:val="15"/>
  </w:num>
  <w:num w:numId="14" w16cid:durableId="166407545">
    <w:abstractNumId w:val="4"/>
  </w:num>
  <w:num w:numId="15" w16cid:durableId="1885289068">
    <w:abstractNumId w:val="13"/>
  </w:num>
  <w:num w:numId="16" w16cid:durableId="389766520">
    <w:abstractNumId w:val="10"/>
  </w:num>
  <w:num w:numId="17" w16cid:durableId="1554852045">
    <w:abstractNumId w:val="1"/>
  </w:num>
  <w:num w:numId="18" w16cid:durableId="661008000">
    <w:abstractNumId w:val="19"/>
  </w:num>
  <w:num w:numId="19" w16cid:durableId="1061951224">
    <w:abstractNumId w:val="12"/>
  </w:num>
  <w:num w:numId="20" w16cid:durableId="137694160">
    <w:abstractNumId w:val="11"/>
  </w:num>
  <w:num w:numId="21" w16cid:durableId="2117671468">
    <w:abstractNumId w:val="21"/>
  </w:num>
  <w:num w:numId="22" w16cid:durableId="1466198350">
    <w:abstractNumId w:val="23"/>
  </w:num>
  <w:num w:numId="23" w16cid:durableId="998849396">
    <w:abstractNumId w:val="20"/>
  </w:num>
  <w:num w:numId="24" w16cid:durableId="206491221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E9"/>
    <w:rsid w:val="00001339"/>
    <w:rsid w:val="00001661"/>
    <w:rsid w:val="0000302D"/>
    <w:rsid w:val="0000546B"/>
    <w:rsid w:val="0000557A"/>
    <w:rsid w:val="00005DA9"/>
    <w:rsid w:val="00006014"/>
    <w:rsid w:val="000061B4"/>
    <w:rsid w:val="00006FA6"/>
    <w:rsid w:val="0000727E"/>
    <w:rsid w:val="0000752B"/>
    <w:rsid w:val="00010C51"/>
    <w:rsid w:val="00011A3E"/>
    <w:rsid w:val="00011BE2"/>
    <w:rsid w:val="00011FCD"/>
    <w:rsid w:val="000128C7"/>
    <w:rsid w:val="00012FFD"/>
    <w:rsid w:val="000160B4"/>
    <w:rsid w:val="00016AB4"/>
    <w:rsid w:val="00016EA2"/>
    <w:rsid w:val="0001713B"/>
    <w:rsid w:val="000173B0"/>
    <w:rsid w:val="00020071"/>
    <w:rsid w:val="00020882"/>
    <w:rsid w:val="000212FB"/>
    <w:rsid w:val="0002168E"/>
    <w:rsid w:val="00022119"/>
    <w:rsid w:val="00022A12"/>
    <w:rsid w:val="00023CBC"/>
    <w:rsid w:val="00024432"/>
    <w:rsid w:val="00024882"/>
    <w:rsid w:val="00024D8E"/>
    <w:rsid w:val="000250CB"/>
    <w:rsid w:val="000263D6"/>
    <w:rsid w:val="0002655C"/>
    <w:rsid w:val="00026576"/>
    <w:rsid w:val="00026BD0"/>
    <w:rsid w:val="00027420"/>
    <w:rsid w:val="00027827"/>
    <w:rsid w:val="00027846"/>
    <w:rsid w:val="0003092B"/>
    <w:rsid w:val="00030CCB"/>
    <w:rsid w:val="00030FBE"/>
    <w:rsid w:val="0003196C"/>
    <w:rsid w:val="00031B03"/>
    <w:rsid w:val="00032226"/>
    <w:rsid w:val="00032FA4"/>
    <w:rsid w:val="00033A08"/>
    <w:rsid w:val="00034FB6"/>
    <w:rsid w:val="00035ADA"/>
    <w:rsid w:val="00035B94"/>
    <w:rsid w:val="000372F4"/>
    <w:rsid w:val="00037744"/>
    <w:rsid w:val="00040219"/>
    <w:rsid w:val="000408D0"/>
    <w:rsid w:val="00040B3B"/>
    <w:rsid w:val="00040CEC"/>
    <w:rsid w:val="00040E7B"/>
    <w:rsid w:val="00041858"/>
    <w:rsid w:val="000421FC"/>
    <w:rsid w:val="0004220F"/>
    <w:rsid w:val="00043553"/>
    <w:rsid w:val="0004434C"/>
    <w:rsid w:val="000443B8"/>
    <w:rsid w:val="0004485A"/>
    <w:rsid w:val="00044A6E"/>
    <w:rsid w:val="00045C2F"/>
    <w:rsid w:val="00046C9F"/>
    <w:rsid w:val="00046E92"/>
    <w:rsid w:val="00047CEF"/>
    <w:rsid w:val="00047D54"/>
    <w:rsid w:val="00054386"/>
    <w:rsid w:val="0005467E"/>
    <w:rsid w:val="00054CF3"/>
    <w:rsid w:val="0005537C"/>
    <w:rsid w:val="00055A6B"/>
    <w:rsid w:val="000562DA"/>
    <w:rsid w:val="00056C8F"/>
    <w:rsid w:val="00057627"/>
    <w:rsid w:val="00061103"/>
    <w:rsid w:val="000629F0"/>
    <w:rsid w:val="00062FFE"/>
    <w:rsid w:val="000644E0"/>
    <w:rsid w:val="00065B05"/>
    <w:rsid w:val="0006629C"/>
    <w:rsid w:val="000665DB"/>
    <w:rsid w:val="00066634"/>
    <w:rsid w:val="000667CB"/>
    <w:rsid w:val="00070C06"/>
    <w:rsid w:val="00070C3D"/>
    <w:rsid w:val="00070DC2"/>
    <w:rsid w:val="00071ACB"/>
    <w:rsid w:val="00071E44"/>
    <w:rsid w:val="0007281C"/>
    <w:rsid w:val="00072DE5"/>
    <w:rsid w:val="000738D0"/>
    <w:rsid w:val="00074552"/>
    <w:rsid w:val="000746F1"/>
    <w:rsid w:val="00074848"/>
    <w:rsid w:val="00074927"/>
    <w:rsid w:val="00076992"/>
    <w:rsid w:val="000775E6"/>
    <w:rsid w:val="0008088F"/>
    <w:rsid w:val="00081688"/>
    <w:rsid w:val="00081877"/>
    <w:rsid w:val="00082011"/>
    <w:rsid w:val="000820FF"/>
    <w:rsid w:val="00082690"/>
    <w:rsid w:val="000832D0"/>
    <w:rsid w:val="00084593"/>
    <w:rsid w:val="000852B6"/>
    <w:rsid w:val="0008537E"/>
    <w:rsid w:val="000858FA"/>
    <w:rsid w:val="000862C5"/>
    <w:rsid w:val="00086ADC"/>
    <w:rsid w:val="00086CAF"/>
    <w:rsid w:val="00087476"/>
    <w:rsid w:val="000879AF"/>
    <w:rsid w:val="00087A55"/>
    <w:rsid w:val="00090393"/>
    <w:rsid w:val="00090905"/>
    <w:rsid w:val="000927D4"/>
    <w:rsid w:val="00093083"/>
    <w:rsid w:val="000935EC"/>
    <w:rsid w:val="00094EDF"/>
    <w:rsid w:val="00095211"/>
    <w:rsid w:val="00095DD9"/>
    <w:rsid w:val="0009613C"/>
    <w:rsid w:val="00096758"/>
    <w:rsid w:val="00096DF9"/>
    <w:rsid w:val="00097C07"/>
    <w:rsid w:val="00097F6B"/>
    <w:rsid w:val="000A12F0"/>
    <w:rsid w:val="000A18E1"/>
    <w:rsid w:val="000A19CF"/>
    <w:rsid w:val="000A2491"/>
    <w:rsid w:val="000A2515"/>
    <w:rsid w:val="000A2BAF"/>
    <w:rsid w:val="000A2C46"/>
    <w:rsid w:val="000A30F3"/>
    <w:rsid w:val="000A3A21"/>
    <w:rsid w:val="000A4D2B"/>
    <w:rsid w:val="000A5077"/>
    <w:rsid w:val="000A5473"/>
    <w:rsid w:val="000A6510"/>
    <w:rsid w:val="000A6D39"/>
    <w:rsid w:val="000B0950"/>
    <w:rsid w:val="000B0B40"/>
    <w:rsid w:val="000B0E9E"/>
    <w:rsid w:val="000B1F03"/>
    <w:rsid w:val="000B2694"/>
    <w:rsid w:val="000B2AE3"/>
    <w:rsid w:val="000B3C7D"/>
    <w:rsid w:val="000B3EEB"/>
    <w:rsid w:val="000B3EF3"/>
    <w:rsid w:val="000B4006"/>
    <w:rsid w:val="000B469D"/>
    <w:rsid w:val="000B514B"/>
    <w:rsid w:val="000B6310"/>
    <w:rsid w:val="000B6571"/>
    <w:rsid w:val="000B696B"/>
    <w:rsid w:val="000B791F"/>
    <w:rsid w:val="000B7AE2"/>
    <w:rsid w:val="000B7B18"/>
    <w:rsid w:val="000C0156"/>
    <w:rsid w:val="000C10DF"/>
    <w:rsid w:val="000C304A"/>
    <w:rsid w:val="000C349C"/>
    <w:rsid w:val="000C4712"/>
    <w:rsid w:val="000C609F"/>
    <w:rsid w:val="000C6869"/>
    <w:rsid w:val="000C6A8F"/>
    <w:rsid w:val="000C7E88"/>
    <w:rsid w:val="000D0638"/>
    <w:rsid w:val="000D15A1"/>
    <w:rsid w:val="000D26AB"/>
    <w:rsid w:val="000D27C0"/>
    <w:rsid w:val="000D2A6D"/>
    <w:rsid w:val="000D45D5"/>
    <w:rsid w:val="000D5B4B"/>
    <w:rsid w:val="000D5C4A"/>
    <w:rsid w:val="000D640B"/>
    <w:rsid w:val="000D67C9"/>
    <w:rsid w:val="000E01DE"/>
    <w:rsid w:val="000E0728"/>
    <w:rsid w:val="000E0AF3"/>
    <w:rsid w:val="000E1A75"/>
    <w:rsid w:val="000E1D6E"/>
    <w:rsid w:val="000E1FD4"/>
    <w:rsid w:val="000E2087"/>
    <w:rsid w:val="000E258D"/>
    <w:rsid w:val="000E3098"/>
    <w:rsid w:val="000E344B"/>
    <w:rsid w:val="000E36D8"/>
    <w:rsid w:val="000E4FCB"/>
    <w:rsid w:val="000E53C9"/>
    <w:rsid w:val="000E631A"/>
    <w:rsid w:val="000E6A29"/>
    <w:rsid w:val="000E6E99"/>
    <w:rsid w:val="000F01BB"/>
    <w:rsid w:val="000F09D6"/>
    <w:rsid w:val="000F0BED"/>
    <w:rsid w:val="000F0ECC"/>
    <w:rsid w:val="000F1815"/>
    <w:rsid w:val="000F26C9"/>
    <w:rsid w:val="000F2873"/>
    <w:rsid w:val="000F2D8C"/>
    <w:rsid w:val="000F47F6"/>
    <w:rsid w:val="000F618F"/>
    <w:rsid w:val="000F636A"/>
    <w:rsid w:val="000F673B"/>
    <w:rsid w:val="000F6ED3"/>
    <w:rsid w:val="000F73D9"/>
    <w:rsid w:val="000F7C70"/>
    <w:rsid w:val="000F7E40"/>
    <w:rsid w:val="0010030C"/>
    <w:rsid w:val="00100BB2"/>
    <w:rsid w:val="00102F7E"/>
    <w:rsid w:val="0010378B"/>
    <w:rsid w:val="001037D5"/>
    <w:rsid w:val="00103CED"/>
    <w:rsid w:val="00104230"/>
    <w:rsid w:val="00104385"/>
    <w:rsid w:val="001044BF"/>
    <w:rsid w:val="0010738D"/>
    <w:rsid w:val="001073BE"/>
    <w:rsid w:val="001078C3"/>
    <w:rsid w:val="00107EFF"/>
    <w:rsid w:val="00110C3D"/>
    <w:rsid w:val="00111C06"/>
    <w:rsid w:val="00111DBC"/>
    <w:rsid w:val="00111F32"/>
    <w:rsid w:val="00112387"/>
    <w:rsid w:val="00112807"/>
    <w:rsid w:val="00112888"/>
    <w:rsid w:val="00113B45"/>
    <w:rsid w:val="00114F70"/>
    <w:rsid w:val="001154C7"/>
    <w:rsid w:val="0011580C"/>
    <w:rsid w:val="00115DB8"/>
    <w:rsid w:val="00116BEF"/>
    <w:rsid w:val="00117066"/>
    <w:rsid w:val="00117213"/>
    <w:rsid w:val="001173DD"/>
    <w:rsid w:val="00117DBA"/>
    <w:rsid w:val="00120A8D"/>
    <w:rsid w:val="00120B5C"/>
    <w:rsid w:val="001214D7"/>
    <w:rsid w:val="001218DE"/>
    <w:rsid w:val="00123227"/>
    <w:rsid w:val="001235FA"/>
    <w:rsid w:val="0012382D"/>
    <w:rsid w:val="00123FF8"/>
    <w:rsid w:val="001253F7"/>
    <w:rsid w:val="00125511"/>
    <w:rsid w:val="00125688"/>
    <w:rsid w:val="001268C6"/>
    <w:rsid w:val="00126F22"/>
    <w:rsid w:val="00127390"/>
    <w:rsid w:val="001275E6"/>
    <w:rsid w:val="00130C93"/>
    <w:rsid w:val="00130FB1"/>
    <w:rsid w:val="00131714"/>
    <w:rsid w:val="001318AC"/>
    <w:rsid w:val="0013190B"/>
    <w:rsid w:val="00132488"/>
    <w:rsid w:val="00132527"/>
    <w:rsid w:val="0013445F"/>
    <w:rsid w:val="0013640C"/>
    <w:rsid w:val="00136640"/>
    <w:rsid w:val="00136AE5"/>
    <w:rsid w:val="0013786F"/>
    <w:rsid w:val="00137E05"/>
    <w:rsid w:val="00140A21"/>
    <w:rsid w:val="00140D69"/>
    <w:rsid w:val="00141B4A"/>
    <w:rsid w:val="00141B85"/>
    <w:rsid w:val="00141DCC"/>
    <w:rsid w:val="0014232E"/>
    <w:rsid w:val="001424A2"/>
    <w:rsid w:val="0014294B"/>
    <w:rsid w:val="00142B89"/>
    <w:rsid w:val="0014344B"/>
    <w:rsid w:val="00145352"/>
    <w:rsid w:val="00145CCE"/>
    <w:rsid w:val="0014688B"/>
    <w:rsid w:val="00146C71"/>
    <w:rsid w:val="001478AD"/>
    <w:rsid w:val="00147F5F"/>
    <w:rsid w:val="001500D9"/>
    <w:rsid w:val="0015062A"/>
    <w:rsid w:val="00150F42"/>
    <w:rsid w:val="001538C5"/>
    <w:rsid w:val="00153EE5"/>
    <w:rsid w:val="00154215"/>
    <w:rsid w:val="001545C6"/>
    <w:rsid w:val="00154F2C"/>
    <w:rsid w:val="00155092"/>
    <w:rsid w:val="0015549E"/>
    <w:rsid w:val="00155854"/>
    <w:rsid w:val="0015708F"/>
    <w:rsid w:val="001579B3"/>
    <w:rsid w:val="00160094"/>
    <w:rsid w:val="0016066C"/>
    <w:rsid w:val="00160725"/>
    <w:rsid w:val="00161642"/>
    <w:rsid w:val="00161D02"/>
    <w:rsid w:val="001623AD"/>
    <w:rsid w:val="00162755"/>
    <w:rsid w:val="00163511"/>
    <w:rsid w:val="00163E07"/>
    <w:rsid w:val="0016419E"/>
    <w:rsid w:val="0016437F"/>
    <w:rsid w:val="001656C4"/>
    <w:rsid w:val="00166494"/>
    <w:rsid w:val="0017041C"/>
    <w:rsid w:val="001707A1"/>
    <w:rsid w:val="0017130A"/>
    <w:rsid w:val="00171402"/>
    <w:rsid w:val="00171438"/>
    <w:rsid w:val="001716A3"/>
    <w:rsid w:val="001716D8"/>
    <w:rsid w:val="00171718"/>
    <w:rsid w:val="00171E98"/>
    <w:rsid w:val="00172EC2"/>
    <w:rsid w:val="00174A81"/>
    <w:rsid w:val="00174C3E"/>
    <w:rsid w:val="001751AC"/>
    <w:rsid w:val="0017577E"/>
    <w:rsid w:val="00175AD3"/>
    <w:rsid w:val="00175EF5"/>
    <w:rsid w:val="00176A1C"/>
    <w:rsid w:val="00176AFF"/>
    <w:rsid w:val="00176B5E"/>
    <w:rsid w:val="00177A03"/>
    <w:rsid w:val="00177B8B"/>
    <w:rsid w:val="00177BE4"/>
    <w:rsid w:val="001807C7"/>
    <w:rsid w:val="001807E5"/>
    <w:rsid w:val="001826FD"/>
    <w:rsid w:val="00182F0E"/>
    <w:rsid w:val="00183027"/>
    <w:rsid w:val="001839F7"/>
    <w:rsid w:val="00183D2A"/>
    <w:rsid w:val="00184B1C"/>
    <w:rsid w:val="00185207"/>
    <w:rsid w:val="001853D1"/>
    <w:rsid w:val="001855A0"/>
    <w:rsid w:val="00185DAB"/>
    <w:rsid w:val="001866AE"/>
    <w:rsid w:val="00187130"/>
    <w:rsid w:val="001906C5"/>
    <w:rsid w:val="00190B26"/>
    <w:rsid w:val="00191E55"/>
    <w:rsid w:val="0019209B"/>
    <w:rsid w:val="00192AEE"/>
    <w:rsid w:val="00192CAB"/>
    <w:rsid w:val="0019368A"/>
    <w:rsid w:val="00193A30"/>
    <w:rsid w:val="00193AE3"/>
    <w:rsid w:val="00193F22"/>
    <w:rsid w:val="00194F53"/>
    <w:rsid w:val="001955F8"/>
    <w:rsid w:val="00196ABF"/>
    <w:rsid w:val="00197180"/>
    <w:rsid w:val="0019769C"/>
    <w:rsid w:val="00197BBC"/>
    <w:rsid w:val="001A0106"/>
    <w:rsid w:val="001A077B"/>
    <w:rsid w:val="001A0EF2"/>
    <w:rsid w:val="001A1C60"/>
    <w:rsid w:val="001A23EA"/>
    <w:rsid w:val="001A2640"/>
    <w:rsid w:val="001A294F"/>
    <w:rsid w:val="001A31C5"/>
    <w:rsid w:val="001A3988"/>
    <w:rsid w:val="001A52FB"/>
    <w:rsid w:val="001A63C5"/>
    <w:rsid w:val="001A65DC"/>
    <w:rsid w:val="001A6C0C"/>
    <w:rsid w:val="001B0061"/>
    <w:rsid w:val="001B0EC8"/>
    <w:rsid w:val="001B1332"/>
    <w:rsid w:val="001B2E0D"/>
    <w:rsid w:val="001B42D9"/>
    <w:rsid w:val="001B4626"/>
    <w:rsid w:val="001B4A72"/>
    <w:rsid w:val="001B5460"/>
    <w:rsid w:val="001B64F7"/>
    <w:rsid w:val="001B68C6"/>
    <w:rsid w:val="001C0C93"/>
    <w:rsid w:val="001C0CCA"/>
    <w:rsid w:val="001C104B"/>
    <w:rsid w:val="001C1A8E"/>
    <w:rsid w:val="001C2159"/>
    <w:rsid w:val="001C2227"/>
    <w:rsid w:val="001C28A7"/>
    <w:rsid w:val="001C32DA"/>
    <w:rsid w:val="001C399E"/>
    <w:rsid w:val="001C53B8"/>
    <w:rsid w:val="001C54F0"/>
    <w:rsid w:val="001C5804"/>
    <w:rsid w:val="001D0FCF"/>
    <w:rsid w:val="001D1523"/>
    <w:rsid w:val="001D1D81"/>
    <w:rsid w:val="001D292D"/>
    <w:rsid w:val="001D2A02"/>
    <w:rsid w:val="001D2B38"/>
    <w:rsid w:val="001D3A49"/>
    <w:rsid w:val="001D4BFE"/>
    <w:rsid w:val="001D61B8"/>
    <w:rsid w:val="001D668E"/>
    <w:rsid w:val="001D6C81"/>
    <w:rsid w:val="001D6ED0"/>
    <w:rsid w:val="001D7A0B"/>
    <w:rsid w:val="001E01BF"/>
    <w:rsid w:val="001E086A"/>
    <w:rsid w:val="001E2E16"/>
    <w:rsid w:val="001E442B"/>
    <w:rsid w:val="001E510E"/>
    <w:rsid w:val="001E5B50"/>
    <w:rsid w:val="001E6956"/>
    <w:rsid w:val="001E6A74"/>
    <w:rsid w:val="001E6AAA"/>
    <w:rsid w:val="001E765C"/>
    <w:rsid w:val="001E772E"/>
    <w:rsid w:val="001E7C52"/>
    <w:rsid w:val="001F0026"/>
    <w:rsid w:val="001F018D"/>
    <w:rsid w:val="001F1215"/>
    <w:rsid w:val="001F1905"/>
    <w:rsid w:val="001F1C48"/>
    <w:rsid w:val="001F41D0"/>
    <w:rsid w:val="001F47F2"/>
    <w:rsid w:val="001F5363"/>
    <w:rsid w:val="001F5A3D"/>
    <w:rsid w:val="001F5C8A"/>
    <w:rsid w:val="001F5CB8"/>
    <w:rsid w:val="001F6217"/>
    <w:rsid w:val="001F6752"/>
    <w:rsid w:val="001F697F"/>
    <w:rsid w:val="001F6C2F"/>
    <w:rsid w:val="001F73B2"/>
    <w:rsid w:val="001F777C"/>
    <w:rsid w:val="002017F2"/>
    <w:rsid w:val="00201CDF"/>
    <w:rsid w:val="00201FFF"/>
    <w:rsid w:val="00202680"/>
    <w:rsid w:val="00203E6C"/>
    <w:rsid w:val="00204457"/>
    <w:rsid w:val="00204BDB"/>
    <w:rsid w:val="002055E0"/>
    <w:rsid w:val="0020683C"/>
    <w:rsid w:val="002069C7"/>
    <w:rsid w:val="00207195"/>
    <w:rsid w:val="00207991"/>
    <w:rsid w:val="00207AA2"/>
    <w:rsid w:val="00210F96"/>
    <w:rsid w:val="0021220C"/>
    <w:rsid w:val="0021245F"/>
    <w:rsid w:val="00212CEF"/>
    <w:rsid w:val="0021388D"/>
    <w:rsid w:val="00214042"/>
    <w:rsid w:val="0021418E"/>
    <w:rsid w:val="002143AB"/>
    <w:rsid w:val="00214663"/>
    <w:rsid w:val="002146C9"/>
    <w:rsid w:val="00214AB4"/>
    <w:rsid w:val="00214B6C"/>
    <w:rsid w:val="00214C5F"/>
    <w:rsid w:val="00214CD6"/>
    <w:rsid w:val="002154D3"/>
    <w:rsid w:val="00215B9D"/>
    <w:rsid w:val="00215F0C"/>
    <w:rsid w:val="00215F7A"/>
    <w:rsid w:val="0021614B"/>
    <w:rsid w:val="00216F36"/>
    <w:rsid w:val="002177CD"/>
    <w:rsid w:val="00217AAB"/>
    <w:rsid w:val="00220F16"/>
    <w:rsid w:val="00220F85"/>
    <w:rsid w:val="0022122E"/>
    <w:rsid w:val="00221281"/>
    <w:rsid w:val="00221988"/>
    <w:rsid w:val="00222521"/>
    <w:rsid w:val="00222B8E"/>
    <w:rsid w:val="00222FAB"/>
    <w:rsid w:val="00223642"/>
    <w:rsid w:val="002240E7"/>
    <w:rsid w:val="00224554"/>
    <w:rsid w:val="00224F94"/>
    <w:rsid w:val="002250CC"/>
    <w:rsid w:val="00226632"/>
    <w:rsid w:val="00226D26"/>
    <w:rsid w:val="00227363"/>
    <w:rsid w:val="0023004F"/>
    <w:rsid w:val="00231279"/>
    <w:rsid w:val="0023138A"/>
    <w:rsid w:val="00232591"/>
    <w:rsid w:val="0023283C"/>
    <w:rsid w:val="002334D7"/>
    <w:rsid w:val="00233D3E"/>
    <w:rsid w:val="00235F52"/>
    <w:rsid w:val="00236E5A"/>
    <w:rsid w:val="00236E66"/>
    <w:rsid w:val="00236F04"/>
    <w:rsid w:val="00237097"/>
    <w:rsid w:val="0023763E"/>
    <w:rsid w:val="00237BEA"/>
    <w:rsid w:val="00237C69"/>
    <w:rsid w:val="00237DBC"/>
    <w:rsid w:val="0024062A"/>
    <w:rsid w:val="00241264"/>
    <w:rsid w:val="002415FC"/>
    <w:rsid w:val="00241E16"/>
    <w:rsid w:val="002432A8"/>
    <w:rsid w:val="00243A6E"/>
    <w:rsid w:val="00243C5F"/>
    <w:rsid w:val="00243C99"/>
    <w:rsid w:val="002456D2"/>
    <w:rsid w:val="00245F41"/>
    <w:rsid w:val="002462F3"/>
    <w:rsid w:val="0024738F"/>
    <w:rsid w:val="002474EA"/>
    <w:rsid w:val="0024774F"/>
    <w:rsid w:val="00250A42"/>
    <w:rsid w:val="0025112C"/>
    <w:rsid w:val="0025156B"/>
    <w:rsid w:val="00251A9F"/>
    <w:rsid w:val="00251AAE"/>
    <w:rsid w:val="00252005"/>
    <w:rsid w:val="002520AA"/>
    <w:rsid w:val="00252E7E"/>
    <w:rsid w:val="00253A4F"/>
    <w:rsid w:val="00253FBA"/>
    <w:rsid w:val="00254C5B"/>
    <w:rsid w:val="002572E7"/>
    <w:rsid w:val="00257FE6"/>
    <w:rsid w:val="0026006C"/>
    <w:rsid w:val="00260139"/>
    <w:rsid w:val="00260917"/>
    <w:rsid w:val="00260C11"/>
    <w:rsid w:val="0026149C"/>
    <w:rsid w:val="00261A55"/>
    <w:rsid w:val="00262EB1"/>
    <w:rsid w:val="00263AC5"/>
    <w:rsid w:val="002647CF"/>
    <w:rsid w:val="0026480D"/>
    <w:rsid w:val="00265B58"/>
    <w:rsid w:val="0026628B"/>
    <w:rsid w:val="002668FC"/>
    <w:rsid w:val="00266F1F"/>
    <w:rsid w:val="00266FF3"/>
    <w:rsid w:val="002679E3"/>
    <w:rsid w:val="00267F4B"/>
    <w:rsid w:val="00271380"/>
    <w:rsid w:val="0027222B"/>
    <w:rsid w:val="00272CDF"/>
    <w:rsid w:val="002731F1"/>
    <w:rsid w:val="00273465"/>
    <w:rsid w:val="00273892"/>
    <w:rsid w:val="002739D4"/>
    <w:rsid w:val="002748EC"/>
    <w:rsid w:val="00274F6A"/>
    <w:rsid w:val="00275447"/>
    <w:rsid w:val="00276FC7"/>
    <w:rsid w:val="002805A4"/>
    <w:rsid w:val="00280BEF"/>
    <w:rsid w:val="00280E31"/>
    <w:rsid w:val="00281840"/>
    <w:rsid w:val="00281BA2"/>
    <w:rsid w:val="00282925"/>
    <w:rsid w:val="00283D1C"/>
    <w:rsid w:val="00284DB0"/>
    <w:rsid w:val="002868CE"/>
    <w:rsid w:val="00286D32"/>
    <w:rsid w:val="002907F4"/>
    <w:rsid w:val="00290A7E"/>
    <w:rsid w:val="00291302"/>
    <w:rsid w:val="00291728"/>
    <w:rsid w:val="00291ECB"/>
    <w:rsid w:val="00292712"/>
    <w:rsid w:val="002950B6"/>
    <w:rsid w:val="00295123"/>
    <w:rsid w:val="00295270"/>
    <w:rsid w:val="00295ABE"/>
    <w:rsid w:val="00295B17"/>
    <w:rsid w:val="002967CB"/>
    <w:rsid w:val="00297422"/>
    <w:rsid w:val="00297A34"/>
    <w:rsid w:val="002A1E11"/>
    <w:rsid w:val="002A2C02"/>
    <w:rsid w:val="002A309E"/>
    <w:rsid w:val="002A3988"/>
    <w:rsid w:val="002A3A4A"/>
    <w:rsid w:val="002A3EDF"/>
    <w:rsid w:val="002A3F9A"/>
    <w:rsid w:val="002A3FE1"/>
    <w:rsid w:val="002A51B6"/>
    <w:rsid w:val="002A5479"/>
    <w:rsid w:val="002A5DF1"/>
    <w:rsid w:val="002A5ECD"/>
    <w:rsid w:val="002A7D0A"/>
    <w:rsid w:val="002B01D2"/>
    <w:rsid w:val="002B1A4C"/>
    <w:rsid w:val="002B1BE1"/>
    <w:rsid w:val="002B28A3"/>
    <w:rsid w:val="002B2B21"/>
    <w:rsid w:val="002B2C04"/>
    <w:rsid w:val="002B2DD7"/>
    <w:rsid w:val="002B42DD"/>
    <w:rsid w:val="002B6605"/>
    <w:rsid w:val="002B6A65"/>
    <w:rsid w:val="002B6F3B"/>
    <w:rsid w:val="002B764F"/>
    <w:rsid w:val="002C10A3"/>
    <w:rsid w:val="002C12DE"/>
    <w:rsid w:val="002C1933"/>
    <w:rsid w:val="002C3183"/>
    <w:rsid w:val="002C38C9"/>
    <w:rsid w:val="002C3BFF"/>
    <w:rsid w:val="002C3C2E"/>
    <w:rsid w:val="002C3EA3"/>
    <w:rsid w:val="002C41B7"/>
    <w:rsid w:val="002C4594"/>
    <w:rsid w:val="002C4981"/>
    <w:rsid w:val="002C50CE"/>
    <w:rsid w:val="002C50D9"/>
    <w:rsid w:val="002C5604"/>
    <w:rsid w:val="002C6488"/>
    <w:rsid w:val="002C7F63"/>
    <w:rsid w:val="002CE37B"/>
    <w:rsid w:val="002D0216"/>
    <w:rsid w:val="002D0C0C"/>
    <w:rsid w:val="002D0DB3"/>
    <w:rsid w:val="002D2A4B"/>
    <w:rsid w:val="002D2CFD"/>
    <w:rsid w:val="002D2E26"/>
    <w:rsid w:val="002D3342"/>
    <w:rsid w:val="002D379C"/>
    <w:rsid w:val="002D3BB6"/>
    <w:rsid w:val="002D3EB2"/>
    <w:rsid w:val="002D49C0"/>
    <w:rsid w:val="002D5655"/>
    <w:rsid w:val="002D5C37"/>
    <w:rsid w:val="002D73B7"/>
    <w:rsid w:val="002D78BA"/>
    <w:rsid w:val="002E0A0F"/>
    <w:rsid w:val="002E0BB9"/>
    <w:rsid w:val="002E0D8E"/>
    <w:rsid w:val="002E18B4"/>
    <w:rsid w:val="002E1900"/>
    <w:rsid w:val="002E1B1D"/>
    <w:rsid w:val="002E1D7A"/>
    <w:rsid w:val="002E335E"/>
    <w:rsid w:val="002E3E7D"/>
    <w:rsid w:val="002E41E0"/>
    <w:rsid w:val="002E4E62"/>
    <w:rsid w:val="002E53A7"/>
    <w:rsid w:val="002E63F8"/>
    <w:rsid w:val="002E73EA"/>
    <w:rsid w:val="002E7D7F"/>
    <w:rsid w:val="002F20AF"/>
    <w:rsid w:val="002F24FC"/>
    <w:rsid w:val="002F2564"/>
    <w:rsid w:val="002F25C9"/>
    <w:rsid w:val="002F2816"/>
    <w:rsid w:val="002F2ECC"/>
    <w:rsid w:val="002F32E5"/>
    <w:rsid w:val="002F4AC4"/>
    <w:rsid w:val="002F4E20"/>
    <w:rsid w:val="002F50B3"/>
    <w:rsid w:val="002F58BF"/>
    <w:rsid w:val="002F5FDB"/>
    <w:rsid w:val="002F7D2C"/>
    <w:rsid w:val="002F7DEB"/>
    <w:rsid w:val="00300396"/>
    <w:rsid w:val="00300C58"/>
    <w:rsid w:val="0030117F"/>
    <w:rsid w:val="00301A8C"/>
    <w:rsid w:val="00301D20"/>
    <w:rsid w:val="00301E34"/>
    <w:rsid w:val="00303E1E"/>
    <w:rsid w:val="003054AB"/>
    <w:rsid w:val="00305E8C"/>
    <w:rsid w:val="003061F3"/>
    <w:rsid w:val="003063ED"/>
    <w:rsid w:val="003065A0"/>
    <w:rsid w:val="003068C2"/>
    <w:rsid w:val="00310237"/>
    <w:rsid w:val="0031132E"/>
    <w:rsid w:val="00312D98"/>
    <w:rsid w:val="00313070"/>
    <w:rsid w:val="00313E8E"/>
    <w:rsid w:val="00314976"/>
    <w:rsid w:val="003157AD"/>
    <w:rsid w:val="00315BE7"/>
    <w:rsid w:val="00317799"/>
    <w:rsid w:val="003178E9"/>
    <w:rsid w:val="00320516"/>
    <w:rsid w:val="00320766"/>
    <w:rsid w:val="00320B72"/>
    <w:rsid w:val="00320FE8"/>
    <w:rsid w:val="003223E4"/>
    <w:rsid w:val="00322BFE"/>
    <w:rsid w:val="0032520D"/>
    <w:rsid w:val="00325864"/>
    <w:rsid w:val="00326BDF"/>
    <w:rsid w:val="00326FD4"/>
    <w:rsid w:val="00330418"/>
    <w:rsid w:val="0033164E"/>
    <w:rsid w:val="0033187D"/>
    <w:rsid w:val="00331DB4"/>
    <w:rsid w:val="00332AA3"/>
    <w:rsid w:val="00332E5A"/>
    <w:rsid w:val="003339B0"/>
    <w:rsid w:val="003342CD"/>
    <w:rsid w:val="003347E9"/>
    <w:rsid w:val="00335042"/>
    <w:rsid w:val="003354E2"/>
    <w:rsid w:val="0033559D"/>
    <w:rsid w:val="003358AC"/>
    <w:rsid w:val="003359B9"/>
    <w:rsid w:val="00336113"/>
    <w:rsid w:val="00336E95"/>
    <w:rsid w:val="00337124"/>
    <w:rsid w:val="00337B38"/>
    <w:rsid w:val="0034011A"/>
    <w:rsid w:val="00341293"/>
    <w:rsid w:val="00341A96"/>
    <w:rsid w:val="00342492"/>
    <w:rsid w:val="00343673"/>
    <w:rsid w:val="00343B96"/>
    <w:rsid w:val="00343D9F"/>
    <w:rsid w:val="00343EAE"/>
    <w:rsid w:val="003440EB"/>
    <w:rsid w:val="0034413C"/>
    <w:rsid w:val="00346F24"/>
    <w:rsid w:val="00347856"/>
    <w:rsid w:val="00350B8F"/>
    <w:rsid w:val="00350D72"/>
    <w:rsid w:val="003515C5"/>
    <w:rsid w:val="00352DFD"/>
    <w:rsid w:val="00353530"/>
    <w:rsid w:val="0035409D"/>
    <w:rsid w:val="003543D4"/>
    <w:rsid w:val="0035469B"/>
    <w:rsid w:val="00354E2B"/>
    <w:rsid w:val="003557E0"/>
    <w:rsid w:val="0035681A"/>
    <w:rsid w:val="00356B48"/>
    <w:rsid w:val="00356CE9"/>
    <w:rsid w:val="00356D89"/>
    <w:rsid w:val="00356E31"/>
    <w:rsid w:val="00356FEB"/>
    <w:rsid w:val="003579FD"/>
    <w:rsid w:val="00360420"/>
    <w:rsid w:val="003611B4"/>
    <w:rsid w:val="003613C0"/>
    <w:rsid w:val="0036170D"/>
    <w:rsid w:val="00361912"/>
    <w:rsid w:val="00361DB4"/>
    <w:rsid w:val="0036204F"/>
    <w:rsid w:val="00362704"/>
    <w:rsid w:val="003643D6"/>
    <w:rsid w:val="00364F27"/>
    <w:rsid w:val="0036570A"/>
    <w:rsid w:val="00366499"/>
    <w:rsid w:val="003670B8"/>
    <w:rsid w:val="00367130"/>
    <w:rsid w:val="003676D5"/>
    <w:rsid w:val="003678A8"/>
    <w:rsid w:val="0036799A"/>
    <w:rsid w:val="003708F9"/>
    <w:rsid w:val="00370929"/>
    <w:rsid w:val="00370BB1"/>
    <w:rsid w:val="003719D9"/>
    <w:rsid w:val="00372800"/>
    <w:rsid w:val="00372927"/>
    <w:rsid w:val="00373791"/>
    <w:rsid w:val="0037394F"/>
    <w:rsid w:val="00373BAB"/>
    <w:rsid w:val="00373C3B"/>
    <w:rsid w:val="00374A62"/>
    <w:rsid w:val="00374B8A"/>
    <w:rsid w:val="00375618"/>
    <w:rsid w:val="00375D14"/>
    <w:rsid w:val="00376340"/>
    <w:rsid w:val="0037695A"/>
    <w:rsid w:val="0037720A"/>
    <w:rsid w:val="0037741B"/>
    <w:rsid w:val="003775EE"/>
    <w:rsid w:val="00377848"/>
    <w:rsid w:val="00377BEE"/>
    <w:rsid w:val="00380CE3"/>
    <w:rsid w:val="0038260A"/>
    <w:rsid w:val="003833E9"/>
    <w:rsid w:val="00383E19"/>
    <w:rsid w:val="00384D53"/>
    <w:rsid w:val="00385170"/>
    <w:rsid w:val="003855E0"/>
    <w:rsid w:val="0038686C"/>
    <w:rsid w:val="00386E5D"/>
    <w:rsid w:val="00386F76"/>
    <w:rsid w:val="003878F8"/>
    <w:rsid w:val="0039006D"/>
    <w:rsid w:val="00390E6B"/>
    <w:rsid w:val="003915C9"/>
    <w:rsid w:val="003919A0"/>
    <w:rsid w:val="00391E04"/>
    <w:rsid w:val="00392BBA"/>
    <w:rsid w:val="00393EEB"/>
    <w:rsid w:val="00394029"/>
    <w:rsid w:val="00394700"/>
    <w:rsid w:val="003956A4"/>
    <w:rsid w:val="00396CEF"/>
    <w:rsid w:val="00397036"/>
    <w:rsid w:val="00397171"/>
    <w:rsid w:val="0039740C"/>
    <w:rsid w:val="0039795F"/>
    <w:rsid w:val="003A021F"/>
    <w:rsid w:val="003A11B3"/>
    <w:rsid w:val="003A2330"/>
    <w:rsid w:val="003A2A6B"/>
    <w:rsid w:val="003A2A80"/>
    <w:rsid w:val="003A300A"/>
    <w:rsid w:val="003A3289"/>
    <w:rsid w:val="003A3428"/>
    <w:rsid w:val="003A3525"/>
    <w:rsid w:val="003A39D3"/>
    <w:rsid w:val="003A4467"/>
    <w:rsid w:val="003A5683"/>
    <w:rsid w:val="003A5D5E"/>
    <w:rsid w:val="003A5DE0"/>
    <w:rsid w:val="003A5FCE"/>
    <w:rsid w:val="003A6048"/>
    <w:rsid w:val="003A612B"/>
    <w:rsid w:val="003A77BC"/>
    <w:rsid w:val="003A7AEF"/>
    <w:rsid w:val="003B064E"/>
    <w:rsid w:val="003B07BA"/>
    <w:rsid w:val="003B0E36"/>
    <w:rsid w:val="003B1455"/>
    <w:rsid w:val="003B1CEC"/>
    <w:rsid w:val="003B2F24"/>
    <w:rsid w:val="003B399F"/>
    <w:rsid w:val="003B4029"/>
    <w:rsid w:val="003B544B"/>
    <w:rsid w:val="003B56F0"/>
    <w:rsid w:val="003B5B37"/>
    <w:rsid w:val="003B6048"/>
    <w:rsid w:val="003B6431"/>
    <w:rsid w:val="003B64BC"/>
    <w:rsid w:val="003B7174"/>
    <w:rsid w:val="003B7A0A"/>
    <w:rsid w:val="003C2C95"/>
    <w:rsid w:val="003C2D59"/>
    <w:rsid w:val="003C2D79"/>
    <w:rsid w:val="003C3846"/>
    <w:rsid w:val="003C3B4D"/>
    <w:rsid w:val="003C3D01"/>
    <w:rsid w:val="003C3DBF"/>
    <w:rsid w:val="003C4316"/>
    <w:rsid w:val="003C456B"/>
    <w:rsid w:val="003C50E6"/>
    <w:rsid w:val="003C5B6A"/>
    <w:rsid w:val="003C64AE"/>
    <w:rsid w:val="003C6A8F"/>
    <w:rsid w:val="003C6F4A"/>
    <w:rsid w:val="003C70C7"/>
    <w:rsid w:val="003D039F"/>
    <w:rsid w:val="003D0A33"/>
    <w:rsid w:val="003D0BDD"/>
    <w:rsid w:val="003D1A18"/>
    <w:rsid w:val="003D1A34"/>
    <w:rsid w:val="003D41F6"/>
    <w:rsid w:val="003D44E6"/>
    <w:rsid w:val="003D6CEE"/>
    <w:rsid w:val="003D6D4F"/>
    <w:rsid w:val="003E07E7"/>
    <w:rsid w:val="003E090D"/>
    <w:rsid w:val="003E19D5"/>
    <w:rsid w:val="003E1CCD"/>
    <w:rsid w:val="003E26B2"/>
    <w:rsid w:val="003E285E"/>
    <w:rsid w:val="003E2C9C"/>
    <w:rsid w:val="003E33C7"/>
    <w:rsid w:val="003E460C"/>
    <w:rsid w:val="003E48C0"/>
    <w:rsid w:val="003E515C"/>
    <w:rsid w:val="003E527B"/>
    <w:rsid w:val="003E53DA"/>
    <w:rsid w:val="003E5CB8"/>
    <w:rsid w:val="003E5E25"/>
    <w:rsid w:val="003E6571"/>
    <w:rsid w:val="003E6A52"/>
    <w:rsid w:val="003E7563"/>
    <w:rsid w:val="003E78F4"/>
    <w:rsid w:val="003E7E0C"/>
    <w:rsid w:val="003E7FD8"/>
    <w:rsid w:val="003F0BBB"/>
    <w:rsid w:val="003F0E47"/>
    <w:rsid w:val="003F1C1B"/>
    <w:rsid w:val="003F1D23"/>
    <w:rsid w:val="003F20ED"/>
    <w:rsid w:val="003F33B3"/>
    <w:rsid w:val="003F3481"/>
    <w:rsid w:val="003F35E8"/>
    <w:rsid w:val="003F47E4"/>
    <w:rsid w:val="003F5F7B"/>
    <w:rsid w:val="003F6649"/>
    <w:rsid w:val="003F6B70"/>
    <w:rsid w:val="003F6DC0"/>
    <w:rsid w:val="003F7245"/>
    <w:rsid w:val="003F7416"/>
    <w:rsid w:val="003F7EA9"/>
    <w:rsid w:val="004001DD"/>
    <w:rsid w:val="00400256"/>
    <w:rsid w:val="004015FB"/>
    <w:rsid w:val="00401D67"/>
    <w:rsid w:val="004020BD"/>
    <w:rsid w:val="0040229A"/>
    <w:rsid w:val="004026D9"/>
    <w:rsid w:val="004028A4"/>
    <w:rsid w:val="00404DB5"/>
    <w:rsid w:val="00406042"/>
    <w:rsid w:val="00406810"/>
    <w:rsid w:val="0040711A"/>
    <w:rsid w:val="0040744E"/>
    <w:rsid w:val="004076A1"/>
    <w:rsid w:val="00407C9C"/>
    <w:rsid w:val="004106FD"/>
    <w:rsid w:val="004141B3"/>
    <w:rsid w:val="0041437A"/>
    <w:rsid w:val="0041495E"/>
    <w:rsid w:val="00414B19"/>
    <w:rsid w:val="004153BE"/>
    <w:rsid w:val="004153C7"/>
    <w:rsid w:val="00415A00"/>
    <w:rsid w:val="00415FC5"/>
    <w:rsid w:val="004167C2"/>
    <w:rsid w:val="00416A0F"/>
    <w:rsid w:val="00417C27"/>
    <w:rsid w:val="00420244"/>
    <w:rsid w:val="00420346"/>
    <w:rsid w:val="0042088A"/>
    <w:rsid w:val="00421968"/>
    <w:rsid w:val="00421F6E"/>
    <w:rsid w:val="004223D1"/>
    <w:rsid w:val="004223FD"/>
    <w:rsid w:val="00422752"/>
    <w:rsid w:val="004231E5"/>
    <w:rsid w:val="00423533"/>
    <w:rsid w:val="00423553"/>
    <w:rsid w:val="004243AD"/>
    <w:rsid w:val="00424ACA"/>
    <w:rsid w:val="004254C1"/>
    <w:rsid w:val="0042555B"/>
    <w:rsid w:val="00426D68"/>
    <w:rsid w:val="00427375"/>
    <w:rsid w:val="00427786"/>
    <w:rsid w:val="00427D21"/>
    <w:rsid w:val="0043013F"/>
    <w:rsid w:val="00430343"/>
    <w:rsid w:val="00430D00"/>
    <w:rsid w:val="00431010"/>
    <w:rsid w:val="0043104B"/>
    <w:rsid w:val="00432863"/>
    <w:rsid w:val="0043357F"/>
    <w:rsid w:val="00433908"/>
    <w:rsid w:val="00434585"/>
    <w:rsid w:val="00434B84"/>
    <w:rsid w:val="00434C54"/>
    <w:rsid w:val="00434CF8"/>
    <w:rsid w:val="00434DAB"/>
    <w:rsid w:val="00434F63"/>
    <w:rsid w:val="0043650C"/>
    <w:rsid w:val="004369A8"/>
    <w:rsid w:val="004372DE"/>
    <w:rsid w:val="00441031"/>
    <w:rsid w:val="00441068"/>
    <w:rsid w:val="00441460"/>
    <w:rsid w:val="0044340D"/>
    <w:rsid w:val="00443A3B"/>
    <w:rsid w:val="00443C1E"/>
    <w:rsid w:val="004440D6"/>
    <w:rsid w:val="0044607E"/>
    <w:rsid w:val="004463E5"/>
    <w:rsid w:val="004466CE"/>
    <w:rsid w:val="00447193"/>
    <w:rsid w:val="00447D0B"/>
    <w:rsid w:val="00450549"/>
    <w:rsid w:val="00451672"/>
    <w:rsid w:val="00451BF8"/>
    <w:rsid w:val="0045408A"/>
    <w:rsid w:val="00454354"/>
    <w:rsid w:val="00454AD5"/>
    <w:rsid w:val="004554D1"/>
    <w:rsid w:val="004554E9"/>
    <w:rsid w:val="004560FA"/>
    <w:rsid w:val="004562A6"/>
    <w:rsid w:val="004569B3"/>
    <w:rsid w:val="00457312"/>
    <w:rsid w:val="00457354"/>
    <w:rsid w:val="00460431"/>
    <w:rsid w:val="00460A9B"/>
    <w:rsid w:val="00460D26"/>
    <w:rsid w:val="004614F9"/>
    <w:rsid w:val="004615D2"/>
    <w:rsid w:val="004629E6"/>
    <w:rsid w:val="00463464"/>
    <w:rsid w:val="00464990"/>
    <w:rsid w:val="00465891"/>
    <w:rsid w:val="00465AB9"/>
    <w:rsid w:val="00466214"/>
    <w:rsid w:val="00467522"/>
    <w:rsid w:val="0046799C"/>
    <w:rsid w:val="0047182D"/>
    <w:rsid w:val="00471D19"/>
    <w:rsid w:val="00471DAF"/>
    <w:rsid w:val="004727FF"/>
    <w:rsid w:val="00472EAB"/>
    <w:rsid w:val="004731D6"/>
    <w:rsid w:val="0047357E"/>
    <w:rsid w:val="004747AC"/>
    <w:rsid w:val="00474904"/>
    <w:rsid w:val="00475115"/>
    <w:rsid w:val="00475643"/>
    <w:rsid w:val="004756E8"/>
    <w:rsid w:val="00475B2B"/>
    <w:rsid w:val="00475C50"/>
    <w:rsid w:val="00475CA4"/>
    <w:rsid w:val="00476442"/>
    <w:rsid w:val="00476549"/>
    <w:rsid w:val="00476605"/>
    <w:rsid w:val="00476DF8"/>
    <w:rsid w:val="004776A0"/>
    <w:rsid w:val="00477B56"/>
    <w:rsid w:val="00481799"/>
    <w:rsid w:val="00483BB1"/>
    <w:rsid w:val="004845BF"/>
    <w:rsid w:val="00484A15"/>
    <w:rsid w:val="00484AD3"/>
    <w:rsid w:val="00484D65"/>
    <w:rsid w:val="00484F41"/>
    <w:rsid w:val="00485250"/>
    <w:rsid w:val="00486151"/>
    <w:rsid w:val="0048629D"/>
    <w:rsid w:val="0048682A"/>
    <w:rsid w:val="00486954"/>
    <w:rsid w:val="00486CB2"/>
    <w:rsid w:val="0048739F"/>
    <w:rsid w:val="004876B0"/>
    <w:rsid w:val="00487724"/>
    <w:rsid w:val="00487B5B"/>
    <w:rsid w:val="004900B4"/>
    <w:rsid w:val="00491AEA"/>
    <w:rsid w:val="0049209C"/>
    <w:rsid w:val="004926E5"/>
    <w:rsid w:val="00493374"/>
    <w:rsid w:val="00493B9D"/>
    <w:rsid w:val="00494A40"/>
    <w:rsid w:val="00496334"/>
    <w:rsid w:val="0049650D"/>
    <w:rsid w:val="004977AC"/>
    <w:rsid w:val="004A0370"/>
    <w:rsid w:val="004A051E"/>
    <w:rsid w:val="004A138E"/>
    <w:rsid w:val="004A3254"/>
    <w:rsid w:val="004A4D33"/>
    <w:rsid w:val="004A4E8F"/>
    <w:rsid w:val="004A57A3"/>
    <w:rsid w:val="004A5B95"/>
    <w:rsid w:val="004A5EF0"/>
    <w:rsid w:val="004A700A"/>
    <w:rsid w:val="004A7AF7"/>
    <w:rsid w:val="004B0C5C"/>
    <w:rsid w:val="004B1BAB"/>
    <w:rsid w:val="004B1DF5"/>
    <w:rsid w:val="004B2249"/>
    <w:rsid w:val="004B2493"/>
    <w:rsid w:val="004B2F9C"/>
    <w:rsid w:val="004B3025"/>
    <w:rsid w:val="004B3171"/>
    <w:rsid w:val="004B3FF5"/>
    <w:rsid w:val="004B5194"/>
    <w:rsid w:val="004B5D55"/>
    <w:rsid w:val="004B606B"/>
    <w:rsid w:val="004B7388"/>
    <w:rsid w:val="004B7B4E"/>
    <w:rsid w:val="004B7D49"/>
    <w:rsid w:val="004C0C24"/>
    <w:rsid w:val="004C0F0A"/>
    <w:rsid w:val="004C0F54"/>
    <w:rsid w:val="004C1084"/>
    <w:rsid w:val="004C1B2D"/>
    <w:rsid w:val="004C2054"/>
    <w:rsid w:val="004C3F85"/>
    <w:rsid w:val="004C439D"/>
    <w:rsid w:val="004C469A"/>
    <w:rsid w:val="004C61E0"/>
    <w:rsid w:val="004C64E2"/>
    <w:rsid w:val="004C687E"/>
    <w:rsid w:val="004C6BED"/>
    <w:rsid w:val="004D22F8"/>
    <w:rsid w:val="004D2A8D"/>
    <w:rsid w:val="004D3F9C"/>
    <w:rsid w:val="004D41FC"/>
    <w:rsid w:val="004D4467"/>
    <w:rsid w:val="004D544A"/>
    <w:rsid w:val="004D5858"/>
    <w:rsid w:val="004D5AA9"/>
    <w:rsid w:val="004D5CA8"/>
    <w:rsid w:val="004D5DC8"/>
    <w:rsid w:val="004D5E84"/>
    <w:rsid w:val="004D609F"/>
    <w:rsid w:val="004D7456"/>
    <w:rsid w:val="004D7AFE"/>
    <w:rsid w:val="004E0423"/>
    <w:rsid w:val="004E08F1"/>
    <w:rsid w:val="004E09E7"/>
    <w:rsid w:val="004E108A"/>
    <w:rsid w:val="004E1DC8"/>
    <w:rsid w:val="004E2255"/>
    <w:rsid w:val="004E36B7"/>
    <w:rsid w:val="004E39E1"/>
    <w:rsid w:val="004E3BA4"/>
    <w:rsid w:val="004E3DDC"/>
    <w:rsid w:val="004E447E"/>
    <w:rsid w:val="004E4FD3"/>
    <w:rsid w:val="004E4FE7"/>
    <w:rsid w:val="004E5651"/>
    <w:rsid w:val="004E65A0"/>
    <w:rsid w:val="004E6A9C"/>
    <w:rsid w:val="004E6B96"/>
    <w:rsid w:val="004E7602"/>
    <w:rsid w:val="004E7915"/>
    <w:rsid w:val="004E7AB1"/>
    <w:rsid w:val="004E7B19"/>
    <w:rsid w:val="004E7BB7"/>
    <w:rsid w:val="004E7EDA"/>
    <w:rsid w:val="004F0195"/>
    <w:rsid w:val="004F0771"/>
    <w:rsid w:val="004F0E66"/>
    <w:rsid w:val="004F1624"/>
    <w:rsid w:val="004F2ACC"/>
    <w:rsid w:val="004F2F0E"/>
    <w:rsid w:val="004F3D3D"/>
    <w:rsid w:val="004F5569"/>
    <w:rsid w:val="004F5D37"/>
    <w:rsid w:val="004F63BB"/>
    <w:rsid w:val="004F6671"/>
    <w:rsid w:val="004F67C1"/>
    <w:rsid w:val="004F6F74"/>
    <w:rsid w:val="00500A87"/>
    <w:rsid w:val="00502598"/>
    <w:rsid w:val="00502F11"/>
    <w:rsid w:val="00503E44"/>
    <w:rsid w:val="00504340"/>
    <w:rsid w:val="00504A4F"/>
    <w:rsid w:val="00505FD7"/>
    <w:rsid w:val="0050647C"/>
    <w:rsid w:val="00507E86"/>
    <w:rsid w:val="005100CE"/>
    <w:rsid w:val="005119FA"/>
    <w:rsid w:val="00511E33"/>
    <w:rsid w:val="00512944"/>
    <w:rsid w:val="00514318"/>
    <w:rsid w:val="00514FD5"/>
    <w:rsid w:val="00515041"/>
    <w:rsid w:val="00515283"/>
    <w:rsid w:val="00516B96"/>
    <w:rsid w:val="00516D5C"/>
    <w:rsid w:val="005208F3"/>
    <w:rsid w:val="0052107C"/>
    <w:rsid w:val="005221AB"/>
    <w:rsid w:val="005224B7"/>
    <w:rsid w:val="005228CB"/>
    <w:rsid w:val="005234D1"/>
    <w:rsid w:val="00523768"/>
    <w:rsid w:val="00523A71"/>
    <w:rsid w:val="005240F5"/>
    <w:rsid w:val="00524544"/>
    <w:rsid w:val="00524916"/>
    <w:rsid w:val="00525756"/>
    <w:rsid w:val="00527FC7"/>
    <w:rsid w:val="005300BF"/>
    <w:rsid w:val="0053037A"/>
    <w:rsid w:val="00531B17"/>
    <w:rsid w:val="00531FE3"/>
    <w:rsid w:val="005323FC"/>
    <w:rsid w:val="005326EC"/>
    <w:rsid w:val="00534C53"/>
    <w:rsid w:val="00535D63"/>
    <w:rsid w:val="00535E2E"/>
    <w:rsid w:val="00536922"/>
    <w:rsid w:val="00536A48"/>
    <w:rsid w:val="00536B7A"/>
    <w:rsid w:val="005372EE"/>
    <w:rsid w:val="00537927"/>
    <w:rsid w:val="00540471"/>
    <w:rsid w:val="005407A8"/>
    <w:rsid w:val="00540ACA"/>
    <w:rsid w:val="00542244"/>
    <w:rsid w:val="00543697"/>
    <w:rsid w:val="00543F2B"/>
    <w:rsid w:val="00543FCE"/>
    <w:rsid w:val="005443FB"/>
    <w:rsid w:val="00544726"/>
    <w:rsid w:val="00544811"/>
    <w:rsid w:val="0054501F"/>
    <w:rsid w:val="005471F6"/>
    <w:rsid w:val="005475FD"/>
    <w:rsid w:val="00547833"/>
    <w:rsid w:val="005500D0"/>
    <w:rsid w:val="0055061F"/>
    <w:rsid w:val="00550A24"/>
    <w:rsid w:val="00550C8A"/>
    <w:rsid w:val="00551B54"/>
    <w:rsid w:val="00552FA5"/>
    <w:rsid w:val="00554100"/>
    <w:rsid w:val="00554C2C"/>
    <w:rsid w:val="00555A43"/>
    <w:rsid w:val="0055675D"/>
    <w:rsid w:val="00556C58"/>
    <w:rsid w:val="005570A0"/>
    <w:rsid w:val="005575E5"/>
    <w:rsid w:val="00560912"/>
    <w:rsid w:val="00561FF3"/>
    <w:rsid w:val="00562097"/>
    <w:rsid w:val="00562D29"/>
    <w:rsid w:val="005630F0"/>
    <w:rsid w:val="0056348D"/>
    <w:rsid w:val="005634D4"/>
    <w:rsid w:val="005642E9"/>
    <w:rsid w:val="005647F0"/>
    <w:rsid w:val="00564EB1"/>
    <w:rsid w:val="00565C6D"/>
    <w:rsid w:val="0056620A"/>
    <w:rsid w:val="005669F8"/>
    <w:rsid w:val="00566A21"/>
    <w:rsid w:val="00566C1A"/>
    <w:rsid w:val="00566E17"/>
    <w:rsid w:val="00567F6A"/>
    <w:rsid w:val="00570080"/>
    <w:rsid w:val="005713D8"/>
    <w:rsid w:val="00571A35"/>
    <w:rsid w:val="00571D5F"/>
    <w:rsid w:val="0057281A"/>
    <w:rsid w:val="00572B4C"/>
    <w:rsid w:val="00572CB7"/>
    <w:rsid w:val="00573511"/>
    <w:rsid w:val="005745D7"/>
    <w:rsid w:val="00574D1F"/>
    <w:rsid w:val="00575287"/>
    <w:rsid w:val="00575F59"/>
    <w:rsid w:val="005762A5"/>
    <w:rsid w:val="005769F4"/>
    <w:rsid w:val="00576D16"/>
    <w:rsid w:val="00580901"/>
    <w:rsid w:val="00581C8E"/>
    <w:rsid w:val="00582298"/>
    <w:rsid w:val="005823F9"/>
    <w:rsid w:val="00582CB6"/>
    <w:rsid w:val="005833BE"/>
    <w:rsid w:val="00583CC3"/>
    <w:rsid w:val="005843E1"/>
    <w:rsid w:val="00584DAC"/>
    <w:rsid w:val="005871CF"/>
    <w:rsid w:val="00587F20"/>
    <w:rsid w:val="005908BD"/>
    <w:rsid w:val="0059097C"/>
    <w:rsid w:val="00590EE5"/>
    <w:rsid w:val="0059191A"/>
    <w:rsid w:val="00592403"/>
    <w:rsid w:val="00592D5B"/>
    <w:rsid w:val="005933BE"/>
    <w:rsid w:val="00593679"/>
    <w:rsid w:val="00596245"/>
    <w:rsid w:val="005962D1"/>
    <w:rsid w:val="005965F8"/>
    <w:rsid w:val="00596E1E"/>
    <w:rsid w:val="005973D4"/>
    <w:rsid w:val="00597552"/>
    <w:rsid w:val="00597CDB"/>
    <w:rsid w:val="005A0267"/>
    <w:rsid w:val="005A05A8"/>
    <w:rsid w:val="005A09FB"/>
    <w:rsid w:val="005A1B3D"/>
    <w:rsid w:val="005A266E"/>
    <w:rsid w:val="005A2ED4"/>
    <w:rsid w:val="005A349F"/>
    <w:rsid w:val="005A367E"/>
    <w:rsid w:val="005A391D"/>
    <w:rsid w:val="005A4C83"/>
    <w:rsid w:val="005A510D"/>
    <w:rsid w:val="005A6772"/>
    <w:rsid w:val="005A713A"/>
    <w:rsid w:val="005A7371"/>
    <w:rsid w:val="005A741A"/>
    <w:rsid w:val="005A7835"/>
    <w:rsid w:val="005A7AAF"/>
    <w:rsid w:val="005A7C50"/>
    <w:rsid w:val="005B09F7"/>
    <w:rsid w:val="005B17D1"/>
    <w:rsid w:val="005B1DDF"/>
    <w:rsid w:val="005B3908"/>
    <w:rsid w:val="005B3CA2"/>
    <w:rsid w:val="005B4365"/>
    <w:rsid w:val="005B4CA8"/>
    <w:rsid w:val="005B5BF3"/>
    <w:rsid w:val="005B6136"/>
    <w:rsid w:val="005B6368"/>
    <w:rsid w:val="005B7897"/>
    <w:rsid w:val="005C0D0D"/>
    <w:rsid w:val="005C10B9"/>
    <w:rsid w:val="005C3091"/>
    <w:rsid w:val="005C3944"/>
    <w:rsid w:val="005C407C"/>
    <w:rsid w:val="005C4B75"/>
    <w:rsid w:val="005C5FD5"/>
    <w:rsid w:val="005C62E5"/>
    <w:rsid w:val="005C6A2D"/>
    <w:rsid w:val="005C6ACE"/>
    <w:rsid w:val="005C7417"/>
    <w:rsid w:val="005C7779"/>
    <w:rsid w:val="005C7C06"/>
    <w:rsid w:val="005D085A"/>
    <w:rsid w:val="005D121B"/>
    <w:rsid w:val="005D2051"/>
    <w:rsid w:val="005D2468"/>
    <w:rsid w:val="005D2703"/>
    <w:rsid w:val="005D3032"/>
    <w:rsid w:val="005D3277"/>
    <w:rsid w:val="005D3B39"/>
    <w:rsid w:val="005D3D88"/>
    <w:rsid w:val="005D536B"/>
    <w:rsid w:val="005D5DE6"/>
    <w:rsid w:val="005D64D5"/>
    <w:rsid w:val="005D74DC"/>
    <w:rsid w:val="005D753D"/>
    <w:rsid w:val="005D7D5A"/>
    <w:rsid w:val="005E0E33"/>
    <w:rsid w:val="005E19D0"/>
    <w:rsid w:val="005E1B5A"/>
    <w:rsid w:val="005E1C32"/>
    <w:rsid w:val="005E1EF2"/>
    <w:rsid w:val="005E2002"/>
    <w:rsid w:val="005E33F5"/>
    <w:rsid w:val="005E4447"/>
    <w:rsid w:val="005E4C76"/>
    <w:rsid w:val="005E5903"/>
    <w:rsid w:val="005E5BEA"/>
    <w:rsid w:val="005E5EC7"/>
    <w:rsid w:val="005E6AFC"/>
    <w:rsid w:val="005E71BF"/>
    <w:rsid w:val="005E79E8"/>
    <w:rsid w:val="005F0339"/>
    <w:rsid w:val="005F19F8"/>
    <w:rsid w:val="005F2439"/>
    <w:rsid w:val="005F34B6"/>
    <w:rsid w:val="005F5418"/>
    <w:rsid w:val="005F5F05"/>
    <w:rsid w:val="005F6120"/>
    <w:rsid w:val="005F6666"/>
    <w:rsid w:val="005F6DC4"/>
    <w:rsid w:val="005F76E3"/>
    <w:rsid w:val="005F7AE5"/>
    <w:rsid w:val="0060130D"/>
    <w:rsid w:val="00601B43"/>
    <w:rsid w:val="00602D03"/>
    <w:rsid w:val="00602FF3"/>
    <w:rsid w:val="00603099"/>
    <w:rsid w:val="00603566"/>
    <w:rsid w:val="0060477B"/>
    <w:rsid w:val="00604BED"/>
    <w:rsid w:val="00604DCE"/>
    <w:rsid w:val="00605580"/>
    <w:rsid w:val="006062ED"/>
    <w:rsid w:val="00606413"/>
    <w:rsid w:val="0060644A"/>
    <w:rsid w:val="006067DC"/>
    <w:rsid w:val="00606ED8"/>
    <w:rsid w:val="00607054"/>
    <w:rsid w:val="006070BD"/>
    <w:rsid w:val="00607362"/>
    <w:rsid w:val="00607B7F"/>
    <w:rsid w:val="00607D10"/>
    <w:rsid w:val="00607E08"/>
    <w:rsid w:val="00607FC8"/>
    <w:rsid w:val="006102B4"/>
    <w:rsid w:val="00610426"/>
    <w:rsid w:val="0061107A"/>
    <w:rsid w:val="00611E56"/>
    <w:rsid w:val="00612342"/>
    <w:rsid w:val="006123E3"/>
    <w:rsid w:val="006123F1"/>
    <w:rsid w:val="006125F0"/>
    <w:rsid w:val="00612DD5"/>
    <w:rsid w:val="00613126"/>
    <w:rsid w:val="00613826"/>
    <w:rsid w:val="00613A28"/>
    <w:rsid w:val="00613DF9"/>
    <w:rsid w:val="00613F92"/>
    <w:rsid w:val="006148E4"/>
    <w:rsid w:val="00614DE5"/>
    <w:rsid w:val="006154E7"/>
    <w:rsid w:val="0061551A"/>
    <w:rsid w:val="006157CC"/>
    <w:rsid w:val="00616BCC"/>
    <w:rsid w:val="006205E2"/>
    <w:rsid w:val="00620DA1"/>
    <w:rsid w:val="006217B4"/>
    <w:rsid w:val="00622EF5"/>
    <w:rsid w:val="00623300"/>
    <w:rsid w:val="00623DB1"/>
    <w:rsid w:val="00624FDA"/>
    <w:rsid w:val="00625CFC"/>
    <w:rsid w:val="006267AE"/>
    <w:rsid w:val="0062708E"/>
    <w:rsid w:val="0062726A"/>
    <w:rsid w:val="0062770D"/>
    <w:rsid w:val="00627B34"/>
    <w:rsid w:val="00627D6B"/>
    <w:rsid w:val="00632B83"/>
    <w:rsid w:val="006332B1"/>
    <w:rsid w:val="00633772"/>
    <w:rsid w:val="00633F17"/>
    <w:rsid w:val="00634B56"/>
    <w:rsid w:val="00634DFE"/>
    <w:rsid w:val="00634F7B"/>
    <w:rsid w:val="006351EA"/>
    <w:rsid w:val="006354FA"/>
    <w:rsid w:val="00635FE0"/>
    <w:rsid w:val="00636945"/>
    <w:rsid w:val="00636D9D"/>
    <w:rsid w:val="00637449"/>
    <w:rsid w:val="0064033D"/>
    <w:rsid w:val="006407EA"/>
    <w:rsid w:val="00640A16"/>
    <w:rsid w:val="0064100E"/>
    <w:rsid w:val="0064129F"/>
    <w:rsid w:val="00642434"/>
    <w:rsid w:val="0064249D"/>
    <w:rsid w:val="00642A4E"/>
    <w:rsid w:val="00643260"/>
    <w:rsid w:val="006438B5"/>
    <w:rsid w:val="00644138"/>
    <w:rsid w:val="006454EC"/>
    <w:rsid w:val="0064774E"/>
    <w:rsid w:val="00650E2B"/>
    <w:rsid w:val="00650FE5"/>
    <w:rsid w:val="00651B39"/>
    <w:rsid w:val="006531BE"/>
    <w:rsid w:val="006550D3"/>
    <w:rsid w:val="00656633"/>
    <w:rsid w:val="00657750"/>
    <w:rsid w:val="006603BB"/>
    <w:rsid w:val="00660764"/>
    <w:rsid w:val="00661CB6"/>
    <w:rsid w:val="006621E4"/>
    <w:rsid w:val="00662B8C"/>
    <w:rsid w:val="006631A1"/>
    <w:rsid w:val="00663792"/>
    <w:rsid w:val="0066396D"/>
    <w:rsid w:val="00663DE8"/>
    <w:rsid w:val="00664F2E"/>
    <w:rsid w:val="0066630D"/>
    <w:rsid w:val="00666424"/>
    <w:rsid w:val="00666B56"/>
    <w:rsid w:val="00666BAF"/>
    <w:rsid w:val="00666EF4"/>
    <w:rsid w:val="00667045"/>
    <w:rsid w:val="0066764A"/>
    <w:rsid w:val="0067378E"/>
    <w:rsid w:val="0067514C"/>
    <w:rsid w:val="00675937"/>
    <w:rsid w:val="0067615F"/>
    <w:rsid w:val="00676F4F"/>
    <w:rsid w:val="006772D0"/>
    <w:rsid w:val="00677877"/>
    <w:rsid w:val="006817CD"/>
    <w:rsid w:val="00681D37"/>
    <w:rsid w:val="00681E5A"/>
    <w:rsid w:val="00682AB3"/>
    <w:rsid w:val="006835EE"/>
    <w:rsid w:val="00683884"/>
    <w:rsid w:val="00683A28"/>
    <w:rsid w:val="00683B8B"/>
    <w:rsid w:val="006874C3"/>
    <w:rsid w:val="0069009F"/>
    <w:rsid w:val="0069048B"/>
    <w:rsid w:val="00691490"/>
    <w:rsid w:val="00693153"/>
    <w:rsid w:val="006940D6"/>
    <w:rsid w:val="00694762"/>
    <w:rsid w:val="00694BB0"/>
    <w:rsid w:val="006951E2"/>
    <w:rsid w:val="00695544"/>
    <w:rsid w:val="00696C7E"/>
    <w:rsid w:val="006A0194"/>
    <w:rsid w:val="006A11D2"/>
    <w:rsid w:val="006A1211"/>
    <w:rsid w:val="006A1BEB"/>
    <w:rsid w:val="006A22E6"/>
    <w:rsid w:val="006A2753"/>
    <w:rsid w:val="006A2E2E"/>
    <w:rsid w:val="006A30B6"/>
    <w:rsid w:val="006A3413"/>
    <w:rsid w:val="006A39D2"/>
    <w:rsid w:val="006A4702"/>
    <w:rsid w:val="006A4A6E"/>
    <w:rsid w:val="006A50D2"/>
    <w:rsid w:val="006A5160"/>
    <w:rsid w:val="006A51A2"/>
    <w:rsid w:val="006A5B46"/>
    <w:rsid w:val="006A6A8A"/>
    <w:rsid w:val="006A7198"/>
    <w:rsid w:val="006A750B"/>
    <w:rsid w:val="006A7670"/>
    <w:rsid w:val="006A77B7"/>
    <w:rsid w:val="006A77E6"/>
    <w:rsid w:val="006A7AE3"/>
    <w:rsid w:val="006A7C7F"/>
    <w:rsid w:val="006A7EB1"/>
    <w:rsid w:val="006B11FF"/>
    <w:rsid w:val="006B208C"/>
    <w:rsid w:val="006B21ED"/>
    <w:rsid w:val="006B2352"/>
    <w:rsid w:val="006B2364"/>
    <w:rsid w:val="006B351E"/>
    <w:rsid w:val="006B3AB0"/>
    <w:rsid w:val="006B3CDA"/>
    <w:rsid w:val="006B42A5"/>
    <w:rsid w:val="006B5237"/>
    <w:rsid w:val="006B561E"/>
    <w:rsid w:val="006B7E63"/>
    <w:rsid w:val="006C01BF"/>
    <w:rsid w:val="006C039D"/>
    <w:rsid w:val="006C0758"/>
    <w:rsid w:val="006C14A8"/>
    <w:rsid w:val="006C1EBD"/>
    <w:rsid w:val="006C1F4C"/>
    <w:rsid w:val="006C2644"/>
    <w:rsid w:val="006C332F"/>
    <w:rsid w:val="006C368B"/>
    <w:rsid w:val="006C38BE"/>
    <w:rsid w:val="006C433C"/>
    <w:rsid w:val="006C4FD1"/>
    <w:rsid w:val="006C636C"/>
    <w:rsid w:val="006C679D"/>
    <w:rsid w:val="006C6E04"/>
    <w:rsid w:val="006C7CC5"/>
    <w:rsid w:val="006C7F3C"/>
    <w:rsid w:val="006D098A"/>
    <w:rsid w:val="006D104A"/>
    <w:rsid w:val="006D1370"/>
    <w:rsid w:val="006D2194"/>
    <w:rsid w:val="006D2375"/>
    <w:rsid w:val="006D2528"/>
    <w:rsid w:val="006D2BC6"/>
    <w:rsid w:val="006D2BF5"/>
    <w:rsid w:val="006D2C2B"/>
    <w:rsid w:val="006D352D"/>
    <w:rsid w:val="006D3653"/>
    <w:rsid w:val="006D492A"/>
    <w:rsid w:val="006D4DEB"/>
    <w:rsid w:val="006D5F6C"/>
    <w:rsid w:val="006D7235"/>
    <w:rsid w:val="006D7303"/>
    <w:rsid w:val="006D7C7D"/>
    <w:rsid w:val="006E0128"/>
    <w:rsid w:val="006E0505"/>
    <w:rsid w:val="006E1335"/>
    <w:rsid w:val="006E1C30"/>
    <w:rsid w:val="006E1D0B"/>
    <w:rsid w:val="006E28D7"/>
    <w:rsid w:val="006E300E"/>
    <w:rsid w:val="006E30AF"/>
    <w:rsid w:val="006E3589"/>
    <w:rsid w:val="006E4100"/>
    <w:rsid w:val="006E4215"/>
    <w:rsid w:val="006E7774"/>
    <w:rsid w:val="006F0490"/>
    <w:rsid w:val="006F0D41"/>
    <w:rsid w:val="006F0F85"/>
    <w:rsid w:val="006F1005"/>
    <w:rsid w:val="006F14F7"/>
    <w:rsid w:val="006F2591"/>
    <w:rsid w:val="006F2767"/>
    <w:rsid w:val="006F317D"/>
    <w:rsid w:val="006F38E9"/>
    <w:rsid w:val="006F4AE2"/>
    <w:rsid w:val="006F5034"/>
    <w:rsid w:val="006F6A81"/>
    <w:rsid w:val="006F6A87"/>
    <w:rsid w:val="006F72DF"/>
    <w:rsid w:val="006F77B9"/>
    <w:rsid w:val="006F7A52"/>
    <w:rsid w:val="007007E1"/>
    <w:rsid w:val="00701146"/>
    <w:rsid w:val="007021D2"/>
    <w:rsid w:val="007025D4"/>
    <w:rsid w:val="00702C65"/>
    <w:rsid w:val="00702EE2"/>
    <w:rsid w:val="00702F5E"/>
    <w:rsid w:val="00703C0E"/>
    <w:rsid w:val="00703C8C"/>
    <w:rsid w:val="00703CEB"/>
    <w:rsid w:val="00704945"/>
    <w:rsid w:val="007051A9"/>
    <w:rsid w:val="00705D34"/>
    <w:rsid w:val="00706282"/>
    <w:rsid w:val="007065C3"/>
    <w:rsid w:val="00707919"/>
    <w:rsid w:val="00710233"/>
    <w:rsid w:val="00710836"/>
    <w:rsid w:val="00711816"/>
    <w:rsid w:val="00712019"/>
    <w:rsid w:val="00712BEB"/>
    <w:rsid w:val="00713DFA"/>
    <w:rsid w:val="007143B8"/>
    <w:rsid w:val="00714781"/>
    <w:rsid w:val="00714B37"/>
    <w:rsid w:val="00714C8F"/>
    <w:rsid w:val="00715C57"/>
    <w:rsid w:val="00715F6C"/>
    <w:rsid w:val="007165EF"/>
    <w:rsid w:val="00716818"/>
    <w:rsid w:val="00717609"/>
    <w:rsid w:val="007200E3"/>
    <w:rsid w:val="00720496"/>
    <w:rsid w:val="00720A7B"/>
    <w:rsid w:val="0072126D"/>
    <w:rsid w:val="00721692"/>
    <w:rsid w:val="007221C5"/>
    <w:rsid w:val="007224D9"/>
    <w:rsid w:val="00722A48"/>
    <w:rsid w:val="00722B70"/>
    <w:rsid w:val="00723A75"/>
    <w:rsid w:val="00723C9D"/>
    <w:rsid w:val="00724178"/>
    <w:rsid w:val="00724DB6"/>
    <w:rsid w:val="00727596"/>
    <w:rsid w:val="00727C9D"/>
    <w:rsid w:val="00730D8B"/>
    <w:rsid w:val="0073175F"/>
    <w:rsid w:val="00731FF9"/>
    <w:rsid w:val="00732AC4"/>
    <w:rsid w:val="007333A5"/>
    <w:rsid w:val="00733D91"/>
    <w:rsid w:val="0073556A"/>
    <w:rsid w:val="00735A47"/>
    <w:rsid w:val="00735CEC"/>
    <w:rsid w:val="00737F8C"/>
    <w:rsid w:val="00740BD3"/>
    <w:rsid w:val="00740DD0"/>
    <w:rsid w:val="00742192"/>
    <w:rsid w:val="0074266C"/>
    <w:rsid w:val="007429BD"/>
    <w:rsid w:val="00742F0C"/>
    <w:rsid w:val="00743469"/>
    <w:rsid w:val="00743E4B"/>
    <w:rsid w:val="00744C1D"/>
    <w:rsid w:val="00745C9E"/>
    <w:rsid w:val="00745D6F"/>
    <w:rsid w:val="0074614E"/>
    <w:rsid w:val="0074648C"/>
    <w:rsid w:val="00746C3C"/>
    <w:rsid w:val="00747435"/>
    <w:rsid w:val="00750107"/>
    <w:rsid w:val="00750FA6"/>
    <w:rsid w:val="0075123D"/>
    <w:rsid w:val="00751AD4"/>
    <w:rsid w:val="00751AFA"/>
    <w:rsid w:val="00751BDE"/>
    <w:rsid w:val="00751DCE"/>
    <w:rsid w:val="00751ED7"/>
    <w:rsid w:val="007528E7"/>
    <w:rsid w:val="00752A1B"/>
    <w:rsid w:val="00753068"/>
    <w:rsid w:val="0075370F"/>
    <w:rsid w:val="00754D95"/>
    <w:rsid w:val="00754F31"/>
    <w:rsid w:val="00755C46"/>
    <w:rsid w:val="00757797"/>
    <w:rsid w:val="00757CB4"/>
    <w:rsid w:val="007608A6"/>
    <w:rsid w:val="00760A76"/>
    <w:rsid w:val="00761410"/>
    <w:rsid w:val="007621EE"/>
    <w:rsid w:val="007627FF"/>
    <w:rsid w:val="00762AC0"/>
    <w:rsid w:val="00763793"/>
    <w:rsid w:val="00764669"/>
    <w:rsid w:val="00764B8E"/>
    <w:rsid w:val="00765E69"/>
    <w:rsid w:val="00766AFA"/>
    <w:rsid w:val="00767B31"/>
    <w:rsid w:val="00767B82"/>
    <w:rsid w:val="00770915"/>
    <w:rsid w:val="00770D7F"/>
    <w:rsid w:val="00771105"/>
    <w:rsid w:val="00771221"/>
    <w:rsid w:val="00771BCF"/>
    <w:rsid w:val="007724D8"/>
    <w:rsid w:val="00772C40"/>
    <w:rsid w:val="00773527"/>
    <w:rsid w:val="00773782"/>
    <w:rsid w:val="0077430D"/>
    <w:rsid w:val="0077436D"/>
    <w:rsid w:val="0077437F"/>
    <w:rsid w:val="00774A60"/>
    <w:rsid w:val="00774F23"/>
    <w:rsid w:val="0077528A"/>
    <w:rsid w:val="00775624"/>
    <w:rsid w:val="007758B3"/>
    <w:rsid w:val="007758E3"/>
    <w:rsid w:val="00775E9E"/>
    <w:rsid w:val="00776B98"/>
    <w:rsid w:val="00777094"/>
    <w:rsid w:val="00777C25"/>
    <w:rsid w:val="00780090"/>
    <w:rsid w:val="007807C7"/>
    <w:rsid w:val="00780B9C"/>
    <w:rsid w:val="00780FF9"/>
    <w:rsid w:val="00781287"/>
    <w:rsid w:val="007819E5"/>
    <w:rsid w:val="00782690"/>
    <w:rsid w:val="0078285D"/>
    <w:rsid w:val="00782995"/>
    <w:rsid w:val="00783836"/>
    <w:rsid w:val="00784198"/>
    <w:rsid w:val="00786A67"/>
    <w:rsid w:val="007876D2"/>
    <w:rsid w:val="00790AA4"/>
    <w:rsid w:val="007911AE"/>
    <w:rsid w:val="007912BB"/>
    <w:rsid w:val="00791F69"/>
    <w:rsid w:val="00793D42"/>
    <w:rsid w:val="007940D1"/>
    <w:rsid w:val="0079497A"/>
    <w:rsid w:val="00794DF6"/>
    <w:rsid w:val="007956DA"/>
    <w:rsid w:val="007957AD"/>
    <w:rsid w:val="00795925"/>
    <w:rsid w:val="00796445"/>
    <w:rsid w:val="00796B53"/>
    <w:rsid w:val="0079757D"/>
    <w:rsid w:val="007A049A"/>
    <w:rsid w:val="007A19BE"/>
    <w:rsid w:val="007A1DB7"/>
    <w:rsid w:val="007A1FBB"/>
    <w:rsid w:val="007A2AC8"/>
    <w:rsid w:val="007A2D78"/>
    <w:rsid w:val="007A3A1C"/>
    <w:rsid w:val="007A4336"/>
    <w:rsid w:val="007A4725"/>
    <w:rsid w:val="007A48D5"/>
    <w:rsid w:val="007A5F44"/>
    <w:rsid w:val="007A61F3"/>
    <w:rsid w:val="007A76C9"/>
    <w:rsid w:val="007B0097"/>
    <w:rsid w:val="007B069E"/>
    <w:rsid w:val="007B1117"/>
    <w:rsid w:val="007B161D"/>
    <w:rsid w:val="007B2E69"/>
    <w:rsid w:val="007B3693"/>
    <w:rsid w:val="007B3C2D"/>
    <w:rsid w:val="007B4971"/>
    <w:rsid w:val="007B4C78"/>
    <w:rsid w:val="007C0F30"/>
    <w:rsid w:val="007C160E"/>
    <w:rsid w:val="007C23BF"/>
    <w:rsid w:val="007C2839"/>
    <w:rsid w:val="007C2B58"/>
    <w:rsid w:val="007C42FF"/>
    <w:rsid w:val="007C4CC7"/>
    <w:rsid w:val="007C4F4B"/>
    <w:rsid w:val="007C59E3"/>
    <w:rsid w:val="007C77DE"/>
    <w:rsid w:val="007D0765"/>
    <w:rsid w:val="007D0977"/>
    <w:rsid w:val="007D0AD0"/>
    <w:rsid w:val="007D0CC1"/>
    <w:rsid w:val="007D1183"/>
    <w:rsid w:val="007D205E"/>
    <w:rsid w:val="007D205F"/>
    <w:rsid w:val="007D233B"/>
    <w:rsid w:val="007D25AD"/>
    <w:rsid w:val="007D2EF9"/>
    <w:rsid w:val="007D32D9"/>
    <w:rsid w:val="007D38F7"/>
    <w:rsid w:val="007D3991"/>
    <w:rsid w:val="007D3CE0"/>
    <w:rsid w:val="007D3D07"/>
    <w:rsid w:val="007D44CE"/>
    <w:rsid w:val="007D4F2C"/>
    <w:rsid w:val="007D5218"/>
    <w:rsid w:val="007D569D"/>
    <w:rsid w:val="007D722A"/>
    <w:rsid w:val="007D776C"/>
    <w:rsid w:val="007D7A35"/>
    <w:rsid w:val="007D7F08"/>
    <w:rsid w:val="007E018D"/>
    <w:rsid w:val="007E04DE"/>
    <w:rsid w:val="007E0859"/>
    <w:rsid w:val="007E14AB"/>
    <w:rsid w:val="007E15D6"/>
    <w:rsid w:val="007E1D41"/>
    <w:rsid w:val="007E1E01"/>
    <w:rsid w:val="007E1E38"/>
    <w:rsid w:val="007E2211"/>
    <w:rsid w:val="007E2B20"/>
    <w:rsid w:val="007E2EC2"/>
    <w:rsid w:val="007E347E"/>
    <w:rsid w:val="007E3B31"/>
    <w:rsid w:val="007E41D7"/>
    <w:rsid w:val="007E4966"/>
    <w:rsid w:val="007E4D38"/>
    <w:rsid w:val="007E5136"/>
    <w:rsid w:val="007E5642"/>
    <w:rsid w:val="007E62AF"/>
    <w:rsid w:val="007E7318"/>
    <w:rsid w:val="007E7367"/>
    <w:rsid w:val="007E75E1"/>
    <w:rsid w:val="007E7D11"/>
    <w:rsid w:val="007F098D"/>
    <w:rsid w:val="007F16E5"/>
    <w:rsid w:val="007F239B"/>
    <w:rsid w:val="007F2E94"/>
    <w:rsid w:val="007F3852"/>
    <w:rsid w:val="007F3DF7"/>
    <w:rsid w:val="007F4087"/>
    <w:rsid w:val="007F541E"/>
    <w:rsid w:val="007F6EED"/>
    <w:rsid w:val="007F7643"/>
    <w:rsid w:val="007F78AE"/>
    <w:rsid w:val="007F7C7C"/>
    <w:rsid w:val="008001FE"/>
    <w:rsid w:val="00800387"/>
    <w:rsid w:val="00800611"/>
    <w:rsid w:val="00800FDE"/>
    <w:rsid w:val="0080107F"/>
    <w:rsid w:val="008019CF"/>
    <w:rsid w:val="00802575"/>
    <w:rsid w:val="00802E33"/>
    <w:rsid w:val="0080321D"/>
    <w:rsid w:val="00803736"/>
    <w:rsid w:val="00804266"/>
    <w:rsid w:val="0080442C"/>
    <w:rsid w:val="008048C4"/>
    <w:rsid w:val="00805528"/>
    <w:rsid w:val="00805D16"/>
    <w:rsid w:val="00805F4C"/>
    <w:rsid w:val="00806120"/>
    <w:rsid w:val="0080689B"/>
    <w:rsid w:val="00806F95"/>
    <w:rsid w:val="0080714C"/>
    <w:rsid w:val="00807DB4"/>
    <w:rsid w:val="00807E7D"/>
    <w:rsid w:val="008106F3"/>
    <w:rsid w:val="0081096E"/>
    <w:rsid w:val="00810B4A"/>
    <w:rsid w:val="0081106C"/>
    <w:rsid w:val="008113CA"/>
    <w:rsid w:val="00812B83"/>
    <w:rsid w:val="008138C6"/>
    <w:rsid w:val="00813CD9"/>
    <w:rsid w:val="00813CEA"/>
    <w:rsid w:val="008141F2"/>
    <w:rsid w:val="00814D0E"/>
    <w:rsid w:val="00815230"/>
    <w:rsid w:val="00815B12"/>
    <w:rsid w:val="00815F14"/>
    <w:rsid w:val="00817C9B"/>
    <w:rsid w:val="0082028E"/>
    <w:rsid w:val="00820427"/>
    <w:rsid w:val="00821A17"/>
    <w:rsid w:val="00821B49"/>
    <w:rsid w:val="00821E29"/>
    <w:rsid w:val="00822023"/>
    <w:rsid w:val="00822144"/>
    <w:rsid w:val="008221BA"/>
    <w:rsid w:val="00822553"/>
    <w:rsid w:val="00822C3A"/>
    <w:rsid w:val="00822CCA"/>
    <w:rsid w:val="00823128"/>
    <w:rsid w:val="0082396F"/>
    <w:rsid w:val="008239C1"/>
    <w:rsid w:val="00823EC0"/>
    <w:rsid w:val="008254C9"/>
    <w:rsid w:val="00825B6F"/>
    <w:rsid w:val="00826055"/>
    <w:rsid w:val="008272A9"/>
    <w:rsid w:val="008273EC"/>
    <w:rsid w:val="00827754"/>
    <w:rsid w:val="00830161"/>
    <w:rsid w:val="00830DF0"/>
    <w:rsid w:val="00831471"/>
    <w:rsid w:val="00831675"/>
    <w:rsid w:val="00832B02"/>
    <w:rsid w:val="00834029"/>
    <w:rsid w:val="00834A07"/>
    <w:rsid w:val="00834A60"/>
    <w:rsid w:val="00834D98"/>
    <w:rsid w:val="00836176"/>
    <w:rsid w:val="0083693E"/>
    <w:rsid w:val="00836C25"/>
    <w:rsid w:val="0083772D"/>
    <w:rsid w:val="0084414F"/>
    <w:rsid w:val="00844D9B"/>
    <w:rsid w:val="008454E4"/>
    <w:rsid w:val="0084579D"/>
    <w:rsid w:val="00845B2E"/>
    <w:rsid w:val="008461A6"/>
    <w:rsid w:val="0084786B"/>
    <w:rsid w:val="0084788E"/>
    <w:rsid w:val="00850507"/>
    <w:rsid w:val="00850D53"/>
    <w:rsid w:val="00851B13"/>
    <w:rsid w:val="00852C36"/>
    <w:rsid w:val="00852CF1"/>
    <w:rsid w:val="00852D1C"/>
    <w:rsid w:val="0085306C"/>
    <w:rsid w:val="00853CF5"/>
    <w:rsid w:val="0085448E"/>
    <w:rsid w:val="00854645"/>
    <w:rsid w:val="00855976"/>
    <w:rsid w:val="00855A5F"/>
    <w:rsid w:val="00855A81"/>
    <w:rsid w:val="00855E8F"/>
    <w:rsid w:val="00856C27"/>
    <w:rsid w:val="00856C94"/>
    <w:rsid w:val="008571BB"/>
    <w:rsid w:val="00857459"/>
    <w:rsid w:val="00857544"/>
    <w:rsid w:val="00857FFE"/>
    <w:rsid w:val="008603BF"/>
    <w:rsid w:val="00860977"/>
    <w:rsid w:val="00861995"/>
    <w:rsid w:val="00861DC8"/>
    <w:rsid w:val="00862122"/>
    <w:rsid w:val="008621A8"/>
    <w:rsid w:val="00862958"/>
    <w:rsid w:val="00862FCE"/>
    <w:rsid w:val="008656D9"/>
    <w:rsid w:val="0086575D"/>
    <w:rsid w:val="00865F8E"/>
    <w:rsid w:val="008663B4"/>
    <w:rsid w:val="008700B0"/>
    <w:rsid w:val="008701C1"/>
    <w:rsid w:val="00870520"/>
    <w:rsid w:val="00870AA5"/>
    <w:rsid w:val="00870E6F"/>
    <w:rsid w:val="008714BF"/>
    <w:rsid w:val="008720B7"/>
    <w:rsid w:val="00872AE6"/>
    <w:rsid w:val="00872B1B"/>
    <w:rsid w:val="00873903"/>
    <w:rsid w:val="00874D48"/>
    <w:rsid w:val="0087776D"/>
    <w:rsid w:val="00880A02"/>
    <w:rsid w:val="008810D6"/>
    <w:rsid w:val="00882711"/>
    <w:rsid w:val="008837E0"/>
    <w:rsid w:val="0088467C"/>
    <w:rsid w:val="00884E1B"/>
    <w:rsid w:val="00884ED4"/>
    <w:rsid w:val="00885158"/>
    <w:rsid w:val="0088560C"/>
    <w:rsid w:val="00885BF8"/>
    <w:rsid w:val="00885EA3"/>
    <w:rsid w:val="0088615C"/>
    <w:rsid w:val="008867FC"/>
    <w:rsid w:val="00886896"/>
    <w:rsid w:val="00887C25"/>
    <w:rsid w:val="0089089D"/>
    <w:rsid w:val="00890F9E"/>
    <w:rsid w:val="00891D70"/>
    <w:rsid w:val="0089288F"/>
    <w:rsid w:val="00893668"/>
    <w:rsid w:val="0089399D"/>
    <w:rsid w:val="0089406B"/>
    <w:rsid w:val="008945CF"/>
    <w:rsid w:val="00896F9D"/>
    <w:rsid w:val="0089776D"/>
    <w:rsid w:val="008A041B"/>
    <w:rsid w:val="008A0BE8"/>
    <w:rsid w:val="008A163D"/>
    <w:rsid w:val="008A1684"/>
    <w:rsid w:val="008A1865"/>
    <w:rsid w:val="008A1914"/>
    <w:rsid w:val="008A251E"/>
    <w:rsid w:val="008A2A07"/>
    <w:rsid w:val="008A36CC"/>
    <w:rsid w:val="008A430D"/>
    <w:rsid w:val="008A4C4F"/>
    <w:rsid w:val="008A566C"/>
    <w:rsid w:val="008A5B37"/>
    <w:rsid w:val="008A6A44"/>
    <w:rsid w:val="008A75EC"/>
    <w:rsid w:val="008B0F94"/>
    <w:rsid w:val="008B18E4"/>
    <w:rsid w:val="008B20AA"/>
    <w:rsid w:val="008B2CFF"/>
    <w:rsid w:val="008B37F5"/>
    <w:rsid w:val="008B3A82"/>
    <w:rsid w:val="008B43B3"/>
    <w:rsid w:val="008B4D5F"/>
    <w:rsid w:val="008B4FFC"/>
    <w:rsid w:val="008B549A"/>
    <w:rsid w:val="008B56EF"/>
    <w:rsid w:val="008C00ED"/>
    <w:rsid w:val="008C031A"/>
    <w:rsid w:val="008C0AE0"/>
    <w:rsid w:val="008C1892"/>
    <w:rsid w:val="008C26DE"/>
    <w:rsid w:val="008C3260"/>
    <w:rsid w:val="008C3586"/>
    <w:rsid w:val="008C3665"/>
    <w:rsid w:val="008C42B5"/>
    <w:rsid w:val="008C49A7"/>
    <w:rsid w:val="008C4FF6"/>
    <w:rsid w:val="008C6508"/>
    <w:rsid w:val="008C65D6"/>
    <w:rsid w:val="008C66A1"/>
    <w:rsid w:val="008C6BB7"/>
    <w:rsid w:val="008C6DFB"/>
    <w:rsid w:val="008C6E1E"/>
    <w:rsid w:val="008C79C6"/>
    <w:rsid w:val="008D0335"/>
    <w:rsid w:val="008D03F8"/>
    <w:rsid w:val="008D044E"/>
    <w:rsid w:val="008D0F5C"/>
    <w:rsid w:val="008D10E0"/>
    <w:rsid w:val="008D10F6"/>
    <w:rsid w:val="008D1336"/>
    <w:rsid w:val="008D16F7"/>
    <w:rsid w:val="008D1746"/>
    <w:rsid w:val="008D1A0E"/>
    <w:rsid w:val="008D2F53"/>
    <w:rsid w:val="008D32F9"/>
    <w:rsid w:val="008D36C0"/>
    <w:rsid w:val="008D4E9F"/>
    <w:rsid w:val="008D5387"/>
    <w:rsid w:val="008D66F3"/>
    <w:rsid w:val="008D67AB"/>
    <w:rsid w:val="008D6A23"/>
    <w:rsid w:val="008D6E72"/>
    <w:rsid w:val="008D7ABF"/>
    <w:rsid w:val="008D7AFF"/>
    <w:rsid w:val="008E01E8"/>
    <w:rsid w:val="008E0BDA"/>
    <w:rsid w:val="008E0DEE"/>
    <w:rsid w:val="008E185F"/>
    <w:rsid w:val="008E240D"/>
    <w:rsid w:val="008E2CED"/>
    <w:rsid w:val="008E2DE2"/>
    <w:rsid w:val="008E3817"/>
    <w:rsid w:val="008E42BB"/>
    <w:rsid w:val="008E4D98"/>
    <w:rsid w:val="008E5397"/>
    <w:rsid w:val="008E5DC0"/>
    <w:rsid w:val="008E6751"/>
    <w:rsid w:val="008E687B"/>
    <w:rsid w:val="008E6B1F"/>
    <w:rsid w:val="008E78FC"/>
    <w:rsid w:val="008F2CB2"/>
    <w:rsid w:val="008F3392"/>
    <w:rsid w:val="008F3573"/>
    <w:rsid w:val="008F3969"/>
    <w:rsid w:val="008F4188"/>
    <w:rsid w:val="008F4574"/>
    <w:rsid w:val="008F57C3"/>
    <w:rsid w:val="008F597C"/>
    <w:rsid w:val="008F652D"/>
    <w:rsid w:val="008F6AE2"/>
    <w:rsid w:val="008F6E0B"/>
    <w:rsid w:val="008F78A2"/>
    <w:rsid w:val="008F7F15"/>
    <w:rsid w:val="0090036B"/>
    <w:rsid w:val="009003BA"/>
    <w:rsid w:val="009004B3"/>
    <w:rsid w:val="00903325"/>
    <w:rsid w:val="00903962"/>
    <w:rsid w:val="0090419B"/>
    <w:rsid w:val="00905CF5"/>
    <w:rsid w:val="00906D4E"/>
    <w:rsid w:val="0090726C"/>
    <w:rsid w:val="00910854"/>
    <w:rsid w:val="0091094A"/>
    <w:rsid w:val="009113FD"/>
    <w:rsid w:val="0091194A"/>
    <w:rsid w:val="00911DA8"/>
    <w:rsid w:val="00914173"/>
    <w:rsid w:val="0091528F"/>
    <w:rsid w:val="0091597B"/>
    <w:rsid w:val="00915DE1"/>
    <w:rsid w:val="00916460"/>
    <w:rsid w:val="00916DE3"/>
    <w:rsid w:val="00917668"/>
    <w:rsid w:val="00917F96"/>
    <w:rsid w:val="009215DE"/>
    <w:rsid w:val="00921AF6"/>
    <w:rsid w:val="009225B3"/>
    <w:rsid w:val="00922F8D"/>
    <w:rsid w:val="009231C7"/>
    <w:rsid w:val="00923A4B"/>
    <w:rsid w:val="00923CDD"/>
    <w:rsid w:val="0092438E"/>
    <w:rsid w:val="00924423"/>
    <w:rsid w:val="009244AE"/>
    <w:rsid w:val="009265D5"/>
    <w:rsid w:val="00926BC0"/>
    <w:rsid w:val="00926F2E"/>
    <w:rsid w:val="00930231"/>
    <w:rsid w:val="009305DF"/>
    <w:rsid w:val="009309A8"/>
    <w:rsid w:val="00931370"/>
    <w:rsid w:val="00931BFE"/>
    <w:rsid w:val="00932133"/>
    <w:rsid w:val="0093273B"/>
    <w:rsid w:val="0093354F"/>
    <w:rsid w:val="00933748"/>
    <w:rsid w:val="00934C83"/>
    <w:rsid w:val="009350D7"/>
    <w:rsid w:val="00935938"/>
    <w:rsid w:val="00936040"/>
    <w:rsid w:val="00936D40"/>
    <w:rsid w:val="00937164"/>
    <w:rsid w:val="00937D90"/>
    <w:rsid w:val="00940C6E"/>
    <w:rsid w:val="00940F00"/>
    <w:rsid w:val="00940F11"/>
    <w:rsid w:val="00941218"/>
    <w:rsid w:val="00941373"/>
    <w:rsid w:val="00941A63"/>
    <w:rsid w:val="00941C0D"/>
    <w:rsid w:val="00941E30"/>
    <w:rsid w:val="009426B7"/>
    <w:rsid w:val="0094292F"/>
    <w:rsid w:val="00943A67"/>
    <w:rsid w:val="009448DB"/>
    <w:rsid w:val="00945253"/>
    <w:rsid w:val="00945762"/>
    <w:rsid w:val="009461AD"/>
    <w:rsid w:val="00946328"/>
    <w:rsid w:val="0094683D"/>
    <w:rsid w:val="00946BBE"/>
    <w:rsid w:val="009472D4"/>
    <w:rsid w:val="00947E67"/>
    <w:rsid w:val="009517A8"/>
    <w:rsid w:val="00951EE3"/>
    <w:rsid w:val="00952828"/>
    <w:rsid w:val="009529C1"/>
    <w:rsid w:val="00952E40"/>
    <w:rsid w:val="009530B3"/>
    <w:rsid w:val="00954D24"/>
    <w:rsid w:val="00955D92"/>
    <w:rsid w:val="00956C03"/>
    <w:rsid w:val="009579A5"/>
    <w:rsid w:val="00963006"/>
    <w:rsid w:val="00963533"/>
    <w:rsid w:val="00964B87"/>
    <w:rsid w:val="00964C64"/>
    <w:rsid w:val="00965A54"/>
    <w:rsid w:val="00965E1C"/>
    <w:rsid w:val="00967E6E"/>
    <w:rsid w:val="00967F8B"/>
    <w:rsid w:val="00970A74"/>
    <w:rsid w:val="00971062"/>
    <w:rsid w:val="00973289"/>
    <w:rsid w:val="00974884"/>
    <w:rsid w:val="00974A45"/>
    <w:rsid w:val="009755E3"/>
    <w:rsid w:val="00976F26"/>
    <w:rsid w:val="00977146"/>
    <w:rsid w:val="00980C95"/>
    <w:rsid w:val="00980D13"/>
    <w:rsid w:val="00981158"/>
    <w:rsid w:val="00981D17"/>
    <w:rsid w:val="00981F74"/>
    <w:rsid w:val="00982662"/>
    <w:rsid w:val="00982B58"/>
    <w:rsid w:val="009830B8"/>
    <w:rsid w:val="00983EEF"/>
    <w:rsid w:val="0098504C"/>
    <w:rsid w:val="00985056"/>
    <w:rsid w:val="00985A33"/>
    <w:rsid w:val="00985FB9"/>
    <w:rsid w:val="00986996"/>
    <w:rsid w:val="00986AA4"/>
    <w:rsid w:val="00986B60"/>
    <w:rsid w:val="00987ADA"/>
    <w:rsid w:val="00987D29"/>
    <w:rsid w:val="00987D2E"/>
    <w:rsid w:val="0099003F"/>
    <w:rsid w:val="0099149F"/>
    <w:rsid w:val="009914C8"/>
    <w:rsid w:val="00991834"/>
    <w:rsid w:val="00991D3F"/>
    <w:rsid w:val="00992082"/>
    <w:rsid w:val="00992860"/>
    <w:rsid w:val="00992DE0"/>
    <w:rsid w:val="00992FEB"/>
    <w:rsid w:val="009938ED"/>
    <w:rsid w:val="009945E9"/>
    <w:rsid w:val="00995092"/>
    <w:rsid w:val="009950D4"/>
    <w:rsid w:val="00995406"/>
    <w:rsid w:val="009954FF"/>
    <w:rsid w:val="0099694F"/>
    <w:rsid w:val="009970D7"/>
    <w:rsid w:val="00997430"/>
    <w:rsid w:val="00997A53"/>
    <w:rsid w:val="009A15B1"/>
    <w:rsid w:val="009A1FC3"/>
    <w:rsid w:val="009A3ACF"/>
    <w:rsid w:val="009A5B6C"/>
    <w:rsid w:val="009A5F2E"/>
    <w:rsid w:val="009A64B5"/>
    <w:rsid w:val="009A6768"/>
    <w:rsid w:val="009A6A29"/>
    <w:rsid w:val="009A7CFA"/>
    <w:rsid w:val="009B154B"/>
    <w:rsid w:val="009B198F"/>
    <w:rsid w:val="009B1E7C"/>
    <w:rsid w:val="009B2459"/>
    <w:rsid w:val="009B2647"/>
    <w:rsid w:val="009B371A"/>
    <w:rsid w:val="009B4157"/>
    <w:rsid w:val="009B48FF"/>
    <w:rsid w:val="009B4B0B"/>
    <w:rsid w:val="009B5498"/>
    <w:rsid w:val="009B6788"/>
    <w:rsid w:val="009B7235"/>
    <w:rsid w:val="009B7A83"/>
    <w:rsid w:val="009B7E66"/>
    <w:rsid w:val="009C1A22"/>
    <w:rsid w:val="009C334F"/>
    <w:rsid w:val="009C355B"/>
    <w:rsid w:val="009C3801"/>
    <w:rsid w:val="009C3E1D"/>
    <w:rsid w:val="009C3F66"/>
    <w:rsid w:val="009C52A6"/>
    <w:rsid w:val="009C5434"/>
    <w:rsid w:val="009C5A5B"/>
    <w:rsid w:val="009C5EBC"/>
    <w:rsid w:val="009C5EF7"/>
    <w:rsid w:val="009C664C"/>
    <w:rsid w:val="009D0F9E"/>
    <w:rsid w:val="009D1951"/>
    <w:rsid w:val="009D1BE7"/>
    <w:rsid w:val="009D1CED"/>
    <w:rsid w:val="009D2059"/>
    <w:rsid w:val="009D20AB"/>
    <w:rsid w:val="009D2125"/>
    <w:rsid w:val="009D2E5E"/>
    <w:rsid w:val="009D5CEE"/>
    <w:rsid w:val="009D74C8"/>
    <w:rsid w:val="009D75E1"/>
    <w:rsid w:val="009D7AF3"/>
    <w:rsid w:val="009E1599"/>
    <w:rsid w:val="009E1677"/>
    <w:rsid w:val="009E1B06"/>
    <w:rsid w:val="009E1D9C"/>
    <w:rsid w:val="009E1F81"/>
    <w:rsid w:val="009E2EB1"/>
    <w:rsid w:val="009E2F86"/>
    <w:rsid w:val="009E3808"/>
    <w:rsid w:val="009E3E69"/>
    <w:rsid w:val="009E3EF0"/>
    <w:rsid w:val="009E44D5"/>
    <w:rsid w:val="009E4EF6"/>
    <w:rsid w:val="009E6EDA"/>
    <w:rsid w:val="009E702C"/>
    <w:rsid w:val="009E7DF3"/>
    <w:rsid w:val="009F05FA"/>
    <w:rsid w:val="009F079C"/>
    <w:rsid w:val="009F1533"/>
    <w:rsid w:val="009F18AE"/>
    <w:rsid w:val="009F3B7D"/>
    <w:rsid w:val="009F5062"/>
    <w:rsid w:val="009F60A3"/>
    <w:rsid w:val="009F6F76"/>
    <w:rsid w:val="009F7C35"/>
    <w:rsid w:val="009F7C70"/>
    <w:rsid w:val="00A00686"/>
    <w:rsid w:val="00A013ED"/>
    <w:rsid w:val="00A025F4"/>
    <w:rsid w:val="00A02A3E"/>
    <w:rsid w:val="00A02B59"/>
    <w:rsid w:val="00A0307B"/>
    <w:rsid w:val="00A03285"/>
    <w:rsid w:val="00A03798"/>
    <w:rsid w:val="00A03936"/>
    <w:rsid w:val="00A05F84"/>
    <w:rsid w:val="00A06664"/>
    <w:rsid w:val="00A06AB8"/>
    <w:rsid w:val="00A0745C"/>
    <w:rsid w:val="00A076F4"/>
    <w:rsid w:val="00A10625"/>
    <w:rsid w:val="00A10AED"/>
    <w:rsid w:val="00A10F57"/>
    <w:rsid w:val="00A112BA"/>
    <w:rsid w:val="00A1147B"/>
    <w:rsid w:val="00A11D93"/>
    <w:rsid w:val="00A12209"/>
    <w:rsid w:val="00A129EC"/>
    <w:rsid w:val="00A132C5"/>
    <w:rsid w:val="00A133C6"/>
    <w:rsid w:val="00A133E9"/>
    <w:rsid w:val="00A140FB"/>
    <w:rsid w:val="00A14E73"/>
    <w:rsid w:val="00A154FE"/>
    <w:rsid w:val="00A1685B"/>
    <w:rsid w:val="00A1767A"/>
    <w:rsid w:val="00A176B0"/>
    <w:rsid w:val="00A177BF"/>
    <w:rsid w:val="00A20084"/>
    <w:rsid w:val="00A206B7"/>
    <w:rsid w:val="00A22994"/>
    <w:rsid w:val="00A22BE0"/>
    <w:rsid w:val="00A22D88"/>
    <w:rsid w:val="00A24A78"/>
    <w:rsid w:val="00A24B14"/>
    <w:rsid w:val="00A26E2C"/>
    <w:rsid w:val="00A26EDF"/>
    <w:rsid w:val="00A27115"/>
    <w:rsid w:val="00A271B4"/>
    <w:rsid w:val="00A27CEA"/>
    <w:rsid w:val="00A27F0A"/>
    <w:rsid w:val="00A303F2"/>
    <w:rsid w:val="00A32A0A"/>
    <w:rsid w:val="00A334DD"/>
    <w:rsid w:val="00A34805"/>
    <w:rsid w:val="00A351CB"/>
    <w:rsid w:val="00A368B1"/>
    <w:rsid w:val="00A36AEB"/>
    <w:rsid w:val="00A36DF3"/>
    <w:rsid w:val="00A37369"/>
    <w:rsid w:val="00A40196"/>
    <w:rsid w:val="00A401BE"/>
    <w:rsid w:val="00A41742"/>
    <w:rsid w:val="00A430ED"/>
    <w:rsid w:val="00A439CA"/>
    <w:rsid w:val="00A43C5C"/>
    <w:rsid w:val="00A43C76"/>
    <w:rsid w:val="00A44443"/>
    <w:rsid w:val="00A4490D"/>
    <w:rsid w:val="00A456D0"/>
    <w:rsid w:val="00A463D0"/>
    <w:rsid w:val="00A4686A"/>
    <w:rsid w:val="00A469C6"/>
    <w:rsid w:val="00A46C12"/>
    <w:rsid w:val="00A47571"/>
    <w:rsid w:val="00A507AA"/>
    <w:rsid w:val="00A5111F"/>
    <w:rsid w:val="00A51ADE"/>
    <w:rsid w:val="00A51D2C"/>
    <w:rsid w:val="00A532DD"/>
    <w:rsid w:val="00A541C6"/>
    <w:rsid w:val="00A545C4"/>
    <w:rsid w:val="00A560BF"/>
    <w:rsid w:val="00A571C6"/>
    <w:rsid w:val="00A61131"/>
    <w:rsid w:val="00A6237B"/>
    <w:rsid w:val="00A62E10"/>
    <w:rsid w:val="00A6304C"/>
    <w:rsid w:val="00A6325F"/>
    <w:rsid w:val="00A6395D"/>
    <w:rsid w:val="00A63E06"/>
    <w:rsid w:val="00A64876"/>
    <w:rsid w:val="00A65730"/>
    <w:rsid w:val="00A65D56"/>
    <w:rsid w:val="00A66D73"/>
    <w:rsid w:val="00A672FB"/>
    <w:rsid w:val="00A67D5C"/>
    <w:rsid w:val="00A707AF"/>
    <w:rsid w:val="00A70825"/>
    <w:rsid w:val="00A713EF"/>
    <w:rsid w:val="00A71497"/>
    <w:rsid w:val="00A7166A"/>
    <w:rsid w:val="00A71C6E"/>
    <w:rsid w:val="00A72A8A"/>
    <w:rsid w:val="00A748A7"/>
    <w:rsid w:val="00A7590D"/>
    <w:rsid w:val="00A75CBB"/>
    <w:rsid w:val="00A765C6"/>
    <w:rsid w:val="00A806D6"/>
    <w:rsid w:val="00A80AF5"/>
    <w:rsid w:val="00A80BCF"/>
    <w:rsid w:val="00A81C4E"/>
    <w:rsid w:val="00A81DEF"/>
    <w:rsid w:val="00A8304D"/>
    <w:rsid w:val="00A83328"/>
    <w:rsid w:val="00A83762"/>
    <w:rsid w:val="00A83E5C"/>
    <w:rsid w:val="00A83FCA"/>
    <w:rsid w:val="00A8472E"/>
    <w:rsid w:val="00A84920"/>
    <w:rsid w:val="00A84BA3"/>
    <w:rsid w:val="00A856E6"/>
    <w:rsid w:val="00A85B64"/>
    <w:rsid w:val="00A85C81"/>
    <w:rsid w:val="00A86D6A"/>
    <w:rsid w:val="00A86EAB"/>
    <w:rsid w:val="00A86F60"/>
    <w:rsid w:val="00A87C9C"/>
    <w:rsid w:val="00A90292"/>
    <w:rsid w:val="00A90F72"/>
    <w:rsid w:val="00A91C97"/>
    <w:rsid w:val="00A91D55"/>
    <w:rsid w:val="00A93029"/>
    <w:rsid w:val="00A95A24"/>
    <w:rsid w:val="00A96062"/>
    <w:rsid w:val="00A97082"/>
    <w:rsid w:val="00AA15A0"/>
    <w:rsid w:val="00AA19C9"/>
    <w:rsid w:val="00AA2062"/>
    <w:rsid w:val="00AA26FB"/>
    <w:rsid w:val="00AA2FE7"/>
    <w:rsid w:val="00AA2FF0"/>
    <w:rsid w:val="00AA3376"/>
    <w:rsid w:val="00AA43D6"/>
    <w:rsid w:val="00AA4492"/>
    <w:rsid w:val="00AA494B"/>
    <w:rsid w:val="00AA58D2"/>
    <w:rsid w:val="00AAED8C"/>
    <w:rsid w:val="00AB0582"/>
    <w:rsid w:val="00AB21CB"/>
    <w:rsid w:val="00AB26AE"/>
    <w:rsid w:val="00AB2C3C"/>
    <w:rsid w:val="00AB32E4"/>
    <w:rsid w:val="00AB3BAF"/>
    <w:rsid w:val="00AB4433"/>
    <w:rsid w:val="00AB64FF"/>
    <w:rsid w:val="00AB66B7"/>
    <w:rsid w:val="00AB690B"/>
    <w:rsid w:val="00AB6B64"/>
    <w:rsid w:val="00AB78D8"/>
    <w:rsid w:val="00AC02E5"/>
    <w:rsid w:val="00AC0B74"/>
    <w:rsid w:val="00AC0B78"/>
    <w:rsid w:val="00AC0C0C"/>
    <w:rsid w:val="00AC16D6"/>
    <w:rsid w:val="00AC214A"/>
    <w:rsid w:val="00AC2267"/>
    <w:rsid w:val="00AC2393"/>
    <w:rsid w:val="00AC2FA2"/>
    <w:rsid w:val="00AC324F"/>
    <w:rsid w:val="00AC4DBC"/>
    <w:rsid w:val="00AC50BC"/>
    <w:rsid w:val="00AC5531"/>
    <w:rsid w:val="00AC5C69"/>
    <w:rsid w:val="00AC68C4"/>
    <w:rsid w:val="00AC6AC2"/>
    <w:rsid w:val="00AC6E7F"/>
    <w:rsid w:val="00AC705D"/>
    <w:rsid w:val="00AC76B3"/>
    <w:rsid w:val="00AC7D1E"/>
    <w:rsid w:val="00AC7E10"/>
    <w:rsid w:val="00AD0392"/>
    <w:rsid w:val="00AD044E"/>
    <w:rsid w:val="00AD08BA"/>
    <w:rsid w:val="00AD1A6A"/>
    <w:rsid w:val="00AD1B61"/>
    <w:rsid w:val="00AD295C"/>
    <w:rsid w:val="00AD3063"/>
    <w:rsid w:val="00AD30C3"/>
    <w:rsid w:val="00AD31B6"/>
    <w:rsid w:val="00AD3352"/>
    <w:rsid w:val="00AD45B0"/>
    <w:rsid w:val="00AD46F0"/>
    <w:rsid w:val="00AD57FD"/>
    <w:rsid w:val="00AD5B01"/>
    <w:rsid w:val="00AD5D4C"/>
    <w:rsid w:val="00AD5F73"/>
    <w:rsid w:val="00AD6DF8"/>
    <w:rsid w:val="00AD7765"/>
    <w:rsid w:val="00AD780E"/>
    <w:rsid w:val="00AE0E28"/>
    <w:rsid w:val="00AE2250"/>
    <w:rsid w:val="00AE2FD3"/>
    <w:rsid w:val="00AE3449"/>
    <w:rsid w:val="00AE3D7F"/>
    <w:rsid w:val="00AE5488"/>
    <w:rsid w:val="00AE5757"/>
    <w:rsid w:val="00AE5916"/>
    <w:rsid w:val="00AE5D13"/>
    <w:rsid w:val="00AE65E9"/>
    <w:rsid w:val="00AF14CD"/>
    <w:rsid w:val="00AF17DE"/>
    <w:rsid w:val="00AF18DA"/>
    <w:rsid w:val="00AF2078"/>
    <w:rsid w:val="00AF2675"/>
    <w:rsid w:val="00AF306E"/>
    <w:rsid w:val="00AF380D"/>
    <w:rsid w:val="00AF3F53"/>
    <w:rsid w:val="00AF4606"/>
    <w:rsid w:val="00AF4BAD"/>
    <w:rsid w:val="00AF57DA"/>
    <w:rsid w:val="00AF58D1"/>
    <w:rsid w:val="00AF7387"/>
    <w:rsid w:val="00AF7576"/>
    <w:rsid w:val="00B002CC"/>
    <w:rsid w:val="00B011D5"/>
    <w:rsid w:val="00B01E66"/>
    <w:rsid w:val="00B02848"/>
    <w:rsid w:val="00B028DF"/>
    <w:rsid w:val="00B02D6E"/>
    <w:rsid w:val="00B0391B"/>
    <w:rsid w:val="00B03BDD"/>
    <w:rsid w:val="00B045F4"/>
    <w:rsid w:val="00B05A08"/>
    <w:rsid w:val="00B061AF"/>
    <w:rsid w:val="00B062D0"/>
    <w:rsid w:val="00B06597"/>
    <w:rsid w:val="00B06B51"/>
    <w:rsid w:val="00B07B0C"/>
    <w:rsid w:val="00B10746"/>
    <w:rsid w:val="00B10FE5"/>
    <w:rsid w:val="00B11183"/>
    <w:rsid w:val="00B1126D"/>
    <w:rsid w:val="00B11440"/>
    <w:rsid w:val="00B148BE"/>
    <w:rsid w:val="00B14D9E"/>
    <w:rsid w:val="00B15AAF"/>
    <w:rsid w:val="00B175E8"/>
    <w:rsid w:val="00B202E1"/>
    <w:rsid w:val="00B20662"/>
    <w:rsid w:val="00B20D22"/>
    <w:rsid w:val="00B210A1"/>
    <w:rsid w:val="00B22D9B"/>
    <w:rsid w:val="00B22E27"/>
    <w:rsid w:val="00B23454"/>
    <w:rsid w:val="00B241CF"/>
    <w:rsid w:val="00B24F9D"/>
    <w:rsid w:val="00B2584A"/>
    <w:rsid w:val="00B26020"/>
    <w:rsid w:val="00B26123"/>
    <w:rsid w:val="00B26F7D"/>
    <w:rsid w:val="00B27C6F"/>
    <w:rsid w:val="00B27CED"/>
    <w:rsid w:val="00B27F1D"/>
    <w:rsid w:val="00B30517"/>
    <w:rsid w:val="00B30E77"/>
    <w:rsid w:val="00B31DBF"/>
    <w:rsid w:val="00B32362"/>
    <w:rsid w:val="00B3237F"/>
    <w:rsid w:val="00B33EC4"/>
    <w:rsid w:val="00B348D4"/>
    <w:rsid w:val="00B3536D"/>
    <w:rsid w:val="00B353EC"/>
    <w:rsid w:val="00B359BC"/>
    <w:rsid w:val="00B36237"/>
    <w:rsid w:val="00B36843"/>
    <w:rsid w:val="00B37138"/>
    <w:rsid w:val="00B372D1"/>
    <w:rsid w:val="00B37708"/>
    <w:rsid w:val="00B37D0F"/>
    <w:rsid w:val="00B40126"/>
    <w:rsid w:val="00B40541"/>
    <w:rsid w:val="00B40F80"/>
    <w:rsid w:val="00B41182"/>
    <w:rsid w:val="00B41499"/>
    <w:rsid w:val="00B427B9"/>
    <w:rsid w:val="00B42991"/>
    <w:rsid w:val="00B42EE4"/>
    <w:rsid w:val="00B432ED"/>
    <w:rsid w:val="00B4337C"/>
    <w:rsid w:val="00B44ED6"/>
    <w:rsid w:val="00B459A6"/>
    <w:rsid w:val="00B460E9"/>
    <w:rsid w:val="00B46541"/>
    <w:rsid w:val="00B468AA"/>
    <w:rsid w:val="00B46F1B"/>
    <w:rsid w:val="00B4764F"/>
    <w:rsid w:val="00B50D14"/>
    <w:rsid w:val="00B51BBE"/>
    <w:rsid w:val="00B51ED7"/>
    <w:rsid w:val="00B538D8"/>
    <w:rsid w:val="00B54686"/>
    <w:rsid w:val="00B54B8A"/>
    <w:rsid w:val="00B553D6"/>
    <w:rsid w:val="00B55843"/>
    <w:rsid w:val="00B56BC4"/>
    <w:rsid w:val="00B56D89"/>
    <w:rsid w:val="00B576A5"/>
    <w:rsid w:val="00B61214"/>
    <w:rsid w:val="00B61E53"/>
    <w:rsid w:val="00B62144"/>
    <w:rsid w:val="00B63BDF"/>
    <w:rsid w:val="00B63E9C"/>
    <w:rsid w:val="00B649FC"/>
    <w:rsid w:val="00B64CFD"/>
    <w:rsid w:val="00B650E3"/>
    <w:rsid w:val="00B6661D"/>
    <w:rsid w:val="00B672D8"/>
    <w:rsid w:val="00B67324"/>
    <w:rsid w:val="00B67347"/>
    <w:rsid w:val="00B700C8"/>
    <w:rsid w:val="00B704B3"/>
    <w:rsid w:val="00B711DB"/>
    <w:rsid w:val="00B717EB"/>
    <w:rsid w:val="00B71976"/>
    <w:rsid w:val="00B719D4"/>
    <w:rsid w:val="00B739F5"/>
    <w:rsid w:val="00B758BF"/>
    <w:rsid w:val="00B76B8A"/>
    <w:rsid w:val="00B76FD6"/>
    <w:rsid w:val="00B8037D"/>
    <w:rsid w:val="00B80FB3"/>
    <w:rsid w:val="00B81919"/>
    <w:rsid w:val="00B81EDC"/>
    <w:rsid w:val="00B82DDA"/>
    <w:rsid w:val="00B82F5D"/>
    <w:rsid w:val="00B83D07"/>
    <w:rsid w:val="00B86A4D"/>
    <w:rsid w:val="00B86BFC"/>
    <w:rsid w:val="00B87C56"/>
    <w:rsid w:val="00B9106D"/>
    <w:rsid w:val="00B9129B"/>
    <w:rsid w:val="00B912E6"/>
    <w:rsid w:val="00B934FD"/>
    <w:rsid w:val="00B93696"/>
    <w:rsid w:val="00B93C01"/>
    <w:rsid w:val="00B93DD0"/>
    <w:rsid w:val="00B949F2"/>
    <w:rsid w:val="00B956F5"/>
    <w:rsid w:val="00B96109"/>
    <w:rsid w:val="00B97380"/>
    <w:rsid w:val="00BA2E0E"/>
    <w:rsid w:val="00BA3E60"/>
    <w:rsid w:val="00BA4001"/>
    <w:rsid w:val="00BA45D7"/>
    <w:rsid w:val="00BA4FE4"/>
    <w:rsid w:val="00BA5159"/>
    <w:rsid w:val="00BA5366"/>
    <w:rsid w:val="00BA5435"/>
    <w:rsid w:val="00BA5B86"/>
    <w:rsid w:val="00BA5F75"/>
    <w:rsid w:val="00BA5FDC"/>
    <w:rsid w:val="00BA65CB"/>
    <w:rsid w:val="00BA6804"/>
    <w:rsid w:val="00BB1347"/>
    <w:rsid w:val="00BB18D9"/>
    <w:rsid w:val="00BB2429"/>
    <w:rsid w:val="00BB2D36"/>
    <w:rsid w:val="00BB30FC"/>
    <w:rsid w:val="00BB43C8"/>
    <w:rsid w:val="00BB47B6"/>
    <w:rsid w:val="00BB4C00"/>
    <w:rsid w:val="00BB6707"/>
    <w:rsid w:val="00BB6FD5"/>
    <w:rsid w:val="00BB787A"/>
    <w:rsid w:val="00BC0AE7"/>
    <w:rsid w:val="00BC30D6"/>
    <w:rsid w:val="00BC3AB8"/>
    <w:rsid w:val="00BC3AFE"/>
    <w:rsid w:val="00BC43CD"/>
    <w:rsid w:val="00BC4522"/>
    <w:rsid w:val="00BC4870"/>
    <w:rsid w:val="00BC54E9"/>
    <w:rsid w:val="00BC55C9"/>
    <w:rsid w:val="00BC5B75"/>
    <w:rsid w:val="00BC6368"/>
    <w:rsid w:val="00BC63B8"/>
    <w:rsid w:val="00BD0235"/>
    <w:rsid w:val="00BD05BF"/>
    <w:rsid w:val="00BD0B13"/>
    <w:rsid w:val="00BD345A"/>
    <w:rsid w:val="00BD3B14"/>
    <w:rsid w:val="00BD50EC"/>
    <w:rsid w:val="00BD53F3"/>
    <w:rsid w:val="00BD5578"/>
    <w:rsid w:val="00BD5625"/>
    <w:rsid w:val="00BD6134"/>
    <w:rsid w:val="00BD61A2"/>
    <w:rsid w:val="00BD6806"/>
    <w:rsid w:val="00BD6B93"/>
    <w:rsid w:val="00BD6E26"/>
    <w:rsid w:val="00BD6FFD"/>
    <w:rsid w:val="00BD7218"/>
    <w:rsid w:val="00BD79E4"/>
    <w:rsid w:val="00BE06F5"/>
    <w:rsid w:val="00BE1353"/>
    <w:rsid w:val="00BE17E2"/>
    <w:rsid w:val="00BE2E0B"/>
    <w:rsid w:val="00BE3981"/>
    <w:rsid w:val="00BE484D"/>
    <w:rsid w:val="00BE4996"/>
    <w:rsid w:val="00BE4AC2"/>
    <w:rsid w:val="00BE5BCA"/>
    <w:rsid w:val="00BE5EFB"/>
    <w:rsid w:val="00BE6B50"/>
    <w:rsid w:val="00BE78E1"/>
    <w:rsid w:val="00BF0617"/>
    <w:rsid w:val="00BF1150"/>
    <w:rsid w:val="00BF229E"/>
    <w:rsid w:val="00BF268F"/>
    <w:rsid w:val="00BF2D83"/>
    <w:rsid w:val="00BF38F4"/>
    <w:rsid w:val="00BF3F51"/>
    <w:rsid w:val="00BF4201"/>
    <w:rsid w:val="00BF4715"/>
    <w:rsid w:val="00BF5A82"/>
    <w:rsid w:val="00BF5FC8"/>
    <w:rsid w:val="00BF6C7A"/>
    <w:rsid w:val="00BF7953"/>
    <w:rsid w:val="00BF7ED6"/>
    <w:rsid w:val="00C00147"/>
    <w:rsid w:val="00C01883"/>
    <w:rsid w:val="00C01CF7"/>
    <w:rsid w:val="00C03E24"/>
    <w:rsid w:val="00C05C4D"/>
    <w:rsid w:val="00C05D3D"/>
    <w:rsid w:val="00C06469"/>
    <w:rsid w:val="00C10863"/>
    <w:rsid w:val="00C108C5"/>
    <w:rsid w:val="00C12179"/>
    <w:rsid w:val="00C12194"/>
    <w:rsid w:val="00C129C1"/>
    <w:rsid w:val="00C12AF7"/>
    <w:rsid w:val="00C14511"/>
    <w:rsid w:val="00C15441"/>
    <w:rsid w:val="00C1548E"/>
    <w:rsid w:val="00C15BB8"/>
    <w:rsid w:val="00C15EDB"/>
    <w:rsid w:val="00C170E7"/>
    <w:rsid w:val="00C17A58"/>
    <w:rsid w:val="00C2046F"/>
    <w:rsid w:val="00C22397"/>
    <w:rsid w:val="00C22652"/>
    <w:rsid w:val="00C22D9D"/>
    <w:rsid w:val="00C2489F"/>
    <w:rsid w:val="00C24B26"/>
    <w:rsid w:val="00C26DCD"/>
    <w:rsid w:val="00C2772A"/>
    <w:rsid w:val="00C31A85"/>
    <w:rsid w:val="00C3292E"/>
    <w:rsid w:val="00C333B8"/>
    <w:rsid w:val="00C35B52"/>
    <w:rsid w:val="00C36C94"/>
    <w:rsid w:val="00C37E05"/>
    <w:rsid w:val="00C37F5F"/>
    <w:rsid w:val="00C4116C"/>
    <w:rsid w:val="00C41A37"/>
    <w:rsid w:val="00C42C61"/>
    <w:rsid w:val="00C4363E"/>
    <w:rsid w:val="00C44812"/>
    <w:rsid w:val="00C44900"/>
    <w:rsid w:val="00C457A7"/>
    <w:rsid w:val="00C4664A"/>
    <w:rsid w:val="00C466CE"/>
    <w:rsid w:val="00C47CBA"/>
    <w:rsid w:val="00C50054"/>
    <w:rsid w:val="00C507FD"/>
    <w:rsid w:val="00C50C78"/>
    <w:rsid w:val="00C51008"/>
    <w:rsid w:val="00C51152"/>
    <w:rsid w:val="00C514A1"/>
    <w:rsid w:val="00C5168E"/>
    <w:rsid w:val="00C518B4"/>
    <w:rsid w:val="00C519FC"/>
    <w:rsid w:val="00C51C57"/>
    <w:rsid w:val="00C51DC3"/>
    <w:rsid w:val="00C520CF"/>
    <w:rsid w:val="00C53EFE"/>
    <w:rsid w:val="00C5416E"/>
    <w:rsid w:val="00C5496B"/>
    <w:rsid w:val="00C54F32"/>
    <w:rsid w:val="00C55D29"/>
    <w:rsid w:val="00C5631B"/>
    <w:rsid w:val="00C563FB"/>
    <w:rsid w:val="00C56436"/>
    <w:rsid w:val="00C56A03"/>
    <w:rsid w:val="00C56D78"/>
    <w:rsid w:val="00C57149"/>
    <w:rsid w:val="00C57712"/>
    <w:rsid w:val="00C611C3"/>
    <w:rsid w:val="00C6365A"/>
    <w:rsid w:val="00C63795"/>
    <w:rsid w:val="00C639C9"/>
    <w:rsid w:val="00C63CF6"/>
    <w:rsid w:val="00C640CA"/>
    <w:rsid w:val="00C66612"/>
    <w:rsid w:val="00C66739"/>
    <w:rsid w:val="00C6748A"/>
    <w:rsid w:val="00C703DD"/>
    <w:rsid w:val="00C70499"/>
    <w:rsid w:val="00C70A1E"/>
    <w:rsid w:val="00C7122F"/>
    <w:rsid w:val="00C714B0"/>
    <w:rsid w:val="00C7171B"/>
    <w:rsid w:val="00C71D4D"/>
    <w:rsid w:val="00C72573"/>
    <w:rsid w:val="00C7432A"/>
    <w:rsid w:val="00C74636"/>
    <w:rsid w:val="00C75C96"/>
    <w:rsid w:val="00C75DEC"/>
    <w:rsid w:val="00C7622B"/>
    <w:rsid w:val="00C76719"/>
    <w:rsid w:val="00C7709E"/>
    <w:rsid w:val="00C8022F"/>
    <w:rsid w:val="00C81EBC"/>
    <w:rsid w:val="00C82379"/>
    <w:rsid w:val="00C83547"/>
    <w:rsid w:val="00C83ABA"/>
    <w:rsid w:val="00C85922"/>
    <w:rsid w:val="00C872BE"/>
    <w:rsid w:val="00C875AC"/>
    <w:rsid w:val="00C87A94"/>
    <w:rsid w:val="00C9144D"/>
    <w:rsid w:val="00C920DF"/>
    <w:rsid w:val="00C92258"/>
    <w:rsid w:val="00C92563"/>
    <w:rsid w:val="00C93470"/>
    <w:rsid w:val="00C9412B"/>
    <w:rsid w:val="00C95465"/>
    <w:rsid w:val="00C956C7"/>
    <w:rsid w:val="00C95858"/>
    <w:rsid w:val="00C96175"/>
    <w:rsid w:val="00C96958"/>
    <w:rsid w:val="00C970F0"/>
    <w:rsid w:val="00C9737F"/>
    <w:rsid w:val="00C9751B"/>
    <w:rsid w:val="00CA0A94"/>
    <w:rsid w:val="00CA17C3"/>
    <w:rsid w:val="00CA2411"/>
    <w:rsid w:val="00CA3E9B"/>
    <w:rsid w:val="00CA535B"/>
    <w:rsid w:val="00CA53F8"/>
    <w:rsid w:val="00CA578D"/>
    <w:rsid w:val="00CA659A"/>
    <w:rsid w:val="00CA675B"/>
    <w:rsid w:val="00CA6BB9"/>
    <w:rsid w:val="00CA6E1F"/>
    <w:rsid w:val="00CA788B"/>
    <w:rsid w:val="00CA7DC1"/>
    <w:rsid w:val="00CB17B5"/>
    <w:rsid w:val="00CB2479"/>
    <w:rsid w:val="00CB2565"/>
    <w:rsid w:val="00CB2761"/>
    <w:rsid w:val="00CB31F3"/>
    <w:rsid w:val="00CB3819"/>
    <w:rsid w:val="00CB3A85"/>
    <w:rsid w:val="00CB555E"/>
    <w:rsid w:val="00CB6358"/>
    <w:rsid w:val="00CB78AB"/>
    <w:rsid w:val="00CB7F45"/>
    <w:rsid w:val="00CC032A"/>
    <w:rsid w:val="00CC0A7F"/>
    <w:rsid w:val="00CC2076"/>
    <w:rsid w:val="00CC2A1B"/>
    <w:rsid w:val="00CC2BD6"/>
    <w:rsid w:val="00CC332A"/>
    <w:rsid w:val="00CC336A"/>
    <w:rsid w:val="00CC3BB4"/>
    <w:rsid w:val="00CC4248"/>
    <w:rsid w:val="00CC4565"/>
    <w:rsid w:val="00CC4B1F"/>
    <w:rsid w:val="00CC53AA"/>
    <w:rsid w:val="00CC545E"/>
    <w:rsid w:val="00CC5E0C"/>
    <w:rsid w:val="00CC657E"/>
    <w:rsid w:val="00CC6927"/>
    <w:rsid w:val="00CC6AE7"/>
    <w:rsid w:val="00CC70A3"/>
    <w:rsid w:val="00CC7432"/>
    <w:rsid w:val="00CD2135"/>
    <w:rsid w:val="00CD2888"/>
    <w:rsid w:val="00CD3982"/>
    <w:rsid w:val="00CD444D"/>
    <w:rsid w:val="00CD496A"/>
    <w:rsid w:val="00CD4DC5"/>
    <w:rsid w:val="00CD5939"/>
    <w:rsid w:val="00CD641C"/>
    <w:rsid w:val="00CD691D"/>
    <w:rsid w:val="00CD6F13"/>
    <w:rsid w:val="00CD6FE4"/>
    <w:rsid w:val="00CD79DE"/>
    <w:rsid w:val="00CD7B95"/>
    <w:rsid w:val="00CE0B53"/>
    <w:rsid w:val="00CE0E6F"/>
    <w:rsid w:val="00CE137E"/>
    <w:rsid w:val="00CE15B9"/>
    <w:rsid w:val="00CE1884"/>
    <w:rsid w:val="00CE1BD0"/>
    <w:rsid w:val="00CE1DD5"/>
    <w:rsid w:val="00CE256D"/>
    <w:rsid w:val="00CE3168"/>
    <w:rsid w:val="00CE46DA"/>
    <w:rsid w:val="00CE48BC"/>
    <w:rsid w:val="00CE4DE1"/>
    <w:rsid w:val="00CE5623"/>
    <w:rsid w:val="00CE5C5F"/>
    <w:rsid w:val="00CE6B0B"/>
    <w:rsid w:val="00CE76F3"/>
    <w:rsid w:val="00CE797A"/>
    <w:rsid w:val="00CE7DAA"/>
    <w:rsid w:val="00CF0D0E"/>
    <w:rsid w:val="00CF1B9D"/>
    <w:rsid w:val="00CF2544"/>
    <w:rsid w:val="00CF2B0D"/>
    <w:rsid w:val="00CF3055"/>
    <w:rsid w:val="00CF351B"/>
    <w:rsid w:val="00CF3688"/>
    <w:rsid w:val="00CF4564"/>
    <w:rsid w:val="00CF4A9A"/>
    <w:rsid w:val="00CF4D9D"/>
    <w:rsid w:val="00CF5548"/>
    <w:rsid w:val="00CF5A42"/>
    <w:rsid w:val="00CF5BAC"/>
    <w:rsid w:val="00CF5BDB"/>
    <w:rsid w:val="00CF68E0"/>
    <w:rsid w:val="00CF785C"/>
    <w:rsid w:val="00CF7DA0"/>
    <w:rsid w:val="00D00825"/>
    <w:rsid w:val="00D00C39"/>
    <w:rsid w:val="00D01464"/>
    <w:rsid w:val="00D01997"/>
    <w:rsid w:val="00D01D31"/>
    <w:rsid w:val="00D02294"/>
    <w:rsid w:val="00D034B5"/>
    <w:rsid w:val="00D036C0"/>
    <w:rsid w:val="00D051EE"/>
    <w:rsid w:val="00D05AFC"/>
    <w:rsid w:val="00D05F80"/>
    <w:rsid w:val="00D0743B"/>
    <w:rsid w:val="00D10793"/>
    <w:rsid w:val="00D10CDA"/>
    <w:rsid w:val="00D10EAC"/>
    <w:rsid w:val="00D12321"/>
    <w:rsid w:val="00D12B71"/>
    <w:rsid w:val="00D132FB"/>
    <w:rsid w:val="00D1332D"/>
    <w:rsid w:val="00D1419D"/>
    <w:rsid w:val="00D14CC0"/>
    <w:rsid w:val="00D15BD6"/>
    <w:rsid w:val="00D16209"/>
    <w:rsid w:val="00D16E3A"/>
    <w:rsid w:val="00D20091"/>
    <w:rsid w:val="00D205B8"/>
    <w:rsid w:val="00D20AAB"/>
    <w:rsid w:val="00D20ACB"/>
    <w:rsid w:val="00D21199"/>
    <w:rsid w:val="00D2216E"/>
    <w:rsid w:val="00D22392"/>
    <w:rsid w:val="00D223FD"/>
    <w:rsid w:val="00D22B41"/>
    <w:rsid w:val="00D2364C"/>
    <w:rsid w:val="00D2567A"/>
    <w:rsid w:val="00D25A55"/>
    <w:rsid w:val="00D25B79"/>
    <w:rsid w:val="00D27609"/>
    <w:rsid w:val="00D300F7"/>
    <w:rsid w:val="00D30368"/>
    <w:rsid w:val="00D31B88"/>
    <w:rsid w:val="00D32F64"/>
    <w:rsid w:val="00D33049"/>
    <w:rsid w:val="00D3351D"/>
    <w:rsid w:val="00D33B82"/>
    <w:rsid w:val="00D34626"/>
    <w:rsid w:val="00D34999"/>
    <w:rsid w:val="00D349D8"/>
    <w:rsid w:val="00D34C4A"/>
    <w:rsid w:val="00D36904"/>
    <w:rsid w:val="00D37149"/>
    <w:rsid w:val="00D3757F"/>
    <w:rsid w:val="00D40634"/>
    <w:rsid w:val="00D40B87"/>
    <w:rsid w:val="00D40BE1"/>
    <w:rsid w:val="00D4167F"/>
    <w:rsid w:val="00D4257A"/>
    <w:rsid w:val="00D42A3B"/>
    <w:rsid w:val="00D433B7"/>
    <w:rsid w:val="00D435AF"/>
    <w:rsid w:val="00D43ABB"/>
    <w:rsid w:val="00D43BEF"/>
    <w:rsid w:val="00D45C94"/>
    <w:rsid w:val="00D47575"/>
    <w:rsid w:val="00D47E26"/>
    <w:rsid w:val="00D508C7"/>
    <w:rsid w:val="00D520DF"/>
    <w:rsid w:val="00D52603"/>
    <w:rsid w:val="00D53B6A"/>
    <w:rsid w:val="00D5505A"/>
    <w:rsid w:val="00D5553F"/>
    <w:rsid w:val="00D55CBC"/>
    <w:rsid w:val="00D5623C"/>
    <w:rsid w:val="00D565EE"/>
    <w:rsid w:val="00D568F5"/>
    <w:rsid w:val="00D569F6"/>
    <w:rsid w:val="00D56BDD"/>
    <w:rsid w:val="00D61B30"/>
    <w:rsid w:val="00D61C4E"/>
    <w:rsid w:val="00D629CD"/>
    <w:rsid w:val="00D633FF"/>
    <w:rsid w:val="00D63625"/>
    <w:rsid w:val="00D63831"/>
    <w:rsid w:val="00D64080"/>
    <w:rsid w:val="00D64A38"/>
    <w:rsid w:val="00D66A6E"/>
    <w:rsid w:val="00D67018"/>
    <w:rsid w:val="00D67202"/>
    <w:rsid w:val="00D67A41"/>
    <w:rsid w:val="00D67E08"/>
    <w:rsid w:val="00D70A52"/>
    <w:rsid w:val="00D70E2B"/>
    <w:rsid w:val="00D711A8"/>
    <w:rsid w:val="00D727C4"/>
    <w:rsid w:val="00D7380E"/>
    <w:rsid w:val="00D73BDB"/>
    <w:rsid w:val="00D74BE7"/>
    <w:rsid w:val="00D75537"/>
    <w:rsid w:val="00D75BC6"/>
    <w:rsid w:val="00D7606D"/>
    <w:rsid w:val="00D760C5"/>
    <w:rsid w:val="00D763EB"/>
    <w:rsid w:val="00D76499"/>
    <w:rsid w:val="00D775AA"/>
    <w:rsid w:val="00D77861"/>
    <w:rsid w:val="00D77B6A"/>
    <w:rsid w:val="00D81868"/>
    <w:rsid w:val="00D81A0C"/>
    <w:rsid w:val="00D81C8B"/>
    <w:rsid w:val="00D8277A"/>
    <w:rsid w:val="00D840B2"/>
    <w:rsid w:val="00D84BBC"/>
    <w:rsid w:val="00D856B8"/>
    <w:rsid w:val="00D85BB2"/>
    <w:rsid w:val="00D85C21"/>
    <w:rsid w:val="00D861B5"/>
    <w:rsid w:val="00D865B1"/>
    <w:rsid w:val="00D8745F"/>
    <w:rsid w:val="00D876B1"/>
    <w:rsid w:val="00D87AD7"/>
    <w:rsid w:val="00D87E34"/>
    <w:rsid w:val="00D90692"/>
    <w:rsid w:val="00D91511"/>
    <w:rsid w:val="00D91573"/>
    <w:rsid w:val="00D9363C"/>
    <w:rsid w:val="00D93A2E"/>
    <w:rsid w:val="00D93BD3"/>
    <w:rsid w:val="00D94B91"/>
    <w:rsid w:val="00D94E98"/>
    <w:rsid w:val="00D95B7C"/>
    <w:rsid w:val="00D95E69"/>
    <w:rsid w:val="00D965C8"/>
    <w:rsid w:val="00D968AB"/>
    <w:rsid w:val="00D96919"/>
    <w:rsid w:val="00D9789E"/>
    <w:rsid w:val="00D97D5C"/>
    <w:rsid w:val="00D97EDC"/>
    <w:rsid w:val="00DA0573"/>
    <w:rsid w:val="00DA0D2C"/>
    <w:rsid w:val="00DA142F"/>
    <w:rsid w:val="00DA376F"/>
    <w:rsid w:val="00DA38E8"/>
    <w:rsid w:val="00DA3E36"/>
    <w:rsid w:val="00DA4605"/>
    <w:rsid w:val="00DA543D"/>
    <w:rsid w:val="00DA5C58"/>
    <w:rsid w:val="00DA68D0"/>
    <w:rsid w:val="00DB0B40"/>
    <w:rsid w:val="00DB0D1C"/>
    <w:rsid w:val="00DB1529"/>
    <w:rsid w:val="00DB23DD"/>
    <w:rsid w:val="00DB363E"/>
    <w:rsid w:val="00DB4F43"/>
    <w:rsid w:val="00DB51FE"/>
    <w:rsid w:val="00DB5618"/>
    <w:rsid w:val="00DB59CB"/>
    <w:rsid w:val="00DB6AE1"/>
    <w:rsid w:val="00DC0AE5"/>
    <w:rsid w:val="00DC0CDE"/>
    <w:rsid w:val="00DC0EF8"/>
    <w:rsid w:val="00DC1400"/>
    <w:rsid w:val="00DC2386"/>
    <w:rsid w:val="00DC2C83"/>
    <w:rsid w:val="00DC4D4E"/>
    <w:rsid w:val="00DC55C9"/>
    <w:rsid w:val="00DC578E"/>
    <w:rsid w:val="00DC5D29"/>
    <w:rsid w:val="00DC66FA"/>
    <w:rsid w:val="00DC6943"/>
    <w:rsid w:val="00DC79B8"/>
    <w:rsid w:val="00DC7FCC"/>
    <w:rsid w:val="00DD01C7"/>
    <w:rsid w:val="00DD0EB7"/>
    <w:rsid w:val="00DD1CCF"/>
    <w:rsid w:val="00DD1D0B"/>
    <w:rsid w:val="00DD1D7F"/>
    <w:rsid w:val="00DD1EE9"/>
    <w:rsid w:val="00DD2A03"/>
    <w:rsid w:val="00DD2BBF"/>
    <w:rsid w:val="00DD322D"/>
    <w:rsid w:val="00DD3FCC"/>
    <w:rsid w:val="00DD4ED3"/>
    <w:rsid w:val="00DD5665"/>
    <w:rsid w:val="00DD5CFD"/>
    <w:rsid w:val="00DD5D6E"/>
    <w:rsid w:val="00DD6E4E"/>
    <w:rsid w:val="00DE0467"/>
    <w:rsid w:val="00DE10E6"/>
    <w:rsid w:val="00DE18FA"/>
    <w:rsid w:val="00DE1EE7"/>
    <w:rsid w:val="00DE27BE"/>
    <w:rsid w:val="00DE4269"/>
    <w:rsid w:val="00DE51DD"/>
    <w:rsid w:val="00DE5807"/>
    <w:rsid w:val="00DE5E54"/>
    <w:rsid w:val="00DE655E"/>
    <w:rsid w:val="00DE67B0"/>
    <w:rsid w:val="00DE6D1B"/>
    <w:rsid w:val="00DE7642"/>
    <w:rsid w:val="00DF07F0"/>
    <w:rsid w:val="00DF0F47"/>
    <w:rsid w:val="00DF1188"/>
    <w:rsid w:val="00DF1E25"/>
    <w:rsid w:val="00DF210A"/>
    <w:rsid w:val="00DF2389"/>
    <w:rsid w:val="00DF29F5"/>
    <w:rsid w:val="00DF3CD3"/>
    <w:rsid w:val="00DF4457"/>
    <w:rsid w:val="00DF49BA"/>
    <w:rsid w:val="00DF4AC5"/>
    <w:rsid w:val="00DF4FF6"/>
    <w:rsid w:val="00DF560C"/>
    <w:rsid w:val="00DF619D"/>
    <w:rsid w:val="00DF6909"/>
    <w:rsid w:val="00DF736B"/>
    <w:rsid w:val="00DF7693"/>
    <w:rsid w:val="00E00194"/>
    <w:rsid w:val="00E004F3"/>
    <w:rsid w:val="00E00F07"/>
    <w:rsid w:val="00E0152D"/>
    <w:rsid w:val="00E01BD9"/>
    <w:rsid w:val="00E02D37"/>
    <w:rsid w:val="00E02F57"/>
    <w:rsid w:val="00E043AE"/>
    <w:rsid w:val="00E047B1"/>
    <w:rsid w:val="00E04C32"/>
    <w:rsid w:val="00E04E46"/>
    <w:rsid w:val="00E060D1"/>
    <w:rsid w:val="00E0624D"/>
    <w:rsid w:val="00E10397"/>
    <w:rsid w:val="00E10E1A"/>
    <w:rsid w:val="00E114CE"/>
    <w:rsid w:val="00E115AF"/>
    <w:rsid w:val="00E11FD5"/>
    <w:rsid w:val="00E12028"/>
    <w:rsid w:val="00E12CFF"/>
    <w:rsid w:val="00E1345B"/>
    <w:rsid w:val="00E13544"/>
    <w:rsid w:val="00E136C1"/>
    <w:rsid w:val="00E13E23"/>
    <w:rsid w:val="00E1433E"/>
    <w:rsid w:val="00E14493"/>
    <w:rsid w:val="00E14CEF"/>
    <w:rsid w:val="00E15391"/>
    <w:rsid w:val="00E1588D"/>
    <w:rsid w:val="00E15AB2"/>
    <w:rsid w:val="00E16092"/>
    <w:rsid w:val="00E1629B"/>
    <w:rsid w:val="00E16462"/>
    <w:rsid w:val="00E16779"/>
    <w:rsid w:val="00E17010"/>
    <w:rsid w:val="00E1705E"/>
    <w:rsid w:val="00E17330"/>
    <w:rsid w:val="00E1742A"/>
    <w:rsid w:val="00E17444"/>
    <w:rsid w:val="00E21722"/>
    <w:rsid w:val="00E21B98"/>
    <w:rsid w:val="00E229B7"/>
    <w:rsid w:val="00E22B0E"/>
    <w:rsid w:val="00E23837"/>
    <w:rsid w:val="00E239CE"/>
    <w:rsid w:val="00E24A89"/>
    <w:rsid w:val="00E2544B"/>
    <w:rsid w:val="00E262F0"/>
    <w:rsid w:val="00E2637A"/>
    <w:rsid w:val="00E2649A"/>
    <w:rsid w:val="00E26BFA"/>
    <w:rsid w:val="00E302E6"/>
    <w:rsid w:val="00E306F2"/>
    <w:rsid w:val="00E30A70"/>
    <w:rsid w:val="00E31448"/>
    <w:rsid w:val="00E31F90"/>
    <w:rsid w:val="00E32046"/>
    <w:rsid w:val="00E321D3"/>
    <w:rsid w:val="00E327D7"/>
    <w:rsid w:val="00E3288B"/>
    <w:rsid w:val="00E32E76"/>
    <w:rsid w:val="00E33071"/>
    <w:rsid w:val="00E335FF"/>
    <w:rsid w:val="00E337BA"/>
    <w:rsid w:val="00E3382E"/>
    <w:rsid w:val="00E34479"/>
    <w:rsid w:val="00E35D1D"/>
    <w:rsid w:val="00E36B25"/>
    <w:rsid w:val="00E37F7C"/>
    <w:rsid w:val="00E37FF4"/>
    <w:rsid w:val="00E42EE6"/>
    <w:rsid w:val="00E436F5"/>
    <w:rsid w:val="00E43967"/>
    <w:rsid w:val="00E43E9D"/>
    <w:rsid w:val="00E44330"/>
    <w:rsid w:val="00E4438C"/>
    <w:rsid w:val="00E448E0"/>
    <w:rsid w:val="00E457F3"/>
    <w:rsid w:val="00E458EC"/>
    <w:rsid w:val="00E46855"/>
    <w:rsid w:val="00E46954"/>
    <w:rsid w:val="00E47533"/>
    <w:rsid w:val="00E47B24"/>
    <w:rsid w:val="00E5080B"/>
    <w:rsid w:val="00E51964"/>
    <w:rsid w:val="00E52180"/>
    <w:rsid w:val="00E528AA"/>
    <w:rsid w:val="00E534F9"/>
    <w:rsid w:val="00E54358"/>
    <w:rsid w:val="00E55886"/>
    <w:rsid w:val="00E571B5"/>
    <w:rsid w:val="00E57517"/>
    <w:rsid w:val="00E57917"/>
    <w:rsid w:val="00E60CB6"/>
    <w:rsid w:val="00E60F82"/>
    <w:rsid w:val="00E61270"/>
    <w:rsid w:val="00E63F53"/>
    <w:rsid w:val="00E649DF"/>
    <w:rsid w:val="00E65671"/>
    <w:rsid w:val="00E6772E"/>
    <w:rsid w:val="00E70069"/>
    <w:rsid w:val="00E701A9"/>
    <w:rsid w:val="00E70245"/>
    <w:rsid w:val="00E70E52"/>
    <w:rsid w:val="00E714D7"/>
    <w:rsid w:val="00E7245A"/>
    <w:rsid w:val="00E74677"/>
    <w:rsid w:val="00E74F1F"/>
    <w:rsid w:val="00E753BA"/>
    <w:rsid w:val="00E76052"/>
    <w:rsid w:val="00E76ABE"/>
    <w:rsid w:val="00E779E1"/>
    <w:rsid w:val="00E77C58"/>
    <w:rsid w:val="00E81140"/>
    <w:rsid w:val="00E81D59"/>
    <w:rsid w:val="00E821A9"/>
    <w:rsid w:val="00E82202"/>
    <w:rsid w:val="00E82445"/>
    <w:rsid w:val="00E8411A"/>
    <w:rsid w:val="00E849ED"/>
    <w:rsid w:val="00E8541D"/>
    <w:rsid w:val="00E85C6B"/>
    <w:rsid w:val="00E860F1"/>
    <w:rsid w:val="00E86D21"/>
    <w:rsid w:val="00E873C1"/>
    <w:rsid w:val="00E87F8E"/>
    <w:rsid w:val="00E9051F"/>
    <w:rsid w:val="00E9059F"/>
    <w:rsid w:val="00E9093C"/>
    <w:rsid w:val="00E93479"/>
    <w:rsid w:val="00E9352E"/>
    <w:rsid w:val="00E9430A"/>
    <w:rsid w:val="00E943F8"/>
    <w:rsid w:val="00E95095"/>
    <w:rsid w:val="00E95609"/>
    <w:rsid w:val="00E960A9"/>
    <w:rsid w:val="00E963BC"/>
    <w:rsid w:val="00E967FB"/>
    <w:rsid w:val="00E973D8"/>
    <w:rsid w:val="00E97C9B"/>
    <w:rsid w:val="00EA0857"/>
    <w:rsid w:val="00EA1670"/>
    <w:rsid w:val="00EA1E60"/>
    <w:rsid w:val="00EA2378"/>
    <w:rsid w:val="00EA27FB"/>
    <w:rsid w:val="00EA287B"/>
    <w:rsid w:val="00EA2D53"/>
    <w:rsid w:val="00EA3711"/>
    <w:rsid w:val="00EA37B9"/>
    <w:rsid w:val="00EA3954"/>
    <w:rsid w:val="00EA3AA1"/>
    <w:rsid w:val="00EA3C09"/>
    <w:rsid w:val="00EA3DA9"/>
    <w:rsid w:val="00EA3F6C"/>
    <w:rsid w:val="00EA4AAF"/>
    <w:rsid w:val="00EA4F69"/>
    <w:rsid w:val="00EA537F"/>
    <w:rsid w:val="00EA5660"/>
    <w:rsid w:val="00EA5EF0"/>
    <w:rsid w:val="00EA5F8E"/>
    <w:rsid w:val="00EA6ACD"/>
    <w:rsid w:val="00EA6C60"/>
    <w:rsid w:val="00EA7473"/>
    <w:rsid w:val="00EA767C"/>
    <w:rsid w:val="00EB0346"/>
    <w:rsid w:val="00EB0693"/>
    <w:rsid w:val="00EB07F9"/>
    <w:rsid w:val="00EB14A6"/>
    <w:rsid w:val="00EB2D4F"/>
    <w:rsid w:val="00EB372A"/>
    <w:rsid w:val="00EB3F46"/>
    <w:rsid w:val="00EB4372"/>
    <w:rsid w:val="00EB44D7"/>
    <w:rsid w:val="00EB44EB"/>
    <w:rsid w:val="00EB4962"/>
    <w:rsid w:val="00EB4F65"/>
    <w:rsid w:val="00EB5A8D"/>
    <w:rsid w:val="00EB62ED"/>
    <w:rsid w:val="00EB791E"/>
    <w:rsid w:val="00EB7E04"/>
    <w:rsid w:val="00EB7E71"/>
    <w:rsid w:val="00EC037D"/>
    <w:rsid w:val="00EC0938"/>
    <w:rsid w:val="00EC0AF3"/>
    <w:rsid w:val="00EC10B3"/>
    <w:rsid w:val="00EC14FA"/>
    <w:rsid w:val="00EC4687"/>
    <w:rsid w:val="00EC52D3"/>
    <w:rsid w:val="00EC6045"/>
    <w:rsid w:val="00EC620E"/>
    <w:rsid w:val="00EC6D2F"/>
    <w:rsid w:val="00ED1B4D"/>
    <w:rsid w:val="00ED1C56"/>
    <w:rsid w:val="00ED1D38"/>
    <w:rsid w:val="00ED1F03"/>
    <w:rsid w:val="00ED26A6"/>
    <w:rsid w:val="00ED33A1"/>
    <w:rsid w:val="00ED387B"/>
    <w:rsid w:val="00ED6407"/>
    <w:rsid w:val="00ED72AF"/>
    <w:rsid w:val="00ED772A"/>
    <w:rsid w:val="00ED7FC7"/>
    <w:rsid w:val="00EE0965"/>
    <w:rsid w:val="00EE0ABE"/>
    <w:rsid w:val="00EE172C"/>
    <w:rsid w:val="00EE1D2C"/>
    <w:rsid w:val="00EE20E0"/>
    <w:rsid w:val="00EE2BCD"/>
    <w:rsid w:val="00EE2DBD"/>
    <w:rsid w:val="00EE2F0A"/>
    <w:rsid w:val="00EE2FAF"/>
    <w:rsid w:val="00EE34E2"/>
    <w:rsid w:val="00EE34FB"/>
    <w:rsid w:val="00EE4002"/>
    <w:rsid w:val="00EE45C6"/>
    <w:rsid w:val="00EE4832"/>
    <w:rsid w:val="00EE62C4"/>
    <w:rsid w:val="00EE65D0"/>
    <w:rsid w:val="00EE6749"/>
    <w:rsid w:val="00EE7032"/>
    <w:rsid w:val="00EE76B8"/>
    <w:rsid w:val="00EE78A6"/>
    <w:rsid w:val="00EE7E6E"/>
    <w:rsid w:val="00EE7F5B"/>
    <w:rsid w:val="00EF1640"/>
    <w:rsid w:val="00EF1879"/>
    <w:rsid w:val="00EF1A55"/>
    <w:rsid w:val="00EF3347"/>
    <w:rsid w:val="00EF3C79"/>
    <w:rsid w:val="00EF40AC"/>
    <w:rsid w:val="00EF476A"/>
    <w:rsid w:val="00EF69F2"/>
    <w:rsid w:val="00EF6C2C"/>
    <w:rsid w:val="00EF6EC4"/>
    <w:rsid w:val="00EF77E3"/>
    <w:rsid w:val="00F009DF"/>
    <w:rsid w:val="00F00A36"/>
    <w:rsid w:val="00F00AA3"/>
    <w:rsid w:val="00F011F3"/>
    <w:rsid w:val="00F01D87"/>
    <w:rsid w:val="00F02D20"/>
    <w:rsid w:val="00F034AC"/>
    <w:rsid w:val="00F03A23"/>
    <w:rsid w:val="00F0639A"/>
    <w:rsid w:val="00F07AAA"/>
    <w:rsid w:val="00F07E40"/>
    <w:rsid w:val="00F109D4"/>
    <w:rsid w:val="00F11313"/>
    <w:rsid w:val="00F11DA4"/>
    <w:rsid w:val="00F120FC"/>
    <w:rsid w:val="00F125E3"/>
    <w:rsid w:val="00F12FB4"/>
    <w:rsid w:val="00F135E6"/>
    <w:rsid w:val="00F146A6"/>
    <w:rsid w:val="00F14AD7"/>
    <w:rsid w:val="00F15975"/>
    <w:rsid w:val="00F17228"/>
    <w:rsid w:val="00F17501"/>
    <w:rsid w:val="00F211E3"/>
    <w:rsid w:val="00F2134D"/>
    <w:rsid w:val="00F21A13"/>
    <w:rsid w:val="00F21A27"/>
    <w:rsid w:val="00F21CB0"/>
    <w:rsid w:val="00F22382"/>
    <w:rsid w:val="00F231C2"/>
    <w:rsid w:val="00F23459"/>
    <w:rsid w:val="00F23CC0"/>
    <w:rsid w:val="00F2411A"/>
    <w:rsid w:val="00F24528"/>
    <w:rsid w:val="00F24791"/>
    <w:rsid w:val="00F251D1"/>
    <w:rsid w:val="00F2572B"/>
    <w:rsid w:val="00F257A0"/>
    <w:rsid w:val="00F25CE5"/>
    <w:rsid w:val="00F270D5"/>
    <w:rsid w:val="00F272AB"/>
    <w:rsid w:val="00F30E57"/>
    <w:rsid w:val="00F30E9A"/>
    <w:rsid w:val="00F30EEE"/>
    <w:rsid w:val="00F32E7F"/>
    <w:rsid w:val="00F33135"/>
    <w:rsid w:val="00F33225"/>
    <w:rsid w:val="00F33C6D"/>
    <w:rsid w:val="00F347DC"/>
    <w:rsid w:val="00F35972"/>
    <w:rsid w:val="00F35F02"/>
    <w:rsid w:val="00F36655"/>
    <w:rsid w:val="00F36A2A"/>
    <w:rsid w:val="00F36DD8"/>
    <w:rsid w:val="00F36EAB"/>
    <w:rsid w:val="00F37449"/>
    <w:rsid w:val="00F417B5"/>
    <w:rsid w:val="00F41D5A"/>
    <w:rsid w:val="00F41E25"/>
    <w:rsid w:val="00F42644"/>
    <w:rsid w:val="00F42688"/>
    <w:rsid w:val="00F42803"/>
    <w:rsid w:val="00F44835"/>
    <w:rsid w:val="00F46BBD"/>
    <w:rsid w:val="00F471B9"/>
    <w:rsid w:val="00F47564"/>
    <w:rsid w:val="00F5024E"/>
    <w:rsid w:val="00F50273"/>
    <w:rsid w:val="00F50673"/>
    <w:rsid w:val="00F51654"/>
    <w:rsid w:val="00F51909"/>
    <w:rsid w:val="00F51ADD"/>
    <w:rsid w:val="00F51E7B"/>
    <w:rsid w:val="00F51EEE"/>
    <w:rsid w:val="00F51F77"/>
    <w:rsid w:val="00F521C6"/>
    <w:rsid w:val="00F53C93"/>
    <w:rsid w:val="00F5473D"/>
    <w:rsid w:val="00F55A7A"/>
    <w:rsid w:val="00F55ECB"/>
    <w:rsid w:val="00F56D8A"/>
    <w:rsid w:val="00F6053F"/>
    <w:rsid w:val="00F60BB3"/>
    <w:rsid w:val="00F60F7C"/>
    <w:rsid w:val="00F61943"/>
    <w:rsid w:val="00F61D4B"/>
    <w:rsid w:val="00F61E5A"/>
    <w:rsid w:val="00F61EDF"/>
    <w:rsid w:val="00F622BF"/>
    <w:rsid w:val="00F62BE8"/>
    <w:rsid w:val="00F63C71"/>
    <w:rsid w:val="00F640E4"/>
    <w:rsid w:val="00F64C57"/>
    <w:rsid w:val="00F651E1"/>
    <w:rsid w:val="00F6625F"/>
    <w:rsid w:val="00F66832"/>
    <w:rsid w:val="00F70151"/>
    <w:rsid w:val="00F706B7"/>
    <w:rsid w:val="00F70DB1"/>
    <w:rsid w:val="00F71364"/>
    <w:rsid w:val="00F71F27"/>
    <w:rsid w:val="00F72904"/>
    <w:rsid w:val="00F7300E"/>
    <w:rsid w:val="00F75022"/>
    <w:rsid w:val="00F758E0"/>
    <w:rsid w:val="00F75DA3"/>
    <w:rsid w:val="00F7681C"/>
    <w:rsid w:val="00F77316"/>
    <w:rsid w:val="00F77C79"/>
    <w:rsid w:val="00F802AC"/>
    <w:rsid w:val="00F80F93"/>
    <w:rsid w:val="00F81BE7"/>
    <w:rsid w:val="00F828F5"/>
    <w:rsid w:val="00F8313D"/>
    <w:rsid w:val="00F832A1"/>
    <w:rsid w:val="00F83332"/>
    <w:rsid w:val="00F8376B"/>
    <w:rsid w:val="00F8453F"/>
    <w:rsid w:val="00F847DF"/>
    <w:rsid w:val="00F84803"/>
    <w:rsid w:val="00F8487F"/>
    <w:rsid w:val="00F85F1F"/>
    <w:rsid w:val="00F85FD2"/>
    <w:rsid w:val="00F86FC4"/>
    <w:rsid w:val="00F87C1E"/>
    <w:rsid w:val="00F90469"/>
    <w:rsid w:val="00F90995"/>
    <w:rsid w:val="00F90D84"/>
    <w:rsid w:val="00F9136F"/>
    <w:rsid w:val="00F921B4"/>
    <w:rsid w:val="00F92DE2"/>
    <w:rsid w:val="00F930C6"/>
    <w:rsid w:val="00F93706"/>
    <w:rsid w:val="00F94521"/>
    <w:rsid w:val="00F94E8E"/>
    <w:rsid w:val="00F95C18"/>
    <w:rsid w:val="00F97333"/>
    <w:rsid w:val="00FA05D6"/>
    <w:rsid w:val="00FA0752"/>
    <w:rsid w:val="00FA19C4"/>
    <w:rsid w:val="00FA22A2"/>
    <w:rsid w:val="00FA25AC"/>
    <w:rsid w:val="00FA4366"/>
    <w:rsid w:val="00FA4FCA"/>
    <w:rsid w:val="00FA5298"/>
    <w:rsid w:val="00FA54EC"/>
    <w:rsid w:val="00FA5512"/>
    <w:rsid w:val="00FA5BC0"/>
    <w:rsid w:val="00FA5DC5"/>
    <w:rsid w:val="00FA7386"/>
    <w:rsid w:val="00FA7AB4"/>
    <w:rsid w:val="00FB0ACC"/>
    <w:rsid w:val="00FB1CE7"/>
    <w:rsid w:val="00FB2F8B"/>
    <w:rsid w:val="00FB363D"/>
    <w:rsid w:val="00FB3FDB"/>
    <w:rsid w:val="00FB4B9D"/>
    <w:rsid w:val="00FB4D03"/>
    <w:rsid w:val="00FB5F79"/>
    <w:rsid w:val="00FB7067"/>
    <w:rsid w:val="00FB78BB"/>
    <w:rsid w:val="00FC0252"/>
    <w:rsid w:val="00FC08FD"/>
    <w:rsid w:val="00FC0DF2"/>
    <w:rsid w:val="00FC122D"/>
    <w:rsid w:val="00FC20DF"/>
    <w:rsid w:val="00FC21B2"/>
    <w:rsid w:val="00FC2D8B"/>
    <w:rsid w:val="00FC2EEC"/>
    <w:rsid w:val="00FC36B4"/>
    <w:rsid w:val="00FC3E62"/>
    <w:rsid w:val="00FC45F5"/>
    <w:rsid w:val="00FC4917"/>
    <w:rsid w:val="00FC6407"/>
    <w:rsid w:val="00FC6BB9"/>
    <w:rsid w:val="00FC6CFA"/>
    <w:rsid w:val="00FC723E"/>
    <w:rsid w:val="00FD0194"/>
    <w:rsid w:val="00FD0570"/>
    <w:rsid w:val="00FD0E0B"/>
    <w:rsid w:val="00FD0EEE"/>
    <w:rsid w:val="00FD1646"/>
    <w:rsid w:val="00FD198E"/>
    <w:rsid w:val="00FD1DA2"/>
    <w:rsid w:val="00FD202C"/>
    <w:rsid w:val="00FD28A5"/>
    <w:rsid w:val="00FD317E"/>
    <w:rsid w:val="00FD426B"/>
    <w:rsid w:val="00FD4A01"/>
    <w:rsid w:val="00FD4A64"/>
    <w:rsid w:val="00FD4CA2"/>
    <w:rsid w:val="00FD51AF"/>
    <w:rsid w:val="00FD584B"/>
    <w:rsid w:val="00FD5A2D"/>
    <w:rsid w:val="00FD63A1"/>
    <w:rsid w:val="00FD6C51"/>
    <w:rsid w:val="00FD6C61"/>
    <w:rsid w:val="00FD6FDF"/>
    <w:rsid w:val="00FD70BB"/>
    <w:rsid w:val="00FD78B5"/>
    <w:rsid w:val="00FE1B42"/>
    <w:rsid w:val="00FE2FB6"/>
    <w:rsid w:val="00FE37BA"/>
    <w:rsid w:val="00FE46C1"/>
    <w:rsid w:val="00FE46EE"/>
    <w:rsid w:val="00FE5C24"/>
    <w:rsid w:val="00FE5E44"/>
    <w:rsid w:val="00FE6F03"/>
    <w:rsid w:val="00FE795E"/>
    <w:rsid w:val="00FE7B10"/>
    <w:rsid w:val="00FE7FFC"/>
    <w:rsid w:val="00FF1057"/>
    <w:rsid w:val="00FF12EB"/>
    <w:rsid w:val="00FF133C"/>
    <w:rsid w:val="00FF1B6F"/>
    <w:rsid w:val="00FF1EC6"/>
    <w:rsid w:val="00FF2D16"/>
    <w:rsid w:val="00FF3705"/>
    <w:rsid w:val="00FF3BEC"/>
    <w:rsid w:val="00FF429C"/>
    <w:rsid w:val="00FF47A0"/>
    <w:rsid w:val="00FF49A7"/>
    <w:rsid w:val="00FF4D2F"/>
    <w:rsid w:val="00FF50E0"/>
    <w:rsid w:val="00FF52E5"/>
    <w:rsid w:val="00FF5BD4"/>
    <w:rsid w:val="00FF7E17"/>
    <w:rsid w:val="023217AA"/>
    <w:rsid w:val="04DFF739"/>
    <w:rsid w:val="06CCA553"/>
    <w:rsid w:val="06F52DF2"/>
    <w:rsid w:val="0B352FD1"/>
    <w:rsid w:val="0C325E19"/>
    <w:rsid w:val="0D666C71"/>
    <w:rsid w:val="0D97388A"/>
    <w:rsid w:val="0DD4FDC5"/>
    <w:rsid w:val="0DEC8713"/>
    <w:rsid w:val="0E2BC064"/>
    <w:rsid w:val="1276D48C"/>
    <w:rsid w:val="12FD5163"/>
    <w:rsid w:val="17597559"/>
    <w:rsid w:val="17A4414E"/>
    <w:rsid w:val="17BB58F2"/>
    <w:rsid w:val="19E33442"/>
    <w:rsid w:val="1BAD3072"/>
    <w:rsid w:val="1C82744D"/>
    <w:rsid w:val="1E85799A"/>
    <w:rsid w:val="1F0DC07E"/>
    <w:rsid w:val="21BABFBD"/>
    <w:rsid w:val="2202866C"/>
    <w:rsid w:val="23815207"/>
    <w:rsid w:val="273B8246"/>
    <w:rsid w:val="2A03D083"/>
    <w:rsid w:val="2A6477E7"/>
    <w:rsid w:val="2AF6B852"/>
    <w:rsid w:val="2BB1B0DE"/>
    <w:rsid w:val="2C58CC2E"/>
    <w:rsid w:val="2CF0B6BB"/>
    <w:rsid w:val="2D0F0BF0"/>
    <w:rsid w:val="2EE0B5C9"/>
    <w:rsid w:val="31552BA2"/>
    <w:rsid w:val="329B28BB"/>
    <w:rsid w:val="3356C0ED"/>
    <w:rsid w:val="368C9AC1"/>
    <w:rsid w:val="368DCA37"/>
    <w:rsid w:val="37B40779"/>
    <w:rsid w:val="3847ACEF"/>
    <w:rsid w:val="384F8B34"/>
    <w:rsid w:val="38DD4F22"/>
    <w:rsid w:val="398E6DFE"/>
    <w:rsid w:val="39E379BC"/>
    <w:rsid w:val="3BFA6BD1"/>
    <w:rsid w:val="3EC3825E"/>
    <w:rsid w:val="3F469A39"/>
    <w:rsid w:val="40F693C8"/>
    <w:rsid w:val="4124534F"/>
    <w:rsid w:val="41A69072"/>
    <w:rsid w:val="42C673BC"/>
    <w:rsid w:val="452C96D8"/>
    <w:rsid w:val="453599BD"/>
    <w:rsid w:val="45B976B9"/>
    <w:rsid w:val="46AB06A6"/>
    <w:rsid w:val="4828827D"/>
    <w:rsid w:val="48CE9A6C"/>
    <w:rsid w:val="4A3D447C"/>
    <w:rsid w:val="4A5AD94F"/>
    <w:rsid w:val="4DFE3BA4"/>
    <w:rsid w:val="500E4E63"/>
    <w:rsid w:val="51966AE6"/>
    <w:rsid w:val="52991DAB"/>
    <w:rsid w:val="563DD269"/>
    <w:rsid w:val="571943F9"/>
    <w:rsid w:val="57370793"/>
    <w:rsid w:val="57C5720B"/>
    <w:rsid w:val="5837C29C"/>
    <w:rsid w:val="5B82C6A3"/>
    <w:rsid w:val="5D4DD6FE"/>
    <w:rsid w:val="5D90B6E9"/>
    <w:rsid w:val="5DA7910B"/>
    <w:rsid w:val="5DD9FFC3"/>
    <w:rsid w:val="5ED1EE13"/>
    <w:rsid w:val="5F75D024"/>
    <w:rsid w:val="5F88B4BA"/>
    <w:rsid w:val="5FEBCEA4"/>
    <w:rsid w:val="61F6B876"/>
    <w:rsid w:val="6224F54B"/>
    <w:rsid w:val="62541DD9"/>
    <w:rsid w:val="625D18DF"/>
    <w:rsid w:val="6298B040"/>
    <w:rsid w:val="684D68F6"/>
    <w:rsid w:val="6897CD64"/>
    <w:rsid w:val="6EA19170"/>
    <w:rsid w:val="7009E9C2"/>
    <w:rsid w:val="72028039"/>
    <w:rsid w:val="775E8EF6"/>
    <w:rsid w:val="7C18AA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F11F2"/>
  <w15:docId w15:val="{632934B5-78F9-40F8-8ACC-58027D8C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3" w:qFormat="1"/>
    <w:lsdException w:name="heading 3" w:uiPriority="4" w:qFormat="1"/>
    <w:lsdException w:name="heading 4" w:uiPriority="5"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F2E"/>
    <w:pPr>
      <w:spacing w:before="120" w:after="120"/>
    </w:pPr>
    <w:rPr>
      <w:sz w:val="24"/>
    </w:rPr>
  </w:style>
  <w:style w:type="paragraph" w:styleId="Heading1">
    <w:name w:val="heading 1"/>
    <w:basedOn w:val="Normal"/>
    <w:next w:val="Normal"/>
    <w:link w:val="Heading1Char"/>
    <w:uiPriority w:val="1"/>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uiPriority w:val="3"/>
    <w:qFormat/>
    <w:rsid w:val="00A12209"/>
    <w:pPr>
      <w:keepNext/>
      <w:spacing w:before="240" w:after="60"/>
      <w:outlineLvl w:val="1"/>
    </w:pPr>
    <w:rPr>
      <w:b/>
      <w:sz w:val="28"/>
      <w:u w:val="single"/>
    </w:rPr>
  </w:style>
  <w:style w:type="paragraph" w:styleId="Heading3">
    <w:name w:val="heading 3"/>
    <w:basedOn w:val="Heading2"/>
    <w:next w:val="base-text-paragraph"/>
    <w:link w:val="Heading3Char"/>
    <w:uiPriority w:val="4"/>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link w:val="Heading4Char"/>
    <w:uiPriority w:val="5"/>
    <w:qFormat/>
    <w:rsid w:val="00E4438C"/>
    <w:pPr>
      <w:spacing w:before="120"/>
      <w:outlineLvl w:val="3"/>
    </w:pPr>
    <w:rPr>
      <w:rFonts w:ascii="Times New Roman" w:hAnsi="Times New Roman"/>
    </w:rPr>
  </w:style>
  <w:style w:type="paragraph" w:styleId="Heading5">
    <w:name w:val="heading 5"/>
    <w:basedOn w:val="Normal"/>
    <w:next w:val="Normal"/>
    <w:link w:val="Heading5Char"/>
    <w:uiPriority w:val="6"/>
    <w:rsid w:val="009A6A29"/>
    <w:pPr>
      <w:keepNext/>
      <w:keepLines/>
      <w:spacing w:before="0" w:after="0"/>
      <w:outlineLvl w:val="4"/>
    </w:pPr>
    <w:rPr>
      <w:rFonts w:ascii="Calibri" w:eastAsiaTheme="minorHAnsi" w:hAnsi="Calibri" w:cstheme="minorBidi"/>
      <w:i/>
      <w:sz w:val="22"/>
      <w:szCs w:val="22"/>
      <w:lang w:eastAsia="en-US"/>
    </w:rPr>
  </w:style>
  <w:style w:type="paragraph" w:styleId="Heading6">
    <w:name w:val="heading 6"/>
    <w:basedOn w:val="Normal"/>
    <w:next w:val="Normal"/>
    <w:link w:val="Heading6Char"/>
    <w:uiPriority w:val="9"/>
    <w:semiHidden/>
    <w:unhideWhenUsed/>
    <w:qFormat/>
    <w:rsid w:val="0016437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92BBA"/>
    <w:pPr>
      <w:jc w:val="center"/>
    </w:pPr>
    <w:rPr>
      <w:b/>
    </w:rPr>
  </w:style>
  <w:style w:type="paragraph" w:styleId="BodyText">
    <w:name w:val="Body Text"/>
    <w:basedOn w:val="Normal"/>
    <w:link w:val="BodyTextChar"/>
    <w:uiPriority w:val="99"/>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qFormat/>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uiPriority w:val="4"/>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列"/>
    <w:basedOn w:val="Normal"/>
    <w:link w:val="ListParagraphChar"/>
    <w:uiPriority w:val="34"/>
    <w:qFormat/>
    <w:rsid w:val="00221988"/>
    <w:pPr>
      <w:ind w:left="720"/>
      <w:contextualSpacing/>
    </w:pPr>
  </w:style>
  <w:style w:type="character" w:styleId="CommentReference">
    <w:name w:val="annotation reference"/>
    <w:basedOn w:val="DefaultParagraphFont"/>
    <w:uiPriority w:val="99"/>
    <w:unhideWhenUsed/>
    <w:rsid w:val="005F76E3"/>
    <w:rPr>
      <w:sz w:val="16"/>
      <w:szCs w:val="16"/>
    </w:rPr>
  </w:style>
  <w:style w:type="paragraph" w:styleId="CommentText">
    <w:name w:val="annotation text"/>
    <w:basedOn w:val="Normal"/>
    <w:link w:val="CommentTextChar"/>
    <w:uiPriority w:val="99"/>
    <w:unhideWhenUsed/>
    <w:rsid w:val="005F76E3"/>
    <w:rPr>
      <w:sz w:val="20"/>
    </w:rPr>
  </w:style>
  <w:style w:type="character" w:customStyle="1" w:styleId="CommentTextChar">
    <w:name w:val="Comment Text Char"/>
    <w:basedOn w:val="DefaultParagraphFont"/>
    <w:link w:val="CommentText"/>
    <w:uiPriority w:val="99"/>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uiPriority w:val="10"/>
    <w:rsid w:val="00B30E77"/>
    <w:rPr>
      <w:b/>
      <w:sz w:val="24"/>
    </w:rPr>
  </w:style>
  <w:style w:type="paragraph" w:styleId="ListBullet">
    <w:name w:val="List Bullet"/>
    <w:basedOn w:val="Normal"/>
    <w:uiPriority w:val="99"/>
    <w:unhideWhenUsed/>
    <w:qFormat/>
    <w:rsid w:val="007025D4"/>
    <w:pPr>
      <w:numPr>
        <w:numId w:val="3"/>
      </w:numPr>
      <w:contextualSpacing/>
    </w:pPr>
  </w:style>
  <w:style w:type="paragraph" w:styleId="FootnoteText">
    <w:name w:val="footnote text"/>
    <w:basedOn w:val="Normal"/>
    <w:link w:val="FootnoteTextChar"/>
    <w:uiPriority w:val="99"/>
    <w:unhideWhenUsed/>
    <w:rsid w:val="00CF785C"/>
    <w:pPr>
      <w:spacing w:before="0" w:after="0"/>
    </w:pPr>
    <w:rPr>
      <w:sz w:val="20"/>
    </w:rPr>
  </w:style>
  <w:style w:type="character" w:customStyle="1" w:styleId="FootnoteTextChar">
    <w:name w:val="Footnote Text Char"/>
    <w:basedOn w:val="DefaultParagraphFont"/>
    <w:link w:val="FootnoteText"/>
    <w:uiPriority w:val="99"/>
    <w:rsid w:val="00CF785C"/>
  </w:style>
  <w:style w:type="character" w:styleId="FootnoteReference">
    <w:name w:val="footnote reference"/>
    <w:aliases w:val="(NECG) Footnote Reference,(NECG) Footnote Reference1,(NECG) Footnote Reference2,Footnote Reference 1,o,-E Fußnotenzeichen,JFR-Fußnotenzeichen,(Diplomarbeit FZ),(Diplomarbeit FZ)1,(Diplomarbeit FZ)2,(Diplomarbeit FZ)3"/>
    <w:basedOn w:val="DefaultParagraphFont"/>
    <w:uiPriority w:val="99"/>
    <w:semiHidden/>
    <w:unhideWhenUsed/>
    <w:rsid w:val="00CF785C"/>
    <w:rPr>
      <w:vertAlign w:val="superscript"/>
    </w:rPr>
  </w:style>
  <w:style w:type="table" w:styleId="TableGrid">
    <w:name w:val="Table Grid"/>
    <w:basedOn w:val="TableNormal"/>
    <w:uiPriority w:val="39"/>
    <w:rsid w:val="00AC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
    <w:qFormat/>
    <w:rsid w:val="000C6869"/>
    <w:pPr>
      <w:numPr>
        <w:numId w:val="4"/>
      </w:numPr>
      <w:spacing w:before="0" w:after="200" w:line="276" w:lineRule="auto"/>
    </w:pPr>
    <w:rPr>
      <w:rFonts w:ascii="Arial" w:eastAsia="Calibri" w:hAnsi="Arial"/>
      <w:sz w:val="22"/>
      <w:szCs w:val="22"/>
      <w:lang w:eastAsia="en-US"/>
    </w:rPr>
  </w:style>
  <w:style w:type="paragraph" w:styleId="ListNumber2">
    <w:name w:val="List Number 2"/>
    <w:basedOn w:val="Normal"/>
    <w:uiPriority w:val="10"/>
    <w:qFormat/>
    <w:rsid w:val="000C6869"/>
    <w:pPr>
      <w:numPr>
        <w:ilvl w:val="1"/>
        <w:numId w:val="4"/>
      </w:numPr>
      <w:spacing w:before="0" w:after="200" w:line="276" w:lineRule="auto"/>
    </w:pPr>
    <w:rPr>
      <w:rFonts w:ascii="Arial" w:eastAsia="Calibri" w:hAnsi="Arial"/>
      <w:sz w:val="22"/>
      <w:szCs w:val="22"/>
      <w:lang w:eastAsia="en-US"/>
    </w:rPr>
  </w:style>
  <w:style w:type="paragraph" w:styleId="ListNumber3">
    <w:name w:val="List Number 3"/>
    <w:basedOn w:val="Normal"/>
    <w:uiPriority w:val="11"/>
    <w:qFormat/>
    <w:rsid w:val="000C6869"/>
    <w:pPr>
      <w:numPr>
        <w:ilvl w:val="2"/>
        <w:numId w:val="4"/>
      </w:numPr>
      <w:spacing w:before="0" w:after="200" w:line="276" w:lineRule="auto"/>
    </w:pPr>
    <w:rPr>
      <w:rFonts w:ascii="Arial" w:eastAsia="Calibri" w:hAnsi="Arial"/>
      <w:sz w:val="22"/>
      <w:szCs w:val="22"/>
      <w:lang w:eastAsia="en-US"/>
    </w:rPr>
  </w:style>
  <w:style w:type="paragraph" w:styleId="ListNumber4">
    <w:name w:val="List Number 4"/>
    <w:basedOn w:val="Normal"/>
    <w:uiPriority w:val="99"/>
    <w:rsid w:val="000C6869"/>
    <w:pPr>
      <w:numPr>
        <w:ilvl w:val="3"/>
        <w:numId w:val="4"/>
      </w:numPr>
      <w:spacing w:before="0" w:after="200" w:line="276" w:lineRule="auto"/>
    </w:pPr>
    <w:rPr>
      <w:rFonts w:ascii="Arial" w:eastAsia="Calibri" w:hAnsi="Arial"/>
      <w:sz w:val="22"/>
      <w:szCs w:val="22"/>
      <w:lang w:eastAsia="en-US"/>
    </w:rPr>
  </w:style>
  <w:style w:type="paragraph" w:styleId="ListNumber5">
    <w:name w:val="List Number 5"/>
    <w:basedOn w:val="Normal"/>
    <w:uiPriority w:val="99"/>
    <w:rsid w:val="000C6869"/>
    <w:pPr>
      <w:numPr>
        <w:ilvl w:val="4"/>
        <w:numId w:val="4"/>
      </w:numPr>
      <w:spacing w:before="0" w:after="200" w:line="276" w:lineRule="auto"/>
    </w:pPr>
    <w:rPr>
      <w:rFonts w:ascii="Arial" w:eastAsia="Calibri" w:hAnsi="Arial"/>
      <w:sz w:val="22"/>
      <w:szCs w:val="22"/>
      <w:lang w:eastAsia="en-US"/>
    </w:rPr>
  </w:style>
  <w:style w:type="character" w:customStyle="1" w:styleId="Heading6Char">
    <w:name w:val="Heading 6 Char"/>
    <w:basedOn w:val="DefaultParagraphFont"/>
    <w:link w:val="Heading6"/>
    <w:uiPriority w:val="9"/>
    <w:semiHidden/>
    <w:rsid w:val="0016437F"/>
    <w:rPr>
      <w:rFonts w:asciiTheme="majorHAnsi" w:eastAsiaTheme="majorEastAsia" w:hAnsiTheme="majorHAnsi" w:cstheme="majorBidi"/>
      <w:color w:val="243F60" w:themeColor="accent1" w:themeShade="7F"/>
      <w:sz w:val="24"/>
    </w:rPr>
  </w:style>
  <w:style w:type="paragraph" w:customStyle="1" w:styleId="Normal1">
    <w:name w:val="Normal1"/>
    <w:basedOn w:val="Normal"/>
    <w:link w:val="NormalChar"/>
    <w:qFormat/>
    <w:rsid w:val="00663792"/>
    <w:pPr>
      <w:spacing w:before="240" w:after="0" w:line="312" w:lineRule="auto"/>
    </w:pPr>
    <w:rPr>
      <w:sz w:val="22"/>
      <w:lang w:eastAsia="en-US"/>
    </w:rPr>
  </w:style>
  <w:style w:type="character" w:customStyle="1" w:styleId="NormalChar">
    <w:name w:val="Normal Char"/>
    <w:link w:val="Normal1"/>
    <w:rsid w:val="00663792"/>
    <w:rPr>
      <w:sz w:val="22"/>
      <w:lang w:eastAsia="en-US"/>
    </w:rPr>
  </w:style>
  <w:style w:type="paragraph" w:styleId="Footer">
    <w:name w:val="footer"/>
    <w:basedOn w:val="Normal"/>
    <w:link w:val="FooterChar"/>
    <w:uiPriority w:val="99"/>
    <w:unhideWhenUsed/>
    <w:rsid w:val="0088560C"/>
    <w:pPr>
      <w:tabs>
        <w:tab w:val="center" w:pos="4513"/>
        <w:tab w:val="right" w:pos="9026"/>
      </w:tabs>
      <w:spacing w:before="0" w:after="0"/>
    </w:pPr>
    <w:rPr>
      <w:rFonts w:ascii="Arial" w:eastAsia="Calibri" w:hAnsi="Arial"/>
      <w:sz w:val="22"/>
      <w:szCs w:val="22"/>
      <w:lang w:eastAsia="en-US"/>
    </w:rPr>
  </w:style>
  <w:style w:type="character" w:customStyle="1" w:styleId="FooterChar">
    <w:name w:val="Footer Char"/>
    <w:basedOn w:val="DefaultParagraphFont"/>
    <w:link w:val="Footer"/>
    <w:uiPriority w:val="99"/>
    <w:rsid w:val="0088560C"/>
    <w:rPr>
      <w:rFonts w:ascii="Arial" w:eastAsia="Calibri" w:hAnsi="Arial"/>
      <w:sz w:val="22"/>
      <w:szCs w:val="22"/>
      <w:lang w:eastAsia="en-US"/>
    </w:rPr>
  </w:style>
  <w:style w:type="character" w:customStyle="1" w:styleId="CharSectno">
    <w:name w:val="CharSectno"/>
    <w:basedOn w:val="DefaultParagraphFont"/>
    <w:qFormat/>
    <w:rsid w:val="0088560C"/>
  </w:style>
  <w:style w:type="character" w:customStyle="1" w:styleId="CharDivNo">
    <w:name w:val="CharDivNo"/>
    <w:basedOn w:val="DefaultParagraphFont"/>
    <w:qFormat/>
    <w:rsid w:val="00C15EDB"/>
  </w:style>
  <w:style w:type="paragraph" w:customStyle="1" w:styleId="Tabletext">
    <w:name w:val="Tabletext"/>
    <w:aliases w:val="tt"/>
    <w:basedOn w:val="Normal"/>
    <w:rsid w:val="00EA1670"/>
    <w:pPr>
      <w:spacing w:before="60" w:after="0" w:line="240" w:lineRule="atLeast"/>
    </w:pPr>
    <w:rPr>
      <w:sz w:val="20"/>
    </w:rPr>
  </w:style>
  <w:style w:type="paragraph" w:customStyle="1" w:styleId="TableHeading">
    <w:name w:val="TableHeading"/>
    <w:aliases w:val="th"/>
    <w:basedOn w:val="Normal"/>
    <w:next w:val="Tabletext"/>
    <w:rsid w:val="00EA1670"/>
    <w:pPr>
      <w:keepNext/>
      <w:spacing w:before="60" w:after="0" w:line="240" w:lineRule="atLeast"/>
    </w:pPr>
    <w:rPr>
      <w:b/>
      <w:sz w:val="20"/>
    </w:rPr>
  </w:style>
  <w:style w:type="character" w:customStyle="1" w:styleId="CharSubdNo">
    <w:name w:val="CharSubdNo"/>
    <w:basedOn w:val="DefaultParagraphFont"/>
    <w:uiPriority w:val="1"/>
    <w:qFormat/>
    <w:rsid w:val="00F51ADD"/>
  </w:style>
  <w:style w:type="character" w:customStyle="1" w:styleId="CharDivText">
    <w:name w:val="CharDivText"/>
    <w:basedOn w:val="DefaultParagraphFont"/>
    <w:qFormat/>
    <w:rsid w:val="00F51ADD"/>
  </w:style>
  <w:style w:type="paragraph" w:styleId="Header">
    <w:name w:val="header"/>
    <w:basedOn w:val="Normal"/>
    <w:link w:val="HeaderChar"/>
    <w:uiPriority w:val="26"/>
    <w:unhideWhenUsed/>
    <w:rsid w:val="00006FA6"/>
    <w:pPr>
      <w:tabs>
        <w:tab w:val="center" w:pos="4513"/>
        <w:tab w:val="right" w:pos="9026"/>
      </w:tabs>
      <w:spacing w:before="0" w:after="0"/>
    </w:pPr>
  </w:style>
  <w:style w:type="character" w:customStyle="1" w:styleId="HeaderChar">
    <w:name w:val="Header Char"/>
    <w:basedOn w:val="DefaultParagraphFont"/>
    <w:link w:val="Header"/>
    <w:uiPriority w:val="26"/>
    <w:rsid w:val="00006FA6"/>
    <w:rPr>
      <w:sz w:val="24"/>
    </w:rPr>
  </w:style>
  <w:style w:type="character" w:customStyle="1" w:styleId="CharSubdText">
    <w:name w:val="CharSubdText"/>
    <w:basedOn w:val="DefaultParagraphFont"/>
    <w:uiPriority w:val="1"/>
    <w:qFormat/>
    <w:rsid w:val="00613826"/>
  </w:style>
  <w:style w:type="paragraph" w:customStyle="1" w:styleId="sbFirstSection">
    <w:name w:val="sb_First_Section"/>
    <w:basedOn w:val="Normal"/>
    <w:qFormat/>
    <w:rsid w:val="007912BB"/>
    <w:pPr>
      <w:spacing w:before="0" w:after="0" w:line="160" w:lineRule="exact"/>
    </w:pPr>
    <w:rPr>
      <w:rFonts w:eastAsia="Calibri"/>
      <w:sz w:val="16"/>
      <w:lang w:eastAsia="en-US"/>
    </w:rPr>
  </w:style>
  <w:style w:type="paragraph" w:styleId="Revision">
    <w:name w:val="Revision"/>
    <w:hidden/>
    <w:uiPriority w:val="99"/>
    <w:semiHidden/>
    <w:rsid w:val="00C970F0"/>
    <w:rPr>
      <w:sz w:val="24"/>
    </w:rPr>
  </w:style>
  <w:style w:type="paragraph" w:customStyle="1" w:styleId="h5SchItem">
    <w:name w:val="h5_Sch_Item"/>
    <w:basedOn w:val="Normal"/>
    <w:next w:val="Normal"/>
    <w:qFormat/>
    <w:rsid w:val="007D38F7"/>
    <w:pPr>
      <w:keepNext/>
      <w:keepLines/>
      <w:spacing w:before="360" w:after="60"/>
      <w:ind w:left="964" w:hanging="964"/>
    </w:pPr>
    <w:rPr>
      <w:rFonts w:ascii="Arial" w:hAnsi="Arial" w:cs="Arial"/>
      <w:b/>
      <w:bCs/>
      <w:kern w:val="32"/>
      <w:szCs w:val="32"/>
    </w:rPr>
  </w:style>
  <w:style w:type="paragraph" w:styleId="Caption">
    <w:name w:val="caption"/>
    <w:basedOn w:val="Normal"/>
    <w:next w:val="Normal"/>
    <w:uiPriority w:val="12"/>
    <w:unhideWhenUsed/>
    <w:qFormat/>
    <w:rsid w:val="003F47E4"/>
    <w:pPr>
      <w:spacing w:before="0"/>
    </w:pPr>
    <w:rPr>
      <w:rFonts w:asciiTheme="minorHAnsi" w:eastAsiaTheme="minorHAnsi" w:hAnsiTheme="minorHAnsi" w:cstheme="minorBidi"/>
      <w:i/>
      <w:iCs/>
      <w:color w:val="1F497D" w:themeColor="text2"/>
      <w:sz w:val="22"/>
      <w:szCs w:val="18"/>
      <w:lang w:eastAsia="en-US"/>
    </w:rPr>
  </w:style>
  <w:style w:type="character" w:styleId="FollowedHyperlink">
    <w:name w:val="FollowedHyperlink"/>
    <w:basedOn w:val="DefaultParagraphFont"/>
    <w:uiPriority w:val="99"/>
    <w:semiHidden/>
    <w:unhideWhenUsed/>
    <w:rsid w:val="007A5F44"/>
    <w:rPr>
      <w:color w:val="800080" w:themeColor="followedHyperlink"/>
      <w:u w:val="single"/>
    </w:rPr>
  </w:style>
  <w:style w:type="paragraph" w:customStyle="1" w:styleId="definition">
    <w:name w:val="definition"/>
    <w:basedOn w:val="Normal"/>
    <w:rsid w:val="00A02B59"/>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197180"/>
    <w:rPr>
      <w:color w:val="605E5C"/>
      <w:shd w:val="clear" w:color="auto" w:fill="E1DFDD"/>
    </w:rPr>
  </w:style>
  <w:style w:type="paragraph" w:customStyle="1" w:styleId="TableText0">
    <w:name w:val="Table Text"/>
    <w:basedOn w:val="Normal"/>
    <w:uiPriority w:val="13"/>
    <w:qFormat/>
    <w:rsid w:val="00A6325F"/>
    <w:pPr>
      <w:spacing w:before="60" w:after="60"/>
    </w:pPr>
    <w:rPr>
      <w:rFonts w:asciiTheme="minorHAnsi" w:eastAsiaTheme="minorHAnsi" w:hAnsiTheme="minorHAnsi" w:cstheme="minorBidi"/>
      <w:sz w:val="18"/>
      <w:szCs w:val="22"/>
      <w:lang w:eastAsia="en-US"/>
    </w:rPr>
  </w:style>
  <w:style w:type="character" w:customStyle="1" w:styleId="normaltextrun">
    <w:name w:val="normaltextrun"/>
    <w:basedOn w:val="DefaultParagraphFont"/>
    <w:rsid w:val="00C81EBC"/>
  </w:style>
  <w:style w:type="character" w:customStyle="1" w:styleId="eop">
    <w:name w:val="eop"/>
    <w:basedOn w:val="DefaultParagraphFont"/>
    <w:rsid w:val="00C81EBC"/>
  </w:style>
  <w:style w:type="character" w:styleId="Mention">
    <w:name w:val="Mention"/>
    <w:basedOn w:val="DefaultParagraphFont"/>
    <w:uiPriority w:val="99"/>
    <w:unhideWhenUsed/>
    <w:rsid w:val="00CD691D"/>
    <w:rPr>
      <w:color w:val="2B579A"/>
      <w:shd w:val="clear" w:color="auto" w:fill="E1DFDD"/>
    </w:rPr>
  </w:style>
  <w:style w:type="character" w:customStyle="1" w:styleId="ui-provider">
    <w:name w:val="ui-provider"/>
    <w:basedOn w:val="DefaultParagraphFont"/>
    <w:rsid w:val="00F034AC"/>
  </w:style>
  <w:style w:type="paragraph" w:customStyle="1" w:styleId="Definition0">
    <w:name w:val="Definition"/>
    <w:aliases w:val="dd,t_Defn"/>
    <w:basedOn w:val="Normal"/>
    <w:uiPriority w:val="99"/>
    <w:rsid w:val="0040229A"/>
    <w:pPr>
      <w:spacing w:before="180" w:after="0"/>
      <w:ind w:left="1134"/>
    </w:pPr>
    <w:rPr>
      <w:color w:val="000000"/>
      <w:sz w:val="22"/>
    </w:rPr>
  </w:style>
  <w:style w:type="paragraph" w:customStyle="1" w:styleId="notetext">
    <w:name w:val="note(text)"/>
    <w:aliases w:val="n,n_Main"/>
    <w:basedOn w:val="Normal"/>
    <w:link w:val="notetextChar"/>
    <w:qFormat/>
    <w:rsid w:val="0040229A"/>
    <w:pPr>
      <w:spacing w:before="122" w:after="0" w:line="198" w:lineRule="exact"/>
      <w:ind w:left="1985" w:hanging="851"/>
    </w:pPr>
    <w:rPr>
      <w:color w:val="000000"/>
      <w:sz w:val="18"/>
    </w:rPr>
  </w:style>
  <w:style w:type="character" w:customStyle="1" w:styleId="notetextChar">
    <w:name w:val="note(text) Char"/>
    <w:aliases w:val="n Char"/>
    <w:basedOn w:val="DefaultParagraphFont"/>
    <w:link w:val="notetext"/>
    <w:locked/>
    <w:rsid w:val="0040229A"/>
    <w:rPr>
      <w:color w:val="000000"/>
      <w:sz w:val="18"/>
    </w:rPr>
  </w:style>
  <w:style w:type="paragraph" w:styleId="NormalWeb">
    <w:name w:val="Normal (Web)"/>
    <w:basedOn w:val="Normal"/>
    <w:uiPriority w:val="99"/>
    <w:unhideWhenUsed/>
    <w:rsid w:val="00603566"/>
    <w:pPr>
      <w:spacing w:before="100" w:beforeAutospacing="1" w:after="100" w:afterAutospacing="1"/>
    </w:pPr>
    <w:rPr>
      <w:szCs w:val="24"/>
    </w:rPr>
  </w:style>
  <w:style w:type="character" w:customStyle="1" w:styleId="Heading5Char">
    <w:name w:val="Heading 5 Char"/>
    <w:basedOn w:val="DefaultParagraphFont"/>
    <w:link w:val="Heading5"/>
    <w:uiPriority w:val="6"/>
    <w:rsid w:val="009A6A29"/>
    <w:rPr>
      <w:rFonts w:ascii="Calibri" w:eastAsiaTheme="minorHAnsi" w:hAnsi="Calibri" w:cstheme="minorBidi"/>
      <w:i/>
      <w:sz w:val="22"/>
      <w:szCs w:val="22"/>
      <w:lang w:eastAsia="en-US"/>
    </w:rPr>
  </w:style>
  <w:style w:type="numbering" w:customStyle="1" w:styleId="NoList1">
    <w:name w:val="No List1"/>
    <w:next w:val="NoList"/>
    <w:uiPriority w:val="99"/>
    <w:semiHidden/>
    <w:unhideWhenUsed/>
    <w:rsid w:val="009A6A29"/>
  </w:style>
  <w:style w:type="character" w:customStyle="1" w:styleId="Heading1Char">
    <w:name w:val="Heading 1 Char"/>
    <w:basedOn w:val="DefaultParagraphFont"/>
    <w:link w:val="Heading1"/>
    <w:uiPriority w:val="1"/>
    <w:rsid w:val="009A6A29"/>
    <w:rPr>
      <w:rFonts w:ascii="Arial Bold" w:hAnsi="Arial Bold"/>
      <w:b/>
      <w:kern w:val="28"/>
      <w:sz w:val="28"/>
      <w:u w:val="single"/>
    </w:rPr>
  </w:style>
  <w:style w:type="character" w:customStyle="1" w:styleId="Heading2Char">
    <w:name w:val="Heading 2 Char"/>
    <w:basedOn w:val="DefaultParagraphFont"/>
    <w:link w:val="Heading2"/>
    <w:uiPriority w:val="3"/>
    <w:rsid w:val="009A6A29"/>
    <w:rPr>
      <w:b/>
      <w:sz w:val="28"/>
      <w:u w:val="single"/>
    </w:rPr>
  </w:style>
  <w:style w:type="character" w:customStyle="1" w:styleId="Heading4Char">
    <w:name w:val="Heading 4 Char"/>
    <w:basedOn w:val="DefaultParagraphFont"/>
    <w:link w:val="Heading4"/>
    <w:uiPriority w:val="5"/>
    <w:rsid w:val="009A6A29"/>
    <w:rPr>
      <w:b/>
      <w:kern w:val="28"/>
      <w:sz w:val="24"/>
    </w:rPr>
  </w:style>
  <w:style w:type="table" w:customStyle="1" w:styleId="TableGrid1">
    <w:name w:val="Table Grid1"/>
    <w:basedOn w:val="TableNormal"/>
    <w:next w:val="TableGrid"/>
    <w:uiPriority w:val="59"/>
    <w:rsid w:val="009A6A29"/>
    <w:pPr>
      <w:spacing w:before="60" w:after="60"/>
    </w:pPr>
    <w:rPr>
      <w:rFonts w:ascii="Cambria" w:hAnsi="Cambr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9A6A29"/>
  </w:style>
  <w:style w:type="paragraph" w:styleId="Quote">
    <w:name w:val="Quote"/>
    <w:basedOn w:val="Normal"/>
    <w:next w:val="Normal"/>
    <w:link w:val="QuoteChar"/>
    <w:uiPriority w:val="18"/>
    <w:qFormat/>
    <w:rsid w:val="009A6A29"/>
    <w:pPr>
      <w:spacing w:before="0" w:after="200" w:line="276" w:lineRule="auto"/>
      <w:ind w:left="709" w:right="567"/>
    </w:pPr>
    <w:rPr>
      <w:rFonts w:asciiTheme="minorHAnsi" w:eastAsiaTheme="minorHAnsi" w:hAnsiTheme="minorHAnsi" w:cstheme="minorBidi"/>
      <w:iCs/>
      <w:color w:val="000000"/>
      <w:sz w:val="22"/>
      <w:szCs w:val="22"/>
      <w:lang w:eastAsia="en-US"/>
    </w:rPr>
  </w:style>
  <w:style w:type="character" w:customStyle="1" w:styleId="QuoteChar">
    <w:name w:val="Quote Char"/>
    <w:basedOn w:val="DefaultParagraphFont"/>
    <w:link w:val="Quote"/>
    <w:uiPriority w:val="18"/>
    <w:rsid w:val="009A6A29"/>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semiHidden/>
    <w:qFormat/>
    <w:rsid w:val="009A6A29"/>
    <w:pPr>
      <w:pBdr>
        <w:top w:val="single" w:sz="4" w:space="10" w:color="auto"/>
        <w:left w:val="single" w:sz="4" w:space="10" w:color="auto"/>
        <w:bottom w:val="single" w:sz="4" w:space="10" w:color="auto"/>
        <w:right w:val="single" w:sz="4" w:space="10" w:color="auto"/>
      </w:pBdr>
      <w:spacing w:line="276" w:lineRule="auto"/>
    </w:pPr>
    <w:rPr>
      <w:rFonts w:asciiTheme="minorHAnsi" w:eastAsiaTheme="minorHAnsi" w:hAnsiTheme="minorHAnsi" w:cstheme="minorBidi"/>
      <w:sz w:val="20"/>
      <w:szCs w:val="22"/>
      <w:lang w:eastAsia="en-US"/>
    </w:rPr>
  </w:style>
  <w:style w:type="paragraph" w:customStyle="1" w:styleId="FigureTableNoteSource">
    <w:name w:val="Figure/Table Note/Source"/>
    <w:basedOn w:val="Normal"/>
    <w:next w:val="Normal"/>
    <w:uiPriority w:val="16"/>
    <w:qFormat/>
    <w:rsid w:val="009A6A29"/>
    <w:pPr>
      <w:spacing w:after="200" w:line="264" w:lineRule="auto"/>
      <w:contextualSpacing/>
    </w:pPr>
    <w:rPr>
      <w:rFonts w:ascii="Calibri" w:eastAsiaTheme="minorHAnsi" w:hAnsi="Calibri" w:cstheme="minorBidi"/>
      <w:sz w:val="18"/>
      <w:szCs w:val="22"/>
      <w:lang w:eastAsia="en-US"/>
    </w:rPr>
  </w:style>
  <w:style w:type="paragraph" w:styleId="Subtitle">
    <w:name w:val="Subtitle"/>
    <w:basedOn w:val="Heading1"/>
    <w:next w:val="Normal"/>
    <w:link w:val="SubtitleChar"/>
    <w:uiPriority w:val="23"/>
    <w:qFormat/>
    <w:rsid w:val="009A6A29"/>
    <w:pPr>
      <w:keepNext w:val="0"/>
      <w:widowControl w:val="0"/>
      <w:spacing w:before="120" w:after="120"/>
      <w:contextualSpacing/>
      <w:jc w:val="left"/>
    </w:pPr>
    <w:rPr>
      <w:rFonts w:ascii="Calibri" w:eastAsiaTheme="minorHAnsi" w:hAnsi="Calibri" w:cstheme="minorBidi"/>
      <w:b w:val="0"/>
      <w:bCs/>
      <w:spacing w:val="5"/>
      <w:szCs w:val="56"/>
      <w:u w:val="none"/>
      <w:lang w:eastAsia="en-US"/>
    </w:rPr>
  </w:style>
  <w:style w:type="character" w:customStyle="1" w:styleId="SubtitleChar">
    <w:name w:val="Subtitle Char"/>
    <w:basedOn w:val="DefaultParagraphFont"/>
    <w:link w:val="Subtitle"/>
    <w:uiPriority w:val="23"/>
    <w:rsid w:val="009A6A29"/>
    <w:rPr>
      <w:rFonts w:ascii="Calibri" w:eastAsiaTheme="minorHAnsi" w:hAnsi="Calibri" w:cstheme="minorBidi"/>
      <w:bCs/>
      <w:spacing w:val="5"/>
      <w:kern w:val="28"/>
      <w:sz w:val="28"/>
      <w:szCs w:val="56"/>
      <w:lang w:eastAsia="en-US"/>
    </w:rPr>
  </w:style>
  <w:style w:type="paragraph" w:styleId="TOCHeading">
    <w:name w:val="TOC Heading"/>
    <w:next w:val="Normal"/>
    <w:uiPriority w:val="39"/>
    <w:semiHidden/>
    <w:qFormat/>
    <w:rsid w:val="009A6A29"/>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semiHidden/>
    <w:qFormat/>
    <w:rsid w:val="009A6A29"/>
    <w:pPr>
      <w:tabs>
        <w:tab w:val="left" w:pos="426"/>
        <w:tab w:val="right" w:leader="dot" w:pos="9072"/>
      </w:tabs>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semiHidden/>
    <w:qFormat/>
    <w:rsid w:val="009A6A29"/>
    <w:pPr>
      <w:tabs>
        <w:tab w:val="right" w:leader="dot" w:pos="9060"/>
      </w:tabs>
      <w:ind w:firstLine="425"/>
    </w:pPr>
    <w:rPr>
      <w:rFonts w:asciiTheme="minorHAnsi" w:eastAsiaTheme="minorHAnsi" w:hAnsiTheme="minorHAnsi" w:cstheme="minorBidi"/>
      <w:noProof/>
      <w:sz w:val="22"/>
      <w:szCs w:val="22"/>
      <w:lang w:eastAsia="en-US"/>
    </w:rPr>
  </w:style>
  <w:style w:type="paragraph" w:styleId="TOC3">
    <w:name w:val="toc 3"/>
    <w:basedOn w:val="Normal"/>
    <w:next w:val="Normal"/>
    <w:uiPriority w:val="39"/>
    <w:semiHidden/>
    <w:qFormat/>
    <w:rsid w:val="009A6A29"/>
    <w:pPr>
      <w:tabs>
        <w:tab w:val="right" w:leader="dot" w:pos="9072"/>
      </w:tabs>
      <w:ind w:firstLine="851"/>
    </w:pPr>
    <w:rPr>
      <w:rFonts w:asciiTheme="minorHAnsi" w:eastAsiaTheme="minorHAnsi" w:hAnsiTheme="minorHAnsi" w:cstheme="minorBidi"/>
      <w:noProof/>
      <w:sz w:val="22"/>
      <w:szCs w:val="22"/>
      <w:lang w:eastAsia="en-US"/>
    </w:rPr>
  </w:style>
  <w:style w:type="paragraph" w:styleId="TableofFigures">
    <w:name w:val="table of figures"/>
    <w:basedOn w:val="Normal"/>
    <w:next w:val="Normal"/>
    <w:uiPriority w:val="99"/>
    <w:rsid w:val="009A6A29"/>
    <w:rPr>
      <w:rFonts w:asciiTheme="minorHAnsi" w:eastAsiaTheme="minorHAnsi" w:hAnsiTheme="minorHAnsi" w:cstheme="minorBidi"/>
      <w:sz w:val="22"/>
      <w:szCs w:val="22"/>
      <w:lang w:eastAsia="en-US"/>
    </w:rPr>
  </w:style>
  <w:style w:type="paragraph" w:styleId="ListBullet2">
    <w:name w:val="List Bullet 2"/>
    <w:basedOn w:val="Normal"/>
    <w:uiPriority w:val="8"/>
    <w:qFormat/>
    <w:rsid w:val="009A6A29"/>
    <w:pPr>
      <w:spacing w:line="276" w:lineRule="auto"/>
      <w:ind w:left="851" w:hanging="426"/>
      <w:contextualSpacing/>
    </w:pPr>
    <w:rPr>
      <w:rFonts w:asciiTheme="minorHAnsi" w:eastAsiaTheme="minorHAnsi" w:hAnsiTheme="minorHAnsi" w:cstheme="minorBidi"/>
      <w:sz w:val="22"/>
      <w:szCs w:val="22"/>
      <w:lang w:eastAsia="en-US"/>
    </w:rPr>
  </w:style>
  <w:style w:type="table" w:customStyle="1" w:styleId="LightShading1">
    <w:name w:val="Light Shading1"/>
    <w:basedOn w:val="TableNormal"/>
    <w:uiPriority w:val="60"/>
    <w:rsid w:val="009A6A29"/>
    <w:rPr>
      <w:rFonts w:ascii="Cambria" w:eastAsia="Cambria" w:hAnsi="Cambri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0"/>
    <w:uiPriority w:val="60"/>
    <w:rsid w:val="009A6A29"/>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0">
    <w:name w:val="Table Grid 1"/>
    <w:basedOn w:val="TableNormal"/>
    <w:uiPriority w:val="99"/>
    <w:semiHidden/>
    <w:unhideWhenUsed/>
    <w:rsid w:val="009A6A29"/>
    <w:pPr>
      <w:spacing w:after="200" w:line="280" w:lineRule="atLeast"/>
    </w:pPr>
    <w:rPr>
      <w:rFonts w:ascii="Cambria" w:eastAsia="Cambria"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0">
    <w:name w:val="Table Heading"/>
    <w:basedOn w:val="TableText0"/>
    <w:uiPriority w:val="14"/>
    <w:qFormat/>
    <w:rsid w:val="009A6A29"/>
    <w:pPr>
      <w:keepNext/>
    </w:pPr>
    <w:rPr>
      <w:b/>
    </w:rPr>
  </w:style>
  <w:style w:type="paragraph" w:customStyle="1" w:styleId="Author">
    <w:name w:val="Author"/>
    <w:basedOn w:val="Normal"/>
    <w:next w:val="Normal"/>
    <w:uiPriority w:val="24"/>
    <w:qFormat/>
    <w:rsid w:val="009A6A29"/>
    <w:pPr>
      <w:spacing w:before="0" w:after="60" w:line="276" w:lineRule="auto"/>
    </w:pPr>
    <w:rPr>
      <w:rFonts w:asciiTheme="minorHAnsi" w:eastAsiaTheme="minorHAnsi" w:hAnsiTheme="minorHAnsi" w:cstheme="minorBidi"/>
      <w:b/>
      <w:szCs w:val="28"/>
      <w:lang w:eastAsia="en-US"/>
    </w:rPr>
  </w:style>
  <w:style w:type="paragraph" w:customStyle="1" w:styleId="AuthorOrganisationAffiliation">
    <w:name w:val="Author Organisation/Affiliation"/>
    <w:basedOn w:val="Normal"/>
    <w:next w:val="Normal"/>
    <w:uiPriority w:val="25"/>
    <w:qFormat/>
    <w:rsid w:val="009A6A29"/>
    <w:pPr>
      <w:spacing w:before="0" w:after="720" w:line="276" w:lineRule="auto"/>
    </w:pPr>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9A6A29"/>
    <w:rPr>
      <w:b/>
      <w:bCs/>
    </w:rPr>
  </w:style>
  <w:style w:type="paragraph" w:customStyle="1" w:styleId="Glossary">
    <w:name w:val="Glossary"/>
    <w:basedOn w:val="Normal"/>
    <w:link w:val="GlossaryChar"/>
    <w:uiPriority w:val="28"/>
    <w:semiHidden/>
    <w:locked/>
    <w:rsid w:val="009A6A29"/>
    <w:pPr>
      <w:spacing w:line="276" w:lineRule="auto"/>
      <w:ind w:left="2126" w:hanging="2126"/>
    </w:pPr>
    <w:rPr>
      <w:rFonts w:asciiTheme="minorHAnsi" w:eastAsia="Calibri" w:hAnsiTheme="minorHAnsi" w:cstheme="minorBidi"/>
      <w:color w:val="000000"/>
      <w:sz w:val="22"/>
      <w:szCs w:val="22"/>
      <w:lang w:eastAsia="en-US"/>
    </w:rPr>
  </w:style>
  <w:style w:type="character" w:customStyle="1" w:styleId="GlossaryChar">
    <w:name w:val="Glossary Char"/>
    <w:basedOn w:val="DefaultParagraphFont"/>
    <w:link w:val="Glossary"/>
    <w:uiPriority w:val="28"/>
    <w:semiHidden/>
    <w:rsid w:val="009A6A29"/>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9A6A29"/>
    <w:rPr>
      <w:i/>
      <w:iCs/>
    </w:rPr>
  </w:style>
  <w:style w:type="paragraph" w:styleId="TOAHeading">
    <w:name w:val="toa heading"/>
    <w:basedOn w:val="Heading1"/>
    <w:next w:val="Normal"/>
    <w:uiPriority w:val="99"/>
    <w:semiHidden/>
    <w:unhideWhenUsed/>
    <w:rsid w:val="009A6A29"/>
    <w:pPr>
      <w:keepNext w:val="0"/>
      <w:widowControl w:val="0"/>
      <w:spacing w:before="120" w:after="120"/>
      <w:contextualSpacing/>
      <w:jc w:val="left"/>
    </w:pPr>
    <w:rPr>
      <w:rFonts w:ascii="Calibri" w:eastAsiaTheme="minorHAnsi" w:hAnsi="Calibri" w:cstheme="minorBidi"/>
      <w:spacing w:val="5"/>
      <w:sz w:val="24"/>
      <w:szCs w:val="28"/>
      <w:u w:val="none"/>
      <w:lang w:eastAsia="en-US"/>
    </w:rPr>
  </w:style>
  <w:style w:type="paragraph" w:customStyle="1" w:styleId="BoxTextBullet">
    <w:name w:val="Box Text Bullet"/>
    <w:basedOn w:val="BoxText"/>
    <w:uiPriority w:val="21"/>
    <w:semiHidden/>
    <w:qFormat/>
    <w:rsid w:val="009A6A29"/>
    <w:pPr>
      <w:numPr>
        <w:numId w:val="10"/>
      </w:numPr>
      <w:ind w:left="357" w:hanging="357"/>
    </w:pPr>
  </w:style>
  <w:style w:type="paragraph" w:customStyle="1" w:styleId="TableBullet1">
    <w:name w:val="Table Bullet 1"/>
    <w:basedOn w:val="TableText0"/>
    <w:uiPriority w:val="15"/>
    <w:qFormat/>
    <w:rsid w:val="009A6A29"/>
    <w:pPr>
      <w:numPr>
        <w:numId w:val="11"/>
      </w:numPr>
      <w:ind w:left="284" w:hanging="284"/>
    </w:pPr>
  </w:style>
  <w:style w:type="paragraph" w:styleId="DocumentMap">
    <w:name w:val="Document Map"/>
    <w:basedOn w:val="Normal"/>
    <w:link w:val="DocumentMapChar"/>
    <w:uiPriority w:val="99"/>
    <w:semiHidden/>
    <w:unhideWhenUsed/>
    <w:rsid w:val="009A6A29"/>
    <w:pPr>
      <w:spacing w:before="0" w:after="0"/>
    </w:pPr>
    <w:rPr>
      <w:rFonts w:ascii="Tahoma" w:eastAsiaTheme="minorHAnsi" w:hAnsi="Tahoma" w:cs="Tahoma"/>
      <w:sz w:val="16"/>
      <w:szCs w:val="16"/>
      <w:lang w:eastAsia="en-US"/>
    </w:rPr>
  </w:style>
  <w:style w:type="character" w:customStyle="1" w:styleId="DocumentMapChar">
    <w:name w:val="Document Map Char"/>
    <w:basedOn w:val="DefaultParagraphFont"/>
    <w:link w:val="DocumentMap"/>
    <w:uiPriority w:val="99"/>
    <w:semiHidden/>
    <w:rsid w:val="009A6A29"/>
    <w:rPr>
      <w:rFonts w:ascii="Tahoma" w:eastAsiaTheme="minorHAnsi" w:hAnsi="Tahoma" w:cs="Tahoma"/>
      <w:sz w:val="16"/>
      <w:szCs w:val="16"/>
      <w:lang w:eastAsia="en-US"/>
    </w:rPr>
  </w:style>
  <w:style w:type="paragraph" w:customStyle="1" w:styleId="BoxHeading">
    <w:name w:val="Box Heading"/>
    <w:basedOn w:val="BoxText"/>
    <w:uiPriority w:val="20"/>
    <w:semiHidden/>
    <w:qFormat/>
    <w:rsid w:val="009A6A29"/>
    <w:pPr>
      <w:spacing w:line="240" w:lineRule="auto"/>
    </w:pPr>
    <w:rPr>
      <w:b/>
    </w:rPr>
  </w:style>
  <w:style w:type="paragraph" w:customStyle="1" w:styleId="Headersecurityclassification">
    <w:name w:val="Header security classification"/>
    <w:basedOn w:val="Header"/>
    <w:next w:val="Header"/>
    <w:uiPriority w:val="26"/>
    <w:qFormat/>
    <w:rsid w:val="009A6A29"/>
    <w:pPr>
      <w:tabs>
        <w:tab w:val="clear" w:pos="4513"/>
        <w:tab w:val="clear" w:pos="9026"/>
        <w:tab w:val="center" w:pos="4820"/>
      </w:tabs>
      <w:jc w:val="center"/>
    </w:pPr>
    <w:rPr>
      <w:rFonts w:ascii="Calibri" w:eastAsiaTheme="minorHAnsi" w:hAnsi="Calibri" w:cstheme="minorBidi"/>
      <w:b/>
      <w:color w:val="FF0000"/>
      <w:sz w:val="28"/>
      <w:szCs w:val="36"/>
      <w:lang w:eastAsia="en-US"/>
    </w:rPr>
  </w:style>
  <w:style w:type="paragraph" w:customStyle="1" w:styleId="DisseminationLimitingMarker">
    <w:name w:val="Dissemination Limiting Marker"/>
    <w:basedOn w:val="Header"/>
    <w:next w:val="Header"/>
    <w:uiPriority w:val="27"/>
    <w:semiHidden/>
    <w:rsid w:val="009A6A29"/>
    <w:pPr>
      <w:tabs>
        <w:tab w:val="clear" w:pos="4513"/>
        <w:tab w:val="clear" w:pos="9026"/>
        <w:tab w:val="center" w:pos="4820"/>
      </w:tabs>
      <w:jc w:val="center"/>
    </w:pPr>
    <w:rPr>
      <w:rFonts w:ascii="Calibri" w:eastAsiaTheme="minorHAnsi" w:hAnsi="Calibri" w:cstheme="minorBidi"/>
      <w:b/>
      <w:sz w:val="36"/>
      <w:szCs w:val="36"/>
      <w:lang w:eastAsia="en-US"/>
    </w:rPr>
  </w:style>
  <w:style w:type="paragraph" w:styleId="EndnoteText">
    <w:name w:val="endnote text"/>
    <w:basedOn w:val="Normal"/>
    <w:link w:val="EndnoteTextChar"/>
    <w:uiPriority w:val="99"/>
    <w:unhideWhenUsed/>
    <w:rsid w:val="009A6A29"/>
    <w:pPr>
      <w:spacing w:before="0" w:after="60" w:line="264" w:lineRule="auto"/>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rsid w:val="009A6A29"/>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9A6A29"/>
    <w:rPr>
      <w:vertAlign w:val="superscript"/>
    </w:rPr>
  </w:style>
  <w:style w:type="paragraph" w:customStyle="1" w:styleId="BoxSource">
    <w:name w:val="Box Source"/>
    <w:basedOn w:val="FigureTableNoteSource"/>
    <w:uiPriority w:val="22"/>
    <w:semiHidden/>
    <w:qFormat/>
    <w:rsid w:val="009A6A29"/>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9A6A29"/>
    <w:pPr>
      <w:numPr>
        <w:numId w:val="12"/>
      </w:numPr>
    </w:pPr>
  </w:style>
  <w:style w:type="paragraph" w:customStyle="1" w:styleId="TOCHeading2">
    <w:name w:val="TOC Heading 2"/>
    <w:next w:val="Normal"/>
    <w:semiHidden/>
    <w:qFormat/>
    <w:rsid w:val="009A6A29"/>
    <w:rPr>
      <w:rFonts w:ascii="Calibri Light" w:eastAsiaTheme="minorHAnsi" w:hAnsi="Calibri Light" w:cstheme="minorBidi"/>
      <w:sz w:val="36"/>
      <w:szCs w:val="22"/>
      <w:lang w:eastAsia="en-US"/>
    </w:rPr>
  </w:style>
  <w:style w:type="numbering" w:customStyle="1" w:styleId="Numberlist">
    <w:name w:val="Number list"/>
    <w:uiPriority w:val="99"/>
    <w:rsid w:val="009A6A29"/>
    <w:pPr>
      <w:numPr>
        <w:numId w:val="13"/>
      </w:numPr>
    </w:pPr>
  </w:style>
  <w:style w:type="numbering" w:customStyle="1" w:styleId="Headinglist">
    <w:name w:val="Heading list"/>
    <w:uiPriority w:val="99"/>
    <w:rsid w:val="009A6A29"/>
    <w:pPr>
      <w:numPr>
        <w:numId w:val="14"/>
      </w:numPr>
    </w:pPr>
  </w:style>
  <w:style w:type="paragraph" w:customStyle="1" w:styleId="Normalsmall">
    <w:name w:val="Normal small"/>
    <w:qFormat/>
    <w:rsid w:val="009A6A29"/>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9A6A29"/>
    <w:pPr>
      <w:spacing w:before="0" w:after="200" w:line="276" w:lineRule="auto"/>
      <w:ind w:left="1276" w:hanging="425"/>
      <w:contextualSpacing/>
    </w:pPr>
    <w:rPr>
      <w:rFonts w:asciiTheme="minorHAnsi" w:eastAsiaTheme="minorHAnsi" w:hAnsiTheme="minorHAnsi" w:cstheme="minorBidi"/>
      <w:sz w:val="22"/>
      <w:szCs w:val="22"/>
      <w:lang w:eastAsia="en-US"/>
    </w:rPr>
  </w:style>
  <w:style w:type="table" w:customStyle="1" w:styleId="ABARESTableleftrightalign">
    <w:name w:val="ABARES Table (left/right align)"/>
    <w:basedOn w:val="TableNormal"/>
    <w:uiPriority w:val="99"/>
    <w:rsid w:val="009A6A2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rsid w:val="009A6A29"/>
    <w:pPr>
      <w:spacing w:before="60" w:after="60"/>
    </w:pPr>
    <w:rPr>
      <w:rFonts w:ascii="Cambria" w:eastAsia="Calibri" w:hAnsi="Cambria"/>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9A6A29"/>
    <w:pPr>
      <w:numPr>
        <w:numId w:val="15"/>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qFormat/>
    <w:rsid w:val="009A6A29"/>
    <w:rPr>
      <w:i/>
      <w:iCs/>
      <w:color w:val="4F81BD" w:themeColor="accent1"/>
    </w:rPr>
  </w:style>
  <w:style w:type="paragraph" w:customStyle="1" w:styleId="TableBullet2">
    <w:name w:val="Table Bullet 2"/>
    <w:basedOn w:val="TableBullet1"/>
    <w:qFormat/>
    <w:rsid w:val="009A6A29"/>
    <w:pPr>
      <w:numPr>
        <w:numId w:val="17"/>
      </w:numPr>
      <w:tabs>
        <w:tab w:val="num" w:pos="284"/>
      </w:tabs>
      <w:ind w:left="568" w:hanging="284"/>
    </w:pPr>
  </w:style>
  <w:style w:type="numbering" w:customStyle="1" w:styleId="TableBulletlist">
    <w:name w:val="Table Bullet list"/>
    <w:uiPriority w:val="99"/>
    <w:rsid w:val="009A6A29"/>
    <w:pPr>
      <w:numPr>
        <w:numId w:val="16"/>
      </w:numPr>
    </w:pPr>
  </w:style>
  <w:style w:type="paragraph" w:styleId="Date">
    <w:name w:val="Date"/>
    <w:aliases w:val="Reference"/>
    <w:basedOn w:val="Normal"/>
    <w:next w:val="Normal"/>
    <w:link w:val="DateChar"/>
    <w:uiPriority w:val="99"/>
    <w:unhideWhenUsed/>
    <w:rsid w:val="009A6A29"/>
    <w:pPr>
      <w:spacing w:before="240" w:after="480" w:line="360" w:lineRule="auto"/>
    </w:pPr>
    <w:rPr>
      <w:rFonts w:asciiTheme="minorHAnsi" w:eastAsiaTheme="minorHAnsi" w:hAnsiTheme="minorHAnsi" w:cstheme="minorBidi"/>
      <w:sz w:val="22"/>
      <w:szCs w:val="22"/>
      <w:lang w:eastAsia="en-US"/>
    </w:rPr>
  </w:style>
  <w:style w:type="character" w:customStyle="1" w:styleId="DateChar">
    <w:name w:val="Date Char"/>
    <w:aliases w:val="Reference Char"/>
    <w:basedOn w:val="DefaultParagraphFont"/>
    <w:link w:val="Date"/>
    <w:uiPriority w:val="99"/>
    <w:rsid w:val="009A6A29"/>
    <w:rPr>
      <w:rFonts w:asciiTheme="minorHAnsi" w:eastAsiaTheme="minorHAnsi" w:hAnsiTheme="minorHAnsi" w:cstheme="minorBidi"/>
      <w:sz w:val="22"/>
      <w:szCs w:val="22"/>
      <w:lang w:eastAsia="en-US"/>
    </w:rPr>
  </w:style>
  <w:style w:type="paragraph" w:customStyle="1" w:styleId="Picture">
    <w:name w:val="Picture"/>
    <w:basedOn w:val="Normal"/>
    <w:uiPriority w:val="17"/>
    <w:qFormat/>
    <w:rsid w:val="009A6A29"/>
    <w:rPr>
      <w:rFonts w:asciiTheme="majorHAnsi" w:eastAsiaTheme="minorHAnsi" w:hAnsiTheme="majorHAnsi" w:cstheme="minorBidi"/>
      <w:noProof/>
      <w:sz w:val="22"/>
      <w:szCs w:val="22"/>
    </w:rPr>
  </w:style>
  <w:style w:type="paragraph" w:customStyle="1" w:styleId="Series">
    <w:name w:val="Series"/>
    <w:semiHidden/>
    <w:qFormat/>
    <w:rsid w:val="009A6A29"/>
    <w:pPr>
      <w:spacing w:before="120" w:after="120"/>
    </w:pPr>
    <w:rPr>
      <w:rFonts w:asciiTheme="minorHAnsi" w:eastAsiaTheme="minorHAnsi" w:hAnsiTheme="minorHAnsi" w:cstheme="minorBidi"/>
      <w:b/>
      <w:i/>
      <w:sz w:val="32"/>
      <w:szCs w:val="22"/>
      <w:lang w:eastAsia="en-US"/>
    </w:rPr>
  </w:style>
  <w:style w:type="character" w:customStyle="1" w:styleId="Attachment">
    <w:name w:val="Attachment"/>
    <w:uiPriority w:val="1"/>
    <w:qFormat/>
    <w:rsid w:val="009A6A29"/>
    <w:rPr>
      <w:u w:val="single"/>
    </w:rPr>
  </w:style>
  <w:style w:type="character" w:customStyle="1" w:styleId="Advisorytext">
    <w:name w:val="Advisory text"/>
    <w:uiPriority w:val="1"/>
    <w:qFormat/>
    <w:rsid w:val="009A6A29"/>
    <w:rPr>
      <w:bdr w:val="none" w:sz="0" w:space="0" w:color="auto"/>
      <w:shd w:val="clear" w:color="auto" w:fill="EEECE1"/>
    </w:rPr>
  </w:style>
  <w:style w:type="paragraph" w:customStyle="1" w:styleId="Footersecurityclassification">
    <w:name w:val="Footer security classification"/>
    <w:basedOn w:val="Footer"/>
    <w:next w:val="Footer"/>
    <w:qFormat/>
    <w:rsid w:val="009A6A29"/>
    <w:pPr>
      <w:tabs>
        <w:tab w:val="clear" w:pos="4513"/>
        <w:tab w:val="clear" w:pos="9026"/>
        <w:tab w:val="center" w:pos="4536"/>
      </w:tabs>
      <w:jc w:val="center"/>
    </w:pPr>
    <w:rPr>
      <w:rFonts w:ascii="Calibri" w:eastAsiaTheme="minorHAnsi" w:hAnsi="Calibri" w:cstheme="minorBidi"/>
      <w:b/>
      <w:color w:val="FF0000"/>
      <w:sz w:val="24"/>
    </w:rPr>
  </w:style>
  <w:style w:type="character" w:styleId="PageNumber">
    <w:name w:val="page number"/>
    <w:basedOn w:val="DefaultParagraphFont"/>
    <w:uiPriority w:val="99"/>
    <w:semiHidden/>
    <w:unhideWhenUsed/>
    <w:rsid w:val="009A6A29"/>
  </w:style>
  <w:style w:type="paragraph" w:customStyle="1" w:styleId="Normalnumbered">
    <w:name w:val="Normal numbered"/>
    <w:basedOn w:val="Normal"/>
    <w:semiHidden/>
    <w:qFormat/>
    <w:rsid w:val="009A6A29"/>
    <w:pPr>
      <w:numPr>
        <w:numId w:val="18"/>
      </w:numPr>
      <w:spacing w:before="0" w:after="200" w:line="276" w:lineRule="auto"/>
      <w:ind w:left="357" w:hanging="357"/>
    </w:pPr>
    <w:rPr>
      <w:rFonts w:asciiTheme="minorHAnsi" w:eastAsiaTheme="minorHAnsi" w:hAnsiTheme="minorHAnsi" w:cstheme="minorBidi"/>
      <w:sz w:val="22"/>
      <w:szCs w:val="22"/>
      <w:lang w:eastAsia="en-US"/>
    </w:rPr>
  </w:style>
  <w:style w:type="paragraph" w:styleId="NoSpacing">
    <w:name w:val="No Spacing"/>
    <w:uiPriority w:val="99"/>
    <w:qFormat/>
    <w:rsid w:val="009A6A29"/>
    <w:rPr>
      <w:rFonts w:asciiTheme="minorHAnsi" w:eastAsiaTheme="minorHAnsi" w:hAnsiTheme="minorHAnsi" w:cstheme="minorBidi"/>
      <w:sz w:val="22"/>
      <w:szCs w:val="22"/>
      <w:lang w:eastAsia="en-US"/>
    </w:rPr>
  </w:style>
  <w:style w:type="character" w:customStyle="1" w:styleId="Style1">
    <w:name w:val="Style1"/>
    <w:basedOn w:val="DefaultParagraphFont"/>
    <w:uiPriority w:val="1"/>
    <w:rsid w:val="009A6A29"/>
    <w:rPr>
      <w:rFonts w:asciiTheme="minorHAnsi" w:hAnsiTheme="minorHAnsi"/>
      <w:sz w:val="22"/>
    </w:rPr>
  </w:style>
  <w:style w:type="paragraph" w:customStyle="1" w:styleId="ListNumberDotted">
    <w:name w:val="List Number Dotted"/>
    <w:basedOn w:val="ListNumber"/>
    <w:qFormat/>
    <w:rsid w:val="009A6A29"/>
    <w:pPr>
      <w:tabs>
        <w:tab w:val="left" w:pos="142"/>
      </w:tabs>
      <w:spacing w:before="120" w:after="120"/>
    </w:pPr>
    <w:rPr>
      <w:rFonts w:asciiTheme="minorHAnsi" w:eastAsiaTheme="minorHAnsi" w:hAnsiTheme="minorHAnsi" w:cstheme="minorBidi"/>
    </w:rPr>
  </w:style>
  <w:style w:type="character" w:customStyle="1" w:styleId="subsectionChar">
    <w:name w:val="subsection Char"/>
    <w:aliases w:val="ss Char"/>
    <w:link w:val="subsection"/>
    <w:locked/>
    <w:rsid w:val="009A6A29"/>
    <w:rPr>
      <w:sz w:val="22"/>
    </w:rPr>
  </w:style>
  <w:style w:type="paragraph" w:customStyle="1" w:styleId="subsection">
    <w:name w:val="subsection"/>
    <w:aliases w:val="ss,Subsection"/>
    <w:basedOn w:val="Normal"/>
    <w:link w:val="subsectionChar"/>
    <w:rsid w:val="009A6A29"/>
    <w:pPr>
      <w:tabs>
        <w:tab w:val="right" w:pos="1021"/>
      </w:tabs>
      <w:spacing w:before="180" w:after="0"/>
      <w:ind w:left="1134" w:hanging="1134"/>
    </w:pPr>
    <w:rPr>
      <w:sz w:val="22"/>
    </w:rPr>
  </w:style>
  <w:style w:type="paragraph" w:customStyle="1" w:styleId="paragraphsub">
    <w:name w:val="paragraph(sub)"/>
    <w:aliases w:val="aa"/>
    <w:basedOn w:val="Normal"/>
    <w:rsid w:val="009A6A29"/>
    <w:pPr>
      <w:tabs>
        <w:tab w:val="right" w:pos="1985"/>
      </w:tabs>
      <w:spacing w:before="40" w:after="0"/>
      <w:ind w:left="2098" w:hanging="2098"/>
    </w:pPr>
    <w:rPr>
      <w:sz w:val="22"/>
    </w:rPr>
  </w:style>
  <w:style w:type="character" w:customStyle="1" w:styleId="paragraphChar">
    <w:name w:val="paragraph Char"/>
    <w:aliases w:val="a Char"/>
    <w:link w:val="paragraph"/>
    <w:locked/>
    <w:rsid w:val="009A6A29"/>
    <w:rPr>
      <w:sz w:val="22"/>
    </w:rPr>
  </w:style>
  <w:style w:type="paragraph" w:customStyle="1" w:styleId="paragraph">
    <w:name w:val="paragraph"/>
    <w:aliases w:val="a"/>
    <w:basedOn w:val="Normal"/>
    <w:link w:val="paragraphChar"/>
    <w:rsid w:val="009A6A29"/>
    <w:pPr>
      <w:tabs>
        <w:tab w:val="right" w:pos="1531"/>
      </w:tabs>
      <w:spacing w:before="40" w:after="0"/>
      <w:ind w:left="1644" w:hanging="1644"/>
    </w:pPr>
    <w:rPr>
      <w:sz w:val="22"/>
    </w:rPr>
  </w:style>
  <w:style w:type="character" w:customStyle="1" w:styleId="BodyTextChar">
    <w:name w:val="Body Text Char"/>
    <w:basedOn w:val="DefaultParagraphFont"/>
    <w:link w:val="BodyText"/>
    <w:uiPriority w:val="99"/>
    <w:rsid w:val="009A6A29"/>
    <w:rPr>
      <w:sz w:val="24"/>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9A6A29"/>
    <w:rPr>
      <w:sz w:val="24"/>
    </w:rPr>
  </w:style>
  <w:style w:type="character" w:customStyle="1" w:styleId="cf01">
    <w:name w:val="cf01"/>
    <w:basedOn w:val="DefaultParagraphFont"/>
    <w:rsid w:val="009A6A29"/>
    <w:rPr>
      <w:rFonts w:ascii="Segoe UI" w:hAnsi="Segoe UI" w:cs="Segoe UI" w:hint="default"/>
      <w:sz w:val="18"/>
      <w:szCs w:val="18"/>
    </w:rPr>
  </w:style>
  <w:style w:type="paragraph" w:customStyle="1" w:styleId="pf1">
    <w:name w:val="pf1"/>
    <w:basedOn w:val="Normal"/>
    <w:rsid w:val="009A6A29"/>
    <w:pPr>
      <w:spacing w:before="100" w:beforeAutospacing="1" w:after="100" w:afterAutospacing="1"/>
    </w:pPr>
    <w:rPr>
      <w:szCs w:val="24"/>
    </w:rPr>
  </w:style>
  <w:style w:type="paragraph" w:customStyle="1" w:styleId="pf0">
    <w:name w:val="pf0"/>
    <w:basedOn w:val="Normal"/>
    <w:rsid w:val="009A6A2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7702">
      <w:bodyDiv w:val="1"/>
      <w:marLeft w:val="0"/>
      <w:marRight w:val="0"/>
      <w:marTop w:val="0"/>
      <w:marBottom w:val="0"/>
      <w:divBdr>
        <w:top w:val="none" w:sz="0" w:space="0" w:color="auto"/>
        <w:left w:val="none" w:sz="0" w:space="0" w:color="auto"/>
        <w:bottom w:val="none" w:sz="0" w:space="0" w:color="auto"/>
        <w:right w:val="none" w:sz="0" w:space="0" w:color="auto"/>
      </w:divBdr>
    </w:div>
    <w:div w:id="175392797">
      <w:bodyDiv w:val="1"/>
      <w:marLeft w:val="0"/>
      <w:marRight w:val="0"/>
      <w:marTop w:val="0"/>
      <w:marBottom w:val="0"/>
      <w:divBdr>
        <w:top w:val="none" w:sz="0" w:space="0" w:color="auto"/>
        <w:left w:val="none" w:sz="0" w:space="0" w:color="auto"/>
        <w:bottom w:val="none" w:sz="0" w:space="0" w:color="auto"/>
        <w:right w:val="none" w:sz="0" w:space="0" w:color="auto"/>
      </w:divBdr>
    </w:div>
    <w:div w:id="182256119">
      <w:bodyDiv w:val="1"/>
      <w:marLeft w:val="0"/>
      <w:marRight w:val="0"/>
      <w:marTop w:val="0"/>
      <w:marBottom w:val="0"/>
      <w:divBdr>
        <w:top w:val="none" w:sz="0" w:space="0" w:color="auto"/>
        <w:left w:val="none" w:sz="0" w:space="0" w:color="auto"/>
        <w:bottom w:val="none" w:sz="0" w:space="0" w:color="auto"/>
        <w:right w:val="none" w:sz="0" w:space="0" w:color="auto"/>
      </w:divBdr>
    </w:div>
    <w:div w:id="356808760">
      <w:bodyDiv w:val="1"/>
      <w:marLeft w:val="0"/>
      <w:marRight w:val="0"/>
      <w:marTop w:val="0"/>
      <w:marBottom w:val="0"/>
      <w:divBdr>
        <w:top w:val="none" w:sz="0" w:space="0" w:color="auto"/>
        <w:left w:val="none" w:sz="0" w:space="0" w:color="auto"/>
        <w:bottom w:val="none" w:sz="0" w:space="0" w:color="auto"/>
        <w:right w:val="none" w:sz="0" w:space="0" w:color="auto"/>
      </w:divBdr>
    </w:div>
    <w:div w:id="428894475">
      <w:bodyDiv w:val="1"/>
      <w:marLeft w:val="0"/>
      <w:marRight w:val="0"/>
      <w:marTop w:val="0"/>
      <w:marBottom w:val="0"/>
      <w:divBdr>
        <w:top w:val="none" w:sz="0" w:space="0" w:color="auto"/>
        <w:left w:val="none" w:sz="0" w:space="0" w:color="auto"/>
        <w:bottom w:val="none" w:sz="0" w:space="0" w:color="auto"/>
        <w:right w:val="none" w:sz="0" w:space="0" w:color="auto"/>
      </w:divBdr>
    </w:div>
    <w:div w:id="487593338">
      <w:bodyDiv w:val="1"/>
      <w:marLeft w:val="0"/>
      <w:marRight w:val="0"/>
      <w:marTop w:val="0"/>
      <w:marBottom w:val="0"/>
      <w:divBdr>
        <w:top w:val="none" w:sz="0" w:space="0" w:color="auto"/>
        <w:left w:val="none" w:sz="0" w:space="0" w:color="auto"/>
        <w:bottom w:val="none" w:sz="0" w:space="0" w:color="auto"/>
        <w:right w:val="none" w:sz="0" w:space="0" w:color="auto"/>
      </w:divBdr>
    </w:div>
    <w:div w:id="490484220">
      <w:bodyDiv w:val="1"/>
      <w:marLeft w:val="0"/>
      <w:marRight w:val="0"/>
      <w:marTop w:val="0"/>
      <w:marBottom w:val="0"/>
      <w:divBdr>
        <w:top w:val="none" w:sz="0" w:space="0" w:color="auto"/>
        <w:left w:val="none" w:sz="0" w:space="0" w:color="auto"/>
        <w:bottom w:val="none" w:sz="0" w:space="0" w:color="auto"/>
        <w:right w:val="none" w:sz="0" w:space="0" w:color="auto"/>
      </w:divBdr>
    </w:div>
    <w:div w:id="649558779">
      <w:bodyDiv w:val="1"/>
      <w:marLeft w:val="0"/>
      <w:marRight w:val="0"/>
      <w:marTop w:val="0"/>
      <w:marBottom w:val="0"/>
      <w:divBdr>
        <w:top w:val="none" w:sz="0" w:space="0" w:color="auto"/>
        <w:left w:val="none" w:sz="0" w:space="0" w:color="auto"/>
        <w:bottom w:val="none" w:sz="0" w:space="0" w:color="auto"/>
        <w:right w:val="none" w:sz="0" w:space="0" w:color="auto"/>
      </w:divBdr>
    </w:div>
    <w:div w:id="692726672">
      <w:bodyDiv w:val="1"/>
      <w:marLeft w:val="0"/>
      <w:marRight w:val="0"/>
      <w:marTop w:val="0"/>
      <w:marBottom w:val="0"/>
      <w:divBdr>
        <w:top w:val="none" w:sz="0" w:space="0" w:color="auto"/>
        <w:left w:val="none" w:sz="0" w:space="0" w:color="auto"/>
        <w:bottom w:val="none" w:sz="0" w:space="0" w:color="auto"/>
        <w:right w:val="none" w:sz="0" w:space="0" w:color="auto"/>
      </w:divBdr>
    </w:div>
    <w:div w:id="979463444">
      <w:bodyDiv w:val="1"/>
      <w:marLeft w:val="0"/>
      <w:marRight w:val="0"/>
      <w:marTop w:val="0"/>
      <w:marBottom w:val="0"/>
      <w:divBdr>
        <w:top w:val="none" w:sz="0" w:space="0" w:color="auto"/>
        <w:left w:val="none" w:sz="0" w:space="0" w:color="auto"/>
        <w:bottom w:val="none" w:sz="0" w:space="0" w:color="auto"/>
        <w:right w:val="none" w:sz="0" w:space="0" w:color="auto"/>
      </w:divBdr>
    </w:div>
    <w:div w:id="986863114">
      <w:bodyDiv w:val="1"/>
      <w:marLeft w:val="0"/>
      <w:marRight w:val="0"/>
      <w:marTop w:val="0"/>
      <w:marBottom w:val="0"/>
      <w:divBdr>
        <w:top w:val="none" w:sz="0" w:space="0" w:color="auto"/>
        <w:left w:val="none" w:sz="0" w:space="0" w:color="auto"/>
        <w:bottom w:val="none" w:sz="0" w:space="0" w:color="auto"/>
        <w:right w:val="none" w:sz="0" w:space="0" w:color="auto"/>
      </w:divBdr>
    </w:div>
    <w:div w:id="1115097208">
      <w:bodyDiv w:val="1"/>
      <w:marLeft w:val="0"/>
      <w:marRight w:val="0"/>
      <w:marTop w:val="0"/>
      <w:marBottom w:val="0"/>
      <w:divBdr>
        <w:top w:val="none" w:sz="0" w:space="0" w:color="auto"/>
        <w:left w:val="none" w:sz="0" w:space="0" w:color="auto"/>
        <w:bottom w:val="none" w:sz="0" w:space="0" w:color="auto"/>
        <w:right w:val="none" w:sz="0" w:space="0" w:color="auto"/>
      </w:divBdr>
    </w:div>
    <w:div w:id="1173840860">
      <w:bodyDiv w:val="1"/>
      <w:marLeft w:val="0"/>
      <w:marRight w:val="0"/>
      <w:marTop w:val="0"/>
      <w:marBottom w:val="0"/>
      <w:divBdr>
        <w:top w:val="none" w:sz="0" w:space="0" w:color="auto"/>
        <w:left w:val="none" w:sz="0" w:space="0" w:color="auto"/>
        <w:bottom w:val="none" w:sz="0" w:space="0" w:color="auto"/>
        <w:right w:val="none" w:sz="0" w:space="0" w:color="auto"/>
      </w:divBdr>
    </w:div>
    <w:div w:id="1193106401">
      <w:bodyDiv w:val="1"/>
      <w:marLeft w:val="0"/>
      <w:marRight w:val="0"/>
      <w:marTop w:val="0"/>
      <w:marBottom w:val="0"/>
      <w:divBdr>
        <w:top w:val="none" w:sz="0" w:space="0" w:color="auto"/>
        <w:left w:val="none" w:sz="0" w:space="0" w:color="auto"/>
        <w:bottom w:val="none" w:sz="0" w:space="0" w:color="auto"/>
        <w:right w:val="none" w:sz="0" w:space="0" w:color="auto"/>
      </w:divBdr>
    </w:div>
    <w:div w:id="1218394704">
      <w:bodyDiv w:val="1"/>
      <w:marLeft w:val="0"/>
      <w:marRight w:val="0"/>
      <w:marTop w:val="0"/>
      <w:marBottom w:val="0"/>
      <w:divBdr>
        <w:top w:val="none" w:sz="0" w:space="0" w:color="auto"/>
        <w:left w:val="none" w:sz="0" w:space="0" w:color="auto"/>
        <w:bottom w:val="none" w:sz="0" w:space="0" w:color="auto"/>
        <w:right w:val="none" w:sz="0" w:space="0" w:color="auto"/>
      </w:divBdr>
    </w:div>
    <w:div w:id="1298534774">
      <w:bodyDiv w:val="1"/>
      <w:marLeft w:val="0"/>
      <w:marRight w:val="0"/>
      <w:marTop w:val="0"/>
      <w:marBottom w:val="0"/>
      <w:divBdr>
        <w:top w:val="none" w:sz="0" w:space="0" w:color="auto"/>
        <w:left w:val="none" w:sz="0" w:space="0" w:color="auto"/>
        <w:bottom w:val="none" w:sz="0" w:space="0" w:color="auto"/>
        <w:right w:val="none" w:sz="0" w:space="0" w:color="auto"/>
      </w:divBdr>
    </w:div>
    <w:div w:id="1349527239">
      <w:bodyDiv w:val="1"/>
      <w:marLeft w:val="0"/>
      <w:marRight w:val="0"/>
      <w:marTop w:val="0"/>
      <w:marBottom w:val="0"/>
      <w:divBdr>
        <w:top w:val="none" w:sz="0" w:space="0" w:color="auto"/>
        <w:left w:val="none" w:sz="0" w:space="0" w:color="auto"/>
        <w:bottom w:val="none" w:sz="0" w:space="0" w:color="auto"/>
        <w:right w:val="none" w:sz="0" w:space="0" w:color="auto"/>
      </w:divBdr>
    </w:div>
    <w:div w:id="1453162053">
      <w:bodyDiv w:val="1"/>
      <w:marLeft w:val="0"/>
      <w:marRight w:val="0"/>
      <w:marTop w:val="0"/>
      <w:marBottom w:val="0"/>
      <w:divBdr>
        <w:top w:val="none" w:sz="0" w:space="0" w:color="auto"/>
        <w:left w:val="none" w:sz="0" w:space="0" w:color="auto"/>
        <w:bottom w:val="none" w:sz="0" w:space="0" w:color="auto"/>
        <w:right w:val="none" w:sz="0" w:space="0" w:color="auto"/>
      </w:divBdr>
    </w:div>
    <w:div w:id="1597909047">
      <w:bodyDiv w:val="1"/>
      <w:marLeft w:val="0"/>
      <w:marRight w:val="0"/>
      <w:marTop w:val="0"/>
      <w:marBottom w:val="0"/>
      <w:divBdr>
        <w:top w:val="none" w:sz="0" w:space="0" w:color="auto"/>
        <w:left w:val="none" w:sz="0" w:space="0" w:color="auto"/>
        <w:bottom w:val="none" w:sz="0" w:space="0" w:color="auto"/>
        <w:right w:val="none" w:sz="0" w:space="0" w:color="auto"/>
      </w:divBdr>
    </w:div>
    <w:div w:id="1639342237">
      <w:bodyDiv w:val="1"/>
      <w:marLeft w:val="0"/>
      <w:marRight w:val="0"/>
      <w:marTop w:val="0"/>
      <w:marBottom w:val="0"/>
      <w:divBdr>
        <w:top w:val="none" w:sz="0" w:space="0" w:color="auto"/>
        <w:left w:val="none" w:sz="0" w:space="0" w:color="auto"/>
        <w:bottom w:val="none" w:sz="0" w:space="0" w:color="auto"/>
        <w:right w:val="none" w:sz="0" w:space="0" w:color="auto"/>
      </w:divBdr>
    </w:div>
    <w:div w:id="1719550674">
      <w:bodyDiv w:val="1"/>
      <w:marLeft w:val="0"/>
      <w:marRight w:val="0"/>
      <w:marTop w:val="0"/>
      <w:marBottom w:val="0"/>
      <w:divBdr>
        <w:top w:val="none" w:sz="0" w:space="0" w:color="auto"/>
        <w:left w:val="none" w:sz="0" w:space="0" w:color="auto"/>
        <w:bottom w:val="none" w:sz="0" w:space="0" w:color="auto"/>
        <w:right w:val="none" w:sz="0" w:space="0" w:color="auto"/>
      </w:divBdr>
    </w:div>
    <w:div w:id="192167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fostore.saigloba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tore.standards.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unfccc.int/sites/default/files/NDC/2022-06/Australias%20NDC%20June%202022%20Update%20%283%29.pdf" TargetMode="External"/><Relationship Id="rId1" Type="http://schemas.openxmlformats.org/officeDocument/2006/relationships/hyperlink" Target="https://www.cleanenergyregulator.gov.au/NGER/The-safeguard-mechanism/safeguard-data/safeguard-facility-reported-emiss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369965ee-ee30-4e28-9cc9-bfe5bbe6c77b">
      <Terms xmlns="http://schemas.microsoft.com/office/infopath/2007/PartnerControls"/>
    </lcf76f155ced4ddcb4097134ff3c332f>
  </documentManagement>
</p:properties>
</file>

<file path=customXml/item2.xml>��< ? x m l   v e r s i o n = " 1 . 0 "   e n c o d i n g = " u t f - 1 6 " ? > < p r o p e r t i e s   x m l n s = " h t t p : / / w w w . i m a n a g e . c o m / w o r k / x m l s c h e m a " >  
     < d o c u m e n t i d > D O C U M E N T S ! 4 8 7 0 6 8 9 8 . 2 < / d o c u m e n t i d >  
     < s e n d e r i d > B U S S I M < / s e n d e r i d >  
     < s e n d e r e m a i l > M I C H A E L . B U S S I N G @ A G S . G O V . A U < / s e n d e r e m a i l >  
     < l a s t m o d i f i e d > 2 0 2 3 - 0 7 - 3 1 T 1 6 : 3 5 : 0 0 . 0 0 0 0 0 0 0 + 1 0 : 0 0 < / l a s t m o d i f i e d >  
     < d a t a b a s e > D O C U M E N T S < / 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FEF1656D643024CB2A10FDF31B7457B" ma:contentTypeVersion="10" ma:contentTypeDescription="Create a new document." ma:contentTypeScope="" ma:versionID="12dfda9ecca26c728db84e9144d43b29">
  <xsd:schema xmlns:xsd="http://www.w3.org/2001/XMLSchema" xmlns:xs="http://www.w3.org/2001/XMLSchema" xmlns:p="http://schemas.microsoft.com/office/2006/metadata/properties" xmlns:ns2="369965ee-ee30-4e28-9cc9-bfe5bbe6c77b" xmlns:ns3="2fe4b761-ac58-4996-8c85-714f2590d93e" xmlns:ns4="81c01dc6-2c49-4730-b140-874c95cac377" targetNamespace="http://schemas.microsoft.com/office/2006/metadata/properties" ma:root="true" ma:fieldsID="efa1e8a95009c8bc49475b11287e01d0" ns2:_="" ns3:_="" ns4:_="">
    <xsd:import namespace="369965ee-ee30-4e28-9cc9-bfe5bbe6c77b"/>
    <xsd:import namespace="2fe4b761-ac58-4996-8c85-714f2590d93e"/>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965ee-ee30-4e28-9cc9-bfe5bbe6c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4b761-ac58-4996-8c85-714f2590d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41adf00-6d05-41ae-bb6f-f81535a4e6ed}" ma:internalName="TaxCatchAll" ma:showField="CatchAllData" ma:web="4c70a926-dbaa-45f1-afc0-26a9639aec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C9033-3E77-43CB-8AA0-E65435C01CB7}">
  <ds:schemaRefs>
    <ds:schemaRef ds:uri="http://schemas.microsoft.com/office/2006/documentManagement/types"/>
    <ds:schemaRef ds:uri="http://schemas.microsoft.com/office/infopath/2007/PartnerControls"/>
    <ds:schemaRef ds:uri="8E16BCCC-F7BE-4500-A5CC-E9FDE710A15F"/>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81c01dc6-2c49-4730-b140-874c95cac377"/>
    <ds:schemaRef ds:uri="369965ee-ee30-4e28-9cc9-bfe5bbe6c77b"/>
  </ds:schemaRefs>
</ds:datastoreItem>
</file>

<file path=customXml/itemProps2.xml><?xml version="1.0" encoding="utf-8"?>
<ds:datastoreItem xmlns:ds="http://schemas.openxmlformats.org/officeDocument/2006/customXml" ds:itemID="{420D302E-D966-40B5-9B66-03F05FDD4995}">
  <ds:schemaRefs>
    <ds:schemaRef ds:uri="http://www.imanage.com/work/xmlschema"/>
  </ds:schemaRefs>
</ds:datastoreItem>
</file>

<file path=customXml/itemProps3.xml><?xml version="1.0" encoding="utf-8"?>
<ds:datastoreItem xmlns:ds="http://schemas.openxmlformats.org/officeDocument/2006/customXml" ds:itemID="{B5A3A843-767F-45A4-9613-AEB7BD83AEEE}">
  <ds:schemaRefs>
    <ds:schemaRef ds:uri="http://schemas.openxmlformats.org/officeDocument/2006/bibliography"/>
  </ds:schemaRefs>
</ds:datastoreItem>
</file>

<file path=customXml/itemProps4.xml><?xml version="1.0" encoding="utf-8"?>
<ds:datastoreItem xmlns:ds="http://schemas.openxmlformats.org/officeDocument/2006/customXml" ds:itemID="{F6EDBEFE-73E6-499D-9329-D3DD4A47A1D6}">
  <ds:schemaRefs>
    <ds:schemaRef ds:uri="http://schemas.microsoft.com/sharepoint/v3/contenttype/forms"/>
  </ds:schemaRefs>
</ds:datastoreItem>
</file>

<file path=customXml/itemProps5.xml><?xml version="1.0" encoding="utf-8"?>
<ds:datastoreItem xmlns:ds="http://schemas.openxmlformats.org/officeDocument/2006/customXml" ds:itemID="{1A8A79D9-A804-4D26-9B53-C1180F753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965ee-ee30-4e28-9cc9-bfe5bbe6c77b"/>
    <ds:schemaRef ds:uri="2fe4b761-ac58-4996-8c85-714f2590d93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Xco Explanatory Statement</Template>
  <TotalTime>148</TotalTime>
  <Pages>24</Pages>
  <Words>9048</Words>
  <Characters>49889</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2019 Explanatory Statement- Package 1 (UAG, Scope 2)</vt:lpstr>
    </vt:vector>
  </TitlesOfParts>
  <Company>ATO</Company>
  <LinksUpToDate>false</LinksUpToDate>
  <CharactersWithSpaces>58820</CharactersWithSpaces>
  <SharedDoc>false</SharedDoc>
  <HLinks>
    <vt:vector size="12" baseType="variant">
      <vt:variant>
        <vt:i4>2818096</vt:i4>
      </vt:variant>
      <vt:variant>
        <vt:i4>3</vt:i4>
      </vt:variant>
      <vt:variant>
        <vt:i4>0</vt:i4>
      </vt:variant>
      <vt:variant>
        <vt:i4>5</vt:i4>
      </vt:variant>
      <vt:variant>
        <vt:lpwstr>http://www.infostore.saiglobal.com/</vt:lpwstr>
      </vt:variant>
      <vt:variant>
        <vt:lpwstr/>
      </vt:variant>
      <vt:variant>
        <vt:i4>6488160</vt:i4>
      </vt:variant>
      <vt:variant>
        <vt:i4>0</vt:i4>
      </vt:variant>
      <vt:variant>
        <vt:i4>0</vt:i4>
      </vt:variant>
      <vt:variant>
        <vt:i4>5</vt:i4>
      </vt:variant>
      <vt:variant>
        <vt:lpwstr>http://www.store.standards.org.au/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Explanatory Statement- Package 1 (UAG, Scope 2)</dc:title>
  <dc:subject/>
  <dc:creator>Kiang, Tommy</dc:creator>
  <cp:keywords> [SEC=OFFICIAL:Sensitive]</cp:keywords>
  <cp:lastModifiedBy>Wilson, Eliza</cp:lastModifiedBy>
  <cp:revision>338</cp:revision>
  <cp:lastPrinted>2014-11-17T11:54:00Z</cp:lastPrinted>
  <dcterms:created xsi:type="dcterms:W3CDTF">2023-08-11T10:29:00Z</dcterms:created>
  <dcterms:modified xsi:type="dcterms:W3CDTF">2023-10-04T03:31:00Z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0x0101006FEF1656D643024CB2A10FDF31B7457B</vt:lpwstr>
  </property>
  <property fmtid="{D5CDD505-2E9C-101B-9397-08002B2CF9AE}" pid="4" name="_dlc_DocIdItemGuid">
    <vt:lpwstr>8de186f9-cbec-4100-a06c-5656481bb452</vt:lpwstr>
  </property>
  <property fmtid="{D5CDD505-2E9C-101B-9397-08002B2CF9AE}" pid="5" name="RecordPoint_ActiveItemUniqueId">
    <vt:lpwstr>{867636ec-f8ac-488a-8482-14b18334501a}</vt:lpwstr>
  </property>
  <property fmtid="{D5CDD505-2E9C-101B-9397-08002B2CF9AE}" pid="6" name="RecordPoint_WorkflowType">
    <vt:lpwstr>ActiveSubmitStub</vt:lpwstr>
  </property>
  <property fmtid="{D5CDD505-2E9C-101B-9397-08002B2CF9AE}" pid="7" name="RecordPoint_SubmissionDate">
    <vt:lpwstr/>
  </property>
  <property fmtid="{D5CDD505-2E9C-101B-9397-08002B2CF9AE}" pid="8" name="RecordPoint_RecordNumberSubmitted">
    <vt:lpwstr>002839944</vt:lpwstr>
  </property>
  <property fmtid="{D5CDD505-2E9C-101B-9397-08002B2CF9AE}" pid="9" name="RecordPoint_ActiveItemMoved">
    <vt:lpwstr/>
  </property>
  <property fmtid="{D5CDD505-2E9C-101B-9397-08002B2CF9AE}" pid="10" name="RecordPoint_SubmissionCompleted">
    <vt:lpwstr>2019-06-04T06:26:22.1173898+10:00</vt:lpwstr>
  </property>
  <property fmtid="{D5CDD505-2E9C-101B-9397-08002B2CF9AE}" pid="11" name="RecordPoint_RecordFormat">
    <vt:lpwstr/>
  </property>
  <property fmtid="{D5CDD505-2E9C-101B-9397-08002B2CF9AE}" pid="12" name="RecordPoint_ActiveItemWebId">
    <vt:lpwstr>{2059673b-20f6-40c5-8fb8-ce838aef26a0}</vt:lpwstr>
  </property>
  <property fmtid="{D5CDD505-2E9C-101B-9397-08002B2CF9AE}" pid="13" name="RecordPoint_ActiveItemSiteId">
    <vt:lpwstr>{22ddc83e-3d55-4f4b-84b0-b8f29513b89f}</vt:lpwstr>
  </property>
  <property fmtid="{D5CDD505-2E9C-101B-9397-08002B2CF9AE}" pid="14" name="RecordPoint_ActiveItemListId">
    <vt:lpwstr>{e6c83a4c-6c4c-4890-af15-8d1f7414f297}</vt:lpwstr>
  </property>
  <property fmtid="{D5CDD505-2E9C-101B-9397-08002B2CF9AE}" pid="15" name="IconOverlay">
    <vt:lpwstr/>
  </property>
  <property fmtid="{D5CDD505-2E9C-101B-9397-08002B2CF9AE}" pid="16" name="ObjectiveRef">
    <vt:lpwstr>Removed</vt:lpwstr>
  </property>
  <property fmtid="{D5CDD505-2E9C-101B-9397-08002B2CF9AE}" pid="17" name="LeadingLawyers">
    <vt:lpwstr>Removed</vt:lpwstr>
  </property>
  <property fmtid="{D5CDD505-2E9C-101B-9397-08002B2CF9AE}" pid="18" name="DocHub_Year">
    <vt:lpwstr/>
  </property>
  <property fmtid="{D5CDD505-2E9C-101B-9397-08002B2CF9AE}" pid="19" name="DocHub_DocumentType">
    <vt:lpwstr>183;#Legislative Instrument|edbe159b-95f5-40e7-bf23-9dfb62f2e7f0</vt:lpwstr>
  </property>
  <property fmtid="{D5CDD505-2E9C-101B-9397-08002B2CF9AE}" pid="20" name="DocHub_SecurityClassification">
    <vt:lpwstr>26;#For Official Use Only|11f6fb0b-52ce-4109-8f7f-521b2a62f692</vt:lpwstr>
  </property>
  <property fmtid="{D5CDD505-2E9C-101B-9397-08002B2CF9AE}" pid="21" name="DocHub_WorkActivity">
    <vt:lpwstr/>
  </property>
  <property fmtid="{D5CDD505-2E9C-101B-9397-08002B2CF9AE}" pid="22" name="DocHub_RegulatoryFrameworksLegislationType">
    <vt:lpwstr/>
  </property>
  <property fmtid="{D5CDD505-2E9C-101B-9397-08002B2CF9AE}" pid="23" name="DocHub_Keywords">
    <vt:lpwstr/>
  </property>
  <property fmtid="{D5CDD505-2E9C-101B-9397-08002B2CF9AE}" pid="24" name="checkforsharepointfields">
    <vt:lpwstr>True</vt:lpwstr>
  </property>
  <property fmtid="{D5CDD505-2E9C-101B-9397-08002B2CF9AE}" pid="25" name="Template Filename">
    <vt:lpwstr/>
  </property>
  <property fmtid="{D5CDD505-2E9C-101B-9397-08002B2CF9AE}" pid="26" name="MediaServiceImageTags">
    <vt:lpwstr/>
  </property>
  <property fmtid="{D5CDD505-2E9C-101B-9397-08002B2CF9AE}" pid="27" name="PM_ProtectiveMarkingValue_Footer">
    <vt:lpwstr>OFFICIAL:Sensitive</vt:lpwstr>
  </property>
  <property fmtid="{D5CDD505-2E9C-101B-9397-08002B2CF9AE}" pid="28" name="PM_Caveats_Count">
    <vt:lpwstr>0</vt:lpwstr>
  </property>
  <property fmtid="{D5CDD505-2E9C-101B-9397-08002B2CF9AE}" pid="29" name="PM_Originator_Hash_SHA1">
    <vt:lpwstr>60F53DAF37B6D060B622237130A8C9AEDCFD8F4F</vt:lpwstr>
  </property>
  <property fmtid="{D5CDD505-2E9C-101B-9397-08002B2CF9AE}" pid="30" name="PM_SecurityClassification">
    <vt:lpwstr>OFFICIAL:Sensitive</vt:lpwstr>
  </property>
  <property fmtid="{D5CDD505-2E9C-101B-9397-08002B2CF9AE}" pid="31" name="PM_DisplayValueSecClassificationWithQualifier">
    <vt:lpwstr>OFFICIAL:Sensitive:</vt:lpwstr>
  </property>
  <property fmtid="{D5CDD505-2E9C-101B-9397-08002B2CF9AE}" pid="32" name="PM_Qualifier">
    <vt:lpwstr/>
  </property>
  <property fmtid="{D5CDD505-2E9C-101B-9397-08002B2CF9AE}" pid="33" name="PM_Hash_SHA1">
    <vt:lpwstr>B64083CA02931F1F2109C292F43D9F06DC482106</vt:lpwstr>
  </property>
  <property fmtid="{D5CDD505-2E9C-101B-9397-08002B2CF9AE}" pid="34" name="PM_ProtectiveMarkingImage_Header">
    <vt:lpwstr>C:\Program Files (x86)\Common Files\janusNET Shared\janusSEAL\Images\DocumentSlashBlue.png</vt:lpwstr>
  </property>
  <property fmtid="{D5CDD505-2E9C-101B-9397-08002B2CF9AE}" pid="35" name="PM_InsertionValue">
    <vt:lpwstr>OFFICIAL:Sensitive</vt:lpwstr>
  </property>
  <property fmtid="{D5CDD505-2E9C-101B-9397-08002B2CF9AE}" pid="36" name="PM_ProtectiveMarkingValue_Header">
    <vt:lpwstr>OFFICIAL:Sensitive</vt:lpwstr>
  </property>
  <property fmtid="{D5CDD505-2E9C-101B-9397-08002B2CF9AE}" pid="37" name="PM_ProtectiveMarkingImage_Footer">
    <vt:lpwstr>C:\Program Files (x86)\Common Files\janusNET Shared\janusSEAL\Images\DocumentSlashBlue.png</vt:lpwstr>
  </property>
  <property fmtid="{D5CDD505-2E9C-101B-9397-08002B2CF9AE}" pid="38" name="PM_Namespace">
    <vt:lpwstr>gov.au</vt:lpwstr>
  </property>
  <property fmtid="{D5CDD505-2E9C-101B-9397-08002B2CF9AE}" pid="39" name="PM_Version">
    <vt:lpwstr>2018.1</vt:lpwstr>
  </property>
  <property fmtid="{D5CDD505-2E9C-101B-9397-08002B2CF9AE}" pid="40" name="PM_Originating_FileId">
    <vt:lpwstr>3170997108A64092A48AE56A0D4A05EF</vt:lpwstr>
  </property>
  <property fmtid="{D5CDD505-2E9C-101B-9397-08002B2CF9AE}" pid="41" name="PM_Note">
    <vt:lpwstr/>
  </property>
  <property fmtid="{D5CDD505-2E9C-101B-9397-08002B2CF9AE}" pid="42" name="PM_Markers">
    <vt:lpwstr/>
  </property>
  <property fmtid="{D5CDD505-2E9C-101B-9397-08002B2CF9AE}" pid="43" name="PM_OriginationTimeStamp">
    <vt:lpwstr>2023-09-22T02:05:53Z</vt:lpwstr>
  </property>
  <property fmtid="{D5CDD505-2E9C-101B-9397-08002B2CF9AE}" pid="44" name="PM_Hash_Version">
    <vt:lpwstr>2018.0</vt:lpwstr>
  </property>
  <property fmtid="{D5CDD505-2E9C-101B-9397-08002B2CF9AE}" pid="45" name="PM_Hash_Salt_Prev">
    <vt:lpwstr>600A30EC9209633211CA3DB84C6C9E40</vt:lpwstr>
  </property>
  <property fmtid="{D5CDD505-2E9C-101B-9397-08002B2CF9AE}" pid="46" name="PM_Hash_Salt">
    <vt:lpwstr>27039839B3A52F2B53B3190D95C49295</vt:lpwstr>
  </property>
  <property fmtid="{D5CDD505-2E9C-101B-9397-08002B2CF9AE}" pid="47" name="PM_SecurityClassification_Prev">
    <vt:lpwstr>OFFICIAL:Sensitive</vt:lpwstr>
  </property>
  <property fmtid="{D5CDD505-2E9C-101B-9397-08002B2CF9AE}" pid="48" name="PM_Qualifier_Prev">
    <vt:lpwstr/>
  </property>
</Properties>
</file>