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4F59"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484C015E" w14:textId="4FB500B4"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6D9731D657CD48EF9CF0595DB65C91D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2D3886">
            <w:rPr>
              <w:rStyle w:val="DefaultChar"/>
            </w:rPr>
            <w:t>the Assistant Treasurer and Minister for Financial Services</w:t>
          </w:r>
        </w:sdtContent>
      </w:sdt>
      <w:r w:rsidR="00076178" w:rsidRPr="003C5719">
        <w:rPr>
          <w:sz w:val="24"/>
          <w:szCs w:val="24"/>
        </w:rPr>
        <w:t xml:space="preserve"> </w:t>
      </w:r>
    </w:p>
    <w:p w14:paraId="09A94E8C" w14:textId="77777777" w:rsidR="002D3886" w:rsidRDefault="002D3886" w:rsidP="002D3886">
      <w:pPr>
        <w:spacing w:before="240" w:after="240"/>
        <w:jc w:val="center"/>
        <w:rPr>
          <w:i/>
        </w:rPr>
      </w:pPr>
      <w:r>
        <w:rPr>
          <w:i/>
        </w:rPr>
        <w:t>Corporations Act 2001</w:t>
      </w:r>
    </w:p>
    <w:p w14:paraId="3F36F4AD" w14:textId="4956E85B" w:rsidR="002D3886" w:rsidRDefault="002D3886" w:rsidP="002D3886">
      <w:pPr>
        <w:tabs>
          <w:tab w:val="left" w:pos="1418"/>
        </w:tabs>
        <w:spacing w:before="0" w:after="240"/>
        <w:jc w:val="center"/>
        <w:rPr>
          <w:i/>
          <w:iCs/>
        </w:rPr>
      </w:pPr>
      <w:r>
        <w:rPr>
          <w:i/>
          <w:iCs/>
        </w:rPr>
        <w:t>Corporations (Relevant Providers Degrees, Qualifications and Courses Standard) Amendment (2023 Measures No. 3) Determination 2023</w:t>
      </w:r>
    </w:p>
    <w:p w14:paraId="65D59AF9" w14:textId="77777777" w:rsidR="00A915E0" w:rsidRDefault="00A915E0" w:rsidP="00A915E0">
      <w:pPr>
        <w:spacing w:before="240"/>
      </w:pPr>
      <w:r>
        <w:t xml:space="preserve">Part 7.6 of the Corporations Act (the Act) sets out licensing obligations for relevant providers, which are financial planners and financial advisers. Section 921B sets out education and training standards for a person who is, or is to be, a relevant provider. </w:t>
      </w:r>
    </w:p>
    <w:p w14:paraId="4EA721FD" w14:textId="17E0EAC9" w:rsidR="00A915E0" w:rsidRDefault="00A915E0" w:rsidP="00A915E0">
      <w:pPr>
        <w:spacing w:before="240"/>
      </w:pPr>
      <w:r>
        <w:t xml:space="preserve">Paragraph 921C(1)(b) of the Act prohibits </w:t>
      </w:r>
      <w:r w:rsidR="00895314">
        <w:t>the Australian Securities and Investments Commission (</w:t>
      </w:r>
      <w:r>
        <w:t>ASIC</w:t>
      </w:r>
      <w:r w:rsidR="00895314">
        <w:t>)</w:t>
      </w:r>
      <w:r>
        <w:t xml:space="preserve"> from granting a financial services licence to a person who has not met the education and training standards. Subsection 921</w:t>
      </w:r>
      <w:proofErr w:type="gramStart"/>
      <w:r>
        <w:t>C(</w:t>
      </w:r>
      <w:proofErr w:type="gramEnd"/>
      <w:r>
        <w:t>2) prohibits licensees and authorised representatives of licensees from authorising other persons to give personal advice to retail clients in relation to relevant financial products unless the other persons have met the education and training standards.</w:t>
      </w:r>
    </w:p>
    <w:p w14:paraId="7CCFD773" w14:textId="77777777" w:rsidR="00A915E0" w:rsidRDefault="00A915E0" w:rsidP="00A915E0">
      <w:pPr>
        <w:spacing w:before="240"/>
      </w:pPr>
      <w:r>
        <w:t>The first education and training standard in subsection 921</w:t>
      </w:r>
      <w:proofErr w:type="gramStart"/>
      <w:r>
        <w:t>B(</w:t>
      </w:r>
      <w:proofErr w:type="gramEnd"/>
      <w:r>
        <w:t xml:space="preserve">2) requires that a relevant provider has completed an approved bachelor or higher degree, or equivalent qualification, or foreign qualification, that has been approved by the Minister. Paragraph 921B(6)(a) of the Act provides that the Minister responsible for administering the Act may, by legislative instrument, approve bachelor or higher degrees, or equivalent qualifications, for relevant providers. </w:t>
      </w:r>
    </w:p>
    <w:p w14:paraId="4C89503C" w14:textId="3B781908" w:rsidR="00A915E0" w:rsidRDefault="00A915E0" w:rsidP="00A915E0">
      <w:pPr>
        <w:spacing w:before="240"/>
      </w:pPr>
      <w:r>
        <w:t>Before approving domestic bachelor or higher degrees</w:t>
      </w:r>
      <w:r w:rsidR="00916206">
        <w:t>,</w:t>
      </w:r>
      <w:r>
        <w:t xml:space="preserve"> or equivalent qualifications, the Minister must be satisfied that doing so is necessary or desirable to ensure relevant providers are adequately trained and competent to provide personal advice to retail clients (subsection 921</w:t>
      </w:r>
      <w:proofErr w:type="gramStart"/>
      <w:r>
        <w:t>B(</w:t>
      </w:r>
      <w:proofErr w:type="gramEnd"/>
      <w:r>
        <w:t>7) of the Act).</w:t>
      </w:r>
    </w:p>
    <w:p w14:paraId="4AD7F892" w14:textId="77777777" w:rsidR="00A915E0" w:rsidRDefault="00A915E0" w:rsidP="00A915E0">
      <w:pPr>
        <w:spacing w:before="240"/>
      </w:pPr>
      <w:r>
        <w:t xml:space="preserve">Approved bachelor or higher degrees, and equivalent qualifications, are set out in the </w:t>
      </w:r>
      <w:r>
        <w:rPr>
          <w:i/>
          <w:iCs/>
        </w:rPr>
        <w:t xml:space="preserve">Corporations (Relevant Providers Degrees, Qualifications and Courses Standard) Determination 2021 </w:t>
      </w:r>
      <w:r>
        <w:t>(the Determination). The Determination is updated from time to time as educational providers seek approval of new degrees and make changes to existing approved degrees and associated units.</w:t>
      </w:r>
    </w:p>
    <w:p w14:paraId="5A67CCA8" w14:textId="6083C639" w:rsidR="00A915E0" w:rsidRDefault="00A915E0" w:rsidP="00A915E0">
      <w:pPr>
        <w:spacing w:before="240"/>
      </w:pPr>
      <w:r>
        <w:t xml:space="preserve">This instrument updates the Determination </w:t>
      </w:r>
      <w:r w:rsidR="007F10B3">
        <w:t>to</w:t>
      </w:r>
      <w:r>
        <w:t>:</w:t>
      </w:r>
    </w:p>
    <w:p w14:paraId="662696D6" w14:textId="2D3410E0" w:rsidR="00AF6880" w:rsidRPr="00AF6880" w:rsidRDefault="007F10B3" w:rsidP="00AF6880">
      <w:pPr>
        <w:pStyle w:val="Bullet"/>
        <w:numPr>
          <w:ilvl w:val="0"/>
          <w:numId w:val="17"/>
        </w:numPr>
      </w:pPr>
      <w:r>
        <w:t xml:space="preserve">add </w:t>
      </w:r>
      <w:r w:rsidR="00AF6880" w:rsidRPr="00AF6880">
        <w:t xml:space="preserve">new approved </w:t>
      </w:r>
      <w:proofErr w:type="gramStart"/>
      <w:r w:rsidR="00AF6880" w:rsidRPr="00AF6880">
        <w:t>degrees;</w:t>
      </w:r>
      <w:proofErr w:type="gramEnd"/>
    </w:p>
    <w:p w14:paraId="71756FB9" w14:textId="1EF5D50F" w:rsidR="00AF6880" w:rsidRPr="00AF6880" w:rsidRDefault="00AF6880" w:rsidP="00AF6880">
      <w:pPr>
        <w:pStyle w:val="Bullet"/>
        <w:numPr>
          <w:ilvl w:val="0"/>
          <w:numId w:val="17"/>
        </w:numPr>
      </w:pPr>
      <w:r w:rsidRPr="00AF6880">
        <w:t xml:space="preserve">reflect the new Financial Advice Association of Australia </w:t>
      </w:r>
      <w:proofErr w:type="gramStart"/>
      <w:r w:rsidRPr="00AF6880">
        <w:t>Limited;</w:t>
      </w:r>
      <w:proofErr w:type="gramEnd"/>
    </w:p>
    <w:p w14:paraId="00F0CFA4" w14:textId="31FDB586" w:rsidR="002B5630" w:rsidRDefault="00401B18" w:rsidP="00AF6880">
      <w:pPr>
        <w:pStyle w:val="Bullet"/>
        <w:numPr>
          <w:ilvl w:val="0"/>
          <w:numId w:val="17"/>
        </w:numPr>
      </w:pPr>
      <w:r>
        <w:t xml:space="preserve">provide </w:t>
      </w:r>
      <w:r w:rsidR="00AF6880" w:rsidRPr="00AF6880">
        <w:t>corrections and updates to existing approved degrees/qualifications</w:t>
      </w:r>
      <w:r w:rsidR="00AF4FD1">
        <w:t>; and</w:t>
      </w:r>
    </w:p>
    <w:p w14:paraId="50933B83" w14:textId="2493ABCF" w:rsidR="00DB2B32" w:rsidRDefault="00DB2B32" w:rsidP="00AF6880">
      <w:pPr>
        <w:pStyle w:val="Bullet"/>
        <w:numPr>
          <w:ilvl w:val="0"/>
          <w:numId w:val="17"/>
        </w:numPr>
      </w:pPr>
      <w:r>
        <w:t xml:space="preserve">correct </w:t>
      </w:r>
      <w:r w:rsidR="00F34074">
        <w:t>various</w:t>
      </w:r>
      <w:r>
        <w:t xml:space="preserve"> </w:t>
      </w:r>
      <w:r w:rsidR="00FE6EFD" w:rsidRPr="00FE6EFD">
        <w:t>reference</w:t>
      </w:r>
      <w:r w:rsidR="00F34074">
        <w:t>s</w:t>
      </w:r>
      <w:r w:rsidR="000B5732">
        <w:t xml:space="preserve"> (relating</w:t>
      </w:r>
      <w:r w:rsidR="00FE6EFD" w:rsidRPr="00FE6EFD">
        <w:t xml:space="preserve"> to transitional provisions for existing providers</w:t>
      </w:r>
      <w:r w:rsidR="005E3091">
        <w:t xml:space="preserve">, </w:t>
      </w:r>
      <w:r w:rsidR="00C01D60">
        <w:t xml:space="preserve">and </w:t>
      </w:r>
      <w:r w:rsidR="001F65DD">
        <w:t xml:space="preserve">conditions </w:t>
      </w:r>
      <w:r w:rsidR="00C01D60">
        <w:t xml:space="preserve">relating to </w:t>
      </w:r>
      <w:r w:rsidR="005E3091">
        <w:t xml:space="preserve">ethics bridging units and </w:t>
      </w:r>
      <w:r w:rsidR="00806BDC">
        <w:t>required units of study for existing approved degrees</w:t>
      </w:r>
      <w:r w:rsidR="003D68C9">
        <w:t>/qualifications).</w:t>
      </w:r>
    </w:p>
    <w:p w14:paraId="00A9212B" w14:textId="77777777" w:rsidR="00A915E0" w:rsidRDefault="00A915E0" w:rsidP="00A915E0">
      <w:pPr>
        <w:pStyle w:val="Bullet"/>
        <w:numPr>
          <w:ilvl w:val="0"/>
          <w:numId w:val="0"/>
        </w:numPr>
        <w:tabs>
          <w:tab w:val="left" w:pos="720"/>
        </w:tabs>
      </w:pPr>
      <w:r>
        <w:lastRenderedPageBreak/>
        <w:t>The Minister has assessed that these amendments are necessary and desirable to ensure that relevant providers are adequately trained and competent to provide personal advice to retail clients in relation to relevant financial products.</w:t>
      </w:r>
    </w:p>
    <w:p w14:paraId="50F9DE82" w14:textId="61759B4B" w:rsidR="009D2F0C" w:rsidRPr="00A321D4" w:rsidRDefault="00B503CD" w:rsidP="00A321D4">
      <w:pPr>
        <w:spacing w:before="240"/>
      </w:pPr>
      <w:r>
        <w:t>The instrument amends the Determination to make updates identified in consultation with relevant educational providers. Public consultation on the instrument was not undertaken as the instrument is minor and machinery in nature.</w:t>
      </w:r>
    </w:p>
    <w:p w14:paraId="4C09F9B0" w14:textId="6E5AD2B2" w:rsidR="002C226C" w:rsidRPr="003C5719" w:rsidRDefault="002C226C" w:rsidP="004A27A8">
      <w:pPr>
        <w:spacing w:before="240"/>
      </w:pPr>
      <w:r w:rsidRPr="003C5719">
        <w:t xml:space="preserve">The </w:t>
      </w:r>
      <w:r w:rsidR="00B503CD">
        <w:t>instrument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77D37DE9" w14:textId="77777777" w:rsidR="00A321D4" w:rsidRPr="003C5719" w:rsidRDefault="00A321D4" w:rsidP="00A321D4">
      <w:pPr>
        <w:spacing w:before="240"/>
      </w:pPr>
      <w:r w:rsidRPr="003C5719">
        <w:t xml:space="preserve">The </w:t>
      </w:r>
      <w:r>
        <w:t>instrument is</w:t>
      </w:r>
      <w:r w:rsidRPr="003C5719">
        <w:t xml:space="preserve"> </w:t>
      </w:r>
      <w:r>
        <w:t>subject to disallowance under section 42 of</w:t>
      </w:r>
      <w:r w:rsidRPr="003C5719">
        <w:t xml:space="preserve"> the </w:t>
      </w:r>
      <w:r w:rsidRPr="003C5719">
        <w:rPr>
          <w:i/>
          <w:iCs/>
        </w:rPr>
        <w:t>Legislation Act 2003</w:t>
      </w:r>
      <w:r w:rsidRPr="003C5719">
        <w:t>.</w:t>
      </w:r>
    </w:p>
    <w:p w14:paraId="0792428B" w14:textId="77777777" w:rsidR="00A321D4" w:rsidRPr="003C5719" w:rsidRDefault="00A321D4" w:rsidP="00A321D4">
      <w:pPr>
        <w:spacing w:before="240"/>
      </w:pPr>
      <w:r w:rsidRPr="003C5719">
        <w:t xml:space="preserve">The </w:t>
      </w:r>
      <w:r>
        <w:t>instrument is</w:t>
      </w:r>
      <w:r w:rsidRPr="003C5719">
        <w:t xml:space="preserve"> </w:t>
      </w:r>
      <w:r>
        <w:t>subject to sunsetting under section 50 of</w:t>
      </w:r>
      <w:r w:rsidRPr="003C5719">
        <w:t xml:space="preserve"> the </w:t>
      </w:r>
      <w:r w:rsidRPr="003C5719">
        <w:rPr>
          <w:i/>
          <w:iCs/>
        </w:rPr>
        <w:t>Legislation Act 2003</w:t>
      </w:r>
      <w:r w:rsidRPr="003C5719">
        <w:t>.</w:t>
      </w:r>
    </w:p>
    <w:p w14:paraId="35BCB452" w14:textId="11EBF7C2" w:rsidR="0000628C" w:rsidRDefault="00F109D4" w:rsidP="004A27A8">
      <w:pPr>
        <w:spacing w:before="240"/>
      </w:pPr>
      <w:r w:rsidRPr="003C5719">
        <w:t xml:space="preserve">The </w:t>
      </w:r>
      <w:r w:rsidR="00B503CD">
        <w:t>instrument</w:t>
      </w:r>
      <w:r w:rsidRPr="003C5719">
        <w:t xml:space="preserve"> commenced on </w:t>
      </w:r>
      <w:r w:rsidR="00B503CD">
        <w:t>the day after the instrument was registered on the Federal Register of Legislation</w:t>
      </w:r>
      <w:r w:rsidR="008F0C50" w:rsidRPr="003C5719">
        <w:t>.</w:t>
      </w:r>
      <w:r w:rsidR="0047265F" w:rsidRPr="003C5719">
        <w:t xml:space="preserve"> </w:t>
      </w:r>
    </w:p>
    <w:p w14:paraId="7DD64E07" w14:textId="25A6DC14" w:rsidR="0011527C" w:rsidRPr="003C5719" w:rsidRDefault="0011527C" w:rsidP="004A27A8">
      <w:pPr>
        <w:spacing w:before="240"/>
      </w:pPr>
      <w:r w:rsidRPr="003C5719">
        <w:t xml:space="preserve">Details of the </w:t>
      </w:r>
      <w:r w:rsidR="00B503CD">
        <w:t>instrument</w:t>
      </w:r>
      <w:r w:rsidRPr="003C5719">
        <w:t xml:space="preserve"> are set out in </w:t>
      </w:r>
      <w:r w:rsidRPr="003C5719">
        <w:rPr>
          <w:u w:val="single"/>
        </w:rPr>
        <w:t xml:space="preserve">Attachment </w:t>
      </w:r>
      <w:r w:rsidR="00B503CD">
        <w:rPr>
          <w:u w:val="single"/>
        </w:rPr>
        <w:t>A</w:t>
      </w:r>
      <w:r w:rsidRPr="003C5719">
        <w:t xml:space="preserve">. </w:t>
      </w:r>
    </w:p>
    <w:p w14:paraId="217C4C7E" w14:textId="0549AC09" w:rsidR="0000628C" w:rsidRDefault="00EB2AEF" w:rsidP="004A27A8">
      <w:pPr>
        <w:spacing w:before="240"/>
      </w:pPr>
      <w:r w:rsidRPr="003C5719">
        <w:t xml:space="preserve">A statement of Compatibility with Human Rights is at </w:t>
      </w:r>
      <w:r w:rsidRPr="003C5719">
        <w:rPr>
          <w:u w:val="single"/>
        </w:rPr>
        <w:t xml:space="preserve">Attachment </w:t>
      </w:r>
      <w:r w:rsidR="00B503CD">
        <w:rPr>
          <w:u w:val="single"/>
        </w:rPr>
        <w:t>B</w:t>
      </w:r>
      <w:r w:rsidR="00CE4EFB" w:rsidRPr="003C5719">
        <w:rPr>
          <w:u w:val="single"/>
        </w:rPr>
        <w:t>.</w:t>
      </w:r>
      <w:r w:rsidR="00013390" w:rsidRPr="003C5719">
        <w:t xml:space="preserve"> </w:t>
      </w:r>
    </w:p>
    <w:p w14:paraId="6D3AFE0D" w14:textId="1E89CCA9" w:rsidR="0000628C" w:rsidRDefault="005139C3" w:rsidP="004A27A8">
      <w:pPr>
        <w:spacing w:before="240"/>
      </w:pPr>
      <w:r w:rsidRPr="003C5719">
        <w:t>The Office of Impact Analysis has been (OIA) has been consulted (</w:t>
      </w:r>
      <w:r>
        <w:t xml:space="preserve">ref: </w:t>
      </w:r>
      <w:sdt>
        <w:sdtPr>
          <w:id w:val="-2093919849"/>
          <w:placeholder>
            <w:docPart w:val="A4F5D9D487314BCDAC990F9AE67DD934"/>
          </w:placeholder>
        </w:sdtPr>
        <w:sdtEndPr/>
        <w:sdtContent>
          <w:r>
            <w:t>OIA23</w:t>
          </w:r>
          <w:r>
            <w:noBreakHyphen/>
            <w:t>05766</w:t>
          </w:r>
        </w:sdtContent>
      </w:sdt>
      <w:r w:rsidRPr="003C5719">
        <w:t xml:space="preserve">) and agreed that </w:t>
      </w:r>
      <w:r>
        <w:t>an Impact Analysis is not required.</w:t>
      </w:r>
      <w:r w:rsidRPr="003C5719">
        <w:t xml:space="preserve"> </w:t>
      </w:r>
      <w:r>
        <w:t>The measure has no impact on compliance costs</w:t>
      </w:r>
      <w:r w:rsidRPr="003C5719">
        <w:t xml:space="preserve">. </w:t>
      </w:r>
    </w:p>
    <w:p w14:paraId="77FA8984" w14:textId="77777777" w:rsidR="00EB2AEF" w:rsidRPr="003C5719" w:rsidRDefault="00EB2AEF" w:rsidP="004A27A8">
      <w:pPr>
        <w:spacing w:before="240"/>
      </w:pPr>
    </w:p>
    <w:p w14:paraId="617A9339" w14:textId="28B2486A" w:rsidR="00EA4DD8" w:rsidRPr="003C5719" w:rsidRDefault="00EA4DD8" w:rsidP="004A27A8">
      <w:pPr>
        <w:pageBreakBefore/>
        <w:spacing w:before="240"/>
        <w:jc w:val="right"/>
        <w:rPr>
          <w:b/>
          <w:u w:val="single"/>
        </w:rPr>
      </w:pPr>
      <w:r w:rsidRPr="003C5719">
        <w:rPr>
          <w:b/>
          <w:u w:val="single"/>
        </w:rPr>
        <w:lastRenderedPageBreak/>
        <w:t xml:space="preserve">ATTACHMENT </w:t>
      </w:r>
      <w:r w:rsidR="00A915E0">
        <w:rPr>
          <w:b/>
          <w:u w:val="single"/>
        </w:rPr>
        <w:t>A</w:t>
      </w:r>
    </w:p>
    <w:p w14:paraId="366EDEBB" w14:textId="319A90EB" w:rsidR="00EA4DD8" w:rsidRPr="003C5719" w:rsidRDefault="00EA4DD8" w:rsidP="004243B6">
      <w:pPr>
        <w:spacing w:before="240"/>
        <w:rPr>
          <w:b/>
          <w:bCs/>
          <w:szCs w:val="24"/>
          <w:u w:val="single"/>
        </w:rPr>
      </w:pPr>
      <w:r w:rsidRPr="003C5719">
        <w:rPr>
          <w:b/>
          <w:bCs/>
          <w:u w:val="single"/>
        </w:rPr>
        <w:t xml:space="preserve">Details of the </w:t>
      </w:r>
      <w:r w:rsidR="00A915E0" w:rsidRPr="00A915E0">
        <w:rPr>
          <w:b/>
          <w:i/>
          <w:u w:val="single"/>
        </w:rPr>
        <w:t>Corporations (Relevant Providers Degrees, Qualifications and Courses Standard) Amendment (2023 Measures No. 3) Determination 2023</w:t>
      </w:r>
      <w:r w:rsidRPr="003C5719">
        <w:rPr>
          <w:b/>
          <w:bCs/>
          <w:u w:val="single"/>
        </w:rPr>
        <w:t xml:space="preserve"> </w:t>
      </w:r>
    </w:p>
    <w:p w14:paraId="56636A6C" w14:textId="77777777" w:rsidR="00EA4DD8" w:rsidRPr="003C5719" w:rsidRDefault="00EA4DD8" w:rsidP="002104B5">
      <w:pPr>
        <w:spacing w:before="220"/>
        <w:rPr>
          <w:rFonts w:ascii="Calibri" w:hAnsi="Calibri"/>
          <w:sz w:val="22"/>
          <w:szCs w:val="22"/>
          <w:u w:val="single"/>
          <w:lang w:eastAsia="en-US"/>
        </w:rPr>
      </w:pPr>
      <w:r w:rsidRPr="003C5719">
        <w:rPr>
          <w:u w:val="single"/>
        </w:rPr>
        <w:t xml:space="preserve">Section 1 – Name </w:t>
      </w:r>
    </w:p>
    <w:p w14:paraId="3EF69DCE" w14:textId="6D100CFC" w:rsidR="00EA4DD8" w:rsidRPr="003C5719" w:rsidRDefault="00EA4DD8" w:rsidP="002104B5">
      <w:pPr>
        <w:spacing w:before="220"/>
      </w:pPr>
      <w:r w:rsidRPr="003C5719">
        <w:t xml:space="preserve">This section provides that the name of the </w:t>
      </w:r>
      <w:r w:rsidR="00FE2789">
        <w:t>instrument</w:t>
      </w:r>
      <w:r w:rsidRPr="003C5719">
        <w:t xml:space="preserve"> is the </w:t>
      </w:r>
      <w:r w:rsidR="00FE2789" w:rsidRPr="00FE2789">
        <w:rPr>
          <w:i/>
        </w:rPr>
        <w:t>Corporations (Relevant Providers Degrees, Qualifications and Courses Standard) Amendment (2023 Measures No. 3) Determination 2023</w:t>
      </w:r>
      <w:r w:rsidRPr="003C5719">
        <w:t xml:space="preserve"> (the </w:t>
      </w:r>
      <w:r w:rsidR="00FE2789">
        <w:t>Amending Determination</w:t>
      </w:r>
      <w:r w:rsidRPr="003C5719">
        <w:t>).</w:t>
      </w:r>
    </w:p>
    <w:p w14:paraId="1610C93F" w14:textId="77777777" w:rsidR="00EA4DD8" w:rsidRPr="003C5719" w:rsidRDefault="00EA4DD8" w:rsidP="002104B5">
      <w:pPr>
        <w:spacing w:before="220"/>
        <w:rPr>
          <w:u w:val="single"/>
        </w:rPr>
      </w:pPr>
      <w:r w:rsidRPr="003C5719">
        <w:rPr>
          <w:u w:val="single"/>
        </w:rPr>
        <w:t>Section 2 – Commencement</w:t>
      </w:r>
    </w:p>
    <w:p w14:paraId="1D052E76" w14:textId="41E2261E" w:rsidR="00EA4DD8" w:rsidRPr="003C5719" w:rsidRDefault="00EA4DD8" w:rsidP="002104B5">
      <w:pPr>
        <w:spacing w:before="220"/>
      </w:pPr>
      <w:r w:rsidRPr="003C5719">
        <w:t xml:space="preserve">Schedule 1 to the </w:t>
      </w:r>
      <w:r w:rsidR="00FE2789">
        <w:t>Amending Determination</w:t>
      </w:r>
      <w:r w:rsidRPr="003C5719">
        <w:t xml:space="preserve"> commence</w:t>
      </w:r>
      <w:r w:rsidR="003037F8">
        <w:t>d</w:t>
      </w:r>
      <w:r w:rsidRPr="003C5719">
        <w:t xml:space="preserve"> on </w:t>
      </w:r>
      <w:r w:rsidRPr="006F683C">
        <w:t xml:space="preserve">the day after the instrument </w:t>
      </w:r>
      <w:r w:rsidR="00FE2789">
        <w:t>wa</w:t>
      </w:r>
      <w:r w:rsidRPr="006F683C">
        <w:t xml:space="preserve">s registered </w:t>
      </w:r>
      <w:r w:rsidRPr="003C5719">
        <w:t>on the Federal Register of Legislation.</w:t>
      </w:r>
      <w:r w:rsidR="005858FB">
        <w:t xml:space="preserve"> </w:t>
      </w:r>
    </w:p>
    <w:p w14:paraId="6AD41DA9" w14:textId="77777777" w:rsidR="00EA4DD8" w:rsidRPr="003C5719" w:rsidRDefault="00EA4DD8" w:rsidP="002104B5">
      <w:pPr>
        <w:spacing w:before="220"/>
        <w:rPr>
          <w:u w:val="single"/>
        </w:rPr>
      </w:pPr>
      <w:r w:rsidRPr="003C5719">
        <w:rPr>
          <w:u w:val="single"/>
        </w:rPr>
        <w:t>Section 3 – Authority</w:t>
      </w:r>
    </w:p>
    <w:p w14:paraId="6682D075" w14:textId="637EFE2F" w:rsidR="00EA4DD8" w:rsidRPr="003C5719" w:rsidRDefault="00EA4DD8" w:rsidP="002104B5">
      <w:pPr>
        <w:spacing w:before="220"/>
      </w:pPr>
      <w:r w:rsidRPr="003C5719">
        <w:t xml:space="preserve">The </w:t>
      </w:r>
      <w:r w:rsidR="00FE2789">
        <w:t>Amending Determination is</w:t>
      </w:r>
      <w:r w:rsidRPr="003C5719">
        <w:t xml:space="preserve"> made under the </w:t>
      </w:r>
      <w:r w:rsidR="00FE2789" w:rsidRPr="00FE2789">
        <w:rPr>
          <w:i/>
        </w:rPr>
        <w:t>Corporations Act 2001</w:t>
      </w:r>
      <w:r w:rsidRPr="003C5719">
        <w:t xml:space="preserve"> (the Act).</w:t>
      </w:r>
    </w:p>
    <w:p w14:paraId="43840048" w14:textId="4A4044DD" w:rsidR="00EA4DD8" w:rsidRPr="00FE2789" w:rsidRDefault="00EA4DD8" w:rsidP="002104B5">
      <w:pPr>
        <w:spacing w:before="220"/>
        <w:rPr>
          <w:color w:val="000000" w:themeColor="text1"/>
          <w:u w:val="single"/>
        </w:rPr>
      </w:pPr>
      <w:r w:rsidRPr="00FE2789">
        <w:rPr>
          <w:color w:val="000000" w:themeColor="text1"/>
          <w:u w:val="single"/>
        </w:rPr>
        <w:t>Section 4 – Schedules</w:t>
      </w:r>
    </w:p>
    <w:p w14:paraId="3A0B9396" w14:textId="77777777" w:rsidR="00EA4DD8" w:rsidRPr="003C5719" w:rsidRDefault="00EA4DD8" w:rsidP="002104B5">
      <w:pPr>
        <w:spacing w:before="22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5BEFC55E" w14:textId="33252463" w:rsidR="00FE2789" w:rsidRDefault="00FE2789" w:rsidP="002104B5">
      <w:pPr>
        <w:spacing w:before="220"/>
        <w:ind w:right="91"/>
        <w:rPr>
          <w:color w:val="FF0000"/>
        </w:rPr>
      </w:pPr>
      <w:r>
        <w:rPr>
          <w:u w:val="single"/>
        </w:rPr>
        <w:t xml:space="preserve">Schedule 1 – </w:t>
      </w:r>
      <w:r w:rsidR="00367E6D">
        <w:rPr>
          <w:u w:val="single"/>
        </w:rPr>
        <w:t>Updates to approved</w:t>
      </w:r>
      <w:r w:rsidR="00FD6B40">
        <w:rPr>
          <w:u w:val="single"/>
        </w:rPr>
        <w:t xml:space="preserve"> courses in </w:t>
      </w:r>
      <w:r>
        <w:rPr>
          <w:u w:val="single"/>
        </w:rPr>
        <w:t xml:space="preserve">the </w:t>
      </w:r>
      <w:r>
        <w:rPr>
          <w:i/>
          <w:iCs/>
          <w:u w:val="single"/>
        </w:rPr>
        <w:t xml:space="preserve">Corporations (Relevant Providers Degrees, Qualifications and Courses Standard) Determination 2021 </w:t>
      </w:r>
      <w:r>
        <w:rPr>
          <w:u w:val="single"/>
        </w:rPr>
        <w:t>(the Determination)</w:t>
      </w:r>
    </w:p>
    <w:p w14:paraId="386613A5" w14:textId="77777777" w:rsidR="00E6483A" w:rsidRDefault="00E6483A" w:rsidP="002104B5">
      <w:pPr>
        <w:pStyle w:val="Heading4"/>
        <w:spacing w:before="220"/>
      </w:pPr>
      <w:r>
        <w:t>New approved degrees</w:t>
      </w:r>
    </w:p>
    <w:p w14:paraId="37495932" w14:textId="243AC06F" w:rsidR="001E3939" w:rsidRDefault="001E3939" w:rsidP="002104B5">
      <w:pPr>
        <w:pStyle w:val="Bullet"/>
        <w:numPr>
          <w:ilvl w:val="0"/>
          <w:numId w:val="0"/>
        </w:numPr>
        <w:spacing w:before="220"/>
      </w:pPr>
      <w:r w:rsidRPr="001E3939">
        <w:rPr>
          <w:i/>
          <w:iCs/>
        </w:rPr>
        <w:t>Griffith University</w:t>
      </w:r>
    </w:p>
    <w:p w14:paraId="23E91F15" w14:textId="6B48CFCA" w:rsidR="00092772" w:rsidRDefault="00581277" w:rsidP="002104B5">
      <w:pPr>
        <w:pStyle w:val="Bullet"/>
        <w:numPr>
          <w:ilvl w:val="0"/>
          <w:numId w:val="0"/>
        </w:numPr>
        <w:spacing w:before="220"/>
      </w:pPr>
      <w:r>
        <w:t xml:space="preserve">Griffith University offers </w:t>
      </w:r>
      <w:r w:rsidR="00F322AA">
        <w:t>several</w:t>
      </w:r>
      <w:r>
        <w:t xml:space="preserve"> approved </w:t>
      </w:r>
      <w:proofErr w:type="gramStart"/>
      <w:r w:rsidR="004A4BA5">
        <w:t>Bachelor</w:t>
      </w:r>
      <w:proofErr w:type="gramEnd"/>
      <w:r w:rsidR="004A4BA5">
        <w:t xml:space="preserve"> </w:t>
      </w:r>
      <w:r>
        <w:t>degrees</w:t>
      </w:r>
      <w:r w:rsidR="004A4BA5">
        <w:t>, listed at table items 27 to</w:t>
      </w:r>
      <w:r w:rsidR="00C15F11">
        <w:t> </w:t>
      </w:r>
      <w:r w:rsidR="004A4BA5">
        <w:t>29AB of Schedule 1 to the Determination.</w:t>
      </w:r>
      <w:r w:rsidR="00093AA4">
        <w:t xml:space="preserve"> </w:t>
      </w:r>
      <w:r w:rsidR="003814BF">
        <w:t xml:space="preserve">Item 18 amends </w:t>
      </w:r>
      <w:r w:rsidR="006D3928">
        <w:t xml:space="preserve">existing table items 29AA and 29AB, and inserts new table item 29AC, to include </w:t>
      </w:r>
      <w:r w:rsidR="00753E54">
        <w:t>additional approved degrees</w:t>
      </w:r>
      <w:r w:rsidR="00D53DFD">
        <w:t xml:space="preserve"> as variations to the existing approved degrees, as outlined below.</w:t>
      </w:r>
    </w:p>
    <w:p w14:paraId="36DF96C4" w14:textId="31DD9698" w:rsidR="00D53DFD" w:rsidRPr="001E3939" w:rsidRDefault="00D53DFD" w:rsidP="002104B5">
      <w:pPr>
        <w:pStyle w:val="Bullet"/>
        <w:numPr>
          <w:ilvl w:val="0"/>
          <w:numId w:val="0"/>
        </w:numPr>
        <w:spacing w:before="220"/>
      </w:pPr>
      <w:r>
        <w:t>The existing approved degree at table item 29A</w:t>
      </w:r>
      <w:r w:rsidR="000D07AC">
        <w:t>A</w:t>
      </w:r>
      <w:r>
        <w:t xml:space="preserve"> is the </w:t>
      </w:r>
      <w:r w:rsidR="00CF73D2" w:rsidRPr="00CF73D2">
        <w:t>Bachelor of Advanced Business (Honours) (Financial Planning (Extended) major)</w:t>
      </w:r>
      <w:r>
        <w:t xml:space="preserve">. </w:t>
      </w:r>
      <w:r w:rsidR="00E77FE3">
        <w:t>Item 18 amends the existing table item to include</w:t>
      </w:r>
      <w:r w:rsidR="00200B3F">
        <w:t xml:space="preserve"> where a person has </w:t>
      </w:r>
      <w:r w:rsidR="00A03A56">
        <w:t>completed the relevant financial planning studies as part of a double major</w:t>
      </w:r>
      <w:r w:rsidR="00342596">
        <w:t xml:space="preserve"> for th</w:t>
      </w:r>
      <w:r w:rsidR="003476B2">
        <w:t>at</w:t>
      </w:r>
      <w:r w:rsidR="00342596">
        <w:t xml:space="preserve"> approved degree</w:t>
      </w:r>
      <w:r w:rsidR="00A03A56">
        <w:t xml:space="preserve"> – referred to as </w:t>
      </w:r>
      <w:r w:rsidR="003B4230">
        <w:t>the Bachelor of Advanced Business (Honours) (Financial Planning and Taxation (Extended) major).</w:t>
      </w:r>
    </w:p>
    <w:p w14:paraId="63B38FBA" w14:textId="316B9B81" w:rsidR="001E3939" w:rsidRPr="001E3939" w:rsidRDefault="000D48D7" w:rsidP="002104B5">
      <w:pPr>
        <w:pStyle w:val="Bullet"/>
        <w:numPr>
          <w:ilvl w:val="0"/>
          <w:numId w:val="0"/>
        </w:numPr>
        <w:spacing w:before="220"/>
      </w:pPr>
      <w:r>
        <w:t xml:space="preserve">The </w:t>
      </w:r>
      <w:r w:rsidR="00A72A37">
        <w:t xml:space="preserve">existing approved degree at table item 29AB is the </w:t>
      </w:r>
      <w:r w:rsidRPr="000D48D7">
        <w:t>Bachelor of Business (Financial Planning (Extended) major)</w:t>
      </w:r>
      <w:r w:rsidR="00A72A37">
        <w:t>.</w:t>
      </w:r>
      <w:r w:rsidR="004C465E">
        <w:t xml:space="preserve"> </w:t>
      </w:r>
      <w:r w:rsidR="00342596">
        <w:t>Item 18 amends the existing table item to include where a person has completed the relevant financial planning studies as part of a double major for th</w:t>
      </w:r>
      <w:r w:rsidR="003476B2">
        <w:t>at</w:t>
      </w:r>
      <w:r w:rsidR="00342596">
        <w:t xml:space="preserve"> approved degree – referred to as the</w:t>
      </w:r>
      <w:r w:rsidR="00225464">
        <w:t xml:space="preserve"> Bachelor of Business (Financial Planning and Taxation (Extended) major).</w:t>
      </w:r>
    </w:p>
    <w:p w14:paraId="51137146" w14:textId="787E664C" w:rsidR="00A971CD" w:rsidRDefault="00E6483A" w:rsidP="002104B5">
      <w:pPr>
        <w:pStyle w:val="Bullet"/>
        <w:numPr>
          <w:ilvl w:val="0"/>
          <w:numId w:val="0"/>
        </w:numPr>
        <w:spacing w:before="220"/>
      </w:pPr>
      <w:r w:rsidRPr="00E5471A">
        <w:t>Item 1</w:t>
      </w:r>
      <w:r w:rsidR="003F0BDE" w:rsidRPr="00E5471A">
        <w:t>8</w:t>
      </w:r>
      <w:r>
        <w:t xml:space="preserve"> </w:t>
      </w:r>
      <w:r w:rsidR="00952DFE">
        <w:t xml:space="preserve">also </w:t>
      </w:r>
      <w:r w:rsidR="00B70960">
        <w:t>inserts new</w:t>
      </w:r>
      <w:r w:rsidR="00332992">
        <w:t xml:space="preserve"> table item</w:t>
      </w:r>
      <w:r w:rsidR="00E15EE6">
        <w:t> 29AC</w:t>
      </w:r>
      <w:r>
        <w:t xml:space="preserve">. </w:t>
      </w:r>
      <w:r w:rsidR="000403E3">
        <w:t xml:space="preserve">This </w:t>
      </w:r>
      <w:r w:rsidR="00ED0641">
        <w:t xml:space="preserve">ensures that the </w:t>
      </w:r>
      <w:r w:rsidR="00975C30">
        <w:t xml:space="preserve">existing approved </w:t>
      </w:r>
      <w:r w:rsidR="00ED0641" w:rsidRPr="000D48D7">
        <w:t>Bachelor of Business (Financial Planning (Extended) major)</w:t>
      </w:r>
      <w:r w:rsidR="00ED0641">
        <w:t xml:space="preserve"> </w:t>
      </w:r>
      <w:r w:rsidR="003C54A8">
        <w:t>–</w:t>
      </w:r>
      <w:r w:rsidR="00975C30">
        <w:t xml:space="preserve"> </w:t>
      </w:r>
      <w:r w:rsidR="003C54A8">
        <w:t xml:space="preserve">that is, </w:t>
      </w:r>
      <w:r w:rsidR="00ED0641">
        <w:t>cur</w:t>
      </w:r>
      <w:r w:rsidR="00975C30">
        <w:t>rent table item 29AB</w:t>
      </w:r>
      <w:r w:rsidR="003C54A8">
        <w:t xml:space="preserve"> – is also an approved degree if </w:t>
      </w:r>
      <w:r w:rsidR="00F9479A">
        <w:t>it is completed as a double degree</w:t>
      </w:r>
      <w:r w:rsidR="00E5471A">
        <w:t>.</w:t>
      </w:r>
    </w:p>
    <w:p w14:paraId="63F11E89" w14:textId="725CA27E" w:rsidR="00EA22BC" w:rsidRDefault="00EA22BC" w:rsidP="002104B5">
      <w:pPr>
        <w:pStyle w:val="Bullet"/>
        <w:numPr>
          <w:ilvl w:val="0"/>
          <w:numId w:val="0"/>
        </w:numPr>
        <w:spacing w:before="220"/>
      </w:pPr>
      <w:r>
        <w:lastRenderedPageBreak/>
        <w:t xml:space="preserve">Griffith University also offers several approved postgraduate degrees, listed at table items 80A to 84 of Schedule 1 to the Determination. </w:t>
      </w:r>
      <w:r w:rsidR="00C71FCB" w:rsidRPr="00C71FCB">
        <w:t xml:space="preserve">The existing approved degree at table item </w:t>
      </w:r>
      <w:r w:rsidR="00565041">
        <w:t>83</w:t>
      </w:r>
      <w:r w:rsidR="00C71FCB" w:rsidRPr="00C71FCB">
        <w:t>A is the</w:t>
      </w:r>
      <w:r w:rsidR="00565041">
        <w:t xml:space="preserve"> Master of Financial Planning. </w:t>
      </w:r>
      <w:r w:rsidR="00082569">
        <w:t xml:space="preserve">This approved degree </w:t>
      </w:r>
      <w:r w:rsidR="00D032B7">
        <w:t>i</w:t>
      </w:r>
      <w:r w:rsidR="005532FB">
        <w:t xml:space="preserve">s conditional </w:t>
      </w:r>
      <w:r w:rsidR="00655F14">
        <w:t xml:space="preserve">upon the relevant provider completing </w:t>
      </w:r>
      <w:r w:rsidR="00FB1382">
        <w:t xml:space="preserve">the </w:t>
      </w:r>
      <w:r w:rsidR="00D032B7">
        <w:t>specified units of study</w:t>
      </w:r>
      <w:r w:rsidR="00655F14">
        <w:t>.</w:t>
      </w:r>
      <w:r w:rsidR="005532FB">
        <w:t xml:space="preserve"> </w:t>
      </w:r>
      <w:r>
        <w:t xml:space="preserve">Item </w:t>
      </w:r>
      <w:r w:rsidR="00AE61BE">
        <w:t>39</w:t>
      </w:r>
      <w:r>
        <w:t xml:space="preserve"> amends </w:t>
      </w:r>
      <w:r w:rsidR="003922BF">
        <w:t xml:space="preserve">the </w:t>
      </w:r>
      <w:r>
        <w:t xml:space="preserve">existing table item to include </w:t>
      </w:r>
      <w:r w:rsidR="00D8715C">
        <w:t xml:space="preserve">any </w:t>
      </w:r>
      <w:proofErr w:type="spellStart"/>
      <w:proofErr w:type="gramStart"/>
      <w:r w:rsidR="00D8715C">
        <w:t>Masters</w:t>
      </w:r>
      <w:proofErr w:type="spellEnd"/>
      <w:proofErr w:type="gramEnd"/>
      <w:r w:rsidR="00D8715C">
        <w:t xml:space="preserve"> degree with a major in Financial Planning, </w:t>
      </w:r>
      <w:r w:rsidR="00B2342F">
        <w:t xml:space="preserve">where </w:t>
      </w:r>
      <w:r w:rsidR="00134F6C">
        <w:t>the relevant provider has completed the same specified units of study</w:t>
      </w:r>
      <w:r>
        <w:t>.</w:t>
      </w:r>
    </w:p>
    <w:p w14:paraId="52997382" w14:textId="12BB5872" w:rsidR="00EA22BC" w:rsidRPr="001E07FD" w:rsidRDefault="001E07FD" w:rsidP="002104B5">
      <w:pPr>
        <w:pStyle w:val="Bullet"/>
        <w:numPr>
          <w:ilvl w:val="0"/>
          <w:numId w:val="0"/>
        </w:numPr>
        <w:spacing w:before="220"/>
        <w:rPr>
          <w:i/>
          <w:iCs/>
        </w:rPr>
      </w:pPr>
      <w:r w:rsidRPr="001E07FD">
        <w:rPr>
          <w:i/>
          <w:iCs/>
        </w:rPr>
        <w:t>Royal Melbourne Institute of Technology (RMIT)</w:t>
      </w:r>
    </w:p>
    <w:p w14:paraId="0285085F" w14:textId="5B8EA028" w:rsidR="008125A9" w:rsidRDefault="008125A9" w:rsidP="002104B5">
      <w:pPr>
        <w:pStyle w:val="Bullet"/>
        <w:numPr>
          <w:ilvl w:val="0"/>
          <w:numId w:val="0"/>
        </w:numPr>
        <w:spacing w:before="220"/>
      </w:pPr>
      <w:r>
        <w:t>RMIT offers several approved postgraduate degrees, listed at table items </w:t>
      </w:r>
      <w:r w:rsidR="006C37ED">
        <w:t>9</w:t>
      </w:r>
      <w:r>
        <w:t>0</w:t>
      </w:r>
      <w:r w:rsidR="006C37ED">
        <w:t xml:space="preserve"> </w:t>
      </w:r>
      <w:r>
        <w:t xml:space="preserve">to </w:t>
      </w:r>
      <w:r w:rsidR="006C37ED">
        <w:t>90B</w:t>
      </w:r>
      <w:r>
        <w:t xml:space="preserve"> of Schedule 1 to the Determination. </w:t>
      </w:r>
      <w:r w:rsidRPr="00C71FCB">
        <w:t xml:space="preserve">The existing approved degree at table item </w:t>
      </w:r>
      <w:r w:rsidR="006C37ED">
        <w:t>90</w:t>
      </w:r>
      <w:r w:rsidRPr="00C71FCB">
        <w:t xml:space="preserve"> is the</w:t>
      </w:r>
      <w:r>
        <w:t xml:space="preserve"> </w:t>
      </w:r>
      <w:r w:rsidR="005D0FB1" w:rsidRPr="005D0FB1">
        <w:t>Master of Financial Planning / Master of Business (Financial Planning)</w:t>
      </w:r>
      <w:r>
        <w:t xml:space="preserve">. This approved degree is conditional upon the relevant provider completing the specified units of study. Item </w:t>
      </w:r>
      <w:r w:rsidR="0048585C">
        <w:t>45</w:t>
      </w:r>
      <w:r>
        <w:t xml:space="preserve"> amends the existing table item to include a</w:t>
      </w:r>
      <w:r w:rsidR="0048585C">
        <w:t xml:space="preserve"> Graduate Diploma in Financial Planning</w:t>
      </w:r>
      <w:r>
        <w:t>, where the relevant provider has completed the same specified units of study.</w:t>
      </w:r>
    </w:p>
    <w:p w14:paraId="0927235E" w14:textId="1A9F8785" w:rsidR="00847BFF" w:rsidRPr="00847BFF" w:rsidRDefault="00847BFF" w:rsidP="002104B5">
      <w:pPr>
        <w:pStyle w:val="Bullet"/>
        <w:numPr>
          <w:ilvl w:val="0"/>
          <w:numId w:val="0"/>
        </w:numPr>
        <w:spacing w:before="220"/>
        <w:rPr>
          <w:i/>
          <w:iCs/>
        </w:rPr>
      </w:pPr>
      <w:r w:rsidRPr="00847BFF">
        <w:rPr>
          <w:i/>
          <w:iCs/>
        </w:rPr>
        <w:t>New South Wales Technical and Further Education Commission (TAFE NSW)</w:t>
      </w:r>
    </w:p>
    <w:p w14:paraId="0A56A424" w14:textId="1549A9A3" w:rsidR="00B26A40" w:rsidRDefault="00B26A40" w:rsidP="002104B5">
      <w:pPr>
        <w:pStyle w:val="Bullet"/>
        <w:numPr>
          <w:ilvl w:val="0"/>
          <w:numId w:val="0"/>
        </w:numPr>
        <w:spacing w:before="220"/>
      </w:pPr>
      <w:r>
        <w:t>TAFE NSW</w:t>
      </w:r>
      <w:r w:rsidR="00B734D4">
        <w:t xml:space="preserve"> currently</w:t>
      </w:r>
      <w:r>
        <w:t xml:space="preserve"> offers </w:t>
      </w:r>
      <w:r w:rsidR="00B734D4">
        <w:t>two</w:t>
      </w:r>
      <w:r>
        <w:t xml:space="preserve"> approved </w:t>
      </w:r>
      <w:proofErr w:type="gramStart"/>
      <w:r>
        <w:t>Bachelor</w:t>
      </w:r>
      <w:proofErr w:type="gramEnd"/>
      <w:r>
        <w:t xml:space="preserve"> degrees, listed at table items </w:t>
      </w:r>
      <w:r w:rsidR="00B734D4">
        <w:t>4</w:t>
      </w:r>
      <w:r>
        <w:t xml:space="preserve">2 </w:t>
      </w:r>
      <w:r w:rsidR="00B734D4">
        <w:t>and</w:t>
      </w:r>
      <w:r w:rsidR="00891ECD">
        <w:t> </w:t>
      </w:r>
      <w:r w:rsidR="00B734D4">
        <w:t>4</w:t>
      </w:r>
      <w:r>
        <w:t xml:space="preserve">2A of Schedule 1 to the Determination. </w:t>
      </w:r>
      <w:r w:rsidR="00706821">
        <w:t>These approved degrees apply</w:t>
      </w:r>
      <w:r w:rsidR="00FD75AA">
        <w:t xml:space="preserve"> where the relevant provider commenced </w:t>
      </w:r>
      <w:r w:rsidR="009E4C8E">
        <w:t>the degree between 2012 and 2018.</w:t>
      </w:r>
    </w:p>
    <w:p w14:paraId="3F0C6E0B" w14:textId="45FD8DC8" w:rsidR="00E6483A" w:rsidRDefault="00E6483A" w:rsidP="002104B5">
      <w:pPr>
        <w:pStyle w:val="Bullet"/>
        <w:numPr>
          <w:ilvl w:val="0"/>
          <w:numId w:val="0"/>
        </w:numPr>
        <w:spacing w:before="220"/>
      </w:pPr>
      <w:r>
        <w:t xml:space="preserve">Item </w:t>
      </w:r>
      <w:r w:rsidR="00EC0530">
        <w:t>27 inserts new table item</w:t>
      </w:r>
      <w:r w:rsidR="00C6592F">
        <w:t xml:space="preserve"> 42B</w:t>
      </w:r>
      <w:r>
        <w:t xml:space="preserve"> </w:t>
      </w:r>
      <w:r w:rsidR="005D0257">
        <w:t xml:space="preserve">to </w:t>
      </w:r>
      <w:r>
        <w:t>include</w:t>
      </w:r>
      <w:r w:rsidR="00D94A9D">
        <w:t xml:space="preserve"> </w:t>
      </w:r>
      <w:r w:rsidR="00A73726">
        <w:t xml:space="preserve">the </w:t>
      </w:r>
      <w:r w:rsidR="008E2516">
        <w:t>current versions of th</w:t>
      </w:r>
      <w:r w:rsidR="001C1025">
        <w:t xml:space="preserve">ose </w:t>
      </w:r>
      <w:proofErr w:type="gramStart"/>
      <w:r w:rsidR="001C1025">
        <w:t>two</w:t>
      </w:r>
      <w:r w:rsidR="008E2516">
        <w:t xml:space="preserve"> degree</w:t>
      </w:r>
      <w:proofErr w:type="gramEnd"/>
      <w:r w:rsidR="008E2516">
        <w:t xml:space="preserve"> programs</w:t>
      </w:r>
      <w:r w:rsidR="00267B6D">
        <w:t xml:space="preserve"> – that is, where the relevant provider commenced the degree </w:t>
      </w:r>
      <w:r w:rsidR="00DC3905">
        <w:t>on</w:t>
      </w:r>
      <w:r w:rsidR="00B14475">
        <w:t xml:space="preserve"> or </w:t>
      </w:r>
      <w:r w:rsidR="00DC3905">
        <w:t>after 1 January 2019.</w:t>
      </w:r>
    </w:p>
    <w:p w14:paraId="6084CD1C" w14:textId="23BBB56C" w:rsidR="005E1AB3" w:rsidRDefault="007F0748" w:rsidP="002104B5">
      <w:pPr>
        <w:pStyle w:val="Heading4"/>
        <w:spacing w:before="220"/>
      </w:pPr>
      <w:r>
        <w:t>The Financial Advice Association of Australia Limited</w:t>
      </w:r>
    </w:p>
    <w:p w14:paraId="0D6CD3DD" w14:textId="2B351B02" w:rsidR="000322B6" w:rsidRDefault="00874FD2" w:rsidP="002104B5">
      <w:pPr>
        <w:pStyle w:val="Bullet"/>
        <w:numPr>
          <w:ilvl w:val="0"/>
          <w:numId w:val="0"/>
        </w:numPr>
        <w:spacing w:before="220"/>
      </w:pPr>
      <w:r>
        <w:t xml:space="preserve">Items </w:t>
      </w:r>
      <w:r w:rsidR="005E1AB3">
        <w:t>1</w:t>
      </w:r>
      <w:r w:rsidR="00BA5F00">
        <w:t xml:space="preserve"> to </w:t>
      </w:r>
      <w:r w:rsidR="005E1AB3">
        <w:t xml:space="preserve">4 reflect that </w:t>
      </w:r>
      <w:r w:rsidR="00FD33CD">
        <w:t>t</w:t>
      </w:r>
      <w:r w:rsidR="00FD33CD" w:rsidRPr="00FD33CD">
        <w:t xml:space="preserve">he Financial Planning Association merged with the Association of Financial Advisers on 3 April 2023 </w:t>
      </w:r>
      <w:r w:rsidR="00692276">
        <w:t xml:space="preserve">to form </w:t>
      </w:r>
      <w:r w:rsidR="00FD33CD" w:rsidRPr="00FD33CD">
        <w:t xml:space="preserve">the Financial Advice Association of Australia Limited (FAAA). </w:t>
      </w:r>
      <w:r w:rsidR="00692276">
        <w:t xml:space="preserve">The amendments ensure that qualifying units </w:t>
      </w:r>
      <w:r w:rsidR="00660693">
        <w:t>and</w:t>
      </w:r>
      <w:r w:rsidR="002A29BB">
        <w:t xml:space="preserve"> the approved degree </w:t>
      </w:r>
      <w:r w:rsidR="00692276">
        <w:t>are recognised despite the name change of the provider</w:t>
      </w:r>
      <w:r w:rsidR="002A29BB">
        <w:t xml:space="preserve"> on any new Statements of Results issued.</w:t>
      </w:r>
    </w:p>
    <w:p w14:paraId="036A18DD" w14:textId="76FD9A9E" w:rsidR="003D6A8C" w:rsidRDefault="003D6A8C" w:rsidP="002104B5">
      <w:pPr>
        <w:pStyle w:val="Heading4"/>
        <w:spacing w:before="220"/>
      </w:pPr>
      <w:r>
        <w:t xml:space="preserve">Corrections </w:t>
      </w:r>
      <w:r w:rsidR="00813A12">
        <w:t>and updates to existing approved degrees/</w:t>
      </w:r>
      <w:proofErr w:type="gramStart"/>
      <w:r w:rsidR="00813A12">
        <w:t>qualifications</w:t>
      </w:r>
      <w:proofErr w:type="gramEnd"/>
    </w:p>
    <w:p w14:paraId="1A3D688C" w14:textId="1C048843" w:rsidR="00CC6827" w:rsidRDefault="00ED0590" w:rsidP="002104B5">
      <w:pPr>
        <w:pStyle w:val="Bullet"/>
        <w:numPr>
          <w:ilvl w:val="0"/>
          <w:numId w:val="0"/>
        </w:numPr>
        <w:spacing w:before="220"/>
      </w:pPr>
      <w:r>
        <w:t xml:space="preserve">As part of a routine review of the </w:t>
      </w:r>
      <w:r w:rsidR="004354F0">
        <w:t>Determination, h</w:t>
      </w:r>
      <w:r w:rsidR="00651406">
        <w:t xml:space="preserve">igher education </w:t>
      </w:r>
      <w:r w:rsidR="00CB437B">
        <w:t xml:space="preserve">providers </w:t>
      </w:r>
      <w:r w:rsidR="00955D3B">
        <w:t>were a</w:t>
      </w:r>
      <w:r w:rsidR="008E669D">
        <w:t>s</w:t>
      </w:r>
      <w:r w:rsidR="004354F0">
        <w:t xml:space="preserve">ked to provide </w:t>
      </w:r>
      <w:r w:rsidR="009D56B6">
        <w:t xml:space="preserve">any updates </w:t>
      </w:r>
      <w:r w:rsidR="008A435A">
        <w:t xml:space="preserve">to </w:t>
      </w:r>
      <w:r w:rsidR="00DD62FD">
        <w:t xml:space="preserve">their </w:t>
      </w:r>
      <w:r w:rsidR="00456D29">
        <w:t>existing approved</w:t>
      </w:r>
      <w:r w:rsidR="004B5833">
        <w:t xml:space="preserve"> degrees/qualifications </w:t>
      </w:r>
      <w:r w:rsidR="00F42A7A">
        <w:t xml:space="preserve">to ensure that the details outlined in the Determination </w:t>
      </w:r>
      <w:r w:rsidR="005A094F">
        <w:t xml:space="preserve">are </w:t>
      </w:r>
      <w:r w:rsidR="00607E51">
        <w:t>accurate</w:t>
      </w:r>
      <w:r w:rsidR="00D73963">
        <w:t xml:space="preserve"> and </w:t>
      </w:r>
      <w:proofErr w:type="gramStart"/>
      <w:r w:rsidR="00D73963">
        <w:t>up-to-date</w:t>
      </w:r>
      <w:proofErr w:type="gramEnd"/>
      <w:r w:rsidR="00607E51">
        <w:t>.</w:t>
      </w:r>
      <w:r w:rsidR="00664A0A">
        <w:t xml:space="preserve"> </w:t>
      </w:r>
      <w:r w:rsidR="009A5BC1">
        <w:t>The</w:t>
      </w:r>
      <w:r w:rsidR="00B51B50">
        <w:t>y</w:t>
      </w:r>
      <w:r w:rsidR="00BE3F34">
        <w:t xml:space="preserve"> </w:t>
      </w:r>
      <w:r w:rsidR="00845353">
        <w:t xml:space="preserve">identified </w:t>
      </w:r>
      <w:r w:rsidR="00F514AC">
        <w:t xml:space="preserve">a range of amendments </w:t>
      </w:r>
      <w:r w:rsidR="002B08D8">
        <w:t xml:space="preserve">intended </w:t>
      </w:r>
      <w:r w:rsidR="00F514AC">
        <w:t>to:</w:t>
      </w:r>
    </w:p>
    <w:p w14:paraId="7280631D" w14:textId="1CD33E02" w:rsidR="00F514AC" w:rsidRDefault="00F514AC" w:rsidP="002104B5">
      <w:pPr>
        <w:pStyle w:val="Bullet"/>
        <w:spacing w:before="220"/>
      </w:pPr>
      <w:r>
        <w:t xml:space="preserve">correct typographical </w:t>
      </w:r>
      <w:r w:rsidR="001224B4">
        <w:t xml:space="preserve">and other minor </w:t>
      </w:r>
      <w:proofErr w:type="gramStart"/>
      <w:r>
        <w:t>errors;</w:t>
      </w:r>
      <w:proofErr w:type="gramEnd"/>
    </w:p>
    <w:p w14:paraId="4EBEB3AF" w14:textId="012CBCBB" w:rsidR="00CC0731" w:rsidRDefault="00CC0731" w:rsidP="002104B5">
      <w:pPr>
        <w:pStyle w:val="Bullet"/>
        <w:spacing w:before="220"/>
      </w:pPr>
      <w:r>
        <w:t>update references to course names and</w:t>
      </w:r>
      <w:r w:rsidR="00354449">
        <w:t>/or</w:t>
      </w:r>
      <w:r>
        <w:t xml:space="preserve"> </w:t>
      </w:r>
      <w:proofErr w:type="gramStart"/>
      <w:r>
        <w:t>codes;</w:t>
      </w:r>
      <w:proofErr w:type="gramEnd"/>
    </w:p>
    <w:p w14:paraId="20905D57" w14:textId="6E3B46F0" w:rsidR="00BD746C" w:rsidRDefault="00AD724D" w:rsidP="002104B5">
      <w:pPr>
        <w:pStyle w:val="Bullet"/>
        <w:spacing w:before="220"/>
      </w:pPr>
      <w:r>
        <w:t xml:space="preserve">update details </w:t>
      </w:r>
      <w:r w:rsidR="003F7BAD">
        <w:t>relating to commencement</w:t>
      </w:r>
      <w:r w:rsidR="00994A07">
        <w:t xml:space="preserve"> of the approved degree/</w:t>
      </w:r>
      <w:proofErr w:type="gramStart"/>
      <w:r w:rsidR="00994A07">
        <w:t>qualification;</w:t>
      </w:r>
      <w:proofErr w:type="gramEnd"/>
    </w:p>
    <w:p w14:paraId="2160D5F4" w14:textId="75D371E8" w:rsidR="001224B4" w:rsidRDefault="00BE2802" w:rsidP="002104B5">
      <w:pPr>
        <w:pStyle w:val="Bullet"/>
        <w:spacing w:before="220"/>
      </w:pPr>
      <w:r>
        <w:t xml:space="preserve">update </w:t>
      </w:r>
      <w:r w:rsidR="00757BE8">
        <w:t>details of</w:t>
      </w:r>
      <w:r w:rsidR="00B874AD">
        <w:t xml:space="preserve"> </w:t>
      </w:r>
      <w:r w:rsidR="00551EDB">
        <w:t xml:space="preserve">the required units of study </w:t>
      </w:r>
      <w:r w:rsidR="00B874AD">
        <w:t>(</w:t>
      </w:r>
      <w:r w:rsidR="009E7DB5">
        <w:t>for example,</w:t>
      </w:r>
      <w:r w:rsidR="00B874AD">
        <w:t xml:space="preserve"> old/new </w:t>
      </w:r>
      <w:r w:rsidR="004A03DC">
        <w:t>subject codes and/or names</w:t>
      </w:r>
      <w:r w:rsidR="00516118">
        <w:t xml:space="preserve"> for existing approved units</w:t>
      </w:r>
      <w:r w:rsidR="00EC7808">
        <w:t>, equivalent units that have the same content and learning outcomes as existing approved units</w:t>
      </w:r>
      <w:r w:rsidR="00516118">
        <w:t xml:space="preserve">, whether </w:t>
      </w:r>
      <w:r w:rsidR="00BB22D9">
        <w:t xml:space="preserve">or not </w:t>
      </w:r>
      <w:r w:rsidR="00516118">
        <w:t>an ethics bridging unit</w:t>
      </w:r>
      <w:r w:rsidR="00BB22D9">
        <w:t xml:space="preserve"> is required</w:t>
      </w:r>
      <w:proofErr w:type="gramStart"/>
      <w:r w:rsidR="00FF5DA3">
        <w:t>)</w:t>
      </w:r>
      <w:r w:rsidR="00757BE8">
        <w:t>;</w:t>
      </w:r>
      <w:proofErr w:type="gramEnd"/>
    </w:p>
    <w:p w14:paraId="13A115A8" w14:textId="238DD4E3" w:rsidR="00F514AC" w:rsidRDefault="00E71AC4" w:rsidP="002104B5">
      <w:pPr>
        <w:pStyle w:val="Bullet"/>
        <w:spacing w:before="220"/>
      </w:pPr>
      <w:r>
        <w:t xml:space="preserve">remove </w:t>
      </w:r>
      <w:r w:rsidR="007F7627">
        <w:t xml:space="preserve">obsolete </w:t>
      </w:r>
      <w:r>
        <w:t xml:space="preserve">references </w:t>
      </w:r>
      <w:r w:rsidR="00A258BB">
        <w:t xml:space="preserve">(including removing </w:t>
      </w:r>
      <w:r w:rsidR="00C16F0C">
        <w:t>a duplicate entry</w:t>
      </w:r>
      <w:r w:rsidR="00A258BB">
        <w:t>).</w:t>
      </w:r>
    </w:p>
    <w:p w14:paraId="4F55E66E" w14:textId="2F59DE0A" w:rsidR="009673BF" w:rsidRDefault="004550BE" w:rsidP="002104B5">
      <w:pPr>
        <w:pStyle w:val="Bullet"/>
        <w:numPr>
          <w:ilvl w:val="0"/>
          <w:numId w:val="0"/>
        </w:numPr>
        <w:spacing w:before="220"/>
      </w:pPr>
      <w:r>
        <w:lastRenderedPageBreak/>
        <w:t>I</w:t>
      </w:r>
      <w:r w:rsidR="009673BF">
        <w:t>tems</w:t>
      </w:r>
      <w:r>
        <w:t xml:space="preserve"> 5</w:t>
      </w:r>
      <w:r w:rsidR="00385FFC">
        <w:t xml:space="preserve"> to </w:t>
      </w:r>
      <w:r w:rsidR="00AD2C0B">
        <w:t>57</w:t>
      </w:r>
      <w:r w:rsidR="009673BF">
        <w:t xml:space="preserve"> amend various existing approved degrees/qualifications to reflect these updates and corrections</w:t>
      </w:r>
      <w:r w:rsidR="00D44EDF">
        <w:t>.</w:t>
      </w:r>
    </w:p>
    <w:p w14:paraId="3AA36DA8" w14:textId="7AEDEA83" w:rsidR="009E32FB" w:rsidRDefault="009E32FB" w:rsidP="002104B5">
      <w:pPr>
        <w:spacing w:before="220"/>
        <w:ind w:right="91"/>
        <w:rPr>
          <w:color w:val="FF0000"/>
        </w:rPr>
      </w:pPr>
      <w:r>
        <w:rPr>
          <w:u w:val="single"/>
        </w:rPr>
        <w:t xml:space="preserve">Schedule 2 – </w:t>
      </w:r>
      <w:r w:rsidR="00FD6B40">
        <w:rPr>
          <w:u w:val="single"/>
        </w:rPr>
        <w:t>Other a</w:t>
      </w:r>
      <w:r>
        <w:rPr>
          <w:u w:val="single"/>
        </w:rPr>
        <w:t>mendments to the Determination</w:t>
      </w:r>
    </w:p>
    <w:p w14:paraId="0609CEC4" w14:textId="1DB4669D" w:rsidR="001525E9" w:rsidRPr="00D65D65" w:rsidRDefault="001525E9" w:rsidP="002104B5">
      <w:pPr>
        <w:tabs>
          <w:tab w:val="left" w:pos="2835"/>
        </w:tabs>
        <w:spacing w:before="220"/>
        <w:ind w:right="91"/>
        <w:rPr>
          <w:b/>
          <w:bCs/>
        </w:rPr>
      </w:pPr>
      <w:r w:rsidRPr="00D65D65">
        <w:rPr>
          <w:b/>
          <w:bCs/>
        </w:rPr>
        <w:t xml:space="preserve">Item 1 </w:t>
      </w:r>
      <w:r w:rsidR="003F298B" w:rsidRPr="00D65D65">
        <w:rPr>
          <w:b/>
          <w:bCs/>
        </w:rPr>
        <w:t>–</w:t>
      </w:r>
      <w:r w:rsidRPr="00D65D65">
        <w:rPr>
          <w:b/>
          <w:bCs/>
        </w:rPr>
        <w:t xml:space="preserve"> </w:t>
      </w:r>
      <w:r w:rsidR="003F298B" w:rsidRPr="00D65D65">
        <w:rPr>
          <w:b/>
          <w:bCs/>
        </w:rPr>
        <w:t xml:space="preserve">reference to transitional provisions for </w:t>
      </w:r>
      <w:r w:rsidR="00807911" w:rsidRPr="00D65D65">
        <w:rPr>
          <w:b/>
          <w:bCs/>
        </w:rPr>
        <w:t>existing providers</w:t>
      </w:r>
    </w:p>
    <w:p w14:paraId="2AB29C80" w14:textId="3DB0ADB2" w:rsidR="009E32FB" w:rsidRDefault="00FE0AE7" w:rsidP="002104B5">
      <w:pPr>
        <w:tabs>
          <w:tab w:val="left" w:pos="2835"/>
        </w:tabs>
        <w:spacing w:before="220"/>
        <w:ind w:right="91"/>
      </w:pPr>
      <w:r>
        <w:t xml:space="preserve">Section 8 of the Determination </w:t>
      </w:r>
      <w:r w:rsidR="00CF79C2">
        <w:t>outlines the</w:t>
      </w:r>
      <w:r w:rsidR="00675775">
        <w:t xml:space="preserve"> transitional arrangements</w:t>
      </w:r>
      <w:r w:rsidR="009E3991">
        <w:t xml:space="preserve"> for existing providers to meet the educatio</w:t>
      </w:r>
      <w:r w:rsidR="00F652C1">
        <w:t xml:space="preserve">n and training standards. </w:t>
      </w:r>
      <w:r w:rsidR="00AE1705">
        <w:t xml:space="preserve">Item 1 </w:t>
      </w:r>
      <w:r w:rsidR="00A55C35">
        <w:t>of</w:t>
      </w:r>
      <w:r w:rsidR="00AE1705">
        <w:t xml:space="preserve"> </w:t>
      </w:r>
      <w:r w:rsidR="009E32FB">
        <w:t xml:space="preserve">Schedule </w:t>
      </w:r>
      <w:r w:rsidR="007B191C">
        <w:t>2</w:t>
      </w:r>
      <w:r w:rsidR="009E32FB">
        <w:t xml:space="preserve"> amends </w:t>
      </w:r>
      <w:r w:rsidR="0042752D">
        <w:t>section 8 of</w:t>
      </w:r>
      <w:r w:rsidR="009E32FB">
        <w:t xml:space="preserve"> the Determination </w:t>
      </w:r>
      <w:r w:rsidR="0042752D">
        <w:t>to correct a typographical error</w:t>
      </w:r>
      <w:r w:rsidR="00753FE8">
        <w:t xml:space="preserve"> in the reference to the relevant transitional </w:t>
      </w:r>
      <w:r w:rsidR="00F93B3E">
        <w:t>provisions in the Act</w:t>
      </w:r>
      <w:r w:rsidR="0042752D">
        <w:t xml:space="preserve">. </w:t>
      </w:r>
    </w:p>
    <w:p w14:paraId="1B5B51C3" w14:textId="44ABC4A3" w:rsidR="00C27B6D" w:rsidRPr="00D65D65" w:rsidRDefault="00C27B6D" w:rsidP="002104B5">
      <w:pPr>
        <w:tabs>
          <w:tab w:val="left" w:pos="2835"/>
        </w:tabs>
        <w:spacing w:before="220"/>
        <w:ind w:right="91"/>
        <w:rPr>
          <w:b/>
          <w:bCs/>
        </w:rPr>
      </w:pPr>
      <w:r w:rsidRPr="00D65D65">
        <w:rPr>
          <w:b/>
          <w:bCs/>
        </w:rPr>
        <w:t>Item 2 – reference to ethics</w:t>
      </w:r>
      <w:r w:rsidR="00CA62BD" w:rsidRPr="00D65D65">
        <w:rPr>
          <w:b/>
          <w:bCs/>
        </w:rPr>
        <w:t xml:space="preserve"> bridging </w:t>
      </w:r>
      <w:proofErr w:type="gramStart"/>
      <w:r w:rsidR="00CA62BD" w:rsidRPr="00D65D65">
        <w:rPr>
          <w:b/>
          <w:bCs/>
        </w:rPr>
        <w:t>unit</w:t>
      </w:r>
      <w:proofErr w:type="gramEnd"/>
    </w:p>
    <w:p w14:paraId="70EA4F74" w14:textId="73B9BA17" w:rsidR="008C73A1" w:rsidRDefault="0032220C" w:rsidP="002104B5">
      <w:pPr>
        <w:tabs>
          <w:tab w:val="left" w:pos="2835"/>
        </w:tabs>
        <w:spacing w:before="220"/>
        <w:ind w:right="91"/>
      </w:pPr>
      <w:r>
        <w:t>Paragraph</w:t>
      </w:r>
      <w:r w:rsidR="00397DDB">
        <w:t xml:space="preserve"> 6(2)(a) of the </w:t>
      </w:r>
      <w:r w:rsidR="007E12F7">
        <w:t>Determination provides that</w:t>
      </w:r>
      <w:r w:rsidR="00285392">
        <w:t xml:space="preserve"> a relevant provider must </w:t>
      </w:r>
      <w:r w:rsidR="001D6899" w:rsidRPr="001D6899">
        <w:t xml:space="preserve">complete an Ethics for Professional Advisers bridging unit </w:t>
      </w:r>
      <w:r w:rsidR="00235C08">
        <w:t xml:space="preserve">unless </w:t>
      </w:r>
      <w:r w:rsidR="001D6899" w:rsidRPr="001D6899">
        <w:t>the approved degree</w:t>
      </w:r>
      <w:r w:rsidR="006D04AC">
        <w:t>/</w:t>
      </w:r>
      <w:r w:rsidR="00410F6F">
        <w:t>qualification</w:t>
      </w:r>
      <w:r w:rsidR="00235C08">
        <w:t xml:space="preserve"> </w:t>
      </w:r>
      <w:r w:rsidR="00703063">
        <w:t xml:space="preserve">listed </w:t>
      </w:r>
      <w:r w:rsidR="00737027">
        <w:t xml:space="preserve">in the table </w:t>
      </w:r>
      <w:r w:rsidR="00703063">
        <w:t>at Schedule 1 to the Determination states that this</w:t>
      </w:r>
      <w:r w:rsidR="007D0DB3">
        <w:t xml:space="preserve"> paragraph does not apply</w:t>
      </w:r>
      <w:r w:rsidR="00CF6771">
        <w:t xml:space="preserve">. </w:t>
      </w:r>
      <w:r w:rsidR="006F40F1">
        <w:t xml:space="preserve">The statement used for this purpose throughout </w:t>
      </w:r>
      <w:r w:rsidR="00764E7F">
        <w:t xml:space="preserve">the </w:t>
      </w:r>
      <w:r w:rsidR="009F6FB2">
        <w:t>table</w:t>
      </w:r>
      <w:r w:rsidR="00150471">
        <w:t xml:space="preserve"> items</w:t>
      </w:r>
      <w:r w:rsidR="009F6FB2">
        <w:t xml:space="preserve"> at Schedule 1 to the Determination currently refers to </w:t>
      </w:r>
      <w:r w:rsidR="00F71218">
        <w:t>‘an ethics unit of study’.</w:t>
      </w:r>
      <w:r w:rsidR="009F6FB2">
        <w:t xml:space="preserve"> </w:t>
      </w:r>
    </w:p>
    <w:p w14:paraId="1C66042E" w14:textId="3E1BEB30" w:rsidR="00EA76AB" w:rsidRDefault="00AE1705" w:rsidP="002104B5">
      <w:pPr>
        <w:tabs>
          <w:tab w:val="left" w:pos="2835"/>
        </w:tabs>
        <w:spacing w:before="220"/>
        <w:ind w:right="91"/>
      </w:pPr>
      <w:r>
        <w:t>Item </w:t>
      </w:r>
      <w:r w:rsidR="00A55C35">
        <w:t>2 of Schedule 2</w:t>
      </w:r>
      <w:r w:rsidR="00EA76AB">
        <w:t xml:space="preserve"> </w:t>
      </w:r>
      <w:r w:rsidR="00CF6771">
        <w:t xml:space="preserve">to the instrument </w:t>
      </w:r>
      <w:r w:rsidR="00792A76">
        <w:t xml:space="preserve">amends </w:t>
      </w:r>
      <w:r w:rsidR="00150471">
        <w:t>this statement</w:t>
      </w:r>
      <w:r w:rsidR="00406A3F">
        <w:t xml:space="preserve"> </w:t>
      </w:r>
      <w:r w:rsidR="00CA76B0">
        <w:t>(</w:t>
      </w:r>
      <w:r w:rsidR="00785EE2">
        <w:t xml:space="preserve">wherever it appears </w:t>
      </w:r>
      <w:r w:rsidR="00CA76B0">
        <w:t xml:space="preserve">throughout the list of approved degrees/qualifications) </w:t>
      </w:r>
      <w:r w:rsidR="00406A3F">
        <w:t xml:space="preserve">to </w:t>
      </w:r>
      <w:r w:rsidR="007C405E">
        <w:t>more appropriately</w:t>
      </w:r>
      <w:r w:rsidR="00406A3F">
        <w:t xml:space="preserve"> refer to </w:t>
      </w:r>
      <w:r w:rsidR="007C405E">
        <w:t>‘an ethics bridging unit’.</w:t>
      </w:r>
    </w:p>
    <w:p w14:paraId="780D8AC3" w14:textId="29700493" w:rsidR="00807911" w:rsidRPr="00D65D65" w:rsidRDefault="00807911" w:rsidP="002104B5">
      <w:pPr>
        <w:tabs>
          <w:tab w:val="left" w:pos="2835"/>
        </w:tabs>
        <w:spacing w:before="220"/>
        <w:ind w:right="91"/>
        <w:rPr>
          <w:b/>
          <w:bCs/>
        </w:rPr>
      </w:pPr>
      <w:r w:rsidRPr="00D65D65">
        <w:rPr>
          <w:b/>
          <w:bCs/>
        </w:rPr>
        <w:t xml:space="preserve">Item 3 </w:t>
      </w:r>
      <w:r w:rsidR="001D719B" w:rsidRPr="00D65D65">
        <w:rPr>
          <w:b/>
          <w:bCs/>
        </w:rPr>
        <w:t>–</w:t>
      </w:r>
      <w:r w:rsidRPr="00D65D65">
        <w:rPr>
          <w:b/>
          <w:bCs/>
        </w:rPr>
        <w:t xml:space="preserve"> </w:t>
      </w:r>
      <w:r w:rsidR="001D719B" w:rsidRPr="00D65D65">
        <w:rPr>
          <w:b/>
          <w:bCs/>
        </w:rPr>
        <w:t xml:space="preserve">reference to </w:t>
      </w:r>
      <w:r w:rsidR="00950A70" w:rsidRPr="00D65D65">
        <w:rPr>
          <w:b/>
          <w:bCs/>
        </w:rPr>
        <w:t>units of study as a condition of approved</w:t>
      </w:r>
      <w:r w:rsidR="00325FA9" w:rsidRPr="00D65D65">
        <w:rPr>
          <w:b/>
          <w:bCs/>
        </w:rPr>
        <w:t xml:space="preserve"> degree</w:t>
      </w:r>
      <w:r w:rsidR="005F2EF9">
        <w:rPr>
          <w:b/>
          <w:bCs/>
        </w:rPr>
        <w:t>/qualification</w:t>
      </w:r>
    </w:p>
    <w:p w14:paraId="5BE25B37" w14:textId="44E5F231" w:rsidR="00410F6F" w:rsidRDefault="000B650B" w:rsidP="002104B5">
      <w:pPr>
        <w:tabs>
          <w:tab w:val="left" w:pos="2835"/>
        </w:tabs>
        <w:spacing w:before="220"/>
        <w:ind w:right="91"/>
      </w:pPr>
      <w:r>
        <w:t>Many of the approved degrees</w:t>
      </w:r>
      <w:r w:rsidR="00410F6F">
        <w:t xml:space="preserve">/qualifications listed in the table at Schedule 1 to the Determination include </w:t>
      </w:r>
      <w:r w:rsidR="005F2EF9">
        <w:t xml:space="preserve">a </w:t>
      </w:r>
      <w:r w:rsidR="00410F6F">
        <w:t xml:space="preserve">condition requiring the relevant provider to complete specified units of study ‘as part of the degree program’. </w:t>
      </w:r>
      <w:r w:rsidR="00E64C23" w:rsidRPr="00E64C23">
        <w:t xml:space="preserve">This restriction </w:t>
      </w:r>
      <w:r w:rsidR="00193DA5">
        <w:t xml:space="preserve">that all specified units of study must be completed </w:t>
      </w:r>
      <w:r w:rsidR="00193DA5">
        <w:rPr>
          <w:i/>
          <w:iCs/>
        </w:rPr>
        <w:t>as part of the degree program</w:t>
      </w:r>
      <w:r w:rsidR="00193DA5" w:rsidRPr="00E64C23">
        <w:t xml:space="preserve"> </w:t>
      </w:r>
      <w:r w:rsidR="00E64C23" w:rsidRPr="00E64C23">
        <w:t xml:space="preserve">is causing unnecessary barriers </w:t>
      </w:r>
      <w:r w:rsidR="009B371C">
        <w:t xml:space="preserve">to entry </w:t>
      </w:r>
      <w:r w:rsidR="00E64C23" w:rsidRPr="00E64C23">
        <w:t>for potential new entrants</w:t>
      </w:r>
      <w:r w:rsidR="005F2EF9">
        <w:t xml:space="preserve"> to the industry</w:t>
      </w:r>
      <w:r w:rsidR="00E64C23" w:rsidRPr="00E64C23">
        <w:t>.</w:t>
      </w:r>
      <w:r w:rsidR="00410F6F">
        <w:t xml:space="preserve"> </w:t>
      </w:r>
    </w:p>
    <w:p w14:paraId="65F1E119" w14:textId="35A73AD2" w:rsidR="00A6373B" w:rsidRDefault="00EA76AB" w:rsidP="002104B5">
      <w:pPr>
        <w:tabs>
          <w:tab w:val="left" w:pos="2835"/>
        </w:tabs>
        <w:spacing w:before="220"/>
        <w:ind w:right="91"/>
      </w:pPr>
      <w:r>
        <w:t xml:space="preserve">Item 3 of Schedule 2 </w:t>
      </w:r>
      <w:r w:rsidR="00240E71">
        <w:t xml:space="preserve">to the instrument </w:t>
      </w:r>
      <w:r>
        <w:t>amends</w:t>
      </w:r>
      <w:r w:rsidR="00240E71">
        <w:t xml:space="preserve"> this</w:t>
      </w:r>
      <w:r w:rsidR="00DC27C6">
        <w:t xml:space="preserve"> condition</w:t>
      </w:r>
      <w:r w:rsidR="00A40330">
        <w:t xml:space="preserve"> </w:t>
      </w:r>
      <w:r w:rsidR="00785EE2">
        <w:t xml:space="preserve">(wherever it appears throughout the list of approved degrees/qualifications) </w:t>
      </w:r>
      <w:r w:rsidR="00A40330">
        <w:t xml:space="preserve">to </w:t>
      </w:r>
      <w:r w:rsidR="00785EE2">
        <w:t>remove the requirement that the specified units of s</w:t>
      </w:r>
      <w:r w:rsidR="005E30C2">
        <w:t>tudy must b</w:t>
      </w:r>
      <w:r w:rsidR="00EA0C3E">
        <w:t xml:space="preserve">e completed </w:t>
      </w:r>
      <w:r w:rsidR="00EA0C3E">
        <w:rPr>
          <w:i/>
          <w:iCs/>
        </w:rPr>
        <w:t>as part of the degree program</w:t>
      </w:r>
      <w:r w:rsidR="004D634F">
        <w:t xml:space="preserve">. </w:t>
      </w:r>
      <w:r w:rsidR="00FD55C1">
        <w:t xml:space="preserve">The relevant provider </w:t>
      </w:r>
      <w:r w:rsidR="00156A58">
        <w:t xml:space="preserve">must still </w:t>
      </w:r>
      <w:r w:rsidR="00FE6DFA">
        <w:t xml:space="preserve">complete </w:t>
      </w:r>
      <w:r w:rsidR="003404D7">
        <w:t xml:space="preserve">all </w:t>
      </w:r>
      <w:r w:rsidR="00FE6DFA">
        <w:t xml:space="preserve">the specified units of study </w:t>
      </w:r>
      <w:proofErr w:type="gramStart"/>
      <w:r w:rsidR="00156A58">
        <w:t>in order to</w:t>
      </w:r>
      <w:proofErr w:type="gramEnd"/>
      <w:r w:rsidR="00156A58">
        <w:t xml:space="preserve"> meet the </w:t>
      </w:r>
      <w:r w:rsidR="004B60C7">
        <w:t>conditions for the approved degree/qualification</w:t>
      </w:r>
      <w:r w:rsidR="000079D3">
        <w:t xml:space="preserve">. However, </w:t>
      </w:r>
      <w:r w:rsidR="002E7065">
        <w:t xml:space="preserve">it is not necessary for each </w:t>
      </w:r>
      <w:r w:rsidR="00607C9A">
        <w:t>unit of study to appear</w:t>
      </w:r>
      <w:r w:rsidR="00501158">
        <w:t xml:space="preserve"> on the person’s academic transcript</w:t>
      </w:r>
      <w:r w:rsidR="00343967">
        <w:t xml:space="preserve"> as having been completed </w:t>
      </w:r>
      <w:r w:rsidR="00B36EC1">
        <w:rPr>
          <w:i/>
          <w:iCs/>
        </w:rPr>
        <w:t>as part of the approved degree/qualification</w:t>
      </w:r>
      <w:r w:rsidR="00B36EC1">
        <w:t xml:space="preserve">. </w:t>
      </w:r>
      <w:r w:rsidR="00D647C5">
        <w:t xml:space="preserve">For example, a person </w:t>
      </w:r>
      <w:r w:rsidR="002A5772">
        <w:t xml:space="preserve">could still meet the </w:t>
      </w:r>
      <w:r w:rsidR="00D12063">
        <w:t xml:space="preserve">conditions for an approved degree/qualification </w:t>
      </w:r>
      <w:r w:rsidR="00B02BAE">
        <w:t>where they</w:t>
      </w:r>
      <w:r w:rsidR="00D647C5">
        <w:t xml:space="preserve"> have completed a unit of study</w:t>
      </w:r>
      <w:r w:rsidR="00A6373B">
        <w:t xml:space="preserve"> specified for that approved degree/qualification:</w:t>
      </w:r>
    </w:p>
    <w:p w14:paraId="3D54D7B7" w14:textId="71C25F55" w:rsidR="00A6373B" w:rsidRDefault="00D647C5" w:rsidP="002104B5">
      <w:pPr>
        <w:pStyle w:val="Bullet"/>
        <w:spacing w:before="220"/>
      </w:pPr>
      <w:r>
        <w:t xml:space="preserve">as part of a different degree </w:t>
      </w:r>
      <w:r w:rsidR="00582E02">
        <w:t xml:space="preserve">at that institution (for example, </w:t>
      </w:r>
      <w:r w:rsidR="00B6209A">
        <w:t>before switching to the approved degree</w:t>
      </w:r>
      <w:r w:rsidR="00973B58">
        <w:t>/qualification</w:t>
      </w:r>
      <w:r w:rsidR="00B6209A">
        <w:t>)</w:t>
      </w:r>
      <w:r w:rsidR="00A6373B">
        <w:t>; or</w:t>
      </w:r>
    </w:p>
    <w:p w14:paraId="5FA4CB25" w14:textId="49F4BF4E" w:rsidR="00AE1705" w:rsidRDefault="00AB0F00">
      <w:pPr>
        <w:pStyle w:val="Bullet"/>
        <w:tabs>
          <w:tab w:val="left" w:pos="2835"/>
        </w:tabs>
        <w:spacing w:before="220"/>
        <w:ind w:right="91"/>
      </w:pPr>
      <w:r w:rsidRPr="00E64C23">
        <w:t xml:space="preserve">as a non-award subject completed </w:t>
      </w:r>
      <w:r w:rsidR="00A10127">
        <w:t>at that institution</w:t>
      </w:r>
      <w:r w:rsidR="00A10127" w:rsidRPr="00E64C23">
        <w:t xml:space="preserve"> </w:t>
      </w:r>
      <w:r w:rsidR="00A10127">
        <w:t xml:space="preserve">after completing </w:t>
      </w:r>
      <w:r w:rsidR="00973B58">
        <w:t xml:space="preserve">the approved </w:t>
      </w:r>
      <w:r w:rsidRPr="00E64C23">
        <w:t>degree</w:t>
      </w:r>
      <w:r w:rsidR="00973B58">
        <w:t>/qualification</w:t>
      </w:r>
      <w:r w:rsidRPr="00E64C23">
        <w:t xml:space="preserve"> (</w:t>
      </w:r>
      <w:r w:rsidR="00471E4C">
        <w:t xml:space="preserve">for example, </w:t>
      </w:r>
      <w:proofErr w:type="gramStart"/>
      <w:r w:rsidRPr="00E64C23">
        <w:t>in order to</w:t>
      </w:r>
      <w:proofErr w:type="gramEnd"/>
      <w:r w:rsidRPr="00E64C23">
        <w:t xml:space="preserve"> meet the conditions</w:t>
      </w:r>
      <w:r w:rsidR="00A46D67">
        <w:t xml:space="preserve"> for that </w:t>
      </w:r>
      <w:r w:rsidR="0066470D">
        <w:t>approved degree/qualification</w:t>
      </w:r>
      <w:r w:rsidR="00483C4C">
        <w:t>)</w:t>
      </w:r>
      <w:r w:rsidR="002A5772">
        <w:t xml:space="preserve">. </w:t>
      </w:r>
    </w:p>
    <w:p w14:paraId="5D6B0B2C" w14:textId="74ECC76C" w:rsidR="0093421F" w:rsidRPr="003C5719" w:rsidRDefault="007A55A7" w:rsidP="0093421F">
      <w:pPr>
        <w:pageBreakBefore/>
        <w:spacing w:before="240"/>
        <w:jc w:val="right"/>
        <w:rPr>
          <w:b/>
          <w:u w:val="single"/>
        </w:rPr>
      </w:pPr>
      <w:r w:rsidRPr="003C5719">
        <w:rPr>
          <w:b/>
          <w:u w:val="single"/>
        </w:rPr>
        <w:lastRenderedPageBreak/>
        <w:t xml:space="preserve">ATTACHMENT </w:t>
      </w:r>
      <w:r w:rsidR="00D21321">
        <w:rPr>
          <w:b/>
          <w:u w:val="single"/>
        </w:rPr>
        <w:t>B</w:t>
      </w:r>
    </w:p>
    <w:p w14:paraId="3CACAD83" w14:textId="77777777" w:rsidR="00E4438C" w:rsidRPr="003C5719" w:rsidRDefault="00E4438C" w:rsidP="00883863">
      <w:pPr>
        <w:pStyle w:val="Heading3"/>
        <w:jc w:val="center"/>
      </w:pPr>
      <w:r w:rsidRPr="003C5719">
        <w:t>Statement of Compatibility with Human Rights</w:t>
      </w:r>
    </w:p>
    <w:p w14:paraId="478948F7"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78C1056B" w14:textId="2B6C2A4A" w:rsidR="00E4438C" w:rsidRPr="003C5719" w:rsidRDefault="005F1E31" w:rsidP="004A27A8">
      <w:pPr>
        <w:pStyle w:val="Heading3"/>
        <w:jc w:val="center"/>
      </w:pPr>
      <w:r w:rsidRPr="005F1E31">
        <w:t>Corporations (Relevant Providers Degrees, Qualifications and Courses Standard) Amendment (2023 Measures No. 3) Determination 2023</w:t>
      </w:r>
    </w:p>
    <w:p w14:paraId="1FF9C3F9"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4BDFE2BA" w14:textId="77777777" w:rsidR="00E4438C" w:rsidRPr="003C5719" w:rsidRDefault="00E4438C" w:rsidP="004A27A8">
      <w:pPr>
        <w:pStyle w:val="Heading3"/>
      </w:pPr>
      <w:r w:rsidRPr="003C5719">
        <w:t>Overview of the Legislative Instrument</w:t>
      </w:r>
    </w:p>
    <w:p w14:paraId="22014588" w14:textId="0EE894C3" w:rsidR="009E32FB" w:rsidRDefault="009E32FB" w:rsidP="009E32FB">
      <w:pPr>
        <w:spacing w:before="240"/>
      </w:pPr>
      <w:r>
        <w:t xml:space="preserve">Section 921B of the </w:t>
      </w:r>
      <w:r>
        <w:rPr>
          <w:i/>
          <w:iCs/>
        </w:rPr>
        <w:t>Corporations Act 2001</w:t>
      </w:r>
      <w:r>
        <w:t xml:space="preserve"> sets out education and training standards for relevant providers, who are financial advisers and financial planners. The first education and training standard requires relevant providers to complete a bachelor or higher degree, or equivalent qualification, approved by the Minister. </w:t>
      </w:r>
    </w:p>
    <w:p w14:paraId="50CECD5D" w14:textId="6C6FBB51" w:rsidR="00977878" w:rsidRDefault="009E32FB" w:rsidP="009E32FB">
      <w:pPr>
        <w:spacing w:before="240"/>
      </w:pPr>
      <w:r>
        <w:t xml:space="preserve">Bachelor or higher degrees, and equivalent qualifications, that are approved by the Minister are set out in the </w:t>
      </w:r>
      <w:r>
        <w:rPr>
          <w:i/>
          <w:iCs/>
        </w:rPr>
        <w:t>Corporations (Relevant Providers Degrees, Qualifications and Courses Standard) Determination 2021</w:t>
      </w:r>
      <w:r>
        <w:t xml:space="preserve"> (the Determination). The Legislative Instrument </w:t>
      </w:r>
      <w:r w:rsidR="00422D93">
        <w:t xml:space="preserve">updates the </w:t>
      </w:r>
      <w:r w:rsidR="00201BE4">
        <w:t>Determination</w:t>
      </w:r>
      <w:r w:rsidR="00977878">
        <w:t xml:space="preserve"> to:</w:t>
      </w:r>
    </w:p>
    <w:p w14:paraId="5CF747A0" w14:textId="77777777" w:rsidR="00ED5229" w:rsidRPr="00AF6880" w:rsidRDefault="00ED5229" w:rsidP="00ED5229">
      <w:pPr>
        <w:pStyle w:val="Bullet"/>
        <w:numPr>
          <w:ilvl w:val="0"/>
          <w:numId w:val="17"/>
        </w:numPr>
      </w:pPr>
      <w:r>
        <w:t xml:space="preserve">add </w:t>
      </w:r>
      <w:r w:rsidRPr="00AF6880">
        <w:t xml:space="preserve">new approved </w:t>
      </w:r>
      <w:proofErr w:type="gramStart"/>
      <w:r w:rsidRPr="00AF6880">
        <w:t>degrees;</w:t>
      </w:r>
      <w:proofErr w:type="gramEnd"/>
    </w:p>
    <w:p w14:paraId="1583A9C2" w14:textId="26880EAB" w:rsidR="00ED5229" w:rsidRPr="00AF6880" w:rsidRDefault="00ED5229" w:rsidP="00ED5229">
      <w:pPr>
        <w:pStyle w:val="Bullet"/>
        <w:numPr>
          <w:ilvl w:val="0"/>
          <w:numId w:val="17"/>
        </w:numPr>
      </w:pPr>
      <w:r w:rsidRPr="00AF6880">
        <w:t xml:space="preserve">reflect the new Financial Advice Association of Australia </w:t>
      </w:r>
      <w:proofErr w:type="gramStart"/>
      <w:r w:rsidRPr="00AF6880">
        <w:t>Limited;</w:t>
      </w:r>
      <w:proofErr w:type="gramEnd"/>
    </w:p>
    <w:p w14:paraId="771428C7" w14:textId="12F427E7" w:rsidR="00ED5229" w:rsidRDefault="00ED5229" w:rsidP="00ED5229">
      <w:pPr>
        <w:pStyle w:val="Bullet"/>
        <w:numPr>
          <w:ilvl w:val="0"/>
          <w:numId w:val="17"/>
        </w:numPr>
      </w:pPr>
      <w:r>
        <w:t xml:space="preserve">provide </w:t>
      </w:r>
      <w:r w:rsidRPr="00AF6880">
        <w:t>corrections and updates to existing approved degrees/qualifications</w:t>
      </w:r>
      <w:r w:rsidR="00AF4FD1">
        <w:t>; and</w:t>
      </w:r>
    </w:p>
    <w:p w14:paraId="5B6D4810" w14:textId="77777777" w:rsidR="00ED5229" w:rsidRDefault="00ED5229" w:rsidP="00ED5229">
      <w:pPr>
        <w:pStyle w:val="Bullet"/>
        <w:numPr>
          <w:ilvl w:val="0"/>
          <w:numId w:val="17"/>
        </w:numPr>
      </w:pPr>
      <w:r>
        <w:t xml:space="preserve">correct various </w:t>
      </w:r>
      <w:r w:rsidRPr="00FE6EFD">
        <w:t>reference</w:t>
      </w:r>
      <w:r>
        <w:t>s (relating</w:t>
      </w:r>
      <w:r w:rsidRPr="00FE6EFD">
        <w:t xml:space="preserve"> to transitional provisions for existing providers</w:t>
      </w:r>
      <w:r>
        <w:t>, and conditions relating to ethics bridging units and required units of study for existing approved degrees/qualifications).</w:t>
      </w:r>
    </w:p>
    <w:p w14:paraId="3294CF5B" w14:textId="77777777" w:rsidR="00EB2BED" w:rsidRDefault="00E4438C" w:rsidP="004A27A8">
      <w:pPr>
        <w:pStyle w:val="Heading3"/>
      </w:pPr>
      <w:r w:rsidRPr="003C5719">
        <w:t>Human rights implications</w:t>
      </w:r>
      <w:r w:rsidR="006B520A">
        <w:t xml:space="preserve"> </w:t>
      </w:r>
    </w:p>
    <w:p w14:paraId="675E5689" w14:textId="4984E092" w:rsidR="00E4438C" w:rsidRPr="003C5719" w:rsidRDefault="00454E2D" w:rsidP="004A27A8">
      <w:pPr>
        <w:spacing w:before="240"/>
      </w:pPr>
      <w:r>
        <w:t>This Legislative Instrument does not engage any of the applicable rights or freedoms.</w:t>
      </w:r>
      <w:r w:rsidR="00F24736">
        <w:t xml:space="preserve"> </w:t>
      </w:r>
    </w:p>
    <w:p w14:paraId="292AA9A7" w14:textId="77777777" w:rsidR="00EB2BED" w:rsidRDefault="00E4438C" w:rsidP="004A27A8">
      <w:pPr>
        <w:pStyle w:val="Heading3"/>
      </w:pPr>
      <w:r w:rsidRPr="003C5719">
        <w:t>Conclusion</w:t>
      </w:r>
      <w:r w:rsidR="006D60D0">
        <w:t xml:space="preserve"> </w:t>
      </w:r>
    </w:p>
    <w:p w14:paraId="7A6177B4" w14:textId="09A80C32" w:rsidR="00E37FF7" w:rsidRPr="00C84FA0" w:rsidRDefault="00B91ECE" w:rsidP="004A27A8">
      <w:pPr>
        <w:spacing w:before="240"/>
      </w:pPr>
      <w:r>
        <w:t>This Legislative Instrument is compatible with human rights as it does not raise 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60FD" w14:textId="77777777" w:rsidR="008B6D21" w:rsidRDefault="008B6D21" w:rsidP="00954679">
      <w:pPr>
        <w:spacing w:before="0" w:after="0"/>
      </w:pPr>
      <w:r>
        <w:separator/>
      </w:r>
    </w:p>
  </w:endnote>
  <w:endnote w:type="continuationSeparator" w:id="0">
    <w:p w14:paraId="6C851C21" w14:textId="77777777" w:rsidR="008B6D21" w:rsidRDefault="008B6D21" w:rsidP="00954679">
      <w:pPr>
        <w:spacing w:before="0" w:after="0"/>
      </w:pPr>
      <w:r>
        <w:continuationSeparator/>
      </w:r>
    </w:p>
  </w:endnote>
  <w:endnote w:type="continuationNotice" w:id="1">
    <w:p w14:paraId="751C38EE" w14:textId="77777777" w:rsidR="008B6D21" w:rsidRDefault="008B6D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5F3B07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BED9" w14:textId="77777777" w:rsidR="008B6D21" w:rsidRDefault="008B6D21" w:rsidP="00954679">
      <w:pPr>
        <w:spacing w:before="0" w:after="0"/>
      </w:pPr>
      <w:r>
        <w:separator/>
      </w:r>
    </w:p>
  </w:footnote>
  <w:footnote w:type="continuationSeparator" w:id="0">
    <w:p w14:paraId="4EECED31" w14:textId="77777777" w:rsidR="008B6D21" w:rsidRDefault="008B6D21" w:rsidP="00954679">
      <w:pPr>
        <w:spacing w:before="0" w:after="0"/>
      </w:pPr>
      <w:r>
        <w:continuationSeparator/>
      </w:r>
    </w:p>
  </w:footnote>
  <w:footnote w:type="continuationNotice" w:id="1">
    <w:p w14:paraId="25E01157" w14:textId="77777777" w:rsidR="008B6D21" w:rsidRDefault="008B6D2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7FE611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 w:numId="17" w16cid:durableId="115718308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86"/>
    <w:rsid w:val="000022B7"/>
    <w:rsid w:val="000026BE"/>
    <w:rsid w:val="000029F6"/>
    <w:rsid w:val="00003189"/>
    <w:rsid w:val="00005B51"/>
    <w:rsid w:val="0000628C"/>
    <w:rsid w:val="00007341"/>
    <w:rsid w:val="000079D3"/>
    <w:rsid w:val="00013390"/>
    <w:rsid w:val="000158B9"/>
    <w:rsid w:val="00015B99"/>
    <w:rsid w:val="00016032"/>
    <w:rsid w:val="00016EA2"/>
    <w:rsid w:val="0002257C"/>
    <w:rsid w:val="00024303"/>
    <w:rsid w:val="0002546A"/>
    <w:rsid w:val="00031AE1"/>
    <w:rsid w:val="000322B6"/>
    <w:rsid w:val="00035941"/>
    <w:rsid w:val="000403E3"/>
    <w:rsid w:val="00041C87"/>
    <w:rsid w:val="000455BA"/>
    <w:rsid w:val="000457ED"/>
    <w:rsid w:val="00051648"/>
    <w:rsid w:val="0005177B"/>
    <w:rsid w:val="000524A9"/>
    <w:rsid w:val="0005316A"/>
    <w:rsid w:val="000547DB"/>
    <w:rsid w:val="00062C7C"/>
    <w:rsid w:val="00075A77"/>
    <w:rsid w:val="00076178"/>
    <w:rsid w:val="00076E15"/>
    <w:rsid w:val="00076FF9"/>
    <w:rsid w:val="00080673"/>
    <w:rsid w:val="00082569"/>
    <w:rsid w:val="000854E0"/>
    <w:rsid w:val="0008741E"/>
    <w:rsid w:val="00092772"/>
    <w:rsid w:val="00093AA4"/>
    <w:rsid w:val="00095211"/>
    <w:rsid w:val="00095C0B"/>
    <w:rsid w:val="000A6381"/>
    <w:rsid w:val="000A69C5"/>
    <w:rsid w:val="000A785C"/>
    <w:rsid w:val="000B39A1"/>
    <w:rsid w:val="000B3CD8"/>
    <w:rsid w:val="000B5732"/>
    <w:rsid w:val="000B650B"/>
    <w:rsid w:val="000C10DF"/>
    <w:rsid w:val="000C2D99"/>
    <w:rsid w:val="000C2E12"/>
    <w:rsid w:val="000C3ECC"/>
    <w:rsid w:val="000C4A8A"/>
    <w:rsid w:val="000C4B61"/>
    <w:rsid w:val="000C5C40"/>
    <w:rsid w:val="000C6935"/>
    <w:rsid w:val="000D07AC"/>
    <w:rsid w:val="000D11E5"/>
    <w:rsid w:val="000D2234"/>
    <w:rsid w:val="000D36B7"/>
    <w:rsid w:val="000D48D7"/>
    <w:rsid w:val="000D4AE8"/>
    <w:rsid w:val="000D5559"/>
    <w:rsid w:val="000D5827"/>
    <w:rsid w:val="000D59B4"/>
    <w:rsid w:val="000E31C9"/>
    <w:rsid w:val="000E32E3"/>
    <w:rsid w:val="000E3836"/>
    <w:rsid w:val="000E61E6"/>
    <w:rsid w:val="000E6BFD"/>
    <w:rsid w:val="000F1F12"/>
    <w:rsid w:val="000F3A05"/>
    <w:rsid w:val="000F53D9"/>
    <w:rsid w:val="001012C2"/>
    <w:rsid w:val="00106847"/>
    <w:rsid w:val="00113B45"/>
    <w:rsid w:val="00113E18"/>
    <w:rsid w:val="00114003"/>
    <w:rsid w:val="0011527C"/>
    <w:rsid w:val="00115504"/>
    <w:rsid w:val="00117C02"/>
    <w:rsid w:val="001224B4"/>
    <w:rsid w:val="001276B4"/>
    <w:rsid w:val="001319C8"/>
    <w:rsid w:val="00131F98"/>
    <w:rsid w:val="001331B7"/>
    <w:rsid w:val="00133AB5"/>
    <w:rsid w:val="00133D7A"/>
    <w:rsid w:val="00134F6C"/>
    <w:rsid w:val="00142BCF"/>
    <w:rsid w:val="0014608E"/>
    <w:rsid w:val="00150471"/>
    <w:rsid w:val="001525E9"/>
    <w:rsid w:val="0015600A"/>
    <w:rsid w:val="00156A58"/>
    <w:rsid w:val="00161BA6"/>
    <w:rsid w:val="00170367"/>
    <w:rsid w:val="00172B5A"/>
    <w:rsid w:val="001751D8"/>
    <w:rsid w:val="0017674F"/>
    <w:rsid w:val="00177092"/>
    <w:rsid w:val="00183FCD"/>
    <w:rsid w:val="00187857"/>
    <w:rsid w:val="00193DA5"/>
    <w:rsid w:val="00195A29"/>
    <w:rsid w:val="001B098A"/>
    <w:rsid w:val="001B4919"/>
    <w:rsid w:val="001B49CE"/>
    <w:rsid w:val="001B7535"/>
    <w:rsid w:val="001B7AED"/>
    <w:rsid w:val="001B7EC2"/>
    <w:rsid w:val="001C0477"/>
    <w:rsid w:val="001C1025"/>
    <w:rsid w:val="001C4341"/>
    <w:rsid w:val="001C6084"/>
    <w:rsid w:val="001D15CA"/>
    <w:rsid w:val="001D2696"/>
    <w:rsid w:val="001D6899"/>
    <w:rsid w:val="001D719B"/>
    <w:rsid w:val="001E07FD"/>
    <w:rsid w:val="001E172C"/>
    <w:rsid w:val="001E3939"/>
    <w:rsid w:val="001E6A74"/>
    <w:rsid w:val="001F2AD7"/>
    <w:rsid w:val="001F4016"/>
    <w:rsid w:val="001F41D0"/>
    <w:rsid w:val="001F462C"/>
    <w:rsid w:val="001F65DD"/>
    <w:rsid w:val="001F7D5C"/>
    <w:rsid w:val="00200B3F"/>
    <w:rsid w:val="00201BE4"/>
    <w:rsid w:val="00204B25"/>
    <w:rsid w:val="00205045"/>
    <w:rsid w:val="00205C19"/>
    <w:rsid w:val="002104B5"/>
    <w:rsid w:val="00220654"/>
    <w:rsid w:val="00220F16"/>
    <w:rsid w:val="00221082"/>
    <w:rsid w:val="00221D54"/>
    <w:rsid w:val="00225464"/>
    <w:rsid w:val="00230AC9"/>
    <w:rsid w:val="00231837"/>
    <w:rsid w:val="00232231"/>
    <w:rsid w:val="00233050"/>
    <w:rsid w:val="002349A0"/>
    <w:rsid w:val="00235C08"/>
    <w:rsid w:val="00240D31"/>
    <w:rsid w:val="00240E71"/>
    <w:rsid w:val="0024245F"/>
    <w:rsid w:val="0025362F"/>
    <w:rsid w:val="002549DC"/>
    <w:rsid w:val="00254C5B"/>
    <w:rsid w:val="00267B6D"/>
    <w:rsid w:val="0027118E"/>
    <w:rsid w:val="002725F4"/>
    <w:rsid w:val="0027359E"/>
    <w:rsid w:val="002771E5"/>
    <w:rsid w:val="00277840"/>
    <w:rsid w:val="00285392"/>
    <w:rsid w:val="00287C5A"/>
    <w:rsid w:val="00290A16"/>
    <w:rsid w:val="00293839"/>
    <w:rsid w:val="00295507"/>
    <w:rsid w:val="002A1236"/>
    <w:rsid w:val="002A29BB"/>
    <w:rsid w:val="002A301B"/>
    <w:rsid w:val="002A3C80"/>
    <w:rsid w:val="002A3CFA"/>
    <w:rsid w:val="002A5772"/>
    <w:rsid w:val="002A6DA4"/>
    <w:rsid w:val="002A75BD"/>
    <w:rsid w:val="002A7B74"/>
    <w:rsid w:val="002A7E1F"/>
    <w:rsid w:val="002B08D8"/>
    <w:rsid w:val="002B0E47"/>
    <w:rsid w:val="002B5630"/>
    <w:rsid w:val="002C0792"/>
    <w:rsid w:val="002C0A5A"/>
    <w:rsid w:val="002C226C"/>
    <w:rsid w:val="002C3EE2"/>
    <w:rsid w:val="002C7A8B"/>
    <w:rsid w:val="002D3886"/>
    <w:rsid w:val="002D4B55"/>
    <w:rsid w:val="002D565C"/>
    <w:rsid w:val="002D613A"/>
    <w:rsid w:val="002E0916"/>
    <w:rsid w:val="002E220B"/>
    <w:rsid w:val="002E7065"/>
    <w:rsid w:val="002E73BB"/>
    <w:rsid w:val="002F022D"/>
    <w:rsid w:val="002F6BB1"/>
    <w:rsid w:val="00300B9A"/>
    <w:rsid w:val="003037F8"/>
    <w:rsid w:val="003041FA"/>
    <w:rsid w:val="00306AC2"/>
    <w:rsid w:val="00312A68"/>
    <w:rsid w:val="00314E14"/>
    <w:rsid w:val="00316BF1"/>
    <w:rsid w:val="0032031D"/>
    <w:rsid w:val="00321CE8"/>
    <w:rsid w:val="0032220C"/>
    <w:rsid w:val="00325FA9"/>
    <w:rsid w:val="00332992"/>
    <w:rsid w:val="003342CD"/>
    <w:rsid w:val="0033477F"/>
    <w:rsid w:val="00334E3F"/>
    <w:rsid w:val="00335042"/>
    <w:rsid w:val="003376C0"/>
    <w:rsid w:val="003404D7"/>
    <w:rsid w:val="00341642"/>
    <w:rsid w:val="00342596"/>
    <w:rsid w:val="0034281C"/>
    <w:rsid w:val="00343967"/>
    <w:rsid w:val="00344A3F"/>
    <w:rsid w:val="003474A0"/>
    <w:rsid w:val="003476B2"/>
    <w:rsid w:val="00352BB3"/>
    <w:rsid w:val="00353C45"/>
    <w:rsid w:val="00354449"/>
    <w:rsid w:val="00355872"/>
    <w:rsid w:val="00357733"/>
    <w:rsid w:val="00360C0A"/>
    <w:rsid w:val="00362B70"/>
    <w:rsid w:val="00364DEE"/>
    <w:rsid w:val="00367E6D"/>
    <w:rsid w:val="00370395"/>
    <w:rsid w:val="0037180D"/>
    <w:rsid w:val="0037332E"/>
    <w:rsid w:val="00373853"/>
    <w:rsid w:val="00374A11"/>
    <w:rsid w:val="003814BF"/>
    <w:rsid w:val="003821D9"/>
    <w:rsid w:val="00385FFC"/>
    <w:rsid w:val="00387416"/>
    <w:rsid w:val="003922BF"/>
    <w:rsid w:val="00392BBA"/>
    <w:rsid w:val="00392C0C"/>
    <w:rsid w:val="003954FD"/>
    <w:rsid w:val="00397DDB"/>
    <w:rsid w:val="003B19DD"/>
    <w:rsid w:val="003B31F4"/>
    <w:rsid w:val="003B4230"/>
    <w:rsid w:val="003B4356"/>
    <w:rsid w:val="003B5968"/>
    <w:rsid w:val="003B7D06"/>
    <w:rsid w:val="003C445C"/>
    <w:rsid w:val="003C50EB"/>
    <w:rsid w:val="003C54A8"/>
    <w:rsid w:val="003C5719"/>
    <w:rsid w:val="003C7907"/>
    <w:rsid w:val="003C7B82"/>
    <w:rsid w:val="003D0B99"/>
    <w:rsid w:val="003D392B"/>
    <w:rsid w:val="003D4C50"/>
    <w:rsid w:val="003D60D7"/>
    <w:rsid w:val="003D68C9"/>
    <w:rsid w:val="003D6A8C"/>
    <w:rsid w:val="003E0411"/>
    <w:rsid w:val="003E1C8F"/>
    <w:rsid w:val="003E1CE3"/>
    <w:rsid w:val="003E3A11"/>
    <w:rsid w:val="003E5789"/>
    <w:rsid w:val="003E77BC"/>
    <w:rsid w:val="003F0BDE"/>
    <w:rsid w:val="003F17A4"/>
    <w:rsid w:val="003F298B"/>
    <w:rsid w:val="003F3B86"/>
    <w:rsid w:val="003F4112"/>
    <w:rsid w:val="003F7BAD"/>
    <w:rsid w:val="004000AE"/>
    <w:rsid w:val="00401B18"/>
    <w:rsid w:val="004029C4"/>
    <w:rsid w:val="00403758"/>
    <w:rsid w:val="004049A9"/>
    <w:rsid w:val="004062A1"/>
    <w:rsid w:val="00406787"/>
    <w:rsid w:val="00406A3F"/>
    <w:rsid w:val="00410F6F"/>
    <w:rsid w:val="00412BB6"/>
    <w:rsid w:val="00414558"/>
    <w:rsid w:val="004224D0"/>
    <w:rsid w:val="00422D93"/>
    <w:rsid w:val="004243B6"/>
    <w:rsid w:val="0042752D"/>
    <w:rsid w:val="0042793C"/>
    <w:rsid w:val="004354F0"/>
    <w:rsid w:val="00436952"/>
    <w:rsid w:val="004450A1"/>
    <w:rsid w:val="00450FC9"/>
    <w:rsid w:val="00450FE8"/>
    <w:rsid w:val="00454E2D"/>
    <w:rsid w:val="004550BE"/>
    <w:rsid w:val="00456D29"/>
    <w:rsid w:val="004577E7"/>
    <w:rsid w:val="00461118"/>
    <w:rsid w:val="00461244"/>
    <w:rsid w:val="00462095"/>
    <w:rsid w:val="00464356"/>
    <w:rsid w:val="00466731"/>
    <w:rsid w:val="00466DD5"/>
    <w:rsid w:val="00467E83"/>
    <w:rsid w:val="00471213"/>
    <w:rsid w:val="0047188B"/>
    <w:rsid w:val="00471E4C"/>
    <w:rsid w:val="0047265F"/>
    <w:rsid w:val="00473B71"/>
    <w:rsid w:val="004755FE"/>
    <w:rsid w:val="004779F3"/>
    <w:rsid w:val="00482B81"/>
    <w:rsid w:val="00482D4C"/>
    <w:rsid w:val="00483475"/>
    <w:rsid w:val="004838E4"/>
    <w:rsid w:val="00483C4C"/>
    <w:rsid w:val="0048463A"/>
    <w:rsid w:val="0048585C"/>
    <w:rsid w:val="004875D6"/>
    <w:rsid w:val="00492BF6"/>
    <w:rsid w:val="00494C3F"/>
    <w:rsid w:val="004A03DC"/>
    <w:rsid w:val="004A10CE"/>
    <w:rsid w:val="004A1638"/>
    <w:rsid w:val="004A2709"/>
    <w:rsid w:val="004A27A8"/>
    <w:rsid w:val="004A3018"/>
    <w:rsid w:val="004A4499"/>
    <w:rsid w:val="004A44D2"/>
    <w:rsid w:val="004A4BA5"/>
    <w:rsid w:val="004B2DAA"/>
    <w:rsid w:val="004B3C0F"/>
    <w:rsid w:val="004B4A3C"/>
    <w:rsid w:val="004B5833"/>
    <w:rsid w:val="004B60C7"/>
    <w:rsid w:val="004B6DBB"/>
    <w:rsid w:val="004C05E4"/>
    <w:rsid w:val="004C28DF"/>
    <w:rsid w:val="004C465E"/>
    <w:rsid w:val="004D4081"/>
    <w:rsid w:val="004D4AE5"/>
    <w:rsid w:val="004D634F"/>
    <w:rsid w:val="004D6B2B"/>
    <w:rsid w:val="004E2EE7"/>
    <w:rsid w:val="004E3590"/>
    <w:rsid w:val="004E39E1"/>
    <w:rsid w:val="004E6216"/>
    <w:rsid w:val="004F00BA"/>
    <w:rsid w:val="004F011F"/>
    <w:rsid w:val="004F03F4"/>
    <w:rsid w:val="004F0E95"/>
    <w:rsid w:val="004F4C00"/>
    <w:rsid w:val="004F56D0"/>
    <w:rsid w:val="00501158"/>
    <w:rsid w:val="0050235E"/>
    <w:rsid w:val="00503A99"/>
    <w:rsid w:val="00503E44"/>
    <w:rsid w:val="0050777E"/>
    <w:rsid w:val="005139C3"/>
    <w:rsid w:val="00513EC4"/>
    <w:rsid w:val="00513FE8"/>
    <w:rsid w:val="0051429B"/>
    <w:rsid w:val="00515283"/>
    <w:rsid w:val="00516118"/>
    <w:rsid w:val="00517457"/>
    <w:rsid w:val="00521E7C"/>
    <w:rsid w:val="005227CE"/>
    <w:rsid w:val="005231C5"/>
    <w:rsid w:val="00532788"/>
    <w:rsid w:val="00533926"/>
    <w:rsid w:val="005362C9"/>
    <w:rsid w:val="00537FB7"/>
    <w:rsid w:val="005411D1"/>
    <w:rsid w:val="005427E3"/>
    <w:rsid w:val="00542873"/>
    <w:rsid w:val="005459A6"/>
    <w:rsid w:val="00551EDB"/>
    <w:rsid w:val="005532FB"/>
    <w:rsid w:val="005556A4"/>
    <w:rsid w:val="0055675D"/>
    <w:rsid w:val="005573C4"/>
    <w:rsid w:val="00560F08"/>
    <w:rsid w:val="00563DCD"/>
    <w:rsid w:val="00565041"/>
    <w:rsid w:val="005655A1"/>
    <w:rsid w:val="00566E8F"/>
    <w:rsid w:val="00567A55"/>
    <w:rsid w:val="005709DE"/>
    <w:rsid w:val="005726BA"/>
    <w:rsid w:val="00573FFC"/>
    <w:rsid w:val="0057422E"/>
    <w:rsid w:val="00581277"/>
    <w:rsid w:val="00582E02"/>
    <w:rsid w:val="005833BE"/>
    <w:rsid w:val="00583ED4"/>
    <w:rsid w:val="005858FB"/>
    <w:rsid w:val="00591682"/>
    <w:rsid w:val="00591866"/>
    <w:rsid w:val="0059302A"/>
    <w:rsid w:val="00596E2E"/>
    <w:rsid w:val="0059772C"/>
    <w:rsid w:val="005A094F"/>
    <w:rsid w:val="005A0F54"/>
    <w:rsid w:val="005A2572"/>
    <w:rsid w:val="005B3AF1"/>
    <w:rsid w:val="005B51CA"/>
    <w:rsid w:val="005C032C"/>
    <w:rsid w:val="005C1FF5"/>
    <w:rsid w:val="005C73D6"/>
    <w:rsid w:val="005C75FF"/>
    <w:rsid w:val="005D0257"/>
    <w:rsid w:val="005D0FB1"/>
    <w:rsid w:val="005D2168"/>
    <w:rsid w:val="005D6B7E"/>
    <w:rsid w:val="005D7D5A"/>
    <w:rsid w:val="005D7E35"/>
    <w:rsid w:val="005E1AB3"/>
    <w:rsid w:val="005E3091"/>
    <w:rsid w:val="005E30C2"/>
    <w:rsid w:val="005E3588"/>
    <w:rsid w:val="005E4792"/>
    <w:rsid w:val="005E4BAC"/>
    <w:rsid w:val="005E5078"/>
    <w:rsid w:val="005E580A"/>
    <w:rsid w:val="005F0180"/>
    <w:rsid w:val="005F0ABE"/>
    <w:rsid w:val="005F1BC2"/>
    <w:rsid w:val="005F1E31"/>
    <w:rsid w:val="005F2EF9"/>
    <w:rsid w:val="0060130D"/>
    <w:rsid w:val="00603BB4"/>
    <w:rsid w:val="00606671"/>
    <w:rsid w:val="00607C9A"/>
    <w:rsid w:val="00607E51"/>
    <w:rsid w:val="006100E5"/>
    <w:rsid w:val="0061151C"/>
    <w:rsid w:val="00612329"/>
    <w:rsid w:val="006137A6"/>
    <w:rsid w:val="00613B16"/>
    <w:rsid w:val="00615574"/>
    <w:rsid w:val="00623F9C"/>
    <w:rsid w:val="006243C6"/>
    <w:rsid w:val="00625AC4"/>
    <w:rsid w:val="00630893"/>
    <w:rsid w:val="00635634"/>
    <w:rsid w:val="0063705E"/>
    <w:rsid w:val="0064129F"/>
    <w:rsid w:val="0064309D"/>
    <w:rsid w:val="00647BB7"/>
    <w:rsid w:val="00647E28"/>
    <w:rsid w:val="00651406"/>
    <w:rsid w:val="006530E0"/>
    <w:rsid w:val="00653DF0"/>
    <w:rsid w:val="00655E7E"/>
    <w:rsid w:val="00655F14"/>
    <w:rsid w:val="00660693"/>
    <w:rsid w:val="00660F56"/>
    <w:rsid w:val="006627C5"/>
    <w:rsid w:val="0066470D"/>
    <w:rsid w:val="00664A0A"/>
    <w:rsid w:val="00664F63"/>
    <w:rsid w:val="006711DF"/>
    <w:rsid w:val="00675775"/>
    <w:rsid w:val="00680297"/>
    <w:rsid w:val="0068046D"/>
    <w:rsid w:val="00680871"/>
    <w:rsid w:val="00680CFF"/>
    <w:rsid w:val="006812BF"/>
    <w:rsid w:val="006813B1"/>
    <w:rsid w:val="00683956"/>
    <w:rsid w:val="006873CE"/>
    <w:rsid w:val="0069017F"/>
    <w:rsid w:val="0069205F"/>
    <w:rsid w:val="00692276"/>
    <w:rsid w:val="006A0786"/>
    <w:rsid w:val="006A11D6"/>
    <w:rsid w:val="006A1EB1"/>
    <w:rsid w:val="006A47CD"/>
    <w:rsid w:val="006B1B23"/>
    <w:rsid w:val="006B4302"/>
    <w:rsid w:val="006B4EF5"/>
    <w:rsid w:val="006B520A"/>
    <w:rsid w:val="006B523A"/>
    <w:rsid w:val="006B52FF"/>
    <w:rsid w:val="006C008B"/>
    <w:rsid w:val="006C170A"/>
    <w:rsid w:val="006C37ED"/>
    <w:rsid w:val="006D04AC"/>
    <w:rsid w:val="006D10EC"/>
    <w:rsid w:val="006D3928"/>
    <w:rsid w:val="006D3DFB"/>
    <w:rsid w:val="006D478B"/>
    <w:rsid w:val="006D4DAA"/>
    <w:rsid w:val="006D60D0"/>
    <w:rsid w:val="006D672B"/>
    <w:rsid w:val="006E04DB"/>
    <w:rsid w:val="006E0852"/>
    <w:rsid w:val="006E0CBA"/>
    <w:rsid w:val="006E3AB4"/>
    <w:rsid w:val="006E6321"/>
    <w:rsid w:val="006E7602"/>
    <w:rsid w:val="006F06C1"/>
    <w:rsid w:val="006F40F1"/>
    <w:rsid w:val="006F683C"/>
    <w:rsid w:val="006F6C2A"/>
    <w:rsid w:val="006F74AB"/>
    <w:rsid w:val="0070169C"/>
    <w:rsid w:val="00701F57"/>
    <w:rsid w:val="00703063"/>
    <w:rsid w:val="00704CCA"/>
    <w:rsid w:val="00705171"/>
    <w:rsid w:val="007053B0"/>
    <w:rsid w:val="00706821"/>
    <w:rsid w:val="00710E94"/>
    <w:rsid w:val="00710E97"/>
    <w:rsid w:val="00713B77"/>
    <w:rsid w:val="007149FA"/>
    <w:rsid w:val="00716BD0"/>
    <w:rsid w:val="007220D1"/>
    <w:rsid w:val="00722CB8"/>
    <w:rsid w:val="007232A3"/>
    <w:rsid w:val="00727D8A"/>
    <w:rsid w:val="00730DA8"/>
    <w:rsid w:val="00731FEA"/>
    <w:rsid w:val="007323F4"/>
    <w:rsid w:val="00733A48"/>
    <w:rsid w:val="00734191"/>
    <w:rsid w:val="00735921"/>
    <w:rsid w:val="0073599B"/>
    <w:rsid w:val="00736F61"/>
    <w:rsid w:val="00737027"/>
    <w:rsid w:val="0074185E"/>
    <w:rsid w:val="00742253"/>
    <w:rsid w:val="007436F0"/>
    <w:rsid w:val="0074422A"/>
    <w:rsid w:val="00744D91"/>
    <w:rsid w:val="0074510E"/>
    <w:rsid w:val="00745C04"/>
    <w:rsid w:val="0074728E"/>
    <w:rsid w:val="00753E54"/>
    <w:rsid w:val="00753FE8"/>
    <w:rsid w:val="00757297"/>
    <w:rsid w:val="00757B95"/>
    <w:rsid w:val="00757BE8"/>
    <w:rsid w:val="00763FF6"/>
    <w:rsid w:val="00764E7F"/>
    <w:rsid w:val="00765A73"/>
    <w:rsid w:val="007662C7"/>
    <w:rsid w:val="0077177D"/>
    <w:rsid w:val="00772FAF"/>
    <w:rsid w:val="007733D7"/>
    <w:rsid w:val="00776306"/>
    <w:rsid w:val="007816E2"/>
    <w:rsid w:val="007820B8"/>
    <w:rsid w:val="00785EE2"/>
    <w:rsid w:val="00792A76"/>
    <w:rsid w:val="007A1887"/>
    <w:rsid w:val="007A33F8"/>
    <w:rsid w:val="007A55A7"/>
    <w:rsid w:val="007A57BC"/>
    <w:rsid w:val="007B03E4"/>
    <w:rsid w:val="007B191C"/>
    <w:rsid w:val="007B1F10"/>
    <w:rsid w:val="007B2143"/>
    <w:rsid w:val="007B335E"/>
    <w:rsid w:val="007B4A9D"/>
    <w:rsid w:val="007C137D"/>
    <w:rsid w:val="007C405E"/>
    <w:rsid w:val="007C7D64"/>
    <w:rsid w:val="007D0DB3"/>
    <w:rsid w:val="007D4902"/>
    <w:rsid w:val="007D558D"/>
    <w:rsid w:val="007D6771"/>
    <w:rsid w:val="007E018D"/>
    <w:rsid w:val="007E12F7"/>
    <w:rsid w:val="007E1E29"/>
    <w:rsid w:val="007E6A45"/>
    <w:rsid w:val="007F0748"/>
    <w:rsid w:val="007F10B3"/>
    <w:rsid w:val="007F1B71"/>
    <w:rsid w:val="007F2D20"/>
    <w:rsid w:val="007F3CA1"/>
    <w:rsid w:val="007F4ACE"/>
    <w:rsid w:val="007F7627"/>
    <w:rsid w:val="0080320B"/>
    <w:rsid w:val="00806949"/>
    <w:rsid w:val="00806BDC"/>
    <w:rsid w:val="00807911"/>
    <w:rsid w:val="00807E7D"/>
    <w:rsid w:val="008125A9"/>
    <w:rsid w:val="00813A12"/>
    <w:rsid w:val="008145BA"/>
    <w:rsid w:val="00821980"/>
    <w:rsid w:val="008249BE"/>
    <w:rsid w:val="00825D4F"/>
    <w:rsid w:val="00825F09"/>
    <w:rsid w:val="00826E23"/>
    <w:rsid w:val="00831675"/>
    <w:rsid w:val="008325F3"/>
    <w:rsid w:val="00833654"/>
    <w:rsid w:val="008404AD"/>
    <w:rsid w:val="0084166F"/>
    <w:rsid w:val="00844849"/>
    <w:rsid w:val="00845353"/>
    <w:rsid w:val="00845A80"/>
    <w:rsid w:val="00847BFF"/>
    <w:rsid w:val="0085136C"/>
    <w:rsid w:val="008552D6"/>
    <w:rsid w:val="00855DA3"/>
    <w:rsid w:val="00860BB5"/>
    <w:rsid w:val="00862443"/>
    <w:rsid w:val="0086652B"/>
    <w:rsid w:val="0086701A"/>
    <w:rsid w:val="00874FD2"/>
    <w:rsid w:val="00877071"/>
    <w:rsid w:val="008779B4"/>
    <w:rsid w:val="00877A2F"/>
    <w:rsid w:val="0088138D"/>
    <w:rsid w:val="008822A3"/>
    <w:rsid w:val="00883863"/>
    <w:rsid w:val="0088467C"/>
    <w:rsid w:val="008853B9"/>
    <w:rsid w:val="0088562A"/>
    <w:rsid w:val="00885AA3"/>
    <w:rsid w:val="008863F4"/>
    <w:rsid w:val="00890819"/>
    <w:rsid w:val="00891ECD"/>
    <w:rsid w:val="00891F21"/>
    <w:rsid w:val="00892D3B"/>
    <w:rsid w:val="00894579"/>
    <w:rsid w:val="00895314"/>
    <w:rsid w:val="0089722D"/>
    <w:rsid w:val="008A2BDB"/>
    <w:rsid w:val="008A435A"/>
    <w:rsid w:val="008A5B67"/>
    <w:rsid w:val="008A5CCD"/>
    <w:rsid w:val="008A6A6D"/>
    <w:rsid w:val="008B1CC0"/>
    <w:rsid w:val="008B29E7"/>
    <w:rsid w:val="008B2C4E"/>
    <w:rsid w:val="008B33DF"/>
    <w:rsid w:val="008B5C0B"/>
    <w:rsid w:val="008B6D21"/>
    <w:rsid w:val="008B7C38"/>
    <w:rsid w:val="008C2216"/>
    <w:rsid w:val="008C45EF"/>
    <w:rsid w:val="008C73A1"/>
    <w:rsid w:val="008D07E2"/>
    <w:rsid w:val="008D16F7"/>
    <w:rsid w:val="008D40FA"/>
    <w:rsid w:val="008D4835"/>
    <w:rsid w:val="008E1427"/>
    <w:rsid w:val="008E2516"/>
    <w:rsid w:val="008E52C7"/>
    <w:rsid w:val="008E5A1D"/>
    <w:rsid w:val="008E669D"/>
    <w:rsid w:val="008E6E23"/>
    <w:rsid w:val="008E76A0"/>
    <w:rsid w:val="008F0C50"/>
    <w:rsid w:val="008F2529"/>
    <w:rsid w:val="008F6C57"/>
    <w:rsid w:val="008F778A"/>
    <w:rsid w:val="00902ED6"/>
    <w:rsid w:val="0090320B"/>
    <w:rsid w:val="00906037"/>
    <w:rsid w:val="00906242"/>
    <w:rsid w:val="00907C38"/>
    <w:rsid w:val="00911A23"/>
    <w:rsid w:val="0091280A"/>
    <w:rsid w:val="009143A0"/>
    <w:rsid w:val="00916206"/>
    <w:rsid w:val="00921B5A"/>
    <w:rsid w:val="00925124"/>
    <w:rsid w:val="00925635"/>
    <w:rsid w:val="00926EEF"/>
    <w:rsid w:val="00927C59"/>
    <w:rsid w:val="00931881"/>
    <w:rsid w:val="00934178"/>
    <w:rsid w:val="0093421F"/>
    <w:rsid w:val="00936902"/>
    <w:rsid w:val="0093789A"/>
    <w:rsid w:val="00941C7D"/>
    <w:rsid w:val="00942170"/>
    <w:rsid w:val="0094486D"/>
    <w:rsid w:val="00950A70"/>
    <w:rsid w:val="00950E58"/>
    <w:rsid w:val="00952426"/>
    <w:rsid w:val="00952DF0"/>
    <w:rsid w:val="00952DFE"/>
    <w:rsid w:val="00953E51"/>
    <w:rsid w:val="00954424"/>
    <w:rsid w:val="00954679"/>
    <w:rsid w:val="009552FE"/>
    <w:rsid w:val="00955673"/>
    <w:rsid w:val="00955D3B"/>
    <w:rsid w:val="009562E9"/>
    <w:rsid w:val="009655DA"/>
    <w:rsid w:val="00965BBC"/>
    <w:rsid w:val="00966E15"/>
    <w:rsid w:val="009673BF"/>
    <w:rsid w:val="009673D0"/>
    <w:rsid w:val="009718BE"/>
    <w:rsid w:val="00972823"/>
    <w:rsid w:val="00973B58"/>
    <w:rsid w:val="00974996"/>
    <w:rsid w:val="00975953"/>
    <w:rsid w:val="00975C30"/>
    <w:rsid w:val="00977878"/>
    <w:rsid w:val="0098737D"/>
    <w:rsid w:val="00990BE6"/>
    <w:rsid w:val="009940F3"/>
    <w:rsid w:val="0099498D"/>
    <w:rsid w:val="00994A07"/>
    <w:rsid w:val="00995B6A"/>
    <w:rsid w:val="009A2167"/>
    <w:rsid w:val="009A2B8F"/>
    <w:rsid w:val="009A49F0"/>
    <w:rsid w:val="009A5307"/>
    <w:rsid w:val="009A5BC1"/>
    <w:rsid w:val="009A64F8"/>
    <w:rsid w:val="009A6C2C"/>
    <w:rsid w:val="009B1367"/>
    <w:rsid w:val="009B1B7C"/>
    <w:rsid w:val="009B371C"/>
    <w:rsid w:val="009B5A13"/>
    <w:rsid w:val="009B7A38"/>
    <w:rsid w:val="009C0051"/>
    <w:rsid w:val="009C14C9"/>
    <w:rsid w:val="009C2718"/>
    <w:rsid w:val="009C42C0"/>
    <w:rsid w:val="009C48C3"/>
    <w:rsid w:val="009C5FE3"/>
    <w:rsid w:val="009C6201"/>
    <w:rsid w:val="009C6A1E"/>
    <w:rsid w:val="009D2F0C"/>
    <w:rsid w:val="009D477C"/>
    <w:rsid w:val="009D56B6"/>
    <w:rsid w:val="009E27A5"/>
    <w:rsid w:val="009E2F86"/>
    <w:rsid w:val="009E32FB"/>
    <w:rsid w:val="009E3991"/>
    <w:rsid w:val="009E4C8E"/>
    <w:rsid w:val="009E5080"/>
    <w:rsid w:val="009E7DB5"/>
    <w:rsid w:val="009F13FE"/>
    <w:rsid w:val="009F6260"/>
    <w:rsid w:val="009F663F"/>
    <w:rsid w:val="009F6FB2"/>
    <w:rsid w:val="009F75F4"/>
    <w:rsid w:val="00A00BDC"/>
    <w:rsid w:val="00A03A56"/>
    <w:rsid w:val="00A0796D"/>
    <w:rsid w:val="00A10127"/>
    <w:rsid w:val="00A12209"/>
    <w:rsid w:val="00A12750"/>
    <w:rsid w:val="00A135E1"/>
    <w:rsid w:val="00A20037"/>
    <w:rsid w:val="00A258BB"/>
    <w:rsid w:val="00A31484"/>
    <w:rsid w:val="00A31681"/>
    <w:rsid w:val="00A321D4"/>
    <w:rsid w:val="00A34CA4"/>
    <w:rsid w:val="00A356E5"/>
    <w:rsid w:val="00A35826"/>
    <w:rsid w:val="00A36DF3"/>
    <w:rsid w:val="00A40330"/>
    <w:rsid w:val="00A4441D"/>
    <w:rsid w:val="00A45C04"/>
    <w:rsid w:val="00A46D67"/>
    <w:rsid w:val="00A532DD"/>
    <w:rsid w:val="00A5522E"/>
    <w:rsid w:val="00A55C35"/>
    <w:rsid w:val="00A6373B"/>
    <w:rsid w:val="00A649B6"/>
    <w:rsid w:val="00A72A37"/>
    <w:rsid w:val="00A73726"/>
    <w:rsid w:val="00A74B90"/>
    <w:rsid w:val="00A760F0"/>
    <w:rsid w:val="00A80BCF"/>
    <w:rsid w:val="00A825D1"/>
    <w:rsid w:val="00A8369C"/>
    <w:rsid w:val="00A86579"/>
    <w:rsid w:val="00A90212"/>
    <w:rsid w:val="00A905A8"/>
    <w:rsid w:val="00A90CC4"/>
    <w:rsid w:val="00A915E0"/>
    <w:rsid w:val="00A9401D"/>
    <w:rsid w:val="00A971CD"/>
    <w:rsid w:val="00AA1689"/>
    <w:rsid w:val="00AA496F"/>
    <w:rsid w:val="00AA5770"/>
    <w:rsid w:val="00AA70DB"/>
    <w:rsid w:val="00AB02D6"/>
    <w:rsid w:val="00AB0F00"/>
    <w:rsid w:val="00AB207B"/>
    <w:rsid w:val="00AB2E70"/>
    <w:rsid w:val="00AB3067"/>
    <w:rsid w:val="00AB33C1"/>
    <w:rsid w:val="00AB3E03"/>
    <w:rsid w:val="00AC0C06"/>
    <w:rsid w:val="00AC1D15"/>
    <w:rsid w:val="00AC6B74"/>
    <w:rsid w:val="00AC732A"/>
    <w:rsid w:val="00AD264B"/>
    <w:rsid w:val="00AD2C0B"/>
    <w:rsid w:val="00AD44C6"/>
    <w:rsid w:val="00AD724D"/>
    <w:rsid w:val="00AE1705"/>
    <w:rsid w:val="00AE34D1"/>
    <w:rsid w:val="00AE460D"/>
    <w:rsid w:val="00AE61BE"/>
    <w:rsid w:val="00AE7197"/>
    <w:rsid w:val="00AE7F82"/>
    <w:rsid w:val="00AF3D8E"/>
    <w:rsid w:val="00AF4FD1"/>
    <w:rsid w:val="00AF6880"/>
    <w:rsid w:val="00AF7AEF"/>
    <w:rsid w:val="00B02BAE"/>
    <w:rsid w:val="00B07B0C"/>
    <w:rsid w:val="00B120F9"/>
    <w:rsid w:val="00B12371"/>
    <w:rsid w:val="00B13370"/>
    <w:rsid w:val="00B13907"/>
    <w:rsid w:val="00B14475"/>
    <w:rsid w:val="00B176A3"/>
    <w:rsid w:val="00B22D18"/>
    <w:rsid w:val="00B2342F"/>
    <w:rsid w:val="00B23CDB"/>
    <w:rsid w:val="00B24DFA"/>
    <w:rsid w:val="00B25563"/>
    <w:rsid w:val="00B25952"/>
    <w:rsid w:val="00B26A40"/>
    <w:rsid w:val="00B26D48"/>
    <w:rsid w:val="00B2789F"/>
    <w:rsid w:val="00B34092"/>
    <w:rsid w:val="00B347B7"/>
    <w:rsid w:val="00B352D8"/>
    <w:rsid w:val="00B36EC1"/>
    <w:rsid w:val="00B40949"/>
    <w:rsid w:val="00B40D80"/>
    <w:rsid w:val="00B41F7B"/>
    <w:rsid w:val="00B42EE1"/>
    <w:rsid w:val="00B43BAB"/>
    <w:rsid w:val="00B4434B"/>
    <w:rsid w:val="00B44F47"/>
    <w:rsid w:val="00B46FDD"/>
    <w:rsid w:val="00B47A59"/>
    <w:rsid w:val="00B503CD"/>
    <w:rsid w:val="00B51B50"/>
    <w:rsid w:val="00B5349B"/>
    <w:rsid w:val="00B54232"/>
    <w:rsid w:val="00B556AB"/>
    <w:rsid w:val="00B5649C"/>
    <w:rsid w:val="00B573A5"/>
    <w:rsid w:val="00B6209A"/>
    <w:rsid w:val="00B70960"/>
    <w:rsid w:val="00B7138A"/>
    <w:rsid w:val="00B71A31"/>
    <w:rsid w:val="00B734D4"/>
    <w:rsid w:val="00B73A02"/>
    <w:rsid w:val="00B7539B"/>
    <w:rsid w:val="00B75F02"/>
    <w:rsid w:val="00B7776D"/>
    <w:rsid w:val="00B8293D"/>
    <w:rsid w:val="00B874AD"/>
    <w:rsid w:val="00B87A49"/>
    <w:rsid w:val="00B91ECE"/>
    <w:rsid w:val="00B92478"/>
    <w:rsid w:val="00B943FB"/>
    <w:rsid w:val="00B95707"/>
    <w:rsid w:val="00B970DB"/>
    <w:rsid w:val="00B97463"/>
    <w:rsid w:val="00B9755D"/>
    <w:rsid w:val="00BA13A1"/>
    <w:rsid w:val="00BA25B4"/>
    <w:rsid w:val="00BA5F00"/>
    <w:rsid w:val="00BA6188"/>
    <w:rsid w:val="00BA64DC"/>
    <w:rsid w:val="00BA7040"/>
    <w:rsid w:val="00BB22D9"/>
    <w:rsid w:val="00BB605B"/>
    <w:rsid w:val="00BB608E"/>
    <w:rsid w:val="00BB7567"/>
    <w:rsid w:val="00BC361A"/>
    <w:rsid w:val="00BC5525"/>
    <w:rsid w:val="00BC68C2"/>
    <w:rsid w:val="00BD1A39"/>
    <w:rsid w:val="00BD2045"/>
    <w:rsid w:val="00BD3450"/>
    <w:rsid w:val="00BD3D7D"/>
    <w:rsid w:val="00BD49F7"/>
    <w:rsid w:val="00BD5833"/>
    <w:rsid w:val="00BD6055"/>
    <w:rsid w:val="00BD61A2"/>
    <w:rsid w:val="00BD746C"/>
    <w:rsid w:val="00BE2802"/>
    <w:rsid w:val="00BE3F34"/>
    <w:rsid w:val="00BE484D"/>
    <w:rsid w:val="00BF2596"/>
    <w:rsid w:val="00BF278B"/>
    <w:rsid w:val="00BF350D"/>
    <w:rsid w:val="00BF6BB3"/>
    <w:rsid w:val="00BF6E89"/>
    <w:rsid w:val="00BF7206"/>
    <w:rsid w:val="00C00B11"/>
    <w:rsid w:val="00C01D60"/>
    <w:rsid w:val="00C02208"/>
    <w:rsid w:val="00C0692E"/>
    <w:rsid w:val="00C15F11"/>
    <w:rsid w:val="00C168E1"/>
    <w:rsid w:val="00C16F0C"/>
    <w:rsid w:val="00C22C7C"/>
    <w:rsid w:val="00C232A3"/>
    <w:rsid w:val="00C24EDE"/>
    <w:rsid w:val="00C26AF9"/>
    <w:rsid w:val="00C2711B"/>
    <w:rsid w:val="00C27B6D"/>
    <w:rsid w:val="00C37E05"/>
    <w:rsid w:val="00C4270A"/>
    <w:rsid w:val="00C4375E"/>
    <w:rsid w:val="00C43ADB"/>
    <w:rsid w:val="00C43CDD"/>
    <w:rsid w:val="00C47789"/>
    <w:rsid w:val="00C52172"/>
    <w:rsid w:val="00C5392D"/>
    <w:rsid w:val="00C55D29"/>
    <w:rsid w:val="00C56F2E"/>
    <w:rsid w:val="00C62B3A"/>
    <w:rsid w:val="00C6592F"/>
    <w:rsid w:val="00C71FCB"/>
    <w:rsid w:val="00C8063E"/>
    <w:rsid w:val="00C8341C"/>
    <w:rsid w:val="00C83DB6"/>
    <w:rsid w:val="00C84FA0"/>
    <w:rsid w:val="00C861B2"/>
    <w:rsid w:val="00C86F6D"/>
    <w:rsid w:val="00C948D8"/>
    <w:rsid w:val="00C96C76"/>
    <w:rsid w:val="00CA0BE9"/>
    <w:rsid w:val="00CA138D"/>
    <w:rsid w:val="00CA57D9"/>
    <w:rsid w:val="00CA5D67"/>
    <w:rsid w:val="00CA62BD"/>
    <w:rsid w:val="00CA76B0"/>
    <w:rsid w:val="00CB2E47"/>
    <w:rsid w:val="00CB437B"/>
    <w:rsid w:val="00CB4476"/>
    <w:rsid w:val="00CB684F"/>
    <w:rsid w:val="00CC0731"/>
    <w:rsid w:val="00CC220F"/>
    <w:rsid w:val="00CC2AFE"/>
    <w:rsid w:val="00CC3E7B"/>
    <w:rsid w:val="00CC6827"/>
    <w:rsid w:val="00CC7641"/>
    <w:rsid w:val="00CE0B46"/>
    <w:rsid w:val="00CE4EFB"/>
    <w:rsid w:val="00CE7D19"/>
    <w:rsid w:val="00CF0681"/>
    <w:rsid w:val="00CF228F"/>
    <w:rsid w:val="00CF2515"/>
    <w:rsid w:val="00CF3E79"/>
    <w:rsid w:val="00CF41DE"/>
    <w:rsid w:val="00CF6771"/>
    <w:rsid w:val="00CF73D2"/>
    <w:rsid w:val="00CF79C2"/>
    <w:rsid w:val="00D032B7"/>
    <w:rsid w:val="00D074A2"/>
    <w:rsid w:val="00D102C0"/>
    <w:rsid w:val="00D12063"/>
    <w:rsid w:val="00D12335"/>
    <w:rsid w:val="00D12716"/>
    <w:rsid w:val="00D13794"/>
    <w:rsid w:val="00D17F23"/>
    <w:rsid w:val="00D21321"/>
    <w:rsid w:val="00D218E7"/>
    <w:rsid w:val="00D24052"/>
    <w:rsid w:val="00D24386"/>
    <w:rsid w:val="00D31575"/>
    <w:rsid w:val="00D31A89"/>
    <w:rsid w:val="00D34626"/>
    <w:rsid w:val="00D34FB4"/>
    <w:rsid w:val="00D359BA"/>
    <w:rsid w:val="00D4257A"/>
    <w:rsid w:val="00D442E2"/>
    <w:rsid w:val="00D44EDF"/>
    <w:rsid w:val="00D456A9"/>
    <w:rsid w:val="00D46A95"/>
    <w:rsid w:val="00D47384"/>
    <w:rsid w:val="00D50472"/>
    <w:rsid w:val="00D512AA"/>
    <w:rsid w:val="00D52798"/>
    <w:rsid w:val="00D53DFD"/>
    <w:rsid w:val="00D5468A"/>
    <w:rsid w:val="00D55E08"/>
    <w:rsid w:val="00D57295"/>
    <w:rsid w:val="00D61745"/>
    <w:rsid w:val="00D62665"/>
    <w:rsid w:val="00D645AC"/>
    <w:rsid w:val="00D647C5"/>
    <w:rsid w:val="00D65D65"/>
    <w:rsid w:val="00D66C71"/>
    <w:rsid w:val="00D66D7C"/>
    <w:rsid w:val="00D674CE"/>
    <w:rsid w:val="00D70205"/>
    <w:rsid w:val="00D735EF"/>
    <w:rsid w:val="00D73963"/>
    <w:rsid w:val="00D73C04"/>
    <w:rsid w:val="00D7609F"/>
    <w:rsid w:val="00D81AA7"/>
    <w:rsid w:val="00D82B29"/>
    <w:rsid w:val="00D82E47"/>
    <w:rsid w:val="00D84A01"/>
    <w:rsid w:val="00D8715C"/>
    <w:rsid w:val="00D91AEB"/>
    <w:rsid w:val="00D92290"/>
    <w:rsid w:val="00D92C20"/>
    <w:rsid w:val="00D94A9D"/>
    <w:rsid w:val="00D977EA"/>
    <w:rsid w:val="00DA1E4E"/>
    <w:rsid w:val="00DB0EE6"/>
    <w:rsid w:val="00DB148C"/>
    <w:rsid w:val="00DB1A31"/>
    <w:rsid w:val="00DB202E"/>
    <w:rsid w:val="00DB2B32"/>
    <w:rsid w:val="00DB4F78"/>
    <w:rsid w:val="00DC027B"/>
    <w:rsid w:val="00DC0CDE"/>
    <w:rsid w:val="00DC1A85"/>
    <w:rsid w:val="00DC1CBC"/>
    <w:rsid w:val="00DC27C6"/>
    <w:rsid w:val="00DC3905"/>
    <w:rsid w:val="00DC498E"/>
    <w:rsid w:val="00DC4D72"/>
    <w:rsid w:val="00DC6525"/>
    <w:rsid w:val="00DC7018"/>
    <w:rsid w:val="00DD12B0"/>
    <w:rsid w:val="00DD5610"/>
    <w:rsid w:val="00DD5FB9"/>
    <w:rsid w:val="00DD62FD"/>
    <w:rsid w:val="00DD66E0"/>
    <w:rsid w:val="00DE1D02"/>
    <w:rsid w:val="00DE5D2D"/>
    <w:rsid w:val="00DF0CB3"/>
    <w:rsid w:val="00DF3016"/>
    <w:rsid w:val="00DF4340"/>
    <w:rsid w:val="00DF494C"/>
    <w:rsid w:val="00DF6D0B"/>
    <w:rsid w:val="00DF7E0D"/>
    <w:rsid w:val="00E022B9"/>
    <w:rsid w:val="00E03059"/>
    <w:rsid w:val="00E0624D"/>
    <w:rsid w:val="00E132B8"/>
    <w:rsid w:val="00E13DC7"/>
    <w:rsid w:val="00E15EE6"/>
    <w:rsid w:val="00E15F3E"/>
    <w:rsid w:val="00E16BF4"/>
    <w:rsid w:val="00E179D4"/>
    <w:rsid w:val="00E20023"/>
    <w:rsid w:val="00E2285D"/>
    <w:rsid w:val="00E22988"/>
    <w:rsid w:val="00E3274A"/>
    <w:rsid w:val="00E34F7D"/>
    <w:rsid w:val="00E353A3"/>
    <w:rsid w:val="00E359DE"/>
    <w:rsid w:val="00E35C9D"/>
    <w:rsid w:val="00E35D35"/>
    <w:rsid w:val="00E37FF7"/>
    <w:rsid w:val="00E4438C"/>
    <w:rsid w:val="00E45156"/>
    <w:rsid w:val="00E457F3"/>
    <w:rsid w:val="00E50444"/>
    <w:rsid w:val="00E50663"/>
    <w:rsid w:val="00E50A84"/>
    <w:rsid w:val="00E52D31"/>
    <w:rsid w:val="00E53121"/>
    <w:rsid w:val="00E5471A"/>
    <w:rsid w:val="00E54AA5"/>
    <w:rsid w:val="00E55F9B"/>
    <w:rsid w:val="00E576F5"/>
    <w:rsid w:val="00E57A6A"/>
    <w:rsid w:val="00E57AE3"/>
    <w:rsid w:val="00E61DD1"/>
    <w:rsid w:val="00E6483A"/>
    <w:rsid w:val="00E64C23"/>
    <w:rsid w:val="00E71AC4"/>
    <w:rsid w:val="00E73CC1"/>
    <w:rsid w:val="00E77377"/>
    <w:rsid w:val="00E77FE3"/>
    <w:rsid w:val="00E84B11"/>
    <w:rsid w:val="00E86357"/>
    <w:rsid w:val="00E87284"/>
    <w:rsid w:val="00E90F59"/>
    <w:rsid w:val="00E97664"/>
    <w:rsid w:val="00EA0C3E"/>
    <w:rsid w:val="00EA22BC"/>
    <w:rsid w:val="00EA4DD8"/>
    <w:rsid w:val="00EA76AB"/>
    <w:rsid w:val="00EA7959"/>
    <w:rsid w:val="00EB2AEF"/>
    <w:rsid w:val="00EB2BED"/>
    <w:rsid w:val="00EB6CBA"/>
    <w:rsid w:val="00EB7E71"/>
    <w:rsid w:val="00EC0530"/>
    <w:rsid w:val="00EC1F2E"/>
    <w:rsid w:val="00EC5831"/>
    <w:rsid w:val="00EC7808"/>
    <w:rsid w:val="00ED0590"/>
    <w:rsid w:val="00ED0641"/>
    <w:rsid w:val="00ED067F"/>
    <w:rsid w:val="00ED123E"/>
    <w:rsid w:val="00ED1F15"/>
    <w:rsid w:val="00ED216B"/>
    <w:rsid w:val="00ED24C6"/>
    <w:rsid w:val="00ED2E15"/>
    <w:rsid w:val="00ED3002"/>
    <w:rsid w:val="00ED33F4"/>
    <w:rsid w:val="00ED5229"/>
    <w:rsid w:val="00EE137D"/>
    <w:rsid w:val="00EE5DDC"/>
    <w:rsid w:val="00EF2788"/>
    <w:rsid w:val="00EF3103"/>
    <w:rsid w:val="00EF6E9B"/>
    <w:rsid w:val="00EF7714"/>
    <w:rsid w:val="00F001E2"/>
    <w:rsid w:val="00F0065C"/>
    <w:rsid w:val="00F023DB"/>
    <w:rsid w:val="00F0669E"/>
    <w:rsid w:val="00F109D4"/>
    <w:rsid w:val="00F10A6F"/>
    <w:rsid w:val="00F11088"/>
    <w:rsid w:val="00F15EE9"/>
    <w:rsid w:val="00F1755A"/>
    <w:rsid w:val="00F17D02"/>
    <w:rsid w:val="00F209C3"/>
    <w:rsid w:val="00F24736"/>
    <w:rsid w:val="00F2579E"/>
    <w:rsid w:val="00F27344"/>
    <w:rsid w:val="00F322AA"/>
    <w:rsid w:val="00F34074"/>
    <w:rsid w:val="00F342FB"/>
    <w:rsid w:val="00F343AA"/>
    <w:rsid w:val="00F37C6C"/>
    <w:rsid w:val="00F4241B"/>
    <w:rsid w:val="00F42A7A"/>
    <w:rsid w:val="00F46704"/>
    <w:rsid w:val="00F46C17"/>
    <w:rsid w:val="00F47585"/>
    <w:rsid w:val="00F514AC"/>
    <w:rsid w:val="00F534A1"/>
    <w:rsid w:val="00F53C19"/>
    <w:rsid w:val="00F57C17"/>
    <w:rsid w:val="00F6249C"/>
    <w:rsid w:val="00F63E1A"/>
    <w:rsid w:val="00F652C1"/>
    <w:rsid w:val="00F65C2D"/>
    <w:rsid w:val="00F678B8"/>
    <w:rsid w:val="00F7078E"/>
    <w:rsid w:val="00F71218"/>
    <w:rsid w:val="00F71CB7"/>
    <w:rsid w:val="00F75BDB"/>
    <w:rsid w:val="00F81232"/>
    <w:rsid w:val="00F8291C"/>
    <w:rsid w:val="00F85E6F"/>
    <w:rsid w:val="00F93B3E"/>
    <w:rsid w:val="00F9479A"/>
    <w:rsid w:val="00F95449"/>
    <w:rsid w:val="00F96FF0"/>
    <w:rsid w:val="00FA1942"/>
    <w:rsid w:val="00FA380A"/>
    <w:rsid w:val="00FA4A6A"/>
    <w:rsid w:val="00FA52FD"/>
    <w:rsid w:val="00FB1382"/>
    <w:rsid w:val="00FB7699"/>
    <w:rsid w:val="00FC2CB5"/>
    <w:rsid w:val="00FC38D9"/>
    <w:rsid w:val="00FC3A8F"/>
    <w:rsid w:val="00FC4EB9"/>
    <w:rsid w:val="00FC595E"/>
    <w:rsid w:val="00FD19F7"/>
    <w:rsid w:val="00FD33CD"/>
    <w:rsid w:val="00FD3AC6"/>
    <w:rsid w:val="00FD55C1"/>
    <w:rsid w:val="00FD5AC3"/>
    <w:rsid w:val="00FD6B40"/>
    <w:rsid w:val="00FD7402"/>
    <w:rsid w:val="00FD75AA"/>
    <w:rsid w:val="00FD7DE3"/>
    <w:rsid w:val="00FE04E4"/>
    <w:rsid w:val="00FE0785"/>
    <w:rsid w:val="00FE0AE7"/>
    <w:rsid w:val="00FE2789"/>
    <w:rsid w:val="00FE2DD7"/>
    <w:rsid w:val="00FE6DFA"/>
    <w:rsid w:val="00FE6EFD"/>
    <w:rsid w:val="00FE73F9"/>
    <w:rsid w:val="00FF1057"/>
    <w:rsid w:val="00FF3E25"/>
    <w:rsid w:val="00FF50AB"/>
    <w:rsid w:val="00FF5177"/>
    <w:rsid w:val="00FF5DA3"/>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867E1"/>
  <w15:docId w15:val="{F4266A83-91FE-4C3C-8B2E-A43B08E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7F07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Heading5Char">
    <w:name w:val="Heading 5 Char"/>
    <w:basedOn w:val="DefaultParagraphFont"/>
    <w:link w:val="Heading5"/>
    <w:uiPriority w:val="9"/>
    <w:rsid w:val="007F0748"/>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04">
      <w:bodyDiv w:val="1"/>
      <w:marLeft w:val="0"/>
      <w:marRight w:val="0"/>
      <w:marTop w:val="0"/>
      <w:marBottom w:val="0"/>
      <w:divBdr>
        <w:top w:val="none" w:sz="0" w:space="0" w:color="auto"/>
        <w:left w:val="none" w:sz="0" w:space="0" w:color="auto"/>
        <w:bottom w:val="none" w:sz="0" w:space="0" w:color="auto"/>
        <w:right w:val="none" w:sz="0" w:space="0" w:color="auto"/>
      </w:divBdr>
      <w:divsChild>
        <w:div w:id="663245840">
          <w:marLeft w:val="0"/>
          <w:marRight w:val="0"/>
          <w:marTop w:val="0"/>
          <w:marBottom w:val="0"/>
          <w:divBdr>
            <w:top w:val="none" w:sz="0" w:space="0" w:color="auto"/>
            <w:left w:val="none" w:sz="0" w:space="0" w:color="auto"/>
            <w:bottom w:val="none" w:sz="0" w:space="0" w:color="auto"/>
            <w:right w:val="none" w:sz="0" w:space="0" w:color="auto"/>
          </w:divBdr>
        </w:div>
      </w:divsChild>
    </w:div>
    <w:div w:id="100032529">
      <w:bodyDiv w:val="1"/>
      <w:marLeft w:val="0"/>
      <w:marRight w:val="0"/>
      <w:marTop w:val="0"/>
      <w:marBottom w:val="0"/>
      <w:divBdr>
        <w:top w:val="none" w:sz="0" w:space="0" w:color="auto"/>
        <w:left w:val="none" w:sz="0" w:space="0" w:color="auto"/>
        <w:bottom w:val="none" w:sz="0" w:space="0" w:color="auto"/>
        <w:right w:val="none" w:sz="0" w:space="0" w:color="auto"/>
      </w:divBdr>
    </w:div>
    <w:div w:id="247202770">
      <w:bodyDiv w:val="1"/>
      <w:marLeft w:val="0"/>
      <w:marRight w:val="0"/>
      <w:marTop w:val="0"/>
      <w:marBottom w:val="0"/>
      <w:divBdr>
        <w:top w:val="none" w:sz="0" w:space="0" w:color="auto"/>
        <w:left w:val="none" w:sz="0" w:space="0" w:color="auto"/>
        <w:bottom w:val="none" w:sz="0" w:space="0" w:color="auto"/>
        <w:right w:val="none" w:sz="0" w:space="0" w:color="auto"/>
      </w:divBdr>
    </w:div>
    <w:div w:id="968052612">
      <w:bodyDiv w:val="1"/>
      <w:marLeft w:val="0"/>
      <w:marRight w:val="0"/>
      <w:marTop w:val="0"/>
      <w:marBottom w:val="0"/>
      <w:divBdr>
        <w:top w:val="none" w:sz="0" w:space="0" w:color="auto"/>
        <w:left w:val="none" w:sz="0" w:space="0" w:color="auto"/>
        <w:bottom w:val="none" w:sz="0" w:space="0" w:color="auto"/>
        <w:right w:val="none" w:sz="0" w:space="0" w:color="auto"/>
      </w:divBdr>
    </w:div>
    <w:div w:id="1274169046">
      <w:bodyDiv w:val="1"/>
      <w:marLeft w:val="0"/>
      <w:marRight w:val="0"/>
      <w:marTop w:val="0"/>
      <w:marBottom w:val="0"/>
      <w:divBdr>
        <w:top w:val="none" w:sz="0" w:space="0" w:color="auto"/>
        <w:left w:val="none" w:sz="0" w:space="0" w:color="auto"/>
        <w:bottom w:val="none" w:sz="0" w:space="0" w:color="auto"/>
        <w:right w:val="none" w:sz="0" w:space="0" w:color="auto"/>
      </w:divBdr>
    </w:div>
    <w:div w:id="1419056583">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849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9731D657CD48EF9CF0595DB65C91D8"/>
        <w:category>
          <w:name w:val="General"/>
          <w:gallery w:val="placeholder"/>
        </w:category>
        <w:types>
          <w:type w:val="bbPlcHdr"/>
        </w:types>
        <w:behaviors>
          <w:behavior w:val="content"/>
        </w:behaviors>
        <w:guid w:val="{4D77063C-B7EB-4F1C-A9FC-2B71550EE028}"/>
      </w:docPartPr>
      <w:docPartBody>
        <w:p w:rsidR="00F50753" w:rsidRDefault="00F50753">
          <w:pPr>
            <w:pStyle w:val="6D9731D657CD48EF9CF0595DB65C91D8"/>
          </w:pPr>
          <w:r w:rsidRPr="003C5719">
            <w:rPr>
              <w:rStyle w:val="PlaceholderText"/>
              <w:sz w:val="24"/>
              <w:szCs w:val="24"/>
            </w:rPr>
            <w:t>select a Minister</w:t>
          </w:r>
        </w:p>
      </w:docPartBody>
    </w:docPart>
    <w:docPart>
      <w:docPartPr>
        <w:name w:val="A4F5D9D487314BCDAC990F9AE67DD934"/>
        <w:category>
          <w:name w:val="General"/>
          <w:gallery w:val="placeholder"/>
        </w:category>
        <w:types>
          <w:type w:val="bbPlcHdr"/>
        </w:types>
        <w:behaviors>
          <w:behavior w:val="content"/>
        </w:behaviors>
        <w:guid w:val="{5CFEEB2A-9E68-4CBB-88FC-3E3C33526CD9}"/>
      </w:docPartPr>
      <w:docPartBody>
        <w:p w:rsidR="00405805" w:rsidRDefault="00290D96" w:rsidP="00290D96">
          <w:pPr>
            <w:pStyle w:val="A4F5D9D487314BCDAC990F9AE67DD934"/>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53"/>
    <w:rsid w:val="0002463A"/>
    <w:rsid w:val="00290D96"/>
    <w:rsid w:val="003B41E2"/>
    <w:rsid w:val="00405805"/>
    <w:rsid w:val="00C042F1"/>
    <w:rsid w:val="00EB7D82"/>
    <w:rsid w:val="00F50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D96"/>
    <w:rPr>
      <w:color w:val="808080"/>
    </w:rPr>
  </w:style>
  <w:style w:type="paragraph" w:customStyle="1" w:styleId="6D9731D657CD48EF9CF0595DB65C91D8">
    <w:name w:val="6D9731D657CD48EF9CF0595DB65C91D8"/>
  </w:style>
  <w:style w:type="paragraph" w:customStyle="1" w:styleId="A4F5D9D487314BCDAC990F9AE67DD934">
    <w:name w:val="A4F5D9D487314BCDAC990F9AE67DD934"/>
    <w:rsid w:val="00290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S574FYTY5PW6-969949929-810</_dlc_DocId>
    <_dlc_DocIdUrl xmlns="fe39d773-a83d-4623-ae74-f25711a76616">
      <Url>https://austreasury.sharepoint.com/sites/leg-cord-function/_layouts/15/DocIdRedir.aspx?ID=S574FYTY5PW6-969949929-810</Url>
      <Description>S574FYTY5PW6-969949929-810</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40</Value>
      <Value>36</Value>
      <Value>1</Value>
      <Value>35</Value>
    </TaxCatchAl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45cbb05c-9508-47f1-902e-7b8414a82b21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30b813c2-29e2-43aa-bac2-1ed67b791ce7"/>
    <ds:schemaRef ds:uri="ff38c824-6e29-4496-8487-69f397e7ed29"/>
    <ds:schemaRef ds:uri="fe39d773-a83d-4623-ae74-f25711a76616"/>
    <ds:schemaRef ds:uri="http://purl.org/dc/elements/1.1/"/>
    <ds:schemaRef ds:uri="http://schemas.microsoft.com/office/infopath/2007/PartnerControls"/>
    <ds:schemaRef ds:uri="http://schemas.openxmlformats.org/package/2006/metadata/core-properties"/>
    <ds:schemaRef ds:uri="http://purl.org/dc/terms/"/>
    <ds:schemaRef ds:uri="42f4cb5a-261c-4c59-b165-7132460581a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E80D11A8-847B-4CAB-B7B5-5E2BE9AC0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Aynsley, Charmaine</dc:creator>
  <cp:keywords/>
  <cp:lastModifiedBy>Noore, Andrew</cp:lastModifiedBy>
  <cp:revision>2</cp:revision>
  <cp:lastPrinted>2019-02-18T18:23:00Z</cp:lastPrinted>
  <dcterms:created xsi:type="dcterms:W3CDTF">2023-10-11T03:40:00Z</dcterms:created>
  <dcterms:modified xsi:type="dcterms:W3CDTF">2023-10-11T03:40:00Z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815549e4-5733-40b6-ac21-ffea8bd50973</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96;#Financial Advice|49ffcb37-4594-4b2e-83ac-b4bbc5b69eb2</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Activity">
    <vt:lpwstr>35;#Legislation management|cb630f2f-9155-496b-ad0f-d960eb1bf90c</vt:lpwstr>
  </property>
  <property fmtid="{D5CDD505-2E9C-101B-9397-08002B2CF9AE}" pid="17" name="Topic">
    <vt:lpwstr>36;#Legislation Coordination|58c6712e-e847-48f4-81ab-b25e2bbd3986</vt:lpwstr>
  </property>
  <property fmtid="{D5CDD505-2E9C-101B-9397-08002B2CF9AE}" pid="18" name="Document Type">
    <vt:lpwstr>40;#Explanatory materials|45cbb05c-9508-47f1-902e-7b8414a82b21</vt:lpwstr>
  </property>
</Properties>
</file>