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Ind w:w="-108"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9C5386" w14:paraId="1A74F07C" w14:textId="77777777" w:rsidTr="000A13E1">
        <w:tc>
          <w:tcPr>
            <w:tcW w:w="4661" w:type="dxa"/>
          </w:tcPr>
          <w:p w14:paraId="625C461E" w14:textId="77777777" w:rsidR="00090A6F" w:rsidRPr="009C5386" w:rsidRDefault="00364B30">
            <w:pPr>
              <w:pStyle w:val="CoverStandard"/>
            </w:pPr>
            <w:r w:rsidRPr="009C5386">
              <w:t>AASB</w:t>
            </w:r>
            <w:r w:rsidR="00831497" w:rsidRPr="009C5386">
              <w:t xml:space="preserve"> Standard</w:t>
            </w:r>
          </w:p>
        </w:tc>
        <w:tc>
          <w:tcPr>
            <w:tcW w:w="4661" w:type="dxa"/>
          </w:tcPr>
          <w:p w14:paraId="08FADDE5" w14:textId="7E28B127" w:rsidR="00090A6F" w:rsidRPr="009C5386" w:rsidRDefault="00831497">
            <w:pPr>
              <w:pStyle w:val="CoverNumber"/>
            </w:pPr>
            <w:r w:rsidRPr="009C5386">
              <w:t>AASB</w:t>
            </w:r>
            <w:r w:rsidR="00090A6F" w:rsidRPr="009C5386">
              <w:t xml:space="preserve"> </w:t>
            </w:r>
            <w:bookmarkStart w:id="0" w:name="DocNo"/>
            <w:sdt>
              <w:sdtPr>
                <w:id w:val="-197015065"/>
                <w:lock w:val="contentLocked"/>
                <w:placeholder>
                  <w:docPart w:val="DefaultPlaceholder_-1854013440"/>
                </w:placeholder>
                <w:group/>
              </w:sdtPr>
              <w:sdtEndPr/>
              <w:sdtContent>
                <w:r w:rsidR="00195FE2">
                  <w:t>2023-5</w:t>
                </w:r>
                <w:bookmarkEnd w:id="0"/>
              </w:sdtContent>
            </w:sdt>
          </w:p>
          <w:p w14:paraId="1B1F4A5F" w14:textId="2335C48F" w:rsidR="00090A6F" w:rsidRPr="009C5386" w:rsidRDefault="00194179">
            <w:pPr>
              <w:pStyle w:val="CoverDate"/>
            </w:pPr>
            <w:bookmarkStart w:id="1" w:name="DocDate"/>
            <w:r>
              <w:t>October</w:t>
            </w:r>
            <w:r w:rsidR="00516324" w:rsidRPr="009C5386">
              <w:t xml:space="preserve"> </w:t>
            </w:r>
            <w:r w:rsidR="00216401" w:rsidRPr="009C5386">
              <w:t>2023</w:t>
            </w:r>
            <w:bookmarkEnd w:id="1"/>
          </w:p>
        </w:tc>
      </w:tr>
    </w:tbl>
    <w:bookmarkStart w:id="2" w:name="DocTitle" w:displacedByCustomXml="next"/>
    <w:sdt>
      <w:sdtPr>
        <w:id w:val="871268450"/>
        <w:lock w:val="contentLocked"/>
        <w:placeholder>
          <w:docPart w:val="DefaultPlaceholder_-1854013440"/>
        </w:placeholder>
        <w:group/>
      </w:sdtPr>
      <w:sdtEndPr/>
      <w:sdtContent>
        <w:p w14:paraId="133A93F3" w14:textId="29F43DE5" w:rsidR="00090A6F" w:rsidRPr="009C5386" w:rsidRDefault="00216401" w:rsidP="00216401">
          <w:pPr>
            <w:pStyle w:val="CoverTitle"/>
            <w:jc w:val="left"/>
          </w:pPr>
          <w:r w:rsidRPr="009C5386">
            <w:t>Amendments to Australian Accounting Standards – Lack of Exchangeability</w:t>
          </w:r>
        </w:p>
        <w:bookmarkEnd w:id="2" w:displacedByCustomXml="next"/>
      </w:sdtContent>
    </w:sdt>
    <w:p w14:paraId="494A8F05" w14:textId="5C0A7C7F" w:rsidR="00C5022C" w:rsidRPr="009C5386" w:rsidRDefault="002B7803" w:rsidP="00C5022C">
      <w:pPr>
        <w:pStyle w:val="CoverSubtitle"/>
      </w:pPr>
      <w:r w:rsidRPr="009C5386">
        <w:t>[</w:t>
      </w:r>
      <w:bookmarkStart w:id="3" w:name="AmendingNos"/>
      <w:r w:rsidR="00216401" w:rsidRPr="009C5386">
        <w:t>AASB 1</w:t>
      </w:r>
      <w:r w:rsidR="001A4C98" w:rsidRPr="009C5386">
        <w:t>,</w:t>
      </w:r>
      <w:r w:rsidR="00216401" w:rsidRPr="009C5386">
        <w:t xml:space="preserve"> </w:t>
      </w:r>
      <w:r w:rsidR="001A4C98" w:rsidRPr="009C5386">
        <w:t xml:space="preserve">AASB 121 </w:t>
      </w:r>
      <w:r w:rsidR="00216401" w:rsidRPr="009C5386">
        <w:t>&amp; AASB 1</w:t>
      </w:r>
      <w:r w:rsidR="001A4C98" w:rsidRPr="009C5386">
        <w:t>060</w:t>
      </w:r>
      <w:bookmarkEnd w:id="3"/>
      <w:r w:rsidRPr="009C5386">
        <w:t>]</w:t>
      </w:r>
    </w:p>
    <w:p w14:paraId="4C5D8011" w14:textId="77777777" w:rsidR="00737714" w:rsidRPr="009C5386" w:rsidRDefault="00737714" w:rsidP="00737714"/>
    <w:p w14:paraId="3A06F06E" w14:textId="77777777" w:rsidR="00090A6F" w:rsidRPr="009C5386" w:rsidRDefault="00090A6F">
      <w:pPr>
        <w:sectPr w:rsidR="00090A6F" w:rsidRPr="009C5386" w:rsidSect="001A2CFD">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aperSrc w:first="15" w:other="15"/>
          <w:cols w:space="720"/>
          <w:titlePg/>
        </w:sectPr>
      </w:pPr>
    </w:p>
    <w:p w14:paraId="37428726" w14:textId="77777777" w:rsidR="00737714" w:rsidRPr="009C5386" w:rsidRDefault="00737714" w:rsidP="00F13C5A">
      <w:pPr>
        <w:pStyle w:val="Heading1"/>
      </w:pPr>
      <w:r w:rsidRPr="009C5386">
        <w:lastRenderedPageBreak/>
        <w:t xml:space="preserve">Obtaining a </w:t>
      </w:r>
      <w:r w:rsidR="005655CE" w:rsidRPr="009C5386">
        <w:t>c</w:t>
      </w:r>
      <w:r w:rsidRPr="009C5386">
        <w:t xml:space="preserve">opy of this </w:t>
      </w:r>
      <w:r w:rsidR="00C5022C" w:rsidRPr="009C5386">
        <w:t>Accounting Standard</w:t>
      </w:r>
    </w:p>
    <w:p w14:paraId="0E4798D2" w14:textId="77777777" w:rsidR="00737714" w:rsidRPr="009C5386" w:rsidRDefault="00737714" w:rsidP="00895809">
      <w:pPr>
        <w:spacing w:after="200"/>
      </w:pPr>
      <w:r w:rsidRPr="009C5386">
        <w:t xml:space="preserve">This </w:t>
      </w:r>
      <w:r w:rsidR="00C5022C" w:rsidRPr="009C5386">
        <w:t>Standard</w:t>
      </w:r>
      <w:r w:rsidRPr="009C5386">
        <w:t xml:space="preserve"> is available o</w:t>
      </w:r>
      <w:r w:rsidR="00923261" w:rsidRPr="009C5386">
        <w:t>n the AASB website: www.aasb.gov</w:t>
      </w:r>
      <w:r w:rsidRPr="009C5386">
        <w:t>.au.</w:t>
      </w:r>
    </w:p>
    <w:p w14:paraId="6BBE65DC" w14:textId="77777777" w:rsidR="00895809" w:rsidRPr="009C5386" w:rsidRDefault="00895809" w:rsidP="00895809">
      <w:r w:rsidRPr="009C5386">
        <w:t>Australian Accounting Standards Board</w:t>
      </w:r>
    </w:p>
    <w:p w14:paraId="0256A442" w14:textId="77777777" w:rsidR="00895809" w:rsidRPr="009C5386" w:rsidRDefault="00895809" w:rsidP="00895809">
      <w:r w:rsidRPr="009C5386">
        <w:t>PO Box 204</w:t>
      </w:r>
    </w:p>
    <w:p w14:paraId="50E82ADA" w14:textId="77777777" w:rsidR="00895809" w:rsidRPr="009C5386" w:rsidRDefault="00895809" w:rsidP="00895809">
      <w:r w:rsidRPr="009C5386">
        <w:t>Collins Street West</w:t>
      </w:r>
    </w:p>
    <w:p w14:paraId="75C0D3D9" w14:textId="77777777" w:rsidR="00895809" w:rsidRPr="009C5386" w:rsidRDefault="00895809" w:rsidP="00895809">
      <w:r w:rsidRPr="009C5386">
        <w:t>Victoria   8007</w:t>
      </w:r>
    </w:p>
    <w:p w14:paraId="018C16D5" w14:textId="77777777" w:rsidR="00895809" w:rsidRPr="009C5386" w:rsidRDefault="00895809" w:rsidP="00895809">
      <w:pPr>
        <w:pStyle w:val="CoverContact"/>
        <w:spacing w:after="200"/>
      </w:pPr>
      <w:r w:rsidRPr="009C5386">
        <w:t>AUSTRALIA</w:t>
      </w:r>
    </w:p>
    <w:p w14:paraId="7654AB8A" w14:textId="77777777" w:rsidR="00737714" w:rsidRPr="009C5386" w:rsidRDefault="0034243B" w:rsidP="00B82F15">
      <w:pPr>
        <w:pStyle w:val="CoverContact"/>
      </w:pPr>
      <w:r w:rsidRPr="009C5386">
        <w:t>Phone:</w:t>
      </w:r>
      <w:r w:rsidRPr="009C5386">
        <w:tab/>
        <w:t>(03) 9617 7600</w:t>
      </w:r>
    </w:p>
    <w:p w14:paraId="2945B5E3" w14:textId="77777777" w:rsidR="00E96D45" w:rsidRPr="009C5386" w:rsidRDefault="00DB00CD" w:rsidP="00DB00CD">
      <w:pPr>
        <w:pStyle w:val="CoverContact"/>
      </w:pPr>
      <w:r w:rsidRPr="009C5386">
        <w:t>E-mail:</w:t>
      </w:r>
      <w:r w:rsidRPr="009C5386">
        <w:tab/>
      </w:r>
      <w:r w:rsidR="0034243B" w:rsidRPr="009C5386">
        <w:t>standard</w:t>
      </w:r>
      <w:r w:rsidRPr="009C5386">
        <w:t>@aasb.gov.au</w:t>
      </w:r>
    </w:p>
    <w:p w14:paraId="725F81EE" w14:textId="77777777" w:rsidR="00E96D45" w:rsidRPr="009C5386" w:rsidRDefault="00DB00CD" w:rsidP="00DB00CD">
      <w:pPr>
        <w:pStyle w:val="CoverContact"/>
        <w:spacing w:after="240"/>
      </w:pPr>
      <w:r w:rsidRPr="009C5386">
        <w:t>Website:</w:t>
      </w:r>
      <w:r w:rsidRPr="009C5386">
        <w:tab/>
        <w:t>www.aasb.gov.au</w:t>
      </w:r>
    </w:p>
    <w:p w14:paraId="550877B4" w14:textId="77777777" w:rsidR="00090A6F" w:rsidRPr="009C5386" w:rsidRDefault="00090A6F" w:rsidP="00F13C5A">
      <w:pPr>
        <w:pStyle w:val="Heading1"/>
      </w:pPr>
      <w:r w:rsidRPr="009C5386">
        <w:t xml:space="preserve">Other </w:t>
      </w:r>
      <w:r w:rsidR="005655CE" w:rsidRPr="009C5386">
        <w:t>enquiries</w:t>
      </w:r>
    </w:p>
    <w:p w14:paraId="40E51220" w14:textId="77777777" w:rsidR="00090A6F" w:rsidRPr="009C5386" w:rsidRDefault="00090A6F" w:rsidP="00B82F15">
      <w:pPr>
        <w:pStyle w:val="CoverContact"/>
      </w:pPr>
      <w:r w:rsidRPr="009C5386">
        <w:t>Phone:</w:t>
      </w:r>
      <w:r w:rsidRPr="009C5386">
        <w:tab/>
        <w:t>(03) 9617 7600</w:t>
      </w:r>
    </w:p>
    <w:p w14:paraId="2EF53862" w14:textId="77777777" w:rsidR="00090A6F" w:rsidRPr="009C5386" w:rsidRDefault="00923261">
      <w:pPr>
        <w:pStyle w:val="CoverContact"/>
      </w:pPr>
      <w:r w:rsidRPr="009C5386">
        <w:t>E-mail:</w:t>
      </w:r>
      <w:r w:rsidRPr="009C5386">
        <w:tab/>
        <w:t>standard@aasb.gov</w:t>
      </w:r>
      <w:r w:rsidR="00090A6F" w:rsidRPr="009C5386">
        <w:t>.au</w:t>
      </w:r>
    </w:p>
    <w:p w14:paraId="1080CA84" w14:textId="77777777" w:rsidR="00276BC5" w:rsidRPr="009C5386" w:rsidRDefault="00276BC5" w:rsidP="00895809">
      <w:pPr>
        <w:pStyle w:val="NoNumPlain1"/>
        <w:spacing w:before="6240"/>
      </w:pPr>
      <w:r w:rsidRPr="009C5386">
        <w:t>COPYRIGHT</w:t>
      </w:r>
    </w:p>
    <w:p w14:paraId="37E5E54C" w14:textId="77777777" w:rsidR="00276BC5" w:rsidRPr="009C5386" w:rsidRDefault="00276BC5" w:rsidP="00276BC5">
      <w:pPr>
        <w:pStyle w:val="NoNumPlain1"/>
      </w:pPr>
      <w:r w:rsidRPr="009C5386">
        <w:t xml:space="preserve">© Commonwealth of Australia </w:t>
      </w:r>
      <w:bookmarkStart w:id="4" w:name="Year"/>
      <w:r w:rsidR="00216401" w:rsidRPr="009C5386">
        <w:t>2023</w:t>
      </w:r>
      <w:bookmarkEnd w:id="4"/>
    </w:p>
    <w:p w14:paraId="099A690F" w14:textId="223D3F50" w:rsidR="00276BC5" w:rsidRPr="009C5386" w:rsidRDefault="00276BC5" w:rsidP="00276BC5">
      <w:pPr>
        <w:pStyle w:val="NoNumPlain1"/>
      </w:pPr>
      <w:r w:rsidRPr="009C5386">
        <w:t>This AASB Standard contains IFRS Foundation copyright material.  Reproduction within Australia in unaltered form (retaining this notice) is permitted for personal and non</w:t>
      </w:r>
      <w:r w:rsidR="00895809" w:rsidRPr="009C5386">
        <w:t>-</w:t>
      </w:r>
      <w:r w:rsidRPr="009C5386">
        <w:t xml:space="preserve">commercial use subject to the inclusion of an acknowledgment of the source.  Requests and enquiries concerning reproduction and rights for commercial purposes within Australia should be addressed to The </w:t>
      </w:r>
      <w:r w:rsidR="00216401" w:rsidRPr="009C5386">
        <w:t xml:space="preserve">Managing </w:t>
      </w:r>
      <w:r w:rsidRPr="009C5386">
        <w:t xml:space="preserve">Director, Australian Accounting Standards Board, </w:t>
      </w:r>
      <w:r w:rsidR="00895809" w:rsidRPr="009C5386">
        <w:t>PO Box </w:t>
      </w:r>
      <w:r w:rsidRPr="009C5386">
        <w:t>204, Collins Street West, Victoria 8007.</w:t>
      </w:r>
    </w:p>
    <w:p w14:paraId="03BD0CC4" w14:textId="77777777" w:rsidR="00276BC5" w:rsidRPr="009C5386" w:rsidRDefault="00276BC5" w:rsidP="00895809">
      <w:pPr>
        <w:spacing w:after="200"/>
      </w:pPr>
      <w:r w:rsidRPr="009C5386">
        <w:t>All existing rights in this material are reserved outside Australia.</w:t>
      </w:r>
      <w:r w:rsidR="00895809" w:rsidRPr="009C5386">
        <w:t xml:space="preserve">  </w:t>
      </w:r>
      <w:r w:rsidRPr="009C5386">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069F640B" w14:textId="77777777" w:rsidR="007455F0" w:rsidRPr="009C5386" w:rsidRDefault="006D4700" w:rsidP="006D4700">
      <w:r w:rsidRPr="009C5386">
        <w:t xml:space="preserve">ISSN </w:t>
      </w:r>
      <w:bookmarkStart w:id="5" w:name="ISSN"/>
      <w:r w:rsidR="00216401" w:rsidRPr="009C5386">
        <w:t>1036-4803</w:t>
      </w:r>
      <w:bookmarkEnd w:id="5"/>
    </w:p>
    <w:p w14:paraId="2BCDAD40" w14:textId="77777777" w:rsidR="00090A6F" w:rsidRPr="009C5386" w:rsidRDefault="00090A6F">
      <w:pPr>
        <w:sectPr w:rsidR="00090A6F" w:rsidRPr="009C5386" w:rsidSect="00D74C6A">
          <w:footerReference w:type="default" r:id="rId17"/>
          <w:pgSz w:w="11907" w:h="16840" w:code="9"/>
          <w:pgMar w:top="1418" w:right="1418" w:bottom="1418" w:left="1418" w:header="709" w:footer="709" w:gutter="0"/>
          <w:paperSrc w:first="7" w:other="7"/>
          <w:cols w:space="720"/>
        </w:sectPr>
      </w:pPr>
    </w:p>
    <w:p w14:paraId="0C7C2D05" w14:textId="77777777" w:rsidR="00090A6F" w:rsidRPr="009C5386" w:rsidRDefault="005655CE">
      <w:pPr>
        <w:pStyle w:val="Heading1"/>
      </w:pPr>
      <w:r w:rsidRPr="009C5386">
        <w:lastRenderedPageBreak/>
        <w:t>Contents</w:t>
      </w:r>
    </w:p>
    <w:p w14:paraId="12D7D835" w14:textId="77777777" w:rsidR="00090A6F" w:rsidRPr="009C5386" w:rsidRDefault="00090A6F" w:rsidP="00FF7DC3">
      <w:pPr>
        <w:pStyle w:val="ContentsCapsPlain"/>
        <w:spacing w:before="400"/>
      </w:pPr>
      <w:r w:rsidRPr="009C5386">
        <w:t>Preface</w:t>
      </w:r>
    </w:p>
    <w:p w14:paraId="7D8E365A" w14:textId="77777777" w:rsidR="00090A6F" w:rsidRPr="009C5386" w:rsidRDefault="00090A6F">
      <w:pPr>
        <w:pStyle w:val="ContentsCapsBold"/>
      </w:pPr>
      <w:r w:rsidRPr="009C5386">
        <w:t>Accounting Standard</w:t>
      </w:r>
    </w:p>
    <w:p w14:paraId="53C81760" w14:textId="7082501D" w:rsidR="00090A6F" w:rsidRPr="009C5386" w:rsidRDefault="00090A6F" w:rsidP="00A214F2">
      <w:pPr>
        <w:pStyle w:val="ContentsCapsBold"/>
        <w:jc w:val="left"/>
        <w:rPr>
          <w:i/>
          <w:iCs/>
        </w:rPr>
      </w:pPr>
      <w:r w:rsidRPr="009C5386">
        <w:t xml:space="preserve">AASB </w:t>
      </w:r>
      <w:r w:rsidR="009C2479" w:rsidRPr="009C5386">
        <w:rPr>
          <w:iCs/>
        </w:rPr>
        <w:fldChar w:fldCharType="begin" w:fldLock="1"/>
      </w:r>
      <w:r w:rsidR="009C2479" w:rsidRPr="009C5386">
        <w:rPr>
          <w:iCs/>
        </w:rPr>
        <w:instrText xml:space="preserve"> REF DocNo \* charformat </w:instrText>
      </w:r>
      <w:r w:rsidR="009C2479" w:rsidRPr="009C5386">
        <w:rPr>
          <w:iCs/>
        </w:rPr>
        <w:fldChar w:fldCharType="separate"/>
      </w:r>
      <w:r w:rsidR="00194179" w:rsidRPr="00194179">
        <w:rPr>
          <w:iCs/>
        </w:rPr>
        <w:t>2023-5</w:t>
      </w:r>
      <w:r w:rsidR="009C2479" w:rsidRPr="009C5386">
        <w:rPr>
          <w:iCs/>
        </w:rPr>
        <w:fldChar w:fldCharType="end"/>
      </w:r>
      <w:r w:rsidRPr="009C5386">
        <w:t xml:space="preserve"> </w:t>
      </w:r>
      <w:r w:rsidR="00CC1DF4" w:rsidRPr="009C5386">
        <w:rPr>
          <w:i/>
        </w:rPr>
        <w:fldChar w:fldCharType="begin" w:fldLock="1"/>
      </w:r>
      <w:r w:rsidR="00CC1DF4" w:rsidRPr="009C5386">
        <w:rPr>
          <w:i/>
        </w:rPr>
        <w:instrText xml:space="preserve"> REF DocTitle \* charformat </w:instrText>
      </w:r>
      <w:r w:rsidR="00A214F2" w:rsidRPr="009C5386">
        <w:rPr>
          <w:i/>
        </w:rPr>
        <w:instrText xml:space="preserve"> \* MERGEFORMAT </w:instrText>
      </w:r>
      <w:r w:rsidR="00CC1DF4" w:rsidRPr="009C5386">
        <w:rPr>
          <w:i/>
        </w:rPr>
        <w:fldChar w:fldCharType="separate"/>
      </w:r>
      <w:r w:rsidR="00194179" w:rsidRPr="00194179">
        <w:rPr>
          <w:i/>
        </w:rPr>
        <w:t>Amendments to Australian Accounting Standards – Lack of Exchangeability</w:t>
      </w:r>
      <w:r w:rsidR="00CC1DF4" w:rsidRPr="009C5386">
        <w:rPr>
          <w:i/>
        </w:rPr>
        <w:fldChar w:fldCharType="end"/>
      </w:r>
    </w:p>
    <w:p w14:paraId="3E35A14E" w14:textId="77777777" w:rsidR="002B7803" w:rsidRPr="009C5386" w:rsidRDefault="002B7803" w:rsidP="002B7803"/>
    <w:p w14:paraId="2A7A089A" w14:textId="77777777" w:rsidR="00090A6F" w:rsidRPr="009C5386" w:rsidRDefault="009965BA">
      <w:pPr>
        <w:pStyle w:val="ContentsParaHead"/>
      </w:pPr>
      <w:r w:rsidRPr="009C5386">
        <w:t>from page</w:t>
      </w:r>
    </w:p>
    <w:p w14:paraId="26A8B890" w14:textId="3992D6A2" w:rsidR="00090A6F" w:rsidRPr="009C5386" w:rsidRDefault="00090A6F" w:rsidP="00FF7DC3">
      <w:pPr>
        <w:pStyle w:val="ContentsLevel1"/>
        <w:ind w:right="0"/>
      </w:pPr>
      <w:bookmarkStart w:id="6" w:name="TOCRange"/>
      <w:r w:rsidRPr="009C5386">
        <w:t>Objective</w:t>
      </w:r>
      <w:r w:rsidRPr="009C5386">
        <w:tab/>
      </w:r>
      <w:r w:rsidR="00000EF5">
        <w:t>5</w:t>
      </w:r>
    </w:p>
    <w:p w14:paraId="31BD4421" w14:textId="6FB709BC" w:rsidR="00090A6F" w:rsidRPr="009C5386" w:rsidRDefault="00090A6F" w:rsidP="00FF7DC3">
      <w:pPr>
        <w:pStyle w:val="ContentsLevel1"/>
        <w:ind w:right="0"/>
      </w:pPr>
      <w:r w:rsidRPr="009C5386">
        <w:t>Application</w:t>
      </w:r>
      <w:r w:rsidRPr="009C5386">
        <w:tab/>
      </w:r>
      <w:r w:rsidR="00000EF5">
        <w:t>5</w:t>
      </w:r>
    </w:p>
    <w:p w14:paraId="44EB7B55" w14:textId="0DB081F1" w:rsidR="00216401" w:rsidRPr="009C5386" w:rsidRDefault="00216401" w:rsidP="00FF7DC3">
      <w:pPr>
        <w:pStyle w:val="ContentsLevel1"/>
        <w:ind w:right="0"/>
      </w:pPr>
      <w:r w:rsidRPr="009C5386">
        <w:t>Amendments to AASB 1</w:t>
      </w:r>
      <w:r w:rsidRPr="009C5386">
        <w:tab/>
      </w:r>
      <w:r w:rsidR="00000EF5">
        <w:t>5</w:t>
      </w:r>
    </w:p>
    <w:p w14:paraId="18E74173" w14:textId="3C2A7CD9" w:rsidR="00216401" w:rsidRPr="009C5386" w:rsidRDefault="00216401">
      <w:pPr>
        <w:pStyle w:val="ContentsLevel1"/>
        <w:ind w:right="0"/>
      </w:pPr>
      <w:r w:rsidRPr="009C5386">
        <w:t>Amendments to AASB 121</w:t>
      </w:r>
      <w:r w:rsidRPr="009C5386">
        <w:tab/>
      </w:r>
      <w:r w:rsidR="00000EF5">
        <w:t>6</w:t>
      </w:r>
    </w:p>
    <w:p w14:paraId="434373E2" w14:textId="30BEF6E9" w:rsidR="001A4C98" w:rsidRPr="009C5386" w:rsidRDefault="001A4C98" w:rsidP="00FF7DC3">
      <w:pPr>
        <w:pStyle w:val="ContentsLevel1"/>
        <w:ind w:right="0"/>
      </w:pPr>
      <w:r w:rsidRPr="009C5386">
        <w:t>Amendments to AASB 1060</w:t>
      </w:r>
      <w:r w:rsidRPr="009C5386">
        <w:tab/>
      </w:r>
      <w:r w:rsidR="00000EF5">
        <w:t>12</w:t>
      </w:r>
    </w:p>
    <w:p w14:paraId="7AC69CE2" w14:textId="6037A53F" w:rsidR="00090A6F" w:rsidRPr="009C5386" w:rsidRDefault="00F52A16" w:rsidP="00F52A16">
      <w:pPr>
        <w:pStyle w:val="ContentsLevel1"/>
        <w:ind w:right="0"/>
        <w:jc w:val="both"/>
      </w:pPr>
      <w:r w:rsidRPr="009C5386">
        <w:t>COMMENCEMENT OF THE LEGISLATIVE INSTRUMENT</w:t>
      </w:r>
      <w:r w:rsidRPr="009C5386">
        <w:tab/>
      </w:r>
      <w:r w:rsidR="00755E40" w:rsidRPr="009C5386">
        <w:t xml:space="preserve"> </w:t>
      </w:r>
      <w:bookmarkStart w:id="7" w:name="ContentsMarker"/>
      <w:bookmarkEnd w:id="7"/>
      <w:r w:rsidR="00A17FD5">
        <w:t>12</w:t>
      </w:r>
    </w:p>
    <w:bookmarkEnd w:id="6"/>
    <w:p w14:paraId="307D8E93" w14:textId="77777777" w:rsidR="0034243B" w:rsidRPr="009C5386" w:rsidRDefault="0034243B" w:rsidP="00FF7DC3">
      <w:pPr>
        <w:pStyle w:val="ContentsCapsBold"/>
        <w:spacing w:before="400" w:after="60"/>
      </w:pPr>
      <w:r w:rsidRPr="009C5386">
        <w:t>aVailable on the AASB website</w:t>
      </w:r>
    </w:p>
    <w:p w14:paraId="3B991E1C" w14:textId="7774E416" w:rsidR="00A214F2" w:rsidRPr="009C5386" w:rsidRDefault="00A214F2" w:rsidP="00A214F2">
      <w:pPr>
        <w:pStyle w:val="ContentsCapsBoldPg"/>
        <w:spacing w:after="60"/>
      </w:pPr>
      <w:r w:rsidRPr="009C5386">
        <w:t>Illustrative examples</w:t>
      </w:r>
      <w:r w:rsidR="00F52A16" w:rsidRPr="009C5386">
        <w:t xml:space="preserve"> for IAS 21</w:t>
      </w:r>
    </w:p>
    <w:p w14:paraId="5BD37CA3" w14:textId="309E1505" w:rsidR="0034243B" w:rsidRPr="009C5386" w:rsidRDefault="0034243B" w:rsidP="0034243B">
      <w:pPr>
        <w:pStyle w:val="ContentsCapsBoldPg"/>
      </w:pPr>
      <w:r w:rsidRPr="009C5386">
        <w:t xml:space="preserve">IASB </w:t>
      </w:r>
      <w:r w:rsidR="00216401" w:rsidRPr="009C5386">
        <w:t>Bases</w:t>
      </w:r>
      <w:r w:rsidRPr="009C5386">
        <w:t xml:space="preserve"> for Conclusions – Amendments</w:t>
      </w:r>
    </w:p>
    <w:p w14:paraId="5B614DE2" w14:textId="77777777" w:rsidR="0034243B" w:rsidRPr="009C5386" w:rsidRDefault="0034243B" w:rsidP="0034243B">
      <w:pPr>
        <w:pStyle w:val="ContentsCapsBoldPg"/>
      </w:pPr>
    </w:p>
    <w:p w14:paraId="3EF5BAAF" w14:textId="5B5775CC" w:rsidR="00090A6F" w:rsidRPr="009C5386" w:rsidRDefault="00090A6F">
      <w:pPr>
        <w:pStyle w:val="ContentsBox"/>
      </w:pPr>
      <w:r w:rsidRPr="009C5386">
        <w:t xml:space="preserve">Australian Accounting Standard AASB </w:t>
      </w:r>
      <w:r w:rsidR="00BC0D5D" w:rsidRPr="009C5386">
        <w:rPr>
          <w:iCs/>
        </w:rPr>
        <w:fldChar w:fldCharType="begin" w:fldLock="1"/>
      </w:r>
      <w:r w:rsidR="00BC0D5D" w:rsidRPr="009C5386">
        <w:rPr>
          <w:iCs/>
        </w:rPr>
        <w:instrText xml:space="preserve"> REF </w:instrText>
      </w:r>
      <w:r w:rsidR="009C2479" w:rsidRPr="009C5386">
        <w:rPr>
          <w:iCs/>
        </w:rPr>
        <w:instrText>Doc</w:instrText>
      </w:r>
      <w:r w:rsidR="00BC0D5D" w:rsidRPr="009C5386">
        <w:rPr>
          <w:iCs/>
        </w:rPr>
        <w:instrText xml:space="preserve">No \* charformat </w:instrText>
      </w:r>
      <w:r w:rsidR="00BC0D5D" w:rsidRPr="009C5386">
        <w:rPr>
          <w:iCs/>
        </w:rPr>
        <w:fldChar w:fldCharType="separate"/>
      </w:r>
      <w:r w:rsidR="00194179" w:rsidRPr="00194179">
        <w:rPr>
          <w:iCs/>
        </w:rPr>
        <w:t>2023-5</w:t>
      </w:r>
      <w:r w:rsidR="00BC0D5D" w:rsidRPr="009C5386">
        <w:rPr>
          <w:iCs/>
        </w:rPr>
        <w:fldChar w:fldCharType="end"/>
      </w:r>
      <w:r w:rsidRPr="009C5386">
        <w:t xml:space="preserve"> </w:t>
      </w:r>
      <w:r w:rsidR="00CC1DF4" w:rsidRPr="009C5386">
        <w:rPr>
          <w:i/>
        </w:rPr>
        <w:fldChar w:fldCharType="begin" w:fldLock="1"/>
      </w:r>
      <w:r w:rsidR="00CC1DF4" w:rsidRPr="009C5386">
        <w:rPr>
          <w:i/>
        </w:rPr>
        <w:instrText xml:space="preserve"> REF DocTitle \* charformat </w:instrText>
      </w:r>
      <w:r w:rsidR="00CC1DF4" w:rsidRPr="009C5386">
        <w:rPr>
          <w:i/>
        </w:rPr>
        <w:fldChar w:fldCharType="separate"/>
      </w:r>
      <w:r w:rsidR="00194179" w:rsidRPr="00194179">
        <w:rPr>
          <w:i/>
        </w:rPr>
        <w:t>Amendments to Australian Accounting Standards – Lack of Exchangeability</w:t>
      </w:r>
      <w:r w:rsidR="00CC1DF4" w:rsidRPr="009C5386">
        <w:rPr>
          <w:i/>
        </w:rPr>
        <w:fldChar w:fldCharType="end"/>
      </w:r>
      <w:r w:rsidRPr="009C5386">
        <w:rPr>
          <w:i/>
          <w:iCs/>
        </w:rPr>
        <w:t xml:space="preserve"> </w:t>
      </w:r>
      <w:r w:rsidRPr="009C5386">
        <w:t xml:space="preserve">is set out </w:t>
      </w:r>
      <w:r w:rsidR="005655CE" w:rsidRPr="009C5386">
        <w:t>o</w:t>
      </w:r>
      <w:r w:rsidRPr="009C5386">
        <w:t xml:space="preserve">n </w:t>
      </w:r>
      <w:r w:rsidR="005655CE" w:rsidRPr="009C5386">
        <w:t>pages</w:t>
      </w:r>
      <w:r w:rsidR="00E3261E">
        <w:t xml:space="preserve"> 5</w:t>
      </w:r>
      <w:r w:rsidR="00D95C0B">
        <w:t>–</w:t>
      </w:r>
      <w:r w:rsidR="00ED3AA0">
        <w:t>1</w:t>
      </w:r>
      <w:r w:rsidR="002534EA">
        <w:t>2</w:t>
      </w:r>
      <w:r w:rsidR="00ED3AA0">
        <w:t>.</w:t>
      </w:r>
      <w:r w:rsidRPr="009C5386">
        <w:t xml:space="preserve"> All the pa</w:t>
      </w:r>
      <w:r w:rsidR="009C2479" w:rsidRPr="009C5386">
        <w:t>ragraphs have equal authority.</w:t>
      </w:r>
    </w:p>
    <w:p w14:paraId="74078E68" w14:textId="77777777" w:rsidR="00090A6F" w:rsidRPr="009C5386" w:rsidRDefault="00090A6F" w:rsidP="00F52A16">
      <w:pPr>
        <w:pStyle w:val="ContentsBox"/>
        <w:pBdr>
          <w:top w:val="none" w:sz="0" w:space="0" w:color="auto"/>
          <w:left w:val="none" w:sz="0" w:space="0" w:color="auto"/>
          <w:bottom w:val="none" w:sz="0" w:space="0" w:color="auto"/>
          <w:right w:val="none" w:sz="0" w:space="0" w:color="auto"/>
        </w:pBdr>
        <w:spacing w:after="0"/>
      </w:pPr>
    </w:p>
    <w:p w14:paraId="60EF2CE2" w14:textId="77777777" w:rsidR="00090A6F" w:rsidRPr="009C5386" w:rsidRDefault="00090A6F" w:rsidP="00F52A16">
      <w:pPr>
        <w:sectPr w:rsidR="00090A6F" w:rsidRPr="009C5386" w:rsidSect="00D74C6A">
          <w:footerReference w:type="default" r:id="rId18"/>
          <w:pgSz w:w="11907" w:h="16840" w:code="9"/>
          <w:pgMar w:top="1418" w:right="1418" w:bottom="1418" w:left="1418" w:header="709" w:footer="709" w:gutter="0"/>
          <w:paperSrc w:first="7" w:other="7"/>
          <w:cols w:space="720"/>
        </w:sectPr>
      </w:pPr>
    </w:p>
    <w:p w14:paraId="5299B2BE" w14:textId="77777777" w:rsidR="00090A6F" w:rsidRPr="009C5386" w:rsidRDefault="00090A6F">
      <w:pPr>
        <w:pStyle w:val="Heading1"/>
      </w:pPr>
      <w:r w:rsidRPr="009C5386">
        <w:lastRenderedPageBreak/>
        <w:t>Preface</w:t>
      </w:r>
    </w:p>
    <w:p w14:paraId="6D6AF84A" w14:textId="595110BF" w:rsidR="000F64CC" w:rsidRPr="009C5386" w:rsidRDefault="00CA61C5" w:rsidP="00FF7DC3">
      <w:pPr>
        <w:pStyle w:val="Heading2"/>
        <w:spacing w:before="400"/>
      </w:pPr>
      <w:r w:rsidRPr="009C5386">
        <w:t xml:space="preserve">Standards amended by AASB </w:t>
      </w:r>
      <w:r w:rsidRPr="009C5386">
        <w:fldChar w:fldCharType="begin" w:fldLock="1"/>
      </w:r>
      <w:r w:rsidRPr="009C5386">
        <w:instrText xml:space="preserve"> REF DocNo \* charformat</w:instrText>
      </w:r>
      <w:r w:rsidRPr="009C5386">
        <w:fldChar w:fldCharType="separate"/>
      </w:r>
      <w:r w:rsidR="00194179">
        <w:t>2023-5</w:t>
      </w:r>
      <w:r w:rsidRPr="009C5386">
        <w:fldChar w:fldCharType="end"/>
      </w:r>
    </w:p>
    <w:p w14:paraId="3BC423D9" w14:textId="4C8FE9CB" w:rsidR="008A16EB" w:rsidRPr="009C5386" w:rsidRDefault="009C2479" w:rsidP="005A2514">
      <w:pPr>
        <w:pStyle w:val="NoNumPlain1"/>
      </w:pPr>
      <w:r w:rsidRPr="009C5386">
        <w:t>This Standard makes amendments to</w:t>
      </w:r>
      <w:r w:rsidR="00F52A16" w:rsidRPr="009C5386">
        <w:t xml:space="preserve"> AASB 1 </w:t>
      </w:r>
      <w:r w:rsidR="00F52A16" w:rsidRPr="009C5386">
        <w:rPr>
          <w:i/>
        </w:rPr>
        <w:t xml:space="preserve">First-time Adoption of Australian Accounting Standards </w:t>
      </w:r>
      <w:r w:rsidR="00F52A16" w:rsidRPr="009C5386">
        <w:rPr>
          <w:iCs/>
        </w:rPr>
        <w:t>(July 2015)</w:t>
      </w:r>
      <w:r w:rsidR="000E4F9C" w:rsidRPr="009C5386">
        <w:rPr>
          <w:iCs/>
        </w:rPr>
        <w:t>,</w:t>
      </w:r>
      <w:r w:rsidR="00F52A16" w:rsidRPr="009C5386">
        <w:rPr>
          <w:iCs/>
        </w:rPr>
        <w:t xml:space="preserve"> </w:t>
      </w:r>
      <w:r w:rsidR="00F52A16" w:rsidRPr="009C5386">
        <w:t xml:space="preserve">AASB 121 </w:t>
      </w:r>
      <w:r w:rsidR="00F52A16" w:rsidRPr="009C5386">
        <w:rPr>
          <w:i/>
        </w:rPr>
        <w:t>The Effects of Changes in Foreign Exchange Rates</w:t>
      </w:r>
      <w:r w:rsidR="00F52A16" w:rsidRPr="009C5386">
        <w:rPr>
          <w:iCs/>
        </w:rPr>
        <w:t xml:space="preserve"> (August 2015)</w:t>
      </w:r>
      <w:r w:rsidR="000E4F9C" w:rsidRPr="009C5386">
        <w:rPr>
          <w:iCs/>
        </w:rPr>
        <w:t xml:space="preserve"> and </w:t>
      </w:r>
      <w:r w:rsidR="000E4F9C" w:rsidRPr="009C5386">
        <w:t xml:space="preserve">AASB 1060 </w:t>
      </w:r>
      <w:r w:rsidR="000E4F9C" w:rsidRPr="009C5386">
        <w:rPr>
          <w:i/>
          <w:iCs/>
        </w:rPr>
        <w:t>General Purpose Financial Statements – Simplified Disclosures for For-Profit and Not-For-Profit Tier 2 Entities</w:t>
      </w:r>
      <w:r w:rsidR="000E4F9C" w:rsidRPr="009C5386">
        <w:t xml:space="preserve"> (March 2020)</w:t>
      </w:r>
      <w:r w:rsidR="005A2514" w:rsidRPr="009C5386">
        <w:t>.</w:t>
      </w:r>
    </w:p>
    <w:p w14:paraId="0BCB976C" w14:textId="50631027" w:rsidR="008A16EB" w:rsidRPr="009C5386" w:rsidRDefault="00401ECA" w:rsidP="00401ECA">
      <w:pPr>
        <w:pStyle w:val="NoNumPlain1"/>
      </w:pPr>
      <w:r w:rsidRPr="009C5386">
        <w:t xml:space="preserve">These </w:t>
      </w:r>
      <w:r w:rsidR="00460FBB" w:rsidRPr="009C5386">
        <w:t>a</w:t>
      </w:r>
      <w:r w:rsidRPr="009C5386">
        <w:t>mendments arise from</w:t>
      </w:r>
      <w:r w:rsidR="00D00FD5" w:rsidRPr="009C5386">
        <w:t xml:space="preserve"> the issuance of </w:t>
      </w:r>
      <w:r w:rsidR="008A16EB" w:rsidRPr="009C5386">
        <w:t xml:space="preserve">International Financial Reporting Standard </w:t>
      </w:r>
      <w:bookmarkStart w:id="8" w:name="ArisingTitle"/>
      <w:r w:rsidR="00216401" w:rsidRPr="009C5386">
        <w:rPr>
          <w:i/>
        </w:rPr>
        <w:t>Lack of Exchangeability</w:t>
      </w:r>
      <w:bookmarkEnd w:id="8"/>
      <w:r w:rsidR="008A16EB" w:rsidRPr="009C5386">
        <w:t xml:space="preserve"> </w:t>
      </w:r>
      <w:r w:rsidR="007B49DC" w:rsidRPr="009C5386">
        <w:t xml:space="preserve">(Amendments to IAS 21) </w:t>
      </w:r>
      <w:r w:rsidR="008A16EB" w:rsidRPr="009C5386">
        <w:t xml:space="preserve">by the International Accounting Standards Board (IASB) in </w:t>
      </w:r>
      <w:bookmarkStart w:id="9" w:name="ArisingDate"/>
      <w:r w:rsidR="00A15CF2" w:rsidRPr="009C5386">
        <w:t>August 2023</w:t>
      </w:r>
      <w:bookmarkEnd w:id="9"/>
      <w:r w:rsidR="008A16EB" w:rsidRPr="009C5386">
        <w:t>.</w:t>
      </w:r>
    </w:p>
    <w:p w14:paraId="793EB882" w14:textId="77777777" w:rsidR="00090A6F" w:rsidRPr="009C5386" w:rsidRDefault="00F22AF2" w:rsidP="00FF7DC3">
      <w:pPr>
        <w:pStyle w:val="Heading2"/>
        <w:spacing w:before="400"/>
      </w:pPr>
      <w:r w:rsidRPr="009C5386">
        <w:t>Main features of this Standard</w:t>
      </w:r>
    </w:p>
    <w:p w14:paraId="763957C6" w14:textId="77777777" w:rsidR="00F22AF2" w:rsidRPr="009C5386" w:rsidRDefault="00F22AF2" w:rsidP="00FF7DC3">
      <w:pPr>
        <w:pStyle w:val="Heading2Indent1"/>
        <w:ind w:left="782"/>
      </w:pPr>
      <w:r w:rsidRPr="009C5386">
        <w:t>Main requirements</w:t>
      </w:r>
    </w:p>
    <w:p w14:paraId="799048F4" w14:textId="6164E3DC" w:rsidR="00EE11B3" w:rsidRPr="009C5386" w:rsidRDefault="00F148AC" w:rsidP="00EE11B3">
      <w:pPr>
        <w:pStyle w:val="Heading2Indent1"/>
        <w:ind w:left="0"/>
        <w:rPr>
          <w:rFonts w:ascii="Times New Roman" w:hAnsi="Times New Roman" w:cs="Times New Roman"/>
          <w:b w:val="0"/>
          <w:iCs w:val="0"/>
          <w:sz w:val="19"/>
          <w:szCs w:val="20"/>
        </w:rPr>
      </w:pPr>
      <w:r w:rsidRPr="009C5386">
        <w:rPr>
          <w:rFonts w:ascii="Times New Roman" w:hAnsi="Times New Roman" w:cs="Times New Roman"/>
          <w:b w:val="0"/>
          <w:iCs w:val="0"/>
          <w:sz w:val="19"/>
          <w:szCs w:val="20"/>
        </w:rPr>
        <w:t>This Standard amends AASB 121 and AASB 1 to improve the usefulness of information provided to users of financial statements. The amendments require entities to apply a consistent approach to determining whether a currency is exchangeable into another currency and the spot exchange rate to use when it is not</w:t>
      </w:r>
      <w:r w:rsidR="00D74AD0" w:rsidRPr="009C5386">
        <w:rPr>
          <w:rFonts w:ascii="Times New Roman" w:hAnsi="Times New Roman" w:cs="Times New Roman"/>
          <w:b w:val="0"/>
          <w:iCs w:val="0"/>
          <w:sz w:val="19"/>
          <w:szCs w:val="20"/>
        </w:rPr>
        <w:t xml:space="preserve"> exchangeable</w:t>
      </w:r>
      <w:r w:rsidRPr="009C5386">
        <w:rPr>
          <w:rFonts w:ascii="Times New Roman" w:hAnsi="Times New Roman" w:cs="Times New Roman"/>
          <w:b w:val="0"/>
          <w:iCs w:val="0"/>
          <w:sz w:val="19"/>
          <w:szCs w:val="20"/>
        </w:rPr>
        <w:t>.</w:t>
      </w:r>
    </w:p>
    <w:p w14:paraId="7F9BC752" w14:textId="3A08EE6C" w:rsidR="001A4C98" w:rsidRPr="009C5386" w:rsidRDefault="001A4C98" w:rsidP="001A4C98">
      <w:r w:rsidRPr="009C5386">
        <w:t>The Standard also amends AASB 121 to extend the exemption from complying with the disclosure requirements of AASB 121 for entities that apply AASB 1060 to ensure Tier 2 entities are not required to comply with the new disclosure requirements in AASB 121 when preparing their Tier 2 financial statements.</w:t>
      </w:r>
    </w:p>
    <w:p w14:paraId="5C7821D8" w14:textId="2F58B7CF" w:rsidR="00F22AF2" w:rsidRPr="009C5386" w:rsidRDefault="00F22AF2" w:rsidP="00FF7DC3">
      <w:pPr>
        <w:pStyle w:val="Heading2Indent1"/>
        <w:ind w:left="782"/>
      </w:pPr>
      <w:r w:rsidRPr="009C5386">
        <w:t>Application date</w:t>
      </w:r>
    </w:p>
    <w:p w14:paraId="07B74246" w14:textId="23EC53BF" w:rsidR="00F22AF2" w:rsidRPr="009C5386" w:rsidRDefault="00B16904" w:rsidP="00F22AF2">
      <w:pPr>
        <w:pStyle w:val="NoNumPlain1"/>
      </w:pPr>
      <w:r w:rsidRPr="009C5386">
        <w:t xml:space="preserve">This Standard applies to annual periods </w:t>
      </w:r>
      <w:bookmarkStart w:id="10" w:name="ApplyText"/>
      <w:r w:rsidRPr="009C5386">
        <w:t>beginning</w:t>
      </w:r>
      <w:bookmarkEnd w:id="10"/>
      <w:r w:rsidRPr="009C5386">
        <w:t xml:space="preserve"> on or after</w:t>
      </w:r>
      <w:r w:rsidR="00867FB0" w:rsidRPr="009C5386">
        <w:t xml:space="preserve"> </w:t>
      </w:r>
      <w:bookmarkStart w:id="11" w:name="ApplyDate"/>
      <w:r w:rsidR="00216401" w:rsidRPr="009C5386">
        <w:t>1 January 2025</w:t>
      </w:r>
      <w:bookmarkEnd w:id="11"/>
      <w:r w:rsidRPr="009C5386">
        <w:t>. Earlier application is permitted</w:t>
      </w:r>
      <w:bookmarkStart w:id="12" w:name="EarlyWord"/>
      <w:r w:rsidR="001A0C8F" w:rsidRPr="009C5386">
        <w:t xml:space="preserve"> for </w:t>
      </w:r>
      <w:bookmarkStart w:id="13" w:name="EarlyText"/>
      <w:bookmarkEnd w:id="12"/>
      <w:r w:rsidR="001A0C8F" w:rsidRPr="009C5386">
        <w:t xml:space="preserve">annual periods </w:t>
      </w:r>
      <w:bookmarkStart w:id="14" w:name="EarlyStartEnd"/>
      <w:r w:rsidR="001A0C8F" w:rsidRPr="009C5386">
        <w:t>beginning</w:t>
      </w:r>
      <w:bookmarkEnd w:id="14"/>
      <w:r w:rsidR="001A0C8F" w:rsidRPr="009C5386">
        <w:t xml:space="preserve"> before </w:t>
      </w:r>
      <w:fldSimple w:instr=" REF ApplyDate  \* charformat  " w:fldLock="1">
        <w:r w:rsidR="00194179" w:rsidRPr="009C5386">
          <w:t>1 January 2025</w:t>
        </w:r>
      </w:fldSimple>
      <w:bookmarkEnd w:id="13"/>
      <w:r w:rsidRPr="009C5386">
        <w:t>.</w:t>
      </w:r>
    </w:p>
    <w:p w14:paraId="1C763300" w14:textId="77777777" w:rsidR="00F22AF2" w:rsidRPr="009C5386" w:rsidRDefault="00F22AF2"/>
    <w:p w14:paraId="7D8F49FC" w14:textId="77777777" w:rsidR="00090A6F" w:rsidRPr="009C5386" w:rsidRDefault="00090A6F">
      <w:pPr>
        <w:sectPr w:rsidR="00090A6F" w:rsidRPr="009C5386" w:rsidSect="00D74C6A">
          <w:footerReference w:type="default" r:id="rId19"/>
          <w:pgSz w:w="11907" w:h="16840" w:code="9"/>
          <w:pgMar w:top="1418" w:right="1418" w:bottom="1418" w:left="1418" w:header="709" w:footer="709" w:gutter="0"/>
          <w:paperSrc w:first="7" w:other="7"/>
          <w:cols w:space="720"/>
        </w:sectPr>
      </w:pPr>
    </w:p>
    <w:p w14:paraId="7D163138" w14:textId="23962F60" w:rsidR="001662B8" w:rsidRPr="009C5386" w:rsidRDefault="00F13C5A" w:rsidP="001662B8">
      <w:pPr>
        <w:pStyle w:val="Heading1"/>
      </w:pPr>
      <w:r w:rsidRPr="009C5386">
        <w:lastRenderedPageBreak/>
        <w:t xml:space="preserve">Accounting Standard </w:t>
      </w:r>
      <w:r w:rsidR="001662B8" w:rsidRPr="009C5386">
        <w:t xml:space="preserve">AASB </w:t>
      </w:r>
      <w:r w:rsidR="001662B8" w:rsidRPr="009C5386">
        <w:rPr>
          <w:iCs/>
        </w:rPr>
        <w:fldChar w:fldCharType="begin" w:fldLock="1"/>
      </w:r>
      <w:r w:rsidR="001662B8" w:rsidRPr="009C5386">
        <w:rPr>
          <w:iCs/>
        </w:rPr>
        <w:instrText xml:space="preserve"> REF DocNo \* charformat </w:instrText>
      </w:r>
      <w:r w:rsidR="001662B8" w:rsidRPr="009C5386">
        <w:rPr>
          <w:iCs/>
        </w:rPr>
        <w:fldChar w:fldCharType="separate"/>
      </w:r>
      <w:r w:rsidR="00194179" w:rsidRPr="00194179">
        <w:rPr>
          <w:iCs/>
        </w:rPr>
        <w:t>2023-5</w:t>
      </w:r>
      <w:r w:rsidR="001662B8" w:rsidRPr="009C5386">
        <w:rPr>
          <w:iCs/>
        </w:rPr>
        <w:fldChar w:fldCharType="end"/>
      </w:r>
    </w:p>
    <w:p w14:paraId="576B281B" w14:textId="54861DFE" w:rsidR="001662B8" w:rsidRPr="009C5386" w:rsidRDefault="001662B8" w:rsidP="003E1900">
      <w:pPr>
        <w:pStyle w:val="NoNumPlain1"/>
      </w:pPr>
      <w:r w:rsidRPr="009C5386">
        <w:t>The Australian Accounting Standards Board makes Accounting Standard AASB </w:t>
      </w:r>
      <w:fldSimple w:instr=" REF DocNo  \* charformat " w:fldLock="1">
        <w:r w:rsidR="00194179">
          <w:t>2023-5</w:t>
        </w:r>
      </w:fldSimple>
      <w:r w:rsidRPr="009C5386">
        <w:t xml:space="preserve"> </w:t>
      </w:r>
      <w:r w:rsidR="00CC1DF4" w:rsidRPr="009C5386">
        <w:rPr>
          <w:i/>
        </w:rPr>
        <w:fldChar w:fldCharType="begin" w:fldLock="1"/>
      </w:r>
      <w:r w:rsidR="00CC1DF4" w:rsidRPr="009C5386">
        <w:rPr>
          <w:i/>
        </w:rPr>
        <w:instrText xml:space="preserve"> REF DocTitle \* charformat </w:instrText>
      </w:r>
      <w:r w:rsidR="00CC1DF4" w:rsidRPr="009C5386">
        <w:rPr>
          <w:i/>
        </w:rPr>
        <w:fldChar w:fldCharType="separate"/>
      </w:r>
      <w:r w:rsidR="00194179" w:rsidRPr="00194179">
        <w:rPr>
          <w:i/>
        </w:rPr>
        <w:t>Amendments to Australian Accounting Standards – Lack of Exchangeability</w:t>
      </w:r>
      <w:r w:rsidR="00CC1DF4" w:rsidRPr="009C5386">
        <w:rPr>
          <w:i/>
        </w:rPr>
        <w:fldChar w:fldCharType="end"/>
      </w:r>
      <w:bookmarkStart w:id="15" w:name="CorpsAct"/>
      <w:r w:rsidR="002B7803" w:rsidRPr="009C5386">
        <w:rPr>
          <w:i/>
          <w:iCs/>
        </w:rPr>
        <w:t xml:space="preserve"> </w:t>
      </w:r>
      <w:r w:rsidRPr="009C5386">
        <w:t xml:space="preserve">under section 334 of the </w:t>
      </w:r>
      <w:r w:rsidRPr="009C5386">
        <w:rPr>
          <w:i/>
          <w:iCs/>
        </w:rPr>
        <w:t>Corporations Act 2001</w:t>
      </w:r>
      <w:bookmarkEnd w:id="15"/>
      <w:r w:rsidRPr="009C5386">
        <w:t>.</w:t>
      </w:r>
    </w:p>
    <w:tbl>
      <w:tblPr>
        <w:tblW w:w="9322" w:type="dxa"/>
        <w:tblInd w:w="-108"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9C5386" w14:paraId="7F1583AC" w14:textId="77777777" w:rsidTr="000A13E1">
        <w:tc>
          <w:tcPr>
            <w:tcW w:w="4361" w:type="dxa"/>
          </w:tcPr>
          <w:p w14:paraId="44EE69E7" w14:textId="77777777" w:rsidR="00C03C7B" w:rsidRPr="009C5386" w:rsidRDefault="00C03C7B" w:rsidP="0048155F"/>
        </w:tc>
        <w:tc>
          <w:tcPr>
            <w:tcW w:w="4961" w:type="dxa"/>
          </w:tcPr>
          <w:p w14:paraId="09619172" w14:textId="4808DBE6" w:rsidR="00C03C7B" w:rsidRPr="009C5386" w:rsidRDefault="000A13E1" w:rsidP="0048155F">
            <w:pPr>
              <w:jc w:val="right"/>
            </w:pPr>
            <w:r w:rsidRPr="009C5386">
              <w:t>Keith Kendall</w:t>
            </w:r>
          </w:p>
        </w:tc>
      </w:tr>
      <w:tr w:rsidR="00C03C7B" w:rsidRPr="009C5386" w14:paraId="4F7E0E2E" w14:textId="77777777" w:rsidTr="000A13E1">
        <w:tc>
          <w:tcPr>
            <w:tcW w:w="4361" w:type="dxa"/>
          </w:tcPr>
          <w:p w14:paraId="776965B3" w14:textId="6A0C9471" w:rsidR="00C03C7B" w:rsidRPr="009C5386" w:rsidRDefault="00C03C7B" w:rsidP="0048155F">
            <w:r w:rsidRPr="009C5386">
              <w:t>Dated</w:t>
            </w:r>
            <w:r w:rsidR="00095BF1" w:rsidRPr="009C5386">
              <w:t xml:space="preserve"> </w:t>
            </w:r>
            <w:bookmarkStart w:id="16" w:name="DateSigned"/>
            <w:r w:rsidR="00194179">
              <w:t>9 October 2023</w:t>
            </w:r>
            <w:bookmarkEnd w:id="16"/>
          </w:p>
        </w:tc>
        <w:tc>
          <w:tcPr>
            <w:tcW w:w="4961" w:type="dxa"/>
          </w:tcPr>
          <w:p w14:paraId="216F8CEC" w14:textId="77777777" w:rsidR="00C03C7B" w:rsidRPr="009C5386" w:rsidRDefault="00C03C7B" w:rsidP="0048155F">
            <w:pPr>
              <w:jc w:val="right"/>
            </w:pPr>
            <w:r w:rsidRPr="009C5386">
              <w:t>Chair – AASB</w:t>
            </w:r>
          </w:p>
        </w:tc>
      </w:tr>
    </w:tbl>
    <w:p w14:paraId="31F2C963" w14:textId="31DB98A0" w:rsidR="00090A6F" w:rsidRPr="009C5386" w:rsidRDefault="00F13C5A" w:rsidP="00867FB0">
      <w:pPr>
        <w:pStyle w:val="Heading1"/>
        <w:spacing w:after="0"/>
      </w:pPr>
      <w:r w:rsidRPr="009C5386">
        <w:t xml:space="preserve">Accounting Standard </w:t>
      </w:r>
      <w:r w:rsidR="00090A6F" w:rsidRPr="009C5386">
        <w:t xml:space="preserve">AASB </w:t>
      </w:r>
      <w:r w:rsidR="00BC0D5D" w:rsidRPr="009C5386">
        <w:rPr>
          <w:iCs/>
        </w:rPr>
        <w:fldChar w:fldCharType="begin" w:fldLock="1"/>
      </w:r>
      <w:r w:rsidR="00BC0D5D" w:rsidRPr="009C5386">
        <w:rPr>
          <w:iCs/>
        </w:rPr>
        <w:instrText xml:space="preserve"> REF </w:instrText>
      </w:r>
      <w:r w:rsidR="001662B8" w:rsidRPr="009C5386">
        <w:rPr>
          <w:iCs/>
        </w:rPr>
        <w:instrText>Doc</w:instrText>
      </w:r>
      <w:r w:rsidR="00BC0D5D" w:rsidRPr="009C5386">
        <w:rPr>
          <w:iCs/>
        </w:rPr>
        <w:instrText xml:space="preserve">No \* charformat </w:instrText>
      </w:r>
      <w:r w:rsidR="00BC0D5D" w:rsidRPr="009C5386">
        <w:rPr>
          <w:iCs/>
        </w:rPr>
        <w:fldChar w:fldCharType="separate"/>
      </w:r>
      <w:r w:rsidR="00194179" w:rsidRPr="00194179">
        <w:rPr>
          <w:iCs/>
        </w:rPr>
        <w:t>2023-5</w:t>
      </w:r>
      <w:r w:rsidR="00BC0D5D" w:rsidRPr="009C5386">
        <w:rPr>
          <w:iCs/>
        </w:rPr>
        <w:fldChar w:fldCharType="end"/>
      </w:r>
    </w:p>
    <w:p w14:paraId="4A24AA2A" w14:textId="2D66CAF2" w:rsidR="00090A6F" w:rsidRPr="009C5386" w:rsidRDefault="00CC1DF4" w:rsidP="003E1900">
      <w:pPr>
        <w:pStyle w:val="Heading1Italic"/>
        <w:spacing w:before="0"/>
      </w:pPr>
      <w:r w:rsidRPr="009C5386">
        <w:fldChar w:fldCharType="begin" w:fldLock="1"/>
      </w:r>
      <w:r w:rsidRPr="009C5386">
        <w:instrText xml:space="preserve"> REF DocTitle \* charformat</w:instrText>
      </w:r>
      <w:r w:rsidRPr="009C5386">
        <w:fldChar w:fldCharType="separate"/>
      </w:r>
      <w:r w:rsidR="00194179" w:rsidRPr="009C5386">
        <w:t>Amendments to Australian Accounting Standards – Lack of Exchangeability</w:t>
      </w:r>
      <w:r w:rsidRPr="009C5386">
        <w:fldChar w:fldCharType="end"/>
      </w:r>
    </w:p>
    <w:p w14:paraId="7BA0E6DE" w14:textId="77777777" w:rsidR="00090A6F" w:rsidRPr="009C5386" w:rsidRDefault="00090A6F" w:rsidP="00FF7DC3">
      <w:pPr>
        <w:pStyle w:val="Heading2"/>
        <w:spacing w:before="400"/>
      </w:pPr>
      <w:bookmarkStart w:id="17" w:name="TOCStart"/>
      <w:bookmarkEnd w:id="17"/>
      <w:r w:rsidRPr="009C5386">
        <w:t>Objective</w:t>
      </w:r>
    </w:p>
    <w:p w14:paraId="66C5DC24" w14:textId="77777777" w:rsidR="00090A6F" w:rsidRPr="009C5386" w:rsidRDefault="00867FB0" w:rsidP="005A6AC7">
      <w:pPr>
        <w:pStyle w:val="NoNumPlain1"/>
      </w:pPr>
      <w:r w:rsidRPr="009C5386">
        <w:t>This</w:t>
      </w:r>
      <w:r w:rsidR="001662B8" w:rsidRPr="009C5386">
        <w:t xml:space="preserve"> Standard </w:t>
      </w:r>
      <w:r w:rsidRPr="009C5386">
        <w:t>amends</w:t>
      </w:r>
      <w:r w:rsidR="001662B8" w:rsidRPr="009C5386">
        <w:t>:</w:t>
      </w:r>
    </w:p>
    <w:p w14:paraId="4F9B36E8" w14:textId="00066815" w:rsidR="00216401" w:rsidRPr="009C5386" w:rsidRDefault="00216401" w:rsidP="00FF7DC3">
      <w:pPr>
        <w:pStyle w:val="NumPlainA"/>
        <w:tabs>
          <w:tab w:val="clear" w:pos="510"/>
        </w:tabs>
        <w:ind w:left="782" w:hanging="782"/>
      </w:pPr>
      <w:r w:rsidRPr="009C5386">
        <w:t xml:space="preserve">AASB 1 </w:t>
      </w:r>
      <w:r w:rsidRPr="009C5386">
        <w:rPr>
          <w:i/>
        </w:rPr>
        <w:t>First-time Adoption of Australian Accounting Standards</w:t>
      </w:r>
      <w:r w:rsidR="00DD590E" w:rsidRPr="009C5386">
        <w:rPr>
          <w:iCs/>
        </w:rPr>
        <w:t xml:space="preserve"> (July 2015)</w:t>
      </w:r>
      <w:r w:rsidRPr="009C5386">
        <w:t>;</w:t>
      </w:r>
    </w:p>
    <w:p w14:paraId="1096365B" w14:textId="14BD4EF0" w:rsidR="00216401" w:rsidRPr="009C5386" w:rsidRDefault="00216401">
      <w:pPr>
        <w:pStyle w:val="NumPlainA"/>
        <w:tabs>
          <w:tab w:val="clear" w:pos="510"/>
        </w:tabs>
        <w:ind w:left="782" w:hanging="782"/>
      </w:pPr>
      <w:r w:rsidRPr="009C5386">
        <w:t xml:space="preserve">AASB 121 </w:t>
      </w:r>
      <w:r w:rsidRPr="009C5386">
        <w:rPr>
          <w:i/>
        </w:rPr>
        <w:t>The Effects of Changes in Foreign Exchange Rates</w:t>
      </w:r>
      <w:r w:rsidR="00DD590E" w:rsidRPr="009C5386">
        <w:rPr>
          <w:iCs/>
        </w:rPr>
        <w:t xml:space="preserve"> (August 2015)</w:t>
      </w:r>
      <w:r w:rsidRPr="009C5386">
        <w:t>;</w:t>
      </w:r>
      <w:r w:rsidR="00255271" w:rsidRPr="009C5386">
        <w:t xml:space="preserve"> and</w:t>
      </w:r>
    </w:p>
    <w:p w14:paraId="391C156C" w14:textId="21A0910E" w:rsidR="00255271" w:rsidRPr="009C5386" w:rsidRDefault="00255271" w:rsidP="00FF7DC3">
      <w:pPr>
        <w:pStyle w:val="NumPlainA"/>
        <w:tabs>
          <w:tab w:val="clear" w:pos="510"/>
        </w:tabs>
        <w:ind w:left="782" w:hanging="782"/>
      </w:pPr>
      <w:r w:rsidRPr="009C5386">
        <w:t xml:space="preserve">AASB 1060 </w:t>
      </w:r>
      <w:r w:rsidR="000E4F9C" w:rsidRPr="00FF7DC3">
        <w:rPr>
          <w:i/>
          <w:iCs/>
        </w:rPr>
        <w:t>General Purpose Financial Statements – Simplified Disclosures for For-Profit and Not-For-Profit Tier 2 Entities</w:t>
      </w:r>
      <w:r w:rsidR="000E4F9C" w:rsidRPr="009C5386">
        <w:t xml:space="preserve"> (March 2020)</w:t>
      </w:r>
      <w:r w:rsidR="001A4C98" w:rsidRPr="009C5386">
        <w:t>;</w:t>
      </w:r>
    </w:p>
    <w:p w14:paraId="6DAFECE4" w14:textId="2E076E36" w:rsidR="001662B8" w:rsidRPr="009C5386" w:rsidRDefault="001662B8" w:rsidP="005A6AC7">
      <w:pPr>
        <w:pStyle w:val="NoNumPlain1"/>
      </w:pPr>
      <w:r w:rsidRPr="009C5386">
        <w:t>a</w:t>
      </w:r>
      <w:bookmarkStart w:id="18" w:name="StndObj"/>
      <w:bookmarkEnd w:id="18"/>
      <w:r w:rsidRPr="009C5386">
        <w:t>s a consequence of the issuance of</w:t>
      </w:r>
      <w:r w:rsidR="00867FB0" w:rsidRPr="009C5386">
        <w:t xml:space="preserve"> International Financial Reporting Standard</w:t>
      </w:r>
      <w:r w:rsidRPr="009C5386">
        <w:t xml:space="preserve"> </w:t>
      </w:r>
      <w:r w:rsidR="00867FB0" w:rsidRPr="009C5386">
        <w:rPr>
          <w:i/>
        </w:rPr>
        <w:fldChar w:fldCharType="begin" w:fldLock="1"/>
      </w:r>
      <w:r w:rsidR="00867FB0" w:rsidRPr="009C5386">
        <w:rPr>
          <w:i/>
        </w:rPr>
        <w:instrText xml:space="preserve"> REF ArisingTitle \* charformat</w:instrText>
      </w:r>
      <w:r w:rsidR="00867FB0" w:rsidRPr="009C5386">
        <w:rPr>
          <w:i/>
        </w:rPr>
        <w:fldChar w:fldCharType="separate"/>
      </w:r>
      <w:r w:rsidR="00194179" w:rsidRPr="009C5386">
        <w:rPr>
          <w:i/>
        </w:rPr>
        <w:t>Lack of Exchangeability</w:t>
      </w:r>
      <w:r w:rsidR="00867FB0" w:rsidRPr="009C5386">
        <w:rPr>
          <w:i/>
        </w:rPr>
        <w:fldChar w:fldCharType="end"/>
      </w:r>
      <w:r w:rsidRPr="009C5386">
        <w:t xml:space="preserve"> </w:t>
      </w:r>
      <w:r w:rsidR="007B49DC" w:rsidRPr="009C5386">
        <w:t xml:space="preserve">(Amendments to IAS 21) </w:t>
      </w:r>
      <w:r w:rsidR="00867FB0" w:rsidRPr="009C5386">
        <w:t xml:space="preserve">by the International Accounting Standards Board </w:t>
      </w:r>
      <w:r w:rsidR="006A5AC1" w:rsidRPr="009C5386">
        <w:t xml:space="preserve">(IASB) </w:t>
      </w:r>
      <w:r w:rsidRPr="009C5386">
        <w:t>in</w:t>
      </w:r>
      <w:r w:rsidR="00742E4B" w:rsidRPr="009C5386">
        <w:t xml:space="preserve"> </w:t>
      </w:r>
      <w:r w:rsidR="00867FB0" w:rsidRPr="009C5386">
        <w:fldChar w:fldCharType="begin" w:fldLock="1"/>
      </w:r>
      <w:r w:rsidR="00867FB0" w:rsidRPr="009C5386">
        <w:instrText xml:space="preserve"> REF ArisingDate \* charformat</w:instrText>
      </w:r>
      <w:r w:rsidR="00867FB0" w:rsidRPr="009C5386">
        <w:fldChar w:fldCharType="separate"/>
      </w:r>
      <w:r w:rsidR="00194179" w:rsidRPr="009C5386">
        <w:t>August 2023</w:t>
      </w:r>
      <w:r w:rsidR="00867FB0" w:rsidRPr="009C5386">
        <w:fldChar w:fldCharType="end"/>
      </w:r>
      <w:r w:rsidRPr="009C5386">
        <w:t>.</w:t>
      </w:r>
    </w:p>
    <w:p w14:paraId="111FCAA3" w14:textId="77777777" w:rsidR="00090A6F" w:rsidRPr="009C5386" w:rsidRDefault="00090A6F" w:rsidP="00FF7DC3">
      <w:pPr>
        <w:pStyle w:val="Heading2"/>
        <w:spacing w:before="400"/>
      </w:pPr>
      <w:r w:rsidRPr="009C5386">
        <w:t>Application</w:t>
      </w:r>
    </w:p>
    <w:p w14:paraId="1A2B1599" w14:textId="4AC0E39B" w:rsidR="005A6AC7" w:rsidRPr="009C5386" w:rsidRDefault="005A6AC7" w:rsidP="005A6AC7">
      <w:pPr>
        <w:pStyle w:val="NoNumPlain1"/>
        <w:rPr>
          <w:i/>
        </w:rPr>
      </w:pPr>
      <w:r w:rsidRPr="009C5386">
        <w:t xml:space="preserve">The amendments set out in this Standard apply to entities and financial statements in accordance with the application of the other Standards set out in AASB 1057 </w:t>
      </w:r>
      <w:r w:rsidRPr="009C5386">
        <w:rPr>
          <w:i/>
        </w:rPr>
        <w:t>Application of Australian Accounting Standards.</w:t>
      </w:r>
    </w:p>
    <w:p w14:paraId="01E841E9" w14:textId="1271AB37" w:rsidR="00090A6F" w:rsidRPr="009C5386" w:rsidRDefault="00090A6F" w:rsidP="005A6AC7">
      <w:pPr>
        <w:pStyle w:val="NoNumPlain1"/>
      </w:pPr>
      <w:r w:rsidRPr="009C5386">
        <w:t xml:space="preserve">This Standard applies to annual periods </w:t>
      </w:r>
      <w:r w:rsidR="005A6AC7" w:rsidRPr="009C5386">
        <w:fldChar w:fldCharType="begin" w:fldLock="1"/>
      </w:r>
      <w:r w:rsidR="005A6AC7" w:rsidRPr="009C5386">
        <w:instrText xml:space="preserve"> REF ApplyText \* charformat</w:instrText>
      </w:r>
      <w:r w:rsidR="005A6AC7" w:rsidRPr="009C5386">
        <w:fldChar w:fldCharType="separate"/>
      </w:r>
      <w:r w:rsidR="00194179" w:rsidRPr="009C5386">
        <w:t>beginning</w:t>
      </w:r>
      <w:r w:rsidR="005A6AC7" w:rsidRPr="009C5386">
        <w:fldChar w:fldCharType="end"/>
      </w:r>
      <w:r w:rsidRPr="009C5386">
        <w:t xml:space="preserve"> on or after </w:t>
      </w:r>
      <w:r w:rsidR="005A6AC7" w:rsidRPr="009C5386">
        <w:fldChar w:fldCharType="begin" w:fldLock="1"/>
      </w:r>
      <w:r w:rsidR="005A6AC7" w:rsidRPr="009C5386">
        <w:instrText xml:space="preserve"> REF ApplyDate \* charformat</w:instrText>
      </w:r>
      <w:r w:rsidR="005A6AC7" w:rsidRPr="009C5386">
        <w:fldChar w:fldCharType="separate"/>
      </w:r>
      <w:r w:rsidR="00194179" w:rsidRPr="009C5386">
        <w:t>1 January 2025</w:t>
      </w:r>
      <w:r w:rsidR="005A6AC7" w:rsidRPr="009C5386">
        <w:fldChar w:fldCharType="end"/>
      </w:r>
      <w:r w:rsidRPr="009C5386">
        <w:t>.</w:t>
      </w:r>
    </w:p>
    <w:p w14:paraId="46354B61" w14:textId="50D62817" w:rsidR="00090A6F" w:rsidRPr="009C5386" w:rsidRDefault="00090A6F" w:rsidP="005A6AC7">
      <w:pPr>
        <w:pStyle w:val="NoNumPlain1"/>
      </w:pPr>
      <w:bookmarkStart w:id="19" w:name="EarlyYesPara"/>
      <w:r w:rsidRPr="009C5386">
        <w:t xml:space="preserve">This Standard may be applied to </w:t>
      </w:r>
      <w:r w:rsidR="008622B9" w:rsidRPr="009C5386">
        <w:fldChar w:fldCharType="begin" w:fldLock="1"/>
      </w:r>
      <w:r w:rsidR="008622B9" w:rsidRPr="009C5386">
        <w:instrText xml:space="preserve"> REF </w:instrText>
      </w:r>
      <w:r w:rsidR="00625A6C" w:rsidRPr="009C5386">
        <w:instrText>EarlyText</w:instrText>
      </w:r>
      <w:r w:rsidR="008622B9" w:rsidRPr="009C5386">
        <w:instrText xml:space="preserve">  \* charformat  </w:instrText>
      </w:r>
      <w:r w:rsidR="008622B9" w:rsidRPr="009C5386">
        <w:fldChar w:fldCharType="separate"/>
      </w:r>
      <w:r w:rsidR="00194179" w:rsidRPr="009C5386">
        <w:t>annual periods beginning before 1 January 2025</w:t>
      </w:r>
      <w:r w:rsidR="008622B9" w:rsidRPr="009C5386">
        <w:fldChar w:fldCharType="end"/>
      </w:r>
      <w:r w:rsidRPr="009C5386">
        <w:t xml:space="preserve">.  When an entity applies this Standard to </w:t>
      </w:r>
      <w:r w:rsidR="00590051" w:rsidRPr="009C5386">
        <w:t xml:space="preserve">such </w:t>
      </w:r>
      <w:r w:rsidRPr="009C5386">
        <w:t>an annual period</w:t>
      </w:r>
      <w:r w:rsidR="00590051" w:rsidRPr="009C5386">
        <w:t>,</w:t>
      </w:r>
      <w:r w:rsidRPr="009C5386">
        <w:t xml:space="preserve"> it shall disclose that fact.</w:t>
      </w:r>
    </w:p>
    <w:bookmarkEnd w:id="19"/>
    <w:p w14:paraId="0599A9E0" w14:textId="10D398CA" w:rsidR="00090A6F" w:rsidRPr="009C5386" w:rsidRDefault="0048155F" w:rsidP="005A6AC7">
      <w:pPr>
        <w:pStyle w:val="NoNumPlain1"/>
      </w:pPr>
      <w:r w:rsidRPr="009C5386">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RPr="009C5386">
        <w:t xml:space="preserve"> other typographical material.</w:t>
      </w:r>
      <w:r w:rsidR="00254B16" w:rsidRPr="009C5386">
        <w:t xml:space="preserve"> Ellipses (…) are used to help provide the context within which amendments are made and also to indicate text that is not amended.</w:t>
      </w:r>
    </w:p>
    <w:p w14:paraId="7316B47D" w14:textId="77777777" w:rsidR="00216401" w:rsidRPr="009C5386" w:rsidRDefault="00216401" w:rsidP="00FF7DC3">
      <w:pPr>
        <w:pStyle w:val="Heading2"/>
        <w:spacing w:before="400"/>
      </w:pPr>
      <w:r w:rsidRPr="009C5386">
        <w:t>Amendments to AASB 1</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
        <w:tblDescription w:val="Amendment instructions"/>
      </w:tblPr>
      <w:tblGrid>
        <w:gridCol w:w="9071"/>
      </w:tblGrid>
      <w:tr w:rsidR="002749F5" w:rsidRPr="009C5386" w14:paraId="3E961868" w14:textId="77777777" w:rsidTr="00775B4C">
        <w:tc>
          <w:tcPr>
            <w:tcW w:w="50" w:type="pct"/>
            <w:tcBorders>
              <w:bottom w:val="single" w:sz="0" w:space="0" w:color="auto"/>
              <w:right w:val="single" w:sz="0" w:space="0" w:color="auto"/>
            </w:tcBorders>
          </w:tcPr>
          <w:p w14:paraId="379086F4" w14:textId="77777777" w:rsidR="002749F5" w:rsidRPr="00FF7DC3" w:rsidRDefault="002749F5" w:rsidP="00FF7DC3">
            <w:pPr>
              <w:pStyle w:val="IASBTableArial"/>
              <w:spacing w:after="120"/>
              <w:rPr>
                <w:lang w:val="en-AU"/>
              </w:rPr>
            </w:pPr>
            <w:r w:rsidRPr="00FF7DC3">
              <w:rPr>
                <w:lang w:val="en-AU"/>
              </w:rPr>
              <w:t>Paragraphs 31C and D27 are amended and paragraph 39AI is added. New text is underlined and deleted text is struck through.</w:t>
            </w:r>
          </w:p>
        </w:tc>
      </w:tr>
    </w:tbl>
    <w:p w14:paraId="063F2A90" w14:textId="77777777" w:rsidR="002749F5" w:rsidRPr="00FF7DC3" w:rsidRDefault="002749F5" w:rsidP="002749F5">
      <w:pPr>
        <w:pStyle w:val="IASBSectionTitle1NonInd"/>
        <w:rPr>
          <w:lang w:val="en-AU"/>
        </w:rPr>
      </w:pPr>
      <w:r w:rsidRPr="00FF7DC3">
        <w:rPr>
          <w:lang w:val="en-AU"/>
        </w:rPr>
        <w:t>Presentation and disclosure</w:t>
      </w:r>
    </w:p>
    <w:p w14:paraId="40507DCD" w14:textId="77777777" w:rsidR="002749F5" w:rsidRPr="00FF7DC3" w:rsidRDefault="002749F5" w:rsidP="002749F5">
      <w:pPr>
        <w:pStyle w:val="IASBNormalnpara"/>
        <w:rPr>
          <w:lang w:val="en-AU"/>
        </w:rPr>
      </w:pPr>
      <w:r w:rsidRPr="00FF7DC3">
        <w:rPr>
          <w:lang w:val="en-AU"/>
        </w:rPr>
        <w:tab/>
        <w:t>...</w:t>
      </w:r>
    </w:p>
    <w:p w14:paraId="6AF6F0BF" w14:textId="2A7EFE2F" w:rsidR="002749F5" w:rsidRPr="00FF7DC3" w:rsidRDefault="002749F5" w:rsidP="002749F5">
      <w:pPr>
        <w:pStyle w:val="IASBSectionTitle2Ind"/>
        <w:rPr>
          <w:lang w:val="en-AU"/>
        </w:rPr>
      </w:pPr>
      <w:r w:rsidRPr="00FF7DC3">
        <w:rPr>
          <w:lang w:val="en-AU"/>
        </w:rPr>
        <w:t>Explanation of transition to</w:t>
      </w:r>
      <w:r w:rsidR="00F36453">
        <w:rPr>
          <w:lang w:val="en-AU"/>
        </w:rPr>
        <w:t xml:space="preserve"> Australian Accounting Standards</w:t>
      </w:r>
    </w:p>
    <w:p w14:paraId="1E7EAFF9" w14:textId="77777777" w:rsidR="002749F5" w:rsidRPr="00FF7DC3" w:rsidRDefault="002749F5" w:rsidP="002749F5">
      <w:pPr>
        <w:pStyle w:val="IASBNormalnpara"/>
        <w:rPr>
          <w:lang w:val="en-AU"/>
        </w:rPr>
      </w:pPr>
      <w:r w:rsidRPr="00FF7DC3">
        <w:rPr>
          <w:lang w:val="en-AU"/>
        </w:rPr>
        <w:tab/>
        <w:t>...</w:t>
      </w:r>
    </w:p>
    <w:p w14:paraId="7D319C2D" w14:textId="77777777" w:rsidR="002749F5" w:rsidRPr="00FF7DC3" w:rsidRDefault="002749F5" w:rsidP="002749F5">
      <w:pPr>
        <w:pStyle w:val="IASBSectionTitle3Ind"/>
        <w:rPr>
          <w:lang w:val="en-AU"/>
        </w:rPr>
      </w:pPr>
      <w:r w:rsidRPr="00FF7DC3">
        <w:rPr>
          <w:lang w:val="en-AU"/>
        </w:rPr>
        <w:lastRenderedPageBreak/>
        <w:t>Use of deemed cost after severe hyperinflation</w:t>
      </w:r>
    </w:p>
    <w:p w14:paraId="73415771" w14:textId="18240AF9" w:rsidR="002749F5" w:rsidRPr="00FF7DC3" w:rsidRDefault="002749F5" w:rsidP="002749F5">
      <w:pPr>
        <w:pStyle w:val="IASBNormalnpara"/>
        <w:rPr>
          <w:lang w:val="en-AU"/>
        </w:rPr>
      </w:pPr>
      <w:r w:rsidRPr="00FF7DC3">
        <w:rPr>
          <w:lang w:val="en-AU"/>
        </w:rPr>
        <w:t>31C</w:t>
      </w:r>
      <w:r w:rsidRPr="00FF7DC3">
        <w:rPr>
          <w:lang w:val="en-AU"/>
        </w:rPr>
        <w:tab/>
        <w:t>If an entity elects to measure assets and liabilities at</w:t>
      </w:r>
      <w:r w:rsidR="00E979E8">
        <w:rPr>
          <w:lang w:val="en-AU"/>
        </w:rPr>
        <w:t xml:space="preserve"> </w:t>
      </w:r>
      <w:r w:rsidRPr="00FF7DC3">
        <w:rPr>
          <w:lang w:val="en-AU"/>
        </w:rPr>
        <w:t>fair value and to use that</w:t>
      </w:r>
      <w:r w:rsidR="00E979E8">
        <w:rPr>
          <w:lang w:val="en-AU"/>
        </w:rPr>
        <w:t xml:space="preserve"> </w:t>
      </w:r>
      <w:r w:rsidRPr="00FF7DC3">
        <w:rPr>
          <w:lang w:val="en-AU"/>
        </w:rPr>
        <w:t>fair value as the</w:t>
      </w:r>
      <w:r w:rsidR="00E979E8">
        <w:rPr>
          <w:lang w:val="en-AU"/>
        </w:rPr>
        <w:t xml:space="preserve"> </w:t>
      </w:r>
      <w:r w:rsidRPr="00FF7DC3">
        <w:rPr>
          <w:lang w:val="en-AU"/>
        </w:rPr>
        <w:t>deemed cost</w:t>
      </w:r>
      <w:r w:rsidR="00E979E8">
        <w:rPr>
          <w:lang w:val="en-AU"/>
        </w:rPr>
        <w:t xml:space="preserve"> </w:t>
      </w:r>
      <w:r w:rsidRPr="00FF7DC3">
        <w:rPr>
          <w:lang w:val="en-AU"/>
        </w:rPr>
        <w:t>in its</w:t>
      </w:r>
      <w:r w:rsidR="00E979E8">
        <w:rPr>
          <w:lang w:val="en-AU"/>
        </w:rPr>
        <w:t xml:space="preserve"> </w:t>
      </w:r>
      <w:r w:rsidRPr="00FF7DC3">
        <w:rPr>
          <w:lang w:val="en-AU"/>
        </w:rPr>
        <w:t xml:space="preserve">opening </w:t>
      </w:r>
      <w:r w:rsidR="00E01684">
        <w:rPr>
          <w:lang w:val="en-AU"/>
        </w:rPr>
        <w:t>Australian-Accounting-Standards</w:t>
      </w:r>
      <w:r w:rsidRPr="00FF7DC3">
        <w:rPr>
          <w:lang w:val="en-AU"/>
        </w:rPr>
        <w:t xml:space="preserve"> statement of financial position</w:t>
      </w:r>
      <w:r w:rsidR="00E979E8">
        <w:rPr>
          <w:lang w:val="en-AU"/>
        </w:rPr>
        <w:t xml:space="preserve"> </w:t>
      </w:r>
      <w:r w:rsidRPr="00FF7DC3">
        <w:rPr>
          <w:lang w:val="en-AU"/>
        </w:rPr>
        <w:t>because of severe hyperinflation (see</w:t>
      </w:r>
      <w:r w:rsidR="00E979E8">
        <w:rPr>
          <w:lang w:val="en-AU"/>
        </w:rPr>
        <w:t xml:space="preserve"> </w:t>
      </w:r>
      <w:r w:rsidRPr="00FF7DC3">
        <w:rPr>
          <w:lang w:val="en-AU"/>
        </w:rPr>
        <w:t>paragraphs D26–D30), the entity’s</w:t>
      </w:r>
      <w:r w:rsidR="00E979E8">
        <w:rPr>
          <w:lang w:val="en-AU"/>
        </w:rPr>
        <w:t xml:space="preserve"> </w:t>
      </w:r>
      <w:r w:rsidRPr="00FF7DC3">
        <w:rPr>
          <w:lang w:val="en-AU"/>
        </w:rPr>
        <w:t xml:space="preserve">first </w:t>
      </w:r>
      <w:r w:rsidR="00296F70">
        <w:rPr>
          <w:lang w:val="en-AU"/>
        </w:rPr>
        <w:t>Australian-Accounting-Standards</w:t>
      </w:r>
      <w:r w:rsidRPr="00FF7DC3">
        <w:rPr>
          <w:lang w:val="en-AU"/>
        </w:rPr>
        <w:t xml:space="preserve"> financial statements</w:t>
      </w:r>
      <w:r w:rsidR="00E979E8">
        <w:rPr>
          <w:lang w:val="en-AU"/>
        </w:rPr>
        <w:t xml:space="preserve"> </w:t>
      </w:r>
      <w:r w:rsidRPr="00FF7DC3">
        <w:rPr>
          <w:lang w:val="en-AU"/>
        </w:rPr>
        <w:t xml:space="preserve">shall disclose an explanation of how, and why, the entity had, and then ceased to have, a functional currency that </w:t>
      </w:r>
      <w:r w:rsidRPr="00FF7DC3">
        <w:rPr>
          <w:u w:val="single"/>
          <w:lang w:val="en-AU"/>
        </w:rPr>
        <w:t>is subject to severe hyperinflation.</w:t>
      </w:r>
      <w:r w:rsidRPr="00FF7DC3">
        <w:rPr>
          <w:strike/>
          <w:lang w:val="en-AU"/>
        </w:rPr>
        <w:t xml:space="preserve"> has both of the following characteristics:</w:t>
      </w:r>
    </w:p>
    <w:p w14:paraId="2CC475E0" w14:textId="77777777" w:rsidR="002749F5" w:rsidRPr="00FF7DC3" w:rsidRDefault="002749F5" w:rsidP="002749F5">
      <w:pPr>
        <w:pStyle w:val="IASBNormalnparaL1"/>
        <w:rPr>
          <w:lang w:val="en-AU"/>
        </w:rPr>
      </w:pPr>
      <w:r w:rsidRPr="00FF7DC3">
        <w:rPr>
          <w:strike/>
          <w:lang w:val="en-AU"/>
        </w:rPr>
        <w:t>(a)</w:t>
      </w:r>
      <w:r w:rsidRPr="00FF7DC3">
        <w:rPr>
          <w:lang w:val="en-AU"/>
        </w:rPr>
        <w:tab/>
      </w:r>
      <w:r w:rsidRPr="00FF7DC3">
        <w:rPr>
          <w:strike/>
          <w:lang w:val="en-AU"/>
        </w:rPr>
        <w:t>a reliable general price index is not available to all entities with transactions and balances in the currency.</w:t>
      </w:r>
    </w:p>
    <w:p w14:paraId="07EAD48A" w14:textId="77777777" w:rsidR="002749F5" w:rsidRPr="00FF7DC3" w:rsidRDefault="002749F5" w:rsidP="002749F5">
      <w:pPr>
        <w:pStyle w:val="IASBNormalnparaL1"/>
        <w:rPr>
          <w:lang w:val="en-AU"/>
        </w:rPr>
      </w:pPr>
      <w:r w:rsidRPr="00FF7DC3">
        <w:rPr>
          <w:strike/>
          <w:lang w:val="en-AU"/>
        </w:rPr>
        <w:t>(b)</w:t>
      </w:r>
      <w:r w:rsidRPr="00FF7DC3">
        <w:rPr>
          <w:lang w:val="en-AU"/>
        </w:rPr>
        <w:tab/>
      </w:r>
      <w:r w:rsidRPr="00FF7DC3">
        <w:rPr>
          <w:strike/>
          <w:lang w:val="en-AU"/>
        </w:rPr>
        <w:t>exchangeability between the currency and a relatively stable foreign currency does not exist.</w:t>
      </w:r>
    </w:p>
    <w:p w14:paraId="56E87485" w14:textId="77777777" w:rsidR="002749F5" w:rsidRPr="00FF7DC3" w:rsidRDefault="002749F5" w:rsidP="002749F5">
      <w:pPr>
        <w:pStyle w:val="IASBNormalnpara"/>
        <w:rPr>
          <w:lang w:val="en-AU"/>
        </w:rPr>
      </w:pPr>
      <w:r w:rsidRPr="00FF7DC3">
        <w:rPr>
          <w:lang w:val="en-AU"/>
        </w:rPr>
        <w:tab/>
        <w:t>...</w:t>
      </w:r>
    </w:p>
    <w:p w14:paraId="2ECAE99C" w14:textId="77777777" w:rsidR="002749F5" w:rsidRPr="00FF7DC3" w:rsidRDefault="002749F5" w:rsidP="002749F5">
      <w:pPr>
        <w:pStyle w:val="IASBSectionTitle1NonInd"/>
        <w:rPr>
          <w:lang w:val="en-AU"/>
        </w:rPr>
      </w:pPr>
      <w:r w:rsidRPr="00FF7DC3">
        <w:rPr>
          <w:lang w:val="en-AU"/>
        </w:rPr>
        <w:t>Effective date</w:t>
      </w:r>
    </w:p>
    <w:p w14:paraId="3970D09A" w14:textId="77777777" w:rsidR="002749F5" w:rsidRPr="00FF7DC3" w:rsidRDefault="002749F5" w:rsidP="002749F5">
      <w:pPr>
        <w:pStyle w:val="IASBNormalnpara"/>
        <w:rPr>
          <w:lang w:val="en-AU"/>
        </w:rPr>
      </w:pPr>
      <w:r w:rsidRPr="00FF7DC3">
        <w:rPr>
          <w:lang w:val="en-AU"/>
        </w:rPr>
        <w:tab/>
        <w:t>...</w:t>
      </w:r>
    </w:p>
    <w:p w14:paraId="37FF7000" w14:textId="3A17F5A8" w:rsidR="002749F5" w:rsidRPr="00FF7DC3" w:rsidRDefault="002749F5" w:rsidP="002749F5">
      <w:pPr>
        <w:pStyle w:val="IASBNormalnpara"/>
        <w:rPr>
          <w:lang w:val="en-AU"/>
        </w:rPr>
      </w:pPr>
      <w:r w:rsidRPr="00FF7DC3">
        <w:rPr>
          <w:u w:val="single"/>
          <w:lang w:val="en-AU"/>
        </w:rPr>
        <w:t>39AI</w:t>
      </w:r>
      <w:r w:rsidRPr="00FF7DC3">
        <w:rPr>
          <w:lang w:val="en-AU"/>
        </w:rPr>
        <w:tab/>
      </w:r>
      <w:r w:rsidR="00DD590E" w:rsidRPr="00E979E8">
        <w:rPr>
          <w:u w:val="single"/>
          <w:lang w:val="en-AU"/>
        </w:rPr>
        <w:t>AASB 2023-</w:t>
      </w:r>
      <w:r w:rsidR="00E86FD8">
        <w:rPr>
          <w:u w:val="single"/>
          <w:lang w:val="en-AU"/>
        </w:rPr>
        <w:t>5</w:t>
      </w:r>
      <w:r w:rsidR="00DD590E" w:rsidRPr="00E979E8">
        <w:rPr>
          <w:u w:val="single"/>
          <w:lang w:val="en-AU"/>
        </w:rPr>
        <w:t xml:space="preserve"> </w:t>
      </w:r>
      <w:r w:rsidR="00DD590E" w:rsidRPr="00E979E8">
        <w:rPr>
          <w:i/>
          <w:iCs/>
          <w:u w:val="single"/>
          <w:lang w:val="en-AU"/>
        </w:rPr>
        <w:t>Amendments to Australian Accounting Standards –</w:t>
      </w:r>
      <w:r w:rsidR="00DD590E" w:rsidRPr="00E979E8">
        <w:rPr>
          <w:u w:val="single"/>
          <w:lang w:val="en-AU"/>
        </w:rPr>
        <w:t xml:space="preserve"> </w:t>
      </w:r>
      <w:r w:rsidRPr="00E979E8">
        <w:rPr>
          <w:i/>
          <w:u w:val="single"/>
          <w:lang w:val="en-AU"/>
        </w:rPr>
        <w:t>Lack of Exchangeability</w:t>
      </w:r>
      <w:r w:rsidRPr="00E979E8">
        <w:rPr>
          <w:u w:val="single"/>
          <w:lang w:val="en-AU"/>
        </w:rPr>
        <w:t>, issued in</w:t>
      </w:r>
      <w:r w:rsidR="00835EC0" w:rsidRPr="00E979E8">
        <w:rPr>
          <w:u w:val="single"/>
          <w:lang w:val="en-AU"/>
        </w:rPr>
        <w:t xml:space="preserve"> </w:t>
      </w:r>
      <w:r w:rsidR="00930185">
        <w:rPr>
          <w:u w:val="single"/>
          <w:lang w:val="en-AU"/>
        </w:rPr>
        <w:t>October</w:t>
      </w:r>
      <w:r w:rsidR="00835EC0" w:rsidRPr="00E979E8">
        <w:rPr>
          <w:u w:val="single"/>
          <w:lang w:val="en-AU"/>
        </w:rPr>
        <w:t xml:space="preserve"> </w:t>
      </w:r>
      <w:r w:rsidRPr="00E979E8">
        <w:rPr>
          <w:u w:val="single"/>
          <w:lang w:val="en-AU"/>
        </w:rPr>
        <w:t xml:space="preserve">2023, amended paragraphs 31C and D27. An entity shall apply those amendments when it applies </w:t>
      </w:r>
      <w:r w:rsidR="00835EC0" w:rsidRPr="00E979E8">
        <w:rPr>
          <w:u w:val="single"/>
          <w:lang w:val="en-AU"/>
        </w:rPr>
        <w:t xml:space="preserve">AASB 121 </w:t>
      </w:r>
      <w:r w:rsidR="007B49DC" w:rsidRPr="00E979E8">
        <w:rPr>
          <w:i/>
          <w:u w:val="single"/>
          <w:lang w:val="en-AU"/>
        </w:rPr>
        <w:t>The Effects of Changes in Foreign Exchange Rates</w:t>
      </w:r>
      <w:r w:rsidR="007B49DC" w:rsidRPr="00E979E8">
        <w:rPr>
          <w:iCs/>
          <w:u w:val="single"/>
          <w:lang w:val="en-AU"/>
        </w:rPr>
        <w:t xml:space="preserve"> </w:t>
      </w:r>
      <w:r w:rsidRPr="00E979E8">
        <w:rPr>
          <w:u w:val="single"/>
          <w:lang w:val="en-AU"/>
        </w:rPr>
        <w:t>(as</w:t>
      </w:r>
      <w:r w:rsidRPr="00FF7DC3">
        <w:rPr>
          <w:u w:val="single"/>
          <w:lang w:val="en-AU"/>
        </w:rPr>
        <w:t xml:space="preserve"> amended in</w:t>
      </w:r>
      <w:r w:rsidR="006A5AC1" w:rsidRPr="00FF7DC3">
        <w:rPr>
          <w:u w:val="single"/>
          <w:lang w:val="en-AU"/>
        </w:rPr>
        <w:t xml:space="preserve"> </w:t>
      </w:r>
      <w:r w:rsidR="00930185">
        <w:rPr>
          <w:u w:val="single"/>
          <w:lang w:val="en-AU"/>
        </w:rPr>
        <w:t>October</w:t>
      </w:r>
      <w:r w:rsidR="006A5AC1" w:rsidRPr="00FF7DC3">
        <w:rPr>
          <w:u w:val="single"/>
          <w:lang w:val="en-AU"/>
        </w:rPr>
        <w:t xml:space="preserve"> </w:t>
      </w:r>
      <w:r w:rsidRPr="00FF7DC3">
        <w:rPr>
          <w:u w:val="single"/>
          <w:lang w:val="en-AU"/>
        </w:rPr>
        <w:t>2023).</w:t>
      </w:r>
    </w:p>
    <w:p w14:paraId="5D78717C" w14:textId="77777777" w:rsidR="002749F5" w:rsidRPr="00FF7DC3" w:rsidRDefault="002749F5" w:rsidP="002749F5">
      <w:pPr>
        <w:pStyle w:val="IASBNormalnpara"/>
        <w:rPr>
          <w:lang w:val="en-AU"/>
        </w:rPr>
      </w:pPr>
      <w:r w:rsidRPr="00FF7DC3">
        <w:rPr>
          <w:lang w:val="en-AU"/>
        </w:rPr>
        <w:tab/>
        <w:t>...</w:t>
      </w:r>
    </w:p>
    <w:p w14:paraId="42411338" w14:textId="442F6853" w:rsidR="002749F5" w:rsidRPr="00FF7DC3" w:rsidRDefault="002749F5" w:rsidP="002749F5">
      <w:pPr>
        <w:pStyle w:val="IASBSectionTitle2NonInd"/>
        <w:rPr>
          <w:lang w:val="en-AU"/>
        </w:rPr>
      </w:pPr>
      <w:r w:rsidRPr="00FF7DC3">
        <w:rPr>
          <w:lang w:val="en-AU"/>
        </w:rPr>
        <w:t>Appendix D</w:t>
      </w:r>
      <w:r w:rsidRPr="00FF7DC3">
        <w:rPr>
          <w:lang w:val="en-AU"/>
        </w:rPr>
        <w:br/>
        <w:t xml:space="preserve">Exemptions from other </w:t>
      </w:r>
      <w:r w:rsidR="00EA1AF5">
        <w:rPr>
          <w:lang w:val="en-AU"/>
        </w:rPr>
        <w:t>Australian Accounting Standards</w:t>
      </w:r>
    </w:p>
    <w:p w14:paraId="558B12E6" w14:textId="77777777" w:rsidR="002749F5" w:rsidRPr="00FF7DC3" w:rsidRDefault="002749F5" w:rsidP="002749F5">
      <w:pPr>
        <w:pStyle w:val="IASBNormalnpara"/>
        <w:rPr>
          <w:lang w:val="en-AU"/>
        </w:rPr>
      </w:pPr>
      <w:r w:rsidRPr="00FF7DC3">
        <w:rPr>
          <w:lang w:val="en-AU"/>
        </w:rPr>
        <w:tab/>
        <w:t>...</w:t>
      </w:r>
    </w:p>
    <w:p w14:paraId="5360ED4D" w14:textId="77777777" w:rsidR="002749F5" w:rsidRPr="00FF7DC3" w:rsidRDefault="002749F5" w:rsidP="002749F5">
      <w:pPr>
        <w:pStyle w:val="IASBSectionTitle2Ind"/>
        <w:rPr>
          <w:lang w:val="en-AU"/>
        </w:rPr>
      </w:pPr>
      <w:r w:rsidRPr="00FF7DC3">
        <w:rPr>
          <w:lang w:val="en-AU"/>
        </w:rPr>
        <w:t>Severe hyperinflation</w:t>
      </w:r>
    </w:p>
    <w:p w14:paraId="487C8474" w14:textId="77777777" w:rsidR="002749F5" w:rsidRPr="00FF7DC3" w:rsidRDefault="002749F5" w:rsidP="002749F5">
      <w:pPr>
        <w:pStyle w:val="IASBNormalnpara"/>
        <w:rPr>
          <w:lang w:val="en-AU"/>
        </w:rPr>
      </w:pPr>
      <w:r w:rsidRPr="00FF7DC3">
        <w:rPr>
          <w:lang w:val="en-AU"/>
        </w:rPr>
        <w:tab/>
        <w:t>...</w:t>
      </w:r>
    </w:p>
    <w:p w14:paraId="6BF23C0A" w14:textId="77777777" w:rsidR="002749F5" w:rsidRPr="00FF7DC3" w:rsidRDefault="002749F5" w:rsidP="002749F5">
      <w:pPr>
        <w:pStyle w:val="IASBNormalnpara"/>
        <w:rPr>
          <w:lang w:val="en-AU"/>
        </w:rPr>
      </w:pPr>
      <w:r w:rsidRPr="00FF7DC3">
        <w:rPr>
          <w:lang w:val="en-AU"/>
        </w:rPr>
        <w:t>D27</w:t>
      </w:r>
      <w:r w:rsidRPr="00FF7DC3">
        <w:rPr>
          <w:lang w:val="en-AU"/>
        </w:rPr>
        <w:tab/>
        <w:t>The currency of a hyperinflationary economy is subject to severe hyperinflation if it has both of the following characteristics:</w:t>
      </w:r>
    </w:p>
    <w:p w14:paraId="46F64D09" w14:textId="77777777" w:rsidR="002749F5" w:rsidRPr="00FF7DC3" w:rsidRDefault="002749F5" w:rsidP="002749F5">
      <w:pPr>
        <w:pStyle w:val="IASBNormalnparaL1"/>
        <w:rPr>
          <w:lang w:val="en-AU"/>
        </w:rPr>
      </w:pPr>
      <w:r w:rsidRPr="00FF7DC3">
        <w:rPr>
          <w:lang w:val="en-AU"/>
        </w:rPr>
        <w:t>(a)</w:t>
      </w:r>
      <w:r w:rsidRPr="00FF7DC3">
        <w:rPr>
          <w:lang w:val="en-AU"/>
        </w:rPr>
        <w:tab/>
        <w:t>a reliable general price index is not available to all entities with transactions and balances in the currency.</w:t>
      </w:r>
    </w:p>
    <w:p w14:paraId="71F6206B" w14:textId="21B54EAA" w:rsidR="002749F5" w:rsidRPr="00FF7DC3" w:rsidRDefault="002749F5" w:rsidP="002749F5">
      <w:pPr>
        <w:pStyle w:val="IASBNormalnparaL1"/>
        <w:rPr>
          <w:lang w:val="en-AU"/>
        </w:rPr>
      </w:pPr>
      <w:r w:rsidRPr="00FF7DC3">
        <w:rPr>
          <w:lang w:val="en-AU"/>
        </w:rPr>
        <w:t>(b)</w:t>
      </w:r>
      <w:r w:rsidRPr="00FF7DC3">
        <w:rPr>
          <w:lang w:val="en-AU"/>
        </w:rPr>
        <w:tab/>
      </w:r>
      <w:r w:rsidRPr="00FF7DC3">
        <w:rPr>
          <w:strike/>
          <w:lang w:val="en-AU"/>
        </w:rPr>
        <w:t xml:space="preserve">exchangeability between </w:t>
      </w:r>
      <w:r w:rsidRPr="00FF7DC3">
        <w:rPr>
          <w:lang w:val="en-AU"/>
        </w:rPr>
        <w:t xml:space="preserve">the currency </w:t>
      </w:r>
      <w:r w:rsidRPr="00FF7DC3">
        <w:rPr>
          <w:u w:val="single"/>
          <w:lang w:val="en-AU"/>
        </w:rPr>
        <w:t xml:space="preserve">is not exchangeable into </w:t>
      </w:r>
      <w:r w:rsidRPr="00FF7DC3">
        <w:rPr>
          <w:strike/>
          <w:lang w:val="en-AU"/>
        </w:rPr>
        <w:t xml:space="preserve">and </w:t>
      </w:r>
      <w:r w:rsidRPr="00FF7DC3">
        <w:rPr>
          <w:lang w:val="en-AU"/>
        </w:rPr>
        <w:t>a relatively stable foreign currency</w:t>
      </w:r>
      <w:r w:rsidRPr="00FF7DC3">
        <w:rPr>
          <w:strike/>
          <w:lang w:val="en-AU"/>
        </w:rPr>
        <w:t xml:space="preserve"> does not exist</w:t>
      </w:r>
      <w:r w:rsidRPr="00FF7DC3">
        <w:rPr>
          <w:lang w:val="en-AU"/>
        </w:rPr>
        <w:t>.</w:t>
      </w:r>
      <w:r w:rsidRPr="00FF7DC3">
        <w:rPr>
          <w:u w:val="single"/>
          <w:lang w:val="en-AU"/>
        </w:rPr>
        <w:t xml:space="preserve"> Exchangeability is assessed in accordance with</w:t>
      </w:r>
      <w:r w:rsidR="000B3171" w:rsidRPr="00FF7DC3">
        <w:rPr>
          <w:u w:val="single"/>
          <w:lang w:val="en-AU"/>
        </w:rPr>
        <w:t xml:space="preserve"> AASB 121</w:t>
      </w:r>
      <w:r w:rsidRPr="00FF7DC3">
        <w:rPr>
          <w:u w:val="single"/>
          <w:lang w:val="en-AU"/>
        </w:rPr>
        <w:t>.</w:t>
      </w:r>
    </w:p>
    <w:p w14:paraId="14BA9784" w14:textId="77777777" w:rsidR="00216401" w:rsidRPr="009C5386" w:rsidRDefault="00216401">
      <w:pPr>
        <w:pStyle w:val="Heading2"/>
      </w:pPr>
      <w:r w:rsidRPr="009C5386">
        <w:t xml:space="preserve">Amendments to </w:t>
      </w:r>
      <w:bookmarkStart w:id="20" w:name="StndNo2"/>
      <w:r w:rsidRPr="009C5386">
        <w:t>AASB 121</w:t>
      </w:r>
      <w:bookmarkEnd w:id="20"/>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2"/>
        <w:tblDescription w:val="Amendment instructions"/>
      </w:tblPr>
      <w:tblGrid>
        <w:gridCol w:w="9071"/>
      </w:tblGrid>
      <w:tr w:rsidR="00334FD6" w:rsidRPr="009C5386" w14:paraId="0026C5D6" w14:textId="77777777" w:rsidTr="00775B4C">
        <w:trPr>
          <w:trHeight w:val="843"/>
        </w:trPr>
        <w:tc>
          <w:tcPr>
            <w:tcW w:w="50" w:type="pct"/>
            <w:tcBorders>
              <w:bottom w:val="single" w:sz="0" w:space="0" w:color="auto"/>
              <w:right w:val="single" w:sz="0" w:space="0" w:color="auto"/>
            </w:tcBorders>
          </w:tcPr>
          <w:p w14:paraId="3DFE54E5" w14:textId="2A835914" w:rsidR="00334FD6" w:rsidRPr="00FF7DC3" w:rsidRDefault="00334FD6" w:rsidP="00775B4C">
            <w:pPr>
              <w:pStyle w:val="IASBTableArial"/>
              <w:rPr>
                <w:lang w:val="en-AU"/>
              </w:rPr>
            </w:pPr>
            <w:r w:rsidRPr="00FF7DC3">
              <w:rPr>
                <w:lang w:val="en-AU"/>
              </w:rPr>
              <w:t>Paragraphs 8 and 26 are amended. Paragraphs 8A–8B</w:t>
            </w:r>
            <w:r w:rsidR="002C3553" w:rsidRPr="00FF7DC3">
              <w:rPr>
                <w:lang w:val="en-AU"/>
              </w:rPr>
              <w:t xml:space="preserve"> and</w:t>
            </w:r>
            <w:r w:rsidRPr="00FF7DC3">
              <w:rPr>
                <w:lang w:val="en-AU"/>
              </w:rPr>
              <w:t xml:space="preserve"> 19A and their related headings, paragraphs 57A–57B </w:t>
            </w:r>
            <w:r w:rsidR="0031079F" w:rsidRPr="00FF7DC3">
              <w:rPr>
                <w:lang w:val="en-AU"/>
              </w:rPr>
              <w:t xml:space="preserve">and </w:t>
            </w:r>
            <w:r w:rsidRPr="00FF7DC3">
              <w:rPr>
                <w:lang w:val="en-AU"/>
              </w:rPr>
              <w:t>60L–60M and Appendix A are added. New text is underlined and deleted text is struck through. For ease of reading, text in Appendix A has not been underlined.</w:t>
            </w:r>
          </w:p>
          <w:p w14:paraId="6F17D3D7" w14:textId="317914D3" w:rsidR="00D86788" w:rsidRPr="00FF7DC3" w:rsidRDefault="00B46DCB" w:rsidP="00FF7DC3">
            <w:pPr>
              <w:pStyle w:val="IASBTableArial"/>
              <w:spacing w:after="120"/>
              <w:rPr>
                <w:lang w:val="en-AU"/>
              </w:rPr>
            </w:pPr>
            <w:r w:rsidRPr="00FF7DC3">
              <w:rPr>
                <w:lang w:val="en-AU"/>
              </w:rPr>
              <w:t xml:space="preserve">Following the </w:t>
            </w:r>
            <w:r w:rsidR="006A5AC1" w:rsidRPr="00FF7DC3">
              <w:rPr>
                <w:lang w:val="en-AU"/>
              </w:rPr>
              <w:t xml:space="preserve">IASB’s </w:t>
            </w:r>
            <w:r w:rsidR="001D4BDF" w:rsidRPr="00FF7DC3">
              <w:rPr>
                <w:lang w:val="en-AU"/>
              </w:rPr>
              <w:t>addition of Appendix A</w:t>
            </w:r>
            <w:r w:rsidR="00460BCF" w:rsidRPr="00FF7DC3">
              <w:rPr>
                <w:lang w:val="en-AU"/>
              </w:rPr>
              <w:t xml:space="preserve"> to IAS 21, </w:t>
            </w:r>
            <w:r w:rsidR="00D32387" w:rsidRPr="00FF7DC3">
              <w:rPr>
                <w:lang w:val="en-AU"/>
              </w:rPr>
              <w:t xml:space="preserve">Appendix A </w:t>
            </w:r>
            <w:r w:rsidR="00D32387" w:rsidRPr="00FF7DC3">
              <w:rPr>
                <w:i/>
                <w:iCs/>
                <w:lang w:val="en-AU"/>
              </w:rPr>
              <w:t>Australian simplified disclosures for Tier</w:t>
            </w:r>
            <w:r w:rsidR="00B43A79">
              <w:rPr>
                <w:i/>
                <w:iCs/>
                <w:lang w:val="en-AU"/>
              </w:rPr>
              <w:t> </w:t>
            </w:r>
            <w:r w:rsidR="00D32387" w:rsidRPr="00FF7DC3">
              <w:rPr>
                <w:i/>
                <w:iCs/>
                <w:lang w:val="en-AU"/>
              </w:rPr>
              <w:t>2 entities</w:t>
            </w:r>
            <w:r w:rsidR="00D32387" w:rsidRPr="00FF7DC3">
              <w:rPr>
                <w:lang w:val="en-AU"/>
              </w:rPr>
              <w:t xml:space="preserve"> </w:t>
            </w:r>
            <w:r w:rsidR="0076186E" w:rsidRPr="00FF7DC3">
              <w:rPr>
                <w:lang w:val="en-AU"/>
              </w:rPr>
              <w:t xml:space="preserve">to AASB 121 </w:t>
            </w:r>
            <w:r w:rsidR="00D32387" w:rsidRPr="00FF7DC3">
              <w:rPr>
                <w:lang w:val="en-AU"/>
              </w:rPr>
              <w:t xml:space="preserve">is </w:t>
            </w:r>
            <w:r w:rsidR="00885293" w:rsidRPr="00FF7DC3">
              <w:rPr>
                <w:lang w:val="en-AU"/>
              </w:rPr>
              <w:t xml:space="preserve">relabelled as </w:t>
            </w:r>
            <w:r w:rsidRPr="00FF7DC3">
              <w:rPr>
                <w:lang w:val="en-AU"/>
              </w:rPr>
              <w:t>Appendix B.</w:t>
            </w:r>
            <w:r w:rsidR="00885293" w:rsidRPr="00FF7DC3">
              <w:rPr>
                <w:lang w:val="en-AU"/>
              </w:rPr>
              <w:t xml:space="preserve"> The Appendix is also amended. New text is underlined.</w:t>
            </w:r>
          </w:p>
        </w:tc>
      </w:tr>
    </w:tbl>
    <w:p w14:paraId="58A671F2" w14:textId="77777777" w:rsidR="00334FD6" w:rsidRPr="00FF7DC3" w:rsidRDefault="00334FD6" w:rsidP="00334FD6">
      <w:pPr>
        <w:pStyle w:val="IASBSectionTitle1NonInd"/>
        <w:rPr>
          <w:lang w:val="en-AU"/>
        </w:rPr>
      </w:pPr>
      <w:r w:rsidRPr="00FF7DC3">
        <w:rPr>
          <w:lang w:val="en-AU"/>
        </w:rPr>
        <w:t>Definitions</w:t>
      </w:r>
    </w:p>
    <w:p w14:paraId="046E437C" w14:textId="77777777" w:rsidR="00334FD6" w:rsidRPr="00FF7DC3" w:rsidRDefault="00334FD6" w:rsidP="00334FD6">
      <w:pPr>
        <w:pStyle w:val="IASBNormalnpara"/>
        <w:rPr>
          <w:lang w:val="en-AU"/>
        </w:rPr>
      </w:pPr>
      <w:r w:rsidRPr="00FF7DC3">
        <w:rPr>
          <w:b/>
          <w:lang w:val="en-AU"/>
        </w:rPr>
        <w:t>8</w:t>
      </w:r>
      <w:r w:rsidRPr="00FF7DC3">
        <w:rPr>
          <w:lang w:val="en-AU"/>
        </w:rPr>
        <w:tab/>
      </w:r>
      <w:r w:rsidRPr="00FF7DC3">
        <w:rPr>
          <w:b/>
          <w:lang w:val="en-AU"/>
        </w:rPr>
        <w:t xml:space="preserve">The following terms are used in this Standard with the meanings specified: </w:t>
      </w:r>
    </w:p>
    <w:p w14:paraId="151F951C" w14:textId="77777777" w:rsidR="00334FD6" w:rsidRPr="00FF7DC3" w:rsidRDefault="00334FD6" w:rsidP="00334FD6">
      <w:pPr>
        <w:pStyle w:val="IASBNormalnparaP"/>
        <w:rPr>
          <w:lang w:val="en-AU"/>
        </w:rPr>
      </w:pPr>
      <w:r w:rsidRPr="00FF7DC3">
        <w:rPr>
          <w:b/>
          <w:lang w:val="en-AU"/>
        </w:rPr>
        <w:t>...</w:t>
      </w:r>
    </w:p>
    <w:p w14:paraId="77A81B53" w14:textId="77777777" w:rsidR="00334FD6" w:rsidRPr="00FF7DC3" w:rsidRDefault="00334FD6" w:rsidP="00334FD6">
      <w:pPr>
        <w:pStyle w:val="IASBNormalnparaP"/>
        <w:rPr>
          <w:lang w:val="en-AU"/>
        </w:rPr>
      </w:pPr>
      <w:r w:rsidRPr="00FF7DC3">
        <w:rPr>
          <w:b/>
          <w:u w:val="single"/>
          <w:lang w:val="en-AU"/>
        </w:rPr>
        <w:t xml:space="preserve">A currency is </w:t>
      </w:r>
      <w:r w:rsidRPr="00FF7DC3">
        <w:rPr>
          <w:b/>
          <w:i/>
          <w:u w:val="single"/>
          <w:lang w:val="en-AU"/>
        </w:rPr>
        <w:t>exchangeable</w:t>
      </w:r>
      <w:r w:rsidRPr="00FF7DC3">
        <w:rPr>
          <w:b/>
          <w:u w:val="single"/>
          <w:lang w:val="en-AU"/>
        </w:rPr>
        <w:t xml:space="preserve"> into another currency when an entity is able to obtain the other currency within a time frame that allows for a normal administrative delay and through a market or exchange mechanism in which an exchange transaction would create enforceable rights and obligations.</w:t>
      </w:r>
    </w:p>
    <w:p w14:paraId="072D3C49" w14:textId="77777777" w:rsidR="00334FD6" w:rsidRPr="00FF7DC3" w:rsidRDefault="00334FD6" w:rsidP="00334FD6">
      <w:pPr>
        <w:pStyle w:val="IASBNormalnparaP"/>
        <w:rPr>
          <w:lang w:val="en-AU"/>
        </w:rPr>
      </w:pPr>
      <w:r w:rsidRPr="00FF7DC3">
        <w:rPr>
          <w:b/>
          <w:lang w:val="en-AU"/>
        </w:rPr>
        <w:t>...</w:t>
      </w:r>
    </w:p>
    <w:p w14:paraId="6D6E7D2E" w14:textId="77777777" w:rsidR="00334FD6" w:rsidRPr="00FF7DC3" w:rsidRDefault="00334FD6" w:rsidP="00334FD6">
      <w:pPr>
        <w:pStyle w:val="IASBSectionTitle2Ind"/>
        <w:rPr>
          <w:lang w:val="en-AU"/>
        </w:rPr>
      </w:pPr>
      <w:r w:rsidRPr="00FF7DC3">
        <w:rPr>
          <w:lang w:val="en-AU"/>
        </w:rPr>
        <w:lastRenderedPageBreak/>
        <w:t>Elaboration on the definitions</w:t>
      </w:r>
    </w:p>
    <w:p w14:paraId="42C5448C" w14:textId="77777777" w:rsidR="00334FD6" w:rsidRPr="00FF7DC3" w:rsidRDefault="00334FD6" w:rsidP="00334FD6">
      <w:pPr>
        <w:pStyle w:val="IASBSectionTitle3Ind"/>
        <w:rPr>
          <w:lang w:val="en-AU"/>
        </w:rPr>
      </w:pPr>
      <w:r w:rsidRPr="00FF7DC3">
        <w:rPr>
          <w:u w:val="single"/>
          <w:lang w:val="en-AU"/>
        </w:rPr>
        <w:t>Exchangeable (paragraphs A2–A10)</w:t>
      </w:r>
    </w:p>
    <w:p w14:paraId="24E38BFF" w14:textId="77777777" w:rsidR="00334FD6" w:rsidRPr="00FF7DC3" w:rsidRDefault="00334FD6" w:rsidP="00334FD6">
      <w:pPr>
        <w:pStyle w:val="IASBNormalnpara"/>
        <w:rPr>
          <w:lang w:val="en-AU"/>
        </w:rPr>
      </w:pPr>
      <w:r w:rsidRPr="00FF7DC3">
        <w:rPr>
          <w:u w:val="single"/>
          <w:lang w:val="en-AU"/>
        </w:rPr>
        <w:t>8A</w:t>
      </w:r>
      <w:r w:rsidRPr="00FF7DC3">
        <w:rPr>
          <w:lang w:val="en-AU"/>
        </w:rPr>
        <w:tab/>
      </w:r>
      <w:r w:rsidRPr="00FF7DC3">
        <w:rPr>
          <w:u w:val="single"/>
          <w:lang w:val="en-AU"/>
        </w:rPr>
        <w:t>An entity assesses whether a currency is exchangeable into another currency:</w:t>
      </w:r>
      <w:r w:rsidRPr="00FF7DC3">
        <w:rPr>
          <w:lang w:val="en-AU"/>
        </w:rPr>
        <w:t xml:space="preserve"> </w:t>
      </w:r>
    </w:p>
    <w:p w14:paraId="487E8702" w14:textId="77777777" w:rsidR="00334FD6" w:rsidRPr="00FF7DC3" w:rsidRDefault="00334FD6" w:rsidP="00334FD6">
      <w:pPr>
        <w:pStyle w:val="IASBNormalnparaL1"/>
        <w:rPr>
          <w:lang w:val="en-AU"/>
        </w:rPr>
      </w:pPr>
      <w:r w:rsidRPr="00FF7DC3">
        <w:rPr>
          <w:u w:val="single"/>
          <w:lang w:val="en-AU"/>
        </w:rPr>
        <w:t>(a)</w:t>
      </w:r>
      <w:r w:rsidRPr="00FF7DC3">
        <w:rPr>
          <w:lang w:val="en-AU"/>
        </w:rPr>
        <w:tab/>
      </w:r>
      <w:r w:rsidRPr="00FF7DC3">
        <w:rPr>
          <w:u w:val="single"/>
          <w:lang w:val="en-AU"/>
        </w:rPr>
        <w:t>at a measurement date; and</w:t>
      </w:r>
    </w:p>
    <w:p w14:paraId="390E3B9B" w14:textId="77777777" w:rsidR="00334FD6" w:rsidRPr="00FF7DC3" w:rsidRDefault="00334FD6" w:rsidP="00334FD6">
      <w:pPr>
        <w:pStyle w:val="IASBNormalnparaL1"/>
        <w:rPr>
          <w:lang w:val="en-AU"/>
        </w:rPr>
      </w:pPr>
      <w:r w:rsidRPr="00FF7DC3">
        <w:rPr>
          <w:u w:val="single"/>
          <w:lang w:val="en-AU"/>
        </w:rPr>
        <w:t>(b)</w:t>
      </w:r>
      <w:r w:rsidRPr="00FF7DC3">
        <w:rPr>
          <w:lang w:val="en-AU"/>
        </w:rPr>
        <w:tab/>
      </w:r>
      <w:r w:rsidRPr="00FF7DC3">
        <w:rPr>
          <w:u w:val="single"/>
          <w:lang w:val="en-AU"/>
        </w:rPr>
        <w:t>for a specified purpose.</w:t>
      </w:r>
    </w:p>
    <w:p w14:paraId="72118804" w14:textId="77777777" w:rsidR="00334FD6" w:rsidRPr="00FF7DC3" w:rsidRDefault="00334FD6" w:rsidP="00334FD6">
      <w:pPr>
        <w:pStyle w:val="IASBNormalnpara"/>
        <w:rPr>
          <w:lang w:val="en-AU"/>
        </w:rPr>
      </w:pPr>
      <w:r w:rsidRPr="00FF7DC3">
        <w:rPr>
          <w:u w:val="single"/>
          <w:lang w:val="en-AU"/>
        </w:rPr>
        <w:t>8B</w:t>
      </w:r>
      <w:r w:rsidRPr="00FF7DC3">
        <w:rPr>
          <w:lang w:val="en-AU"/>
        </w:rPr>
        <w:tab/>
      </w:r>
      <w:r w:rsidRPr="00FF7DC3">
        <w:rPr>
          <w:u w:val="single"/>
          <w:lang w:val="en-AU"/>
        </w:rPr>
        <w:t>If an entity is able to obtain no more than an insignificant amount of the other currency at the measurement date for the specified purpose, the currency is not exchangeable into the other currency.</w:t>
      </w:r>
    </w:p>
    <w:p w14:paraId="259BF213" w14:textId="77777777" w:rsidR="00334FD6" w:rsidRPr="00FF7DC3" w:rsidRDefault="00334FD6" w:rsidP="00334FD6">
      <w:pPr>
        <w:pStyle w:val="IASBNormalnpara"/>
        <w:rPr>
          <w:lang w:val="en-AU"/>
        </w:rPr>
      </w:pPr>
      <w:r w:rsidRPr="00FF7DC3">
        <w:rPr>
          <w:lang w:val="en-AU"/>
        </w:rPr>
        <w:tab/>
        <w:t>...</w:t>
      </w:r>
    </w:p>
    <w:p w14:paraId="6AA276AD" w14:textId="77777777" w:rsidR="00334FD6" w:rsidRPr="00FF7DC3" w:rsidRDefault="00334FD6" w:rsidP="00334FD6">
      <w:pPr>
        <w:pStyle w:val="IASBSectionTitle1NonInd"/>
        <w:rPr>
          <w:u w:val="single"/>
          <w:lang w:val="en-AU"/>
        </w:rPr>
      </w:pPr>
      <w:r w:rsidRPr="00FF7DC3">
        <w:rPr>
          <w:u w:val="single"/>
          <w:lang w:val="en-AU"/>
        </w:rPr>
        <w:t>Estimating the spot exchange rate when a currency is not exchangeable (paragraphs A11–A17)</w:t>
      </w:r>
    </w:p>
    <w:p w14:paraId="64CF7624" w14:textId="77777777" w:rsidR="00334FD6" w:rsidRPr="00FF7DC3" w:rsidRDefault="00334FD6" w:rsidP="00EA7ACA">
      <w:pPr>
        <w:pStyle w:val="IASBNormalnpara"/>
        <w:rPr>
          <w:u w:val="single"/>
          <w:lang w:val="en-AU"/>
        </w:rPr>
      </w:pPr>
      <w:r w:rsidRPr="00FF7DC3">
        <w:rPr>
          <w:u w:val="single"/>
          <w:lang w:val="en-AU"/>
        </w:rPr>
        <w:t>19A</w:t>
      </w:r>
      <w:r w:rsidRPr="00FF7DC3">
        <w:rPr>
          <w:lang w:val="en-AU"/>
        </w:rPr>
        <w:tab/>
      </w:r>
      <w:r w:rsidRPr="00FF7DC3">
        <w:rPr>
          <w:u w:val="single"/>
          <w:lang w:val="en-AU"/>
        </w:rPr>
        <w:t>An entity shall estimate the spot exchange rate at a measurement date when a currency is not exchangeable into another currency (as described in paragraphs 8, 8A–8B and A2–A10) at that date. An entity’s objective in estimating the spot exchange rate is to reflect the rate at which an orderly exchange transaction would take place at the measurement date between market participants under prevailing economic conditions.</w:t>
      </w:r>
    </w:p>
    <w:p w14:paraId="02F99462" w14:textId="77777777" w:rsidR="00334FD6" w:rsidRPr="00FF7DC3" w:rsidRDefault="00334FD6" w:rsidP="00334FD6">
      <w:pPr>
        <w:pStyle w:val="IASBSectionTitle1NonInd"/>
        <w:rPr>
          <w:lang w:val="en-AU"/>
        </w:rPr>
      </w:pPr>
      <w:r w:rsidRPr="00FF7DC3">
        <w:rPr>
          <w:lang w:val="en-AU"/>
        </w:rPr>
        <w:t>Reporting foreign currency transactions in the functional currency</w:t>
      </w:r>
    </w:p>
    <w:p w14:paraId="3BBE3850" w14:textId="77777777" w:rsidR="00334FD6" w:rsidRPr="00FF7DC3" w:rsidRDefault="00334FD6" w:rsidP="00334FD6">
      <w:pPr>
        <w:pStyle w:val="IASBNormalnpara"/>
        <w:rPr>
          <w:lang w:val="en-AU"/>
        </w:rPr>
      </w:pPr>
      <w:r w:rsidRPr="00FF7DC3">
        <w:rPr>
          <w:lang w:val="en-AU"/>
        </w:rPr>
        <w:tab/>
        <w:t>...</w:t>
      </w:r>
    </w:p>
    <w:p w14:paraId="0B831E33" w14:textId="77777777" w:rsidR="00334FD6" w:rsidRPr="00FF7DC3" w:rsidRDefault="00334FD6" w:rsidP="00334FD6">
      <w:pPr>
        <w:pStyle w:val="IASBSectionTitle2Ind"/>
        <w:rPr>
          <w:lang w:val="en-AU"/>
        </w:rPr>
      </w:pPr>
      <w:r w:rsidRPr="00FF7DC3">
        <w:rPr>
          <w:lang w:val="en-AU"/>
        </w:rPr>
        <w:t>Reporting at the ends of subsequent reporting periods</w:t>
      </w:r>
    </w:p>
    <w:p w14:paraId="402A396F" w14:textId="77777777" w:rsidR="00334FD6" w:rsidRPr="00FF7DC3" w:rsidRDefault="00334FD6" w:rsidP="00334FD6">
      <w:pPr>
        <w:pStyle w:val="IASBNormalnpara"/>
        <w:rPr>
          <w:lang w:val="en-AU"/>
        </w:rPr>
      </w:pPr>
      <w:r w:rsidRPr="00FF7DC3">
        <w:rPr>
          <w:lang w:val="en-AU"/>
        </w:rPr>
        <w:tab/>
        <w:t>...</w:t>
      </w:r>
    </w:p>
    <w:p w14:paraId="2EEA25ED" w14:textId="4D96612A" w:rsidR="00334FD6" w:rsidRPr="00FF7DC3" w:rsidRDefault="00334FD6" w:rsidP="00334FD6">
      <w:pPr>
        <w:pStyle w:val="IASBNormalnpara"/>
        <w:rPr>
          <w:lang w:val="en-AU"/>
        </w:rPr>
      </w:pPr>
      <w:r w:rsidRPr="00FF7DC3">
        <w:rPr>
          <w:lang w:val="en-AU"/>
        </w:rPr>
        <w:t>26</w:t>
      </w:r>
      <w:r w:rsidRPr="00FF7DC3">
        <w:rPr>
          <w:lang w:val="en-AU"/>
        </w:rPr>
        <w:tab/>
        <w:t xml:space="preserve">When several exchange rates are available, the rate used is that at which the future cash flows represented by the transaction or balance could have been settled if those cash flows had occurred at the measurement date. </w:t>
      </w:r>
      <w:r w:rsidRPr="00FF7DC3">
        <w:rPr>
          <w:strike/>
          <w:lang w:val="en-AU"/>
        </w:rPr>
        <w:t>If</w:t>
      </w:r>
      <w:r w:rsidR="0031079F" w:rsidRPr="00FF7DC3">
        <w:rPr>
          <w:strike/>
          <w:lang w:val="en-AU"/>
        </w:rPr>
        <w:t xml:space="preserve"> </w:t>
      </w:r>
      <w:r w:rsidRPr="00FF7DC3">
        <w:rPr>
          <w:strike/>
          <w:lang w:val="en-AU"/>
        </w:rPr>
        <w:t>exchangeability between two currencies is temporarily lacking, the rate used is the first subsequent rate at which exchanges could be made.</w:t>
      </w:r>
    </w:p>
    <w:p w14:paraId="67BDBD54" w14:textId="77777777" w:rsidR="00334FD6" w:rsidRPr="00FF7DC3" w:rsidRDefault="00334FD6" w:rsidP="00334FD6">
      <w:pPr>
        <w:pStyle w:val="IASBNormalnpara"/>
        <w:rPr>
          <w:lang w:val="en-AU"/>
        </w:rPr>
      </w:pPr>
      <w:r w:rsidRPr="00FF7DC3">
        <w:rPr>
          <w:lang w:val="en-AU"/>
        </w:rPr>
        <w:tab/>
        <w:t>...</w:t>
      </w:r>
    </w:p>
    <w:p w14:paraId="75151D3F" w14:textId="77777777" w:rsidR="00334FD6" w:rsidRPr="00FF7DC3" w:rsidRDefault="00334FD6" w:rsidP="00334FD6">
      <w:pPr>
        <w:pStyle w:val="IASBSectionTitle1NonInd"/>
        <w:rPr>
          <w:lang w:val="en-AU"/>
        </w:rPr>
      </w:pPr>
      <w:r w:rsidRPr="00FF7DC3">
        <w:rPr>
          <w:lang w:val="en-AU"/>
        </w:rPr>
        <w:t>Disclosure</w:t>
      </w:r>
    </w:p>
    <w:p w14:paraId="46100301" w14:textId="77777777" w:rsidR="00334FD6" w:rsidRPr="00FF7DC3" w:rsidRDefault="00334FD6" w:rsidP="00334FD6">
      <w:pPr>
        <w:pStyle w:val="IASBNormalnpara"/>
        <w:rPr>
          <w:lang w:val="en-AU"/>
        </w:rPr>
      </w:pPr>
      <w:r w:rsidRPr="00FF7DC3">
        <w:rPr>
          <w:lang w:val="en-AU"/>
        </w:rPr>
        <w:tab/>
        <w:t>...</w:t>
      </w:r>
    </w:p>
    <w:p w14:paraId="6F5026C9" w14:textId="77777777" w:rsidR="00334FD6" w:rsidRPr="00FF7DC3" w:rsidRDefault="00334FD6" w:rsidP="00334FD6">
      <w:pPr>
        <w:pStyle w:val="IASBNormalnpara"/>
        <w:rPr>
          <w:lang w:val="en-AU"/>
        </w:rPr>
      </w:pPr>
      <w:r w:rsidRPr="00FF7DC3">
        <w:rPr>
          <w:u w:val="single"/>
          <w:lang w:val="en-AU"/>
        </w:rPr>
        <w:t>57A</w:t>
      </w:r>
      <w:r w:rsidRPr="00FF7DC3">
        <w:rPr>
          <w:lang w:val="en-AU"/>
        </w:rPr>
        <w:tab/>
      </w:r>
      <w:r w:rsidRPr="00FF7DC3">
        <w:rPr>
          <w:u w:val="single"/>
          <w:lang w:val="en-AU"/>
        </w:rPr>
        <w:t>When an entity estimates a spot exchange rate because a currency is not exchangeable into another currency (see paragraph 19A), the entity shall disclose information that enables users of its financial statements to understand how the currency not being exchangeable into the other currency affects, or is expected to affect, the entity’s financial performance, financial position and cash flows. To achieve this objective, an entity shall disclose information about:</w:t>
      </w:r>
      <w:r w:rsidRPr="00FF7DC3">
        <w:rPr>
          <w:lang w:val="en-AU"/>
        </w:rPr>
        <w:t xml:space="preserve"> </w:t>
      </w:r>
    </w:p>
    <w:p w14:paraId="70ECDCA9" w14:textId="77777777" w:rsidR="00334FD6" w:rsidRPr="00FF7DC3" w:rsidRDefault="00334FD6" w:rsidP="00334FD6">
      <w:pPr>
        <w:pStyle w:val="IASBNormalnparaL1"/>
        <w:rPr>
          <w:lang w:val="en-AU"/>
        </w:rPr>
      </w:pPr>
      <w:r w:rsidRPr="00FF7DC3">
        <w:rPr>
          <w:u w:val="single"/>
          <w:lang w:val="en-AU"/>
        </w:rPr>
        <w:t>(a)</w:t>
      </w:r>
      <w:r w:rsidRPr="00FF7DC3">
        <w:rPr>
          <w:lang w:val="en-AU"/>
        </w:rPr>
        <w:tab/>
      </w:r>
      <w:r w:rsidRPr="00FF7DC3">
        <w:rPr>
          <w:u w:val="single"/>
          <w:lang w:val="en-AU"/>
        </w:rPr>
        <w:t>the nature and financial effects of the currency not being exchangeable into the other currency;</w:t>
      </w:r>
    </w:p>
    <w:p w14:paraId="49DA321C" w14:textId="77777777" w:rsidR="00334FD6" w:rsidRPr="00FF7DC3" w:rsidRDefault="00334FD6" w:rsidP="00334FD6">
      <w:pPr>
        <w:pStyle w:val="IASBNormalnparaL1"/>
        <w:rPr>
          <w:lang w:val="en-AU"/>
        </w:rPr>
      </w:pPr>
      <w:r w:rsidRPr="00FF7DC3">
        <w:rPr>
          <w:u w:val="single"/>
          <w:lang w:val="en-AU"/>
        </w:rPr>
        <w:t>(b)</w:t>
      </w:r>
      <w:r w:rsidRPr="00FF7DC3">
        <w:rPr>
          <w:lang w:val="en-AU"/>
        </w:rPr>
        <w:tab/>
      </w:r>
      <w:r w:rsidRPr="00FF7DC3">
        <w:rPr>
          <w:u w:val="single"/>
          <w:lang w:val="en-AU"/>
        </w:rPr>
        <w:t>the spot exchange rate(s) used;</w:t>
      </w:r>
    </w:p>
    <w:p w14:paraId="52C1399B" w14:textId="77777777" w:rsidR="00334FD6" w:rsidRPr="00FF7DC3" w:rsidRDefault="00334FD6" w:rsidP="00334FD6">
      <w:pPr>
        <w:pStyle w:val="IASBNormalnparaL1"/>
        <w:rPr>
          <w:lang w:val="en-AU"/>
        </w:rPr>
      </w:pPr>
      <w:r w:rsidRPr="00FF7DC3">
        <w:rPr>
          <w:u w:val="single"/>
          <w:lang w:val="en-AU"/>
        </w:rPr>
        <w:t>(c)</w:t>
      </w:r>
      <w:r w:rsidRPr="00FF7DC3">
        <w:rPr>
          <w:lang w:val="en-AU"/>
        </w:rPr>
        <w:tab/>
      </w:r>
      <w:r w:rsidRPr="00FF7DC3">
        <w:rPr>
          <w:u w:val="single"/>
          <w:lang w:val="en-AU"/>
        </w:rPr>
        <w:t>the estimation process; and</w:t>
      </w:r>
    </w:p>
    <w:p w14:paraId="59CBDC8E" w14:textId="77777777" w:rsidR="00334FD6" w:rsidRPr="00FF7DC3" w:rsidRDefault="00334FD6" w:rsidP="00334FD6">
      <w:pPr>
        <w:pStyle w:val="IASBNormalnparaL1"/>
        <w:rPr>
          <w:lang w:val="en-AU"/>
        </w:rPr>
      </w:pPr>
      <w:r w:rsidRPr="00FF7DC3">
        <w:rPr>
          <w:u w:val="single"/>
          <w:lang w:val="en-AU"/>
        </w:rPr>
        <w:t>(d)</w:t>
      </w:r>
      <w:r w:rsidRPr="00FF7DC3">
        <w:rPr>
          <w:lang w:val="en-AU"/>
        </w:rPr>
        <w:tab/>
      </w:r>
      <w:r w:rsidRPr="00FF7DC3">
        <w:rPr>
          <w:u w:val="single"/>
          <w:lang w:val="en-AU"/>
        </w:rPr>
        <w:t>the risks to which the entity is exposed because of the currency not being exchangeable into the other currency.</w:t>
      </w:r>
    </w:p>
    <w:p w14:paraId="7CD906FA" w14:textId="77777777" w:rsidR="00334FD6" w:rsidRPr="00FF7DC3" w:rsidRDefault="00334FD6" w:rsidP="00334FD6">
      <w:pPr>
        <w:pStyle w:val="IASBNormalnpara"/>
        <w:rPr>
          <w:lang w:val="en-AU"/>
        </w:rPr>
      </w:pPr>
      <w:r w:rsidRPr="00FF7DC3">
        <w:rPr>
          <w:u w:val="single"/>
          <w:lang w:val="en-AU"/>
        </w:rPr>
        <w:t>57B</w:t>
      </w:r>
      <w:r w:rsidRPr="00FF7DC3">
        <w:rPr>
          <w:lang w:val="en-AU"/>
        </w:rPr>
        <w:tab/>
      </w:r>
      <w:r w:rsidRPr="00FF7DC3">
        <w:rPr>
          <w:u w:val="single"/>
          <w:lang w:val="en-AU"/>
        </w:rPr>
        <w:t>Paragraphs A18–A20 specify how an entity applies paragraph 57A.</w:t>
      </w:r>
    </w:p>
    <w:p w14:paraId="2CEDAB65" w14:textId="77777777" w:rsidR="00334FD6" w:rsidRPr="00FF7DC3" w:rsidRDefault="00334FD6" w:rsidP="00334FD6">
      <w:pPr>
        <w:pStyle w:val="IASBSectionTitle1NonInd"/>
        <w:rPr>
          <w:lang w:val="en-AU"/>
        </w:rPr>
      </w:pPr>
      <w:r w:rsidRPr="00FF7DC3">
        <w:rPr>
          <w:lang w:val="en-AU"/>
        </w:rPr>
        <w:t>Effective date and transition</w:t>
      </w:r>
    </w:p>
    <w:p w14:paraId="34D4FDDC" w14:textId="77777777" w:rsidR="00334FD6" w:rsidRPr="00FF7DC3" w:rsidRDefault="00334FD6" w:rsidP="00334FD6">
      <w:pPr>
        <w:pStyle w:val="IASBNormalnpara"/>
        <w:rPr>
          <w:lang w:val="en-AU"/>
        </w:rPr>
      </w:pPr>
      <w:r w:rsidRPr="00FF7DC3">
        <w:rPr>
          <w:lang w:val="en-AU"/>
        </w:rPr>
        <w:tab/>
        <w:t>...</w:t>
      </w:r>
    </w:p>
    <w:p w14:paraId="6A1BB54A" w14:textId="7E893643" w:rsidR="00334FD6" w:rsidRPr="00FF7DC3" w:rsidRDefault="00334FD6" w:rsidP="00334FD6">
      <w:pPr>
        <w:pStyle w:val="IASBNormalnpara"/>
        <w:rPr>
          <w:lang w:val="en-AU"/>
        </w:rPr>
      </w:pPr>
      <w:r w:rsidRPr="00FF7DC3">
        <w:rPr>
          <w:u w:val="single"/>
          <w:lang w:val="en-AU"/>
        </w:rPr>
        <w:t>60L</w:t>
      </w:r>
      <w:r w:rsidRPr="00FF7DC3">
        <w:rPr>
          <w:lang w:val="en-AU"/>
        </w:rPr>
        <w:tab/>
      </w:r>
      <w:r w:rsidR="00655614" w:rsidRPr="00FF7DC3">
        <w:rPr>
          <w:u w:val="single"/>
          <w:lang w:val="en-AU"/>
        </w:rPr>
        <w:t>AASB 2023-</w:t>
      </w:r>
      <w:r w:rsidR="00E86FD8">
        <w:rPr>
          <w:u w:val="single"/>
          <w:lang w:val="en-AU"/>
        </w:rPr>
        <w:t>5</w:t>
      </w:r>
      <w:r w:rsidR="00655614" w:rsidRPr="00FF7DC3">
        <w:rPr>
          <w:u w:val="single"/>
          <w:lang w:val="en-AU"/>
        </w:rPr>
        <w:t xml:space="preserve"> </w:t>
      </w:r>
      <w:r w:rsidR="00655614" w:rsidRPr="00FF7DC3">
        <w:rPr>
          <w:i/>
          <w:iCs/>
          <w:u w:val="single"/>
          <w:lang w:val="en-AU"/>
        </w:rPr>
        <w:t>Amendments to Australian Accounting Standards –</w:t>
      </w:r>
      <w:r w:rsidR="00655614" w:rsidRPr="00FF7DC3">
        <w:rPr>
          <w:u w:val="single"/>
          <w:lang w:val="en-AU"/>
        </w:rPr>
        <w:t xml:space="preserve"> </w:t>
      </w:r>
      <w:r w:rsidRPr="00FF7DC3">
        <w:rPr>
          <w:i/>
          <w:u w:val="single"/>
          <w:lang w:val="en-AU"/>
        </w:rPr>
        <w:t>Lack of Exchangeability</w:t>
      </w:r>
      <w:r w:rsidRPr="00FF7DC3">
        <w:rPr>
          <w:u w:val="single"/>
          <w:lang w:val="en-AU"/>
        </w:rPr>
        <w:t xml:space="preserve">, issued in </w:t>
      </w:r>
      <w:r w:rsidR="00930185">
        <w:rPr>
          <w:u w:val="single"/>
          <w:lang w:val="en-AU"/>
        </w:rPr>
        <w:t>October</w:t>
      </w:r>
      <w:r w:rsidR="00655614" w:rsidRPr="00FF7DC3">
        <w:rPr>
          <w:u w:val="single"/>
          <w:lang w:val="en-AU"/>
        </w:rPr>
        <w:t xml:space="preserve"> </w:t>
      </w:r>
      <w:r w:rsidRPr="00FF7DC3">
        <w:rPr>
          <w:u w:val="single"/>
          <w:lang w:val="en-AU"/>
        </w:rPr>
        <w:t>2023, amended paragraphs 8 and 26, added paragraphs 8A–8B, 19A, 57A–57B and Appendix A</w:t>
      </w:r>
      <w:r w:rsidR="00655614" w:rsidRPr="00FF7DC3">
        <w:rPr>
          <w:u w:val="single"/>
          <w:lang w:val="en-AU"/>
        </w:rPr>
        <w:t xml:space="preserve">, relabelled </w:t>
      </w:r>
      <w:r w:rsidR="00A368B1" w:rsidRPr="00FF7DC3">
        <w:rPr>
          <w:u w:val="single"/>
          <w:lang w:val="en-AU"/>
        </w:rPr>
        <w:lastRenderedPageBreak/>
        <w:t xml:space="preserve">the original </w:t>
      </w:r>
      <w:r w:rsidR="00655614" w:rsidRPr="00FF7DC3">
        <w:rPr>
          <w:u w:val="single"/>
          <w:lang w:val="en-AU"/>
        </w:rPr>
        <w:t>Appendix A as Appendix B</w:t>
      </w:r>
      <w:r w:rsidR="00A368B1" w:rsidRPr="00FF7DC3">
        <w:rPr>
          <w:u w:val="single"/>
          <w:lang w:val="en-AU"/>
        </w:rPr>
        <w:t xml:space="preserve"> and amended it</w:t>
      </w:r>
      <w:r w:rsidRPr="00FF7DC3">
        <w:rPr>
          <w:u w:val="single"/>
          <w:lang w:val="en-AU"/>
        </w:rPr>
        <w:t>. An entity shall apply those amendments for annual reporting periods beginning on or after 1 January 2025. Earlier application is permitted. If an entity applies the amendments for an earlier period, it shall disclose that fact. The date of initial application is the beginning of the annual reporting period in which an entity first applies those amendments.</w:t>
      </w:r>
    </w:p>
    <w:p w14:paraId="4406C5F4" w14:textId="56F4BD41" w:rsidR="00334FD6" w:rsidRPr="00FF7DC3" w:rsidRDefault="00334FD6" w:rsidP="00334FD6">
      <w:pPr>
        <w:pStyle w:val="IASBNormalnpara"/>
        <w:rPr>
          <w:lang w:val="en-AU"/>
        </w:rPr>
      </w:pPr>
      <w:r w:rsidRPr="00FF7DC3">
        <w:rPr>
          <w:u w:val="single"/>
          <w:lang w:val="en-AU"/>
        </w:rPr>
        <w:t>60M</w:t>
      </w:r>
      <w:r w:rsidRPr="00FF7DC3">
        <w:rPr>
          <w:lang w:val="en-AU"/>
        </w:rPr>
        <w:tab/>
      </w:r>
      <w:r w:rsidRPr="00FF7DC3">
        <w:rPr>
          <w:u w:val="single"/>
          <w:lang w:val="en-AU"/>
        </w:rPr>
        <w:t>In applying</w:t>
      </w:r>
      <w:r w:rsidR="00655614" w:rsidRPr="00FF7DC3">
        <w:rPr>
          <w:i/>
          <w:u w:val="single"/>
          <w:lang w:val="en-AU"/>
        </w:rPr>
        <w:t xml:space="preserve"> </w:t>
      </w:r>
      <w:r w:rsidR="00655614" w:rsidRPr="00FF7DC3">
        <w:rPr>
          <w:u w:val="single"/>
          <w:lang w:val="en-AU"/>
        </w:rPr>
        <w:t>AASB 2023-</w:t>
      </w:r>
      <w:r w:rsidR="00E86FD8">
        <w:rPr>
          <w:u w:val="single"/>
          <w:lang w:val="en-AU"/>
        </w:rPr>
        <w:t>5</w:t>
      </w:r>
      <w:r w:rsidRPr="00FF7DC3">
        <w:rPr>
          <w:u w:val="single"/>
          <w:lang w:val="en-AU"/>
        </w:rPr>
        <w:t>, an entity shall not restate comparative information. Instead:</w:t>
      </w:r>
    </w:p>
    <w:p w14:paraId="52E4F4F6" w14:textId="77777777" w:rsidR="00334FD6" w:rsidRPr="00FF7DC3" w:rsidRDefault="00334FD6" w:rsidP="00334FD6">
      <w:pPr>
        <w:pStyle w:val="IASBNormalnparaL1"/>
        <w:rPr>
          <w:lang w:val="en-AU"/>
        </w:rPr>
      </w:pPr>
      <w:r w:rsidRPr="00FF7DC3">
        <w:rPr>
          <w:u w:val="single"/>
          <w:lang w:val="en-AU"/>
        </w:rPr>
        <w:t>(a)</w:t>
      </w:r>
      <w:r w:rsidRPr="00FF7DC3">
        <w:rPr>
          <w:lang w:val="en-AU"/>
        </w:rPr>
        <w:tab/>
      </w:r>
      <w:r w:rsidRPr="00FF7DC3">
        <w:rPr>
          <w:u w:val="single"/>
          <w:lang w:val="en-AU"/>
        </w:rPr>
        <w:t>when the entity reports foreign currency transactions in its functional currency, and, at the date of initial application, concludes that its functional currency is not exchangeable into the foreign currency or, if applicable, concludes that the foreign currency is not exchangeable into its functional currency, the entity shall, at the date of initial application:</w:t>
      </w:r>
    </w:p>
    <w:p w14:paraId="34965A9C" w14:textId="77777777" w:rsidR="00334FD6" w:rsidRPr="00FF7DC3" w:rsidRDefault="00334FD6" w:rsidP="00334FD6">
      <w:pPr>
        <w:pStyle w:val="IASBNormalnparaL2"/>
        <w:rPr>
          <w:lang w:val="en-AU"/>
        </w:rPr>
      </w:pPr>
      <w:r w:rsidRPr="00FF7DC3">
        <w:rPr>
          <w:u w:val="single"/>
          <w:lang w:val="en-AU"/>
        </w:rPr>
        <w:t>(i)</w:t>
      </w:r>
      <w:r w:rsidRPr="00FF7DC3">
        <w:rPr>
          <w:lang w:val="en-AU"/>
        </w:rPr>
        <w:tab/>
      </w:r>
      <w:r w:rsidRPr="00FF7DC3">
        <w:rPr>
          <w:u w:val="single"/>
          <w:lang w:val="en-AU"/>
        </w:rPr>
        <w:t>translate affected foreign currency monetary items, and non-monetary items measured at fair value in a foreign currency, using the estimated spot exchange rate at that date; and</w:t>
      </w:r>
    </w:p>
    <w:p w14:paraId="071ED2F7" w14:textId="77777777" w:rsidR="00334FD6" w:rsidRPr="00FF7DC3" w:rsidRDefault="00334FD6" w:rsidP="00334FD6">
      <w:pPr>
        <w:pStyle w:val="IASBNormalnparaL2"/>
        <w:rPr>
          <w:lang w:val="en-AU"/>
        </w:rPr>
      </w:pPr>
      <w:r w:rsidRPr="00FF7DC3">
        <w:rPr>
          <w:u w:val="single"/>
          <w:lang w:val="en-AU"/>
        </w:rPr>
        <w:t>(ii)</w:t>
      </w:r>
      <w:r w:rsidRPr="00FF7DC3">
        <w:rPr>
          <w:lang w:val="en-AU"/>
        </w:rPr>
        <w:tab/>
      </w:r>
      <w:r w:rsidRPr="00FF7DC3">
        <w:rPr>
          <w:u w:val="single"/>
          <w:lang w:val="en-AU"/>
        </w:rPr>
        <w:t>recognise any effect of initially applying the amendments as an adjustment to the opening balance of retained earnings.</w:t>
      </w:r>
    </w:p>
    <w:p w14:paraId="448FFB5D" w14:textId="77777777" w:rsidR="00334FD6" w:rsidRPr="00FF7DC3" w:rsidRDefault="00334FD6" w:rsidP="00334FD6">
      <w:pPr>
        <w:pStyle w:val="IASBNormalnparaL1"/>
        <w:rPr>
          <w:lang w:val="en-AU"/>
        </w:rPr>
      </w:pPr>
      <w:r w:rsidRPr="00FF7DC3">
        <w:rPr>
          <w:u w:val="single"/>
          <w:lang w:val="en-AU"/>
        </w:rPr>
        <w:t>(b)</w:t>
      </w:r>
      <w:r w:rsidRPr="00FF7DC3">
        <w:rPr>
          <w:lang w:val="en-AU"/>
        </w:rPr>
        <w:tab/>
      </w:r>
      <w:r w:rsidRPr="00FF7DC3">
        <w:rPr>
          <w:u w:val="single"/>
          <w:lang w:val="en-AU"/>
        </w:rPr>
        <w:t>when the entity uses a presentation currency other than its functional currency, or translates the results and financial position of a foreign operation, and, at the date of initial application, concludes that its functional currency (or the foreign operation’s functional currency) is not exchangeable into its presentation currency or, if applicable, concludes that its presentation currency is not exchangeable into its functional currency (or the foreign operation’s functional currency), the entity shall, at the date of initial application:</w:t>
      </w:r>
    </w:p>
    <w:p w14:paraId="62AAEA03" w14:textId="77777777" w:rsidR="00334FD6" w:rsidRPr="00FF7DC3" w:rsidRDefault="00334FD6" w:rsidP="00334FD6">
      <w:pPr>
        <w:pStyle w:val="IASBNormalnparaL2"/>
        <w:rPr>
          <w:lang w:val="en-AU"/>
        </w:rPr>
      </w:pPr>
      <w:r w:rsidRPr="00FF7DC3">
        <w:rPr>
          <w:u w:val="single"/>
          <w:lang w:val="en-AU"/>
        </w:rPr>
        <w:t>(i)</w:t>
      </w:r>
      <w:r w:rsidRPr="00FF7DC3">
        <w:rPr>
          <w:lang w:val="en-AU"/>
        </w:rPr>
        <w:tab/>
      </w:r>
      <w:r w:rsidRPr="00FF7DC3">
        <w:rPr>
          <w:u w:val="single"/>
          <w:lang w:val="en-AU"/>
        </w:rPr>
        <w:t>translate affected assets and liabilities using the estimated spot exchange rate at that date;</w:t>
      </w:r>
    </w:p>
    <w:p w14:paraId="51E05D04" w14:textId="77777777" w:rsidR="00334FD6" w:rsidRPr="00FF7DC3" w:rsidRDefault="00334FD6" w:rsidP="00334FD6">
      <w:pPr>
        <w:pStyle w:val="IASBNormalnparaL2"/>
        <w:rPr>
          <w:lang w:val="en-AU"/>
        </w:rPr>
      </w:pPr>
      <w:r w:rsidRPr="00FF7DC3">
        <w:rPr>
          <w:u w:val="single"/>
          <w:lang w:val="en-AU"/>
        </w:rPr>
        <w:t>(ii)</w:t>
      </w:r>
      <w:r w:rsidRPr="00FF7DC3">
        <w:rPr>
          <w:lang w:val="en-AU"/>
        </w:rPr>
        <w:tab/>
      </w:r>
      <w:r w:rsidRPr="00FF7DC3">
        <w:rPr>
          <w:u w:val="single"/>
          <w:lang w:val="en-AU"/>
        </w:rPr>
        <w:t>translate affected equity items using the estimated spot exchange rate at that date if the entity’s functional currency is hyperinflationary; and</w:t>
      </w:r>
    </w:p>
    <w:p w14:paraId="275D39D2" w14:textId="3F91C9A1" w:rsidR="00334FD6" w:rsidRPr="00FF7DC3" w:rsidRDefault="00334FD6" w:rsidP="00334FD6">
      <w:pPr>
        <w:pStyle w:val="IASBNormalnparaL2"/>
        <w:rPr>
          <w:lang w:val="en-AU"/>
        </w:rPr>
      </w:pPr>
      <w:r w:rsidRPr="00FF7DC3">
        <w:rPr>
          <w:u w:val="single"/>
          <w:lang w:val="en-AU"/>
        </w:rPr>
        <w:t>(iii)</w:t>
      </w:r>
      <w:r w:rsidRPr="00FF7DC3">
        <w:rPr>
          <w:lang w:val="en-AU"/>
        </w:rPr>
        <w:tab/>
      </w:r>
      <w:r w:rsidRPr="00FF7DC3">
        <w:rPr>
          <w:u w:val="single"/>
          <w:lang w:val="en-AU"/>
        </w:rPr>
        <w:t>recognise any effect of initially applying the amendments as an</w:t>
      </w:r>
      <w:r w:rsidR="00BF07DB" w:rsidRPr="00FF7DC3">
        <w:rPr>
          <w:u w:val="single"/>
          <w:lang w:val="en-AU"/>
        </w:rPr>
        <w:t xml:space="preserve"> </w:t>
      </w:r>
      <w:r w:rsidRPr="00FF7DC3">
        <w:rPr>
          <w:u w:val="single"/>
          <w:lang w:val="en-AU"/>
        </w:rPr>
        <w:t>adjustment to the cumulative amount of translation differences</w:t>
      </w:r>
      <w:r w:rsidR="00BF07DB" w:rsidRPr="00FF7DC3">
        <w:rPr>
          <w:u w:val="single"/>
          <w:lang w:val="en-AU"/>
        </w:rPr>
        <w:t xml:space="preserve"> </w:t>
      </w:r>
      <w:r w:rsidR="009A5498">
        <w:rPr>
          <w:u w:val="single"/>
          <w:lang w:val="en-AU"/>
        </w:rPr>
        <w:t>-</w:t>
      </w:r>
      <w:r w:rsidR="00BF07DB" w:rsidRPr="00FF7DC3">
        <w:rPr>
          <w:u w:val="single"/>
          <w:lang w:val="en-AU"/>
        </w:rPr>
        <w:t xml:space="preserve"> </w:t>
      </w:r>
      <w:r w:rsidRPr="00FF7DC3">
        <w:rPr>
          <w:u w:val="single"/>
          <w:lang w:val="en-AU"/>
        </w:rPr>
        <w:t>accumulated in a separate component of equity.</w:t>
      </w:r>
    </w:p>
    <w:p w14:paraId="3E7FFF30" w14:textId="77777777" w:rsidR="00334FD6" w:rsidRPr="00FF7DC3" w:rsidRDefault="00334FD6" w:rsidP="00334FD6">
      <w:pPr>
        <w:pStyle w:val="IASBNormalnpara"/>
        <w:rPr>
          <w:lang w:val="en-AU"/>
        </w:rPr>
      </w:pPr>
      <w:r w:rsidRPr="00FF7DC3">
        <w:rPr>
          <w:lang w:val="en-AU"/>
        </w:rPr>
        <w:tab/>
        <w:t>...</w:t>
      </w:r>
    </w:p>
    <w:p w14:paraId="3B14AA60" w14:textId="77777777" w:rsidR="00334FD6" w:rsidRPr="00FF7DC3" w:rsidRDefault="00334FD6" w:rsidP="00FF7DC3">
      <w:pPr>
        <w:pStyle w:val="IASBSectionTitle2NonInd"/>
        <w:spacing w:before="400"/>
        <w:rPr>
          <w:lang w:val="en-AU"/>
        </w:rPr>
      </w:pPr>
      <w:r w:rsidRPr="00FF7DC3">
        <w:rPr>
          <w:lang w:val="en-AU"/>
        </w:rPr>
        <w:t>Appendix A</w:t>
      </w:r>
      <w:r w:rsidRPr="00FF7DC3">
        <w:rPr>
          <w:lang w:val="en-AU"/>
        </w:rPr>
        <w:br/>
        <w:t>Application guidance</w:t>
      </w:r>
    </w:p>
    <w:p w14:paraId="22D8F1C1" w14:textId="77777777" w:rsidR="00334FD6" w:rsidRPr="00FF7DC3" w:rsidRDefault="00334FD6" w:rsidP="00334FD6">
      <w:pPr>
        <w:pStyle w:val="IASBNormal"/>
        <w:rPr>
          <w:lang w:val="en-AU"/>
        </w:rPr>
      </w:pPr>
      <w:r w:rsidRPr="00FF7DC3">
        <w:rPr>
          <w:i/>
          <w:lang w:val="en-AU"/>
        </w:rPr>
        <w:t>This appendix is an integral part of the Standard.</w:t>
      </w:r>
    </w:p>
    <w:p w14:paraId="77BF3A86" w14:textId="77777777" w:rsidR="00334FD6" w:rsidRPr="00FF7DC3" w:rsidRDefault="00334FD6" w:rsidP="00334FD6">
      <w:pPr>
        <w:pStyle w:val="IASBSectionTitle1NonInd"/>
        <w:rPr>
          <w:lang w:val="en-AU"/>
        </w:rPr>
      </w:pPr>
      <w:r w:rsidRPr="00FF7DC3">
        <w:rPr>
          <w:lang w:val="en-AU"/>
        </w:rPr>
        <w:t>Exchangeability</w:t>
      </w:r>
    </w:p>
    <w:p w14:paraId="7E351678" w14:textId="77777777" w:rsidR="00334FD6" w:rsidRDefault="00334FD6" w:rsidP="00334FD6">
      <w:pPr>
        <w:pStyle w:val="IASBNormalnpara"/>
        <w:rPr>
          <w:lang w:val="en-AU"/>
        </w:rPr>
      </w:pPr>
      <w:r w:rsidRPr="00FF7DC3">
        <w:rPr>
          <w:lang w:val="en-AU"/>
        </w:rPr>
        <w:t>A1</w:t>
      </w:r>
      <w:r w:rsidRPr="00FF7DC3">
        <w:rPr>
          <w:lang w:val="en-AU"/>
        </w:rPr>
        <w:tab/>
        <w:t>The purpose of the following diagram is to help entities assess whether a currency is exchangeable and estimate the spot exchange rate when a currency is not exchangeable.</w:t>
      </w:r>
    </w:p>
    <w:p w14:paraId="55ABFA18" w14:textId="77777777" w:rsidR="00334FD6" w:rsidRPr="00FF7DC3" w:rsidRDefault="00334FD6" w:rsidP="00165089">
      <w:pPr>
        <w:pStyle w:val="IASBNormal"/>
        <w:spacing w:before="240" w:after="120"/>
        <w:ind w:left="794"/>
        <w:rPr>
          <w:lang w:val="en-AU"/>
        </w:rPr>
      </w:pPr>
      <w:r w:rsidRPr="00FF7DC3">
        <w:rPr>
          <w:noProof/>
          <w:lang w:val="en-AU"/>
        </w:rPr>
        <w:lastRenderedPageBreak/>
        <mc:AlternateContent>
          <mc:Choice Requires="wpg">
            <w:drawing>
              <wp:inline distT="0" distB="0" distL="0" distR="0" wp14:anchorId="27A44B57" wp14:editId="158D8DF1">
                <wp:extent cx="5135323" cy="3054720"/>
                <wp:effectExtent l="0" t="0" r="27305" b="12700"/>
                <wp:docPr id="20" name="Group 20" descr="Diagram to help entities assess whether a currency is exchangeable and estimate the spot exchange rate when a currency is not exchangeable.">
                  <a:extLst xmlns:a="http://schemas.openxmlformats.org/drawingml/2006/main">
                    <a:ext uri="{FF2B5EF4-FFF2-40B4-BE49-F238E27FC236}">
                      <a16:creationId xmlns:a16="http://schemas.microsoft.com/office/drawing/2014/main" id="{C43E1FE3-81A5-282F-295E-D614AE116675}"/>
                    </a:ext>
                  </a:extLst>
                </wp:docPr>
                <wp:cNvGraphicFramePr/>
                <a:graphic xmlns:a="http://schemas.openxmlformats.org/drawingml/2006/main">
                  <a:graphicData uri="http://schemas.microsoft.com/office/word/2010/wordprocessingGroup">
                    <wpg:wgp>
                      <wpg:cNvGrpSpPr/>
                      <wpg:grpSpPr>
                        <a:xfrm>
                          <a:off x="0" y="0"/>
                          <a:ext cx="5135323" cy="3054720"/>
                          <a:chOff x="0" y="6524"/>
                          <a:chExt cx="3666616" cy="2672613"/>
                        </a:xfrm>
                      </wpg:grpSpPr>
                      <wpg:grpSp>
                        <wpg:cNvPr id="1260904094" name="Group 1260904094">
                          <a:extLst>
                            <a:ext uri="{FF2B5EF4-FFF2-40B4-BE49-F238E27FC236}">
                              <a16:creationId xmlns:a16="http://schemas.microsoft.com/office/drawing/2014/main" id="{EE1CF079-C47A-3691-E956-9C260F0169CE}"/>
                            </a:ext>
                          </a:extLst>
                        </wpg:cNvPr>
                        <wpg:cNvGrpSpPr/>
                        <wpg:grpSpPr>
                          <a:xfrm>
                            <a:off x="85020" y="6524"/>
                            <a:ext cx="3581596" cy="2672430"/>
                            <a:chOff x="85020" y="6524"/>
                            <a:chExt cx="3581596" cy="2672430"/>
                          </a:xfrm>
                        </wpg:grpSpPr>
                        <wps:wsp>
                          <wps:cNvPr id="1147762090" name="object 4"/>
                          <wps:cNvSpPr txBox="1"/>
                          <wps:spPr>
                            <a:xfrm>
                              <a:off x="145433" y="124196"/>
                              <a:ext cx="1011630" cy="855368"/>
                            </a:xfrm>
                            <a:prstGeom prst="rect">
                              <a:avLst/>
                            </a:prstGeom>
                          </wps:spPr>
                          <wps:txbx>
                            <w:txbxContent>
                              <w:p w14:paraId="57D1E198" w14:textId="7B459784" w:rsidR="00334FD6" w:rsidRPr="00165089" w:rsidRDefault="00334FD6" w:rsidP="00334FD6">
                                <w:pPr>
                                  <w:spacing w:before="19" w:line="244" w:lineRule="auto"/>
                                  <w:ind w:left="14" w:right="14"/>
                                  <w:jc w:val="center"/>
                                  <w:rPr>
                                    <w:rFonts w:ascii="Arial" w:hAnsi="Arial" w:cs="Arial"/>
                                    <w:color w:val="231F20"/>
                                    <w:sz w:val="18"/>
                                    <w:szCs w:val="18"/>
                                  </w:rPr>
                                </w:pPr>
                                <w:r w:rsidRPr="00165089">
                                  <w:rPr>
                                    <w:rFonts w:ascii="Arial" w:hAnsi="Arial" w:cs="Arial"/>
                                    <w:color w:val="231F20"/>
                                    <w:sz w:val="18"/>
                                    <w:szCs w:val="18"/>
                                  </w:rPr>
                                  <w:t>Is</w:t>
                                </w:r>
                                <w:r w:rsidRPr="00165089">
                                  <w:rPr>
                                    <w:rFonts w:ascii="Arial" w:hAnsi="Arial" w:cs="Arial"/>
                                    <w:color w:val="231F20"/>
                                    <w:spacing w:val="-4"/>
                                    <w:sz w:val="18"/>
                                    <w:szCs w:val="18"/>
                                  </w:rPr>
                                  <w:t xml:space="preserve"> </w:t>
                                </w:r>
                                <w:r w:rsidRPr="00165089">
                                  <w:rPr>
                                    <w:rFonts w:ascii="Arial" w:hAnsi="Arial" w:cs="Arial"/>
                                    <w:color w:val="231F20"/>
                                    <w:sz w:val="18"/>
                                    <w:szCs w:val="18"/>
                                  </w:rPr>
                                  <w:t>the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currency exchangeable</w:t>
                                </w:r>
                                <w:r w:rsidRPr="00165089">
                                  <w:rPr>
                                    <w:rFonts w:ascii="Arial" w:hAnsi="Arial" w:cs="Arial"/>
                                    <w:color w:val="231F20"/>
                                    <w:spacing w:val="-8"/>
                                    <w:sz w:val="18"/>
                                    <w:szCs w:val="18"/>
                                  </w:rPr>
                                  <w:t xml:space="preserve"> </w:t>
                                </w:r>
                                <w:r w:rsidRPr="00165089">
                                  <w:rPr>
                                    <w:rFonts w:ascii="Arial" w:hAnsi="Arial" w:cs="Arial"/>
                                    <w:color w:val="231F20"/>
                                    <w:sz w:val="18"/>
                                    <w:szCs w:val="18"/>
                                  </w:rPr>
                                  <w:t>into</w:t>
                                </w:r>
                                <w:r w:rsidRPr="00165089">
                                  <w:rPr>
                                    <w:rFonts w:ascii="Arial" w:hAnsi="Arial" w:cs="Arial"/>
                                    <w:color w:val="231F20"/>
                                    <w:spacing w:val="-7"/>
                                    <w:sz w:val="18"/>
                                    <w:szCs w:val="18"/>
                                  </w:rPr>
                                  <w:t xml:space="preserve"> </w:t>
                                </w:r>
                                <w:r w:rsidRPr="00165089">
                                  <w:rPr>
                                    <w:rFonts w:ascii="Arial" w:hAnsi="Arial" w:cs="Arial"/>
                                    <w:color w:val="231F20"/>
                                    <w:spacing w:val="-5"/>
                                    <w:sz w:val="18"/>
                                    <w:szCs w:val="18"/>
                                  </w:rPr>
                                  <w:t>the</w:t>
                                </w:r>
                                <w:r w:rsidRPr="00165089">
                                  <w:rPr>
                                    <w:rFonts w:ascii="Arial" w:hAnsi="Arial" w:cs="Arial"/>
                                    <w:color w:val="231F20"/>
                                    <w:sz w:val="18"/>
                                    <w:szCs w:val="18"/>
                                  </w:rPr>
                                  <w:t xml:space="preserve"> </w:t>
                                </w:r>
                                <w:r w:rsidR="000A6824">
                                  <w:rPr>
                                    <w:rFonts w:ascii="Arial" w:hAnsi="Arial" w:cs="Arial"/>
                                    <w:color w:val="231F20"/>
                                    <w:sz w:val="18"/>
                                    <w:szCs w:val="18"/>
                                  </w:rPr>
                                  <w:br/>
                                </w:r>
                                <w:r w:rsidRPr="00165089">
                                  <w:rPr>
                                    <w:rFonts w:ascii="Arial" w:hAnsi="Arial" w:cs="Arial"/>
                                    <w:color w:val="231F20"/>
                                    <w:sz w:val="18"/>
                                    <w:szCs w:val="18"/>
                                  </w:rPr>
                                  <w:t>other</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currency</w:t>
                                </w:r>
                                <w:r w:rsidRPr="00165089">
                                  <w:rPr>
                                    <w:rFonts w:ascii="Arial" w:hAnsi="Arial" w:cs="Arial"/>
                                    <w:color w:val="231F20"/>
                                    <w:spacing w:val="-3"/>
                                    <w:sz w:val="18"/>
                                    <w:szCs w:val="18"/>
                                  </w:rPr>
                                  <w:t xml:space="preserve"> </w:t>
                                </w:r>
                                <w:r w:rsidRPr="00165089">
                                  <w:rPr>
                                    <w:rFonts w:ascii="Arial" w:hAnsi="Arial" w:cs="Arial"/>
                                    <w:color w:val="231F20"/>
                                    <w:sz w:val="18"/>
                                    <w:szCs w:val="18"/>
                                  </w:rPr>
                                  <w:t>at</w:t>
                                </w:r>
                                <w:r w:rsidRPr="00165089">
                                  <w:rPr>
                                    <w:rFonts w:ascii="Arial" w:hAnsi="Arial" w:cs="Arial"/>
                                    <w:color w:val="231F20"/>
                                    <w:spacing w:val="-3"/>
                                    <w:sz w:val="18"/>
                                    <w:szCs w:val="18"/>
                                  </w:rPr>
                                  <w:t xml:space="preserve"> </w:t>
                                </w:r>
                                <w:r w:rsidRPr="00165089">
                                  <w:rPr>
                                    <w:rFonts w:ascii="Arial" w:hAnsi="Arial" w:cs="Arial"/>
                                    <w:color w:val="231F20"/>
                                    <w:spacing w:val="-5"/>
                                    <w:sz w:val="18"/>
                                    <w:szCs w:val="18"/>
                                  </w:rPr>
                                  <w:t>the</w:t>
                                </w:r>
                                <w:r w:rsidRPr="00165089">
                                  <w:rPr>
                                    <w:rFonts w:ascii="Arial" w:hAnsi="Arial" w:cs="Arial"/>
                                    <w:color w:val="231F20"/>
                                    <w:spacing w:val="-2"/>
                                    <w:sz w:val="18"/>
                                    <w:szCs w:val="18"/>
                                  </w:rPr>
                                  <w:t xml:space="preserve"> measurement </w:t>
                                </w:r>
                                <w:r w:rsidRPr="00165089">
                                  <w:rPr>
                                    <w:rFonts w:ascii="Arial" w:hAnsi="Arial" w:cs="Arial"/>
                                    <w:color w:val="231F20"/>
                                    <w:sz w:val="18"/>
                                    <w:szCs w:val="18"/>
                                  </w:rPr>
                                  <w:t>date</w:t>
                                </w:r>
                                <w:r w:rsidRPr="00165089">
                                  <w:rPr>
                                    <w:rFonts w:ascii="Arial" w:hAnsi="Arial" w:cs="Arial"/>
                                    <w:color w:val="231F20"/>
                                    <w:spacing w:val="-2"/>
                                    <w:sz w:val="18"/>
                                    <w:szCs w:val="18"/>
                                  </w:rPr>
                                  <w:t xml:space="preserve"> </w:t>
                                </w:r>
                                <w:r w:rsidRPr="00165089">
                                  <w:rPr>
                                    <w:rFonts w:ascii="Arial" w:hAnsi="Arial" w:cs="Arial"/>
                                    <w:color w:val="231F20"/>
                                    <w:spacing w:val="-5"/>
                                    <w:sz w:val="18"/>
                                    <w:szCs w:val="18"/>
                                  </w:rPr>
                                  <w:t>for</w:t>
                                </w:r>
                                <w:r w:rsidRPr="00165089">
                                  <w:rPr>
                                    <w:rFonts w:ascii="Arial" w:hAnsi="Arial" w:cs="Arial"/>
                                    <w:color w:val="231F20"/>
                                    <w:sz w:val="18"/>
                                    <w:szCs w:val="18"/>
                                  </w:rPr>
                                  <w:t xml:space="preserve"> </w:t>
                                </w:r>
                                <w:r w:rsidR="000A6824">
                                  <w:rPr>
                                    <w:rFonts w:ascii="Arial" w:hAnsi="Arial" w:cs="Arial"/>
                                    <w:color w:val="231F20"/>
                                    <w:sz w:val="18"/>
                                    <w:szCs w:val="18"/>
                                  </w:rPr>
                                  <w:br/>
                                </w:r>
                                <w:r w:rsidRPr="00165089">
                                  <w:rPr>
                                    <w:rFonts w:ascii="Arial" w:hAnsi="Arial" w:cs="Arial"/>
                                    <w:color w:val="231F20"/>
                                    <w:sz w:val="18"/>
                                    <w:szCs w:val="18"/>
                                  </w:rPr>
                                  <w:t>the</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 xml:space="preserve">specified purpose </w:t>
                                </w:r>
                                <w:r w:rsidR="00165089">
                                  <w:rPr>
                                    <w:rFonts w:ascii="Arial" w:hAnsi="Arial" w:cs="Arial"/>
                                    <w:color w:val="231F20"/>
                                    <w:spacing w:val="-2"/>
                                    <w:sz w:val="18"/>
                                    <w:szCs w:val="18"/>
                                  </w:rPr>
                                  <w:br/>
                                </w:r>
                                <w:r w:rsidRPr="00165089">
                                  <w:rPr>
                                    <w:rFonts w:ascii="Arial" w:hAnsi="Arial" w:cs="Arial"/>
                                    <w:color w:val="231F20"/>
                                    <w:sz w:val="18"/>
                                    <w:szCs w:val="18"/>
                                  </w:rPr>
                                  <w:t>(see</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 xml:space="preserve">paragraphs </w:t>
                                </w:r>
                                <w:r w:rsidRPr="00165089">
                                  <w:rPr>
                                    <w:rFonts w:ascii="Arial" w:hAnsi="Arial" w:cs="Arial"/>
                                    <w:color w:val="231F20"/>
                                    <w:spacing w:val="-5"/>
                                    <w:sz w:val="18"/>
                                    <w:szCs w:val="18"/>
                                  </w:rPr>
                                  <w:t>8,</w:t>
                                </w:r>
                                <w:r w:rsidRPr="00165089">
                                  <w:rPr>
                                    <w:rFonts w:ascii="Arial" w:hAnsi="Arial" w:cs="Arial"/>
                                    <w:color w:val="231F20"/>
                                    <w:sz w:val="18"/>
                                    <w:szCs w:val="18"/>
                                  </w:rPr>
                                  <w:t xml:space="preserve"> 8A–8B</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and</w:t>
                                </w:r>
                                <w:r w:rsidRPr="00165089">
                                  <w:rPr>
                                    <w:rFonts w:ascii="Arial" w:hAnsi="Arial" w:cs="Arial"/>
                                    <w:color w:val="231F20"/>
                                    <w:spacing w:val="-10"/>
                                    <w:sz w:val="18"/>
                                    <w:szCs w:val="18"/>
                                  </w:rPr>
                                  <w:t xml:space="preserve"> </w:t>
                                </w:r>
                                <w:r w:rsidRPr="00165089">
                                  <w:rPr>
                                    <w:rFonts w:ascii="Arial" w:hAnsi="Arial" w:cs="Arial"/>
                                    <w:color w:val="231F20"/>
                                    <w:spacing w:val="-2"/>
                                    <w:sz w:val="18"/>
                                    <w:szCs w:val="18"/>
                                  </w:rPr>
                                  <w:t>A2–A10)?</w:t>
                                </w:r>
                              </w:p>
                            </w:txbxContent>
                          </wps:txbx>
                          <wps:bodyPr vert="horz" wrap="square" lIns="0" tIns="12065" rIns="0" bIns="0" rtlCol="0">
                            <a:noAutofit/>
                          </wps:bodyPr>
                        </wps:wsp>
                        <wpg:grpSp>
                          <wpg:cNvPr id="316859867" name="Group 316859867">
                            <a:extLst>
                              <a:ext uri="{FF2B5EF4-FFF2-40B4-BE49-F238E27FC236}">
                                <a16:creationId xmlns:a16="http://schemas.microsoft.com/office/drawing/2014/main" id="{B6BE128C-7438-D7BD-CDB2-8957DCF713DE}"/>
                              </a:ext>
                            </a:extLst>
                          </wpg:cNvPr>
                          <wpg:cNvGrpSpPr/>
                          <wpg:grpSpPr>
                            <a:xfrm>
                              <a:off x="85020" y="6524"/>
                              <a:ext cx="3581596" cy="2672430"/>
                              <a:chOff x="85020" y="6524"/>
                              <a:chExt cx="3581596" cy="2672430"/>
                            </a:xfrm>
                          </wpg:grpSpPr>
                          <wps:wsp>
                            <wps:cNvPr id="606506221" name="object 2"/>
                            <wps:cNvSpPr txBox="1"/>
                            <wps:spPr>
                              <a:xfrm>
                                <a:off x="2646554" y="6524"/>
                                <a:ext cx="1020062" cy="1167686"/>
                              </a:xfrm>
                              <a:prstGeom prst="rect">
                                <a:avLst/>
                              </a:prstGeom>
                              <a:ln w="19050">
                                <a:solidFill>
                                  <a:srgbClr val="231F20"/>
                                </a:solidFill>
                                <a:prstDash val="dash"/>
                              </a:ln>
                            </wps:spPr>
                            <wps:txbx>
                              <w:txbxContent>
                                <w:p w14:paraId="0A50EEA5" w14:textId="36E916FD" w:rsidR="00334FD6" w:rsidRPr="00165089" w:rsidRDefault="00334FD6" w:rsidP="005F7299">
                                  <w:pPr>
                                    <w:spacing w:before="480" w:line="244" w:lineRule="auto"/>
                                    <w:ind w:left="202" w:right="187"/>
                                    <w:jc w:val="center"/>
                                    <w:rPr>
                                      <w:rFonts w:ascii="Arial" w:hAnsi="Arial" w:cs="Arial"/>
                                      <w:color w:val="231F20"/>
                                      <w:sz w:val="18"/>
                                      <w:szCs w:val="18"/>
                                    </w:rPr>
                                  </w:pPr>
                                  <w:r w:rsidRPr="00165089">
                                    <w:rPr>
                                      <w:rFonts w:ascii="Arial" w:hAnsi="Arial" w:cs="Arial"/>
                                      <w:color w:val="231F20"/>
                                      <w:sz w:val="18"/>
                                      <w:szCs w:val="18"/>
                                    </w:rPr>
                                    <w:t>Step</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I:</w:t>
                                  </w:r>
                                  <w:r w:rsidRPr="00165089">
                                    <w:rPr>
                                      <w:rFonts w:ascii="Arial" w:hAnsi="Arial" w:cs="Arial"/>
                                      <w:color w:val="231F20"/>
                                      <w:spacing w:val="-19"/>
                                      <w:sz w:val="18"/>
                                      <w:szCs w:val="18"/>
                                    </w:rPr>
                                    <w:t xml:space="preserve"> </w:t>
                                  </w:r>
                                  <w:r w:rsidR="00165089">
                                    <w:rPr>
                                      <w:rFonts w:ascii="Arial" w:hAnsi="Arial" w:cs="Arial"/>
                                      <w:color w:val="231F20"/>
                                      <w:spacing w:val="-19"/>
                                      <w:sz w:val="18"/>
                                      <w:szCs w:val="18"/>
                                    </w:rPr>
                                    <w:t xml:space="preserve"> </w:t>
                                  </w:r>
                                  <w:r w:rsidRPr="00165089">
                                    <w:rPr>
                                      <w:rFonts w:ascii="Arial" w:hAnsi="Arial" w:cs="Arial"/>
                                      <w:color w:val="231F20"/>
                                      <w:spacing w:val="-2"/>
                                      <w:sz w:val="18"/>
                                      <w:szCs w:val="18"/>
                                    </w:rPr>
                                    <w:t xml:space="preserve">Assessing </w:t>
                                  </w:r>
                                  <w:r w:rsidRPr="00165089">
                                    <w:rPr>
                                      <w:rFonts w:ascii="Arial" w:hAnsi="Arial" w:cs="Arial"/>
                                      <w:color w:val="231F20"/>
                                      <w:sz w:val="18"/>
                                      <w:szCs w:val="18"/>
                                    </w:rPr>
                                    <w:t>whether</w:t>
                                  </w:r>
                                  <w:r w:rsidRPr="00165089">
                                    <w:rPr>
                                      <w:rFonts w:ascii="Arial" w:hAnsi="Arial" w:cs="Arial"/>
                                      <w:color w:val="231F20"/>
                                      <w:spacing w:val="-10"/>
                                      <w:sz w:val="18"/>
                                      <w:szCs w:val="18"/>
                                    </w:rPr>
                                    <w:t xml:space="preserve"> a</w:t>
                                  </w:r>
                                  <w:r w:rsidRPr="00165089">
                                    <w:rPr>
                                      <w:rFonts w:ascii="Arial" w:hAnsi="Arial" w:cs="Arial"/>
                                      <w:color w:val="231F20"/>
                                      <w:spacing w:val="-2"/>
                                      <w:sz w:val="18"/>
                                      <w:szCs w:val="18"/>
                                    </w:rPr>
                                    <w:t xml:space="preserve"> currency</w:t>
                                  </w:r>
                                  <w:r w:rsidRPr="00165089">
                                    <w:rPr>
                                      <w:rFonts w:ascii="Arial" w:hAnsi="Arial" w:cs="Arial"/>
                                      <w:color w:val="231F20"/>
                                      <w:sz w:val="18"/>
                                      <w:szCs w:val="18"/>
                                    </w:rPr>
                                    <w:t xml:space="preserve"> </w:t>
                                  </w:r>
                                  <w:r w:rsidRPr="00165089">
                                    <w:rPr>
                                      <w:rFonts w:ascii="Arial" w:hAnsi="Arial" w:cs="Arial"/>
                                      <w:color w:val="231F20"/>
                                      <w:spacing w:val="-5"/>
                                      <w:sz w:val="18"/>
                                      <w:szCs w:val="18"/>
                                    </w:rPr>
                                    <w:t>is</w:t>
                                  </w:r>
                                  <w:r w:rsidRPr="00165089">
                                    <w:rPr>
                                      <w:rFonts w:ascii="Arial" w:hAnsi="Arial" w:cs="Arial"/>
                                      <w:color w:val="231F20"/>
                                      <w:spacing w:val="-2"/>
                                      <w:sz w:val="18"/>
                                      <w:szCs w:val="18"/>
                                    </w:rPr>
                                    <w:t xml:space="preserve"> exchangeable</w:t>
                                  </w:r>
                                </w:p>
                              </w:txbxContent>
                            </wps:txbx>
                            <wps:bodyPr vert="horz" wrap="square" lIns="0" tIns="0" rIns="0" bIns="0" rtlCol="0">
                              <a:noAutofit/>
                            </wps:bodyPr>
                          </wps:wsp>
                          <wps:wsp>
                            <wps:cNvPr id="1963211543" name="object 3"/>
                            <wps:cNvSpPr txBox="1"/>
                            <wps:spPr>
                              <a:xfrm>
                                <a:off x="2646405" y="1260754"/>
                                <a:ext cx="1019427" cy="1418200"/>
                              </a:xfrm>
                              <a:prstGeom prst="rect">
                                <a:avLst/>
                              </a:prstGeom>
                              <a:ln w="19050">
                                <a:solidFill>
                                  <a:srgbClr val="231F20"/>
                                </a:solidFill>
                                <a:prstDash val="dash"/>
                              </a:ln>
                            </wps:spPr>
                            <wps:txbx>
                              <w:txbxContent>
                                <w:p w14:paraId="733DD95B" w14:textId="2723C293" w:rsidR="00334FD6" w:rsidRPr="00165089" w:rsidRDefault="00334FD6" w:rsidP="005F7299">
                                  <w:pPr>
                                    <w:spacing w:before="600" w:line="244" w:lineRule="auto"/>
                                    <w:ind w:left="158" w:right="144"/>
                                    <w:jc w:val="center"/>
                                    <w:rPr>
                                      <w:rFonts w:ascii="Arial" w:hAnsi="Arial" w:cs="Arial"/>
                                      <w:color w:val="231F20"/>
                                      <w:sz w:val="18"/>
                                      <w:szCs w:val="18"/>
                                    </w:rPr>
                                  </w:pPr>
                                  <w:r w:rsidRPr="00165089">
                                    <w:rPr>
                                      <w:rFonts w:ascii="Arial" w:hAnsi="Arial" w:cs="Arial"/>
                                      <w:color w:val="231F20"/>
                                      <w:sz w:val="18"/>
                                      <w:szCs w:val="18"/>
                                    </w:rPr>
                                    <w:t>Step</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II:</w:t>
                                  </w:r>
                                  <w:r w:rsidRPr="00165089">
                                    <w:rPr>
                                      <w:rFonts w:ascii="Arial" w:hAnsi="Arial" w:cs="Arial"/>
                                      <w:color w:val="231F20"/>
                                      <w:spacing w:val="-11"/>
                                      <w:sz w:val="18"/>
                                      <w:szCs w:val="18"/>
                                    </w:rPr>
                                    <w:t xml:space="preserve"> </w:t>
                                  </w:r>
                                  <w:r w:rsidR="00165089">
                                    <w:rPr>
                                      <w:rFonts w:ascii="Arial" w:hAnsi="Arial" w:cs="Arial"/>
                                      <w:color w:val="231F20"/>
                                      <w:spacing w:val="-11"/>
                                      <w:sz w:val="18"/>
                                      <w:szCs w:val="18"/>
                                    </w:rPr>
                                    <w:t xml:space="preserve"> </w:t>
                                  </w:r>
                                  <w:r w:rsidRPr="00165089">
                                    <w:rPr>
                                      <w:rFonts w:ascii="Arial" w:hAnsi="Arial" w:cs="Arial"/>
                                      <w:color w:val="231F20"/>
                                      <w:spacing w:val="-2"/>
                                      <w:sz w:val="18"/>
                                      <w:szCs w:val="18"/>
                                    </w:rPr>
                                    <w:t xml:space="preserve">Estimating </w:t>
                                  </w:r>
                                  <w:r w:rsidRPr="00165089">
                                    <w:rPr>
                                      <w:rFonts w:ascii="Arial" w:hAnsi="Arial" w:cs="Arial"/>
                                      <w:color w:val="231F20"/>
                                      <w:sz w:val="18"/>
                                      <w:szCs w:val="18"/>
                                    </w:rPr>
                                    <w:t>the</w:t>
                                  </w:r>
                                  <w:r w:rsidRPr="00165089">
                                    <w:rPr>
                                      <w:rFonts w:ascii="Arial" w:hAnsi="Arial" w:cs="Arial"/>
                                      <w:color w:val="231F20"/>
                                      <w:spacing w:val="-6"/>
                                      <w:sz w:val="18"/>
                                      <w:szCs w:val="18"/>
                                    </w:rPr>
                                    <w:t xml:space="preserve"> </w:t>
                                  </w:r>
                                  <w:r w:rsidRPr="00165089">
                                    <w:rPr>
                                      <w:rFonts w:ascii="Arial" w:hAnsi="Arial" w:cs="Arial"/>
                                      <w:color w:val="231F20"/>
                                      <w:sz w:val="18"/>
                                      <w:szCs w:val="18"/>
                                    </w:rPr>
                                    <w:t>spot</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exchange rate</w:t>
                                  </w:r>
                                  <w:r w:rsidRPr="00165089">
                                    <w:rPr>
                                      <w:rFonts w:ascii="Arial" w:hAnsi="Arial" w:cs="Arial"/>
                                      <w:color w:val="231F20"/>
                                      <w:spacing w:val="-5"/>
                                      <w:sz w:val="18"/>
                                      <w:szCs w:val="18"/>
                                    </w:rPr>
                                    <w:t xml:space="preserve"> </w:t>
                                  </w:r>
                                  <w:r w:rsidRPr="00165089">
                                    <w:rPr>
                                      <w:rFonts w:ascii="Arial" w:hAnsi="Arial" w:cs="Arial"/>
                                      <w:color w:val="231F20"/>
                                      <w:sz w:val="18"/>
                                      <w:szCs w:val="18"/>
                                    </w:rPr>
                                    <w:t>when</w:t>
                                  </w:r>
                                  <w:r w:rsidRPr="00165089">
                                    <w:rPr>
                                      <w:rFonts w:ascii="Arial" w:hAnsi="Arial" w:cs="Arial"/>
                                      <w:color w:val="231F20"/>
                                      <w:spacing w:val="-4"/>
                                      <w:sz w:val="18"/>
                                      <w:szCs w:val="18"/>
                                    </w:rPr>
                                    <w:t xml:space="preserve"> </w:t>
                                  </w:r>
                                  <w:r w:rsidRPr="00165089">
                                    <w:rPr>
                                      <w:rFonts w:ascii="Arial" w:hAnsi="Arial" w:cs="Arial"/>
                                      <w:color w:val="231F20"/>
                                      <w:spacing w:val="-10"/>
                                      <w:sz w:val="18"/>
                                      <w:szCs w:val="18"/>
                                    </w:rPr>
                                    <w:t>a</w:t>
                                  </w:r>
                                  <w:r w:rsidRPr="00165089">
                                    <w:rPr>
                                      <w:rFonts w:ascii="Arial" w:hAnsi="Arial" w:cs="Arial"/>
                                      <w:color w:val="231F20"/>
                                      <w:spacing w:val="-2"/>
                                      <w:sz w:val="18"/>
                                      <w:szCs w:val="18"/>
                                    </w:rPr>
                                    <w:t xml:space="preserve"> currency </w:t>
                                  </w:r>
                                  <w:r w:rsidRPr="00165089">
                                    <w:rPr>
                                      <w:rFonts w:ascii="Arial" w:hAnsi="Arial" w:cs="Arial"/>
                                      <w:color w:val="231F20"/>
                                      <w:sz w:val="18"/>
                                      <w:szCs w:val="18"/>
                                    </w:rPr>
                                    <w:t>is</w:t>
                                  </w:r>
                                  <w:r w:rsidRPr="00165089">
                                    <w:rPr>
                                      <w:rFonts w:ascii="Arial" w:hAnsi="Arial" w:cs="Arial"/>
                                      <w:color w:val="231F20"/>
                                      <w:spacing w:val="-1"/>
                                      <w:sz w:val="18"/>
                                      <w:szCs w:val="18"/>
                                    </w:rPr>
                                    <w:t xml:space="preserve"> </w:t>
                                  </w:r>
                                  <w:r w:rsidRPr="00165089">
                                    <w:rPr>
                                      <w:rFonts w:ascii="Arial" w:hAnsi="Arial" w:cs="Arial"/>
                                      <w:color w:val="231F20"/>
                                      <w:spacing w:val="-5"/>
                                      <w:sz w:val="18"/>
                                      <w:szCs w:val="18"/>
                                    </w:rPr>
                                    <w:t>not</w:t>
                                  </w:r>
                                  <w:r w:rsidRPr="00165089">
                                    <w:rPr>
                                      <w:rFonts w:ascii="Arial" w:hAnsi="Arial" w:cs="Arial"/>
                                      <w:color w:val="231F20"/>
                                      <w:spacing w:val="-2"/>
                                      <w:sz w:val="18"/>
                                      <w:szCs w:val="18"/>
                                    </w:rPr>
                                    <w:t xml:space="preserve"> exchangeable</w:t>
                                  </w:r>
                                </w:p>
                              </w:txbxContent>
                            </wps:txbx>
                            <wps:bodyPr vert="horz" wrap="square" lIns="0" tIns="0" rIns="0" bIns="0" rtlCol="0">
                              <a:noAutofit/>
                            </wps:bodyPr>
                          </wps:wsp>
                          <wps:wsp>
                            <wps:cNvPr id="2011484842" name="object 5"/>
                            <wps:cNvSpPr/>
                            <wps:spPr>
                              <a:xfrm>
                                <a:off x="85020" y="93074"/>
                                <a:ext cx="1133475" cy="987425"/>
                              </a:xfrm>
                              <a:custGeom>
                                <a:avLst/>
                                <a:gdLst/>
                                <a:ahLst/>
                                <a:cxnLst/>
                                <a:rect l="l" t="t" r="r" b="b"/>
                                <a:pathLst>
                                  <a:path w="1133475" h="987425">
                                    <a:moveTo>
                                      <a:pt x="0" y="986904"/>
                                    </a:moveTo>
                                    <a:lnTo>
                                      <a:pt x="1133017" y="986904"/>
                                    </a:lnTo>
                                    <a:lnTo>
                                      <a:pt x="1133017" y="0"/>
                                    </a:lnTo>
                                    <a:lnTo>
                                      <a:pt x="0" y="0"/>
                                    </a:lnTo>
                                    <a:lnTo>
                                      <a:pt x="0" y="986904"/>
                                    </a:lnTo>
                                    <a:close/>
                                  </a:path>
                                </a:pathLst>
                              </a:custGeom>
                              <a:ln w="12954">
                                <a:solidFill>
                                  <a:srgbClr val="231F20"/>
                                </a:solidFill>
                              </a:ln>
                            </wps:spPr>
                            <wps:bodyPr wrap="square" lIns="0" tIns="0" rIns="0" bIns="0" rtlCol="0"/>
                          </wps:wsp>
                          <wps:wsp>
                            <wps:cNvPr id="249812060" name="object 6"/>
                            <wps:cNvSpPr txBox="1"/>
                            <wps:spPr>
                              <a:xfrm>
                                <a:off x="85020" y="1509543"/>
                                <a:ext cx="2380155" cy="1033700"/>
                              </a:xfrm>
                              <a:prstGeom prst="rect">
                                <a:avLst/>
                              </a:prstGeom>
                              <a:solidFill>
                                <a:srgbClr val="DCDDDE"/>
                              </a:solidFill>
                            </wps:spPr>
                            <wps:txbx>
                              <w:txbxContent>
                                <w:p w14:paraId="7327DA9B" w14:textId="77777777" w:rsidR="00334FD6" w:rsidRPr="00165089" w:rsidRDefault="00334FD6" w:rsidP="00FF7DC3">
                                  <w:pPr>
                                    <w:spacing w:before="105" w:line="244" w:lineRule="auto"/>
                                    <w:ind w:left="115" w:right="533"/>
                                    <w:jc w:val="left"/>
                                    <w:rPr>
                                      <w:rFonts w:ascii="Arial" w:hAnsi="Arial" w:cs="Arial"/>
                                      <w:color w:val="231F20"/>
                                      <w:sz w:val="18"/>
                                      <w:szCs w:val="18"/>
                                    </w:rPr>
                                  </w:pPr>
                                  <w:r w:rsidRPr="00165089">
                                    <w:rPr>
                                      <w:rFonts w:ascii="Arial" w:hAnsi="Arial" w:cs="Arial"/>
                                      <w:color w:val="231F20"/>
                                      <w:sz w:val="18"/>
                                      <w:szCs w:val="18"/>
                                    </w:rPr>
                                    <w:t>At</w:t>
                                  </w:r>
                                  <w:r w:rsidRPr="00165089">
                                    <w:rPr>
                                      <w:rFonts w:ascii="Arial" w:hAnsi="Arial" w:cs="Arial"/>
                                      <w:color w:val="231F20"/>
                                      <w:spacing w:val="-2"/>
                                      <w:sz w:val="18"/>
                                      <w:szCs w:val="18"/>
                                    </w:rPr>
                                    <w:t xml:space="preserve"> </w:t>
                                  </w:r>
                                  <w:r w:rsidRPr="00165089">
                                    <w:rPr>
                                      <w:rFonts w:ascii="Arial" w:hAnsi="Arial" w:cs="Arial"/>
                                      <w:color w:val="231F20"/>
                                      <w:sz w:val="18"/>
                                      <w:szCs w:val="18"/>
                                    </w:rPr>
                                    <w:t>the</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measurement</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date,</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estimate</w:t>
                                  </w:r>
                                  <w:r w:rsidRPr="00165089">
                                    <w:rPr>
                                      <w:rFonts w:ascii="Arial" w:hAnsi="Arial" w:cs="Arial"/>
                                      <w:color w:val="231F20"/>
                                      <w:spacing w:val="-1"/>
                                      <w:sz w:val="18"/>
                                      <w:szCs w:val="18"/>
                                    </w:rPr>
                                    <w:t xml:space="preserve"> </w:t>
                                  </w:r>
                                  <w:r w:rsidRPr="00165089">
                                    <w:rPr>
                                      <w:rFonts w:ascii="Arial" w:hAnsi="Arial" w:cs="Arial"/>
                                      <w:color w:val="231F20"/>
                                      <w:sz w:val="18"/>
                                      <w:szCs w:val="18"/>
                                    </w:rPr>
                                    <w:t>the</w:t>
                                  </w:r>
                                  <w:r w:rsidRPr="00165089">
                                    <w:rPr>
                                      <w:rFonts w:ascii="Arial" w:hAnsi="Arial" w:cs="Arial"/>
                                      <w:color w:val="231F20"/>
                                      <w:spacing w:val="-1"/>
                                      <w:sz w:val="18"/>
                                      <w:szCs w:val="18"/>
                                    </w:rPr>
                                    <w:t xml:space="preserve"> </w:t>
                                  </w:r>
                                  <w:r w:rsidRPr="00165089">
                                    <w:rPr>
                                      <w:rFonts w:ascii="Arial" w:hAnsi="Arial" w:cs="Arial"/>
                                      <w:color w:val="231F20"/>
                                      <w:spacing w:val="-4"/>
                                      <w:sz w:val="18"/>
                                      <w:szCs w:val="18"/>
                                    </w:rPr>
                                    <w:t xml:space="preserve">spot </w:t>
                                  </w:r>
                                  <w:r w:rsidRPr="00165089">
                                    <w:rPr>
                                      <w:rFonts w:ascii="Arial" w:hAnsi="Arial" w:cs="Arial"/>
                                      <w:color w:val="231F20"/>
                                      <w:spacing w:val="-2"/>
                                      <w:sz w:val="18"/>
                                      <w:szCs w:val="18"/>
                                    </w:rPr>
                                    <w:t>exchange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rate</w:t>
                                  </w:r>
                                  <w:r w:rsidRPr="00165089">
                                    <w:rPr>
                                      <w:rFonts w:ascii="Arial" w:hAnsi="Arial" w:cs="Arial"/>
                                      <w:color w:val="231F20"/>
                                      <w:spacing w:val="-4"/>
                                      <w:sz w:val="18"/>
                                      <w:szCs w:val="18"/>
                                    </w:rPr>
                                    <w:t xml:space="preserve"> </w:t>
                                  </w:r>
                                  <w:r w:rsidRPr="00165089">
                                    <w:rPr>
                                      <w:rFonts w:ascii="Arial" w:hAnsi="Arial" w:cs="Arial"/>
                                      <w:color w:val="231F20"/>
                                      <w:sz w:val="18"/>
                                      <w:szCs w:val="18"/>
                                    </w:rPr>
                                    <w:t>that</w:t>
                                  </w:r>
                                  <w:r w:rsidRPr="00165089">
                                    <w:rPr>
                                      <w:rFonts w:ascii="Arial" w:hAnsi="Arial" w:cs="Arial"/>
                                      <w:color w:val="231F20"/>
                                      <w:spacing w:val="-4"/>
                                      <w:sz w:val="18"/>
                                      <w:szCs w:val="18"/>
                                    </w:rPr>
                                    <w:t xml:space="preserve"> </w:t>
                                  </w:r>
                                  <w:r w:rsidRPr="00165089">
                                    <w:rPr>
                                      <w:rFonts w:ascii="Arial" w:hAnsi="Arial" w:cs="Arial"/>
                                      <w:color w:val="231F20"/>
                                      <w:sz w:val="18"/>
                                      <w:szCs w:val="18"/>
                                    </w:rPr>
                                    <w:t>meets</w:t>
                                  </w:r>
                                  <w:r w:rsidRPr="00165089">
                                    <w:rPr>
                                      <w:rFonts w:ascii="Arial" w:hAnsi="Arial" w:cs="Arial"/>
                                      <w:color w:val="231F20"/>
                                      <w:spacing w:val="-3"/>
                                      <w:sz w:val="18"/>
                                      <w:szCs w:val="18"/>
                                    </w:rPr>
                                    <w:t xml:space="preserve"> </w:t>
                                  </w:r>
                                  <w:r w:rsidRPr="00165089">
                                    <w:rPr>
                                      <w:rFonts w:ascii="Arial" w:hAnsi="Arial" w:cs="Arial"/>
                                      <w:color w:val="231F20"/>
                                      <w:sz w:val="18"/>
                                      <w:szCs w:val="18"/>
                                    </w:rPr>
                                    <w:t>the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objective</w:t>
                                  </w:r>
                                  <w:r w:rsidRPr="00165089">
                                    <w:rPr>
                                      <w:rFonts w:ascii="Arial" w:hAnsi="Arial" w:cs="Arial"/>
                                      <w:color w:val="231F20"/>
                                      <w:spacing w:val="-4"/>
                                      <w:sz w:val="18"/>
                                      <w:szCs w:val="18"/>
                                    </w:rPr>
                                    <w:t xml:space="preserve"> </w:t>
                                  </w:r>
                                  <w:r w:rsidRPr="00165089">
                                    <w:rPr>
                                      <w:rFonts w:ascii="Arial" w:hAnsi="Arial" w:cs="Arial"/>
                                      <w:color w:val="231F20"/>
                                      <w:spacing w:val="-5"/>
                                      <w:sz w:val="18"/>
                                      <w:szCs w:val="18"/>
                                    </w:rPr>
                                    <w:t>in</w:t>
                                  </w:r>
                                  <w:r w:rsidRPr="00165089">
                                    <w:rPr>
                                      <w:rFonts w:ascii="Arial" w:hAnsi="Arial" w:cs="Arial"/>
                                      <w:color w:val="231F20"/>
                                      <w:spacing w:val="-2"/>
                                      <w:sz w:val="18"/>
                                      <w:szCs w:val="18"/>
                                    </w:rPr>
                                    <w:t xml:space="preserve"> paragraph</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19A</w:t>
                                  </w:r>
                                  <w:r w:rsidRPr="00165089">
                                    <w:rPr>
                                      <w:rFonts w:ascii="Arial" w:hAnsi="Arial" w:cs="Arial"/>
                                      <w:color w:val="231F20"/>
                                      <w:spacing w:val="-4"/>
                                      <w:sz w:val="18"/>
                                      <w:szCs w:val="18"/>
                                    </w:rPr>
                                    <w:t xml:space="preserve"> </w:t>
                                  </w:r>
                                  <w:r w:rsidRPr="00165089">
                                    <w:rPr>
                                      <w:rFonts w:ascii="Arial" w:hAnsi="Arial" w:cs="Arial"/>
                                      <w:color w:val="231F20"/>
                                      <w:sz w:val="18"/>
                                      <w:szCs w:val="18"/>
                                    </w:rPr>
                                    <w:t>by</w:t>
                                  </w:r>
                                  <w:r w:rsidRPr="00165089">
                                    <w:rPr>
                                      <w:rFonts w:ascii="Arial" w:hAnsi="Arial" w:cs="Arial"/>
                                      <w:color w:val="231F20"/>
                                      <w:spacing w:val="-5"/>
                                      <w:sz w:val="18"/>
                                      <w:szCs w:val="18"/>
                                    </w:rPr>
                                    <w:t xml:space="preserve"> </w:t>
                                  </w:r>
                                  <w:r w:rsidRPr="00165089">
                                    <w:rPr>
                                      <w:rFonts w:ascii="Arial" w:hAnsi="Arial" w:cs="Arial"/>
                                      <w:color w:val="231F20"/>
                                      <w:sz w:val="18"/>
                                      <w:szCs w:val="18"/>
                                    </w:rPr>
                                    <w:t>using</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either:</w:t>
                                  </w:r>
                                </w:p>
                                <w:p w14:paraId="5AFA580E" w14:textId="21EC5300" w:rsidR="00334FD6" w:rsidRPr="00165089" w:rsidRDefault="00334FD6" w:rsidP="00334FD6">
                                  <w:pPr>
                                    <w:pStyle w:val="ListParagraph"/>
                                    <w:numPr>
                                      <w:ilvl w:val="0"/>
                                      <w:numId w:val="14"/>
                                    </w:numPr>
                                    <w:tabs>
                                      <w:tab w:val="left" w:pos="404"/>
                                    </w:tabs>
                                    <w:spacing w:line="244" w:lineRule="auto"/>
                                    <w:rPr>
                                      <w:rFonts w:ascii="Arial" w:eastAsia="Times New Roman" w:hAnsi="Arial" w:cs="Arial"/>
                                      <w:color w:val="231F20"/>
                                      <w:sz w:val="18"/>
                                      <w:szCs w:val="18"/>
                                    </w:rPr>
                                  </w:pPr>
                                  <w:r w:rsidRPr="00165089">
                                    <w:rPr>
                                      <w:rFonts w:ascii="Arial" w:eastAsia="Times New Roman" w:hAnsi="Arial" w:cs="Arial"/>
                                      <w:color w:val="231F20"/>
                                      <w:sz w:val="18"/>
                                      <w:szCs w:val="18"/>
                                    </w:rPr>
                                    <w:t>an</w:t>
                                  </w:r>
                                  <w:r w:rsidRPr="00165089">
                                    <w:rPr>
                                      <w:rFonts w:ascii="Arial" w:eastAsia="Times New Roman" w:hAnsi="Arial" w:cs="Arial"/>
                                      <w:color w:val="231F20"/>
                                      <w:spacing w:val="-2"/>
                                      <w:sz w:val="18"/>
                                      <w:szCs w:val="18"/>
                                    </w:rPr>
                                    <w:t xml:space="preserve"> observable exchange</w:t>
                                  </w:r>
                                  <w:r w:rsidRPr="00165089">
                                    <w:rPr>
                                      <w:rFonts w:ascii="Arial" w:eastAsia="Times New Roman" w:hAnsi="Arial" w:cs="Arial"/>
                                      <w:color w:val="231F20"/>
                                      <w:spacing w:val="-1"/>
                                      <w:sz w:val="18"/>
                                      <w:szCs w:val="18"/>
                                    </w:rPr>
                                    <w:t xml:space="preserve"> </w:t>
                                  </w:r>
                                  <w:r w:rsidRPr="00165089">
                                    <w:rPr>
                                      <w:rFonts w:ascii="Arial" w:eastAsia="Times New Roman" w:hAnsi="Arial" w:cs="Arial"/>
                                      <w:color w:val="231F20"/>
                                      <w:spacing w:val="-2"/>
                                      <w:sz w:val="18"/>
                                      <w:szCs w:val="18"/>
                                    </w:rPr>
                                    <w:t>rate without adjustment</w:t>
                                  </w:r>
                                  <w:r w:rsidRPr="00165089">
                                    <w:rPr>
                                      <w:rFonts w:ascii="Arial" w:eastAsia="Times New Roman" w:hAnsi="Arial" w:cs="Arial"/>
                                      <w:color w:val="231F20"/>
                                      <w:spacing w:val="3"/>
                                      <w:sz w:val="18"/>
                                      <w:szCs w:val="18"/>
                                    </w:rPr>
                                    <w:t xml:space="preserve"> </w:t>
                                  </w:r>
                                  <w:r w:rsidR="00165089">
                                    <w:rPr>
                                      <w:rFonts w:ascii="Arial" w:eastAsia="Times New Roman" w:hAnsi="Arial" w:cs="Arial"/>
                                      <w:color w:val="231F20"/>
                                      <w:spacing w:val="3"/>
                                      <w:sz w:val="18"/>
                                      <w:szCs w:val="18"/>
                                    </w:rPr>
                                    <w:br/>
                                  </w:r>
                                  <w:r w:rsidRPr="00165089">
                                    <w:rPr>
                                      <w:rFonts w:ascii="Arial" w:eastAsia="Times New Roman" w:hAnsi="Arial" w:cs="Arial"/>
                                      <w:color w:val="231F20"/>
                                      <w:sz w:val="18"/>
                                      <w:szCs w:val="18"/>
                                    </w:rPr>
                                    <w:t>(see</w:t>
                                  </w:r>
                                  <w:r w:rsidRPr="00165089">
                                    <w:rPr>
                                      <w:rFonts w:ascii="Arial" w:eastAsia="Times New Roman" w:hAnsi="Arial" w:cs="Arial"/>
                                      <w:color w:val="231F20"/>
                                      <w:spacing w:val="3"/>
                                      <w:sz w:val="18"/>
                                      <w:szCs w:val="18"/>
                                    </w:rPr>
                                    <w:t xml:space="preserve"> </w:t>
                                  </w:r>
                                  <w:r w:rsidRPr="00165089">
                                    <w:rPr>
                                      <w:rFonts w:ascii="Arial" w:eastAsia="Times New Roman" w:hAnsi="Arial" w:cs="Arial"/>
                                      <w:color w:val="231F20"/>
                                      <w:spacing w:val="-2"/>
                                      <w:sz w:val="18"/>
                                      <w:szCs w:val="18"/>
                                    </w:rPr>
                                    <w:t>paragraphs</w:t>
                                  </w:r>
                                  <w:r w:rsidRPr="00165089">
                                    <w:rPr>
                                      <w:rFonts w:ascii="Arial" w:eastAsia="Times New Roman" w:hAnsi="Arial" w:cs="Arial"/>
                                      <w:color w:val="231F20"/>
                                      <w:spacing w:val="-5"/>
                                      <w:sz w:val="18"/>
                                      <w:szCs w:val="18"/>
                                    </w:rPr>
                                    <w:t xml:space="preserve"> A11–A16);</w:t>
                                  </w:r>
                                  <w:r w:rsidRPr="00165089">
                                    <w:rPr>
                                      <w:rFonts w:ascii="Arial" w:eastAsia="Times New Roman" w:hAnsi="Arial" w:cs="Arial"/>
                                      <w:color w:val="231F20"/>
                                      <w:spacing w:val="-6"/>
                                      <w:sz w:val="18"/>
                                      <w:szCs w:val="18"/>
                                    </w:rPr>
                                    <w:t xml:space="preserve"> </w:t>
                                  </w:r>
                                  <w:r w:rsidRPr="00165089">
                                    <w:rPr>
                                      <w:rFonts w:ascii="Arial" w:eastAsia="Times New Roman" w:hAnsi="Arial" w:cs="Arial"/>
                                      <w:color w:val="231F20"/>
                                      <w:spacing w:val="-5"/>
                                      <w:sz w:val="18"/>
                                      <w:szCs w:val="18"/>
                                    </w:rPr>
                                    <w:t>or</w:t>
                                  </w:r>
                                </w:p>
                                <w:p w14:paraId="5110F2B7" w14:textId="0712A4F1" w:rsidR="00334FD6" w:rsidRPr="00165089" w:rsidRDefault="00334FD6" w:rsidP="00334FD6">
                                  <w:pPr>
                                    <w:pStyle w:val="ListParagraph"/>
                                    <w:numPr>
                                      <w:ilvl w:val="0"/>
                                      <w:numId w:val="14"/>
                                    </w:numPr>
                                    <w:tabs>
                                      <w:tab w:val="left" w:pos="404"/>
                                    </w:tabs>
                                    <w:spacing w:line="244" w:lineRule="auto"/>
                                    <w:rPr>
                                      <w:rFonts w:ascii="Arial" w:eastAsia="Times New Roman" w:hAnsi="Arial" w:cs="Arial"/>
                                      <w:color w:val="231F20"/>
                                      <w:sz w:val="18"/>
                                      <w:szCs w:val="18"/>
                                    </w:rPr>
                                  </w:pPr>
                                  <w:r w:rsidRPr="00165089">
                                    <w:rPr>
                                      <w:rFonts w:ascii="Arial" w:eastAsia="Times New Roman" w:hAnsi="Arial" w:cs="Arial"/>
                                      <w:color w:val="231F20"/>
                                      <w:sz w:val="18"/>
                                      <w:szCs w:val="18"/>
                                    </w:rPr>
                                    <w:t>another</w:t>
                                  </w:r>
                                  <w:r w:rsidRPr="00165089">
                                    <w:rPr>
                                      <w:rFonts w:ascii="Arial" w:eastAsia="Times New Roman" w:hAnsi="Arial" w:cs="Arial"/>
                                      <w:color w:val="231F20"/>
                                      <w:spacing w:val="-2"/>
                                      <w:sz w:val="18"/>
                                      <w:szCs w:val="18"/>
                                    </w:rPr>
                                    <w:t xml:space="preserve"> estimation technique </w:t>
                                  </w:r>
                                  <w:r w:rsidR="00691AB6" w:rsidRPr="00165089">
                                    <w:rPr>
                                      <w:rFonts w:ascii="Arial" w:eastAsia="Times New Roman" w:hAnsi="Arial" w:cs="Arial"/>
                                      <w:color w:val="231F20"/>
                                      <w:spacing w:val="-2"/>
                                      <w:sz w:val="18"/>
                                      <w:szCs w:val="18"/>
                                    </w:rPr>
                                    <w:br/>
                                  </w:r>
                                  <w:r w:rsidRPr="00165089">
                                    <w:rPr>
                                      <w:rFonts w:ascii="Arial" w:eastAsia="Times New Roman" w:hAnsi="Arial" w:cs="Arial"/>
                                      <w:color w:val="231F20"/>
                                      <w:sz w:val="18"/>
                                      <w:szCs w:val="18"/>
                                    </w:rPr>
                                    <w:t>(see</w:t>
                                  </w:r>
                                  <w:r w:rsidRPr="00165089">
                                    <w:rPr>
                                      <w:rFonts w:ascii="Arial" w:eastAsia="Times New Roman" w:hAnsi="Arial" w:cs="Arial"/>
                                      <w:color w:val="231F20"/>
                                      <w:spacing w:val="-3"/>
                                      <w:sz w:val="18"/>
                                      <w:szCs w:val="18"/>
                                    </w:rPr>
                                    <w:t xml:space="preserve"> </w:t>
                                  </w:r>
                                  <w:r w:rsidRPr="00165089">
                                    <w:rPr>
                                      <w:rFonts w:ascii="Arial" w:eastAsia="Times New Roman" w:hAnsi="Arial" w:cs="Arial"/>
                                      <w:color w:val="231F20"/>
                                      <w:spacing w:val="-2"/>
                                      <w:sz w:val="18"/>
                                      <w:szCs w:val="18"/>
                                    </w:rPr>
                                    <w:t>paragraph</w:t>
                                  </w:r>
                                  <w:r w:rsidRPr="00165089">
                                    <w:rPr>
                                      <w:rFonts w:ascii="Arial" w:eastAsia="Times New Roman" w:hAnsi="Arial" w:cs="Arial"/>
                                      <w:color w:val="231F20"/>
                                      <w:spacing w:val="-11"/>
                                      <w:sz w:val="18"/>
                                      <w:szCs w:val="18"/>
                                    </w:rPr>
                                    <w:t xml:space="preserve"> </w:t>
                                  </w:r>
                                  <w:r w:rsidRPr="00165089">
                                    <w:rPr>
                                      <w:rFonts w:ascii="Arial" w:eastAsia="Times New Roman" w:hAnsi="Arial" w:cs="Arial"/>
                                      <w:color w:val="231F20"/>
                                      <w:spacing w:val="-2"/>
                                      <w:sz w:val="18"/>
                                      <w:szCs w:val="18"/>
                                    </w:rPr>
                                    <w:t>A17).</w:t>
                                  </w:r>
                                </w:p>
                              </w:txbxContent>
                            </wps:txbx>
                            <wps:bodyPr vert="horz" wrap="square" lIns="0" tIns="66675" rIns="0" bIns="0" rtlCol="0">
                              <a:noAutofit/>
                            </wps:bodyPr>
                          </wps:wsp>
                          <wps:wsp>
                            <wps:cNvPr id="1656357639" name="object 7"/>
                            <wps:cNvSpPr txBox="1"/>
                            <wps:spPr>
                              <a:xfrm>
                                <a:off x="1671305" y="93071"/>
                                <a:ext cx="800100" cy="990931"/>
                              </a:xfrm>
                              <a:prstGeom prst="rect">
                                <a:avLst/>
                              </a:prstGeom>
                              <a:solidFill>
                                <a:srgbClr val="DCDDDE"/>
                              </a:solidFill>
                            </wps:spPr>
                            <wps:txbx>
                              <w:txbxContent>
                                <w:p w14:paraId="2DFBFE96" w14:textId="77777777" w:rsidR="00334FD6" w:rsidRPr="00165089" w:rsidRDefault="00334FD6" w:rsidP="005F7299">
                                  <w:pPr>
                                    <w:spacing w:before="360"/>
                                    <w:jc w:val="center"/>
                                    <w:rPr>
                                      <w:rFonts w:ascii="Arial" w:hAnsi="Arial" w:cs="Arial"/>
                                      <w:color w:val="231F20"/>
                                      <w:spacing w:val="-2"/>
                                      <w:sz w:val="18"/>
                                      <w:szCs w:val="18"/>
                                    </w:rPr>
                                  </w:pPr>
                                  <w:r w:rsidRPr="00165089">
                                    <w:rPr>
                                      <w:rFonts w:ascii="Arial" w:hAnsi="Arial" w:cs="Arial"/>
                                      <w:color w:val="231F20"/>
                                      <w:spacing w:val="-2"/>
                                      <w:sz w:val="18"/>
                                      <w:szCs w:val="18"/>
                                    </w:rPr>
                                    <w:t>Apply</w:t>
                                  </w:r>
                                </w:p>
                                <w:p w14:paraId="37628F51" w14:textId="76D134A6" w:rsidR="00334FD6" w:rsidRPr="00165089" w:rsidRDefault="00334FD6" w:rsidP="00334FD6">
                                  <w:pPr>
                                    <w:spacing w:line="244" w:lineRule="auto"/>
                                    <w:ind w:left="144" w:right="130"/>
                                    <w:jc w:val="center"/>
                                    <w:rPr>
                                      <w:rFonts w:ascii="Arial" w:hAnsi="Arial" w:cs="Arial"/>
                                      <w:color w:val="231F20"/>
                                      <w:sz w:val="18"/>
                                      <w:szCs w:val="18"/>
                                    </w:rPr>
                                  </w:pPr>
                                  <w:r w:rsidRPr="00165089">
                                    <w:rPr>
                                      <w:rFonts w:ascii="Arial" w:hAnsi="Arial" w:cs="Arial"/>
                                      <w:color w:val="231F20"/>
                                      <w:sz w:val="18"/>
                                      <w:szCs w:val="18"/>
                                    </w:rPr>
                                    <w:t>the</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 xml:space="preserve">applicable requirements </w:t>
                                  </w:r>
                                  <w:r w:rsidRPr="00165089">
                                    <w:rPr>
                                      <w:rFonts w:ascii="Arial" w:hAnsi="Arial" w:cs="Arial"/>
                                      <w:color w:val="231F20"/>
                                      <w:sz w:val="18"/>
                                      <w:szCs w:val="18"/>
                                    </w:rPr>
                                    <w:t>in</w:t>
                                  </w:r>
                                  <w:r w:rsidRPr="00165089">
                                    <w:rPr>
                                      <w:rFonts w:ascii="Arial" w:hAnsi="Arial" w:cs="Arial"/>
                                      <w:color w:val="231F20"/>
                                      <w:spacing w:val="-5"/>
                                      <w:sz w:val="18"/>
                                      <w:szCs w:val="18"/>
                                    </w:rPr>
                                    <w:t xml:space="preserve"> </w:t>
                                  </w:r>
                                  <w:r w:rsidR="00165089">
                                    <w:rPr>
                                      <w:rFonts w:ascii="Arial" w:hAnsi="Arial" w:cs="Arial"/>
                                      <w:color w:val="231F20"/>
                                      <w:spacing w:val="-5"/>
                                      <w:sz w:val="18"/>
                                      <w:szCs w:val="18"/>
                                    </w:rPr>
                                    <w:t>AASB 1</w:t>
                                  </w:r>
                                  <w:r w:rsidRPr="00165089">
                                    <w:rPr>
                                      <w:rFonts w:ascii="Arial" w:hAnsi="Arial" w:cs="Arial"/>
                                      <w:color w:val="231F20"/>
                                      <w:spacing w:val="-5"/>
                                      <w:sz w:val="18"/>
                                      <w:szCs w:val="18"/>
                                    </w:rPr>
                                    <w:t>21.</w:t>
                                  </w:r>
                                </w:p>
                              </w:txbxContent>
                            </wps:txbx>
                            <wps:bodyPr vert="horz" wrap="square" lIns="0" tIns="0" rIns="0" bIns="0" rtlCol="0">
                              <a:noAutofit/>
                            </wps:bodyPr>
                          </wps:wsp>
                          <wpg:grpSp>
                            <wpg:cNvPr id="1301452503" name="object 8"/>
                            <wpg:cNvGrpSpPr/>
                            <wpg:grpSpPr>
                              <a:xfrm>
                                <a:off x="610429" y="1084003"/>
                                <a:ext cx="65582" cy="425543"/>
                                <a:chOff x="610429" y="1084003"/>
                                <a:chExt cx="65582" cy="425543"/>
                              </a:xfrm>
                            </wpg:grpSpPr>
                            <wps:wsp>
                              <wps:cNvPr id="501611792" name="object 9"/>
                              <wps:cNvSpPr/>
                              <wps:spPr>
                                <a:xfrm>
                                  <a:off x="643220" y="1084003"/>
                                  <a:ext cx="0" cy="356235"/>
                                </a:xfrm>
                                <a:custGeom>
                                  <a:avLst/>
                                  <a:gdLst/>
                                  <a:ahLst/>
                                  <a:cxnLst/>
                                  <a:rect l="l" t="t" r="r" b="b"/>
                                  <a:pathLst>
                                    <a:path h="356234">
                                      <a:moveTo>
                                        <a:pt x="0" y="0"/>
                                      </a:moveTo>
                                      <a:lnTo>
                                        <a:pt x="0" y="355803"/>
                                      </a:lnTo>
                                    </a:path>
                                  </a:pathLst>
                                </a:custGeom>
                                <a:ln w="12954">
                                  <a:solidFill>
                                    <a:srgbClr val="231F20"/>
                                  </a:solidFill>
                                </a:ln>
                              </wps:spPr>
                              <wps:bodyPr wrap="square" lIns="0" tIns="0" rIns="0" bIns="0" rtlCol="0"/>
                            </wps:wsp>
                            <pic:pic xmlns:pic="http://schemas.openxmlformats.org/drawingml/2006/picture">
                              <pic:nvPicPr>
                                <pic:cNvPr id="1526389075" name="object 10"/>
                                <pic:cNvPicPr/>
                              </pic:nvPicPr>
                              <pic:blipFill>
                                <a:blip r:embed="rId20" cstate="print"/>
                                <a:stretch>
                                  <a:fillRect/>
                                </a:stretch>
                              </pic:blipFill>
                              <pic:spPr>
                                <a:xfrm>
                                  <a:off x="610429" y="1419427"/>
                                  <a:ext cx="65582" cy="90119"/>
                                </a:xfrm>
                                <a:prstGeom prst="rect">
                                  <a:avLst/>
                                </a:prstGeom>
                              </pic:spPr>
                            </pic:pic>
                          </wpg:grpSp>
                          <wps:wsp>
                            <wps:cNvPr id="1841848470" name="object 11"/>
                            <wps:cNvSpPr txBox="1"/>
                            <wps:spPr>
                              <a:xfrm>
                                <a:off x="678256" y="1266987"/>
                                <a:ext cx="156222" cy="146053"/>
                              </a:xfrm>
                              <a:prstGeom prst="rect">
                                <a:avLst/>
                              </a:prstGeom>
                            </wps:spPr>
                            <wps:txbx>
                              <w:txbxContent>
                                <w:p w14:paraId="1A2CACB0" w14:textId="77777777" w:rsidR="00334FD6" w:rsidRPr="00165089" w:rsidRDefault="00334FD6" w:rsidP="00334FD6">
                                  <w:pPr>
                                    <w:spacing w:before="23"/>
                                    <w:ind w:left="14"/>
                                    <w:rPr>
                                      <w:rFonts w:ascii="Arial" w:hAnsi="Arial" w:cs="Arial"/>
                                      <w:color w:val="231F20"/>
                                      <w:spacing w:val="-5"/>
                                      <w:sz w:val="18"/>
                                      <w:szCs w:val="18"/>
                                    </w:rPr>
                                  </w:pPr>
                                  <w:r w:rsidRPr="00165089">
                                    <w:rPr>
                                      <w:rFonts w:ascii="Arial" w:hAnsi="Arial" w:cs="Arial"/>
                                      <w:color w:val="231F20"/>
                                      <w:spacing w:val="-5"/>
                                      <w:sz w:val="18"/>
                                      <w:szCs w:val="18"/>
                                    </w:rPr>
                                    <w:t>No</w:t>
                                  </w:r>
                                </w:p>
                              </w:txbxContent>
                            </wps:txbx>
                            <wps:bodyPr vert="horz" wrap="square" lIns="0" tIns="14604" rIns="0" bIns="0" rtlCol="0">
                              <a:noAutofit/>
                            </wps:bodyPr>
                          </wps:wsp>
                          <wpg:grpSp>
                            <wpg:cNvPr id="818025227" name="object 12"/>
                            <wpg:cNvGrpSpPr/>
                            <wpg:grpSpPr>
                              <a:xfrm>
                                <a:off x="1211556" y="553733"/>
                                <a:ext cx="454715" cy="65582"/>
                                <a:chOff x="1211556" y="553733"/>
                                <a:chExt cx="454715" cy="65582"/>
                              </a:xfrm>
                            </wpg:grpSpPr>
                            <wps:wsp>
                              <wps:cNvPr id="1836266710" name="object 13"/>
                              <wps:cNvSpPr/>
                              <wps:spPr>
                                <a:xfrm>
                                  <a:off x="1211556" y="586524"/>
                                  <a:ext cx="385445" cy="0"/>
                                </a:xfrm>
                                <a:custGeom>
                                  <a:avLst/>
                                  <a:gdLst/>
                                  <a:ahLst/>
                                  <a:cxnLst/>
                                  <a:rect l="l" t="t" r="r" b="b"/>
                                  <a:pathLst>
                                    <a:path w="385444">
                                      <a:moveTo>
                                        <a:pt x="0" y="0"/>
                                      </a:moveTo>
                                      <a:lnTo>
                                        <a:pt x="384975" y="0"/>
                                      </a:lnTo>
                                    </a:path>
                                  </a:pathLst>
                                </a:custGeom>
                                <a:ln w="12954">
                                  <a:solidFill>
                                    <a:srgbClr val="231F20"/>
                                  </a:solidFill>
                                </a:ln>
                              </wps:spPr>
                              <wps:bodyPr wrap="square" lIns="0" tIns="0" rIns="0" bIns="0" rtlCol="0"/>
                            </wps:wsp>
                            <pic:pic xmlns:pic="http://schemas.openxmlformats.org/drawingml/2006/picture">
                              <pic:nvPicPr>
                                <pic:cNvPr id="300525864" name="object 14"/>
                                <pic:cNvPicPr/>
                              </pic:nvPicPr>
                              <pic:blipFill>
                                <a:blip r:embed="rId21" cstate="print"/>
                                <a:stretch>
                                  <a:fillRect/>
                                </a:stretch>
                              </pic:blipFill>
                              <pic:spPr>
                                <a:xfrm>
                                  <a:off x="1576152" y="553733"/>
                                  <a:ext cx="90119" cy="65582"/>
                                </a:xfrm>
                                <a:prstGeom prst="rect">
                                  <a:avLst/>
                                </a:prstGeom>
                              </pic:spPr>
                            </pic:pic>
                          </wpg:grpSp>
                          <wps:wsp>
                            <wps:cNvPr id="2103947664" name="object 15"/>
                            <wps:cNvSpPr txBox="1"/>
                            <wps:spPr>
                              <a:xfrm>
                                <a:off x="1336046" y="415645"/>
                                <a:ext cx="187974" cy="146053"/>
                              </a:xfrm>
                              <a:prstGeom prst="rect">
                                <a:avLst/>
                              </a:prstGeom>
                            </wps:spPr>
                            <wps:txbx>
                              <w:txbxContent>
                                <w:p w14:paraId="22B0D5DA" w14:textId="77777777" w:rsidR="00334FD6" w:rsidRPr="00165089" w:rsidRDefault="00334FD6" w:rsidP="00334FD6">
                                  <w:pPr>
                                    <w:spacing w:before="23"/>
                                    <w:ind w:left="14"/>
                                    <w:rPr>
                                      <w:rFonts w:ascii="Arial" w:hAnsi="Arial" w:cs="Arial"/>
                                      <w:color w:val="231F20"/>
                                      <w:spacing w:val="-5"/>
                                      <w:sz w:val="18"/>
                                      <w:szCs w:val="18"/>
                                    </w:rPr>
                                  </w:pPr>
                                  <w:r w:rsidRPr="00165089">
                                    <w:rPr>
                                      <w:rFonts w:ascii="Arial" w:hAnsi="Arial" w:cs="Arial"/>
                                      <w:color w:val="231F20"/>
                                      <w:spacing w:val="-5"/>
                                      <w:sz w:val="18"/>
                                      <w:szCs w:val="18"/>
                                    </w:rPr>
                                    <w:t>Yes</w:t>
                                  </w:r>
                                </w:p>
                              </w:txbxContent>
                            </wps:txbx>
                            <wps:bodyPr vert="horz" wrap="square" lIns="0" tIns="14604" rIns="0" bIns="0" rtlCol="0">
                              <a:noAutofit/>
                            </wps:bodyPr>
                          </wps:wsp>
                        </wpg:grpSp>
                      </wpg:grpSp>
                      <wps:wsp>
                        <wps:cNvPr id="1052302526" name="Rectangle 1052302526">
                          <a:extLst>
                            <a:ext uri="{FF2B5EF4-FFF2-40B4-BE49-F238E27FC236}">
                              <a16:creationId xmlns:a16="http://schemas.microsoft.com/office/drawing/2014/main" id="{022FECEB-F783-FBFF-74BC-9C069BCBBDDD}"/>
                            </a:ext>
                          </a:extLst>
                        </wps:cNvPr>
                        <wps:cNvSpPr/>
                        <wps:spPr>
                          <a:xfrm>
                            <a:off x="4477" y="6525"/>
                            <a:ext cx="2525218" cy="1167765"/>
                          </a:xfrm>
                          <a:prstGeom prst="rect">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0236350" name="Rectangle 200236350">
                          <a:extLst>
                            <a:ext uri="{FF2B5EF4-FFF2-40B4-BE49-F238E27FC236}">
                              <a16:creationId xmlns:a16="http://schemas.microsoft.com/office/drawing/2014/main" id="{F3F72863-2960-AFBF-96E8-028DE3E0070C}"/>
                            </a:ext>
                          </a:extLst>
                        </wps:cNvPr>
                        <wps:cNvSpPr/>
                        <wps:spPr>
                          <a:xfrm>
                            <a:off x="0" y="1260839"/>
                            <a:ext cx="2525218" cy="1418298"/>
                          </a:xfrm>
                          <a:prstGeom prst="rect">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7A44B57" id="Group 20" o:spid="_x0000_s1026" alt="Diagram to help entities assess whether a currency is exchangeable and estimate the spot exchange rate when a currency is not exchangeable." style="width:404.35pt;height:240.55pt;mso-position-horizontal-relative:char;mso-position-vertical-relative:line" coordorigin=",65" coordsize="36666,2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">
                <v:group id="Group 1260904094" o:spid="_x0000_s1027" style="position:absolute;left:850;top:65;width:35816;height:26724" coordorigin="850,65" coordsize="35815,2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">
                  <v:shapetype id="_x0000_t202" coordsize="21600,21600" o:spt="202" path="m,l,21600r21600,l21600,xe">
                    <v:stroke joinstyle="miter"/>
                    <v:path gradientshapeok="t" o:connecttype="rect"/>
                  </v:shapetype>
                  <v:shape id="object 4" o:spid="_x0000_s1028" type="#_x0000_t202" style="position:absolute;left:1454;top:1241;width:10116;height:8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" filled="f" stroked="f">
                    <v:textbox inset="0,.95pt,0,0">
                      <w:txbxContent>
                        <w:p w14:paraId="57D1E198" w14:textId="7B459784" w:rsidR="00334FD6" w:rsidRPr="00165089" w:rsidRDefault="00334FD6" w:rsidP="00334FD6">
                          <w:pPr>
                            <w:spacing w:before="19" w:line="244" w:lineRule="auto"/>
                            <w:ind w:left="14" w:right="14"/>
                            <w:jc w:val="center"/>
                            <w:rPr>
                              <w:rFonts w:ascii="Arial" w:hAnsi="Arial" w:cs="Arial"/>
                              <w:color w:val="231F20"/>
                              <w:sz w:val="18"/>
                              <w:szCs w:val="18"/>
                            </w:rPr>
                          </w:pPr>
                          <w:r w:rsidRPr="00165089">
                            <w:rPr>
                              <w:rFonts w:ascii="Arial" w:hAnsi="Arial" w:cs="Arial"/>
                              <w:color w:val="231F20"/>
                              <w:sz w:val="18"/>
                              <w:szCs w:val="18"/>
                            </w:rPr>
                            <w:t>Is</w:t>
                          </w:r>
                          <w:r w:rsidRPr="00165089">
                            <w:rPr>
                              <w:rFonts w:ascii="Arial" w:hAnsi="Arial" w:cs="Arial"/>
                              <w:color w:val="231F20"/>
                              <w:spacing w:val="-4"/>
                              <w:sz w:val="18"/>
                              <w:szCs w:val="18"/>
                            </w:rPr>
                            <w:t xml:space="preserve"> </w:t>
                          </w:r>
                          <w:r w:rsidRPr="00165089">
                            <w:rPr>
                              <w:rFonts w:ascii="Arial" w:hAnsi="Arial" w:cs="Arial"/>
                              <w:color w:val="231F20"/>
                              <w:sz w:val="18"/>
                              <w:szCs w:val="18"/>
                            </w:rPr>
                            <w:t>the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currency exchangeable</w:t>
                          </w:r>
                          <w:r w:rsidRPr="00165089">
                            <w:rPr>
                              <w:rFonts w:ascii="Arial" w:hAnsi="Arial" w:cs="Arial"/>
                              <w:color w:val="231F20"/>
                              <w:spacing w:val="-8"/>
                              <w:sz w:val="18"/>
                              <w:szCs w:val="18"/>
                            </w:rPr>
                            <w:t xml:space="preserve"> </w:t>
                          </w:r>
                          <w:r w:rsidRPr="00165089">
                            <w:rPr>
                              <w:rFonts w:ascii="Arial" w:hAnsi="Arial" w:cs="Arial"/>
                              <w:color w:val="231F20"/>
                              <w:sz w:val="18"/>
                              <w:szCs w:val="18"/>
                            </w:rPr>
                            <w:t>into</w:t>
                          </w:r>
                          <w:r w:rsidRPr="00165089">
                            <w:rPr>
                              <w:rFonts w:ascii="Arial" w:hAnsi="Arial" w:cs="Arial"/>
                              <w:color w:val="231F20"/>
                              <w:spacing w:val="-7"/>
                              <w:sz w:val="18"/>
                              <w:szCs w:val="18"/>
                            </w:rPr>
                            <w:t xml:space="preserve"> </w:t>
                          </w:r>
                          <w:r w:rsidRPr="00165089">
                            <w:rPr>
                              <w:rFonts w:ascii="Arial" w:hAnsi="Arial" w:cs="Arial"/>
                              <w:color w:val="231F20"/>
                              <w:spacing w:val="-5"/>
                              <w:sz w:val="18"/>
                              <w:szCs w:val="18"/>
                            </w:rPr>
                            <w:t>the</w:t>
                          </w:r>
                          <w:r w:rsidRPr="00165089">
                            <w:rPr>
                              <w:rFonts w:ascii="Arial" w:hAnsi="Arial" w:cs="Arial"/>
                              <w:color w:val="231F20"/>
                              <w:sz w:val="18"/>
                              <w:szCs w:val="18"/>
                            </w:rPr>
                            <w:t xml:space="preserve"> </w:t>
                          </w:r>
                          <w:r w:rsidR="000A6824">
                            <w:rPr>
                              <w:rFonts w:ascii="Arial" w:hAnsi="Arial" w:cs="Arial"/>
                              <w:color w:val="231F20"/>
                              <w:sz w:val="18"/>
                              <w:szCs w:val="18"/>
                            </w:rPr>
                            <w:br/>
                          </w:r>
                          <w:r w:rsidRPr="00165089">
                            <w:rPr>
                              <w:rFonts w:ascii="Arial" w:hAnsi="Arial" w:cs="Arial"/>
                              <w:color w:val="231F20"/>
                              <w:sz w:val="18"/>
                              <w:szCs w:val="18"/>
                            </w:rPr>
                            <w:t>other</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currency</w:t>
                          </w:r>
                          <w:r w:rsidRPr="00165089">
                            <w:rPr>
                              <w:rFonts w:ascii="Arial" w:hAnsi="Arial" w:cs="Arial"/>
                              <w:color w:val="231F20"/>
                              <w:spacing w:val="-3"/>
                              <w:sz w:val="18"/>
                              <w:szCs w:val="18"/>
                            </w:rPr>
                            <w:t xml:space="preserve"> </w:t>
                          </w:r>
                          <w:r w:rsidRPr="00165089">
                            <w:rPr>
                              <w:rFonts w:ascii="Arial" w:hAnsi="Arial" w:cs="Arial"/>
                              <w:color w:val="231F20"/>
                              <w:sz w:val="18"/>
                              <w:szCs w:val="18"/>
                            </w:rPr>
                            <w:t>at</w:t>
                          </w:r>
                          <w:r w:rsidRPr="00165089">
                            <w:rPr>
                              <w:rFonts w:ascii="Arial" w:hAnsi="Arial" w:cs="Arial"/>
                              <w:color w:val="231F20"/>
                              <w:spacing w:val="-3"/>
                              <w:sz w:val="18"/>
                              <w:szCs w:val="18"/>
                            </w:rPr>
                            <w:t xml:space="preserve"> </w:t>
                          </w:r>
                          <w:r w:rsidRPr="00165089">
                            <w:rPr>
                              <w:rFonts w:ascii="Arial" w:hAnsi="Arial" w:cs="Arial"/>
                              <w:color w:val="231F20"/>
                              <w:spacing w:val="-5"/>
                              <w:sz w:val="18"/>
                              <w:szCs w:val="18"/>
                            </w:rPr>
                            <w:t>the</w:t>
                          </w:r>
                          <w:r w:rsidRPr="00165089">
                            <w:rPr>
                              <w:rFonts w:ascii="Arial" w:hAnsi="Arial" w:cs="Arial"/>
                              <w:color w:val="231F20"/>
                              <w:spacing w:val="-2"/>
                              <w:sz w:val="18"/>
                              <w:szCs w:val="18"/>
                            </w:rPr>
                            <w:t xml:space="preserve"> measurement </w:t>
                          </w:r>
                          <w:r w:rsidRPr="00165089">
                            <w:rPr>
                              <w:rFonts w:ascii="Arial" w:hAnsi="Arial" w:cs="Arial"/>
                              <w:color w:val="231F20"/>
                              <w:sz w:val="18"/>
                              <w:szCs w:val="18"/>
                            </w:rPr>
                            <w:t>date</w:t>
                          </w:r>
                          <w:r w:rsidRPr="00165089">
                            <w:rPr>
                              <w:rFonts w:ascii="Arial" w:hAnsi="Arial" w:cs="Arial"/>
                              <w:color w:val="231F20"/>
                              <w:spacing w:val="-2"/>
                              <w:sz w:val="18"/>
                              <w:szCs w:val="18"/>
                            </w:rPr>
                            <w:t xml:space="preserve"> </w:t>
                          </w:r>
                          <w:r w:rsidRPr="00165089">
                            <w:rPr>
                              <w:rFonts w:ascii="Arial" w:hAnsi="Arial" w:cs="Arial"/>
                              <w:color w:val="231F20"/>
                              <w:spacing w:val="-5"/>
                              <w:sz w:val="18"/>
                              <w:szCs w:val="18"/>
                            </w:rPr>
                            <w:t>for</w:t>
                          </w:r>
                          <w:r w:rsidRPr="00165089">
                            <w:rPr>
                              <w:rFonts w:ascii="Arial" w:hAnsi="Arial" w:cs="Arial"/>
                              <w:color w:val="231F20"/>
                              <w:sz w:val="18"/>
                              <w:szCs w:val="18"/>
                            </w:rPr>
                            <w:t xml:space="preserve"> </w:t>
                          </w:r>
                          <w:r w:rsidR="000A6824">
                            <w:rPr>
                              <w:rFonts w:ascii="Arial" w:hAnsi="Arial" w:cs="Arial"/>
                              <w:color w:val="231F20"/>
                              <w:sz w:val="18"/>
                              <w:szCs w:val="18"/>
                            </w:rPr>
                            <w:br/>
                          </w:r>
                          <w:r w:rsidRPr="00165089">
                            <w:rPr>
                              <w:rFonts w:ascii="Arial" w:hAnsi="Arial" w:cs="Arial"/>
                              <w:color w:val="231F20"/>
                              <w:sz w:val="18"/>
                              <w:szCs w:val="18"/>
                            </w:rPr>
                            <w:t>the</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 xml:space="preserve">specified purpose </w:t>
                          </w:r>
                          <w:r w:rsidR="00165089">
                            <w:rPr>
                              <w:rFonts w:ascii="Arial" w:hAnsi="Arial" w:cs="Arial"/>
                              <w:color w:val="231F20"/>
                              <w:spacing w:val="-2"/>
                              <w:sz w:val="18"/>
                              <w:szCs w:val="18"/>
                            </w:rPr>
                            <w:br/>
                          </w:r>
                          <w:r w:rsidRPr="00165089">
                            <w:rPr>
                              <w:rFonts w:ascii="Arial" w:hAnsi="Arial" w:cs="Arial"/>
                              <w:color w:val="231F20"/>
                              <w:sz w:val="18"/>
                              <w:szCs w:val="18"/>
                            </w:rPr>
                            <w:t>(see</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 xml:space="preserve">paragraphs </w:t>
                          </w:r>
                          <w:r w:rsidRPr="00165089">
                            <w:rPr>
                              <w:rFonts w:ascii="Arial" w:hAnsi="Arial" w:cs="Arial"/>
                              <w:color w:val="231F20"/>
                              <w:spacing w:val="-5"/>
                              <w:sz w:val="18"/>
                              <w:szCs w:val="18"/>
                            </w:rPr>
                            <w:t>8,</w:t>
                          </w:r>
                          <w:r w:rsidRPr="00165089">
                            <w:rPr>
                              <w:rFonts w:ascii="Arial" w:hAnsi="Arial" w:cs="Arial"/>
                              <w:color w:val="231F20"/>
                              <w:sz w:val="18"/>
                              <w:szCs w:val="18"/>
                            </w:rPr>
                            <w:t xml:space="preserve"> 8A–8B</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and</w:t>
                          </w:r>
                          <w:r w:rsidRPr="00165089">
                            <w:rPr>
                              <w:rFonts w:ascii="Arial" w:hAnsi="Arial" w:cs="Arial"/>
                              <w:color w:val="231F20"/>
                              <w:spacing w:val="-10"/>
                              <w:sz w:val="18"/>
                              <w:szCs w:val="18"/>
                            </w:rPr>
                            <w:t xml:space="preserve"> </w:t>
                          </w:r>
                          <w:r w:rsidRPr="00165089">
                            <w:rPr>
                              <w:rFonts w:ascii="Arial" w:hAnsi="Arial" w:cs="Arial"/>
                              <w:color w:val="231F20"/>
                              <w:spacing w:val="-2"/>
                              <w:sz w:val="18"/>
                              <w:szCs w:val="18"/>
                            </w:rPr>
                            <w:t>A2–A10)?</w:t>
                          </w:r>
                        </w:p>
                      </w:txbxContent>
                    </v:textbox>
                  </v:shape>
                  <v:group id="Group 316859867" o:spid="_x0000_s1029" style="position:absolute;left:850;top:65;width:35816;height:26724" coordorigin="850,65" coordsize="35815,2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">
                    <v:shape id="object 2" o:spid="_x0000_s1030" type="#_x0000_t202" style="position:absolute;left:26465;top:65;width:10201;height:1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" filled="f" strokecolor="#231f20" strokeweight="1.5pt">
                      <v:stroke dashstyle="dash"/>
                      <v:textbox inset="0,0,0,0">
                        <w:txbxContent>
                          <w:p w14:paraId="0A50EEA5" w14:textId="36E916FD" w:rsidR="00334FD6" w:rsidRPr="00165089" w:rsidRDefault="00334FD6" w:rsidP="005F7299">
                            <w:pPr>
                              <w:spacing w:before="480" w:line="244" w:lineRule="auto"/>
                              <w:ind w:left="202" w:right="187"/>
                              <w:jc w:val="center"/>
                              <w:rPr>
                                <w:rFonts w:ascii="Arial" w:hAnsi="Arial" w:cs="Arial"/>
                                <w:color w:val="231F20"/>
                                <w:sz w:val="18"/>
                                <w:szCs w:val="18"/>
                              </w:rPr>
                            </w:pPr>
                            <w:r w:rsidRPr="00165089">
                              <w:rPr>
                                <w:rFonts w:ascii="Arial" w:hAnsi="Arial" w:cs="Arial"/>
                                <w:color w:val="231F20"/>
                                <w:sz w:val="18"/>
                                <w:szCs w:val="18"/>
                              </w:rPr>
                              <w:t>Step</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I:</w:t>
                            </w:r>
                            <w:r w:rsidRPr="00165089">
                              <w:rPr>
                                <w:rFonts w:ascii="Arial" w:hAnsi="Arial" w:cs="Arial"/>
                                <w:color w:val="231F20"/>
                                <w:spacing w:val="-19"/>
                                <w:sz w:val="18"/>
                                <w:szCs w:val="18"/>
                              </w:rPr>
                              <w:t xml:space="preserve"> </w:t>
                            </w:r>
                            <w:r w:rsidR="00165089">
                              <w:rPr>
                                <w:rFonts w:ascii="Arial" w:hAnsi="Arial" w:cs="Arial"/>
                                <w:color w:val="231F20"/>
                                <w:spacing w:val="-19"/>
                                <w:sz w:val="18"/>
                                <w:szCs w:val="18"/>
                              </w:rPr>
                              <w:t xml:space="preserve"> </w:t>
                            </w:r>
                            <w:r w:rsidRPr="00165089">
                              <w:rPr>
                                <w:rFonts w:ascii="Arial" w:hAnsi="Arial" w:cs="Arial"/>
                                <w:color w:val="231F20"/>
                                <w:spacing w:val="-2"/>
                                <w:sz w:val="18"/>
                                <w:szCs w:val="18"/>
                              </w:rPr>
                              <w:t xml:space="preserve">Assessing </w:t>
                            </w:r>
                            <w:r w:rsidRPr="00165089">
                              <w:rPr>
                                <w:rFonts w:ascii="Arial" w:hAnsi="Arial" w:cs="Arial"/>
                                <w:color w:val="231F20"/>
                                <w:sz w:val="18"/>
                                <w:szCs w:val="18"/>
                              </w:rPr>
                              <w:t>whether</w:t>
                            </w:r>
                            <w:r w:rsidRPr="00165089">
                              <w:rPr>
                                <w:rFonts w:ascii="Arial" w:hAnsi="Arial" w:cs="Arial"/>
                                <w:color w:val="231F20"/>
                                <w:spacing w:val="-10"/>
                                <w:sz w:val="18"/>
                                <w:szCs w:val="18"/>
                              </w:rPr>
                              <w:t xml:space="preserve"> a</w:t>
                            </w:r>
                            <w:r w:rsidRPr="00165089">
                              <w:rPr>
                                <w:rFonts w:ascii="Arial" w:hAnsi="Arial" w:cs="Arial"/>
                                <w:color w:val="231F20"/>
                                <w:spacing w:val="-2"/>
                                <w:sz w:val="18"/>
                                <w:szCs w:val="18"/>
                              </w:rPr>
                              <w:t xml:space="preserve"> currency</w:t>
                            </w:r>
                            <w:r w:rsidRPr="00165089">
                              <w:rPr>
                                <w:rFonts w:ascii="Arial" w:hAnsi="Arial" w:cs="Arial"/>
                                <w:color w:val="231F20"/>
                                <w:sz w:val="18"/>
                                <w:szCs w:val="18"/>
                              </w:rPr>
                              <w:t xml:space="preserve"> </w:t>
                            </w:r>
                            <w:r w:rsidRPr="00165089">
                              <w:rPr>
                                <w:rFonts w:ascii="Arial" w:hAnsi="Arial" w:cs="Arial"/>
                                <w:color w:val="231F20"/>
                                <w:spacing w:val="-5"/>
                                <w:sz w:val="18"/>
                                <w:szCs w:val="18"/>
                              </w:rPr>
                              <w:t>is</w:t>
                            </w:r>
                            <w:r w:rsidRPr="00165089">
                              <w:rPr>
                                <w:rFonts w:ascii="Arial" w:hAnsi="Arial" w:cs="Arial"/>
                                <w:color w:val="231F20"/>
                                <w:spacing w:val="-2"/>
                                <w:sz w:val="18"/>
                                <w:szCs w:val="18"/>
                              </w:rPr>
                              <w:t xml:space="preserve"> exchangeable</w:t>
                            </w:r>
                          </w:p>
                        </w:txbxContent>
                      </v:textbox>
                    </v:shape>
                    <v:shape id="object 3" o:spid="_x0000_s1031" type="#_x0000_t202" style="position:absolute;left:26464;top:12607;width:10194;height:1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" filled="f" strokecolor="#231f20" strokeweight="1.5pt">
                      <v:stroke dashstyle="dash"/>
                      <v:textbox inset="0,0,0,0">
                        <w:txbxContent>
                          <w:p w14:paraId="733DD95B" w14:textId="2723C293" w:rsidR="00334FD6" w:rsidRPr="00165089" w:rsidRDefault="00334FD6" w:rsidP="005F7299">
                            <w:pPr>
                              <w:spacing w:before="600" w:line="244" w:lineRule="auto"/>
                              <w:ind w:left="158" w:right="144"/>
                              <w:jc w:val="center"/>
                              <w:rPr>
                                <w:rFonts w:ascii="Arial" w:hAnsi="Arial" w:cs="Arial"/>
                                <w:color w:val="231F20"/>
                                <w:sz w:val="18"/>
                                <w:szCs w:val="18"/>
                              </w:rPr>
                            </w:pPr>
                            <w:r w:rsidRPr="00165089">
                              <w:rPr>
                                <w:rFonts w:ascii="Arial" w:hAnsi="Arial" w:cs="Arial"/>
                                <w:color w:val="231F20"/>
                                <w:sz w:val="18"/>
                                <w:szCs w:val="18"/>
                              </w:rPr>
                              <w:t>Step</w:t>
                            </w:r>
                            <w:r w:rsidRPr="00165089">
                              <w:rPr>
                                <w:rFonts w:ascii="Arial" w:hAnsi="Arial" w:cs="Arial"/>
                                <w:color w:val="231F20"/>
                                <w:spacing w:val="-3"/>
                                <w:sz w:val="18"/>
                                <w:szCs w:val="18"/>
                              </w:rPr>
                              <w:t xml:space="preserve"> </w:t>
                            </w:r>
                            <w:r w:rsidRPr="00165089">
                              <w:rPr>
                                <w:rFonts w:ascii="Arial" w:hAnsi="Arial" w:cs="Arial"/>
                                <w:color w:val="231F20"/>
                                <w:spacing w:val="-2"/>
                                <w:sz w:val="18"/>
                                <w:szCs w:val="18"/>
                              </w:rPr>
                              <w:t>II:</w:t>
                            </w:r>
                            <w:r w:rsidRPr="00165089">
                              <w:rPr>
                                <w:rFonts w:ascii="Arial" w:hAnsi="Arial" w:cs="Arial"/>
                                <w:color w:val="231F20"/>
                                <w:spacing w:val="-11"/>
                                <w:sz w:val="18"/>
                                <w:szCs w:val="18"/>
                              </w:rPr>
                              <w:t xml:space="preserve"> </w:t>
                            </w:r>
                            <w:r w:rsidR="00165089">
                              <w:rPr>
                                <w:rFonts w:ascii="Arial" w:hAnsi="Arial" w:cs="Arial"/>
                                <w:color w:val="231F20"/>
                                <w:spacing w:val="-11"/>
                                <w:sz w:val="18"/>
                                <w:szCs w:val="18"/>
                              </w:rPr>
                              <w:t xml:space="preserve"> </w:t>
                            </w:r>
                            <w:r w:rsidRPr="00165089">
                              <w:rPr>
                                <w:rFonts w:ascii="Arial" w:hAnsi="Arial" w:cs="Arial"/>
                                <w:color w:val="231F20"/>
                                <w:spacing w:val="-2"/>
                                <w:sz w:val="18"/>
                                <w:szCs w:val="18"/>
                              </w:rPr>
                              <w:t xml:space="preserve">Estimating </w:t>
                            </w:r>
                            <w:r w:rsidRPr="00165089">
                              <w:rPr>
                                <w:rFonts w:ascii="Arial" w:hAnsi="Arial" w:cs="Arial"/>
                                <w:color w:val="231F20"/>
                                <w:sz w:val="18"/>
                                <w:szCs w:val="18"/>
                              </w:rPr>
                              <w:t>the</w:t>
                            </w:r>
                            <w:r w:rsidRPr="00165089">
                              <w:rPr>
                                <w:rFonts w:ascii="Arial" w:hAnsi="Arial" w:cs="Arial"/>
                                <w:color w:val="231F20"/>
                                <w:spacing w:val="-6"/>
                                <w:sz w:val="18"/>
                                <w:szCs w:val="18"/>
                              </w:rPr>
                              <w:t xml:space="preserve"> </w:t>
                            </w:r>
                            <w:r w:rsidRPr="00165089">
                              <w:rPr>
                                <w:rFonts w:ascii="Arial" w:hAnsi="Arial" w:cs="Arial"/>
                                <w:color w:val="231F20"/>
                                <w:sz w:val="18"/>
                                <w:szCs w:val="18"/>
                              </w:rPr>
                              <w:t>spot</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exchange rate</w:t>
                            </w:r>
                            <w:r w:rsidRPr="00165089">
                              <w:rPr>
                                <w:rFonts w:ascii="Arial" w:hAnsi="Arial" w:cs="Arial"/>
                                <w:color w:val="231F20"/>
                                <w:spacing w:val="-5"/>
                                <w:sz w:val="18"/>
                                <w:szCs w:val="18"/>
                              </w:rPr>
                              <w:t xml:space="preserve"> </w:t>
                            </w:r>
                            <w:r w:rsidRPr="00165089">
                              <w:rPr>
                                <w:rFonts w:ascii="Arial" w:hAnsi="Arial" w:cs="Arial"/>
                                <w:color w:val="231F20"/>
                                <w:sz w:val="18"/>
                                <w:szCs w:val="18"/>
                              </w:rPr>
                              <w:t>when</w:t>
                            </w:r>
                            <w:r w:rsidRPr="00165089">
                              <w:rPr>
                                <w:rFonts w:ascii="Arial" w:hAnsi="Arial" w:cs="Arial"/>
                                <w:color w:val="231F20"/>
                                <w:spacing w:val="-4"/>
                                <w:sz w:val="18"/>
                                <w:szCs w:val="18"/>
                              </w:rPr>
                              <w:t xml:space="preserve"> </w:t>
                            </w:r>
                            <w:r w:rsidRPr="00165089">
                              <w:rPr>
                                <w:rFonts w:ascii="Arial" w:hAnsi="Arial" w:cs="Arial"/>
                                <w:color w:val="231F20"/>
                                <w:spacing w:val="-10"/>
                                <w:sz w:val="18"/>
                                <w:szCs w:val="18"/>
                              </w:rPr>
                              <w:t>a</w:t>
                            </w:r>
                            <w:r w:rsidRPr="00165089">
                              <w:rPr>
                                <w:rFonts w:ascii="Arial" w:hAnsi="Arial" w:cs="Arial"/>
                                <w:color w:val="231F20"/>
                                <w:spacing w:val="-2"/>
                                <w:sz w:val="18"/>
                                <w:szCs w:val="18"/>
                              </w:rPr>
                              <w:t xml:space="preserve"> currency </w:t>
                            </w:r>
                            <w:r w:rsidRPr="00165089">
                              <w:rPr>
                                <w:rFonts w:ascii="Arial" w:hAnsi="Arial" w:cs="Arial"/>
                                <w:color w:val="231F20"/>
                                <w:sz w:val="18"/>
                                <w:szCs w:val="18"/>
                              </w:rPr>
                              <w:t>is</w:t>
                            </w:r>
                            <w:r w:rsidRPr="00165089">
                              <w:rPr>
                                <w:rFonts w:ascii="Arial" w:hAnsi="Arial" w:cs="Arial"/>
                                <w:color w:val="231F20"/>
                                <w:spacing w:val="-1"/>
                                <w:sz w:val="18"/>
                                <w:szCs w:val="18"/>
                              </w:rPr>
                              <w:t xml:space="preserve"> </w:t>
                            </w:r>
                            <w:r w:rsidRPr="00165089">
                              <w:rPr>
                                <w:rFonts w:ascii="Arial" w:hAnsi="Arial" w:cs="Arial"/>
                                <w:color w:val="231F20"/>
                                <w:spacing w:val="-5"/>
                                <w:sz w:val="18"/>
                                <w:szCs w:val="18"/>
                              </w:rPr>
                              <w:t>not</w:t>
                            </w:r>
                            <w:r w:rsidRPr="00165089">
                              <w:rPr>
                                <w:rFonts w:ascii="Arial" w:hAnsi="Arial" w:cs="Arial"/>
                                <w:color w:val="231F20"/>
                                <w:spacing w:val="-2"/>
                                <w:sz w:val="18"/>
                                <w:szCs w:val="18"/>
                              </w:rPr>
                              <w:t xml:space="preserve"> exchangeable</w:t>
                            </w:r>
                          </w:p>
                        </w:txbxContent>
                      </v:textbox>
                    </v:shape>
                    <v:shape id="object 5" o:spid="_x0000_s1032" style="position:absolute;left:850;top:930;width:11334;height:9874;visibility:visible;mso-wrap-style:square;v-text-anchor:top" coordsize="1133475,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" path="m,986904r1133017,l1133017,,,,,986904xe" filled="f" strokecolor="#231f20" strokeweight="1.02pt">
                      <v:path arrowok="t"/>
                    </v:shape>
                    <v:shape id="object 6" o:spid="_x0000_s1033" type="#_x0000_t202" style="position:absolute;left:850;top:15095;width:23801;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" fillcolor="#dcddde" stroked="f">
                      <v:textbox inset="0,5.25pt,0,0">
                        <w:txbxContent>
                          <w:p w14:paraId="7327DA9B" w14:textId="77777777" w:rsidR="00334FD6" w:rsidRPr="00165089" w:rsidRDefault="00334FD6" w:rsidP="00FF7DC3">
                            <w:pPr>
                              <w:spacing w:before="105" w:line="244" w:lineRule="auto"/>
                              <w:ind w:left="115" w:right="533"/>
                              <w:jc w:val="left"/>
                              <w:rPr>
                                <w:rFonts w:ascii="Arial" w:hAnsi="Arial" w:cs="Arial"/>
                                <w:color w:val="231F20"/>
                                <w:sz w:val="18"/>
                                <w:szCs w:val="18"/>
                              </w:rPr>
                            </w:pPr>
                            <w:r w:rsidRPr="00165089">
                              <w:rPr>
                                <w:rFonts w:ascii="Arial" w:hAnsi="Arial" w:cs="Arial"/>
                                <w:color w:val="231F20"/>
                                <w:sz w:val="18"/>
                                <w:szCs w:val="18"/>
                              </w:rPr>
                              <w:t>At</w:t>
                            </w:r>
                            <w:r w:rsidRPr="00165089">
                              <w:rPr>
                                <w:rFonts w:ascii="Arial" w:hAnsi="Arial" w:cs="Arial"/>
                                <w:color w:val="231F20"/>
                                <w:spacing w:val="-2"/>
                                <w:sz w:val="18"/>
                                <w:szCs w:val="18"/>
                              </w:rPr>
                              <w:t xml:space="preserve"> </w:t>
                            </w:r>
                            <w:r w:rsidRPr="00165089">
                              <w:rPr>
                                <w:rFonts w:ascii="Arial" w:hAnsi="Arial" w:cs="Arial"/>
                                <w:color w:val="231F20"/>
                                <w:sz w:val="18"/>
                                <w:szCs w:val="18"/>
                              </w:rPr>
                              <w:t>the</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measurement</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date,</w:t>
                            </w:r>
                            <w:r w:rsidRPr="00165089">
                              <w:rPr>
                                <w:rFonts w:ascii="Arial" w:hAnsi="Arial" w:cs="Arial"/>
                                <w:color w:val="231F20"/>
                                <w:spacing w:val="-1"/>
                                <w:sz w:val="18"/>
                                <w:szCs w:val="18"/>
                              </w:rPr>
                              <w:t xml:space="preserve"> </w:t>
                            </w:r>
                            <w:r w:rsidRPr="00165089">
                              <w:rPr>
                                <w:rFonts w:ascii="Arial" w:hAnsi="Arial" w:cs="Arial"/>
                                <w:color w:val="231F20"/>
                                <w:spacing w:val="-2"/>
                                <w:sz w:val="18"/>
                                <w:szCs w:val="18"/>
                              </w:rPr>
                              <w:t>estimate</w:t>
                            </w:r>
                            <w:r w:rsidRPr="00165089">
                              <w:rPr>
                                <w:rFonts w:ascii="Arial" w:hAnsi="Arial" w:cs="Arial"/>
                                <w:color w:val="231F20"/>
                                <w:spacing w:val="-1"/>
                                <w:sz w:val="18"/>
                                <w:szCs w:val="18"/>
                              </w:rPr>
                              <w:t xml:space="preserve"> </w:t>
                            </w:r>
                            <w:r w:rsidRPr="00165089">
                              <w:rPr>
                                <w:rFonts w:ascii="Arial" w:hAnsi="Arial" w:cs="Arial"/>
                                <w:color w:val="231F20"/>
                                <w:sz w:val="18"/>
                                <w:szCs w:val="18"/>
                              </w:rPr>
                              <w:t>the</w:t>
                            </w:r>
                            <w:r w:rsidRPr="00165089">
                              <w:rPr>
                                <w:rFonts w:ascii="Arial" w:hAnsi="Arial" w:cs="Arial"/>
                                <w:color w:val="231F20"/>
                                <w:spacing w:val="-1"/>
                                <w:sz w:val="18"/>
                                <w:szCs w:val="18"/>
                              </w:rPr>
                              <w:t xml:space="preserve"> </w:t>
                            </w:r>
                            <w:r w:rsidRPr="00165089">
                              <w:rPr>
                                <w:rFonts w:ascii="Arial" w:hAnsi="Arial" w:cs="Arial"/>
                                <w:color w:val="231F20"/>
                                <w:spacing w:val="-4"/>
                                <w:sz w:val="18"/>
                                <w:szCs w:val="18"/>
                              </w:rPr>
                              <w:t xml:space="preserve">spot </w:t>
                            </w:r>
                            <w:r w:rsidRPr="00165089">
                              <w:rPr>
                                <w:rFonts w:ascii="Arial" w:hAnsi="Arial" w:cs="Arial"/>
                                <w:color w:val="231F20"/>
                                <w:spacing w:val="-2"/>
                                <w:sz w:val="18"/>
                                <w:szCs w:val="18"/>
                              </w:rPr>
                              <w:t>exchange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rate</w:t>
                            </w:r>
                            <w:r w:rsidRPr="00165089">
                              <w:rPr>
                                <w:rFonts w:ascii="Arial" w:hAnsi="Arial" w:cs="Arial"/>
                                <w:color w:val="231F20"/>
                                <w:spacing w:val="-4"/>
                                <w:sz w:val="18"/>
                                <w:szCs w:val="18"/>
                              </w:rPr>
                              <w:t xml:space="preserve"> </w:t>
                            </w:r>
                            <w:r w:rsidRPr="00165089">
                              <w:rPr>
                                <w:rFonts w:ascii="Arial" w:hAnsi="Arial" w:cs="Arial"/>
                                <w:color w:val="231F20"/>
                                <w:sz w:val="18"/>
                                <w:szCs w:val="18"/>
                              </w:rPr>
                              <w:t>that</w:t>
                            </w:r>
                            <w:r w:rsidRPr="00165089">
                              <w:rPr>
                                <w:rFonts w:ascii="Arial" w:hAnsi="Arial" w:cs="Arial"/>
                                <w:color w:val="231F20"/>
                                <w:spacing w:val="-4"/>
                                <w:sz w:val="18"/>
                                <w:szCs w:val="18"/>
                              </w:rPr>
                              <w:t xml:space="preserve"> </w:t>
                            </w:r>
                            <w:r w:rsidRPr="00165089">
                              <w:rPr>
                                <w:rFonts w:ascii="Arial" w:hAnsi="Arial" w:cs="Arial"/>
                                <w:color w:val="231F20"/>
                                <w:sz w:val="18"/>
                                <w:szCs w:val="18"/>
                              </w:rPr>
                              <w:t>meets</w:t>
                            </w:r>
                            <w:r w:rsidRPr="00165089">
                              <w:rPr>
                                <w:rFonts w:ascii="Arial" w:hAnsi="Arial" w:cs="Arial"/>
                                <w:color w:val="231F20"/>
                                <w:spacing w:val="-3"/>
                                <w:sz w:val="18"/>
                                <w:szCs w:val="18"/>
                              </w:rPr>
                              <w:t xml:space="preserve"> </w:t>
                            </w:r>
                            <w:r w:rsidRPr="00165089">
                              <w:rPr>
                                <w:rFonts w:ascii="Arial" w:hAnsi="Arial" w:cs="Arial"/>
                                <w:color w:val="231F20"/>
                                <w:sz w:val="18"/>
                                <w:szCs w:val="18"/>
                              </w:rPr>
                              <w:t>the</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objective</w:t>
                            </w:r>
                            <w:r w:rsidRPr="00165089">
                              <w:rPr>
                                <w:rFonts w:ascii="Arial" w:hAnsi="Arial" w:cs="Arial"/>
                                <w:color w:val="231F20"/>
                                <w:spacing w:val="-4"/>
                                <w:sz w:val="18"/>
                                <w:szCs w:val="18"/>
                              </w:rPr>
                              <w:t xml:space="preserve"> </w:t>
                            </w:r>
                            <w:r w:rsidRPr="00165089">
                              <w:rPr>
                                <w:rFonts w:ascii="Arial" w:hAnsi="Arial" w:cs="Arial"/>
                                <w:color w:val="231F20"/>
                                <w:spacing w:val="-5"/>
                                <w:sz w:val="18"/>
                                <w:szCs w:val="18"/>
                              </w:rPr>
                              <w:t>in</w:t>
                            </w:r>
                            <w:r w:rsidRPr="00165089">
                              <w:rPr>
                                <w:rFonts w:ascii="Arial" w:hAnsi="Arial" w:cs="Arial"/>
                                <w:color w:val="231F20"/>
                                <w:spacing w:val="-2"/>
                                <w:sz w:val="18"/>
                                <w:szCs w:val="18"/>
                              </w:rPr>
                              <w:t xml:space="preserve"> paragraph</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19A</w:t>
                            </w:r>
                            <w:r w:rsidRPr="00165089">
                              <w:rPr>
                                <w:rFonts w:ascii="Arial" w:hAnsi="Arial" w:cs="Arial"/>
                                <w:color w:val="231F20"/>
                                <w:spacing w:val="-4"/>
                                <w:sz w:val="18"/>
                                <w:szCs w:val="18"/>
                              </w:rPr>
                              <w:t xml:space="preserve"> </w:t>
                            </w:r>
                            <w:r w:rsidRPr="00165089">
                              <w:rPr>
                                <w:rFonts w:ascii="Arial" w:hAnsi="Arial" w:cs="Arial"/>
                                <w:color w:val="231F20"/>
                                <w:sz w:val="18"/>
                                <w:szCs w:val="18"/>
                              </w:rPr>
                              <w:t>by</w:t>
                            </w:r>
                            <w:r w:rsidRPr="00165089">
                              <w:rPr>
                                <w:rFonts w:ascii="Arial" w:hAnsi="Arial" w:cs="Arial"/>
                                <w:color w:val="231F20"/>
                                <w:spacing w:val="-5"/>
                                <w:sz w:val="18"/>
                                <w:szCs w:val="18"/>
                              </w:rPr>
                              <w:t xml:space="preserve"> </w:t>
                            </w:r>
                            <w:r w:rsidRPr="00165089">
                              <w:rPr>
                                <w:rFonts w:ascii="Arial" w:hAnsi="Arial" w:cs="Arial"/>
                                <w:color w:val="231F20"/>
                                <w:sz w:val="18"/>
                                <w:szCs w:val="18"/>
                              </w:rPr>
                              <w:t>using</w:t>
                            </w:r>
                            <w:r w:rsidRPr="00165089">
                              <w:rPr>
                                <w:rFonts w:ascii="Arial" w:hAnsi="Arial" w:cs="Arial"/>
                                <w:color w:val="231F20"/>
                                <w:spacing w:val="-4"/>
                                <w:sz w:val="18"/>
                                <w:szCs w:val="18"/>
                              </w:rPr>
                              <w:t xml:space="preserve"> </w:t>
                            </w:r>
                            <w:r w:rsidRPr="00165089">
                              <w:rPr>
                                <w:rFonts w:ascii="Arial" w:hAnsi="Arial" w:cs="Arial"/>
                                <w:color w:val="231F20"/>
                                <w:spacing w:val="-2"/>
                                <w:sz w:val="18"/>
                                <w:szCs w:val="18"/>
                              </w:rPr>
                              <w:t>either:</w:t>
                            </w:r>
                          </w:p>
                          <w:p w14:paraId="5AFA580E" w14:textId="21EC5300" w:rsidR="00334FD6" w:rsidRPr="00165089" w:rsidRDefault="00334FD6" w:rsidP="00334FD6">
                            <w:pPr>
                              <w:pStyle w:val="ListParagraph"/>
                              <w:numPr>
                                <w:ilvl w:val="0"/>
                                <w:numId w:val="14"/>
                              </w:numPr>
                              <w:tabs>
                                <w:tab w:val="left" w:pos="404"/>
                              </w:tabs>
                              <w:spacing w:line="244" w:lineRule="auto"/>
                              <w:rPr>
                                <w:rFonts w:ascii="Arial" w:eastAsia="Times New Roman" w:hAnsi="Arial" w:cs="Arial"/>
                                <w:color w:val="231F20"/>
                                <w:sz w:val="18"/>
                                <w:szCs w:val="18"/>
                              </w:rPr>
                            </w:pPr>
                            <w:r w:rsidRPr="00165089">
                              <w:rPr>
                                <w:rFonts w:ascii="Arial" w:eastAsia="Times New Roman" w:hAnsi="Arial" w:cs="Arial"/>
                                <w:color w:val="231F20"/>
                                <w:sz w:val="18"/>
                                <w:szCs w:val="18"/>
                              </w:rPr>
                              <w:t>an</w:t>
                            </w:r>
                            <w:r w:rsidRPr="00165089">
                              <w:rPr>
                                <w:rFonts w:ascii="Arial" w:eastAsia="Times New Roman" w:hAnsi="Arial" w:cs="Arial"/>
                                <w:color w:val="231F20"/>
                                <w:spacing w:val="-2"/>
                                <w:sz w:val="18"/>
                                <w:szCs w:val="18"/>
                              </w:rPr>
                              <w:t xml:space="preserve"> observable exchange</w:t>
                            </w:r>
                            <w:r w:rsidRPr="00165089">
                              <w:rPr>
                                <w:rFonts w:ascii="Arial" w:eastAsia="Times New Roman" w:hAnsi="Arial" w:cs="Arial"/>
                                <w:color w:val="231F20"/>
                                <w:spacing w:val="-1"/>
                                <w:sz w:val="18"/>
                                <w:szCs w:val="18"/>
                              </w:rPr>
                              <w:t xml:space="preserve"> </w:t>
                            </w:r>
                            <w:r w:rsidRPr="00165089">
                              <w:rPr>
                                <w:rFonts w:ascii="Arial" w:eastAsia="Times New Roman" w:hAnsi="Arial" w:cs="Arial"/>
                                <w:color w:val="231F20"/>
                                <w:spacing w:val="-2"/>
                                <w:sz w:val="18"/>
                                <w:szCs w:val="18"/>
                              </w:rPr>
                              <w:t>rate without adjustment</w:t>
                            </w:r>
                            <w:r w:rsidRPr="00165089">
                              <w:rPr>
                                <w:rFonts w:ascii="Arial" w:eastAsia="Times New Roman" w:hAnsi="Arial" w:cs="Arial"/>
                                <w:color w:val="231F20"/>
                                <w:spacing w:val="3"/>
                                <w:sz w:val="18"/>
                                <w:szCs w:val="18"/>
                              </w:rPr>
                              <w:t xml:space="preserve"> </w:t>
                            </w:r>
                            <w:r w:rsidR="00165089">
                              <w:rPr>
                                <w:rFonts w:ascii="Arial" w:eastAsia="Times New Roman" w:hAnsi="Arial" w:cs="Arial"/>
                                <w:color w:val="231F20"/>
                                <w:spacing w:val="3"/>
                                <w:sz w:val="18"/>
                                <w:szCs w:val="18"/>
                              </w:rPr>
                              <w:br/>
                            </w:r>
                            <w:r w:rsidRPr="00165089">
                              <w:rPr>
                                <w:rFonts w:ascii="Arial" w:eastAsia="Times New Roman" w:hAnsi="Arial" w:cs="Arial"/>
                                <w:color w:val="231F20"/>
                                <w:sz w:val="18"/>
                                <w:szCs w:val="18"/>
                              </w:rPr>
                              <w:t>(see</w:t>
                            </w:r>
                            <w:r w:rsidRPr="00165089">
                              <w:rPr>
                                <w:rFonts w:ascii="Arial" w:eastAsia="Times New Roman" w:hAnsi="Arial" w:cs="Arial"/>
                                <w:color w:val="231F20"/>
                                <w:spacing w:val="3"/>
                                <w:sz w:val="18"/>
                                <w:szCs w:val="18"/>
                              </w:rPr>
                              <w:t xml:space="preserve"> </w:t>
                            </w:r>
                            <w:r w:rsidRPr="00165089">
                              <w:rPr>
                                <w:rFonts w:ascii="Arial" w:eastAsia="Times New Roman" w:hAnsi="Arial" w:cs="Arial"/>
                                <w:color w:val="231F20"/>
                                <w:spacing w:val="-2"/>
                                <w:sz w:val="18"/>
                                <w:szCs w:val="18"/>
                              </w:rPr>
                              <w:t>paragraphs</w:t>
                            </w:r>
                            <w:r w:rsidRPr="00165089">
                              <w:rPr>
                                <w:rFonts w:ascii="Arial" w:eastAsia="Times New Roman" w:hAnsi="Arial" w:cs="Arial"/>
                                <w:color w:val="231F20"/>
                                <w:spacing w:val="-5"/>
                                <w:sz w:val="18"/>
                                <w:szCs w:val="18"/>
                              </w:rPr>
                              <w:t xml:space="preserve"> A11–A16);</w:t>
                            </w:r>
                            <w:r w:rsidRPr="00165089">
                              <w:rPr>
                                <w:rFonts w:ascii="Arial" w:eastAsia="Times New Roman" w:hAnsi="Arial" w:cs="Arial"/>
                                <w:color w:val="231F20"/>
                                <w:spacing w:val="-6"/>
                                <w:sz w:val="18"/>
                                <w:szCs w:val="18"/>
                              </w:rPr>
                              <w:t xml:space="preserve"> </w:t>
                            </w:r>
                            <w:r w:rsidRPr="00165089">
                              <w:rPr>
                                <w:rFonts w:ascii="Arial" w:eastAsia="Times New Roman" w:hAnsi="Arial" w:cs="Arial"/>
                                <w:color w:val="231F20"/>
                                <w:spacing w:val="-5"/>
                                <w:sz w:val="18"/>
                                <w:szCs w:val="18"/>
                              </w:rPr>
                              <w:t>or</w:t>
                            </w:r>
                          </w:p>
                          <w:p w14:paraId="5110F2B7" w14:textId="0712A4F1" w:rsidR="00334FD6" w:rsidRPr="00165089" w:rsidRDefault="00334FD6" w:rsidP="00334FD6">
                            <w:pPr>
                              <w:pStyle w:val="ListParagraph"/>
                              <w:numPr>
                                <w:ilvl w:val="0"/>
                                <w:numId w:val="14"/>
                              </w:numPr>
                              <w:tabs>
                                <w:tab w:val="left" w:pos="404"/>
                              </w:tabs>
                              <w:spacing w:line="244" w:lineRule="auto"/>
                              <w:rPr>
                                <w:rFonts w:ascii="Arial" w:eastAsia="Times New Roman" w:hAnsi="Arial" w:cs="Arial"/>
                                <w:color w:val="231F20"/>
                                <w:sz w:val="18"/>
                                <w:szCs w:val="18"/>
                              </w:rPr>
                            </w:pPr>
                            <w:r w:rsidRPr="00165089">
                              <w:rPr>
                                <w:rFonts w:ascii="Arial" w:eastAsia="Times New Roman" w:hAnsi="Arial" w:cs="Arial"/>
                                <w:color w:val="231F20"/>
                                <w:sz w:val="18"/>
                                <w:szCs w:val="18"/>
                              </w:rPr>
                              <w:t>another</w:t>
                            </w:r>
                            <w:r w:rsidRPr="00165089">
                              <w:rPr>
                                <w:rFonts w:ascii="Arial" w:eastAsia="Times New Roman" w:hAnsi="Arial" w:cs="Arial"/>
                                <w:color w:val="231F20"/>
                                <w:spacing w:val="-2"/>
                                <w:sz w:val="18"/>
                                <w:szCs w:val="18"/>
                              </w:rPr>
                              <w:t xml:space="preserve"> estimation technique </w:t>
                            </w:r>
                            <w:r w:rsidR="00691AB6" w:rsidRPr="00165089">
                              <w:rPr>
                                <w:rFonts w:ascii="Arial" w:eastAsia="Times New Roman" w:hAnsi="Arial" w:cs="Arial"/>
                                <w:color w:val="231F20"/>
                                <w:spacing w:val="-2"/>
                                <w:sz w:val="18"/>
                                <w:szCs w:val="18"/>
                              </w:rPr>
                              <w:br/>
                            </w:r>
                            <w:r w:rsidRPr="00165089">
                              <w:rPr>
                                <w:rFonts w:ascii="Arial" w:eastAsia="Times New Roman" w:hAnsi="Arial" w:cs="Arial"/>
                                <w:color w:val="231F20"/>
                                <w:sz w:val="18"/>
                                <w:szCs w:val="18"/>
                              </w:rPr>
                              <w:t>(see</w:t>
                            </w:r>
                            <w:r w:rsidRPr="00165089">
                              <w:rPr>
                                <w:rFonts w:ascii="Arial" w:eastAsia="Times New Roman" w:hAnsi="Arial" w:cs="Arial"/>
                                <w:color w:val="231F20"/>
                                <w:spacing w:val="-3"/>
                                <w:sz w:val="18"/>
                                <w:szCs w:val="18"/>
                              </w:rPr>
                              <w:t xml:space="preserve"> </w:t>
                            </w:r>
                            <w:r w:rsidRPr="00165089">
                              <w:rPr>
                                <w:rFonts w:ascii="Arial" w:eastAsia="Times New Roman" w:hAnsi="Arial" w:cs="Arial"/>
                                <w:color w:val="231F20"/>
                                <w:spacing w:val="-2"/>
                                <w:sz w:val="18"/>
                                <w:szCs w:val="18"/>
                              </w:rPr>
                              <w:t>paragraph</w:t>
                            </w:r>
                            <w:r w:rsidRPr="00165089">
                              <w:rPr>
                                <w:rFonts w:ascii="Arial" w:eastAsia="Times New Roman" w:hAnsi="Arial" w:cs="Arial"/>
                                <w:color w:val="231F20"/>
                                <w:spacing w:val="-11"/>
                                <w:sz w:val="18"/>
                                <w:szCs w:val="18"/>
                              </w:rPr>
                              <w:t xml:space="preserve"> </w:t>
                            </w:r>
                            <w:r w:rsidRPr="00165089">
                              <w:rPr>
                                <w:rFonts w:ascii="Arial" w:eastAsia="Times New Roman" w:hAnsi="Arial" w:cs="Arial"/>
                                <w:color w:val="231F20"/>
                                <w:spacing w:val="-2"/>
                                <w:sz w:val="18"/>
                                <w:szCs w:val="18"/>
                              </w:rPr>
                              <w:t>A17).</w:t>
                            </w:r>
                          </w:p>
                        </w:txbxContent>
                      </v:textbox>
                    </v:shape>
                    <v:shape id="object 7" o:spid="_x0000_s1034" type="#_x0000_t202" style="position:absolute;left:16713;top:930;width:8001;height:9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" fillcolor="#dcddde" stroked="f">
                      <v:textbox inset="0,0,0,0">
                        <w:txbxContent>
                          <w:p w14:paraId="2DFBFE96" w14:textId="77777777" w:rsidR="00334FD6" w:rsidRPr="00165089" w:rsidRDefault="00334FD6" w:rsidP="005F7299">
                            <w:pPr>
                              <w:spacing w:before="360"/>
                              <w:jc w:val="center"/>
                              <w:rPr>
                                <w:rFonts w:ascii="Arial" w:hAnsi="Arial" w:cs="Arial"/>
                                <w:color w:val="231F20"/>
                                <w:spacing w:val="-2"/>
                                <w:sz w:val="18"/>
                                <w:szCs w:val="18"/>
                              </w:rPr>
                            </w:pPr>
                            <w:r w:rsidRPr="00165089">
                              <w:rPr>
                                <w:rFonts w:ascii="Arial" w:hAnsi="Arial" w:cs="Arial"/>
                                <w:color w:val="231F20"/>
                                <w:spacing w:val="-2"/>
                                <w:sz w:val="18"/>
                                <w:szCs w:val="18"/>
                              </w:rPr>
                              <w:t>Apply</w:t>
                            </w:r>
                          </w:p>
                          <w:p w14:paraId="37628F51" w14:textId="76D134A6" w:rsidR="00334FD6" w:rsidRPr="00165089" w:rsidRDefault="00334FD6" w:rsidP="00334FD6">
                            <w:pPr>
                              <w:spacing w:line="244" w:lineRule="auto"/>
                              <w:ind w:left="144" w:right="130"/>
                              <w:jc w:val="center"/>
                              <w:rPr>
                                <w:rFonts w:ascii="Arial" w:hAnsi="Arial" w:cs="Arial"/>
                                <w:color w:val="231F20"/>
                                <w:sz w:val="18"/>
                                <w:szCs w:val="18"/>
                              </w:rPr>
                            </w:pPr>
                            <w:r w:rsidRPr="00165089">
                              <w:rPr>
                                <w:rFonts w:ascii="Arial" w:hAnsi="Arial" w:cs="Arial"/>
                                <w:color w:val="231F20"/>
                                <w:sz w:val="18"/>
                                <w:szCs w:val="18"/>
                              </w:rPr>
                              <w:t>the</w:t>
                            </w:r>
                            <w:r w:rsidRPr="00165089">
                              <w:rPr>
                                <w:rFonts w:ascii="Arial" w:hAnsi="Arial" w:cs="Arial"/>
                                <w:color w:val="231F20"/>
                                <w:spacing w:val="-5"/>
                                <w:sz w:val="18"/>
                                <w:szCs w:val="18"/>
                              </w:rPr>
                              <w:t xml:space="preserve"> </w:t>
                            </w:r>
                            <w:r w:rsidRPr="00165089">
                              <w:rPr>
                                <w:rFonts w:ascii="Arial" w:hAnsi="Arial" w:cs="Arial"/>
                                <w:color w:val="231F20"/>
                                <w:spacing w:val="-2"/>
                                <w:sz w:val="18"/>
                                <w:szCs w:val="18"/>
                              </w:rPr>
                              <w:t xml:space="preserve">applicable requirements </w:t>
                            </w:r>
                            <w:r w:rsidRPr="00165089">
                              <w:rPr>
                                <w:rFonts w:ascii="Arial" w:hAnsi="Arial" w:cs="Arial"/>
                                <w:color w:val="231F20"/>
                                <w:sz w:val="18"/>
                                <w:szCs w:val="18"/>
                              </w:rPr>
                              <w:t>in</w:t>
                            </w:r>
                            <w:r w:rsidRPr="00165089">
                              <w:rPr>
                                <w:rFonts w:ascii="Arial" w:hAnsi="Arial" w:cs="Arial"/>
                                <w:color w:val="231F20"/>
                                <w:spacing w:val="-5"/>
                                <w:sz w:val="18"/>
                                <w:szCs w:val="18"/>
                              </w:rPr>
                              <w:t xml:space="preserve"> </w:t>
                            </w:r>
                            <w:r w:rsidR="00165089">
                              <w:rPr>
                                <w:rFonts w:ascii="Arial" w:hAnsi="Arial" w:cs="Arial"/>
                                <w:color w:val="231F20"/>
                                <w:spacing w:val="-5"/>
                                <w:sz w:val="18"/>
                                <w:szCs w:val="18"/>
                              </w:rPr>
                              <w:t>AASB 1</w:t>
                            </w:r>
                            <w:r w:rsidRPr="00165089">
                              <w:rPr>
                                <w:rFonts w:ascii="Arial" w:hAnsi="Arial" w:cs="Arial"/>
                                <w:color w:val="231F20"/>
                                <w:spacing w:val="-5"/>
                                <w:sz w:val="18"/>
                                <w:szCs w:val="18"/>
                              </w:rPr>
                              <w:t>21.</w:t>
                            </w:r>
                          </w:p>
                        </w:txbxContent>
                      </v:textbox>
                    </v:shape>
                    <v:group id="object 8" o:spid="_x0000_s1035" style="position:absolute;left:6104;top:10840;width:656;height:4255" coordorigin="6104,10840" coordsize="655,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">
                      <v:shape id="object 9" o:spid="_x0000_s1036" style="position:absolute;left:6432;top:10840;width:0;height:3562;visibility:visible;mso-wrap-style:square;v-text-anchor:top" coordsize="0,3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" path="m,l,355803e" filled="f" strokecolor="#231f20" strokeweight="1.0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s1037" type="#_x0000_t75" style="position:absolute;left:6104;top:14194;width:656;height: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">
                        <v:imagedata r:id="rId22" o:title=""/>
                      </v:shape>
                    </v:group>
                    <v:shape id="object 11" o:spid="_x0000_s1038" type="#_x0000_t202" style="position:absolute;left:6782;top:12669;width:156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" filled="f" stroked="f">
                      <v:textbox inset="0,.40567mm,0,0">
                        <w:txbxContent>
                          <w:p w14:paraId="1A2CACB0" w14:textId="77777777" w:rsidR="00334FD6" w:rsidRPr="00165089" w:rsidRDefault="00334FD6" w:rsidP="00334FD6">
                            <w:pPr>
                              <w:spacing w:before="23"/>
                              <w:ind w:left="14"/>
                              <w:rPr>
                                <w:rFonts w:ascii="Arial" w:hAnsi="Arial" w:cs="Arial"/>
                                <w:color w:val="231F20"/>
                                <w:spacing w:val="-5"/>
                                <w:sz w:val="18"/>
                                <w:szCs w:val="18"/>
                              </w:rPr>
                            </w:pPr>
                            <w:r w:rsidRPr="00165089">
                              <w:rPr>
                                <w:rFonts w:ascii="Arial" w:hAnsi="Arial" w:cs="Arial"/>
                                <w:color w:val="231F20"/>
                                <w:spacing w:val="-5"/>
                                <w:sz w:val="18"/>
                                <w:szCs w:val="18"/>
                              </w:rPr>
                              <w:t>No</w:t>
                            </w:r>
                          </w:p>
                        </w:txbxContent>
                      </v:textbox>
                    </v:shape>
                    <v:group id="object 12" o:spid="_x0000_s1039" style="position:absolute;left:12115;top:5537;width:4547;height:656" coordorigin="12115,5537" coordsize="454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">
                      <v:shape id="object 13" o:spid="_x0000_s1040" style="position:absolute;left:12115;top:5865;width:3855;height:0;visibility:visible;mso-wrap-style:square;v-text-anchor:top" coordsize="385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" path="m,l384975,e" filled="f" strokecolor="#231f20" strokeweight="1.02pt">
                        <v:path arrowok="t"/>
                      </v:shape>
                      <v:shape id="object 14" o:spid="_x0000_s1041" type="#_x0000_t75" style="position:absolute;left:15761;top:5537;width:901;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">
                        <v:imagedata r:id="rId23" o:title=""/>
                      </v:shape>
                    </v:group>
                    <v:shape id="object 15" o:spid="_x0000_s1042" type="#_x0000_t202" style="position:absolute;left:13360;top:4156;width:188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" filled="f" stroked="f">
                      <v:textbox inset="0,.40567mm,0,0">
                        <w:txbxContent>
                          <w:p w14:paraId="22B0D5DA" w14:textId="77777777" w:rsidR="00334FD6" w:rsidRPr="00165089" w:rsidRDefault="00334FD6" w:rsidP="00334FD6">
                            <w:pPr>
                              <w:spacing w:before="23"/>
                              <w:ind w:left="14"/>
                              <w:rPr>
                                <w:rFonts w:ascii="Arial" w:hAnsi="Arial" w:cs="Arial"/>
                                <w:color w:val="231F20"/>
                                <w:spacing w:val="-5"/>
                                <w:sz w:val="18"/>
                                <w:szCs w:val="18"/>
                              </w:rPr>
                            </w:pPr>
                            <w:r w:rsidRPr="00165089">
                              <w:rPr>
                                <w:rFonts w:ascii="Arial" w:hAnsi="Arial" w:cs="Arial"/>
                                <w:color w:val="231F20"/>
                                <w:spacing w:val="-5"/>
                                <w:sz w:val="18"/>
                                <w:szCs w:val="18"/>
                              </w:rPr>
                              <w:t>Yes</w:t>
                            </w:r>
                          </w:p>
                        </w:txbxContent>
                      </v:textbox>
                    </v:shape>
                  </v:group>
                </v:group>
                <v:rect id="Rectangle 1052302526" o:spid="_x0000_s1043" style="position:absolute;left:44;top:65;width:25252;height:1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" filled="f" strokecolor="#0a121c [484]" strokeweight="1.5pt">
                  <v:stroke dashstyle="dash"/>
                </v:rect>
                <v:rect id="Rectangle 200236350" o:spid="_x0000_s1044" style="position:absolute;top:12608;width:25252;height:1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" filled="f" strokecolor="#0a121c [484]" strokeweight="1.5pt">
                  <v:stroke dashstyle="dash"/>
                </v:rect>
                <w10:anchorlock/>
              </v:group>
            </w:pict>
          </mc:Fallback>
        </mc:AlternateContent>
      </w:r>
    </w:p>
    <w:p w14:paraId="41A65857" w14:textId="294BC80C" w:rsidR="00334FD6" w:rsidRPr="00FF7DC3" w:rsidRDefault="00334FD6" w:rsidP="00334FD6">
      <w:pPr>
        <w:pStyle w:val="IASBSectionTitle2Ind"/>
        <w:rPr>
          <w:lang w:val="en-AU"/>
        </w:rPr>
      </w:pPr>
      <w:r w:rsidRPr="00FF7DC3">
        <w:rPr>
          <w:lang w:val="en-AU"/>
        </w:rPr>
        <w:t xml:space="preserve">Step I: </w:t>
      </w:r>
      <w:r w:rsidR="009B6342" w:rsidRPr="00FF7DC3">
        <w:rPr>
          <w:lang w:val="en-AU"/>
        </w:rPr>
        <w:t xml:space="preserve"> </w:t>
      </w:r>
      <w:r w:rsidRPr="00FF7DC3">
        <w:rPr>
          <w:lang w:val="en-AU"/>
        </w:rPr>
        <w:t>Assessing whether a currency is exchangeable (paragraphs 8 and 8A–8B)</w:t>
      </w:r>
    </w:p>
    <w:p w14:paraId="2597D17B" w14:textId="77777777" w:rsidR="00334FD6" w:rsidRPr="00FF7DC3" w:rsidRDefault="00334FD6" w:rsidP="00334FD6">
      <w:pPr>
        <w:pStyle w:val="IASBNormalnpara"/>
        <w:rPr>
          <w:lang w:val="en-AU"/>
        </w:rPr>
      </w:pPr>
      <w:r w:rsidRPr="00FF7DC3">
        <w:rPr>
          <w:lang w:val="en-AU"/>
        </w:rPr>
        <w:t>A2</w:t>
      </w:r>
      <w:r w:rsidRPr="00FF7DC3">
        <w:rPr>
          <w:lang w:val="en-AU"/>
        </w:rPr>
        <w:tab/>
        <w:t>Paragraphs A3–A10 set out application guidance to help an entity assess whether a currency is exchangeable into another currency. An entity might determine that a currency is not exchangeable into another currency, even though that other currency might be exchangeable in the other direction. For example, an entity might determine that currency PC is not exchangeable into currency LC, even though currency LC is exchangeable into currency PC.</w:t>
      </w:r>
    </w:p>
    <w:p w14:paraId="208BFFED" w14:textId="77777777" w:rsidR="00334FD6" w:rsidRPr="00FF7DC3" w:rsidRDefault="00334FD6" w:rsidP="00334FD6">
      <w:pPr>
        <w:pStyle w:val="IASBSectionTitle3Ind"/>
        <w:rPr>
          <w:lang w:val="en-AU"/>
        </w:rPr>
      </w:pPr>
      <w:r w:rsidRPr="00FF7DC3">
        <w:rPr>
          <w:lang w:val="en-AU"/>
        </w:rPr>
        <w:t>Time frame</w:t>
      </w:r>
    </w:p>
    <w:p w14:paraId="35E5E9DC" w14:textId="77777777" w:rsidR="00334FD6" w:rsidRPr="00FF7DC3" w:rsidRDefault="00334FD6" w:rsidP="00334FD6">
      <w:pPr>
        <w:pStyle w:val="IASBNormalnpara"/>
        <w:rPr>
          <w:lang w:val="en-AU"/>
        </w:rPr>
      </w:pPr>
      <w:r w:rsidRPr="00FF7DC3">
        <w:rPr>
          <w:lang w:val="en-AU"/>
        </w:rPr>
        <w:t>A3</w:t>
      </w:r>
      <w:r w:rsidRPr="00FF7DC3">
        <w:rPr>
          <w:lang w:val="en-AU"/>
        </w:rPr>
        <w:tab/>
        <w:t>Paragraph 8 defines a spot exchange rate as the exchange rate for immediate delivery. However, an exchange transaction might not always complete instantaneously because of legal or regulatory requirements, or for practical reasons such as public holidays. A normal administrative delay in obtaining the other currency does not preclude a currency from being exchangeable into that other currency. What constitutes a normal administrative delay depends on facts and circumstances.</w:t>
      </w:r>
    </w:p>
    <w:p w14:paraId="2C7512FD" w14:textId="77777777" w:rsidR="00334FD6" w:rsidRPr="00FF7DC3" w:rsidRDefault="00334FD6" w:rsidP="00334FD6">
      <w:pPr>
        <w:pStyle w:val="IASBSectionTitle3Ind"/>
        <w:rPr>
          <w:lang w:val="en-AU"/>
        </w:rPr>
      </w:pPr>
      <w:r w:rsidRPr="00FF7DC3">
        <w:rPr>
          <w:lang w:val="en-AU"/>
        </w:rPr>
        <w:t>Ability to obtain the other currency</w:t>
      </w:r>
    </w:p>
    <w:p w14:paraId="226641D6" w14:textId="673F6A52" w:rsidR="00334FD6" w:rsidRPr="00FF7DC3" w:rsidRDefault="00334FD6" w:rsidP="00334FD6">
      <w:pPr>
        <w:pStyle w:val="IASBNormalnpara"/>
        <w:rPr>
          <w:lang w:val="en-AU"/>
        </w:rPr>
      </w:pPr>
      <w:r w:rsidRPr="00FF7DC3">
        <w:rPr>
          <w:lang w:val="en-AU"/>
        </w:rPr>
        <w:t>A4</w:t>
      </w:r>
      <w:r w:rsidRPr="00FF7DC3">
        <w:rPr>
          <w:lang w:val="en-AU"/>
        </w:rPr>
        <w:tab/>
        <w:t>In assessing whether a currency is exchangeable into another currency, an entity shall consider its ability to obtain the other currency, rather than its intention or decision to do so. Subject to the other requirements in paragraphs A2–A10, a currency is exchangeable into another currency if an entity is able to obtain the other currency</w:t>
      </w:r>
      <w:r w:rsidR="00600F45" w:rsidRPr="00FF7DC3">
        <w:rPr>
          <w:lang w:val="en-AU"/>
        </w:rPr>
        <w:t xml:space="preserve"> – </w:t>
      </w:r>
      <w:r w:rsidRPr="00FF7DC3">
        <w:rPr>
          <w:lang w:val="en-AU"/>
        </w:rPr>
        <w:t>either directly or indirectly</w:t>
      </w:r>
      <w:r w:rsidR="00600F45" w:rsidRPr="00FF7DC3">
        <w:rPr>
          <w:lang w:val="en-AU"/>
        </w:rPr>
        <w:t xml:space="preserve"> – </w:t>
      </w:r>
      <w:r w:rsidRPr="00FF7DC3">
        <w:rPr>
          <w:lang w:val="en-AU"/>
        </w:rPr>
        <w:t>even if it intends or decides not to do so. For example, subject to the other requirements in paragraphs A2–A10, regardless of whether the entity intends or decides to obtain PC, currency LC is exchangeable into currency PC if an entity is able to either exchange LC for PC, or exchange LC for another currency (FC) and then exchange FC for PC.</w:t>
      </w:r>
    </w:p>
    <w:p w14:paraId="24129403" w14:textId="77777777" w:rsidR="00334FD6" w:rsidRPr="00FF7DC3" w:rsidRDefault="00334FD6" w:rsidP="00334FD6">
      <w:pPr>
        <w:pStyle w:val="IASBSectionTitle3Ind"/>
        <w:rPr>
          <w:lang w:val="en-AU"/>
        </w:rPr>
      </w:pPr>
      <w:r w:rsidRPr="00FF7DC3">
        <w:rPr>
          <w:lang w:val="en-AU"/>
        </w:rPr>
        <w:t>Markets or exchange mechanisms</w:t>
      </w:r>
    </w:p>
    <w:p w14:paraId="77C4F01B" w14:textId="77777777" w:rsidR="00334FD6" w:rsidRPr="00FF7DC3" w:rsidRDefault="00334FD6" w:rsidP="00334FD6">
      <w:pPr>
        <w:pStyle w:val="IASBNormalnpara"/>
        <w:rPr>
          <w:lang w:val="en-AU"/>
        </w:rPr>
      </w:pPr>
      <w:r w:rsidRPr="00FF7DC3">
        <w:rPr>
          <w:lang w:val="en-AU"/>
        </w:rPr>
        <w:t>A5</w:t>
      </w:r>
      <w:r w:rsidRPr="00FF7DC3">
        <w:rPr>
          <w:lang w:val="en-AU"/>
        </w:rPr>
        <w:tab/>
        <w:t>In assessing whether a currency is exchangeable into another currency, an entity shall consider only markets or exchange mechanisms in which a transaction to exchange the currency for the other currency would create enforceable rights and obligations. Enforceability is a matter of law. Whether an exchange transaction in a market or exchange mechanism would create enforceable rights and obligations depends on facts and circumstances.</w:t>
      </w:r>
    </w:p>
    <w:p w14:paraId="782761A1" w14:textId="77777777" w:rsidR="00334FD6" w:rsidRPr="00FF7DC3" w:rsidRDefault="00334FD6" w:rsidP="00334FD6">
      <w:pPr>
        <w:pStyle w:val="IASBSectionTitle3Ind"/>
        <w:rPr>
          <w:lang w:val="en-AU"/>
        </w:rPr>
      </w:pPr>
      <w:r w:rsidRPr="00FF7DC3">
        <w:rPr>
          <w:lang w:val="en-AU"/>
        </w:rPr>
        <w:t>Purpose of obtaining the other currency</w:t>
      </w:r>
    </w:p>
    <w:p w14:paraId="19D94771" w14:textId="77777777" w:rsidR="00334FD6" w:rsidRPr="00FF7DC3" w:rsidRDefault="00334FD6" w:rsidP="00334FD6">
      <w:pPr>
        <w:pStyle w:val="IASBNormalnpara"/>
        <w:rPr>
          <w:lang w:val="en-AU"/>
        </w:rPr>
      </w:pPr>
      <w:r w:rsidRPr="00FF7DC3">
        <w:rPr>
          <w:lang w:val="en-AU"/>
        </w:rPr>
        <w:t>A6</w:t>
      </w:r>
      <w:r w:rsidRPr="00FF7DC3">
        <w:rPr>
          <w:lang w:val="en-AU"/>
        </w:rPr>
        <w:tab/>
        <w:t xml:space="preserve">Different exchange rates might be available for different uses of a currency. For example, a jurisdiction facing pressure on its balance of payments might wish to deter capital remittances (such as dividend payments) to </w:t>
      </w:r>
      <w:r w:rsidRPr="00FF7DC3">
        <w:rPr>
          <w:lang w:val="en-AU"/>
        </w:rPr>
        <w:lastRenderedPageBreak/>
        <w:t>other jurisdictions but encourage imports of specific goods from those jurisdictions. In such circumstances, the relevant authorities might:</w:t>
      </w:r>
    </w:p>
    <w:p w14:paraId="3F966788" w14:textId="77777777" w:rsidR="00334FD6" w:rsidRPr="00FF7DC3" w:rsidRDefault="00334FD6" w:rsidP="00334FD6">
      <w:pPr>
        <w:pStyle w:val="IASBNormalnparaL1"/>
        <w:rPr>
          <w:lang w:val="en-AU"/>
        </w:rPr>
      </w:pPr>
      <w:r w:rsidRPr="00FF7DC3">
        <w:rPr>
          <w:lang w:val="en-AU"/>
        </w:rPr>
        <w:t>(a)</w:t>
      </w:r>
      <w:r w:rsidRPr="00FF7DC3">
        <w:rPr>
          <w:lang w:val="en-AU"/>
        </w:rPr>
        <w:tab/>
        <w:t>set a preferential exchange rate for imports of those goods and a ‘penalty’ exchange rate for capital remittances to other jurisdictions, thus resulting in different exchange rates applying to different exchange transactions; or</w:t>
      </w:r>
    </w:p>
    <w:p w14:paraId="080EB011" w14:textId="77777777" w:rsidR="00334FD6" w:rsidRPr="00FF7DC3" w:rsidRDefault="00334FD6" w:rsidP="00334FD6">
      <w:pPr>
        <w:pStyle w:val="IASBNormalnparaL1"/>
        <w:rPr>
          <w:lang w:val="en-AU"/>
        </w:rPr>
      </w:pPr>
      <w:r w:rsidRPr="00FF7DC3">
        <w:rPr>
          <w:lang w:val="en-AU"/>
        </w:rPr>
        <w:t>(b)</w:t>
      </w:r>
      <w:r w:rsidRPr="00FF7DC3">
        <w:rPr>
          <w:lang w:val="en-AU"/>
        </w:rPr>
        <w:tab/>
        <w:t>make the other currency available only to pay for imports of those goods and not for capital remittances to other jurisdictions.</w:t>
      </w:r>
    </w:p>
    <w:p w14:paraId="2C1AC704" w14:textId="77777777" w:rsidR="00334FD6" w:rsidRPr="00FF7DC3" w:rsidRDefault="00334FD6" w:rsidP="00334FD6">
      <w:pPr>
        <w:pStyle w:val="IASBNormalnpara"/>
        <w:rPr>
          <w:lang w:val="en-AU"/>
        </w:rPr>
      </w:pPr>
      <w:r w:rsidRPr="00FF7DC3">
        <w:rPr>
          <w:lang w:val="en-AU"/>
        </w:rPr>
        <w:t>A7</w:t>
      </w:r>
      <w:r w:rsidRPr="00FF7DC3">
        <w:rPr>
          <w:lang w:val="en-AU"/>
        </w:rPr>
        <w:tab/>
        <w:t>Accordingly, whether a currency is exchangeable into another currency could depend on the purpose for which the entity obtains (or hypothetically might need to obtain) the other currency. In assessing exchangeability:</w:t>
      </w:r>
    </w:p>
    <w:p w14:paraId="1A51BD65" w14:textId="77777777" w:rsidR="00334FD6" w:rsidRPr="00FF7DC3" w:rsidRDefault="00334FD6" w:rsidP="00334FD6">
      <w:pPr>
        <w:pStyle w:val="IASBNormalnparaL1"/>
        <w:rPr>
          <w:lang w:val="en-AU"/>
        </w:rPr>
      </w:pPr>
      <w:r w:rsidRPr="00FF7DC3">
        <w:rPr>
          <w:lang w:val="en-AU"/>
        </w:rPr>
        <w:t>(a)</w:t>
      </w:r>
      <w:r w:rsidRPr="00FF7DC3">
        <w:rPr>
          <w:lang w:val="en-AU"/>
        </w:rPr>
        <w:tab/>
        <w:t>when an entity reports foreign currency transactions in its functional currency (see paragraphs 20–37), the entity shall assume its purpose in obtaining the other currency is to realise or settle individual foreign currency transactions, assets or liabilities.</w:t>
      </w:r>
    </w:p>
    <w:p w14:paraId="4CDB9678" w14:textId="77777777" w:rsidR="00334FD6" w:rsidRPr="00FF7DC3" w:rsidRDefault="00334FD6" w:rsidP="00334FD6">
      <w:pPr>
        <w:pStyle w:val="IASBNormalnparaL1"/>
        <w:rPr>
          <w:lang w:val="en-AU"/>
        </w:rPr>
      </w:pPr>
      <w:r w:rsidRPr="00FF7DC3">
        <w:rPr>
          <w:lang w:val="en-AU"/>
        </w:rPr>
        <w:t>(b)</w:t>
      </w:r>
      <w:r w:rsidRPr="00FF7DC3">
        <w:rPr>
          <w:lang w:val="en-AU"/>
        </w:rPr>
        <w:tab/>
        <w:t>when an entity uses a presentation currency other than its functional currency (see paragraphs 38–43), the entity shall assume its purpose in obtaining the other currency is to realise or settle its net assets or net liabilities.</w:t>
      </w:r>
    </w:p>
    <w:p w14:paraId="1F285E13" w14:textId="77777777" w:rsidR="00334FD6" w:rsidRPr="00FF7DC3" w:rsidRDefault="00334FD6" w:rsidP="00334FD6">
      <w:pPr>
        <w:pStyle w:val="IASBNormalnparaL1"/>
        <w:rPr>
          <w:lang w:val="en-AU"/>
        </w:rPr>
      </w:pPr>
      <w:r w:rsidRPr="00FF7DC3">
        <w:rPr>
          <w:lang w:val="en-AU"/>
        </w:rPr>
        <w:t>(c)</w:t>
      </w:r>
      <w:r w:rsidRPr="00FF7DC3">
        <w:rPr>
          <w:lang w:val="en-AU"/>
        </w:rPr>
        <w:tab/>
        <w:t>when an entity translates the results and financial position of a foreign operation into the presentation currency (see paragraphs 44–47), the entity shall assume its purpose in obtaining the other currency is to realise or settle its net investment in the foreign operation.</w:t>
      </w:r>
    </w:p>
    <w:p w14:paraId="27F6BE81" w14:textId="77777777" w:rsidR="00334FD6" w:rsidRPr="00FF7DC3" w:rsidRDefault="00334FD6" w:rsidP="00334FD6">
      <w:pPr>
        <w:pStyle w:val="IASBNormalnpara"/>
        <w:rPr>
          <w:lang w:val="en-AU"/>
        </w:rPr>
      </w:pPr>
      <w:r w:rsidRPr="00FF7DC3">
        <w:rPr>
          <w:lang w:val="en-AU"/>
        </w:rPr>
        <w:t>A8</w:t>
      </w:r>
      <w:r w:rsidRPr="00FF7DC3">
        <w:rPr>
          <w:lang w:val="en-AU"/>
        </w:rPr>
        <w:tab/>
        <w:t>An entity’s net assets or net investment in a foreign operation might be realised by, for example:</w:t>
      </w:r>
    </w:p>
    <w:p w14:paraId="3FF71190" w14:textId="77777777" w:rsidR="00334FD6" w:rsidRPr="00FF7DC3" w:rsidRDefault="00334FD6" w:rsidP="00334FD6">
      <w:pPr>
        <w:pStyle w:val="IASBNormalnparaL1"/>
        <w:rPr>
          <w:lang w:val="en-AU"/>
        </w:rPr>
      </w:pPr>
      <w:r w:rsidRPr="00FF7DC3">
        <w:rPr>
          <w:lang w:val="en-AU"/>
        </w:rPr>
        <w:t>(a)</w:t>
      </w:r>
      <w:r w:rsidRPr="00FF7DC3">
        <w:rPr>
          <w:lang w:val="en-AU"/>
        </w:rPr>
        <w:tab/>
        <w:t>the distribution of a financial return to the entity’s owners;</w:t>
      </w:r>
    </w:p>
    <w:p w14:paraId="04698BB8" w14:textId="77777777" w:rsidR="00334FD6" w:rsidRPr="00FF7DC3" w:rsidRDefault="00334FD6" w:rsidP="00334FD6">
      <w:pPr>
        <w:pStyle w:val="IASBNormalnparaL1"/>
        <w:rPr>
          <w:lang w:val="en-AU"/>
        </w:rPr>
      </w:pPr>
      <w:r w:rsidRPr="00FF7DC3">
        <w:rPr>
          <w:lang w:val="en-AU"/>
        </w:rPr>
        <w:t>(b)</w:t>
      </w:r>
      <w:r w:rsidRPr="00FF7DC3">
        <w:rPr>
          <w:lang w:val="en-AU"/>
        </w:rPr>
        <w:tab/>
        <w:t>the receipt of a financial return from the entity’s foreign operation; or</w:t>
      </w:r>
    </w:p>
    <w:p w14:paraId="6021D37B" w14:textId="77777777" w:rsidR="00334FD6" w:rsidRPr="00FF7DC3" w:rsidRDefault="00334FD6" w:rsidP="00334FD6">
      <w:pPr>
        <w:pStyle w:val="IASBNormalnparaL1"/>
        <w:rPr>
          <w:lang w:val="en-AU"/>
        </w:rPr>
      </w:pPr>
      <w:r w:rsidRPr="00FF7DC3">
        <w:rPr>
          <w:lang w:val="en-AU"/>
        </w:rPr>
        <w:t>(c)</w:t>
      </w:r>
      <w:r w:rsidRPr="00FF7DC3">
        <w:rPr>
          <w:lang w:val="en-AU"/>
        </w:rPr>
        <w:tab/>
        <w:t>the recovery of the investment by the entity or the entity’s owners, such as through disposal of the investment.</w:t>
      </w:r>
    </w:p>
    <w:p w14:paraId="7B303197" w14:textId="77777777" w:rsidR="00334FD6" w:rsidRPr="00FF7DC3" w:rsidRDefault="00334FD6" w:rsidP="00334FD6">
      <w:pPr>
        <w:pStyle w:val="IASBNormalnpara"/>
        <w:rPr>
          <w:lang w:val="en-AU"/>
        </w:rPr>
      </w:pPr>
      <w:r w:rsidRPr="00FF7DC3">
        <w:rPr>
          <w:lang w:val="en-AU"/>
        </w:rPr>
        <w:t>A9</w:t>
      </w:r>
      <w:r w:rsidRPr="00FF7DC3">
        <w:rPr>
          <w:lang w:val="en-AU"/>
        </w:rPr>
        <w:tab/>
        <w:t>An entity shall assess whether a currency is exchangeable into another currency separately for each purpose specified in paragraph A7. For example, an entity shall assess exchangeability for the purpose of reporting foreign currency transactions in its functional currency (see paragraph A7(a)) separately from exchangeability for the purpose of translating the results and financial position of a foreign operation (see paragraph A7(c)).</w:t>
      </w:r>
    </w:p>
    <w:p w14:paraId="1A496576" w14:textId="77777777" w:rsidR="00334FD6" w:rsidRPr="00FF7DC3" w:rsidRDefault="00334FD6" w:rsidP="00334FD6">
      <w:pPr>
        <w:pStyle w:val="IASBSectionTitle3Ind"/>
        <w:rPr>
          <w:lang w:val="en-AU"/>
        </w:rPr>
      </w:pPr>
      <w:r w:rsidRPr="00FF7DC3">
        <w:rPr>
          <w:lang w:val="en-AU"/>
        </w:rPr>
        <w:t>Ability to obtain only limited amounts of the other currency</w:t>
      </w:r>
    </w:p>
    <w:p w14:paraId="0CC61F1D" w14:textId="77777777" w:rsidR="00334FD6" w:rsidRPr="00FF7DC3" w:rsidRDefault="00334FD6" w:rsidP="00334FD6">
      <w:pPr>
        <w:pStyle w:val="IASBNormalnpara"/>
        <w:rPr>
          <w:lang w:val="en-AU"/>
        </w:rPr>
      </w:pPr>
      <w:r w:rsidRPr="00FF7DC3">
        <w:rPr>
          <w:lang w:val="en-AU"/>
        </w:rPr>
        <w:t>A10</w:t>
      </w:r>
      <w:r w:rsidRPr="00FF7DC3">
        <w:rPr>
          <w:lang w:val="en-AU"/>
        </w:rPr>
        <w:tab/>
        <w:t>A currency is not exchangeable into another currency if, for a purpose specified in paragraph A7, an entity is able to obtain no more than an insignificant amount of the other currency. An entity shall assess the significance of the amount of the other currency it is able to obtain for a specified purpose by comparing that amount with the total amount of the other currency required for that purpose. For example, an entity with a functional currency of LC has liabilities denominated in currency FC. The entity assesses whether the total amount of FC it can obtain for the purpose of settling those liabilities is no more than an insignificant amount compared with the aggregated amount (the sum) of its liability balances denominated in FC.</w:t>
      </w:r>
    </w:p>
    <w:p w14:paraId="5749389E" w14:textId="3A11BB0D" w:rsidR="00CD6F8A" w:rsidRPr="00FF7DC3" w:rsidRDefault="00CD6F8A" w:rsidP="00CD6F8A">
      <w:pPr>
        <w:pStyle w:val="IASBSectionTitle2Ind"/>
        <w:rPr>
          <w:lang w:val="en-AU"/>
        </w:rPr>
      </w:pPr>
      <w:r w:rsidRPr="00FF7DC3">
        <w:rPr>
          <w:lang w:val="en-AU"/>
        </w:rPr>
        <w:t>Step II:</w:t>
      </w:r>
      <w:r w:rsidR="009B6342" w:rsidRPr="00FF7DC3">
        <w:rPr>
          <w:lang w:val="en-AU"/>
        </w:rPr>
        <w:t xml:space="preserve"> </w:t>
      </w:r>
      <w:r w:rsidRPr="00FF7DC3">
        <w:rPr>
          <w:lang w:val="en-AU"/>
        </w:rPr>
        <w:t xml:space="preserve"> Estimating the spot exchange rate when a currency is not exchangeable (paragraph 19A)</w:t>
      </w:r>
    </w:p>
    <w:p w14:paraId="2F0DF6C4" w14:textId="77777777" w:rsidR="00CD6F8A" w:rsidRPr="00FF7DC3" w:rsidRDefault="00CD6F8A" w:rsidP="00CD6F8A">
      <w:pPr>
        <w:pStyle w:val="IASBNormalnpara"/>
        <w:rPr>
          <w:lang w:val="en-AU"/>
        </w:rPr>
      </w:pPr>
      <w:r w:rsidRPr="00FF7DC3">
        <w:rPr>
          <w:lang w:val="en-AU"/>
        </w:rPr>
        <w:t>A11</w:t>
      </w:r>
      <w:r w:rsidRPr="00FF7DC3">
        <w:rPr>
          <w:lang w:val="en-AU"/>
        </w:rPr>
        <w:tab/>
        <w:t>This Standard does not specify how an entity estimates the spot exchange rate to meet the objective in paragraph 19A. An entity can use an observable exchange rate without adjustment (see paragraphs A12–A16) or another estimation technique (see paragraph A17).</w:t>
      </w:r>
    </w:p>
    <w:p w14:paraId="45C09039" w14:textId="77777777" w:rsidR="00CD6F8A" w:rsidRPr="00FF7DC3" w:rsidRDefault="00CD6F8A" w:rsidP="00CD6F8A">
      <w:pPr>
        <w:pStyle w:val="IASBSectionTitle3Ind"/>
        <w:rPr>
          <w:lang w:val="en-AU"/>
        </w:rPr>
      </w:pPr>
      <w:r w:rsidRPr="00FF7DC3">
        <w:rPr>
          <w:lang w:val="en-AU"/>
        </w:rPr>
        <w:t>Using an observable exchange rate without adjustment</w:t>
      </w:r>
    </w:p>
    <w:p w14:paraId="0769BE71" w14:textId="77777777" w:rsidR="00CD6F8A" w:rsidRPr="00FF7DC3" w:rsidRDefault="00CD6F8A" w:rsidP="00CD6F8A">
      <w:pPr>
        <w:pStyle w:val="IASBNormalnpara"/>
        <w:rPr>
          <w:lang w:val="en-AU"/>
        </w:rPr>
      </w:pPr>
      <w:r w:rsidRPr="00FF7DC3">
        <w:rPr>
          <w:lang w:val="en-AU"/>
        </w:rPr>
        <w:t>A12</w:t>
      </w:r>
      <w:r w:rsidRPr="00FF7DC3">
        <w:rPr>
          <w:lang w:val="en-AU"/>
        </w:rPr>
        <w:tab/>
        <w:t>In estimating the spot exchange rate as required by paragraph 19A, an entity may use an observable exchange rate without adjustment if that observable exchange rate meets the objective in paragraph 19A. Examples of an observable exchange rate include:</w:t>
      </w:r>
    </w:p>
    <w:p w14:paraId="7EBB9F75" w14:textId="77777777" w:rsidR="00CD6F8A" w:rsidRPr="00FF7DC3" w:rsidRDefault="00CD6F8A" w:rsidP="00CD6F8A">
      <w:pPr>
        <w:pStyle w:val="IASBNormalnparaL1"/>
        <w:rPr>
          <w:lang w:val="en-AU"/>
        </w:rPr>
      </w:pPr>
      <w:r w:rsidRPr="00FF7DC3">
        <w:rPr>
          <w:lang w:val="en-AU"/>
        </w:rPr>
        <w:t>(a)</w:t>
      </w:r>
      <w:r w:rsidRPr="00FF7DC3">
        <w:rPr>
          <w:lang w:val="en-AU"/>
        </w:rPr>
        <w:tab/>
        <w:t>a spot exchange rate for a purpose other than that for which an entity assesses exchangeability (see paragraphs A13–A14); and</w:t>
      </w:r>
    </w:p>
    <w:p w14:paraId="7EE1445C" w14:textId="77777777" w:rsidR="00CD6F8A" w:rsidRPr="00FF7DC3" w:rsidRDefault="00CD6F8A" w:rsidP="00CD6F8A">
      <w:pPr>
        <w:pStyle w:val="IASBNormalnparaL1"/>
        <w:rPr>
          <w:lang w:val="en-AU"/>
        </w:rPr>
      </w:pPr>
      <w:r w:rsidRPr="00FF7DC3">
        <w:rPr>
          <w:lang w:val="en-AU"/>
        </w:rPr>
        <w:t>(b)</w:t>
      </w:r>
      <w:r w:rsidRPr="00FF7DC3">
        <w:rPr>
          <w:lang w:val="en-AU"/>
        </w:rPr>
        <w:tab/>
        <w:t>the first exchange rate at which an entity is able to obtain the other currency for the specified purpose after exchangeability of the currency is restored (first subsequent exchange rate) (see paragraphs A15–A16).</w:t>
      </w:r>
    </w:p>
    <w:p w14:paraId="23087D2D" w14:textId="77777777" w:rsidR="00CD6F8A" w:rsidRPr="00FF7DC3" w:rsidRDefault="00CD6F8A" w:rsidP="0040038B">
      <w:pPr>
        <w:pStyle w:val="IASBSectionTitle4Ind"/>
        <w:spacing w:before="240"/>
        <w:rPr>
          <w:lang w:val="en-AU"/>
        </w:rPr>
      </w:pPr>
      <w:r w:rsidRPr="00FF7DC3">
        <w:rPr>
          <w:lang w:val="en-AU"/>
        </w:rPr>
        <w:lastRenderedPageBreak/>
        <w:t>Using an observable exchange rate for another purpose</w:t>
      </w:r>
    </w:p>
    <w:p w14:paraId="17B6F5A7" w14:textId="77777777" w:rsidR="00CD6F8A" w:rsidRPr="00FF7DC3" w:rsidRDefault="00CD6F8A" w:rsidP="00CD6F8A">
      <w:pPr>
        <w:pStyle w:val="IASBNormalnpara"/>
        <w:rPr>
          <w:lang w:val="en-AU"/>
        </w:rPr>
      </w:pPr>
      <w:r w:rsidRPr="00FF7DC3">
        <w:rPr>
          <w:lang w:val="en-AU"/>
        </w:rPr>
        <w:t>A13</w:t>
      </w:r>
      <w:r w:rsidRPr="00FF7DC3">
        <w:rPr>
          <w:lang w:val="en-AU"/>
        </w:rPr>
        <w:tab/>
        <w:t>A currency that is not exchangeable into another currency for one purpose might be exchangeable into that currency for another purpose. For example, an entity might be able to obtain a currency to import specific goods but not to pay dividends. In such situations, the entity might conclude that an observable exchange rate for another purpose meets the objective in paragraph 19A. If the rate meets the objective in paragraph 19A, an entity may use that rate as the estimated spot exchange rate.</w:t>
      </w:r>
    </w:p>
    <w:p w14:paraId="60FAB406" w14:textId="77777777" w:rsidR="00CD6F8A" w:rsidRPr="00FF7DC3" w:rsidRDefault="00CD6F8A" w:rsidP="00CD6F8A">
      <w:pPr>
        <w:pStyle w:val="IASBNormalnpara"/>
        <w:rPr>
          <w:lang w:val="en-AU"/>
        </w:rPr>
      </w:pPr>
      <w:r w:rsidRPr="00FF7DC3">
        <w:rPr>
          <w:lang w:val="en-AU"/>
        </w:rPr>
        <w:t>A14</w:t>
      </w:r>
      <w:r w:rsidRPr="00FF7DC3">
        <w:rPr>
          <w:lang w:val="en-AU"/>
        </w:rPr>
        <w:tab/>
        <w:t>In assessing whether such an observable exchange rate meets the objective in paragraph 19A, an entity shall consider, among other factors:</w:t>
      </w:r>
    </w:p>
    <w:p w14:paraId="0CD93867" w14:textId="5955C2AD" w:rsidR="00CD6F8A" w:rsidRPr="00FF7DC3" w:rsidRDefault="00CD6F8A" w:rsidP="00CD6F8A">
      <w:pPr>
        <w:pStyle w:val="IASBNormalnparaL1"/>
        <w:rPr>
          <w:lang w:val="en-AU"/>
        </w:rPr>
      </w:pPr>
      <w:r w:rsidRPr="00FF7DC3">
        <w:rPr>
          <w:lang w:val="en-AU"/>
        </w:rPr>
        <w:t>(a)</w:t>
      </w:r>
      <w:r w:rsidRPr="00FF7DC3">
        <w:rPr>
          <w:lang w:val="en-AU"/>
        </w:rPr>
        <w:tab/>
      </w:r>
      <w:r w:rsidRPr="00FF7DC3">
        <w:rPr>
          <w:i/>
          <w:lang w:val="en-AU"/>
        </w:rPr>
        <w:t>whether several observable exchange rates exist</w:t>
      </w:r>
      <w:r w:rsidR="00516CFD">
        <w:rPr>
          <w:lang w:val="en-AU"/>
        </w:rPr>
        <w:t xml:space="preserve"> – </w:t>
      </w:r>
      <w:r w:rsidRPr="00FF7DC3">
        <w:rPr>
          <w:lang w:val="en-AU"/>
        </w:rPr>
        <w:t>the existence of more than one observable exchange rate might indicate that exchange rates are set to encourage, or deter, entities from obtaining the other currency for particular purposes. These observable exchange rates might include an ‘incentive’ or ‘penalty’ and therefore might not reflect the prevailing economic conditions.</w:t>
      </w:r>
    </w:p>
    <w:p w14:paraId="04558251" w14:textId="4A1A3FF0" w:rsidR="00CD6F8A" w:rsidRPr="00FF7DC3" w:rsidRDefault="00CD6F8A" w:rsidP="00CD6F8A">
      <w:pPr>
        <w:pStyle w:val="IASBNormalnparaL1"/>
        <w:rPr>
          <w:lang w:val="en-AU"/>
        </w:rPr>
      </w:pPr>
      <w:r w:rsidRPr="00FF7DC3">
        <w:rPr>
          <w:lang w:val="en-AU"/>
        </w:rPr>
        <w:t>(b)</w:t>
      </w:r>
      <w:r w:rsidRPr="00FF7DC3">
        <w:rPr>
          <w:lang w:val="en-AU"/>
        </w:rPr>
        <w:tab/>
      </w:r>
      <w:r w:rsidRPr="00FF7DC3">
        <w:rPr>
          <w:i/>
          <w:lang w:val="en-AU"/>
        </w:rPr>
        <w:t>the purpose for which the currency is exchangeable</w:t>
      </w:r>
      <w:r w:rsidR="00516CFD">
        <w:rPr>
          <w:lang w:val="en-AU"/>
        </w:rPr>
        <w:t xml:space="preserve"> – </w:t>
      </w:r>
      <w:r w:rsidRPr="00FF7DC3">
        <w:rPr>
          <w:lang w:val="en-AU"/>
        </w:rPr>
        <w:t>if an entity is able to obtain the other currency only for limited purposes (such as to import emergency supplies), the observable exchange rate might not reflect the prevailing economic conditions.</w:t>
      </w:r>
    </w:p>
    <w:p w14:paraId="5F75080F" w14:textId="6C13B2E6" w:rsidR="00CD6F8A" w:rsidRPr="00FF7DC3" w:rsidRDefault="00CD6F8A" w:rsidP="00CD6F8A">
      <w:pPr>
        <w:pStyle w:val="IASBNormalnparaL1"/>
        <w:rPr>
          <w:lang w:val="en-AU"/>
        </w:rPr>
      </w:pPr>
      <w:r w:rsidRPr="00FF7DC3">
        <w:rPr>
          <w:lang w:val="en-AU"/>
        </w:rPr>
        <w:t>(c)</w:t>
      </w:r>
      <w:r w:rsidRPr="00FF7DC3">
        <w:rPr>
          <w:lang w:val="en-AU"/>
        </w:rPr>
        <w:tab/>
      </w:r>
      <w:r w:rsidRPr="00FF7DC3">
        <w:rPr>
          <w:i/>
          <w:lang w:val="en-AU"/>
        </w:rPr>
        <w:t>the nature of the exchange rate</w:t>
      </w:r>
      <w:r w:rsidR="00516CFD">
        <w:rPr>
          <w:lang w:val="en-AU"/>
        </w:rPr>
        <w:t xml:space="preserve"> – </w:t>
      </w:r>
      <w:r w:rsidRPr="00FF7DC3">
        <w:rPr>
          <w:lang w:val="en-AU"/>
        </w:rPr>
        <w:t>a free-floating observable exchange rate is more likely to reflect the prevailing economic conditions than an exchange rate set through regular interventions by the relevant authorities.</w:t>
      </w:r>
    </w:p>
    <w:p w14:paraId="27C30EDA" w14:textId="4AC32428" w:rsidR="00CD6F8A" w:rsidRPr="00FF7DC3" w:rsidRDefault="00CD6F8A" w:rsidP="00CD6F8A">
      <w:pPr>
        <w:pStyle w:val="IASBNormalnparaL1"/>
        <w:rPr>
          <w:lang w:val="en-AU"/>
        </w:rPr>
      </w:pPr>
      <w:r w:rsidRPr="00FF7DC3">
        <w:rPr>
          <w:lang w:val="en-AU"/>
        </w:rPr>
        <w:t>(d)</w:t>
      </w:r>
      <w:r w:rsidRPr="00FF7DC3">
        <w:rPr>
          <w:lang w:val="en-AU"/>
        </w:rPr>
        <w:tab/>
      </w:r>
      <w:r w:rsidRPr="00FF7DC3">
        <w:rPr>
          <w:i/>
          <w:lang w:val="en-AU"/>
        </w:rPr>
        <w:t>the frequency with which exchange rates are updated</w:t>
      </w:r>
      <w:r w:rsidR="00516CFD">
        <w:rPr>
          <w:lang w:val="en-AU"/>
        </w:rPr>
        <w:t xml:space="preserve"> – </w:t>
      </w:r>
      <w:r w:rsidRPr="00FF7DC3">
        <w:rPr>
          <w:lang w:val="en-AU"/>
        </w:rPr>
        <w:t>an observable exchange rate unchanged over time is less likely to reflect the prevailing economic conditions than an observable exchange rate that is updated on a daily basis (or even more frequently).</w:t>
      </w:r>
    </w:p>
    <w:p w14:paraId="011D8E27" w14:textId="77777777" w:rsidR="00CD6F8A" w:rsidRPr="00FF7DC3" w:rsidRDefault="00CD6F8A" w:rsidP="0040038B">
      <w:pPr>
        <w:pStyle w:val="IASBSectionTitle4Ind"/>
        <w:spacing w:before="240"/>
        <w:rPr>
          <w:lang w:val="en-AU"/>
        </w:rPr>
      </w:pPr>
      <w:r w:rsidRPr="00FF7DC3">
        <w:rPr>
          <w:lang w:val="en-AU"/>
        </w:rPr>
        <w:t>Using the first subsequent exchange rate</w:t>
      </w:r>
    </w:p>
    <w:p w14:paraId="65E3102F" w14:textId="77777777" w:rsidR="00CD6F8A" w:rsidRPr="00FF7DC3" w:rsidRDefault="00CD6F8A" w:rsidP="00CD6F8A">
      <w:pPr>
        <w:pStyle w:val="IASBNormalnpara"/>
        <w:rPr>
          <w:lang w:val="en-AU"/>
        </w:rPr>
      </w:pPr>
      <w:r w:rsidRPr="00FF7DC3">
        <w:rPr>
          <w:lang w:val="en-AU"/>
        </w:rPr>
        <w:t>A15</w:t>
      </w:r>
      <w:r w:rsidRPr="00FF7DC3">
        <w:rPr>
          <w:lang w:val="en-AU"/>
        </w:rPr>
        <w:tab/>
        <w:t>A currency that is not exchangeable into another currency at the measurement date for a specified purpose might subsequently become exchangeable into that currency for that purpose. In such situations, an entity might conclude that the first subsequent exchange rate meets the objective in paragraph 19A. If the rate meets the objective in paragraph 19A, an entity may use that rate as the estimated spot exchange rate.</w:t>
      </w:r>
    </w:p>
    <w:p w14:paraId="52F0C6BF" w14:textId="77777777" w:rsidR="00CD6F8A" w:rsidRPr="00FF7DC3" w:rsidRDefault="00CD6F8A" w:rsidP="00CD6F8A">
      <w:pPr>
        <w:pStyle w:val="IASBNormalnpara"/>
        <w:rPr>
          <w:lang w:val="en-AU"/>
        </w:rPr>
      </w:pPr>
      <w:r w:rsidRPr="00FF7DC3">
        <w:rPr>
          <w:lang w:val="en-AU"/>
        </w:rPr>
        <w:t>A16</w:t>
      </w:r>
      <w:r w:rsidRPr="00FF7DC3">
        <w:rPr>
          <w:lang w:val="en-AU"/>
        </w:rPr>
        <w:tab/>
        <w:t>In assessing whether the first subsequent exchange rate meets the objective in paragraph 19A, an entity shall consider, among other factors:</w:t>
      </w:r>
    </w:p>
    <w:p w14:paraId="7A05735C" w14:textId="455141D2" w:rsidR="00CD6F8A" w:rsidRPr="00FF7DC3" w:rsidRDefault="00CD6F8A" w:rsidP="00CD6F8A">
      <w:pPr>
        <w:pStyle w:val="IASBNormalnparaL1"/>
        <w:rPr>
          <w:lang w:val="en-AU"/>
        </w:rPr>
      </w:pPr>
      <w:r w:rsidRPr="00FF7DC3">
        <w:rPr>
          <w:lang w:val="en-AU"/>
        </w:rPr>
        <w:t>(a)</w:t>
      </w:r>
      <w:r w:rsidRPr="00FF7DC3">
        <w:rPr>
          <w:lang w:val="en-AU"/>
        </w:rPr>
        <w:tab/>
      </w:r>
      <w:r w:rsidRPr="00FF7DC3">
        <w:rPr>
          <w:i/>
          <w:lang w:val="en-AU"/>
        </w:rPr>
        <w:t>the time between the measurement date and the date at which exchangeability is restored</w:t>
      </w:r>
      <w:r w:rsidR="00516CFD">
        <w:rPr>
          <w:lang w:val="en-AU"/>
        </w:rPr>
        <w:t xml:space="preserve"> </w:t>
      </w:r>
      <w:r w:rsidR="00E979E8">
        <w:rPr>
          <w:lang w:val="en-AU"/>
        </w:rPr>
        <w:t>–</w:t>
      </w:r>
      <w:r w:rsidR="00516CFD">
        <w:rPr>
          <w:lang w:val="en-AU"/>
        </w:rPr>
        <w:t xml:space="preserve"> </w:t>
      </w:r>
      <w:r w:rsidRPr="00FF7DC3">
        <w:rPr>
          <w:lang w:val="en-AU"/>
        </w:rPr>
        <w:t>the shorter this period, the more likely the first subsequent exchange rate will reflect the prevailing economic conditions.</w:t>
      </w:r>
    </w:p>
    <w:p w14:paraId="3E2798CB" w14:textId="600EF645" w:rsidR="00CD6F8A" w:rsidRPr="00FF7DC3" w:rsidRDefault="00CD6F8A" w:rsidP="00CD6F8A">
      <w:pPr>
        <w:pStyle w:val="IASBNormalnparaL1"/>
        <w:rPr>
          <w:lang w:val="en-AU"/>
        </w:rPr>
      </w:pPr>
      <w:r w:rsidRPr="00FF7DC3">
        <w:rPr>
          <w:lang w:val="en-AU"/>
        </w:rPr>
        <w:t>(b)</w:t>
      </w:r>
      <w:r w:rsidRPr="00FF7DC3">
        <w:rPr>
          <w:lang w:val="en-AU"/>
        </w:rPr>
        <w:tab/>
      </w:r>
      <w:r w:rsidRPr="00FF7DC3">
        <w:rPr>
          <w:i/>
          <w:lang w:val="en-AU"/>
        </w:rPr>
        <w:t>inflation rates</w:t>
      </w:r>
      <w:r w:rsidR="00516CFD">
        <w:rPr>
          <w:lang w:val="en-AU"/>
        </w:rPr>
        <w:t xml:space="preserve"> </w:t>
      </w:r>
      <w:r w:rsidR="00E979E8">
        <w:rPr>
          <w:lang w:val="en-AU"/>
        </w:rPr>
        <w:t>–</w:t>
      </w:r>
      <w:r w:rsidR="00516CFD">
        <w:rPr>
          <w:lang w:val="en-AU"/>
        </w:rPr>
        <w:t xml:space="preserve"> </w:t>
      </w:r>
      <w:r w:rsidRPr="00FF7DC3">
        <w:rPr>
          <w:lang w:val="en-AU"/>
        </w:rPr>
        <w:t xml:space="preserve">when an economy is subject to high inflation, including when an economy is hyperinflationary (as specified in </w:t>
      </w:r>
      <w:r w:rsidR="0023687F" w:rsidRPr="00FF7DC3">
        <w:rPr>
          <w:lang w:val="en-AU"/>
        </w:rPr>
        <w:t xml:space="preserve">AASB 129 </w:t>
      </w:r>
      <w:r w:rsidRPr="00FF7DC3">
        <w:rPr>
          <w:i/>
          <w:lang w:val="en-AU"/>
        </w:rPr>
        <w:t>Financial Reporting in Hyperinflationary Economies</w:t>
      </w:r>
      <w:r w:rsidRPr="00FF7DC3">
        <w:rPr>
          <w:lang w:val="en-AU"/>
        </w:rPr>
        <w:t>), prices often change quickly, perhaps several times a day. Accordingly, the first subsequent exchange rate for a currency of such an economy might not reflect the prevailing economic conditions.</w:t>
      </w:r>
    </w:p>
    <w:p w14:paraId="101D6DB4" w14:textId="77777777" w:rsidR="00CD6F8A" w:rsidRPr="00FF7DC3" w:rsidRDefault="00CD6F8A" w:rsidP="00CD6F8A">
      <w:pPr>
        <w:pStyle w:val="IASBSectionTitle3Ind"/>
        <w:rPr>
          <w:lang w:val="en-AU"/>
        </w:rPr>
      </w:pPr>
      <w:r w:rsidRPr="00FF7DC3">
        <w:rPr>
          <w:lang w:val="en-AU"/>
        </w:rPr>
        <w:t>Using another estimation technique</w:t>
      </w:r>
    </w:p>
    <w:p w14:paraId="54065095" w14:textId="1538D00A" w:rsidR="00CD6F8A" w:rsidRPr="00FF7DC3" w:rsidRDefault="00CD6F8A" w:rsidP="00CD6F8A">
      <w:pPr>
        <w:pStyle w:val="IASBNormalnpara"/>
        <w:rPr>
          <w:lang w:val="en-AU"/>
        </w:rPr>
      </w:pPr>
      <w:r w:rsidRPr="00FF7DC3">
        <w:rPr>
          <w:lang w:val="en-AU"/>
        </w:rPr>
        <w:t>A17</w:t>
      </w:r>
      <w:r w:rsidRPr="00FF7DC3">
        <w:rPr>
          <w:lang w:val="en-AU"/>
        </w:rPr>
        <w:tab/>
        <w:t>An entity using another estimation technique may use any observable exchange rate</w:t>
      </w:r>
      <w:r w:rsidR="00E979E8">
        <w:rPr>
          <w:lang w:val="en-AU"/>
        </w:rPr>
        <w:t xml:space="preserve"> – </w:t>
      </w:r>
      <w:r w:rsidRPr="00FF7DC3">
        <w:rPr>
          <w:lang w:val="en-AU"/>
        </w:rPr>
        <w:t>including rates from exchange transactions in markets or exchange mechanisms that do not create enforceable rights and obligations</w:t>
      </w:r>
      <w:r w:rsidR="00516CFD">
        <w:rPr>
          <w:lang w:val="en-AU"/>
        </w:rPr>
        <w:t xml:space="preserve"> – </w:t>
      </w:r>
      <w:r w:rsidRPr="00FF7DC3">
        <w:rPr>
          <w:lang w:val="en-AU"/>
        </w:rPr>
        <w:t>and adjust that rate, as necessary, to meet the objective in paragraph 19A.</w:t>
      </w:r>
    </w:p>
    <w:p w14:paraId="114E34D4" w14:textId="77777777" w:rsidR="00CD6F8A" w:rsidRPr="00FF7DC3" w:rsidRDefault="00CD6F8A" w:rsidP="00CD6F8A">
      <w:pPr>
        <w:pStyle w:val="IASBSectionTitle2Ind"/>
        <w:rPr>
          <w:lang w:val="en-AU"/>
        </w:rPr>
      </w:pPr>
      <w:r w:rsidRPr="00FF7DC3">
        <w:rPr>
          <w:lang w:val="en-AU"/>
        </w:rPr>
        <w:t>Disclosure when a currency is not exchangeable</w:t>
      </w:r>
    </w:p>
    <w:p w14:paraId="004D748C" w14:textId="77777777" w:rsidR="00CD6F8A" w:rsidRPr="00FF7DC3" w:rsidRDefault="00CD6F8A" w:rsidP="00CD6F8A">
      <w:pPr>
        <w:pStyle w:val="IASBNormalnpara"/>
        <w:rPr>
          <w:lang w:val="en-AU"/>
        </w:rPr>
      </w:pPr>
      <w:r w:rsidRPr="00FF7DC3">
        <w:rPr>
          <w:lang w:val="en-AU"/>
        </w:rPr>
        <w:t>A18</w:t>
      </w:r>
      <w:r w:rsidRPr="00FF7DC3">
        <w:rPr>
          <w:lang w:val="en-AU"/>
        </w:rPr>
        <w:tab/>
        <w:t>An entity shall consider how much detail is necessary to satisfy the disclosure objective in paragraph 57A. An entity shall disclose the information specified in paragraphs A19–A20 and any additional information necessary to meet the disclosure objective in paragraph 57A.</w:t>
      </w:r>
    </w:p>
    <w:p w14:paraId="367CD5EF" w14:textId="77777777" w:rsidR="00CD6F8A" w:rsidRPr="00FF7DC3" w:rsidRDefault="00CD6F8A" w:rsidP="00CD6F8A">
      <w:pPr>
        <w:pStyle w:val="IASBNormalnpara"/>
        <w:rPr>
          <w:lang w:val="en-AU"/>
        </w:rPr>
      </w:pPr>
      <w:r w:rsidRPr="00FF7DC3">
        <w:rPr>
          <w:lang w:val="en-AU"/>
        </w:rPr>
        <w:t>A19</w:t>
      </w:r>
      <w:r w:rsidRPr="00FF7DC3">
        <w:rPr>
          <w:lang w:val="en-AU"/>
        </w:rPr>
        <w:tab/>
        <w:t>In applying paragraph 57A, an entity shall disclose:</w:t>
      </w:r>
    </w:p>
    <w:p w14:paraId="6E27F8B5" w14:textId="77777777" w:rsidR="00CD6F8A" w:rsidRPr="00FF7DC3" w:rsidRDefault="00CD6F8A" w:rsidP="00CD6F8A">
      <w:pPr>
        <w:pStyle w:val="IASBNormalnparaL1"/>
        <w:rPr>
          <w:lang w:val="en-AU"/>
        </w:rPr>
      </w:pPr>
      <w:r w:rsidRPr="00FF7DC3">
        <w:rPr>
          <w:lang w:val="en-AU"/>
        </w:rPr>
        <w:t>(a)</w:t>
      </w:r>
      <w:r w:rsidRPr="00FF7DC3">
        <w:rPr>
          <w:lang w:val="en-AU"/>
        </w:rPr>
        <w:tab/>
        <w:t>the currency and a description of the restrictions that result in that currency not being exchangeable into the other currency;</w:t>
      </w:r>
    </w:p>
    <w:p w14:paraId="0E7D198A" w14:textId="77777777" w:rsidR="00CD6F8A" w:rsidRPr="00FF7DC3" w:rsidRDefault="00CD6F8A" w:rsidP="00CD6F8A">
      <w:pPr>
        <w:pStyle w:val="IASBNormalnparaL1"/>
        <w:rPr>
          <w:lang w:val="en-AU"/>
        </w:rPr>
      </w:pPr>
      <w:r w:rsidRPr="00FF7DC3">
        <w:rPr>
          <w:lang w:val="en-AU"/>
        </w:rPr>
        <w:t>(b)</w:t>
      </w:r>
      <w:r w:rsidRPr="00FF7DC3">
        <w:rPr>
          <w:lang w:val="en-AU"/>
        </w:rPr>
        <w:tab/>
        <w:t>a description of affected transactions;</w:t>
      </w:r>
    </w:p>
    <w:p w14:paraId="70497841" w14:textId="77777777" w:rsidR="00CD6F8A" w:rsidRPr="00FF7DC3" w:rsidRDefault="00CD6F8A" w:rsidP="00CD6F8A">
      <w:pPr>
        <w:pStyle w:val="IASBNormalnparaL1"/>
        <w:rPr>
          <w:lang w:val="en-AU"/>
        </w:rPr>
      </w:pPr>
      <w:r w:rsidRPr="00FF7DC3">
        <w:rPr>
          <w:lang w:val="en-AU"/>
        </w:rPr>
        <w:t>(c)</w:t>
      </w:r>
      <w:r w:rsidRPr="00FF7DC3">
        <w:rPr>
          <w:lang w:val="en-AU"/>
        </w:rPr>
        <w:tab/>
        <w:t>the carrying amount of affected assets and liabilities;</w:t>
      </w:r>
    </w:p>
    <w:p w14:paraId="4D974D7F" w14:textId="77777777" w:rsidR="00CD6F8A" w:rsidRPr="00FF7DC3" w:rsidRDefault="00CD6F8A" w:rsidP="00E979E8">
      <w:pPr>
        <w:pStyle w:val="IASBNormalnparaL1"/>
        <w:keepNext/>
        <w:rPr>
          <w:lang w:val="en-AU"/>
        </w:rPr>
      </w:pPr>
      <w:r w:rsidRPr="00FF7DC3">
        <w:rPr>
          <w:lang w:val="en-AU"/>
        </w:rPr>
        <w:lastRenderedPageBreak/>
        <w:t>(d)</w:t>
      </w:r>
      <w:r w:rsidRPr="00FF7DC3">
        <w:rPr>
          <w:lang w:val="en-AU"/>
        </w:rPr>
        <w:tab/>
        <w:t>the spot exchange rates used and whether those rates are:</w:t>
      </w:r>
    </w:p>
    <w:p w14:paraId="4084F2F4" w14:textId="77777777" w:rsidR="00CD6F8A" w:rsidRPr="00FF7DC3" w:rsidRDefault="00CD6F8A" w:rsidP="00CD6F8A">
      <w:pPr>
        <w:pStyle w:val="IASBNormalnparaL2"/>
        <w:rPr>
          <w:lang w:val="en-AU"/>
        </w:rPr>
      </w:pPr>
      <w:r w:rsidRPr="00FF7DC3">
        <w:rPr>
          <w:lang w:val="en-AU"/>
        </w:rPr>
        <w:t>(i)</w:t>
      </w:r>
      <w:r w:rsidRPr="00FF7DC3">
        <w:rPr>
          <w:lang w:val="en-AU"/>
        </w:rPr>
        <w:tab/>
        <w:t>observable exchange rates without adjustment (see paragraphs A12–A16); or</w:t>
      </w:r>
    </w:p>
    <w:p w14:paraId="4769511C" w14:textId="77777777" w:rsidR="00CD6F8A" w:rsidRPr="00FF7DC3" w:rsidRDefault="00CD6F8A" w:rsidP="00CD6F8A">
      <w:pPr>
        <w:pStyle w:val="IASBNormalnparaL2"/>
        <w:rPr>
          <w:lang w:val="en-AU"/>
        </w:rPr>
      </w:pPr>
      <w:r w:rsidRPr="00FF7DC3">
        <w:rPr>
          <w:lang w:val="en-AU"/>
        </w:rPr>
        <w:t>(ii)</w:t>
      </w:r>
      <w:r w:rsidRPr="00FF7DC3">
        <w:rPr>
          <w:lang w:val="en-AU"/>
        </w:rPr>
        <w:tab/>
        <w:t>spot exchange rates estimated using another estimation technique (see paragraph A17);</w:t>
      </w:r>
    </w:p>
    <w:p w14:paraId="2E596A2D" w14:textId="77777777" w:rsidR="00CD6F8A" w:rsidRPr="00FF7DC3" w:rsidRDefault="00CD6F8A" w:rsidP="00CD6F8A">
      <w:pPr>
        <w:pStyle w:val="IASBNormalnparaL1"/>
        <w:rPr>
          <w:lang w:val="en-AU"/>
        </w:rPr>
      </w:pPr>
      <w:r w:rsidRPr="00FF7DC3">
        <w:rPr>
          <w:lang w:val="en-AU"/>
        </w:rPr>
        <w:t>(e)</w:t>
      </w:r>
      <w:r w:rsidRPr="00FF7DC3">
        <w:rPr>
          <w:lang w:val="en-AU"/>
        </w:rPr>
        <w:tab/>
        <w:t>a description of any estimation technique the entity has used, and qualitative and quantitative information about the inputs and assumptions used in that estimation technique; and</w:t>
      </w:r>
    </w:p>
    <w:p w14:paraId="374B135E" w14:textId="77777777" w:rsidR="00CD6F8A" w:rsidRPr="00FF7DC3" w:rsidRDefault="00CD6F8A" w:rsidP="00CD6F8A">
      <w:pPr>
        <w:pStyle w:val="IASBNormalnparaL1"/>
        <w:rPr>
          <w:lang w:val="en-AU"/>
        </w:rPr>
      </w:pPr>
      <w:r w:rsidRPr="00FF7DC3">
        <w:rPr>
          <w:lang w:val="en-AU"/>
        </w:rPr>
        <w:t>(f)</w:t>
      </w:r>
      <w:r w:rsidRPr="00FF7DC3">
        <w:rPr>
          <w:lang w:val="en-AU"/>
        </w:rPr>
        <w:tab/>
        <w:t>qualitative information about each type of risk to which the entity is exposed because the currency is not exchangeable into the other currency, and the nature and carrying amount of assets and liabilities exposed to each type of risk.</w:t>
      </w:r>
    </w:p>
    <w:p w14:paraId="5632E0E1" w14:textId="77777777" w:rsidR="00CD6F8A" w:rsidRPr="00FF7DC3" w:rsidRDefault="00CD6F8A" w:rsidP="00CD6F8A">
      <w:pPr>
        <w:pStyle w:val="IASBNormalnpara"/>
        <w:rPr>
          <w:lang w:val="en-AU"/>
        </w:rPr>
      </w:pPr>
      <w:r w:rsidRPr="00FF7DC3">
        <w:rPr>
          <w:lang w:val="en-AU"/>
        </w:rPr>
        <w:t>A20</w:t>
      </w:r>
      <w:r w:rsidRPr="00FF7DC3">
        <w:rPr>
          <w:lang w:val="en-AU"/>
        </w:rPr>
        <w:tab/>
        <w:t>When a foreign operation’s functional currency is not exchangeable into the presentation currency or, if applicable, the presentation currency is not exchangeable into a foreign operation’s functional currency, an entity shall also disclose:</w:t>
      </w:r>
    </w:p>
    <w:p w14:paraId="78E9E882" w14:textId="77777777" w:rsidR="00CD6F8A" w:rsidRPr="00FF7DC3" w:rsidRDefault="00CD6F8A" w:rsidP="00CD6F8A">
      <w:pPr>
        <w:pStyle w:val="IASBNormalnparaL1"/>
        <w:rPr>
          <w:lang w:val="en-AU"/>
        </w:rPr>
      </w:pPr>
      <w:r w:rsidRPr="00FF7DC3">
        <w:rPr>
          <w:lang w:val="en-AU"/>
        </w:rPr>
        <w:t>(a)</w:t>
      </w:r>
      <w:r w:rsidRPr="00FF7DC3">
        <w:rPr>
          <w:lang w:val="en-AU"/>
        </w:rPr>
        <w:tab/>
        <w:t>the name of the foreign operation; whether the foreign operation is a subsidiary, joint operation, joint venture, associate or branch; and its principal place of business;</w:t>
      </w:r>
    </w:p>
    <w:p w14:paraId="4089BC16" w14:textId="77777777" w:rsidR="00CD6F8A" w:rsidRPr="00FF7DC3" w:rsidRDefault="00CD6F8A" w:rsidP="00CD6F8A">
      <w:pPr>
        <w:pStyle w:val="IASBNormalnparaL1"/>
        <w:rPr>
          <w:lang w:val="en-AU"/>
        </w:rPr>
      </w:pPr>
      <w:r w:rsidRPr="00FF7DC3">
        <w:rPr>
          <w:lang w:val="en-AU"/>
        </w:rPr>
        <w:t>(b)</w:t>
      </w:r>
      <w:r w:rsidRPr="00FF7DC3">
        <w:rPr>
          <w:lang w:val="en-AU"/>
        </w:rPr>
        <w:tab/>
        <w:t>summarised financial information about the foreign operation; and</w:t>
      </w:r>
    </w:p>
    <w:p w14:paraId="7F017161" w14:textId="77777777" w:rsidR="00CD6F8A" w:rsidRPr="00FF7DC3" w:rsidRDefault="00CD6F8A" w:rsidP="00CD6F8A">
      <w:pPr>
        <w:pStyle w:val="IASBNormalnparaL1"/>
        <w:rPr>
          <w:lang w:val="en-AU"/>
        </w:rPr>
      </w:pPr>
      <w:r w:rsidRPr="00FF7DC3">
        <w:rPr>
          <w:lang w:val="en-AU"/>
        </w:rPr>
        <w:t>(c)</w:t>
      </w:r>
      <w:r w:rsidRPr="00FF7DC3">
        <w:rPr>
          <w:lang w:val="en-AU"/>
        </w:rPr>
        <w:tab/>
        <w:t>the nature and terms of any contractual arrangements that could require the entity to provide financial support to the foreign operation, including events or circumstances that could expose the entity to a loss.</w:t>
      </w:r>
    </w:p>
    <w:p w14:paraId="6268581C" w14:textId="51E0E6F4" w:rsidR="00EA7ACA" w:rsidRPr="00FF7DC3" w:rsidRDefault="00A65B93" w:rsidP="00FF7DC3">
      <w:pPr>
        <w:pStyle w:val="IASBSectionTitle2NonInd"/>
        <w:rPr>
          <w:lang w:val="en-AU"/>
        </w:rPr>
      </w:pPr>
      <w:r w:rsidRPr="00FF7DC3">
        <w:rPr>
          <w:lang w:val="en-AU"/>
        </w:rPr>
        <w:t>Appendix</w:t>
      </w:r>
      <w:r w:rsidRPr="00FF7DC3">
        <w:rPr>
          <w:strike/>
          <w:lang w:val="en-AU"/>
        </w:rPr>
        <w:t xml:space="preserve"> A</w:t>
      </w:r>
      <w:r w:rsidRPr="00FF7DC3">
        <w:rPr>
          <w:u w:val="single"/>
          <w:lang w:val="en-AU"/>
        </w:rPr>
        <w:t xml:space="preserve"> </w:t>
      </w:r>
      <w:r w:rsidR="00361B8E" w:rsidRPr="00FF7DC3">
        <w:rPr>
          <w:u w:val="single"/>
          <w:lang w:val="en-AU"/>
        </w:rPr>
        <w:t>B</w:t>
      </w:r>
      <w:r w:rsidR="00361B8E" w:rsidRPr="00FF7DC3">
        <w:rPr>
          <w:lang w:val="en-AU"/>
        </w:rPr>
        <w:t xml:space="preserve"> </w:t>
      </w:r>
      <w:r w:rsidR="00CE1694" w:rsidRPr="00FF7DC3">
        <w:rPr>
          <w:lang w:val="en-AU"/>
        </w:rPr>
        <w:br/>
      </w:r>
      <w:r w:rsidR="00CE1694" w:rsidRPr="009C5386">
        <w:rPr>
          <w:lang w:val="en-AU"/>
        </w:rPr>
        <w:t>Australian simplified disclosures for Tier 2 entities</w:t>
      </w:r>
    </w:p>
    <w:p w14:paraId="79D9556C" w14:textId="14C9051D" w:rsidR="008779D5" w:rsidRPr="009C5386" w:rsidRDefault="00A65B93" w:rsidP="00FF7DC3">
      <w:pPr>
        <w:pStyle w:val="IASBNormalnparaL1"/>
        <w:keepNext/>
        <w:ind w:left="0" w:firstLine="0"/>
        <w:rPr>
          <w:i/>
          <w:szCs w:val="19"/>
          <w:lang w:val="en-AU"/>
        </w:rPr>
      </w:pPr>
      <w:r w:rsidRPr="009C5386">
        <w:rPr>
          <w:i/>
          <w:szCs w:val="19"/>
          <w:lang w:val="en-AU"/>
        </w:rPr>
        <w:t xml:space="preserve">This appendix is an integral part of the Standard. </w:t>
      </w:r>
    </w:p>
    <w:p w14:paraId="41E6A96E" w14:textId="437546F7" w:rsidR="00A65B93" w:rsidRPr="009C5386" w:rsidRDefault="00A65B93" w:rsidP="00A04CEF">
      <w:pPr>
        <w:pStyle w:val="AusBold"/>
      </w:pPr>
      <w:r w:rsidRPr="009C5386">
        <w:t>Aus</w:t>
      </w:r>
      <w:r w:rsidRPr="009C5386">
        <w:rPr>
          <w:strike/>
        </w:rPr>
        <w:t>A</w:t>
      </w:r>
      <w:r w:rsidR="00A474AD" w:rsidRPr="009C5386">
        <w:rPr>
          <w:u w:val="single"/>
        </w:rPr>
        <w:t>B</w:t>
      </w:r>
      <w:r w:rsidRPr="009C5386">
        <w:t xml:space="preserve">1 </w:t>
      </w:r>
      <w:r w:rsidR="00493D76" w:rsidRPr="009C5386">
        <w:tab/>
      </w:r>
      <w:r w:rsidRPr="009C5386">
        <w:t>Paragraphs 51–57</w:t>
      </w:r>
      <w:r w:rsidR="00BC24EA" w:rsidRPr="00FF7DC3">
        <w:rPr>
          <w:u w:val="single"/>
        </w:rPr>
        <w:t>B</w:t>
      </w:r>
      <w:r w:rsidRPr="009C5386">
        <w:t xml:space="preserve"> do not apply to entities preparing general purpose financial statements that apply AASB 1060 </w:t>
      </w:r>
      <w:r w:rsidRPr="009C5386">
        <w:rPr>
          <w:i/>
          <w:iCs/>
        </w:rPr>
        <w:t>General Purpose Financial Statements – Simplified Disclosures for For-Profit and Not-for-Profit Tier 2 Entities</w:t>
      </w:r>
      <w:r w:rsidRPr="009C5386">
        <w:t>.</w:t>
      </w:r>
    </w:p>
    <w:p w14:paraId="1E26139C" w14:textId="4DAEB6BF" w:rsidR="00255271" w:rsidRPr="009C5386" w:rsidRDefault="00255271" w:rsidP="00691AB6">
      <w:pPr>
        <w:pStyle w:val="Heading2"/>
      </w:pPr>
      <w:r w:rsidRPr="009C5386">
        <w:t>Amendments to AASB 1060</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060"/>
        <w:tblDescription w:val="Amendment instructions"/>
      </w:tblPr>
      <w:tblGrid>
        <w:gridCol w:w="9071"/>
      </w:tblGrid>
      <w:tr w:rsidR="00255271" w:rsidRPr="009C5386" w14:paraId="4902FC1A" w14:textId="77777777" w:rsidTr="00255271">
        <w:tc>
          <w:tcPr>
            <w:tcW w:w="5000" w:type="pct"/>
            <w:tcBorders>
              <w:bottom w:val="single" w:sz="0" w:space="0" w:color="auto"/>
              <w:right w:val="single" w:sz="0" w:space="0" w:color="auto"/>
            </w:tcBorders>
          </w:tcPr>
          <w:p w14:paraId="35CB081C" w14:textId="02193912" w:rsidR="00255271" w:rsidRPr="00FF7DC3" w:rsidRDefault="00255271" w:rsidP="000667BD">
            <w:pPr>
              <w:pStyle w:val="IASBTableArial"/>
              <w:spacing w:after="120"/>
              <w:rPr>
                <w:lang w:val="en-AU"/>
              </w:rPr>
            </w:pPr>
            <w:r w:rsidRPr="00FF7DC3">
              <w:rPr>
                <w:lang w:val="en-AU"/>
              </w:rPr>
              <w:t>The table in paragraph IG1 in the implementation guidance accompanying AASB 1060 is amended. New text is underlined.</w:t>
            </w:r>
          </w:p>
        </w:tc>
      </w:tr>
    </w:tbl>
    <w:p w14:paraId="6C0FDD56" w14:textId="77777777" w:rsidR="00255271" w:rsidRPr="00FF7DC3" w:rsidRDefault="00255271" w:rsidP="004914E9">
      <w:pPr>
        <w:pStyle w:val="IASBSectionTitle2NonInd"/>
        <w:rPr>
          <w:lang w:val="en-AU"/>
        </w:rPr>
      </w:pPr>
      <w:r w:rsidRPr="00FF7DC3">
        <w:rPr>
          <w:lang w:val="en-AU"/>
        </w:rPr>
        <w:t>Implementation guidance</w:t>
      </w:r>
    </w:p>
    <w:p w14:paraId="37AB1511" w14:textId="77777777" w:rsidR="00255271" w:rsidRPr="009C5386" w:rsidRDefault="00255271" w:rsidP="00255271">
      <w:pPr>
        <w:spacing w:before="100" w:after="100"/>
        <w:ind w:left="1564" w:hanging="782"/>
      </w:pPr>
      <w:r w:rsidRPr="009C5386">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ASB 1060 Implementation guidance table"/>
        <w:tblDescription w:val="Summary of disclosures in other Standards and Interpretations that are not applicable to Tier 2 entities"/>
      </w:tblPr>
      <w:tblGrid>
        <w:gridCol w:w="3114"/>
        <w:gridCol w:w="2977"/>
        <w:gridCol w:w="2976"/>
      </w:tblGrid>
      <w:tr w:rsidR="00255271" w:rsidRPr="009C5386" w14:paraId="587B4AD8" w14:textId="77777777" w:rsidTr="004914E9">
        <w:trPr>
          <w:trHeight w:val="181"/>
          <w:tblHeader/>
        </w:trPr>
        <w:tc>
          <w:tcPr>
            <w:tcW w:w="3114" w:type="dxa"/>
            <w:shd w:val="clear" w:color="auto" w:fill="auto"/>
            <w:tcMar>
              <w:top w:w="60" w:type="dxa"/>
              <w:left w:w="60" w:type="dxa"/>
              <w:bottom w:w="105" w:type="dxa"/>
              <w:right w:w="60" w:type="dxa"/>
            </w:tcMar>
          </w:tcPr>
          <w:p w14:paraId="39540B83" w14:textId="77777777" w:rsidR="00255271" w:rsidRPr="009C5386" w:rsidRDefault="00255271" w:rsidP="000667BD">
            <w:pPr>
              <w:ind w:left="57"/>
              <w:jc w:val="center"/>
              <w:rPr>
                <w:b/>
                <w:szCs w:val="19"/>
              </w:rPr>
            </w:pPr>
            <w:r w:rsidRPr="009C5386">
              <w:rPr>
                <w:b/>
                <w:bCs/>
                <w:szCs w:val="19"/>
              </w:rPr>
              <w:t>AASB Standard</w:t>
            </w:r>
          </w:p>
        </w:tc>
        <w:tc>
          <w:tcPr>
            <w:tcW w:w="2977" w:type="dxa"/>
            <w:shd w:val="clear" w:color="auto" w:fill="auto"/>
          </w:tcPr>
          <w:p w14:paraId="684A6E5D" w14:textId="77777777" w:rsidR="00255271" w:rsidRPr="009C5386" w:rsidRDefault="00255271" w:rsidP="000667BD">
            <w:pPr>
              <w:ind w:left="57"/>
              <w:jc w:val="center"/>
              <w:rPr>
                <w:b/>
                <w:szCs w:val="19"/>
              </w:rPr>
            </w:pPr>
            <w:r w:rsidRPr="009C5386">
              <w:rPr>
                <w:b/>
                <w:szCs w:val="19"/>
              </w:rPr>
              <w:t xml:space="preserve">Paragraphs superseded by this Standard </w:t>
            </w:r>
          </w:p>
        </w:tc>
        <w:tc>
          <w:tcPr>
            <w:tcW w:w="2976" w:type="dxa"/>
          </w:tcPr>
          <w:p w14:paraId="0A78D475" w14:textId="77777777" w:rsidR="00255271" w:rsidRPr="009C5386" w:rsidRDefault="00255271" w:rsidP="000667BD">
            <w:pPr>
              <w:ind w:left="57"/>
              <w:jc w:val="center"/>
              <w:rPr>
                <w:b/>
                <w:szCs w:val="19"/>
              </w:rPr>
            </w:pPr>
            <w:r w:rsidRPr="009C5386">
              <w:rPr>
                <w:b/>
                <w:szCs w:val="19"/>
              </w:rPr>
              <w:t>Paragraphs that have not been superseded by this Standard and represent presentation requirements or associated guidance</w:t>
            </w:r>
          </w:p>
        </w:tc>
      </w:tr>
      <w:tr w:rsidR="00255271" w:rsidRPr="009C5386" w14:paraId="39AB841F" w14:textId="77777777" w:rsidTr="004914E9">
        <w:trPr>
          <w:trHeight w:val="181"/>
        </w:trPr>
        <w:tc>
          <w:tcPr>
            <w:tcW w:w="3114" w:type="dxa"/>
            <w:shd w:val="clear" w:color="auto" w:fill="auto"/>
            <w:tcMar>
              <w:top w:w="60" w:type="dxa"/>
              <w:left w:w="60" w:type="dxa"/>
              <w:bottom w:w="105" w:type="dxa"/>
              <w:right w:w="60" w:type="dxa"/>
            </w:tcMar>
          </w:tcPr>
          <w:p w14:paraId="0CF31F1B" w14:textId="77777777" w:rsidR="00255271" w:rsidRPr="009C5386" w:rsidRDefault="00255271" w:rsidP="000667BD">
            <w:pPr>
              <w:ind w:left="57"/>
              <w:jc w:val="left"/>
              <w:rPr>
                <w:szCs w:val="19"/>
              </w:rPr>
            </w:pPr>
            <w:r w:rsidRPr="009C5386">
              <w:rPr>
                <w:szCs w:val="19"/>
              </w:rPr>
              <w:t>…</w:t>
            </w:r>
          </w:p>
        </w:tc>
        <w:tc>
          <w:tcPr>
            <w:tcW w:w="2977" w:type="dxa"/>
            <w:shd w:val="clear" w:color="auto" w:fill="auto"/>
          </w:tcPr>
          <w:p w14:paraId="65FD1218" w14:textId="77777777" w:rsidR="00255271" w:rsidRPr="009C5386" w:rsidRDefault="00255271" w:rsidP="000667BD">
            <w:pPr>
              <w:ind w:left="57"/>
              <w:jc w:val="left"/>
              <w:rPr>
                <w:szCs w:val="19"/>
              </w:rPr>
            </w:pPr>
            <w:r w:rsidRPr="009C5386">
              <w:rPr>
                <w:szCs w:val="19"/>
              </w:rPr>
              <w:t>…</w:t>
            </w:r>
          </w:p>
        </w:tc>
        <w:tc>
          <w:tcPr>
            <w:tcW w:w="2976" w:type="dxa"/>
          </w:tcPr>
          <w:p w14:paraId="38AC00E8" w14:textId="77777777" w:rsidR="00255271" w:rsidRPr="009C5386" w:rsidRDefault="00255271" w:rsidP="000667BD">
            <w:pPr>
              <w:ind w:left="57"/>
              <w:jc w:val="left"/>
              <w:rPr>
                <w:szCs w:val="19"/>
              </w:rPr>
            </w:pPr>
            <w:r w:rsidRPr="009C5386">
              <w:rPr>
                <w:szCs w:val="19"/>
              </w:rPr>
              <w:t>…</w:t>
            </w:r>
          </w:p>
        </w:tc>
      </w:tr>
      <w:tr w:rsidR="00255271" w:rsidRPr="009C5386" w14:paraId="016AF20B" w14:textId="77777777" w:rsidTr="004914E9">
        <w:trPr>
          <w:trHeight w:val="181"/>
        </w:trPr>
        <w:tc>
          <w:tcPr>
            <w:tcW w:w="3114" w:type="dxa"/>
            <w:shd w:val="clear" w:color="auto" w:fill="auto"/>
            <w:tcMar>
              <w:top w:w="60" w:type="dxa"/>
              <w:left w:w="60" w:type="dxa"/>
              <w:bottom w:w="105" w:type="dxa"/>
              <w:right w:w="60" w:type="dxa"/>
            </w:tcMar>
            <w:vAlign w:val="center"/>
            <w:hideMark/>
          </w:tcPr>
          <w:p w14:paraId="03F869D0" w14:textId="5A1546A0" w:rsidR="00255271" w:rsidRPr="009C5386" w:rsidRDefault="00255271" w:rsidP="000667BD">
            <w:pPr>
              <w:spacing w:before="60"/>
              <w:ind w:left="57"/>
              <w:jc w:val="left"/>
              <w:rPr>
                <w:color w:val="000000" w:themeColor="text1"/>
                <w:szCs w:val="19"/>
              </w:rPr>
            </w:pPr>
            <w:r w:rsidRPr="009C5386">
              <w:rPr>
                <w:color w:val="000000" w:themeColor="text1"/>
                <w:szCs w:val="19"/>
              </w:rPr>
              <w:t xml:space="preserve">AASB 121 </w:t>
            </w:r>
            <w:r w:rsidRPr="009C5386">
              <w:rPr>
                <w:i/>
                <w:color w:val="000000" w:themeColor="text1"/>
                <w:szCs w:val="19"/>
              </w:rPr>
              <w:t>The Effects of Changes in Foreign Exchange Rates</w:t>
            </w:r>
          </w:p>
        </w:tc>
        <w:tc>
          <w:tcPr>
            <w:tcW w:w="2977" w:type="dxa"/>
            <w:shd w:val="clear" w:color="auto" w:fill="auto"/>
            <w:vAlign w:val="center"/>
          </w:tcPr>
          <w:p w14:paraId="6C000E27" w14:textId="51BDFCF2" w:rsidR="00255271" w:rsidRPr="009C5386" w:rsidRDefault="00255271" w:rsidP="000667BD">
            <w:pPr>
              <w:spacing w:before="60"/>
              <w:ind w:left="57"/>
              <w:jc w:val="left"/>
              <w:rPr>
                <w:color w:val="000000" w:themeColor="text1"/>
                <w:szCs w:val="19"/>
              </w:rPr>
            </w:pPr>
            <w:r w:rsidRPr="009C5386">
              <w:rPr>
                <w:color w:val="000000" w:themeColor="text1"/>
                <w:szCs w:val="19"/>
              </w:rPr>
              <w:t>Paragraphs 51–57</w:t>
            </w:r>
            <w:r w:rsidRPr="00FF7DC3">
              <w:rPr>
                <w:color w:val="000000" w:themeColor="text1"/>
                <w:szCs w:val="19"/>
                <w:u w:val="single"/>
              </w:rPr>
              <w:t>B</w:t>
            </w:r>
          </w:p>
        </w:tc>
        <w:tc>
          <w:tcPr>
            <w:tcW w:w="2976" w:type="dxa"/>
            <w:vAlign w:val="center"/>
          </w:tcPr>
          <w:p w14:paraId="592BD3D8" w14:textId="46C03216" w:rsidR="00255271" w:rsidRPr="009C5386" w:rsidRDefault="00255271" w:rsidP="000667BD">
            <w:pPr>
              <w:spacing w:before="60"/>
              <w:ind w:left="57"/>
              <w:jc w:val="left"/>
              <w:rPr>
                <w:color w:val="000000" w:themeColor="text1"/>
                <w:szCs w:val="19"/>
              </w:rPr>
            </w:pPr>
            <w:r w:rsidRPr="009C5386">
              <w:rPr>
                <w:color w:val="000000" w:themeColor="text1"/>
                <w:szCs w:val="19"/>
              </w:rPr>
              <w:t>none</w:t>
            </w:r>
          </w:p>
        </w:tc>
      </w:tr>
      <w:tr w:rsidR="00255271" w:rsidRPr="009C5386" w14:paraId="3C9D4566" w14:textId="77777777" w:rsidTr="004914E9">
        <w:trPr>
          <w:trHeight w:val="181"/>
        </w:trPr>
        <w:tc>
          <w:tcPr>
            <w:tcW w:w="3114" w:type="dxa"/>
            <w:shd w:val="clear" w:color="auto" w:fill="auto"/>
            <w:tcMar>
              <w:top w:w="60" w:type="dxa"/>
              <w:left w:w="60" w:type="dxa"/>
              <w:bottom w:w="105" w:type="dxa"/>
              <w:right w:w="60" w:type="dxa"/>
            </w:tcMar>
          </w:tcPr>
          <w:p w14:paraId="7ED44B09" w14:textId="77777777" w:rsidR="00255271" w:rsidRPr="009C5386" w:rsidRDefault="00255271" w:rsidP="000667BD">
            <w:pPr>
              <w:ind w:left="57"/>
              <w:jc w:val="left"/>
              <w:rPr>
                <w:color w:val="000000" w:themeColor="text1"/>
                <w:szCs w:val="19"/>
              </w:rPr>
            </w:pPr>
            <w:r w:rsidRPr="009C5386">
              <w:rPr>
                <w:color w:val="000000" w:themeColor="text1"/>
                <w:szCs w:val="19"/>
              </w:rPr>
              <w:t>…</w:t>
            </w:r>
          </w:p>
        </w:tc>
        <w:tc>
          <w:tcPr>
            <w:tcW w:w="2977" w:type="dxa"/>
            <w:shd w:val="clear" w:color="auto" w:fill="auto"/>
          </w:tcPr>
          <w:p w14:paraId="314F9D92" w14:textId="77777777" w:rsidR="00255271" w:rsidRPr="009C5386" w:rsidRDefault="00255271" w:rsidP="000667BD">
            <w:pPr>
              <w:ind w:left="57"/>
              <w:jc w:val="left"/>
              <w:rPr>
                <w:color w:val="000000" w:themeColor="text1"/>
                <w:szCs w:val="19"/>
              </w:rPr>
            </w:pPr>
            <w:r w:rsidRPr="009C5386">
              <w:rPr>
                <w:color w:val="000000" w:themeColor="text1"/>
                <w:szCs w:val="19"/>
              </w:rPr>
              <w:t>…</w:t>
            </w:r>
          </w:p>
        </w:tc>
        <w:tc>
          <w:tcPr>
            <w:tcW w:w="2976" w:type="dxa"/>
          </w:tcPr>
          <w:p w14:paraId="565CAE73" w14:textId="77777777" w:rsidR="00255271" w:rsidRPr="009C5386" w:rsidRDefault="00255271" w:rsidP="000667BD">
            <w:pPr>
              <w:ind w:left="57"/>
              <w:jc w:val="left"/>
              <w:rPr>
                <w:color w:val="000000" w:themeColor="text1"/>
                <w:szCs w:val="19"/>
              </w:rPr>
            </w:pPr>
            <w:r w:rsidRPr="009C5386">
              <w:rPr>
                <w:color w:val="000000" w:themeColor="text1"/>
                <w:szCs w:val="19"/>
              </w:rPr>
              <w:t>…</w:t>
            </w:r>
          </w:p>
        </w:tc>
      </w:tr>
    </w:tbl>
    <w:p w14:paraId="79A32612" w14:textId="7BD2ACC1" w:rsidR="00216401" w:rsidRPr="009C5386" w:rsidRDefault="00216401">
      <w:pPr>
        <w:pStyle w:val="Heading2"/>
      </w:pPr>
      <w:r w:rsidRPr="009C5386">
        <w:t>Commencement of the legislative instrument</w:t>
      </w:r>
    </w:p>
    <w:p w14:paraId="0ECF5479" w14:textId="51FD785D" w:rsidR="00216401" w:rsidRPr="009C5386" w:rsidRDefault="00216401" w:rsidP="005A6AC7">
      <w:pPr>
        <w:pStyle w:val="NoNumPlain1"/>
      </w:pPr>
      <w:r w:rsidRPr="009C5386">
        <w:t xml:space="preserve">For legal purposes, this legislative instrument commences on </w:t>
      </w:r>
      <w:bookmarkStart w:id="21" w:name="CommenceDate"/>
      <w:r w:rsidRPr="009C5386">
        <w:t>31 December 2024</w:t>
      </w:r>
      <w:bookmarkEnd w:id="21"/>
      <w:r w:rsidRPr="009C5386">
        <w:t>.</w:t>
      </w:r>
    </w:p>
    <w:sectPr w:rsidR="00216401" w:rsidRPr="009C5386" w:rsidSect="00D74C6A">
      <w:footerReference w:type="default" r:id="rId24"/>
      <w:headerReference w:type="first" r:id="rId25"/>
      <w:footerReference w:type="first" r:id="rId2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96C1" w14:textId="77777777" w:rsidR="00A80F0C" w:rsidRDefault="00A80F0C">
      <w:r>
        <w:separator/>
      </w:r>
    </w:p>
  </w:endnote>
  <w:endnote w:type="continuationSeparator" w:id="0">
    <w:p w14:paraId="74E91ACA" w14:textId="77777777" w:rsidR="00A80F0C" w:rsidRDefault="00A8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43EA" w14:textId="77777777" w:rsidR="0025003C" w:rsidRDefault="0025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55F6" w14:textId="77777777" w:rsidR="0025003C" w:rsidRDefault="00250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E332" w14:textId="77777777" w:rsidR="001A2CFD" w:rsidRDefault="001A2CFD">
    <w:pPr>
      <w:pStyle w:val="Footer"/>
    </w:pPr>
    <w:r>
      <w:rPr>
        <w:noProof/>
        <w:lang w:eastAsia="en-AU"/>
      </w:rPr>
      <w:drawing>
        <wp:anchor distT="0" distB="0" distL="114300" distR="114300" simplePos="0" relativeHeight="251658240" behindDoc="0" locked="1" layoutInCell="1" allowOverlap="1" wp14:anchorId="415BD7AD" wp14:editId="7B6DDADD">
          <wp:simplePos x="0" y="0"/>
          <wp:positionH relativeFrom="margin">
            <wp:posOffset>0</wp:posOffset>
          </wp:positionH>
          <wp:positionV relativeFrom="margin">
            <wp:posOffset>7559040</wp:posOffset>
          </wp:positionV>
          <wp:extent cx="1677600" cy="1332000"/>
          <wp:effectExtent l="0" t="0" r="0" b="1905"/>
          <wp:wrapNone/>
          <wp:docPr id="1701616098" name="Picture 1701616098"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6727" w14:textId="0E687DEA"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94179" w:rsidRPr="00194179">
      <w:rPr>
        <w:b/>
      </w:rPr>
      <w:t>2023-5</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74C7" w14:textId="1E88F21F"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94179" w:rsidRPr="00194179">
      <w:rPr>
        <w:b/>
      </w:rPr>
      <w:t>2023-5</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9603" w14:textId="50018083"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94179" w:rsidRPr="00194179">
      <w:rPr>
        <w:b/>
      </w:rPr>
      <w:t>2023-5</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B6BB" w14:textId="773439B4"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94179" w:rsidRPr="00194179">
      <w:rPr>
        <w:b/>
      </w:rPr>
      <w:t>2023-5</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96C0"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E228" w14:textId="77777777" w:rsidR="00A80F0C" w:rsidRDefault="00A80F0C">
      <w:r>
        <w:separator/>
      </w:r>
    </w:p>
  </w:footnote>
  <w:footnote w:type="continuationSeparator" w:id="0">
    <w:p w14:paraId="240F0C03" w14:textId="77777777" w:rsidR="00A80F0C" w:rsidRDefault="00A8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289" w14:textId="77777777" w:rsidR="0025003C" w:rsidRDefault="0025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9F91" w14:textId="0F542B1D" w:rsidR="00AA2144" w:rsidRPr="00CF1D4C" w:rsidRDefault="00AA2144" w:rsidP="00AA21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18FD" w14:textId="77777777" w:rsidR="0025003C" w:rsidRDefault="002500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8297"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89C9A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3" w15:restartNumberingAfterBreak="0">
    <w:nsid w:val="03F92581"/>
    <w:multiLevelType w:val="multilevel"/>
    <w:tmpl w:val="AD5ABFF2"/>
    <w:numStyleLink w:val="AASBSubNumbers"/>
  </w:abstractNum>
  <w:abstractNum w:abstractNumId="4" w15:restartNumberingAfterBreak="0">
    <w:nsid w:val="044444AC"/>
    <w:multiLevelType w:val="hybridMultilevel"/>
    <w:tmpl w:val="553672BE"/>
    <w:lvl w:ilvl="0" w:tplc="61265E8C">
      <w:start w:val="1"/>
      <w:numFmt w:val="lowerLetter"/>
      <w:lvlText w:val="(%1)"/>
      <w:lvlJc w:val="left"/>
      <w:pPr>
        <w:tabs>
          <w:tab w:val="num" w:pos="720"/>
        </w:tabs>
        <w:ind w:left="720" w:hanging="360"/>
      </w:pPr>
    </w:lvl>
    <w:lvl w:ilvl="1" w:tplc="A2EE1B42" w:tentative="1">
      <w:start w:val="1"/>
      <w:numFmt w:val="lowerLetter"/>
      <w:lvlText w:val="(%2)"/>
      <w:lvlJc w:val="left"/>
      <w:pPr>
        <w:tabs>
          <w:tab w:val="num" w:pos="1440"/>
        </w:tabs>
        <w:ind w:left="1440" w:hanging="360"/>
      </w:pPr>
    </w:lvl>
    <w:lvl w:ilvl="2" w:tplc="FB0A366A" w:tentative="1">
      <w:start w:val="1"/>
      <w:numFmt w:val="lowerLetter"/>
      <w:lvlText w:val="(%3)"/>
      <w:lvlJc w:val="left"/>
      <w:pPr>
        <w:tabs>
          <w:tab w:val="num" w:pos="2160"/>
        </w:tabs>
        <w:ind w:left="2160" w:hanging="360"/>
      </w:pPr>
    </w:lvl>
    <w:lvl w:ilvl="3" w:tplc="F6D4B060" w:tentative="1">
      <w:start w:val="1"/>
      <w:numFmt w:val="lowerLetter"/>
      <w:lvlText w:val="(%4)"/>
      <w:lvlJc w:val="left"/>
      <w:pPr>
        <w:tabs>
          <w:tab w:val="num" w:pos="2880"/>
        </w:tabs>
        <w:ind w:left="2880" w:hanging="360"/>
      </w:pPr>
    </w:lvl>
    <w:lvl w:ilvl="4" w:tplc="C01696F8" w:tentative="1">
      <w:start w:val="1"/>
      <w:numFmt w:val="lowerLetter"/>
      <w:lvlText w:val="(%5)"/>
      <w:lvlJc w:val="left"/>
      <w:pPr>
        <w:tabs>
          <w:tab w:val="num" w:pos="3600"/>
        </w:tabs>
        <w:ind w:left="3600" w:hanging="360"/>
      </w:pPr>
    </w:lvl>
    <w:lvl w:ilvl="5" w:tplc="2D685DDE" w:tentative="1">
      <w:start w:val="1"/>
      <w:numFmt w:val="lowerLetter"/>
      <w:lvlText w:val="(%6)"/>
      <w:lvlJc w:val="left"/>
      <w:pPr>
        <w:tabs>
          <w:tab w:val="num" w:pos="4320"/>
        </w:tabs>
        <w:ind w:left="4320" w:hanging="360"/>
      </w:pPr>
    </w:lvl>
    <w:lvl w:ilvl="6" w:tplc="7A8E1086" w:tentative="1">
      <w:start w:val="1"/>
      <w:numFmt w:val="lowerLetter"/>
      <w:lvlText w:val="(%7)"/>
      <w:lvlJc w:val="left"/>
      <w:pPr>
        <w:tabs>
          <w:tab w:val="num" w:pos="5040"/>
        </w:tabs>
        <w:ind w:left="5040" w:hanging="360"/>
      </w:pPr>
    </w:lvl>
    <w:lvl w:ilvl="7" w:tplc="319465CA" w:tentative="1">
      <w:start w:val="1"/>
      <w:numFmt w:val="lowerLetter"/>
      <w:lvlText w:val="(%8)"/>
      <w:lvlJc w:val="left"/>
      <w:pPr>
        <w:tabs>
          <w:tab w:val="num" w:pos="5760"/>
        </w:tabs>
        <w:ind w:left="5760" w:hanging="360"/>
      </w:pPr>
    </w:lvl>
    <w:lvl w:ilvl="8" w:tplc="63900320" w:tentative="1">
      <w:start w:val="1"/>
      <w:numFmt w:val="lowerLetter"/>
      <w:lvlText w:val="(%9)"/>
      <w:lvlJc w:val="left"/>
      <w:pPr>
        <w:tabs>
          <w:tab w:val="num" w:pos="6480"/>
        </w:tabs>
        <w:ind w:left="6480" w:hanging="360"/>
      </w:p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9" w15:restartNumberingAfterBreak="0">
    <w:nsid w:val="4C2278F7"/>
    <w:multiLevelType w:val="multilevel"/>
    <w:tmpl w:val="D8EA2116"/>
    <w:styleLink w:val="NumPlainParas"/>
    <w:lvl w:ilvl="0">
      <w:start w:val="1"/>
      <w:numFmt w:val="decimal"/>
      <w:lvlText w:val="%1"/>
      <w:lvlJc w:val="left"/>
      <w:pPr>
        <w:ind w:left="782" w:hanging="782"/>
      </w:pPr>
      <w:rPr>
        <w:rFonts w:hint="default"/>
      </w:rPr>
    </w:lvl>
    <w:lvl w:ilvl="1">
      <w:start w:val="1"/>
      <w:numFmt w:val="lowerLetter"/>
      <w:lvlText w:val="(%2)"/>
      <w:lvlJc w:val="left"/>
      <w:pPr>
        <w:ind w:left="1564" w:hanging="782"/>
      </w:pPr>
      <w:rPr>
        <w:rFonts w:hint="default"/>
      </w:rPr>
    </w:lvl>
    <w:lvl w:ilvl="2">
      <w:start w:val="1"/>
      <w:numFmt w:val="lowerRoman"/>
      <w:lvlText w:val="(%3)"/>
      <w:lvlJc w:val="left"/>
      <w:pPr>
        <w:ind w:left="2346" w:hanging="782"/>
      </w:pPr>
      <w:rPr>
        <w:rFonts w:hint="default"/>
      </w:rPr>
    </w:lvl>
    <w:lvl w:ilvl="3">
      <w:start w:val="1"/>
      <w:numFmt w:val="upperLetter"/>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0"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3"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2100932">
    <w:abstractNumId w:val="11"/>
  </w:num>
  <w:num w:numId="2" w16cid:durableId="1259603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054211">
    <w:abstractNumId w:val="13"/>
  </w:num>
  <w:num w:numId="4" w16cid:durableId="1411998879">
    <w:abstractNumId w:val="5"/>
  </w:num>
  <w:num w:numId="5" w16cid:durableId="1417895366">
    <w:abstractNumId w:val="6"/>
  </w:num>
  <w:num w:numId="6" w16cid:durableId="1302273849">
    <w:abstractNumId w:val="12"/>
  </w:num>
  <w:num w:numId="7" w16cid:durableId="1254707854">
    <w:abstractNumId w:val="7"/>
  </w:num>
  <w:num w:numId="8" w16cid:durableId="1771390468">
    <w:abstractNumId w:val="8"/>
  </w:num>
  <w:num w:numId="9" w16cid:durableId="1429354184">
    <w:abstractNumId w:val="3"/>
  </w:num>
  <w:num w:numId="10" w16cid:durableId="1879660461">
    <w:abstractNumId w:val="2"/>
  </w:num>
  <w:num w:numId="11" w16cid:durableId="1917205615">
    <w:abstractNumId w:val="10"/>
  </w:num>
  <w:num w:numId="12" w16cid:durableId="1551922403">
    <w:abstractNumId w:val="1"/>
  </w:num>
  <w:num w:numId="13" w16cid:durableId="1821850148">
    <w:abstractNumId w:val="0"/>
  </w:num>
  <w:num w:numId="14" w16cid:durableId="733503361">
    <w:abstractNumId w:val="4"/>
  </w:num>
  <w:num w:numId="15" w16cid:durableId="11894174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01"/>
    <w:rsid w:val="00000EF5"/>
    <w:rsid w:val="0000292B"/>
    <w:rsid w:val="00026BC1"/>
    <w:rsid w:val="00027E8B"/>
    <w:rsid w:val="0004455B"/>
    <w:rsid w:val="00052DCB"/>
    <w:rsid w:val="00052ED4"/>
    <w:rsid w:val="000625F2"/>
    <w:rsid w:val="00063FEC"/>
    <w:rsid w:val="00074133"/>
    <w:rsid w:val="000812F8"/>
    <w:rsid w:val="00090A6F"/>
    <w:rsid w:val="00095BF1"/>
    <w:rsid w:val="00096027"/>
    <w:rsid w:val="000A13E1"/>
    <w:rsid w:val="000A6824"/>
    <w:rsid w:val="000B3171"/>
    <w:rsid w:val="000B733C"/>
    <w:rsid w:val="000C3EB0"/>
    <w:rsid w:val="000D128A"/>
    <w:rsid w:val="000D582A"/>
    <w:rsid w:val="000D7B40"/>
    <w:rsid w:val="000E4F9C"/>
    <w:rsid w:val="000F64CC"/>
    <w:rsid w:val="00110B96"/>
    <w:rsid w:val="00111DB7"/>
    <w:rsid w:val="001162C5"/>
    <w:rsid w:val="001206CF"/>
    <w:rsid w:val="00131365"/>
    <w:rsid w:val="00165089"/>
    <w:rsid w:val="001662B8"/>
    <w:rsid w:val="00171F51"/>
    <w:rsid w:val="001761C6"/>
    <w:rsid w:val="001864D4"/>
    <w:rsid w:val="0019286F"/>
    <w:rsid w:val="00194179"/>
    <w:rsid w:val="00195FE2"/>
    <w:rsid w:val="001A0C8F"/>
    <w:rsid w:val="001A2CFD"/>
    <w:rsid w:val="001A4C98"/>
    <w:rsid w:val="001B33A5"/>
    <w:rsid w:val="001C225F"/>
    <w:rsid w:val="001C553E"/>
    <w:rsid w:val="001D4BDF"/>
    <w:rsid w:val="001F78DF"/>
    <w:rsid w:val="00216401"/>
    <w:rsid w:val="00216D6C"/>
    <w:rsid w:val="0022022E"/>
    <w:rsid w:val="00235EF0"/>
    <w:rsid w:val="0023687F"/>
    <w:rsid w:val="00243D7C"/>
    <w:rsid w:val="0025003C"/>
    <w:rsid w:val="002534EA"/>
    <w:rsid w:val="00254B16"/>
    <w:rsid w:val="00255271"/>
    <w:rsid w:val="002749F5"/>
    <w:rsid w:val="00276BC5"/>
    <w:rsid w:val="0028086D"/>
    <w:rsid w:val="00283482"/>
    <w:rsid w:val="00283B38"/>
    <w:rsid w:val="0029647E"/>
    <w:rsid w:val="00296F70"/>
    <w:rsid w:val="002A201D"/>
    <w:rsid w:val="002B7803"/>
    <w:rsid w:val="002C3553"/>
    <w:rsid w:val="002F1CD0"/>
    <w:rsid w:val="00307F26"/>
    <w:rsid w:val="0031079F"/>
    <w:rsid w:val="003251D8"/>
    <w:rsid w:val="00334FD6"/>
    <w:rsid w:val="0033581C"/>
    <w:rsid w:val="0034243B"/>
    <w:rsid w:val="00342D62"/>
    <w:rsid w:val="00361B8E"/>
    <w:rsid w:val="00364B30"/>
    <w:rsid w:val="00367DC9"/>
    <w:rsid w:val="00377B8D"/>
    <w:rsid w:val="00382796"/>
    <w:rsid w:val="0039009E"/>
    <w:rsid w:val="003A28A1"/>
    <w:rsid w:val="003A47E7"/>
    <w:rsid w:val="003A488F"/>
    <w:rsid w:val="003B0CAA"/>
    <w:rsid w:val="003B0E71"/>
    <w:rsid w:val="003B6633"/>
    <w:rsid w:val="003D1DD4"/>
    <w:rsid w:val="003E024B"/>
    <w:rsid w:val="003E0A68"/>
    <w:rsid w:val="003E1900"/>
    <w:rsid w:val="0040038B"/>
    <w:rsid w:val="00401ECA"/>
    <w:rsid w:val="00413C60"/>
    <w:rsid w:val="004150BD"/>
    <w:rsid w:val="004221D7"/>
    <w:rsid w:val="00422E4D"/>
    <w:rsid w:val="00426474"/>
    <w:rsid w:val="00426876"/>
    <w:rsid w:val="00434D86"/>
    <w:rsid w:val="00436A2D"/>
    <w:rsid w:val="0044702C"/>
    <w:rsid w:val="00450E0E"/>
    <w:rsid w:val="00460BCF"/>
    <w:rsid w:val="00460FBB"/>
    <w:rsid w:val="00470CE9"/>
    <w:rsid w:val="0047683E"/>
    <w:rsid w:val="0048155F"/>
    <w:rsid w:val="00487CF6"/>
    <w:rsid w:val="004914E9"/>
    <w:rsid w:val="00493D76"/>
    <w:rsid w:val="004961F8"/>
    <w:rsid w:val="00497B7B"/>
    <w:rsid w:val="004A417F"/>
    <w:rsid w:val="004B038C"/>
    <w:rsid w:val="004B736C"/>
    <w:rsid w:val="004C1FD8"/>
    <w:rsid w:val="004C43DD"/>
    <w:rsid w:val="004C5BDE"/>
    <w:rsid w:val="004D3809"/>
    <w:rsid w:val="004D4D1C"/>
    <w:rsid w:val="004F55FE"/>
    <w:rsid w:val="00500E80"/>
    <w:rsid w:val="00511C34"/>
    <w:rsid w:val="00516324"/>
    <w:rsid w:val="005166B2"/>
    <w:rsid w:val="00516CFD"/>
    <w:rsid w:val="005207E8"/>
    <w:rsid w:val="0053452C"/>
    <w:rsid w:val="00535EC5"/>
    <w:rsid w:val="0056274D"/>
    <w:rsid w:val="005655CE"/>
    <w:rsid w:val="00565BFC"/>
    <w:rsid w:val="00577065"/>
    <w:rsid w:val="0058004D"/>
    <w:rsid w:val="00580BC4"/>
    <w:rsid w:val="00590051"/>
    <w:rsid w:val="005A01F2"/>
    <w:rsid w:val="005A2514"/>
    <w:rsid w:val="005A6AC7"/>
    <w:rsid w:val="005B146F"/>
    <w:rsid w:val="005B66FA"/>
    <w:rsid w:val="005C62BF"/>
    <w:rsid w:val="005E6BE4"/>
    <w:rsid w:val="005F7299"/>
    <w:rsid w:val="00600F45"/>
    <w:rsid w:val="00602261"/>
    <w:rsid w:val="0061152D"/>
    <w:rsid w:val="00625A6C"/>
    <w:rsid w:val="00641282"/>
    <w:rsid w:val="00652DF8"/>
    <w:rsid w:val="00653770"/>
    <w:rsid w:val="00655614"/>
    <w:rsid w:val="00691AB6"/>
    <w:rsid w:val="006A3AE9"/>
    <w:rsid w:val="006A40E5"/>
    <w:rsid w:val="006A5AC1"/>
    <w:rsid w:val="006B0CD6"/>
    <w:rsid w:val="006B6BAC"/>
    <w:rsid w:val="006C2E37"/>
    <w:rsid w:val="006D055E"/>
    <w:rsid w:val="006D134A"/>
    <w:rsid w:val="006D4700"/>
    <w:rsid w:val="006D7679"/>
    <w:rsid w:val="006E2C39"/>
    <w:rsid w:val="006F11A2"/>
    <w:rsid w:val="00706DBF"/>
    <w:rsid w:val="00714340"/>
    <w:rsid w:val="007219F7"/>
    <w:rsid w:val="007333C2"/>
    <w:rsid w:val="00736C80"/>
    <w:rsid w:val="00737714"/>
    <w:rsid w:val="00742307"/>
    <w:rsid w:val="00742E4B"/>
    <w:rsid w:val="007455F0"/>
    <w:rsid w:val="00751F6A"/>
    <w:rsid w:val="007554ED"/>
    <w:rsid w:val="00755E40"/>
    <w:rsid w:val="00756FF6"/>
    <w:rsid w:val="0076127E"/>
    <w:rsid w:val="0076186E"/>
    <w:rsid w:val="00780971"/>
    <w:rsid w:val="0078116B"/>
    <w:rsid w:val="007916E5"/>
    <w:rsid w:val="007A6BC3"/>
    <w:rsid w:val="007B49DC"/>
    <w:rsid w:val="007E6619"/>
    <w:rsid w:val="007E6B56"/>
    <w:rsid w:val="007F1170"/>
    <w:rsid w:val="007F17ED"/>
    <w:rsid w:val="007F1D3D"/>
    <w:rsid w:val="00812637"/>
    <w:rsid w:val="00813227"/>
    <w:rsid w:val="00820794"/>
    <w:rsid w:val="00831497"/>
    <w:rsid w:val="008358AD"/>
    <w:rsid w:val="00835EC0"/>
    <w:rsid w:val="008459E8"/>
    <w:rsid w:val="008622B9"/>
    <w:rsid w:val="00864ADE"/>
    <w:rsid w:val="00867FB0"/>
    <w:rsid w:val="00871A12"/>
    <w:rsid w:val="008779D5"/>
    <w:rsid w:val="00881BBE"/>
    <w:rsid w:val="00885293"/>
    <w:rsid w:val="00895809"/>
    <w:rsid w:val="008A16EB"/>
    <w:rsid w:val="008A6182"/>
    <w:rsid w:val="008B1D77"/>
    <w:rsid w:val="008B1D94"/>
    <w:rsid w:val="008B4C8D"/>
    <w:rsid w:val="008B643A"/>
    <w:rsid w:val="008C1C4A"/>
    <w:rsid w:val="008C60B1"/>
    <w:rsid w:val="008C6BD0"/>
    <w:rsid w:val="008D0C67"/>
    <w:rsid w:val="008D2EBD"/>
    <w:rsid w:val="008F0A81"/>
    <w:rsid w:val="008F3EBA"/>
    <w:rsid w:val="008F4AC5"/>
    <w:rsid w:val="008F5963"/>
    <w:rsid w:val="00914E27"/>
    <w:rsid w:val="00923261"/>
    <w:rsid w:val="009237D2"/>
    <w:rsid w:val="009256B7"/>
    <w:rsid w:val="00930185"/>
    <w:rsid w:val="00970C7A"/>
    <w:rsid w:val="009721DB"/>
    <w:rsid w:val="00972BFA"/>
    <w:rsid w:val="00987817"/>
    <w:rsid w:val="009965BA"/>
    <w:rsid w:val="009A3AC3"/>
    <w:rsid w:val="009A5498"/>
    <w:rsid w:val="009A7444"/>
    <w:rsid w:val="009B6342"/>
    <w:rsid w:val="009B6535"/>
    <w:rsid w:val="009C2479"/>
    <w:rsid w:val="009C5386"/>
    <w:rsid w:val="009D06F8"/>
    <w:rsid w:val="009D73F1"/>
    <w:rsid w:val="009E5667"/>
    <w:rsid w:val="00A00E05"/>
    <w:rsid w:val="00A04CEF"/>
    <w:rsid w:val="00A05041"/>
    <w:rsid w:val="00A1062D"/>
    <w:rsid w:val="00A13F82"/>
    <w:rsid w:val="00A15CF2"/>
    <w:rsid w:val="00A16664"/>
    <w:rsid w:val="00A17FD5"/>
    <w:rsid w:val="00A214F2"/>
    <w:rsid w:val="00A22E0D"/>
    <w:rsid w:val="00A24613"/>
    <w:rsid w:val="00A27811"/>
    <w:rsid w:val="00A368B1"/>
    <w:rsid w:val="00A41ED3"/>
    <w:rsid w:val="00A474AD"/>
    <w:rsid w:val="00A47FA2"/>
    <w:rsid w:val="00A51A7E"/>
    <w:rsid w:val="00A55F4F"/>
    <w:rsid w:val="00A6237D"/>
    <w:rsid w:val="00A65719"/>
    <w:rsid w:val="00A65B93"/>
    <w:rsid w:val="00A748BA"/>
    <w:rsid w:val="00A80F0C"/>
    <w:rsid w:val="00A83862"/>
    <w:rsid w:val="00A8486C"/>
    <w:rsid w:val="00A96702"/>
    <w:rsid w:val="00A97EB2"/>
    <w:rsid w:val="00AA14A9"/>
    <w:rsid w:val="00AA2144"/>
    <w:rsid w:val="00AB153D"/>
    <w:rsid w:val="00AB780A"/>
    <w:rsid w:val="00AC4315"/>
    <w:rsid w:val="00AD2E8D"/>
    <w:rsid w:val="00AD42DA"/>
    <w:rsid w:val="00AE1F3E"/>
    <w:rsid w:val="00AF61B8"/>
    <w:rsid w:val="00B02141"/>
    <w:rsid w:val="00B110AD"/>
    <w:rsid w:val="00B16904"/>
    <w:rsid w:val="00B271BA"/>
    <w:rsid w:val="00B3429E"/>
    <w:rsid w:val="00B4137F"/>
    <w:rsid w:val="00B43A79"/>
    <w:rsid w:val="00B46DCB"/>
    <w:rsid w:val="00B74237"/>
    <w:rsid w:val="00B76C84"/>
    <w:rsid w:val="00B82F15"/>
    <w:rsid w:val="00BA3AB4"/>
    <w:rsid w:val="00BA4622"/>
    <w:rsid w:val="00BB4640"/>
    <w:rsid w:val="00BB4C9F"/>
    <w:rsid w:val="00BC0794"/>
    <w:rsid w:val="00BC0D5D"/>
    <w:rsid w:val="00BC24EA"/>
    <w:rsid w:val="00BE2F68"/>
    <w:rsid w:val="00BE38FC"/>
    <w:rsid w:val="00BF07DB"/>
    <w:rsid w:val="00C03C7B"/>
    <w:rsid w:val="00C23003"/>
    <w:rsid w:val="00C3493B"/>
    <w:rsid w:val="00C37458"/>
    <w:rsid w:val="00C438DD"/>
    <w:rsid w:val="00C43CD1"/>
    <w:rsid w:val="00C45020"/>
    <w:rsid w:val="00C45EB4"/>
    <w:rsid w:val="00C47363"/>
    <w:rsid w:val="00C5022C"/>
    <w:rsid w:val="00C552FD"/>
    <w:rsid w:val="00C63573"/>
    <w:rsid w:val="00C711E6"/>
    <w:rsid w:val="00C827A9"/>
    <w:rsid w:val="00C941D4"/>
    <w:rsid w:val="00C95D8A"/>
    <w:rsid w:val="00CA5FB9"/>
    <w:rsid w:val="00CA61C5"/>
    <w:rsid w:val="00CB719A"/>
    <w:rsid w:val="00CC1DF4"/>
    <w:rsid w:val="00CC6FCD"/>
    <w:rsid w:val="00CD5D1C"/>
    <w:rsid w:val="00CD6F8A"/>
    <w:rsid w:val="00CE1694"/>
    <w:rsid w:val="00CE2F8C"/>
    <w:rsid w:val="00CE66F2"/>
    <w:rsid w:val="00CF1D4C"/>
    <w:rsid w:val="00CF75CA"/>
    <w:rsid w:val="00CF7B67"/>
    <w:rsid w:val="00D00FD5"/>
    <w:rsid w:val="00D03545"/>
    <w:rsid w:val="00D20166"/>
    <w:rsid w:val="00D32387"/>
    <w:rsid w:val="00D52086"/>
    <w:rsid w:val="00D54F5C"/>
    <w:rsid w:val="00D67336"/>
    <w:rsid w:val="00D74038"/>
    <w:rsid w:val="00D74AD0"/>
    <w:rsid w:val="00D74C6A"/>
    <w:rsid w:val="00D86788"/>
    <w:rsid w:val="00D942EB"/>
    <w:rsid w:val="00D95C0B"/>
    <w:rsid w:val="00D96A64"/>
    <w:rsid w:val="00DA2A7B"/>
    <w:rsid w:val="00DB00CD"/>
    <w:rsid w:val="00DC7E1B"/>
    <w:rsid w:val="00DD02AD"/>
    <w:rsid w:val="00DD1DDC"/>
    <w:rsid w:val="00DD3718"/>
    <w:rsid w:val="00DD590E"/>
    <w:rsid w:val="00DD7E7A"/>
    <w:rsid w:val="00DF39E3"/>
    <w:rsid w:val="00DF6F07"/>
    <w:rsid w:val="00E01684"/>
    <w:rsid w:val="00E033B7"/>
    <w:rsid w:val="00E06C2F"/>
    <w:rsid w:val="00E24399"/>
    <w:rsid w:val="00E274C6"/>
    <w:rsid w:val="00E3261E"/>
    <w:rsid w:val="00E40FC7"/>
    <w:rsid w:val="00E41399"/>
    <w:rsid w:val="00E63279"/>
    <w:rsid w:val="00E6447B"/>
    <w:rsid w:val="00E74974"/>
    <w:rsid w:val="00E74BD5"/>
    <w:rsid w:val="00E7592A"/>
    <w:rsid w:val="00E839DA"/>
    <w:rsid w:val="00E86FD8"/>
    <w:rsid w:val="00E90B4F"/>
    <w:rsid w:val="00E915E3"/>
    <w:rsid w:val="00E9325C"/>
    <w:rsid w:val="00E94DA2"/>
    <w:rsid w:val="00E96D45"/>
    <w:rsid w:val="00E979E8"/>
    <w:rsid w:val="00E97B4B"/>
    <w:rsid w:val="00EA1AF5"/>
    <w:rsid w:val="00EA2C08"/>
    <w:rsid w:val="00EA7ACA"/>
    <w:rsid w:val="00EB386B"/>
    <w:rsid w:val="00EB4197"/>
    <w:rsid w:val="00EB4756"/>
    <w:rsid w:val="00EC4AFD"/>
    <w:rsid w:val="00ED0067"/>
    <w:rsid w:val="00ED06E4"/>
    <w:rsid w:val="00ED3AA0"/>
    <w:rsid w:val="00EE11B3"/>
    <w:rsid w:val="00EE2509"/>
    <w:rsid w:val="00EE3D03"/>
    <w:rsid w:val="00EE740D"/>
    <w:rsid w:val="00EF1CFD"/>
    <w:rsid w:val="00EF24A8"/>
    <w:rsid w:val="00EF70C8"/>
    <w:rsid w:val="00F01067"/>
    <w:rsid w:val="00F13C5A"/>
    <w:rsid w:val="00F148AC"/>
    <w:rsid w:val="00F14BDB"/>
    <w:rsid w:val="00F22AF2"/>
    <w:rsid w:val="00F2677A"/>
    <w:rsid w:val="00F27D29"/>
    <w:rsid w:val="00F36453"/>
    <w:rsid w:val="00F424C9"/>
    <w:rsid w:val="00F50EBE"/>
    <w:rsid w:val="00F52A16"/>
    <w:rsid w:val="00F66B41"/>
    <w:rsid w:val="00F70811"/>
    <w:rsid w:val="00F82A0E"/>
    <w:rsid w:val="00F920E1"/>
    <w:rsid w:val="00F970FB"/>
    <w:rsid w:val="00FB39CB"/>
    <w:rsid w:val="00FC2254"/>
    <w:rsid w:val="00FC30DA"/>
    <w:rsid w:val="00FC64EE"/>
    <w:rsid w:val="00FF7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40725A61"/>
  <w15:docId w15:val="{38F69AFA-14C4-4BAA-8646-AF9A11E3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uiPriority w:val="99"/>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paragraph" w:styleId="Revision">
    <w:name w:val="Revision"/>
    <w:hidden/>
    <w:uiPriority w:val="99"/>
    <w:semiHidden/>
    <w:rsid w:val="00413C60"/>
    <w:rPr>
      <w:sz w:val="19"/>
      <w:lang w:eastAsia="en-US"/>
    </w:rPr>
  </w:style>
  <w:style w:type="character" w:styleId="CommentReference">
    <w:name w:val="annotation reference"/>
    <w:basedOn w:val="DefaultParagraphFont"/>
    <w:semiHidden/>
    <w:unhideWhenUsed/>
    <w:rsid w:val="00F148AC"/>
    <w:rPr>
      <w:sz w:val="16"/>
      <w:szCs w:val="16"/>
    </w:rPr>
  </w:style>
  <w:style w:type="paragraph" w:styleId="CommentText">
    <w:name w:val="annotation text"/>
    <w:basedOn w:val="Normal"/>
    <w:link w:val="CommentTextChar"/>
    <w:unhideWhenUsed/>
    <w:rsid w:val="00F148AC"/>
    <w:pPr>
      <w:jc w:val="left"/>
    </w:pPr>
    <w:rPr>
      <w:rFonts w:eastAsiaTheme="minorEastAsia"/>
      <w:sz w:val="20"/>
    </w:rPr>
  </w:style>
  <w:style w:type="character" w:customStyle="1" w:styleId="CommentTextChar">
    <w:name w:val="Comment Text Char"/>
    <w:basedOn w:val="DefaultParagraphFont"/>
    <w:link w:val="CommentText"/>
    <w:rsid w:val="00F148AC"/>
    <w:rPr>
      <w:rFonts w:eastAsiaTheme="minorEastAsia"/>
      <w:lang w:eastAsia="en-US"/>
    </w:rPr>
  </w:style>
  <w:style w:type="paragraph" w:customStyle="1" w:styleId="IASBNormal">
    <w:name w:val="IASB Normal"/>
    <w:rsid w:val="00334FD6"/>
    <w:pPr>
      <w:tabs>
        <w:tab w:val="left" w:pos="4253"/>
      </w:tabs>
      <w:spacing w:before="100" w:after="100"/>
      <w:jc w:val="both"/>
    </w:pPr>
    <w:rPr>
      <w:sz w:val="19"/>
      <w:lang w:val="en-US" w:eastAsia="en-US"/>
    </w:rPr>
  </w:style>
  <w:style w:type="paragraph" w:customStyle="1" w:styleId="IASBNormalnpara">
    <w:name w:val="IASB Normal npara"/>
    <w:basedOn w:val="IASBNormal"/>
    <w:rsid w:val="00334FD6"/>
    <w:pPr>
      <w:tabs>
        <w:tab w:val="clear" w:pos="4253"/>
      </w:tabs>
      <w:spacing w:after="0"/>
      <w:ind w:left="782" w:hanging="782"/>
    </w:pPr>
  </w:style>
  <w:style w:type="paragraph" w:customStyle="1" w:styleId="IASBSectionTitle1NonInd">
    <w:name w:val="IASB Section Title 1 NonInd"/>
    <w:basedOn w:val="Normal"/>
    <w:link w:val="IASBSectionTitle1NonIndChar"/>
    <w:uiPriority w:val="8"/>
    <w:rsid w:val="00334FD6"/>
    <w:pPr>
      <w:keepNext/>
      <w:keepLines/>
      <w:pBdr>
        <w:bottom w:val="single" w:sz="4" w:space="0" w:color="auto"/>
      </w:pBdr>
      <w:spacing w:before="400" w:after="200"/>
      <w:jc w:val="left"/>
    </w:pPr>
    <w:rPr>
      <w:rFonts w:ascii="Arial" w:hAnsi="Arial" w:cs="Arial"/>
      <w:b/>
      <w:sz w:val="26"/>
      <w:lang w:val="en-US"/>
    </w:rPr>
  </w:style>
  <w:style w:type="paragraph" w:customStyle="1" w:styleId="IASBSectionTitle2NonInd">
    <w:name w:val="IASB Section Title 2 NonInd"/>
    <w:basedOn w:val="Normal"/>
    <w:rsid w:val="00334FD6"/>
    <w:pPr>
      <w:keepNext/>
      <w:keepLines/>
      <w:spacing w:before="300" w:after="200"/>
      <w:jc w:val="left"/>
    </w:pPr>
    <w:rPr>
      <w:rFonts w:ascii="Arial" w:hAnsi="Arial" w:cs="Arial"/>
      <w:b/>
      <w:sz w:val="26"/>
      <w:lang w:val="en-US"/>
    </w:rPr>
  </w:style>
  <w:style w:type="paragraph" w:customStyle="1" w:styleId="IASBSectionTitle2Ind">
    <w:name w:val="IASB Section Title 2 Ind"/>
    <w:basedOn w:val="IASBSectionTitle2NonInd"/>
    <w:rsid w:val="00334FD6"/>
    <w:pPr>
      <w:spacing w:before="240"/>
      <w:ind w:left="782"/>
    </w:pPr>
  </w:style>
  <w:style w:type="paragraph" w:customStyle="1" w:styleId="IASBSectionTitle3Ind">
    <w:name w:val="IASB Section Title 3 Ind"/>
    <w:basedOn w:val="Normal"/>
    <w:rsid w:val="00334FD6"/>
    <w:pPr>
      <w:keepNext/>
      <w:keepLines/>
      <w:spacing w:before="240" w:after="200"/>
      <w:ind w:left="782"/>
      <w:jc w:val="left"/>
    </w:pPr>
    <w:rPr>
      <w:rFonts w:ascii="Arial" w:hAnsi="Arial" w:cs="Arial"/>
      <w:b/>
      <w:sz w:val="22"/>
      <w:lang w:val="en-US"/>
    </w:rPr>
  </w:style>
  <w:style w:type="paragraph" w:customStyle="1" w:styleId="IASBNormalnparaL1">
    <w:name w:val="IASB Normal nparaL1"/>
    <w:basedOn w:val="IASBNormalnpara"/>
    <w:rsid w:val="00334FD6"/>
    <w:pPr>
      <w:ind w:left="1564"/>
    </w:pPr>
  </w:style>
  <w:style w:type="paragraph" w:customStyle="1" w:styleId="IASBNormalnparaP">
    <w:name w:val="IASB Normal nparaP"/>
    <w:basedOn w:val="IASBNormal"/>
    <w:rsid w:val="00334FD6"/>
    <w:pPr>
      <w:ind w:left="782"/>
    </w:pPr>
  </w:style>
  <w:style w:type="character" w:customStyle="1" w:styleId="HeaderChar">
    <w:name w:val="Header Char"/>
    <w:basedOn w:val="DefaultParagraphFont"/>
    <w:link w:val="Header"/>
    <w:uiPriority w:val="99"/>
    <w:rsid w:val="00334FD6"/>
    <w:rPr>
      <w:sz w:val="19"/>
      <w:lang w:eastAsia="en-US"/>
    </w:rPr>
  </w:style>
  <w:style w:type="character" w:customStyle="1" w:styleId="FooterChar">
    <w:name w:val="Footer Char"/>
    <w:basedOn w:val="DefaultParagraphFont"/>
    <w:link w:val="Footer"/>
    <w:uiPriority w:val="99"/>
    <w:rsid w:val="00334FD6"/>
    <w:rPr>
      <w:sz w:val="19"/>
      <w:lang w:eastAsia="en-US"/>
    </w:rPr>
  </w:style>
  <w:style w:type="paragraph" w:customStyle="1" w:styleId="IASBNormalnparaL2">
    <w:name w:val="IASB Normal nparaL2"/>
    <w:basedOn w:val="IASBNormalnparaL1"/>
    <w:rsid w:val="00334FD6"/>
    <w:pPr>
      <w:ind w:left="2347"/>
    </w:pPr>
  </w:style>
  <w:style w:type="paragraph" w:customStyle="1" w:styleId="IASBTableArial">
    <w:name w:val="IASB Table Arial"/>
    <w:basedOn w:val="Normal"/>
    <w:rsid w:val="00334FD6"/>
    <w:pPr>
      <w:spacing w:before="120"/>
      <w:jc w:val="left"/>
    </w:pPr>
    <w:rPr>
      <w:rFonts w:ascii="Arial" w:hAnsi="Arial"/>
      <w:sz w:val="18"/>
      <w:lang w:val="en-GB" w:eastAsia="en-GB"/>
    </w:rPr>
  </w:style>
  <w:style w:type="paragraph" w:styleId="ListParagraph">
    <w:name w:val="List Paragraph"/>
    <w:basedOn w:val="Normal"/>
    <w:uiPriority w:val="34"/>
    <w:qFormat/>
    <w:rsid w:val="00334FD6"/>
    <w:pPr>
      <w:ind w:left="720"/>
      <w:contextualSpacing/>
      <w:jc w:val="left"/>
    </w:pPr>
    <w:rPr>
      <w:rFonts w:eastAsiaTheme="minorEastAsia"/>
      <w:sz w:val="24"/>
      <w:szCs w:val="24"/>
      <w:lang w:val="en-GB" w:eastAsia="en-GB"/>
    </w:rPr>
  </w:style>
  <w:style w:type="paragraph" w:customStyle="1" w:styleId="IASBSectionTitle4Ind">
    <w:name w:val="IASB Section Title 4 Ind"/>
    <w:basedOn w:val="Normal"/>
    <w:rsid w:val="00CD6F8A"/>
    <w:pPr>
      <w:keepNext/>
      <w:keepLines/>
      <w:spacing w:before="300" w:after="200"/>
      <w:ind w:left="782"/>
      <w:jc w:val="left"/>
    </w:pPr>
    <w:rPr>
      <w:rFonts w:ascii="Arial" w:hAnsi="Arial" w:cs="Arial"/>
      <w:i/>
      <w:sz w:val="22"/>
      <w:lang w:val="en-US"/>
    </w:rPr>
  </w:style>
  <w:style w:type="paragraph" w:styleId="CommentSubject">
    <w:name w:val="annotation subject"/>
    <w:basedOn w:val="CommentText"/>
    <w:next w:val="CommentText"/>
    <w:link w:val="CommentSubjectChar"/>
    <w:semiHidden/>
    <w:unhideWhenUsed/>
    <w:rsid w:val="007F1170"/>
    <w:pPr>
      <w:jc w:val="both"/>
    </w:pPr>
    <w:rPr>
      <w:rFonts w:eastAsia="Times New Roman"/>
      <w:b/>
      <w:bCs/>
    </w:rPr>
  </w:style>
  <w:style w:type="character" w:customStyle="1" w:styleId="CommentSubjectChar">
    <w:name w:val="Comment Subject Char"/>
    <w:basedOn w:val="CommentTextChar"/>
    <w:link w:val="CommentSubject"/>
    <w:semiHidden/>
    <w:rsid w:val="007F1170"/>
    <w:rPr>
      <w:rFonts w:eastAsiaTheme="minorEastAsia"/>
      <w:b/>
      <w:bCs/>
      <w:lang w:eastAsia="en-US"/>
    </w:rPr>
  </w:style>
  <w:style w:type="paragraph" w:customStyle="1" w:styleId="AusBold">
    <w:name w:val="Aus Bold"/>
    <w:basedOn w:val="Normal"/>
    <w:uiPriority w:val="2"/>
    <w:qFormat/>
    <w:rsid w:val="00A04CEF"/>
    <w:pPr>
      <w:spacing w:before="100"/>
      <w:ind w:left="1565" w:hanging="1565"/>
    </w:pPr>
    <w:rPr>
      <w:b/>
    </w:rPr>
  </w:style>
  <w:style w:type="character" w:customStyle="1" w:styleId="IASBSectionTitle1NonIndChar">
    <w:name w:val="IASB Section Title 1 NonInd Char"/>
    <w:basedOn w:val="DefaultParagraphFont"/>
    <w:link w:val="IASBSectionTitle1NonInd"/>
    <w:uiPriority w:val="8"/>
    <w:rsid w:val="00F52A16"/>
    <w:rPr>
      <w:rFonts w:ascii="Arial" w:hAnsi="Arial" w:cs="Arial"/>
      <w:b/>
      <w:sz w:val="26"/>
      <w:lang w:val="en-US" w:eastAsia="en-US"/>
    </w:rPr>
  </w:style>
  <w:style w:type="numbering" w:customStyle="1" w:styleId="NumPlainParas">
    <w:name w:val="NumPlainParas"/>
    <w:uiPriority w:val="99"/>
    <w:rsid w:val="00F52A16"/>
    <w:pPr>
      <w:numPr>
        <w:numId w:val="15"/>
      </w:numPr>
    </w:pPr>
  </w:style>
  <w:style w:type="character" w:customStyle="1" w:styleId="Heading1Char">
    <w:name w:val="Heading 1 Char"/>
    <w:basedOn w:val="DefaultParagraphFont"/>
    <w:link w:val="Heading1"/>
    <w:rsid w:val="00255271"/>
    <w:rPr>
      <w:rFonts w:ascii="Arial" w:hAnsi="Arial" w:cs="Arial"/>
      <w:b/>
      <w:bCs/>
      <w:sz w:val="26"/>
      <w:szCs w:val="32"/>
      <w:lang w:eastAsia="en-US"/>
    </w:rPr>
  </w:style>
  <w:style w:type="character" w:styleId="PlaceholderText">
    <w:name w:val="Placeholder Text"/>
    <w:basedOn w:val="DefaultParagraphFont"/>
    <w:uiPriority w:val="99"/>
    <w:semiHidden/>
    <w:rsid w:val="00E74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hn\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AC9FF3-54AF-4F12-BDA8-0803D856A7CB}"/>
      </w:docPartPr>
      <w:docPartBody>
        <w:p w:rsidR="007C02D1" w:rsidRDefault="007C02D1">
          <w:r w:rsidRPr="00A92C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D1"/>
    <w:rsid w:val="000D1FA7"/>
    <w:rsid w:val="003929CF"/>
    <w:rsid w:val="007C0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F3FBC-030C-4928-BDF8-BE5273D9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8823C-126C-46E7-BFB0-9C4F0A88EEF0}">
  <ds:schemaRefs>
    <ds:schemaRef ds:uri="http://schemas.microsoft.com/sharepoint/v3/contenttype/forms"/>
  </ds:schemaRefs>
</ds:datastoreItem>
</file>

<file path=customXml/itemProps3.xml><?xml version="1.0" encoding="utf-8"?>
<ds:datastoreItem xmlns:ds="http://schemas.openxmlformats.org/officeDocument/2006/customXml" ds:itemID="{8FFE379F-A739-46A4-8E24-CBD9451F1085}">
  <ds:schemaRefs>
    <ds:schemaRef ds:uri="http://schemas.openxmlformats.org/officeDocument/2006/bibliography"/>
  </ds:schemaRefs>
</ds:datastoreItem>
</file>

<file path=customXml/itemProps4.xml><?xml version="1.0" encoding="utf-8"?>
<ds:datastoreItem xmlns:ds="http://schemas.openxmlformats.org/officeDocument/2006/customXml" ds:itemID="{0F89D265-E423-40CB-9291-4342989C7C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AmendingIFRS.dotx</Template>
  <TotalTime>11</TotalTime>
  <Pages>12</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AASB2023-5_10-23</vt:lpstr>
    </vt:vector>
  </TitlesOfParts>
  <Company>Australian Accounting Standards Board</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AASB2023-5_10-23</dc:title>
  <dc:subject/>
  <dc:creator>.</dc:creator>
  <cp:keywords/>
  <dc:description/>
  <cp:lastModifiedBy>Kathleen John</cp:lastModifiedBy>
  <cp:revision>16</cp:revision>
  <cp:lastPrinted>2018-04-08T06:06:00Z</cp:lastPrinted>
  <dcterms:created xsi:type="dcterms:W3CDTF">2023-10-11T22:05:00Z</dcterms:created>
  <dcterms:modified xsi:type="dcterms:W3CDTF">2023-10-12T04:50:00Z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GrammarlyDocumentId">
    <vt:lpwstr>5645f12291de9cd9731d5bb58e36e40a7e947067aa80d771444b2ed377490273</vt:lpwstr>
  </property>
</Properties>
</file>