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781C253F" w:rsidR="00955175" w:rsidRPr="00144E8D" w:rsidRDefault="00FC6D88" w:rsidP="00E2168B">
      <w:pPr>
        <w:spacing w:before="280" w:after="240"/>
        <w:rPr>
          <w:b/>
          <w:sz w:val="32"/>
          <w:szCs w:val="32"/>
        </w:rPr>
      </w:pPr>
      <w:r w:rsidRPr="00144E8D">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144E8D" w:rsidRDefault="00955175" w:rsidP="00955175">
      <w:pPr>
        <w:pStyle w:val="LI-Title"/>
        <w:pBdr>
          <w:top w:val="none" w:sz="0" w:space="0" w:color="auto"/>
        </w:pBdr>
        <w:jc w:val="center"/>
      </w:pPr>
    </w:p>
    <w:p w14:paraId="5B8D4084" w14:textId="77777777" w:rsidR="00955175" w:rsidRPr="00144E8D" w:rsidRDefault="00955175" w:rsidP="00955175">
      <w:pPr>
        <w:pStyle w:val="LI-Title"/>
        <w:pBdr>
          <w:top w:val="none" w:sz="0" w:space="0" w:color="auto"/>
        </w:pBdr>
        <w:jc w:val="center"/>
      </w:pPr>
      <w:r w:rsidRPr="00144E8D">
        <w:t>Explanatory Statement</w:t>
      </w:r>
    </w:p>
    <w:p w14:paraId="54F0DD85" w14:textId="77777777" w:rsidR="00955175" w:rsidRPr="00144E8D" w:rsidRDefault="00955175" w:rsidP="00955175">
      <w:pPr>
        <w:rPr>
          <w:lang w:eastAsia="en-AU"/>
        </w:rPr>
      </w:pPr>
    </w:p>
    <w:p w14:paraId="376F21CA" w14:textId="00C4A99C" w:rsidR="00C4170B" w:rsidRPr="00144E8D" w:rsidRDefault="00B62AD0" w:rsidP="00C4170B">
      <w:pPr>
        <w:jc w:val="center"/>
        <w:rPr>
          <w:b/>
          <w:i/>
          <w:sz w:val="28"/>
          <w:szCs w:val="28"/>
          <w:lang w:eastAsia="en-AU"/>
        </w:rPr>
      </w:pPr>
      <w:r w:rsidRPr="00144E8D">
        <w:rPr>
          <w:b/>
          <w:i/>
          <w:sz w:val="28"/>
          <w:szCs w:val="28"/>
          <w:lang w:eastAsia="en-AU"/>
        </w:rPr>
        <w:t xml:space="preserve">ASIC </w:t>
      </w:r>
      <w:r w:rsidR="00887F71" w:rsidRPr="00144E8D">
        <w:rPr>
          <w:b/>
          <w:i/>
          <w:sz w:val="28"/>
          <w:szCs w:val="28"/>
          <w:lang w:eastAsia="en-AU"/>
        </w:rPr>
        <w:t>Corporations and Credit (Amendment) Instrument 2023/589</w:t>
      </w:r>
    </w:p>
    <w:p w14:paraId="3D70207E" w14:textId="226C342F" w:rsidR="00863657" w:rsidRPr="00144E8D" w:rsidRDefault="00F800C9" w:rsidP="00F800C9">
      <w:pPr>
        <w:pStyle w:val="LI-BodyTextParaa"/>
        <w:ind w:left="0" w:firstLine="0"/>
      </w:pPr>
      <w:bookmarkStart w:id="0" w:name="BK_S3P1L1C1"/>
      <w:bookmarkEnd w:id="0"/>
      <w:r w:rsidRPr="00144E8D">
        <w:t xml:space="preserve">This is the Explanatory Statement for </w:t>
      </w:r>
      <w:r w:rsidR="00887F71" w:rsidRPr="00144E8D">
        <w:rPr>
          <w:i/>
          <w:iCs/>
        </w:rPr>
        <w:t>ASIC Corporations and Credit (Amendment) Instrument 2023/589</w:t>
      </w:r>
      <w:r w:rsidR="001C7ACB" w:rsidRPr="00144E8D">
        <w:t xml:space="preserve"> (</w:t>
      </w:r>
      <w:r w:rsidR="00C42CDE" w:rsidRPr="00144E8D">
        <w:rPr>
          <w:b/>
          <w:bCs/>
        </w:rPr>
        <w:t>Amendment</w:t>
      </w:r>
      <w:r w:rsidR="00C42CDE" w:rsidRPr="00144E8D">
        <w:t xml:space="preserve"> </w:t>
      </w:r>
      <w:r w:rsidR="001C7ACB" w:rsidRPr="00144E8D">
        <w:rPr>
          <w:b/>
          <w:bCs/>
        </w:rPr>
        <w:t>Instrument</w:t>
      </w:r>
      <w:r w:rsidR="001C7ACB" w:rsidRPr="00144E8D">
        <w:t>)</w:t>
      </w:r>
      <w:r w:rsidRPr="00144E8D">
        <w:t>.</w:t>
      </w:r>
    </w:p>
    <w:p w14:paraId="119B6103" w14:textId="77777777" w:rsidR="00F800C9" w:rsidRPr="00144E8D" w:rsidRDefault="00863657" w:rsidP="00F800C9">
      <w:pPr>
        <w:pStyle w:val="LI-BodyTextParaa"/>
        <w:ind w:left="0" w:firstLine="0"/>
      </w:pPr>
      <w:r w:rsidRPr="00144E8D">
        <w:t>Th</w:t>
      </w:r>
      <w:r w:rsidR="00F800C9" w:rsidRPr="00144E8D">
        <w:t>e</w:t>
      </w:r>
      <w:r w:rsidRPr="00144E8D">
        <w:t xml:space="preserve"> </w:t>
      </w:r>
      <w:r w:rsidR="00F800C9" w:rsidRPr="00144E8D">
        <w:t>Explanatory Statement is approved by the Australian Securities and Investments Commission (</w:t>
      </w:r>
      <w:r w:rsidR="00F800C9" w:rsidRPr="00144E8D">
        <w:rPr>
          <w:b/>
          <w:iCs/>
        </w:rPr>
        <w:t>ASIC</w:t>
      </w:r>
      <w:r w:rsidR="00F800C9" w:rsidRPr="00144E8D">
        <w:t>).</w:t>
      </w:r>
    </w:p>
    <w:p w14:paraId="10E55E66" w14:textId="77777777" w:rsidR="00F800C9" w:rsidRPr="00144E8D" w:rsidRDefault="005D1FEA" w:rsidP="006D6079">
      <w:pPr>
        <w:pStyle w:val="LI-BodyTextNumbered"/>
        <w:keepNext/>
        <w:ind w:left="0" w:firstLine="0"/>
        <w:rPr>
          <w:b/>
        </w:rPr>
      </w:pPr>
      <w:r w:rsidRPr="00144E8D">
        <w:rPr>
          <w:b/>
        </w:rPr>
        <w:t>Summary</w:t>
      </w:r>
    </w:p>
    <w:p w14:paraId="7F3CF113" w14:textId="10561B8A" w:rsidR="00664C1C" w:rsidRPr="00144E8D" w:rsidRDefault="00F25C36" w:rsidP="005C6AC4">
      <w:pPr>
        <w:pStyle w:val="LI-BodyTextParaa"/>
        <w:ind w:left="567"/>
        <w:rPr>
          <w:color w:val="000000"/>
        </w:rPr>
      </w:pPr>
      <w:r w:rsidRPr="00144E8D">
        <w:rPr>
          <w:color w:val="000000"/>
        </w:rPr>
        <w:t xml:space="preserve">1. </w:t>
      </w:r>
      <w:r w:rsidRPr="00144E8D">
        <w:rPr>
          <w:color w:val="000000"/>
        </w:rPr>
        <w:tab/>
      </w:r>
      <w:r w:rsidR="00A11C79" w:rsidRPr="00144E8D">
        <w:rPr>
          <w:color w:val="000000"/>
        </w:rPr>
        <w:t>Australian financial services</w:t>
      </w:r>
      <w:r w:rsidR="004B00CC" w:rsidRPr="00144E8D">
        <w:rPr>
          <w:color w:val="000000"/>
        </w:rPr>
        <w:t xml:space="preserve"> </w:t>
      </w:r>
      <w:r w:rsidR="00A11C79" w:rsidRPr="00144E8D">
        <w:rPr>
          <w:color w:val="000000"/>
        </w:rPr>
        <w:t>licensees</w:t>
      </w:r>
      <w:r w:rsidR="005723EB" w:rsidRPr="00144E8D">
        <w:rPr>
          <w:color w:val="000000"/>
        </w:rPr>
        <w:t xml:space="preserve">, </w:t>
      </w:r>
      <w:r w:rsidR="007C7C08" w:rsidRPr="00144E8D">
        <w:rPr>
          <w:color w:val="000000"/>
        </w:rPr>
        <w:t xml:space="preserve">their </w:t>
      </w:r>
      <w:r w:rsidR="005723EB" w:rsidRPr="00144E8D">
        <w:rPr>
          <w:color w:val="000000"/>
        </w:rPr>
        <w:t xml:space="preserve">representatives </w:t>
      </w:r>
      <w:r w:rsidR="00A11C79" w:rsidRPr="00144E8D">
        <w:rPr>
          <w:color w:val="000000"/>
        </w:rPr>
        <w:t xml:space="preserve">and Australian credit licensees </w:t>
      </w:r>
      <w:r w:rsidR="00EF0C35" w:rsidRPr="00144E8D">
        <w:rPr>
          <w:color w:val="000000"/>
        </w:rPr>
        <w:t>(</w:t>
      </w:r>
      <w:r w:rsidR="00693BA2" w:rsidRPr="00144E8D">
        <w:rPr>
          <w:b/>
          <w:bCs/>
          <w:color w:val="000000"/>
        </w:rPr>
        <w:t>licensees</w:t>
      </w:r>
      <w:r w:rsidR="00EF0C35" w:rsidRPr="00144E8D">
        <w:rPr>
          <w:color w:val="000000"/>
        </w:rPr>
        <w:t xml:space="preserve">) </w:t>
      </w:r>
      <w:r w:rsidR="00A22973" w:rsidRPr="00144E8D">
        <w:rPr>
          <w:color w:val="000000"/>
        </w:rPr>
        <w:t>must</w:t>
      </w:r>
      <w:r w:rsidR="00BC5098" w:rsidRPr="00144E8D">
        <w:rPr>
          <w:color w:val="000000"/>
        </w:rPr>
        <w:t xml:space="preserve"> </w:t>
      </w:r>
      <w:r w:rsidR="008E7C16" w:rsidRPr="00144E8D">
        <w:rPr>
          <w:color w:val="000000"/>
        </w:rPr>
        <w:t>lodge</w:t>
      </w:r>
      <w:r w:rsidR="00BC5098" w:rsidRPr="00144E8D">
        <w:rPr>
          <w:color w:val="000000"/>
        </w:rPr>
        <w:t xml:space="preserve"> </w:t>
      </w:r>
      <w:r w:rsidR="00635C66" w:rsidRPr="00144E8D">
        <w:rPr>
          <w:color w:val="000000"/>
        </w:rPr>
        <w:t xml:space="preserve">reports </w:t>
      </w:r>
      <w:r w:rsidR="008E7C16" w:rsidRPr="00144E8D">
        <w:rPr>
          <w:color w:val="000000"/>
        </w:rPr>
        <w:t>with</w:t>
      </w:r>
      <w:r w:rsidR="00426A75" w:rsidRPr="00144E8D">
        <w:rPr>
          <w:color w:val="000000"/>
        </w:rPr>
        <w:t xml:space="preserve"> ASIC </w:t>
      </w:r>
      <w:r w:rsidR="008E7C16" w:rsidRPr="00144E8D">
        <w:rPr>
          <w:color w:val="000000"/>
        </w:rPr>
        <w:t xml:space="preserve">in relation to </w:t>
      </w:r>
      <w:r w:rsidR="00A22973" w:rsidRPr="00144E8D">
        <w:rPr>
          <w:color w:val="000000"/>
        </w:rPr>
        <w:t>‘</w:t>
      </w:r>
      <w:r w:rsidR="00A11C79" w:rsidRPr="00144E8D">
        <w:rPr>
          <w:color w:val="000000"/>
        </w:rPr>
        <w:t>reportable situations</w:t>
      </w:r>
      <w:r w:rsidR="00A22973" w:rsidRPr="00144E8D">
        <w:rPr>
          <w:color w:val="000000"/>
        </w:rPr>
        <w:t>’</w:t>
      </w:r>
      <w:r w:rsidR="00A11C79" w:rsidRPr="00144E8D">
        <w:rPr>
          <w:color w:val="000000"/>
        </w:rPr>
        <w:t xml:space="preserve"> </w:t>
      </w:r>
      <w:r w:rsidR="00426A75" w:rsidRPr="00144E8D">
        <w:rPr>
          <w:color w:val="000000"/>
        </w:rPr>
        <w:t>u</w:t>
      </w:r>
      <w:r w:rsidR="00453FE0" w:rsidRPr="00144E8D">
        <w:rPr>
          <w:color w:val="000000"/>
        </w:rPr>
        <w:t xml:space="preserve">nder </w:t>
      </w:r>
      <w:r w:rsidR="00426A75" w:rsidRPr="00144E8D">
        <w:rPr>
          <w:color w:val="000000"/>
        </w:rPr>
        <w:t>S</w:t>
      </w:r>
      <w:r w:rsidR="00453FE0" w:rsidRPr="00144E8D">
        <w:rPr>
          <w:color w:val="000000"/>
        </w:rPr>
        <w:t xml:space="preserve">ubdivision </w:t>
      </w:r>
      <w:r w:rsidR="00C321B8" w:rsidRPr="00144E8D">
        <w:rPr>
          <w:color w:val="000000"/>
        </w:rPr>
        <w:t>B</w:t>
      </w:r>
      <w:r w:rsidR="00426A75" w:rsidRPr="00144E8D">
        <w:rPr>
          <w:color w:val="000000"/>
        </w:rPr>
        <w:t xml:space="preserve"> of</w:t>
      </w:r>
      <w:r w:rsidR="00C321B8" w:rsidRPr="00144E8D">
        <w:rPr>
          <w:color w:val="000000"/>
        </w:rPr>
        <w:t xml:space="preserve"> Division 3 of Part 7.6 of the </w:t>
      </w:r>
      <w:r w:rsidR="00C321B8" w:rsidRPr="00144E8D">
        <w:rPr>
          <w:i/>
          <w:iCs/>
          <w:color w:val="000000"/>
        </w:rPr>
        <w:t>Corporations Act 2001</w:t>
      </w:r>
      <w:r w:rsidR="00C321B8" w:rsidRPr="00144E8D">
        <w:rPr>
          <w:color w:val="000000"/>
        </w:rPr>
        <w:t xml:space="preserve"> (</w:t>
      </w:r>
      <w:r w:rsidR="00C321B8" w:rsidRPr="00144E8D">
        <w:rPr>
          <w:b/>
          <w:bCs/>
          <w:color w:val="000000"/>
        </w:rPr>
        <w:t>Corporations Act</w:t>
      </w:r>
      <w:r w:rsidR="00C321B8" w:rsidRPr="00144E8D">
        <w:rPr>
          <w:color w:val="000000"/>
        </w:rPr>
        <w:t>)</w:t>
      </w:r>
      <w:r w:rsidR="00212F61" w:rsidRPr="00144E8D">
        <w:rPr>
          <w:color w:val="000000"/>
        </w:rPr>
        <w:t xml:space="preserve">. </w:t>
      </w:r>
    </w:p>
    <w:p w14:paraId="479C104F" w14:textId="1C7ED790" w:rsidR="008F7423" w:rsidRPr="00144E8D" w:rsidRDefault="00664C1C" w:rsidP="005C6AC4">
      <w:pPr>
        <w:pStyle w:val="LI-BodyTextParaa"/>
        <w:ind w:left="567"/>
        <w:rPr>
          <w:color w:val="000000"/>
        </w:rPr>
      </w:pPr>
      <w:r w:rsidRPr="00144E8D">
        <w:rPr>
          <w:color w:val="000000"/>
        </w:rPr>
        <w:t>2.</w:t>
      </w:r>
      <w:r w:rsidRPr="00144E8D">
        <w:rPr>
          <w:color w:val="000000"/>
        </w:rPr>
        <w:tab/>
      </w:r>
      <w:r w:rsidR="005C6AC4" w:rsidRPr="00144E8D">
        <w:rPr>
          <w:color w:val="000000"/>
        </w:rPr>
        <w:t>T</w:t>
      </w:r>
      <w:r w:rsidRPr="00144E8D">
        <w:rPr>
          <w:color w:val="000000"/>
        </w:rPr>
        <w:t>his</w:t>
      </w:r>
      <w:r w:rsidR="008835D7" w:rsidRPr="00144E8D">
        <w:rPr>
          <w:color w:val="000000"/>
        </w:rPr>
        <w:t xml:space="preserve"> </w:t>
      </w:r>
      <w:r w:rsidR="008E6582" w:rsidRPr="00144E8D">
        <w:rPr>
          <w:color w:val="000000"/>
        </w:rPr>
        <w:t xml:space="preserve">responsibility </w:t>
      </w:r>
      <w:r w:rsidR="00886448" w:rsidRPr="00144E8D">
        <w:rPr>
          <w:color w:val="000000"/>
        </w:rPr>
        <w:t xml:space="preserve">includes </w:t>
      </w:r>
      <w:r w:rsidR="005C6AC4" w:rsidRPr="00144E8D">
        <w:rPr>
          <w:color w:val="000000"/>
        </w:rPr>
        <w:t xml:space="preserve">an obligation to report any breach </w:t>
      </w:r>
      <w:r w:rsidR="00E155F0" w:rsidRPr="00144E8D">
        <w:rPr>
          <w:color w:val="000000"/>
        </w:rPr>
        <w:t>of the prohibitions on m</w:t>
      </w:r>
      <w:r w:rsidR="008F7423" w:rsidRPr="00144E8D">
        <w:rPr>
          <w:color w:val="000000"/>
        </w:rPr>
        <w:t xml:space="preserve">isleading </w:t>
      </w:r>
      <w:r w:rsidR="00E155F0" w:rsidRPr="00144E8D">
        <w:rPr>
          <w:color w:val="000000"/>
        </w:rPr>
        <w:t>and</w:t>
      </w:r>
      <w:r w:rsidR="008F7423" w:rsidRPr="00144E8D">
        <w:rPr>
          <w:color w:val="000000"/>
        </w:rPr>
        <w:t xml:space="preserve"> deceptive conduct </w:t>
      </w:r>
      <w:r w:rsidR="0032561F" w:rsidRPr="00144E8D">
        <w:rPr>
          <w:color w:val="000000"/>
        </w:rPr>
        <w:t xml:space="preserve">or false and misleading representations </w:t>
      </w:r>
      <w:r w:rsidR="00E155F0" w:rsidRPr="00144E8D">
        <w:rPr>
          <w:color w:val="000000"/>
        </w:rPr>
        <w:t>in</w:t>
      </w:r>
      <w:r w:rsidR="005C6AC4" w:rsidRPr="00144E8D">
        <w:rPr>
          <w:color w:val="000000"/>
        </w:rPr>
        <w:t xml:space="preserve"> subsection 1041H(1) of the Corporations Act and subsection</w:t>
      </w:r>
      <w:r w:rsidR="0032561F" w:rsidRPr="00144E8D">
        <w:rPr>
          <w:color w:val="000000"/>
        </w:rPr>
        <w:t>s</w:t>
      </w:r>
      <w:r w:rsidR="005C6AC4" w:rsidRPr="00144E8D">
        <w:rPr>
          <w:color w:val="000000"/>
        </w:rPr>
        <w:t xml:space="preserve"> 12DA(1) </w:t>
      </w:r>
      <w:r w:rsidR="0032561F" w:rsidRPr="00144E8D">
        <w:rPr>
          <w:color w:val="000000"/>
        </w:rPr>
        <w:t xml:space="preserve">and 12DB(1) </w:t>
      </w:r>
      <w:r w:rsidR="005C6AC4" w:rsidRPr="00144E8D">
        <w:rPr>
          <w:color w:val="000000"/>
        </w:rPr>
        <w:t xml:space="preserve">of the </w:t>
      </w:r>
      <w:r w:rsidR="004B00CC" w:rsidRPr="00144E8D">
        <w:rPr>
          <w:i/>
          <w:iCs/>
          <w:color w:val="000000"/>
        </w:rPr>
        <w:t>Australian Securities and Investment Commissions Act 2001</w:t>
      </w:r>
      <w:r w:rsidR="005C6AC4" w:rsidRPr="00144E8D">
        <w:rPr>
          <w:i/>
          <w:iCs/>
          <w:color w:val="000000"/>
        </w:rPr>
        <w:t xml:space="preserve"> </w:t>
      </w:r>
      <w:r w:rsidR="005C6AC4" w:rsidRPr="00144E8D">
        <w:rPr>
          <w:color w:val="000000"/>
        </w:rPr>
        <w:t>(</w:t>
      </w:r>
      <w:r w:rsidR="004B00CC" w:rsidRPr="00144E8D">
        <w:rPr>
          <w:b/>
          <w:bCs/>
          <w:color w:val="000000"/>
        </w:rPr>
        <w:t>ASIC Act</w:t>
      </w:r>
      <w:r w:rsidR="005C6AC4" w:rsidRPr="00144E8D">
        <w:rPr>
          <w:color w:val="000000"/>
        </w:rPr>
        <w:t>)</w:t>
      </w:r>
      <w:r w:rsidR="000F4C01" w:rsidRPr="00144E8D">
        <w:rPr>
          <w:color w:val="000000"/>
        </w:rPr>
        <w:t xml:space="preserve"> (</w:t>
      </w:r>
      <w:r w:rsidR="000F4C01" w:rsidRPr="00144E8D">
        <w:rPr>
          <w:b/>
          <w:bCs/>
          <w:color w:val="000000"/>
        </w:rPr>
        <w:t>MDC provisions</w:t>
      </w:r>
      <w:r w:rsidR="000F4C01" w:rsidRPr="00144E8D">
        <w:rPr>
          <w:color w:val="000000"/>
        </w:rPr>
        <w:t>)</w:t>
      </w:r>
      <w:r w:rsidR="00273E9A" w:rsidRPr="00144E8D">
        <w:rPr>
          <w:color w:val="000000"/>
        </w:rPr>
        <w:t xml:space="preserve">. </w:t>
      </w:r>
    </w:p>
    <w:p w14:paraId="2F5022EB" w14:textId="6412545C" w:rsidR="009579C9" w:rsidRPr="004F0B65" w:rsidRDefault="00DB4762" w:rsidP="00F17422">
      <w:pPr>
        <w:pStyle w:val="LI-BodyTextParaa"/>
        <w:ind w:left="567"/>
        <w:rPr>
          <w:color w:val="000000"/>
        </w:rPr>
      </w:pPr>
      <w:r w:rsidRPr="00144E8D">
        <w:rPr>
          <w:color w:val="000000"/>
        </w:rPr>
        <w:t>3</w:t>
      </w:r>
      <w:r w:rsidR="005E4521" w:rsidRPr="00144E8D">
        <w:rPr>
          <w:color w:val="000000"/>
        </w:rPr>
        <w:t>.</w:t>
      </w:r>
      <w:r w:rsidR="005E4521" w:rsidRPr="00144E8D">
        <w:rPr>
          <w:color w:val="000000"/>
        </w:rPr>
        <w:tab/>
      </w:r>
      <w:r w:rsidR="00693BA2" w:rsidRPr="00144E8D">
        <w:rPr>
          <w:color w:val="000000"/>
        </w:rPr>
        <w:t>Licensees</w:t>
      </w:r>
      <w:r w:rsidR="00AD6F2E" w:rsidRPr="00144E8D">
        <w:rPr>
          <w:color w:val="000000"/>
        </w:rPr>
        <w:t xml:space="preserve"> must </w:t>
      </w:r>
      <w:r w:rsidR="008E7C16" w:rsidRPr="00144E8D">
        <w:rPr>
          <w:color w:val="000000"/>
        </w:rPr>
        <w:t xml:space="preserve">lodge </w:t>
      </w:r>
      <w:r w:rsidR="009F1B09" w:rsidRPr="00144E8D">
        <w:rPr>
          <w:color w:val="000000"/>
        </w:rPr>
        <w:t>the</w:t>
      </w:r>
      <w:r w:rsidR="008B5213" w:rsidRPr="00144E8D">
        <w:rPr>
          <w:color w:val="000000"/>
        </w:rPr>
        <w:t>ir</w:t>
      </w:r>
      <w:r w:rsidR="009F1B09" w:rsidRPr="00144E8D">
        <w:rPr>
          <w:color w:val="000000"/>
        </w:rPr>
        <w:t xml:space="preserve"> </w:t>
      </w:r>
      <w:r w:rsidR="00AD6F2E" w:rsidRPr="00144E8D">
        <w:rPr>
          <w:color w:val="000000"/>
        </w:rPr>
        <w:t xml:space="preserve">reports </w:t>
      </w:r>
      <w:r w:rsidR="00D842B8" w:rsidRPr="00144E8D">
        <w:rPr>
          <w:color w:val="000000"/>
        </w:rPr>
        <w:t xml:space="preserve">within </w:t>
      </w:r>
      <w:r w:rsidR="00AD6F2E" w:rsidRPr="00144E8D">
        <w:rPr>
          <w:color w:val="000000"/>
        </w:rPr>
        <w:t xml:space="preserve">30 days </w:t>
      </w:r>
      <w:r w:rsidR="009579C9" w:rsidRPr="00144E8D">
        <w:rPr>
          <w:color w:val="000000"/>
        </w:rPr>
        <w:t xml:space="preserve">after the </w:t>
      </w:r>
      <w:r w:rsidR="00DE1F0E" w:rsidRPr="00144E8D">
        <w:rPr>
          <w:color w:val="000000"/>
        </w:rPr>
        <w:t>licensee</w:t>
      </w:r>
      <w:r w:rsidR="009579C9" w:rsidRPr="00144E8D">
        <w:rPr>
          <w:color w:val="000000"/>
        </w:rPr>
        <w:t xml:space="preserve"> </w:t>
      </w:r>
      <w:r w:rsidR="00AD6F2E" w:rsidRPr="00144E8D">
        <w:rPr>
          <w:color w:val="000000"/>
        </w:rPr>
        <w:t>first knows that, or is reckless with respect to whether, there are reasonable grounds</w:t>
      </w:r>
      <w:r w:rsidR="00AD6F2E" w:rsidRPr="004F0B65">
        <w:rPr>
          <w:color w:val="000000"/>
        </w:rPr>
        <w:t xml:space="preserve"> to believe that a reportable situation has arisen</w:t>
      </w:r>
      <w:r w:rsidR="009579C9" w:rsidRPr="004F0B65">
        <w:rPr>
          <w:color w:val="000000"/>
        </w:rPr>
        <w:t xml:space="preserve"> </w:t>
      </w:r>
      <w:r w:rsidR="00AD6F2E" w:rsidRPr="004F0B65">
        <w:rPr>
          <w:color w:val="000000"/>
        </w:rPr>
        <w:t xml:space="preserve">under subsection 912DAA(3) of the Corporations Act </w:t>
      </w:r>
      <w:r w:rsidR="00270E31" w:rsidRPr="004F0B65">
        <w:rPr>
          <w:color w:val="000000"/>
        </w:rPr>
        <w:t>or</w:t>
      </w:r>
      <w:r w:rsidR="00AD6F2E" w:rsidRPr="004F0B65">
        <w:rPr>
          <w:color w:val="000000"/>
        </w:rPr>
        <w:t xml:space="preserve"> subsection 50B(4) of the </w:t>
      </w:r>
      <w:r w:rsidR="00703483" w:rsidRPr="004F0B65">
        <w:rPr>
          <w:i/>
          <w:iCs/>
          <w:color w:val="000000"/>
        </w:rPr>
        <w:t xml:space="preserve">National Consumer Credit Protection Act 2009 </w:t>
      </w:r>
      <w:r w:rsidR="00703483" w:rsidRPr="004F0B65">
        <w:rPr>
          <w:color w:val="000000"/>
        </w:rPr>
        <w:t>(</w:t>
      </w:r>
      <w:r w:rsidR="00703483" w:rsidRPr="004F0B65">
        <w:rPr>
          <w:b/>
          <w:bCs/>
          <w:color w:val="000000"/>
        </w:rPr>
        <w:t>Credit Act</w:t>
      </w:r>
      <w:r w:rsidR="00703483" w:rsidRPr="004F0B65">
        <w:rPr>
          <w:color w:val="000000"/>
        </w:rPr>
        <w:t>)</w:t>
      </w:r>
      <w:r w:rsidR="00AD6F2E" w:rsidRPr="004F0B65">
        <w:rPr>
          <w:color w:val="000000"/>
        </w:rPr>
        <w:t xml:space="preserve"> (</w:t>
      </w:r>
      <w:r w:rsidR="00A022AC" w:rsidRPr="004F0B65">
        <w:rPr>
          <w:b/>
          <w:bCs/>
          <w:color w:val="000000"/>
        </w:rPr>
        <w:t>timeframe</w:t>
      </w:r>
      <w:r w:rsidR="00AD6F2E" w:rsidRPr="004F0B65">
        <w:rPr>
          <w:b/>
          <w:bCs/>
          <w:color w:val="000000"/>
        </w:rPr>
        <w:t xml:space="preserve"> obligations</w:t>
      </w:r>
      <w:r w:rsidR="00AD6F2E" w:rsidRPr="004F0B65">
        <w:rPr>
          <w:color w:val="000000"/>
        </w:rPr>
        <w:t>).</w:t>
      </w:r>
    </w:p>
    <w:p w14:paraId="522D59B7" w14:textId="6E8E5F17" w:rsidR="009F1B09" w:rsidRPr="001C36C1" w:rsidRDefault="00BA1686" w:rsidP="00F17422">
      <w:pPr>
        <w:pStyle w:val="LI-BodyTextParaa"/>
        <w:ind w:left="567"/>
        <w:rPr>
          <w:color w:val="000000"/>
        </w:rPr>
      </w:pPr>
      <w:r w:rsidRPr="004F0B65">
        <w:rPr>
          <w:color w:val="000000"/>
        </w:rPr>
        <w:t>4</w:t>
      </w:r>
      <w:r w:rsidR="009579C9" w:rsidRPr="004F0B65">
        <w:rPr>
          <w:color w:val="000000"/>
        </w:rPr>
        <w:t>.</w:t>
      </w:r>
      <w:r w:rsidR="009579C9" w:rsidRPr="004F0B65">
        <w:rPr>
          <w:color w:val="000000"/>
        </w:rPr>
        <w:tab/>
      </w:r>
      <w:r w:rsidR="001C7ACB" w:rsidRPr="004F0B65">
        <w:rPr>
          <w:color w:val="000000"/>
        </w:rPr>
        <w:t xml:space="preserve">The </w:t>
      </w:r>
      <w:r w:rsidR="00C42CDE" w:rsidRPr="004F0B65">
        <w:rPr>
          <w:color w:val="000000"/>
        </w:rPr>
        <w:t xml:space="preserve">Amendment </w:t>
      </w:r>
      <w:r w:rsidR="001C7ACB" w:rsidRPr="004F0B65">
        <w:rPr>
          <w:color w:val="000000"/>
        </w:rPr>
        <w:t xml:space="preserve">Instrument </w:t>
      </w:r>
      <w:r w:rsidR="00506AE5" w:rsidRPr="004F0B65">
        <w:rPr>
          <w:color w:val="000000"/>
        </w:rPr>
        <w:t>amends</w:t>
      </w:r>
      <w:r w:rsidR="00506AE5" w:rsidRPr="001C36C1">
        <w:rPr>
          <w:color w:val="000000"/>
        </w:rPr>
        <w:t xml:space="preserve"> </w:t>
      </w:r>
      <w:r w:rsidR="00506AE5" w:rsidRPr="001C36C1">
        <w:rPr>
          <w:i/>
          <w:iCs/>
          <w:color w:val="000000"/>
        </w:rPr>
        <w:t>ASIC Corporations and Credit (Breach Reporting-Reportable Situations) Instrument 2021/716</w:t>
      </w:r>
      <w:r w:rsidR="00873FF6" w:rsidRPr="001C36C1">
        <w:rPr>
          <w:color w:val="000000"/>
        </w:rPr>
        <w:t xml:space="preserve"> </w:t>
      </w:r>
      <w:r w:rsidR="009579C9" w:rsidRPr="001C36C1">
        <w:rPr>
          <w:color w:val="000000"/>
        </w:rPr>
        <w:t>(</w:t>
      </w:r>
      <w:r w:rsidR="009579C9" w:rsidRPr="001C36C1">
        <w:rPr>
          <w:b/>
          <w:bCs/>
          <w:color w:val="000000"/>
        </w:rPr>
        <w:t>Principal Instrument</w:t>
      </w:r>
      <w:r w:rsidR="009579C9" w:rsidRPr="001C36C1">
        <w:rPr>
          <w:color w:val="000000"/>
        </w:rPr>
        <w:t xml:space="preserve">) </w:t>
      </w:r>
      <w:r w:rsidR="00873FF6" w:rsidRPr="001C36C1">
        <w:rPr>
          <w:color w:val="000000"/>
        </w:rPr>
        <w:t xml:space="preserve">to insert </w:t>
      </w:r>
      <w:r w:rsidR="00D842B8" w:rsidRPr="001C36C1">
        <w:rPr>
          <w:color w:val="000000"/>
        </w:rPr>
        <w:t xml:space="preserve">items </w:t>
      </w:r>
      <w:r w:rsidR="008205CA" w:rsidRPr="001C36C1">
        <w:rPr>
          <w:color w:val="000000"/>
        </w:rPr>
        <w:t xml:space="preserve">that modify the obligations </w:t>
      </w:r>
      <w:r w:rsidRPr="001C36C1">
        <w:rPr>
          <w:color w:val="000000"/>
        </w:rPr>
        <w:t xml:space="preserve">for </w:t>
      </w:r>
      <w:r w:rsidR="00DE1F0E" w:rsidRPr="001C36C1">
        <w:rPr>
          <w:color w:val="000000"/>
        </w:rPr>
        <w:t>licensees</w:t>
      </w:r>
      <w:r w:rsidRPr="001C36C1">
        <w:rPr>
          <w:color w:val="000000"/>
        </w:rPr>
        <w:t xml:space="preserve"> </w:t>
      </w:r>
      <w:r w:rsidR="00721AB2" w:rsidRPr="001C36C1">
        <w:rPr>
          <w:color w:val="000000"/>
        </w:rPr>
        <w:t xml:space="preserve">to report </w:t>
      </w:r>
      <w:r w:rsidR="00F377AB" w:rsidRPr="001C36C1">
        <w:rPr>
          <w:color w:val="000000"/>
        </w:rPr>
        <w:t xml:space="preserve">certain </w:t>
      </w:r>
      <w:r w:rsidR="00721AB2" w:rsidRPr="001C36C1">
        <w:rPr>
          <w:color w:val="000000"/>
        </w:rPr>
        <w:t>reportable situations</w:t>
      </w:r>
      <w:r w:rsidR="00905BE6" w:rsidRPr="001C36C1">
        <w:rPr>
          <w:color w:val="000000"/>
        </w:rPr>
        <w:t xml:space="preserve">. </w:t>
      </w:r>
      <w:r w:rsidR="00E84986" w:rsidRPr="001C36C1">
        <w:rPr>
          <w:color w:val="000000"/>
        </w:rPr>
        <w:t xml:space="preserve">This follows concerns </w:t>
      </w:r>
      <w:r w:rsidR="00721AB2" w:rsidRPr="001C36C1">
        <w:rPr>
          <w:color w:val="000000"/>
        </w:rPr>
        <w:t xml:space="preserve">about </w:t>
      </w:r>
      <w:r w:rsidR="005472C0" w:rsidRPr="001C36C1">
        <w:rPr>
          <w:color w:val="000000"/>
        </w:rPr>
        <w:t xml:space="preserve">the </w:t>
      </w:r>
      <w:r w:rsidR="002F7FCE" w:rsidRPr="001C36C1">
        <w:rPr>
          <w:color w:val="000000"/>
        </w:rPr>
        <w:t xml:space="preserve">costs of </w:t>
      </w:r>
      <w:r w:rsidR="0090362B" w:rsidRPr="001C36C1">
        <w:rPr>
          <w:color w:val="000000"/>
        </w:rPr>
        <w:t xml:space="preserve">reporting </w:t>
      </w:r>
      <w:r w:rsidR="00073CD7" w:rsidRPr="001C36C1">
        <w:rPr>
          <w:color w:val="000000"/>
        </w:rPr>
        <w:t xml:space="preserve">some </w:t>
      </w:r>
      <w:r w:rsidR="0090362B" w:rsidRPr="001C36C1">
        <w:rPr>
          <w:color w:val="000000"/>
        </w:rPr>
        <w:t xml:space="preserve">reportable situations </w:t>
      </w:r>
      <w:r w:rsidR="00434868" w:rsidRPr="001C36C1">
        <w:rPr>
          <w:color w:val="000000"/>
        </w:rPr>
        <w:t xml:space="preserve">that have </w:t>
      </w:r>
      <w:r w:rsidR="005472C0" w:rsidRPr="001C36C1">
        <w:rPr>
          <w:color w:val="000000"/>
        </w:rPr>
        <w:t xml:space="preserve">limited </w:t>
      </w:r>
      <w:r w:rsidR="00434868" w:rsidRPr="001C36C1">
        <w:rPr>
          <w:color w:val="000000"/>
        </w:rPr>
        <w:t xml:space="preserve">regulatory </w:t>
      </w:r>
      <w:r w:rsidR="005472C0" w:rsidRPr="001C36C1">
        <w:rPr>
          <w:color w:val="000000"/>
        </w:rPr>
        <w:t>benefit.</w:t>
      </w:r>
      <w:r w:rsidR="00B67BE7" w:rsidRPr="001C36C1">
        <w:rPr>
          <w:color w:val="000000"/>
        </w:rPr>
        <w:t xml:space="preserve"> </w:t>
      </w:r>
    </w:p>
    <w:p w14:paraId="1BE47AD5" w14:textId="5ACAE266" w:rsidR="00617290" w:rsidRPr="001C36C1" w:rsidRDefault="00BA1686" w:rsidP="00F17422">
      <w:pPr>
        <w:pStyle w:val="LI-BodyTextParaa"/>
        <w:ind w:left="567"/>
        <w:rPr>
          <w:color w:val="000000"/>
        </w:rPr>
      </w:pPr>
      <w:r w:rsidRPr="001C36C1">
        <w:rPr>
          <w:color w:val="000000"/>
        </w:rPr>
        <w:t>5</w:t>
      </w:r>
      <w:r w:rsidR="009F1B09" w:rsidRPr="001C36C1">
        <w:rPr>
          <w:color w:val="000000"/>
        </w:rPr>
        <w:t>.</w:t>
      </w:r>
      <w:r w:rsidR="009F1B09" w:rsidRPr="001C36C1">
        <w:rPr>
          <w:color w:val="000000"/>
        </w:rPr>
        <w:tab/>
      </w:r>
      <w:r w:rsidR="00F17422" w:rsidRPr="001C36C1">
        <w:rPr>
          <w:color w:val="000000"/>
        </w:rPr>
        <w:t xml:space="preserve">The </w:t>
      </w:r>
      <w:r w:rsidR="00FD26EB" w:rsidRPr="001C36C1">
        <w:rPr>
          <w:color w:val="000000"/>
        </w:rPr>
        <w:t xml:space="preserve">Amendment Instrument also amends subsection 912D(3) </w:t>
      </w:r>
      <w:r w:rsidR="009B19D5" w:rsidRPr="001C36C1">
        <w:rPr>
          <w:color w:val="000000"/>
        </w:rPr>
        <w:t xml:space="preserve">of the Corporations Act </w:t>
      </w:r>
      <w:r w:rsidR="00542B28" w:rsidRPr="001C36C1">
        <w:rPr>
          <w:color w:val="000000"/>
        </w:rPr>
        <w:t xml:space="preserve">to </w:t>
      </w:r>
      <w:r w:rsidR="009B19D5" w:rsidRPr="001C36C1">
        <w:rPr>
          <w:color w:val="000000"/>
        </w:rPr>
        <w:t xml:space="preserve">make </w:t>
      </w:r>
      <w:r w:rsidR="00542B28" w:rsidRPr="001C36C1">
        <w:rPr>
          <w:color w:val="000000"/>
        </w:rPr>
        <w:t>consequential amendment</w:t>
      </w:r>
      <w:r w:rsidR="009B19D5" w:rsidRPr="001C36C1">
        <w:rPr>
          <w:color w:val="000000"/>
        </w:rPr>
        <w:t>s</w:t>
      </w:r>
      <w:r w:rsidR="00542B28" w:rsidRPr="001C36C1">
        <w:rPr>
          <w:color w:val="000000"/>
        </w:rPr>
        <w:t xml:space="preserve"> that </w:t>
      </w:r>
      <w:r w:rsidR="009B19D5" w:rsidRPr="001C36C1">
        <w:rPr>
          <w:color w:val="000000"/>
        </w:rPr>
        <w:t>were</w:t>
      </w:r>
      <w:r w:rsidR="00542B28" w:rsidRPr="001C36C1">
        <w:rPr>
          <w:color w:val="000000"/>
        </w:rPr>
        <w:t xml:space="preserve"> missed when Schedule 2 of the </w:t>
      </w:r>
      <w:r w:rsidR="001145A4" w:rsidRPr="001C36C1">
        <w:rPr>
          <w:i/>
          <w:iCs/>
          <w:color w:val="000000"/>
        </w:rPr>
        <w:t xml:space="preserve">Treasury Laws Amendment (2023 Law Improvement Package No. 1) Act 2023 </w:t>
      </w:r>
      <w:r w:rsidR="002328A8" w:rsidRPr="001C36C1">
        <w:rPr>
          <w:color w:val="000000"/>
        </w:rPr>
        <w:t>(</w:t>
      </w:r>
      <w:r w:rsidR="002328A8" w:rsidRPr="001C36C1">
        <w:rPr>
          <w:b/>
          <w:bCs/>
          <w:color w:val="000000"/>
        </w:rPr>
        <w:t>Improvement Package Act</w:t>
      </w:r>
      <w:r w:rsidR="002328A8" w:rsidRPr="001C36C1">
        <w:rPr>
          <w:color w:val="000000"/>
        </w:rPr>
        <w:t xml:space="preserve">) </w:t>
      </w:r>
      <w:r w:rsidR="001145A4" w:rsidRPr="001C36C1">
        <w:rPr>
          <w:color w:val="000000"/>
        </w:rPr>
        <w:t>was made</w:t>
      </w:r>
      <w:r w:rsidR="006278F5" w:rsidRPr="001C36C1">
        <w:rPr>
          <w:color w:val="000000"/>
        </w:rPr>
        <w:t xml:space="preserve">. </w:t>
      </w:r>
    </w:p>
    <w:p w14:paraId="59A63C44" w14:textId="282F43D3" w:rsidR="005D1FEA" w:rsidRPr="001C36C1" w:rsidRDefault="005D1FEA" w:rsidP="006D6079">
      <w:pPr>
        <w:pStyle w:val="LI-BodyTextNumbered"/>
        <w:keepNext/>
        <w:ind w:left="0" w:firstLine="0"/>
        <w:rPr>
          <w:b/>
        </w:rPr>
      </w:pPr>
      <w:r w:rsidRPr="001C36C1">
        <w:rPr>
          <w:b/>
        </w:rPr>
        <w:lastRenderedPageBreak/>
        <w:t>Purpose</w:t>
      </w:r>
      <w:r w:rsidR="00413251" w:rsidRPr="001C36C1">
        <w:rPr>
          <w:b/>
        </w:rPr>
        <w:t>s</w:t>
      </w:r>
      <w:r w:rsidRPr="001C36C1">
        <w:rPr>
          <w:b/>
        </w:rPr>
        <w:t xml:space="preserve"> of the instrument</w:t>
      </w:r>
    </w:p>
    <w:p w14:paraId="77FDBFED" w14:textId="61F81B50" w:rsidR="0084584A" w:rsidRPr="001C36C1" w:rsidRDefault="00413251" w:rsidP="006D6079">
      <w:pPr>
        <w:pStyle w:val="LI-BodyTextNumbered"/>
        <w:keepNext/>
        <w:ind w:left="0" w:firstLine="0"/>
        <w:rPr>
          <w:b/>
          <w:i/>
          <w:iCs/>
        </w:rPr>
      </w:pPr>
      <w:r w:rsidRPr="001C36C1">
        <w:rPr>
          <w:b/>
          <w:i/>
          <w:iCs/>
        </w:rPr>
        <w:t>First</w:t>
      </w:r>
      <w:r w:rsidR="00A910AD" w:rsidRPr="001C36C1">
        <w:rPr>
          <w:b/>
          <w:i/>
          <w:iCs/>
        </w:rPr>
        <w:t xml:space="preserve"> purpose </w:t>
      </w:r>
    </w:p>
    <w:p w14:paraId="6CFB7375" w14:textId="6CAC9DDE" w:rsidR="00AE4435" w:rsidRPr="001C36C1" w:rsidRDefault="00550B9A" w:rsidP="00277948">
      <w:pPr>
        <w:pStyle w:val="LI-BodyTextParaa"/>
        <w:ind w:left="567"/>
        <w:rPr>
          <w:color w:val="000000"/>
        </w:rPr>
      </w:pPr>
      <w:r w:rsidRPr="001C36C1">
        <w:rPr>
          <w:color w:val="000000"/>
        </w:rPr>
        <w:t>6</w:t>
      </w:r>
      <w:r w:rsidR="00544E1C" w:rsidRPr="001C36C1">
        <w:rPr>
          <w:color w:val="000000"/>
        </w:rPr>
        <w:t>.</w:t>
      </w:r>
      <w:r w:rsidR="00544E1C" w:rsidRPr="001C36C1">
        <w:rPr>
          <w:color w:val="000000"/>
        </w:rPr>
        <w:tab/>
      </w:r>
      <w:r w:rsidR="0002228E" w:rsidRPr="001C36C1">
        <w:rPr>
          <w:color w:val="000000"/>
        </w:rPr>
        <w:t xml:space="preserve">The </w:t>
      </w:r>
      <w:r w:rsidR="00413251" w:rsidRPr="001C36C1">
        <w:rPr>
          <w:color w:val="000000"/>
        </w:rPr>
        <w:t xml:space="preserve">first </w:t>
      </w:r>
      <w:r w:rsidR="0002228E" w:rsidRPr="001C36C1">
        <w:rPr>
          <w:color w:val="000000"/>
        </w:rPr>
        <w:t xml:space="preserve">purpose of the </w:t>
      </w:r>
      <w:r w:rsidR="00035391" w:rsidRPr="001C36C1">
        <w:rPr>
          <w:color w:val="000000"/>
        </w:rPr>
        <w:t xml:space="preserve">Amendment </w:t>
      </w:r>
      <w:r w:rsidR="0002228E" w:rsidRPr="001C36C1">
        <w:rPr>
          <w:color w:val="000000"/>
        </w:rPr>
        <w:t>Instrument is to reduce</w:t>
      </w:r>
      <w:r w:rsidR="00A332B2" w:rsidRPr="001C36C1">
        <w:rPr>
          <w:color w:val="000000"/>
        </w:rPr>
        <w:t xml:space="preserve"> the</w:t>
      </w:r>
      <w:r w:rsidR="0002228E" w:rsidRPr="001C36C1">
        <w:rPr>
          <w:color w:val="000000"/>
        </w:rPr>
        <w:t xml:space="preserve"> regulatory burden </w:t>
      </w:r>
      <w:r w:rsidR="006864AA" w:rsidRPr="001C36C1">
        <w:rPr>
          <w:color w:val="000000"/>
        </w:rPr>
        <w:t xml:space="preserve">for licensees </w:t>
      </w:r>
      <w:r w:rsidR="00FF4CFA" w:rsidRPr="001C36C1">
        <w:rPr>
          <w:color w:val="000000"/>
        </w:rPr>
        <w:t xml:space="preserve">arising from </w:t>
      </w:r>
      <w:r w:rsidR="00B531BC" w:rsidRPr="001C36C1">
        <w:rPr>
          <w:color w:val="000000"/>
        </w:rPr>
        <w:t xml:space="preserve">reportable situation </w:t>
      </w:r>
      <w:r w:rsidR="00FF4CFA" w:rsidRPr="001C36C1">
        <w:rPr>
          <w:color w:val="000000"/>
        </w:rPr>
        <w:t>reports that offer limited or no regulatory intelligence value for ASIC</w:t>
      </w:r>
      <w:r w:rsidR="002200DF" w:rsidRPr="001C36C1">
        <w:rPr>
          <w:color w:val="000000"/>
        </w:rPr>
        <w:t xml:space="preserve"> and meet certain criteria. This is </w:t>
      </w:r>
      <w:r w:rsidR="006864AA" w:rsidRPr="001C36C1">
        <w:rPr>
          <w:color w:val="000000"/>
        </w:rPr>
        <w:t>achieved</w:t>
      </w:r>
      <w:r w:rsidR="003078A9" w:rsidRPr="001C36C1">
        <w:rPr>
          <w:color w:val="000000"/>
        </w:rPr>
        <w:t xml:space="preserve"> </w:t>
      </w:r>
      <w:r w:rsidR="003D2AF4" w:rsidRPr="001C36C1">
        <w:rPr>
          <w:color w:val="000000"/>
        </w:rPr>
        <w:t xml:space="preserve">by </w:t>
      </w:r>
      <w:r w:rsidR="000C7FA6" w:rsidRPr="001C36C1">
        <w:rPr>
          <w:color w:val="000000"/>
        </w:rPr>
        <w:t xml:space="preserve">modifying </w:t>
      </w:r>
      <w:r w:rsidR="006B7ABC" w:rsidRPr="001C36C1">
        <w:rPr>
          <w:color w:val="000000"/>
        </w:rPr>
        <w:t>reportable situations deemed ‘significant’</w:t>
      </w:r>
      <w:r w:rsidR="00245B8D" w:rsidRPr="001C36C1">
        <w:rPr>
          <w:color w:val="000000"/>
        </w:rPr>
        <w:t xml:space="preserve"> breaches under </w:t>
      </w:r>
      <w:r w:rsidR="00703EE2" w:rsidRPr="001C36C1">
        <w:rPr>
          <w:color w:val="000000"/>
        </w:rPr>
        <w:t>paragraph</w:t>
      </w:r>
      <w:r w:rsidR="00967854" w:rsidRPr="001C36C1">
        <w:rPr>
          <w:color w:val="000000"/>
        </w:rPr>
        <w:t>s 912D(4)(b) and</w:t>
      </w:r>
      <w:r w:rsidR="00B53DD8" w:rsidRPr="001C36C1">
        <w:rPr>
          <w:color w:val="000000"/>
        </w:rPr>
        <w:t xml:space="preserve"> 912D</w:t>
      </w:r>
      <w:r w:rsidR="00A01701" w:rsidRPr="001C36C1">
        <w:rPr>
          <w:color w:val="000000"/>
        </w:rPr>
        <w:t>(</w:t>
      </w:r>
      <w:r w:rsidR="007A117F" w:rsidRPr="001C36C1">
        <w:rPr>
          <w:color w:val="000000"/>
        </w:rPr>
        <w:t>4)</w:t>
      </w:r>
      <w:r w:rsidR="00703EE2" w:rsidRPr="001C36C1">
        <w:rPr>
          <w:color w:val="000000"/>
        </w:rPr>
        <w:t>(c)</w:t>
      </w:r>
      <w:r w:rsidR="00B53DD8" w:rsidRPr="001C36C1">
        <w:rPr>
          <w:color w:val="000000"/>
        </w:rPr>
        <w:t xml:space="preserve"> of the Corporations Act </w:t>
      </w:r>
      <w:r w:rsidR="00A10448" w:rsidRPr="001C36C1">
        <w:rPr>
          <w:color w:val="000000"/>
        </w:rPr>
        <w:t>and</w:t>
      </w:r>
      <w:r w:rsidR="00B53DD8" w:rsidRPr="001C36C1">
        <w:rPr>
          <w:color w:val="000000"/>
        </w:rPr>
        <w:t xml:space="preserve"> </w:t>
      </w:r>
      <w:r w:rsidR="003B37C5" w:rsidRPr="001C36C1">
        <w:rPr>
          <w:color w:val="000000"/>
        </w:rPr>
        <w:t xml:space="preserve">paragraph </w:t>
      </w:r>
      <w:r w:rsidR="00B53DD8" w:rsidRPr="001C36C1">
        <w:rPr>
          <w:color w:val="000000"/>
        </w:rPr>
        <w:t>50A</w:t>
      </w:r>
      <w:r w:rsidR="00703EE2" w:rsidRPr="001C36C1">
        <w:rPr>
          <w:color w:val="000000"/>
        </w:rPr>
        <w:t>(4)(</w:t>
      </w:r>
      <w:r w:rsidR="003B37C5" w:rsidRPr="001C36C1">
        <w:rPr>
          <w:color w:val="000000"/>
        </w:rPr>
        <w:t>d</w:t>
      </w:r>
      <w:r w:rsidR="00703EE2" w:rsidRPr="001C36C1">
        <w:rPr>
          <w:color w:val="000000"/>
        </w:rPr>
        <w:t>)</w:t>
      </w:r>
      <w:r w:rsidR="00B53DD8" w:rsidRPr="001C36C1">
        <w:rPr>
          <w:color w:val="000000"/>
        </w:rPr>
        <w:t xml:space="preserve"> of the Credit Act (</w:t>
      </w:r>
      <w:r w:rsidR="005F7FC4" w:rsidRPr="001C36C1">
        <w:rPr>
          <w:b/>
          <w:bCs/>
          <w:color w:val="000000"/>
        </w:rPr>
        <w:t>significance thresholds</w:t>
      </w:r>
      <w:r w:rsidR="00B53DD8" w:rsidRPr="001C36C1">
        <w:rPr>
          <w:color w:val="000000"/>
        </w:rPr>
        <w:t>)</w:t>
      </w:r>
      <w:r w:rsidR="00ED643F" w:rsidRPr="001C36C1">
        <w:rPr>
          <w:color w:val="000000"/>
        </w:rPr>
        <w:t xml:space="preserve">. </w:t>
      </w:r>
    </w:p>
    <w:p w14:paraId="6B320948" w14:textId="48183734" w:rsidR="007D4678" w:rsidRPr="001C36C1" w:rsidRDefault="00550B9A" w:rsidP="00544E1C">
      <w:pPr>
        <w:pStyle w:val="LI-BodyTextParaa"/>
        <w:ind w:left="567"/>
        <w:rPr>
          <w:color w:val="000000"/>
        </w:rPr>
      </w:pPr>
      <w:r w:rsidRPr="001C36C1">
        <w:rPr>
          <w:color w:val="000000"/>
        </w:rPr>
        <w:t>7</w:t>
      </w:r>
      <w:r w:rsidR="00544E1C" w:rsidRPr="001C36C1">
        <w:rPr>
          <w:color w:val="000000"/>
        </w:rPr>
        <w:t>.</w:t>
      </w:r>
      <w:r w:rsidR="006B75CE" w:rsidRPr="001C36C1">
        <w:rPr>
          <w:color w:val="000000"/>
        </w:rPr>
        <w:tab/>
        <w:t>Th</w:t>
      </w:r>
      <w:r w:rsidR="00145826" w:rsidRPr="001C36C1">
        <w:rPr>
          <w:color w:val="000000"/>
        </w:rPr>
        <w:t xml:space="preserve">e </w:t>
      </w:r>
      <w:r w:rsidR="007E1D3A" w:rsidRPr="001C36C1">
        <w:rPr>
          <w:color w:val="000000"/>
        </w:rPr>
        <w:t>operation of s</w:t>
      </w:r>
      <w:r w:rsidR="00145826" w:rsidRPr="001C36C1">
        <w:rPr>
          <w:color w:val="000000"/>
        </w:rPr>
        <w:t>ection 912D of the Corporations Act and section 50A of the Credit Act mean</w:t>
      </w:r>
      <w:r w:rsidR="007E1D3A" w:rsidRPr="001C36C1">
        <w:rPr>
          <w:color w:val="000000"/>
        </w:rPr>
        <w:t xml:space="preserve"> that</w:t>
      </w:r>
      <w:r w:rsidR="00A0587B" w:rsidRPr="001C36C1">
        <w:rPr>
          <w:color w:val="000000"/>
        </w:rPr>
        <w:t xml:space="preserve"> </w:t>
      </w:r>
      <w:r w:rsidR="006A071B" w:rsidRPr="001C36C1">
        <w:rPr>
          <w:color w:val="000000"/>
        </w:rPr>
        <w:t xml:space="preserve">any breach of </w:t>
      </w:r>
      <w:r w:rsidR="0017271A" w:rsidRPr="001C36C1">
        <w:rPr>
          <w:color w:val="000000"/>
        </w:rPr>
        <w:t>the</w:t>
      </w:r>
      <w:r w:rsidR="00703483" w:rsidRPr="001C36C1">
        <w:rPr>
          <w:color w:val="000000"/>
        </w:rPr>
        <w:t xml:space="preserve"> MDC provisions </w:t>
      </w:r>
      <w:r w:rsidR="0017271A" w:rsidRPr="001C36C1">
        <w:rPr>
          <w:color w:val="000000"/>
        </w:rPr>
        <w:t>are</w:t>
      </w:r>
      <w:r w:rsidR="00A0587B" w:rsidRPr="001C36C1">
        <w:rPr>
          <w:color w:val="000000"/>
        </w:rPr>
        <w:t xml:space="preserve"> </w:t>
      </w:r>
      <w:r w:rsidR="005A7053" w:rsidRPr="001C36C1">
        <w:rPr>
          <w:color w:val="000000"/>
        </w:rPr>
        <w:t>a</w:t>
      </w:r>
      <w:r w:rsidR="0017271A" w:rsidRPr="001C36C1">
        <w:rPr>
          <w:color w:val="000000"/>
        </w:rPr>
        <w:t xml:space="preserve"> ‘</w:t>
      </w:r>
      <w:r w:rsidR="00A0587B" w:rsidRPr="001C36C1">
        <w:rPr>
          <w:color w:val="000000"/>
        </w:rPr>
        <w:t>significant</w:t>
      </w:r>
      <w:r w:rsidR="0017271A" w:rsidRPr="001C36C1">
        <w:rPr>
          <w:color w:val="000000"/>
        </w:rPr>
        <w:t>’ breach of a ‘core obligation’</w:t>
      </w:r>
      <w:r w:rsidR="007D4678" w:rsidRPr="001C36C1">
        <w:rPr>
          <w:color w:val="000000"/>
        </w:rPr>
        <w:t xml:space="preserve">. This fact means that there is automatically a reportable situation under paragraph 912D(1)(a) of the Corporations Act and paragraph 50A(1)(a) of the </w:t>
      </w:r>
      <w:r w:rsidR="000833DA">
        <w:rPr>
          <w:color w:val="000000"/>
        </w:rPr>
        <w:t>Credit Act</w:t>
      </w:r>
      <w:r w:rsidR="00273E9A" w:rsidRPr="001C36C1">
        <w:rPr>
          <w:color w:val="000000"/>
        </w:rPr>
        <w:t xml:space="preserve">. </w:t>
      </w:r>
    </w:p>
    <w:p w14:paraId="5488E306" w14:textId="77777777" w:rsidR="007F5833" w:rsidRPr="001C36C1" w:rsidRDefault="00882E17" w:rsidP="00544E1C">
      <w:pPr>
        <w:pStyle w:val="LI-BodyTextParaa"/>
        <w:ind w:left="567"/>
        <w:rPr>
          <w:color w:val="000000"/>
        </w:rPr>
      </w:pPr>
      <w:r w:rsidRPr="001C36C1">
        <w:rPr>
          <w:color w:val="000000"/>
        </w:rPr>
        <w:t>8.</w:t>
      </w:r>
      <w:r w:rsidRPr="001C36C1">
        <w:rPr>
          <w:color w:val="000000"/>
        </w:rPr>
        <w:tab/>
        <w:t>Th</w:t>
      </w:r>
      <w:r w:rsidR="00F37799" w:rsidRPr="001C36C1">
        <w:rPr>
          <w:color w:val="000000"/>
        </w:rPr>
        <w:t>is</w:t>
      </w:r>
      <w:r w:rsidR="00356934" w:rsidRPr="001C36C1">
        <w:rPr>
          <w:color w:val="000000"/>
        </w:rPr>
        <w:t xml:space="preserve"> </w:t>
      </w:r>
      <w:r w:rsidR="00076ACC" w:rsidRPr="001C36C1">
        <w:rPr>
          <w:color w:val="000000"/>
        </w:rPr>
        <w:t>presence of a</w:t>
      </w:r>
      <w:r w:rsidR="000F70B8" w:rsidRPr="001C36C1">
        <w:rPr>
          <w:color w:val="000000"/>
        </w:rPr>
        <w:t>n a</w:t>
      </w:r>
      <w:r w:rsidR="00076ACC" w:rsidRPr="001C36C1">
        <w:rPr>
          <w:color w:val="000000"/>
        </w:rPr>
        <w:t xml:space="preserve">utomatic </w:t>
      </w:r>
      <w:r w:rsidR="000F70B8" w:rsidRPr="001C36C1">
        <w:rPr>
          <w:color w:val="000000"/>
        </w:rPr>
        <w:t xml:space="preserve">reportable situation </w:t>
      </w:r>
      <w:r w:rsidR="007E454E" w:rsidRPr="001C36C1">
        <w:rPr>
          <w:color w:val="000000"/>
        </w:rPr>
        <w:t xml:space="preserve">has </w:t>
      </w:r>
      <w:r w:rsidR="0090322E" w:rsidRPr="001C36C1">
        <w:rPr>
          <w:color w:val="000000"/>
        </w:rPr>
        <w:t xml:space="preserve">led to a large volume of </w:t>
      </w:r>
      <w:r w:rsidR="009A2F96" w:rsidRPr="001C36C1">
        <w:rPr>
          <w:color w:val="000000"/>
        </w:rPr>
        <w:t>MDC provision</w:t>
      </w:r>
      <w:r w:rsidR="005C59A3" w:rsidRPr="001C36C1">
        <w:rPr>
          <w:color w:val="000000"/>
        </w:rPr>
        <w:t>s</w:t>
      </w:r>
      <w:r w:rsidR="00F0724B" w:rsidRPr="001C36C1">
        <w:rPr>
          <w:color w:val="000000"/>
        </w:rPr>
        <w:t xml:space="preserve"> breache</w:t>
      </w:r>
      <w:r w:rsidR="009A2F96" w:rsidRPr="001C36C1">
        <w:rPr>
          <w:color w:val="000000"/>
        </w:rPr>
        <w:t xml:space="preserve">s </w:t>
      </w:r>
      <w:r w:rsidR="00110490" w:rsidRPr="001C36C1">
        <w:rPr>
          <w:color w:val="000000"/>
        </w:rPr>
        <w:t xml:space="preserve">being reported </w:t>
      </w:r>
      <w:r w:rsidR="00056CFF" w:rsidRPr="001C36C1">
        <w:rPr>
          <w:color w:val="000000"/>
        </w:rPr>
        <w:t xml:space="preserve">to ASIC </w:t>
      </w:r>
      <w:r w:rsidR="003E1995" w:rsidRPr="001C36C1">
        <w:rPr>
          <w:color w:val="000000"/>
        </w:rPr>
        <w:t xml:space="preserve">that </w:t>
      </w:r>
      <w:r w:rsidR="0090322E" w:rsidRPr="001C36C1">
        <w:rPr>
          <w:color w:val="000000"/>
        </w:rPr>
        <w:t>ha</w:t>
      </w:r>
      <w:r w:rsidR="007E454E" w:rsidRPr="001C36C1">
        <w:rPr>
          <w:color w:val="000000"/>
        </w:rPr>
        <w:t>ve</w:t>
      </w:r>
      <w:r w:rsidR="0090322E" w:rsidRPr="001C36C1">
        <w:rPr>
          <w:color w:val="000000"/>
        </w:rPr>
        <w:t xml:space="preserve"> </w:t>
      </w:r>
      <w:r w:rsidR="00580EA3" w:rsidRPr="001C36C1">
        <w:rPr>
          <w:color w:val="000000"/>
        </w:rPr>
        <w:t xml:space="preserve">little </w:t>
      </w:r>
      <w:r w:rsidR="00F37799" w:rsidRPr="001C36C1">
        <w:rPr>
          <w:color w:val="000000"/>
        </w:rPr>
        <w:t xml:space="preserve">or no </w:t>
      </w:r>
      <w:r w:rsidR="002E76B2" w:rsidRPr="001C36C1">
        <w:rPr>
          <w:color w:val="000000"/>
        </w:rPr>
        <w:t>intelligence</w:t>
      </w:r>
      <w:r w:rsidR="006D1F0B" w:rsidRPr="001C36C1">
        <w:rPr>
          <w:color w:val="000000"/>
        </w:rPr>
        <w:t xml:space="preserve"> value</w:t>
      </w:r>
      <w:r w:rsidR="00E1737B" w:rsidRPr="001C36C1">
        <w:rPr>
          <w:color w:val="000000"/>
        </w:rPr>
        <w:t xml:space="preserve">. </w:t>
      </w:r>
      <w:r w:rsidR="00110490" w:rsidRPr="001C36C1">
        <w:rPr>
          <w:color w:val="000000"/>
        </w:rPr>
        <w:t>Th</w:t>
      </w:r>
      <w:r w:rsidR="00056CFF" w:rsidRPr="001C36C1">
        <w:rPr>
          <w:color w:val="000000"/>
        </w:rPr>
        <w:t>is</w:t>
      </w:r>
      <w:r w:rsidR="00133BC9" w:rsidRPr="001C36C1">
        <w:rPr>
          <w:color w:val="000000"/>
        </w:rPr>
        <w:t xml:space="preserve"> reporting involves a</w:t>
      </w:r>
      <w:r w:rsidR="00551997" w:rsidRPr="001C36C1">
        <w:rPr>
          <w:color w:val="000000"/>
        </w:rPr>
        <w:t xml:space="preserve"> cost </w:t>
      </w:r>
      <w:r w:rsidR="00133BC9" w:rsidRPr="001C36C1">
        <w:rPr>
          <w:color w:val="000000"/>
        </w:rPr>
        <w:t>for</w:t>
      </w:r>
      <w:r w:rsidR="00551997" w:rsidRPr="001C36C1">
        <w:rPr>
          <w:color w:val="000000"/>
        </w:rPr>
        <w:t xml:space="preserve"> </w:t>
      </w:r>
      <w:r w:rsidR="00A07234" w:rsidRPr="001C36C1">
        <w:rPr>
          <w:color w:val="000000"/>
        </w:rPr>
        <w:t>licensees</w:t>
      </w:r>
      <w:r w:rsidR="00551997" w:rsidRPr="001C36C1">
        <w:rPr>
          <w:color w:val="000000"/>
        </w:rPr>
        <w:t xml:space="preserve"> with little </w:t>
      </w:r>
      <w:r w:rsidR="003E1995" w:rsidRPr="001C36C1">
        <w:rPr>
          <w:color w:val="000000"/>
        </w:rPr>
        <w:t xml:space="preserve">regulatory </w:t>
      </w:r>
      <w:r w:rsidR="00551997" w:rsidRPr="001C36C1">
        <w:rPr>
          <w:color w:val="000000"/>
        </w:rPr>
        <w:t>benefit</w:t>
      </w:r>
      <w:r w:rsidR="00210C3D" w:rsidRPr="001C36C1">
        <w:rPr>
          <w:color w:val="000000"/>
        </w:rPr>
        <w:t xml:space="preserve">. </w:t>
      </w:r>
    </w:p>
    <w:p w14:paraId="7E672D5A" w14:textId="54915F4A" w:rsidR="002B6FB9" w:rsidRPr="001C36C1" w:rsidRDefault="00AE1F43" w:rsidP="00F9158E">
      <w:pPr>
        <w:pStyle w:val="LI-BodyTextParaa"/>
        <w:ind w:left="567"/>
        <w:rPr>
          <w:color w:val="000000"/>
        </w:rPr>
      </w:pPr>
      <w:r w:rsidRPr="001C36C1">
        <w:rPr>
          <w:color w:val="000000"/>
        </w:rPr>
        <w:t>9.</w:t>
      </w:r>
      <w:r w:rsidRPr="001C36C1">
        <w:rPr>
          <w:color w:val="000000"/>
        </w:rPr>
        <w:tab/>
      </w:r>
      <w:r w:rsidR="0067792B" w:rsidRPr="001C36C1">
        <w:rPr>
          <w:color w:val="000000"/>
        </w:rPr>
        <w:t xml:space="preserve">The </w:t>
      </w:r>
      <w:r w:rsidR="00CD5BA2" w:rsidRPr="001C36C1">
        <w:rPr>
          <w:color w:val="000000"/>
        </w:rPr>
        <w:t xml:space="preserve">Amendment Instrument </w:t>
      </w:r>
      <w:r w:rsidR="0067792B" w:rsidRPr="001C36C1">
        <w:rPr>
          <w:color w:val="000000"/>
        </w:rPr>
        <w:t>mean</w:t>
      </w:r>
      <w:r w:rsidR="007131D3" w:rsidRPr="001C36C1">
        <w:rPr>
          <w:color w:val="000000"/>
        </w:rPr>
        <w:t xml:space="preserve">s </w:t>
      </w:r>
      <w:r w:rsidR="0067792B" w:rsidRPr="001C36C1">
        <w:rPr>
          <w:color w:val="000000"/>
        </w:rPr>
        <w:t xml:space="preserve">that </w:t>
      </w:r>
      <w:r w:rsidR="000F3ECE" w:rsidRPr="001C36C1">
        <w:rPr>
          <w:color w:val="000000"/>
        </w:rPr>
        <w:t xml:space="preserve">licensees are exempt from reporting </w:t>
      </w:r>
      <w:r w:rsidR="00670FDC" w:rsidRPr="001C36C1">
        <w:rPr>
          <w:color w:val="000000"/>
        </w:rPr>
        <w:t>breac</w:t>
      </w:r>
      <w:r w:rsidR="007131D3" w:rsidRPr="001C36C1">
        <w:rPr>
          <w:color w:val="000000"/>
        </w:rPr>
        <w:t>h</w:t>
      </w:r>
      <w:r w:rsidR="00F0724B" w:rsidRPr="001C36C1">
        <w:rPr>
          <w:color w:val="000000"/>
        </w:rPr>
        <w:t>es</w:t>
      </w:r>
      <w:r w:rsidR="007131D3" w:rsidRPr="001C36C1">
        <w:rPr>
          <w:color w:val="000000"/>
        </w:rPr>
        <w:t xml:space="preserve"> of the MDC provisions that </w:t>
      </w:r>
      <w:r w:rsidR="00F0724B" w:rsidRPr="001C36C1">
        <w:rPr>
          <w:color w:val="000000"/>
        </w:rPr>
        <w:t>are one</w:t>
      </w:r>
      <w:r w:rsidR="007131D3" w:rsidRPr="001C36C1">
        <w:rPr>
          <w:color w:val="000000"/>
        </w:rPr>
        <w:t xml:space="preserve"> </w:t>
      </w:r>
      <w:r w:rsidR="000F3ECE" w:rsidRPr="001C36C1">
        <w:rPr>
          <w:color w:val="000000"/>
        </w:rPr>
        <w:t>reportable situation</w:t>
      </w:r>
      <w:r w:rsidR="007131D3" w:rsidRPr="001C36C1">
        <w:rPr>
          <w:color w:val="000000"/>
        </w:rPr>
        <w:t xml:space="preserve">, </w:t>
      </w:r>
      <w:r w:rsidR="00C33AB6" w:rsidRPr="001C36C1">
        <w:rPr>
          <w:color w:val="000000"/>
        </w:rPr>
        <w:t>impact one c</w:t>
      </w:r>
      <w:r w:rsidR="00862D1E" w:rsidRPr="001C36C1">
        <w:rPr>
          <w:color w:val="000000"/>
        </w:rPr>
        <w:t>onsumer</w:t>
      </w:r>
      <w:r w:rsidR="007A587F" w:rsidRPr="001C36C1">
        <w:rPr>
          <w:color w:val="000000"/>
        </w:rPr>
        <w:t xml:space="preserve"> or involve a </w:t>
      </w:r>
      <w:r w:rsidR="00BA74B7" w:rsidRPr="001C36C1">
        <w:rPr>
          <w:color w:val="000000"/>
        </w:rPr>
        <w:t xml:space="preserve">relevant </w:t>
      </w:r>
      <w:r w:rsidR="007A587F" w:rsidRPr="001C36C1">
        <w:rPr>
          <w:color w:val="000000"/>
        </w:rPr>
        <w:t xml:space="preserve">product that is </w:t>
      </w:r>
      <w:r w:rsidR="00897CBA" w:rsidRPr="001C36C1">
        <w:rPr>
          <w:color w:val="000000"/>
        </w:rPr>
        <w:t xml:space="preserve">jointly held and impacts </w:t>
      </w:r>
      <w:r w:rsidR="00127EEB" w:rsidRPr="001C36C1">
        <w:rPr>
          <w:color w:val="000000"/>
        </w:rPr>
        <w:t>the holders of that product</w:t>
      </w:r>
      <w:r w:rsidR="007131D3" w:rsidRPr="001C36C1">
        <w:rPr>
          <w:color w:val="000000"/>
        </w:rPr>
        <w:t xml:space="preserve">, </w:t>
      </w:r>
      <w:r w:rsidR="001B721A" w:rsidRPr="001C36C1">
        <w:rPr>
          <w:color w:val="000000"/>
        </w:rPr>
        <w:t xml:space="preserve">cause </w:t>
      </w:r>
      <w:r w:rsidR="00C33AB6" w:rsidRPr="001C36C1">
        <w:rPr>
          <w:color w:val="000000"/>
        </w:rPr>
        <w:t>no financial loss or damage, or likely financial loss or damage</w:t>
      </w:r>
      <w:r w:rsidR="001B721A" w:rsidRPr="001C36C1">
        <w:rPr>
          <w:color w:val="000000"/>
        </w:rPr>
        <w:t xml:space="preserve">, and </w:t>
      </w:r>
      <w:r w:rsidR="00F0724B" w:rsidRPr="001C36C1">
        <w:rPr>
          <w:color w:val="000000"/>
        </w:rPr>
        <w:t xml:space="preserve">are </w:t>
      </w:r>
      <w:r w:rsidR="001B721A" w:rsidRPr="001C36C1">
        <w:rPr>
          <w:color w:val="000000"/>
        </w:rPr>
        <w:t>not otherwise a reportable situation</w:t>
      </w:r>
      <w:r w:rsidR="00BF3380" w:rsidRPr="001C36C1">
        <w:rPr>
          <w:color w:val="000000"/>
        </w:rPr>
        <w:t xml:space="preserve">. </w:t>
      </w:r>
    </w:p>
    <w:p w14:paraId="4F7F1EFA" w14:textId="124D56B9" w:rsidR="00E03354" w:rsidRPr="001C36C1" w:rsidRDefault="00D46293" w:rsidP="00544E1C">
      <w:pPr>
        <w:pStyle w:val="LI-BodyTextParaa"/>
        <w:ind w:left="567"/>
        <w:rPr>
          <w:b/>
          <w:bCs/>
          <w:i/>
          <w:iCs/>
          <w:color w:val="000000"/>
        </w:rPr>
      </w:pPr>
      <w:r w:rsidRPr="001C36C1">
        <w:rPr>
          <w:b/>
          <w:bCs/>
          <w:i/>
          <w:iCs/>
          <w:color w:val="000000"/>
        </w:rPr>
        <w:t>Second purpose</w:t>
      </w:r>
    </w:p>
    <w:p w14:paraId="440C0B9B" w14:textId="568562CE" w:rsidR="00C0245F" w:rsidRPr="001C36C1" w:rsidRDefault="0094128C" w:rsidP="00250229">
      <w:pPr>
        <w:pStyle w:val="LI-BodyTextParaa"/>
        <w:ind w:left="567"/>
        <w:rPr>
          <w:color w:val="000000"/>
        </w:rPr>
      </w:pPr>
      <w:r w:rsidRPr="001C36C1">
        <w:rPr>
          <w:color w:val="000000"/>
        </w:rPr>
        <w:t>1</w:t>
      </w:r>
      <w:r w:rsidR="00532957" w:rsidRPr="001C36C1">
        <w:rPr>
          <w:color w:val="000000"/>
        </w:rPr>
        <w:t>0</w:t>
      </w:r>
      <w:r w:rsidR="000E6725" w:rsidRPr="001C36C1">
        <w:rPr>
          <w:color w:val="000000"/>
        </w:rPr>
        <w:t>.</w:t>
      </w:r>
      <w:r w:rsidR="000E6725" w:rsidRPr="001C36C1">
        <w:rPr>
          <w:color w:val="000000"/>
        </w:rPr>
        <w:tab/>
      </w:r>
      <w:r w:rsidR="00D46293" w:rsidRPr="001C36C1">
        <w:rPr>
          <w:color w:val="000000"/>
        </w:rPr>
        <w:t xml:space="preserve">The second purpose of the Amendment Instrument is to </w:t>
      </w:r>
      <w:r w:rsidR="005F49CF" w:rsidRPr="001C36C1">
        <w:rPr>
          <w:color w:val="000000"/>
        </w:rPr>
        <w:t xml:space="preserve">further reduce the regulatory burden for licensees arising from reportable situation reports by permitting </w:t>
      </w:r>
      <w:r w:rsidR="00142761" w:rsidRPr="001C36C1">
        <w:rPr>
          <w:color w:val="000000"/>
        </w:rPr>
        <w:t>licensee</w:t>
      </w:r>
      <w:r w:rsidR="00CC15DE" w:rsidRPr="001C36C1">
        <w:rPr>
          <w:color w:val="000000"/>
        </w:rPr>
        <w:t>s</w:t>
      </w:r>
      <w:r w:rsidR="00142761" w:rsidRPr="001C36C1">
        <w:rPr>
          <w:color w:val="000000"/>
        </w:rPr>
        <w:t xml:space="preserve"> up to 90 days to report a reportable situation (a </w:t>
      </w:r>
      <w:r w:rsidR="00142761" w:rsidRPr="001C36C1">
        <w:rPr>
          <w:b/>
          <w:bCs/>
          <w:color w:val="000000"/>
        </w:rPr>
        <w:t>related reportable situation</w:t>
      </w:r>
      <w:r w:rsidR="00142761" w:rsidRPr="001C36C1">
        <w:rPr>
          <w:color w:val="000000"/>
        </w:rPr>
        <w:t xml:space="preserve">) </w:t>
      </w:r>
      <w:r w:rsidR="00CC15DE" w:rsidRPr="001C36C1">
        <w:rPr>
          <w:color w:val="000000"/>
        </w:rPr>
        <w:t xml:space="preserve">that has </w:t>
      </w:r>
      <w:r w:rsidR="00142761" w:rsidRPr="001C36C1">
        <w:rPr>
          <w:color w:val="000000"/>
        </w:rPr>
        <w:t>underlying circumstances that are the same as, or substantially similar to, underlying circumstances of an earlier reportable situation that the licensee has reported to ASIC.</w:t>
      </w:r>
      <w:r w:rsidR="00CC15DE" w:rsidRPr="001C36C1">
        <w:rPr>
          <w:color w:val="000000"/>
        </w:rPr>
        <w:t xml:space="preserve"> </w:t>
      </w:r>
    </w:p>
    <w:p w14:paraId="5317887E" w14:textId="128FD2D8" w:rsidR="00FE720C" w:rsidRPr="001C36C1" w:rsidRDefault="002C5C2C" w:rsidP="00250229">
      <w:pPr>
        <w:pStyle w:val="LI-BodyTextParaa"/>
        <w:ind w:left="567"/>
        <w:rPr>
          <w:color w:val="000000"/>
        </w:rPr>
      </w:pPr>
      <w:r w:rsidRPr="001C36C1">
        <w:rPr>
          <w:color w:val="000000"/>
        </w:rPr>
        <w:t>1</w:t>
      </w:r>
      <w:r w:rsidR="00532957" w:rsidRPr="001C36C1">
        <w:rPr>
          <w:color w:val="000000"/>
        </w:rPr>
        <w:t>1</w:t>
      </w:r>
      <w:r w:rsidRPr="001C36C1">
        <w:rPr>
          <w:color w:val="000000"/>
        </w:rPr>
        <w:t>.</w:t>
      </w:r>
      <w:r w:rsidRPr="001C36C1">
        <w:rPr>
          <w:color w:val="000000"/>
        </w:rPr>
        <w:tab/>
        <w:t xml:space="preserve">ASIC acknowledges there is </w:t>
      </w:r>
      <w:r w:rsidR="00C868F9" w:rsidRPr="001C36C1">
        <w:rPr>
          <w:color w:val="000000"/>
        </w:rPr>
        <w:t xml:space="preserve">burden </w:t>
      </w:r>
      <w:r w:rsidR="00DF0ACC" w:rsidRPr="001C36C1">
        <w:rPr>
          <w:color w:val="000000"/>
        </w:rPr>
        <w:t xml:space="preserve">associated with </w:t>
      </w:r>
      <w:r w:rsidR="00C0073E" w:rsidRPr="001C36C1">
        <w:rPr>
          <w:color w:val="000000"/>
        </w:rPr>
        <w:t xml:space="preserve">such reports for </w:t>
      </w:r>
      <w:r w:rsidR="003E3085" w:rsidRPr="001C36C1">
        <w:rPr>
          <w:color w:val="000000"/>
        </w:rPr>
        <w:t>licensees</w:t>
      </w:r>
      <w:r w:rsidR="00C868F9" w:rsidRPr="001C36C1">
        <w:rPr>
          <w:color w:val="000000"/>
        </w:rPr>
        <w:t xml:space="preserve"> </w:t>
      </w:r>
      <w:r w:rsidR="00996368" w:rsidRPr="001C36C1">
        <w:rPr>
          <w:color w:val="000000"/>
        </w:rPr>
        <w:t xml:space="preserve">who may be </w:t>
      </w:r>
      <w:r w:rsidR="00C868F9" w:rsidRPr="001C36C1">
        <w:rPr>
          <w:color w:val="000000"/>
        </w:rPr>
        <w:t xml:space="preserve">investigating </w:t>
      </w:r>
      <w:r w:rsidR="004229EB" w:rsidRPr="001C36C1">
        <w:rPr>
          <w:color w:val="000000"/>
        </w:rPr>
        <w:t xml:space="preserve">a breach and identifying further </w:t>
      </w:r>
      <w:r w:rsidR="000A31D2" w:rsidRPr="001C36C1">
        <w:rPr>
          <w:color w:val="000000"/>
        </w:rPr>
        <w:t>reportable situations</w:t>
      </w:r>
      <w:r w:rsidR="00830B8E" w:rsidRPr="001C36C1">
        <w:rPr>
          <w:color w:val="000000"/>
        </w:rPr>
        <w:t>, and is mindful of its obligations under section 1 of the ASIC Act. These include an obligation to strive to ‘maintain, facilitate and improve the performance of the financial system and the entities within that system in the interests of commercial certainty, reducing business costs, and the efficiency and development of the economy.’</w:t>
      </w:r>
      <w:r w:rsidR="004229EB" w:rsidRPr="001C36C1">
        <w:rPr>
          <w:color w:val="000000"/>
        </w:rPr>
        <w:t xml:space="preserve"> </w:t>
      </w:r>
    </w:p>
    <w:p w14:paraId="3D424BF2" w14:textId="39CAEE79" w:rsidR="002D5161" w:rsidRPr="001C36C1" w:rsidRDefault="006D7044" w:rsidP="00E426EF">
      <w:pPr>
        <w:pStyle w:val="LI-BodyTextParaa"/>
        <w:ind w:left="567"/>
        <w:rPr>
          <w:color w:val="000000"/>
        </w:rPr>
      </w:pPr>
      <w:r w:rsidRPr="001C36C1">
        <w:rPr>
          <w:color w:val="000000"/>
        </w:rPr>
        <w:t>1</w:t>
      </w:r>
      <w:r w:rsidR="00532957" w:rsidRPr="001C36C1">
        <w:rPr>
          <w:color w:val="000000"/>
        </w:rPr>
        <w:t>2</w:t>
      </w:r>
      <w:r w:rsidRPr="001C36C1">
        <w:rPr>
          <w:color w:val="000000"/>
        </w:rPr>
        <w:t>.</w:t>
      </w:r>
      <w:r w:rsidRPr="001C36C1">
        <w:rPr>
          <w:color w:val="000000"/>
        </w:rPr>
        <w:tab/>
      </w:r>
      <w:r w:rsidR="00EC50C4" w:rsidRPr="001C36C1">
        <w:rPr>
          <w:color w:val="000000"/>
        </w:rPr>
        <w:t xml:space="preserve">ASIC expects that </w:t>
      </w:r>
      <w:r w:rsidR="007C4602" w:rsidRPr="001C36C1">
        <w:rPr>
          <w:color w:val="000000"/>
        </w:rPr>
        <w:t xml:space="preserve">the additional time </w:t>
      </w:r>
      <w:r w:rsidR="0047215D" w:rsidRPr="001C36C1">
        <w:rPr>
          <w:color w:val="000000"/>
        </w:rPr>
        <w:t xml:space="preserve">should contribute to better reporting by </w:t>
      </w:r>
      <w:r w:rsidR="000A31D2" w:rsidRPr="001C36C1">
        <w:rPr>
          <w:color w:val="000000"/>
        </w:rPr>
        <w:t>licensees</w:t>
      </w:r>
      <w:r w:rsidR="0047215D" w:rsidRPr="001C36C1">
        <w:rPr>
          <w:color w:val="000000"/>
        </w:rPr>
        <w:t xml:space="preserve"> and enable </w:t>
      </w:r>
      <w:r w:rsidR="00392A82" w:rsidRPr="001C36C1">
        <w:rPr>
          <w:color w:val="000000"/>
        </w:rPr>
        <w:t>licensees</w:t>
      </w:r>
      <w:r w:rsidR="0047215D" w:rsidRPr="001C36C1">
        <w:rPr>
          <w:color w:val="000000"/>
        </w:rPr>
        <w:t xml:space="preserve"> to address and rectify breaches more quickly</w:t>
      </w:r>
      <w:r w:rsidR="00DD6F54" w:rsidRPr="001C36C1">
        <w:rPr>
          <w:color w:val="000000"/>
        </w:rPr>
        <w:t>.</w:t>
      </w:r>
      <w:r w:rsidRPr="001C36C1">
        <w:rPr>
          <w:color w:val="000000"/>
        </w:rPr>
        <w:t xml:space="preserve"> </w:t>
      </w:r>
      <w:r w:rsidR="00E426EF" w:rsidRPr="001C36C1">
        <w:rPr>
          <w:color w:val="000000"/>
        </w:rPr>
        <w:t xml:space="preserve">ASIC also reminds </w:t>
      </w:r>
      <w:r w:rsidRPr="001C36C1">
        <w:rPr>
          <w:color w:val="000000"/>
        </w:rPr>
        <w:t>licensees that</w:t>
      </w:r>
      <w:r w:rsidR="002D5161" w:rsidRPr="001C36C1">
        <w:rPr>
          <w:color w:val="000000"/>
        </w:rPr>
        <w:t xml:space="preserve"> they are expected to undertake regular reviews or audits of the number of breaches reported and identify any trends in reports, as </w:t>
      </w:r>
      <w:r w:rsidR="00F9158E" w:rsidRPr="001C36C1">
        <w:rPr>
          <w:color w:val="000000"/>
        </w:rPr>
        <w:t xml:space="preserve">outlined in Regulatory Guide 78 </w:t>
      </w:r>
      <w:r w:rsidR="00F9158E" w:rsidRPr="001C36C1">
        <w:rPr>
          <w:i/>
          <w:iCs/>
          <w:color w:val="000000"/>
        </w:rPr>
        <w:t xml:space="preserve">Breach reporting by AFS licenses and credit licensees </w:t>
      </w:r>
      <w:r w:rsidR="00F9158E" w:rsidRPr="001C36C1">
        <w:rPr>
          <w:color w:val="000000"/>
        </w:rPr>
        <w:t>(</w:t>
      </w:r>
      <w:hyperlink r:id="rId15" w:history="1">
        <w:r w:rsidR="00F9158E" w:rsidRPr="001C36C1">
          <w:rPr>
            <w:rStyle w:val="Hyperlink"/>
          </w:rPr>
          <w:t>RG 78</w:t>
        </w:r>
      </w:hyperlink>
      <w:r w:rsidR="00F9158E" w:rsidRPr="001C36C1">
        <w:rPr>
          <w:color w:val="000000"/>
        </w:rPr>
        <w:t>)</w:t>
      </w:r>
      <w:r w:rsidR="0077054F" w:rsidRPr="001C36C1">
        <w:rPr>
          <w:color w:val="000000"/>
        </w:rPr>
        <w:t xml:space="preserve">. These reviews or audits are another </w:t>
      </w:r>
      <w:r w:rsidR="00205960" w:rsidRPr="001C36C1">
        <w:rPr>
          <w:color w:val="000000"/>
        </w:rPr>
        <w:t xml:space="preserve">mechanism </w:t>
      </w:r>
      <w:r w:rsidR="0077054F" w:rsidRPr="001C36C1">
        <w:rPr>
          <w:color w:val="000000"/>
        </w:rPr>
        <w:t xml:space="preserve">to mitigate </w:t>
      </w:r>
      <w:r w:rsidR="0077054F" w:rsidRPr="001C36C1">
        <w:rPr>
          <w:color w:val="000000"/>
        </w:rPr>
        <w:lastRenderedPageBreak/>
        <w:t xml:space="preserve">the burden of </w:t>
      </w:r>
      <w:r w:rsidR="00205960" w:rsidRPr="001C36C1">
        <w:rPr>
          <w:color w:val="000000"/>
        </w:rPr>
        <w:t xml:space="preserve">reportable situations reports and ASIC expectations in this regard are not </w:t>
      </w:r>
      <w:r w:rsidR="00F9158E" w:rsidRPr="001C36C1">
        <w:rPr>
          <w:color w:val="000000"/>
        </w:rPr>
        <w:t>affected by the Amendment Instrument</w:t>
      </w:r>
      <w:r w:rsidR="00F76FB8">
        <w:rPr>
          <w:color w:val="000000"/>
        </w:rPr>
        <w:t>.</w:t>
      </w:r>
      <w:r w:rsidR="00F9158E" w:rsidRPr="001C36C1">
        <w:rPr>
          <w:color w:val="000000"/>
        </w:rPr>
        <w:t xml:space="preserve"> </w:t>
      </w:r>
    </w:p>
    <w:p w14:paraId="20CE6F89" w14:textId="0FFECE70" w:rsidR="00A910AD" w:rsidRPr="001C36C1" w:rsidRDefault="00D46293" w:rsidP="002E438B">
      <w:pPr>
        <w:pStyle w:val="LI-BodyTextParaa"/>
        <w:ind w:left="567"/>
        <w:rPr>
          <w:b/>
          <w:bCs/>
          <w:i/>
          <w:iCs/>
          <w:color w:val="000000"/>
        </w:rPr>
      </w:pPr>
      <w:r w:rsidRPr="001C36C1">
        <w:rPr>
          <w:b/>
          <w:bCs/>
          <w:i/>
          <w:iCs/>
          <w:color w:val="000000"/>
        </w:rPr>
        <w:t xml:space="preserve">Third </w:t>
      </w:r>
      <w:r w:rsidR="00A910AD" w:rsidRPr="001C36C1">
        <w:rPr>
          <w:b/>
          <w:bCs/>
          <w:i/>
          <w:iCs/>
          <w:color w:val="000000"/>
        </w:rPr>
        <w:t>purpose</w:t>
      </w:r>
    </w:p>
    <w:p w14:paraId="7A9D4A53" w14:textId="49CE2B9F" w:rsidR="00A23B96" w:rsidRPr="001C36C1" w:rsidRDefault="00A910AD" w:rsidP="002E438B">
      <w:pPr>
        <w:pStyle w:val="LI-BodyTextParaa"/>
        <w:ind w:left="567"/>
        <w:rPr>
          <w:color w:val="000000"/>
        </w:rPr>
      </w:pPr>
      <w:r w:rsidRPr="001C36C1">
        <w:rPr>
          <w:color w:val="000000"/>
        </w:rPr>
        <w:t>1</w:t>
      </w:r>
      <w:r w:rsidR="00532957" w:rsidRPr="001C36C1">
        <w:rPr>
          <w:color w:val="000000"/>
        </w:rPr>
        <w:t>3</w:t>
      </w:r>
      <w:r w:rsidRPr="001C36C1">
        <w:rPr>
          <w:color w:val="000000"/>
        </w:rPr>
        <w:t>.</w:t>
      </w:r>
      <w:r w:rsidRPr="001C36C1">
        <w:rPr>
          <w:color w:val="000000"/>
        </w:rPr>
        <w:tab/>
      </w:r>
      <w:r w:rsidR="00E81F06" w:rsidRPr="001C36C1">
        <w:rPr>
          <w:color w:val="000000"/>
        </w:rPr>
        <w:t xml:space="preserve">The </w:t>
      </w:r>
      <w:r w:rsidR="00D46293" w:rsidRPr="001C36C1">
        <w:rPr>
          <w:color w:val="000000"/>
        </w:rPr>
        <w:t xml:space="preserve">third </w:t>
      </w:r>
      <w:r w:rsidR="00E81F06" w:rsidRPr="001C36C1">
        <w:rPr>
          <w:color w:val="000000"/>
        </w:rPr>
        <w:t xml:space="preserve">purpose of the Amendment Instrument is to modify subsection 912D(3) of the Corporations Act </w:t>
      </w:r>
      <w:r w:rsidR="00A23B96" w:rsidRPr="001C36C1">
        <w:rPr>
          <w:color w:val="000000"/>
        </w:rPr>
        <w:t>to correct a missed consequential amendment</w:t>
      </w:r>
      <w:r w:rsidR="00F90F49" w:rsidRPr="001C36C1">
        <w:rPr>
          <w:color w:val="000000"/>
        </w:rPr>
        <w:t xml:space="preserve"> of that subsection that the Improvement Package Act</w:t>
      </w:r>
      <w:r w:rsidR="009209DC" w:rsidRPr="001C36C1">
        <w:rPr>
          <w:color w:val="000000"/>
        </w:rPr>
        <w:t xml:space="preserve"> should have made</w:t>
      </w:r>
      <w:r w:rsidR="00F90F49" w:rsidRPr="001C36C1">
        <w:rPr>
          <w:color w:val="000000"/>
        </w:rPr>
        <w:t>.</w:t>
      </w:r>
      <w:r w:rsidR="00A23B96" w:rsidRPr="001C36C1">
        <w:rPr>
          <w:color w:val="000000"/>
        </w:rPr>
        <w:t xml:space="preserve"> </w:t>
      </w:r>
    </w:p>
    <w:p w14:paraId="68F7BDE6" w14:textId="77777777" w:rsidR="009F6D3C" w:rsidRPr="001C36C1" w:rsidRDefault="005707A0" w:rsidP="009F6D3C">
      <w:pPr>
        <w:pStyle w:val="LI-BodyTextParaa"/>
        <w:ind w:left="567"/>
        <w:rPr>
          <w:color w:val="000000"/>
        </w:rPr>
      </w:pPr>
      <w:r w:rsidRPr="001C36C1">
        <w:rPr>
          <w:color w:val="000000"/>
        </w:rPr>
        <w:t>1</w:t>
      </w:r>
      <w:r w:rsidR="00532957" w:rsidRPr="001C36C1">
        <w:rPr>
          <w:color w:val="000000"/>
        </w:rPr>
        <w:t>4</w:t>
      </w:r>
      <w:r w:rsidRPr="001C36C1">
        <w:rPr>
          <w:color w:val="000000"/>
        </w:rPr>
        <w:t>.</w:t>
      </w:r>
      <w:r w:rsidRPr="001C36C1">
        <w:rPr>
          <w:color w:val="000000"/>
        </w:rPr>
        <w:tab/>
      </w:r>
      <w:r w:rsidR="009F6D3C" w:rsidRPr="001C36C1">
        <w:rPr>
          <w:color w:val="000000"/>
        </w:rPr>
        <w:t xml:space="preserve">If </w:t>
      </w:r>
      <w:r w:rsidR="009F6D3C">
        <w:rPr>
          <w:color w:val="000000"/>
        </w:rPr>
        <w:t xml:space="preserve">subsection 912D(3) is not modified then some legal requirements that are  core obligations of licensees for the purposes of the reportable situation regime, such as the requirements in Division 2 of Part 2 of the ASIC Act, would cease to be core obligations. This is because </w:t>
      </w:r>
      <w:r w:rsidR="009F6D3C" w:rsidRPr="001C36C1">
        <w:rPr>
          <w:color w:val="000000"/>
        </w:rPr>
        <w:t xml:space="preserve">subsection </w:t>
      </w:r>
      <w:r w:rsidR="009F6D3C">
        <w:rPr>
          <w:color w:val="000000"/>
        </w:rPr>
        <w:t xml:space="preserve">912D(3) was not amended in response to </w:t>
      </w:r>
      <w:r w:rsidR="009F6D3C" w:rsidRPr="001C36C1">
        <w:rPr>
          <w:color w:val="000000"/>
        </w:rPr>
        <w:t xml:space="preserve">the </w:t>
      </w:r>
      <w:r w:rsidR="009F6D3C">
        <w:rPr>
          <w:color w:val="000000"/>
        </w:rPr>
        <w:t>revised</w:t>
      </w:r>
      <w:r w:rsidR="009F6D3C" w:rsidRPr="001C36C1">
        <w:rPr>
          <w:color w:val="000000"/>
        </w:rPr>
        <w:t xml:space="preserve"> </w:t>
      </w:r>
      <w:r w:rsidR="009F6D3C">
        <w:rPr>
          <w:color w:val="000000"/>
        </w:rPr>
        <w:t>‘</w:t>
      </w:r>
      <w:r w:rsidR="009F6D3C" w:rsidRPr="001C36C1">
        <w:rPr>
          <w:color w:val="000000"/>
        </w:rPr>
        <w:t xml:space="preserve">financial services law’ definition </w:t>
      </w:r>
      <w:r w:rsidR="009F6D3C">
        <w:rPr>
          <w:color w:val="000000"/>
        </w:rPr>
        <w:t xml:space="preserve">paragraph lettering </w:t>
      </w:r>
      <w:r w:rsidR="009F6D3C" w:rsidRPr="001C36C1">
        <w:rPr>
          <w:color w:val="000000"/>
        </w:rPr>
        <w:t xml:space="preserve">in </w:t>
      </w:r>
      <w:r w:rsidR="009F6D3C">
        <w:rPr>
          <w:color w:val="000000"/>
        </w:rPr>
        <w:t xml:space="preserve">new </w:t>
      </w:r>
      <w:r w:rsidR="009F6D3C" w:rsidRPr="001C36C1">
        <w:rPr>
          <w:color w:val="000000"/>
        </w:rPr>
        <w:t>section 761A of the Corporations Act that item 2</w:t>
      </w:r>
      <w:r w:rsidR="009F6D3C">
        <w:rPr>
          <w:color w:val="000000"/>
        </w:rPr>
        <w:t>8</w:t>
      </w:r>
      <w:r w:rsidR="009F6D3C" w:rsidRPr="001C36C1">
        <w:rPr>
          <w:color w:val="000000"/>
        </w:rPr>
        <w:t xml:space="preserve">9 of the Improvement Package Act inserted. </w:t>
      </w:r>
    </w:p>
    <w:p w14:paraId="7534D279" w14:textId="08F7E7A9" w:rsidR="00BA364E" w:rsidRPr="001C36C1" w:rsidRDefault="00D853F7" w:rsidP="00D853F7">
      <w:pPr>
        <w:pStyle w:val="LI-BodyTextParaa"/>
        <w:ind w:left="567"/>
      </w:pPr>
      <w:r w:rsidRPr="001C36C1">
        <w:rPr>
          <w:color w:val="000000"/>
        </w:rPr>
        <w:t>15.</w:t>
      </w:r>
      <w:r w:rsidRPr="001C36C1">
        <w:rPr>
          <w:color w:val="000000"/>
        </w:rPr>
        <w:tab/>
      </w:r>
      <w:r w:rsidR="00BA364E" w:rsidRPr="001C36C1">
        <w:rPr>
          <w:color w:val="000000"/>
        </w:rPr>
        <w:t xml:space="preserve">ASIC makes the modifications </w:t>
      </w:r>
      <w:r w:rsidR="004204CA" w:rsidRPr="001C36C1">
        <w:rPr>
          <w:color w:val="000000"/>
        </w:rPr>
        <w:t xml:space="preserve">to s912D(3) </w:t>
      </w:r>
      <w:r w:rsidR="009E4FFD" w:rsidRPr="001C36C1">
        <w:rPr>
          <w:color w:val="000000"/>
        </w:rPr>
        <w:t>as</w:t>
      </w:r>
      <w:r w:rsidR="00BA364E" w:rsidRPr="001C36C1">
        <w:rPr>
          <w:color w:val="000000"/>
        </w:rPr>
        <w:t xml:space="preserve"> an interim </w:t>
      </w:r>
      <w:r w:rsidR="00071113" w:rsidRPr="001C36C1">
        <w:rPr>
          <w:color w:val="000000"/>
        </w:rPr>
        <w:t xml:space="preserve">measure </w:t>
      </w:r>
      <w:r w:rsidR="0007077A" w:rsidRPr="001C36C1">
        <w:rPr>
          <w:color w:val="000000"/>
        </w:rPr>
        <w:t>as</w:t>
      </w:r>
      <w:r w:rsidR="009E4FFD" w:rsidRPr="001C36C1">
        <w:rPr>
          <w:color w:val="000000"/>
        </w:rPr>
        <w:t xml:space="preserve"> Parliament </w:t>
      </w:r>
      <w:r w:rsidR="0007077A" w:rsidRPr="001C36C1">
        <w:rPr>
          <w:color w:val="000000"/>
        </w:rPr>
        <w:t>may</w:t>
      </w:r>
      <w:r w:rsidR="009E4FFD" w:rsidRPr="001C36C1">
        <w:rPr>
          <w:color w:val="000000"/>
        </w:rPr>
        <w:t xml:space="preserve"> </w:t>
      </w:r>
      <w:r w:rsidR="005F0D79" w:rsidRPr="001C36C1">
        <w:rPr>
          <w:color w:val="000000"/>
        </w:rPr>
        <w:t xml:space="preserve">implement legislation making the consequential amendments of </w:t>
      </w:r>
      <w:r w:rsidR="00651B7C" w:rsidRPr="001C36C1">
        <w:rPr>
          <w:color w:val="000000"/>
        </w:rPr>
        <w:t>that subsection</w:t>
      </w:r>
      <w:r w:rsidR="00DC1C61" w:rsidRPr="001C36C1">
        <w:rPr>
          <w:color w:val="000000"/>
        </w:rPr>
        <w:t>.</w:t>
      </w:r>
      <w:r w:rsidR="00BA364E" w:rsidRPr="001C36C1">
        <w:rPr>
          <w:color w:val="000000"/>
        </w:rPr>
        <w:t xml:space="preserve"> </w:t>
      </w:r>
    </w:p>
    <w:p w14:paraId="3FEFE29E" w14:textId="6500C6A9" w:rsidR="009A3F74" w:rsidRPr="001C36C1" w:rsidRDefault="009A3F74" w:rsidP="006D6079">
      <w:pPr>
        <w:pStyle w:val="LI-BodyTextNumbered"/>
        <w:keepNext/>
        <w:ind w:left="0" w:firstLine="0"/>
        <w:rPr>
          <w:b/>
        </w:rPr>
      </w:pPr>
      <w:bookmarkStart w:id="1" w:name="_Hlk534291624"/>
      <w:r w:rsidRPr="001C36C1">
        <w:rPr>
          <w:b/>
        </w:rPr>
        <w:t>Consultation</w:t>
      </w:r>
    </w:p>
    <w:p w14:paraId="4B1738FD" w14:textId="76EB0B2B" w:rsidR="00F2063F" w:rsidRPr="001C36C1" w:rsidRDefault="0094128C" w:rsidP="009A3F74">
      <w:pPr>
        <w:pStyle w:val="LI-BodyTextParaa"/>
        <w:ind w:left="567"/>
      </w:pPr>
      <w:r w:rsidRPr="001C36C1">
        <w:t>1</w:t>
      </w:r>
      <w:r w:rsidR="00532957" w:rsidRPr="001C36C1">
        <w:t>6</w:t>
      </w:r>
      <w:r w:rsidR="009A3F74" w:rsidRPr="001C36C1">
        <w:t>.</w:t>
      </w:r>
      <w:r w:rsidR="009A3F74" w:rsidRPr="001C36C1">
        <w:tab/>
      </w:r>
      <w:r w:rsidR="00F85D0D" w:rsidRPr="001C36C1">
        <w:t xml:space="preserve">ASIC </w:t>
      </w:r>
      <w:r w:rsidR="00383311" w:rsidRPr="001C36C1">
        <w:t xml:space="preserve">undertook </w:t>
      </w:r>
      <w:r w:rsidR="00F85D0D" w:rsidRPr="001C36C1">
        <w:t xml:space="preserve">targeted consultation </w:t>
      </w:r>
      <w:r w:rsidR="005404AC" w:rsidRPr="001C36C1">
        <w:t xml:space="preserve">with a wide range of stakeholders including industry, consumer representative bodies and the Treasury </w:t>
      </w:r>
      <w:r w:rsidR="00F85D0D" w:rsidRPr="001C36C1">
        <w:t xml:space="preserve">before making the </w:t>
      </w:r>
      <w:r w:rsidR="007B5605" w:rsidRPr="001C36C1">
        <w:t xml:space="preserve">Amendment </w:t>
      </w:r>
      <w:r w:rsidR="00F85D0D" w:rsidRPr="001C36C1">
        <w:t>Instrume</w:t>
      </w:r>
      <w:r w:rsidR="00A76E77" w:rsidRPr="001C36C1">
        <w:t>nt.</w:t>
      </w:r>
      <w:r w:rsidR="00871EF6" w:rsidRPr="001C36C1">
        <w:t xml:space="preserve"> </w:t>
      </w:r>
      <w:r w:rsidR="00D17E95" w:rsidRPr="001C36C1">
        <w:t xml:space="preserve">No stakeholder opposed </w:t>
      </w:r>
      <w:r w:rsidR="008A5BC4">
        <w:t xml:space="preserve">the </w:t>
      </w:r>
      <w:r w:rsidR="00D17E95" w:rsidRPr="001C36C1">
        <w:t>making of the Amendment Instrument</w:t>
      </w:r>
      <w:r w:rsidR="00273E9A" w:rsidRPr="001C36C1">
        <w:t xml:space="preserve">. </w:t>
      </w:r>
    </w:p>
    <w:p w14:paraId="0309FD55" w14:textId="7F173CD8" w:rsidR="00777188" w:rsidRPr="001C36C1" w:rsidRDefault="00A76E77" w:rsidP="009A3F74">
      <w:pPr>
        <w:pStyle w:val="LI-BodyTextParaa"/>
        <w:ind w:left="567"/>
      </w:pPr>
      <w:r w:rsidRPr="001C36C1">
        <w:t>1</w:t>
      </w:r>
      <w:r w:rsidR="00532957" w:rsidRPr="001C36C1">
        <w:t>7</w:t>
      </w:r>
      <w:r w:rsidRPr="001C36C1">
        <w:t>.</w:t>
      </w:r>
      <w:r w:rsidR="00A760F1" w:rsidRPr="001C36C1">
        <w:tab/>
      </w:r>
      <w:r w:rsidR="00777188" w:rsidRPr="001C36C1">
        <w:t>ASIC foreshadowed this consultation in a 27 April 2023 Media Release</w:t>
      </w:r>
      <w:r w:rsidR="00451E09" w:rsidRPr="001C36C1">
        <w:t xml:space="preserve"> (</w:t>
      </w:r>
      <w:hyperlink r:id="rId16" w:anchor="!page=1&amp;type=media%20releases&amp;startDate=27/04/2023&amp;endDate=27/04/2023" w:history="1">
        <w:r w:rsidR="00451E09" w:rsidRPr="001C36C1">
          <w:rPr>
            <w:rStyle w:val="Hyperlink"/>
          </w:rPr>
          <w:t>23-106MR</w:t>
        </w:r>
      </w:hyperlink>
      <w:r w:rsidR="00451E09" w:rsidRPr="001C36C1">
        <w:t xml:space="preserve">) that </w:t>
      </w:r>
      <w:r w:rsidR="003C2D9D" w:rsidRPr="001C36C1">
        <w:t xml:space="preserve">released </w:t>
      </w:r>
      <w:r w:rsidR="00E421A2" w:rsidRPr="001C36C1">
        <w:t xml:space="preserve">an </w:t>
      </w:r>
      <w:r w:rsidR="003C2D9D" w:rsidRPr="001C36C1">
        <w:t>updated</w:t>
      </w:r>
      <w:r w:rsidR="00E32829" w:rsidRPr="001C36C1">
        <w:t xml:space="preserve"> RG 78</w:t>
      </w:r>
      <w:r w:rsidR="003C2D9D" w:rsidRPr="001C36C1">
        <w:t>.</w:t>
      </w:r>
      <w:r w:rsidR="00777188" w:rsidRPr="001C36C1">
        <w:t xml:space="preserve"> </w:t>
      </w:r>
    </w:p>
    <w:p w14:paraId="16BA3F92" w14:textId="313C100E" w:rsidR="008E275A" w:rsidRPr="001C36C1" w:rsidRDefault="00777188" w:rsidP="009A3F74">
      <w:pPr>
        <w:pStyle w:val="LI-BodyTextParaa"/>
        <w:ind w:left="567"/>
      </w:pPr>
      <w:r w:rsidRPr="001C36C1">
        <w:t>1</w:t>
      </w:r>
      <w:r w:rsidR="00532957" w:rsidRPr="001C36C1">
        <w:t>8</w:t>
      </w:r>
      <w:r w:rsidRPr="001C36C1">
        <w:t>.</w:t>
      </w:r>
      <w:r w:rsidRPr="001C36C1">
        <w:tab/>
      </w:r>
      <w:r w:rsidR="003C2D9D" w:rsidRPr="001C36C1">
        <w:t xml:space="preserve">The </w:t>
      </w:r>
      <w:r w:rsidR="00FB294F">
        <w:t xml:space="preserve">updates to </w:t>
      </w:r>
      <w:r w:rsidR="004C4058" w:rsidRPr="001C36C1">
        <w:t xml:space="preserve">RG </w:t>
      </w:r>
      <w:r w:rsidR="0072167C" w:rsidRPr="001C36C1">
        <w:t>7</w:t>
      </w:r>
      <w:r w:rsidR="004C4058" w:rsidRPr="001C36C1">
        <w:t>8</w:t>
      </w:r>
      <w:r w:rsidR="00FB294F">
        <w:t xml:space="preserve"> </w:t>
      </w:r>
      <w:r w:rsidR="003C2D9D" w:rsidRPr="001C36C1">
        <w:t xml:space="preserve">followed </w:t>
      </w:r>
      <w:r w:rsidR="0000447B" w:rsidRPr="001C36C1">
        <w:t xml:space="preserve">targeted </w:t>
      </w:r>
      <w:r w:rsidR="00BF6CF1" w:rsidRPr="001C36C1">
        <w:t xml:space="preserve">consultation </w:t>
      </w:r>
      <w:r w:rsidR="00386004" w:rsidRPr="001C36C1">
        <w:t>on</w:t>
      </w:r>
      <w:r w:rsidR="003876D6" w:rsidRPr="001C36C1">
        <w:t xml:space="preserve"> proposed changes </w:t>
      </w:r>
      <w:r w:rsidR="00BF6CF1" w:rsidRPr="001C36C1">
        <w:t>in late 2022</w:t>
      </w:r>
      <w:r w:rsidR="00386004" w:rsidRPr="001C36C1">
        <w:t xml:space="preserve">. The updates </w:t>
      </w:r>
      <w:r w:rsidR="004C6875" w:rsidRPr="001C36C1">
        <w:t xml:space="preserve">clarified aspects of the guidance </w:t>
      </w:r>
      <w:r w:rsidR="00386004" w:rsidRPr="001C36C1">
        <w:t xml:space="preserve">in RG </w:t>
      </w:r>
      <w:r w:rsidR="0072167C" w:rsidRPr="001C36C1">
        <w:t>7</w:t>
      </w:r>
      <w:r w:rsidR="00386004" w:rsidRPr="001C36C1">
        <w:t xml:space="preserve">8 </w:t>
      </w:r>
      <w:r w:rsidR="004C6875" w:rsidRPr="001C36C1">
        <w:t>and provide</w:t>
      </w:r>
      <w:r w:rsidR="008249EA" w:rsidRPr="001C36C1">
        <w:t>d</w:t>
      </w:r>
      <w:r w:rsidR="004C6875" w:rsidRPr="001C36C1">
        <w:t xml:space="preserve"> new guidance in response to operational issues that ha</w:t>
      </w:r>
      <w:r w:rsidR="00A842B9" w:rsidRPr="001C36C1">
        <w:t>d</w:t>
      </w:r>
      <w:r w:rsidR="004C6875" w:rsidRPr="001C36C1">
        <w:t xml:space="preserve"> arisen since the </w:t>
      </w:r>
      <w:r w:rsidR="008249EA" w:rsidRPr="001C36C1">
        <w:t xml:space="preserve">reportable situations </w:t>
      </w:r>
      <w:r w:rsidR="004C6875" w:rsidRPr="001C36C1">
        <w:t xml:space="preserve">regime </w:t>
      </w:r>
      <w:r w:rsidR="00A842B9" w:rsidRPr="001C36C1">
        <w:t xml:space="preserve">commenced </w:t>
      </w:r>
      <w:r w:rsidR="004C6875" w:rsidRPr="001C36C1">
        <w:t>on 1 October 2021.</w:t>
      </w:r>
      <w:r w:rsidR="008249EA" w:rsidRPr="001C36C1">
        <w:t xml:space="preserve"> </w:t>
      </w:r>
      <w:r w:rsidR="00166837" w:rsidRPr="001C36C1">
        <w:t xml:space="preserve">When releasing the updated RG 78, </w:t>
      </w:r>
      <w:r w:rsidR="007306F5" w:rsidRPr="001C36C1">
        <w:t xml:space="preserve">ASIC stated that </w:t>
      </w:r>
      <w:r w:rsidR="008E275A" w:rsidRPr="001C36C1">
        <w:t>‘[t]hrough our engagement with industry, we are aware of other issues raised regarding the operation of the reportable situations regime. ASIC’s work on these other matters is ongoing, and we expect to undertake further consultation with a range of stakeholders.’</w:t>
      </w:r>
    </w:p>
    <w:p w14:paraId="4CDCC6BF" w14:textId="77777777" w:rsidR="005D1FEA" w:rsidRPr="001C36C1" w:rsidRDefault="005D1FEA" w:rsidP="006D6079">
      <w:pPr>
        <w:pStyle w:val="LI-BodyTextNumbered"/>
        <w:keepNext/>
        <w:ind w:left="0" w:firstLine="0"/>
        <w:rPr>
          <w:b/>
        </w:rPr>
      </w:pPr>
      <w:r w:rsidRPr="001C36C1">
        <w:rPr>
          <w:b/>
        </w:rPr>
        <w:t>Operation of the instrument</w:t>
      </w:r>
    </w:p>
    <w:p w14:paraId="2D01F826" w14:textId="62291FDB" w:rsidR="00BB459B" w:rsidRPr="001C36C1" w:rsidRDefault="00F2063F" w:rsidP="005D1FEA">
      <w:pPr>
        <w:pStyle w:val="LI-BodyTextParaa"/>
        <w:ind w:left="567"/>
      </w:pPr>
      <w:r w:rsidRPr="001C36C1">
        <w:t>1</w:t>
      </w:r>
      <w:r w:rsidR="00532957" w:rsidRPr="001C36C1">
        <w:t>9</w:t>
      </w:r>
      <w:r w:rsidR="005D1FEA" w:rsidRPr="001C36C1">
        <w:t>.</w:t>
      </w:r>
      <w:r w:rsidR="005D1FEA" w:rsidRPr="001C36C1">
        <w:tab/>
      </w:r>
      <w:r w:rsidR="00BB459B" w:rsidRPr="001C36C1">
        <w:t xml:space="preserve">Section 2 of the </w:t>
      </w:r>
      <w:r w:rsidR="003F51B1" w:rsidRPr="001C36C1">
        <w:t xml:space="preserve">Amendment </w:t>
      </w:r>
      <w:r w:rsidR="00BB459B" w:rsidRPr="001C36C1">
        <w:t xml:space="preserve">Instrument </w:t>
      </w:r>
      <w:r w:rsidR="0018318B" w:rsidRPr="001C36C1">
        <w:t xml:space="preserve">provides </w:t>
      </w:r>
      <w:r w:rsidR="00BB459B" w:rsidRPr="001C36C1">
        <w:t>that</w:t>
      </w:r>
      <w:r w:rsidR="00C37D97" w:rsidRPr="001C36C1">
        <w:t xml:space="preserve"> </w:t>
      </w:r>
      <w:r w:rsidR="00ED4DB3" w:rsidRPr="001C36C1">
        <w:t>it</w:t>
      </w:r>
      <w:r w:rsidR="00C37D97" w:rsidRPr="001C36C1">
        <w:t xml:space="preserve"> </w:t>
      </w:r>
      <w:r w:rsidR="002328A8" w:rsidRPr="001C36C1">
        <w:t xml:space="preserve">commences on the later of the day after the Amendment Instrument is registered on the Federal Register of Legislation and the commencement of Schedule 2 of the </w:t>
      </w:r>
      <w:r w:rsidR="00893FB1">
        <w:t>Improvement Package Act</w:t>
      </w:r>
      <w:r w:rsidR="00C37D97" w:rsidRPr="001C36C1">
        <w:t>.</w:t>
      </w:r>
    </w:p>
    <w:p w14:paraId="21C1244F" w14:textId="71EA404C" w:rsidR="003B1D6C" w:rsidRPr="001C36C1" w:rsidRDefault="00532957" w:rsidP="005D1FEA">
      <w:pPr>
        <w:pStyle w:val="LI-BodyTextParaa"/>
        <w:ind w:left="567"/>
      </w:pPr>
      <w:r w:rsidRPr="001C36C1">
        <w:t>20</w:t>
      </w:r>
      <w:r w:rsidR="003B1D6C" w:rsidRPr="001C36C1">
        <w:t>.</w:t>
      </w:r>
      <w:r w:rsidR="003B1D6C" w:rsidRPr="001C36C1">
        <w:tab/>
        <w:t xml:space="preserve">Section 3 of the Amendment Instrument </w:t>
      </w:r>
      <w:r w:rsidR="000A435D" w:rsidRPr="001C36C1">
        <w:t xml:space="preserve">provides </w:t>
      </w:r>
      <w:r w:rsidR="002F096D" w:rsidRPr="001C36C1">
        <w:t xml:space="preserve">that </w:t>
      </w:r>
      <w:r w:rsidR="000A435D" w:rsidRPr="001C36C1">
        <w:t xml:space="preserve">the instrument </w:t>
      </w:r>
      <w:r w:rsidR="002F096D" w:rsidRPr="001C36C1">
        <w:t>is made under subsection 926A(2) of the Corporations Act and subsection 109(3) of the Credit Act.</w:t>
      </w:r>
      <w:r w:rsidR="00DE5772" w:rsidRPr="001C36C1">
        <w:t xml:space="preserve"> </w:t>
      </w:r>
      <w:r w:rsidR="000A435D" w:rsidRPr="001C36C1">
        <w:t xml:space="preserve">Section 4 has the effect that </w:t>
      </w:r>
      <w:r w:rsidR="00F62469" w:rsidRPr="001C36C1">
        <w:t xml:space="preserve">the </w:t>
      </w:r>
      <w:r w:rsidR="000C5872" w:rsidRPr="001C36C1">
        <w:t xml:space="preserve">Principal Instrument </w:t>
      </w:r>
      <w:r w:rsidR="00FF3B41" w:rsidRPr="001C36C1">
        <w:t xml:space="preserve">is amended as </w:t>
      </w:r>
      <w:r w:rsidR="00FF3B41" w:rsidRPr="001C36C1">
        <w:lastRenderedPageBreak/>
        <w:t xml:space="preserve">set </w:t>
      </w:r>
      <w:r w:rsidR="00771ED3" w:rsidRPr="001C36C1">
        <w:t xml:space="preserve">out in Schedule </w:t>
      </w:r>
      <w:r w:rsidR="00F62469" w:rsidRPr="001C36C1">
        <w:t xml:space="preserve">1 </w:t>
      </w:r>
      <w:r w:rsidR="00DA37CF" w:rsidRPr="001C36C1">
        <w:t xml:space="preserve">of the Amendment Instrument </w:t>
      </w:r>
      <w:r w:rsidR="002F0443" w:rsidRPr="001C36C1">
        <w:t xml:space="preserve">and any other item in Schedule </w:t>
      </w:r>
      <w:r w:rsidR="000C5872" w:rsidRPr="001C36C1">
        <w:t xml:space="preserve">1 </w:t>
      </w:r>
      <w:r w:rsidR="002F0443" w:rsidRPr="001C36C1">
        <w:t>has effect according to its terms.</w:t>
      </w:r>
      <w:r w:rsidR="00EF2B6A" w:rsidRPr="001C36C1">
        <w:t xml:space="preserve"> </w:t>
      </w:r>
    </w:p>
    <w:p w14:paraId="638F5DED" w14:textId="2851A3D5" w:rsidR="00DF0264" w:rsidRPr="001C36C1" w:rsidRDefault="00DF0264" w:rsidP="00B44D09">
      <w:pPr>
        <w:pStyle w:val="LI-BodyTextParaa"/>
        <w:ind w:left="567"/>
        <w:rPr>
          <w:b/>
          <w:bCs/>
          <w:i/>
          <w:iCs/>
        </w:rPr>
      </w:pPr>
      <w:r w:rsidRPr="001C36C1">
        <w:rPr>
          <w:b/>
          <w:bCs/>
          <w:i/>
          <w:iCs/>
        </w:rPr>
        <w:t>New significance thresholds</w:t>
      </w:r>
    </w:p>
    <w:p w14:paraId="179DBB9F" w14:textId="5B42675D" w:rsidR="00BD7CC0" w:rsidRPr="001C36C1" w:rsidRDefault="00DF0264" w:rsidP="00B44D09">
      <w:pPr>
        <w:pStyle w:val="LI-BodyTextParaa"/>
        <w:ind w:left="567"/>
        <w:rPr>
          <w:color w:val="000000"/>
        </w:rPr>
      </w:pPr>
      <w:r w:rsidRPr="001C36C1">
        <w:t>21.</w:t>
      </w:r>
      <w:r w:rsidRPr="001C36C1">
        <w:tab/>
      </w:r>
      <w:r w:rsidR="00CB3DFE" w:rsidRPr="001C36C1">
        <w:t>S</w:t>
      </w:r>
      <w:r w:rsidR="0055756E" w:rsidRPr="001C36C1">
        <w:t xml:space="preserve">chedule 1 </w:t>
      </w:r>
      <w:r w:rsidR="00920F0D" w:rsidRPr="001C36C1">
        <w:t xml:space="preserve">of the Amendment Instrument </w:t>
      </w:r>
      <w:r w:rsidR="005938C4" w:rsidRPr="001C36C1">
        <w:t xml:space="preserve">amends the Principal Instrument to insert </w:t>
      </w:r>
      <w:r w:rsidR="007A1B13" w:rsidRPr="001C36C1">
        <w:t xml:space="preserve">section </w:t>
      </w:r>
      <w:r w:rsidR="004C3B90" w:rsidRPr="001C36C1">
        <w:t xml:space="preserve">7 that </w:t>
      </w:r>
      <w:r w:rsidR="00386695" w:rsidRPr="001C36C1">
        <w:t xml:space="preserve">makes minor amendments of </w:t>
      </w:r>
      <w:r w:rsidR="005E2BAA" w:rsidRPr="001C36C1">
        <w:t>section</w:t>
      </w:r>
      <w:r w:rsidR="0008271E" w:rsidRPr="001C36C1">
        <w:rPr>
          <w:color w:val="000000"/>
        </w:rPr>
        <w:t xml:space="preserve"> 912D</w:t>
      </w:r>
      <w:r w:rsidR="00B44D09" w:rsidRPr="001C36C1">
        <w:rPr>
          <w:color w:val="000000"/>
        </w:rPr>
        <w:t xml:space="preserve"> of </w:t>
      </w:r>
      <w:r w:rsidR="00C16A58" w:rsidRPr="001C36C1">
        <w:rPr>
          <w:color w:val="000000"/>
        </w:rPr>
        <w:t xml:space="preserve">the </w:t>
      </w:r>
      <w:r w:rsidR="0008271E" w:rsidRPr="001C36C1">
        <w:rPr>
          <w:color w:val="000000"/>
        </w:rPr>
        <w:t xml:space="preserve">Corporations Act and </w:t>
      </w:r>
      <w:r w:rsidR="005E2BAA" w:rsidRPr="001C36C1">
        <w:rPr>
          <w:color w:val="000000"/>
        </w:rPr>
        <w:t xml:space="preserve">section </w:t>
      </w:r>
      <w:r w:rsidR="0008271E" w:rsidRPr="001C36C1">
        <w:rPr>
          <w:color w:val="000000"/>
        </w:rPr>
        <w:t>50A of the Credit Act</w:t>
      </w:r>
      <w:r w:rsidR="00A25930" w:rsidRPr="001C36C1">
        <w:rPr>
          <w:color w:val="000000"/>
        </w:rPr>
        <w:t xml:space="preserve">. </w:t>
      </w:r>
      <w:r w:rsidR="00D014AD" w:rsidRPr="001C36C1">
        <w:rPr>
          <w:color w:val="000000"/>
        </w:rPr>
        <w:t>Section</w:t>
      </w:r>
      <w:r w:rsidR="00A25930" w:rsidRPr="001C36C1">
        <w:rPr>
          <w:color w:val="000000"/>
        </w:rPr>
        <w:t xml:space="preserve"> 7 also </w:t>
      </w:r>
      <w:r w:rsidR="00386695" w:rsidRPr="001C36C1">
        <w:rPr>
          <w:color w:val="000000"/>
        </w:rPr>
        <w:t>inserts new subsection</w:t>
      </w:r>
      <w:r w:rsidR="006E0270" w:rsidRPr="001C36C1">
        <w:rPr>
          <w:color w:val="000000"/>
        </w:rPr>
        <w:t>s</w:t>
      </w:r>
      <w:r w:rsidR="00386695" w:rsidRPr="001C36C1">
        <w:rPr>
          <w:color w:val="000000"/>
        </w:rPr>
        <w:t xml:space="preserve"> </w:t>
      </w:r>
      <w:r w:rsidR="00815CA5" w:rsidRPr="001C36C1">
        <w:rPr>
          <w:color w:val="000000"/>
        </w:rPr>
        <w:t xml:space="preserve">912D(4A) </w:t>
      </w:r>
      <w:r w:rsidR="006E0270" w:rsidRPr="001C36C1">
        <w:rPr>
          <w:color w:val="000000"/>
        </w:rPr>
        <w:t xml:space="preserve">and 912D(4B) </w:t>
      </w:r>
      <w:r w:rsidR="00815CA5" w:rsidRPr="001C36C1">
        <w:rPr>
          <w:color w:val="000000"/>
        </w:rPr>
        <w:t>of the Corporations Act and subsection</w:t>
      </w:r>
      <w:r w:rsidR="006E0270" w:rsidRPr="001C36C1">
        <w:rPr>
          <w:color w:val="000000"/>
        </w:rPr>
        <w:t>s</w:t>
      </w:r>
      <w:r w:rsidR="00815CA5" w:rsidRPr="001C36C1">
        <w:rPr>
          <w:color w:val="000000"/>
        </w:rPr>
        <w:t xml:space="preserve"> 50A(</w:t>
      </w:r>
      <w:r w:rsidR="00357E40" w:rsidRPr="001C36C1">
        <w:rPr>
          <w:color w:val="000000"/>
        </w:rPr>
        <w:t xml:space="preserve">4A) </w:t>
      </w:r>
      <w:r w:rsidR="006E0270" w:rsidRPr="001C36C1">
        <w:rPr>
          <w:color w:val="000000"/>
        </w:rPr>
        <w:t xml:space="preserve">and </w:t>
      </w:r>
      <w:r w:rsidR="00045E19" w:rsidRPr="001C36C1">
        <w:rPr>
          <w:color w:val="000000"/>
        </w:rPr>
        <w:t xml:space="preserve">50A(4B) </w:t>
      </w:r>
      <w:r w:rsidR="00357E40" w:rsidRPr="001C36C1">
        <w:rPr>
          <w:color w:val="000000"/>
        </w:rPr>
        <w:t>of the Cred</w:t>
      </w:r>
      <w:r w:rsidR="001E3E88" w:rsidRPr="001C36C1">
        <w:rPr>
          <w:color w:val="000000"/>
        </w:rPr>
        <w:t>it</w:t>
      </w:r>
      <w:r w:rsidR="00357E40" w:rsidRPr="001C36C1">
        <w:rPr>
          <w:color w:val="000000"/>
        </w:rPr>
        <w:t xml:space="preserve"> Act</w:t>
      </w:r>
      <w:r w:rsidR="001E3E88" w:rsidRPr="001C36C1">
        <w:rPr>
          <w:color w:val="000000"/>
        </w:rPr>
        <w:t xml:space="preserve"> </w:t>
      </w:r>
      <w:r w:rsidR="0008271E" w:rsidRPr="001C36C1">
        <w:rPr>
          <w:color w:val="000000"/>
        </w:rPr>
        <w:t>(</w:t>
      </w:r>
      <w:r w:rsidR="00327A8F" w:rsidRPr="001C36C1">
        <w:rPr>
          <w:color w:val="000000"/>
        </w:rPr>
        <w:t xml:space="preserve">the </w:t>
      </w:r>
      <w:r w:rsidR="00327A8F" w:rsidRPr="001C36C1">
        <w:rPr>
          <w:b/>
          <w:bCs/>
          <w:color w:val="000000"/>
        </w:rPr>
        <w:t>new</w:t>
      </w:r>
      <w:r w:rsidR="0008271E" w:rsidRPr="001C36C1">
        <w:rPr>
          <w:color w:val="000000"/>
        </w:rPr>
        <w:t xml:space="preserve"> </w:t>
      </w:r>
      <w:r w:rsidR="0008271E" w:rsidRPr="001C36C1">
        <w:rPr>
          <w:b/>
          <w:bCs/>
          <w:color w:val="000000"/>
        </w:rPr>
        <w:t>significance threshold</w:t>
      </w:r>
      <w:r w:rsidR="003279B0" w:rsidRPr="001C36C1">
        <w:rPr>
          <w:b/>
          <w:bCs/>
          <w:color w:val="000000"/>
        </w:rPr>
        <w:t>s</w:t>
      </w:r>
      <w:r w:rsidR="0008271E" w:rsidRPr="001C36C1">
        <w:rPr>
          <w:color w:val="000000"/>
        </w:rPr>
        <w:t>)</w:t>
      </w:r>
      <w:r w:rsidR="00643D91" w:rsidRPr="001C36C1">
        <w:rPr>
          <w:color w:val="000000"/>
        </w:rPr>
        <w:t xml:space="preserve">. </w:t>
      </w:r>
    </w:p>
    <w:p w14:paraId="5FBC76A3" w14:textId="73640520" w:rsidR="00627957" w:rsidRPr="001C36C1" w:rsidRDefault="00532957" w:rsidP="00B44D09">
      <w:pPr>
        <w:pStyle w:val="LI-BodyTextParaa"/>
        <w:ind w:left="567"/>
        <w:rPr>
          <w:color w:val="000000"/>
        </w:rPr>
      </w:pPr>
      <w:r w:rsidRPr="001C36C1">
        <w:rPr>
          <w:color w:val="000000"/>
        </w:rPr>
        <w:t>22</w:t>
      </w:r>
      <w:r w:rsidR="00BD7CC0" w:rsidRPr="001C36C1">
        <w:rPr>
          <w:color w:val="000000"/>
        </w:rPr>
        <w:t>.</w:t>
      </w:r>
      <w:r w:rsidR="00BD7CC0" w:rsidRPr="001C36C1">
        <w:rPr>
          <w:color w:val="000000"/>
        </w:rPr>
        <w:tab/>
      </w:r>
      <w:r w:rsidR="00643D91" w:rsidRPr="001C36C1">
        <w:rPr>
          <w:color w:val="000000"/>
        </w:rPr>
        <w:t>The new significance thresholds</w:t>
      </w:r>
      <w:r w:rsidR="00B44D09" w:rsidRPr="001C36C1">
        <w:rPr>
          <w:color w:val="000000"/>
        </w:rPr>
        <w:t xml:space="preserve"> exempt </w:t>
      </w:r>
      <w:r w:rsidR="001D4151" w:rsidRPr="001C36C1">
        <w:rPr>
          <w:color w:val="000000"/>
        </w:rPr>
        <w:t xml:space="preserve">a </w:t>
      </w:r>
      <w:r w:rsidR="00E05D5E" w:rsidRPr="001C36C1">
        <w:rPr>
          <w:color w:val="000000"/>
        </w:rPr>
        <w:t xml:space="preserve">breach </w:t>
      </w:r>
      <w:r w:rsidR="0001371D" w:rsidRPr="001C36C1">
        <w:rPr>
          <w:color w:val="000000"/>
        </w:rPr>
        <w:t xml:space="preserve">constituted by a contravention </w:t>
      </w:r>
      <w:r w:rsidR="00FA0CE9" w:rsidRPr="001C36C1">
        <w:rPr>
          <w:color w:val="000000"/>
        </w:rPr>
        <w:t>o</w:t>
      </w:r>
      <w:r w:rsidR="0001371D" w:rsidRPr="001C36C1">
        <w:rPr>
          <w:color w:val="000000"/>
        </w:rPr>
        <w:t xml:space="preserve">f the MBC provisions </w:t>
      </w:r>
      <w:r w:rsidR="00B44D09" w:rsidRPr="001C36C1">
        <w:rPr>
          <w:color w:val="000000"/>
        </w:rPr>
        <w:t xml:space="preserve">from being </w:t>
      </w:r>
      <w:r w:rsidR="00113E2F" w:rsidRPr="001C36C1">
        <w:rPr>
          <w:color w:val="000000"/>
        </w:rPr>
        <w:t xml:space="preserve">deemed ‘significant’ and therefore reportable </w:t>
      </w:r>
      <w:r w:rsidR="00643D91" w:rsidRPr="001C36C1">
        <w:rPr>
          <w:color w:val="000000"/>
        </w:rPr>
        <w:t xml:space="preserve">if </w:t>
      </w:r>
      <w:r w:rsidR="008322F1" w:rsidRPr="001C36C1">
        <w:rPr>
          <w:color w:val="000000"/>
        </w:rPr>
        <w:t xml:space="preserve">certain </w:t>
      </w:r>
      <w:r w:rsidR="006C5941" w:rsidRPr="001C36C1">
        <w:rPr>
          <w:color w:val="000000"/>
        </w:rPr>
        <w:t>conditions are met</w:t>
      </w:r>
      <w:r w:rsidR="008322F1" w:rsidRPr="001C36C1">
        <w:rPr>
          <w:color w:val="000000"/>
        </w:rPr>
        <w:t xml:space="preserve">. </w:t>
      </w:r>
    </w:p>
    <w:p w14:paraId="2D84F461" w14:textId="0FE5E7F9" w:rsidR="00E87743" w:rsidRPr="001C36C1" w:rsidRDefault="00532957" w:rsidP="00D556A2">
      <w:pPr>
        <w:pStyle w:val="LI-BodyTextParaa"/>
        <w:ind w:left="567"/>
        <w:rPr>
          <w:color w:val="000000"/>
        </w:rPr>
      </w:pPr>
      <w:r w:rsidRPr="001C36C1">
        <w:rPr>
          <w:color w:val="000000"/>
        </w:rPr>
        <w:t>23</w:t>
      </w:r>
      <w:r w:rsidR="00627957" w:rsidRPr="001C36C1">
        <w:rPr>
          <w:color w:val="000000"/>
        </w:rPr>
        <w:t>.</w:t>
      </w:r>
      <w:r w:rsidR="00627957" w:rsidRPr="001C36C1">
        <w:rPr>
          <w:color w:val="000000"/>
        </w:rPr>
        <w:tab/>
      </w:r>
      <w:r w:rsidR="008322F1" w:rsidRPr="001C36C1">
        <w:rPr>
          <w:color w:val="000000"/>
        </w:rPr>
        <w:t xml:space="preserve">The first condition is that the underlying circumstances in relation to the breach must have </w:t>
      </w:r>
      <w:r w:rsidR="001C0802" w:rsidRPr="001C36C1">
        <w:rPr>
          <w:color w:val="000000"/>
        </w:rPr>
        <w:t xml:space="preserve">only given rise, and only be likely to give rise, to a single reportable situation </w:t>
      </w:r>
      <w:r w:rsidR="001D3FD1" w:rsidRPr="001C36C1">
        <w:rPr>
          <w:color w:val="000000"/>
        </w:rPr>
        <w:t xml:space="preserve">under </w:t>
      </w:r>
      <w:r w:rsidR="005213F1" w:rsidRPr="001C36C1">
        <w:rPr>
          <w:color w:val="000000"/>
        </w:rPr>
        <w:t xml:space="preserve">paragraph </w:t>
      </w:r>
      <w:r w:rsidR="00F715A3" w:rsidRPr="001C36C1">
        <w:rPr>
          <w:color w:val="000000"/>
        </w:rPr>
        <w:t xml:space="preserve">912D(1)(a) of the Corporations Act and paragraph 50A(1)(a) </w:t>
      </w:r>
      <w:r w:rsidR="001D3FD1" w:rsidRPr="001C36C1">
        <w:rPr>
          <w:color w:val="000000"/>
        </w:rPr>
        <w:t>of the Credit Act</w:t>
      </w:r>
      <w:r w:rsidR="00A736AC" w:rsidRPr="001C36C1">
        <w:rPr>
          <w:color w:val="000000"/>
        </w:rPr>
        <w:t xml:space="preserve">: see new subsection 912D(4A)(a) of the Corporations Act and </w:t>
      </w:r>
      <w:r w:rsidR="0057509D" w:rsidRPr="001C36C1">
        <w:rPr>
          <w:color w:val="000000"/>
        </w:rPr>
        <w:t xml:space="preserve">new </w:t>
      </w:r>
      <w:r w:rsidR="00A736AC" w:rsidRPr="001C36C1">
        <w:rPr>
          <w:color w:val="000000"/>
        </w:rPr>
        <w:t>subsection 50A(</w:t>
      </w:r>
      <w:r w:rsidR="00457A2E" w:rsidRPr="001C36C1">
        <w:rPr>
          <w:color w:val="000000"/>
        </w:rPr>
        <w:t>4A)(a) of the Credit Act</w:t>
      </w:r>
      <w:r w:rsidR="001D3FD1" w:rsidRPr="001C36C1">
        <w:rPr>
          <w:color w:val="000000"/>
        </w:rPr>
        <w:t>.</w:t>
      </w:r>
      <w:r w:rsidR="00716B33" w:rsidRPr="001C36C1">
        <w:rPr>
          <w:color w:val="000000"/>
        </w:rPr>
        <w:t xml:space="preserve"> </w:t>
      </w:r>
      <w:r w:rsidR="001048F9" w:rsidRPr="001C36C1">
        <w:rPr>
          <w:color w:val="000000"/>
        </w:rPr>
        <w:t xml:space="preserve">A single reportable situation </w:t>
      </w:r>
      <w:r w:rsidR="00E45B07" w:rsidRPr="001C36C1">
        <w:rPr>
          <w:color w:val="000000"/>
        </w:rPr>
        <w:t>e</w:t>
      </w:r>
      <w:r w:rsidR="00850615" w:rsidRPr="001C36C1">
        <w:rPr>
          <w:color w:val="000000"/>
        </w:rPr>
        <w:t xml:space="preserve">xists </w:t>
      </w:r>
      <w:r w:rsidR="0057509D" w:rsidRPr="001C36C1">
        <w:rPr>
          <w:color w:val="000000"/>
        </w:rPr>
        <w:t xml:space="preserve">even if conduct </w:t>
      </w:r>
      <w:r w:rsidR="005A53DD" w:rsidRPr="001C36C1">
        <w:rPr>
          <w:color w:val="000000"/>
        </w:rPr>
        <w:t xml:space="preserve">has given rise to a single contravention of </w:t>
      </w:r>
      <w:r w:rsidR="00710445" w:rsidRPr="001C36C1">
        <w:rPr>
          <w:color w:val="000000"/>
        </w:rPr>
        <w:t>multiple</w:t>
      </w:r>
      <w:r w:rsidR="005469C2" w:rsidRPr="001C36C1">
        <w:rPr>
          <w:color w:val="000000"/>
        </w:rPr>
        <w:t xml:space="preserve"> MDC provisions</w:t>
      </w:r>
      <w:r w:rsidR="002531D6" w:rsidRPr="001C36C1">
        <w:rPr>
          <w:color w:val="000000"/>
        </w:rPr>
        <w:t xml:space="preserve">: see new </w:t>
      </w:r>
      <w:r w:rsidR="009E05AF" w:rsidRPr="001C36C1">
        <w:rPr>
          <w:color w:val="000000"/>
        </w:rPr>
        <w:t xml:space="preserve">paragraph </w:t>
      </w:r>
      <w:r w:rsidR="002531D6" w:rsidRPr="001C36C1">
        <w:rPr>
          <w:color w:val="000000"/>
        </w:rPr>
        <w:t>91</w:t>
      </w:r>
      <w:r w:rsidR="00A07D65">
        <w:rPr>
          <w:color w:val="000000"/>
        </w:rPr>
        <w:t>2</w:t>
      </w:r>
      <w:r w:rsidR="002531D6" w:rsidRPr="001C36C1">
        <w:rPr>
          <w:color w:val="000000"/>
        </w:rPr>
        <w:t>D(4B)</w:t>
      </w:r>
      <w:r w:rsidR="009E05AF" w:rsidRPr="001C36C1">
        <w:rPr>
          <w:color w:val="000000"/>
        </w:rPr>
        <w:t xml:space="preserve">(a) of the Corporations Act and new paragraph </w:t>
      </w:r>
      <w:r w:rsidR="0050079D" w:rsidRPr="001C36C1">
        <w:rPr>
          <w:color w:val="000000"/>
        </w:rPr>
        <w:t>50A(4B)</w:t>
      </w:r>
      <w:r w:rsidR="00E87743" w:rsidRPr="001C36C1">
        <w:rPr>
          <w:color w:val="000000"/>
        </w:rPr>
        <w:t>(a)</w:t>
      </w:r>
      <w:r w:rsidR="0050079D" w:rsidRPr="001C36C1">
        <w:rPr>
          <w:color w:val="000000"/>
        </w:rPr>
        <w:t xml:space="preserve"> of the Credit Act</w:t>
      </w:r>
      <w:r w:rsidR="002531D6" w:rsidRPr="001C36C1">
        <w:rPr>
          <w:color w:val="000000"/>
        </w:rPr>
        <w:t>.</w:t>
      </w:r>
      <w:r w:rsidR="0050079D" w:rsidRPr="001C36C1">
        <w:rPr>
          <w:color w:val="000000"/>
        </w:rPr>
        <w:t xml:space="preserve"> This is because</w:t>
      </w:r>
      <w:r w:rsidR="00E87743" w:rsidRPr="001C36C1">
        <w:rPr>
          <w:color w:val="000000"/>
        </w:rPr>
        <w:t xml:space="preserve"> the same conduct may contravene different MDC provisions. </w:t>
      </w:r>
    </w:p>
    <w:p w14:paraId="1D475ECF" w14:textId="7AAB7BBE" w:rsidR="00445390" w:rsidRPr="001C36C1" w:rsidRDefault="0078372D" w:rsidP="00D556A2">
      <w:pPr>
        <w:pStyle w:val="LI-BodyTextParaa"/>
        <w:ind w:left="567"/>
        <w:rPr>
          <w:rStyle w:val="CommentReference"/>
          <w:rFonts w:eastAsia="Calibri"/>
          <w:sz w:val="24"/>
          <w:szCs w:val="24"/>
          <w:lang w:eastAsia="en-US"/>
        </w:rPr>
      </w:pPr>
      <w:r w:rsidRPr="001C36C1">
        <w:rPr>
          <w:color w:val="000000"/>
        </w:rPr>
        <w:t>2</w:t>
      </w:r>
      <w:r w:rsidR="00532957" w:rsidRPr="001C36C1">
        <w:rPr>
          <w:color w:val="000000"/>
        </w:rPr>
        <w:t>4</w:t>
      </w:r>
      <w:r w:rsidRPr="001C36C1">
        <w:rPr>
          <w:color w:val="000000"/>
        </w:rPr>
        <w:t>.</w:t>
      </w:r>
      <w:r w:rsidRPr="001C36C1">
        <w:rPr>
          <w:color w:val="000000"/>
        </w:rPr>
        <w:tab/>
      </w:r>
      <w:r w:rsidR="000A1A50" w:rsidRPr="001C36C1">
        <w:rPr>
          <w:color w:val="000000"/>
        </w:rPr>
        <w:t>Th</w:t>
      </w:r>
      <w:r w:rsidR="00F36CF2">
        <w:rPr>
          <w:color w:val="000000"/>
        </w:rPr>
        <w:t>e</w:t>
      </w:r>
      <w:r w:rsidR="000A1A50" w:rsidRPr="001C36C1">
        <w:rPr>
          <w:color w:val="000000"/>
        </w:rPr>
        <w:t xml:space="preserve"> </w:t>
      </w:r>
      <w:r w:rsidR="00C1274B" w:rsidRPr="001C36C1">
        <w:rPr>
          <w:color w:val="000000"/>
        </w:rPr>
        <w:t xml:space="preserve">condition that there be only a single reportable situation </w:t>
      </w:r>
      <w:r w:rsidR="007C676D" w:rsidRPr="001C36C1">
        <w:rPr>
          <w:color w:val="000000"/>
        </w:rPr>
        <w:t>means that th</w:t>
      </w:r>
      <w:r w:rsidR="00716B33" w:rsidRPr="001C36C1">
        <w:rPr>
          <w:color w:val="000000"/>
        </w:rPr>
        <w:t>e underlying circumstances must not give rise</w:t>
      </w:r>
      <w:r w:rsidR="007C676D" w:rsidRPr="001C36C1">
        <w:rPr>
          <w:color w:val="000000"/>
        </w:rPr>
        <w:t>, and be unlikely to give rise, to a</w:t>
      </w:r>
      <w:r w:rsidR="000A45A8" w:rsidRPr="001C36C1">
        <w:rPr>
          <w:color w:val="000000"/>
        </w:rPr>
        <w:t>nother</w:t>
      </w:r>
      <w:r w:rsidR="007C676D" w:rsidRPr="001C36C1">
        <w:rPr>
          <w:color w:val="000000"/>
        </w:rPr>
        <w:t xml:space="preserve"> reportable situation </w:t>
      </w:r>
      <w:r w:rsidR="009511BC" w:rsidRPr="001C36C1">
        <w:rPr>
          <w:color w:val="000000"/>
        </w:rPr>
        <w:t xml:space="preserve">pursuant to </w:t>
      </w:r>
      <w:r w:rsidR="000A45A8" w:rsidRPr="001C36C1">
        <w:rPr>
          <w:color w:val="000000"/>
        </w:rPr>
        <w:t>subsection 912D</w:t>
      </w:r>
      <w:r w:rsidR="000F0A1C" w:rsidRPr="001C36C1">
        <w:rPr>
          <w:color w:val="000000"/>
        </w:rPr>
        <w:t>(4)</w:t>
      </w:r>
      <w:r w:rsidR="00C270AC" w:rsidRPr="001C36C1">
        <w:rPr>
          <w:color w:val="000000"/>
        </w:rPr>
        <w:t xml:space="preserve"> of the Corporations Act or subsection 50A(4) of the C</w:t>
      </w:r>
      <w:r w:rsidR="009511BC" w:rsidRPr="001C36C1">
        <w:rPr>
          <w:color w:val="000000"/>
        </w:rPr>
        <w:t>redit Act</w:t>
      </w:r>
      <w:r w:rsidR="00C270AC" w:rsidRPr="001C36C1">
        <w:rPr>
          <w:color w:val="000000"/>
        </w:rPr>
        <w:t xml:space="preserve">. </w:t>
      </w:r>
      <w:r w:rsidR="00120741" w:rsidRPr="001C36C1">
        <w:rPr>
          <w:rStyle w:val="CommentReference"/>
          <w:rFonts w:eastAsia="Calibri"/>
          <w:sz w:val="24"/>
          <w:szCs w:val="24"/>
          <w:lang w:eastAsia="en-US"/>
        </w:rPr>
        <w:t xml:space="preserve">For example, a licensee cannot fail to report a contravention of the MDC provisions that results from a circumstance, such as an erroneous call centre script or organisational publication, </w:t>
      </w:r>
      <w:r w:rsidR="00AB1B94" w:rsidRPr="001C36C1">
        <w:rPr>
          <w:rStyle w:val="CommentReference"/>
          <w:rFonts w:eastAsia="Calibri"/>
          <w:sz w:val="24"/>
          <w:szCs w:val="24"/>
          <w:lang w:eastAsia="en-US"/>
        </w:rPr>
        <w:t>which</w:t>
      </w:r>
      <w:r w:rsidR="00120741" w:rsidRPr="001C36C1">
        <w:rPr>
          <w:rStyle w:val="CommentReference"/>
          <w:rFonts w:eastAsia="Calibri"/>
          <w:sz w:val="24"/>
          <w:szCs w:val="24"/>
          <w:lang w:eastAsia="en-US"/>
        </w:rPr>
        <w:t xml:space="preserve"> has</w:t>
      </w:r>
      <w:r w:rsidR="00AB1B94" w:rsidRPr="001C36C1">
        <w:rPr>
          <w:rStyle w:val="CommentReference"/>
          <w:rFonts w:eastAsia="Calibri"/>
          <w:sz w:val="24"/>
          <w:szCs w:val="24"/>
          <w:lang w:eastAsia="en-US"/>
        </w:rPr>
        <w:t xml:space="preserve"> resulted</w:t>
      </w:r>
      <w:r w:rsidR="00120741" w:rsidRPr="001C36C1">
        <w:rPr>
          <w:rStyle w:val="CommentReference"/>
          <w:rFonts w:eastAsia="Calibri"/>
          <w:sz w:val="24"/>
          <w:szCs w:val="24"/>
          <w:lang w:eastAsia="en-US"/>
        </w:rPr>
        <w:t xml:space="preserve">, or is likely to </w:t>
      </w:r>
      <w:r w:rsidR="00AB1B94" w:rsidRPr="001C36C1">
        <w:rPr>
          <w:rStyle w:val="CommentReference"/>
          <w:rFonts w:eastAsia="Calibri"/>
          <w:sz w:val="24"/>
          <w:szCs w:val="24"/>
          <w:lang w:eastAsia="en-US"/>
        </w:rPr>
        <w:t xml:space="preserve">result, in </w:t>
      </w:r>
      <w:r w:rsidR="00120741" w:rsidRPr="001C36C1">
        <w:rPr>
          <w:rStyle w:val="CommentReference"/>
          <w:rFonts w:eastAsia="Calibri"/>
          <w:sz w:val="24"/>
          <w:szCs w:val="24"/>
          <w:lang w:eastAsia="en-US"/>
        </w:rPr>
        <w:t>a further contravention or contraventions of the MDC provisions</w:t>
      </w:r>
      <w:r w:rsidR="00E97856" w:rsidRPr="001C36C1">
        <w:rPr>
          <w:rStyle w:val="CommentReference"/>
          <w:rFonts w:eastAsia="Calibri"/>
          <w:sz w:val="24"/>
          <w:szCs w:val="24"/>
          <w:lang w:eastAsia="en-US"/>
        </w:rPr>
        <w:t xml:space="preserve">. </w:t>
      </w:r>
    </w:p>
    <w:p w14:paraId="0B70694D" w14:textId="5F1BFF8B" w:rsidR="00D556A2" w:rsidRPr="001C36C1" w:rsidRDefault="00445390" w:rsidP="00D556A2">
      <w:pPr>
        <w:pStyle w:val="LI-BodyTextParaa"/>
        <w:ind w:left="567"/>
        <w:rPr>
          <w:rStyle w:val="CommentReference"/>
          <w:rFonts w:eastAsia="Calibri"/>
          <w:sz w:val="24"/>
          <w:szCs w:val="24"/>
          <w:lang w:eastAsia="en-US"/>
        </w:rPr>
      </w:pPr>
      <w:r w:rsidRPr="001C36C1">
        <w:rPr>
          <w:rStyle w:val="CommentReference"/>
          <w:rFonts w:eastAsia="Calibri"/>
          <w:sz w:val="24"/>
          <w:szCs w:val="24"/>
          <w:lang w:eastAsia="en-US"/>
        </w:rPr>
        <w:t>2</w:t>
      </w:r>
      <w:r w:rsidR="00532957" w:rsidRPr="001C36C1">
        <w:rPr>
          <w:rStyle w:val="CommentReference"/>
          <w:rFonts w:eastAsia="Calibri"/>
          <w:sz w:val="24"/>
          <w:szCs w:val="24"/>
          <w:lang w:eastAsia="en-US"/>
        </w:rPr>
        <w:t>5</w:t>
      </w:r>
      <w:r w:rsidRPr="001C36C1">
        <w:rPr>
          <w:rStyle w:val="CommentReference"/>
          <w:rFonts w:eastAsia="Calibri"/>
          <w:sz w:val="24"/>
          <w:szCs w:val="24"/>
          <w:lang w:eastAsia="en-US"/>
        </w:rPr>
        <w:t>.</w:t>
      </w:r>
      <w:r w:rsidRPr="001C36C1">
        <w:rPr>
          <w:rStyle w:val="CommentReference"/>
          <w:rFonts w:eastAsia="Calibri"/>
          <w:sz w:val="24"/>
          <w:szCs w:val="24"/>
          <w:lang w:eastAsia="en-US"/>
        </w:rPr>
        <w:tab/>
      </w:r>
      <w:r w:rsidR="00560A37" w:rsidRPr="001C36C1">
        <w:rPr>
          <w:rStyle w:val="CommentReference"/>
          <w:rFonts w:eastAsia="Calibri"/>
          <w:sz w:val="24"/>
          <w:szCs w:val="24"/>
          <w:lang w:eastAsia="en-US"/>
        </w:rPr>
        <w:t xml:space="preserve">Likewise, a licensee cannot fail to report a contravention that </w:t>
      </w:r>
      <w:r w:rsidR="00750D65" w:rsidRPr="001C36C1">
        <w:rPr>
          <w:rStyle w:val="CommentReference"/>
          <w:rFonts w:eastAsia="Calibri"/>
          <w:sz w:val="24"/>
          <w:szCs w:val="24"/>
          <w:lang w:eastAsia="en-US"/>
        </w:rPr>
        <w:t>has given rise, or would be likely to give rise,</w:t>
      </w:r>
      <w:r w:rsidR="00560A37" w:rsidRPr="001C36C1">
        <w:rPr>
          <w:rStyle w:val="CommentReference"/>
          <w:rFonts w:eastAsia="Calibri"/>
          <w:sz w:val="24"/>
          <w:szCs w:val="24"/>
          <w:lang w:eastAsia="en-US"/>
        </w:rPr>
        <w:t xml:space="preserve"> to a reportable situation </w:t>
      </w:r>
      <w:r w:rsidR="00B708E4" w:rsidRPr="001C36C1">
        <w:rPr>
          <w:color w:val="000000"/>
        </w:rPr>
        <w:t xml:space="preserve">pursuant to </w:t>
      </w:r>
      <w:r w:rsidR="009511BC" w:rsidRPr="001C36C1">
        <w:rPr>
          <w:color w:val="000000"/>
        </w:rPr>
        <w:t>subsection 912D(5) of the Corporations Act or subsection 50A(5) of the Credit Act.</w:t>
      </w:r>
      <w:r w:rsidR="00E25D33" w:rsidRPr="001C36C1">
        <w:rPr>
          <w:color w:val="000000"/>
        </w:rPr>
        <w:t xml:space="preserve"> </w:t>
      </w:r>
      <w:r w:rsidR="0003194A" w:rsidRPr="001C36C1">
        <w:rPr>
          <w:color w:val="000000"/>
        </w:rPr>
        <w:t xml:space="preserve">Examples are </w:t>
      </w:r>
      <w:r w:rsidR="004E754D" w:rsidRPr="001C36C1">
        <w:rPr>
          <w:color w:val="000000"/>
        </w:rPr>
        <w:t xml:space="preserve">a </w:t>
      </w:r>
      <w:r w:rsidR="0003194A" w:rsidRPr="001C36C1">
        <w:rPr>
          <w:color w:val="000000"/>
        </w:rPr>
        <w:t xml:space="preserve">contravention that is one of </w:t>
      </w:r>
      <w:r w:rsidR="00E24F67" w:rsidRPr="001C36C1">
        <w:rPr>
          <w:color w:val="000000"/>
        </w:rPr>
        <w:t xml:space="preserve">a series of </w:t>
      </w:r>
      <w:r w:rsidR="009C0460" w:rsidRPr="001C36C1">
        <w:rPr>
          <w:color w:val="000000"/>
        </w:rPr>
        <w:t xml:space="preserve">breaches of the MDC provisions, </w:t>
      </w:r>
      <w:r w:rsidR="004E754D" w:rsidRPr="001C36C1">
        <w:rPr>
          <w:color w:val="000000"/>
        </w:rPr>
        <w:t xml:space="preserve">a contravention that </w:t>
      </w:r>
      <w:r w:rsidR="009C0460" w:rsidRPr="001C36C1">
        <w:rPr>
          <w:color w:val="000000"/>
        </w:rPr>
        <w:t>has an impact on the licensee’s ability to provide the financial services covered by their Australian financial services licence or credit licence</w:t>
      </w:r>
      <w:r w:rsidR="004E754D" w:rsidRPr="001C36C1">
        <w:rPr>
          <w:color w:val="000000"/>
        </w:rPr>
        <w:t xml:space="preserve">, or a contravention </w:t>
      </w:r>
      <w:r w:rsidR="0068675C" w:rsidRPr="001C36C1">
        <w:rPr>
          <w:color w:val="000000"/>
        </w:rPr>
        <w:t xml:space="preserve">that indicates the licensee’s arrangements to ensure compliance with the MDC </w:t>
      </w:r>
      <w:r w:rsidR="00B52B35" w:rsidRPr="001C36C1">
        <w:rPr>
          <w:color w:val="000000"/>
        </w:rPr>
        <w:t>provisions are inadequate.</w:t>
      </w:r>
      <w:r w:rsidR="009C0460" w:rsidRPr="001C36C1">
        <w:rPr>
          <w:color w:val="000000"/>
        </w:rPr>
        <w:t xml:space="preserve"> </w:t>
      </w:r>
    </w:p>
    <w:p w14:paraId="392EF10B" w14:textId="562C61CF" w:rsidR="008C46C7" w:rsidRPr="001C36C1" w:rsidRDefault="00A54AD7" w:rsidP="00B44D09">
      <w:pPr>
        <w:pStyle w:val="LI-BodyTextParaa"/>
        <w:ind w:left="567"/>
        <w:rPr>
          <w:color w:val="000000"/>
        </w:rPr>
      </w:pPr>
      <w:r w:rsidRPr="001C36C1">
        <w:rPr>
          <w:color w:val="000000"/>
        </w:rPr>
        <w:t>2</w:t>
      </w:r>
      <w:r w:rsidR="00532957" w:rsidRPr="001C36C1">
        <w:rPr>
          <w:color w:val="000000"/>
        </w:rPr>
        <w:t>6</w:t>
      </w:r>
      <w:r w:rsidRPr="001C36C1">
        <w:rPr>
          <w:color w:val="000000"/>
        </w:rPr>
        <w:t>.</w:t>
      </w:r>
      <w:r w:rsidRPr="001C36C1">
        <w:rPr>
          <w:color w:val="000000"/>
        </w:rPr>
        <w:tab/>
        <w:t xml:space="preserve">If, </w:t>
      </w:r>
      <w:r w:rsidR="008A27D6" w:rsidRPr="001C36C1">
        <w:rPr>
          <w:color w:val="000000"/>
        </w:rPr>
        <w:t xml:space="preserve">after </w:t>
      </w:r>
      <w:r w:rsidR="00F64DE2" w:rsidRPr="001C36C1">
        <w:rPr>
          <w:color w:val="000000"/>
        </w:rPr>
        <w:t xml:space="preserve">identifying </w:t>
      </w:r>
      <w:r w:rsidRPr="001C36C1">
        <w:rPr>
          <w:color w:val="000000"/>
        </w:rPr>
        <w:t>an initial contravention of the MDC provisions, there is a subsequent contravention of those provisions</w:t>
      </w:r>
      <w:r w:rsidR="00D82904" w:rsidRPr="001C36C1">
        <w:rPr>
          <w:color w:val="000000"/>
        </w:rPr>
        <w:t xml:space="preserve"> resulting from the same underlying circumstances, the relief in new subsection 91</w:t>
      </w:r>
      <w:r w:rsidR="0029738D">
        <w:rPr>
          <w:color w:val="000000"/>
        </w:rPr>
        <w:t>2</w:t>
      </w:r>
      <w:r w:rsidR="00D82904" w:rsidRPr="001C36C1">
        <w:rPr>
          <w:color w:val="000000"/>
        </w:rPr>
        <w:t>D(4A) of the Corporations Act and new subsection 50A(4A) of the Credit Act ceases to apply</w:t>
      </w:r>
      <w:r w:rsidR="008A27D6" w:rsidRPr="001C36C1">
        <w:rPr>
          <w:color w:val="000000"/>
        </w:rPr>
        <w:t xml:space="preserve">. Accordingly, both the initial contravention and the subsequent contravention </w:t>
      </w:r>
      <w:r w:rsidR="00DA4142" w:rsidRPr="001C36C1">
        <w:rPr>
          <w:color w:val="000000"/>
        </w:rPr>
        <w:t>will give rise to a reportable situation</w:t>
      </w:r>
      <w:r w:rsidR="00C47F4E" w:rsidRPr="001C36C1">
        <w:rPr>
          <w:color w:val="000000"/>
        </w:rPr>
        <w:t xml:space="preserve"> at the time of the </w:t>
      </w:r>
      <w:r w:rsidR="001A64B9" w:rsidRPr="001C36C1">
        <w:rPr>
          <w:color w:val="000000"/>
        </w:rPr>
        <w:t>subsequent contravention</w:t>
      </w:r>
      <w:r w:rsidR="00DA4142" w:rsidRPr="001C36C1">
        <w:rPr>
          <w:color w:val="000000"/>
        </w:rPr>
        <w:t>.</w:t>
      </w:r>
      <w:r w:rsidR="001A64B9" w:rsidRPr="001C36C1">
        <w:rPr>
          <w:color w:val="000000"/>
        </w:rPr>
        <w:t xml:space="preserve"> </w:t>
      </w:r>
      <w:r w:rsidR="00AE0C69" w:rsidRPr="001C36C1">
        <w:rPr>
          <w:color w:val="000000"/>
        </w:rPr>
        <w:t xml:space="preserve">Licensees </w:t>
      </w:r>
      <w:r w:rsidR="002044F9" w:rsidRPr="001C36C1">
        <w:rPr>
          <w:color w:val="000000"/>
        </w:rPr>
        <w:t>must</w:t>
      </w:r>
      <w:r w:rsidR="00AE0C69" w:rsidRPr="001C36C1">
        <w:rPr>
          <w:color w:val="000000"/>
        </w:rPr>
        <w:t xml:space="preserve"> </w:t>
      </w:r>
      <w:r w:rsidR="00B03847" w:rsidRPr="001C36C1">
        <w:rPr>
          <w:color w:val="000000"/>
        </w:rPr>
        <w:t xml:space="preserve">lodge a </w:t>
      </w:r>
      <w:r w:rsidR="00AE0C69" w:rsidRPr="001C36C1">
        <w:rPr>
          <w:color w:val="000000"/>
        </w:rPr>
        <w:t>report</w:t>
      </w:r>
      <w:r w:rsidR="00B03847" w:rsidRPr="001C36C1">
        <w:rPr>
          <w:color w:val="000000"/>
        </w:rPr>
        <w:t xml:space="preserve"> with ASIC about the </w:t>
      </w:r>
      <w:r w:rsidR="001A64B9" w:rsidRPr="001C36C1">
        <w:rPr>
          <w:color w:val="000000"/>
        </w:rPr>
        <w:t>contraventions</w:t>
      </w:r>
      <w:r w:rsidR="002044F9" w:rsidRPr="001C36C1">
        <w:rPr>
          <w:color w:val="000000"/>
        </w:rPr>
        <w:t xml:space="preserve"> within the timeframes in </w:t>
      </w:r>
      <w:r w:rsidR="001A64B9" w:rsidRPr="001C36C1">
        <w:rPr>
          <w:color w:val="000000"/>
        </w:rPr>
        <w:t xml:space="preserve">subsection 912DAA(3) of the </w:t>
      </w:r>
      <w:r w:rsidR="001A64B9" w:rsidRPr="001C36C1">
        <w:rPr>
          <w:color w:val="000000"/>
        </w:rPr>
        <w:lastRenderedPageBreak/>
        <w:t>Corporations Act and subsection 50</w:t>
      </w:r>
      <w:r w:rsidR="00D11629" w:rsidRPr="001C36C1">
        <w:rPr>
          <w:color w:val="000000"/>
        </w:rPr>
        <w:t>B(4) of the Credit Act</w:t>
      </w:r>
      <w:r w:rsidR="008C46C7" w:rsidRPr="001C36C1">
        <w:rPr>
          <w:color w:val="000000"/>
        </w:rPr>
        <w:t xml:space="preserve"> (as amended by the Amendment Instrument).</w:t>
      </w:r>
    </w:p>
    <w:p w14:paraId="370EF7BF" w14:textId="5A1A32D6" w:rsidR="00E92C4F" w:rsidRPr="001C36C1" w:rsidRDefault="001D3FD1" w:rsidP="00E92C4F">
      <w:pPr>
        <w:pStyle w:val="LI-BodyTextParaa"/>
        <w:ind w:left="567"/>
        <w:rPr>
          <w:color w:val="000000"/>
        </w:rPr>
      </w:pPr>
      <w:r w:rsidRPr="001C36C1">
        <w:rPr>
          <w:color w:val="000000"/>
        </w:rPr>
        <w:t>2</w:t>
      </w:r>
      <w:r w:rsidR="00532957" w:rsidRPr="001C36C1">
        <w:rPr>
          <w:color w:val="000000"/>
        </w:rPr>
        <w:t>7</w:t>
      </w:r>
      <w:r w:rsidRPr="001C36C1">
        <w:rPr>
          <w:color w:val="000000"/>
        </w:rPr>
        <w:t>.</w:t>
      </w:r>
      <w:r w:rsidRPr="001C36C1">
        <w:rPr>
          <w:color w:val="000000"/>
        </w:rPr>
        <w:tab/>
      </w:r>
      <w:r w:rsidR="00E92C4F" w:rsidRPr="001C36C1">
        <w:rPr>
          <w:color w:val="000000"/>
        </w:rPr>
        <w:t xml:space="preserve">Underlying circumstances are the </w:t>
      </w:r>
      <w:r w:rsidR="003B58ED">
        <w:rPr>
          <w:color w:val="000000"/>
        </w:rPr>
        <w:t xml:space="preserve">factual circumstances of the relevant conduct </w:t>
      </w:r>
      <w:r w:rsidR="00CE0009">
        <w:rPr>
          <w:color w:val="000000"/>
        </w:rPr>
        <w:t xml:space="preserve">that </w:t>
      </w:r>
      <w:r w:rsidR="00FC5F6B">
        <w:rPr>
          <w:color w:val="000000"/>
        </w:rPr>
        <w:t xml:space="preserve">led to the reportable situation </w:t>
      </w:r>
      <w:r w:rsidR="003B58ED">
        <w:rPr>
          <w:color w:val="000000"/>
        </w:rPr>
        <w:t xml:space="preserve">and </w:t>
      </w:r>
      <w:r w:rsidR="00876F31">
        <w:rPr>
          <w:color w:val="000000"/>
        </w:rPr>
        <w:t>its</w:t>
      </w:r>
      <w:r w:rsidR="003B58ED">
        <w:rPr>
          <w:color w:val="000000"/>
        </w:rPr>
        <w:t xml:space="preserve"> </w:t>
      </w:r>
      <w:r w:rsidR="00E92C4F" w:rsidRPr="001C36C1">
        <w:rPr>
          <w:color w:val="000000"/>
        </w:rPr>
        <w:t xml:space="preserve">underlying cause(s) or ‘root cause(s)’ </w:t>
      </w:r>
      <w:r w:rsidR="004A22D1" w:rsidRPr="001C36C1">
        <w:rPr>
          <w:color w:val="000000"/>
        </w:rPr>
        <w:t>- see further</w:t>
      </w:r>
      <w:r w:rsidR="00E92C4F" w:rsidRPr="001C36C1">
        <w:rPr>
          <w:color w:val="000000"/>
        </w:rPr>
        <w:t xml:space="preserve"> the prescribed form available from the </w:t>
      </w:r>
      <w:r w:rsidR="00E92C4F" w:rsidRPr="00A625D8">
        <w:t>ASIC Regulatory Portal</w:t>
      </w:r>
      <w:r w:rsidR="00E92C4F" w:rsidRPr="001C36C1">
        <w:rPr>
          <w:color w:val="000000"/>
        </w:rPr>
        <w:t xml:space="preserve"> </w:t>
      </w:r>
      <w:r w:rsidR="00E92C4F" w:rsidRPr="00A625D8">
        <w:rPr>
          <w:color w:val="000000"/>
        </w:rPr>
        <w:t>(</w:t>
      </w:r>
      <w:hyperlink r:id="rId17" w:history="1">
        <w:r w:rsidR="00E92C4F" w:rsidRPr="00A625D8">
          <w:rPr>
            <w:rStyle w:val="Hyperlink"/>
          </w:rPr>
          <w:t>Portal</w:t>
        </w:r>
      </w:hyperlink>
      <w:r w:rsidR="00E92C4F" w:rsidRPr="00A625D8">
        <w:rPr>
          <w:color w:val="000000"/>
        </w:rPr>
        <w:t>)</w:t>
      </w:r>
      <w:r w:rsidR="00E01BB4">
        <w:rPr>
          <w:color w:val="000000"/>
        </w:rPr>
        <w:t xml:space="preserve"> and RG 78 Table 11</w:t>
      </w:r>
      <w:r w:rsidR="00E92C4F" w:rsidRPr="00A625D8">
        <w:rPr>
          <w:color w:val="000000"/>
        </w:rPr>
        <w:t>.</w:t>
      </w:r>
      <w:r w:rsidR="00E92C4F" w:rsidRPr="001C36C1">
        <w:rPr>
          <w:color w:val="000000"/>
        </w:rPr>
        <w:t xml:space="preserve"> Examples </w:t>
      </w:r>
      <w:r w:rsidR="00D83B71">
        <w:rPr>
          <w:color w:val="000000"/>
        </w:rPr>
        <w:t xml:space="preserve">are </w:t>
      </w:r>
      <w:r w:rsidR="001B2992">
        <w:rPr>
          <w:color w:val="000000"/>
        </w:rPr>
        <w:t>the</w:t>
      </w:r>
      <w:r w:rsidR="004B32BA">
        <w:rPr>
          <w:color w:val="000000"/>
        </w:rPr>
        <w:t xml:space="preserve"> failure to</w:t>
      </w:r>
      <w:r w:rsidR="00D83B71">
        <w:rPr>
          <w:color w:val="000000"/>
        </w:rPr>
        <w:t xml:space="preserve"> </w:t>
      </w:r>
      <w:r w:rsidR="003E0FAB">
        <w:rPr>
          <w:color w:val="000000"/>
        </w:rPr>
        <w:t>apply an aspect of</w:t>
      </w:r>
      <w:r w:rsidR="00F21506">
        <w:rPr>
          <w:color w:val="000000"/>
        </w:rPr>
        <w:t xml:space="preserve"> </w:t>
      </w:r>
      <w:r w:rsidR="00F0670D">
        <w:rPr>
          <w:color w:val="000000"/>
        </w:rPr>
        <w:t xml:space="preserve">product application </w:t>
      </w:r>
      <w:r w:rsidR="00952CFA">
        <w:rPr>
          <w:color w:val="000000"/>
        </w:rPr>
        <w:t>requirements due to staff negligence,</w:t>
      </w:r>
      <w:r w:rsidR="00BC63C1">
        <w:rPr>
          <w:color w:val="000000"/>
        </w:rPr>
        <w:t xml:space="preserve"> </w:t>
      </w:r>
      <w:r w:rsidR="00A52D95">
        <w:rPr>
          <w:color w:val="000000"/>
        </w:rPr>
        <w:t xml:space="preserve">staff misunderstanding of </w:t>
      </w:r>
      <w:r w:rsidR="00DC5351">
        <w:rPr>
          <w:color w:val="000000"/>
        </w:rPr>
        <w:t xml:space="preserve">the </w:t>
      </w:r>
      <w:r w:rsidR="00830D22">
        <w:rPr>
          <w:color w:val="000000"/>
        </w:rPr>
        <w:t>terms and conditions</w:t>
      </w:r>
      <w:r w:rsidR="00DC5351">
        <w:rPr>
          <w:color w:val="000000"/>
        </w:rPr>
        <w:t xml:space="preserve"> for a product that has meant </w:t>
      </w:r>
      <w:r w:rsidR="002C2C6F">
        <w:rPr>
          <w:color w:val="000000"/>
        </w:rPr>
        <w:t xml:space="preserve">a </w:t>
      </w:r>
      <w:r w:rsidR="00FF3751">
        <w:rPr>
          <w:color w:val="000000"/>
        </w:rPr>
        <w:t>consumer</w:t>
      </w:r>
      <w:r w:rsidR="002C2C6F">
        <w:rPr>
          <w:color w:val="000000"/>
        </w:rPr>
        <w:t xml:space="preserve"> </w:t>
      </w:r>
      <w:r w:rsidR="00785AC8">
        <w:rPr>
          <w:color w:val="000000"/>
        </w:rPr>
        <w:t>is</w:t>
      </w:r>
      <w:r w:rsidR="00D1376B">
        <w:rPr>
          <w:color w:val="000000"/>
        </w:rPr>
        <w:t xml:space="preserve"> </w:t>
      </w:r>
      <w:r w:rsidR="00785AC8">
        <w:rPr>
          <w:color w:val="000000"/>
        </w:rPr>
        <w:t>given incorrect advice</w:t>
      </w:r>
      <w:r w:rsidR="00830D22">
        <w:rPr>
          <w:color w:val="000000"/>
        </w:rPr>
        <w:t xml:space="preserve">, </w:t>
      </w:r>
      <w:r w:rsidR="002A6755">
        <w:rPr>
          <w:color w:val="000000"/>
        </w:rPr>
        <w:t xml:space="preserve">a </w:t>
      </w:r>
      <w:r w:rsidR="00E92C4F" w:rsidRPr="001C36C1">
        <w:rPr>
          <w:color w:val="000000"/>
        </w:rPr>
        <w:t xml:space="preserve">systems deficiency </w:t>
      </w:r>
      <w:r w:rsidR="0000236B">
        <w:rPr>
          <w:color w:val="000000"/>
        </w:rPr>
        <w:t xml:space="preserve">that has resulted in </w:t>
      </w:r>
      <w:r w:rsidR="008E225F">
        <w:rPr>
          <w:color w:val="000000"/>
        </w:rPr>
        <w:t xml:space="preserve">a particular error </w:t>
      </w:r>
      <w:r w:rsidR="00D65DB9">
        <w:rPr>
          <w:color w:val="000000"/>
        </w:rPr>
        <w:t>and a process def</w:t>
      </w:r>
      <w:r w:rsidR="002E011C">
        <w:rPr>
          <w:color w:val="000000"/>
        </w:rPr>
        <w:t xml:space="preserve">ect causing </w:t>
      </w:r>
      <w:r w:rsidR="00C51FC1">
        <w:rPr>
          <w:color w:val="000000"/>
        </w:rPr>
        <w:t>a</w:t>
      </w:r>
      <w:r w:rsidR="00D65DB9">
        <w:rPr>
          <w:color w:val="000000"/>
        </w:rPr>
        <w:t xml:space="preserve"> </w:t>
      </w:r>
      <w:r w:rsidR="007C7DD3">
        <w:rPr>
          <w:color w:val="000000"/>
        </w:rPr>
        <w:t>misrepresentation due to</w:t>
      </w:r>
      <w:r w:rsidR="00273267">
        <w:rPr>
          <w:color w:val="000000"/>
        </w:rPr>
        <w:t xml:space="preserve"> inadequate management controls when designing the process</w:t>
      </w:r>
      <w:r w:rsidR="00E92C4F" w:rsidRPr="001C36C1">
        <w:rPr>
          <w:color w:val="000000"/>
        </w:rPr>
        <w:t>.</w:t>
      </w:r>
    </w:p>
    <w:p w14:paraId="28F4224F" w14:textId="5A0AEE93" w:rsidR="0066394A" w:rsidRPr="001C36C1" w:rsidRDefault="00D13CE9" w:rsidP="00B44D09">
      <w:pPr>
        <w:pStyle w:val="LI-BodyTextParaa"/>
        <w:ind w:left="567"/>
        <w:rPr>
          <w:color w:val="000000"/>
        </w:rPr>
      </w:pPr>
      <w:r w:rsidRPr="001C36C1">
        <w:rPr>
          <w:color w:val="000000"/>
        </w:rPr>
        <w:t>2</w:t>
      </w:r>
      <w:r w:rsidR="00532957" w:rsidRPr="001C36C1">
        <w:rPr>
          <w:color w:val="000000"/>
        </w:rPr>
        <w:t>8</w:t>
      </w:r>
      <w:r w:rsidRPr="001C36C1">
        <w:rPr>
          <w:color w:val="000000"/>
        </w:rPr>
        <w:t>.</w:t>
      </w:r>
      <w:r w:rsidRPr="001C36C1">
        <w:rPr>
          <w:color w:val="000000"/>
        </w:rPr>
        <w:tab/>
        <w:t>The second condition</w:t>
      </w:r>
      <w:r w:rsidR="00DA2EE6" w:rsidRPr="001C36C1">
        <w:rPr>
          <w:color w:val="000000"/>
        </w:rPr>
        <w:t xml:space="preserve"> under the Amendment Instrument</w:t>
      </w:r>
      <w:r w:rsidR="0068369B" w:rsidRPr="001C36C1">
        <w:rPr>
          <w:color w:val="000000"/>
        </w:rPr>
        <w:t xml:space="preserve"> is that</w:t>
      </w:r>
      <w:r w:rsidR="00A101B7" w:rsidRPr="001C36C1">
        <w:rPr>
          <w:color w:val="000000"/>
        </w:rPr>
        <w:t xml:space="preserve"> </w:t>
      </w:r>
      <w:r w:rsidR="00FA79AF" w:rsidRPr="001C36C1">
        <w:rPr>
          <w:color w:val="000000"/>
        </w:rPr>
        <w:t xml:space="preserve">only one consumer must </w:t>
      </w:r>
      <w:r w:rsidR="00A101B7" w:rsidRPr="001C36C1">
        <w:rPr>
          <w:color w:val="000000"/>
        </w:rPr>
        <w:t xml:space="preserve">typically </w:t>
      </w:r>
      <w:r w:rsidR="00FA79AF" w:rsidRPr="001C36C1">
        <w:rPr>
          <w:color w:val="000000"/>
        </w:rPr>
        <w:t>be, or be likely to be, impacted by the breach</w:t>
      </w:r>
      <w:r w:rsidR="00004918" w:rsidRPr="001C36C1">
        <w:rPr>
          <w:color w:val="000000"/>
        </w:rPr>
        <w:t xml:space="preserve">: see new paragraph 912D(4A)(b) of the Corporations Act and new paragraph 50A(4A)(b) of the Credit Act. </w:t>
      </w:r>
      <w:r w:rsidR="00A101B7" w:rsidRPr="001C36C1">
        <w:rPr>
          <w:color w:val="000000"/>
        </w:rPr>
        <w:t xml:space="preserve">The exception is where the contravention of the MDC provisions relates to a </w:t>
      </w:r>
      <w:r w:rsidR="00BB28FD" w:rsidRPr="001C36C1">
        <w:rPr>
          <w:color w:val="000000"/>
        </w:rPr>
        <w:t>product that is, or that is proposed to be, held by more than one person jointly</w:t>
      </w:r>
      <w:r w:rsidR="009625B7" w:rsidRPr="001C36C1">
        <w:rPr>
          <w:color w:val="000000"/>
        </w:rPr>
        <w:t xml:space="preserve">: see </w:t>
      </w:r>
      <w:r w:rsidR="00713E91" w:rsidRPr="001C36C1">
        <w:rPr>
          <w:color w:val="000000"/>
        </w:rPr>
        <w:t xml:space="preserve"> </w:t>
      </w:r>
      <w:r w:rsidR="009625B7" w:rsidRPr="001C36C1">
        <w:rPr>
          <w:color w:val="000000"/>
        </w:rPr>
        <w:t xml:space="preserve">subparagraph 912D(4A)(b)(ii) and </w:t>
      </w:r>
      <w:r w:rsidR="00713E91" w:rsidRPr="001C36C1">
        <w:rPr>
          <w:color w:val="000000"/>
        </w:rPr>
        <w:t>subparagraph 50A</w:t>
      </w:r>
      <w:r w:rsidR="00326FEB" w:rsidRPr="001C36C1">
        <w:rPr>
          <w:color w:val="000000"/>
        </w:rPr>
        <w:t>(4A)(b)(ii)</w:t>
      </w:r>
      <w:r w:rsidR="00BB28FD" w:rsidRPr="001C36C1">
        <w:rPr>
          <w:color w:val="000000"/>
        </w:rPr>
        <w:t xml:space="preserve">. </w:t>
      </w:r>
      <w:r w:rsidR="0066394A" w:rsidRPr="001C36C1">
        <w:rPr>
          <w:color w:val="000000"/>
        </w:rPr>
        <w:t xml:space="preserve">Products for this purpose are a financial product (within the meaning of section 9 of the Corporations Act) or a credit contract, consumer lease, mortgage or guarantee (within the meaning of section 5 of the Credit Act). </w:t>
      </w:r>
    </w:p>
    <w:p w14:paraId="62AD2908" w14:textId="30DE8AED" w:rsidR="004E7E80" w:rsidRPr="001C36C1" w:rsidRDefault="0066394A" w:rsidP="00B44D09">
      <w:pPr>
        <w:pStyle w:val="LI-BodyTextParaa"/>
        <w:ind w:left="567"/>
        <w:rPr>
          <w:color w:val="000000"/>
        </w:rPr>
      </w:pPr>
      <w:r w:rsidRPr="001C36C1">
        <w:rPr>
          <w:color w:val="000000"/>
        </w:rPr>
        <w:t>2</w:t>
      </w:r>
      <w:r w:rsidR="00532957" w:rsidRPr="001C36C1">
        <w:rPr>
          <w:color w:val="000000"/>
        </w:rPr>
        <w:t>9</w:t>
      </w:r>
      <w:r w:rsidRPr="001C36C1">
        <w:rPr>
          <w:color w:val="000000"/>
        </w:rPr>
        <w:t>.</w:t>
      </w:r>
      <w:r w:rsidRPr="001C36C1">
        <w:rPr>
          <w:color w:val="000000"/>
        </w:rPr>
        <w:tab/>
      </w:r>
      <w:r w:rsidR="00BB28FD" w:rsidRPr="001C36C1">
        <w:rPr>
          <w:color w:val="000000"/>
        </w:rPr>
        <w:t>I</w:t>
      </w:r>
      <w:r w:rsidR="006F1E3E" w:rsidRPr="001C36C1">
        <w:rPr>
          <w:color w:val="000000"/>
        </w:rPr>
        <w:t xml:space="preserve">f a </w:t>
      </w:r>
      <w:r w:rsidRPr="001C36C1">
        <w:rPr>
          <w:color w:val="000000"/>
        </w:rPr>
        <w:t xml:space="preserve">product is to be jointly held, </w:t>
      </w:r>
      <w:r w:rsidR="00BE0770" w:rsidRPr="001C36C1">
        <w:rPr>
          <w:color w:val="000000"/>
        </w:rPr>
        <w:t xml:space="preserve">the persons </w:t>
      </w:r>
      <w:r w:rsidR="00652438" w:rsidRPr="001C36C1">
        <w:rPr>
          <w:color w:val="000000"/>
        </w:rPr>
        <w:t xml:space="preserve">that are, or will be, the </w:t>
      </w:r>
      <w:r w:rsidRPr="001C36C1">
        <w:rPr>
          <w:color w:val="000000"/>
        </w:rPr>
        <w:t xml:space="preserve">persons that </w:t>
      </w:r>
      <w:r w:rsidR="00652438" w:rsidRPr="001C36C1">
        <w:rPr>
          <w:color w:val="000000"/>
        </w:rPr>
        <w:t xml:space="preserve"> hold the product </w:t>
      </w:r>
      <w:r w:rsidR="00BE0770" w:rsidRPr="001C36C1">
        <w:rPr>
          <w:color w:val="000000"/>
        </w:rPr>
        <w:t>must be the only pe</w:t>
      </w:r>
      <w:r w:rsidR="00252E44" w:rsidRPr="001C36C1">
        <w:rPr>
          <w:color w:val="000000"/>
        </w:rPr>
        <w:t>rsons</w:t>
      </w:r>
      <w:r w:rsidR="00BE0770" w:rsidRPr="001C36C1">
        <w:rPr>
          <w:color w:val="000000"/>
        </w:rPr>
        <w:t xml:space="preserve"> who are, or are likely to be, impacted by the </w:t>
      </w:r>
      <w:r w:rsidR="00C16B16" w:rsidRPr="001C36C1">
        <w:rPr>
          <w:color w:val="000000"/>
        </w:rPr>
        <w:t>MDC provisions contravention</w:t>
      </w:r>
      <w:r w:rsidR="00BE0770" w:rsidRPr="001C36C1">
        <w:rPr>
          <w:color w:val="000000"/>
        </w:rPr>
        <w:t xml:space="preserve">. </w:t>
      </w:r>
      <w:r w:rsidR="004E7E80" w:rsidRPr="001C36C1">
        <w:rPr>
          <w:color w:val="000000"/>
        </w:rPr>
        <w:t>Impact for th</w:t>
      </w:r>
      <w:r w:rsidR="001B0844" w:rsidRPr="001C36C1">
        <w:rPr>
          <w:color w:val="000000"/>
        </w:rPr>
        <w:t>e</w:t>
      </w:r>
      <w:r w:rsidR="004E7E80" w:rsidRPr="001C36C1">
        <w:rPr>
          <w:color w:val="000000"/>
        </w:rPr>
        <w:t xml:space="preserve"> purpose</w:t>
      </w:r>
      <w:r w:rsidR="001B0844" w:rsidRPr="001C36C1">
        <w:rPr>
          <w:color w:val="000000"/>
        </w:rPr>
        <w:t xml:space="preserve">s of </w:t>
      </w:r>
      <w:r w:rsidR="00185664">
        <w:rPr>
          <w:color w:val="000000"/>
        </w:rPr>
        <w:t xml:space="preserve">the </w:t>
      </w:r>
      <w:r w:rsidR="001B0844" w:rsidRPr="001C36C1">
        <w:rPr>
          <w:color w:val="000000"/>
        </w:rPr>
        <w:t>new paragraph 912D(4A)</w:t>
      </w:r>
      <w:r w:rsidR="00D95AEE" w:rsidRPr="001C36C1">
        <w:rPr>
          <w:color w:val="000000"/>
        </w:rPr>
        <w:t>(b)</w:t>
      </w:r>
      <w:r w:rsidR="001B0844" w:rsidRPr="001C36C1">
        <w:rPr>
          <w:color w:val="000000"/>
        </w:rPr>
        <w:t xml:space="preserve"> and </w:t>
      </w:r>
      <w:r w:rsidR="00C16B16" w:rsidRPr="001C36C1">
        <w:rPr>
          <w:color w:val="000000"/>
        </w:rPr>
        <w:t xml:space="preserve">new </w:t>
      </w:r>
      <w:r w:rsidR="00D95AEE" w:rsidRPr="001C36C1">
        <w:rPr>
          <w:color w:val="000000"/>
        </w:rPr>
        <w:t>paragraph 50A(4A)(b)</w:t>
      </w:r>
      <w:r w:rsidR="004E7E80" w:rsidRPr="001C36C1">
        <w:rPr>
          <w:color w:val="000000"/>
        </w:rPr>
        <w:t xml:space="preserve"> is whether the consumer was misled or deceived </w:t>
      </w:r>
      <w:r w:rsidR="00286C95" w:rsidRPr="001C36C1">
        <w:rPr>
          <w:color w:val="000000"/>
        </w:rPr>
        <w:t xml:space="preserve">as a result of the </w:t>
      </w:r>
      <w:r w:rsidR="00A71D67" w:rsidRPr="001C36C1">
        <w:rPr>
          <w:color w:val="000000"/>
        </w:rPr>
        <w:t>breach or the recipient of a false or misleading representation</w:t>
      </w:r>
      <w:r w:rsidR="00286C95" w:rsidRPr="001C36C1">
        <w:rPr>
          <w:color w:val="000000"/>
        </w:rPr>
        <w:t xml:space="preserve"> to which the </w:t>
      </w:r>
      <w:r w:rsidR="00A445F1" w:rsidRPr="001C36C1">
        <w:rPr>
          <w:color w:val="000000"/>
        </w:rPr>
        <w:t xml:space="preserve">breach relates: see </w:t>
      </w:r>
      <w:r w:rsidR="00444B56" w:rsidRPr="001C36C1">
        <w:rPr>
          <w:color w:val="000000"/>
        </w:rPr>
        <w:t xml:space="preserve">new </w:t>
      </w:r>
      <w:r w:rsidR="00A445F1" w:rsidRPr="001C36C1">
        <w:rPr>
          <w:color w:val="000000"/>
        </w:rPr>
        <w:t xml:space="preserve">paragraph 912D(4B)(b) of the Corporations Act and paragraph </w:t>
      </w:r>
      <w:r w:rsidR="00B44598" w:rsidRPr="001C36C1">
        <w:rPr>
          <w:color w:val="000000"/>
        </w:rPr>
        <w:t>50A(4B)(b) of the Credit Act</w:t>
      </w:r>
      <w:r w:rsidR="00A71D67" w:rsidRPr="001C36C1">
        <w:rPr>
          <w:color w:val="000000"/>
        </w:rPr>
        <w:t>.</w:t>
      </w:r>
      <w:r w:rsidR="00CD249C" w:rsidRPr="001C36C1">
        <w:rPr>
          <w:color w:val="000000"/>
        </w:rPr>
        <w:t xml:space="preserve"> </w:t>
      </w:r>
    </w:p>
    <w:p w14:paraId="730CD629" w14:textId="06634408" w:rsidR="00A71D67" w:rsidRPr="001C36C1" w:rsidRDefault="00532957" w:rsidP="00B44D09">
      <w:pPr>
        <w:pStyle w:val="LI-BodyTextParaa"/>
        <w:ind w:left="567"/>
        <w:rPr>
          <w:color w:val="000000"/>
        </w:rPr>
      </w:pPr>
      <w:r w:rsidRPr="001C36C1">
        <w:rPr>
          <w:color w:val="000000"/>
        </w:rPr>
        <w:t>30</w:t>
      </w:r>
      <w:r w:rsidR="00A71D67" w:rsidRPr="001C36C1">
        <w:rPr>
          <w:color w:val="000000"/>
        </w:rPr>
        <w:t>.</w:t>
      </w:r>
      <w:r w:rsidR="00A71D67" w:rsidRPr="001C36C1">
        <w:rPr>
          <w:color w:val="000000"/>
        </w:rPr>
        <w:tab/>
      </w:r>
      <w:r w:rsidR="00BA74B7" w:rsidRPr="001C36C1">
        <w:rPr>
          <w:color w:val="000000"/>
        </w:rPr>
        <w:t>The number of c</w:t>
      </w:r>
      <w:r w:rsidR="0003254B" w:rsidRPr="001C36C1">
        <w:rPr>
          <w:color w:val="000000"/>
        </w:rPr>
        <w:t xml:space="preserve">onsumers </w:t>
      </w:r>
      <w:r w:rsidR="00EB7C56" w:rsidRPr="001C36C1">
        <w:rPr>
          <w:color w:val="000000"/>
        </w:rPr>
        <w:t xml:space="preserve">is not </w:t>
      </w:r>
      <w:r w:rsidR="00BA74B7" w:rsidRPr="001C36C1">
        <w:rPr>
          <w:color w:val="000000"/>
        </w:rPr>
        <w:t xml:space="preserve">one where the misleading and deceptive conduct </w:t>
      </w:r>
      <w:r w:rsidR="0003254B" w:rsidRPr="001C36C1">
        <w:rPr>
          <w:color w:val="000000"/>
        </w:rPr>
        <w:t xml:space="preserve">or false or misleading representation </w:t>
      </w:r>
      <w:r w:rsidR="00810A5F" w:rsidRPr="001C36C1">
        <w:rPr>
          <w:color w:val="000000"/>
        </w:rPr>
        <w:t xml:space="preserve">is made as part of a </w:t>
      </w:r>
      <w:r w:rsidR="00BA74B7" w:rsidRPr="001C36C1">
        <w:rPr>
          <w:color w:val="000000"/>
        </w:rPr>
        <w:t>wider public communication such as advertising</w:t>
      </w:r>
      <w:r w:rsidR="00B14EA8" w:rsidRPr="001C36C1">
        <w:rPr>
          <w:color w:val="000000"/>
        </w:rPr>
        <w:t>, website</w:t>
      </w:r>
      <w:r w:rsidR="00810A5F" w:rsidRPr="001C36C1">
        <w:rPr>
          <w:color w:val="000000"/>
        </w:rPr>
        <w:t xml:space="preserve"> or</w:t>
      </w:r>
      <w:r w:rsidR="00BA74B7" w:rsidRPr="001C36C1">
        <w:rPr>
          <w:color w:val="000000"/>
        </w:rPr>
        <w:t xml:space="preserve"> product or market disclosure</w:t>
      </w:r>
      <w:r w:rsidR="00810A5F" w:rsidRPr="001C36C1">
        <w:rPr>
          <w:color w:val="000000"/>
        </w:rPr>
        <w:t xml:space="preserve">. There is also not only one consumer if the </w:t>
      </w:r>
      <w:r w:rsidR="00BA74B7" w:rsidRPr="001C36C1">
        <w:rPr>
          <w:color w:val="000000"/>
        </w:rPr>
        <w:t xml:space="preserve">number of consumers </w:t>
      </w:r>
      <w:r w:rsidR="00EB7C56" w:rsidRPr="001C36C1">
        <w:rPr>
          <w:color w:val="000000"/>
        </w:rPr>
        <w:t xml:space="preserve">that are, or likely to be, impacted by the contravention of the MDC provisions is </w:t>
      </w:r>
      <w:r w:rsidR="00BA74B7" w:rsidRPr="001C36C1">
        <w:rPr>
          <w:color w:val="000000"/>
        </w:rPr>
        <w:t>not discernible.</w:t>
      </w:r>
      <w:r w:rsidR="00E76226" w:rsidRPr="001C36C1">
        <w:rPr>
          <w:color w:val="000000"/>
        </w:rPr>
        <w:t xml:space="preserve"> L</w:t>
      </w:r>
      <w:r w:rsidR="0003254B" w:rsidRPr="001C36C1">
        <w:rPr>
          <w:color w:val="000000"/>
        </w:rPr>
        <w:t xml:space="preserve">icensees </w:t>
      </w:r>
      <w:r w:rsidR="00E76226" w:rsidRPr="001C36C1">
        <w:rPr>
          <w:color w:val="000000"/>
        </w:rPr>
        <w:t xml:space="preserve">must still report </w:t>
      </w:r>
      <w:r w:rsidR="0003254B" w:rsidRPr="001C36C1">
        <w:rPr>
          <w:color w:val="000000"/>
        </w:rPr>
        <w:t xml:space="preserve">any </w:t>
      </w:r>
      <w:r w:rsidR="00E76226" w:rsidRPr="001C36C1">
        <w:rPr>
          <w:color w:val="000000"/>
        </w:rPr>
        <w:t>contraventions of the MDC provisions that occur in these circumstances</w:t>
      </w:r>
      <w:r w:rsidR="0003254B" w:rsidRPr="001C36C1">
        <w:rPr>
          <w:color w:val="000000"/>
        </w:rPr>
        <w:t>.</w:t>
      </w:r>
    </w:p>
    <w:p w14:paraId="3C12EDBF" w14:textId="08460A0B" w:rsidR="002C42A9" w:rsidRPr="001C36C1" w:rsidRDefault="00532957" w:rsidP="002C42A9">
      <w:pPr>
        <w:pStyle w:val="LI-BodyTextParaa"/>
        <w:ind w:left="567"/>
        <w:rPr>
          <w:color w:val="000000"/>
        </w:rPr>
      </w:pPr>
      <w:r w:rsidRPr="001C36C1">
        <w:rPr>
          <w:color w:val="000000"/>
        </w:rPr>
        <w:t>31</w:t>
      </w:r>
      <w:r w:rsidR="007F07F0" w:rsidRPr="001C36C1">
        <w:rPr>
          <w:color w:val="000000"/>
        </w:rPr>
        <w:t>.</w:t>
      </w:r>
      <w:r w:rsidR="007F07F0" w:rsidRPr="001C36C1">
        <w:rPr>
          <w:color w:val="000000"/>
        </w:rPr>
        <w:tab/>
        <w:t xml:space="preserve">The third condition is that </w:t>
      </w:r>
      <w:r w:rsidR="00757093" w:rsidRPr="001C36C1">
        <w:rPr>
          <w:color w:val="000000"/>
        </w:rPr>
        <w:t xml:space="preserve">the breach must not </w:t>
      </w:r>
      <w:r w:rsidR="00B621E4" w:rsidRPr="001C36C1">
        <w:rPr>
          <w:color w:val="000000"/>
        </w:rPr>
        <w:t xml:space="preserve">have resulted in, and be unlikely to result in, </w:t>
      </w:r>
      <w:r w:rsidR="00146D0F" w:rsidRPr="001C36C1">
        <w:rPr>
          <w:color w:val="000000"/>
        </w:rPr>
        <w:t>financial loss or damage</w:t>
      </w:r>
      <w:r w:rsidR="00154B0D">
        <w:rPr>
          <w:color w:val="000000"/>
        </w:rPr>
        <w:t xml:space="preserve"> to any person</w:t>
      </w:r>
      <w:r w:rsidR="00CE136F" w:rsidRPr="001C36C1">
        <w:rPr>
          <w:color w:val="000000"/>
        </w:rPr>
        <w:t xml:space="preserve">. This includes </w:t>
      </w:r>
      <w:r w:rsidR="009E6BE7">
        <w:rPr>
          <w:color w:val="000000"/>
        </w:rPr>
        <w:t xml:space="preserve">immediate or </w:t>
      </w:r>
      <w:r w:rsidR="00CA42A0">
        <w:rPr>
          <w:color w:val="000000"/>
        </w:rPr>
        <w:t>f</w:t>
      </w:r>
      <w:r w:rsidR="007B47E1">
        <w:rPr>
          <w:color w:val="000000"/>
        </w:rPr>
        <w:t>uture</w:t>
      </w:r>
      <w:r w:rsidR="00CA42A0">
        <w:rPr>
          <w:color w:val="000000"/>
        </w:rPr>
        <w:t xml:space="preserve"> financial loss or damage and extends to loss or damage to a person other than </w:t>
      </w:r>
      <w:r w:rsidR="000F018B">
        <w:rPr>
          <w:color w:val="000000"/>
        </w:rPr>
        <w:t>the relevant consumer that has been misled or deceived, or been the recipient of the false or misleading representation. F</w:t>
      </w:r>
      <w:r w:rsidR="00CE136F" w:rsidRPr="001C36C1">
        <w:rPr>
          <w:color w:val="000000"/>
        </w:rPr>
        <w:t>inancial loss o</w:t>
      </w:r>
      <w:r w:rsidR="00060D40">
        <w:rPr>
          <w:color w:val="000000"/>
        </w:rPr>
        <w:t>r</w:t>
      </w:r>
      <w:r w:rsidR="00CE136F" w:rsidRPr="001C36C1">
        <w:rPr>
          <w:color w:val="000000"/>
        </w:rPr>
        <w:t xml:space="preserve"> damage </w:t>
      </w:r>
      <w:r w:rsidR="000F018B">
        <w:rPr>
          <w:color w:val="000000"/>
        </w:rPr>
        <w:t xml:space="preserve">exists </w:t>
      </w:r>
      <w:r w:rsidR="00F03F5D" w:rsidRPr="001C36C1">
        <w:rPr>
          <w:color w:val="000000"/>
        </w:rPr>
        <w:t xml:space="preserve">irrespective of whether </w:t>
      </w:r>
      <w:r w:rsidR="00116D61" w:rsidRPr="001C36C1">
        <w:rPr>
          <w:color w:val="000000"/>
        </w:rPr>
        <w:t>the loss or damage</w:t>
      </w:r>
      <w:r w:rsidR="00F03F5D" w:rsidRPr="001C36C1">
        <w:rPr>
          <w:color w:val="000000"/>
        </w:rPr>
        <w:t xml:space="preserve"> has been, will, or may be, remediated</w:t>
      </w:r>
      <w:r w:rsidR="00EE109E" w:rsidRPr="001C36C1">
        <w:rPr>
          <w:color w:val="000000"/>
        </w:rPr>
        <w:t xml:space="preserve">: see new </w:t>
      </w:r>
      <w:r w:rsidR="0078566C" w:rsidRPr="001C36C1">
        <w:rPr>
          <w:color w:val="000000"/>
        </w:rPr>
        <w:t>paragraph 912D(4A)(c) of the Corporations Act and paragraph 50A(4A)(</w:t>
      </w:r>
      <w:r w:rsidR="003B3C10" w:rsidRPr="001C36C1">
        <w:rPr>
          <w:color w:val="000000"/>
        </w:rPr>
        <w:t>c) of the Credit Act</w:t>
      </w:r>
      <w:r w:rsidR="002C42A9" w:rsidRPr="001C36C1">
        <w:rPr>
          <w:color w:val="000000"/>
        </w:rPr>
        <w:t xml:space="preserve">. </w:t>
      </w:r>
    </w:p>
    <w:p w14:paraId="56525849" w14:textId="1181ADA1" w:rsidR="00C16A58" w:rsidRPr="001C36C1" w:rsidRDefault="00532957" w:rsidP="00C16A58">
      <w:pPr>
        <w:pStyle w:val="LI-BodyTextParaa"/>
        <w:ind w:left="567"/>
        <w:rPr>
          <w:color w:val="000000"/>
        </w:rPr>
      </w:pPr>
      <w:r w:rsidRPr="001C36C1">
        <w:rPr>
          <w:color w:val="000000"/>
        </w:rPr>
        <w:lastRenderedPageBreak/>
        <w:t>3</w:t>
      </w:r>
      <w:r w:rsidR="003B2AB4" w:rsidRPr="001C36C1">
        <w:rPr>
          <w:color w:val="000000"/>
        </w:rPr>
        <w:t>2</w:t>
      </w:r>
      <w:r w:rsidR="008B789F" w:rsidRPr="001C36C1">
        <w:rPr>
          <w:color w:val="000000"/>
        </w:rPr>
        <w:t>.</w:t>
      </w:r>
      <w:r w:rsidR="008B789F" w:rsidRPr="001C36C1">
        <w:rPr>
          <w:color w:val="000000"/>
        </w:rPr>
        <w:tab/>
      </w:r>
      <w:r w:rsidR="009B2618" w:rsidRPr="001C36C1">
        <w:rPr>
          <w:color w:val="000000"/>
        </w:rPr>
        <w:t>Provided they meet the c</w:t>
      </w:r>
      <w:r w:rsidR="008B0979" w:rsidRPr="001C36C1">
        <w:rPr>
          <w:color w:val="000000"/>
        </w:rPr>
        <w:t xml:space="preserve">ondition </w:t>
      </w:r>
      <w:r w:rsidR="009B2618" w:rsidRPr="001C36C1">
        <w:rPr>
          <w:color w:val="000000"/>
        </w:rPr>
        <w:t xml:space="preserve">to </w:t>
      </w:r>
      <w:r w:rsidR="00EC1592" w:rsidRPr="001C36C1">
        <w:rPr>
          <w:color w:val="000000"/>
        </w:rPr>
        <w:t xml:space="preserve">be a single reportable condition, </w:t>
      </w:r>
      <w:r w:rsidR="009B2618" w:rsidRPr="001C36C1">
        <w:rPr>
          <w:color w:val="000000"/>
        </w:rPr>
        <w:t>s</w:t>
      </w:r>
      <w:r w:rsidR="00C16A58" w:rsidRPr="001C36C1">
        <w:rPr>
          <w:color w:val="000000"/>
        </w:rPr>
        <w:t xml:space="preserve">ome examples of reportable situations </w:t>
      </w:r>
      <w:r w:rsidR="002746AF" w:rsidRPr="001C36C1">
        <w:rPr>
          <w:color w:val="000000"/>
        </w:rPr>
        <w:t xml:space="preserve">that would no longer </w:t>
      </w:r>
      <w:r w:rsidR="009A65C7" w:rsidRPr="001C36C1">
        <w:rPr>
          <w:color w:val="000000"/>
        </w:rPr>
        <w:t xml:space="preserve">automatically </w:t>
      </w:r>
      <w:r w:rsidR="002746AF" w:rsidRPr="001C36C1">
        <w:rPr>
          <w:color w:val="000000"/>
        </w:rPr>
        <w:t>be deemed significant</w:t>
      </w:r>
      <w:r w:rsidR="009A65C7" w:rsidRPr="001C36C1">
        <w:rPr>
          <w:color w:val="000000"/>
        </w:rPr>
        <w:t xml:space="preserve">, and therefore reportable, </w:t>
      </w:r>
      <w:r w:rsidR="002746AF" w:rsidRPr="001C36C1">
        <w:rPr>
          <w:color w:val="000000"/>
        </w:rPr>
        <w:t>under the new significance thre</w:t>
      </w:r>
      <w:r w:rsidR="008B4AAF" w:rsidRPr="001C36C1">
        <w:rPr>
          <w:color w:val="000000"/>
        </w:rPr>
        <w:t xml:space="preserve">sholds </w:t>
      </w:r>
      <w:r w:rsidR="00C16A58" w:rsidRPr="001C36C1">
        <w:rPr>
          <w:color w:val="000000"/>
        </w:rPr>
        <w:t>are:</w:t>
      </w:r>
    </w:p>
    <w:p w14:paraId="3011C069" w14:textId="77777777" w:rsidR="00C16A58" w:rsidRPr="001C36C1" w:rsidRDefault="00C16A58" w:rsidP="00C16A58">
      <w:pPr>
        <w:pStyle w:val="LI-BodyTextNumbered"/>
      </w:pPr>
      <w:r w:rsidRPr="001C36C1">
        <w:t>(a)</w:t>
      </w:r>
      <w:r w:rsidRPr="001C36C1">
        <w:tab/>
        <w:t xml:space="preserve">a customer service agent states that car hire is available ‘for 14 days’ rather than ‘up to 14 days’ when the consumer seeks to hire the car for 14 days; </w:t>
      </w:r>
    </w:p>
    <w:p w14:paraId="340F5875" w14:textId="4AB5A2D2" w:rsidR="00C16A58" w:rsidRPr="001C36C1" w:rsidRDefault="00C16A58" w:rsidP="00C16A58">
      <w:pPr>
        <w:pStyle w:val="LI-BodyTextNumbered"/>
        <w:rPr>
          <w:color w:val="000000"/>
        </w:rPr>
      </w:pPr>
      <w:r w:rsidRPr="001C36C1">
        <w:t>(b)</w:t>
      </w:r>
      <w:r w:rsidRPr="001C36C1">
        <w:tab/>
        <w:t xml:space="preserve">a sales agent quotes a lower </w:t>
      </w:r>
      <w:r w:rsidRPr="001C36C1">
        <w:rPr>
          <w:color w:val="000000"/>
        </w:rPr>
        <w:t>savings rate on a savings account at account opening than its actual rate</w:t>
      </w:r>
      <w:r w:rsidR="00CE5227" w:rsidRPr="001C36C1">
        <w:rPr>
          <w:color w:val="000000"/>
        </w:rPr>
        <w:t xml:space="preserve">, </w:t>
      </w:r>
      <w:r w:rsidRPr="001C36C1">
        <w:rPr>
          <w:color w:val="000000"/>
        </w:rPr>
        <w:t xml:space="preserve">and the institution </w:t>
      </w:r>
      <w:r w:rsidR="003F2ED0" w:rsidRPr="001C36C1">
        <w:rPr>
          <w:color w:val="000000"/>
        </w:rPr>
        <w:t xml:space="preserve">promptly </w:t>
      </w:r>
      <w:r w:rsidRPr="001C36C1">
        <w:rPr>
          <w:color w:val="000000"/>
        </w:rPr>
        <w:t xml:space="preserve">advises the consumer of the actual rate and pays </w:t>
      </w:r>
      <w:r w:rsidR="00D93694" w:rsidRPr="001C36C1">
        <w:rPr>
          <w:color w:val="000000"/>
        </w:rPr>
        <w:t>that higher rate</w:t>
      </w:r>
      <w:r w:rsidR="008449F5">
        <w:rPr>
          <w:color w:val="000000"/>
        </w:rPr>
        <w:t xml:space="preserve"> in circumstances where</w:t>
      </w:r>
      <w:r w:rsidR="006D28F3">
        <w:rPr>
          <w:color w:val="000000"/>
        </w:rPr>
        <w:t xml:space="preserve">, given the speed of </w:t>
      </w:r>
      <w:r w:rsidR="00384728">
        <w:rPr>
          <w:color w:val="000000"/>
        </w:rPr>
        <w:t>identifying</w:t>
      </w:r>
      <w:r w:rsidR="006D28F3">
        <w:rPr>
          <w:color w:val="000000"/>
        </w:rPr>
        <w:t xml:space="preserve"> </w:t>
      </w:r>
      <w:r w:rsidR="00A27200">
        <w:rPr>
          <w:color w:val="000000"/>
        </w:rPr>
        <w:t xml:space="preserve">and paying </w:t>
      </w:r>
      <w:r w:rsidR="006D28F3">
        <w:rPr>
          <w:color w:val="000000"/>
        </w:rPr>
        <w:t>the higher rate,</w:t>
      </w:r>
      <w:r w:rsidR="008449F5">
        <w:rPr>
          <w:color w:val="000000"/>
        </w:rPr>
        <w:t xml:space="preserve"> the account holder </w:t>
      </w:r>
      <w:r w:rsidR="00060D11">
        <w:rPr>
          <w:color w:val="000000"/>
        </w:rPr>
        <w:t xml:space="preserve">has </w:t>
      </w:r>
      <w:r w:rsidR="008449F5">
        <w:rPr>
          <w:color w:val="000000"/>
        </w:rPr>
        <w:t>suffer</w:t>
      </w:r>
      <w:r w:rsidR="00060D11">
        <w:rPr>
          <w:color w:val="000000"/>
        </w:rPr>
        <w:t>ed</w:t>
      </w:r>
      <w:r w:rsidR="008449F5">
        <w:rPr>
          <w:color w:val="000000"/>
        </w:rPr>
        <w:t xml:space="preserve"> no financial loss or </w:t>
      </w:r>
      <w:r w:rsidR="00BE0CC0">
        <w:rPr>
          <w:color w:val="000000"/>
        </w:rPr>
        <w:t>damage</w:t>
      </w:r>
      <w:r w:rsidR="00D16AFE">
        <w:rPr>
          <w:color w:val="000000"/>
        </w:rPr>
        <w:t>;</w:t>
      </w:r>
    </w:p>
    <w:p w14:paraId="6CA7E2E3" w14:textId="69A3D463" w:rsidR="00FC6AEC" w:rsidRPr="001C36C1" w:rsidRDefault="00C16A58" w:rsidP="00C16A58">
      <w:pPr>
        <w:pStyle w:val="LI-BodyTextNumbered"/>
        <w:rPr>
          <w:color w:val="000000"/>
        </w:rPr>
      </w:pPr>
      <w:r w:rsidRPr="001C36C1">
        <w:rPr>
          <w:color w:val="000000"/>
        </w:rPr>
        <w:t>(c)</w:t>
      </w:r>
      <w:r w:rsidRPr="001C36C1">
        <w:rPr>
          <w:color w:val="000000"/>
        </w:rPr>
        <w:tab/>
        <w:t>a staff member mistakenly advises a consumer that a payment will be processed on the following day but that day is a public holiday so the payment will not be processed until a day later</w:t>
      </w:r>
      <w:r w:rsidR="003E5C26" w:rsidRPr="001C36C1">
        <w:rPr>
          <w:color w:val="000000"/>
        </w:rPr>
        <w:t xml:space="preserve"> in circumstances where there is no financial loss </w:t>
      </w:r>
      <w:r w:rsidR="008A2CEB" w:rsidRPr="001C36C1">
        <w:rPr>
          <w:color w:val="000000"/>
        </w:rPr>
        <w:t xml:space="preserve">incurred by the consumer </w:t>
      </w:r>
      <w:r w:rsidR="0094128C" w:rsidRPr="001C36C1">
        <w:rPr>
          <w:color w:val="000000"/>
        </w:rPr>
        <w:t xml:space="preserve">as a result of the </w:t>
      </w:r>
      <w:r w:rsidR="008A2CEB" w:rsidRPr="001C36C1">
        <w:rPr>
          <w:color w:val="000000"/>
        </w:rPr>
        <w:t>payment being processed a day later</w:t>
      </w:r>
      <w:r w:rsidR="00D16AFE">
        <w:rPr>
          <w:color w:val="000000"/>
        </w:rPr>
        <w:t>;</w:t>
      </w:r>
    </w:p>
    <w:p w14:paraId="6FCD5BFC" w14:textId="6D694601" w:rsidR="00E3703D" w:rsidRPr="001C36C1" w:rsidRDefault="00FC6AEC" w:rsidP="00C16A58">
      <w:pPr>
        <w:pStyle w:val="LI-BodyTextNumbered"/>
        <w:rPr>
          <w:color w:val="000000"/>
        </w:rPr>
      </w:pPr>
      <w:r w:rsidRPr="001C36C1">
        <w:rPr>
          <w:color w:val="000000"/>
        </w:rPr>
        <w:t>(d)</w:t>
      </w:r>
      <w:r w:rsidR="00F5712E" w:rsidRPr="001C36C1">
        <w:rPr>
          <w:color w:val="000000"/>
        </w:rPr>
        <w:tab/>
        <w:t>a Statement of Advice given to a</w:t>
      </w:r>
      <w:r w:rsidR="007A12DE" w:rsidRPr="001C36C1">
        <w:rPr>
          <w:color w:val="000000"/>
        </w:rPr>
        <w:t xml:space="preserve"> client</w:t>
      </w:r>
      <w:r w:rsidR="00F5712E" w:rsidRPr="001C36C1">
        <w:rPr>
          <w:color w:val="000000"/>
        </w:rPr>
        <w:t xml:space="preserve"> contains an error that </w:t>
      </w:r>
      <w:r w:rsidR="00B52C8C" w:rsidRPr="001C36C1">
        <w:rPr>
          <w:color w:val="000000"/>
        </w:rPr>
        <w:t xml:space="preserve">the adviser rectifies with the client promptly and </w:t>
      </w:r>
      <w:r w:rsidR="00E3703D" w:rsidRPr="001C36C1">
        <w:rPr>
          <w:color w:val="000000"/>
        </w:rPr>
        <w:t xml:space="preserve">involves no actual or expected financial loss to the client </w:t>
      </w:r>
      <w:r w:rsidR="00CF6ACF" w:rsidRPr="001C36C1">
        <w:rPr>
          <w:color w:val="000000"/>
        </w:rPr>
        <w:t xml:space="preserve">i.e. </w:t>
      </w:r>
      <w:r w:rsidR="00424BFE" w:rsidRPr="001C36C1">
        <w:rPr>
          <w:color w:val="000000"/>
        </w:rPr>
        <w:t xml:space="preserve">is </w:t>
      </w:r>
      <w:r w:rsidR="002E5768" w:rsidRPr="001C36C1">
        <w:rPr>
          <w:color w:val="000000"/>
        </w:rPr>
        <w:t xml:space="preserve">not an error that, if </w:t>
      </w:r>
      <w:r w:rsidR="00CF6ACF" w:rsidRPr="001C36C1">
        <w:rPr>
          <w:color w:val="000000"/>
        </w:rPr>
        <w:t xml:space="preserve">the </w:t>
      </w:r>
      <w:r w:rsidR="002E5768" w:rsidRPr="001C36C1">
        <w:rPr>
          <w:color w:val="000000"/>
        </w:rPr>
        <w:t>correct</w:t>
      </w:r>
      <w:r w:rsidR="00CF6ACF" w:rsidRPr="001C36C1">
        <w:rPr>
          <w:color w:val="000000"/>
        </w:rPr>
        <w:t xml:space="preserve"> information was provided</w:t>
      </w:r>
      <w:r w:rsidR="002E5768" w:rsidRPr="001C36C1">
        <w:rPr>
          <w:color w:val="000000"/>
        </w:rPr>
        <w:t>, could have influenced the client’s decision</w:t>
      </w:r>
      <w:r w:rsidR="00D16AFE">
        <w:rPr>
          <w:color w:val="000000"/>
        </w:rPr>
        <w:t>;</w:t>
      </w:r>
      <w:r w:rsidR="005F652D" w:rsidRPr="001C36C1">
        <w:rPr>
          <w:color w:val="000000"/>
        </w:rPr>
        <w:t xml:space="preserve"> </w:t>
      </w:r>
    </w:p>
    <w:p w14:paraId="4BC151F3" w14:textId="2DA1F5ED" w:rsidR="00C16A58" w:rsidRPr="001C36C1" w:rsidRDefault="00E3703D" w:rsidP="00C16A58">
      <w:pPr>
        <w:pStyle w:val="LI-BodyTextNumbered"/>
        <w:rPr>
          <w:color w:val="000000"/>
        </w:rPr>
      </w:pPr>
      <w:r w:rsidRPr="001C36C1">
        <w:rPr>
          <w:color w:val="000000"/>
        </w:rPr>
        <w:t>(e)</w:t>
      </w:r>
      <w:r w:rsidRPr="001C36C1">
        <w:rPr>
          <w:color w:val="000000"/>
        </w:rPr>
        <w:tab/>
      </w:r>
      <w:r w:rsidR="002F756B" w:rsidRPr="001C36C1">
        <w:rPr>
          <w:color w:val="000000"/>
        </w:rPr>
        <w:t>an approval letter issued to a superannuation fund member confirming their account balance fails to include a total and permanent disablement benefit amount that has been approved</w:t>
      </w:r>
      <w:r w:rsidR="002A2D36" w:rsidRPr="001C36C1">
        <w:rPr>
          <w:color w:val="000000"/>
        </w:rPr>
        <w:t>, but the payment made to the member include</w:t>
      </w:r>
      <w:r w:rsidR="00D45F9F" w:rsidRPr="001C36C1">
        <w:rPr>
          <w:color w:val="000000"/>
        </w:rPr>
        <w:t>s</w:t>
      </w:r>
      <w:r w:rsidR="002A2D36" w:rsidRPr="001C36C1">
        <w:rPr>
          <w:color w:val="000000"/>
        </w:rPr>
        <w:t xml:space="preserve"> this amount</w:t>
      </w:r>
      <w:r w:rsidR="00770A59" w:rsidRPr="001C36C1">
        <w:rPr>
          <w:color w:val="000000"/>
        </w:rPr>
        <w:t>,</w:t>
      </w:r>
      <w:r w:rsidR="007833CE" w:rsidRPr="001C36C1">
        <w:rPr>
          <w:color w:val="000000"/>
        </w:rPr>
        <w:t xml:space="preserve"> and the omission </w:t>
      </w:r>
      <w:r w:rsidR="00C067D4" w:rsidRPr="001C36C1">
        <w:rPr>
          <w:color w:val="000000"/>
        </w:rPr>
        <w:t>was</w:t>
      </w:r>
      <w:r w:rsidR="00AD34C8" w:rsidRPr="001C36C1">
        <w:rPr>
          <w:color w:val="000000"/>
        </w:rPr>
        <w:t xml:space="preserve"> not made in circumstances where </w:t>
      </w:r>
      <w:r w:rsidR="00273576" w:rsidRPr="001C36C1">
        <w:rPr>
          <w:color w:val="000000"/>
        </w:rPr>
        <w:t xml:space="preserve">another </w:t>
      </w:r>
      <w:r w:rsidR="0048119F" w:rsidRPr="001C36C1">
        <w:rPr>
          <w:color w:val="000000"/>
        </w:rPr>
        <w:t xml:space="preserve">omission has </w:t>
      </w:r>
      <w:r w:rsidR="00EC506E">
        <w:rPr>
          <w:color w:val="000000"/>
        </w:rPr>
        <w:t>arisen, or is likely to arise</w:t>
      </w:r>
      <w:r w:rsidR="0060603E">
        <w:rPr>
          <w:color w:val="000000"/>
        </w:rPr>
        <w:t xml:space="preserve"> </w:t>
      </w:r>
      <w:r w:rsidR="00BA5789" w:rsidRPr="001C36C1">
        <w:rPr>
          <w:color w:val="000000"/>
        </w:rPr>
        <w:t xml:space="preserve">(e.g. </w:t>
      </w:r>
      <w:r w:rsidR="00273576" w:rsidRPr="001C36C1">
        <w:rPr>
          <w:color w:val="000000"/>
        </w:rPr>
        <w:t xml:space="preserve">because </w:t>
      </w:r>
      <w:r w:rsidR="00BA5789" w:rsidRPr="001C36C1">
        <w:rPr>
          <w:color w:val="000000"/>
        </w:rPr>
        <w:t xml:space="preserve">the </w:t>
      </w:r>
      <w:r w:rsidR="00273576" w:rsidRPr="001C36C1">
        <w:rPr>
          <w:color w:val="000000"/>
        </w:rPr>
        <w:t xml:space="preserve">root cause of the </w:t>
      </w:r>
      <w:r w:rsidR="0048119F" w:rsidRPr="001C36C1">
        <w:rPr>
          <w:color w:val="000000"/>
        </w:rPr>
        <w:t xml:space="preserve">omission </w:t>
      </w:r>
      <w:r w:rsidR="00273576" w:rsidRPr="001C36C1">
        <w:rPr>
          <w:color w:val="000000"/>
        </w:rPr>
        <w:t xml:space="preserve">is a defective letter template or </w:t>
      </w:r>
      <w:r w:rsidR="00BA5789" w:rsidRPr="001C36C1">
        <w:rPr>
          <w:color w:val="000000"/>
        </w:rPr>
        <w:t>systems error)</w:t>
      </w:r>
      <w:r w:rsidR="00D16AFE">
        <w:rPr>
          <w:color w:val="000000"/>
        </w:rPr>
        <w:t>;</w:t>
      </w:r>
    </w:p>
    <w:p w14:paraId="5061A697" w14:textId="56BE1B59" w:rsidR="009D390D" w:rsidRPr="001C36C1" w:rsidRDefault="002A2D36" w:rsidP="00C16A58">
      <w:pPr>
        <w:pStyle w:val="LI-BodyTextNumbered"/>
        <w:rPr>
          <w:color w:val="000000"/>
        </w:rPr>
      </w:pPr>
      <w:r w:rsidRPr="001C36C1">
        <w:rPr>
          <w:color w:val="000000"/>
        </w:rPr>
        <w:t>(f)</w:t>
      </w:r>
      <w:r w:rsidR="00A217BE" w:rsidRPr="001C36C1">
        <w:rPr>
          <w:color w:val="000000"/>
        </w:rPr>
        <w:tab/>
        <w:t>a 100 basis point discount</w:t>
      </w:r>
      <w:r w:rsidR="002E365A" w:rsidRPr="001C36C1">
        <w:rPr>
          <w:color w:val="000000"/>
        </w:rPr>
        <w:t>, which was</w:t>
      </w:r>
      <w:r w:rsidR="00A217BE" w:rsidRPr="001C36C1">
        <w:rPr>
          <w:color w:val="000000"/>
        </w:rPr>
        <w:t xml:space="preserve"> </w:t>
      </w:r>
      <w:r w:rsidR="00912EE0" w:rsidRPr="001C36C1">
        <w:rPr>
          <w:color w:val="000000"/>
        </w:rPr>
        <w:t xml:space="preserve">outlined </w:t>
      </w:r>
      <w:r w:rsidR="00A217BE" w:rsidRPr="001C36C1">
        <w:rPr>
          <w:color w:val="000000"/>
        </w:rPr>
        <w:t xml:space="preserve">in a letter of offer </w:t>
      </w:r>
      <w:r w:rsidR="00030E86" w:rsidRPr="001C36C1">
        <w:rPr>
          <w:color w:val="000000"/>
        </w:rPr>
        <w:t xml:space="preserve">accompanying </w:t>
      </w:r>
      <w:r w:rsidR="00A217BE" w:rsidRPr="001C36C1">
        <w:rPr>
          <w:color w:val="000000"/>
        </w:rPr>
        <w:t>a new home loan</w:t>
      </w:r>
      <w:r w:rsidR="00814100" w:rsidRPr="001C36C1">
        <w:rPr>
          <w:color w:val="000000"/>
        </w:rPr>
        <w:t xml:space="preserve">, is not applied when the linked transaction account is set up, but the mistake is identified before the first monthly repayment and rectified so that it applies to </w:t>
      </w:r>
      <w:r w:rsidR="0036334D" w:rsidRPr="001C36C1">
        <w:rPr>
          <w:color w:val="000000"/>
        </w:rPr>
        <w:t>that</w:t>
      </w:r>
      <w:r w:rsidR="00814100" w:rsidRPr="001C36C1">
        <w:rPr>
          <w:color w:val="000000"/>
        </w:rPr>
        <w:t xml:space="preserve"> repayment</w:t>
      </w:r>
      <w:r w:rsidR="0036334D" w:rsidRPr="001C36C1">
        <w:rPr>
          <w:color w:val="000000"/>
        </w:rPr>
        <w:t xml:space="preserve"> and later repayments</w:t>
      </w:r>
      <w:r w:rsidR="00F159DB" w:rsidRPr="001C36C1">
        <w:rPr>
          <w:color w:val="000000"/>
        </w:rPr>
        <w:t xml:space="preserve">, and </w:t>
      </w:r>
      <w:r w:rsidR="00AB0D05" w:rsidRPr="001C36C1">
        <w:rPr>
          <w:color w:val="000000"/>
        </w:rPr>
        <w:t xml:space="preserve">further reportable situations because </w:t>
      </w:r>
      <w:r w:rsidR="00E165FD" w:rsidRPr="001C36C1">
        <w:rPr>
          <w:color w:val="000000"/>
        </w:rPr>
        <w:t xml:space="preserve">of </w:t>
      </w:r>
      <w:r w:rsidR="00AB0D05" w:rsidRPr="001C36C1">
        <w:rPr>
          <w:color w:val="000000"/>
        </w:rPr>
        <w:t xml:space="preserve">the non-application </w:t>
      </w:r>
      <w:r w:rsidR="0060603E">
        <w:rPr>
          <w:color w:val="000000"/>
        </w:rPr>
        <w:t xml:space="preserve">have not arisen and are </w:t>
      </w:r>
      <w:r w:rsidR="00857D4F">
        <w:rPr>
          <w:color w:val="000000"/>
        </w:rPr>
        <w:t xml:space="preserve">not likely to arise </w:t>
      </w:r>
      <w:r w:rsidR="00E165FD" w:rsidRPr="001C36C1">
        <w:rPr>
          <w:color w:val="000000"/>
        </w:rPr>
        <w:t xml:space="preserve">as </w:t>
      </w:r>
      <w:r w:rsidR="002E31D0" w:rsidRPr="001C36C1">
        <w:rPr>
          <w:color w:val="000000"/>
        </w:rPr>
        <w:t>the error was a one off and not d</w:t>
      </w:r>
      <w:r w:rsidR="00AB0D05" w:rsidRPr="001C36C1">
        <w:rPr>
          <w:color w:val="000000"/>
        </w:rPr>
        <w:t>ue to a system</w:t>
      </w:r>
      <w:r w:rsidR="00AB3319" w:rsidRPr="001C36C1">
        <w:rPr>
          <w:color w:val="000000"/>
        </w:rPr>
        <w:t xml:space="preserve">ic </w:t>
      </w:r>
      <w:r w:rsidR="00245B62" w:rsidRPr="001C36C1">
        <w:rPr>
          <w:color w:val="000000"/>
        </w:rPr>
        <w:t xml:space="preserve">fault </w:t>
      </w:r>
      <w:r w:rsidR="00AB3319" w:rsidRPr="001C36C1">
        <w:rPr>
          <w:color w:val="000000"/>
        </w:rPr>
        <w:t>such as a</w:t>
      </w:r>
      <w:r w:rsidR="00345313" w:rsidRPr="001C36C1">
        <w:rPr>
          <w:color w:val="000000"/>
        </w:rPr>
        <w:t xml:space="preserve"> defective template</w:t>
      </w:r>
      <w:r w:rsidR="00D16AFE">
        <w:rPr>
          <w:color w:val="000000"/>
        </w:rPr>
        <w:t>;</w:t>
      </w:r>
    </w:p>
    <w:p w14:paraId="6046D256" w14:textId="1C7DB6C3" w:rsidR="00660A53" w:rsidRPr="001C36C1" w:rsidRDefault="009D390D" w:rsidP="00C16A58">
      <w:pPr>
        <w:pStyle w:val="LI-BodyTextNumbered"/>
        <w:rPr>
          <w:color w:val="000000"/>
        </w:rPr>
      </w:pPr>
      <w:r w:rsidRPr="001C36C1">
        <w:rPr>
          <w:color w:val="000000"/>
        </w:rPr>
        <w:t>(g)</w:t>
      </w:r>
      <w:r w:rsidRPr="001C36C1">
        <w:rPr>
          <w:color w:val="000000"/>
        </w:rPr>
        <w:tab/>
      </w:r>
      <w:r w:rsidR="00967418" w:rsidRPr="001C36C1">
        <w:rPr>
          <w:color w:val="000000"/>
        </w:rPr>
        <w:t xml:space="preserve">a staff member incorrectly advises a customer </w:t>
      </w:r>
      <w:r w:rsidR="000B1F69" w:rsidRPr="001C36C1">
        <w:rPr>
          <w:color w:val="000000"/>
        </w:rPr>
        <w:t>about the amount of daily external transfer they are permitted to make during a phone call and corrects the error on the same call</w:t>
      </w:r>
      <w:r w:rsidR="00C73E46">
        <w:rPr>
          <w:color w:val="000000"/>
        </w:rPr>
        <w:t xml:space="preserve"> in circumstances where there is no actual or anticipated financial loss to the consumer</w:t>
      </w:r>
      <w:r w:rsidR="00660A53" w:rsidRPr="001C36C1">
        <w:rPr>
          <w:color w:val="000000"/>
        </w:rPr>
        <w:t>; and</w:t>
      </w:r>
    </w:p>
    <w:p w14:paraId="35C057DA" w14:textId="4C1A4C73" w:rsidR="002A2D36" w:rsidRPr="001C36C1" w:rsidRDefault="00660A53" w:rsidP="00C16A58">
      <w:pPr>
        <w:pStyle w:val="LI-BodyTextNumbered"/>
        <w:rPr>
          <w:color w:val="000000"/>
        </w:rPr>
      </w:pPr>
      <w:r w:rsidRPr="001C36C1">
        <w:rPr>
          <w:color w:val="000000"/>
        </w:rPr>
        <w:t>(h)</w:t>
      </w:r>
      <w:r w:rsidRPr="001C36C1">
        <w:rPr>
          <w:color w:val="000000"/>
        </w:rPr>
        <w:tab/>
        <w:t xml:space="preserve">in a sales call regarding a credit card, a staff member mistakenly advises that the interest rate </w:t>
      </w:r>
      <w:r w:rsidR="003F2ED0" w:rsidRPr="001C36C1">
        <w:rPr>
          <w:color w:val="000000"/>
        </w:rPr>
        <w:t>will be</w:t>
      </w:r>
      <w:r w:rsidRPr="001C36C1">
        <w:rPr>
          <w:color w:val="000000"/>
        </w:rPr>
        <w:t xml:space="preserve"> 17% per annum when it is actually 15% per annum</w:t>
      </w:r>
      <w:r w:rsidR="002224FA" w:rsidRPr="001C36C1">
        <w:rPr>
          <w:color w:val="000000"/>
        </w:rPr>
        <w:t xml:space="preserve"> but the customer proceed</w:t>
      </w:r>
      <w:r w:rsidR="009A2D1E" w:rsidRPr="001C36C1">
        <w:rPr>
          <w:color w:val="000000"/>
        </w:rPr>
        <w:t>s</w:t>
      </w:r>
      <w:r w:rsidR="002224FA" w:rsidRPr="001C36C1">
        <w:rPr>
          <w:color w:val="000000"/>
        </w:rPr>
        <w:t xml:space="preserve"> with acquisition of the card </w:t>
      </w:r>
      <w:r w:rsidR="00A92242" w:rsidRPr="001C36C1">
        <w:rPr>
          <w:color w:val="000000"/>
        </w:rPr>
        <w:t>based on a 17% per annum rate</w:t>
      </w:r>
      <w:r w:rsidR="009A2D1E" w:rsidRPr="001C36C1">
        <w:rPr>
          <w:color w:val="000000"/>
        </w:rPr>
        <w:t>, the bank</w:t>
      </w:r>
      <w:r w:rsidR="00A92242" w:rsidRPr="001C36C1">
        <w:rPr>
          <w:color w:val="000000"/>
        </w:rPr>
        <w:t xml:space="preserve"> promptly </w:t>
      </w:r>
      <w:r w:rsidR="00F4657D" w:rsidRPr="001C36C1">
        <w:rPr>
          <w:color w:val="000000"/>
        </w:rPr>
        <w:t>advises the customer of the lower rate</w:t>
      </w:r>
      <w:r w:rsidR="009A2D1E" w:rsidRPr="001C36C1">
        <w:rPr>
          <w:color w:val="000000"/>
        </w:rPr>
        <w:t xml:space="preserve"> and charges the lower rate</w:t>
      </w:r>
      <w:r w:rsidR="000B1F69" w:rsidRPr="001C36C1">
        <w:rPr>
          <w:color w:val="000000"/>
        </w:rPr>
        <w:t>.</w:t>
      </w:r>
    </w:p>
    <w:p w14:paraId="29F582CB" w14:textId="5DCF56FA" w:rsidR="00DF0264" w:rsidRPr="001C36C1" w:rsidRDefault="00DF0264" w:rsidP="009A73EE">
      <w:pPr>
        <w:pStyle w:val="LI-BodyTextParaa"/>
        <w:ind w:left="567"/>
        <w:rPr>
          <w:b/>
          <w:bCs/>
          <w:i/>
          <w:iCs/>
          <w:color w:val="000000"/>
        </w:rPr>
      </w:pPr>
      <w:r w:rsidRPr="001C36C1">
        <w:rPr>
          <w:b/>
          <w:bCs/>
          <w:i/>
          <w:iCs/>
          <w:color w:val="000000"/>
        </w:rPr>
        <w:lastRenderedPageBreak/>
        <w:t>New timeframes</w:t>
      </w:r>
    </w:p>
    <w:p w14:paraId="6844DF5F" w14:textId="3C2F37AD" w:rsidR="00AE47FD" w:rsidRPr="001C36C1" w:rsidRDefault="00DF0264" w:rsidP="009A73EE">
      <w:pPr>
        <w:pStyle w:val="LI-BodyTextParaa"/>
        <w:ind w:left="567"/>
        <w:rPr>
          <w:color w:val="000000"/>
        </w:rPr>
      </w:pPr>
      <w:r w:rsidRPr="001C36C1">
        <w:rPr>
          <w:color w:val="000000"/>
        </w:rPr>
        <w:t>33.</w:t>
      </w:r>
      <w:r w:rsidRPr="001C36C1">
        <w:rPr>
          <w:color w:val="000000"/>
        </w:rPr>
        <w:tab/>
      </w:r>
      <w:r w:rsidR="008B4AAF" w:rsidRPr="001C36C1">
        <w:rPr>
          <w:color w:val="000000"/>
        </w:rPr>
        <w:t xml:space="preserve">Schedule 1 </w:t>
      </w:r>
      <w:r w:rsidR="002E092D" w:rsidRPr="001C36C1">
        <w:rPr>
          <w:color w:val="000000"/>
        </w:rPr>
        <w:t xml:space="preserve">of the Amendment Instrument </w:t>
      </w:r>
      <w:r w:rsidR="008B4AAF" w:rsidRPr="001C36C1">
        <w:rPr>
          <w:color w:val="000000"/>
        </w:rPr>
        <w:t xml:space="preserve">amends the Principal Instrument to insert </w:t>
      </w:r>
      <w:r w:rsidR="00775AF6" w:rsidRPr="001C36C1">
        <w:rPr>
          <w:color w:val="000000"/>
        </w:rPr>
        <w:t>section</w:t>
      </w:r>
      <w:r w:rsidR="00CB115C" w:rsidRPr="001C36C1">
        <w:rPr>
          <w:color w:val="000000"/>
        </w:rPr>
        <w:t xml:space="preserve"> </w:t>
      </w:r>
      <w:r w:rsidR="006B1006" w:rsidRPr="001C36C1">
        <w:rPr>
          <w:color w:val="000000"/>
        </w:rPr>
        <w:t xml:space="preserve">8 </w:t>
      </w:r>
      <w:r w:rsidR="00CB115C" w:rsidRPr="001C36C1">
        <w:rPr>
          <w:color w:val="000000"/>
        </w:rPr>
        <w:t xml:space="preserve">that </w:t>
      </w:r>
      <w:r w:rsidR="008E3E2C" w:rsidRPr="001C36C1">
        <w:rPr>
          <w:color w:val="000000"/>
        </w:rPr>
        <w:t>substitute</w:t>
      </w:r>
      <w:r w:rsidR="00AE47FD" w:rsidRPr="001C36C1">
        <w:rPr>
          <w:color w:val="000000"/>
        </w:rPr>
        <w:t>s</w:t>
      </w:r>
      <w:r w:rsidR="008E3E2C" w:rsidRPr="001C36C1">
        <w:rPr>
          <w:color w:val="000000"/>
        </w:rPr>
        <w:t xml:space="preserve"> subsection 912DAA(3) of the Corporations Act and subs</w:t>
      </w:r>
      <w:r w:rsidR="00AE47FD" w:rsidRPr="001C36C1">
        <w:rPr>
          <w:color w:val="000000"/>
        </w:rPr>
        <w:t xml:space="preserve">ection </w:t>
      </w:r>
      <w:r w:rsidR="009D53A8" w:rsidRPr="001C36C1">
        <w:rPr>
          <w:color w:val="000000"/>
        </w:rPr>
        <w:t>50B(4) of the Credit Act</w:t>
      </w:r>
      <w:r w:rsidR="00AE47FD" w:rsidRPr="001C36C1">
        <w:rPr>
          <w:color w:val="000000"/>
        </w:rPr>
        <w:t xml:space="preserve"> with new subsections (the </w:t>
      </w:r>
      <w:r w:rsidR="00AE47FD" w:rsidRPr="001C36C1">
        <w:rPr>
          <w:b/>
          <w:bCs/>
          <w:color w:val="000000"/>
        </w:rPr>
        <w:t>new timeframes</w:t>
      </w:r>
      <w:r w:rsidR="00AE47FD" w:rsidRPr="001C36C1">
        <w:rPr>
          <w:color w:val="000000"/>
        </w:rPr>
        <w:t>)</w:t>
      </w:r>
      <w:r w:rsidR="00327FA7" w:rsidRPr="001C36C1">
        <w:rPr>
          <w:color w:val="000000"/>
        </w:rPr>
        <w:t xml:space="preserve">. </w:t>
      </w:r>
    </w:p>
    <w:p w14:paraId="035883DB" w14:textId="10221C9D" w:rsidR="00707A6D" w:rsidRPr="001C36C1" w:rsidRDefault="00532957" w:rsidP="009A73EE">
      <w:pPr>
        <w:pStyle w:val="LI-BodyTextParaa"/>
        <w:ind w:left="567"/>
        <w:rPr>
          <w:color w:val="000000"/>
        </w:rPr>
      </w:pPr>
      <w:r w:rsidRPr="001C36C1">
        <w:rPr>
          <w:color w:val="000000"/>
        </w:rPr>
        <w:t>34</w:t>
      </w:r>
      <w:r w:rsidR="00AE47FD" w:rsidRPr="001C36C1">
        <w:rPr>
          <w:color w:val="000000"/>
        </w:rPr>
        <w:t>.</w:t>
      </w:r>
      <w:r w:rsidR="00AE47FD" w:rsidRPr="001C36C1">
        <w:rPr>
          <w:color w:val="000000"/>
        </w:rPr>
        <w:tab/>
      </w:r>
      <w:r w:rsidR="00327FA7" w:rsidRPr="001C36C1">
        <w:rPr>
          <w:color w:val="000000"/>
        </w:rPr>
        <w:t>The</w:t>
      </w:r>
      <w:r w:rsidR="00AE47FD" w:rsidRPr="001C36C1">
        <w:rPr>
          <w:color w:val="000000"/>
        </w:rPr>
        <w:t xml:space="preserve"> new timeframes</w:t>
      </w:r>
      <w:r w:rsidR="00327FA7" w:rsidRPr="001C36C1">
        <w:rPr>
          <w:color w:val="000000"/>
        </w:rPr>
        <w:t xml:space="preserve"> provide that </w:t>
      </w:r>
      <w:r w:rsidR="00CD0497" w:rsidRPr="001C36C1">
        <w:rPr>
          <w:color w:val="000000"/>
        </w:rPr>
        <w:t>licensees</w:t>
      </w:r>
      <w:r w:rsidR="00327FA7" w:rsidRPr="001C36C1">
        <w:rPr>
          <w:color w:val="000000"/>
        </w:rPr>
        <w:t xml:space="preserve"> </w:t>
      </w:r>
      <w:r w:rsidR="009A73EE" w:rsidRPr="001C36C1">
        <w:rPr>
          <w:color w:val="000000"/>
        </w:rPr>
        <w:t xml:space="preserve">have up to 90 days from when they first know </w:t>
      </w:r>
      <w:r w:rsidR="00DA6C47" w:rsidRPr="001C36C1">
        <w:rPr>
          <w:color w:val="000000"/>
        </w:rPr>
        <w:t>that</w:t>
      </w:r>
      <w:r w:rsidR="009A73EE" w:rsidRPr="001C36C1">
        <w:rPr>
          <w:color w:val="000000"/>
        </w:rPr>
        <w:t xml:space="preserve">, or </w:t>
      </w:r>
      <w:r w:rsidR="00477120" w:rsidRPr="001C36C1">
        <w:rPr>
          <w:color w:val="000000"/>
        </w:rPr>
        <w:t>are</w:t>
      </w:r>
      <w:r w:rsidR="009A73EE" w:rsidRPr="001C36C1">
        <w:rPr>
          <w:color w:val="000000"/>
        </w:rPr>
        <w:t xml:space="preserve"> reckless with respect to whether</w:t>
      </w:r>
      <w:r w:rsidR="00AB236B" w:rsidRPr="001C36C1">
        <w:rPr>
          <w:color w:val="000000"/>
        </w:rPr>
        <w:t>,</w:t>
      </w:r>
      <w:r w:rsidR="009A73EE" w:rsidRPr="001C36C1">
        <w:rPr>
          <w:color w:val="000000"/>
        </w:rPr>
        <w:t xml:space="preserve"> there </w:t>
      </w:r>
      <w:r w:rsidR="00DA6C47" w:rsidRPr="001C36C1">
        <w:rPr>
          <w:color w:val="000000"/>
        </w:rPr>
        <w:t xml:space="preserve">are </w:t>
      </w:r>
      <w:r w:rsidR="00AB236B" w:rsidRPr="001C36C1">
        <w:rPr>
          <w:color w:val="000000"/>
        </w:rPr>
        <w:t xml:space="preserve">reasonable grounds to believe that </w:t>
      </w:r>
      <w:r w:rsidR="009A73EE" w:rsidRPr="001C36C1">
        <w:rPr>
          <w:color w:val="000000"/>
        </w:rPr>
        <w:t xml:space="preserve">a reportable situation </w:t>
      </w:r>
      <w:r w:rsidR="00477120" w:rsidRPr="001C36C1">
        <w:rPr>
          <w:color w:val="000000"/>
        </w:rPr>
        <w:t xml:space="preserve">has arisen </w:t>
      </w:r>
      <w:r w:rsidR="003A7C0E" w:rsidRPr="001C36C1">
        <w:rPr>
          <w:color w:val="000000"/>
        </w:rPr>
        <w:t xml:space="preserve">to lodge a report with ASIC if </w:t>
      </w:r>
      <w:r w:rsidR="00477120" w:rsidRPr="001C36C1">
        <w:rPr>
          <w:color w:val="000000"/>
        </w:rPr>
        <w:t>t</w:t>
      </w:r>
      <w:r w:rsidR="00327FA7" w:rsidRPr="001C36C1">
        <w:rPr>
          <w:color w:val="000000"/>
        </w:rPr>
        <w:t>h</w:t>
      </w:r>
      <w:r w:rsidR="003A7C0E" w:rsidRPr="001C36C1">
        <w:rPr>
          <w:color w:val="000000"/>
        </w:rPr>
        <w:t>e</w:t>
      </w:r>
      <w:r w:rsidR="00327FA7" w:rsidRPr="001C36C1">
        <w:rPr>
          <w:color w:val="000000"/>
        </w:rPr>
        <w:t xml:space="preserve"> situation i</w:t>
      </w:r>
      <w:r w:rsidR="00477120" w:rsidRPr="001C36C1">
        <w:rPr>
          <w:color w:val="000000"/>
        </w:rPr>
        <w:t>s</w:t>
      </w:r>
      <w:r w:rsidR="00327FA7" w:rsidRPr="001C36C1">
        <w:rPr>
          <w:color w:val="000000"/>
        </w:rPr>
        <w:t xml:space="preserve"> </w:t>
      </w:r>
      <w:r w:rsidR="00DB618C" w:rsidRPr="001C36C1">
        <w:rPr>
          <w:color w:val="000000"/>
        </w:rPr>
        <w:t xml:space="preserve">a related reportable situation. </w:t>
      </w:r>
      <w:r w:rsidR="00EA346F" w:rsidRPr="001C36C1">
        <w:rPr>
          <w:color w:val="000000"/>
        </w:rPr>
        <w:t>All</w:t>
      </w:r>
      <w:r w:rsidR="00184F90" w:rsidRPr="001C36C1">
        <w:rPr>
          <w:color w:val="000000"/>
        </w:rPr>
        <w:t xml:space="preserve"> other reportable situations </w:t>
      </w:r>
      <w:r w:rsidR="00EA346F" w:rsidRPr="001C36C1">
        <w:rPr>
          <w:color w:val="000000"/>
        </w:rPr>
        <w:t>must</w:t>
      </w:r>
      <w:r w:rsidR="00184F90" w:rsidRPr="001C36C1">
        <w:rPr>
          <w:color w:val="000000"/>
        </w:rPr>
        <w:t xml:space="preserve"> be reported within 30 days</w:t>
      </w:r>
      <w:r w:rsidR="00707A6D" w:rsidRPr="001C36C1">
        <w:rPr>
          <w:color w:val="000000"/>
        </w:rPr>
        <w:t>.</w:t>
      </w:r>
    </w:p>
    <w:p w14:paraId="4FCC5713" w14:textId="4E779011" w:rsidR="00396B74" w:rsidRPr="001C36C1" w:rsidRDefault="00532957" w:rsidP="009A73EE">
      <w:pPr>
        <w:pStyle w:val="LI-BodyTextParaa"/>
        <w:ind w:left="567"/>
        <w:rPr>
          <w:color w:val="000000"/>
        </w:rPr>
      </w:pPr>
      <w:r w:rsidRPr="001C36C1">
        <w:rPr>
          <w:color w:val="000000"/>
        </w:rPr>
        <w:t>35</w:t>
      </w:r>
      <w:r w:rsidR="0067526A" w:rsidRPr="001C36C1">
        <w:rPr>
          <w:color w:val="000000"/>
        </w:rPr>
        <w:t>.</w:t>
      </w:r>
      <w:r w:rsidR="0067526A" w:rsidRPr="001C36C1">
        <w:rPr>
          <w:color w:val="000000"/>
        </w:rPr>
        <w:tab/>
      </w:r>
      <w:r w:rsidR="006631CD" w:rsidRPr="001C36C1">
        <w:rPr>
          <w:color w:val="000000"/>
        </w:rPr>
        <w:t xml:space="preserve">A </w:t>
      </w:r>
      <w:r w:rsidR="0067526A" w:rsidRPr="001C36C1">
        <w:rPr>
          <w:color w:val="000000"/>
        </w:rPr>
        <w:t xml:space="preserve">related reportable situation </w:t>
      </w:r>
      <w:r w:rsidR="003267B2" w:rsidRPr="001C36C1">
        <w:rPr>
          <w:color w:val="000000"/>
        </w:rPr>
        <w:t>exists i</w:t>
      </w:r>
      <w:r w:rsidR="006631CD" w:rsidRPr="001C36C1">
        <w:rPr>
          <w:color w:val="000000"/>
        </w:rPr>
        <w:t>f</w:t>
      </w:r>
      <w:r w:rsidR="0067526A" w:rsidRPr="001C36C1">
        <w:rPr>
          <w:color w:val="000000"/>
        </w:rPr>
        <w:t xml:space="preserve"> </w:t>
      </w:r>
      <w:r w:rsidR="00EC3E93" w:rsidRPr="001C36C1">
        <w:rPr>
          <w:color w:val="000000"/>
        </w:rPr>
        <w:t xml:space="preserve">a </w:t>
      </w:r>
      <w:r w:rsidR="0067526A" w:rsidRPr="001C36C1">
        <w:rPr>
          <w:color w:val="000000"/>
        </w:rPr>
        <w:t xml:space="preserve">situation </w:t>
      </w:r>
      <w:r w:rsidR="00B12BC1" w:rsidRPr="001C36C1">
        <w:rPr>
          <w:color w:val="000000"/>
        </w:rPr>
        <w:t xml:space="preserve">has underlying circumstances that are the same as, or substantially similar to, underlying circumstances </w:t>
      </w:r>
      <w:r w:rsidR="004F559D" w:rsidRPr="001C36C1">
        <w:rPr>
          <w:color w:val="000000"/>
        </w:rPr>
        <w:t>relating to a previous reportable situation reported to ASIC</w:t>
      </w:r>
      <w:r w:rsidR="00242593" w:rsidRPr="001C36C1">
        <w:rPr>
          <w:color w:val="000000"/>
        </w:rPr>
        <w:t xml:space="preserve">. </w:t>
      </w:r>
      <w:r w:rsidR="00D158FC" w:rsidRPr="001C36C1">
        <w:rPr>
          <w:color w:val="000000"/>
        </w:rPr>
        <w:t xml:space="preserve">As </w:t>
      </w:r>
      <w:r w:rsidR="005B078F">
        <w:rPr>
          <w:color w:val="000000"/>
        </w:rPr>
        <w:t>noted</w:t>
      </w:r>
      <w:r w:rsidR="00D158FC" w:rsidRPr="001C36C1">
        <w:rPr>
          <w:color w:val="000000"/>
        </w:rPr>
        <w:t xml:space="preserve"> </w:t>
      </w:r>
      <w:r w:rsidR="00DE667E" w:rsidRPr="001C36C1">
        <w:rPr>
          <w:color w:val="000000"/>
        </w:rPr>
        <w:t>in paragraph 27</w:t>
      </w:r>
      <w:r w:rsidR="00D158FC" w:rsidRPr="001C36C1">
        <w:rPr>
          <w:color w:val="000000"/>
        </w:rPr>
        <w:t>, u</w:t>
      </w:r>
      <w:r w:rsidR="007E6776" w:rsidRPr="001C36C1">
        <w:rPr>
          <w:color w:val="000000"/>
        </w:rPr>
        <w:t xml:space="preserve">nderlying circumstances </w:t>
      </w:r>
      <w:r w:rsidR="00B33F81" w:rsidRPr="001C36C1">
        <w:rPr>
          <w:color w:val="000000"/>
        </w:rPr>
        <w:t>are</w:t>
      </w:r>
      <w:r w:rsidR="001F199A" w:rsidRPr="001C36C1">
        <w:rPr>
          <w:color w:val="000000"/>
        </w:rPr>
        <w:t xml:space="preserve"> </w:t>
      </w:r>
      <w:r w:rsidR="00CA6810" w:rsidRPr="001C36C1">
        <w:rPr>
          <w:color w:val="000000"/>
        </w:rPr>
        <w:t xml:space="preserve">the </w:t>
      </w:r>
      <w:r w:rsidR="00D15D94">
        <w:rPr>
          <w:color w:val="000000"/>
        </w:rPr>
        <w:t xml:space="preserve">factual circumstances of the </w:t>
      </w:r>
      <w:r w:rsidR="002822B9">
        <w:rPr>
          <w:color w:val="000000"/>
        </w:rPr>
        <w:t xml:space="preserve">relevant conduct </w:t>
      </w:r>
      <w:r w:rsidR="00F7259D">
        <w:rPr>
          <w:color w:val="000000"/>
        </w:rPr>
        <w:t xml:space="preserve">and its </w:t>
      </w:r>
      <w:r w:rsidR="00B76589" w:rsidRPr="001C36C1">
        <w:rPr>
          <w:color w:val="000000"/>
        </w:rPr>
        <w:t xml:space="preserve"> ‘</w:t>
      </w:r>
      <w:r w:rsidR="003F55A7" w:rsidRPr="001C36C1">
        <w:rPr>
          <w:color w:val="000000"/>
        </w:rPr>
        <w:t>root cause</w:t>
      </w:r>
      <w:r w:rsidR="00A24B28" w:rsidRPr="001C36C1">
        <w:rPr>
          <w:color w:val="000000"/>
        </w:rPr>
        <w:t>(s)</w:t>
      </w:r>
      <w:r w:rsidR="00B76589" w:rsidRPr="001C36C1">
        <w:rPr>
          <w:color w:val="000000"/>
        </w:rPr>
        <w:t>’</w:t>
      </w:r>
      <w:r w:rsidR="005566E6" w:rsidRPr="001C36C1">
        <w:rPr>
          <w:color w:val="000000"/>
        </w:rPr>
        <w:t xml:space="preserve"> </w:t>
      </w:r>
      <w:r w:rsidR="00CA0A95" w:rsidRPr="001C36C1">
        <w:rPr>
          <w:color w:val="000000"/>
        </w:rPr>
        <w:t xml:space="preserve">within the meaning of </w:t>
      </w:r>
      <w:r w:rsidR="007F6AC8" w:rsidRPr="001C36C1">
        <w:rPr>
          <w:color w:val="000000"/>
        </w:rPr>
        <w:t xml:space="preserve">the prescribed form </w:t>
      </w:r>
      <w:r w:rsidR="00FE3FDE" w:rsidRPr="001C36C1">
        <w:rPr>
          <w:color w:val="000000"/>
        </w:rPr>
        <w:t>available from the</w:t>
      </w:r>
      <w:r w:rsidR="009B61CF" w:rsidRPr="001C36C1">
        <w:rPr>
          <w:color w:val="000000"/>
        </w:rPr>
        <w:t xml:space="preserve"> Portal</w:t>
      </w:r>
      <w:r w:rsidR="00836599" w:rsidRPr="001C36C1">
        <w:rPr>
          <w:color w:val="000000"/>
        </w:rPr>
        <w:t xml:space="preserve"> and further guidance is in </w:t>
      </w:r>
      <w:r w:rsidR="00836599" w:rsidRPr="00A625D8">
        <w:rPr>
          <w:color w:val="000000"/>
        </w:rPr>
        <w:t>RG 78</w:t>
      </w:r>
      <w:r w:rsidR="00CD1ECC">
        <w:rPr>
          <w:color w:val="000000"/>
        </w:rPr>
        <w:t xml:space="preserve"> Table 11</w:t>
      </w:r>
      <w:r w:rsidR="009B61CF" w:rsidRPr="001C36C1">
        <w:rPr>
          <w:color w:val="000000"/>
        </w:rPr>
        <w:t>.</w:t>
      </w:r>
      <w:r w:rsidR="00A24B28" w:rsidRPr="001C36C1">
        <w:rPr>
          <w:color w:val="000000"/>
        </w:rPr>
        <w:t xml:space="preserve"> </w:t>
      </w:r>
    </w:p>
    <w:p w14:paraId="49B61AE1" w14:textId="1FF06965" w:rsidR="003F18DD" w:rsidRPr="001C36C1" w:rsidRDefault="00532957" w:rsidP="009F7212">
      <w:pPr>
        <w:pStyle w:val="LI-BodyTextParaa"/>
        <w:ind w:left="567"/>
        <w:rPr>
          <w:color w:val="000000"/>
        </w:rPr>
      </w:pPr>
      <w:r w:rsidRPr="001C36C1">
        <w:rPr>
          <w:color w:val="000000"/>
        </w:rPr>
        <w:t>36</w:t>
      </w:r>
      <w:r w:rsidR="00396B74" w:rsidRPr="001C36C1">
        <w:rPr>
          <w:color w:val="000000"/>
        </w:rPr>
        <w:t>.</w:t>
      </w:r>
      <w:r w:rsidR="00396B74" w:rsidRPr="001C36C1">
        <w:rPr>
          <w:color w:val="000000"/>
        </w:rPr>
        <w:tab/>
        <w:t>As RG 78</w:t>
      </w:r>
      <w:r w:rsidR="009F0D3B" w:rsidRPr="001C36C1">
        <w:rPr>
          <w:color w:val="000000"/>
        </w:rPr>
        <w:t xml:space="preserve"> explains</w:t>
      </w:r>
      <w:r w:rsidR="00396B74" w:rsidRPr="001C36C1">
        <w:rPr>
          <w:color w:val="000000"/>
        </w:rPr>
        <w:t xml:space="preserve">, licensees may group </w:t>
      </w:r>
      <w:r w:rsidR="00B675BD" w:rsidRPr="001C36C1">
        <w:rPr>
          <w:color w:val="000000"/>
        </w:rPr>
        <w:t xml:space="preserve">different reportable situations </w:t>
      </w:r>
      <w:r w:rsidR="00DE7EB0" w:rsidRPr="001C36C1">
        <w:rPr>
          <w:color w:val="000000"/>
        </w:rPr>
        <w:t>in a single report to ASIC if there is similar, related or identical conduct and the conduct has the same root cause</w:t>
      </w:r>
      <w:r w:rsidR="00986CF0">
        <w:rPr>
          <w:color w:val="000000"/>
        </w:rPr>
        <w:t xml:space="preserve">: see RG </w:t>
      </w:r>
      <w:r w:rsidR="00F018A0">
        <w:rPr>
          <w:color w:val="000000"/>
        </w:rPr>
        <w:t>78.11</w:t>
      </w:r>
      <w:r w:rsidR="00B252D6">
        <w:rPr>
          <w:color w:val="000000"/>
        </w:rPr>
        <w:t>2–118</w:t>
      </w:r>
      <w:r w:rsidR="00F018A0">
        <w:rPr>
          <w:color w:val="000000"/>
        </w:rPr>
        <w:t xml:space="preserve"> </w:t>
      </w:r>
      <w:r w:rsidR="00FC2137">
        <w:rPr>
          <w:color w:val="000000"/>
        </w:rPr>
        <w:t>and Table 9</w:t>
      </w:r>
      <w:r w:rsidR="00DE7EB0" w:rsidRPr="001C36C1">
        <w:rPr>
          <w:color w:val="000000"/>
        </w:rPr>
        <w:t xml:space="preserve">. The Amendment Instrument means that </w:t>
      </w:r>
      <w:r w:rsidR="006D21EB" w:rsidRPr="001C36C1">
        <w:rPr>
          <w:color w:val="000000"/>
        </w:rPr>
        <w:t xml:space="preserve">licensees also have up to 90 days </w:t>
      </w:r>
      <w:r w:rsidR="007C1BA3" w:rsidRPr="001C36C1">
        <w:rPr>
          <w:color w:val="000000"/>
        </w:rPr>
        <w:t xml:space="preserve">to report a reportable situation </w:t>
      </w:r>
      <w:r w:rsidR="00530807" w:rsidRPr="001C36C1">
        <w:rPr>
          <w:color w:val="000000"/>
        </w:rPr>
        <w:t xml:space="preserve">from when they first know that, or are reckless with respect to whether, there are reasonable grounds to believe that </w:t>
      </w:r>
      <w:r w:rsidR="007C1BA3" w:rsidRPr="001C36C1">
        <w:rPr>
          <w:color w:val="000000"/>
        </w:rPr>
        <w:t xml:space="preserve">the situation has arisen if </w:t>
      </w:r>
      <w:r w:rsidR="001D6DF1" w:rsidRPr="001C36C1">
        <w:rPr>
          <w:color w:val="000000"/>
        </w:rPr>
        <w:t>the situation</w:t>
      </w:r>
      <w:r w:rsidR="007C1BA3" w:rsidRPr="001C36C1">
        <w:rPr>
          <w:color w:val="000000"/>
        </w:rPr>
        <w:t xml:space="preserve"> c</w:t>
      </w:r>
      <w:r w:rsidR="00761559" w:rsidRPr="001C36C1">
        <w:rPr>
          <w:color w:val="000000"/>
        </w:rPr>
        <w:t xml:space="preserve">ould </w:t>
      </w:r>
      <w:r w:rsidR="00655851" w:rsidRPr="001C36C1">
        <w:rPr>
          <w:color w:val="000000"/>
        </w:rPr>
        <w:t xml:space="preserve">have been </w:t>
      </w:r>
      <w:r w:rsidR="00761559" w:rsidRPr="001C36C1">
        <w:rPr>
          <w:color w:val="000000"/>
        </w:rPr>
        <w:t xml:space="preserve">grouped </w:t>
      </w:r>
      <w:r w:rsidR="001D6DF1" w:rsidRPr="001C36C1">
        <w:rPr>
          <w:color w:val="000000"/>
        </w:rPr>
        <w:t xml:space="preserve">with an earlier reported reportable situation </w:t>
      </w:r>
      <w:r w:rsidR="00761559" w:rsidRPr="001C36C1">
        <w:rPr>
          <w:color w:val="000000"/>
        </w:rPr>
        <w:t>in a single report</w:t>
      </w:r>
      <w:r w:rsidR="00273E9A" w:rsidRPr="001C36C1">
        <w:rPr>
          <w:color w:val="000000"/>
        </w:rPr>
        <w:t xml:space="preserve">. </w:t>
      </w:r>
    </w:p>
    <w:p w14:paraId="475BFC43" w14:textId="04E7CF3F" w:rsidR="009A5D69" w:rsidRPr="001C36C1" w:rsidRDefault="00532957" w:rsidP="009A73EE">
      <w:pPr>
        <w:pStyle w:val="LI-BodyTextParaa"/>
        <w:ind w:left="567"/>
        <w:rPr>
          <w:color w:val="000000"/>
        </w:rPr>
      </w:pPr>
      <w:r w:rsidRPr="001C36C1">
        <w:rPr>
          <w:color w:val="000000"/>
        </w:rPr>
        <w:t>37</w:t>
      </w:r>
      <w:r w:rsidR="009A5D69" w:rsidRPr="001C36C1">
        <w:rPr>
          <w:color w:val="000000"/>
        </w:rPr>
        <w:t>.</w:t>
      </w:r>
      <w:r w:rsidR="009A5D69" w:rsidRPr="001C36C1">
        <w:rPr>
          <w:color w:val="000000"/>
        </w:rPr>
        <w:tab/>
      </w:r>
      <w:r w:rsidR="006D7CF7" w:rsidRPr="001C36C1">
        <w:rPr>
          <w:color w:val="000000"/>
        </w:rPr>
        <w:t>Notwithstanding th</w:t>
      </w:r>
      <w:r w:rsidR="00062CCA" w:rsidRPr="001C36C1">
        <w:rPr>
          <w:color w:val="000000"/>
        </w:rPr>
        <w:t>e new timeframes</w:t>
      </w:r>
      <w:r w:rsidR="007A1E6B" w:rsidRPr="001C36C1">
        <w:rPr>
          <w:color w:val="000000"/>
        </w:rPr>
        <w:t xml:space="preserve">, </w:t>
      </w:r>
      <w:r w:rsidR="009A5D69" w:rsidRPr="001C36C1">
        <w:rPr>
          <w:color w:val="000000"/>
        </w:rPr>
        <w:t xml:space="preserve">ASIC </w:t>
      </w:r>
      <w:r w:rsidR="00A437A8" w:rsidRPr="001C36C1">
        <w:rPr>
          <w:color w:val="000000"/>
        </w:rPr>
        <w:t xml:space="preserve">retains </w:t>
      </w:r>
      <w:r w:rsidR="007A1E6B" w:rsidRPr="001C36C1">
        <w:rPr>
          <w:color w:val="000000"/>
        </w:rPr>
        <w:t xml:space="preserve">a right to direct the reporting of </w:t>
      </w:r>
      <w:r w:rsidR="001159E8" w:rsidRPr="001C36C1">
        <w:rPr>
          <w:color w:val="000000"/>
        </w:rPr>
        <w:t xml:space="preserve">related reportable situations </w:t>
      </w:r>
      <w:r w:rsidR="007A1E6B" w:rsidRPr="001C36C1">
        <w:rPr>
          <w:color w:val="000000"/>
        </w:rPr>
        <w:t>within</w:t>
      </w:r>
      <w:r w:rsidR="00D448FB" w:rsidRPr="001C36C1">
        <w:rPr>
          <w:color w:val="000000"/>
        </w:rPr>
        <w:t xml:space="preserve"> a shorter period</w:t>
      </w:r>
      <w:r w:rsidR="001159E8" w:rsidRPr="001C36C1">
        <w:rPr>
          <w:color w:val="000000"/>
        </w:rPr>
        <w:t xml:space="preserve"> than 90 days</w:t>
      </w:r>
      <w:r w:rsidR="00D448FB" w:rsidRPr="001C36C1">
        <w:rPr>
          <w:color w:val="000000"/>
        </w:rPr>
        <w:t xml:space="preserve">. For example, ASIC may </w:t>
      </w:r>
      <w:r w:rsidR="00623A01" w:rsidRPr="001C36C1">
        <w:rPr>
          <w:color w:val="000000"/>
        </w:rPr>
        <w:t>take this approach where the related reportable situations are relevant to an active investigation</w:t>
      </w:r>
      <w:r w:rsidR="00D448FB" w:rsidRPr="001C36C1">
        <w:rPr>
          <w:color w:val="000000"/>
        </w:rPr>
        <w:t>.</w:t>
      </w:r>
    </w:p>
    <w:p w14:paraId="1D9F83F1" w14:textId="16890748" w:rsidR="00023B7A" w:rsidRPr="001C36C1" w:rsidRDefault="00023B7A" w:rsidP="009209DC">
      <w:pPr>
        <w:pStyle w:val="LI-BodyTextParaa"/>
        <w:ind w:left="567"/>
        <w:rPr>
          <w:b/>
          <w:bCs/>
          <w:i/>
          <w:iCs/>
          <w:color w:val="000000"/>
        </w:rPr>
      </w:pPr>
      <w:r w:rsidRPr="001C36C1">
        <w:rPr>
          <w:b/>
          <w:bCs/>
          <w:i/>
          <w:iCs/>
          <w:color w:val="000000"/>
        </w:rPr>
        <w:t>Core obligations modification</w:t>
      </w:r>
    </w:p>
    <w:p w14:paraId="7909636C" w14:textId="7A77AE80" w:rsidR="009209DC" w:rsidRPr="001C36C1" w:rsidRDefault="00023B7A" w:rsidP="009209DC">
      <w:pPr>
        <w:pStyle w:val="LI-BodyTextParaa"/>
        <w:ind w:left="567"/>
        <w:rPr>
          <w:color w:val="000000"/>
        </w:rPr>
      </w:pPr>
      <w:r w:rsidRPr="001C36C1">
        <w:rPr>
          <w:color w:val="000000"/>
        </w:rPr>
        <w:t>38.</w:t>
      </w:r>
      <w:r w:rsidRPr="001C36C1">
        <w:rPr>
          <w:color w:val="000000"/>
        </w:rPr>
        <w:tab/>
      </w:r>
      <w:r w:rsidR="00BF523B" w:rsidRPr="001C36C1">
        <w:rPr>
          <w:color w:val="000000"/>
        </w:rPr>
        <w:t xml:space="preserve">Schedule 1 of the </w:t>
      </w:r>
      <w:r w:rsidR="00D4246E" w:rsidRPr="001C36C1">
        <w:rPr>
          <w:color w:val="000000"/>
        </w:rPr>
        <w:t xml:space="preserve">Amendment Instrument amends the Principal Instrument to insert </w:t>
      </w:r>
      <w:r w:rsidR="00775AF6" w:rsidRPr="001C36C1">
        <w:rPr>
          <w:color w:val="000000"/>
        </w:rPr>
        <w:t>section</w:t>
      </w:r>
      <w:r w:rsidR="00D4246E" w:rsidRPr="001C36C1">
        <w:rPr>
          <w:color w:val="000000"/>
        </w:rPr>
        <w:t xml:space="preserve"> 9 </w:t>
      </w:r>
      <w:r w:rsidR="00965123" w:rsidRPr="001C36C1">
        <w:rPr>
          <w:color w:val="000000"/>
        </w:rPr>
        <w:t>that modifies paragraphs of subsection 912D(3) of the Corporations Act</w:t>
      </w:r>
      <w:r w:rsidR="00EE7772" w:rsidRPr="001C36C1">
        <w:rPr>
          <w:color w:val="000000"/>
        </w:rPr>
        <w:t xml:space="preserve"> so that </w:t>
      </w:r>
      <w:r w:rsidR="009209DC" w:rsidRPr="001C36C1">
        <w:rPr>
          <w:color w:val="000000"/>
        </w:rPr>
        <w:t>the following continue to be core obligations for the purposes of that subsection:</w:t>
      </w:r>
    </w:p>
    <w:p w14:paraId="78381BDE" w14:textId="4286374B" w:rsidR="009209DC" w:rsidRPr="001C36C1" w:rsidRDefault="009209DC" w:rsidP="009209DC">
      <w:pPr>
        <w:pStyle w:val="LI-BodyTextParaa"/>
        <w:ind w:left="1134"/>
      </w:pPr>
      <w:r w:rsidRPr="001C36C1">
        <w:rPr>
          <w:color w:val="000000"/>
        </w:rPr>
        <w:t xml:space="preserve">(a)     </w:t>
      </w:r>
      <w:r w:rsidRPr="001C36C1">
        <w:t>the unconscionable conduct and consumer protection provisions (Division 2 of Part 2) of the ASIC Act</w:t>
      </w:r>
      <w:r w:rsidR="00A93862">
        <w:t>;</w:t>
      </w:r>
      <w:r w:rsidRPr="001C36C1">
        <w:t xml:space="preserve"> </w:t>
      </w:r>
    </w:p>
    <w:p w14:paraId="1B921ABF" w14:textId="5C0383D7" w:rsidR="009209DC" w:rsidRPr="001C36C1" w:rsidRDefault="009209DC" w:rsidP="009209DC">
      <w:pPr>
        <w:pStyle w:val="LI-BodyTextParaa"/>
        <w:ind w:left="1134"/>
      </w:pPr>
      <w:r w:rsidRPr="001C36C1">
        <w:rPr>
          <w:color w:val="000000"/>
        </w:rPr>
        <w:t>(b)</w:t>
      </w:r>
      <w:r w:rsidRPr="001C36C1">
        <w:rPr>
          <w:color w:val="000000"/>
        </w:rPr>
        <w:tab/>
      </w:r>
      <w:r w:rsidRPr="001C36C1">
        <w:t xml:space="preserve">in relation to financial services (other than traditional trustee company services provided by a licensed trustee company), Commonwealth, State of Territory legislation that is specified in sub-regulation 7.6.02A(1) of the </w:t>
      </w:r>
      <w:r w:rsidRPr="001C36C1">
        <w:rPr>
          <w:i/>
          <w:iCs/>
        </w:rPr>
        <w:t>Corporations Regulations 2001</w:t>
      </w:r>
      <w:r w:rsidRPr="001C36C1">
        <w:t xml:space="preserve"> </w:t>
      </w:r>
      <w:r w:rsidR="00273E9A" w:rsidRPr="001C36C1">
        <w:t>as far as</w:t>
      </w:r>
      <w:r w:rsidRPr="001C36C1">
        <w:t xml:space="preserve"> that legislation covers conduct relating to the provision of financial services</w:t>
      </w:r>
      <w:r w:rsidR="00366A52">
        <w:t>;</w:t>
      </w:r>
      <w:r w:rsidRPr="001C36C1">
        <w:t xml:space="preserve"> and </w:t>
      </w:r>
    </w:p>
    <w:p w14:paraId="4F18D80B" w14:textId="0787A718" w:rsidR="009209DC" w:rsidRPr="001C36C1" w:rsidRDefault="009209DC" w:rsidP="009209DC">
      <w:pPr>
        <w:pStyle w:val="LI-BodyTextParaa"/>
        <w:ind w:left="1134"/>
      </w:pPr>
      <w:r w:rsidRPr="001C36C1">
        <w:rPr>
          <w:color w:val="000000"/>
        </w:rPr>
        <w:lastRenderedPageBreak/>
        <w:t>(c)</w:t>
      </w:r>
      <w:r w:rsidRPr="001C36C1">
        <w:rPr>
          <w:color w:val="000000"/>
        </w:rPr>
        <w:tab/>
      </w:r>
      <w:r w:rsidRPr="001C36C1">
        <w:t xml:space="preserve">in relation to traditional trustee company services provided by licensed trustee companies, any rule of common law or equity that covers conduct relating to the provision of traditional trustee company services but only </w:t>
      </w:r>
      <w:r w:rsidR="00273E9A" w:rsidRPr="001C36C1">
        <w:t>as far as</w:t>
      </w:r>
      <w:r w:rsidRPr="001C36C1">
        <w:t xml:space="preserve"> the rule covers conduct relating to the provision of those services.</w:t>
      </w:r>
    </w:p>
    <w:p w14:paraId="57A93CEC" w14:textId="77777777" w:rsidR="00C52E7C" w:rsidRPr="001C36C1" w:rsidRDefault="00C52E7C" w:rsidP="006D6079">
      <w:pPr>
        <w:pStyle w:val="LI-BodyTextParaa"/>
        <w:keepNext/>
        <w:ind w:left="567"/>
        <w:rPr>
          <w:b/>
          <w:bCs/>
        </w:rPr>
      </w:pPr>
      <w:r w:rsidRPr="001C36C1">
        <w:rPr>
          <w:b/>
          <w:bCs/>
        </w:rPr>
        <w:t xml:space="preserve">Legislative instrument </w:t>
      </w:r>
      <w:r w:rsidR="00610709" w:rsidRPr="001C36C1">
        <w:rPr>
          <w:b/>
          <w:bCs/>
        </w:rPr>
        <w:t xml:space="preserve">and </w:t>
      </w:r>
      <w:r w:rsidRPr="001C36C1">
        <w:rPr>
          <w:b/>
          <w:bCs/>
        </w:rPr>
        <w:t xml:space="preserve">primary legislation  </w:t>
      </w:r>
    </w:p>
    <w:p w14:paraId="4E3B02B6" w14:textId="292CB7D5" w:rsidR="00E16289" w:rsidRPr="001C36C1" w:rsidRDefault="00532957" w:rsidP="00C14393">
      <w:pPr>
        <w:pStyle w:val="LI-BodyTextParaa"/>
        <w:ind w:left="567"/>
      </w:pPr>
      <w:r w:rsidRPr="001C36C1">
        <w:t>39</w:t>
      </w:r>
      <w:r w:rsidR="00C52E7C" w:rsidRPr="001C36C1">
        <w:t>.</w:t>
      </w:r>
      <w:r w:rsidR="00C52E7C" w:rsidRPr="001C36C1">
        <w:tab/>
      </w:r>
      <w:r w:rsidR="00C14393" w:rsidRPr="001C36C1">
        <w:t xml:space="preserve">The subject matter and policy implemented by the Amendment Instrument are more appropriate for a legislative instrument rather than primary legislation because </w:t>
      </w:r>
      <w:r w:rsidR="00D866FD" w:rsidRPr="001C36C1">
        <w:t xml:space="preserve">the instrument </w:t>
      </w:r>
      <w:r w:rsidR="00C14393" w:rsidRPr="001C36C1">
        <w:t xml:space="preserve">provides administrative relief in circumstances where strict compliance with the primary legislation produces anomalous outcomes that </w:t>
      </w:r>
      <w:r w:rsidR="00E16289" w:rsidRPr="001C36C1">
        <w:t>are</w:t>
      </w:r>
      <w:r w:rsidR="00C14393" w:rsidRPr="001C36C1">
        <w:t xml:space="preserve"> inconsistent with the intent of the primary law. </w:t>
      </w:r>
    </w:p>
    <w:p w14:paraId="3CCA123D" w14:textId="5E5AE396" w:rsidR="00D9007E" w:rsidRPr="001C36C1" w:rsidRDefault="00532957" w:rsidP="00C14393">
      <w:pPr>
        <w:pStyle w:val="LI-BodyTextParaa"/>
        <w:ind w:left="567"/>
      </w:pPr>
      <w:r w:rsidRPr="001C36C1">
        <w:t>40</w:t>
      </w:r>
      <w:r w:rsidR="00D9007E" w:rsidRPr="001C36C1">
        <w:t>.</w:t>
      </w:r>
      <w:r w:rsidR="00D9007E" w:rsidRPr="001C36C1">
        <w:tab/>
      </w:r>
      <w:r w:rsidR="00E91E04" w:rsidRPr="001C36C1">
        <w:t xml:space="preserve">As paragraph 11.29 of the </w:t>
      </w:r>
      <w:r w:rsidR="005E68CA" w:rsidRPr="001C36C1">
        <w:t xml:space="preserve">explanatory memorandum for the </w:t>
      </w:r>
      <w:r w:rsidR="007D5D3C" w:rsidRPr="001C36C1">
        <w:rPr>
          <w:i/>
          <w:iCs/>
        </w:rPr>
        <w:t>Financial Sector Reform (Hayne Royal Commission Response) Act 2020</w:t>
      </w:r>
      <w:r w:rsidR="00E91E04" w:rsidRPr="001C36C1">
        <w:t xml:space="preserve"> </w:t>
      </w:r>
      <w:r w:rsidR="007D3BBD" w:rsidRPr="001C36C1">
        <w:t>illustrates</w:t>
      </w:r>
      <w:r w:rsidR="00E91E04" w:rsidRPr="001C36C1">
        <w:t xml:space="preserve">, </w:t>
      </w:r>
      <w:r w:rsidR="005D5E0B" w:rsidRPr="001C36C1">
        <w:t xml:space="preserve">there was an intent </w:t>
      </w:r>
      <w:r w:rsidR="00163F93" w:rsidRPr="001C36C1">
        <w:t xml:space="preserve">that </w:t>
      </w:r>
      <w:r w:rsidR="00D866FD" w:rsidRPr="001C36C1">
        <w:t>delegated legislation should be utilised to relie</w:t>
      </w:r>
      <w:r w:rsidR="00FC155D" w:rsidRPr="001C36C1">
        <w:t>ve</w:t>
      </w:r>
      <w:r w:rsidR="00D866FD" w:rsidRPr="001C36C1">
        <w:t xml:space="preserve"> ASIC of</w:t>
      </w:r>
      <w:r w:rsidR="00163F93" w:rsidRPr="001C36C1">
        <w:t xml:space="preserve"> receiving a large number of </w:t>
      </w:r>
      <w:r w:rsidR="005D631B" w:rsidRPr="001C36C1">
        <w:t xml:space="preserve">reports about </w:t>
      </w:r>
      <w:r w:rsidR="007D3BBD" w:rsidRPr="001C36C1">
        <w:t>minor, technical or inadvertent breaches</w:t>
      </w:r>
      <w:r w:rsidR="00057EFB" w:rsidRPr="001C36C1">
        <w:t xml:space="preserve"> </w:t>
      </w:r>
      <w:r w:rsidR="00D866FD" w:rsidRPr="001C36C1">
        <w:t xml:space="preserve">where </w:t>
      </w:r>
      <w:r w:rsidR="00057EFB" w:rsidRPr="001C36C1">
        <w:t xml:space="preserve">those breaches are not otherwise significant. </w:t>
      </w:r>
    </w:p>
    <w:p w14:paraId="34EACD06" w14:textId="3EDF044F" w:rsidR="00C14393" w:rsidRPr="001C36C1" w:rsidRDefault="00532957" w:rsidP="00CC3D87">
      <w:pPr>
        <w:pStyle w:val="LI-BodyTextParaa"/>
        <w:ind w:left="567"/>
      </w:pPr>
      <w:r w:rsidRPr="001C36C1">
        <w:t>41</w:t>
      </w:r>
      <w:r w:rsidR="00CC3D87" w:rsidRPr="001C36C1">
        <w:t>.</w:t>
      </w:r>
      <w:r w:rsidR="00CC3D87" w:rsidRPr="001C36C1">
        <w:tab/>
      </w:r>
      <w:r w:rsidR="00CC3D87" w:rsidRPr="001C36C1">
        <w:rPr>
          <w:color w:val="000000"/>
        </w:rPr>
        <w:t xml:space="preserve">It will be a matter for the Government and for Parliament as to whether the </w:t>
      </w:r>
      <w:r w:rsidR="00977924" w:rsidRPr="001C36C1">
        <w:rPr>
          <w:color w:val="000000"/>
        </w:rPr>
        <w:t xml:space="preserve">Corporations </w:t>
      </w:r>
      <w:r w:rsidR="00CC3D87" w:rsidRPr="001C36C1">
        <w:rPr>
          <w:color w:val="000000"/>
        </w:rPr>
        <w:t xml:space="preserve">Act </w:t>
      </w:r>
      <w:r w:rsidR="00977924" w:rsidRPr="001C36C1">
        <w:rPr>
          <w:color w:val="000000"/>
        </w:rPr>
        <w:t>and/</w:t>
      </w:r>
      <w:r w:rsidR="00CC3D87" w:rsidRPr="001C36C1">
        <w:rPr>
          <w:color w:val="000000"/>
        </w:rPr>
        <w:t xml:space="preserve">or </w:t>
      </w:r>
      <w:r w:rsidR="00977924" w:rsidRPr="001C36C1">
        <w:rPr>
          <w:color w:val="000000"/>
        </w:rPr>
        <w:t>associated r</w:t>
      </w:r>
      <w:r w:rsidR="00CC3D87" w:rsidRPr="001C36C1">
        <w:rPr>
          <w:color w:val="000000"/>
        </w:rPr>
        <w:t xml:space="preserve">egulations may be amended in future to include the relief in the </w:t>
      </w:r>
      <w:r w:rsidR="00786954" w:rsidRPr="001C36C1">
        <w:rPr>
          <w:color w:val="000000"/>
        </w:rPr>
        <w:t xml:space="preserve">Amendment </w:t>
      </w:r>
      <w:r w:rsidR="00CC3D87" w:rsidRPr="001C36C1">
        <w:rPr>
          <w:color w:val="000000"/>
        </w:rPr>
        <w:t>Instrument</w:t>
      </w:r>
      <w:r w:rsidR="00D13FB9" w:rsidRPr="001C36C1">
        <w:rPr>
          <w:color w:val="000000"/>
        </w:rPr>
        <w:t>.</w:t>
      </w:r>
      <w:r w:rsidR="00476874" w:rsidRPr="001C36C1">
        <w:rPr>
          <w:color w:val="000000"/>
        </w:rPr>
        <w:t xml:space="preserve"> The Principal Instrument</w:t>
      </w:r>
      <w:r w:rsidR="00A4798D" w:rsidRPr="001C36C1">
        <w:rPr>
          <w:color w:val="000000"/>
        </w:rPr>
        <w:t xml:space="preserve">, which the Amendment Instrument amends, </w:t>
      </w:r>
      <w:r w:rsidR="009F71C5" w:rsidRPr="001C36C1">
        <w:rPr>
          <w:color w:val="000000"/>
        </w:rPr>
        <w:t xml:space="preserve">is </w:t>
      </w:r>
      <w:r w:rsidR="00346A43" w:rsidRPr="001C36C1">
        <w:rPr>
          <w:color w:val="000000"/>
        </w:rPr>
        <w:t xml:space="preserve">to be </w:t>
      </w:r>
      <w:r w:rsidR="009F71C5" w:rsidRPr="001C36C1">
        <w:rPr>
          <w:color w:val="000000"/>
        </w:rPr>
        <w:t>repealed on 5 October 2024</w:t>
      </w:r>
      <w:r w:rsidR="008D00A9" w:rsidRPr="001C36C1">
        <w:rPr>
          <w:color w:val="000000"/>
        </w:rPr>
        <w:t xml:space="preserve">. </w:t>
      </w:r>
    </w:p>
    <w:bookmarkEnd w:id="1"/>
    <w:p w14:paraId="6E228E05" w14:textId="77777777" w:rsidR="00F03BB5" w:rsidRPr="001C36C1" w:rsidRDefault="00474B52" w:rsidP="006D6079">
      <w:pPr>
        <w:pStyle w:val="LI-BodyTextNumbered"/>
        <w:keepNext/>
        <w:ind w:left="0" w:firstLine="0"/>
        <w:rPr>
          <w:b/>
        </w:rPr>
      </w:pPr>
      <w:r w:rsidRPr="001C36C1">
        <w:rPr>
          <w:b/>
        </w:rPr>
        <w:t>Legislative authority</w:t>
      </w:r>
    </w:p>
    <w:p w14:paraId="43749F19" w14:textId="770895C5" w:rsidR="000F0CD0" w:rsidRPr="001C36C1" w:rsidRDefault="00532957" w:rsidP="00D933D4">
      <w:pPr>
        <w:pStyle w:val="LI-BodyTextParaa"/>
        <w:ind w:left="567"/>
      </w:pPr>
      <w:r w:rsidRPr="001C36C1">
        <w:t>42</w:t>
      </w:r>
      <w:r w:rsidR="00D933D4" w:rsidRPr="001C36C1">
        <w:t>.</w:t>
      </w:r>
      <w:r w:rsidR="00D933D4" w:rsidRPr="001C36C1">
        <w:tab/>
      </w:r>
      <w:r w:rsidR="000F0CD0" w:rsidRPr="001C36C1">
        <w:t xml:space="preserve">The Amendment Instrument is made under subsection 926A(2) of the </w:t>
      </w:r>
      <w:r w:rsidR="0095496A" w:rsidRPr="001C36C1">
        <w:t>C</w:t>
      </w:r>
      <w:r w:rsidR="000F0CD0" w:rsidRPr="001C36C1">
        <w:t xml:space="preserve">orporations Act and subsection 109(3) of the Credit Act. </w:t>
      </w:r>
    </w:p>
    <w:p w14:paraId="1C110D6E" w14:textId="52BAB8A1" w:rsidR="00511873" w:rsidRPr="001C36C1" w:rsidRDefault="00532957" w:rsidP="00D933D4">
      <w:pPr>
        <w:pStyle w:val="LI-BodyTextParaa"/>
        <w:ind w:left="567"/>
      </w:pPr>
      <w:r w:rsidRPr="001C36C1">
        <w:t>43</w:t>
      </w:r>
      <w:r w:rsidR="00511873" w:rsidRPr="001C36C1">
        <w:t>.</w:t>
      </w:r>
      <w:r w:rsidR="00511873" w:rsidRPr="001C36C1">
        <w:tab/>
        <w:t>The Amendment Instrument is a disallowable legislative instrument.</w:t>
      </w:r>
    </w:p>
    <w:p w14:paraId="6953E499" w14:textId="3E3BC82D" w:rsidR="00D933D4" w:rsidRPr="001C36C1" w:rsidRDefault="00532957" w:rsidP="00D933D4">
      <w:pPr>
        <w:pStyle w:val="LI-BodyTextParaa"/>
        <w:ind w:left="567"/>
      </w:pPr>
      <w:r w:rsidRPr="001C36C1">
        <w:t>44</w:t>
      </w:r>
      <w:r w:rsidR="0095496A" w:rsidRPr="001C36C1">
        <w:t>.</w:t>
      </w:r>
      <w:r w:rsidR="0095496A" w:rsidRPr="001C36C1">
        <w:tab/>
      </w:r>
      <w:r w:rsidR="00D933D4" w:rsidRPr="001C36C1">
        <w:t xml:space="preserve">Under subsection 33(3) of the </w:t>
      </w:r>
      <w:r w:rsidR="00D933D4" w:rsidRPr="001C36C1">
        <w:rPr>
          <w:i/>
          <w:iCs/>
        </w:rPr>
        <w:t>Acts Interpretation Act 1901</w:t>
      </w:r>
      <w:r w:rsidR="00D933D4" w:rsidRPr="001C36C1">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4D930F2D" w14:textId="77777777" w:rsidR="00EA17A6" w:rsidRPr="001C36C1" w:rsidRDefault="00EA17A6" w:rsidP="006D6079">
      <w:pPr>
        <w:pStyle w:val="LI-BodyTextNumbered"/>
        <w:keepNext/>
        <w:ind w:left="0" w:firstLine="0"/>
        <w:rPr>
          <w:b/>
        </w:rPr>
      </w:pPr>
      <w:r w:rsidRPr="001C36C1">
        <w:rPr>
          <w:b/>
        </w:rPr>
        <w:t xml:space="preserve">Statement of Compatibility with Human Rights  </w:t>
      </w:r>
    </w:p>
    <w:p w14:paraId="1DBA07BE" w14:textId="36830272" w:rsidR="00223DCF" w:rsidRPr="001C36C1" w:rsidRDefault="00532957" w:rsidP="00435EEF">
      <w:pPr>
        <w:pStyle w:val="LI-BodyTextParaa"/>
        <w:ind w:left="567"/>
      </w:pPr>
      <w:r w:rsidRPr="001C36C1">
        <w:t>45</w:t>
      </w:r>
      <w:r w:rsidR="00223DCF" w:rsidRPr="001C36C1">
        <w:t>.</w:t>
      </w:r>
      <w:r w:rsidR="00223DCF" w:rsidRPr="001C36C1">
        <w:tab/>
        <w:t xml:space="preserve">The Explanatory Statement for a disallowable legislative instrument must contain a Statement of Compatibility with Human Rights under subsection 9(1) of the </w:t>
      </w:r>
      <w:r w:rsidR="00223DCF" w:rsidRPr="001C36C1">
        <w:rPr>
          <w:i/>
          <w:iCs/>
        </w:rPr>
        <w:t>Human Rights (Parliamentary Scrutiny) Act 2011.</w:t>
      </w:r>
      <w:r w:rsidR="00223DCF" w:rsidRPr="001C36C1">
        <w:rPr>
          <w:iCs/>
        </w:rPr>
        <w:t xml:space="preserve"> </w:t>
      </w:r>
      <w:r w:rsidR="00223DCF" w:rsidRPr="001C36C1">
        <w:t xml:space="preserve">A Statement of Compatibility with Human Rights is in the </w:t>
      </w:r>
      <w:r w:rsidR="00223DCF" w:rsidRPr="001C36C1">
        <w:rPr>
          <w:u w:val="single"/>
        </w:rPr>
        <w:t>Attachment</w:t>
      </w:r>
      <w:r w:rsidR="00223DCF" w:rsidRPr="001C36C1">
        <w:t xml:space="preserve">. </w:t>
      </w:r>
    </w:p>
    <w:p w14:paraId="04C7C810" w14:textId="77777777" w:rsidR="00223DCF" w:rsidRPr="001C36C1" w:rsidRDefault="00223DCF" w:rsidP="00223DCF">
      <w:pPr>
        <w:pStyle w:val="LI-BodyTextParaa"/>
        <w:ind w:left="567"/>
        <w:jc w:val="right"/>
        <w:rPr>
          <w:u w:val="single"/>
        </w:rPr>
      </w:pPr>
      <w:r w:rsidRPr="001C36C1">
        <w:rPr>
          <w:color w:val="FF0000"/>
        </w:rPr>
        <w:br w:type="page"/>
      </w:r>
      <w:r w:rsidRPr="001C36C1">
        <w:rPr>
          <w:u w:val="single"/>
        </w:rPr>
        <w:lastRenderedPageBreak/>
        <w:t xml:space="preserve">Attachment </w:t>
      </w:r>
    </w:p>
    <w:p w14:paraId="7F52BE96" w14:textId="77777777" w:rsidR="00A15512" w:rsidRPr="001C36C1" w:rsidRDefault="001E77ED" w:rsidP="00223DCF">
      <w:pPr>
        <w:pStyle w:val="LI-BodyTextParaa"/>
        <w:ind w:left="567"/>
        <w:jc w:val="center"/>
        <w:rPr>
          <w:b/>
          <w:sz w:val="28"/>
          <w:szCs w:val="28"/>
        </w:rPr>
      </w:pPr>
      <w:r w:rsidRPr="001C36C1">
        <w:rPr>
          <w:b/>
          <w:sz w:val="28"/>
          <w:szCs w:val="28"/>
        </w:rPr>
        <w:t xml:space="preserve">Statement of </w:t>
      </w:r>
      <w:r w:rsidR="00223DCF" w:rsidRPr="001C36C1">
        <w:rPr>
          <w:b/>
          <w:sz w:val="28"/>
          <w:szCs w:val="28"/>
        </w:rPr>
        <w:t>C</w:t>
      </w:r>
      <w:r w:rsidRPr="001C36C1">
        <w:rPr>
          <w:b/>
          <w:sz w:val="28"/>
          <w:szCs w:val="28"/>
        </w:rPr>
        <w:t xml:space="preserve">ompatibility with </w:t>
      </w:r>
      <w:r w:rsidR="00223DCF" w:rsidRPr="001C36C1">
        <w:rPr>
          <w:b/>
          <w:sz w:val="28"/>
          <w:szCs w:val="28"/>
        </w:rPr>
        <w:t>H</w:t>
      </w:r>
      <w:r w:rsidRPr="001C36C1">
        <w:rPr>
          <w:b/>
          <w:sz w:val="28"/>
          <w:szCs w:val="28"/>
        </w:rPr>
        <w:t xml:space="preserve">uman </w:t>
      </w:r>
      <w:r w:rsidR="00223DCF" w:rsidRPr="001C36C1">
        <w:rPr>
          <w:b/>
          <w:sz w:val="28"/>
          <w:szCs w:val="28"/>
        </w:rPr>
        <w:t>R</w:t>
      </w:r>
      <w:r w:rsidRPr="001C36C1">
        <w:rPr>
          <w:b/>
          <w:sz w:val="28"/>
          <w:szCs w:val="28"/>
        </w:rPr>
        <w:t>ights</w:t>
      </w:r>
    </w:p>
    <w:p w14:paraId="24668A36" w14:textId="77777777" w:rsidR="00AE787B" w:rsidRPr="001C36C1" w:rsidRDefault="00AE787B" w:rsidP="00223DCF">
      <w:pPr>
        <w:pStyle w:val="LI-BodyTextNumbered"/>
        <w:ind w:left="0" w:firstLine="0"/>
        <w:rPr>
          <w:iCs/>
        </w:rPr>
      </w:pPr>
      <w:bookmarkStart w:id="2" w:name="_Hlk534286677"/>
    </w:p>
    <w:p w14:paraId="0CD10E11" w14:textId="440B1AB4" w:rsidR="00223DCF" w:rsidRPr="001C36C1" w:rsidRDefault="00223DCF" w:rsidP="00223DCF">
      <w:pPr>
        <w:pStyle w:val="LI-BodyTextNumbered"/>
        <w:ind w:left="0" w:firstLine="0"/>
        <w:rPr>
          <w:iCs/>
        </w:rPr>
      </w:pPr>
      <w:r w:rsidRPr="001C36C1">
        <w:rPr>
          <w:iCs/>
        </w:rPr>
        <w:t xml:space="preserve">This Statement of Compatibility with Human Rights is prepared in accordance with Part 3 of </w:t>
      </w:r>
      <w:bookmarkStart w:id="3" w:name="_Hlk4054932"/>
      <w:r w:rsidRPr="001C36C1">
        <w:rPr>
          <w:iCs/>
        </w:rPr>
        <w:t xml:space="preserve">the </w:t>
      </w:r>
      <w:r w:rsidRPr="001C36C1">
        <w:rPr>
          <w:i/>
          <w:iCs/>
        </w:rPr>
        <w:t>Human Rights (Parliamentary Scrutiny) Act 2011</w:t>
      </w:r>
      <w:bookmarkEnd w:id="3"/>
      <w:r w:rsidR="00ED643F" w:rsidRPr="001C36C1">
        <w:rPr>
          <w:iCs/>
        </w:rPr>
        <w:t xml:space="preserve">. </w:t>
      </w:r>
    </w:p>
    <w:p w14:paraId="4B154A7D" w14:textId="31E30F98" w:rsidR="00223DCF" w:rsidRPr="001C36C1" w:rsidRDefault="00181532" w:rsidP="00223DCF">
      <w:pPr>
        <w:pStyle w:val="LI-BodyTextNumbered"/>
        <w:ind w:left="0" w:firstLine="0"/>
        <w:rPr>
          <w:b/>
          <w:i/>
        </w:rPr>
      </w:pPr>
      <w:r w:rsidRPr="001C36C1">
        <w:rPr>
          <w:b/>
          <w:i/>
        </w:rPr>
        <w:t>ASIC Corporations and Credit (Amendment) Instrument 2023/589</w:t>
      </w:r>
    </w:p>
    <w:p w14:paraId="0AD76C9D" w14:textId="77777777" w:rsidR="00223DCF" w:rsidRPr="001C36C1" w:rsidRDefault="00223DCF" w:rsidP="001872DC">
      <w:pPr>
        <w:pStyle w:val="LI-BodyTextNumbered"/>
        <w:ind w:left="567"/>
        <w:rPr>
          <w:u w:val="single"/>
        </w:rPr>
      </w:pPr>
      <w:r w:rsidRPr="001C36C1">
        <w:rPr>
          <w:u w:val="single"/>
        </w:rPr>
        <w:t>Overview</w:t>
      </w:r>
    </w:p>
    <w:p w14:paraId="44E823E6" w14:textId="614BB2F5" w:rsidR="0083207C" w:rsidRPr="001C36C1" w:rsidRDefault="00CB2D96" w:rsidP="004026DA">
      <w:pPr>
        <w:spacing w:before="240" w:line="240" w:lineRule="auto"/>
        <w:ind w:left="567" w:hanging="567"/>
        <w:rPr>
          <w:rFonts w:eastAsia="Times New Roman"/>
          <w:sz w:val="24"/>
          <w:szCs w:val="24"/>
          <w:lang w:eastAsia="en-AU"/>
        </w:rPr>
      </w:pPr>
      <w:r w:rsidRPr="001C36C1">
        <w:rPr>
          <w:rFonts w:eastAsia="Times New Roman"/>
          <w:sz w:val="24"/>
          <w:szCs w:val="24"/>
          <w:lang w:eastAsia="en-AU"/>
        </w:rPr>
        <w:t>1.</w:t>
      </w:r>
      <w:r w:rsidRPr="001C36C1">
        <w:rPr>
          <w:rFonts w:eastAsia="Times New Roman"/>
          <w:sz w:val="24"/>
          <w:szCs w:val="24"/>
          <w:lang w:eastAsia="en-AU"/>
        </w:rPr>
        <w:tab/>
      </w:r>
      <w:r w:rsidR="0080396E" w:rsidRPr="001C36C1">
        <w:rPr>
          <w:rFonts w:eastAsia="Times New Roman"/>
          <w:sz w:val="24"/>
          <w:szCs w:val="24"/>
          <w:lang w:eastAsia="en-AU"/>
        </w:rPr>
        <w:t xml:space="preserve">This instrument amends </w:t>
      </w:r>
      <w:r w:rsidR="004112D9" w:rsidRPr="001C36C1">
        <w:rPr>
          <w:rFonts w:eastAsia="Times New Roman"/>
          <w:i/>
          <w:iCs/>
          <w:sz w:val="24"/>
          <w:szCs w:val="24"/>
          <w:lang w:eastAsia="en-AU"/>
        </w:rPr>
        <w:t xml:space="preserve">ASIC Corporations and Credit (Breach Reporting–Reportable Situations) Instrument 2021/716 </w:t>
      </w:r>
      <w:r w:rsidR="00D92ED0" w:rsidRPr="001C36C1">
        <w:rPr>
          <w:rFonts w:eastAsia="Times New Roman"/>
          <w:sz w:val="24"/>
          <w:szCs w:val="24"/>
          <w:lang w:eastAsia="en-AU"/>
        </w:rPr>
        <w:t>(</w:t>
      </w:r>
      <w:r w:rsidR="00D92ED0" w:rsidRPr="001C36C1">
        <w:rPr>
          <w:rFonts w:eastAsia="Times New Roman"/>
          <w:b/>
          <w:bCs/>
          <w:sz w:val="24"/>
          <w:szCs w:val="24"/>
          <w:lang w:eastAsia="en-AU"/>
        </w:rPr>
        <w:t>Principal Instrument</w:t>
      </w:r>
      <w:r w:rsidR="00D92ED0" w:rsidRPr="001C36C1">
        <w:rPr>
          <w:rFonts w:eastAsia="Times New Roman"/>
          <w:sz w:val="24"/>
          <w:szCs w:val="24"/>
          <w:lang w:eastAsia="en-AU"/>
        </w:rPr>
        <w:t>)</w:t>
      </w:r>
      <w:r w:rsidR="00A62BBE" w:rsidRPr="001C36C1">
        <w:rPr>
          <w:rFonts w:eastAsia="Times New Roman"/>
          <w:sz w:val="24"/>
          <w:szCs w:val="24"/>
          <w:lang w:eastAsia="en-AU"/>
        </w:rPr>
        <w:t xml:space="preserve"> to insert </w:t>
      </w:r>
      <w:r w:rsidR="005A23BB" w:rsidRPr="001C36C1">
        <w:rPr>
          <w:rFonts w:eastAsia="Times New Roman"/>
          <w:sz w:val="24"/>
          <w:szCs w:val="24"/>
          <w:lang w:eastAsia="en-AU"/>
        </w:rPr>
        <w:t>sections</w:t>
      </w:r>
      <w:r w:rsidR="00A62BBE" w:rsidRPr="001C36C1">
        <w:rPr>
          <w:rFonts w:eastAsia="Times New Roman"/>
          <w:sz w:val="24"/>
          <w:szCs w:val="24"/>
          <w:lang w:eastAsia="en-AU"/>
        </w:rPr>
        <w:t xml:space="preserve"> 7</w:t>
      </w:r>
      <w:r w:rsidR="004026DA">
        <w:rPr>
          <w:rFonts w:eastAsia="Times New Roman"/>
          <w:sz w:val="24"/>
          <w:szCs w:val="24"/>
          <w:lang w:eastAsia="en-AU"/>
        </w:rPr>
        <w:t>–</w:t>
      </w:r>
      <w:r w:rsidR="00A62BBE" w:rsidRPr="001C36C1">
        <w:rPr>
          <w:rFonts w:eastAsia="Times New Roman"/>
          <w:sz w:val="24"/>
          <w:szCs w:val="24"/>
          <w:lang w:eastAsia="en-AU"/>
        </w:rPr>
        <w:t>9</w:t>
      </w:r>
      <w:r w:rsidR="001453EA" w:rsidRPr="001C36C1">
        <w:rPr>
          <w:rFonts w:eastAsia="Times New Roman"/>
          <w:sz w:val="24"/>
          <w:szCs w:val="24"/>
          <w:lang w:eastAsia="en-AU"/>
        </w:rPr>
        <w:t xml:space="preserve">. </w:t>
      </w:r>
    </w:p>
    <w:p w14:paraId="0368316A" w14:textId="4B52809D" w:rsidR="0083207C" w:rsidRPr="001C36C1" w:rsidRDefault="0083207C" w:rsidP="00CB2D96">
      <w:pPr>
        <w:spacing w:before="240" w:line="240" w:lineRule="auto"/>
        <w:ind w:left="567" w:hanging="567"/>
        <w:rPr>
          <w:rFonts w:eastAsia="Times New Roman"/>
          <w:sz w:val="24"/>
          <w:szCs w:val="24"/>
          <w:lang w:eastAsia="en-AU"/>
        </w:rPr>
      </w:pPr>
      <w:r w:rsidRPr="001C36C1">
        <w:rPr>
          <w:rFonts w:eastAsia="Times New Roman"/>
          <w:sz w:val="24"/>
          <w:szCs w:val="24"/>
          <w:lang w:eastAsia="en-AU"/>
        </w:rPr>
        <w:t>2.</w:t>
      </w:r>
      <w:r w:rsidRPr="001C36C1">
        <w:rPr>
          <w:rFonts w:eastAsia="Times New Roman"/>
          <w:sz w:val="24"/>
          <w:szCs w:val="24"/>
          <w:lang w:eastAsia="en-AU"/>
        </w:rPr>
        <w:tab/>
      </w:r>
      <w:r w:rsidR="005A23BB" w:rsidRPr="001C36C1">
        <w:rPr>
          <w:rFonts w:eastAsia="Times New Roman"/>
          <w:sz w:val="24"/>
          <w:szCs w:val="24"/>
          <w:lang w:eastAsia="en-AU"/>
        </w:rPr>
        <w:t>Section</w:t>
      </w:r>
      <w:r w:rsidR="001453EA" w:rsidRPr="001C36C1">
        <w:rPr>
          <w:rFonts w:eastAsia="Times New Roman"/>
          <w:sz w:val="24"/>
          <w:szCs w:val="24"/>
          <w:lang w:eastAsia="en-AU"/>
        </w:rPr>
        <w:t xml:space="preserve"> 7 </w:t>
      </w:r>
      <w:r w:rsidR="00BD6A58" w:rsidRPr="001C36C1">
        <w:rPr>
          <w:rFonts w:eastAsia="Times New Roman"/>
          <w:sz w:val="24"/>
          <w:szCs w:val="24"/>
          <w:lang w:eastAsia="en-AU"/>
        </w:rPr>
        <w:t>modifies</w:t>
      </w:r>
      <w:r w:rsidR="001453EA" w:rsidRPr="001C36C1">
        <w:rPr>
          <w:rFonts w:eastAsia="Times New Roman"/>
          <w:sz w:val="24"/>
          <w:szCs w:val="24"/>
          <w:lang w:eastAsia="en-AU"/>
        </w:rPr>
        <w:t xml:space="preserve"> </w:t>
      </w:r>
      <w:r w:rsidR="00CC6E40" w:rsidRPr="001C36C1">
        <w:rPr>
          <w:rFonts w:eastAsia="Times New Roman"/>
          <w:sz w:val="24"/>
          <w:szCs w:val="24"/>
          <w:lang w:eastAsia="en-AU"/>
        </w:rPr>
        <w:t xml:space="preserve">section </w:t>
      </w:r>
      <w:r w:rsidR="001609EC" w:rsidRPr="001C36C1">
        <w:rPr>
          <w:rFonts w:eastAsia="Times New Roman"/>
          <w:sz w:val="24"/>
          <w:szCs w:val="24"/>
          <w:lang w:eastAsia="en-AU"/>
        </w:rPr>
        <w:t xml:space="preserve">912D of the </w:t>
      </w:r>
      <w:r w:rsidR="001609EC" w:rsidRPr="001C36C1">
        <w:rPr>
          <w:rFonts w:eastAsia="Times New Roman"/>
          <w:i/>
          <w:iCs/>
          <w:sz w:val="24"/>
          <w:szCs w:val="24"/>
          <w:lang w:eastAsia="en-AU"/>
        </w:rPr>
        <w:t>Corporations Act 2001</w:t>
      </w:r>
      <w:r w:rsidR="001609EC" w:rsidRPr="001C36C1">
        <w:rPr>
          <w:rFonts w:eastAsia="Times New Roman"/>
          <w:sz w:val="24"/>
          <w:szCs w:val="24"/>
          <w:lang w:eastAsia="en-AU"/>
        </w:rPr>
        <w:t xml:space="preserve"> (</w:t>
      </w:r>
      <w:r w:rsidR="001609EC" w:rsidRPr="001C36C1">
        <w:rPr>
          <w:rFonts w:eastAsia="Times New Roman"/>
          <w:b/>
          <w:bCs/>
          <w:sz w:val="24"/>
          <w:szCs w:val="24"/>
          <w:lang w:eastAsia="en-AU"/>
        </w:rPr>
        <w:t>Corporations Act</w:t>
      </w:r>
      <w:r w:rsidR="001609EC" w:rsidRPr="001C36C1">
        <w:rPr>
          <w:rFonts w:eastAsia="Times New Roman"/>
          <w:sz w:val="24"/>
          <w:szCs w:val="24"/>
          <w:lang w:eastAsia="en-AU"/>
        </w:rPr>
        <w:t xml:space="preserve">) </w:t>
      </w:r>
      <w:r w:rsidR="001453EA" w:rsidRPr="001C36C1">
        <w:rPr>
          <w:rFonts w:eastAsia="Times New Roman"/>
          <w:sz w:val="24"/>
          <w:szCs w:val="24"/>
          <w:lang w:eastAsia="en-AU"/>
        </w:rPr>
        <w:t xml:space="preserve">and </w:t>
      </w:r>
      <w:r w:rsidR="00CC6E40" w:rsidRPr="001C36C1">
        <w:rPr>
          <w:rFonts w:eastAsia="Times New Roman"/>
          <w:sz w:val="24"/>
          <w:szCs w:val="24"/>
          <w:lang w:eastAsia="en-AU"/>
        </w:rPr>
        <w:t xml:space="preserve">section </w:t>
      </w:r>
      <w:r w:rsidR="003E5227" w:rsidRPr="001C36C1">
        <w:rPr>
          <w:rFonts w:eastAsia="Times New Roman"/>
          <w:sz w:val="24"/>
          <w:szCs w:val="24"/>
          <w:lang w:eastAsia="en-AU"/>
        </w:rPr>
        <w:t xml:space="preserve">50A of the </w:t>
      </w:r>
      <w:r w:rsidR="003E5227" w:rsidRPr="001C36C1">
        <w:rPr>
          <w:rFonts w:eastAsia="Times New Roman"/>
          <w:i/>
          <w:iCs/>
          <w:sz w:val="24"/>
          <w:szCs w:val="24"/>
          <w:lang w:eastAsia="en-AU"/>
        </w:rPr>
        <w:t xml:space="preserve">National Consumer Credit Protection Act 2009 </w:t>
      </w:r>
      <w:r w:rsidR="003E5227" w:rsidRPr="001C36C1">
        <w:rPr>
          <w:rFonts w:eastAsia="Times New Roman"/>
          <w:sz w:val="24"/>
          <w:szCs w:val="24"/>
          <w:lang w:eastAsia="en-AU"/>
        </w:rPr>
        <w:t>(</w:t>
      </w:r>
      <w:r w:rsidR="003E5227" w:rsidRPr="001C36C1">
        <w:rPr>
          <w:rFonts w:eastAsia="Times New Roman"/>
          <w:b/>
          <w:bCs/>
          <w:sz w:val="24"/>
          <w:szCs w:val="24"/>
          <w:lang w:eastAsia="en-AU"/>
        </w:rPr>
        <w:t>Credit Act</w:t>
      </w:r>
      <w:r w:rsidR="003E5227" w:rsidRPr="001C36C1">
        <w:rPr>
          <w:rFonts w:eastAsia="Times New Roman"/>
          <w:sz w:val="24"/>
          <w:szCs w:val="24"/>
          <w:lang w:eastAsia="en-AU"/>
        </w:rPr>
        <w:t>)</w:t>
      </w:r>
      <w:r w:rsidR="000A6BE4" w:rsidRPr="001C36C1">
        <w:rPr>
          <w:rFonts w:eastAsia="Times New Roman"/>
          <w:sz w:val="24"/>
          <w:szCs w:val="24"/>
          <w:lang w:eastAsia="en-AU"/>
        </w:rPr>
        <w:t xml:space="preserve"> to </w:t>
      </w:r>
      <w:r w:rsidR="00797B1A" w:rsidRPr="001C36C1">
        <w:rPr>
          <w:rFonts w:eastAsia="Times New Roman"/>
          <w:sz w:val="24"/>
          <w:szCs w:val="24"/>
          <w:lang w:eastAsia="en-AU"/>
        </w:rPr>
        <w:t xml:space="preserve">exclude </w:t>
      </w:r>
      <w:r w:rsidR="00F861A5" w:rsidRPr="001C36C1">
        <w:rPr>
          <w:rFonts w:eastAsia="Times New Roman"/>
          <w:sz w:val="24"/>
          <w:szCs w:val="24"/>
          <w:lang w:eastAsia="en-AU"/>
        </w:rPr>
        <w:t>contravention</w:t>
      </w:r>
      <w:r w:rsidR="004A5419" w:rsidRPr="001C36C1">
        <w:rPr>
          <w:rFonts w:eastAsia="Times New Roman"/>
          <w:sz w:val="24"/>
          <w:szCs w:val="24"/>
          <w:lang w:eastAsia="en-AU"/>
        </w:rPr>
        <w:t>s</w:t>
      </w:r>
      <w:r w:rsidR="00F861A5" w:rsidRPr="001C36C1">
        <w:rPr>
          <w:rFonts w:eastAsia="Times New Roman"/>
          <w:sz w:val="24"/>
          <w:szCs w:val="24"/>
          <w:lang w:eastAsia="en-AU"/>
        </w:rPr>
        <w:t xml:space="preserve"> </w:t>
      </w:r>
      <w:r w:rsidR="008113D1" w:rsidRPr="001C36C1">
        <w:rPr>
          <w:rFonts w:eastAsia="Times New Roman"/>
          <w:sz w:val="24"/>
          <w:szCs w:val="24"/>
          <w:lang w:eastAsia="en-AU"/>
        </w:rPr>
        <w:t xml:space="preserve">of subsections 12DA(1) or 12DB(1) of the </w:t>
      </w:r>
      <w:r w:rsidR="008113D1" w:rsidRPr="001C36C1">
        <w:rPr>
          <w:rFonts w:eastAsia="Times New Roman"/>
          <w:i/>
          <w:iCs/>
          <w:sz w:val="24"/>
          <w:szCs w:val="24"/>
          <w:lang w:eastAsia="en-AU"/>
        </w:rPr>
        <w:t xml:space="preserve">Australian Securities and Investments Commission Act 2001 </w:t>
      </w:r>
      <w:r w:rsidR="00F861A5" w:rsidRPr="001C36C1">
        <w:rPr>
          <w:rFonts w:eastAsia="Times New Roman"/>
          <w:sz w:val="24"/>
          <w:szCs w:val="24"/>
          <w:lang w:eastAsia="en-AU"/>
        </w:rPr>
        <w:t xml:space="preserve">and subsection 1041H(1) of the Corporations Act </w:t>
      </w:r>
      <w:r w:rsidR="00D61E44" w:rsidRPr="001C36C1">
        <w:rPr>
          <w:rFonts w:eastAsia="Times New Roman"/>
          <w:sz w:val="24"/>
          <w:szCs w:val="24"/>
          <w:lang w:eastAsia="en-AU"/>
        </w:rPr>
        <w:t xml:space="preserve">(collectively </w:t>
      </w:r>
      <w:r w:rsidR="00D61E44" w:rsidRPr="001C36C1">
        <w:rPr>
          <w:rFonts w:eastAsia="Times New Roman"/>
          <w:b/>
          <w:bCs/>
          <w:sz w:val="24"/>
          <w:szCs w:val="24"/>
          <w:lang w:eastAsia="en-AU"/>
        </w:rPr>
        <w:t>MDC provisions</w:t>
      </w:r>
      <w:r w:rsidR="00D61E44" w:rsidRPr="001C36C1">
        <w:rPr>
          <w:rFonts w:eastAsia="Times New Roman"/>
          <w:sz w:val="24"/>
          <w:szCs w:val="24"/>
          <w:lang w:eastAsia="en-AU"/>
        </w:rPr>
        <w:t xml:space="preserve">) </w:t>
      </w:r>
      <w:r w:rsidR="00FC5B01" w:rsidRPr="001C36C1">
        <w:rPr>
          <w:rFonts w:eastAsia="Times New Roman"/>
          <w:sz w:val="24"/>
          <w:szCs w:val="24"/>
          <w:lang w:eastAsia="en-AU"/>
        </w:rPr>
        <w:t xml:space="preserve">from </w:t>
      </w:r>
      <w:r w:rsidR="003A28C9" w:rsidRPr="001C36C1">
        <w:rPr>
          <w:rFonts w:eastAsia="Times New Roman"/>
          <w:sz w:val="24"/>
          <w:szCs w:val="24"/>
          <w:lang w:eastAsia="en-AU"/>
        </w:rPr>
        <w:t>being deemed a ‘significant’ breach of a core obligation and therefore a reportable situation</w:t>
      </w:r>
      <w:r w:rsidR="000A6BE4" w:rsidRPr="001C36C1">
        <w:rPr>
          <w:rFonts w:eastAsia="Times New Roman"/>
          <w:sz w:val="24"/>
          <w:szCs w:val="24"/>
          <w:lang w:eastAsia="en-AU"/>
        </w:rPr>
        <w:t xml:space="preserve"> if c</w:t>
      </w:r>
      <w:r w:rsidR="00666ACC">
        <w:rPr>
          <w:rFonts w:eastAsia="Times New Roman"/>
          <w:sz w:val="24"/>
          <w:szCs w:val="24"/>
          <w:lang w:eastAsia="en-AU"/>
        </w:rPr>
        <w:t>ertain c</w:t>
      </w:r>
      <w:r w:rsidR="000A6BE4" w:rsidRPr="001C36C1">
        <w:rPr>
          <w:rFonts w:eastAsia="Times New Roman"/>
          <w:sz w:val="24"/>
          <w:szCs w:val="24"/>
          <w:lang w:eastAsia="en-AU"/>
        </w:rPr>
        <w:t>onditions are met</w:t>
      </w:r>
      <w:r w:rsidR="003A28C9" w:rsidRPr="001C36C1">
        <w:rPr>
          <w:rFonts w:eastAsia="Times New Roman"/>
          <w:sz w:val="24"/>
          <w:szCs w:val="24"/>
          <w:lang w:eastAsia="en-AU"/>
        </w:rPr>
        <w:t>.</w:t>
      </w:r>
      <w:r w:rsidR="00187563" w:rsidRPr="001C36C1">
        <w:rPr>
          <w:rFonts w:eastAsia="Times New Roman"/>
          <w:sz w:val="24"/>
          <w:szCs w:val="24"/>
          <w:lang w:eastAsia="en-AU"/>
        </w:rPr>
        <w:t xml:space="preserve"> </w:t>
      </w:r>
    </w:p>
    <w:p w14:paraId="056E764A" w14:textId="50952985" w:rsidR="00CB2D96" w:rsidRPr="001C36C1" w:rsidRDefault="0083207C" w:rsidP="00CB2D96">
      <w:pPr>
        <w:spacing w:before="240" w:line="240" w:lineRule="auto"/>
        <w:ind w:left="567" w:hanging="567"/>
        <w:rPr>
          <w:rFonts w:eastAsia="Times New Roman"/>
          <w:sz w:val="24"/>
          <w:szCs w:val="24"/>
          <w:lang w:eastAsia="en-AU"/>
        </w:rPr>
      </w:pPr>
      <w:r w:rsidRPr="001C36C1">
        <w:rPr>
          <w:rFonts w:eastAsia="Times New Roman"/>
          <w:sz w:val="24"/>
          <w:szCs w:val="24"/>
          <w:lang w:eastAsia="en-AU"/>
        </w:rPr>
        <w:t>3.</w:t>
      </w:r>
      <w:r w:rsidRPr="001C36C1">
        <w:rPr>
          <w:rFonts w:eastAsia="Times New Roman"/>
          <w:sz w:val="24"/>
          <w:szCs w:val="24"/>
          <w:lang w:eastAsia="en-AU"/>
        </w:rPr>
        <w:tab/>
      </w:r>
      <w:r w:rsidR="005A23BB" w:rsidRPr="001C36C1">
        <w:rPr>
          <w:rFonts w:eastAsia="Times New Roman"/>
          <w:sz w:val="24"/>
          <w:szCs w:val="24"/>
          <w:lang w:eastAsia="en-AU"/>
        </w:rPr>
        <w:t>Section</w:t>
      </w:r>
      <w:r w:rsidRPr="001C36C1">
        <w:rPr>
          <w:rFonts w:eastAsia="Times New Roman"/>
          <w:sz w:val="24"/>
          <w:szCs w:val="24"/>
          <w:lang w:eastAsia="en-AU"/>
        </w:rPr>
        <w:t xml:space="preserve"> 8 substitutes subsection 912DAA(3) of the Corporations Act and subsection 50</w:t>
      </w:r>
      <w:r w:rsidR="00FF6D04" w:rsidRPr="001C36C1">
        <w:rPr>
          <w:rFonts w:eastAsia="Times New Roman"/>
          <w:sz w:val="24"/>
          <w:szCs w:val="24"/>
          <w:lang w:eastAsia="en-AU"/>
        </w:rPr>
        <w:t xml:space="preserve">B(4) of the Credit Act with new subsections that </w:t>
      </w:r>
      <w:r w:rsidR="00677800" w:rsidRPr="001C36C1">
        <w:rPr>
          <w:rFonts w:eastAsia="Times New Roman"/>
          <w:sz w:val="24"/>
          <w:szCs w:val="24"/>
          <w:lang w:eastAsia="en-AU"/>
        </w:rPr>
        <w:t xml:space="preserve">permit </w:t>
      </w:r>
      <w:r w:rsidR="00B62293" w:rsidRPr="001C36C1">
        <w:rPr>
          <w:rFonts w:eastAsia="Times New Roman"/>
          <w:sz w:val="24"/>
          <w:szCs w:val="24"/>
          <w:lang w:eastAsia="en-AU"/>
        </w:rPr>
        <w:t xml:space="preserve">up to </w:t>
      </w:r>
      <w:r w:rsidR="00677800" w:rsidRPr="001C36C1">
        <w:rPr>
          <w:rFonts w:eastAsia="Times New Roman"/>
          <w:sz w:val="24"/>
          <w:szCs w:val="24"/>
          <w:lang w:eastAsia="en-AU"/>
        </w:rPr>
        <w:t xml:space="preserve">90 days from the day the </w:t>
      </w:r>
      <w:r w:rsidR="00A55E79" w:rsidRPr="001C36C1">
        <w:rPr>
          <w:rFonts w:eastAsia="Times New Roman"/>
          <w:sz w:val="24"/>
          <w:szCs w:val="24"/>
          <w:lang w:eastAsia="en-AU"/>
        </w:rPr>
        <w:t>relevant</w:t>
      </w:r>
      <w:r w:rsidR="0014328F" w:rsidRPr="001C36C1">
        <w:rPr>
          <w:rFonts w:eastAsia="Times New Roman"/>
          <w:sz w:val="24"/>
          <w:szCs w:val="24"/>
          <w:lang w:eastAsia="en-AU"/>
        </w:rPr>
        <w:t xml:space="preserve"> licensee first </w:t>
      </w:r>
      <w:r w:rsidR="00377216" w:rsidRPr="001C36C1">
        <w:rPr>
          <w:rFonts w:eastAsia="Times New Roman"/>
          <w:sz w:val="24"/>
          <w:szCs w:val="24"/>
          <w:lang w:eastAsia="en-AU"/>
        </w:rPr>
        <w:t xml:space="preserve">knows that, or is reckless with respect to whether, there are reasonable grounds to believe that </w:t>
      </w:r>
      <w:r w:rsidR="00B62293" w:rsidRPr="001C36C1">
        <w:rPr>
          <w:rFonts w:eastAsia="Times New Roman"/>
          <w:sz w:val="24"/>
          <w:szCs w:val="24"/>
          <w:lang w:eastAsia="en-AU"/>
        </w:rPr>
        <w:t>a</w:t>
      </w:r>
      <w:r w:rsidR="00377216" w:rsidRPr="001C36C1">
        <w:rPr>
          <w:rFonts w:eastAsia="Times New Roman"/>
          <w:sz w:val="24"/>
          <w:szCs w:val="24"/>
          <w:lang w:eastAsia="en-AU"/>
        </w:rPr>
        <w:t xml:space="preserve"> reportable situation has arisen</w:t>
      </w:r>
      <w:r w:rsidR="00027BAB" w:rsidRPr="001C36C1">
        <w:rPr>
          <w:rFonts w:eastAsia="Times New Roman"/>
          <w:sz w:val="24"/>
          <w:szCs w:val="24"/>
          <w:lang w:eastAsia="en-AU"/>
        </w:rPr>
        <w:t xml:space="preserve"> if that reportable situation is related to an earlier reported </w:t>
      </w:r>
      <w:r w:rsidR="00CF2272" w:rsidRPr="001C36C1">
        <w:rPr>
          <w:rFonts w:eastAsia="Times New Roman"/>
          <w:sz w:val="24"/>
          <w:szCs w:val="24"/>
          <w:lang w:eastAsia="en-AU"/>
        </w:rPr>
        <w:t>reportable situation</w:t>
      </w:r>
      <w:r w:rsidR="00B131A7" w:rsidRPr="001C36C1">
        <w:rPr>
          <w:rFonts w:eastAsia="Times New Roman"/>
          <w:sz w:val="24"/>
          <w:szCs w:val="24"/>
          <w:lang w:eastAsia="en-AU"/>
        </w:rPr>
        <w:t>.</w:t>
      </w:r>
      <w:r w:rsidR="00ED643F" w:rsidRPr="001C36C1">
        <w:rPr>
          <w:rFonts w:eastAsia="Times New Roman"/>
          <w:sz w:val="24"/>
          <w:szCs w:val="24"/>
          <w:lang w:eastAsia="en-AU"/>
        </w:rPr>
        <w:t xml:space="preserve"> </w:t>
      </w:r>
      <w:r w:rsidR="009359B7" w:rsidRPr="001C36C1">
        <w:rPr>
          <w:rFonts w:eastAsia="Times New Roman"/>
          <w:sz w:val="24"/>
          <w:szCs w:val="24"/>
          <w:lang w:eastAsia="en-AU"/>
        </w:rPr>
        <w:t xml:space="preserve"> </w:t>
      </w:r>
      <w:r w:rsidR="00187563" w:rsidRPr="001C36C1">
        <w:rPr>
          <w:rFonts w:eastAsia="Times New Roman"/>
          <w:sz w:val="24"/>
          <w:szCs w:val="24"/>
          <w:lang w:eastAsia="en-AU"/>
        </w:rPr>
        <w:t xml:space="preserve"> </w:t>
      </w:r>
    </w:p>
    <w:p w14:paraId="63E64069" w14:textId="0566A105" w:rsidR="00CA6E72" w:rsidRPr="001C36C1" w:rsidRDefault="00CA6E72" w:rsidP="00CA6E72">
      <w:pPr>
        <w:pStyle w:val="LI-BodyTextParaa"/>
        <w:ind w:left="567"/>
        <w:rPr>
          <w:color w:val="000000"/>
        </w:rPr>
      </w:pPr>
      <w:r w:rsidRPr="001C36C1">
        <w:t>4.</w:t>
      </w:r>
      <w:r w:rsidRPr="001C36C1">
        <w:tab/>
      </w:r>
      <w:r w:rsidR="005A23BB" w:rsidRPr="001C36C1">
        <w:t>Section</w:t>
      </w:r>
      <w:r w:rsidRPr="001C36C1">
        <w:t xml:space="preserve"> 9 modifies subsection 912D(3) </w:t>
      </w:r>
      <w:r w:rsidRPr="001C36C1">
        <w:rPr>
          <w:color w:val="000000"/>
        </w:rPr>
        <w:t xml:space="preserve">to make consequential amendments that were missed when Schedule 2 of the </w:t>
      </w:r>
      <w:r w:rsidRPr="001C36C1">
        <w:rPr>
          <w:i/>
          <w:iCs/>
          <w:color w:val="000000"/>
        </w:rPr>
        <w:t xml:space="preserve">Treasury Laws Amendment (2023 Law Improvement Package No. 1) Act 2023 </w:t>
      </w:r>
      <w:r w:rsidRPr="001C36C1">
        <w:rPr>
          <w:color w:val="000000"/>
        </w:rPr>
        <w:t xml:space="preserve">was made. </w:t>
      </w:r>
    </w:p>
    <w:p w14:paraId="79BCB1A5" w14:textId="77777777" w:rsidR="001872DC" w:rsidRPr="001C36C1" w:rsidRDefault="001872DC" w:rsidP="001872DC">
      <w:pPr>
        <w:pStyle w:val="LI-BodyTextNumbered"/>
        <w:ind w:left="567"/>
        <w:rPr>
          <w:u w:val="single"/>
        </w:rPr>
      </w:pPr>
      <w:bookmarkStart w:id="4" w:name="_Hlk534286807"/>
      <w:bookmarkEnd w:id="2"/>
      <w:r w:rsidRPr="001C36C1">
        <w:rPr>
          <w:u w:val="single"/>
        </w:rPr>
        <w:t>Assessment of human rights implications</w:t>
      </w:r>
    </w:p>
    <w:p w14:paraId="56F8130E" w14:textId="18215725" w:rsidR="00946759" w:rsidRPr="001C36C1" w:rsidRDefault="00532957" w:rsidP="00D306F8">
      <w:pPr>
        <w:pStyle w:val="LI-BodyTextNumbered"/>
        <w:ind w:left="567"/>
      </w:pPr>
      <w:r w:rsidRPr="001C36C1">
        <w:t>5</w:t>
      </w:r>
      <w:r w:rsidR="001872DC" w:rsidRPr="001C36C1">
        <w:t>.</w:t>
      </w:r>
      <w:r w:rsidR="001872DC" w:rsidRPr="001C36C1">
        <w:tab/>
      </w:r>
      <w:bookmarkEnd w:id="4"/>
      <w:r w:rsidR="001872DC" w:rsidRPr="001C36C1">
        <w:t xml:space="preserve">This instrument </w:t>
      </w:r>
      <w:r w:rsidR="00D306F8" w:rsidRPr="001C36C1">
        <w:t>does not engage any of the applicable rights or freedoms</w:t>
      </w:r>
      <w:r w:rsidR="00B266FD">
        <w:t>.</w:t>
      </w:r>
      <w:r w:rsidR="00435EEF" w:rsidRPr="001C36C1">
        <w:t xml:space="preserve"> </w:t>
      </w:r>
    </w:p>
    <w:p w14:paraId="05FFF3B4" w14:textId="77777777" w:rsidR="00CB2D96" w:rsidRPr="001C36C1" w:rsidRDefault="00CB2D96" w:rsidP="00D306F8">
      <w:pPr>
        <w:pStyle w:val="LI-BodyTextNumbered"/>
        <w:ind w:left="567"/>
        <w:rPr>
          <w:u w:val="single"/>
        </w:rPr>
      </w:pPr>
      <w:r w:rsidRPr="001C36C1">
        <w:rPr>
          <w:u w:val="single"/>
        </w:rPr>
        <w:t>Conclusion</w:t>
      </w:r>
    </w:p>
    <w:p w14:paraId="4734FE48" w14:textId="6585C0DB" w:rsidR="00CB2D96" w:rsidRPr="00EA17A6" w:rsidRDefault="00532957" w:rsidP="00CB2D96">
      <w:pPr>
        <w:pStyle w:val="LI-BodyTextNumbered"/>
        <w:ind w:left="567"/>
      </w:pPr>
      <w:r w:rsidRPr="001C36C1">
        <w:t>6</w:t>
      </w:r>
      <w:r w:rsidR="00CB2D96" w:rsidRPr="001C36C1">
        <w:t>.</w:t>
      </w:r>
      <w:r w:rsidR="00CB2D96" w:rsidRPr="001C36C1">
        <w:tab/>
        <w:t xml:space="preserve">This instrument is compatible with the human rights and freedoms recognised or declared in the international instruments listed in section 3 of </w:t>
      </w:r>
      <w:r w:rsidR="00CB2D96" w:rsidRPr="001C36C1">
        <w:rPr>
          <w:iCs/>
        </w:rPr>
        <w:t xml:space="preserve">the </w:t>
      </w:r>
      <w:r w:rsidR="00CB2D96" w:rsidRPr="001C36C1">
        <w:rPr>
          <w:i/>
          <w:iCs/>
        </w:rPr>
        <w:t>Human Rights (Parliamentary Scrutiny) Act 2011</w:t>
      </w:r>
      <w:r w:rsidR="00CB2D96" w:rsidRPr="001C36C1">
        <w:t>.</w:t>
      </w:r>
    </w:p>
    <w:p w14:paraId="570BEB58" w14:textId="77777777" w:rsidR="00CB2D96" w:rsidRPr="00EA17A6" w:rsidRDefault="00CB2D96" w:rsidP="00D306F8">
      <w:pPr>
        <w:pStyle w:val="LI-BodyTextNumbered"/>
        <w:ind w:left="567"/>
      </w:pPr>
    </w:p>
    <w:sectPr w:rsidR="00CB2D96" w:rsidRPr="00EA17A6" w:rsidSect="00863657">
      <w:headerReference w:type="even" r:id="rId18"/>
      <w:headerReference w:type="default" r:id="rId19"/>
      <w:footerReference w:type="default" r:id="rId20"/>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0CA17" w14:textId="77777777" w:rsidR="00C931B8" w:rsidRDefault="00C931B8" w:rsidP="00715914">
      <w:pPr>
        <w:spacing w:line="240" w:lineRule="auto"/>
      </w:pPr>
      <w:r>
        <w:separator/>
      </w:r>
    </w:p>
  </w:endnote>
  <w:endnote w:type="continuationSeparator" w:id="0">
    <w:p w14:paraId="2F840B79" w14:textId="77777777" w:rsidR="00C931B8" w:rsidRDefault="00C931B8" w:rsidP="00715914">
      <w:pPr>
        <w:spacing w:line="240" w:lineRule="auto"/>
      </w:pPr>
      <w:r>
        <w:continuationSeparator/>
      </w:r>
    </w:p>
  </w:endnote>
  <w:endnote w:type="continuationNotice" w:id="1">
    <w:p w14:paraId="0A278793" w14:textId="77777777" w:rsidR="00C931B8" w:rsidRDefault="00C931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F75F" w14:textId="77777777" w:rsidR="00C931B8" w:rsidRDefault="00C931B8" w:rsidP="00715914">
      <w:pPr>
        <w:spacing w:line="240" w:lineRule="auto"/>
      </w:pPr>
      <w:r>
        <w:separator/>
      </w:r>
    </w:p>
  </w:footnote>
  <w:footnote w:type="continuationSeparator" w:id="0">
    <w:p w14:paraId="2DC49255" w14:textId="77777777" w:rsidR="00C931B8" w:rsidRDefault="00C931B8" w:rsidP="00715914">
      <w:pPr>
        <w:spacing w:line="240" w:lineRule="auto"/>
      </w:pPr>
      <w:r>
        <w:continuationSeparator/>
      </w:r>
    </w:p>
  </w:footnote>
  <w:footnote w:type="continuationNotice" w:id="1">
    <w:p w14:paraId="3ACA7C2F" w14:textId="77777777" w:rsidR="00C931B8" w:rsidRDefault="00C931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E26D93"/>
    <w:multiLevelType w:val="hybridMultilevel"/>
    <w:tmpl w:val="1CF435D0"/>
    <w:lvl w:ilvl="0" w:tplc="E11EBD7E">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3"/>
  </w:num>
  <w:num w:numId="12" w16cid:durableId="1380130046">
    <w:abstractNumId w:val="10"/>
  </w:num>
  <w:num w:numId="13" w16cid:durableId="1614940614">
    <w:abstractNumId w:val="11"/>
  </w:num>
  <w:num w:numId="14" w16cid:durableId="1573616542">
    <w:abstractNumId w:val="14"/>
  </w:num>
  <w:num w:numId="15" w16cid:durableId="169029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1184"/>
    <w:rsid w:val="0000236B"/>
    <w:rsid w:val="000029C7"/>
    <w:rsid w:val="00002C68"/>
    <w:rsid w:val="00004470"/>
    <w:rsid w:val="0000447B"/>
    <w:rsid w:val="00004918"/>
    <w:rsid w:val="00005446"/>
    <w:rsid w:val="00005723"/>
    <w:rsid w:val="00005CEF"/>
    <w:rsid w:val="000126CD"/>
    <w:rsid w:val="00012CAE"/>
    <w:rsid w:val="00012E74"/>
    <w:rsid w:val="000136AF"/>
    <w:rsid w:val="0001371D"/>
    <w:rsid w:val="00013B8D"/>
    <w:rsid w:val="00014320"/>
    <w:rsid w:val="00015719"/>
    <w:rsid w:val="000166DE"/>
    <w:rsid w:val="0002228E"/>
    <w:rsid w:val="00023B7A"/>
    <w:rsid w:val="00023D53"/>
    <w:rsid w:val="000258B5"/>
    <w:rsid w:val="00027BAB"/>
    <w:rsid w:val="00030E86"/>
    <w:rsid w:val="0003194A"/>
    <w:rsid w:val="0003254B"/>
    <w:rsid w:val="00035391"/>
    <w:rsid w:val="00035748"/>
    <w:rsid w:val="000367B5"/>
    <w:rsid w:val="00036B01"/>
    <w:rsid w:val="00036C12"/>
    <w:rsid w:val="00036EB3"/>
    <w:rsid w:val="00036F3D"/>
    <w:rsid w:val="00037E77"/>
    <w:rsid w:val="00037ECE"/>
    <w:rsid w:val="000413F5"/>
    <w:rsid w:val="00043452"/>
    <w:rsid w:val="000437C1"/>
    <w:rsid w:val="00045E19"/>
    <w:rsid w:val="00045E29"/>
    <w:rsid w:val="00046B4C"/>
    <w:rsid w:val="000535FF"/>
    <w:rsid w:val="0005365D"/>
    <w:rsid w:val="000542E3"/>
    <w:rsid w:val="00055348"/>
    <w:rsid w:val="00056CFF"/>
    <w:rsid w:val="00057EFB"/>
    <w:rsid w:val="00060D11"/>
    <w:rsid w:val="00060D40"/>
    <w:rsid w:val="000614BF"/>
    <w:rsid w:val="0006250C"/>
    <w:rsid w:val="00062CCA"/>
    <w:rsid w:val="0006432B"/>
    <w:rsid w:val="00066868"/>
    <w:rsid w:val="0007077A"/>
    <w:rsid w:val="0007103C"/>
    <w:rsid w:val="00071113"/>
    <w:rsid w:val="00072423"/>
    <w:rsid w:val="000734C4"/>
    <w:rsid w:val="00073CD7"/>
    <w:rsid w:val="0007404A"/>
    <w:rsid w:val="00074771"/>
    <w:rsid w:val="00074951"/>
    <w:rsid w:val="000759D8"/>
    <w:rsid w:val="00076ACC"/>
    <w:rsid w:val="000815B7"/>
    <w:rsid w:val="00081794"/>
    <w:rsid w:val="0008271E"/>
    <w:rsid w:val="000833DA"/>
    <w:rsid w:val="00083571"/>
    <w:rsid w:val="000841E5"/>
    <w:rsid w:val="00084FF4"/>
    <w:rsid w:val="00086611"/>
    <w:rsid w:val="0008667A"/>
    <w:rsid w:val="00087D69"/>
    <w:rsid w:val="00093FD8"/>
    <w:rsid w:val="00097E4A"/>
    <w:rsid w:val="000A0FA5"/>
    <w:rsid w:val="000A142F"/>
    <w:rsid w:val="000A154B"/>
    <w:rsid w:val="000A1A50"/>
    <w:rsid w:val="000A31D2"/>
    <w:rsid w:val="000A435D"/>
    <w:rsid w:val="000A45A8"/>
    <w:rsid w:val="000A4669"/>
    <w:rsid w:val="000A490E"/>
    <w:rsid w:val="000A6099"/>
    <w:rsid w:val="000A693B"/>
    <w:rsid w:val="000A6B8B"/>
    <w:rsid w:val="000A6BE4"/>
    <w:rsid w:val="000A6C39"/>
    <w:rsid w:val="000A7363"/>
    <w:rsid w:val="000B0347"/>
    <w:rsid w:val="000B05DB"/>
    <w:rsid w:val="000B18D2"/>
    <w:rsid w:val="000B1F69"/>
    <w:rsid w:val="000B2988"/>
    <w:rsid w:val="000B329D"/>
    <w:rsid w:val="000B3D21"/>
    <w:rsid w:val="000B58FA"/>
    <w:rsid w:val="000C0F09"/>
    <w:rsid w:val="000C2A2C"/>
    <w:rsid w:val="000C489D"/>
    <w:rsid w:val="000C4ECD"/>
    <w:rsid w:val="000C55A0"/>
    <w:rsid w:val="000C5872"/>
    <w:rsid w:val="000C7FA6"/>
    <w:rsid w:val="000D0144"/>
    <w:rsid w:val="000D01FD"/>
    <w:rsid w:val="000D041F"/>
    <w:rsid w:val="000D05EF"/>
    <w:rsid w:val="000D3623"/>
    <w:rsid w:val="000D46CA"/>
    <w:rsid w:val="000D4A53"/>
    <w:rsid w:val="000D5003"/>
    <w:rsid w:val="000D72DB"/>
    <w:rsid w:val="000E2261"/>
    <w:rsid w:val="000E3C2E"/>
    <w:rsid w:val="000E6725"/>
    <w:rsid w:val="000F018B"/>
    <w:rsid w:val="000F0A1C"/>
    <w:rsid w:val="000F0CD0"/>
    <w:rsid w:val="000F21C1"/>
    <w:rsid w:val="000F22BF"/>
    <w:rsid w:val="000F29C7"/>
    <w:rsid w:val="000F31CF"/>
    <w:rsid w:val="000F3ECE"/>
    <w:rsid w:val="000F4C01"/>
    <w:rsid w:val="000F597D"/>
    <w:rsid w:val="000F5D27"/>
    <w:rsid w:val="000F6188"/>
    <w:rsid w:val="000F6668"/>
    <w:rsid w:val="000F69F2"/>
    <w:rsid w:val="000F6DC0"/>
    <w:rsid w:val="000F70B8"/>
    <w:rsid w:val="00102CA6"/>
    <w:rsid w:val="00103586"/>
    <w:rsid w:val="001048F9"/>
    <w:rsid w:val="00104EC0"/>
    <w:rsid w:val="00105826"/>
    <w:rsid w:val="0010745C"/>
    <w:rsid w:val="00110490"/>
    <w:rsid w:val="001119DA"/>
    <w:rsid w:val="00113B43"/>
    <w:rsid w:val="00113C09"/>
    <w:rsid w:val="00113E2F"/>
    <w:rsid w:val="001145A4"/>
    <w:rsid w:val="0011505F"/>
    <w:rsid w:val="001159E8"/>
    <w:rsid w:val="00116321"/>
    <w:rsid w:val="001166C9"/>
    <w:rsid w:val="00116D61"/>
    <w:rsid w:val="00120741"/>
    <w:rsid w:val="00121BCA"/>
    <w:rsid w:val="00123761"/>
    <w:rsid w:val="00125141"/>
    <w:rsid w:val="00125DD5"/>
    <w:rsid w:val="00127EEB"/>
    <w:rsid w:val="0013234B"/>
    <w:rsid w:val="00132CEB"/>
    <w:rsid w:val="001336E5"/>
    <w:rsid w:val="00133BC9"/>
    <w:rsid w:val="00135962"/>
    <w:rsid w:val="00136020"/>
    <w:rsid w:val="00136C56"/>
    <w:rsid w:val="00136ED3"/>
    <w:rsid w:val="0013771A"/>
    <w:rsid w:val="00141504"/>
    <w:rsid w:val="0014152C"/>
    <w:rsid w:val="00142761"/>
    <w:rsid w:val="00142B62"/>
    <w:rsid w:val="0014328F"/>
    <w:rsid w:val="001444C3"/>
    <w:rsid w:val="00144E8D"/>
    <w:rsid w:val="001453EA"/>
    <w:rsid w:val="0014573E"/>
    <w:rsid w:val="00145826"/>
    <w:rsid w:val="00146D0F"/>
    <w:rsid w:val="00147122"/>
    <w:rsid w:val="001513C8"/>
    <w:rsid w:val="00152CEB"/>
    <w:rsid w:val="0015336D"/>
    <w:rsid w:val="00153B2F"/>
    <w:rsid w:val="00153B32"/>
    <w:rsid w:val="00154B0D"/>
    <w:rsid w:val="00154DE0"/>
    <w:rsid w:val="001566E7"/>
    <w:rsid w:val="00156A76"/>
    <w:rsid w:val="00157B8B"/>
    <w:rsid w:val="00160135"/>
    <w:rsid w:val="00160777"/>
    <w:rsid w:val="001609EC"/>
    <w:rsid w:val="001610FE"/>
    <w:rsid w:val="00161925"/>
    <w:rsid w:val="001624E1"/>
    <w:rsid w:val="001627D2"/>
    <w:rsid w:val="001638C6"/>
    <w:rsid w:val="00163A4E"/>
    <w:rsid w:val="00163F93"/>
    <w:rsid w:val="00164A96"/>
    <w:rsid w:val="00165710"/>
    <w:rsid w:val="001661D3"/>
    <w:rsid w:val="00166835"/>
    <w:rsid w:val="00166837"/>
    <w:rsid w:val="00166C2F"/>
    <w:rsid w:val="00170FF0"/>
    <w:rsid w:val="001716FC"/>
    <w:rsid w:val="00171A6E"/>
    <w:rsid w:val="0017271A"/>
    <w:rsid w:val="00174B2A"/>
    <w:rsid w:val="00174CDD"/>
    <w:rsid w:val="00176A8A"/>
    <w:rsid w:val="00177050"/>
    <w:rsid w:val="0017744B"/>
    <w:rsid w:val="001809D7"/>
    <w:rsid w:val="00180D19"/>
    <w:rsid w:val="00180D45"/>
    <w:rsid w:val="001810FD"/>
    <w:rsid w:val="00181532"/>
    <w:rsid w:val="00181CB2"/>
    <w:rsid w:val="001823BC"/>
    <w:rsid w:val="0018318B"/>
    <w:rsid w:val="00184F90"/>
    <w:rsid w:val="00185062"/>
    <w:rsid w:val="00185664"/>
    <w:rsid w:val="00186209"/>
    <w:rsid w:val="001863C3"/>
    <w:rsid w:val="00186578"/>
    <w:rsid w:val="0018659E"/>
    <w:rsid w:val="001872DC"/>
    <w:rsid w:val="00187563"/>
    <w:rsid w:val="00187F72"/>
    <w:rsid w:val="00193074"/>
    <w:rsid w:val="001939E1"/>
    <w:rsid w:val="00194C3E"/>
    <w:rsid w:val="00195382"/>
    <w:rsid w:val="00195BD4"/>
    <w:rsid w:val="001A0EDA"/>
    <w:rsid w:val="001A100E"/>
    <w:rsid w:val="001A3FB5"/>
    <w:rsid w:val="001A64B9"/>
    <w:rsid w:val="001B0844"/>
    <w:rsid w:val="001B0A3A"/>
    <w:rsid w:val="001B2992"/>
    <w:rsid w:val="001B3CE8"/>
    <w:rsid w:val="001B3E8F"/>
    <w:rsid w:val="001B721A"/>
    <w:rsid w:val="001C068D"/>
    <w:rsid w:val="001C0802"/>
    <w:rsid w:val="001C1A4B"/>
    <w:rsid w:val="001C1E4F"/>
    <w:rsid w:val="001C36C1"/>
    <w:rsid w:val="001C61C5"/>
    <w:rsid w:val="001C69C4"/>
    <w:rsid w:val="001C6E7E"/>
    <w:rsid w:val="001C7ACB"/>
    <w:rsid w:val="001D043A"/>
    <w:rsid w:val="001D36CC"/>
    <w:rsid w:val="001D37EF"/>
    <w:rsid w:val="001D3FD1"/>
    <w:rsid w:val="001D4151"/>
    <w:rsid w:val="001D4D7A"/>
    <w:rsid w:val="001D6DF1"/>
    <w:rsid w:val="001E1160"/>
    <w:rsid w:val="001E1755"/>
    <w:rsid w:val="001E329C"/>
    <w:rsid w:val="001E3590"/>
    <w:rsid w:val="001E3E88"/>
    <w:rsid w:val="001E4715"/>
    <w:rsid w:val="001E5B93"/>
    <w:rsid w:val="001E6782"/>
    <w:rsid w:val="001E6939"/>
    <w:rsid w:val="001E7407"/>
    <w:rsid w:val="001E77ED"/>
    <w:rsid w:val="001E7E2B"/>
    <w:rsid w:val="001F02B1"/>
    <w:rsid w:val="001F199A"/>
    <w:rsid w:val="001F239D"/>
    <w:rsid w:val="001F2D03"/>
    <w:rsid w:val="001F2D43"/>
    <w:rsid w:val="001F58E0"/>
    <w:rsid w:val="001F5D5E"/>
    <w:rsid w:val="001F6219"/>
    <w:rsid w:val="001F6CD4"/>
    <w:rsid w:val="00204132"/>
    <w:rsid w:val="00204482"/>
    <w:rsid w:val="002044F9"/>
    <w:rsid w:val="002046A0"/>
    <w:rsid w:val="00205960"/>
    <w:rsid w:val="00206C4D"/>
    <w:rsid w:val="00207481"/>
    <w:rsid w:val="0021053C"/>
    <w:rsid w:val="00210804"/>
    <w:rsid w:val="00210C3D"/>
    <w:rsid w:val="00212F61"/>
    <w:rsid w:val="00215AF1"/>
    <w:rsid w:val="002179C1"/>
    <w:rsid w:val="00217D9E"/>
    <w:rsid w:val="002200DF"/>
    <w:rsid w:val="0022087F"/>
    <w:rsid w:val="00220A36"/>
    <w:rsid w:val="00220F1C"/>
    <w:rsid w:val="002214EE"/>
    <w:rsid w:val="00221F03"/>
    <w:rsid w:val="00222395"/>
    <w:rsid w:val="002224FA"/>
    <w:rsid w:val="00223DCF"/>
    <w:rsid w:val="002241C0"/>
    <w:rsid w:val="00226DF5"/>
    <w:rsid w:val="00227BEC"/>
    <w:rsid w:val="00227D94"/>
    <w:rsid w:val="00232041"/>
    <w:rsid w:val="002321E8"/>
    <w:rsid w:val="002328A8"/>
    <w:rsid w:val="00233389"/>
    <w:rsid w:val="002357C7"/>
    <w:rsid w:val="00236294"/>
    <w:rsid w:val="0023635D"/>
    <w:rsid w:val="0023674A"/>
    <w:rsid w:val="00236EEC"/>
    <w:rsid w:val="00237B65"/>
    <w:rsid w:val="0024010F"/>
    <w:rsid w:val="00240749"/>
    <w:rsid w:val="00240831"/>
    <w:rsid w:val="00241012"/>
    <w:rsid w:val="00241D2C"/>
    <w:rsid w:val="00242593"/>
    <w:rsid w:val="002426D0"/>
    <w:rsid w:val="00243018"/>
    <w:rsid w:val="00243B75"/>
    <w:rsid w:val="00243EC0"/>
    <w:rsid w:val="00243FD3"/>
    <w:rsid w:val="00244742"/>
    <w:rsid w:val="00245B62"/>
    <w:rsid w:val="00245B8D"/>
    <w:rsid w:val="00250229"/>
    <w:rsid w:val="00252460"/>
    <w:rsid w:val="00252E44"/>
    <w:rsid w:val="002531D6"/>
    <w:rsid w:val="00253401"/>
    <w:rsid w:val="00254797"/>
    <w:rsid w:val="00255365"/>
    <w:rsid w:val="002564A4"/>
    <w:rsid w:val="002573F8"/>
    <w:rsid w:val="0026008E"/>
    <w:rsid w:val="002607B8"/>
    <w:rsid w:val="00263101"/>
    <w:rsid w:val="002631FF"/>
    <w:rsid w:val="00263F8B"/>
    <w:rsid w:val="002653DD"/>
    <w:rsid w:val="002662B4"/>
    <w:rsid w:val="0026736C"/>
    <w:rsid w:val="00267AEA"/>
    <w:rsid w:val="00270E31"/>
    <w:rsid w:val="0027323A"/>
    <w:rsid w:val="00273267"/>
    <w:rsid w:val="00273576"/>
    <w:rsid w:val="00273E9A"/>
    <w:rsid w:val="002746AF"/>
    <w:rsid w:val="00275904"/>
    <w:rsid w:val="0027612F"/>
    <w:rsid w:val="002775FF"/>
    <w:rsid w:val="00277948"/>
    <w:rsid w:val="00281308"/>
    <w:rsid w:val="00281813"/>
    <w:rsid w:val="002822B9"/>
    <w:rsid w:val="00282FD6"/>
    <w:rsid w:val="002842C1"/>
    <w:rsid w:val="002845BD"/>
    <w:rsid w:val="00284719"/>
    <w:rsid w:val="00284A6C"/>
    <w:rsid w:val="00286C95"/>
    <w:rsid w:val="00286CEB"/>
    <w:rsid w:val="00286F80"/>
    <w:rsid w:val="00291DFC"/>
    <w:rsid w:val="0029282E"/>
    <w:rsid w:val="00292B99"/>
    <w:rsid w:val="0029387D"/>
    <w:rsid w:val="00295D93"/>
    <w:rsid w:val="0029652F"/>
    <w:rsid w:val="0029738D"/>
    <w:rsid w:val="00297CB1"/>
    <w:rsid w:val="00297ECB"/>
    <w:rsid w:val="002A03C6"/>
    <w:rsid w:val="002A2D36"/>
    <w:rsid w:val="002A491F"/>
    <w:rsid w:val="002A4D80"/>
    <w:rsid w:val="002A6755"/>
    <w:rsid w:val="002A7328"/>
    <w:rsid w:val="002A7BCF"/>
    <w:rsid w:val="002B19F3"/>
    <w:rsid w:val="002B1A91"/>
    <w:rsid w:val="002B2144"/>
    <w:rsid w:val="002B4A0D"/>
    <w:rsid w:val="002B6777"/>
    <w:rsid w:val="002B6FB9"/>
    <w:rsid w:val="002C29EC"/>
    <w:rsid w:val="002C2C6F"/>
    <w:rsid w:val="002C42A9"/>
    <w:rsid w:val="002C597D"/>
    <w:rsid w:val="002C5C2C"/>
    <w:rsid w:val="002C7359"/>
    <w:rsid w:val="002C7B6F"/>
    <w:rsid w:val="002D016A"/>
    <w:rsid w:val="002D043A"/>
    <w:rsid w:val="002D16EA"/>
    <w:rsid w:val="002D2529"/>
    <w:rsid w:val="002D444C"/>
    <w:rsid w:val="002D5161"/>
    <w:rsid w:val="002D5652"/>
    <w:rsid w:val="002D5719"/>
    <w:rsid w:val="002D6224"/>
    <w:rsid w:val="002E011C"/>
    <w:rsid w:val="002E092D"/>
    <w:rsid w:val="002E0A7F"/>
    <w:rsid w:val="002E1851"/>
    <w:rsid w:val="002E1B29"/>
    <w:rsid w:val="002E30B8"/>
    <w:rsid w:val="002E31D0"/>
    <w:rsid w:val="002E365A"/>
    <w:rsid w:val="002E3F4B"/>
    <w:rsid w:val="002E4107"/>
    <w:rsid w:val="002E438B"/>
    <w:rsid w:val="002E5768"/>
    <w:rsid w:val="002E610A"/>
    <w:rsid w:val="002E6B85"/>
    <w:rsid w:val="002E6CD6"/>
    <w:rsid w:val="002E76B2"/>
    <w:rsid w:val="002F0443"/>
    <w:rsid w:val="002F096D"/>
    <w:rsid w:val="002F2BCA"/>
    <w:rsid w:val="002F4293"/>
    <w:rsid w:val="002F756B"/>
    <w:rsid w:val="002F7DF7"/>
    <w:rsid w:val="002F7FCE"/>
    <w:rsid w:val="00300333"/>
    <w:rsid w:val="00300D1F"/>
    <w:rsid w:val="00304DCA"/>
    <w:rsid w:val="00304F8B"/>
    <w:rsid w:val="00305033"/>
    <w:rsid w:val="003078A9"/>
    <w:rsid w:val="0031138D"/>
    <w:rsid w:val="0031167A"/>
    <w:rsid w:val="00311B30"/>
    <w:rsid w:val="00312DF3"/>
    <w:rsid w:val="00313D58"/>
    <w:rsid w:val="003145DD"/>
    <w:rsid w:val="0031577F"/>
    <w:rsid w:val="00317111"/>
    <w:rsid w:val="00320B01"/>
    <w:rsid w:val="003210D3"/>
    <w:rsid w:val="003228CB"/>
    <w:rsid w:val="0032561F"/>
    <w:rsid w:val="00325D51"/>
    <w:rsid w:val="003267B2"/>
    <w:rsid w:val="00326FEB"/>
    <w:rsid w:val="003279B0"/>
    <w:rsid w:val="00327A8F"/>
    <w:rsid w:val="00327DDF"/>
    <w:rsid w:val="00327FA7"/>
    <w:rsid w:val="00330CF4"/>
    <w:rsid w:val="003325BF"/>
    <w:rsid w:val="00332987"/>
    <w:rsid w:val="003354D2"/>
    <w:rsid w:val="00335BC6"/>
    <w:rsid w:val="003415D3"/>
    <w:rsid w:val="003428A2"/>
    <w:rsid w:val="00344701"/>
    <w:rsid w:val="00344F38"/>
    <w:rsid w:val="00345313"/>
    <w:rsid w:val="0034610C"/>
    <w:rsid w:val="00346A43"/>
    <w:rsid w:val="00351DB3"/>
    <w:rsid w:val="003520D5"/>
    <w:rsid w:val="0035213F"/>
    <w:rsid w:val="003528DA"/>
    <w:rsid w:val="00352B0F"/>
    <w:rsid w:val="0035302A"/>
    <w:rsid w:val="00356428"/>
    <w:rsid w:val="00356690"/>
    <w:rsid w:val="00356934"/>
    <w:rsid w:val="003573C9"/>
    <w:rsid w:val="00357DD0"/>
    <w:rsid w:val="00357E40"/>
    <w:rsid w:val="00360459"/>
    <w:rsid w:val="00361B77"/>
    <w:rsid w:val="0036334D"/>
    <w:rsid w:val="00365497"/>
    <w:rsid w:val="00366A52"/>
    <w:rsid w:val="00371923"/>
    <w:rsid w:val="00373E50"/>
    <w:rsid w:val="00377216"/>
    <w:rsid w:val="00382FB8"/>
    <w:rsid w:val="00383311"/>
    <w:rsid w:val="00384728"/>
    <w:rsid w:val="00385FC6"/>
    <w:rsid w:val="00386004"/>
    <w:rsid w:val="00386695"/>
    <w:rsid w:val="003876D6"/>
    <w:rsid w:val="00387A96"/>
    <w:rsid w:val="00390558"/>
    <w:rsid w:val="00392A82"/>
    <w:rsid w:val="00392E7F"/>
    <w:rsid w:val="00393980"/>
    <w:rsid w:val="00395398"/>
    <w:rsid w:val="0039543C"/>
    <w:rsid w:val="00396B74"/>
    <w:rsid w:val="003970F5"/>
    <w:rsid w:val="003A2178"/>
    <w:rsid w:val="003A28C9"/>
    <w:rsid w:val="003A2A48"/>
    <w:rsid w:val="003A3889"/>
    <w:rsid w:val="003A5F14"/>
    <w:rsid w:val="003A5FA4"/>
    <w:rsid w:val="003A7C0E"/>
    <w:rsid w:val="003B07F6"/>
    <w:rsid w:val="003B1D6C"/>
    <w:rsid w:val="003B28C3"/>
    <w:rsid w:val="003B2AB4"/>
    <w:rsid w:val="003B2C29"/>
    <w:rsid w:val="003B37C5"/>
    <w:rsid w:val="003B3C10"/>
    <w:rsid w:val="003B58ED"/>
    <w:rsid w:val="003B732F"/>
    <w:rsid w:val="003B7AC4"/>
    <w:rsid w:val="003C0994"/>
    <w:rsid w:val="003C2D9D"/>
    <w:rsid w:val="003C4467"/>
    <w:rsid w:val="003C60C6"/>
    <w:rsid w:val="003C6231"/>
    <w:rsid w:val="003D0BFE"/>
    <w:rsid w:val="003D0C9E"/>
    <w:rsid w:val="003D0DDA"/>
    <w:rsid w:val="003D13AF"/>
    <w:rsid w:val="003D1F1B"/>
    <w:rsid w:val="003D268D"/>
    <w:rsid w:val="003D2AF4"/>
    <w:rsid w:val="003D5700"/>
    <w:rsid w:val="003D7695"/>
    <w:rsid w:val="003D7F6E"/>
    <w:rsid w:val="003E0F99"/>
    <w:rsid w:val="003E0FAB"/>
    <w:rsid w:val="003E1995"/>
    <w:rsid w:val="003E2D33"/>
    <w:rsid w:val="003E3085"/>
    <w:rsid w:val="003E341B"/>
    <w:rsid w:val="003E5227"/>
    <w:rsid w:val="003E59D1"/>
    <w:rsid w:val="003E5C26"/>
    <w:rsid w:val="003F1232"/>
    <w:rsid w:val="003F18DD"/>
    <w:rsid w:val="003F2ED0"/>
    <w:rsid w:val="003F3CDC"/>
    <w:rsid w:val="003F3EFD"/>
    <w:rsid w:val="003F40E3"/>
    <w:rsid w:val="003F4E21"/>
    <w:rsid w:val="003F51B1"/>
    <w:rsid w:val="003F5328"/>
    <w:rsid w:val="003F55A7"/>
    <w:rsid w:val="003F5968"/>
    <w:rsid w:val="004004C1"/>
    <w:rsid w:val="0040053F"/>
    <w:rsid w:val="004026DA"/>
    <w:rsid w:val="00402FF9"/>
    <w:rsid w:val="004073A6"/>
    <w:rsid w:val="004112D9"/>
    <w:rsid w:val="004116CD"/>
    <w:rsid w:val="00411EA4"/>
    <w:rsid w:val="00413251"/>
    <w:rsid w:val="0041394E"/>
    <w:rsid w:val="004144EC"/>
    <w:rsid w:val="00417EB9"/>
    <w:rsid w:val="004204CA"/>
    <w:rsid w:val="0042276F"/>
    <w:rsid w:val="004227B5"/>
    <w:rsid w:val="004229EB"/>
    <w:rsid w:val="00422BA0"/>
    <w:rsid w:val="004241EC"/>
    <w:rsid w:val="00424BFE"/>
    <w:rsid w:val="00424CA9"/>
    <w:rsid w:val="004254B8"/>
    <w:rsid w:val="00425525"/>
    <w:rsid w:val="00426A75"/>
    <w:rsid w:val="0042796C"/>
    <w:rsid w:val="00427C34"/>
    <w:rsid w:val="00427CD1"/>
    <w:rsid w:val="00430358"/>
    <w:rsid w:val="00431E9B"/>
    <w:rsid w:val="00433701"/>
    <w:rsid w:val="00434403"/>
    <w:rsid w:val="004347DE"/>
    <w:rsid w:val="00434868"/>
    <w:rsid w:val="004348A9"/>
    <w:rsid w:val="00435047"/>
    <w:rsid w:val="00435B55"/>
    <w:rsid w:val="00435EEF"/>
    <w:rsid w:val="00436C44"/>
    <w:rsid w:val="004379E3"/>
    <w:rsid w:val="0044015E"/>
    <w:rsid w:val="00441405"/>
    <w:rsid w:val="0044291A"/>
    <w:rsid w:val="0044314C"/>
    <w:rsid w:val="00443F51"/>
    <w:rsid w:val="00443FB5"/>
    <w:rsid w:val="00444ABD"/>
    <w:rsid w:val="00444B56"/>
    <w:rsid w:val="00445390"/>
    <w:rsid w:val="00447DB4"/>
    <w:rsid w:val="00447DF4"/>
    <w:rsid w:val="0045007F"/>
    <w:rsid w:val="004505FD"/>
    <w:rsid w:val="00451E09"/>
    <w:rsid w:val="0045248A"/>
    <w:rsid w:val="00453FE0"/>
    <w:rsid w:val="00454EFA"/>
    <w:rsid w:val="00457A2E"/>
    <w:rsid w:val="00460F1D"/>
    <w:rsid w:val="0046497A"/>
    <w:rsid w:val="00465DC1"/>
    <w:rsid w:val="00467413"/>
    <w:rsid w:val="00467661"/>
    <w:rsid w:val="004705B7"/>
    <w:rsid w:val="0047072C"/>
    <w:rsid w:val="0047215D"/>
    <w:rsid w:val="0047259F"/>
    <w:rsid w:val="00472DBE"/>
    <w:rsid w:val="0047345E"/>
    <w:rsid w:val="00474A19"/>
    <w:rsid w:val="00474B52"/>
    <w:rsid w:val="00474C8A"/>
    <w:rsid w:val="00476874"/>
    <w:rsid w:val="00477120"/>
    <w:rsid w:val="0048119F"/>
    <w:rsid w:val="00481C24"/>
    <w:rsid w:val="00481F6A"/>
    <w:rsid w:val="004823C0"/>
    <w:rsid w:val="0048276B"/>
    <w:rsid w:val="00482AA8"/>
    <w:rsid w:val="004875E9"/>
    <w:rsid w:val="0049336B"/>
    <w:rsid w:val="00495D4D"/>
    <w:rsid w:val="00496B5F"/>
    <w:rsid w:val="00496F97"/>
    <w:rsid w:val="004A22D1"/>
    <w:rsid w:val="004A2741"/>
    <w:rsid w:val="004A29D6"/>
    <w:rsid w:val="004A412D"/>
    <w:rsid w:val="004A413C"/>
    <w:rsid w:val="004A43B6"/>
    <w:rsid w:val="004A44FC"/>
    <w:rsid w:val="004A49FD"/>
    <w:rsid w:val="004A4EB7"/>
    <w:rsid w:val="004A5419"/>
    <w:rsid w:val="004A7160"/>
    <w:rsid w:val="004A78A5"/>
    <w:rsid w:val="004B00CC"/>
    <w:rsid w:val="004B32BA"/>
    <w:rsid w:val="004B3B78"/>
    <w:rsid w:val="004B3EE2"/>
    <w:rsid w:val="004B5B44"/>
    <w:rsid w:val="004B67E4"/>
    <w:rsid w:val="004C1410"/>
    <w:rsid w:val="004C1CB1"/>
    <w:rsid w:val="004C221C"/>
    <w:rsid w:val="004C26B7"/>
    <w:rsid w:val="004C33FB"/>
    <w:rsid w:val="004C3B90"/>
    <w:rsid w:val="004C4058"/>
    <w:rsid w:val="004C48F7"/>
    <w:rsid w:val="004C6875"/>
    <w:rsid w:val="004D0D75"/>
    <w:rsid w:val="004D2DA4"/>
    <w:rsid w:val="004D2E4E"/>
    <w:rsid w:val="004D4458"/>
    <w:rsid w:val="004D4B08"/>
    <w:rsid w:val="004D589D"/>
    <w:rsid w:val="004D60D6"/>
    <w:rsid w:val="004D66B5"/>
    <w:rsid w:val="004D7798"/>
    <w:rsid w:val="004D7B41"/>
    <w:rsid w:val="004D7E7F"/>
    <w:rsid w:val="004E063A"/>
    <w:rsid w:val="004E1CEC"/>
    <w:rsid w:val="004E4348"/>
    <w:rsid w:val="004E6764"/>
    <w:rsid w:val="004E754D"/>
    <w:rsid w:val="004E7BEC"/>
    <w:rsid w:val="004E7E80"/>
    <w:rsid w:val="004F0B65"/>
    <w:rsid w:val="004F38A8"/>
    <w:rsid w:val="004F559D"/>
    <w:rsid w:val="004F690A"/>
    <w:rsid w:val="004F7636"/>
    <w:rsid w:val="004F7A48"/>
    <w:rsid w:val="0050044F"/>
    <w:rsid w:val="0050079D"/>
    <w:rsid w:val="0050176F"/>
    <w:rsid w:val="0050190A"/>
    <w:rsid w:val="00501FD9"/>
    <w:rsid w:val="00503A2E"/>
    <w:rsid w:val="00504BC4"/>
    <w:rsid w:val="00505D3D"/>
    <w:rsid w:val="005069F7"/>
    <w:rsid w:val="00506AE5"/>
    <w:rsid w:val="00506AF6"/>
    <w:rsid w:val="00507335"/>
    <w:rsid w:val="005075D3"/>
    <w:rsid w:val="005114EE"/>
    <w:rsid w:val="00511873"/>
    <w:rsid w:val="00511DD9"/>
    <w:rsid w:val="00514E1B"/>
    <w:rsid w:val="00516382"/>
    <w:rsid w:val="00516B8D"/>
    <w:rsid w:val="00517E56"/>
    <w:rsid w:val="005213F1"/>
    <w:rsid w:val="005231B7"/>
    <w:rsid w:val="0052498A"/>
    <w:rsid w:val="00525B78"/>
    <w:rsid w:val="00530118"/>
    <w:rsid w:val="00530807"/>
    <w:rsid w:val="00532049"/>
    <w:rsid w:val="00532957"/>
    <w:rsid w:val="00532A21"/>
    <w:rsid w:val="0053470F"/>
    <w:rsid w:val="00534A98"/>
    <w:rsid w:val="005351D2"/>
    <w:rsid w:val="005356A7"/>
    <w:rsid w:val="00535AED"/>
    <w:rsid w:val="00536184"/>
    <w:rsid w:val="00536320"/>
    <w:rsid w:val="00536EC5"/>
    <w:rsid w:val="00537857"/>
    <w:rsid w:val="00537FBC"/>
    <w:rsid w:val="005404AC"/>
    <w:rsid w:val="00542603"/>
    <w:rsid w:val="00542B28"/>
    <w:rsid w:val="00544E1C"/>
    <w:rsid w:val="005469C2"/>
    <w:rsid w:val="005472C0"/>
    <w:rsid w:val="00547DFE"/>
    <w:rsid w:val="005501A9"/>
    <w:rsid w:val="00550B9A"/>
    <w:rsid w:val="00551997"/>
    <w:rsid w:val="005536B3"/>
    <w:rsid w:val="00553B14"/>
    <w:rsid w:val="005566E6"/>
    <w:rsid w:val="0055732F"/>
    <w:rsid w:val="005574D1"/>
    <w:rsid w:val="0055756E"/>
    <w:rsid w:val="00557688"/>
    <w:rsid w:val="0056099B"/>
    <w:rsid w:val="00560A37"/>
    <w:rsid w:val="00561ABB"/>
    <w:rsid w:val="00561DFF"/>
    <w:rsid w:val="00562E26"/>
    <w:rsid w:val="00563CA5"/>
    <w:rsid w:val="00564B83"/>
    <w:rsid w:val="00564EBF"/>
    <w:rsid w:val="005657FE"/>
    <w:rsid w:val="00567CD4"/>
    <w:rsid w:val="005707A0"/>
    <w:rsid w:val="005723EB"/>
    <w:rsid w:val="00572BB1"/>
    <w:rsid w:val="0057509D"/>
    <w:rsid w:val="00576684"/>
    <w:rsid w:val="005766A3"/>
    <w:rsid w:val="0057670F"/>
    <w:rsid w:val="00580EA3"/>
    <w:rsid w:val="00582703"/>
    <w:rsid w:val="00583164"/>
    <w:rsid w:val="00584811"/>
    <w:rsid w:val="00584BB4"/>
    <w:rsid w:val="00585784"/>
    <w:rsid w:val="005863B9"/>
    <w:rsid w:val="0058647B"/>
    <w:rsid w:val="00590056"/>
    <w:rsid w:val="00591AEA"/>
    <w:rsid w:val="00592D82"/>
    <w:rsid w:val="005938C4"/>
    <w:rsid w:val="00593AA6"/>
    <w:rsid w:val="00594161"/>
    <w:rsid w:val="00594749"/>
    <w:rsid w:val="005966A0"/>
    <w:rsid w:val="00597716"/>
    <w:rsid w:val="00597927"/>
    <w:rsid w:val="005A1289"/>
    <w:rsid w:val="005A1854"/>
    <w:rsid w:val="005A23BB"/>
    <w:rsid w:val="005A4E81"/>
    <w:rsid w:val="005A53DD"/>
    <w:rsid w:val="005A7053"/>
    <w:rsid w:val="005B078F"/>
    <w:rsid w:val="005B1F4E"/>
    <w:rsid w:val="005B2512"/>
    <w:rsid w:val="005B2911"/>
    <w:rsid w:val="005B32C8"/>
    <w:rsid w:val="005B4067"/>
    <w:rsid w:val="005B580C"/>
    <w:rsid w:val="005B780C"/>
    <w:rsid w:val="005B7D73"/>
    <w:rsid w:val="005C261E"/>
    <w:rsid w:val="005C2718"/>
    <w:rsid w:val="005C3779"/>
    <w:rsid w:val="005C3AA1"/>
    <w:rsid w:val="005C3F41"/>
    <w:rsid w:val="005C4751"/>
    <w:rsid w:val="005C59A3"/>
    <w:rsid w:val="005C6979"/>
    <w:rsid w:val="005C6A74"/>
    <w:rsid w:val="005C6AC4"/>
    <w:rsid w:val="005C7673"/>
    <w:rsid w:val="005C7E61"/>
    <w:rsid w:val="005D0489"/>
    <w:rsid w:val="005D0F95"/>
    <w:rsid w:val="005D1770"/>
    <w:rsid w:val="005D1FEA"/>
    <w:rsid w:val="005D22EA"/>
    <w:rsid w:val="005D23BE"/>
    <w:rsid w:val="005D2D09"/>
    <w:rsid w:val="005D3AC0"/>
    <w:rsid w:val="005D3D41"/>
    <w:rsid w:val="005D5E0B"/>
    <w:rsid w:val="005D631B"/>
    <w:rsid w:val="005D7008"/>
    <w:rsid w:val="005D7FA2"/>
    <w:rsid w:val="005E2BAA"/>
    <w:rsid w:val="005E3240"/>
    <w:rsid w:val="005E336E"/>
    <w:rsid w:val="005E369C"/>
    <w:rsid w:val="005E4013"/>
    <w:rsid w:val="005E4521"/>
    <w:rsid w:val="005E4810"/>
    <w:rsid w:val="005E49EB"/>
    <w:rsid w:val="005E68CA"/>
    <w:rsid w:val="005F0D79"/>
    <w:rsid w:val="005F1DB6"/>
    <w:rsid w:val="005F3030"/>
    <w:rsid w:val="005F4140"/>
    <w:rsid w:val="005F49CF"/>
    <w:rsid w:val="005F652D"/>
    <w:rsid w:val="005F65CD"/>
    <w:rsid w:val="005F77E6"/>
    <w:rsid w:val="005F7FC4"/>
    <w:rsid w:val="00600219"/>
    <w:rsid w:val="006007DF"/>
    <w:rsid w:val="00601416"/>
    <w:rsid w:val="00601955"/>
    <w:rsid w:val="00601D41"/>
    <w:rsid w:val="00603DC4"/>
    <w:rsid w:val="00605D04"/>
    <w:rsid w:val="0060603E"/>
    <w:rsid w:val="00607649"/>
    <w:rsid w:val="00607A71"/>
    <w:rsid w:val="00610709"/>
    <w:rsid w:val="006117CB"/>
    <w:rsid w:val="00613E93"/>
    <w:rsid w:val="00614253"/>
    <w:rsid w:val="006163C1"/>
    <w:rsid w:val="00617290"/>
    <w:rsid w:val="00620076"/>
    <w:rsid w:val="006220E4"/>
    <w:rsid w:val="0062310B"/>
    <w:rsid w:val="00623845"/>
    <w:rsid w:val="0062392D"/>
    <w:rsid w:val="00623A01"/>
    <w:rsid w:val="006278F5"/>
    <w:rsid w:val="00627957"/>
    <w:rsid w:val="00630C9E"/>
    <w:rsid w:val="006323C2"/>
    <w:rsid w:val="00633713"/>
    <w:rsid w:val="00634044"/>
    <w:rsid w:val="00635C66"/>
    <w:rsid w:val="00636AB1"/>
    <w:rsid w:val="00640147"/>
    <w:rsid w:val="00640161"/>
    <w:rsid w:val="00640CAB"/>
    <w:rsid w:val="00643D91"/>
    <w:rsid w:val="00643F9B"/>
    <w:rsid w:val="00644FA7"/>
    <w:rsid w:val="00647402"/>
    <w:rsid w:val="00651B7C"/>
    <w:rsid w:val="00652438"/>
    <w:rsid w:val="00652769"/>
    <w:rsid w:val="00654A8D"/>
    <w:rsid w:val="0065542F"/>
    <w:rsid w:val="006554FF"/>
    <w:rsid w:val="00655851"/>
    <w:rsid w:val="00656A2E"/>
    <w:rsid w:val="006601C7"/>
    <w:rsid w:val="00660A53"/>
    <w:rsid w:val="00660F15"/>
    <w:rsid w:val="006631CD"/>
    <w:rsid w:val="00663232"/>
    <w:rsid w:val="0066394A"/>
    <w:rsid w:val="006639CB"/>
    <w:rsid w:val="00663A60"/>
    <w:rsid w:val="00664C1C"/>
    <w:rsid w:val="00666ACC"/>
    <w:rsid w:val="0066707F"/>
    <w:rsid w:val="00667DCC"/>
    <w:rsid w:val="00667E4C"/>
    <w:rsid w:val="00670752"/>
    <w:rsid w:val="00670EA1"/>
    <w:rsid w:val="00670FDC"/>
    <w:rsid w:val="006711DD"/>
    <w:rsid w:val="0067185D"/>
    <w:rsid w:val="0067376D"/>
    <w:rsid w:val="006737EA"/>
    <w:rsid w:val="006748F4"/>
    <w:rsid w:val="00674AAF"/>
    <w:rsid w:val="0067526A"/>
    <w:rsid w:val="00676F20"/>
    <w:rsid w:val="00677800"/>
    <w:rsid w:val="0067792B"/>
    <w:rsid w:val="00677CC2"/>
    <w:rsid w:val="0068369B"/>
    <w:rsid w:val="00683BF2"/>
    <w:rsid w:val="00686468"/>
    <w:rsid w:val="006864AA"/>
    <w:rsid w:val="0068675C"/>
    <w:rsid w:val="006868D1"/>
    <w:rsid w:val="006905DE"/>
    <w:rsid w:val="0069207B"/>
    <w:rsid w:val="00693BA2"/>
    <w:rsid w:val="00693F29"/>
    <w:rsid w:val="006957FD"/>
    <w:rsid w:val="006A071B"/>
    <w:rsid w:val="006A0BB8"/>
    <w:rsid w:val="006A0CDB"/>
    <w:rsid w:val="006A1F65"/>
    <w:rsid w:val="006A23C0"/>
    <w:rsid w:val="006A526F"/>
    <w:rsid w:val="006A7F61"/>
    <w:rsid w:val="006B0986"/>
    <w:rsid w:val="006B1006"/>
    <w:rsid w:val="006B36F9"/>
    <w:rsid w:val="006B5789"/>
    <w:rsid w:val="006B7103"/>
    <w:rsid w:val="006B75CE"/>
    <w:rsid w:val="006B7ABC"/>
    <w:rsid w:val="006C088B"/>
    <w:rsid w:val="006C1388"/>
    <w:rsid w:val="006C1F08"/>
    <w:rsid w:val="006C2880"/>
    <w:rsid w:val="006C30C5"/>
    <w:rsid w:val="006C48FA"/>
    <w:rsid w:val="006C5941"/>
    <w:rsid w:val="006C62E3"/>
    <w:rsid w:val="006C7F8C"/>
    <w:rsid w:val="006D1172"/>
    <w:rsid w:val="006D17FF"/>
    <w:rsid w:val="006D1F0B"/>
    <w:rsid w:val="006D21EB"/>
    <w:rsid w:val="006D2410"/>
    <w:rsid w:val="006D28F3"/>
    <w:rsid w:val="006D2C84"/>
    <w:rsid w:val="006D411E"/>
    <w:rsid w:val="006D4FC9"/>
    <w:rsid w:val="006D57B7"/>
    <w:rsid w:val="006D59C0"/>
    <w:rsid w:val="006D6079"/>
    <w:rsid w:val="006D6FE1"/>
    <w:rsid w:val="006D7044"/>
    <w:rsid w:val="006D7CF7"/>
    <w:rsid w:val="006E0270"/>
    <w:rsid w:val="006E11B7"/>
    <w:rsid w:val="006E195F"/>
    <w:rsid w:val="006E5320"/>
    <w:rsid w:val="006E5A4E"/>
    <w:rsid w:val="006E5AA6"/>
    <w:rsid w:val="006E6246"/>
    <w:rsid w:val="006E720D"/>
    <w:rsid w:val="006E7F7D"/>
    <w:rsid w:val="006F0ECF"/>
    <w:rsid w:val="006F119F"/>
    <w:rsid w:val="006F164E"/>
    <w:rsid w:val="006F1E3E"/>
    <w:rsid w:val="006F278C"/>
    <w:rsid w:val="006F318F"/>
    <w:rsid w:val="006F35E6"/>
    <w:rsid w:val="006F3E40"/>
    <w:rsid w:val="006F4226"/>
    <w:rsid w:val="006F4F32"/>
    <w:rsid w:val="006F5513"/>
    <w:rsid w:val="006F57BF"/>
    <w:rsid w:val="006F5B64"/>
    <w:rsid w:val="006F5EC2"/>
    <w:rsid w:val="0070017E"/>
    <w:rsid w:val="00700A19"/>
    <w:rsid w:val="00700B2C"/>
    <w:rsid w:val="00702EFD"/>
    <w:rsid w:val="00703483"/>
    <w:rsid w:val="00703EE2"/>
    <w:rsid w:val="007050A2"/>
    <w:rsid w:val="00705925"/>
    <w:rsid w:val="007061BE"/>
    <w:rsid w:val="007075D9"/>
    <w:rsid w:val="00707A6D"/>
    <w:rsid w:val="00707F85"/>
    <w:rsid w:val="00710445"/>
    <w:rsid w:val="007111E0"/>
    <w:rsid w:val="0071127B"/>
    <w:rsid w:val="00713084"/>
    <w:rsid w:val="007131D3"/>
    <w:rsid w:val="0071399B"/>
    <w:rsid w:val="00713E91"/>
    <w:rsid w:val="00714AFB"/>
    <w:rsid w:val="00714DA5"/>
    <w:rsid w:val="00714F20"/>
    <w:rsid w:val="007152B4"/>
    <w:rsid w:val="0071590F"/>
    <w:rsid w:val="00715914"/>
    <w:rsid w:val="007159F7"/>
    <w:rsid w:val="00715E50"/>
    <w:rsid w:val="007166CD"/>
    <w:rsid w:val="00716B33"/>
    <w:rsid w:val="007173CE"/>
    <w:rsid w:val="00717D35"/>
    <w:rsid w:val="0072167C"/>
    <w:rsid w:val="00721AB2"/>
    <w:rsid w:val="0072292C"/>
    <w:rsid w:val="007231DE"/>
    <w:rsid w:val="007235B8"/>
    <w:rsid w:val="00723C2F"/>
    <w:rsid w:val="00724FBB"/>
    <w:rsid w:val="00727A86"/>
    <w:rsid w:val="007306F5"/>
    <w:rsid w:val="00731E00"/>
    <w:rsid w:val="007346CA"/>
    <w:rsid w:val="007365E4"/>
    <w:rsid w:val="00740D42"/>
    <w:rsid w:val="00740F70"/>
    <w:rsid w:val="00740FB8"/>
    <w:rsid w:val="00740FF7"/>
    <w:rsid w:val="00741EE8"/>
    <w:rsid w:val="007421FC"/>
    <w:rsid w:val="007440B7"/>
    <w:rsid w:val="00745512"/>
    <w:rsid w:val="00746762"/>
    <w:rsid w:val="007475CC"/>
    <w:rsid w:val="007500C8"/>
    <w:rsid w:val="007508B3"/>
    <w:rsid w:val="00750D65"/>
    <w:rsid w:val="007526FA"/>
    <w:rsid w:val="00753667"/>
    <w:rsid w:val="00754C96"/>
    <w:rsid w:val="00756272"/>
    <w:rsid w:val="00756E10"/>
    <w:rsid w:val="00757093"/>
    <w:rsid w:val="00761559"/>
    <w:rsid w:val="00764EF0"/>
    <w:rsid w:val="00765001"/>
    <w:rsid w:val="007662B5"/>
    <w:rsid w:val="0076681A"/>
    <w:rsid w:val="007669F6"/>
    <w:rsid w:val="007673FB"/>
    <w:rsid w:val="0077054F"/>
    <w:rsid w:val="00770A59"/>
    <w:rsid w:val="007715C9"/>
    <w:rsid w:val="00771613"/>
    <w:rsid w:val="00771ED3"/>
    <w:rsid w:val="007728F6"/>
    <w:rsid w:val="00772D75"/>
    <w:rsid w:val="0077430C"/>
    <w:rsid w:val="00774EDD"/>
    <w:rsid w:val="0077506D"/>
    <w:rsid w:val="007757EC"/>
    <w:rsid w:val="007758EF"/>
    <w:rsid w:val="00775AF6"/>
    <w:rsid w:val="00776908"/>
    <w:rsid w:val="00777188"/>
    <w:rsid w:val="00777C5A"/>
    <w:rsid w:val="007833CE"/>
    <w:rsid w:val="0078372D"/>
    <w:rsid w:val="0078381D"/>
    <w:rsid w:val="00783E89"/>
    <w:rsid w:val="007842CE"/>
    <w:rsid w:val="007850DE"/>
    <w:rsid w:val="0078566C"/>
    <w:rsid w:val="00785A9E"/>
    <w:rsid w:val="00785AC8"/>
    <w:rsid w:val="00786024"/>
    <w:rsid w:val="00786121"/>
    <w:rsid w:val="007862B8"/>
    <w:rsid w:val="00786954"/>
    <w:rsid w:val="00786A89"/>
    <w:rsid w:val="00786CBB"/>
    <w:rsid w:val="00787378"/>
    <w:rsid w:val="007903E6"/>
    <w:rsid w:val="00792840"/>
    <w:rsid w:val="00793915"/>
    <w:rsid w:val="00795EE5"/>
    <w:rsid w:val="00796C3E"/>
    <w:rsid w:val="00797B1A"/>
    <w:rsid w:val="00797DC6"/>
    <w:rsid w:val="007A117F"/>
    <w:rsid w:val="007A12DE"/>
    <w:rsid w:val="007A1B13"/>
    <w:rsid w:val="007A1E6B"/>
    <w:rsid w:val="007A31E0"/>
    <w:rsid w:val="007A43F3"/>
    <w:rsid w:val="007A587F"/>
    <w:rsid w:val="007B4068"/>
    <w:rsid w:val="007B47E1"/>
    <w:rsid w:val="007B4C4F"/>
    <w:rsid w:val="007B5605"/>
    <w:rsid w:val="007B5DA5"/>
    <w:rsid w:val="007B6949"/>
    <w:rsid w:val="007B6F86"/>
    <w:rsid w:val="007C15A9"/>
    <w:rsid w:val="007C1BA3"/>
    <w:rsid w:val="007C2253"/>
    <w:rsid w:val="007C4602"/>
    <w:rsid w:val="007C4AE2"/>
    <w:rsid w:val="007C5F30"/>
    <w:rsid w:val="007C676D"/>
    <w:rsid w:val="007C7C08"/>
    <w:rsid w:val="007C7DD3"/>
    <w:rsid w:val="007D0C72"/>
    <w:rsid w:val="007D230B"/>
    <w:rsid w:val="007D32B3"/>
    <w:rsid w:val="007D3BBD"/>
    <w:rsid w:val="007D4678"/>
    <w:rsid w:val="007D5D3C"/>
    <w:rsid w:val="007E0E9B"/>
    <w:rsid w:val="007E163D"/>
    <w:rsid w:val="007E1D3A"/>
    <w:rsid w:val="007E344B"/>
    <w:rsid w:val="007E454E"/>
    <w:rsid w:val="007E667A"/>
    <w:rsid w:val="007E6776"/>
    <w:rsid w:val="007F07F0"/>
    <w:rsid w:val="007F28C9"/>
    <w:rsid w:val="007F2EC2"/>
    <w:rsid w:val="007F3374"/>
    <w:rsid w:val="007F5833"/>
    <w:rsid w:val="007F59B4"/>
    <w:rsid w:val="007F6827"/>
    <w:rsid w:val="007F6AC8"/>
    <w:rsid w:val="007F6DA3"/>
    <w:rsid w:val="007F7AB1"/>
    <w:rsid w:val="0080069F"/>
    <w:rsid w:val="00800943"/>
    <w:rsid w:val="00801F3B"/>
    <w:rsid w:val="0080312D"/>
    <w:rsid w:val="00803587"/>
    <w:rsid w:val="008037AA"/>
    <w:rsid w:val="0080396E"/>
    <w:rsid w:val="008047CD"/>
    <w:rsid w:val="008058E5"/>
    <w:rsid w:val="008078E5"/>
    <w:rsid w:val="00810002"/>
    <w:rsid w:val="00810440"/>
    <w:rsid w:val="00810A5F"/>
    <w:rsid w:val="00810F3B"/>
    <w:rsid w:val="008113D1"/>
    <w:rsid w:val="008117E9"/>
    <w:rsid w:val="00812ED9"/>
    <w:rsid w:val="00814100"/>
    <w:rsid w:val="00815A5B"/>
    <w:rsid w:val="00815CA5"/>
    <w:rsid w:val="008160E7"/>
    <w:rsid w:val="0082018E"/>
    <w:rsid w:val="008205CA"/>
    <w:rsid w:val="00820E1B"/>
    <w:rsid w:val="00821DE8"/>
    <w:rsid w:val="00823174"/>
    <w:rsid w:val="00824498"/>
    <w:rsid w:val="00824801"/>
    <w:rsid w:val="008249EA"/>
    <w:rsid w:val="00826D57"/>
    <w:rsid w:val="00827823"/>
    <w:rsid w:val="00830B8E"/>
    <w:rsid w:val="00830D22"/>
    <w:rsid w:val="0083207C"/>
    <w:rsid w:val="008322F1"/>
    <w:rsid w:val="0083315D"/>
    <w:rsid w:val="008346A0"/>
    <w:rsid w:val="00834A5B"/>
    <w:rsid w:val="00834CD8"/>
    <w:rsid w:val="00835179"/>
    <w:rsid w:val="008356AC"/>
    <w:rsid w:val="00836599"/>
    <w:rsid w:val="00836A77"/>
    <w:rsid w:val="00837981"/>
    <w:rsid w:val="00837BA1"/>
    <w:rsid w:val="00840442"/>
    <w:rsid w:val="00840FA2"/>
    <w:rsid w:val="00843BD6"/>
    <w:rsid w:val="008449F5"/>
    <w:rsid w:val="0084584A"/>
    <w:rsid w:val="00850615"/>
    <w:rsid w:val="008527C0"/>
    <w:rsid w:val="00856A31"/>
    <w:rsid w:val="008574F4"/>
    <w:rsid w:val="00857D4F"/>
    <w:rsid w:val="0086061E"/>
    <w:rsid w:val="00860B58"/>
    <w:rsid w:val="00860E26"/>
    <w:rsid w:val="008614B8"/>
    <w:rsid w:val="00862768"/>
    <w:rsid w:val="00862D1E"/>
    <w:rsid w:val="00863657"/>
    <w:rsid w:val="00864262"/>
    <w:rsid w:val="0086573F"/>
    <w:rsid w:val="00866980"/>
    <w:rsid w:val="008678EF"/>
    <w:rsid w:val="00867B37"/>
    <w:rsid w:val="00870BFB"/>
    <w:rsid w:val="008718DD"/>
    <w:rsid w:val="00871EF6"/>
    <w:rsid w:val="00872BCB"/>
    <w:rsid w:val="00873F2E"/>
    <w:rsid w:val="00873FF6"/>
    <w:rsid w:val="008754D0"/>
    <w:rsid w:val="00876996"/>
    <w:rsid w:val="00876F31"/>
    <w:rsid w:val="00876F76"/>
    <w:rsid w:val="00877113"/>
    <w:rsid w:val="00877731"/>
    <w:rsid w:val="00877B6A"/>
    <w:rsid w:val="00877CF4"/>
    <w:rsid w:val="00882E17"/>
    <w:rsid w:val="008835D7"/>
    <w:rsid w:val="00883ECE"/>
    <w:rsid w:val="0088449E"/>
    <w:rsid w:val="008855C9"/>
    <w:rsid w:val="00886448"/>
    <w:rsid w:val="00886456"/>
    <w:rsid w:val="00886D5C"/>
    <w:rsid w:val="00887BB9"/>
    <w:rsid w:val="00887F71"/>
    <w:rsid w:val="0089078F"/>
    <w:rsid w:val="008915F2"/>
    <w:rsid w:val="00891E04"/>
    <w:rsid w:val="008935F4"/>
    <w:rsid w:val="00893FB1"/>
    <w:rsid w:val="008945E0"/>
    <w:rsid w:val="0089527F"/>
    <w:rsid w:val="00897CBA"/>
    <w:rsid w:val="008A1F97"/>
    <w:rsid w:val="008A27D6"/>
    <w:rsid w:val="008A2CEB"/>
    <w:rsid w:val="008A34CD"/>
    <w:rsid w:val="008A362B"/>
    <w:rsid w:val="008A3C68"/>
    <w:rsid w:val="008A46E1"/>
    <w:rsid w:val="008A4F43"/>
    <w:rsid w:val="008A5BC4"/>
    <w:rsid w:val="008A6891"/>
    <w:rsid w:val="008A7087"/>
    <w:rsid w:val="008A7D1E"/>
    <w:rsid w:val="008B0979"/>
    <w:rsid w:val="008B0D89"/>
    <w:rsid w:val="008B2076"/>
    <w:rsid w:val="008B2696"/>
    <w:rsid w:val="008B2706"/>
    <w:rsid w:val="008B4066"/>
    <w:rsid w:val="008B4AAF"/>
    <w:rsid w:val="008B5213"/>
    <w:rsid w:val="008B789F"/>
    <w:rsid w:val="008C0F29"/>
    <w:rsid w:val="008C36E3"/>
    <w:rsid w:val="008C431A"/>
    <w:rsid w:val="008C46C7"/>
    <w:rsid w:val="008C5C14"/>
    <w:rsid w:val="008C7067"/>
    <w:rsid w:val="008C7B2F"/>
    <w:rsid w:val="008D00A9"/>
    <w:rsid w:val="008D0E82"/>
    <w:rsid w:val="008D0EE0"/>
    <w:rsid w:val="008D1873"/>
    <w:rsid w:val="008D285E"/>
    <w:rsid w:val="008D2C09"/>
    <w:rsid w:val="008D3422"/>
    <w:rsid w:val="008D35EF"/>
    <w:rsid w:val="008D55D4"/>
    <w:rsid w:val="008D7E27"/>
    <w:rsid w:val="008E225F"/>
    <w:rsid w:val="008E275A"/>
    <w:rsid w:val="008E2E94"/>
    <w:rsid w:val="008E3E2C"/>
    <w:rsid w:val="008E4F8F"/>
    <w:rsid w:val="008E6067"/>
    <w:rsid w:val="008E6582"/>
    <w:rsid w:val="008E7C16"/>
    <w:rsid w:val="008F09B4"/>
    <w:rsid w:val="008F2F0D"/>
    <w:rsid w:val="008F54E7"/>
    <w:rsid w:val="008F6B46"/>
    <w:rsid w:val="008F7423"/>
    <w:rsid w:val="008F7647"/>
    <w:rsid w:val="0090078E"/>
    <w:rsid w:val="00900E48"/>
    <w:rsid w:val="009016BE"/>
    <w:rsid w:val="00901C57"/>
    <w:rsid w:val="00901E00"/>
    <w:rsid w:val="0090322E"/>
    <w:rsid w:val="00903422"/>
    <w:rsid w:val="0090362B"/>
    <w:rsid w:val="00904834"/>
    <w:rsid w:val="009054DC"/>
    <w:rsid w:val="00905BE6"/>
    <w:rsid w:val="0090667C"/>
    <w:rsid w:val="009102D3"/>
    <w:rsid w:val="00912A58"/>
    <w:rsid w:val="00912EE0"/>
    <w:rsid w:val="00914DD2"/>
    <w:rsid w:val="009154FF"/>
    <w:rsid w:val="009157B9"/>
    <w:rsid w:val="00915DF9"/>
    <w:rsid w:val="00916D16"/>
    <w:rsid w:val="0091732F"/>
    <w:rsid w:val="009209DC"/>
    <w:rsid w:val="00920F0D"/>
    <w:rsid w:val="00922C01"/>
    <w:rsid w:val="009251A6"/>
    <w:rsid w:val="009254C3"/>
    <w:rsid w:val="009260D9"/>
    <w:rsid w:val="00926940"/>
    <w:rsid w:val="00930A0A"/>
    <w:rsid w:val="00932377"/>
    <w:rsid w:val="00932FC6"/>
    <w:rsid w:val="009351D4"/>
    <w:rsid w:val="00935976"/>
    <w:rsid w:val="009359B7"/>
    <w:rsid w:val="00936595"/>
    <w:rsid w:val="00940A71"/>
    <w:rsid w:val="0094128C"/>
    <w:rsid w:val="009460DC"/>
    <w:rsid w:val="00946759"/>
    <w:rsid w:val="00947C59"/>
    <w:rsid w:val="00947D5A"/>
    <w:rsid w:val="00947F12"/>
    <w:rsid w:val="0095014E"/>
    <w:rsid w:val="00950AAF"/>
    <w:rsid w:val="009511BC"/>
    <w:rsid w:val="0095153D"/>
    <w:rsid w:val="00952CFA"/>
    <w:rsid w:val="009532A5"/>
    <w:rsid w:val="009542C8"/>
    <w:rsid w:val="0095496A"/>
    <w:rsid w:val="00955175"/>
    <w:rsid w:val="0095528E"/>
    <w:rsid w:val="00955CBB"/>
    <w:rsid w:val="00955F8B"/>
    <w:rsid w:val="009576B4"/>
    <w:rsid w:val="00957832"/>
    <w:rsid w:val="009579C9"/>
    <w:rsid w:val="00957AD5"/>
    <w:rsid w:val="009625B7"/>
    <w:rsid w:val="00962642"/>
    <w:rsid w:val="00964774"/>
    <w:rsid w:val="00965123"/>
    <w:rsid w:val="00965CA8"/>
    <w:rsid w:val="00967418"/>
    <w:rsid w:val="0096753E"/>
    <w:rsid w:val="00967854"/>
    <w:rsid w:val="00967F7E"/>
    <w:rsid w:val="00972054"/>
    <w:rsid w:val="0097234E"/>
    <w:rsid w:val="00973B0C"/>
    <w:rsid w:val="00974589"/>
    <w:rsid w:val="009746F5"/>
    <w:rsid w:val="00977924"/>
    <w:rsid w:val="0098076B"/>
    <w:rsid w:val="00980B67"/>
    <w:rsid w:val="009811D7"/>
    <w:rsid w:val="00982242"/>
    <w:rsid w:val="0098299A"/>
    <w:rsid w:val="009868E9"/>
    <w:rsid w:val="00986CF0"/>
    <w:rsid w:val="009907F4"/>
    <w:rsid w:val="00993E0B"/>
    <w:rsid w:val="0099448A"/>
    <w:rsid w:val="009944E6"/>
    <w:rsid w:val="009949AD"/>
    <w:rsid w:val="00996368"/>
    <w:rsid w:val="00997F92"/>
    <w:rsid w:val="009A131A"/>
    <w:rsid w:val="009A2319"/>
    <w:rsid w:val="009A2D1E"/>
    <w:rsid w:val="009A2F96"/>
    <w:rsid w:val="009A3350"/>
    <w:rsid w:val="009A3A6F"/>
    <w:rsid w:val="009A3F74"/>
    <w:rsid w:val="009A49C9"/>
    <w:rsid w:val="009A4C5A"/>
    <w:rsid w:val="009A5D69"/>
    <w:rsid w:val="009A65C7"/>
    <w:rsid w:val="009A73EE"/>
    <w:rsid w:val="009B0472"/>
    <w:rsid w:val="009B1296"/>
    <w:rsid w:val="009B19D5"/>
    <w:rsid w:val="009B2618"/>
    <w:rsid w:val="009B340D"/>
    <w:rsid w:val="009B3E20"/>
    <w:rsid w:val="009B61CF"/>
    <w:rsid w:val="009B6B83"/>
    <w:rsid w:val="009C00B8"/>
    <w:rsid w:val="009C0460"/>
    <w:rsid w:val="009C2791"/>
    <w:rsid w:val="009C2CCD"/>
    <w:rsid w:val="009C576B"/>
    <w:rsid w:val="009C5859"/>
    <w:rsid w:val="009C70B6"/>
    <w:rsid w:val="009D1818"/>
    <w:rsid w:val="009D195A"/>
    <w:rsid w:val="009D390D"/>
    <w:rsid w:val="009D3C8E"/>
    <w:rsid w:val="009D3F14"/>
    <w:rsid w:val="009D53A8"/>
    <w:rsid w:val="009D7993"/>
    <w:rsid w:val="009E05AF"/>
    <w:rsid w:val="009E0CE0"/>
    <w:rsid w:val="009E4FFD"/>
    <w:rsid w:val="009E5CFC"/>
    <w:rsid w:val="009E5E38"/>
    <w:rsid w:val="009E5ED3"/>
    <w:rsid w:val="009E6AB9"/>
    <w:rsid w:val="009E6BE7"/>
    <w:rsid w:val="009E75A7"/>
    <w:rsid w:val="009F05E8"/>
    <w:rsid w:val="009F0D3B"/>
    <w:rsid w:val="009F13A2"/>
    <w:rsid w:val="009F1B09"/>
    <w:rsid w:val="009F31C7"/>
    <w:rsid w:val="009F4D37"/>
    <w:rsid w:val="009F5E35"/>
    <w:rsid w:val="009F6C44"/>
    <w:rsid w:val="009F6D3C"/>
    <w:rsid w:val="009F71C5"/>
    <w:rsid w:val="009F7212"/>
    <w:rsid w:val="00A002BF"/>
    <w:rsid w:val="00A002C4"/>
    <w:rsid w:val="00A01701"/>
    <w:rsid w:val="00A01711"/>
    <w:rsid w:val="00A022AC"/>
    <w:rsid w:val="00A03AF1"/>
    <w:rsid w:val="00A051ED"/>
    <w:rsid w:val="00A0587B"/>
    <w:rsid w:val="00A05D48"/>
    <w:rsid w:val="00A06657"/>
    <w:rsid w:val="00A07234"/>
    <w:rsid w:val="00A07966"/>
    <w:rsid w:val="00A079CB"/>
    <w:rsid w:val="00A07D65"/>
    <w:rsid w:val="00A101B7"/>
    <w:rsid w:val="00A10448"/>
    <w:rsid w:val="00A11C79"/>
    <w:rsid w:val="00A12128"/>
    <w:rsid w:val="00A127A4"/>
    <w:rsid w:val="00A12F48"/>
    <w:rsid w:val="00A13C1B"/>
    <w:rsid w:val="00A13FF0"/>
    <w:rsid w:val="00A14C77"/>
    <w:rsid w:val="00A14F6A"/>
    <w:rsid w:val="00A15512"/>
    <w:rsid w:val="00A217BE"/>
    <w:rsid w:val="00A22973"/>
    <w:rsid w:val="00A22C98"/>
    <w:rsid w:val="00A231E2"/>
    <w:rsid w:val="00A23B96"/>
    <w:rsid w:val="00A23F46"/>
    <w:rsid w:val="00A24907"/>
    <w:rsid w:val="00A24B28"/>
    <w:rsid w:val="00A24C84"/>
    <w:rsid w:val="00A25930"/>
    <w:rsid w:val="00A26ECD"/>
    <w:rsid w:val="00A27200"/>
    <w:rsid w:val="00A3181D"/>
    <w:rsid w:val="00A32E8B"/>
    <w:rsid w:val="00A332B2"/>
    <w:rsid w:val="00A33D55"/>
    <w:rsid w:val="00A34412"/>
    <w:rsid w:val="00A34D1B"/>
    <w:rsid w:val="00A36802"/>
    <w:rsid w:val="00A36865"/>
    <w:rsid w:val="00A36D78"/>
    <w:rsid w:val="00A37C14"/>
    <w:rsid w:val="00A37ECB"/>
    <w:rsid w:val="00A40424"/>
    <w:rsid w:val="00A409F7"/>
    <w:rsid w:val="00A4172E"/>
    <w:rsid w:val="00A42025"/>
    <w:rsid w:val="00A437A8"/>
    <w:rsid w:val="00A4382D"/>
    <w:rsid w:val="00A44260"/>
    <w:rsid w:val="00A445F1"/>
    <w:rsid w:val="00A44A8D"/>
    <w:rsid w:val="00A44C99"/>
    <w:rsid w:val="00A44D94"/>
    <w:rsid w:val="00A477BC"/>
    <w:rsid w:val="00A4798D"/>
    <w:rsid w:val="00A47A1D"/>
    <w:rsid w:val="00A519FC"/>
    <w:rsid w:val="00A52328"/>
    <w:rsid w:val="00A52B0F"/>
    <w:rsid w:val="00A52D95"/>
    <w:rsid w:val="00A540AA"/>
    <w:rsid w:val="00A54AD7"/>
    <w:rsid w:val="00A54C2D"/>
    <w:rsid w:val="00A55204"/>
    <w:rsid w:val="00A55956"/>
    <w:rsid w:val="00A559B3"/>
    <w:rsid w:val="00A55E79"/>
    <w:rsid w:val="00A5632E"/>
    <w:rsid w:val="00A57048"/>
    <w:rsid w:val="00A6232C"/>
    <w:rsid w:val="00A623BD"/>
    <w:rsid w:val="00A625D8"/>
    <w:rsid w:val="00A62BBE"/>
    <w:rsid w:val="00A64912"/>
    <w:rsid w:val="00A657B6"/>
    <w:rsid w:val="00A70876"/>
    <w:rsid w:val="00A70A74"/>
    <w:rsid w:val="00A70D5A"/>
    <w:rsid w:val="00A71993"/>
    <w:rsid w:val="00A71D67"/>
    <w:rsid w:val="00A73375"/>
    <w:rsid w:val="00A736AC"/>
    <w:rsid w:val="00A760F1"/>
    <w:rsid w:val="00A76E77"/>
    <w:rsid w:val="00A76FD1"/>
    <w:rsid w:val="00A81D76"/>
    <w:rsid w:val="00A842B9"/>
    <w:rsid w:val="00A9035F"/>
    <w:rsid w:val="00A910AD"/>
    <w:rsid w:val="00A915CB"/>
    <w:rsid w:val="00A91966"/>
    <w:rsid w:val="00A91BCF"/>
    <w:rsid w:val="00A92242"/>
    <w:rsid w:val="00A92D27"/>
    <w:rsid w:val="00A93862"/>
    <w:rsid w:val="00A93ABD"/>
    <w:rsid w:val="00AA0B91"/>
    <w:rsid w:val="00AA0EA3"/>
    <w:rsid w:val="00AA3712"/>
    <w:rsid w:val="00AA462B"/>
    <w:rsid w:val="00AA507D"/>
    <w:rsid w:val="00AA5613"/>
    <w:rsid w:val="00AA5B7E"/>
    <w:rsid w:val="00AA6080"/>
    <w:rsid w:val="00AA66AC"/>
    <w:rsid w:val="00AA66EB"/>
    <w:rsid w:val="00AA731F"/>
    <w:rsid w:val="00AA770E"/>
    <w:rsid w:val="00AA7C50"/>
    <w:rsid w:val="00AB0D05"/>
    <w:rsid w:val="00AB1B94"/>
    <w:rsid w:val="00AB1DE8"/>
    <w:rsid w:val="00AB236B"/>
    <w:rsid w:val="00AB3319"/>
    <w:rsid w:val="00AB4EF4"/>
    <w:rsid w:val="00AB58DA"/>
    <w:rsid w:val="00AB69D9"/>
    <w:rsid w:val="00AB769C"/>
    <w:rsid w:val="00AC0485"/>
    <w:rsid w:val="00AC0886"/>
    <w:rsid w:val="00AC0E0E"/>
    <w:rsid w:val="00AC22D6"/>
    <w:rsid w:val="00AC6109"/>
    <w:rsid w:val="00AD02B8"/>
    <w:rsid w:val="00AD0C9E"/>
    <w:rsid w:val="00AD1F73"/>
    <w:rsid w:val="00AD21D2"/>
    <w:rsid w:val="00AD21E7"/>
    <w:rsid w:val="00AD34C8"/>
    <w:rsid w:val="00AD5315"/>
    <w:rsid w:val="00AD5641"/>
    <w:rsid w:val="00AD57D1"/>
    <w:rsid w:val="00AD5BA9"/>
    <w:rsid w:val="00AD6F2E"/>
    <w:rsid w:val="00AD785C"/>
    <w:rsid w:val="00AD7889"/>
    <w:rsid w:val="00AE06A0"/>
    <w:rsid w:val="00AE0C69"/>
    <w:rsid w:val="00AE13D8"/>
    <w:rsid w:val="00AE1B00"/>
    <w:rsid w:val="00AE1F43"/>
    <w:rsid w:val="00AE4435"/>
    <w:rsid w:val="00AE4694"/>
    <w:rsid w:val="00AE47FD"/>
    <w:rsid w:val="00AE481C"/>
    <w:rsid w:val="00AE77B3"/>
    <w:rsid w:val="00AE787B"/>
    <w:rsid w:val="00AF021B"/>
    <w:rsid w:val="00AF06CF"/>
    <w:rsid w:val="00AF1AA5"/>
    <w:rsid w:val="00AF32B7"/>
    <w:rsid w:val="00AF79B4"/>
    <w:rsid w:val="00B004ED"/>
    <w:rsid w:val="00B02762"/>
    <w:rsid w:val="00B03847"/>
    <w:rsid w:val="00B03873"/>
    <w:rsid w:val="00B03BC4"/>
    <w:rsid w:val="00B04305"/>
    <w:rsid w:val="00B06F1D"/>
    <w:rsid w:val="00B07CDB"/>
    <w:rsid w:val="00B101F8"/>
    <w:rsid w:val="00B11DAB"/>
    <w:rsid w:val="00B12BC1"/>
    <w:rsid w:val="00B131A7"/>
    <w:rsid w:val="00B13825"/>
    <w:rsid w:val="00B14C22"/>
    <w:rsid w:val="00B14EA8"/>
    <w:rsid w:val="00B15884"/>
    <w:rsid w:val="00B16A31"/>
    <w:rsid w:val="00B17DFD"/>
    <w:rsid w:val="00B21D88"/>
    <w:rsid w:val="00B2249C"/>
    <w:rsid w:val="00B23296"/>
    <w:rsid w:val="00B252D6"/>
    <w:rsid w:val="00B256C4"/>
    <w:rsid w:val="00B266FD"/>
    <w:rsid w:val="00B26E51"/>
    <w:rsid w:val="00B2799D"/>
    <w:rsid w:val="00B308FE"/>
    <w:rsid w:val="00B30E89"/>
    <w:rsid w:val="00B33709"/>
    <w:rsid w:val="00B33B3C"/>
    <w:rsid w:val="00B33BD1"/>
    <w:rsid w:val="00B33BFB"/>
    <w:rsid w:val="00B33F81"/>
    <w:rsid w:val="00B35697"/>
    <w:rsid w:val="00B37932"/>
    <w:rsid w:val="00B37F06"/>
    <w:rsid w:val="00B408A1"/>
    <w:rsid w:val="00B40B3E"/>
    <w:rsid w:val="00B40E08"/>
    <w:rsid w:val="00B41B27"/>
    <w:rsid w:val="00B42529"/>
    <w:rsid w:val="00B4366C"/>
    <w:rsid w:val="00B436FB"/>
    <w:rsid w:val="00B44598"/>
    <w:rsid w:val="00B44D09"/>
    <w:rsid w:val="00B45A35"/>
    <w:rsid w:val="00B45F26"/>
    <w:rsid w:val="00B47480"/>
    <w:rsid w:val="00B50448"/>
    <w:rsid w:val="00B50ADC"/>
    <w:rsid w:val="00B52B35"/>
    <w:rsid w:val="00B52C8C"/>
    <w:rsid w:val="00B5319B"/>
    <w:rsid w:val="00B531BC"/>
    <w:rsid w:val="00B53DD8"/>
    <w:rsid w:val="00B559C3"/>
    <w:rsid w:val="00B55BF7"/>
    <w:rsid w:val="00B55CF4"/>
    <w:rsid w:val="00B56344"/>
    <w:rsid w:val="00B566B1"/>
    <w:rsid w:val="00B574A7"/>
    <w:rsid w:val="00B577C8"/>
    <w:rsid w:val="00B57930"/>
    <w:rsid w:val="00B603E9"/>
    <w:rsid w:val="00B611C6"/>
    <w:rsid w:val="00B61A82"/>
    <w:rsid w:val="00B621E4"/>
    <w:rsid w:val="00B62293"/>
    <w:rsid w:val="00B62AD0"/>
    <w:rsid w:val="00B63834"/>
    <w:rsid w:val="00B65180"/>
    <w:rsid w:val="00B66EE0"/>
    <w:rsid w:val="00B675BD"/>
    <w:rsid w:val="00B67BE7"/>
    <w:rsid w:val="00B706F6"/>
    <w:rsid w:val="00B708E4"/>
    <w:rsid w:val="00B71384"/>
    <w:rsid w:val="00B72734"/>
    <w:rsid w:val="00B73AAD"/>
    <w:rsid w:val="00B76589"/>
    <w:rsid w:val="00B76AC7"/>
    <w:rsid w:val="00B771C1"/>
    <w:rsid w:val="00B80199"/>
    <w:rsid w:val="00B810A6"/>
    <w:rsid w:val="00B82461"/>
    <w:rsid w:val="00B82908"/>
    <w:rsid w:val="00B82D81"/>
    <w:rsid w:val="00B83204"/>
    <w:rsid w:val="00B83625"/>
    <w:rsid w:val="00B83D71"/>
    <w:rsid w:val="00B84DB3"/>
    <w:rsid w:val="00B873EE"/>
    <w:rsid w:val="00B90768"/>
    <w:rsid w:val="00B9126E"/>
    <w:rsid w:val="00B973B1"/>
    <w:rsid w:val="00BA0F67"/>
    <w:rsid w:val="00BA1686"/>
    <w:rsid w:val="00BA1722"/>
    <w:rsid w:val="00BA220B"/>
    <w:rsid w:val="00BA364E"/>
    <w:rsid w:val="00BA3A57"/>
    <w:rsid w:val="00BA5789"/>
    <w:rsid w:val="00BA5DDC"/>
    <w:rsid w:val="00BA69F7"/>
    <w:rsid w:val="00BA6BE3"/>
    <w:rsid w:val="00BA74B7"/>
    <w:rsid w:val="00BA758B"/>
    <w:rsid w:val="00BA7631"/>
    <w:rsid w:val="00BA7EDD"/>
    <w:rsid w:val="00BB28FD"/>
    <w:rsid w:val="00BB2FA8"/>
    <w:rsid w:val="00BB459B"/>
    <w:rsid w:val="00BB4DB6"/>
    <w:rsid w:val="00BB4E1A"/>
    <w:rsid w:val="00BB54DF"/>
    <w:rsid w:val="00BB5942"/>
    <w:rsid w:val="00BB5C17"/>
    <w:rsid w:val="00BC015E"/>
    <w:rsid w:val="00BC1A05"/>
    <w:rsid w:val="00BC2637"/>
    <w:rsid w:val="00BC5098"/>
    <w:rsid w:val="00BC63C1"/>
    <w:rsid w:val="00BC6858"/>
    <w:rsid w:val="00BC6E3B"/>
    <w:rsid w:val="00BC7183"/>
    <w:rsid w:val="00BC76AC"/>
    <w:rsid w:val="00BD0D02"/>
    <w:rsid w:val="00BD0ECB"/>
    <w:rsid w:val="00BD2C89"/>
    <w:rsid w:val="00BD313B"/>
    <w:rsid w:val="00BD422C"/>
    <w:rsid w:val="00BD47B5"/>
    <w:rsid w:val="00BD4ED9"/>
    <w:rsid w:val="00BD51E7"/>
    <w:rsid w:val="00BD6A58"/>
    <w:rsid w:val="00BD7CC0"/>
    <w:rsid w:val="00BE0770"/>
    <w:rsid w:val="00BE08F2"/>
    <w:rsid w:val="00BE0CC0"/>
    <w:rsid w:val="00BE12BE"/>
    <w:rsid w:val="00BE1F42"/>
    <w:rsid w:val="00BE2155"/>
    <w:rsid w:val="00BE2213"/>
    <w:rsid w:val="00BE4413"/>
    <w:rsid w:val="00BE4FB1"/>
    <w:rsid w:val="00BE59AF"/>
    <w:rsid w:val="00BE5B0C"/>
    <w:rsid w:val="00BE5D27"/>
    <w:rsid w:val="00BE6EF9"/>
    <w:rsid w:val="00BE719A"/>
    <w:rsid w:val="00BE720A"/>
    <w:rsid w:val="00BF0CDD"/>
    <w:rsid w:val="00BF0D73"/>
    <w:rsid w:val="00BF2465"/>
    <w:rsid w:val="00BF3315"/>
    <w:rsid w:val="00BF3380"/>
    <w:rsid w:val="00BF523B"/>
    <w:rsid w:val="00BF541E"/>
    <w:rsid w:val="00BF6CF1"/>
    <w:rsid w:val="00BF75C9"/>
    <w:rsid w:val="00BF7AFD"/>
    <w:rsid w:val="00C0073E"/>
    <w:rsid w:val="00C01213"/>
    <w:rsid w:val="00C02250"/>
    <w:rsid w:val="00C0245F"/>
    <w:rsid w:val="00C037D7"/>
    <w:rsid w:val="00C04906"/>
    <w:rsid w:val="00C04FA9"/>
    <w:rsid w:val="00C0544A"/>
    <w:rsid w:val="00C0593E"/>
    <w:rsid w:val="00C05DC0"/>
    <w:rsid w:val="00C05FD3"/>
    <w:rsid w:val="00C067D4"/>
    <w:rsid w:val="00C06AC9"/>
    <w:rsid w:val="00C07D6A"/>
    <w:rsid w:val="00C07DFC"/>
    <w:rsid w:val="00C11452"/>
    <w:rsid w:val="00C11548"/>
    <w:rsid w:val="00C12410"/>
    <w:rsid w:val="00C1274B"/>
    <w:rsid w:val="00C1335B"/>
    <w:rsid w:val="00C13DE9"/>
    <w:rsid w:val="00C14393"/>
    <w:rsid w:val="00C15136"/>
    <w:rsid w:val="00C1532F"/>
    <w:rsid w:val="00C1669B"/>
    <w:rsid w:val="00C16A58"/>
    <w:rsid w:val="00C16B16"/>
    <w:rsid w:val="00C16C5D"/>
    <w:rsid w:val="00C17457"/>
    <w:rsid w:val="00C17A91"/>
    <w:rsid w:val="00C17EDD"/>
    <w:rsid w:val="00C17F0B"/>
    <w:rsid w:val="00C214E5"/>
    <w:rsid w:val="00C228ED"/>
    <w:rsid w:val="00C2406F"/>
    <w:rsid w:val="00C25E7F"/>
    <w:rsid w:val="00C270AC"/>
    <w:rsid w:val="00C2746F"/>
    <w:rsid w:val="00C27A53"/>
    <w:rsid w:val="00C318E7"/>
    <w:rsid w:val="00C321B8"/>
    <w:rsid w:val="00C3226F"/>
    <w:rsid w:val="00C324A0"/>
    <w:rsid w:val="00C32950"/>
    <w:rsid w:val="00C3300F"/>
    <w:rsid w:val="00C33AB6"/>
    <w:rsid w:val="00C34E77"/>
    <w:rsid w:val="00C35875"/>
    <w:rsid w:val="00C35DAF"/>
    <w:rsid w:val="00C37D97"/>
    <w:rsid w:val="00C4170B"/>
    <w:rsid w:val="00C42BF8"/>
    <w:rsid w:val="00C42CDE"/>
    <w:rsid w:val="00C42DCF"/>
    <w:rsid w:val="00C43468"/>
    <w:rsid w:val="00C43D4C"/>
    <w:rsid w:val="00C45171"/>
    <w:rsid w:val="00C47D01"/>
    <w:rsid w:val="00C47F4E"/>
    <w:rsid w:val="00C50043"/>
    <w:rsid w:val="00C50B97"/>
    <w:rsid w:val="00C51FC1"/>
    <w:rsid w:val="00C51FEC"/>
    <w:rsid w:val="00C52E7C"/>
    <w:rsid w:val="00C6112E"/>
    <w:rsid w:val="00C625C9"/>
    <w:rsid w:val="00C6434E"/>
    <w:rsid w:val="00C65129"/>
    <w:rsid w:val="00C67605"/>
    <w:rsid w:val="00C678DF"/>
    <w:rsid w:val="00C70272"/>
    <w:rsid w:val="00C70CA8"/>
    <w:rsid w:val="00C71144"/>
    <w:rsid w:val="00C7366B"/>
    <w:rsid w:val="00C73E46"/>
    <w:rsid w:val="00C741EB"/>
    <w:rsid w:val="00C7573B"/>
    <w:rsid w:val="00C75FBD"/>
    <w:rsid w:val="00C7761F"/>
    <w:rsid w:val="00C811E3"/>
    <w:rsid w:val="00C85917"/>
    <w:rsid w:val="00C86312"/>
    <w:rsid w:val="00C86601"/>
    <w:rsid w:val="00C868F9"/>
    <w:rsid w:val="00C86B32"/>
    <w:rsid w:val="00C901FB"/>
    <w:rsid w:val="00C931B8"/>
    <w:rsid w:val="00C93C03"/>
    <w:rsid w:val="00C96043"/>
    <w:rsid w:val="00C97128"/>
    <w:rsid w:val="00C97220"/>
    <w:rsid w:val="00CA0A95"/>
    <w:rsid w:val="00CA42A0"/>
    <w:rsid w:val="00CA66DC"/>
    <w:rsid w:val="00CA67DE"/>
    <w:rsid w:val="00CA6810"/>
    <w:rsid w:val="00CA6E72"/>
    <w:rsid w:val="00CA6E7F"/>
    <w:rsid w:val="00CA7B49"/>
    <w:rsid w:val="00CA7BB6"/>
    <w:rsid w:val="00CB115C"/>
    <w:rsid w:val="00CB1D01"/>
    <w:rsid w:val="00CB2C8E"/>
    <w:rsid w:val="00CB2D96"/>
    <w:rsid w:val="00CB3BF5"/>
    <w:rsid w:val="00CB3DFE"/>
    <w:rsid w:val="00CB513B"/>
    <w:rsid w:val="00CB54ED"/>
    <w:rsid w:val="00CB5BA9"/>
    <w:rsid w:val="00CB5E21"/>
    <w:rsid w:val="00CB602E"/>
    <w:rsid w:val="00CB7FDB"/>
    <w:rsid w:val="00CC0781"/>
    <w:rsid w:val="00CC07E4"/>
    <w:rsid w:val="00CC15DE"/>
    <w:rsid w:val="00CC2C35"/>
    <w:rsid w:val="00CC3AEC"/>
    <w:rsid w:val="00CC3D87"/>
    <w:rsid w:val="00CC5979"/>
    <w:rsid w:val="00CC6E40"/>
    <w:rsid w:val="00CC749D"/>
    <w:rsid w:val="00CC7D98"/>
    <w:rsid w:val="00CD02E5"/>
    <w:rsid w:val="00CD0497"/>
    <w:rsid w:val="00CD18CC"/>
    <w:rsid w:val="00CD1ECC"/>
    <w:rsid w:val="00CD249C"/>
    <w:rsid w:val="00CD2E90"/>
    <w:rsid w:val="00CD4C37"/>
    <w:rsid w:val="00CD5BA2"/>
    <w:rsid w:val="00CD7614"/>
    <w:rsid w:val="00CE0009"/>
    <w:rsid w:val="00CE0149"/>
    <w:rsid w:val="00CE051D"/>
    <w:rsid w:val="00CE1335"/>
    <w:rsid w:val="00CE136F"/>
    <w:rsid w:val="00CE163A"/>
    <w:rsid w:val="00CE3D2A"/>
    <w:rsid w:val="00CE3FB1"/>
    <w:rsid w:val="00CE493D"/>
    <w:rsid w:val="00CE5227"/>
    <w:rsid w:val="00CE541A"/>
    <w:rsid w:val="00CE6D42"/>
    <w:rsid w:val="00CE6E34"/>
    <w:rsid w:val="00CE7E2B"/>
    <w:rsid w:val="00CF07FA"/>
    <w:rsid w:val="00CF0BB2"/>
    <w:rsid w:val="00CF16B3"/>
    <w:rsid w:val="00CF2272"/>
    <w:rsid w:val="00CF3954"/>
    <w:rsid w:val="00CF3EE8"/>
    <w:rsid w:val="00CF5313"/>
    <w:rsid w:val="00CF5398"/>
    <w:rsid w:val="00CF6ACF"/>
    <w:rsid w:val="00CF6DD9"/>
    <w:rsid w:val="00D014AD"/>
    <w:rsid w:val="00D01F33"/>
    <w:rsid w:val="00D034CB"/>
    <w:rsid w:val="00D043AB"/>
    <w:rsid w:val="00D050E6"/>
    <w:rsid w:val="00D11629"/>
    <w:rsid w:val="00D126F4"/>
    <w:rsid w:val="00D12BE0"/>
    <w:rsid w:val="00D13441"/>
    <w:rsid w:val="00D1376B"/>
    <w:rsid w:val="00D139DB"/>
    <w:rsid w:val="00D13CE9"/>
    <w:rsid w:val="00D13FB9"/>
    <w:rsid w:val="00D14F42"/>
    <w:rsid w:val="00D150E7"/>
    <w:rsid w:val="00D158FC"/>
    <w:rsid w:val="00D15D94"/>
    <w:rsid w:val="00D16AFE"/>
    <w:rsid w:val="00D16C87"/>
    <w:rsid w:val="00D1734F"/>
    <w:rsid w:val="00D17E95"/>
    <w:rsid w:val="00D20056"/>
    <w:rsid w:val="00D201BA"/>
    <w:rsid w:val="00D20A12"/>
    <w:rsid w:val="00D20A4B"/>
    <w:rsid w:val="00D20C00"/>
    <w:rsid w:val="00D211EB"/>
    <w:rsid w:val="00D22273"/>
    <w:rsid w:val="00D2349F"/>
    <w:rsid w:val="00D25343"/>
    <w:rsid w:val="00D300B8"/>
    <w:rsid w:val="00D306F8"/>
    <w:rsid w:val="00D32F65"/>
    <w:rsid w:val="00D341C4"/>
    <w:rsid w:val="00D341D5"/>
    <w:rsid w:val="00D35105"/>
    <w:rsid w:val="00D352BF"/>
    <w:rsid w:val="00D35415"/>
    <w:rsid w:val="00D37EB4"/>
    <w:rsid w:val="00D41A47"/>
    <w:rsid w:val="00D4246E"/>
    <w:rsid w:val="00D42FA7"/>
    <w:rsid w:val="00D44195"/>
    <w:rsid w:val="00D442A2"/>
    <w:rsid w:val="00D448FB"/>
    <w:rsid w:val="00D45F9F"/>
    <w:rsid w:val="00D46292"/>
    <w:rsid w:val="00D46293"/>
    <w:rsid w:val="00D5198A"/>
    <w:rsid w:val="00D52DC2"/>
    <w:rsid w:val="00D53BCC"/>
    <w:rsid w:val="00D556A2"/>
    <w:rsid w:val="00D56FBF"/>
    <w:rsid w:val="00D60BC8"/>
    <w:rsid w:val="00D616DB"/>
    <w:rsid w:val="00D61E44"/>
    <w:rsid w:val="00D6213B"/>
    <w:rsid w:val="00D622FF"/>
    <w:rsid w:val="00D648BB"/>
    <w:rsid w:val="00D65DB9"/>
    <w:rsid w:val="00D6604C"/>
    <w:rsid w:val="00D668A6"/>
    <w:rsid w:val="00D66AB0"/>
    <w:rsid w:val="00D702DE"/>
    <w:rsid w:val="00D70561"/>
    <w:rsid w:val="00D70DFB"/>
    <w:rsid w:val="00D732EC"/>
    <w:rsid w:val="00D73C22"/>
    <w:rsid w:val="00D73C28"/>
    <w:rsid w:val="00D747B5"/>
    <w:rsid w:val="00D766DF"/>
    <w:rsid w:val="00D77791"/>
    <w:rsid w:val="00D77A1D"/>
    <w:rsid w:val="00D81166"/>
    <w:rsid w:val="00D82904"/>
    <w:rsid w:val="00D83B71"/>
    <w:rsid w:val="00D842B8"/>
    <w:rsid w:val="00D84E38"/>
    <w:rsid w:val="00D853F7"/>
    <w:rsid w:val="00D866FD"/>
    <w:rsid w:val="00D8725B"/>
    <w:rsid w:val="00D9007E"/>
    <w:rsid w:val="00D92ED0"/>
    <w:rsid w:val="00D933D4"/>
    <w:rsid w:val="00D93694"/>
    <w:rsid w:val="00D95AEE"/>
    <w:rsid w:val="00D96720"/>
    <w:rsid w:val="00DA186E"/>
    <w:rsid w:val="00DA2DAD"/>
    <w:rsid w:val="00DA2EE6"/>
    <w:rsid w:val="00DA37CF"/>
    <w:rsid w:val="00DA4116"/>
    <w:rsid w:val="00DA4142"/>
    <w:rsid w:val="00DA6629"/>
    <w:rsid w:val="00DA6C47"/>
    <w:rsid w:val="00DA73F1"/>
    <w:rsid w:val="00DB0749"/>
    <w:rsid w:val="00DB17CF"/>
    <w:rsid w:val="00DB251C"/>
    <w:rsid w:val="00DB2D7C"/>
    <w:rsid w:val="00DB38AD"/>
    <w:rsid w:val="00DB437C"/>
    <w:rsid w:val="00DB44B5"/>
    <w:rsid w:val="00DB4630"/>
    <w:rsid w:val="00DB4762"/>
    <w:rsid w:val="00DB51FD"/>
    <w:rsid w:val="00DB618C"/>
    <w:rsid w:val="00DB64C1"/>
    <w:rsid w:val="00DB7535"/>
    <w:rsid w:val="00DC0326"/>
    <w:rsid w:val="00DC1135"/>
    <w:rsid w:val="00DC1C61"/>
    <w:rsid w:val="00DC4445"/>
    <w:rsid w:val="00DC4F88"/>
    <w:rsid w:val="00DC5351"/>
    <w:rsid w:val="00DC7105"/>
    <w:rsid w:val="00DC7D4F"/>
    <w:rsid w:val="00DD0FEB"/>
    <w:rsid w:val="00DD136B"/>
    <w:rsid w:val="00DD2E99"/>
    <w:rsid w:val="00DD49E9"/>
    <w:rsid w:val="00DD4BF1"/>
    <w:rsid w:val="00DD4C3D"/>
    <w:rsid w:val="00DD4E1A"/>
    <w:rsid w:val="00DD6F54"/>
    <w:rsid w:val="00DE09FF"/>
    <w:rsid w:val="00DE0A85"/>
    <w:rsid w:val="00DE1F0E"/>
    <w:rsid w:val="00DE3532"/>
    <w:rsid w:val="00DE36A1"/>
    <w:rsid w:val="00DE3B81"/>
    <w:rsid w:val="00DE5772"/>
    <w:rsid w:val="00DE60A1"/>
    <w:rsid w:val="00DE667E"/>
    <w:rsid w:val="00DE695F"/>
    <w:rsid w:val="00DE7128"/>
    <w:rsid w:val="00DE79F9"/>
    <w:rsid w:val="00DE7EB0"/>
    <w:rsid w:val="00DF0264"/>
    <w:rsid w:val="00DF0ACC"/>
    <w:rsid w:val="00DF0F82"/>
    <w:rsid w:val="00DF15D5"/>
    <w:rsid w:val="00DF1913"/>
    <w:rsid w:val="00DF1F49"/>
    <w:rsid w:val="00DF5AB0"/>
    <w:rsid w:val="00DF6925"/>
    <w:rsid w:val="00DF70B4"/>
    <w:rsid w:val="00DF75FE"/>
    <w:rsid w:val="00E00654"/>
    <w:rsid w:val="00E01BB4"/>
    <w:rsid w:val="00E03354"/>
    <w:rsid w:val="00E05704"/>
    <w:rsid w:val="00E05D5E"/>
    <w:rsid w:val="00E06CC3"/>
    <w:rsid w:val="00E111A2"/>
    <w:rsid w:val="00E114B6"/>
    <w:rsid w:val="00E11E44"/>
    <w:rsid w:val="00E121AA"/>
    <w:rsid w:val="00E1393B"/>
    <w:rsid w:val="00E13AFA"/>
    <w:rsid w:val="00E155F0"/>
    <w:rsid w:val="00E16289"/>
    <w:rsid w:val="00E165FD"/>
    <w:rsid w:val="00E1737B"/>
    <w:rsid w:val="00E2168B"/>
    <w:rsid w:val="00E21F03"/>
    <w:rsid w:val="00E23183"/>
    <w:rsid w:val="00E23D41"/>
    <w:rsid w:val="00E242B9"/>
    <w:rsid w:val="00E24AA0"/>
    <w:rsid w:val="00E24F67"/>
    <w:rsid w:val="00E250FA"/>
    <w:rsid w:val="00E25D33"/>
    <w:rsid w:val="00E32829"/>
    <w:rsid w:val="00E32D38"/>
    <w:rsid w:val="00E32F77"/>
    <w:rsid w:val="00E338EF"/>
    <w:rsid w:val="00E3461B"/>
    <w:rsid w:val="00E346E4"/>
    <w:rsid w:val="00E353D5"/>
    <w:rsid w:val="00E35A34"/>
    <w:rsid w:val="00E3703D"/>
    <w:rsid w:val="00E40B06"/>
    <w:rsid w:val="00E40DF6"/>
    <w:rsid w:val="00E40FF8"/>
    <w:rsid w:val="00E4146F"/>
    <w:rsid w:val="00E41B1A"/>
    <w:rsid w:val="00E421A2"/>
    <w:rsid w:val="00E426EF"/>
    <w:rsid w:val="00E4573C"/>
    <w:rsid w:val="00E45B07"/>
    <w:rsid w:val="00E460DB"/>
    <w:rsid w:val="00E464F9"/>
    <w:rsid w:val="00E467B2"/>
    <w:rsid w:val="00E47E4C"/>
    <w:rsid w:val="00E50349"/>
    <w:rsid w:val="00E50368"/>
    <w:rsid w:val="00E51E7C"/>
    <w:rsid w:val="00E52A58"/>
    <w:rsid w:val="00E544BB"/>
    <w:rsid w:val="00E55081"/>
    <w:rsid w:val="00E566CF"/>
    <w:rsid w:val="00E578EC"/>
    <w:rsid w:val="00E60423"/>
    <w:rsid w:val="00E604E8"/>
    <w:rsid w:val="00E62BB3"/>
    <w:rsid w:val="00E649D7"/>
    <w:rsid w:val="00E6568E"/>
    <w:rsid w:val="00E65895"/>
    <w:rsid w:val="00E662CB"/>
    <w:rsid w:val="00E66320"/>
    <w:rsid w:val="00E73761"/>
    <w:rsid w:val="00E738A3"/>
    <w:rsid w:val="00E74DC7"/>
    <w:rsid w:val="00E75014"/>
    <w:rsid w:val="00E76011"/>
    <w:rsid w:val="00E76226"/>
    <w:rsid w:val="00E769D2"/>
    <w:rsid w:val="00E76E89"/>
    <w:rsid w:val="00E77F52"/>
    <w:rsid w:val="00E8075A"/>
    <w:rsid w:val="00E818A6"/>
    <w:rsid w:val="00E81D99"/>
    <w:rsid w:val="00E81F06"/>
    <w:rsid w:val="00E838DE"/>
    <w:rsid w:val="00E84986"/>
    <w:rsid w:val="00E84CA0"/>
    <w:rsid w:val="00E84F8C"/>
    <w:rsid w:val="00E85A91"/>
    <w:rsid w:val="00E86BC6"/>
    <w:rsid w:val="00E87718"/>
    <w:rsid w:val="00E87743"/>
    <w:rsid w:val="00E90E33"/>
    <w:rsid w:val="00E90FDC"/>
    <w:rsid w:val="00E917E8"/>
    <w:rsid w:val="00E91E04"/>
    <w:rsid w:val="00E92C4F"/>
    <w:rsid w:val="00E94D5E"/>
    <w:rsid w:val="00E96442"/>
    <w:rsid w:val="00E97856"/>
    <w:rsid w:val="00EA0368"/>
    <w:rsid w:val="00EA039D"/>
    <w:rsid w:val="00EA0BF6"/>
    <w:rsid w:val="00EA17A6"/>
    <w:rsid w:val="00EA2631"/>
    <w:rsid w:val="00EA346F"/>
    <w:rsid w:val="00EA39B8"/>
    <w:rsid w:val="00EA614F"/>
    <w:rsid w:val="00EA6681"/>
    <w:rsid w:val="00EA6C41"/>
    <w:rsid w:val="00EA7100"/>
    <w:rsid w:val="00EA72BE"/>
    <w:rsid w:val="00EA79AF"/>
    <w:rsid w:val="00EA7F9F"/>
    <w:rsid w:val="00EB0E70"/>
    <w:rsid w:val="00EB1274"/>
    <w:rsid w:val="00EB2A76"/>
    <w:rsid w:val="00EB2C4A"/>
    <w:rsid w:val="00EB3E02"/>
    <w:rsid w:val="00EB7C56"/>
    <w:rsid w:val="00EC1592"/>
    <w:rsid w:val="00EC2DDC"/>
    <w:rsid w:val="00EC3E93"/>
    <w:rsid w:val="00EC3F6D"/>
    <w:rsid w:val="00EC4757"/>
    <w:rsid w:val="00EC506E"/>
    <w:rsid w:val="00EC50C4"/>
    <w:rsid w:val="00EC7EDB"/>
    <w:rsid w:val="00ED14FB"/>
    <w:rsid w:val="00ED2BB6"/>
    <w:rsid w:val="00ED34E1"/>
    <w:rsid w:val="00ED3B8D"/>
    <w:rsid w:val="00ED42DE"/>
    <w:rsid w:val="00ED4DB3"/>
    <w:rsid w:val="00ED4DFC"/>
    <w:rsid w:val="00ED643F"/>
    <w:rsid w:val="00ED6BAE"/>
    <w:rsid w:val="00ED796D"/>
    <w:rsid w:val="00EE109E"/>
    <w:rsid w:val="00EE1135"/>
    <w:rsid w:val="00EE3D07"/>
    <w:rsid w:val="00EE3F38"/>
    <w:rsid w:val="00EE637F"/>
    <w:rsid w:val="00EE7772"/>
    <w:rsid w:val="00EF0C35"/>
    <w:rsid w:val="00EF15D3"/>
    <w:rsid w:val="00EF2B1C"/>
    <w:rsid w:val="00EF2B6A"/>
    <w:rsid w:val="00EF2E3A"/>
    <w:rsid w:val="00EF6912"/>
    <w:rsid w:val="00EF711E"/>
    <w:rsid w:val="00EF7842"/>
    <w:rsid w:val="00F013E1"/>
    <w:rsid w:val="00F018A0"/>
    <w:rsid w:val="00F023D1"/>
    <w:rsid w:val="00F02EF9"/>
    <w:rsid w:val="00F03BB5"/>
    <w:rsid w:val="00F03F5D"/>
    <w:rsid w:val="00F047D8"/>
    <w:rsid w:val="00F0670D"/>
    <w:rsid w:val="00F0724B"/>
    <w:rsid w:val="00F072A7"/>
    <w:rsid w:val="00F078DC"/>
    <w:rsid w:val="00F10A7A"/>
    <w:rsid w:val="00F12343"/>
    <w:rsid w:val="00F14593"/>
    <w:rsid w:val="00F1582A"/>
    <w:rsid w:val="00F159DB"/>
    <w:rsid w:val="00F15E36"/>
    <w:rsid w:val="00F171A1"/>
    <w:rsid w:val="00F17422"/>
    <w:rsid w:val="00F2013C"/>
    <w:rsid w:val="00F2063F"/>
    <w:rsid w:val="00F21506"/>
    <w:rsid w:val="00F21644"/>
    <w:rsid w:val="00F23FA1"/>
    <w:rsid w:val="00F24742"/>
    <w:rsid w:val="00F25C36"/>
    <w:rsid w:val="00F30627"/>
    <w:rsid w:val="00F30A5B"/>
    <w:rsid w:val="00F312FC"/>
    <w:rsid w:val="00F32598"/>
    <w:rsid w:val="00F32AA1"/>
    <w:rsid w:val="00F32BA8"/>
    <w:rsid w:val="00F32C66"/>
    <w:rsid w:val="00F33F44"/>
    <w:rsid w:val="00F349F1"/>
    <w:rsid w:val="00F36CF2"/>
    <w:rsid w:val="00F37799"/>
    <w:rsid w:val="00F377AB"/>
    <w:rsid w:val="00F41240"/>
    <w:rsid w:val="00F419C3"/>
    <w:rsid w:val="00F4215A"/>
    <w:rsid w:val="00F42BC6"/>
    <w:rsid w:val="00F42E01"/>
    <w:rsid w:val="00F4350D"/>
    <w:rsid w:val="00F43686"/>
    <w:rsid w:val="00F45C97"/>
    <w:rsid w:val="00F4657D"/>
    <w:rsid w:val="00F46947"/>
    <w:rsid w:val="00F50532"/>
    <w:rsid w:val="00F519DA"/>
    <w:rsid w:val="00F52CA6"/>
    <w:rsid w:val="00F53CE3"/>
    <w:rsid w:val="00F5524C"/>
    <w:rsid w:val="00F5584B"/>
    <w:rsid w:val="00F567F7"/>
    <w:rsid w:val="00F5712E"/>
    <w:rsid w:val="00F61A66"/>
    <w:rsid w:val="00F61B09"/>
    <w:rsid w:val="00F62036"/>
    <w:rsid w:val="00F62469"/>
    <w:rsid w:val="00F62792"/>
    <w:rsid w:val="00F6388A"/>
    <w:rsid w:val="00F6392D"/>
    <w:rsid w:val="00F6412D"/>
    <w:rsid w:val="00F64DE2"/>
    <w:rsid w:val="00F65B52"/>
    <w:rsid w:val="00F677B5"/>
    <w:rsid w:val="00F67BCA"/>
    <w:rsid w:val="00F715A3"/>
    <w:rsid w:val="00F717A8"/>
    <w:rsid w:val="00F7259D"/>
    <w:rsid w:val="00F72E68"/>
    <w:rsid w:val="00F73BD6"/>
    <w:rsid w:val="00F75DB5"/>
    <w:rsid w:val="00F75ED9"/>
    <w:rsid w:val="00F76FB8"/>
    <w:rsid w:val="00F800C9"/>
    <w:rsid w:val="00F81D96"/>
    <w:rsid w:val="00F83989"/>
    <w:rsid w:val="00F85099"/>
    <w:rsid w:val="00F854E2"/>
    <w:rsid w:val="00F85D0D"/>
    <w:rsid w:val="00F861A5"/>
    <w:rsid w:val="00F8622C"/>
    <w:rsid w:val="00F866AC"/>
    <w:rsid w:val="00F87101"/>
    <w:rsid w:val="00F87E83"/>
    <w:rsid w:val="00F9033A"/>
    <w:rsid w:val="00F90F49"/>
    <w:rsid w:val="00F9158E"/>
    <w:rsid w:val="00F92A06"/>
    <w:rsid w:val="00F935D4"/>
    <w:rsid w:val="00F9379C"/>
    <w:rsid w:val="00F9632C"/>
    <w:rsid w:val="00FA0CE9"/>
    <w:rsid w:val="00FA0F76"/>
    <w:rsid w:val="00FA13A8"/>
    <w:rsid w:val="00FA1E52"/>
    <w:rsid w:val="00FA23AF"/>
    <w:rsid w:val="00FA31DE"/>
    <w:rsid w:val="00FA4CCC"/>
    <w:rsid w:val="00FA4F87"/>
    <w:rsid w:val="00FA6258"/>
    <w:rsid w:val="00FA7864"/>
    <w:rsid w:val="00FA78EF"/>
    <w:rsid w:val="00FA79AF"/>
    <w:rsid w:val="00FA7D17"/>
    <w:rsid w:val="00FB1FBD"/>
    <w:rsid w:val="00FB294F"/>
    <w:rsid w:val="00FB47E8"/>
    <w:rsid w:val="00FB6A94"/>
    <w:rsid w:val="00FB7C13"/>
    <w:rsid w:val="00FC155D"/>
    <w:rsid w:val="00FC2137"/>
    <w:rsid w:val="00FC22D9"/>
    <w:rsid w:val="00FC2D11"/>
    <w:rsid w:val="00FC3EB8"/>
    <w:rsid w:val="00FC42C6"/>
    <w:rsid w:val="00FC5B01"/>
    <w:rsid w:val="00FC5F6B"/>
    <w:rsid w:val="00FC6454"/>
    <w:rsid w:val="00FC693C"/>
    <w:rsid w:val="00FC6AEC"/>
    <w:rsid w:val="00FC6D88"/>
    <w:rsid w:val="00FC7D25"/>
    <w:rsid w:val="00FD13CC"/>
    <w:rsid w:val="00FD26EB"/>
    <w:rsid w:val="00FD2E53"/>
    <w:rsid w:val="00FD3AA8"/>
    <w:rsid w:val="00FD3FED"/>
    <w:rsid w:val="00FD6D48"/>
    <w:rsid w:val="00FD7C20"/>
    <w:rsid w:val="00FE0584"/>
    <w:rsid w:val="00FE15BB"/>
    <w:rsid w:val="00FE2B17"/>
    <w:rsid w:val="00FE2D1B"/>
    <w:rsid w:val="00FE2FB8"/>
    <w:rsid w:val="00FE3FDE"/>
    <w:rsid w:val="00FE406D"/>
    <w:rsid w:val="00FE4688"/>
    <w:rsid w:val="00FE68A4"/>
    <w:rsid w:val="00FE720C"/>
    <w:rsid w:val="00FE72D6"/>
    <w:rsid w:val="00FE79D0"/>
    <w:rsid w:val="00FF0595"/>
    <w:rsid w:val="00FF1215"/>
    <w:rsid w:val="00FF1703"/>
    <w:rsid w:val="00FF3751"/>
    <w:rsid w:val="00FF3858"/>
    <w:rsid w:val="00FF3B41"/>
    <w:rsid w:val="00FF3C42"/>
    <w:rsid w:val="00FF4CFA"/>
    <w:rsid w:val="00FF6D04"/>
    <w:rsid w:val="00FF6F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69E1E39A-C7FD-4B93-8E64-4012B3E1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customStyle="1" w:styleId="li-bodytextparaa0">
    <w:name w:val="li-bodytextparaa"/>
    <w:basedOn w:val="Normal"/>
    <w:rsid w:val="00BE4413"/>
    <w:pPr>
      <w:spacing w:before="100" w:beforeAutospacing="1" w:after="100" w:afterAutospacing="1" w:line="240" w:lineRule="auto"/>
    </w:pPr>
    <w:rPr>
      <w:rFonts w:eastAsia="Times New Roman"/>
      <w:sz w:val="24"/>
      <w:szCs w:val="24"/>
      <w:lang w:eastAsia="en-AU"/>
    </w:rPr>
  </w:style>
  <w:style w:type="character" w:styleId="UnresolvedMention">
    <w:name w:val="Unresolved Mention"/>
    <w:basedOn w:val="DefaultParagraphFont"/>
    <w:uiPriority w:val="99"/>
    <w:semiHidden/>
    <w:unhideWhenUsed/>
    <w:rsid w:val="004254B8"/>
    <w:rPr>
      <w:color w:val="605E5C"/>
      <w:shd w:val="clear" w:color="auto" w:fill="E1DFDD"/>
    </w:rPr>
  </w:style>
  <w:style w:type="paragraph" w:styleId="ListParagraph">
    <w:name w:val="List Paragraph"/>
    <w:basedOn w:val="Normal"/>
    <w:uiPriority w:val="34"/>
    <w:qFormat/>
    <w:rsid w:val="0083207C"/>
    <w:pPr>
      <w:ind w:left="720"/>
      <w:contextualSpacing/>
    </w:pPr>
  </w:style>
  <w:style w:type="paragraph" w:styleId="Revision">
    <w:name w:val="Revision"/>
    <w:hidden/>
    <w:uiPriority w:val="99"/>
    <w:semiHidden/>
    <w:rsid w:val="008D0E82"/>
    <w:rPr>
      <w:sz w:val="22"/>
      <w:lang w:eastAsia="en-US"/>
    </w:rPr>
  </w:style>
  <w:style w:type="character" w:styleId="FollowedHyperlink">
    <w:name w:val="FollowedHyperlink"/>
    <w:basedOn w:val="DefaultParagraphFont"/>
    <w:uiPriority w:val="99"/>
    <w:semiHidden/>
    <w:unhideWhenUsed/>
    <w:rsid w:val="00BF0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9680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regulatoryportal.asic.gov.au/" TargetMode="External"/><Relationship Id="rId2" Type="http://schemas.openxmlformats.org/officeDocument/2006/relationships/customXml" Target="../customXml/item2.xml"/><Relationship Id="rId16" Type="http://schemas.openxmlformats.org/officeDocument/2006/relationships/hyperlink" Target="https://asic.gov.au/about-asic/news-centre/find-a-media-release/2023-releases/23-106mr-asic-releases-updated-guidance-for-licensees-on-reportable-situ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asic.gov.au/regulatory-resources/find-a-document/regulatory-guides/rg-78-breach-reporting-by-afs-licensees-and-credit-licensees/"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7329D49EF2FE94BA16D9A9FA4C7C5E9" ma:contentTypeVersion="13" ma:contentTypeDescription="Create a new document." ma:contentTypeScope="" ma:versionID="c0025e67b7e367b0916190cf0213c3e3">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97cc9349622c9205fa82d952e2201137"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DocumentNotes xmlns="db2b92ca-6ed0-4085-802d-4c686a2e8c3f" xsi:nil="true"/>
    <NAPReason xmlns="db2b92ca-6ed0-4085-802d-4c686a2e8c3f" xsi:nil="true"/>
    <TaxCatchAll xmlns="db2b92ca-6ed0-4085-802d-4c686a2e8c3f">
      <Value>3</Value>
    </TaxCatchAll>
    <_dlc_DocId xmlns="6d01ba57-bcb9-4c1f-9f73-80759da4b854">010950-786086710-223</_dlc_DocId>
    <_dlc_DocIdUrl xmlns="6d01ba57-bcb9-4c1f-9f73-80759da4b854">
      <Url>https://asiclink.sharepoint.com/teams/010950/_layouts/15/DocIdRedir.aspx?ID=010950-786086710-223</Url>
      <Description>010950-786086710-223</Description>
    </_dlc_DocIdUrl>
    <_dlc_DocIdPersistId xmlns="6d01ba57-bcb9-4c1f-9f73-80759da4b854">false</_dlc_DocIdPersistId>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95AC9-1A33-4C73-8FB8-CC346B8FE06E}">
  <ds:schemaRefs>
    <ds:schemaRef ds:uri="Microsoft.SharePoint.Taxonomy.ContentTypeSync"/>
  </ds:schemaRefs>
</ds:datastoreItem>
</file>

<file path=customXml/itemProps2.xml><?xml version="1.0" encoding="utf-8"?>
<ds:datastoreItem xmlns:ds="http://schemas.openxmlformats.org/officeDocument/2006/customXml" ds:itemID="{59B29C06-D23B-47A5-BDB9-EDCBCEACF78B}">
  <ds:schemaRefs>
    <ds:schemaRef ds:uri="http://schemas.microsoft.com/sharepoint/v3/contenttype/forms"/>
  </ds:schemaRefs>
</ds:datastoreItem>
</file>

<file path=customXml/itemProps3.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4.xml><?xml version="1.0" encoding="utf-8"?>
<ds:datastoreItem xmlns:ds="http://schemas.openxmlformats.org/officeDocument/2006/customXml" ds:itemID="{2AEE5CB3-4A4C-4A5E-B52C-6BD156B22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54CD4F-4ADE-45EC-8760-0728E2692B40}">
  <ds:schemaRefs>
    <ds:schemaRef ds:uri="http://schemas.microsoft.com/office/infopath/2007/PartnerControls"/>
    <ds:schemaRef ds:uri="http://purl.org/dc/elements/1.1/"/>
    <ds:schemaRef ds:uri="6d01ba57-bcb9-4c1f-9f73-80759da4b854"/>
    <ds:schemaRef ds:uri="http://schemas.microsoft.com/office/2006/metadata/properties"/>
    <ds:schemaRef ds:uri="http://purl.org/dc/terms/"/>
    <ds:schemaRef ds:uri="db2b92ca-6ed0-4085-802d-4c686a2e8c3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7.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Pages>
  <Words>3559</Words>
  <Characters>20292</Characters>
  <Application>Microsoft Office Word</Application>
  <DocSecurity>0</DocSecurity>
  <PresentationFormat/>
  <Lines>169</Lines>
  <Paragraphs>47</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23804</CharactersWithSpaces>
  <SharedDoc>false</SharedDoc>
  <HyperlinkBase/>
  <HLinks>
    <vt:vector size="18" baseType="variant">
      <vt:variant>
        <vt:i4>1245202</vt:i4>
      </vt:variant>
      <vt:variant>
        <vt:i4>6</vt:i4>
      </vt:variant>
      <vt:variant>
        <vt:i4>0</vt:i4>
      </vt:variant>
      <vt:variant>
        <vt:i4>5</vt:i4>
      </vt:variant>
      <vt:variant>
        <vt:lpwstr>https://regulatoryportal.asic.gov.au/</vt:lpwstr>
      </vt:variant>
      <vt:variant>
        <vt:lpwstr/>
      </vt:variant>
      <vt:variant>
        <vt:i4>5308490</vt:i4>
      </vt:variant>
      <vt:variant>
        <vt:i4>3</vt:i4>
      </vt:variant>
      <vt:variant>
        <vt:i4>0</vt:i4>
      </vt:variant>
      <vt:variant>
        <vt:i4>5</vt:i4>
      </vt:variant>
      <vt:variant>
        <vt:lpwstr>https://asic.gov.au/about-asic/news-centre/find-a-media-release/2023-releases/23-106mr-asic-releases-updated-guidance-for-licensees-on-reportable-situations</vt:lpwstr>
      </vt:variant>
      <vt:variant>
        <vt:lpwstr>!page=1&amp;type=media%20releases&amp;startDate=27/04/2023&amp;endDate=27/04/2023</vt:lpwstr>
      </vt:variant>
      <vt:variant>
        <vt:i4>1245259</vt:i4>
      </vt:variant>
      <vt:variant>
        <vt:i4>0</vt:i4>
      </vt:variant>
      <vt:variant>
        <vt:i4>0</vt:i4>
      </vt:variant>
      <vt:variant>
        <vt:i4>5</vt:i4>
      </vt:variant>
      <vt:variant>
        <vt:lpwstr>https://asic.gov.au/regulatory-resources/find-a-document/regulatory-guides/rg-78-breach-reporting-by-afs-licensees-and-credit-licensees/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3</cp:revision>
  <cp:lastPrinted>2019-01-05T11:56:00Z</cp:lastPrinted>
  <dcterms:created xsi:type="dcterms:W3CDTF">2023-10-16T22:22:00Z</dcterms:created>
  <dcterms:modified xsi:type="dcterms:W3CDTF">2023-10-16T22:22:00Z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3;#OFFICIAL|cffd3088-7a74-4edb-8c9e-fbf79371a422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a749baaa-b837-47cd-88c7-b5b3173d4e25</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0x010100B5F685A1365F544391EF8C813B164F3A0067329D49EF2FE94BA16D9A9FA4C7C5E9</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y fmtid="{D5CDD505-2E9C-101B-9397-08002B2CF9AE}" pid="72" name="l800db3a73514f419cf0c3efff2c9a8e">
    <vt:lpwstr/>
  </property>
  <property fmtid="{D5CDD505-2E9C-101B-9397-08002B2CF9AE}" pid="73" name="Proposal_x002d_Inquiry">
    <vt:lpwstr/>
  </property>
  <property fmtid="{D5CDD505-2E9C-101B-9397-08002B2CF9AE}" pid="74" name="Proposal-Inquiry">
    <vt:lpwstr/>
  </property>
  <property fmtid="{D5CDD505-2E9C-101B-9397-08002B2CF9AE}" pid="75" name="DocumentSetDescription">
    <vt:lpwstr/>
  </property>
  <property fmtid="{D5CDD505-2E9C-101B-9397-08002B2CF9AE}" pid="76" name="ComplianceAssetId">
    <vt:lpwstr/>
  </property>
  <property fmtid="{D5CDD505-2E9C-101B-9397-08002B2CF9AE}" pid="77" name="TemplateUrl">
    <vt:lpwstr/>
  </property>
  <property fmtid="{D5CDD505-2E9C-101B-9397-08002B2CF9AE}" pid="78" name="MailTo">
    <vt:lpwstr/>
  </property>
  <property fmtid="{D5CDD505-2E9C-101B-9397-08002B2CF9AE}" pid="79" name="MailFrom">
    <vt:lpwstr/>
  </property>
  <property fmtid="{D5CDD505-2E9C-101B-9397-08002B2CF9AE}" pid="80" name="MailOriginalSubject">
    <vt:lpwstr/>
  </property>
  <property fmtid="{D5CDD505-2E9C-101B-9397-08002B2CF9AE}" pid="81" name="MailCc">
    <vt:lpwstr/>
  </property>
  <property fmtid="{D5CDD505-2E9C-101B-9397-08002B2CF9AE}" pid="82" name="xd_Signature">
    <vt:bool>false</vt:bool>
  </property>
  <property fmtid="{D5CDD505-2E9C-101B-9397-08002B2CF9AE}" pid="83" name="MailReferences">
    <vt:lpwstr/>
  </property>
  <property fmtid="{D5CDD505-2E9C-101B-9397-08002B2CF9AE}" pid="84" name="TriggerFlowInfo">
    <vt:lpwstr/>
  </property>
  <property fmtid="{D5CDD505-2E9C-101B-9397-08002B2CF9AE}" pid="85" name="MailSubject">
    <vt:lpwstr/>
  </property>
  <property fmtid="{D5CDD505-2E9C-101B-9397-08002B2CF9AE}" pid="86" name="MailAttachments">
    <vt:bool>false</vt:bool>
  </property>
  <property fmtid="{D5CDD505-2E9C-101B-9397-08002B2CF9AE}" pid="87" name="xd_ProgID">
    <vt:lpwstr/>
  </property>
  <property fmtid="{D5CDD505-2E9C-101B-9397-08002B2CF9AE}" pid="88" name="MediaServiceImageTags">
    <vt:lpwstr/>
  </property>
  <property fmtid="{D5CDD505-2E9C-101B-9397-08002B2CF9AE}" pid="89" name="lcf76f155ced4ddcb4097134ff3c332f">
    <vt:lpwstr/>
  </property>
</Properties>
</file>