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4763A" w14:textId="77777777" w:rsidR="007269A6" w:rsidRPr="00870587" w:rsidRDefault="007269A6" w:rsidP="007269A6">
      <w:pPr>
        <w:pStyle w:val="Title"/>
        <w:rPr>
          <w:b/>
          <w:bCs/>
        </w:rPr>
      </w:pPr>
      <w:r w:rsidRPr="00870587">
        <w:rPr>
          <w:b/>
          <w:bCs/>
        </w:rPr>
        <w:t>EXPLANATORY STATEMENT</w:t>
      </w:r>
    </w:p>
    <w:p w14:paraId="0648555B" w14:textId="77777777" w:rsidR="007269A6" w:rsidRPr="00870587" w:rsidRDefault="007269A6" w:rsidP="007269A6">
      <w:pPr>
        <w:jc w:val="center"/>
        <w:rPr>
          <w:sz w:val="24"/>
        </w:rPr>
      </w:pPr>
    </w:p>
    <w:p w14:paraId="0ECA8B3B" w14:textId="77777777" w:rsidR="007269A6" w:rsidRPr="00870587" w:rsidRDefault="007269A6" w:rsidP="007269A6">
      <w:pPr>
        <w:jc w:val="center"/>
        <w:rPr>
          <w:sz w:val="24"/>
        </w:rPr>
      </w:pPr>
      <w:r w:rsidRPr="00870587">
        <w:rPr>
          <w:sz w:val="24"/>
        </w:rPr>
        <w:t>Issued by the Authority of the Minister for Foreign Affairs</w:t>
      </w:r>
    </w:p>
    <w:p w14:paraId="0B4C209E" w14:textId="77777777" w:rsidR="007269A6" w:rsidRPr="00870587" w:rsidRDefault="007269A6" w:rsidP="007269A6">
      <w:pPr>
        <w:jc w:val="center"/>
        <w:rPr>
          <w:sz w:val="24"/>
        </w:rPr>
      </w:pPr>
    </w:p>
    <w:p w14:paraId="028BFA22" w14:textId="77777777" w:rsidR="007269A6" w:rsidRPr="00870587" w:rsidRDefault="007269A6" w:rsidP="007269A6">
      <w:pPr>
        <w:jc w:val="center"/>
        <w:rPr>
          <w:sz w:val="24"/>
        </w:rPr>
      </w:pPr>
      <w:r w:rsidRPr="00870587">
        <w:rPr>
          <w:i/>
          <w:sz w:val="24"/>
        </w:rPr>
        <w:t>Nuclear Non-Proliferation (Safeguards) Act 1987</w:t>
      </w:r>
    </w:p>
    <w:p w14:paraId="4F07AEB0" w14:textId="77777777" w:rsidR="007269A6" w:rsidRPr="00870587" w:rsidRDefault="007269A6" w:rsidP="007269A6">
      <w:pPr>
        <w:jc w:val="center"/>
        <w:rPr>
          <w:sz w:val="24"/>
        </w:rPr>
      </w:pPr>
    </w:p>
    <w:p w14:paraId="74C56297" w14:textId="4044AE14" w:rsidR="007269A6" w:rsidRPr="00870587" w:rsidRDefault="007269A6" w:rsidP="007269A6">
      <w:pPr>
        <w:jc w:val="center"/>
        <w:rPr>
          <w:i/>
          <w:iCs/>
          <w:sz w:val="24"/>
        </w:rPr>
      </w:pPr>
      <w:r w:rsidRPr="00870587">
        <w:rPr>
          <w:i/>
          <w:iCs/>
          <w:sz w:val="24"/>
        </w:rPr>
        <w:t>Nuclear Non-Proliferation (Safeguards) Amendment Regulations 202</w:t>
      </w:r>
      <w:r w:rsidR="00B93934" w:rsidRPr="00870587">
        <w:rPr>
          <w:i/>
          <w:iCs/>
          <w:sz w:val="24"/>
        </w:rPr>
        <w:t>3</w:t>
      </w:r>
    </w:p>
    <w:p w14:paraId="536424BA" w14:textId="77777777" w:rsidR="007269A6" w:rsidRPr="00870587" w:rsidRDefault="007269A6" w:rsidP="007269A6">
      <w:pPr>
        <w:rPr>
          <w:sz w:val="24"/>
        </w:rPr>
      </w:pPr>
    </w:p>
    <w:p w14:paraId="3CF0D374" w14:textId="77777777" w:rsidR="00107991" w:rsidRPr="00870587" w:rsidRDefault="00107991" w:rsidP="00107991">
      <w:pPr>
        <w:ind w:right="91"/>
        <w:rPr>
          <w:sz w:val="24"/>
          <w:lang w:eastAsia="en-AU"/>
        </w:rPr>
      </w:pPr>
      <w:r w:rsidRPr="00870587">
        <w:rPr>
          <w:sz w:val="24"/>
          <w:lang w:eastAsia="en-AU"/>
        </w:rPr>
        <w:t xml:space="preserve">The </w:t>
      </w:r>
      <w:r w:rsidRPr="00870587">
        <w:rPr>
          <w:i/>
          <w:iCs/>
          <w:sz w:val="24"/>
          <w:lang w:eastAsia="en-AU"/>
        </w:rPr>
        <w:t>Nuclear Non-Proliferation (Safeguards) Act 1987</w:t>
      </w:r>
      <w:r w:rsidRPr="00870587">
        <w:rPr>
          <w:sz w:val="24"/>
          <w:lang w:eastAsia="en-AU"/>
        </w:rPr>
        <w:t xml:space="preserve"> (Safeguards Act) makes provision in relation to the non-proliferation of nuclear weapons and establishes a system for the imposition and maintenance of nuclear safeguards in Australia. It also gives effect to certain obligations that Australia has under international agreements on the peaceful use of nuclear material and facilities.</w:t>
      </w:r>
    </w:p>
    <w:p w14:paraId="4C5D9B1B" w14:textId="77777777" w:rsidR="007269A6" w:rsidRPr="00870587" w:rsidRDefault="007269A6" w:rsidP="007269A6">
      <w:pPr>
        <w:contextualSpacing/>
        <w:rPr>
          <w:sz w:val="24"/>
        </w:rPr>
      </w:pPr>
    </w:p>
    <w:p w14:paraId="3E14285C" w14:textId="77777777" w:rsidR="007269A6" w:rsidRPr="00870587" w:rsidRDefault="007269A6" w:rsidP="007269A6">
      <w:pPr>
        <w:jc w:val="both"/>
        <w:rPr>
          <w:sz w:val="24"/>
        </w:rPr>
      </w:pPr>
      <w:r w:rsidRPr="00870587">
        <w:rPr>
          <w:sz w:val="24"/>
        </w:rPr>
        <w:t xml:space="preserve">Section 74 of the Safeguards Act provides, in part, that the Governor-General may make regulations, not inconsistent with the Safeguards Act, prescribing matters required or permitted by the Safeguards Act to be prescribed, or necessary or convenient to be prescribed for carrying out or giving effect to the Safeguards Act.  </w:t>
      </w:r>
    </w:p>
    <w:p w14:paraId="265D2B30" w14:textId="77777777" w:rsidR="007269A6" w:rsidRPr="00870587" w:rsidRDefault="007269A6" w:rsidP="007269A6">
      <w:pPr>
        <w:jc w:val="both"/>
        <w:rPr>
          <w:sz w:val="24"/>
        </w:rPr>
      </w:pPr>
    </w:p>
    <w:p w14:paraId="5F4E9B24" w14:textId="674191E3" w:rsidR="007269A6" w:rsidRPr="00870587" w:rsidRDefault="007269A6" w:rsidP="007269A6">
      <w:pPr>
        <w:contextualSpacing/>
        <w:rPr>
          <w:sz w:val="24"/>
        </w:rPr>
      </w:pPr>
      <w:r w:rsidRPr="00870587">
        <w:rPr>
          <w:sz w:val="24"/>
        </w:rPr>
        <w:t xml:space="preserve">Section 70 of the Safeguards Act provides that powers, discretions, duties or functions under the Act are to be exercised in accordance with specified international agreements identified in the Safeguards </w:t>
      </w:r>
      <w:proofErr w:type="gramStart"/>
      <w:r w:rsidRPr="00870587">
        <w:rPr>
          <w:sz w:val="24"/>
        </w:rPr>
        <w:t>Act</w:t>
      </w:r>
      <w:r w:rsidR="002C6239" w:rsidRPr="00870587">
        <w:rPr>
          <w:sz w:val="24"/>
        </w:rPr>
        <w:t>,</w:t>
      </w:r>
      <w:r w:rsidRPr="00870587">
        <w:rPr>
          <w:sz w:val="24"/>
        </w:rPr>
        <w:t xml:space="preserve"> or</w:t>
      </w:r>
      <w:proofErr w:type="gramEnd"/>
      <w:r w:rsidRPr="00870587">
        <w:rPr>
          <w:sz w:val="24"/>
        </w:rPr>
        <w:t xml:space="preserve"> prescribed in the </w:t>
      </w:r>
      <w:r w:rsidRPr="00870587">
        <w:rPr>
          <w:i/>
          <w:iCs/>
          <w:sz w:val="24"/>
        </w:rPr>
        <w:t>Nuclear Non-Proliferation (Safeguards) Regulations 1987</w:t>
      </w:r>
      <w:r w:rsidRPr="00870587">
        <w:rPr>
          <w:sz w:val="24"/>
        </w:rPr>
        <w:t xml:space="preserve"> (the Principal Regulations).  </w:t>
      </w:r>
    </w:p>
    <w:p w14:paraId="65A29196" w14:textId="77777777" w:rsidR="007269A6" w:rsidRPr="00870587" w:rsidRDefault="007269A6" w:rsidP="00A77B9D">
      <w:pPr>
        <w:contextualSpacing/>
        <w:rPr>
          <w:sz w:val="24"/>
        </w:rPr>
      </w:pPr>
    </w:p>
    <w:p w14:paraId="78371585" w14:textId="73C71731" w:rsidR="007269A6" w:rsidRPr="00870587" w:rsidRDefault="007269A6" w:rsidP="007269A6">
      <w:pPr>
        <w:rPr>
          <w:sz w:val="24"/>
        </w:rPr>
      </w:pPr>
      <w:r w:rsidRPr="00870587">
        <w:rPr>
          <w:sz w:val="24"/>
        </w:rPr>
        <w:t xml:space="preserve">The </w:t>
      </w:r>
      <w:r w:rsidRPr="00870587">
        <w:rPr>
          <w:i/>
          <w:iCs/>
          <w:sz w:val="24"/>
        </w:rPr>
        <w:t>Nuclear Non-Proliferation (Safeguards) Amendment Regulations 202</w:t>
      </w:r>
      <w:r w:rsidR="005F6E78" w:rsidRPr="00870587">
        <w:rPr>
          <w:i/>
          <w:iCs/>
          <w:sz w:val="24"/>
        </w:rPr>
        <w:t>3</w:t>
      </w:r>
      <w:r w:rsidRPr="00870587">
        <w:rPr>
          <w:sz w:val="24"/>
        </w:rPr>
        <w:t xml:space="preserve"> (the Regulations) amend the Principal Regulations</w:t>
      </w:r>
      <w:bookmarkStart w:id="0" w:name="_Hlk82791913"/>
      <w:r w:rsidR="00400E50" w:rsidRPr="00870587">
        <w:rPr>
          <w:sz w:val="24"/>
        </w:rPr>
        <w:t xml:space="preserve"> by</w:t>
      </w:r>
      <w:r w:rsidRPr="00870587">
        <w:rPr>
          <w:sz w:val="24"/>
        </w:rPr>
        <w:t xml:space="preserve"> a</w:t>
      </w:r>
      <w:r w:rsidRPr="00870587">
        <w:rPr>
          <w:sz w:val="24"/>
          <w:lang w:eastAsia="en-AU"/>
        </w:rPr>
        <w:t>mend</w:t>
      </w:r>
      <w:r w:rsidR="00400E50" w:rsidRPr="00870587">
        <w:rPr>
          <w:sz w:val="24"/>
          <w:lang w:eastAsia="en-AU"/>
        </w:rPr>
        <w:t>ing</w:t>
      </w:r>
      <w:r w:rsidRPr="00870587">
        <w:rPr>
          <w:sz w:val="24"/>
          <w:lang w:eastAsia="en-AU"/>
        </w:rPr>
        <w:t xml:space="preserve"> the charge rate used to determine the charge imposed on Australian producers of uranium ore concentrate for the cost of safeguards and security activities undertaken by the Australian Safeguards and Non-Proliferation Office (ASNO), in line with the Australian Government’s Charging Framework policy.</w:t>
      </w:r>
    </w:p>
    <w:bookmarkEnd w:id="0"/>
    <w:p w14:paraId="744194FC" w14:textId="77777777" w:rsidR="007269A6" w:rsidRPr="00870587" w:rsidRDefault="007269A6" w:rsidP="00A77B9D">
      <w:pPr>
        <w:contextualSpacing/>
        <w:rPr>
          <w:sz w:val="24"/>
        </w:rPr>
      </w:pPr>
    </w:p>
    <w:p w14:paraId="12FD898D" w14:textId="77777777" w:rsidR="007269A6" w:rsidRPr="00870587" w:rsidRDefault="007269A6" w:rsidP="007269A6">
      <w:pPr>
        <w:contextualSpacing/>
        <w:rPr>
          <w:sz w:val="24"/>
        </w:rPr>
      </w:pPr>
      <w:r w:rsidRPr="00870587">
        <w:rPr>
          <w:sz w:val="24"/>
        </w:rPr>
        <w:t xml:space="preserve">The </w:t>
      </w:r>
      <w:r w:rsidRPr="00870587">
        <w:rPr>
          <w:i/>
          <w:sz w:val="24"/>
        </w:rPr>
        <w:t>Nuclear Safeguards (Producers of Uranium Ore Concentrates) Charge Act 1993</w:t>
      </w:r>
      <w:r w:rsidRPr="00870587">
        <w:rPr>
          <w:sz w:val="24"/>
        </w:rPr>
        <w:t xml:space="preserve"> imposes a charge on producers of uranium ore concentrates under certain circumstances. Section 69A of the Safeguards Act specifies that the charge is payable on 1 December each year and that the amount of the charge payable by a producer is the lesser of $500,000 or an amount prescribed by the Principal Regulations, expressed as a charge rate in cents per kilogram of uranium in the uranium ore concentrates produced by the person in the previous financial year.</w:t>
      </w:r>
    </w:p>
    <w:p w14:paraId="23929F65" w14:textId="77777777" w:rsidR="007269A6" w:rsidRPr="00870587" w:rsidRDefault="007269A6" w:rsidP="00A77B9D">
      <w:pPr>
        <w:rPr>
          <w:sz w:val="24"/>
        </w:rPr>
      </w:pPr>
    </w:p>
    <w:p w14:paraId="4AF9AFDF" w14:textId="2A9D5945" w:rsidR="007269A6" w:rsidRPr="00870587" w:rsidRDefault="007269A6" w:rsidP="007269A6">
      <w:pPr>
        <w:rPr>
          <w:sz w:val="24"/>
          <w:lang w:eastAsia="en-AU"/>
        </w:rPr>
      </w:pPr>
      <w:r w:rsidRPr="00870587">
        <w:rPr>
          <w:sz w:val="24"/>
          <w:lang w:eastAsia="en-AU"/>
        </w:rPr>
        <w:t xml:space="preserve">The </w:t>
      </w:r>
      <w:r w:rsidRPr="00870587">
        <w:rPr>
          <w:sz w:val="24"/>
        </w:rPr>
        <w:t xml:space="preserve">Regulations </w:t>
      </w:r>
      <w:r w:rsidRPr="00870587">
        <w:rPr>
          <w:sz w:val="24"/>
          <w:lang w:eastAsia="en-AU"/>
        </w:rPr>
        <w:t xml:space="preserve">amend the charge rate to </w:t>
      </w:r>
      <w:r w:rsidR="00952FC8" w:rsidRPr="00870587">
        <w:rPr>
          <w:sz w:val="24"/>
          <w:lang w:eastAsia="en-AU"/>
        </w:rPr>
        <w:t xml:space="preserve">15.1953 </w:t>
      </w:r>
      <w:r w:rsidRPr="00870587">
        <w:rPr>
          <w:sz w:val="24"/>
        </w:rPr>
        <w:t>cents per kilogram of uranium in the uranium ore concentrates produced</w:t>
      </w:r>
      <w:r w:rsidRPr="00870587">
        <w:rPr>
          <w:sz w:val="24"/>
          <w:lang w:eastAsia="en-AU"/>
        </w:rPr>
        <w:t>. The charge rate reflects actual costs in the previous financial year (202</w:t>
      </w:r>
      <w:r w:rsidR="00952FC8" w:rsidRPr="00870587">
        <w:rPr>
          <w:sz w:val="24"/>
          <w:lang w:eastAsia="en-AU"/>
        </w:rPr>
        <w:t>2</w:t>
      </w:r>
      <w:r w:rsidRPr="00870587">
        <w:rPr>
          <w:sz w:val="24"/>
          <w:lang w:eastAsia="en-AU"/>
        </w:rPr>
        <w:t>-2</w:t>
      </w:r>
      <w:r w:rsidR="00952FC8" w:rsidRPr="00870587">
        <w:rPr>
          <w:sz w:val="24"/>
          <w:lang w:eastAsia="en-AU"/>
        </w:rPr>
        <w:t>3</w:t>
      </w:r>
      <w:r w:rsidRPr="00870587">
        <w:rPr>
          <w:sz w:val="24"/>
          <w:lang w:eastAsia="en-AU"/>
        </w:rPr>
        <w:t xml:space="preserve">) of relevant safeguards and security activity by ASNO, and the total production and export of </w:t>
      </w:r>
      <w:r w:rsidR="00985B7D" w:rsidRPr="00870587">
        <w:rPr>
          <w:sz w:val="24"/>
          <w:lang w:eastAsia="en-AU"/>
        </w:rPr>
        <w:t xml:space="preserve">Australian </w:t>
      </w:r>
      <w:r w:rsidRPr="00870587">
        <w:rPr>
          <w:sz w:val="24"/>
          <w:lang w:eastAsia="en-AU"/>
        </w:rPr>
        <w:t>uranium ore concentrate. The charge is payable in the 202</w:t>
      </w:r>
      <w:r w:rsidR="00952FC8" w:rsidRPr="00870587">
        <w:rPr>
          <w:sz w:val="24"/>
          <w:lang w:eastAsia="en-AU"/>
        </w:rPr>
        <w:t>3</w:t>
      </w:r>
      <w:r w:rsidRPr="00870587">
        <w:rPr>
          <w:sz w:val="24"/>
          <w:lang w:eastAsia="en-AU"/>
        </w:rPr>
        <w:t>-2</w:t>
      </w:r>
      <w:r w:rsidR="00952FC8" w:rsidRPr="00870587">
        <w:rPr>
          <w:sz w:val="24"/>
          <w:lang w:eastAsia="en-AU"/>
        </w:rPr>
        <w:t>4</w:t>
      </w:r>
      <w:r w:rsidRPr="00870587">
        <w:rPr>
          <w:sz w:val="24"/>
          <w:lang w:eastAsia="en-AU"/>
        </w:rPr>
        <w:t xml:space="preserve"> financial year and later financial years.</w:t>
      </w:r>
    </w:p>
    <w:p w14:paraId="67DCD11B" w14:textId="77777777" w:rsidR="007269A6" w:rsidRPr="00870587" w:rsidRDefault="007269A6" w:rsidP="007269A6">
      <w:pPr>
        <w:rPr>
          <w:sz w:val="24"/>
          <w:lang w:eastAsia="en-AU"/>
        </w:rPr>
      </w:pPr>
    </w:p>
    <w:p w14:paraId="1D4EE382" w14:textId="60B8106C" w:rsidR="007269A6" w:rsidRPr="00870587" w:rsidRDefault="007269A6" w:rsidP="007269A6">
      <w:pPr>
        <w:jc w:val="both"/>
        <w:rPr>
          <w:sz w:val="24"/>
          <w:szCs w:val="24"/>
        </w:rPr>
      </w:pPr>
      <w:r w:rsidRPr="00870587">
        <w:rPr>
          <w:sz w:val="24"/>
          <w:szCs w:val="24"/>
        </w:rPr>
        <w:t xml:space="preserve">On 18 January 2006, the Office of </w:t>
      </w:r>
      <w:r w:rsidR="00541B13" w:rsidRPr="00870587">
        <w:rPr>
          <w:sz w:val="24"/>
          <w:szCs w:val="24"/>
        </w:rPr>
        <w:t xml:space="preserve">Best Practice </w:t>
      </w:r>
      <w:r w:rsidRPr="00870587">
        <w:rPr>
          <w:sz w:val="24"/>
          <w:szCs w:val="24"/>
        </w:rPr>
        <w:t>Regulation</w:t>
      </w:r>
      <w:r w:rsidR="001B5D0A" w:rsidRPr="00870587">
        <w:rPr>
          <w:sz w:val="24"/>
          <w:szCs w:val="24"/>
        </w:rPr>
        <w:t xml:space="preserve"> (</w:t>
      </w:r>
      <w:r w:rsidR="000B4EE7" w:rsidRPr="00870587">
        <w:rPr>
          <w:sz w:val="24"/>
          <w:szCs w:val="24"/>
        </w:rPr>
        <w:t>now the Office of Impact Analysis (OIA</w:t>
      </w:r>
      <w:r w:rsidR="001B5D0A" w:rsidRPr="00870587">
        <w:rPr>
          <w:sz w:val="24"/>
          <w:szCs w:val="24"/>
        </w:rPr>
        <w:t>)</w:t>
      </w:r>
      <w:r w:rsidRPr="00870587">
        <w:rPr>
          <w:sz w:val="24"/>
          <w:szCs w:val="24"/>
        </w:rPr>
        <w:t xml:space="preserve"> advised that as the direct effect on business is minor in nature a Regulation Impact Statement (RIS) is not mandatory, therefore an exception applies. The </w:t>
      </w:r>
      <w:r w:rsidR="00E170B6" w:rsidRPr="00870587">
        <w:rPr>
          <w:sz w:val="24"/>
          <w:szCs w:val="24"/>
        </w:rPr>
        <w:t>O</w:t>
      </w:r>
      <w:r w:rsidR="00930BC8" w:rsidRPr="00870587">
        <w:rPr>
          <w:sz w:val="24"/>
          <w:szCs w:val="24"/>
        </w:rPr>
        <w:t>IA</w:t>
      </w:r>
      <w:r w:rsidR="001B5D0A" w:rsidRPr="00870587">
        <w:rPr>
          <w:sz w:val="24"/>
          <w:szCs w:val="24"/>
        </w:rPr>
        <w:t xml:space="preserve"> </w:t>
      </w:r>
      <w:r w:rsidRPr="00870587">
        <w:rPr>
          <w:sz w:val="24"/>
          <w:szCs w:val="24"/>
        </w:rPr>
        <w:t xml:space="preserve">also advised that subsequent amendments to the charge per kilogram to uranium producers will not require a RIS. The </w:t>
      </w:r>
      <w:r w:rsidR="00E170B6" w:rsidRPr="00870587">
        <w:rPr>
          <w:sz w:val="24"/>
          <w:szCs w:val="24"/>
        </w:rPr>
        <w:t>two</w:t>
      </w:r>
      <w:r w:rsidRPr="00870587">
        <w:rPr>
          <w:sz w:val="24"/>
          <w:szCs w:val="24"/>
        </w:rPr>
        <w:t xml:space="preserve"> uranium producers</w:t>
      </w:r>
      <w:r w:rsidR="00400E50" w:rsidRPr="00870587">
        <w:rPr>
          <w:sz w:val="24"/>
          <w:szCs w:val="24"/>
        </w:rPr>
        <w:t xml:space="preserve">, </w:t>
      </w:r>
      <w:proofErr w:type="gramStart"/>
      <w:r w:rsidR="00400E50" w:rsidRPr="00870587">
        <w:rPr>
          <w:sz w:val="24"/>
          <w:szCs w:val="24"/>
        </w:rPr>
        <w:t>BHP</w:t>
      </w:r>
      <w:proofErr w:type="gramEnd"/>
      <w:r w:rsidR="00400E50" w:rsidRPr="00870587">
        <w:rPr>
          <w:sz w:val="24"/>
          <w:szCs w:val="24"/>
        </w:rPr>
        <w:t xml:space="preserve"> and </w:t>
      </w:r>
      <w:proofErr w:type="spellStart"/>
      <w:r w:rsidR="00400E50" w:rsidRPr="00870587">
        <w:rPr>
          <w:sz w:val="24"/>
          <w:szCs w:val="24"/>
        </w:rPr>
        <w:t>Heathgate</w:t>
      </w:r>
      <w:proofErr w:type="spellEnd"/>
      <w:r w:rsidR="00400E50" w:rsidRPr="00870587">
        <w:rPr>
          <w:sz w:val="24"/>
          <w:szCs w:val="24"/>
        </w:rPr>
        <w:t xml:space="preserve"> Resources,</w:t>
      </w:r>
      <w:r w:rsidRPr="00870587">
        <w:rPr>
          <w:sz w:val="24"/>
          <w:szCs w:val="24"/>
        </w:rPr>
        <w:t xml:space="preserve"> have been consulted on the </w:t>
      </w:r>
      <w:r w:rsidRPr="00870587">
        <w:rPr>
          <w:sz w:val="24"/>
          <w:szCs w:val="24"/>
        </w:rPr>
        <w:lastRenderedPageBreak/>
        <w:t>change to the uranium producers charge rate and were provided with an opportunity to comment</w:t>
      </w:r>
      <w:r w:rsidR="00400E50" w:rsidRPr="00870587">
        <w:rPr>
          <w:sz w:val="24"/>
          <w:szCs w:val="24"/>
        </w:rPr>
        <w:t>, and neither had any objection</w:t>
      </w:r>
      <w:r w:rsidRPr="00870587">
        <w:rPr>
          <w:sz w:val="24"/>
          <w:szCs w:val="24"/>
        </w:rPr>
        <w:t>.</w:t>
      </w:r>
    </w:p>
    <w:p w14:paraId="4A2D869D" w14:textId="77777777" w:rsidR="007269A6" w:rsidRPr="00870587" w:rsidRDefault="007269A6" w:rsidP="007269A6">
      <w:pPr>
        <w:jc w:val="both"/>
        <w:rPr>
          <w:sz w:val="24"/>
          <w:szCs w:val="24"/>
        </w:rPr>
      </w:pPr>
    </w:p>
    <w:p w14:paraId="4F921BFC" w14:textId="77777777" w:rsidR="007269A6" w:rsidRPr="00870587" w:rsidRDefault="007269A6" w:rsidP="007269A6">
      <w:pPr>
        <w:jc w:val="both"/>
        <w:rPr>
          <w:sz w:val="24"/>
          <w:szCs w:val="24"/>
        </w:rPr>
      </w:pPr>
      <w:r w:rsidRPr="00870587">
        <w:rPr>
          <w:sz w:val="24"/>
          <w:szCs w:val="24"/>
        </w:rPr>
        <w:t xml:space="preserve">The Regulation commenced on the day after registration and is a legislative instrument for the purposes of the </w:t>
      </w:r>
      <w:r w:rsidRPr="00870587">
        <w:rPr>
          <w:i/>
          <w:iCs/>
          <w:sz w:val="24"/>
          <w:szCs w:val="24"/>
        </w:rPr>
        <w:t>Legislation Act 2003</w:t>
      </w:r>
      <w:r w:rsidRPr="00870587">
        <w:rPr>
          <w:sz w:val="24"/>
          <w:szCs w:val="24"/>
        </w:rPr>
        <w:t>.</w:t>
      </w:r>
    </w:p>
    <w:p w14:paraId="3348826A" w14:textId="77777777" w:rsidR="007269A6" w:rsidRPr="00870587" w:rsidRDefault="007269A6" w:rsidP="007269A6">
      <w:pPr>
        <w:spacing w:after="120"/>
        <w:jc w:val="both"/>
        <w:rPr>
          <w:sz w:val="24"/>
          <w:szCs w:val="24"/>
        </w:rPr>
      </w:pPr>
    </w:p>
    <w:p w14:paraId="361C3CD3" w14:textId="250410DB" w:rsidR="00156765" w:rsidRPr="00870587" w:rsidRDefault="008418FB" w:rsidP="00156765">
      <w:pPr>
        <w:jc w:val="center"/>
        <w:rPr>
          <w:b/>
          <w:sz w:val="24"/>
          <w:szCs w:val="24"/>
          <w:lang w:eastAsia="en-US"/>
        </w:rPr>
      </w:pPr>
      <w:r w:rsidRPr="00870587">
        <w:rPr>
          <w:sz w:val="24"/>
          <w:szCs w:val="24"/>
        </w:rPr>
        <w:br w:type="page"/>
      </w:r>
      <w:r w:rsidR="00156765" w:rsidRPr="00870587">
        <w:rPr>
          <w:b/>
          <w:sz w:val="24"/>
          <w:szCs w:val="24"/>
        </w:rPr>
        <w:lastRenderedPageBreak/>
        <w:t>Statement of Compatibility with Human Rights</w:t>
      </w:r>
    </w:p>
    <w:p w14:paraId="745646F6" w14:textId="77777777" w:rsidR="00156765" w:rsidRPr="00870587" w:rsidRDefault="00156765" w:rsidP="00156765">
      <w:pPr>
        <w:jc w:val="center"/>
        <w:rPr>
          <w:sz w:val="24"/>
          <w:szCs w:val="24"/>
        </w:rPr>
      </w:pPr>
    </w:p>
    <w:p w14:paraId="2CED432E" w14:textId="77777777" w:rsidR="00156765" w:rsidRPr="00870587" w:rsidRDefault="00156765" w:rsidP="00156765">
      <w:pPr>
        <w:jc w:val="center"/>
        <w:rPr>
          <w:i/>
          <w:sz w:val="24"/>
          <w:szCs w:val="24"/>
        </w:rPr>
      </w:pPr>
      <w:r w:rsidRPr="00870587">
        <w:rPr>
          <w:sz w:val="24"/>
          <w:szCs w:val="24"/>
        </w:rPr>
        <w:t xml:space="preserve">Prepared in accordance with subsection 9(1) and 9(2) of the </w:t>
      </w:r>
      <w:r w:rsidRPr="00870587">
        <w:rPr>
          <w:i/>
          <w:sz w:val="24"/>
          <w:szCs w:val="24"/>
        </w:rPr>
        <w:t>Human Rights</w:t>
      </w:r>
      <w:r w:rsidRPr="00870587">
        <w:rPr>
          <w:i/>
          <w:sz w:val="24"/>
          <w:szCs w:val="24"/>
        </w:rPr>
        <w:br/>
        <w:t>(Parliamentary Scrutiny) Act 2011</w:t>
      </w:r>
    </w:p>
    <w:p w14:paraId="25370046" w14:textId="77777777" w:rsidR="00156765" w:rsidRPr="00870587" w:rsidRDefault="00156765" w:rsidP="00156765">
      <w:pPr>
        <w:jc w:val="both"/>
        <w:rPr>
          <w:sz w:val="24"/>
          <w:szCs w:val="24"/>
        </w:rPr>
      </w:pPr>
    </w:p>
    <w:p w14:paraId="4A12389F" w14:textId="77777777" w:rsidR="00156765" w:rsidRPr="00870587" w:rsidRDefault="00156765" w:rsidP="00156765">
      <w:pPr>
        <w:jc w:val="both"/>
        <w:rPr>
          <w:sz w:val="24"/>
          <w:szCs w:val="24"/>
        </w:rPr>
      </w:pPr>
      <w:r w:rsidRPr="00870587">
        <w:rPr>
          <w:b/>
          <w:bCs/>
          <w:sz w:val="24"/>
          <w:szCs w:val="24"/>
        </w:rPr>
        <w:t>Overview</w:t>
      </w:r>
    </w:p>
    <w:p w14:paraId="381318A2" w14:textId="77777777" w:rsidR="00156765" w:rsidRPr="00870587" w:rsidRDefault="00156765" w:rsidP="00156765">
      <w:pPr>
        <w:jc w:val="both"/>
        <w:rPr>
          <w:sz w:val="24"/>
          <w:szCs w:val="24"/>
        </w:rPr>
      </w:pPr>
    </w:p>
    <w:p w14:paraId="4FA4D5C5" w14:textId="77777777" w:rsidR="00156765" w:rsidRPr="00870587" w:rsidRDefault="00156765" w:rsidP="00156765">
      <w:pPr>
        <w:rPr>
          <w:i/>
          <w:sz w:val="24"/>
          <w:szCs w:val="24"/>
          <w:lang w:eastAsia="en-US"/>
        </w:rPr>
      </w:pPr>
      <w:r w:rsidRPr="00870587">
        <w:rPr>
          <w:sz w:val="24"/>
          <w:szCs w:val="24"/>
        </w:rPr>
        <w:t>This Legislative Instrument is compatible with the human rights and freedoms recognised or declared in the international instruments listed in section 3 of the</w:t>
      </w:r>
      <w:r w:rsidRPr="00870587">
        <w:rPr>
          <w:i/>
          <w:sz w:val="24"/>
          <w:szCs w:val="24"/>
        </w:rPr>
        <w:t xml:space="preserve"> Human Rights (Parliamentary Scrutiny) Act 2011.</w:t>
      </w:r>
    </w:p>
    <w:p w14:paraId="01A9B505" w14:textId="77777777" w:rsidR="00156765" w:rsidRPr="00870587" w:rsidRDefault="00156765" w:rsidP="00156765">
      <w:pPr>
        <w:jc w:val="both"/>
        <w:rPr>
          <w:sz w:val="24"/>
          <w:szCs w:val="24"/>
        </w:rPr>
      </w:pPr>
    </w:p>
    <w:p w14:paraId="66923B1C" w14:textId="77777777" w:rsidR="00156765" w:rsidRPr="00870587" w:rsidRDefault="00156765" w:rsidP="00156765">
      <w:pPr>
        <w:rPr>
          <w:sz w:val="24"/>
        </w:rPr>
      </w:pPr>
      <w:r w:rsidRPr="00870587">
        <w:rPr>
          <w:sz w:val="24"/>
        </w:rPr>
        <w:t xml:space="preserve">The </w:t>
      </w:r>
      <w:r w:rsidRPr="00870587">
        <w:rPr>
          <w:i/>
          <w:iCs/>
          <w:sz w:val="24"/>
        </w:rPr>
        <w:t>Nuclear Non-Proliferation (Safeguards) Amendment Regulations 2023</w:t>
      </w:r>
      <w:r w:rsidRPr="00870587">
        <w:rPr>
          <w:sz w:val="24"/>
        </w:rPr>
        <w:t xml:space="preserve"> (the Regulations) amend the </w:t>
      </w:r>
      <w:r w:rsidRPr="00870587">
        <w:rPr>
          <w:i/>
          <w:iCs/>
          <w:sz w:val="24"/>
        </w:rPr>
        <w:t>Nuclear Non-Proliferation (Safeguards) Regulations 1987</w:t>
      </w:r>
      <w:r w:rsidRPr="00870587">
        <w:rPr>
          <w:sz w:val="24"/>
        </w:rPr>
        <w:t xml:space="preserve"> (Principal Regulations) by a</w:t>
      </w:r>
      <w:r w:rsidRPr="00870587">
        <w:rPr>
          <w:sz w:val="24"/>
          <w:lang w:eastAsia="en-AU"/>
        </w:rPr>
        <w:t>mending the charge rate used to determine the charge imposed on Australian producers of uranium ore concentrate for the cost of safeguards and security activities undertaken by the Australian Safeguards and Non-Proliferation Office (ASNO), in line with the Australian Government’s Charging Framework policy.</w:t>
      </w:r>
    </w:p>
    <w:p w14:paraId="12F28727" w14:textId="77777777" w:rsidR="00156765" w:rsidRPr="00870587" w:rsidRDefault="00156765" w:rsidP="00A77B9D">
      <w:pPr>
        <w:contextualSpacing/>
        <w:rPr>
          <w:sz w:val="24"/>
        </w:rPr>
      </w:pPr>
    </w:p>
    <w:p w14:paraId="7D37AA46" w14:textId="77777777" w:rsidR="00156765" w:rsidRPr="00870587" w:rsidRDefault="00156765" w:rsidP="00156765">
      <w:pPr>
        <w:contextualSpacing/>
        <w:rPr>
          <w:sz w:val="24"/>
        </w:rPr>
      </w:pPr>
      <w:r w:rsidRPr="00870587">
        <w:rPr>
          <w:sz w:val="24"/>
        </w:rPr>
        <w:t xml:space="preserve">The </w:t>
      </w:r>
      <w:r w:rsidRPr="00870587">
        <w:rPr>
          <w:i/>
          <w:sz w:val="24"/>
        </w:rPr>
        <w:t>Nuclear Safeguards (Producers of Uranium Ore Concentrates) Charge Act 1993</w:t>
      </w:r>
      <w:r w:rsidRPr="00870587">
        <w:rPr>
          <w:sz w:val="24"/>
        </w:rPr>
        <w:t xml:space="preserve"> imposes a charge on producers of uranium ore concentrates under certain circumstances. Section 69A of the </w:t>
      </w:r>
      <w:r w:rsidRPr="00870587">
        <w:rPr>
          <w:i/>
          <w:iCs/>
          <w:sz w:val="24"/>
          <w:lang w:eastAsia="en-AU"/>
        </w:rPr>
        <w:t>Nuclear Non-Proliferation (Safeguards) Act 1987</w:t>
      </w:r>
      <w:r w:rsidRPr="00870587">
        <w:rPr>
          <w:sz w:val="24"/>
          <w:lang w:eastAsia="en-AU"/>
        </w:rPr>
        <w:t xml:space="preserve"> </w:t>
      </w:r>
      <w:r w:rsidRPr="00870587">
        <w:rPr>
          <w:sz w:val="24"/>
        </w:rPr>
        <w:t>specifies that the charge is payable on 1 December each year and that the amount of the charge payable by a producer is the lesser of $500,000 or an amount prescribed by the Principal Regulations, expressed as a charge rate in cents per kilogram of uranium in the uranium ore concentrates produced by the person in the previous financial year.</w:t>
      </w:r>
    </w:p>
    <w:p w14:paraId="5B8C27BA" w14:textId="77777777" w:rsidR="00156765" w:rsidRPr="00870587" w:rsidRDefault="00156765" w:rsidP="00A77B9D">
      <w:pPr>
        <w:rPr>
          <w:sz w:val="24"/>
        </w:rPr>
      </w:pPr>
    </w:p>
    <w:p w14:paraId="2ADD04C8" w14:textId="77777777" w:rsidR="00156765" w:rsidRPr="00870587" w:rsidRDefault="00156765" w:rsidP="00156765">
      <w:pPr>
        <w:rPr>
          <w:sz w:val="24"/>
          <w:lang w:eastAsia="en-AU"/>
        </w:rPr>
      </w:pPr>
      <w:r w:rsidRPr="00870587">
        <w:rPr>
          <w:sz w:val="24"/>
          <w:lang w:eastAsia="en-AU"/>
        </w:rPr>
        <w:t xml:space="preserve">The </w:t>
      </w:r>
      <w:r w:rsidRPr="00870587">
        <w:rPr>
          <w:sz w:val="24"/>
        </w:rPr>
        <w:t xml:space="preserve">Regulations </w:t>
      </w:r>
      <w:r w:rsidRPr="00870587">
        <w:rPr>
          <w:sz w:val="24"/>
          <w:lang w:eastAsia="en-AU"/>
        </w:rPr>
        <w:t xml:space="preserve">amend the charge rate to 15.1953 </w:t>
      </w:r>
      <w:r w:rsidRPr="00870587">
        <w:rPr>
          <w:sz w:val="24"/>
        </w:rPr>
        <w:t>cents per kilogram of uranium in the uranium ore concentrates produced</w:t>
      </w:r>
      <w:r w:rsidRPr="00870587">
        <w:rPr>
          <w:sz w:val="24"/>
          <w:lang w:eastAsia="en-AU"/>
        </w:rPr>
        <w:t>. The charge rate reflects actual costs in the previous financial year (2022-23) of relevant safeguards and security activity by ASNO, and the total production and export of Australian uranium ore concentrate. The charge is payable in the 2023-24 financial year and later financial years.</w:t>
      </w:r>
    </w:p>
    <w:p w14:paraId="7C0D29F2" w14:textId="77777777" w:rsidR="00156765" w:rsidRPr="00870587" w:rsidRDefault="00156765" w:rsidP="00156765">
      <w:pPr>
        <w:jc w:val="both"/>
        <w:rPr>
          <w:sz w:val="24"/>
          <w:szCs w:val="24"/>
        </w:rPr>
      </w:pPr>
    </w:p>
    <w:p w14:paraId="200F1916" w14:textId="77777777" w:rsidR="00156765" w:rsidRPr="00870587" w:rsidRDefault="00156765" w:rsidP="00156765">
      <w:pPr>
        <w:jc w:val="both"/>
        <w:rPr>
          <w:b/>
          <w:bCs/>
          <w:sz w:val="24"/>
          <w:szCs w:val="24"/>
        </w:rPr>
      </w:pPr>
      <w:r w:rsidRPr="00870587">
        <w:rPr>
          <w:b/>
          <w:bCs/>
          <w:sz w:val="24"/>
          <w:szCs w:val="24"/>
        </w:rPr>
        <w:t>Human Rights Implications</w:t>
      </w:r>
    </w:p>
    <w:p w14:paraId="7E421151" w14:textId="77777777" w:rsidR="00156765" w:rsidRPr="00870587" w:rsidRDefault="00156765" w:rsidP="00156765">
      <w:pPr>
        <w:jc w:val="both"/>
        <w:rPr>
          <w:b/>
          <w:bCs/>
          <w:sz w:val="24"/>
          <w:szCs w:val="24"/>
        </w:rPr>
      </w:pPr>
    </w:p>
    <w:p w14:paraId="479F56B2" w14:textId="77777777" w:rsidR="00156765" w:rsidRPr="00870587" w:rsidRDefault="00156765" w:rsidP="00156765">
      <w:pPr>
        <w:jc w:val="both"/>
        <w:rPr>
          <w:sz w:val="24"/>
          <w:szCs w:val="24"/>
        </w:rPr>
      </w:pPr>
      <w:r w:rsidRPr="00870587">
        <w:rPr>
          <w:sz w:val="24"/>
          <w:szCs w:val="24"/>
        </w:rPr>
        <w:t xml:space="preserve">This Legislative Instrument does not engage any of the applicable rights or freedoms described in the </w:t>
      </w:r>
      <w:r w:rsidRPr="00870587">
        <w:rPr>
          <w:i/>
          <w:sz w:val="24"/>
          <w:szCs w:val="24"/>
        </w:rPr>
        <w:t>Human Rights (Parliamentary Scrutiny) Act 2011</w:t>
      </w:r>
      <w:r w:rsidRPr="00870587">
        <w:rPr>
          <w:sz w:val="24"/>
          <w:szCs w:val="24"/>
        </w:rPr>
        <w:t xml:space="preserve">. </w:t>
      </w:r>
    </w:p>
    <w:p w14:paraId="46CDD7AF" w14:textId="77777777" w:rsidR="00156765" w:rsidRPr="00870587" w:rsidRDefault="00156765" w:rsidP="00156765">
      <w:pPr>
        <w:jc w:val="both"/>
        <w:rPr>
          <w:sz w:val="24"/>
          <w:szCs w:val="24"/>
        </w:rPr>
      </w:pPr>
    </w:p>
    <w:p w14:paraId="61D8396D" w14:textId="77777777" w:rsidR="00156765" w:rsidRPr="00870587" w:rsidRDefault="00156765" w:rsidP="00156765">
      <w:pPr>
        <w:rPr>
          <w:b/>
          <w:sz w:val="24"/>
          <w:szCs w:val="24"/>
          <w:lang w:eastAsia="en-US"/>
        </w:rPr>
      </w:pPr>
      <w:r w:rsidRPr="00870587">
        <w:rPr>
          <w:b/>
          <w:sz w:val="24"/>
          <w:szCs w:val="24"/>
        </w:rPr>
        <w:t>Conclusion</w:t>
      </w:r>
    </w:p>
    <w:p w14:paraId="3F1FF72B" w14:textId="77777777" w:rsidR="00156765" w:rsidRPr="00870587" w:rsidRDefault="00156765" w:rsidP="00156765">
      <w:pPr>
        <w:rPr>
          <w:sz w:val="24"/>
          <w:szCs w:val="24"/>
        </w:rPr>
      </w:pPr>
    </w:p>
    <w:p w14:paraId="485A0E07" w14:textId="77777777" w:rsidR="00156765" w:rsidRPr="00870587" w:rsidRDefault="00156765" w:rsidP="00156765">
      <w:pPr>
        <w:rPr>
          <w:b/>
          <w:sz w:val="24"/>
          <w:szCs w:val="24"/>
        </w:rPr>
      </w:pPr>
      <w:r w:rsidRPr="00870587">
        <w:rPr>
          <w:sz w:val="24"/>
          <w:szCs w:val="24"/>
        </w:rPr>
        <w:t xml:space="preserve">The Legislative Instrument is compatible with human rights as it does not raise any human rights issues.  </w:t>
      </w:r>
    </w:p>
    <w:p w14:paraId="7FBFFD9C" w14:textId="41D9017A" w:rsidR="00FD6970" w:rsidRPr="00870587" w:rsidRDefault="00FD6970">
      <w:pPr>
        <w:spacing w:after="160" w:line="259" w:lineRule="auto"/>
        <w:rPr>
          <w:sz w:val="24"/>
          <w:szCs w:val="24"/>
        </w:rPr>
      </w:pPr>
    </w:p>
    <w:p w14:paraId="0BF0A379" w14:textId="3D1A0C1E" w:rsidR="002A46AA" w:rsidRPr="00870587" w:rsidRDefault="002A46AA">
      <w:pPr>
        <w:spacing w:after="160" w:line="259" w:lineRule="auto"/>
        <w:rPr>
          <w:sz w:val="24"/>
          <w:szCs w:val="24"/>
        </w:rPr>
      </w:pPr>
      <w:r w:rsidRPr="00870587">
        <w:rPr>
          <w:sz w:val="24"/>
          <w:szCs w:val="24"/>
        </w:rPr>
        <w:br w:type="page"/>
      </w:r>
    </w:p>
    <w:p w14:paraId="2F2BF7D7" w14:textId="77777777" w:rsidR="003E3924" w:rsidRPr="00870587" w:rsidRDefault="003E3924" w:rsidP="003E3924">
      <w:pPr>
        <w:tabs>
          <w:tab w:val="left" w:pos="3686"/>
          <w:tab w:val="left" w:pos="5103"/>
        </w:tabs>
        <w:spacing w:after="120" w:line="264" w:lineRule="auto"/>
        <w:ind w:left="5387"/>
        <w:contextualSpacing/>
        <w:jc w:val="right"/>
        <w:rPr>
          <w:rFonts w:asciiTheme="minorHAnsi" w:eastAsiaTheme="minorHAnsi" w:hAnsiTheme="minorHAnsi" w:cstheme="minorBidi"/>
          <w:b/>
          <w:color w:val="262626" w:themeColor="text1" w:themeTint="D9"/>
          <w:sz w:val="24"/>
          <w:szCs w:val="24"/>
          <w:u w:val="single"/>
          <w:lang w:eastAsia="en-US"/>
        </w:rPr>
      </w:pPr>
      <w:r w:rsidRPr="00870587">
        <w:rPr>
          <w:rFonts w:asciiTheme="minorHAnsi" w:eastAsiaTheme="minorHAnsi" w:hAnsiTheme="minorHAnsi" w:cstheme="minorBidi"/>
          <w:b/>
          <w:color w:val="262626" w:themeColor="text1" w:themeTint="D9"/>
          <w:sz w:val="24"/>
          <w:szCs w:val="24"/>
          <w:u w:val="single"/>
          <w:lang w:eastAsia="en-US"/>
        </w:rPr>
        <w:lastRenderedPageBreak/>
        <w:t>ATTACHMENT</w:t>
      </w:r>
    </w:p>
    <w:p w14:paraId="3CC9240F" w14:textId="77777777" w:rsidR="008418FB" w:rsidRPr="00870587" w:rsidRDefault="008418FB" w:rsidP="008418FB">
      <w:pPr>
        <w:spacing w:after="120"/>
        <w:jc w:val="both"/>
        <w:rPr>
          <w:sz w:val="24"/>
          <w:szCs w:val="24"/>
        </w:rPr>
      </w:pPr>
    </w:p>
    <w:p w14:paraId="2DD3629A" w14:textId="0E9C8627" w:rsidR="00A319A1" w:rsidRPr="00870587" w:rsidRDefault="00A319A1" w:rsidP="00A319A1">
      <w:pPr>
        <w:tabs>
          <w:tab w:val="left" w:pos="3686"/>
          <w:tab w:val="left" w:pos="5103"/>
        </w:tabs>
        <w:spacing w:after="120" w:line="264" w:lineRule="auto"/>
        <w:contextualSpacing/>
        <w:jc w:val="both"/>
        <w:rPr>
          <w:rFonts w:asciiTheme="minorHAnsi" w:eastAsiaTheme="minorHAnsi" w:hAnsiTheme="minorHAnsi" w:cstheme="minorBidi"/>
          <w:b/>
          <w:i/>
          <w:color w:val="262626" w:themeColor="text1" w:themeTint="D9"/>
          <w:sz w:val="24"/>
          <w:szCs w:val="24"/>
          <w:u w:val="single"/>
          <w:lang w:eastAsia="en-US"/>
        </w:rPr>
      </w:pPr>
      <w:r w:rsidRPr="00870587">
        <w:rPr>
          <w:b/>
          <w:sz w:val="24"/>
          <w:szCs w:val="24"/>
          <w:u w:val="single"/>
        </w:rPr>
        <w:t>Details of the</w:t>
      </w:r>
      <w:r w:rsidRPr="00870587">
        <w:rPr>
          <w:rFonts w:asciiTheme="minorHAnsi" w:eastAsiaTheme="minorHAnsi" w:hAnsiTheme="minorHAnsi" w:cstheme="minorBidi"/>
          <w:b/>
          <w:color w:val="262626" w:themeColor="text1" w:themeTint="D9"/>
          <w:sz w:val="24"/>
          <w:szCs w:val="24"/>
          <w:u w:val="single"/>
          <w:lang w:eastAsia="en-US"/>
        </w:rPr>
        <w:t xml:space="preserve"> </w:t>
      </w:r>
      <w:r w:rsidRPr="00870587">
        <w:rPr>
          <w:b/>
          <w:i/>
          <w:sz w:val="24"/>
          <w:szCs w:val="24"/>
          <w:u w:val="single"/>
        </w:rPr>
        <w:t>Nuclear Non-Proliferation (Safeguards) Amendment Regulations 2023</w:t>
      </w:r>
    </w:p>
    <w:p w14:paraId="4315FE31" w14:textId="77777777" w:rsidR="008418FB" w:rsidRPr="00870587" w:rsidRDefault="008418FB" w:rsidP="008418FB">
      <w:pPr>
        <w:spacing w:after="120"/>
        <w:jc w:val="both"/>
        <w:rPr>
          <w:sz w:val="24"/>
          <w:szCs w:val="24"/>
        </w:rPr>
      </w:pPr>
    </w:p>
    <w:p w14:paraId="01549BB5" w14:textId="77777777" w:rsidR="004D72B8" w:rsidRPr="00870587" w:rsidRDefault="004D72B8" w:rsidP="004D72B8">
      <w:pPr>
        <w:tabs>
          <w:tab w:val="left" w:pos="3686"/>
          <w:tab w:val="left" w:pos="5103"/>
        </w:tabs>
        <w:spacing w:after="120" w:line="264" w:lineRule="auto"/>
        <w:jc w:val="both"/>
        <w:rPr>
          <w:sz w:val="24"/>
          <w:lang w:eastAsia="en-AU"/>
        </w:rPr>
      </w:pPr>
      <w:r w:rsidRPr="00870587">
        <w:rPr>
          <w:sz w:val="24"/>
          <w:lang w:eastAsia="en-AU"/>
        </w:rPr>
        <w:t>Section 1 - Name of the Regulations</w:t>
      </w:r>
    </w:p>
    <w:p w14:paraId="25E631E4" w14:textId="525166B8" w:rsidR="004D72B8" w:rsidRPr="00870587" w:rsidRDefault="004D72B8" w:rsidP="00376C28">
      <w:pPr>
        <w:tabs>
          <w:tab w:val="right" w:pos="1021"/>
        </w:tabs>
        <w:spacing w:before="180"/>
        <w:rPr>
          <w:sz w:val="24"/>
          <w:lang w:eastAsia="en-AU"/>
        </w:rPr>
      </w:pPr>
      <w:r w:rsidRPr="00870587">
        <w:rPr>
          <w:sz w:val="24"/>
          <w:lang w:eastAsia="en-AU"/>
        </w:rPr>
        <w:t>This section provide</w:t>
      </w:r>
      <w:r w:rsidR="009612E2" w:rsidRPr="00870587">
        <w:rPr>
          <w:sz w:val="24"/>
          <w:lang w:eastAsia="en-AU"/>
        </w:rPr>
        <w:t>d</w:t>
      </w:r>
      <w:r w:rsidRPr="00870587">
        <w:rPr>
          <w:sz w:val="24"/>
          <w:lang w:eastAsia="en-AU"/>
        </w:rPr>
        <w:t xml:space="preserve"> that the title of the Regulation</w:t>
      </w:r>
      <w:r w:rsidR="00376C28" w:rsidRPr="00870587">
        <w:rPr>
          <w:sz w:val="24"/>
          <w:lang w:eastAsia="en-AU"/>
        </w:rPr>
        <w:t>s</w:t>
      </w:r>
      <w:r w:rsidRPr="00870587">
        <w:rPr>
          <w:sz w:val="24"/>
          <w:lang w:eastAsia="en-AU"/>
        </w:rPr>
        <w:t xml:space="preserve"> is the </w:t>
      </w:r>
      <w:r w:rsidRPr="00870587">
        <w:rPr>
          <w:i/>
          <w:iCs/>
          <w:sz w:val="24"/>
          <w:lang w:eastAsia="en-AU"/>
        </w:rPr>
        <w:t>Nuclear Non-Proliferation</w:t>
      </w:r>
      <w:r w:rsidR="00376C28" w:rsidRPr="00870587">
        <w:rPr>
          <w:i/>
          <w:iCs/>
          <w:sz w:val="24"/>
          <w:lang w:eastAsia="en-AU"/>
        </w:rPr>
        <w:t xml:space="preserve"> </w:t>
      </w:r>
      <w:r w:rsidRPr="00870587">
        <w:rPr>
          <w:i/>
          <w:iCs/>
          <w:sz w:val="24"/>
          <w:lang w:eastAsia="en-AU"/>
        </w:rPr>
        <w:t>(Safeguards) Amendment Regulations 2023</w:t>
      </w:r>
      <w:r w:rsidRPr="00870587">
        <w:rPr>
          <w:sz w:val="24"/>
          <w:lang w:eastAsia="en-AU"/>
        </w:rPr>
        <w:t>.</w:t>
      </w:r>
    </w:p>
    <w:p w14:paraId="0B14C815" w14:textId="77777777" w:rsidR="004D72B8" w:rsidRPr="00870587" w:rsidRDefault="004D72B8" w:rsidP="004D72B8">
      <w:pPr>
        <w:tabs>
          <w:tab w:val="right" w:pos="1021"/>
        </w:tabs>
        <w:spacing w:before="180"/>
        <w:ind w:left="1134" w:hanging="1134"/>
        <w:rPr>
          <w:sz w:val="24"/>
          <w:lang w:eastAsia="en-AU"/>
        </w:rPr>
      </w:pPr>
    </w:p>
    <w:p w14:paraId="374C7AD9" w14:textId="77777777" w:rsidR="004D72B8" w:rsidRPr="00870587" w:rsidRDefault="004D72B8" w:rsidP="004D72B8">
      <w:pPr>
        <w:tabs>
          <w:tab w:val="left" w:pos="3686"/>
          <w:tab w:val="left" w:pos="5103"/>
        </w:tabs>
        <w:spacing w:after="120" w:line="264" w:lineRule="auto"/>
        <w:jc w:val="both"/>
        <w:rPr>
          <w:sz w:val="24"/>
          <w:lang w:eastAsia="en-AU"/>
        </w:rPr>
      </w:pPr>
      <w:bookmarkStart w:id="1" w:name="_Toc113526455"/>
      <w:r w:rsidRPr="00870587">
        <w:rPr>
          <w:sz w:val="24"/>
          <w:lang w:eastAsia="en-AU"/>
        </w:rPr>
        <w:t xml:space="preserve">Section 2 - Commencement </w:t>
      </w:r>
      <w:bookmarkEnd w:id="1"/>
    </w:p>
    <w:p w14:paraId="0C11B548" w14:textId="6AB62309" w:rsidR="004D72B8" w:rsidRPr="00870587" w:rsidRDefault="004D72B8" w:rsidP="00F20DE5">
      <w:pPr>
        <w:tabs>
          <w:tab w:val="right" w:pos="1021"/>
        </w:tabs>
        <w:spacing w:before="180"/>
        <w:rPr>
          <w:sz w:val="24"/>
          <w:lang w:eastAsia="en-AU"/>
        </w:rPr>
      </w:pPr>
      <w:r w:rsidRPr="00870587">
        <w:rPr>
          <w:sz w:val="24"/>
          <w:lang w:eastAsia="en-AU"/>
        </w:rPr>
        <w:t>This section provide</w:t>
      </w:r>
      <w:r w:rsidR="009612E2" w:rsidRPr="00870587">
        <w:rPr>
          <w:sz w:val="24"/>
          <w:lang w:eastAsia="en-AU"/>
        </w:rPr>
        <w:t>d</w:t>
      </w:r>
      <w:r w:rsidRPr="00870587">
        <w:rPr>
          <w:sz w:val="24"/>
          <w:lang w:eastAsia="en-AU"/>
        </w:rPr>
        <w:t xml:space="preserve"> for the Regulations to commence on the day after the instrument is registered. </w:t>
      </w:r>
    </w:p>
    <w:p w14:paraId="1E64503E" w14:textId="77777777" w:rsidR="004D72B8" w:rsidRPr="00870587" w:rsidRDefault="004D72B8" w:rsidP="004D72B8">
      <w:pPr>
        <w:tabs>
          <w:tab w:val="right" w:pos="1021"/>
        </w:tabs>
        <w:spacing w:before="180"/>
        <w:ind w:left="1134" w:hanging="1134"/>
        <w:rPr>
          <w:sz w:val="24"/>
          <w:lang w:eastAsia="en-AU"/>
        </w:rPr>
      </w:pPr>
    </w:p>
    <w:p w14:paraId="09672023" w14:textId="77777777" w:rsidR="004D72B8" w:rsidRPr="00870587" w:rsidRDefault="004D72B8" w:rsidP="004D72B8">
      <w:pPr>
        <w:tabs>
          <w:tab w:val="left" w:pos="3686"/>
          <w:tab w:val="left" w:pos="5103"/>
        </w:tabs>
        <w:spacing w:after="120" w:line="264" w:lineRule="auto"/>
        <w:jc w:val="both"/>
        <w:rPr>
          <w:sz w:val="24"/>
          <w:lang w:eastAsia="en-AU"/>
        </w:rPr>
      </w:pPr>
      <w:bookmarkStart w:id="2" w:name="_Toc526255871"/>
      <w:r w:rsidRPr="00870587">
        <w:rPr>
          <w:sz w:val="24"/>
          <w:lang w:eastAsia="en-AU"/>
        </w:rPr>
        <w:t>Section 3 - Authority</w:t>
      </w:r>
      <w:bookmarkEnd w:id="2"/>
    </w:p>
    <w:p w14:paraId="54488860" w14:textId="460C8C57" w:rsidR="004D72B8" w:rsidRPr="00870587" w:rsidRDefault="004D72B8" w:rsidP="00F20DE5">
      <w:pPr>
        <w:tabs>
          <w:tab w:val="right" w:pos="1021"/>
        </w:tabs>
        <w:spacing w:before="180"/>
        <w:rPr>
          <w:i/>
          <w:iCs/>
          <w:sz w:val="24"/>
          <w:lang w:eastAsia="en-AU"/>
        </w:rPr>
      </w:pPr>
      <w:r w:rsidRPr="00870587">
        <w:rPr>
          <w:sz w:val="24"/>
          <w:lang w:eastAsia="en-AU"/>
        </w:rPr>
        <w:t>This section provide</w:t>
      </w:r>
      <w:r w:rsidR="009612E2" w:rsidRPr="00870587">
        <w:rPr>
          <w:sz w:val="24"/>
          <w:lang w:eastAsia="en-AU"/>
        </w:rPr>
        <w:t>d</w:t>
      </w:r>
      <w:r w:rsidRPr="00870587">
        <w:rPr>
          <w:sz w:val="24"/>
          <w:lang w:eastAsia="en-AU"/>
        </w:rPr>
        <w:t xml:space="preserve"> that the</w:t>
      </w:r>
      <w:r w:rsidRPr="00870587">
        <w:rPr>
          <w:sz w:val="22"/>
          <w:lang w:eastAsia="en-AU"/>
        </w:rPr>
        <w:t xml:space="preserve"> </w:t>
      </w:r>
      <w:r w:rsidRPr="00870587">
        <w:rPr>
          <w:i/>
          <w:iCs/>
          <w:sz w:val="24"/>
          <w:lang w:eastAsia="en-AU"/>
        </w:rPr>
        <w:t>Nuclear Non-Proliferation (Safeguards) Amendment Regulations 2023</w:t>
      </w:r>
      <w:r w:rsidRPr="00870587">
        <w:rPr>
          <w:sz w:val="24"/>
          <w:lang w:eastAsia="en-AU"/>
        </w:rPr>
        <w:t xml:space="preserve"> </w:t>
      </w:r>
      <w:r w:rsidR="005E0B79" w:rsidRPr="00870587">
        <w:rPr>
          <w:sz w:val="24"/>
          <w:lang w:eastAsia="en-AU"/>
        </w:rPr>
        <w:t>wa</w:t>
      </w:r>
      <w:r w:rsidRPr="00870587">
        <w:rPr>
          <w:sz w:val="24"/>
          <w:lang w:eastAsia="en-AU"/>
        </w:rPr>
        <w:t xml:space="preserve">s made under the </w:t>
      </w:r>
      <w:r w:rsidRPr="00870587">
        <w:rPr>
          <w:i/>
          <w:iCs/>
          <w:sz w:val="24"/>
          <w:lang w:eastAsia="en-AU"/>
        </w:rPr>
        <w:t>Nuclear Non</w:t>
      </w:r>
      <w:r w:rsidRPr="00870587">
        <w:rPr>
          <w:i/>
          <w:iCs/>
          <w:sz w:val="24"/>
          <w:lang w:eastAsia="en-AU"/>
        </w:rPr>
        <w:noBreakHyphen/>
        <w:t>Proliferation (Safeguards) Act 1987.</w:t>
      </w:r>
    </w:p>
    <w:p w14:paraId="7DA4A469" w14:textId="77777777" w:rsidR="004D72B8" w:rsidRPr="00870587" w:rsidRDefault="004D72B8" w:rsidP="004D72B8">
      <w:pPr>
        <w:tabs>
          <w:tab w:val="left" w:pos="3686"/>
          <w:tab w:val="left" w:pos="5103"/>
        </w:tabs>
        <w:spacing w:after="120" w:line="264" w:lineRule="auto"/>
        <w:jc w:val="both"/>
        <w:rPr>
          <w:sz w:val="24"/>
          <w:lang w:eastAsia="en-AU"/>
        </w:rPr>
      </w:pPr>
      <w:bookmarkStart w:id="3" w:name="_Toc526255872"/>
      <w:bookmarkStart w:id="4" w:name="_Toc113526457"/>
    </w:p>
    <w:p w14:paraId="304452AC" w14:textId="77777777" w:rsidR="004D72B8" w:rsidRPr="00870587" w:rsidRDefault="004D72B8" w:rsidP="004D72B8">
      <w:pPr>
        <w:tabs>
          <w:tab w:val="left" w:pos="3686"/>
          <w:tab w:val="left" w:pos="5103"/>
        </w:tabs>
        <w:spacing w:after="120" w:line="264" w:lineRule="auto"/>
        <w:contextualSpacing/>
        <w:jc w:val="both"/>
        <w:rPr>
          <w:sz w:val="24"/>
          <w:lang w:eastAsia="en-AU"/>
        </w:rPr>
      </w:pPr>
      <w:r w:rsidRPr="00870587">
        <w:rPr>
          <w:sz w:val="24"/>
          <w:lang w:eastAsia="en-AU"/>
        </w:rPr>
        <w:t>Section 4 – Schedule(s</w:t>
      </w:r>
      <w:bookmarkEnd w:id="3"/>
      <w:bookmarkEnd w:id="4"/>
      <w:r w:rsidRPr="00870587">
        <w:rPr>
          <w:sz w:val="24"/>
          <w:lang w:eastAsia="en-AU"/>
        </w:rPr>
        <w:t>)</w:t>
      </w:r>
    </w:p>
    <w:p w14:paraId="48245425" w14:textId="04FAAF65" w:rsidR="004D72B8" w:rsidRPr="00870587" w:rsidRDefault="004D72B8" w:rsidP="00870587">
      <w:pPr>
        <w:ind w:right="748"/>
        <w:rPr>
          <w:sz w:val="24"/>
          <w:lang w:eastAsia="en-AU"/>
        </w:rPr>
      </w:pPr>
      <w:r w:rsidRPr="00870587">
        <w:rPr>
          <w:sz w:val="24"/>
          <w:lang w:eastAsia="en-AU"/>
        </w:rPr>
        <w:t>This section provide</w:t>
      </w:r>
      <w:r w:rsidR="005E0B79" w:rsidRPr="00870587">
        <w:rPr>
          <w:sz w:val="24"/>
          <w:lang w:eastAsia="en-AU"/>
        </w:rPr>
        <w:t>d</w:t>
      </w:r>
      <w:r w:rsidRPr="00870587">
        <w:rPr>
          <w:sz w:val="24"/>
          <w:lang w:eastAsia="en-AU"/>
        </w:rPr>
        <w:t xml:space="preserve"> that each instrument that </w:t>
      </w:r>
      <w:r w:rsidR="005E0B79" w:rsidRPr="00870587">
        <w:rPr>
          <w:sz w:val="24"/>
          <w:lang w:eastAsia="en-AU"/>
        </w:rPr>
        <w:t>wa</w:t>
      </w:r>
      <w:r w:rsidRPr="00870587">
        <w:rPr>
          <w:sz w:val="24"/>
          <w:lang w:eastAsia="en-AU"/>
        </w:rPr>
        <w:t xml:space="preserve">s specified in a Schedule to this instrument </w:t>
      </w:r>
      <w:r w:rsidR="005E0B79" w:rsidRPr="00870587">
        <w:rPr>
          <w:sz w:val="24"/>
          <w:lang w:eastAsia="en-AU"/>
        </w:rPr>
        <w:t>wa</w:t>
      </w:r>
      <w:r w:rsidRPr="00870587">
        <w:rPr>
          <w:sz w:val="24"/>
          <w:lang w:eastAsia="en-AU"/>
        </w:rPr>
        <w:t>s amended or repealed as set out in the applicable items in the Schedule concerned, and any other item in a Schedule to this instrument has effect according to its terms.</w:t>
      </w:r>
    </w:p>
    <w:p w14:paraId="34BCEA1B" w14:textId="77777777" w:rsidR="004D72B8" w:rsidRPr="00870587" w:rsidRDefault="004D72B8" w:rsidP="004D72B8">
      <w:pPr>
        <w:tabs>
          <w:tab w:val="left" w:pos="3686"/>
          <w:tab w:val="left" w:pos="5103"/>
        </w:tabs>
        <w:spacing w:after="120" w:line="264" w:lineRule="auto"/>
        <w:contextualSpacing/>
        <w:jc w:val="both"/>
        <w:rPr>
          <w:rFonts w:asciiTheme="minorHAnsi" w:eastAsiaTheme="minorHAnsi" w:hAnsiTheme="minorHAnsi" w:cstheme="minorBidi"/>
          <w:color w:val="262626" w:themeColor="text1" w:themeTint="D9"/>
          <w:lang w:eastAsia="en-US"/>
        </w:rPr>
      </w:pPr>
    </w:p>
    <w:p w14:paraId="4E6DDF68" w14:textId="77777777" w:rsidR="004D72B8" w:rsidRPr="00870587" w:rsidRDefault="004D72B8" w:rsidP="004D72B8">
      <w:pPr>
        <w:tabs>
          <w:tab w:val="right" w:pos="1021"/>
        </w:tabs>
        <w:spacing w:before="180"/>
        <w:rPr>
          <w:sz w:val="24"/>
          <w:lang w:eastAsia="en-AU"/>
        </w:rPr>
      </w:pPr>
      <w:r w:rsidRPr="00870587">
        <w:rPr>
          <w:sz w:val="24"/>
          <w:lang w:eastAsia="en-AU"/>
        </w:rPr>
        <w:t>Schedule 1 - Amendments</w:t>
      </w:r>
    </w:p>
    <w:p w14:paraId="68206B33" w14:textId="77777777" w:rsidR="004D72B8" w:rsidRPr="00870587" w:rsidRDefault="004D72B8" w:rsidP="00421993">
      <w:pPr>
        <w:tabs>
          <w:tab w:val="right" w:pos="1021"/>
        </w:tabs>
        <w:spacing w:before="180"/>
        <w:rPr>
          <w:sz w:val="24"/>
          <w:lang w:eastAsia="en-AU"/>
        </w:rPr>
      </w:pPr>
      <w:r w:rsidRPr="00870587">
        <w:rPr>
          <w:sz w:val="24"/>
          <w:lang w:eastAsia="en-AU"/>
        </w:rPr>
        <w:t>Item [1] - Paragraph 6(a)</w:t>
      </w:r>
    </w:p>
    <w:p w14:paraId="3EBD7C3D" w14:textId="5B1785AD" w:rsidR="004D72B8" w:rsidRPr="00870587" w:rsidRDefault="004D72B8" w:rsidP="00421993">
      <w:pPr>
        <w:tabs>
          <w:tab w:val="right" w:pos="1021"/>
        </w:tabs>
        <w:spacing w:before="180"/>
        <w:rPr>
          <w:sz w:val="24"/>
          <w:lang w:eastAsia="en-AU"/>
        </w:rPr>
      </w:pPr>
      <w:r w:rsidRPr="00870587">
        <w:rPr>
          <w:sz w:val="24"/>
          <w:lang w:eastAsia="en-AU"/>
        </w:rPr>
        <w:t xml:space="preserve">Paragraph 6(a) of the Principal Regulations would provide that the charge rate is 15.1953 cents per kilogram of uranium produced. This value has decreased from 18.7839 cents per kilogram of uranium produced in FY2021-22. The charge to each producer is proportional to the quantity of uranium they produced. The charge rate is based on ASNO’s relevant </w:t>
      </w:r>
      <w:proofErr w:type="gramStart"/>
      <w:r w:rsidRPr="00870587">
        <w:rPr>
          <w:sz w:val="24"/>
          <w:lang w:eastAsia="en-AU"/>
        </w:rPr>
        <w:t>costs</w:t>
      </w:r>
      <w:proofErr w:type="gramEnd"/>
      <w:r w:rsidRPr="00870587">
        <w:rPr>
          <w:sz w:val="24"/>
          <w:lang w:eastAsia="en-AU"/>
        </w:rPr>
        <w:t xml:space="preserve"> and the total quantity of Australian uranium ore concentrate</w:t>
      </w:r>
      <w:r w:rsidRPr="00870587" w:rsidDel="00564178">
        <w:rPr>
          <w:sz w:val="24"/>
          <w:lang w:eastAsia="en-AU"/>
        </w:rPr>
        <w:t xml:space="preserve"> </w:t>
      </w:r>
      <w:r w:rsidRPr="00870587">
        <w:rPr>
          <w:sz w:val="24"/>
          <w:lang w:eastAsia="en-AU"/>
        </w:rPr>
        <w:t>produced in the previous financial year. As the quantity of uranium produced in 2022-23 increased compared to 2021</w:t>
      </w:r>
      <w:r w:rsidR="00EE1E6F" w:rsidRPr="00870587">
        <w:rPr>
          <w:sz w:val="24"/>
          <w:lang w:eastAsia="en-AU"/>
        </w:rPr>
        <w:noBreakHyphen/>
      </w:r>
      <w:r w:rsidRPr="00870587">
        <w:rPr>
          <w:sz w:val="24"/>
          <w:lang w:eastAsia="en-AU"/>
        </w:rPr>
        <w:t xml:space="preserve">22, the charge rate has decreased. </w:t>
      </w:r>
    </w:p>
    <w:p w14:paraId="0653FB8B" w14:textId="43012CFB" w:rsidR="004D72B8" w:rsidRPr="00870587" w:rsidRDefault="004D72B8" w:rsidP="00421993">
      <w:pPr>
        <w:tabs>
          <w:tab w:val="right" w:pos="1021"/>
        </w:tabs>
        <w:spacing w:before="180"/>
        <w:rPr>
          <w:sz w:val="24"/>
          <w:lang w:eastAsia="en-AU"/>
        </w:rPr>
      </w:pPr>
      <w:r w:rsidRPr="00870587">
        <w:rPr>
          <w:sz w:val="24"/>
          <w:lang w:eastAsia="en-AU"/>
        </w:rPr>
        <w:t>Item [2] –</w:t>
      </w:r>
      <w:r w:rsidR="00A86634" w:rsidRPr="00870587">
        <w:rPr>
          <w:sz w:val="24"/>
          <w:lang w:eastAsia="en-AU"/>
        </w:rPr>
        <w:t xml:space="preserve"> </w:t>
      </w:r>
      <w:r w:rsidRPr="00870587">
        <w:rPr>
          <w:sz w:val="24"/>
          <w:lang w:eastAsia="en-AU"/>
        </w:rPr>
        <w:t>Regulation 7</w:t>
      </w:r>
    </w:p>
    <w:p w14:paraId="5EE5ACA1" w14:textId="268BC391" w:rsidR="004D72B8" w:rsidRPr="00870587" w:rsidRDefault="005915E1" w:rsidP="00421993">
      <w:pPr>
        <w:tabs>
          <w:tab w:val="right" w:pos="1021"/>
        </w:tabs>
        <w:spacing w:before="180"/>
        <w:rPr>
          <w:sz w:val="24"/>
          <w:lang w:eastAsia="en-AU"/>
        </w:rPr>
      </w:pPr>
      <w:r w:rsidRPr="00870587">
        <w:rPr>
          <w:sz w:val="24"/>
          <w:lang w:eastAsia="en-AU"/>
        </w:rPr>
        <w:t>This item repeal</w:t>
      </w:r>
      <w:r w:rsidR="003D3052" w:rsidRPr="00870587">
        <w:rPr>
          <w:sz w:val="24"/>
          <w:lang w:eastAsia="en-AU"/>
        </w:rPr>
        <w:t>ed</w:t>
      </w:r>
      <w:r w:rsidRPr="00870587">
        <w:rPr>
          <w:sz w:val="24"/>
          <w:lang w:eastAsia="en-AU"/>
        </w:rPr>
        <w:t xml:space="preserve"> and substitute</w:t>
      </w:r>
      <w:r w:rsidR="003D3052" w:rsidRPr="00870587">
        <w:rPr>
          <w:sz w:val="24"/>
          <w:lang w:eastAsia="en-AU"/>
        </w:rPr>
        <w:t>d</w:t>
      </w:r>
      <w:r w:rsidRPr="00870587">
        <w:rPr>
          <w:sz w:val="24"/>
          <w:lang w:eastAsia="en-AU"/>
        </w:rPr>
        <w:t xml:space="preserve"> regulation 7. </w:t>
      </w:r>
      <w:r w:rsidR="004D72B8" w:rsidRPr="00870587">
        <w:rPr>
          <w:sz w:val="24"/>
          <w:lang w:eastAsia="en-AU"/>
        </w:rPr>
        <w:t>This item determines that the charge for FY2022-23 is payable in FY2023</w:t>
      </w:r>
      <w:r w:rsidR="004D72B8" w:rsidRPr="00870587">
        <w:rPr>
          <w:sz w:val="24"/>
          <w:lang w:eastAsia="en-AU"/>
        </w:rPr>
        <w:noBreakHyphen/>
        <w:t xml:space="preserve">24 and that the same charge rate can be used in future years if the </w:t>
      </w:r>
      <w:r w:rsidR="006F779E" w:rsidRPr="00870587">
        <w:rPr>
          <w:sz w:val="24"/>
          <w:lang w:eastAsia="en-AU"/>
        </w:rPr>
        <w:t>Principal</w:t>
      </w:r>
      <w:r w:rsidR="004D72B8" w:rsidRPr="00870587">
        <w:rPr>
          <w:sz w:val="24"/>
          <w:lang w:eastAsia="en-AU"/>
        </w:rPr>
        <w:t xml:space="preserve"> Regulations are not updated.</w:t>
      </w:r>
    </w:p>
    <w:p w14:paraId="2C1C91FA" w14:textId="0988B820" w:rsidR="004D72B8" w:rsidRPr="004D72B8" w:rsidRDefault="004D72B8" w:rsidP="00A86634">
      <w:pPr>
        <w:tabs>
          <w:tab w:val="right" w:pos="1021"/>
        </w:tabs>
        <w:spacing w:before="180"/>
        <w:rPr>
          <w:sz w:val="24"/>
          <w:lang w:eastAsia="en-AU"/>
        </w:rPr>
      </w:pPr>
      <w:r w:rsidRPr="00870587">
        <w:rPr>
          <w:sz w:val="24"/>
          <w:lang w:eastAsia="en-AU"/>
        </w:rPr>
        <w:t xml:space="preserve">The practical effect of this change is that the charge is paid retrospectively to reflect the actual cost to </w:t>
      </w:r>
      <w:proofErr w:type="gramStart"/>
      <w:r w:rsidRPr="00870587">
        <w:rPr>
          <w:sz w:val="24"/>
          <w:lang w:eastAsia="en-AU"/>
        </w:rPr>
        <w:t>ASNO</w:t>
      </w:r>
      <w:proofErr w:type="gramEnd"/>
      <w:r w:rsidRPr="00870587">
        <w:rPr>
          <w:sz w:val="24"/>
          <w:lang w:eastAsia="en-AU"/>
        </w:rPr>
        <w:t xml:space="preserve"> and quantities of uranium produced. It also enables the option of using the same charge rate in the future years.</w:t>
      </w:r>
    </w:p>
    <w:p w14:paraId="72042EE5" w14:textId="77777777" w:rsidR="000468D2" w:rsidRDefault="000468D2" w:rsidP="004D72B8">
      <w:pPr>
        <w:spacing w:after="120"/>
        <w:jc w:val="both"/>
      </w:pPr>
    </w:p>
    <w:sectPr w:rsidR="000468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17979" w14:textId="77777777" w:rsidR="00745B66" w:rsidRDefault="00745B66" w:rsidP="007269A6">
      <w:r>
        <w:separator/>
      </w:r>
    </w:p>
  </w:endnote>
  <w:endnote w:type="continuationSeparator" w:id="0">
    <w:p w14:paraId="3B7858F0" w14:textId="77777777" w:rsidR="00745B66" w:rsidRDefault="00745B66" w:rsidP="0072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36D9F" w14:textId="77777777" w:rsidR="00745B66" w:rsidRDefault="00745B66" w:rsidP="007269A6">
      <w:r>
        <w:separator/>
      </w:r>
    </w:p>
  </w:footnote>
  <w:footnote w:type="continuationSeparator" w:id="0">
    <w:p w14:paraId="2A93C8A4" w14:textId="77777777" w:rsidR="00745B66" w:rsidRDefault="00745B66" w:rsidP="00726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94B52"/>
    <w:multiLevelType w:val="hybridMultilevel"/>
    <w:tmpl w:val="8E12D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6610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9A6"/>
    <w:rsid w:val="00017EB5"/>
    <w:rsid w:val="000468D2"/>
    <w:rsid w:val="00070156"/>
    <w:rsid w:val="000B4EE7"/>
    <w:rsid w:val="00107991"/>
    <w:rsid w:val="00156765"/>
    <w:rsid w:val="001B5D0A"/>
    <w:rsid w:val="00282B09"/>
    <w:rsid w:val="002A46AA"/>
    <w:rsid w:val="002C6239"/>
    <w:rsid w:val="002C7510"/>
    <w:rsid w:val="00376C28"/>
    <w:rsid w:val="003D3052"/>
    <w:rsid w:val="003E3924"/>
    <w:rsid w:val="00400E50"/>
    <w:rsid w:val="00421993"/>
    <w:rsid w:val="004D72B8"/>
    <w:rsid w:val="00513126"/>
    <w:rsid w:val="00541B13"/>
    <w:rsid w:val="00557FCF"/>
    <w:rsid w:val="0056753C"/>
    <w:rsid w:val="005915E1"/>
    <w:rsid w:val="005E0B79"/>
    <w:rsid w:val="005F6E78"/>
    <w:rsid w:val="006F4EC6"/>
    <w:rsid w:val="006F779E"/>
    <w:rsid w:val="007269A6"/>
    <w:rsid w:val="00745B66"/>
    <w:rsid w:val="008020A4"/>
    <w:rsid w:val="008418FB"/>
    <w:rsid w:val="00870587"/>
    <w:rsid w:val="008D3D9A"/>
    <w:rsid w:val="00930BC8"/>
    <w:rsid w:val="00952FC8"/>
    <w:rsid w:val="009612E2"/>
    <w:rsid w:val="00985B7D"/>
    <w:rsid w:val="00A319A1"/>
    <w:rsid w:val="00A77B9D"/>
    <w:rsid w:val="00A86634"/>
    <w:rsid w:val="00AE29FF"/>
    <w:rsid w:val="00B471B1"/>
    <w:rsid w:val="00B93934"/>
    <w:rsid w:val="00BF4BEA"/>
    <w:rsid w:val="00CC73C3"/>
    <w:rsid w:val="00D030FA"/>
    <w:rsid w:val="00E170B6"/>
    <w:rsid w:val="00E33406"/>
    <w:rsid w:val="00EE1E6F"/>
    <w:rsid w:val="00F20DE5"/>
    <w:rsid w:val="00FD69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72321"/>
  <w15:chartTrackingRefBased/>
  <w15:docId w15:val="{64FC6FED-699C-433A-94A3-56624504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9A6"/>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269A6"/>
    <w:pPr>
      <w:jc w:val="center"/>
    </w:pPr>
    <w:rPr>
      <w:sz w:val="24"/>
      <w:szCs w:val="24"/>
    </w:rPr>
  </w:style>
  <w:style w:type="character" w:customStyle="1" w:styleId="TitleChar">
    <w:name w:val="Title Char"/>
    <w:basedOn w:val="DefaultParagraphFont"/>
    <w:link w:val="Title"/>
    <w:rsid w:val="007269A6"/>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7269A6"/>
    <w:pPr>
      <w:ind w:left="720"/>
      <w:contextualSpacing/>
    </w:pPr>
  </w:style>
  <w:style w:type="paragraph" w:styleId="Revision">
    <w:name w:val="Revision"/>
    <w:hidden/>
    <w:uiPriority w:val="99"/>
    <w:semiHidden/>
    <w:rsid w:val="00400E50"/>
    <w:pPr>
      <w:spacing w:after="0" w:line="240" w:lineRule="auto"/>
    </w:pPr>
    <w:rPr>
      <w:rFonts w:ascii="Times New Roman" w:eastAsia="Times New Roman" w:hAnsi="Times New Roman" w:cs="Times New Roman"/>
      <w:sz w:val="20"/>
      <w:szCs w:val="20"/>
      <w:lang w:eastAsia="zh-CN"/>
    </w:rPr>
  </w:style>
  <w:style w:type="character" w:styleId="CommentReference">
    <w:name w:val="annotation reference"/>
    <w:basedOn w:val="DefaultParagraphFont"/>
    <w:uiPriority w:val="99"/>
    <w:semiHidden/>
    <w:unhideWhenUsed/>
    <w:rsid w:val="00400E50"/>
    <w:rPr>
      <w:sz w:val="16"/>
      <w:szCs w:val="16"/>
    </w:rPr>
  </w:style>
  <w:style w:type="paragraph" w:styleId="CommentText">
    <w:name w:val="annotation text"/>
    <w:basedOn w:val="Normal"/>
    <w:link w:val="CommentTextChar"/>
    <w:uiPriority w:val="99"/>
    <w:unhideWhenUsed/>
    <w:rsid w:val="00400E50"/>
  </w:style>
  <w:style w:type="character" w:customStyle="1" w:styleId="CommentTextChar">
    <w:name w:val="Comment Text Char"/>
    <w:basedOn w:val="DefaultParagraphFont"/>
    <w:link w:val="CommentText"/>
    <w:uiPriority w:val="99"/>
    <w:rsid w:val="00400E50"/>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400E50"/>
    <w:rPr>
      <w:b/>
      <w:bCs/>
    </w:rPr>
  </w:style>
  <w:style w:type="character" w:customStyle="1" w:styleId="CommentSubjectChar">
    <w:name w:val="Comment Subject Char"/>
    <w:basedOn w:val="CommentTextChar"/>
    <w:link w:val="CommentSubject"/>
    <w:uiPriority w:val="99"/>
    <w:semiHidden/>
    <w:rsid w:val="00400E50"/>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85FF405304E2D4DACD8134CA7154AC7" ma:contentTypeVersion="" ma:contentTypeDescription="PDMS Document Site Content Type" ma:contentTypeScope="" ma:versionID="e44a02fa309baaea9c279d71b121955d">
  <xsd:schema xmlns:xsd="http://www.w3.org/2001/XMLSchema" xmlns:xs="http://www.w3.org/2001/XMLSchema" xmlns:p="http://schemas.microsoft.com/office/2006/metadata/properties" xmlns:ns2="A7B06CE9-9743-4D5D-9BDB-025B7EC35744" targetNamespace="http://schemas.microsoft.com/office/2006/metadata/properties" ma:root="true" ma:fieldsID="eaf322fbcc8811124a5478bc08ce5134" ns2:_="">
    <xsd:import namespace="A7B06CE9-9743-4D5D-9BDB-025B7EC3574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06CE9-9743-4D5D-9BDB-025B7EC3574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7B06CE9-9743-4D5D-9BDB-025B7EC35744" xsi:nil="true"/>
  </documentManagement>
</p:properties>
</file>

<file path=customXml/itemProps1.xml><?xml version="1.0" encoding="utf-8"?>
<ds:datastoreItem xmlns:ds="http://schemas.openxmlformats.org/officeDocument/2006/customXml" ds:itemID="{C06BA0ED-0F1D-4031-9FD4-286382A5B4EC}">
  <ds:schemaRefs>
    <ds:schemaRef ds:uri="http://schemas.microsoft.com/sharepoint/v3/contenttype/forms"/>
  </ds:schemaRefs>
</ds:datastoreItem>
</file>

<file path=customXml/itemProps2.xml><?xml version="1.0" encoding="utf-8"?>
<ds:datastoreItem xmlns:ds="http://schemas.openxmlformats.org/officeDocument/2006/customXml" ds:itemID="{3D9DBA13-C68F-4385-AB7E-F1BD6C5BD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06CE9-9743-4D5D-9BDB-025B7EC35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7BB779-03E3-4875-8352-EFE03B7BCB6A}">
  <ds:schemaRefs>
    <ds:schemaRef ds:uri="http://schemas.microsoft.com/office/2006/metadata/properties"/>
    <ds:schemaRef ds:uri="http://schemas.microsoft.com/office/infopath/2007/PartnerControls"/>
    <ds:schemaRef ds:uri="2E14D04B-1536-4B37-9FFB-9C14B90712E4"/>
    <ds:schemaRef ds:uri="A7B06CE9-9743-4D5D-9BDB-025B7EC35744"/>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1114</Words>
  <Characters>6301</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Enright</dc:creator>
  <cp:keywords>[SEC=OFFICIAL]</cp:keywords>
  <dc:description/>
  <cp:lastModifiedBy>Ally Perry</cp:lastModifiedBy>
  <cp:revision>5</cp:revision>
  <dcterms:created xsi:type="dcterms:W3CDTF">2023-10-17T23:52:00Z</dcterms:created>
  <dcterms:modified xsi:type="dcterms:W3CDTF">2023-10-25T23:34:00Z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475592F2DFE84D8692ED1489BDF0CA3E</vt:lpwstr>
  </property>
  <property fmtid="{D5CDD505-2E9C-101B-9397-08002B2CF9AE}" pid="9" name="PM_ProtectiveMarkingValue_Footer">
    <vt:lpwstr>OFFICIAL</vt:lpwstr>
  </property>
  <property fmtid="{D5CDD505-2E9C-101B-9397-08002B2CF9AE}" pid="10" name="PM_Originator_Hash_SHA1">
    <vt:lpwstr>7B816402ED1B4FF361675E8290F03EDE0E68A76B</vt:lpwstr>
  </property>
  <property fmtid="{D5CDD505-2E9C-101B-9397-08002B2CF9AE}" pid="11" name="PM_OriginationTimeStamp">
    <vt:lpwstr>2022-09-16T02:58:35Z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6209207AF5013C80771F5241ECC7FFA6</vt:lpwstr>
  </property>
  <property fmtid="{D5CDD505-2E9C-101B-9397-08002B2CF9AE}" pid="20" name="PM_Hash_Salt">
    <vt:lpwstr>E46E6EB98F9B8787527FE43FAE4DA78B</vt:lpwstr>
  </property>
  <property fmtid="{D5CDD505-2E9C-101B-9397-08002B2CF9AE}" pid="21" name="PM_Hash_SHA1">
    <vt:lpwstr>CAF4B39DF11622A10D23F480A7D2183A743606B0</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0x010100266966F133664895A6EE3632470D45F500485FF405304E2D4DACD8134CA7154AC7</vt:lpwstr>
  </property>
  <property fmtid="{D5CDD505-2E9C-101B-9397-08002B2CF9AE}" pid="25" name="PMHMAC">
    <vt:lpwstr>v=2022.1;a=SHA256;h=32677A98A4ECB705DCAFDC3FE7BEBB71DF9FCFFFB1979F445977DD1CC8915CAE</vt:lpwstr>
  </property>
  <property fmtid="{D5CDD505-2E9C-101B-9397-08002B2CF9AE}" pid="26" name="PM_Display">
    <vt:lpwstr>OFFICIAL</vt:lpwstr>
  </property>
  <property fmtid="{D5CDD505-2E9C-101B-9397-08002B2CF9AE}" pid="27" name="PM_OriginatorUserAccountName_SHA256">
    <vt:lpwstr>CBC32CCC53BD5869F79A1BE5F95138F0AD342B9561754B398988CD8B4973B648</vt:lpwstr>
  </property>
  <property fmtid="{D5CDD505-2E9C-101B-9397-08002B2CF9AE}" pid="28" name="PM_OriginatorDomainName_SHA256">
    <vt:lpwstr>6F3591835F3B2A8A025B00B5BA6418010DA3A17C9C26EA9C049FFD28039489A2</vt:lpwstr>
  </property>
  <property fmtid="{D5CDD505-2E9C-101B-9397-08002B2CF9AE}" pid="29" name="PMUuid">
    <vt:lpwstr>v=2022.2;d=gov.au;g=46DD6D7C-8107-577B-BC6E-F348953B2E44</vt:lpwstr>
  </property>
</Properties>
</file>