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D6D12" w14:textId="4C880833" w:rsidR="0024360E" w:rsidRPr="00371605" w:rsidRDefault="0024360E">
      <w:pPr>
        <w:spacing w:before="0"/>
        <w:ind w:right="40"/>
        <w:jc w:val="center"/>
        <w:rPr>
          <w:b/>
          <w:bCs/>
          <w:u w:val="single"/>
        </w:rPr>
      </w:pPr>
      <w:r w:rsidRPr="00371605">
        <w:rPr>
          <w:b/>
          <w:bCs/>
          <w:u w:val="single"/>
        </w:rPr>
        <w:t>EXPLANATORY STATEMENT</w:t>
      </w:r>
    </w:p>
    <w:p w14:paraId="299D6D13" w14:textId="77777777" w:rsidR="0024360E" w:rsidRPr="00371605" w:rsidRDefault="0024360E">
      <w:pPr>
        <w:spacing w:before="0"/>
        <w:ind w:right="40"/>
        <w:jc w:val="center"/>
        <w:rPr>
          <w:b/>
          <w:bCs/>
          <w:u w:val="single"/>
        </w:rPr>
      </w:pPr>
    </w:p>
    <w:p w14:paraId="299D6D14" w14:textId="77777777" w:rsidR="0024360E" w:rsidRPr="00371605" w:rsidRDefault="0024360E" w:rsidP="00B2211F">
      <w:pPr>
        <w:spacing w:before="0"/>
        <w:jc w:val="center"/>
      </w:pPr>
      <w:r w:rsidRPr="00371605">
        <w:t xml:space="preserve">Issued by the Minister for </w:t>
      </w:r>
      <w:r w:rsidR="00B2211F" w:rsidRPr="00371605">
        <w:t>Immigration, Citizenship and Multicultural Affairs</w:t>
      </w:r>
    </w:p>
    <w:p w14:paraId="299D6D15" w14:textId="77777777" w:rsidR="00B2211F" w:rsidRPr="00371605" w:rsidRDefault="00B2211F">
      <w:pPr>
        <w:spacing w:before="0"/>
        <w:ind w:right="40"/>
        <w:jc w:val="center"/>
        <w:rPr>
          <w:i/>
          <w:iCs/>
        </w:rPr>
      </w:pPr>
    </w:p>
    <w:p w14:paraId="299D6D16" w14:textId="2F00FA78" w:rsidR="0024360E" w:rsidRPr="00371605" w:rsidRDefault="00EE6C35">
      <w:pPr>
        <w:spacing w:before="0"/>
        <w:ind w:right="40"/>
        <w:jc w:val="center"/>
        <w:rPr>
          <w:i/>
          <w:iCs/>
        </w:rPr>
      </w:pPr>
      <w:r w:rsidRPr="00371605">
        <w:rPr>
          <w:i/>
          <w:iCs/>
        </w:rPr>
        <w:t xml:space="preserve">Australian </w:t>
      </w:r>
      <w:r w:rsidR="001656C5" w:rsidRPr="00371605">
        <w:rPr>
          <w:i/>
          <w:iCs/>
        </w:rPr>
        <w:t xml:space="preserve">Citizenship </w:t>
      </w:r>
      <w:r w:rsidRPr="00371605">
        <w:rPr>
          <w:i/>
          <w:iCs/>
        </w:rPr>
        <w:t>Act</w:t>
      </w:r>
      <w:r w:rsidR="001656C5" w:rsidRPr="00371605">
        <w:rPr>
          <w:i/>
          <w:iCs/>
        </w:rPr>
        <w:t xml:space="preserve"> </w:t>
      </w:r>
      <w:r w:rsidRPr="00371605">
        <w:rPr>
          <w:i/>
          <w:iCs/>
        </w:rPr>
        <w:t>2007</w:t>
      </w:r>
    </w:p>
    <w:p w14:paraId="299D6D17" w14:textId="77777777" w:rsidR="0024360E" w:rsidRPr="00371605" w:rsidRDefault="0024360E">
      <w:pPr>
        <w:spacing w:before="0"/>
        <w:ind w:right="40"/>
        <w:jc w:val="center"/>
        <w:rPr>
          <w:i/>
          <w:iCs/>
        </w:rPr>
      </w:pPr>
    </w:p>
    <w:p w14:paraId="299D6D19" w14:textId="056D01D9" w:rsidR="0024360E" w:rsidRPr="00371605" w:rsidRDefault="00987EFA">
      <w:pPr>
        <w:keepNext/>
        <w:keepLines/>
        <w:spacing w:before="0"/>
        <w:ind w:right="91"/>
        <w:rPr>
          <w:i/>
        </w:rPr>
      </w:pPr>
      <w:r w:rsidRPr="00371605">
        <w:rPr>
          <w:i/>
        </w:rPr>
        <w:t>Australian Citizenship Amendment (</w:t>
      </w:r>
      <w:r w:rsidR="00DE5DD9" w:rsidRPr="00371605">
        <w:rPr>
          <w:i/>
        </w:rPr>
        <w:t>Refund of Fees</w:t>
      </w:r>
      <w:r w:rsidRPr="00371605">
        <w:rPr>
          <w:i/>
        </w:rPr>
        <w:t>) Regulations 2023</w:t>
      </w:r>
    </w:p>
    <w:p w14:paraId="681375A0" w14:textId="77777777" w:rsidR="000D27BF" w:rsidRPr="00371605" w:rsidRDefault="000D27BF">
      <w:pPr>
        <w:spacing w:before="0"/>
        <w:ind w:right="42"/>
      </w:pPr>
    </w:p>
    <w:p w14:paraId="1B117170" w14:textId="7261E162" w:rsidR="00C13DE0" w:rsidRPr="00371605" w:rsidRDefault="006B23E2" w:rsidP="00C13DE0">
      <w:pPr>
        <w:spacing w:before="0"/>
        <w:ind w:right="42"/>
      </w:pPr>
      <w:r w:rsidRPr="00371605">
        <w:t xml:space="preserve">The </w:t>
      </w:r>
      <w:r w:rsidRPr="00371605">
        <w:rPr>
          <w:i/>
        </w:rPr>
        <w:t>Australian Citizenship Act 2007</w:t>
      </w:r>
      <w:r w:rsidRPr="00371605">
        <w:t xml:space="preserve"> (the Citizenship Act) provides for the process of becoming an Australian citizen, the circumstances in which citizenship may cease, and other related matters.</w:t>
      </w:r>
    </w:p>
    <w:p w14:paraId="114DBD44" w14:textId="77777777" w:rsidR="00C13DE0" w:rsidRPr="00371605" w:rsidRDefault="00C13DE0" w:rsidP="00C13DE0">
      <w:pPr>
        <w:spacing w:before="0"/>
        <w:ind w:right="42"/>
      </w:pPr>
    </w:p>
    <w:p w14:paraId="6C5A4276" w14:textId="30107007" w:rsidR="00C13DE0" w:rsidRPr="00371605" w:rsidRDefault="00247921" w:rsidP="00C13DE0">
      <w:pPr>
        <w:spacing w:before="0"/>
        <w:ind w:right="42"/>
        <w:rPr>
          <w:color w:val="000000"/>
          <w:shd w:val="clear" w:color="auto" w:fill="FFFFFF"/>
        </w:rPr>
      </w:pPr>
      <w:r w:rsidRPr="00371605">
        <w:rPr>
          <w:color w:val="000000"/>
          <w:shd w:val="clear" w:color="auto" w:fill="FFFFFF"/>
        </w:rPr>
        <w:t>Section 54 of the Citizenship Act provides that the Governor-General may make regulations prescribing matters required or permitted by the Citizenship Act to be prescribed, or necessary or convenient to be prescribed, for carrying out or giving effect to the Citizenship Act. Paragraph 46(1</w:t>
      </w:r>
      <w:proofErr w:type="gramStart"/>
      <w:r w:rsidRPr="00371605">
        <w:rPr>
          <w:color w:val="000000"/>
          <w:shd w:val="clear" w:color="auto" w:fill="FFFFFF"/>
        </w:rPr>
        <w:t>)(</w:t>
      </w:r>
      <w:proofErr w:type="gramEnd"/>
      <w:r w:rsidRPr="00371605">
        <w:rPr>
          <w:color w:val="000000"/>
          <w:shd w:val="clear" w:color="auto" w:fill="FFFFFF"/>
        </w:rPr>
        <w:t>d) of the Citizenship Act provides that an application made under that Act must be accompanied by the fee prescribed by the regulations.</w:t>
      </w:r>
      <w:r w:rsidR="00C13DE0" w:rsidRPr="00371605">
        <w:rPr>
          <w:color w:val="000000"/>
          <w:shd w:val="clear" w:color="auto" w:fill="FFFFFF"/>
        </w:rPr>
        <w:t xml:space="preserve">  </w:t>
      </w:r>
    </w:p>
    <w:p w14:paraId="015E81A2" w14:textId="77777777" w:rsidR="00C13DE0" w:rsidRPr="00371605" w:rsidRDefault="00C13DE0" w:rsidP="00C13DE0">
      <w:pPr>
        <w:spacing w:before="0"/>
        <w:ind w:right="42"/>
        <w:rPr>
          <w:color w:val="000000"/>
          <w:shd w:val="clear" w:color="auto" w:fill="FFFFFF"/>
        </w:rPr>
      </w:pPr>
    </w:p>
    <w:p w14:paraId="5FEB4A35" w14:textId="13E5EA03" w:rsidR="00C13DE0" w:rsidRPr="00371605" w:rsidRDefault="006E09F0" w:rsidP="00C13DE0">
      <w:pPr>
        <w:spacing w:before="0"/>
        <w:ind w:right="42"/>
        <w:rPr>
          <w:color w:val="000000"/>
          <w:shd w:val="clear" w:color="auto" w:fill="FFFFFF"/>
        </w:rPr>
      </w:pPr>
      <w:r w:rsidRPr="00371605">
        <w:t xml:space="preserve">The </w:t>
      </w:r>
      <w:r w:rsidR="00DA7BD7" w:rsidRPr="00371605">
        <w:rPr>
          <w:i/>
        </w:rPr>
        <w:t>Australian Citizenship Amendment (Refund of Fees) Regulatio</w:t>
      </w:r>
      <w:bookmarkStart w:id="0" w:name="_GoBack"/>
      <w:bookmarkEnd w:id="0"/>
      <w:r w:rsidR="00DA7BD7" w:rsidRPr="00371605">
        <w:rPr>
          <w:i/>
        </w:rPr>
        <w:t>ns 2023</w:t>
      </w:r>
      <w:r w:rsidRPr="00371605">
        <w:t xml:space="preserve"> (the Regulations)</w:t>
      </w:r>
      <w:r w:rsidR="00B46F2C" w:rsidRPr="00371605">
        <w:t xml:space="preserve"> </w:t>
      </w:r>
      <w:r w:rsidR="005C6A89" w:rsidRPr="00371605">
        <w:t xml:space="preserve">amends subsections 17(4) – 17(7) of the </w:t>
      </w:r>
      <w:r w:rsidR="005C6A89" w:rsidRPr="00371605">
        <w:rPr>
          <w:i/>
          <w:color w:val="000000"/>
        </w:rPr>
        <w:t>Australian Citizenship Regulation 2016</w:t>
      </w:r>
      <w:r w:rsidR="005C6A89" w:rsidRPr="00371605">
        <w:rPr>
          <w:color w:val="000000"/>
        </w:rPr>
        <w:t xml:space="preserve"> (the Citizenship Regulation) </w:t>
      </w:r>
      <w:r w:rsidR="005C6A89" w:rsidRPr="00371605">
        <w:t xml:space="preserve">to include provision for the relevant refund amount to be calculated with reference to relevant items in Schedule 3 </w:t>
      </w:r>
      <w:r w:rsidR="003C486C" w:rsidRPr="00371605">
        <w:t>to</w:t>
      </w:r>
      <w:r w:rsidR="005C6A89" w:rsidRPr="00371605">
        <w:t xml:space="preserve"> the Regulation.</w:t>
      </w:r>
      <w:r w:rsidR="00C13DE0" w:rsidRPr="00371605">
        <w:rPr>
          <w:color w:val="000000"/>
          <w:shd w:val="clear" w:color="auto" w:fill="FFFFFF"/>
        </w:rPr>
        <w:t xml:space="preserve"> </w:t>
      </w:r>
    </w:p>
    <w:p w14:paraId="1F0437E6" w14:textId="60B0AD31" w:rsidR="004875BD" w:rsidRPr="00371605" w:rsidRDefault="004875BD" w:rsidP="00C13DE0">
      <w:pPr>
        <w:spacing w:before="0"/>
        <w:ind w:right="42"/>
        <w:rPr>
          <w:color w:val="000000"/>
          <w:shd w:val="clear" w:color="auto" w:fill="FFFFFF"/>
        </w:rPr>
      </w:pPr>
    </w:p>
    <w:p w14:paraId="74F10D69" w14:textId="2A9BE784" w:rsidR="004875BD" w:rsidRPr="00371605" w:rsidRDefault="004875BD" w:rsidP="004875BD">
      <w:pPr>
        <w:keepNext/>
        <w:keepLines/>
        <w:spacing w:before="0"/>
        <w:ind w:right="91"/>
      </w:pPr>
      <w:r w:rsidRPr="00371605">
        <w:t xml:space="preserve">Where payment of a citizenship application fee included a credit card surcharge or </w:t>
      </w:r>
      <w:proofErr w:type="spellStart"/>
      <w:r w:rsidRPr="00371605">
        <w:t>Paypal</w:t>
      </w:r>
      <w:proofErr w:type="spellEnd"/>
      <w:r w:rsidRPr="00371605">
        <w:t xml:space="preserve"> surcharge, the Regulations also provide that the proportion of the refund of the surcharge is equal to the proportion that the refund amount is of the relevant fee specified in Schedule 3 to the Regulation.</w:t>
      </w:r>
    </w:p>
    <w:p w14:paraId="3D2B22C2" w14:textId="77777777" w:rsidR="00C13DE0" w:rsidRPr="00371605" w:rsidRDefault="00C13DE0" w:rsidP="00C13DE0">
      <w:pPr>
        <w:spacing w:before="0"/>
        <w:ind w:right="42"/>
        <w:rPr>
          <w:color w:val="000000"/>
          <w:shd w:val="clear" w:color="auto" w:fill="FFFFFF"/>
        </w:rPr>
      </w:pPr>
    </w:p>
    <w:p w14:paraId="051B72F3" w14:textId="3A0D8E4B" w:rsidR="00C13DE0" w:rsidRPr="00371605" w:rsidRDefault="00B02E69" w:rsidP="00C13DE0">
      <w:pPr>
        <w:spacing w:before="0"/>
        <w:ind w:right="42"/>
        <w:rPr>
          <w:color w:val="000000"/>
          <w:shd w:val="clear" w:color="auto" w:fill="FFFFFF"/>
        </w:rPr>
      </w:pPr>
      <w:r w:rsidRPr="00371605">
        <w:t xml:space="preserve">The Regulations </w:t>
      </w:r>
      <w:r w:rsidR="00D8587F" w:rsidRPr="00371605">
        <w:t>address consequential amendments that were not covered by</w:t>
      </w:r>
      <w:r w:rsidR="00F9732B" w:rsidRPr="00371605">
        <w:t xml:space="preserve"> the</w:t>
      </w:r>
      <w:r w:rsidR="00D8587F" w:rsidRPr="00371605">
        <w:t xml:space="preserve"> </w:t>
      </w:r>
      <w:r w:rsidR="00D8587F" w:rsidRPr="00371605">
        <w:rPr>
          <w:i/>
        </w:rPr>
        <w:t>Australian Citizenship Amendment (Indexation of Citizenship Application Fees) Regulations 2023</w:t>
      </w:r>
      <w:r w:rsidR="00AC4A7F" w:rsidRPr="00371605">
        <w:rPr>
          <w:i/>
        </w:rPr>
        <w:t xml:space="preserve">, </w:t>
      </w:r>
      <w:r w:rsidR="00AC4A7F" w:rsidRPr="00371605">
        <w:t>which applied</w:t>
      </w:r>
      <w:r w:rsidR="00AC4A7F" w:rsidRPr="00371605">
        <w:rPr>
          <w:i/>
        </w:rPr>
        <w:t xml:space="preserve"> </w:t>
      </w:r>
      <w:r w:rsidR="0083591D" w:rsidRPr="00371605">
        <w:t>two years</w:t>
      </w:r>
      <w:r w:rsidR="00AC4A7F" w:rsidRPr="00371605">
        <w:t>’</w:t>
      </w:r>
      <w:r w:rsidR="0083591D" w:rsidRPr="00371605">
        <w:t xml:space="preserve"> indexation for 2021-22 and 2022-23 to </w:t>
      </w:r>
      <w:r w:rsidR="001F0FB2" w:rsidRPr="00371605">
        <w:t xml:space="preserve">certain </w:t>
      </w:r>
      <w:r w:rsidR="0083591D" w:rsidRPr="00371605">
        <w:t xml:space="preserve">Australian citizenship application fees from 1 July 2023 to more accurately reflect the cost of delivering </w:t>
      </w:r>
      <w:proofErr w:type="gramStart"/>
      <w:r w:rsidR="0083591D" w:rsidRPr="00371605">
        <w:t>the</w:t>
      </w:r>
      <w:proofErr w:type="gramEnd"/>
      <w:r w:rsidR="0083591D" w:rsidRPr="00371605">
        <w:t xml:space="preserve"> citizenship program. </w:t>
      </w:r>
      <w:r w:rsidR="00D8587F" w:rsidRPr="00371605">
        <w:t xml:space="preserve">While increases to citizenship fees on 1 July 2023 </w:t>
      </w:r>
      <w:r w:rsidR="00333056" w:rsidRPr="00371605">
        <w:t xml:space="preserve">were effected </w:t>
      </w:r>
      <w:r w:rsidR="00D8587F" w:rsidRPr="00371605">
        <w:t xml:space="preserve">by way of amendments to Schedule 3 to the </w:t>
      </w:r>
      <w:r w:rsidR="00224F7E" w:rsidRPr="00371605">
        <w:rPr>
          <w:color w:val="000000"/>
        </w:rPr>
        <w:t>Citizenship Regulation</w:t>
      </w:r>
      <w:r w:rsidR="00D8587F" w:rsidRPr="00371605">
        <w:t xml:space="preserve">, amendments were not made to section 17 to reflect a consequential change </w:t>
      </w:r>
      <w:r w:rsidR="00224F7E" w:rsidRPr="00371605">
        <w:t>to provide, where applicable, for a refund of the</w:t>
      </w:r>
      <w:r w:rsidR="00D8587F" w:rsidRPr="00371605">
        <w:t xml:space="preserve"> proportion of the fee that represents the component of the fee that relates to the sitting of a citizenship test</w:t>
      </w:r>
      <w:r w:rsidR="00224F7E" w:rsidRPr="00371605">
        <w:t>.</w:t>
      </w:r>
    </w:p>
    <w:p w14:paraId="170C7900" w14:textId="77777777" w:rsidR="00C13DE0" w:rsidRPr="00371605" w:rsidRDefault="00C13DE0" w:rsidP="00C13DE0">
      <w:pPr>
        <w:spacing w:before="0"/>
        <w:ind w:right="42"/>
        <w:rPr>
          <w:color w:val="000000"/>
          <w:shd w:val="clear" w:color="auto" w:fill="FFFFFF"/>
        </w:rPr>
      </w:pPr>
    </w:p>
    <w:p w14:paraId="5D048CA3" w14:textId="283E50E3" w:rsidR="008C58C0" w:rsidRPr="00371605" w:rsidRDefault="001E3968" w:rsidP="00632815">
      <w:pPr>
        <w:keepNext/>
        <w:keepLines/>
        <w:spacing w:before="0"/>
        <w:ind w:right="91"/>
      </w:pPr>
      <w:r w:rsidRPr="00371605">
        <w:t>The Regulations provide for the c</w:t>
      </w:r>
      <w:r w:rsidR="00F91C96" w:rsidRPr="00371605">
        <w:t>alculati</w:t>
      </w:r>
      <w:r w:rsidRPr="00371605">
        <w:t>on of</w:t>
      </w:r>
      <w:r w:rsidR="00F91C96" w:rsidRPr="00371605">
        <w:t xml:space="preserve"> refunds by determining the difference between relevant amounts set out in Schedule 3 to the </w:t>
      </w:r>
      <w:r w:rsidR="001F0FB2" w:rsidRPr="00371605">
        <w:t xml:space="preserve">Citizenship </w:t>
      </w:r>
      <w:r w:rsidR="00F91C96" w:rsidRPr="00371605">
        <w:t>Regulation, instead of applying dollar figure amounts</w:t>
      </w:r>
      <w:r w:rsidRPr="00371605">
        <w:t xml:space="preserve"> </w:t>
      </w:r>
      <w:r w:rsidR="005F073E" w:rsidRPr="00371605">
        <w:t xml:space="preserve">this </w:t>
      </w:r>
      <w:r w:rsidR="00885AA3" w:rsidRPr="00371605">
        <w:t xml:space="preserve">ensures amendments to </w:t>
      </w:r>
      <w:r w:rsidR="001F0FB2" w:rsidRPr="00371605">
        <w:t xml:space="preserve">section 17 of the Citizenship Regulation </w:t>
      </w:r>
      <w:r w:rsidR="006C1682" w:rsidRPr="00371605">
        <w:t>are</w:t>
      </w:r>
      <w:r w:rsidR="001F0FB2" w:rsidRPr="00371605">
        <w:t xml:space="preserve"> </w:t>
      </w:r>
      <w:r w:rsidR="00885AA3" w:rsidRPr="00371605">
        <w:t xml:space="preserve">not required in the event of </w:t>
      </w:r>
      <w:r w:rsidR="001F0FB2" w:rsidRPr="00371605">
        <w:t xml:space="preserve">any </w:t>
      </w:r>
      <w:r w:rsidR="00885AA3" w:rsidRPr="00371605">
        <w:t>future citizenship application fee increases.</w:t>
      </w:r>
    </w:p>
    <w:p w14:paraId="0D4721DC" w14:textId="7CD64D63" w:rsidR="00A82CEB" w:rsidRPr="00371605" w:rsidRDefault="00A82CEB" w:rsidP="00A82CEB">
      <w:r w:rsidRPr="00371605">
        <w:t>The Regulations apply retrospectively in relation to a</w:t>
      </w:r>
      <w:r w:rsidR="001F0FB2" w:rsidRPr="00371605">
        <w:t xml:space="preserve"> refund for a</w:t>
      </w:r>
      <w:r w:rsidRPr="00371605">
        <w:t xml:space="preserve"> citizenship application </w:t>
      </w:r>
      <w:r w:rsidR="004875BD" w:rsidRPr="00371605">
        <w:t>made on or after</w:t>
      </w:r>
      <w:r w:rsidRPr="00371605">
        <w:t xml:space="preserve"> 1 July 2023 to </w:t>
      </w:r>
      <w:r w:rsidR="004875BD" w:rsidRPr="00371605">
        <w:t xml:space="preserve">address </w:t>
      </w:r>
      <w:r w:rsidR="00696A84" w:rsidRPr="00371605">
        <w:t xml:space="preserve">an </w:t>
      </w:r>
      <w:r w:rsidRPr="00371605">
        <w:t>inadvertent oversight</w:t>
      </w:r>
      <w:r w:rsidR="004504A3" w:rsidRPr="00371605">
        <w:t xml:space="preserve"> regarding consequential amendments that were not covered by the </w:t>
      </w:r>
      <w:r w:rsidR="004504A3" w:rsidRPr="00371605">
        <w:rPr>
          <w:i/>
        </w:rPr>
        <w:t>Australian Citizenship Amendment (Indexation of Citizenship Application Fees) Regulations 2023</w:t>
      </w:r>
      <w:r w:rsidRPr="00371605">
        <w:t>.</w:t>
      </w:r>
      <w:r w:rsidRPr="00371605">
        <w:rPr>
          <w:rStyle w:val="ui-provider"/>
        </w:rPr>
        <w:t xml:space="preserve"> This provision is entirely beneficial to citizenship applicants</w:t>
      </w:r>
      <w:r w:rsidR="001F0FB2" w:rsidRPr="00371605">
        <w:rPr>
          <w:rStyle w:val="ui-provider"/>
        </w:rPr>
        <w:t xml:space="preserve"> who are</w:t>
      </w:r>
      <w:r w:rsidRPr="00371605">
        <w:rPr>
          <w:rStyle w:val="ui-provider"/>
        </w:rPr>
        <w:t xml:space="preserve"> eligible for a refund of application fees </w:t>
      </w:r>
      <w:r w:rsidR="004875BD" w:rsidRPr="00371605">
        <w:rPr>
          <w:rStyle w:val="ui-provider"/>
        </w:rPr>
        <w:t>in relation to an application made on</w:t>
      </w:r>
      <w:r w:rsidR="001F0FB2" w:rsidRPr="00371605">
        <w:rPr>
          <w:rStyle w:val="ui-provider"/>
        </w:rPr>
        <w:t xml:space="preserve"> </w:t>
      </w:r>
      <w:r w:rsidR="00FA634B" w:rsidRPr="00371605">
        <w:rPr>
          <w:rStyle w:val="ui-provider"/>
        </w:rPr>
        <w:t xml:space="preserve">or </w:t>
      </w:r>
      <w:r w:rsidR="001F0FB2" w:rsidRPr="00371605">
        <w:rPr>
          <w:rStyle w:val="ui-provider"/>
        </w:rPr>
        <w:t xml:space="preserve">after </w:t>
      </w:r>
      <w:r w:rsidRPr="00371605">
        <w:rPr>
          <w:rStyle w:val="ui-provider"/>
        </w:rPr>
        <w:t xml:space="preserve">1 July 2023.  </w:t>
      </w:r>
      <w:r w:rsidR="004504A3" w:rsidRPr="00371605">
        <w:t xml:space="preserve">This accords with section 12 of the Legislation </w:t>
      </w:r>
      <w:r w:rsidR="004504A3" w:rsidRPr="00371605">
        <w:lastRenderedPageBreak/>
        <w:t>Act, which provides that if a legislative instrument commences retrospectively, it must not adversely affect the rights, or impose liabilities on a person</w:t>
      </w:r>
    </w:p>
    <w:p w14:paraId="3FB1B1E4" w14:textId="3E2633A3" w:rsidR="00F40AD8" w:rsidRPr="00371605" w:rsidRDefault="00F40AD8" w:rsidP="00F40AD8">
      <w:pPr>
        <w:rPr>
          <w:color w:val="000000"/>
          <w:sz w:val="22"/>
          <w:szCs w:val="22"/>
        </w:rPr>
      </w:pPr>
      <w:r w:rsidRPr="00371605">
        <w:rPr>
          <w:color w:val="000000"/>
        </w:rPr>
        <w:t>The amendments to the</w:t>
      </w:r>
      <w:r w:rsidR="005C134F" w:rsidRPr="00371605">
        <w:rPr>
          <w:color w:val="000000"/>
        </w:rPr>
        <w:t xml:space="preserve"> Citizenship Regulation</w:t>
      </w:r>
      <w:r w:rsidR="005519B4" w:rsidRPr="00371605">
        <w:rPr>
          <w:color w:val="000000"/>
        </w:rPr>
        <w:t xml:space="preserve"> </w:t>
      </w:r>
      <w:r w:rsidRPr="00371605">
        <w:rPr>
          <w:color w:val="000000"/>
        </w:rPr>
        <w:t>relate to matters of detail and are therefore appropriate for inclusion in regulations.</w:t>
      </w:r>
    </w:p>
    <w:p w14:paraId="1F0250C5" w14:textId="77777777" w:rsidR="00F40AD8" w:rsidRPr="00371605" w:rsidRDefault="00F40AD8" w:rsidP="00F40AD8">
      <w:pPr>
        <w:spacing w:before="0"/>
      </w:pPr>
    </w:p>
    <w:p w14:paraId="299D6D28" w14:textId="15C9CBB0" w:rsidR="0024360E" w:rsidRPr="00371605" w:rsidRDefault="0024360E">
      <w:pPr>
        <w:spacing w:before="0"/>
      </w:pPr>
      <w:r w:rsidRPr="00371605">
        <w:t>A Statement of Compatibility w</w:t>
      </w:r>
      <w:r w:rsidR="00165075" w:rsidRPr="00371605">
        <w:t>ith Human Rights</w:t>
      </w:r>
      <w:r w:rsidRPr="00371605">
        <w:t xml:space="preserve"> has been completed in accordance with the </w:t>
      </w:r>
      <w:r w:rsidRPr="00371605">
        <w:rPr>
          <w:i/>
          <w:iCs/>
        </w:rPr>
        <w:t>Human Rights (Parliamentary Scrutiny) Act 2011</w:t>
      </w:r>
      <w:r w:rsidR="00B43D98" w:rsidRPr="00371605">
        <w:t xml:space="preserve">. </w:t>
      </w:r>
      <w:r w:rsidRPr="00371605">
        <w:t xml:space="preserve">The overall assessment is that </w:t>
      </w:r>
      <w:r w:rsidR="001678AF" w:rsidRPr="00371605">
        <w:t xml:space="preserve">the Regulations do not </w:t>
      </w:r>
      <w:r w:rsidR="00F636F9" w:rsidRPr="00371605">
        <w:t>raise any human rights issues</w:t>
      </w:r>
      <w:r w:rsidR="00B43D98" w:rsidRPr="00371605">
        <w:t xml:space="preserve">. </w:t>
      </w:r>
      <w:r w:rsidR="00813E87" w:rsidRPr="00371605">
        <w:br/>
      </w:r>
      <w:r w:rsidRPr="00371605">
        <w:t xml:space="preserve">A copy of the Statement is at </w:t>
      </w:r>
      <w:r w:rsidR="0074200D" w:rsidRPr="00371605">
        <w:rPr>
          <w:u w:val="single"/>
        </w:rPr>
        <w:t>Attachment A</w:t>
      </w:r>
      <w:r w:rsidRPr="00371605">
        <w:t>.</w:t>
      </w:r>
    </w:p>
    <w:p w14:paraId="299D6D29" w14:textId="77777777" w:rsidR="0024360E" w:rsidRPr="00371605" w:rsidRDefault="0024360E">
      <w:pPr>
        <w:spacing w:before="0"/>
      </w:pPr>
    </w:p>
    <w:p w14:paraId="299D6D2A" w14:textId="5904FF68" w:rsidR="0024360E" w:rsidRPr="00371605" w:rsidRDefault="0024360E">
      <w:pPr>
        <w:spacing w:before="0"/>
      </w:pPr>
      <w:r w:rsidRPr="00371605">
        <w:t xml:space="preserve">The Office </w:t>
      </w:r>
      <w:r w:rsidR="001F0FB2" w:rsidRPr="00371605">
        <w:t>Impact Analysis</w:t>
      </w:r>
      <w:r w:rsidRPr="00371605">
        <w:t xml:space="preserve"> (the </w:t>
      </w:r>
      <w:r w:rsidR="001F0FB2" w:rsidRPr="00371605">
        <w:t>OIA</w:t>
      </w:r>
      <w:r w:rsidRPr="00371605">
        <w:t xml:space="preserve">) has been consulted </w:t>
      </w:r>
      <w:r w:rsidR="00B43D98" w:rsidRPr="00371605">
        <w:t xml:space="preserve">in relation to the amendments. </w:t>
      </w:r>
      <w:r w:rsidRPr="00371605">
        <w:t>No Regulation Impact Stat</w:t>
      </w:r>
      <w:r w:rsidR="00B43D98" w:rsidRPr="00371605">
        <w:t xml:space="preserve">ement is required. </w:t>
      </w:r>
      <w:r w:rsidRPr="00371605">
        <w:t xml:space="preserve">The </w:t>
      </w:r>
      <w:r w:rsidR="001F0FB2" w:rsidRPr="00371605">
        <w:t xml:space="preserve">OIA </w:t>
      </w:r>
      <w:r w:rsidRPr="00371605">
        <w:t xml:space="preserve">consultation reference number is </w:t>
      </w:r>
      <w:r w:rsidR="00EE61D8" w:rsidRPr="00371605">
        <w:t>OIA23-</w:t>
      </w:r>
      <w:r w:rsidR="00FA634B" w:rsidRPr="00371605">
        <w:t>04789</w:t>
      </w:r>
      <w:r w:rsidR="00BE2524" w:rsidRPr="00371605">
        <w:t>.</w:t>
      </w:r>
    </w:p>
    <w:p w14:paraId="628B197F" w14:textId="77777777" w:rsidR="00B11AD6" w:rsidRPr="00371605" w:rsidRDefault="00B11AD6">
      <w:pPr>
        <w:spacing w:before="0"/>
      </w:pPr>
    </w:p>
    <w:p w14:paraId="409021B3" w14:textId="562D616B" w:rsidR="00B11AD6" w:rsidRPr="00371605" w:rsidRDefault="00B11AD6" w:rsidP="00B11AD6">
      <w:pPr>
        <w:tabs>
          <w:tab w:val="left" w:pos="6521"/>
        </w:tabs>
        <w:spacing w:before="0"/>
        <w:ind w:right="521"/>
        <w:rPr>
          <w:i/>
        </w:rPr>
      </w:pPr>
      <w:r w:rsidRPr="00371605">
        <w:t xml:space="preserve">No consultation was undertaken as the amendment </w:t>
      </w:r>
      <w:r w:rsidR="00E21DEB" w:rsidRPr="00371605">
        <w:t>does</w:t>
      </w:r>
      <w:r w:rsidRPr="00371605">
        <w:t xml:space="preserve"> not substantially alter existing arrangements</w:t>
      </w:r>
      <w:r w:rsidR="00316881" w:rsidRPr="00371605">
        <w:t>.</w:t>
      </w:r>
      <w:r w:rsidRPr="00371605">
        <w:t xml:space="preserve"> This accords with section 17 of the </w:t>
      </w:r>
      <w:r w:rsidRPr="00371605">
        <w:rPr>
          <w:i/>
        </w:rPr>
        <w:t>Legislation Act</w:t>
      </w:r>
      <w:r w:rsidR="00804FE6" w:rsidRPr="00371605">
        <w:rPr>
          <w:i/>
        </w:rPr>
        <w:t xml:space="preserve"> 2003</w:t>
      </w:r>
      <w:r w:rsidRPr="00371605">
        <w:rPr>
          <w:i/>
        </w:rPr>
        <w:t>.</w:t>
      </w:r>
    </w:p>
    <w:p w14:paraId="353829D7" w14:textId="16CEC562" w:rsidR="00231291" w:rsidRPr="00371605" w:rsidRDefault="00231291">
      <w:pPr>
        <w:spacing w:before="0"/>
        <w:rPr>
          <w:color w:val="000000"/>
        </w:rPr>
      </w:pPr>
    </w:p>
    <w:p w14:paraId="06FB7611" w14:textId="5901BCCD" w:rsidR="00B11AD6" w:rsidRPr="00371605" w:rsidRDefault="00B11AD6" w:rsidP="00B11AD6">
      <w:pPr>
        <w:tabs>
          <w:tab w:val="left" w:pos="6521"/>
        </w:tabs>
        <w:spacing w:before="0"/>
        <w:ind w:right="521"/>
      </w:pPr>
      <w:r w:rsidRPr="00371605">
        <w:t xml:space="preserve">The amendments commence on </w:t>
      </w:r>
      <w:r w:rsidR="00944084" w:rsidRPr="00371605">
        <w:rPr>
          <w:rFonts w:eastAsia="SimSun"/>
        </w:rPr>
        <w:t>the day after registration on the Federal Register of Legislation</w:t>
      </w:r>
      <w:r w:rsidR="00262009" w:rsidRPr="00371605">
        <w:t>.</w:t>
      </w:r>
    </w:p>
    <w:p w14:paraId="299D6D31" w14:textId="1E1DCB5D" w:rsidR="0024360E" w:rsidRPr="00371605" w:rsidRDefault="0024360E">
      <w:pPr>
        <w:tabs>
          <w:tab w:val="left" w:pos="6521"/>
        </w:tabs>
        <w:spacing w:before="0"/>
        <w:ind w:right="521"/>
      </w:pPr>
    </w:p>
    <w:p w14:paraId="5157C2D0" w14:textId="773E4054" w:rsidR="00231291" w:rsidRPr="00371605" w:rsidRDefault="0024360E">
      <w:pPr>
        <w:spacing w:before="0"/>
        <w:ind w:right="91"/>
      </w:pPr>
      <w:r w:rsidRPr="00371605">
        <w:t xml:space="preserve">Further details of the Regulations are set out in </w:t>
      </w:r>
      <w:r w:rsidR="0074200D" w:rsidRPr="00371605">
        <w:rPr>
          <w:u w:val="single"/>
        </w:rPr>
        <w:t>Attachment B</w:t>
      </w:r>
      <w:r w:rsidRPr="00371605">
        <w:t>.</w:t>
      </w:r>
    </w:p>
    <w:p w14:paraId="64D7D06C" w14:textId="5241E3AD" w:rsidR="00231291" w:rsidRPr="00371605" w:rsidRDefault="00231291">
      <w:pPr>
        <w:spacing w:before="0"/>
        <w:ind w:right="91"/>
      </w:pPr>
    </w:p>
    <w:p w14:paraId="0CA4C649" w14:textId="16DEEC56" w:rsidR="00231291" w:rsidRPr="00371605" w:rsidRDefault="00231291" w:rsidP="00231291">
      <w:pPr>
        <w:tabs>
          <w:tab w:val="left" w:pos="6521"/>
        </w:tabs>
        <w:spacing w:before="0"/>
        <w:ind w:right="521"/>
      </w:pPr>
      <w:r w:rsidRPr="00371605">
        <w:t xml:space="preserve">The Department </w:t>
      </w:r>
      <w:r w:rsidR="00813E87" w:rsidRPr="00371605">
        <w:t xml:space="preserve">of Home Affairs </w:t>
      </w:r>
      <w:r w:rsidRPr="00371605">
        <w:t>follows standard practices to notify clients about the Regulation, including updating its website and notifying peak bodies.</w:t>
      </w:r>
    </w:p>
    <w:p w14:paraId="299D6D33" w14:textId="5DD7D0FF" w:rsidR="0024360E" w:rsidRPr="00371605" w:rsidRDefault="0024360E">
      <w:pPr>
        <w:tabs>
          <w:tab w:val="left" w:pos="6521"/>
        </w:tabs>
        <w:spacing w:before="0"/>
        <w:ind w:right="521"/>
      </w:pPr>
    </w:p>
    <w:p w14:paraId="299D6D34" w14:textId="67660BBC" w:rsidR="0024360E" w:rsidRPr="00371605" w:rsidRDefault="0024360E">
      <w:pPr>
        <w:tabs>
          <w:tab w:val="left" w:pos="6521"/>
        </w:tabs>
        <w:spacing w:before="0"/>
        <w:ind w:right="42"/>
      </w:pPr>
      <w:r w:rsidRPr="00371605">
        <w:t xml:space="preserve">The </w:t>
      </w:r>
      <w:r w:rsidR="00CA2871" w:rsidRPr="00371605">
        <w:t xml:space="preserve">Citizenship </w:t>
      </w:r>
      <w:r w:rsidRPr="00371605">
        <w:t>Act specifies no conditions that need to be satisfied before the power to make th</w:t>
      </w:r>
      <w:r w:rsidR="00BE2524" w:rsidRPr="00371605">
        <w:t>e Regulations may be exercised.</w:t>
      </w:r>
    </w:p>
    <w:p w14:paraId="299D6D35" w14:textId="77777777" w:rsidR="0024360E" w:rsidRPr="00371605" w:rsidRDefault="0024360E">
      <w:pPr>
        <w:tabs>
          <w:tab w:val="left" w:pos="6521"/>
        </w:tabs>
        <w:spacing w:before="0"/>
        <w:ind w:right="42"/>
      </w:pPr>
    </w:p>
    <w:p w14:paraId="299D6D38" w14:textId="5341E846" w:rsidR="0024360E" w:rsidRPr="00371605" w:rsidRDefault="00CA2871" w:rsidP="0074200D">
      <w:pPr>
        <w:tabs>
          <w:tab w:val="left" w:pos="6521"/>
        </w:tabs>
        <w:spacing w:before="0"/>
        <w:ind w:right="-2"/>
      </w:pPr>
      <w:r w:rsidRPr="00371605">
        <w:t>The Regulation</w:t>
      </w:r>
      <w:r w:rsidR="005519B4" w:rsidRPr="00371605">
        <w:t>s</w:t>
      </w:r>
      <w:r w:rsidRPr="00371605">
        <w:t xml:space="preserve"> </w:t>
      </w:r>
      <w:r w:rsidR="005519B4" w:rsidRPr="00371605">
        <w:t>are</w:t>
      </w:r>
      <w:r w:rsidRPr="00371605">
        <w:t xml:space="preserve"> a</w:t>
      </w:r>
      <w:r w:rsidR="0024360E" w:rsidRPr="00371605">
        <w:t xml:space="preserve"> legislative instrument for the purposes of the Legislation Act.</w:t>
      </w:r>
    </w:p>
    <w:p w14:paraId="299D6D91" w14:textId="5CC1423B" w:rsidR="00265286" w:rsidRPr="00371605" w:rsidRDefault="00265286" w:rsidP="00F91C96">
      <w:pPr>
        <w:spacing w:before="0" w:after="160" w:line="259" w:lineRule="auto"/>
      </w:pPr>
    </w:p>
    <w:p w14:paraId="7D16AB7E" w14:textId="22DCBD7A" w:rsidR="00630710" w:rsidRPr="00371605" w:rsidRDefault="00630710">
      <w:pPr>
        <w:spacing w:before="0" w:after="160" w:line="259" w:lineRule="auto"/>
      </w:pPr>
      <w:r w:rsidRPr="00371605">
        <w:br w:type="page"/>
      </w:r>
    </w:p>
    <w:p w14:paraId="2F61B388" w14:textId="217680B6" w:rsidR="00E846BA" w:rsidRPr="00371605" w:rsidRDefault="00E846BA" w:rsidP="00E846BA">
      <w:pPr>
        <w:tabs>
          <w:tab w:val="left" w:pos="345"/>
        </w:tabs>
        <w:spacing w:before="0"/>
        <w:ind w:right="43"/>
        <w:jc w:val="right"/>
        <w:rPr>
          <w:b/>
          <w:bCs/>
          <w:u w:val="single"/>
        </w:rPr>
      </w:pPr>
      <w:r w:rsidRPr="00371605">
        <w:rPr>
          <w:b/>
          <w:bCs/>
          <w:u w:val="single"/>
        </w:rPr>
        <w:lastRenderedPageBreak/>
        <w:t>ATTACHMENT A</w:t>
      </w:r>
    </w:p>
    <w:p w14:paraId="5A349551" w14:textId="10888F8F" w:rsidR="00E846BA" w:rsidRPr="00371605" w:rsidRDefault="00E846BA" w:rsidP="00E846BA">
      <w:pPr>
        <w:tabs>
          <w:tab w:val="left" w:pos="345"/>
        </w:tabs>
        <w:spacing w:before="0"/>
        <w:ind w:right="43"/>
        <w:jc w:val="right"/>
        <w:rPr>
          <w:b/>
          <w:bCs/>
          <w:u w:val="single"/>
        </w:rPr>
      </w:pPr>
    </w:p>
    <w:p w14:paraId="39BD7F84" w14:textId="77777777" w:rsidR="00E846BA" w:rsidRPr="00371605" w:rsidRDefault="00E846BA" w:rsidP="00E846BA">
      <w:pPr>
        <w:spacing w:before="360" w:after="120"/>
        <w:jc w:val="center"/>
        <w:outlineLvl w:val="1"/>
        <w:rPr>
          <w:rFonts w:eastAsia="Calibri"/>
          <w:b/>
          <w:sz w:val="28"/>
          <w:szCs w:val="28"/>
          <w:lang w:eastAsia="en-US"/>
        </w:rPr>
      </w:pPr>
      <w:r w:rsidRPr="00371605">
        <w:rPr>
          <w:rFonts w:eastAsia="Calibri"/>
          <w:b/>
          <w:sz w:val="28"/>
          <w:szCs w:val="28"/>
          <w:lang w:eastAsia="en-US"/>
        </w:rPr>
        <w:t>Statement of Compatibility with Human Rights</w:t>
      </w:r>
    </w:p>
    <w:p w14:paraId="35D1BAD4" w14:textId="77777777" w:rsidR="00E846BA" w:rsidRPr="00371605" w:rsidRDefault="00E846BA" w:rsidP="00E846BA">
      <w:pPr>
        <w:spacing w:before="120"/>
        <w:jc w:val="center"/>
        <w:rPr>
          <w:rFonts w:eastAsia="Calibri"/>
          <w:lang w:eastAsia="en-US"/>
        </w:rPr>
      </w:pPr>
      <w:r w:rsidRPr="00371605">
        <w:rPr>
          <w:rFonts w:eastAsia="Calibri"/>
          <w:i/>
          <w:lang w:eastAsia="en-US"/>
        </w:rPr>
        <w:t>Prepared in accordance with Part 3 of the Human Rights (Parliamentary Scrutiny) Act 2011</w:t>
      </w:r>
    </w:p>
    <w:p w14:paraId="49F9229E" w14:textId="77777777" w:rsidR="00E846BA" w:rsidRPr="00371605" w:rsidRDefault="00E846BA" w:rsidP="00E846BA">
      <w:pPr>
        <w:spacing w:before="0"/>
        <w:jc w:val="center"/>
        <w:rPr>
          <w:rFonts w:eastAsia="Calibri"/>
          <w:lang w:eastAsia="en-US"/>
        </w:rPr>
      </w:pPr>
    </w:p>
    <w:p w14:paraId="61F816D2" w14:textId="624ACF2C" w:rsidR="00E846BA" w:rsidRPr="00371605" w:rsidRDefault="00E846BA" w:rsidP="00E846BA">
      <w:pPr>
        <w:tabs>
          <w:tab w:val="left" w:pos="345"/>
        </w:tabs>
        <w:spacing w:before="0"/>
        <w:ind w:right="43"/>
        <w:jc w:val="center"/>
        <w:rPr>
          <w:b/>
          <w:i/>
        </w:rPr>
      </w:pPr>
      <w:r w:rsidRPr="00371605">
        <w:rPr>
          <w:b/>
          <w:i/>
        </w:rPr>
        <w:t>Australian Citizenship Amendment (Refund of Fees) Regulations 2023</w:t>
      </w:r>
    </w:p>
    <w:p w14:paraId="6AFAC796" w14:textId="6F231E12" w:rsidR="00E846BA" w:rsidRPr="00371605" w:rsidRDefault="00E846BA" w:rsidP="00E846BA">
      <w:pPr>
        <w:tabs>
          <w:tab w:val="left" w:pos="345"/>
        </w:tabs>
        <w:spacing w:before="0"/>
        <w:ind w:right="43"/>
        <w:jc w:val="right"/>
        <w:rPr>
          <w:b/>
          <w:i/>
        </w:rPr>
      </w:pPr>
    </w:p>
    <w:p w14:paraId="1E7975F7" w14:textId="77777777" w:rsidR="003E0DBF" w:rsidRPr="00371605" w:rsidRDefault="003E0DBF" w:rsidP="003E0DBF">
      <w:pPr>
        <w:jc w:val="center"/>
        <w:rPr>
          <w:rFonts w:eastAsia="Calibri"/>
        </w:rPr>
      </w:pPr>
      <w:r w:rsidRPr="00371605">
        <w:rPr>
          <w:rFonts w:eastAsia="Calibri"/>
        </w:rPr>
        <w:t xml:space="preserve">This Disallowable Legislative Instrument is compatible with the human rights and freedoms recognised or declared in the international instruments listed in section 3 of the </w:t>
      </w:r>
      <w:r w:rsidRPr="00371605">
        <w:rPr>
          <w:rFonts w:eastAsia="Calibri"/>
          <w:i/>
        </w:rPr>
        <w:t>Human Rights (Parliamentary Scrutiny) Act 2011</w:t>
      </w:r>
      <w:r w:rsidRPr="00371605">
        <w:rPr>
          <w:rFonts w:eastAsia="Calibri"/>
        </w:rPr>
        <w:t>.</w:t>
      </w:r>
    </w:p>
    <w:p w14:paraId="54AF7CCB" w14:textId="77777777" w:rsidR="003E0DBF" w:rsidRPr="00371605" w:rsidRDefault="003E0DBF" w:rsidP="003E0DBF">
      <w:pPr>
        <w:spacing w:after="120"/>
        <w:jc w:val="both"/>
        <w:outlineLvl w:val="2"/>
        <w:rPr>
          <w:rFonts w:eastAsia="Calibri"/>
          <w:b/>
        </w:rPr>
      </w:pPr>
      <w:r w:rsidRPr="00371605">
        <w:rPr>
          <w:rFonts w:eastAsia="Calibri"/>
          <w:b/>
        </w:rPr>
        <w:t>Overview of the Disallowable Legislative Instrument</w:t>
      </w:r>
    </w:p>
    <w:p w14:paraId="6B536943" w14:textId="6C9999A7" w:rsidR="003E0DBF" w:rsidRPr="00371605" w:rsidRDefault="003E0DBF" w:rsidP="003E0DBF">
      <w:pPr>
        <w:spacing w:before="120" w:after="120"/>
        <w:rPr>
          <w:rFonts w:eastAsia="Calibri"/>
        </w:rPr>
      </w:pPr>
      <w:r w:rsidRPr="00371605">
        <w:rPr>
          <w:rFonts w:eastAsia="Calibri"/>
        </w:rPr>
        <w:t xml:space="preserve">The </w:t>
      </w:r>
      <w:r w:rsidRPr="00371605">
        <w:rPr>
          <w:rFonts w:eastAsia="Calibri"/>
          <w:i/>
        </w:rPr>
        <w:t>Australian Citizenship Act 2007</w:t>
      </w:r>
      <w:r w:rsidRPr="00371605">
        <w:rPr>
          <w:rFonts w:eastAsia="Calibri"/>
        </w:rPr>
        <w:t xml:space="preserve"> (the Citizenship Act) provides for the process of becoming an Australian citizen, the circumstances in which citizenship may cease, and other related matters.</w:t>
      </w:r>
    </w:p>
    <w:p w14:paraId="79FA104B" w14:textId="5BA89820" w:rsidR="003E0DBF" w:rsidRPr="00371605" w:rsidRDefault="003E0DBF" w:rsidP="003E0DBF">
      <w:pPr>
        <w:spacing w:before="120" w:after="120"/>
        <w:rPr>
          <w:rFonts w:eastAsia="Calibri"/>
        </w:rPr>
      </w:pPr>
      <w:r w:rsidRPr="00371605">
        <w:rPr>
          <w:rFonts w:eastAsia="Calibri"/>
        </w:rPr>
        <w:t>Section 54 of the Citizenship Act provides that the Governor-General may make regulations prescribing matters required or permitted by the Citizenship Act to be prescribed, or necessary or convenient to be prescribed, for carrying out or giving effect to the Citizenship Act. Paragraph 46(1</w:t>
      </w:r>
      <w:proofErr w:type="gramStart"/>
      <w:r w:rsidRPr="00371605">
        <w:rPr>
          <w:rFonts w:eastAsia="Calibri"/>
        </w:rPr>
        <w:t>)(</w:t>
      </w:r>
      <w:proofErr w:type="gramEnd"/>
      <w:r w:rsidRPr="00371605">
        <w:rPr>
          <w:rFonts w:eastAsia="Calibri"/>
        </w:rPr>
        <w:t xml:space="preserve">d) of the Citizenship Act provides that an application made under that Act must be accompanied by the fee prescribed by the regulations.  </w:t>
      </w:r>
    </w:p>
    <w:p w14:paraId="09500F40" w14:textId="66A86F62" w:rsidR="003E0DBF" w:rsidRPr="00371605" w:rsidRDefault="003E0DBF" w:rsidP="003E0DBF">
      <w:pPr>
        <w:spacing w:before="120" w:after="120"/>
        <w:rPr>
          <w:rFonts w:eastAsia="Calibri"/>
        </w:rPr>
      </w:pPr>
      <w:r w:rsidRPr="00371605">
        <w:rPr>
          <w:rFonts w:eastAsia="Calibri"/>
        </w:rPr>
        <w:t xml:space="preserve">The </w:t>
      </w:r>
      <w:r w:rsidRPr="00371605">
        <w:rPr>
          <w:rFonts w:eastAsia="Calibri"/>
          <w:i/>
        </w:rPr>
        <w:t>Australian Citizenship Amendment (Refund of Fees) Regulations 2023</w:t>
      </w:r>
      <w:r w:rsidRPr="00371605">
        <w:rPr>
          <w:rFonts w:eastAsia="Calibri"/>
        </w:rPr>
        <w:t xml:space="preserve"> amends the </w:t>
      </w:r>
      <w:r w:rsidRPr="00371605">
        <w:rPr>
          <w:rFonts w:eastAsia="Calibri"/>
          <w:i/>
        </w:rPr>
        <w:t xml:space="preserve">Australian Citizenship Regulation 2016 </w:t>
      </w:r>
      <w:r w:rsidRPr="00371605">
        <w:rPr>
          <w:rFonts w:eastAsia="Calibri"/>
        </w:rPr>
        <w:t>(the Citizenship Regulation) to provide for the relevant refund amounts under section 17 of the Citizenship Regulation to be calculated with reference to relevant items in Schedule 3 to the Citizenship Regulation rather than express dollar amounts.</w:t>
      </w:r>
    </w:p>
    <w:p w14:paraId="5F65C36B" w14:textId="66C5F205" w:rsidR="003E0DBF" w:rsidRPr="00371605" w:rsidRDefault="003E0DBF" w:rsidP="003E0DBF">
      <w:pPr>
        <w:spacing w:before="120" w:after="120"/>
        <w:rPr>
          <w:rFonts w:eastAsia="Calibri"/>
        </w:rPr>
      </w:pPr>
      <w:r w:rsidRPr="00371605">
        <w:rPr>
          <w:rFonts w:eastAsia="Calibri"/>
        </w:rPr>
        <w:t xml:space="preserve">This amendment addresses consequential amendments that were not covered by </w:t>
      </w:r>
      <w:r w:rsidRPr="00371605">
        <w:rPr>
          <w:rFonts w:eastAsia="Calibri"/>
          <w:i/>
        </w:rPr>
        <w:t xml:space="preserve">Australian Citizenship Amendment (Indexation of Citizenship Application Fees) Regulations 2023 </w:t>
      </w:r>
      <w:r w:rsidRPr="00371605">
        <w:rPr>
          <w:rFonts w:eastAsia="Calibri"/>
        </w:rPr>
        <w:t>(the Amendment Regulations). While the Amendment Regulations effected increases to citizenship fees on 1 July 2023 by way of amendments to Schedule 3 to the Citizenship Regulation, amendments were not similarly made to section 17 to reflect a consequential change to provide, where applicable, for a refund of the proportion of the fee that represents the component of the fee that relates to the sitting of a citizenship test.</w:t>
      </w:r>
    </w:p>
    <w:p w14:paraId="5E06D069" w14:textId="77777777" w:rsidR="003E0DBF" w:rsidRPr="00371605" w:rsidRDefault="003E0DBF" w:rsidP="003E0DBF">
      <w:pPr>
        <w:spacing w:before="120" w:after="120"/>
        <w:rPr>
          <w:rFonts w:eastAsia="Calibri"/>
        </w:rPr>
      </w:pPr>
      <w:r w:rsidRPr="00371605">
        <w:rPr>
          <w:rFonts w:eastAsia="Calibri"/>
        </w:rPr>
        <w:t xml:space="preserve">The amendments of this instrument to subsections 17(4), (5), (6) and (7) of the Citizenship Regulation remove the express dollar figure and instead ensure that the correct amount is refundable in line with the 1 July 2023 fee changes of the Amendment Regulations. </w:t>
      </w:r>
    </w:p>
    <w:p w14:paraId="4676459A" w14:textId="49454AAC" w:rsidR="003E0DBF" w:rsidRPr="00371605" w:rsidRDefault="003E0DBF" w:rsidP="003E0DBF">
      <w:pPr>
        <w:keepNext/>
        <w:keepLines/>
        <w:ind w:right="91"/>
      </w:pPr>
      <w:r w:rsidRPr="00371605">
        <w:t xml:space="preserve">Where payment of a citizenship application fee included a credit card surcharge or </w:t>
      </w:r>
      <w:proofErr w:type="spellStart"/>
      <w:r w:rsidRPr="00371605">
        <w:t>Paypal</w:t>
      </w:r>
      <w:proofErr w:type="spellEnd"/>
      <w:r w:rsidRPr="00371605">
        <w:t xml:space="preserve"> surcharge, the Amendment Regulations also provide that the proportion of the refund of the surcharge is equal to the proportion that the refund amount is of the relevant fee specified in Schedule 3 to the Regulation.  </w:t>
      </w:r>
    </w:p>
    <w:p w14:paraId="42590FA5" w14:textId="77777777" w:rsidR="003E0DBF" w:rsidRPr="00371605" w:rsidRDefault="003E0DBF" w:rsidP="003E0DBF">
      <w:pPr>
        <w:pStyle w:val="BodyText"/>
        <w:rPr>
          <w:rFonts w:ascii="Times New Roman" w:hAnsi="Times New Roman" w:cs="Times New Roman"/>
          <w:color w:val="auto"/>
          <w:sz w:val="24"/>
          <w:szCs w:val="24"/>
          <w:lang w:eastAsia="en-AU"/>
        </w:rPr>
      </w:pPr>
      <w:r w:rsidRPr="00371605">
        <w:rPr>
          <w:rFonts w:ascii="Times New Roman" w:hAnsi="Times New Roman" w:cs="Times New Roman"/>
          <w:color w:val="auto"/>
          <w:sz w:val="24"/>
          <w:szCs w:val="24"/>
          <w:lang w:eastAsia="en-AU"/>
        </w:rPr>
        <w:t>Calculating refunds by determining the difference between relevant amounts set out in Schedule 3 to the Citizenship Regulation, instead of applying dollar figure amounts, also ensures amendments to section 17 of the Citizenship Regulation are not required in the event of any future citizenship application fee changes.</w:t>
      </w:r>
    </w:p>
    <w:p w14:paraId="12A90F18" w14:textId="024E8BEB" w:rsidR="003E0DBF" w:rsidRPr="00371605" w:rsidRDefault="003E0DBF" w:rsidP="003E0DBF">
      <w:pPr>
        <w:rPr>
          <w:color w:val="000000"/>
          <w:szCs w:val="20"/>
        </w:rPr>
      </w:pPr>
      <w:r w:rsidRPr="00371605">
        <w:rPr>
          <w:color w:val="000000"/>
          <w:szCs w:val="20"/>
        </w:rPr>
        <w:lastRenderedPageBreak/>
        <w:t>The amendments of this instrument apply retrospectively in relation to an application made on or after 1 July 2023. The amendments are beneficial to citizenship applicants who are eligible for a refund of application fees and paid the increased fee after 1 July 2023.</w:t>
      </w:r>
    </w:p>
    <w:p w14:paraId="7AB4BB4C" w14:textId="77777777" w:rsidR="003E0DBF" w:rsidRPr="00371605" w:rsidRDefault="003E0DBF" w:rsidP="003E0DBF">
      <w:pPr>
        <w:spacing w:after="120"/>
        <w:jc w:val="both"/>
        <w:outlineLvl w:val="2"/>
        <w:rPr>
          <w:rFonts w:eastAsia="Calibri"/>
          <w:b/>
        </w:rPr>
      </w:pPr>
      <w:r w:rsidRPr="00371605">
        <w:rPr>
          <w:rFonts w:eastAsia="Calibri"/>
          <w:b/>
        </w:rPr>
        <w:t>Human rights implications</w:t>
      </w:r>
    </w:p>
    <w:p w14:paraId="02823991" w14:textId="77777777" w:rsidR="003E0DBF" w:rsidRPr="00371605" w:rsidRDefault="003E0DBF" w:rsidP="003E0DBF">
      <w:pPr>
        <w:rPr>
          <w:rFonts w:eastAsia="Times New Roman"/>
          <w:color w:val="000000"/>
          <w:szCs w:val="20"/>
        </w:rPr>
      </w:pPr>
      <w:r w:rsidRPr="00371605">
        <w:rPr>
          <w:color w:val="000000"/>
          <w:szCs w:val="20"/>
        </w:rPr>
        <w:t xml:space="preserve">This Disallowable Legislative Instrument does not engage any of the applicable rights or freedoms as it proposes to make consequential changes that were not made in the Amendment Regulations and are technical in nature. </w:t>
      </w:r>
      <w:r w:rsidRPr="00371605">
        <w:rPr>
          <w:rFonts w:eastAsia="Times New Roman"/>
          <w:color w:val="000000"/>
          <w:szCs w:val="20"/>
        </w:rPr>
        <w:t xml:space="preserve"> </w:t>
      </w:r>
    </w:p>
    <w:p w14:paraId="33CF7CC7" w14:textId="77777777" w:rsidR="003E0DBF" w:rsidRPr="00371605" w:rsidRDefault="003E0DBF" w:rsidP="003E0DBF">
      <w:pPr>
        <w:spacing w:after="120"/>
        <w:jc w:val="both"/>
        <w:outlineLvl w:val="2"/>
        <w:rPr>
          <w:rFonts w:eastAsia="Calibri"/>
          <w:b/>
        </w:rPr>
      </w:pPr>
      <w:r w:rsidRPr="00371605">
        <w:rPr>
          <w:rFonts w:eastAsia="Calibri"/>
          <w:b/>
        </w:rPr>
        <w:t>Conclusion</w:t>
      </w:r>
    </w:p>
    <w:p w14:paraId="39F2B01E" w14:textId="77777777" w:rsidR="003E0DBF" w:rsidRPr="00371605" w:rsidRDefault="003E0DBF" w:rsidP="003E0DBF">
      <w:pPr>
        <w:spacing w:before="120" w:after="120"/>
        <w:rPr>
          <w:rFonts w:eastAsia="Calibri"/>
          <w:szCs w:val="20"/>
        </w:rPr>
      </w:pPr>
      <w:r w:rsidRPr="00371605">
        <w:rPr>
          <w:color w:val="000000"/>
          <w:szCs w:val="20"/>
        </w:rPr>
        <w:t>This Disallowable Legislative Instrument is compatible with human rights as it does not raise any human rights issues.</w:t>
      </w:r>
    </w:p>
    <w:p w14:paraId="2E5B2FDD" w14:textId="77777777" w:rsidR="003E0DBF" w:rsidRPr="00371605" w:rsidRDefault="003E0DBF" w:rsidP="003E0DBF">
      <w:pPr>
        <w:spacing w:line="276" w:lineRule="auto"/>
        <w:rPr>
          <w:rFonts w:eastAsia="Calibri"/>
        </w:rPr>
      </w:pPr>
    </w:p>
    <w:p w14:paraId="12E5DE92" w14:textId="77777777" w:rsidR="003E0DBF" w:rsidRPr="00371605" w:rsidRDefault="003E0DBF" w:rsidP="003E0DBF">
      <w:pPr>
        <w:spacing w:line="276" w:lineRule="auto"/>
        <w:jc w:val="center"/>
        <w:rPr>
          <w:rFonts w:eastAsia="Times New Roman"/>
          <w:color w:val="000000"/>
        </w:rPr>
      </w:pPr>
      <w:r w:rsidRPr="00371605">
        <w:rPr>
          <w:rFonts w:eastAsia="Times New Roman"/>
          <w:b/>
          <w:bCs/>
          <w:color w:val="000000"/>
        </w:rPr>
        <w:t>The Hon Andrew Giles MP</w:t>
      </w:r>
    </w:p>
    <w:p w14:paraId="17984C0D" w14:textId="7946D411" w:rsidR="003E0DBF" w:rsidRPr="00371605" w:rsidRDefault="003E0DBF" w:rsidP="003E0DBF">
      <w:pPr>
        <w:spacing w:line="276" w:lineRule="auto"/>
        <w:jc w:val="center"/>
        <w:rPr>
          <w:rFonts w:eastAsia="Times New Roman"/>
          <w:b/>
          <w:bCs/>
          <w:color w:val="000000"/>
        </w:rPr>
      </w:pPr>
      <w:r w:rsidRPr="00371605">
        <w:rPr>
          <w:rFonts w:eastAsia="Times New Roman"/>
          <w:b/>
          <w:bCs/>
          <w:color w:val="000000"/>
        </w:rPr>
        <w:t>Minister for Immigration, Citizenship and Multicultural Affairs</w:t>
      </w:r>
    </w:p>
    <w:p w14:paraId="58749763" w14:textId="44284ABC" w:rsidR="00E846BA" w:rsidRPr="00371605" w:rsidRDefault="003E0DBF">
      <w:pPr>
        <w:spacing w:before="0" w:after="160" w:line="259" w:lineRule="auto"/>
        <w:rPr>
          <w:rFonts w:eastAsia="Times New Roman"/>
          <w:b/>
          <w:bCs/>
          <w:color w:val="000000"/>
        </w:rPr>
      </w:pPr>
      <w:r w:rsidRPr="00371605">
        <w:rPr>
          <w:rFonts w:eastAsia="Times New Roman"/>
          <w:b/>
          <w:bCs/>
          <w:color w:val="000000"/>
        </w:rPr>
        <w:br w:type="page"/>
      </w:r>
    </w:p>
    <w:p w14:paraId="7CDCC7EC" w14:textId="304DE463" w:rsidR="00630710" w:rsidRPr="00371605" w:rsidRDefault="00630710" w:rsidP="00630710">
      <w:pPr>
        <w:tabs>
          <w:tab w:val="left" w:pos="345"/>
        </w:tabs>
        <w:spacing w:before="0"/>
        <w:ind w:right="43"/>
        <w:jc w:val="right"/>
        <w:rPr>
          <w:b/>
          <w:bCs/>
          <w:u w:val="single"/>
        </w:rPr>
      </w:pPr>
      <w:r w:rsidRPr="00371605">
        <w:rPr>
          <w:b/>
          <w:bCs/>
          <w:u w:val="single"/>
        </w:rPr>
        <w:lastRenderedPageBreak/>
        <w:t>ATTACHMENT B</w:t>
      </w:r>
    </w:p>
    <w:p w14:paraId="3CEE9D2C" w14:textId="77777777" w:rsidR="00630710" w:rsidRPr="00371605" w:rsidRDefault="00630710" w:rsidP="00630710">
      <w:pPr>
        <w:tabs>
          <w:tab w:val="left" w:pos="345"/>
        </w:tabs>
        <w:spacing w:before="0"/>
        <w:ind w:right="43"/>
        <w:rPr>
          <w:b/>
          <w:bCs/>
          <w:u w:val="single"/>
        </w:rPr>
      </w:pPr>
    </w:p>
    <w:p w14:paraId="29108551" w14:textId="7DB76F34" w:rsidR="00630710" w:rsidRPr="00371605" w:rsidRDefault="00630710" w:rsidP="00630710">
      <w:pPr>
        <w:spacing w:before="0"/>
        <w:ind w:right="91"/>
        <w:rPr>
          <w:b/>
          <w:bCs/>
          <w:color w:val="000000" w:themeColor="text1"/>
          <w:u w:val="single"/>
        </w:rPr>
      </w:pPr>
      <w:r w:rsidRPr="00371605">
        <w:rPr>
          <w:b/>
          <w:bCs/>
          <w:color w:val="000000" w:themeColor="text1"/>
          <w:u w:val="single"/>
        </w:rPr>
        <w:t>Details of the Australian Citizenship Amendment (Refund of Fees) Regulations 2023</w:t>
      </w:r>
    </w:p>
    <w:p w14:paraId="79D73037" w14:textId="77777777" w:rsidR="00630710" w:rsidRPr="00371605" w:rsidRDefault="00630710" w:rsidP="00630710">
      <w:pPr>
        <w:spacing w:before="0"/>
        <w:ind w:right="40"/>
        <w:rPr>
          <w:b/>
          <w:i/>
          <w:color w:val="000000" w:themeColor="text1"/>
        </w:rPr>
      </w:pPr>
    </w:p>
    <w:p w14:paraId="4F61AC3C" w14:textId="77777777" w:rsidR="00630710" w:rsidRPr="00371605" w:rsidRDefault="00630710" w:rsidP="00630710">
      <w:pPr>
        <w:pStyle w:val="ItemHead"/>
        <w:keepNext w:val="0"/>
        <w:keepLines w:val="0"/>
        <w:widowControl w:val="0"/>
        <w:spacing w:before="0"/>
        <w:rPr>
          <w:rFonts w:ascii="Times New Roman" w:hAnsi="Times New Roman" w:cs="Times New Roman"/>
          <w:b w:val="0"/>
          <w:bCs w:val="0"/>
          <w:u w:val="single"/>
        </w:rPr>
      </w:pPr>
      <w:r w:rsidRPr="00371605">
        <w:rPr>
          <w:rFonts w:ascii="Times New Roman" w:hAnsi="Times New Roman" w:cs="Times New Roman"/>
          <w:b w:val="0"/>
          <w:bCs w:val="0"/>
          <w:u w:val="single"/>
        </w:rPr>
        <w:t>Section 1 - Name</w:t>
      </w:r>
    </w:p>
    <w:p w14:paraId="7119562E" w14:textId="77777777" w:rsidR="00630710" w:rsidRPr="00371605" w:rsidRDefault="00630710" w:rsidP="00630710">
      <w:pPr>
        <w:spacing w:before="0"/>
        <w:ind w:right="91"/>
      </w:pPr>
    </w:p>
    <w:p w14:paraId="740C217D" w14:textId="16F794CA" w:rsidR="00630710" w:rsidRPr="00371605" w:rsidRDefault="00630710" w:rsidP="00630710">
      <w:pPr>
        <w:spacing w:before="0"/>
        <w:ind w:right="91"/>
        <w:rPr>
          <w:i/>
          <w:iCs/>
        </w:rPr>
      </w:pPr>
      <w:r w:rsidRPr="00371605">
        <w:t xml:space="preserve">This section provides that the name of the instrument is the </w:t>
      </w:r>
      <w:r w:rsidRPr="00371605">
        <w:rPr>
          <w:i/>
        </w:rPr>
        <w:t>Australian Citizenship Amendment (Refund of Fees) Regulations 2023</w:t>
      </w:r>
      <w:r w:rsidRPr="00371605">
        <w:rPr>
          <w:i/>
          <w:iCs/>
        </w:rPr>
        <w:t xml:space="preserve">. </w:t>
      </w:r>
    </w:p>
    <w:p w14:paraId="106D9F24" w14:textId="77777777" w:rsidR="00630710" w:rsidRPr="00371605" w:rsidRDefault="00630710" w:rsidP="00630710">
      <w:pPr>
        <w:spacing w:before="0"/>
        <w:ind w:right="91"/>
        <w:rPr>
          <w:i/>
          <w:iCs/>
        </w:rPr>
      </w:pPr>
    </w:p>
    <w:p w14:paraId="587EDCC0" w14:textId="77777777" w:rsidR="00630710" w:rsidRPr="00371605" w:rsidRDefault="00630710" w:rsidP="00630710">
      <w:pPr>
        <w:spacing w:before="0"/>
        <w:ind w:right="91"/>
        <w:rPr>
          <w:u w:val="single"/>
        </w:rPr>
      </w:pPr>
      <w:r w:rsidRPr="00371605">
        <w:rPr>
          <w:u w:val="single"/>
        </w:rPr>
        <w:t>Section 2 - Commencement</w:t>
      </w:r>
    </w:p>
    <w:p w14:paraId="15E7A631" w14:textId="77777777" w:rsidR="00630710" w:rsidRPr="00371605" w:rsidRDefault="00630710" w:rsidP="00630710">
      <w:pPr>
        <w:spacing w:before="0"/>
        <w:ind w:right="91"/>
        <w:rPr>
          <w:b/>
          <w:bCs/>
          <w:u w:val="single"/>
        </w:rPr>
      </w:pPr>
    </w:p>
    <w:p w14:paraId="72DF639D" w14:textId="6335164D" w:rsidR="00630710" w:rsidRPr="00371605" w:rsidRDefault="00630710" w:rsidP="00630710">
      <w:pPr>
        <w:spacing w:before="0"/>
        <w:rPr>
          <w:rFonts w:eastAsia="SimSun"/>
        </w:rPr>
      </w:pPr>
      <w:r w:rsidRPr="00371605">
        <w:rPr>
          <w:rFonts w:eastAsia="SimSun"/>
        </w:rPr>
        <w:t xml:space="preserve">This section </w:t>
      </w:r>
      <w:r w:rsidRPr="00371605">
        <w:t>provides</w:t>
      </w:r>
      <w:r w:rsidRPr="00371605">
        <w:rPr>
          <w:rFonts w:eastAsia="SimSun"/>
        </w:rPr>
        <w:t xml:space="preserve"> that the Regulations commence on the day after registration on the Federal Register of Legislation.</w:t>
      </w:r>
    </w:p>
    <w:p w14:paraId="7EFD789D" w14:textId="77777777" w:rsidR="00630710" w:rsidRPr="00371605" w:rsidRDefault="00630710" w:rsidP="00630710">
      <w:pPr>
        <w:tabs>
          <w:tab w:val="left" w:pos="6521"/>
        </w:tabs>
        <w:spacing w:before="0"/>
        <w:ind w:right="170"/>
        <w:rPr>
          <w:u w:val="single"/>
        </w:rPr>
      </w:pPr>
    </w:p>
    <w:p w14:paraId="5D092588" w14:textId="77777777" w:rsidR="00630710" w:rsidRPr="00371605" w:rsidRDefault="00630710" w:rsidP="00630710">
      <w:pPr>
        <w:tabs>
          <w:tab w:val="left" w:pos="6521"/>
        </w:tabs>
        <w:spacing w:before="0"/>
        <w:ind w:right="170"/>
        <w:rPr>
          <w:u w:val="single"/>
        </w:rPr>
      </w:pPr>
      <w:r w:rsidRPr="00371605">
        <w:rPr>
          <w:u w:val="single"/>
        </w:rPr>
        <w:t>Section 3 - Authority</w:t>
      </w:r>
    </w:p>
    <w:p w14:paraId="42F1AE0B" w14:textId="77777777" w:rsidR="00630710" w:rsidRPr="00371605" w:rsidRDefault="00630710" w:rsidP="00630710">
      <w:pPr>
        <w:tabs>
          <w:tab w:val="left" w:pos="6521"/>
        </w:tabs>
        <w:spacing w:before="0"/>
        <w:ind w:right="170"/>
      </w:pPr>
    </w:p>
    <w:p w14:paraId="4CAEBB74" w14:textId="77777777" w:rsidR="00630710" w:rsidRPr="00371605" w:rsidRDefault="00630710" w:rsidP="00630710">
      <w:pPr>
        <w:spacing w:before="0"/>
        <w:rPr>
          <w:rFonts w:eastAsia="SimSun"/>
        </w:rPr>
      </w:pPr>
      <w:r w:rsidRPr="00371605">
        <w:rPr>
          <w:rFonts w:eastAsia="SimSun"/>
        </w:rPr>
        <w:t xml:space="preserve">This section </w:t>
      </w:r>
      <w:r w:rsidRPr="00371605">
        <w:t>provides</w:t>
      </w:r>
      <w:r w:rsidRPr="00371605">
        <w:rPr>
          <w:rFonts w:eastAsia="SimSun"/>
        </w:rPr>
        <w:t xml:space="preserve"> that the instrument is made under the </w:t>
      </w:r>
      <w:r w:rsidRPr="00371605">
        <w:rPr>
          <w:rFonts w:eastAsia="SimSun"/>
          <w:i/>
          <w:iCs/>
        </w:rPr>
        <w:t>Australian Citizenship Act 2007</w:t>
      </w:r>
      <w:r w:rsidRPr="00371605">
        <w:rPr>
          <w:rFonts w:eastAsia="SimSun"/>
        </w:rPr>
        <w:t>.</w:t>
      </w:r>
    </w:p>
    <w:p w14:paraId="665A3AB6" w14:textId="77777777" w:rsidR="00630710" w:rsidRPr="00371605" w:rsidRDefault="00630710" w:rsidP="00630710">
      <w:pPr>
        <w:spacing w:before="0"/>
        <w:rPr>
          <w:rFonts w:eastAsia="SimSun"/>
        </w:rPr>
      </w:pPr>
    </w:p>
    <w:p w14:paraId="2E8B55B3" w14:textId="77777777" w:rsidR="00630710" w:rsidRPr="00371605" w:rsidRDefault="00630710" w:rsidP="00630710">
      <w:pPr>
        <w:spacing w:before="0"/>
        <w:rPr>
          <w:rFonts w:eastAsia="SimSun"/>
          <w:u w:val="single"/>
        </w:rPr>
      </w:pPr>
      <w:r w:rsidRPr="00371605">
        <w:rPr>
          <w:rFonts w:eastAsia="SimSun"/>
          <w:u w:val="single"/>
        </w:rPr>
        <w:t>Section 4 - Schedules</w:t>
      </w:r>
    </w:p>
    <w:p w14:paraId="326377FD" w14:textId="77777777" w:rsidR="00630710" w:rsidRPr="00371605" w:rsidRDefault="00630710" w:rsidP="00630710">
      <w:pPr>
        <w:spacing w:before="0"/>
        <w:rPr>
          <w:rFonts w:eastAsia="SimSun"/>
          <w:u w:val="single"/>
        </w:rPr>
      </w:pPr>
    </w:p>
    <w:p w14:paraId="2CFEF516" w14:textId="77777777" w:rsidR="00630710" w:rsidRPr="00371605" w:rsidRDefault="00630710" w:rsidP="00630710">
      <w:pPr>
        <w:spacing w:before="0"/>
      </w:pPr>
      <w:r w:rsidRPr="00371605">
        <w:t>This section provides for how the amendments made by the Regulations operate.</w:t>
      </w:r>
    </w:p>
    <w:p w14:paraId="4C0D0E1B" w14:textId="77777777" w:rsidR="00630710" w:rsidRPr="00371605" w:rsidRDefault="00630710" w:rsidP="00630710">
      <w:pPr>
        <w:spacing w:before="0"/>
      </w:pPr>
    </w:p>
    <w:p w14:paraId="2BE2F5BB" w14:textId="77777777" w:rsidR="00630710" w:rsidRPr="00371605" w:rsidRDefault="00630710" w:rsidP="00630710">
      <w:pPr>
        <w:spacing w:before="0"/>
      </w:pPr>
    </w:p>
    <w:p w14:paraId="3CF9CB32" w14:textId="77777777" w:rsidR="00630710" w:rsidRPr="00371605" w:rsidRDefault="00630710" w:rsidP="00630710">
      <w:pPr>
        <w:spacing w:before="0"/>
        <w:rPr>
          <w:b/>
          <w:u w:val="single"/>
        </w:rPr>
      </w:pPr>
      <w:r w:rsidRPr="00371605">
        <w:rPr>
          <w:b/>
          <w:u w:val="single"/>
        </w:rPr>
        <w:t>Schedule 1 – Amendments</w:t>
      </w:r>
    </w:p>
    <w:p w14:paraId="55F502D9" w14:textId="059FB5D1" w:rsidR="00630710" w:rsidRPr="00371605" w:rsidRDefault="00630710" w:rsidP="00630710">
      <w:pPr>
        <w:spacing w:before="100" w:beforeAutospacing="1"/>
        <w:rPr>
          <w:b/>
        </w:rPr>
      </w:pPr>
      <w:r w:rsidRPr="00371605">
        <w:rPr>
          <w:b/>
        </w:rPr>
        <w:t>Part 1 – Amendments</w:t>
      </w:r>
    </w:p>
    <w:p w14:paraId="337B15D3" w14:textId="77777777" w:rsidR="00630710" w:rsidRPr="00371605" w:rsidRDefault="00630710" w:rsidP="00630710">
      <w:pPr>
        <w:spacing w:before="100" w:beforeAutospacing="1"/>
      </w:pPr>
      <w:r w:rsidRPr="00371605">
        <w:rPr>
          <w:b/>
          <w:i/>
        </w:rPr>
        <w:t xml:space="preserve">Australian Citizenship Regulation 2016 </w:t>
      </w:r>
      <w:r w:rsidRPr="00371605">
        <w:t>(the Citizenship Regulation).</w:t>
      </w:r>
    </w:p>
    <w:p w14:paraId="14011513" w14:textId="25C52D0D" w:rsidR="00630710" w:rsidRPr="00371605" w:rsidRDefault="00630710" w:rsidP="00630710">
      <w:pPr>
        <w:spacing w:before="100" w:beforeAutospacing="1"/>
        <w:rPr>
          <w:b/>
        </w:rPr>
      </w:pPr>
      <w:r w:rsidRPr="00371605">
        <w:rPr>
          <w:b/>
        </w:rPr>
        <w:t xml:space="preserve">Item </w:t>
      </w:r>
      <w:r w:rsidR="0089623B" w:rsidRPr="00371605">
        <w:rPr>
          <w:b/>
        </w:rPr>
        <w:t>[</w:t>
      </w:r>
      <w:r w:rsidRPr="00371605">
        <w:rPr>
          <w:b/>
        </w:rPr>
        <w:t>1</w:t>
      </w:r>
      <w:r w:rsidR="0089623B" w:rsidRPr="00371605">
        <w:rPr>
          <w:b/>
        </w:rPr>
        <w:t>]</w:t>
      </w:r>
      <w:r w:rsidRPr="00371605">
        <w:rPr>
          <w:b/>
        </w:rPr>
        <w:t xml:space="preserve"> Subsection 17(4)</w:t>
      </w:r>
    </w:p>
    <w:p w14:paraId="2F7C08E9" w14:textId="2C17D02E" w:rsidR="00332695" w:rsidRPr="00371605" w:rsidRDefault="00630710" w:rsidP="00630710">
      <w:pPr>
        <w:spacing w:before="100" w:beforeAutospacing="1"/>
      </w:pPr>
      <w:r w:rsidRPr="00371605">
        <w:t xml:space="preserve">This item will omit an express dollar figure as a refund amount and </w:t>
      </w:r>
      <w:r w:rsidR="003C486C" w:rsidRPr="00371605">
        <w:t xml:space="preserve">insert new </w:t>
      </w:r>
      <w:r w:rsidR="00C30EE7" w:rsidRPr="00371605">
        <w:t xml:space="preserve">paragraphs (e) and (f) to </w:t>
      </w:r>
      <w:r w:rsidRPr="00371605">
        <w:t xml:space="preserve">provide that, for applicants for citizenship by conferral who are eligible for the concessional application fee, amended subsection 17(4) </w:t>
      </w:r>
      <w:r w:rsidR="001F0FB2" w:rsidRPr="00371605">
        <w:t xml:space="preserve">will </w:t>
      </w:r>
      <w:r w:rsidRPr="00371605">
        <w:t xml:space="preserve">prescribe the refund amount as the difference between the amount paid where a citizenship test must be taken (as set out </w:t>
      </w:r>
      <w:r w:rsidR="00DC3C1A" w:rsidRPr="00371605">
        <w:t xml:space="preserve">in </w:t>
      </w:r>
      <w:r w:rsidRPr="00371605">
        <w:t xml:space="preserve">item 13 of </w:t>
      </w:r>
      <w:r w:rsidR="00DC3C1A" w:rsidRPr="00371605">
        <w:t xml:space="preserve">the table in clause 1 of </w:t>
      </w:r>
      <w:r w:rsidRPr="00371605">
        <w:t xml:space="preserve">Schedule 3 to the Regulation), and where no test is taken (as set out in item 10, or item 17 of </w:t>
      </w:r>
      <w:r w:rsidR="002A6C4D" w:rsidRPr="00371605">
        <w:t xml:space="preserve">the table in clause 1 of </w:t>
      </w:r>
      <w:r w:rsidRPr="00371605">
        <w:t xml:space="preserve">Schedule 3 to the Regulation). </w:t>
      </w:r>
    </w:p>
    <w:p w14:paraId="5A957B87" w14:textId="3DD6DE87" w:rsidR="00332695" w:rsidRPr="00371605" w:rsidRDefault="00332695" w:rsidP="00630710">
      <w:pPr>
        <w:spacing w:before="100" w:beforeAutospacing="1"/>
        <w:rPr>
          <w:b/>
        </w:rPr>
      </w:pPr>
      <w:r w:rsidRPr="00371605">
        <w:rPr>
          <w:b/>
        </w:rPr>
        <w:t xml:space="preserve">Item </w:t>
      </w:r>
      <w:r w:rsidR="0089623B" w:rsidRPr="00371605">
        <w:rPr>
          <w:b/>
        </w:rPr>
        <w:t>[</w:t>
      </w:r>
      <w:r w:rsidRPr="00371605">
        <w:rPr>
          <w:b/>
        </w:rPr>
        <w:t>2</w:t>
      </w:r>
      <w:r w:rsidR="0089623B" w:rsidRPr="00371605">
        <w:rPr>
          <w:b/>
        </w:rPr>
        <w:t>]</w:t>
      </w:r>
      <w:r w:rsidRPr="00371605">
        <w:rPr>
          <w:b/>
        </w:rPr>
        <w:t xml:space="preserve"> Subsection 17(5)</w:t>
      </w:r>
    </w:p>
    <w:p w14:paraId="5B47E358" w14:textId="40BC004E" w:rsidR="00630710" w:rsidRPr="00371605" w:rsidRDefault="00332695" w:rsidP="00630710">
      <w:pPr>
        <w:spacing w:before="100" w:beforeAutospacing="1"/>
        <w:rPr>
          <w:color w:val="000000"/>
          <w:shd w:val="clear" w:color="auto" w:fill="FFFFFF"/>
        </w:rPr>
      </w:pPr>
      <w:r w:rsidRPr="00371605">
        <w:t>This item will repeal</w:t>
      </w:r>
      <w:r w:rsidR="001F0FB2" w:rsidRPr="00371605">
        <w:t xml:space="preserve"> and substitute</w:t>
      </w:r>
      <w:r w:rsidRPr="00371605">
        <w:t xml:space="preserve"> current subsection 17(5)</w:t>
      </w:r>
      <w:r w:rsidR="001F0FB2" w:rsidRPr="00371605">
        <w:t xml:space="preserve">. New subsection (5) </w:t>
      </w:r>
      <w:r w:rsidRPr="00371605">
        <w:t>prescribe</w:t>
      </w:r>
      <w:r w:rsidR="001F0FB2" w:rsidRPr="00371605">
        <w:t>s</w:t>
      </w:r>
      <w:r w:rsidRPr="00371605">
        <w:t xml:space="preserve"> that </w:t>
      </w:r>
      <w:r w:rsidR="00630710" w:rsidRPr="00371605">
        <w:t xml:space="preserve">if the Minster refunds the amount in subsection 17(4), and the fee included a credit card surcharge or PayPal surcharge, then the Minister must also refund the proportion of the surcharge equal to the proportion that the refund amount prescribed in subsection 17(4) is of the amount </w:t>
      </w:r>
      <w:r w:rsidR="00CB73E2" w:rsidRPr="00371605">
        <w:t xml:space="preserve">specified in item 13 of the table in </w:t>
      </w:r>
      <w:r w:rsidR="0024434D" w:rsidRPr="00371605">
        <w:t>clause</w:t>
      </w:r>
      <w:r w:rsidR="00CB73E2" w:rsidRPr="00371605">
        <w:t xml:space="preserve"> 1 of Schedule 3 to the Regulation</w:t>
      </w:r>
      <w:r w:rsidR="00630710" w:rsidRPr="00371605">
        <w:t>.</w:t>
      </w:r>
    </w:p>
    <w:p w14:paraId="6432D8CA" w14:textId="27FB6F32" w:rsidR="00630710" w:rsidRPr="00371605" w:rsidRDefault="009B76E1" w:rsidP="00630710">
      <w:pPr>
        <w:spacing w:before="100" w:beforeAutospacing="1"/>
        <w:rPr>
          <w:b/>
        </w:rPr>
      </w:pPr>
      <w:r w:rsidRPr="00371605">
        <w:rPr>
          <w:b/>
        </w:rPr>
        <w:t xml:space="preserve">Item </w:t>
      </w:r>
      <w:r w:rsidR="0089623B" w:rsidRPr="00371605">
        <w:rPr>
          <w:b/>
        </w:rPr>
        <w:t>[</w:t>
      </w:r>
      <w:r w:rsidRPr="00371605">
        <w:rPr>
          <w:b/>
        </w:rPr>
        <w:t>3</w:t>
      </w:r>
      <w:r w:rsidR="0089623B" w:rsidRPr="00371605">
        <w:rPr>
          <w:b/>
        </w:rPr>
        <w:t>]</w:t>
      </w:r>
      <w:r w:rsidRPr="00371605">
        <w:rPr>
          <w:b/>
        </w:rPr>
        <w:t xml:space="preserve"> Subsection 17(6)</w:t>
      </w:r>
    </w:p>
    <w:p w14:paraId="5DD35F16" w14:textId="284C6823" w:rsidR="009B76E1" w:rsidRPr="00371605" w:rsidRDefault="009B76E1" w:rsidP="009B76E1">
      <w:pPr>
        <w:spacing w:before="100" w:beforeAutospacing="1"/>
      </w:pPr>
      <w:r w:rsidRPr="00371605">
        <w:t xml:space="preserve">This item will omit an express dollar figure as a refund amount and </w:t>
      </w:r>
      <w:r w:rsidR="003C486C" w:rsidRPr="00371605">
        <w:t xml:space="preserve">insert new </w:t>
      </w:r>
      <w:r w:rsidR="00C30EE7" w:rsidRPr="00371605">
        <w:t xml:space="preserve">paragraphs (e) and (f) to </w:t>
      </w:r>
      <w:r w:rsidRPr="00371605">
        <w:t xml:space="preserve">provide that, for applicants for citizenship by conferral, amended subsection 17(6) </w:t>
      </w:r>
      <w:r w:rsidRPr="00371605">
        <w:lastRenderedPageBreak/>
        <w:t xml:space="preserve">prescribes the refund amount as the difference between the amount paid where a citizenship test must be taken (as set out in item 14 of </w:t>
      </w:r>
      <w:r w:rsidR="00E17772" w:rsidRPr="00371605">
        <w:t xml:space="preserve">the table in clause 1 of </w:t>
      </w:r>
      <w:r w:rsidRPr="00371605">
        <w:t xml:space="preserve">Schedule 3 to the Regulation), and where no test is taken (as set out in item 16, or item 18 </w:t>
      </w:r>
      <w:r w:rsidR="0089623B" w:rsidRPr="00371605">
        <w:t xml:space="preserve">of the table </w:t>
      </w:r>
      <w:r w:rsidRPr="00371605">
        <w:t xml:space="preserve">in clause 1 of Schedule 3 to the Regulation). </w:t>
      </w:r>
    </w:p>
    <w:p w14:paraId="6FD3670A" w14:textId="2AF545FD" w:rsidR="009B76E1" w:rsidRPr="00371605" w:rsidRDefault="00DA103F" w:rsidP="00630710">
      <w:pPr>
        <w:spacing w:before="100" w:beforeAutospacing="1"/>
        <w:rPr>
          <w:b/>
        </w:rPr>
      </w:pPr>
      <w:r w:rsidRPr="00371605">
        <w:rPr>
          <w:b/>
        </w:rPr>
        <w:t xml:space="preserve">Item </w:t>
      </w:r>
      <w:r w:rsidR="0089623B" w:rsidRPr="00371605">
        <w:rPr>
          <w:b/>
        </w:rPr>
        <w:t xml:space="preserve">[4] </w:t>
      </w:r>
      <w:r w:rsidRPr="00371605">
        <w:rPr>
          <w:b/>
        </w:rPr>
        <w:t>Subsection 17(7)</w:t>
      </w:r>
    </w:p>
    <w:p w14:paraId="6E7DC6DF" w14:textId="3FFA1396" w:rsidR="00DA103F" w:rsidRPr="00371605" w:rsidRDefault="00DA103F" w:rsidP="00DA103F">
      <w:pPr>
        <w:spacing w:before="100" w:beforeAutospacing="1"/>
        <w:rPr>
          <w:color w:val="000000"/>
          <w:shd w:val="clear" w:color="auto" w:fill="FFFFFF"/>
        </w:rPr>
      </w:pPr>
      <w:r w:rsidRPr="00371605">
        <w:t xml:space="preserve">This item will repeal </w:t>
      </w:r>
      <w:r w:rsidR="001F0FB2" w:rsidRPr="00371605">
        <w:t xml:space="preserve">and substitute </w:t>
      </w:r>
      <w:r w:rsidRPr="00371605">
        <w:t>current subsection 17(7)</w:t>
      </w:r>
      <w:r w:rsidR="001F0FB2" w:rsidRPr="00371605">
        <w:t>. New subsection (7)</w:t>
      </w:r>
      <w:r w:rsidRPr="00371605">
        <w:t xml:space="preserve"> prescribe</w:t>
      </w:r>
      <w:r w:rsidR="001F0FB2" w:rsidRPr="00371605">
        <w:t>s</w:t>
      </w:r>
      <w:r w:rsidRPr="00371605">
        <w:t xml:space="preserve"> that if the Minster refunds the amount in subsection 17(6), and the fee included a credit card surcharge or PayPal surcharge, then the Minister must also refund the proportion of the surcharge equal to the proportion that the refund amount prescribed in subsection 17(6) is of the </w:t>
      </w:r>
      <w:r w:rsidR="0089623B" w:rsidRPr="00371605">
        <w:t xml:space="preserve">amount specified in item 14 of the table in clause 1 of </w:t>
      </w:r>
      <w:r w:rsidRPr="00371605">
        <w:t xml:space="preserve">Schedule 3 </w:t>
      </w:r>
      <w:r w:rsidR="0089623B" w:rsidRPr="00371605">
        <w:t xml:space="preserve">to the Regulation. </w:t>
      </w:r>
    </w:p>
    <w:p w14:paraId="3E60AF19" w14:textId="77777777" w:rsidR="00630710" w:rsidRPr="00371605" w:rsidRDefault="00630710" w:rsidP="00630710">
      <w:pPr>
        <w:tabs>
          <w:tab w:val="left" w:pos="6023"/>
        </w:tabs>
        <w:rPr>
          <w:b/>
        </w:rPr>
      </w:pPr>
      <w:r w:rsidRPr="00371605">
        <w:rPr>
          <w:b/>
        </w:rPr>
        <w:t>Part 2 – Application of amendments</w:t>
      </w:r>
    </w:p>
    <w:p w14:paraId="1E2A2DDF" w14:textId="77777777" w:rsidR="00630710" w:rsidRPr="00371605" w:rsidRDefault="00630710" w:rsidP="00630710">
      <w:pPr>
        <w:spacing w:before="100" w:beforeAutospacing="1"/>
        <w:rPr>
          <w:b/>
          <w:i/>
        </w:rPr>
      </w:pPr>
      <w:r w:rsidRPr="00371605">
        <w:rPr>
          <w:b/>
          <w:i/>
        </w:rPr>
        <w:t>Australian Citizenship Regulation 2016</w:t>
      </w:r>
    </w:p>
    <w:p w14:paraId="532E8B0B" w14:textId="2DA9AF4F" w:rsidR="00630710" w:rsidRPr="00371605" w:rsidRDefault="00630710" w:rsidP="00630710">
      <w:pPr>
        <w:spacing w:before="100" w:beforeAutospacing="1"/>
        <w:rPr>
          <w:b/>
        </w:rPr>
      </w:pPr>
      <w:r w:rsidRPr="00371605">
        <w:rPr>
          <w:b/>
        </w:rPr>
        <w:t xml:space="preserve">Item </w:t>
      </w:r>
      <w:r w:rsidR="0089623B" w:rsidRPr="00371605">
        <w:rPr>
          <w:b/>
        </w:rPr>
        <w:t>[5]</w:t>
      </w:r>
      <w:r w:rsidRPr="00371605">
        <w:rPr>
          <w:b/>
        </w:rPr>
        <w:t xml:space="preserve"> </w:t>
      </w:r>
      <w:proofErr w:type="gramStart"/>
      <w:r w:rsidRPr="00371605">
        <w:rPr>
          <w:b/>
        </w:rPr>
        <w:t>At</w:t>
      </w:r>
      <w:proofErr w:type="gramEnd"/>
      <w:r w:rsidRPr="00371605">
        <w:rPr>
          <w:b/>
        </w:rPr>
        <w:t xml:space="preserve"> the end of Part 4</w:t>
      </w:r>
    </w:p>
    <w:p w14:paraId="3B990654" w14:textId="320AF01C" w:rsidR="00630710" w:rsidRPr="00371605" w:rsidRDefault="00630710" w:rsidP="00630710">
      <w:bookmarkStart w:id="1" w:name="_Toc120002990"/>
      <w:r w:rsidRPr="00371605">
        <w:t xml:space="preserve">This item will insert new section </w:t>
      </w:r>
      <w:r w:rsidR="0089623B" w:rsidRPr="00371605">
        <w:t>34</w:t>
      </w:r>
      <w:r w:rsidRPr="00371605">
        <w:t xml:space="preserve"> into Part 4 of the Citizenship Regulation. Section </w:t>
      </w:r>
      <w:r w:rsidR="0089623B" w:rsidRPr="00371605">
        <w:t>34</w:t>
      </w:r>
      <w:r w:rsidRPr="00371605">
        <w:t xml:space="preserve"> provides that amendments made by Part 1 of Schedule 1 to the Regulations will apply in relation to an application for Australian citizenship made on or after 1 July 2023.</w:t>
      </w:r>
      <w:bookmarkEnd w:id="1"/>
    </w:p>
    <w:p w14:paraId="2D9E6406" w14:textId="028CDD02" w:rsidR="004B2F53" w:rsidRPr="00371605" w:rsidRDefault="006E746F" w:rsidP="006E746F">
      <w:r w:rsidRPr="00371605">
        <w:t xml:space="preserve">Part 1 of Schedule 1 </w:t>
      </w:r>
      <w:r w:rsidR="00A82CEB" w:rsidRPr="00371605">
        <w:t>applies</w:t>
      </w:r>
      <w:r w:rsidRPr="00371605">
        <w:t xml:space="preserve"> retrospectively </w:t>
      </w:r>
      <w:r w:rsidR="00A82CEB" w:rsidRPr="00371605">
        <w:t xml:space="preserve">in relation to a citizenship application </w:t>
      </w:r>
      <w:r w:rsidR="004875BD" w:rsidRPr="00371605">
        <w:t>made on or after</w:t>
      </w:r>
      <w:r w:rsidRPr="00371605">
        <w:t xml:space="preserve"> 1 July 2023</w:t>
      </w:r>
      <w:r w:rsidR="00A82CEB" w:rsidRPr="00371605">
        <w:t>.</w:t>
      </w:r>
    </w:p>
    <w:p w14:paraId="40E8EB60" w14:textId="734ACE01" w:rsidR="006E746F" w:rsidRPr="00371605" w:rsidRDefault="006E746F" w:rsidP="006E746F">
      <w:r w:rsidRPr="00371605">
        <w:rPr>
          <w:rStyle w:val="ui-provider"/>
        </w:rPr>
        <w:t>This provision is entirely beneficial to certain citizenship applicants</w:t>
      </w:r>
      <w:r w:rsidR="004A0E93" w:rsidRPr="00371605">
        <w:rPr>
          <w:rStyle w:val="ui-provider"/>
        </w:rPr>
        <w:t xml:space="preserve"> who are</w:t>
      </w:r>
      <w:r w:rsidRPr="00371605">
        <w:rPr>
          <w:rStyle w:val="ui-provider"/>
        </w:rPr>
        <w:t xml:space="preserve"> eligible for a refund of application fees that increased from 1 July 2023.</w:t>
      </w:r>
    </w:p>
    <w:p w14:paraId="65BEF942" w14:textId="757A2187" w:rsidR="006E746F" w:rsidRPr="00053489" w:rsidRDefault="006E746F" w:rsidP="006E746F">
      <w:r w:rsidRPr="00371605">
        <w:t xml:space="preserve">Retrospective regulations are permissible in accordance with section 12 of the </w:t>
      </w:r>
      <w:r w:rsidRPr="00371605">
        <w:rPr>
          <w:i/>
        </w:rPr>
        <w:t>Legislation Act 2003</w:t>
      </w:r>
      <w:r w:rsidR="008B7F29" w:rsidRPr="00371605">
        <w:t>.</w:t>
      </w:r>
    </w:p>
    <w:sectPr w:rsidR="006E746F" w:rsidRPr="0005348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E5F40" w14:textId="77777777" w:rsidR="00516E4B" w:rsidRDefault="00516E4B">
      <w:pPr>
        <w:spacing w:before="0"/>
      </w:pPr>
      <w:r>
        <w:separator/>
      </w:r>
    </w:p>
  </w:endnote>
  <w:endnote w:type="continuationSeparator" w:id="0">
    <w:p w14:paraId="71AF8591" w14:textId="77777777" w:rsidR="00516E4B" w:rsidRDefault="00516E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BD5DF" w14:textId="77777777" w:rsidR="00274E89" w:rsidRDefault="00274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7" w14:textId="06B9697D" w:rsidR="0024360E" w:rsidRDefault="0024360E">
    <w:pPr>
      <w:pStyle w:val="Footer"/>
      <w:jc w:val="center"/>
    </w:pPr>
    <w:r>
      <w:fldChar w:fldCharType="begin"/>
    </w:r>
    <w:r>
      <w:instrText xml:space="preserve"> PAGE   \* MERGEFORMAT </w:instrText>
    </w:r>
    <w:r>
      <w:fldChar w:fldCharType="separate"/>
    </w:r>
    <w:r w:rsidR="00371605">
      <w:rPr>
        <w:noProof/>
      </w:rPr>
      <w:t>1</w:t>
    </w:r>
    <w:r>
      <w:fldChar w:fldCharType="end"/>
    </w:r>
  </w:p>
  <w:p w14:paraId="299D6E28" w14:textId="77777777" w:rsidR="0024360E" w:rsidRDefault="00243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4BBE1" w14:textId="77777777" w:rsidR="00274E89" w:rsidRDefault="00274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E2967" w14:textId="77777777" w:rsidR="00516E4B" w:rsidRDefault="00516E4B">
      <w:pPr>
        <w:spacing w:before="0"/>
      </w:pPr>
      <w:r>
        <w:separator/>
      </w:r>
    </w:p>
  </w:footnote>
  <w:footnote w:type="continuationSeparator" w:id="0">
    <w:p w14:paraId="69BF15BC" w14:textId="77777777" w:rsidR="00516E4B" w:rsidRDefault="00516E4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7141B" w14:textId="77777777" w:rsidR="00274E89" w:rsidRDefault="00274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5DD8F" w14:textId="57061D29" w:rsidR="00274E89" w:rsidRDefault="00274E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7625" w14:textId="77777777" w:rsidR="00274E89" w:rsidRDefault="00274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74068"/>
    <w:multiLevelType w:val="hybridMultilevel"/>
    <w:tmpl w:val="28F80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A7A3D"/>
    <w:multiLevelType w:val="hybridMultilevel"/>
    <w:tmpl w:val="03D69D0A"/>
    <w:lvl w:ilvl="0" w:tplc="0C09000F">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730C5F"/>
    <w:multiLevelType w:val="hybridMultilevel"/>
    <w:tmpl w:val="6744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65CFB"/>
    <w:multiLevelType w:val="hybridMultilevel"/>
    <w:tmpl w:val="8F228F70"/>
    <w:lvl w:ilvl="0" w:tplc="4D3A347A">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6"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9628A7"/>
    <w:multiLevelType w:val="hybridMultilevel"/>
    <w:tmpl w:val="DEB66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B46C27"/>
    <w:multiLevelType w:val="hybridMultilevel"/>
    <w:tmpl w:val="A448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D5809"/>
    <w:multiLevelType w:val="hybridMultilevel"/>
    <w:tmpl w:val="A4166388"/>
    <w:lvl w:ilvl="0" w:tplc="53C66358">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4B6DDB"/>
    <w:multiLevelType w:val="hybridMultilevel"/>
    <w:tmpl w:val="85A6C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74436A"/>
    <w:multiLevelType w:val="hybridMultilevel"/>
    <w:tmpl w:val="6DAA8A1E"/>
    <w:lvl w:ilvl="0" w:tplc="AD68EEF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27216C"/>
    <w:multiLevelType w:val="multilevel"/>
    <w:tmpl w:val="D354C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637BDB"/>
    <w:multiLevelType w:val="hybridMultilevel"/>
    <w:tmpl w:val="A6601C3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4" w15:restartNumberingAfterBreak="0">
    <w:nsid w:val="4D0324D0"/>
    <w:multiLevelType w:val="multilevel"/>
    <w:tmpl w:val="E542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F5021B"/>
    <w:multiLevelType w:val="hybridMultilevel"/>
    <w:tmpl w:val="C6B0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345028"/>
    <w:multiLevelType w:val="hybridMultilevel"/>
    <w:tmpl w:val="ACE8D2AC"/>
    <w:lvl w:ilvl="0" w:tplc="AA10D99C">
      <w:start w:val="1"/>
      <w:numFmt w:val="decimal"/>
      <w:lvlText w:val="%1."/>
      <w:lvlJc w:val="left"/>
      <w:pPr>
        <w:ind w:left="502" w:hanging="360"/>
      </w:pPr>
    </w:lvl>
    <w:lvl w:ilvl="1" w:tplc="F31E7960">
      <w:start w:val="1"/>
      <w:numFmt w:val="lowerLetter"/>
      <w:lvlText w:val="%2."/>
      <w:lvlJc w:val="left"/>
      <w:pPr>
        <w:ind w:left="1440" w:hanging="360"/>
      </w:pPr>
    </w:lvl>
    <w:lvl w:ilvl="2" w:tplc="DC927BC0">
      <w:start w:val="1"/>
      <w:numFmt w:val="lowerRoman"/>
      <w:lvlText w:val="%3."/>
      <w:lvlJc w:val="right"/>
      <w:pPr>
        <w:ind w:left="2160" w:hanging="180"/>
      </w:pPr>
    </w:lvl>
    <w:lvl w:ilvl="3" w:tplc="153C1C36">
      <w:start w:val="1"/>
      <w:numFmt w:val="decimal"/>
      <w:lvlText w:val="%4."/>
      <w:lvlJc w:val="left"/>
      <w:pPr>
        <w:ind w:left="2880" w:hanging="360"/>
      </w:pPr>
    </w:lvl>
    <w:lvl w:ilvl="4" w:tplc="AA143208">
      <w:start w:val="1"/>
      <w:numFmt w:val="lowerLetter"/>
      <w:lvlText w:val="%5."/>
      <w:lvlJc w:val="left"/>
      <w:pPr>
        <w:ind w:left="3600" w:hanging="360"/>
      </w:pPr>
    </w:lvl>
    <w:lvl w:ilvl="5" w:tplc="C3808080">
      <w:start w:val="1"/>
      <w:numFmt w:val="lowerRoman"/>
      <w:lvlText w:val="%6."/>
      <w:lvlJc w:val="right"/>
      <w:pPr>
        <w:ind w:left="4320" w:hanging="180"/>
      </w:pPr>
    </w:lvl>
    <w:lvl w:ilvl="6" w:tplc="22BE1F2A">
      <w:start w:val="1"/>
      <w:numFmt w:val="decimal"/>
      <w:lvlText w:val="%7."/>
      <w:lvlJc w:val="left"/>
      <w:pPr>
        <w:ind w:left="5040" w:hanging="360"/>
      </w:pPr>
    </w:lvl>
    <w:lvl w:ilvl="7" w:tplc="DB642FAA">
      <w:start w:val="1"/>
      <w:numFmt w:val="lowerLetter"/>
      <w:lvlText w:val="%8."/>
      <w:lvlJc w:val="left"/>
      <w:pPr>
        <w:ind w:left="5760" w:hanging="360"/>
      </w:pPr>
    </w:lvl>
    <w:lvl w:ilvl="8" w:tplc="E174B59C">
      <w:start w:val="1"/>
      <w:numFmt w:val="lowerRoman"/>
      <w:lvlText w:val="%9."/>
      <w:lvlJc w:val="right"/>
      <w:pPr>
        <w:ind w:left="6480" w:hanging="180"/>
      </w:pPr>
    </w:lvl>
  </w:abstractNum>
  <w:abstractNum w:abstractNumId="18" w15:restartNumberingAfterBreak="0">
    <w:nsid w:val="69204A74"/>
    <w:multiLevelType w:val="hybridMultilevel"/>
    <w:tmpl w:val="701A0FAA"/>
    <w:lvl w:ilvl="0" w:tplc="5D74AE4E">
      <w:start w:val="4"/>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9B33B62"/>
    <w:multiLevelType w:val="hybridMultilevel"/>
    <w:tmpl w:val="BA389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21" w15:restartNumberingAfterBreak="0">
    <w:nsid w:val="7A6C533E"/>
    <w:multiLevelType w:val="hybridMultilevel"/>
    <w:tmpl w:val="9CD04DBE"/>
    <w:lvl w:ilvl="0" w:tplc="FF90BCC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3C3DE9"/>
    <w:multiLevelType w:val="hybridMultilevel"/>
    <w:tmpl w:val="3918AC86"/>
    <w:lvl w:ilvl="0" w:tplc="10ACD3A6">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lvlOverride w:ilvl="0">
      <w:startOverride w:val="2"/>
    </w:lvlOverride>
  </w:num>
  <w:num w:numId="2">
    <w:abstractNumId w:val="15"/>
  </w:num>
  <w:num w:numId="3">
    <w:abstractNumId w:val="18"/>
  </w:num>
  <w:num w:numId="4">
    <w:abstractNumId w:val="4"/>
  </w:num>
  <w:num w:numId="5">
    <w:abstractNumId w:val="21"/>
  </w:num>
  <w:num w:numId="6">
    <w:abstractNumId w:val="6"/>
  </w:num>
  <w:num w:numId="7">
    <w:abstractNumId w:val="9"/>
  </w:num>
  <w:num w:numId="8">
    <w:abstractNumId w:val="3"/>
  </w:num>
  <w:num w:numId="9">
    <w:abstractNumId w:val="5"/>
    <w:lvlOverride w:ilvl="0">
      <w:startOverride w:val="1"/>
    </w:lvlOverride>
  </w:num>
  <w:num w:numId="10">
    <w:abstractNumId w:val="7"/>
  </w:num>
  <w:num w:numId="11">
    <w:abstractNumId w:val="12"/>
  </w:num>
  <w:num w:numId="12">
    <w:abstractNumId w:val="14"/>
  </w:num>
  <w:num w:numId="13">
    <w:abstractNumId w:val="0"/>
  </w:num>
  <w:num w:numId="14">
    <w:abstractNumId w:val="20"/>
  </w:num>
  <w:num w:numId="15">
    <w:abstractNumId w:val="16"/>
  </w:num>
  <w:num w:numId="16">
    <w:abstractNumId w:val="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3"/>
  </w:num>
  <w:num w:numId="20">
    <w:abstractNumId w:val="11"/>
  </w:num>
  <w:num w:numId="21">
    <w:abstractNumId w:val="10"/>
  </w:num>
  <w:num w:numId="22">
    <w:abstractNumId w:val="8"/>
  </w:num>
  <w:num w:numId="23">
    <w:abstractNumId w:val="2"/>
  </w:num>
  <w:num w:numId="2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AA"/>
    <w:rsid w:val="00001045"/>
    <w:rsid w:val="0000192F"/>
    <w:rsid w:val="000036DE"/>
    <w:rsid w:val="00011BAC"/>
    <w:rsid w:val="00043A51"/>
    <w:rsid w:val="00053489"/>
    <w:rsid w:val="00055455"/>
    <w:rsid w:val="00077AAE"/>
    <w:rsid w:val="00087852"/>
    <w:rsid w:val="00090AAB"/>
    <w:rsid w:val="00093F82"/>
    <w:rsid w:val="000A2965"/>
    <w:rsid w:val="000C3180"/>
    <w:rsid w:val="000C76A9"/>
    <w:rsid w:val="000D27BF"/>
    <w:rsid w:val="000D31EC"/>
    <w:rsid w:val="000D7DE9"/>
    <w:rsid w:val="0010188F"/>
    <w:rsid w:val="00102206"/>
    <w:rsid w:val="00104FED"/>
    <w:rsid w:val="00105BEA"/>
    <w:rsid w:val="001128CF"/>
    <w:rsid w:val="001128F4"/>
    <w:rsid w:val="00122966"/>
    <w:rsid w:val="001237A5"/>
    <w:rsid w:val="00125FA0"/>
    <w:rsid w:val="00127AF7"/>
    <w:rsid w:val="00131E6C"/>
    <w:rsid w:val="00131F26"/>
    <w:rsid w:val="0014083B"/>
    <w:rsid w:val="0015606D"/>
    <w:rsid w:val="00162E9E"/>
    <w:rsid w:val="001640E6"/>
    <w:rsid w:val="00165075"/>
    <w:rsid w:val="001656C5"/>
    <w:rsid w:val="001678AF"/>
    <w:rsid w:val="001819B6"/>
    <w:rsid w:val="00184077"/>
    <w:rsid w:val="00185EBF"/>
    <w:rsid w:val="00191A3C"/>
    <w:rsid w:val="001950E2"/>
    <w:rsid w:val="001952C2"/>
    <w:rsid w:val="00196FBB"/>
    <w:rsid w:val="001B00C6"/>
    <w:rsid w:val="001B0C10"/>
    <w:rsid w:val="001B1861"/>
    <w:rsid w:val="001B64FC"/>
    <w:rsid w:val="001C0003"/>
    <w:rsid w:val="001C04BF"/>
    <w:rsid w:val="001C5750"/>
    <w:rsid w:val="001D18F3"/>
    <w:rsid w:val="001D4807"/>
    <w:rsid w:val="001D77D8"/>
    <w:rsid w:val="001E3968"/>
    <w:rsid w:val="001E4352"/>
    <w:rsid w:val="001E6574"/>
    <w:rsid w:val="001E7218"/>
    <w:rsid w:val="001F0FB2"/>
    <w:rsid w:val="001F102F"/>
    <w:rsid w:val="001F1303"/>
    <w:rsid w:val="001F2FA6"/>
    <w:rsid w:val="001F5CA1"/>
    <w:rsid w:val="001F6ACC"/>
    <w:rsid w:val="002172DD"/>
    <w:rsid w:val="002230F6"/>
    <w:rsid w:val="00224F1D"/>
    <w:rsid w:val="00224F7E"/>
    <w:rsid w:val="00225340"/>
    <w:rsid w:val="00226837"/>
    <w:rsid w:val="00231291"/>
    <w:rsid w:val="0023758D"/>
    <w:rsid w:val="002377EA"/>
    <w:rsid w:val="0024360E"/>
    <w:rsid w:val="00243B1B"/>
    <w:rsid w:val="0024434D"/>
    <w:rsid w:val="00247921"/>
    <w:rsid w:val="0025068F"/>
    <w:rsid w:val="00252C37"/>
    <w:rsid w:val="00256C8A"/>
    <w:rsid w:val="00262009"/>
    <w:rsid w:val="00265286"/>
    <w:rsid w:val="00274E89"/>
    <w:rsid w:val="00283B38"/>
    <w:rsid w:val="002841C5"/>
    <w:rsid w:val="00284489"/>
    <w:rsid w:val="002A6C4D"/>
    <w:rsid w:val="002A7145"/>
    <w:rsid w:val="002B730D"/>
    <w:rsid w:val="002D15EA"/>
    <w:rsid w:val="002D3258"/>
    <w:rsid w:val="002D58A9"/>
    <w:rsid w:val="002E5269"/>
    <w:rsid w:val="002F0341"/>
    <w:rsid w:val="002F0F50"/>
    <w:rsid w:val="002F78F4"/>
    <w:rsid w:val="002F7BB2"/>
    <w:rsid w:val="00312883"/>
    <w:rsid w:val="00316881"/>
    <w:rsid w:val="00316B06"/>
    <w:rsid w:val="00322181"/>
    <w:rsid w:val="00323747"/>
    <w:rsid w:val="00323ABF"/>
    <w:rsid w:val="00324C80"/>
    <w:rsid w:val="003254AA"/>
    <w:rsid w:val="00326CF1"/>
    <w:rsid w:val="00332695"/>
    <w:rsid w:val="00333056"/>
    <w:rsid w:val="00335BFE"/>
    <w:rsid w:val="00336E70"/>
    <w:rsid w:val="0035101B"/>
    <w:rsid w:val="00352144"/>
    <w:rsid w:val="0035314F"/>
    <w:rsid w:val="00371605"/>
    <w:rsid w:val="00373339"/>
    <w:rsid w:val="00381B6A"/>
    <w:rsid w:val="003A0F98"/>
    <w:rsid w:val="003A39D5"/>
    <w:rsid w:val="003A4854"/>
    <w:rsid w:val="003B0343"/>
    <w:rsid w:val="003C2886"/>
    <w:rsid w:val="003C486C"/>
    <w:rsid w:val="003E0DBF"/>
    <w:rsid w:val="003E130B"/>
    <w:rsid w:val="003F2014"/>
    <w:rsid w:val="003F2796"/>
    <w:rsid w:val="00401C29"/>
    <w:rsid w:val="00402321"/>
    <w:rsid w:val="00404D29"/>
    <w:rsid w:val="00411B59"/>
    <w:rsid w:val="00425E70"/>
    <w:rsid w:val="004434CA"/>
    <w:rsid w:val="004504A3"/>
    <w:rsid w:val="0045255C"/>
    <w:rsid w:val="004528A8"/>
    <w:rsid w:val="00454103"/>
    <w:rsid w:val="00457F89"/>
    <w:rsid w:val="00462551"/>
    <w:rsid w:val="0047155E"/>
    <w:rsid w:val="00482B44"/>
    <w:rsid w:val="004875BD"/>
    <w:rsid w:val="00490DFA"/>
    <w:rsid w:val="00493288"/>
    <w:rsid w:val="00493408"/>
    <w:rsid w:val="004A03C9"/>
    <w:rsid w:val="004A0E93"/>
    <w:rsid w:val="004A106C"/>
    <w:rsid w:val="004A2168"/>
    <w:rsid w:val="004A49B8"/>
    <w:rsid w:val="004A6B8A"/>
    <w:rsid w:val="004B1E85"/>
    <w:rsid w:val="004B2F53"/>
    <w:rsid w:val="004B5120"/>
    <w:rsid w:val="004D0BFB"/>
    <w:rsid w:val="004D726E"/>
    <w:rsid w:val="004E1515"/>
    <w:rsid w:val="004F1AF1"/>
    <w:rsid w:val="004F23B4"/>
    <w:rsid w:val="00504E4D"/>
    <w:rsid w:val="00512095"/>
    <w:rsid w:val="00512255"/>
    <w:rsid w:val="0051373C"/>
    <w:rsid w:val="00516E4B"/>
    <w:rsid w:val="0051773F"/>
    <w:rsid w:val="005208BC"/>
    <w:rsid w:val="00542E7B"/>
    <w:rsid w:val="005519B4"/>
    <w:rsid w:val="00555013"/>
    <w:rsid w:val="0055606D"/>
    <w:rsid w:val="00556D2F"/>
    <w:rsid w:val="00557150"/>
    <w:rsid w:val="00575847"/>
    <w:rsid w:val="0058191B"/>
    <w:rsid w:val="00586481"/>
    <w:rsid w:val="0059245A"/>
    <w:rsid w:val="005949BF"/>
    <w:rsid w:val="00595BC5"/>
    <w:rsid w:val="0059680B"/>
    <w:rsid w:val="005A47DE"/>
    <w:rsid w:val="005A7615"/>
    <w:rsid w:val="005C134F"/>
    <w:rsid w:val="005C3A8A"/>
    <w:rsid w:val="005C6A89"/>
    <w:rsid w:val="005C74B7"/>
    <w:rsid w:val="005D219A"/>
    <w:rsid w:val="005D7CD7"/>
    <w:rsid w:val="005F073E"/>
    <w:rsid w:val="005F690B"/>
    <w:rsid w:val="00604295"/>
    <w:rsid w:val="00607F3E"/>
    <w:rsid w:val="0061263D"/>
    <w:rsid w:val="00624455"/>
    <w:rsid w:val="00630710"/>
    <w:rsid w:val="00632815"/>
    <w:rsid w:val="00633263"/>
    <w:rsid w:val="00641D15"/>
    <w:rsid w:val="00643C17"/>
    <w:rsid w:val="00650DDD"/>
    <w:rsid w:val="00657250"/>
    <w:rsid w:val="0066152E"/>
    <w:rsid w:val="006627AA"/>
    <w:rsid w:val="0066302B"/>
    <w:rsid w:val="00663129"/>
    <w:rsid w:val="00664845"/>
    <w:rsid w:val="00665484"/>
    <w:rsid w:val="00692DDD"/>
    <w:rsid w:val="00693494"/>
    <w:rsid w:val="00696A84"/>
    <w:rsid w:val="006B1EF4"/>
    <w:rsid w:val="006B23E2"/>
    <w:rsid w:val="006B2C60"/>
    <w:rsid w:val="006B4B58"/>
    <w:rsid w:val="006C1682"/>
    <w:rsid w:val="006C6E0E"/>
    <w:rsid w:val="006D5161"/>
    <w:rsid w:val="006E09F0"/>
    <w:rsid w:val="006E1B12"/>
    <w:rsid w:val="006E746F"/>
    <w:rsid w:val="00721003"/>
    <w:rsid w:val="007309D4"/>
    <w:rsid w:val="00735C6A"/>
    <w:rsid w:val="0074200D"/>
    <w:rsid w:val="00743DDA"/>
    <w:rsid w:val="007477E9"/>
    <w:rsid w:val="00751EEB"/>
    <w:rsid w:val="00757A7C"/>
    <w:rsid w:val="00760FD2"/>
    <w:rsid w:val="007749AA"/>
    <w:rsid w:val="00775BE6"/>
    <w:rsid w:val="00791B58"/>
    <w:rsid w:val="00793C4B"/>
    <w:rsid w:val="007A6843"/>
    <w:rsid w:val="007C2AFB"/>
    <w:rsid w:val="007C6819"/>
    <w:rsid w:val="007D374D"/>
    <w:rsid w:val="007D4236"/>
    <w:rsid w:val="007E1683"/>
    <w:rsid w:val="007E2DEE"/>
    <w:rsid w:val="007F1457"/>
    <w:rsid w:val="007F3109"/>
    <w:rsid w:val="007F466B"/>
    <w:rsid w:val="007F6969"/>
    <w:rsid w:val="00801361"/>
    <w:rsid w:val="00802AE6"/>
    <w:rsid w:val="008043CF"/>
    <w:rsid w:val="00804FE6"/>
    <w:rsid w:val="00813E87"/>
    <w:rsid w:val="00816D18"/>
    <w:rsid w:val="00820975"/>
    <w:rsid w:val="0082148B"/>
    <w:rsid w:val="00824162"/>
    <w:rsid w:val="0082480B"/>
    <w:rsid w:val="0083591D"/>
    <w:rsid w:val="00836949"/>
    <w:rsid w:val="00846BE6"/>
    <w:rsid w:val="008526F0"/>
    <w:rsid w:val="00856AAA"/>
    <w:rsid w:val="00861F88"/>
    <w:rsid w:val="0086358F"/>
    <w:rsid w:val="00881226"/>
    <w:rsid w:val="00884D25"/>
    <w:rsid w:val="00885AA3"/>
    <w:rsid w:val="00886C53"/>
    <w:rsid w:val="0089623B"/>
    <w:rsid w:val="008B2024"/>
    <w:rsid w:val="008B7F29"/>
    <w:rsid w:val="008B7F46"/>
    <w:rsid w:val="008C0D64"/>
    <w:rsid w:val="008C2A10"/>
    <w:rsid w:val="008C53A9"/>
    <w:rsid w:val="008C58C0"/>
    <w:rsid w:val="008C6BAF"/>
    <w:rsid w:val="008C6C25"/>
    <w:rsid w:val="008E0DFC"/>
    <w:rsid w:val="008E1F2F"/>
    <w:rsid w:val="008E2766"/>
    <w:rsid w:val="008E6DB3"/>
    <w:rsid w:val="008F136F"/>
    <w:rsid w:val="008F1BC0"/>
    <w:rsid w:val="008F4936"/>
    <w:rsid w:val="008F597A"/>
    <w:rsid w:val="00900340"/>
    <w:rsid w:val="00900E23"/>
    <w:rsid w:val="00902017"/>
    <w:rsid w:val="009275DC"/>
    <w:rsid w:val="009357B9"/>
    <w:rsid w:val="00944084"/>
    <w:rsid w:val="00945884"/>
    <w:rsid w:val="009515F6"/>
    <w:rsid w:val="00957150"/>
    <w:rsid w:val="00961648"/>
    <w:rsid w:val="009628CA"/>
    <w:rsid w:val="00962E26"/>
    <w:rsid w:val="00967EEF"/>
    <w:rsid w:val="00972945"/>
    <w:rsid w:val="0098389D"/>
    <w:rsid w:val="0098464C"/>
    <w:rsid w:val="00984C49"/>
    <w:rsid w:val="009869A3"/>
    <w:rsid w:val="00987EFA"/>
    <w:rsid w:val="00994DC5"/>
    <w:rsid w:val="009969EA"/>
    <w:rsid w:val="009A168D"/>
    <w:rsid w:val="009B5940"/>
    <w:rsid w:val="009B76E1"/>
    <w:rsid w:val="009C32A3"/>
    <w:rsid w:val="009C5D93"/>
    <w:rsid w:val="009D0810"/>
    <w:rsid w:val="009D548B"/>
    <w:rsid w:val="009D5738"/>
    <w:rsid w:val="009F16BD"/>
    <w:rsid w:val="009F73D7"/>
    <w:rsid w:val="00A01BB3"/>
    <w:rsid w:val="00A06C36"/>
    <w:rsid w:val="00A20156"/>
    <w:rsid w:val="00A2612E"/>
    <w:rsid w:val="00A27AE4"/>
    <w:rsid w:val="00A33F0F"/>
    <w:rsid w:val="00A5150D"/>
    <w:rsid w:val="00A55044"/>
    <w:rsid w:val="00A60E62"/>
    <w:rsid w:val="00A6297F"/>
    <w:rsid w:val="00A64508"/>
    <w:rsid w:val="00A71D55"/>
    <w:rsid w:val="00A82CEB"/>
    <w:rsid w:val="00A86164"/>
    <w:rsid w:val="00A87AEB"/>
    <w:rsid w:val="00A87B9F"/>
    <w:rsid w:val="00A913DF"/>
    <w:rsid w:val="00A9681E"/>
    <w:rsid w:val="00AA1D24"/>
    <w:rsid w:val="00AA6BB0"/>
    <w:rsid w:val="00AB5644"/>
    <w:rsid w:val="00AB56E2"/>
    <w:rsid w:val="00AC4A7F"/>
    <w:rsid w:val="00AD0AC2"/>
    <w:rsid w:val="00AD3803"/>
    <w:rsid w:val="00AD3C1E"/>
    <w:rsid w:val="00AE0494"/>
    <w:rsid w:val="00AE0BFD"/>
    <w:rsid w:val="00AE4460"/>
    <w:rsid w:val="00B02E69"/>
    <w:rsid w:val="00B03079"/>
    <w:rsid w:val="00B04037"/>
    <w:rsid w:val="00B1096C"/>
    <w:rsid w:val="00B11AD6"/>
    <w:rsid w:val="00B209A4"/>
    <w:rsid w:val="00B2211F"/>
    <w:rsid w:val="00B262BE"/>
    <w:rsid w:val="00B34F66"/>
    <w:rsid w:val="00B43D98"/>
    <w:rsid w:val="00B44825"/>
    <w:rsid w:val="00B46F2C"/>
    <w:rsid w:val="00B50490"/>
    <w:rsid w:val="00B566AB"/>
    <w:rsid w:val="00B605FF"/>
    <w:rsid w:val="00B60D32"/>
    <w:rsid w:val="00B61A41"/>
    <w:rsid w:val="00B75DB3"/>
    <w:rsid w:val="00B77F70"/>
    <w:rsid w:val="00B83B68"/>
    <w:rsid w:val="00B87006"/>
    <w:rsid w:val="00B91367"/>
    <w:rsid w:val="00B93567"/>
    <w:rsid w:val="00B960AA"/>
    <w:rsid w:val="00BA05A9"/>
    <w:rsid w:val="00BA18B8"/>
    <w:rsid w:val="00BA3F6B"/>
    <w:rsid w:val="00BA6510"/>
    <w:rsid w:val="00BB0CD9"/>
    <w:rsid w:val="00BB3B5E"/>
    <w:rsid w:val="00BC0E50"/>
    <w:rsid w:val="00BC6365"/>
    <w:rsid w:val="00BD0AC3"/>
    <w:rsid w:val="00BD385A"/>
    <w:rsid w:val="00BD4D59"/>
    <w:rsid w:val="00BD7ED9"/>
    <w:rsid w:val="00BE2524"/>
    <w:rsid w:val="00BE51FF"/>
    <w:rsid w:val="00BF278F"/>
    <w:rsid w:val="00BF2D86"/>
    <w:rsid w:val="00BF316A"/>
    <w:rsid w:val="00C01659"/>
    <w:rsid w:val="00C134F8"/>
    <w:rsid w:val="00C13DE0"/>
    <w:rsid w:val="00C16BF9"/>
    <w:rsid w:val="00C26032"/>
    <w:rsid w:val="00C30EE7"/>
    <w:rsid w:val="00C313B0"/>
    <w:rsid w:val="00C43946"/>
    <w:rsid w:val="00C52C4C"/>
    <w:rsid w:val="00C62DE1"/>
    <w:rsid w:val="00C83820"/>
    <w:rsid w:val="00C87342"/>
    <w:rsid w:val="00C874FF"/>
    <w:rsid w:val="00C90B2D"/>
    <w:rsid w:val="00C9359F"/>
    <w:rsid w:val="00CA2332"/>
    <w:rsid w:val="00CA2871"/>
    <w:rsid w:val="00CA3DA2"/>
    <w:rsid w:val="00CA5A77"/>
    <w:rsid w:val="00CB398B"/>
    <w:rsid w:val="00CB41FF"/>
    <w:rsid w:val="00CB73E2"/>
    <w:rsid w:val="00CC0048"/>
    <w:rsid w:val="00CC4693"/>
    <w:rsid w:val="00CC6BB7"/>
    <w:rsid w:val="00CD3F34"/>
    <w:rsid w:val="00CE2AEA"/>
    <w:rsid w:val="00CE46E3"/>
    <w:rsid w:val="00CF027E"/>
    <w:rsid w:val="00D13273"/>
    <w:rsid w:val="00D25704"/>
    <w:rsid w:val="00D2675F"/>
    <w:rsid w:val="00D5199C"/>
    <w:rsid w:val="00D5248D"/>
    <w:rsid w:val="00D61E86"/>
    <w:rsid w:val="00D65924"/>
    <w:rsid w:val="00D8587F"/>
    <w:rsid w:val="00D91498"/>
    <w:rsid w:val="00D918E4"/>
    <w:rsid w:val="00D95AB6"/>
    <w:rsid w:val="00D95FB7"/>
    <w:rsid w:val="00DA103F"/>
    <w:rsid w:val="00DA39F0"/>
    <w:rsid w:val="00DA7A4B"/>
    <w:rsid w:val="00DA7BD7"/>
    <w:rsid w:val="00DB62E1"/>
    <w:rsid w:val="00DB670D"/>
    <w:rsid w:val="00DC003D"/>
    <w:rsid w:val="00DC3C1A"/>
    <w:rsid w:val="00DC4E21"/>
    <w:rsid w:val="00DD2B95"/>
    <w:rsid w:val="00DD3124"/>
    <w:rsid w:val="00DD326E"/>
    <w:rsid w:val="00DD760A"/>
    <w:rsid w:val="00DE5DD9"/>
    <w:rsid w:val="00DF0177"/>
    <w:rsid w:val="00DF3242"/>
    <w:rsid w:val="00E00F1E"/>
    <w:rsid w:val="00E17772"/>
    <w:rsid w:val="00E17A41"/>
    <w:rsid w:val="00E21DEB"/>
    <w:rsid w:val="00E220A5"/>
    <w:rsid w:val="00E24090"/>
    <w:rsid w:val="00E32E1D"/>
    <w:rsid w:val="00E338BE"/>
    <w:rsid w:val="00E45EAB"/>
    <w:rsid w:val="00E46966"/>
    <w:rsid w:val="00E501B9"/>
    <w:rsid w:val="00E51F6B"/>
    <w:rsid w:val="00E55C8E"/>
    <w:rsid w:val="00E610E8"/>
    <w:rsid w:val="00E61163"/>
    <w:rsid w:val="00E66C12"/>
    <w:rsid w:val="00E66E45"/>
    <w:rsid w:val="00E7052D"/>
    <w:rsid w:val="00E81216"/>
    <w:rsid w:val="00E846BA"/>
    <w:rsid w:val="00E93E4E"/>
    <w:rsid w:val="00E974A9"/>
    <w:rsid w:val="00EA2746"/>
    <w:rsid w:val="00EA36A9"/>
    <w:rsid w:val="00EA5445"/>
    <w:rsid w:val="00EA6D92"/>
    <w:rsid w:val="00EB25EB"/>
    <w:rsid w:val="00EC5A38"/>
    <w:rsid w:val="00ED21FA"/>
    <w:rsid w:val="00EE2D97"/>
    <w:rsid w:val="00EE61D8"/>
    <w:rsid w:val="00EE6C35"/>
    <w:rsid w:val="00F01013"/>
    <w:rsid w:val="00F014B6"/>
    <w:rsid w:val="00F10C48"/>
    <w:rsid w:val="00F13C5E"/>
    <w:rsid w:val="00F16CCE"/>
    <w:rsid w:val="00F1773E"/>
    <w:rsid w:val="00F17A08"/>
    <w:rsid w:val="00F21788"/>
    <w:rsid w:val="00F23D30"/>
    <w:rsid w:val="00F334B7"/>
    <w:rsid w:val="00F40310"/>
    <w:rsid w:val="00F40AD8"/>
    <w:rsid w:val="00F4703D"/>
    <w:rsid w:val="00F47DAC"/>
    <w:rsid w:val="00F614E8"/>
    <w:rsid w:val="00F636F9"/>
    <w:rsid w:val="00F67109"/>
    <w:rsid w:val="00F73FA9"/>
    <w:rsid w:val="00F77AC1"/>
    <w:rsid w:val="00F91C96"/>
    <w:rsid w:val="00F9732B"/>
    <w:rsid w:val="00FA3755"/>
    <w:rsid w:val="00FA4281"/>
    <w:rsid w:val="00FA496F"/>
    <w:rsid w:val="00FA634B"/>
    <w:rsid w:val="00FB4B3C"/>
    <w:rsid w:val="00FB5DC1"/>
    <w:rsid w:val="00FB647E"/>
    <w:rsid w:val="00FC7035"/>
    <w:rsid w:val="00FD0101"/>
    <w:rsid w:val="00FE346A"/>
    <w:rsid w:val="00FE7DC3"/>
    <w:rsid w:val="00FF4B9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99D6D1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47"/>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9"/>
    <w:qFormat/>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
    <w:qFormat/>
    <w:pPr>
      <w:keepNext/>
      <w:keepLines/>
      <w:spacing w:before="40"/>
      <w:outlineLvl w:val="2"/>
    </w:pPr>
    <w:rPr>
      <w:rFonts w:ascii="Cambria" w:hAnsi="Cambria" w:cs="Cambria"/>
    </w:rPr>
  </w:style>
  <w:style w:type="paragraph" w:styleId="Heading4">
    <w:name w:val="heading 4"/>
    <w:basedOn w:val="Normal"/>
    <w:next w:val="Normal"/>
    <w:link w:val="Heading4Char"/>
    <w:uiPriority w:val="99"/>
    <w:qFormat/>
    <w:pPr>
      <w:keepNext/>
      <w:keepLines/>
      <w:spacing w:before="40"/>
      <w:outlineLvl w:val="3"/>
    </w:pPr>
    <w:rPr>
      <w:rFonts w:ascii="Calibri Light" w:hAnsi="Calibri Light" w:cs="Calibri Light"/>
      <w:i/>
      <w:iCs/>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libri Light" w:hAnsi="Calibri Light" w:cs="Calibri Light"/>
      <w:color w:val="auto"/>
      <w:sz w:val="26"/>
      <w:szCs w:val="26"/>
    </w:rPr>
  </w:style>
  <w:style w:type="character" w:customStyle="1" w:styleId="Heading3Char">
    <w:name w:val="Heading 3 Char"/>
    <w:basedOn w:val="DefaultParagraphFont"/>
    <w:link w:val="Heading3"/>
    <w:uiPriority w:val="9"/>
    <w:locked/>
    <w:rPr>
      <w:rFonts w:ascii="Cambria" w:hAnsi="Cambria" w:cs="Cambria"/>
      <w:color w:val="auto"/>
      <w:sz w:val="24"/>
      <w:szCs w:val="24"/>
      <w:lang w:val="x-none" w:eastAsia="en-AU"/>
    </w:rPr>
  </w:style>
  <w:style w:type="character" w:customStyle="1" w:styleId="Heading4Char">
    <w:name w:val="Heading 4 Char"/>
    <w:basedOn w:val="DefaultParagraphFont"/>
    <w:link w:val="Heading4"/>
    <w:uiPriority w:val="99"/>
    <w:locked/>
    <w:rPr>
      <w:rFonts w:ascii="Calibri Light" w:hAnsi="Calibri Light" w:cs="Calibri Light"/>
      <w:i/>
      <w:iCs/>
      <w:color w:val="auto"/>
      <w:sz w:val="20"/>
      <w:szCs w:val="20"/>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lp11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1"/>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uiPriority w:val="99"/>
    <w:rPr>
      <w:rFonts w:ascii="Times New Roman" w:hAnsi="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22"/>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uiPriority w:val="99"/>
    <w:pPr>
      <w:spacing w:after="240"/>
      <w:ind w:left="936"/>
    </w:pPr>
  </w:style>
  <w:style w:type="paragraph" w:customStyle="1" w:styleId="ActHead7">
    <w:name w:val="ActHead 7"/>
    <w:aliases w:val="ap"/>
    <w:basedOn w:val="Normal"/>
    <w:next w:val="ItemHead"/>
    <w:qFormat/>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uiPriority w:val="99"/>
    <w:rPr>
      <w:rFonts w:ascii="Times New Roman" w:hAnsi="Times New Roman"/>
    </w:rPr>
  </w:style>
  <w:style w:type="paragraph" w:customStyle="1" w:styleId="subsection">
    <w:name w:val="subsection"/>
    <w:basedOn w:val="Normal"/>
    <w:uiPriority w:val="99"/>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uiPriority w:val="99"/>
    <w:rPr>
      <w:rFonts w:ascii="Times New Roman" w:hAnsi="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47"/>
    <w:pPr>
      <w:tabs>
        <w:tab w:val="center" w:pos="4513"/>
        <w:tab w:val="right" w:pos="9026"/>
      </w:tabs>
      <w:spacing w:before="0"/>
    </w:pPr>
  </w:style>
  <w:style w:type="character" w:customStyle="1" w:styleId="HeaderChar">
    <w:name w:val="Header Char"/>
    <w:basedOn w:val="DefaultParagraphFont"/>
    <w:link w:val="Header"/>
    <w:uiPriority w:val="47"/>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rPr>
      <w:rFonts w:ascii="Times New Roman" w:hAnsi="Times New Roman"/>
      <w:b/>
      <w:kern w:val="28"/>
      <w:sz w:val="20"/>
    </w:rPr>
  </w:style>
  <w:style w:type="paragraph" w:customStyle="1" w:styleId="ActHead5">
    <w:name w:val="ActHead 5"/>
    <w:aliases w:val="s"/>
    <w:basedOn w:val="Normal"/>
    <w:next w:val="Normal"/>
    <w:qFormat/>
    <w:pPr>
      <w:keepNext/>
      <w:keepLines/>
      <w:spacing w:before="280"/>
      <w:ind w:left="1134" w:hanging="1134"/>
      <w:outlineLvl w:val="4"/>
    </w:pPr>
    <w:rPr>
      <w:b/>
      <w:bCs/>
      <w:kern w:val="28"/>
    </w:rPr>
  </w:style>
  <w:style w:type="paragraph" w:customStyle="1" w:styleId="paragraph">
    <w:name w:val="paragraph"/>
    <w:aliases w:val="a"/>
    <w:basedOn w:val="Normal"/>
    <w:link w:val="paragraphChar"/>
    <w:pPr>
      <w:tabs>
        <w:tab w:val="right" w:pos="1531"/>
      </w:tabs>
      <w:spacing w:before="40"/>
      <w:ind w:left="1644" w:hanging="1644"/>
    </w:pPr>
    <w:rPr>
      <w:sz w:val="22"/>
      <w:szCs w:val="22"/>
    </w:rPr>
  </w:style>
  <w:style w:type="paragraph" w:customStyle="1" w:styleId="SubsectionHead">
    <w:name w:val="SubsectionHead"/>
    <w:aliases w:val="ssh"/>
    <w:basedOn w:val="Normal"/>
    <w:next w:val="Normal"/>
    <w:uiPriority w:val="99"/>
    <w:pPr>
      <w:keepNext/>
      <w:keepLines/>
      <w:ind w:left="1134"/>
    </w:pPr>
    <w:rPr>
      <w:i/>
      <w:iCs/>
      <w:sz w:val="22"/>
      <w:szCs w:val="22"/>
    </w:rPr>
  </w:style>
  <w:style w:type="paragraph" w:customStyle="1" w:styleId="paragraphsub">
    <w:name w:val="paragraph(sub)"/>
    <w:aliases w:val="aa"/>
    <w:basedOn w:val="Normal"/>
    <w:uiPriority w:val="99"/>
    <w:pPr>
      <w:tabs>
        <w:tab w:val="right" w:pos="1985"/>
      </w:tabs>
      <w:spacing w:before="40"/>
      <w:ind w:left="2098" w:hanging="2098"/>
    </w:pPr>
    <w:rPr>
      <w:sz w:val="22"/>
      <w:szCs w:val="22"/>
    </w:rPr>
  </w:style>
  <w:style w:type="paragraph" w:customStyle="1" w:styleId="embullet">
    <w:name w:val="embullet"/>
    <w:basedOn w:val="Normal"/>
    <w:uiPriority w:val="99"/>
    <w:pPr>
      <w:spacing w:before="100" w:beforeAutospacing="1" w:after="100" w:afterAutospacing="1"/>
    </w:pPr>
  </w:style>
  <w:style w:type="paragraph" w:customStyle="1" w:styleId="ListParagraph2">
    <w:name w:val="List Paragraph 2"/>
    <w:basedOn w:val="Normal"/>
    <w:uiPriority w:val="19"/>
    <w:pPr>
      <w:spacing w:before="0" w:after="120" w:line="264" w:lineRule="auto"/>
      <w:ind w:left="567"/>
    </w:pPr>
    <w:rPr>
      <w:sz w:val="20"/>
      <w:szCs w:val="20"/>
    </w:rPr>
  </w:style>
  <w:style w:type="paragraph" w:customStyle="1" w:styleId="ListParagraph3">
    <w:name w:val="List Paragraph 3"/>
    <w:basedOn w:val="Normal"/>
    <w:uiPriority w:val="19"/>
    <w:pPr>
      <w:spacing w:before="0" w:after="120" w:line="264" w:lineRule="auto"/>
      <w:ind w:left="851"/>
    </w:pPr>
    <w:rPr>
      <w:sz w:val="20"/>
      <w:szCs w:val="20"/>
    </w:rPr>
  </w:style>
  <w:style w:type="paragraph" w:customStyle="1" w:styleId="ListParagraph4">
    <w:name w:val="List Paragraph 4"/>
    <w:basedOn w:val="Normal"/>
    <w:uiPriority w:val="19"/>
    <w:pPr>
      <w:spacing w:before="0" w:after="120" w:line="264" w:lineRule="auto"/>
      <w:ind w:left="1134"/>
    </w:pPr>
    <w:rPr>
      <w:sz w:val="20"/>
      <w:szCs w:val="20"/>
    </w:rPr>
  </w:style>
  <w:style w:type="paragraph" w:customStyle="1" w:styleId="ListParagraph5">
    <w:name w:val="List Paragraph 5"/>
    <w:basedOn w:val="Normal"/>
    <w:uiPriority w:val="19"/>
    <w:pPr>
      <w:spacing w:before="0" w:after="120" w:line="264" w:lineRule="auto"/>
      <w:ind w:left="1418"/>
    </w:pPr>
    <w:rPr>
      <w:sz w:val="20"/>
      <w:szCs w:val="20"/>
    </w:rPr>
  </w:style>
  <w:style w:type="paragraph" w:customStyle="1" w:styleId="ListParagraph6">
    <w:name w:val="List Paragraph 6"/>
    <w:basedOn w:val="Normal"/>
    <w:uiPriority w:val="19"/>
    <w:pPr>
      <w:spacing w:before="0" w:after="120" w:line="264" w:lineRule="auto"/>
      <w:ind w:left="1701"/>
    </w:pPr>
    <w:rPr>
      <w:sz w:val="20"/>
      <w:szCs w:val="20"/>
    </w:rPr>
  </w:style>
  <w:style w:type="character" w:customStyle="1" w:styleId="paragraphChar">
    <w:name w:val="paragraph Char"/>
    <w:aliases w:val="a Char"/>
    <w:link w:val="paragraph"/>
    <w:locked/>
    <w:rsid w:val="00265286"/>
    <w:rPr>
      <w:rFonts w:ascii="Times New Roman" w:hAnsi="Times New Roman"/>
    </w:rPr>
  </w:style>
  <w:style w:type="paragraph" w:customStyle="1" w:styleId="ESAttNormal">
    <w:name w:val="ESAtt_Normal"/>
    <w:basedOn w:val="Normal"/>
    <w:link w:val="ESAttNormalChar"/>
    <w:qFormat/>
    <w:rsid w:val="00265286"/>
    <w:pPr>
      <w:spacing w:after="240" w:line="276" w:lineRule="auto"/>
    </w:pPr>
    <w:rPr>
      <w:sz w:val="22"/>
      <w:szCs w:val="22"/>
      <w:lang w:eastAsia="en-US"/>
    </w:rPr>
  </w:style>
  <w:style w:type="character" w:customStyle="1" w:styleId="ESAttNormalChar">
    <w:name w:val="ESAtt_Normal Char"/>
    <w:link w:val="ESAttNormal"/>
    <w:locked/>
    <w:rsid w:val="00265286"/>
    <w:rPr>
      <w:rFonts w:ascii="Times New Roman" w:hAnsi="Times New Roman"/>
      <w:lang w:val="x-none" w:eastAsia="en-US"/>
    </w:rPr>
  </w:style>
  <w:style w:type="paragraph" w:styleId="NoSpacing">
    <w:name w:val="No Spacing"/>
    <w:uiPriority w:val="1"/>
    <w:qFormat/>
    <w:rsid w:val="001128CF"/>
    <w:pPr>
      <w:spacing w:after="0" w:line="240" w:lineRule="auto"/>
    </w:pPr>
    <w:rPr>
      <w:rFonts w:ascii="Times New Roman" w:eastAsia="Times New Roman" w:hAnsi="Times New Roman"/>
      <w:sz w:val="24"/>
      <w:szCs w:val="24"/>
    </w:rPr>
  </w:style>
  <w:style w:type="table" w:styleId="TableGrid">
    <w:name w:val="Table Grid"/>
    <w:basedOn w:val="TableNormal"/>
    <w:uiPriority w:val="39"/>
    <w:rsid w:val="0059245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ItemHead"/>
    <w:rsid w:val="00DF3242"/>
    <w:pPr>
      <w:keepLines/>
      <w:spacing w:before="80"/>
      <w:ind w:left="709"/>
    </w:pPr>
    <w:rPr>
      <w:rFonts w:eastAsia="Times New Roman"/>
      <w:sz w:val="22"/>
      <w:szCs w:val="20"/>
    </w:rPr>
  </w:style>
  <w:style w:type="character" w:customStyle="1" w:styleId="CharSectno">
    <w:name w:val="CharSectno"/>
    <w:basedOn w:val="DefaultParagraphFont"/>
    <w:qFormat/>
    <w:rsid w:val="004E1515"/>
  </w:style>
  <w:style w:type="paragraph" w:customStyle="1" w:styleId="paranumbering">
    <w:name w:val="paranumbering"/>
    <w:basedOn w:val="Normal"/>
    <w:uiPriority w:val="99"/>
    <w:rsid w:val="00575847"/>
    <w:pPr>
      <w:spacing w:before="100" w:beforeAutospacing="1" w:after="100" w:afterAutospacing="1"/>
    </w:pPr>
    <w:rPr>
      <w:rFonts w:eastAsiaTheme="minorHAnsi"/>
    </w:rPr>
  </w:style>
  <w:style w:type="paragraph" w:customStyle="1" w:styleId="contentelement-indentone">
    <w:name w:val="contentelement-indentone"/>
    <w:basedOn w:val="Normal"/>
    <w:rsid w:val="00E46966"/>
    <w:pPr>
      <w:spacing w:before="100" w:beforeAutospacing="1" w:after="100" w:afterAutospacing="1"/>
    </w:pPr>
    <w:rPr>
      <w:rFonts w:eastAsia="Times New Roman"/>
    </w:rPr>
  </w:style>
  <w:style w:type="paragraph" w:customStyle="1" w:styleId="contentelement-indenttwo">
    <w:name w:val="contentelement-indenttwo"/>
    <w:basedOn w:val="Normal"/>
    <w:rsid w:val="00E46966"/>
    <w:pPr>
      <w:spacing w:before="100" w:beforeAutospacing="1" w:after="100" w:afterAutospacing="1"/>
    </w:pPr>
    <w:rPr>
      <w:rFonts w:eastAsia="Times New Roman"/>
    </w:rPr>
  </w:style>
  <w:style w:type="paragraph" w:customStyle="1" w:styleId="contentelement-indentthree">
    <w:name w:val="contentelement-indentthree"/>
    <w:basedOn w:val="Normal"/>
    <w:rsid w:val="00E46966"/>
    <w:pPr>
      <w:spacing w:before="100" w:beforeAutospacing="1" w:after="100" w:afterAutospacing="1"/>
    </w:pPr>
    <w:rPr>
      <w:rFonts w:eastAsia="Times New Roman"/>
    </w:rPr>
  </w:style>
  <w:style w:type="character" w:customStyle="1" w:styleId="BodytextChar0">
    <w:name w:val="Body text Char"/>
    <w:link w:val="BodyText1"/>
    <w:locked/>
    <w:rsid w:val="002E5269"/>
    <w:rPr>
      <w:rFonts w:ascii="Arial" w:hAnsi="Arial" w:cs="Arial"/>
      <w:sz w:val="24"/>
      <w:szCs w:val="24"/>
    </w:rPr>
  </w:style>
  <w:style w:type="paragraph" w:customStyle="1" w:styleId="BodyText1">
    <w:name w:val="Body Text1"/>
    <w:basedOn w:val="Normal"/>
    <w:link w:val="BodytextChar0"/>
    <w:rsid w:val="002E5269"/>
    <w:rPr>
      <w:rFonts w:ascii="Arial" w:hAnsi="Arial" w:cs="Arial"/>
    </w:rPr>
  </w:style>
  <w:style w:type="character" w:customStyle="1" w:styleId="ms-rtestyle-notelink">
    <w:name w:val="ms-rtestyle-notelink"/>
    <w:basedOn w:val="DefaultParagraphFont"/>
    <w:rsid w:val="00804FE6"/>
  </w:style>
  <w:style w:type="character" w:customStyle="1" w:styleId="ui-provider">
    <w:name w:val="ui-provider"/>
    <w:basedOn w:val="DefaultParagraphFont"/>
    <w:rsid w:val="006E7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1867">
      <w:bodyDiv w:val="1"/>
      <w:marLeft w:val="0"/>
      <w:marRight w:val="0"/>
      <w:marTop w:val="0"/>
      <w:marBottom w:val="0"/>
      <w:divBdr>
        <w:top w:val="none" w:sz="0" w:space="0" w:color="auto"/>
        <w:left w:val="none" w:sz="0" w:space="0" w:color="auto"/>
        <w:bottom w:val="none" w:sz="0" w:space="0" w:color="auto"/>
        <w:right w:val="none" w:sz="0" w:space="0" w:color="auto"/>
      </w:divBdr>
    </w:div>
    <w:div w:id="286738942">
      <w:bodyDiv w:val="1"/>
      <w:marLeft w:val="0"/>
      <w:marRight w:val="0"/>
      <w:marTop w:val="0"/>
      <w:marBottom w:val="0"/>
      <w:divBdr>
        <w:top w:val="none" w:sz="0" w:space="0" w:color="auto"/>
        <w:left w:val="none" w:sz="0" w:space="0" w:color="auto"/>
        <w:bottom w:val="none" w:sz="0" w:space="0" w:color="auto"/>
        <w:right w:val="none" w:sz="0" w:space="0" w:color="auto"/>
      </w:divBdr>
    </w:div>
    <w:div w:id="366679102">
      <w:bodyDiv w:val="1"/>
      <w:marLeft w:val="0"/>
      <w:marRight w:val="0"/>
      <w:marTop w:val="0"/>
      <w:marBottom w:val="0"/>
      <w:divBdr>
        <w:top w:val="none" w:sz="0" w:space="0" w:color="auto"/>
        <w:left w:val="none" w:sz="0" w:space="0" w:color="auto"/>
        <w:bottom w:val="none" w:sz="0" w:space="0" w:color="auto"/>
        <w:right w:val="none" w:sz="0" w:space="0" w:color="auto"/>
      </w:divBdr>
    </w:div>
    <w:div w:id="524831065">
      <w:bodyDiv w:val="1"/>
      <w:marLeft w:val="0"/>
      <w:marRight w:val="0"/>
      <w:marTop w:val="0"/>
      <w:marBottom w:val="0"/>
      <w:divBdr>
        <w:top w:val="none" w:sz="0" w:space="0" w:color="auto"/>
        <w:left w:val="none" w:sz="0" w:space="0" w:color="auto"/>
        <w:bottom w:val="none" w:sz="0" w:space="0" w:color="auto"/>
        <w:right w:val="none" w:sz="0" w:space="0" w:color="auto"/>
      </w:divBdr>
    </w:div>
    <w:div w:id="798763367">
      <w:bodyDiv w:val="1"/>
      <w:marLeft w:val="0"/>
      <w:marRight w:val="0"/>
      <w:marTop w:val="0"/>
      <w:marBottom w:val="0"/>
      <w:divBdr>
        <w:top w:val="none" w:sz="0" w:space="0" w:color="auto"/>
        <w:left w:val="none" w:sz="0" w:space="0" w:color="auto"/>
        <w:bottom w:val="none" w:sz="0" w:space="0" w:color="auto"/>
        <w:right w:val="none" w:sz="0" w:space="0" w:color="auto"/>
      </w:divBdr>
    </w:div>
    <w:div w:id="820389654">
      <w:bodyDiv w:val="1"/>
      <w:marLeft w:val="0"/>
      <w:marRight w:val="0"/>
      <w:marTop w:val="0"/>
      <w:marBottom w:val="0"/>
      <w:divBdr>
        <w:top w:val="none" w:sz="0" w:space="0" w:color="auto"/>
        <w:left w:val="none" w:sz="0" w:space="0" w:color="auto"/>
        <w:bottom w:val="none" w:sz="0" w:space="0" w:color="auto"/>
        <w:right w:val="none" w:sz="0" w:space="0" w:color="auto"/>
      </w:divBdr>
      <w:divsChild>
        <w:div w:id="1009913695">
          <w:marLeft w:val="0"/>
          <w:marRight w:val="0"/>
          <w:marTop w:val="0"/>
          <w:marBottom w:val="0"/>
          <w:divBdr>
            <w:top w:val="none" w:sz="0" w:space="0" w:color="auto"/>
            <w:left w:val="none" w:sz="0" w:space="0" w:color="auto"/>
            <w:bottom w:val="none" w:sz="0" w:space="0" w:color="auto"/>
            <w:right w:val="none" w:sz="0" w:space="0" w:color="auto"/>
          </w:divBdr>
          <w:divsChild>
            <w:div w:id="1763448480">
              <w:marLeft w:val="0"/>
              <w:marRight w:val="0"/>
              <w:marTop w:val="0"/>
              <w:marBottom w:val="0"/>
              <w:divBdr>
                <w:top w:val="none" w:sz="0" w:space="0" w:color="auto"/>
                <w:left w:val="none" w:sz="0" w:space="0" w:color="auto"/>
                <w:bottom w:val="none" w:sz="0" w:space="0" w:color="auto"/>
                <w:right w:val="none" w:sz="0" w:space="0" w:color="auto"/>
              </w:divBdr>
            </w:div>
            <w:div w:id="393311057">
              <w:marLeft w:val="0"/>
              <w:marRight w:val="0"/>
              <w:marTop w:val="0"/>
              <w:marBottom w:val="0"/>
              <w:divBdr>
                <w:top w:val="none" w:sz="0" w:space="0" w:color="auto"/>
                <w:left w:val="none" w:sz="0" w:space="0" w:color="auto"/>
                <w:bottom w:val="none" w:sz="0" w:space="0" w:color="auto"/>
                <w:right w:val="none" w:sz="0" w:space="0" w:color="auto"/>
              </w:divBdr>
            </w:div>
            <w:div w:id="292292537">
              <w:marLeft w:val="0"/>
              <w:marRight w:val="0"/>
              <w:marTop w:val="0"/>
              <w:marBottom w:val="0"/>
              <w:divBdr>
                <w:top w:val="none" w:sz="0" w:space="0" w:color="auto"/>
                <w:left w:val="none" w:sz="0" w:space="0" w:color="auto"/>
                <w:bottom w:val="none" w:sz="0" w:space="0" w:color="auto"/>
                <w:right w:val="none" w:sz="0" w:space="0" w:color="auto"/>
              </w:divBdr>
            </w:div>
            <w:div w:id="13758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1530">
      <w:bodyDiv w:val="1"/>
      <w:marLeft w:val="0"/>
      <w:marRight w:val="0"/>
      <w:marTop w:val="0"/>
      <w:marBottom w:val="0"/>
      <w:divBdr>
        <w:top w:val="none" w:sz="0" w:space="0" w:color="auto"/>
        <w:left w:val="none" w:sz="0" w:space="0" w:color="auto"/>
        <w:bottom w:val="none" w:sz="0" w:space="0" w:color="auto"/>
        <w:right w:val="none" w:sz="0" w:space="0" w:color="auto"/>
      </w:divBdr>
    </w:div>
    <w:div w:id="1283732553">
      <w:bodyDiv w:val="1"/>
      <w:marLeft w:val="0"/>
      <w:marRight w:val="0"/>
      <w:marTop w:val="0"/>
      <w:marBottom w:val="0"/>
      <w:divBdr>
        <w:top w:val="none" w:sz="0" w:space="0" w:color="auto"/>
        <w:left w:val="none" w:sz="0" w:space="0" w:color="auto"/>
        <w:bottom w:val="none" w:sz="0" w:space="0" w:color="auto"/>
        <w:right w:val="none" w:sz="0" w:space="0" w:color="auto"/>
      </w:divBdr>
    </w:div>
    <w:div w:id="1452936083">
      <w:bodyDiv w:val="1"/>
      <w:marLeft w:val="0"/>
      <w:marRight w:val="0"/>
      <w:marTop w:val="0"/>
      <w:marBottom w:val="0"/>
      <w:divBdr>
        <w:top w:val="none" w:sz="0" w:space="0" w:color="auto"/>
        <w:left w:val="none" w:sz="0" w:space="0" w:color="auto"/>
        <w:bottom w:val="none" w:sz="0" w:space="0" w:color="auto"/>
        <w:right w:val="none" w:sz="0" w:space="0" w:color="auto"/>
      </w:divBdr>
      <w:divsChild>
        <w:div w:id="1370715857">
          <w:marLeft w:val="0"/>
          <w:marRight w:val="0"/>
          <w:marTop w:val="0"/>
          <w:marBottom w:val="0"/>
          <w:divBdr>
            <w:top w:val="none" w:sz="0" w:space="0" w:color="auto"/>
            <w:left w:val="none" w:sz="0" w:space="0" w:color="auto"/>
            <w:bottom w:val="none" w:sz="0" w:space="0" w:color="auto"/>
            <w:right w:val="none" w:sz="0" w:space="0" w:color="auto"/>
          </w:divBdr>
          <w:divsChild>
            <w:div w:id="1443649319">
              <w:marLeft w:val="0"/>
              <w:marRight w:val="0"/>
              <w:marTop w:val="0"/>
              <w:marBottom w:val="0"/>
              <w:divBdr>
                <w:top w:val="none" w:sz="0" w:space="0" w:color="auto"/>
                <w:left w:val="none" w:sz="0" w:space="0" w:color="auto"/>
                <w:bottom w:val="none" w:sz="0" w:space="0" w:color="auto"/>
                <w:right w:val="none" w:sz="0" w:space="0" w:color="auto"/>
              </w:divBdr>
            </w:div>
            <w:div w:id="394473328">
              <w:marLeft w:val="0"/>
              <w:marRight w:val="0"/>
              <w:marTop w:val="0"/>
              <w:marBottom w:val="0"/>
              <w:divBdr>
                <w:top w:val="none" w:sz="0" w:space="0" w:color="auto"/>
                <w:left w:val="none" w:sz="0" w:space="0" w:color="auto"/>
                <w:bottom w:val="none" w:sz="0" w:space="0" w:color="auto"/>
                <w:right w:val="none" w:sz="0" w:space="0" w:color="auto"/>
              </w:divBdr>
            </w:div>
            <w:div w:id="21172432">
              <w:marLeft w:val="0"/>
              <w:marRight w:val="0"/>
              <w:marTop w:val="0"/>
              <w:marBottom w:val="0"/>
              <w:divBdr>
                <w:top w:val="none" w:sz="0" w:space="0" w:color="auto"/>
                <w:left w:val="none" w:sz="0" w:space="0" w:color="auto"/>
                <w:bottom w:val="none" w:sz="0" w:space="0" w:color="auto"/>
                <w:right w:val="none" w:sz="0" w:space="0" w:color="auto"/>
              </w:divBdr>
            </w:div>
            <w:div w:id="223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5726">
      <w:bodyDiv w:val="1"/>
      <w:marLeft w:val="0"/>
      <w:marRight w:val="0"/>
      <w:marTop w:val="0"/>
      <w:marBottom w:val="0"/>
      <w:divBdr>
        <w:top w:val="none" w:sz="0" w:space="0" w:color="auto"/>
        <w:left w:val="none" w:sz="0" w:space="0" w:color="auto"/>
        <w:bottom w:val="none" w:sz="0" w:space="0" w:color="auto"/>
        <w:right w:val="none" w:sz="0" w:space="0" w:color="auto"/>
      </w:divBdr>
    </w:div>
    <w:div w:id="1735934015">
      <w:bodyDiv w:val="1"/>
      <w:marLeft w:val="0"/>
      <w:marRight w:val="0"/>
      <w:marTop w:val="0"/>
      <w:marBottom w:val="0"/>
      <w:divBdr>
        <w:top w:val="none" w:sz="0" w:space="0" w:color="auto"/>
        <w:left w:val="none" w:sz="0" w:space="0" w:color="auto"/>
        <w:bottom w:val="none" w:sz="0" w:space="0" w:color="auto"/>
        <w:right w:val="none" w:sz="0" w:space="0" w:color="auto"/>
      </w:divBdr>
      <w:divsChild>
        <w:div w:id="1744524723">
          <w:marLeft w:val="0"/>
          <w:marRight w:val="0"/>
          <w:marTop w:val="0"/>
          <w:marBottom w:val="0"/>
          <w:divBdr>
            <w:top w:val="none" w:sz="0" w:space="0" w:color="auto"/>
            <w:left w:val="none" w:sz="0" w:space="0" w:color="auto"/>
            <w:bottom w:val="none" w:sz="0" w:space="0" w:color="auto"/>
            <w:right w:val="none" w:sz="0" w:space="0" w:color="auto"/>
          </w:divBdr>
          <w:divsChild>
            <w:div w:id="915627275">
              <w:marLeft w:val="0"/>
              <w:marRight w:val="0"/>
              <w:marTop w:val="0"/>
              <w:marBottom w:val="0"/>
              <w:divBdr>
                <w:top w:val="none" w:sz="0" w:space="0" w:color="auto"/>
                <w:left w:val="none" w:sz="0" w:space="0" w:color="auto"/>
                <w:bottom w:val="none" w:sz="0" w:space="0" w:color="auto"/>
                <w:right w:val="none" w:sz="0" w:space="0" w:color="auto"/>
              </w:divBdr>
            </w:div>
            <w:div w:id="383412665">
              <w:marLeft w:val="0"/>
              <w:marRight w:val="0"/>
              <w:marTop w:val="0"/>
              <w:marBottom w:val="0"/>
              <w:divBdr>
                <w:top w:val="none" w:sz="0" w:space="0" w:color="auto"/>
                <w:left w:val="none" w:sz="0" w:space="0" w:color="auto"/>
                <w:bottom w:val="none" w:sz="0" w:space="0" w:color="auto"/>
                <w:right w:val="none" w:sz="0" w:space="0" w:color="auto"/>
              </w:divBdr>
            </w:div>
            <w:div w:id="40786597">
              <w:marLeft w:val="0"/>
              <w:marRight w:val="0"/>
              <w:marTop w:val="0"/>
              <w:marBottom w:val="0"/>
              <w:divBdr>
                <w:top w:val="none" w:sz="0" w:space="0" w:color="auto"/>
                <w:left w:val="none" w:sz="0" w:space="0" w:color="auto"/>
                <w:bottom w:val="none" w:sz="0" w:space="0" w:color="auto"/>
                <w:right w:val="none" w:sz="0" w:space="0" w:color="auto"/>
              </w:divBdr>
            </w:div>
            <w:div w:id="3859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379">
      <w:bodyDiv w:val="1"/>
      <w:marLeft w:val="0"/>
      <w:marRight w:val="0"/>
      <w:marTop w:val="0"/>
      <w:marBottom w:val="0"/>
      <w:divBdr>
        <w:top w:val="none" w:sz="0" w:space="0" w:color="auto"/>
        <w:left w:val="none" w:sz="0" w:space="0" w:color="auto"/>
        <w:bottom w:val="none" w:sz="0" w:space="0" w:color="auto"/>
        <w:right w:val="none" w:sz="0" w:space="0" w:color="auto"/>
      </w:divBdr>
    </w:div>
    <w:div w:id="19427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1824</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2023-10-26T01:56:00Z</dcterms:created>
  <dcterms:modified xsi:type="dcterms:W3CDTF">2023-10-26T01:57:00Z</dcterms:modified>
</cp:coreProperties>
</file>