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6693C005"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3210DB">
        <w:rPr>
          <w:sz w:val="24"/>
          <w:szCs w:val="24"/>
        </w:rPr>
        <w:t xml:space="preserve">determination No. </w:t>
      </w:r>
      <w:r w:rsidR="003210DB" w:rsidRPr="003210DB">
        <w:rPr>
          <w:sz w:val="24"/>
          <w:szCs w:val="24"/>
        </w:rPr>
        <w:t xml:space="preserve">130 </w:t>
      </w:r>
      <w:r w:rsidRPr="003210DB">
        <w:rPr>
          <w:sz w:val="24"/>
          <w:szCs w:val="24"/>
        </w:rPr>
        <w:t>of</w:t>
      </w:r>
      <w:r w:rsidRPr="003C7355">
        <w:rPr>
          <w:sz w:val="24"/>
          <w:szCs w:val="24"/>
        </w:rPr>
        <w:t xml:space="preserve"> 202</w:t>
      </w:r>
      <w:r w:rsidR="00F13B96" w:rsidRPr="003C7355">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xml:space="preserve">, section </w:t>
      </w:r>
      <w:proofErr w:type="gramStart"/>
      <w:r>
        <w:t>33</w:t>
      </w:r>
      <w:proofErr w:type="gramEnd"/>
    </w:p>
    <w:p w14:paraId="101CED05" w14:textId="36FFA4A8"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w:t>
      </w:r>
      <w:r w:rsidR="00B73CAF">
        <w:rPr>
          <w:rFonts w:ascii="Times New Roman" w:hAnsi="Times New Roman"/>
          <w:sz w:val="24"/>
          <w:szCs w:val="24"/>
        </w:rPr>
        <w:t>, in writing,</w:t>
      </w:r>
      <w:r w:rsidR="00555A03">
        <w:rPr>
          <w:rFonts w:ascii="Times New Roman" w:hAnsi="Times New Roman"/>
          <w:sz w:val="24"/>
          <w:szCs w:val="24"/>
        </w:rPr>
        <w:t xml:space="preserve"> </w:t>
      </w:r>
      <w:r w:rsidRPr="001A2ADB">
        <w:rPr>
          <w:rFonts w:ascii="Times New Roman" w:hAnsi="Times New Roman"/>
          <w:sz w:val="24"/>
          <w:szCs w:val="24"/>
        </w:rPr>
        <w:t>reporting</w:t>
      </w:r>
      <w:r w:rsidR="00802D76">
        <w:rPr>
          <w:rFonts w:ascii="Times New Roman" w:hAnsi="Times New Roman"/>
          <w:sz w:val="24"/>
          <w:szCs w:val="24"/>
        </w:rPr>
        <w:t xml:space="preserve"> </w:t>
      </w:r>
      <w:r w:rsidRPr="001A2ADB">
        <w:rPr>
          <w:rFonts w:ascii="Times New Roman" w:hAnsi="Times New Roman"/>
          <w:sz w:val="24"/>
          <w:szCs w:val="24"/>
        </w:rPr>
        <w:t>standards</w:t>
      </w:r>
      <w:r w:rsidR="36655B40" w:rsidRPr="701537EA">
        <w:rPr>
          <w:rFonts w:ascii="Times New Roman" w:hAnsi="Times New Roman"/>
          <w:sz w:val="24"/>
          <w:szCs w:val="24"/>
        </w:rPr>
        <w:t xml:space="preserve"> </w:t>
      </w:r>
      <w:r w:rsidRPr="001A2ADB">
        <w:rPr>
          <w:rFonts w:ascii="Times New Roman" w:hAnsi="Times New Roman"/>
          <w:sz w:val="24"/>
          <w:szCs w:val="24"/>
        </w:rPr>
        <w:t>with which</w:t>
      </w:r>
      <w:r w:rsidR="007002E5">
        <w:rPr>
          <w:rFonts w:ascii="Times New Roman" w:hAnsi="Times New Roman"/>
          <w:sz w:val="24"/>
          <w:szCs w:val="24"/>
        </w:rPr>
        <w:t xml:space="preserve"> specified</w:t>
      </w:r>
      <w:r w:rsidR="00587001">
        <w:rPr>
          <w:rFonts w:ascii="Times New Roman" w:hAnsi="Times New Roman"/>
          <w:sz w:val="24"/>
          <w:szCs w:val="24"/>
        </w:rPr>
        <w:t xml:space="preserve"> </w:t>
      </w:r>
      <w:r w:rsidRPr="001A2ADB">
        <w:rPr>
          <w:rFonts w:ascii="Times New Roman" w:hAnsi="Times New Roman"/>
          <w:sz w:val="24"/>
          <w:szCs w:val="24"/>
        </w:rPr>
        <w:t>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2B96FE5D"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62EA7633" w14:textId="1BB477CC" w:rsidR="00B07F39" w:rsidRPr="003C7355" w:rsidRDefault="00211AFD" w:rsidP="701537EA">
      <w:pPr>
        <w:rPr>
          <w:rFonts w:ascii="Times New Roman" w:hAnsi="Times New Roman" w:cs="Times New Roman"/>
          <w:sz w:val="24"/>
          <w:szCs w:val="24"/>
        </w:rPr>
      </w:pPr>
      <w:r w:rsidRPr="001F4824">
        <w:rPr>
          <w:rFonts w:ascii="Times New Roman" w:hAnsi="Times New Roman" w:cs="Times New Roman"/>
          <w:sz w:val="24"/>
          <w:szCs w:val="24"/>
        </w:rPr>
        <w:t>On</w:t>
      </w:r>
      <w:r w:rsidR="00F41BD7" w:rsidRPr="001F4824">
        <w:rPr>
          <w:rFonts w:ascii="Times New Roman" w:hAnsi="Times New Roman" w:cs="Times New Roman"/>
          <w:sz w:val="24"/>
          <w:szCs w:val="24"/>
        </w:rPr>
        <w:t xml:space="preserve"> </w:t>
      </w:r>
      <w:r w:rsidR="00231A7D" w:rsidRPr="001F4824">
        <w:rPr>
          <w:rFonts w:ascii="Times New Roman" w:hAnsi="Times New Roman" w:cs="Times New Roman"/>
          <w:sz w:val="24"/>
          <w:szCs w:val="24"/>
        </w:rPr>
        <w:t>26</w:t>
      </w:r>
      <w:r w:rsidR="00B63ED2" w:rsidRPr="001F4824">
        <w:rPr>
          <w:rFonts w:ascii="Times New Roman" w:hAnsi="Times New Roman" w:cs="Times New Roman"/>
          <w:sz w:val="24"/>
          <w:szCs w:val="24"/>
        </w:rPr>
        <w:t xml:space="preserve"> </w:t>
      </w:r>
      <w:r w:rsidR="00EE0A8F" w:rsidRPr="001F4824">
        <w:rPr>
          <w:rFonts w:ascii="Times New Roman" w:hAnsi="Times New Roman" w:cs="Times New Roman"/>
          <w:sz w:val="24"/>
          <w:szCs w:val="24"/>
        </w:rPr>
        <w:t>October</w:t>
      </w:r>
      <w:r w:rsidR="00EE0A8F" w:rsidRPr="00CB7364">
        <w:rPr>
          <w:rFonts w:ascii="Times New Roman" w:hAnsi="Times New Roman" w:cs="Times New Roman"/>
          <w:sz w:val="24"/>
          <w:szCs w:val="24"/>
        </w:rPr>
        <w:t xml:space="preserve"> </w:t>
      </w:r>
      <w:r w:rsidR="00B83763" w:rsidRPr="00CB7364">
        <w:rPr>
          <w:rFonts w:ascii="Times New Roman" w:hAnsi="Times New Roman" w:cs="Times New Roman"/>
          <w:sz w:val="24"/>
          <w:szCs w:val="24"/>
        </w:rPr>
        <w:t>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C7355">
        <w:rPr>
          <w:rFonts w:ascii="Times New Roman" w:hAnsi="Times New Roman" w:cs="Times New Roman"/>
          <w:sz w:val="24"/>
          <w:szCs w:val="24"/>
        </w:rPr>
        <w:t xml:space="preserve"> </w:t>
      </w:r>
      <w:r w:rsidR="00B07F39" w:rsidRPr="003C7355">
        <w:rPr>
          <w:rFonts w:ascii="Times New Roman" w:hAnsi="Times New Roman"/>
          <w:sz w:val="24"/>
          <w:szCs w:val="24"/>
        </w:rPr>
        <w:t xml:space="preserve">Financial Sector (Collection of Data) (reporting standard) determination No. </w:t>
      </w:r>
      <w:r w:rsidR="64A5FD07" w:rsidRPr="701537EA">
        <w:rPr>
          <w:rFonts w:ascii="Times New Roman" w:hAnsi="Times New Roman"/>
          <w:sz w:val="24"/>
          <w:szCs w:val="24"/>
        </w:rPr>
        <w:t>130</w:t>
      </w:r>
      <w:r w:rsidR="00C702C3" w:rsidRPr="003C7355">
        <w:rPr>
          <w:rFonts w:ascii="Times New Roman" w:hAnsi="Times New Roman"/>
          <w:sz w:val="24"/>
          <w:szCs w:val="24"/>
        </w:rPr>
        <w:t xml:space="preserve"> </w:t>
      </w:r>
      <w:r w:rsidR="00B07F39" w:rsidRPr="003C7355">
        <w:rPr>
          <w:rFonts w:ascii="Times New Roman" w:hAnsi="Times New Roman"/>
          <w:sz w:val="24"/>
          <w:szCs w:val="24"/>
        </w:rPr>
        <w:t>of 2023 which:</w:t>
      </w:r>
    </w:p>
    <w:p w14:paraId="57C570F8" w14:textId="2F9DF762" w:rsidR="00B07F39" w:rsidRDefault="00B07F39" w:rsidP="003C7355">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bookmarkStart w:id="4" w:name="_Hlk147764556"/>
      <w:r w:rsidRPr="00B07F39">
        <w:rPr>
          <w:rFonts w:ascii="Times New Roman" w:hAnsi="Times New Roman"/>
          <w:i/>
          <w:sz w:val="24"/>
          <w:szCs w:val="24"/>
        </w:rPr>
        <w:t>Reporting Standard ARS 180.0 Counterparty Credit Risk</w:t>
      </w:r>
      <w:r>
        <w:rPr>
          <w:rFonts w:ascii="Times New Roman" w:hAnsi="Times New Roman"/>
          <w:i/>
          <w:sz w:val="24"/>
          <w:szCs w:val="24"/>
        </w:rPr>
        <w:t xml:space="preserve"> </w:t>
      </w:r>
      <w:r w:rsidRPr="00DF2C01">
        <w:rPr>
          <w:rFonts w:ascii="Times New Roman" w:hAnsi="Times New Roman"/>
          <w:sz w:val="24"/>
          <w:szCs w:val="24"/>
        </w:rPr>
        <w:t xml:space="preserve">made </w:t>
      </w:r>
      <w:bookmarkEnd w:id="4"/>
      <w:r w:rsidRPr="00DF2C01">
        <w:rPr>
          <w:rFonts w:ascii="Times New Roman" w:hAnsi="Times New Roman"/>
          <w:sz w:val="24"/>
          <w:szCs w:val="24"/>
        </w:rPr>
        <w:t xml:space="preserve">under Financial Sector (Collection of Data) (reporting standard) determination No. </w:t>
      </w:r>
      <w:r w:rsidR="00B63ED2">
        <w:rPr>
          <w:rFonts w:ascii="Times New Roman" w:hAnsi="Times New Roman"/>
          <w:sz w:val="24"/>
          <w:szCs w:val="24"/>
        </w:rPr>
        <w:t>53</w:t>
      </w:r>
      <w:r w:rsidR="00B63ED2" w:rsidRPr="00DF2C01">
        <w:rPr>
          <w:rFonts w:ascii="Times New Roman" w:hAnsi="Times New Roman"/>
          <w:sz w:val="24"/>
          <w:szCs w:val="24"/>
        </w:rPr>
        <w:t xml:space="preserve"> </w:t>
      </w:r>
      <w:r w:rsidRPr="00DF2C01">
        <w:rPr>
          <w:rFonts w:ascii="Times New Roman" w:hAnsi="Times New Roman"/>
          <w:sz w:val="24"/>
          <w:szCs w:val="24"/>
        </w:rPr>
        <w:t xml:space="preserve">of </w:t>
      </w:r>
      <w:r w:rsidR="00B63ED2" w:rsidRPr="00DF2C01">
        <w:rPr>
          <w:rFonts w:ascii="Times New Roman" w:hAnsi="Times New Roman"/>
          <w:sz w:val="24"/>
          <w:szCs w:val="24"/>
        </w:rPr>
        <w:t>20</w:t>
      </w:r>
      <w:r w:rsidR="00B63ED2">
        <w:rPr>
          <w:rFonts w:ascii="Times New Roman" w:hAnsi="Times New Roman"/>
          <w:sz w:val="24"/>
          <w:szCs w:val="24"/>
        </w:rPr>
        <w:t>23</w:t>
      </w:r>
      <w:r w:rsidRPr="00DF2C01">
        <w:rPr>
          <w:rFonts w:ascii="Times New Roman" w:hAnsi="Times New Roman"/>
          <w:sz w:val="24"/>
          <w:szCs w:val="24"/>
        </w:rPr>
        <w:t xml:space="preserve">; </w:t>
      </w:r>
      <w:r>
        <w:rPr>
          <w:rFonts w:ascii="Times New Roman" w:hAnsi="Times New Roman"/>
          <w:sz w:val="24"/>
          <w:szCs w:val="24"/>
        </w:rPr>
        <w:t>and</w:t>
      </w:r>
    </w:p>
    <w:p w14:paraId="34E1DE3A" w14:textId="74AB1873" w:rsidR="00573F5D" w:rsidRDefault="00B07F39" w:rsidP="003C7355">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Pr="00B07F39">
        <w:rPr>
          <w:rFonts w:ascii="Times New Roman" w:eastAsia="Times New Roman" w:hAnsi="Times New Roman"/>
          <w:i/>
          <w:sz w:val="24"/>
          <w:szCs w:val="24"/>
          <w:lang w:eastAsia="en-AU"/>
        </w:rPr>
        <w:t>Reporting Standard ARS 180.0 Counterparty Credit Risk</w:t>
      </w:r>
      <w:r>
        <w:rPr>
          <w:rFonts w:ascii="Times New Roman" w:hAnsi="Times New Roman"/>
          <w:sz w:val="24"/>
          <w:szCs w:val="24"/>
        </w:rPr>
        <w:t xml:space="preserve"> (ARS 180.0)</w:t>
      </w:r>
      <w:r w:rsidR="00244B0A">
        <w:rPr>
          <w:rFonts w:ascii="Times New Roman" w:hAnsi="Times New Roman"/>
          <w:sz w:val="24"/>
          <w:szCs w:val="24"/>
        </w:rPr>
        <w:t>.</w:t>
      </w:r>
    </w:p>
    <w:p w14:paraId="20C71CDB" w14:textId="7D66A246"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sidR="0045447E" w:rsidRPr="0045447E">
        <w:rPr>
          <w:rFonts w:ascii="Times New Roman" w:hAnsi="Times New Roman"/>
          <w:sz w:val="24"/>
          <w:szCs w:val="24"/>
          <w:u w:val="single"/>
        </w:rPr>
        <w:t xml:space="preserve">at the start of the day after </w:t>
      </w:r>
      <w:r w:rsidR="001E1ED8">
        <w:rPr>
          <w:rFonts w:ascii="Times New Roman" w:hAnsi="Times New Roman"/>
          <w:sz w:val="24"/>
          <w:szCs w:val="24"/>
          <w:u w:val="single"/>
        </w:rPr>
        <w:t xml:space="preserve">the day that it </w:t>
      </w:r>
      <w:r w:rsidR="0045447E" w:rsidRPr="0045447E">
        <w:rPr>
          <w:rFonts w:ascii="Times New Roman" w:hAnsi="Times New Roman"/>
          <w:sz w:val="24"/>
          <w:szCs w:val="24"/>
          <w:u w:val="single"/>
        </w:rPr>
        <w:t>is registered</w:t>
      </w:r>
      <w:r w:rsidR="00C71EDD">
        <w:rPr>
          <w:rFonts w:ascii="Times New Roman" w:hAnsi="Times New Roman"/>
          <w:sz w:val="24"/>
          <w:szCs w:val="24"/>
          <w:u w:val="single"/>
        </w:rPr>
        <w:t xml:space="preserve"> </w:t>
      </w:r>
      <w:r>
        <w:rPr>
          <w:rFonts w:ascii="Times New Roman" w:hAnsi="Times New Roman"/>
          <w:sz w:val="24"/>
          <w:szCs w:val="24"/>
        </w:rPr>
        <w:t xml:space="preserve">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w:t>
      </w:r>
      <w:proofErr w:type="gramStart"/>
      <w:r w:rsidRPr="00C3686B">
        <w:rPr>
          <w:rFonts w:ascii="Times New Roman" w:hAnsi="Times New Roman" w:cs="Times New Roman"/>
          <w:sz w:val="24"/>
          <w:szCs w:val="24"/>
        </w:rPr>
        <w:t>policyholders</w:t>
      </w:r>
      <w:proofErr w:type="gramEnd"/>
      <w:r w:rsidRPr="00C3686B">
        <w:rPr>
          <w:rFonts w:ascii="Times New Roman" w:hAnsi="Times New Roman" w:cs="Times New Roman"/>
          <w:sz w:val="24"/>
          <w:szCs w:val="24"/>
        </w:rPr>
        <w:t xml:space="preserve">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25512235" w14:textId="2BB6C6E1" w:rsidR="00211AFD" w:rsidRDefault="00C3686B" w:rsidP="00244B0A">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t xml:space="preserve">The ADI capital reforms </w:t>
      </w:r>
      <w:r w:rsidR="00A63025">
        <w:rPr>
          <w:rFonts w:ascii="Times New Roman" w:hAnsi="Times New Roman" w:cs="Times New Roman"/>
          <w:sz w:val="24"/>
          <w:szCs w:val="24"/>
        </w:rPr>
        <w:t xml:space="preserve">in recent years </w:t>
      </w:r>
      <w:r w:rsidRPr="005628DB">
        <w:rPr>
          <w:rFonts w:ascii="Times New Roman" w:hAnsi="Times New Roman" w:cs="Times New Roman"/>
          <w:sz w:val="24"/>
          <w:szCs w:val="24"/>
        </w:rPr>
        <w:t xml:space="preserve">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w:t>
      </w:r>
      <w:r w:rsidR="00D67BB9">
        <w:rPr>
          <w:rFonts w:ascii="Times New Roman" w:hAnsi="Times New Roman" w:cs="Times New Roman"/>
          <w:sz w:val="24"/>
          <w:szCs w:val="24"/>
        </w:rPr>
        <w:t>updated</w:t>
      </w:r>
      <w:r w:rsidR="00A63025">
        <w:rPr>
          <w:rFonts w:ascii="Times New Roman" w:hAnsi="Times New Roman" w:cs="Times New Roman"/>
          <w:sz w:val="24"/>
          <w:szCs w:val="24"/>
        </w:rPr>
        <w:t xml:space="preserve"> </w:t>
      </w:r>
      <w:proofErr w:type="gramStart"/>
      <w:r w:rsidR="00A63025">
        <w:rPr>
          <w:rFonts w:ascii="Times New Roman" w:hAnsi="Times New Roman" w:cs="Times New Roman"/>
          <w:sz w:val="24"/>
          <w:szCs w:val="24"/>
        </w:rPr>
        <w:t>a number of</w:t>
      </w:r>
      <w:proofErr w:type="gramEnd"/>
      <w:r w:rsidR="00D67BB9">
        <w:rPr>
          <w:rFonts w:ascii="Times New Roman" w:hAnsi="Times New Roman" w:cs="Times New Roman"/>
          <w:sz w:val="24"/>
          <w:szCs w:val="24"/>
        </w:rPr>
        <w:t xml:space="preserve"> ADI reporting standards that incorporate necessary consequential changes as a result of the new ADI capital framework</w:t>
      </w:r>
      <w:r w:rsidR="00A63025">
        <w:rPr>
          <w:rFonts w:ascii="Times New Roman" w:hAnsi="Times New Roman" w:cs="Times New Roman"/>
          <w:sz w:val="24"/>
          <w:szCs w:val="24"/>
        </w:rPr>
        <w:t xml:space="preserve"> to</w:t>
      </w:r>
      <w:r w:rsidR="00A63025" w:rsidRPr="00A63025">
        <w:rPr>
          <w:rFonts w:ascii="Times New Roman" w:hAnsi="Times New Roman" w:cs="Times New Roman"/>
          <w:sz w:val="24"/>
          <w:szCs w:val="24"/>
        </w:rPr>
        <w:t xml:space="preserve"> </w:t>
      </w:r>
      <w:r w:rsidR="00A63025" w:rsidRPr="00244B0A">
        <w:rPr>
          <w:rFonts w:ascii="Times New Roman" w:hAnsi="Times New Roman" w:cs="Times New Roman"/>
          <w:sz w:val="24"/>
          <w:szCs w:val="24"/>
        </w:rPr>
        <w:t>ensure that APRA’s reporting framework aligns with APRA’s updated ADI capital framework</w:t>
      </w:r>
      <w:r w:rsidR="00D67BB9">
        <w:rPr>
          <w:rFonts w:ascii="Times New Roman" w:hAnsi="Times New Roman" w:cs="Times New Roman"/>
          <w:sz w:val="24"/>
          <w:szCs w:val="24"/>
        </w:rPr>
        <w:t xml:space="preserve">. </w:t>
      </w:r>
      <w:r w:rsidR="00D67BB9" w:rsidRPr="00D67BB9">
        <w:rPr>
          <w:rFonts w:ascii="Times New Roman" w:hAnsi="Times New Roman" w:cs="Times New Roman"/>
          <w:sz w:val="24"/>
          <w:szCs w:val="24"/>
        </w:rPr>
        <w:lastRenderedPageBreak/>
        <w:t>Amendments to the</w:t>
      </w:r>
      <w:r w:rsidR="00A63025">
        <w:rPr>
          <w:rFonts w:ascii="Times New Roman" w:hAnsi="Times New Roman" w:cs="Times New Roman"/>
          <w:sz w:val="24"/>
          <w:szCs w:val="24"/>
        </w:rPr>
        <w:t>se</w:t>
      </w:r>
      <w:r w:rsidR="00D67BB9" w:rsidRPr="00D67BB9">
        <w:rPr>
          <w:rFonts w:ascii="Times New Roman" w:hAnsi="Times New Roman" w:cs="Times New Roman"/>
          <w:sz w:val="24"/>
          <w:szCs w:val="24"/>
        </w:rPr>
        <w:t xml:space="preserve"> reporting standards were </w:t>
      </w:r>
      <w:r w:rsidR="006451CC">
        <w:rPr>
          <w:rFonts w:ascii="Times New Roman" w:hAnsi="Times New Roman" w:cs="Times New Roman"/>
          <w:sz w:val="24"/>
          <w:szCs w:val="24"/>
        </w:rPr>
        <w:t>made</w:t>
      </w:r>
      <w:r w:rsidR="00D67BB9" w:rsidRPr="00D67BB9">
        <w:rPr>
          <w:rFonts w:ascii="Times New Roman" w:hAnsi="Times New Roman" w:cs="Times New Roman"/>
          <w:sz w:val="24"/>
          <w:szCs w:val="24"/>
        </w:rPr>
        <w:t xml:space="preserve"> to update cross referencing and to provide clarification requested by industry.</w:t>
      </w:r>
    </w:p>
    <w:p w14:paraId="6F5D9A1A" w14:textId="1B1E3C98" w:rsidR="00781045" w:rsidRPr="00C458EB" w:rsidRDefault="00781045" w:rsidP="00781045">
      <w:pPr>
        <w:rPr>
          <w:rFonts w:ascii="Times New Roman" w:hAnsi="Times New Roman" w:cs="Times New Roman"/>
          <w:sz w:val="24"/>
          <w:szCs w:val="24"/>
        </w:rPr>
      </w:pPr>
      <w:r w:rsidRPr="00781045">
        <w:rPr>
          <w:rFonts w:ascii="Times New Roman" w:hAnsi="Times New Roman" w:cs="Times New Roman"/>
          <w:sz w:val="24"/>
          <w:szCs w:val="24"/>
          <w:lang w:val="en-GB"/>
        </w:rPr>
        <w:t xml:space="preserve">Under </w:t>
      </w:r>
      <w:r w:rsidR="00F42F7C" w:rsidRPr="00781045">
        <w:rPr>
          <w:rFonts w:ascii="Times New Roman" w:hAnsi="Times New Roman" w:cs="Times New Roman"/>
          <w:sz w:val="24"/>
          <w:szCs w:val="24"/>
        </w:rPr>
        <w:t xml:space="preserve">APRA’s new capital framework </w:t>
      </w:r>
      <w:r w:rsidR="00F42F7C">
        <w:rPr>
          <w:rFonts w:ascii="Times New Roman" w:hAnsi="Times New Roman" w:cs="Times New Roman"/>
          <w:sz w:val="24"/>
          <w:szCs w:val="24"/>
          <w:lang w:val="en-GB"/>
        </w:rPr>
        <w:t>of</w:t>
      </w:r>
      <w:r w:rsidRPr="00781045">
        <w:rPr>
          <w:rFonts w:ascii="Times New Roman" w:hAnsi="Times New Roman" w:cs="Times New Roman"/>
          <w:sz w:val="24"/>
          <w:szCs w:val="24"/>
          <w:lang w:val="en-GB"/>
        </w:rPr>
        <w:t xml:space="preserve"> new </w:t>
      </w:r>
      <w:r w:rsidRPr="00781045">
        <w:rPr>
          <w:rFonts w:ascii="Times New Roman" w:hAnsi="Times New Roman" w:cs="Times New Roman"/>
          <w:sz w:val="24"/>
          <w:szCs w:val="24"/>
        </w:rPr>
        <w:t xml:space="preserve">prudential standards and guidance </w:t>
      </w:r>
      <w:r w:rsidRPr="00781045">
        <w:rPr>
          <w:rFonts w:ascii="Times New Roman" w:hAnsi="Times New Roman" w:cs="Times New Roman"/>
          <w:sz w:val="24"/>
          <w:szCs w:val="24"/>
          <w:lang w:val="en-GB"/>
        </w:rPr>
        <w:t>implement</w:t>
      </w:r>
      <w:r w:rsidR="00F42F7C">
        <w:rPr>
          <w:rFonts w:ascii="Times New Roman" w:hAnsi="Times New Roman" w:cs="Times New Roman"/>
          <w:sz w:val="24"/>
          <w:szCs w:val="24"/>
          <w:lang w:val="en-GB"/>
        </w:rPr>
        <w:t>ed</w:t>
      </w:r>
      <w:r w:rsidRPr="00781045">
        <w:rPr>
          <w:rFonts w:ascii="Times New Roman" w:hAnsi="Times New Roman" w:cs="Times New Roman"/>
          <w:sz w:val="24"/>
          <w:szCs w:val="24"/>
          <w:lang w:val="en-GB"/>
        </w:rPr>
        <w:t xml:space="preserve"> </w:t>
      </w:r>
      <w:r w:rsidRPr="00781045">
        <w:rPr>
          <w:rFonts w:ascii="Times New Roman" w:hAnsi="Times New Roman" w:cs="Times New Roman"/>
          <w:sz w:val="24"/>
          <w:szCs w:val="24"/>
        </w:rPr>
        <w:t xml:space="preserve">on 1 January 2023, </w:t>
      </w:r>
      <w:r w:rsidR="00231A7D">
        <w:rPr>
          <w:rFonts w:ascii="Times New Roman" w:hAnsi="Times New Roman" w:cs="Times New Roman"/>
          <w:sz w:val="24"/>
          <w:szCs w:val="24"/>
        </w:rPr>
        <w:t>non-significant financial institutions (</w:t>
      </w:r>
      <w:r w:rsidRPr="00781045">
        <w:rPr>
          <w:rFonts w:ascii="Times New Roman" w:hAnsi="Times New Roman" w:cs="Times New Roman"/>
          <w:sz w:val="24"/>
          <w:szCs w:val="24"/>
        </w:rPr>
        <w:t>non-SFIs</w:t>
      </w:r>
      <w:r w:rsidR="00231A7D">
        <w:rPr>
          <w:rFonts w:ascii="Times New Roman" w:hAnsi="Times New Roman" w:cs="Times New Roman"/>
          <w:sz w:val="24"/>
          <w:szCs w:val="24"/>
        </w:rPr>
        <w:t>)</w:t>
      </w:r>
      <w:r w:rsidRPr="00781045">
        <w:rPr>
          <w:rFonts w:ascii="Times New Roman" w:hAnsi="Times New Roman" w:cs="Times New Roman"/>
          <w:sz w:val="24"/>
          <w:szCs w:val="24"/>
        </w:rPr>
        <w:t xml:space="preserve"> </w:t>
      </w:r>
      <w:r w:rsidRPr="00781045">
        <w:rPr>
          <w:rFonts w:ascii="Times New Roman" w:hAnsi="Times New Roman" w:cs="Times New Roman"/>
          <w:sz w:val="24"/>
          <w:szCs w:val="24"/>
          <w:lang w:val="en-GB"/>
        </w:rPr>
        <w:t xml:space="preserve">no longer have to calculate counterparty credit risk capital requirements under </w:t>
      </w:r>
      <w:r w:rsidRPr="00781045">
        <w:rPr>
          <w:rFonts w:ascii="Times New Roman" w:hAnsi="Times New Roman" w:cs="Times New Roman"/>
          <w:i/>
          <w:iCs/>
          <w:sz w:val="24"/>
          <w:szCs w:val="24"/>
        </w:rPr>
        <w:t xml:space="preserve">Prudential Standard APS 180 Capital Adequacy: Counterparty Credit </w:t>
      </w:r>
      <w:r w:rsidRPr="00CE11A6">
        <w:rPr>
          <w:rFonts w:ascii="Times New Roman" w:hAnsi="Times New Roman" w:cs="Times New Roman"/>
          <w:sz w:val="24"/>
          <w:szCs w:val="24"/>
        </w:rPr>
        <w:t xml:space="preserve">Risk </w:t>
      </w:r>
      <w:r w:rsidRPr="00F42F7C">
        <w:rPr>
          <w:rFonts w:ascii="Times New Roman" w:hAnsi="Times New Roman" w:cs="Times New Roman"/>
          <w:sz w:val="24"/>
          <w:szCs w:val="24"/>
        </w:rPr>
        <w:t>(</w:t>
      </w:r>
      <w:hyperlink r:id="rId11" w:history="1">
        <w:r w:rsidRPr="00CE11A6">
          <w:rPr>
            <w:rFonts w:ascii="Times New Roman" w:hAnsi="Times New Roman" w:cs="Times New Roman"/>
            <w:sz w:val="24"/>
            <w:szCs w:val="24"/>
          </w:rPr>
          <w:t>APS 180</w:t>
        </w:r>
      </w:hyperlink>
      <w:r w:rsidRPr="00F42F7C">
        <w:rPr>
          <w:rFonts w:ascii="Times New Roman" w:hAnsi="Times New Roman" w:cs="Times New Roman"/>
          <w:sz w:val="24"/>
          <w:szCs w:val="24"/>
        </w:rPr>
        <w:t>).</w:t>
      </w:r>
      <w:r w:rsidRPr="00CE11A6">
        <w:rPr>
          <w:rFonts w:ascii="Times New Roman" w:hAnsi="Times New Roman" w:cs="Times New Roman"/>
          <w:sz w:val="24"/>
          <w:szCs w:val="24"/>
        </w:rPr>
        <w:t xml:space="preserve"> </w:t>
      </w:r>
      <w:r w:rsidRPr="00781045">
        <w:rPr>
          <w:rFonts w:ascii="Times New Roman" w:hAnsi="Times New Roman" w:cs="Times New Roman"/>
          <w:sz w:val="24"/>
          <w:szCs w:val="24"/>
        </w:rPr>
        <w:t xml:space="preserve">Consequentially, </w:t>
      </w:r>
      <w:r w:rsidRPr="00781045">
        <w:rPr>
          <w:rFonts w:ascii="Times New Roman" w:hAnsi="Times New Roman" w:cs="Times New Roman"/>
          <w:i/>
          <w:sz w:val="24"/>
          <w:szCs w:val="24"/>
          <w:lang w:val="en-GB"/>
        </w:rPr>
        <w:t>Reporting Form ARF 180.1 Standardised – Counterparty Credit Risk and CVA Risk</w:t>
      </w:r>
      <w:r w:rsidRPr="00781045">
        <w:rPr>
          <w:rFonts w:ascii="Times New Roman" w:hAnsi="Times New Roman" w:cs="Times New Roman"/>
          <w:sz w:val="24"/>
          <w:szCs w:val="24"/>
          <w:lang w:val="en-GB"/>
        </w:rPr>
        <w:t xml:space="preserve"> (ARF 180_1)</w:t>
      </w:r>
      <w:r w:rsidR="00DA6E1B">
        <w:rPr>
          <w:rFonts w:ascii="Times New Roman" w:hAnsi="Times New Roman" w:cs="Times New Roman"/>
          <w:sz w:val="24"/>
          <w:szCs w:val="24"/>
          <w:lang w:val="en-GB"/>
        </w:rPr>
        <w:t xml:space="preserve"> </w:t>
      </w:r>
      <w:r w:rsidR="000612B5">
        <w:rPr>
          <w:rFonts w:ascii="Times New Roman" w:hAnsi="Times New Roman" w:cs="Times New Roman"/>
          <w:sz w:val="24"/>
          <w:szCs w:val="24"/>
          <w:lang w:val="en-GB"/>
        </w:rPr>
        <w:t>is</w:t>
      </w:r>
      <w:r w:rsidRPr="00781045">
        <w:rPr>
          <w:rFonts w:ascii="Times New Roman" w:hAnsi="Times New Roman" w:cs="Times New Roman"/>
          <w:sz w:val="24"/>
          <w:szCs w:val="24"/>
          <w:lang w:val="en-GB"/>
        </w:rPr>
        <w:t xml:space="preserve"> no longer be </w:t>
      </w:r>
      <w:r w:rsidR="005560B7">
        <w:rPr>
          <w:rFonts w:ascii="Times New Roman" w:hAnsi="Times New Roman" w:cs="Times New Roman"/>
          <w:sz w:val="24"/>
          <w:szCs w:val="24"/>
          <w:lang w:val="en-GB"/>
        </w:rPr>
        <w:t xml:space="preserve">relevant </w:t>
      </w:r>
      <w:r w:rsidRPr="00781045">
        <w:rPr>
          <w:rFonts w:ascii="Times New Roman" w:hAnsi="Times New Roman" w:cs="Times New Roman"/>
          <w:sz w:val="24"/>
          <w:szCs w:val="24"/>
          <w:lang w:val="en-GB"/>
        </w:rPr>
        <w:t>for non-SFIs</w:t>
      </w:r>
      <w:r w:rsidRPr="00781045">
        <w:rPr>
          <w:rFonts w:ascii="Times New Roman" w:hAnsi="Times New Roman" w:cs="Times New Roman"/>
          <w:sz w:val="24"/>
          <w:szCs w:val="24"/>
        </w:rPr>
        <w:t xml:space="preserve">. </w:t>
      </w:r>
    </w:p>
    <w:p w14:paraId="3ABB7BC1" w14:textId="2223D049" w:rsidR="00781045" w:rsidRDefault="00781045" w:rsidP="00F42F7C">
      <w:pPr>
        <w:numPr>
          <w:ilvl w:val="0"/>
          <w:numId w:val="0"/>
        </w:numPr>
        <w:rPr>
          <w:rFonts w:ascii="Times New Roman" w:hAnsi="Times New Roman" w:cs="Times New Roman"/>
          <w:sz w:val="24"/>
          <w:szCs w:val="24"/>
        </w:rPr>
      </w:pPr>
      <w:bookmarkStart w:id="5" w:name="_Hlk147764421"/>
      <w:r w:rsidRPr="00F42F7C">
        <w:rPr>
          <w:rFonts w:ascii="Times New Roman" w:hAnsi="Times New Roman" w:cs="Times New Roman"/>
          <w:sz w:val="24"/>
          <w:szCs w:val="24"/>
        </w:rPr>
        <w:t xml:space="preserve">APRA </w:t>
      </w:r>
      <w:r w:rsidR="008009B1">
        <w:rPr>
          <w:rFonts w:ascii="Times New Roman" w:hAnsi="Times New Roman" w:cs="Times New Roman"/>
          <w:sz w:val="24"/>
          <w:szCs w:val="24"/>
        </w:rPr>
        <w:t>has made</w:t>
      </w:r>
      <w:r w:rsidRPr="00F42F7C">
        <w:rPr>
          <w:rFonts w:ascii="Times New Roman" w:hAnsi="Times New Roman" w:cs="Times New Roman"/>
          <w:sz w:val="24"/>
          <w:szCs w:val="24"/>
        </w:rPr>
        <w:t xml:space="preserve"> a consequential change to ARS 180.0 to remove the obligation for non-SFIs to submit reporting form ARF 180</w:t>
      </w:r>
      <w:r w:rsidRPr="00024228">
        <w:rPr>
          <w:rFonts w:ascii="Times New Roman" w:hAnsi="Times New Roman" w:cs="Times New Roman"/>
          <w:color w:val="auto"/>
          <w:sz w:val="24"/>
          <w:szCs w:val="24"/>
        </w:rPr>
        <w:t>_</w:t>
      </w:r>
      <w:r w:rsidRPr="00F42F7C">
        <w:rPr>
          <w:rFonts w:ascii="Times New Roman" w:hAnsi="Times New Roman" w:cs="Times New Roman"/>
          <w:sz w:val="24"/>
          <w:szCs w:val="24"/>
        </w:rPr>
        <w:t xml:space="preserve">1. </w:t>
      </w:r>
      <w:bookmarkEnd w:id="5"/>
      <w:r w:rsidR="00F42F7C">
        <w:rPr>
          <w:rFonts w:ascii="Times New Roman" w:hAnsi="Times New Roman" w:cs="Times New Roman"/>
          <w:sz w:val="24"/>
          <w:szCs w:val="24"/>
        </w:rPr>
        <w:t xml:space="preserve">This </w:t>
      </w:r>
      <w:r w:rsidR="008009B1">
        <w:rPr>
          <w:rFonts w:ascii="Times New Roman" w:hAnsi="Times New Roman" w:cs="Times New Roman"/>
          <w:sz w:val="24"/>
          <w:szCs w:val="24"/>
        </w:rPr>
        <w:t>change</w:t>
      </w:r>
      <w:r w:rsidR="00F42F7C">
        <w:rPr>
          <w:rFonts w:ascii="Times New Roman" w:hAnsi="Times New Roman" w:cs="Times New Roman"/>
          <w:sz w:val="24"/>
          <w:szCs w:val="24"/>
        </w:rPr>
        <w:t xml:space="preserve"> </w:t>
      </w:r>
      <w:r w:rsidRPr="00F42F7C">
        <w:rPr>
          <w:rFonts w:ascii="Times New Roman" w:hAnsi="Times New Roman" w:cs="Times New Roman"/>
          <w:sz w:val="24"/>
          <w:szCs w:val="24"/>
        </w:rPr>
        <w:t>align</w:t>
      </w:r>
      <w:r w:rsidR="008009B1">
        <w:rPr>
          <w:rFonts w:ascii="Times New Roman" w:hAnsi="Times New Roman" w:cs="Times New Roman"/>
          <w:sz w:val="24"/>
          <w:szCs w:val="24"/>
        </w:rPr>
        <w:t>s</w:t>
      </w:r>
      <w:r w:rsidRPr="00F42F7C">
        <w:rPr>
          <w:rFonts w:ascii="Times New Roman" w:hAnsi="Times New Roman" w:cs="Times New Roman"/>
          <w:sz w:val="24"/>
          <w:szCs w:val="24"/>
        </w:rPr>
        <w:t xml:space="preserve"> the regulatory burden on non-SFIs with APRA’s previous prudential guidance</w:t>
      </w:r>
      <w:r w:rsidR="00F42F7C" w:rsidRPr="00F42F7C">
        <w:rPr>
          <w:rFonts w:ascii="Times New Roman" w:hAnsi="Times New Roman" w:cs="Times New Roman"/>
          <w:sz w:val="24"/>
          <w:szCs w:val="24"/>
        </w:rPr>
        <w:t xml:space="preserve"> in relation to APRA’s new capital framework</w:t>
      </w:r>
      <w:r w:rsidRPr="00F42F7C">
        <w:rPr>
          <w:rFonts w:ascii="Times New Roman" w:hAnsi="Times New Roman" w:cs="Times New Roman"/>
          <w:sz w:val="24"/>
          <w:szCs w:val="24"/>
        </w:rPr>
        <w:t xml:space="preserve">, as part of the new capital framework’s reduction of reporting burden on smaller </w:t>
      </w:r>
      <w:r w:rsidR="00743418" w:rsidRPr="00F42F7C">
        <w:rPr>
          <w:rFonts w:ascii="Times New Roman" w:hAnsi="Times New Roman" w:cs="Times New Roman"/>
          <w:sz w:val="24"/>
          <w:szCs w:val="24"/>
        </w:rPr>
        <w:t>ADIs</w:t>
      </w:r>
      <w:r w:rsidR="00743418">
        <w:rPr>
          <w:rFonts w:ascii="Times New Roman" w:hAnsi="Times New Roman" w:cs="Times New Roman"/>
          <w:sz w:val="24"/>
          <w:szCs w:val="24"/>
        </w:rPr>
        <w:t xml:space="preserve"> and</w:t>
      </w:r>
      <w:r w:rsidRPr="00F42F7C">
        <w:rPr>
          <w:rFonts w:ascii="Times New Roman" w:hAnsi="Times New Roman" w:cs="Times New Roman"/>
          <w:sz w:val="24"/>
          <w:szCs w:val="24"/>
        </w:rPr>
        <w:t xml:space="preserve"> </w:t>
      </w:r>
      <w:r w:rsidR="00802D76">
        <w:rPr>
          <w:rFonts w:ascii="Times New Roman" w:hAnsi="Times New Roman" w:cs="Times New Roman"/>
          <w:sz w:val="24"/>
          <w:szCs w:val="24"/>
        </w:rPr>
        <w:t xml:space="preserve">will </w:t>
      </w:r>
      <w:r w:rsidRPr="00F42F7C">
        <w:rPr>
          <w:rFonts w:ascii="Times New Roman" w:hAnsi="Times New Roman" w:cs="Times New Roman"/>
          <w:sz w:val="24"/>
          <w:szCs w:val="24"/>
        </w:rPr>
        <w:t xml:space="preserve">improve entities’ understanding of regulatory obligations. </w:t>
      </w:r>
    </w:p>
    <w:p w14:paraId="3EFF2ECB" w14:textId="7785AC64" w:rsidR="00F42F7C" w:rsidRPr="00F42F7C" w:rsidRDefault="00F42F7C" w:rsidP="00F42F7C">
      <w:pPr>
        <w:numPr>
          <w:ilvl w:val="0"/>
          <w:numId w:val="0"/>
        </w:numPr>
        <w:rPr>
          <w:rFonts w:ascii="Times New Roman" w:hAnsi="Times New Roman" w:cs="Times New Roman"/>
          <w:sz w:val="24"/>
          <w:szCs w:val="24"/>
        </w:rPr>
      </w:pPr>
      <w:r w:rsidRPr="00CE11A6">
        <w:rPr>
          <w:rFonts w:ascii="Times New Roman" w:hAnsi="Times New Roman" w:cs="Times New Roman"/>
          <w:sz w:val="24"/>
          <w:szCs w:val="24"/>
        </w:rPr>
        <w:t xml:space="preserve">APRA </w:t>
      </w:r>
      <w:r w:rsidR="008009B1">
        <w:rPr>
          <w:rFonts w:ascii="Times New Roman" w:hAnsi="Times New Roman" w:cs="Times New Roman"/>
          <w:sz w:val="24"/>
          <w:szCs w:val="24"/>
        </w:rPr>
        <w:t xml:space="preserve">has also moved </w:t>
      </w:r>
      <w:r w:rsidR="00231A7D" w:rsidRPr="0075598B">
        <w:rPr>
          <w:rFonts w:ascii="Times New Roman" w:hAnsi="Times New Roman" w:cs="Times New Roman"/>
          <w:i/>
          <w:sz w:val="24"/>
          <w:szCs w:val="24"/>
        </w:rPr>
        <w:t>Reporting Form ARF 226.0 Margining and risk mitigation for non-centrally cleared derivative</w:t>
      </w:r>
      <w:r w:rsidR="00231A7D" w:rsidRPr="005045F6">
        <w:rPr>
          <w:rFonts w:ascii="Times New Roman" w:hAnsi="Times New Roman" w:cs="Times New Roman"/>
          <w:sz w:val="24"/>
          <w:szCs w:val="24"/>
        </w:rPr>
        <w:t xml:space="preserve">s </w:t>
      </w:r>
      <w:r w:rsidR="00231A7D">
        <w:rPr>
          <w:rFonts w:ascii="Times New Roman" w:hAnsi="Times New Roman" w:cs="Times New Roman"/>
          <w:sz w:val="24"/>
          <w:szCs w:val="24"/>
        </w:rPr>
        <w:t>(</w:t>
      </w:r>
      <w:r w:rsidRPr="00CE11A6">
        <w:rPr>
          <w:rFonts w:ascii="Times New Roman" w:hAnsi="Times New Roman" w:cs="Times New Roman"/>
          <w:sz w:val="24"/>
          <w:szCs w:val="24"/>
        </w:rPr>
        <w:t>ARF 226.0</w:t>
      </w:r>
      <w:r w:rsidR="00231A7D">
        <w:rPr>
          <w:rFonts w:ascii="Times New Roman" w:hAnsi="Times New Roman" w:cs="Times New Roman"/>
          <w:sz w:val="24"/>
          <w:szCs w:val="24"/>
        </w:rPr>
        <w:t>)</w:t>
      </w:r>
      <w:r w:rsidRPr="00CE11A6">
        <w:rPr>
          <w:rFonts w:ascii="Times New Roman" w:hAnsi="Times New Roman" w:cs="Times New Roman"/>
          <w:sz w:val="24"/>
          <w:szCs w:val="24"/>
        </w:rPr>
        <w:t xml:space="preserve"> to a new reporting standard </w:t>
      </w:r>
      <w:r>
        <w:rPr>
          <w:rFonts w:ascii="Times New Roman" w:hAnsi="Times New Roman" w:cs="Times New Roman"/>
          <w:sz w:val="24"/>
          <w:szCs w:val="24"/>
        </w:rPr>
        <w:t>to</w:t>
      </w:r>
      <w:r w:rsidRPr="00CE11A6">
        <w:rPr>
          <w:rFonts w:ascii="Times New Roman" w:hAnsi="Times New Roman" w:cs="Times New Roman"/>
          <w:sz w:val="24"/>
          <w:szCs w:val="24"/>
        </w:rPr>
        <w:t xml:space="preserve"> make it easier for the industry to locate this reporting form. </w:t>
      </w:r>
      <w:r w:rsidR="00CE11A6" w:rsidRPr="005045F6">
        <w:rPr>
          <w:rFonts w:ascii="Times New Roman" w:hAnsi="Times New Roman" w:cs="Times New Roman"/>
          <w:sz w:val="24"/>
          <w:szCs w:val="24"/>
        </w:rPr>
        <w:t xml:space="preserve">Presently ARF 226.0 </w:t>
      </w:r>
      <w:proofErr w:type="gramStart"/>
      <w:r w:rsidR="00CE11A6" w:rsidRPr="005045F6">
        <w:rPr>
          <w:rFonts w:ascii="Times New Roman" w:hAnsi="Times New Roman" w:cs="Times New Roman"/>
          <w:sz w:val="24"/>
          <w:szCs w:val="24"/>
        </w:rPr>
        <w:t>is located in</w:t>
      </w:r>
      <w:proofErr w:type="gramEnd"/>
      <w:r w:rsidR="00CE11A6" w:rsidRPr="005045F6">
        <w:rPr>
          <w:rFonts w:ascii="Times New Roman" w:hAnsi="Times New Roman" w:cs="Times New Roman"/>
          <w:sz w:val="24"/>
          <w:szCs w:val="24"/>
        </w:rPr>
        <w:t xml:space="preserve"> ARS 180.0.</w:t>
      </w:r>
      <w:r w:rsidR="00CE11A6">
        <w:rPr>
          <w:rFonts w:ascii="Times New Roman" w:hAnsi="Times New Roman" w:cs="Times New Roman"/>
          <w:sz w:val="24"/>
          <w:szCs w:val="24"/>
        </w:rPr>
        <w:t xml:space="preserve"> </w:t>
      </w:r>
      <w:r w:rsidRPr="00CE11A6">
        <w:rPr>
          <w:rFonts w:ascii="Times New Roman" w:hAnsi="Times New Roman" w:cs="Times New Roman"/>
          <w:sz w:val="24"/>
          <w:szCs w:val="24"/>
        </w:rPr>
        <w:t>There will be no change in reporting burden.</w:t>
      </w:r>
      <w:r w:rsidR="00CE11A6">
        <w:rPr>
          <w:rFonts w:ascii="Times New Roman" w:hAnsi="Times New Roman" w:cs="Times New Roman"/>
          <w:sz w:val="24"/>
          <w:szCs w:val="24"/>
        </w:rPr>
        <w:t xml:space="preserve"> </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0AAEF661"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w:t>
      </w:r>
      <w:r w:rsidR="00DB7047">
        <w:rPr>
          <w:rFonts w:ascii="Times New Roman" w:hAnsi="Times New Roman" w:cs="Times New Roman"/>
          <w:sz w:val="24"/>
          <w:szCs w:val="24"/>
        </w:rPr>
        <w:t>ARS</w:t>
      </w:r>
      <w:r w:rsidR="00155B35">
        <w:rPr>
          <w:rFonts w:ascii="Times New Roman" w:hAnsi="Times New Roman" w:cs="Times New Roman"/>
          <w:sz w:val="24"/>
          <w:szCs w:val="24"/>
        </w:rPr>
        <w:t> </w:t>
      </w:r>
      <w:r w:rsidR="00DB7047">
        <w:rPr>
          <w:rFonts w:ascii="Times New Roman" w:hAnsi="Times New Roman" w:cs="Times New Roman"/>
          <w:sz w:val="24"/>
          <w:szCs w:val="24"/>
        </w:rPr>
        <w:t>180</w:t>
      </w:r>
      <w:r w:rsidR="00802D76">
        <w:rPr>
          <w:rFonts w:ascii="Times New Roman" w:hAnsi="Times New Roman" w:cs="Times New Roman"/>
          <w:sz w:val="24"/>
          <w:szCs w:val="24"/>
        </w:rPr>
        <w:t>.0</w:t>
      </w:r>
      <w:r w:rsidR="00DB7047">
        <w:rPr>
          <w:rFonts w:ascii="Times New Roman" w:hAnsi="Times New Roman" w:cs="Times New Roman"/>
          <w:sz w:val="24"/>
          <w:szCs w:val="24"/>
        </w:rPr>
        <w:t xml:space="preserve"> </w:t>
      </w:r>
      <w:r w:rsidRPr="00BC1E70">
        <w:rPr>
          <w:rFonts w:ascii="Times New Roman" w:hAnsi="Times New Roman" w:cs="Times New Roman"/>
          <w:sz w:val="24"/>
          <w:szCs w:val="24"/>
        </w:rPr>
        <w:t xml:space="preserve">and replace </w:t>
      </w:r>
      <w:r w:rsidR="00B82726">
        <w:rPr>
          <w:rFonts w:ascii="Times New Roman" w:hAnsi="Times New Roman" w:cs="Times New Roman"/>
          <w:sz w:val="24"/>
          <w:szCs w:val="24"/>
        </w:rPr>
        <w:t>it</w:t>
      </w:r>
      <w:r w:rsidRPr="00BC1E70">
        <w:rPr>
          <w:rFonts w:ascii="Times New Roman" w:hAnsi="Times New Roman" w:cs="Times New Roman"/>
          <w:sz w:val="24"/>
          <w:szCs w:val="24"/>
        </w:rPr>
        <w:t xml:space="preserve"> with</w:t>
      </w:r>
      <w:r w:rsidR="006212E3">
        <w:rPr>
          <w:rFonts w:ascii="Times New Roman" w:hAnsi="Times New Roman" w:cs="Times New Roman"/>
          <w:sz w:val="24"/>
          <w:szCs w:val="24"/>
        </w:rPr>
        <w:t xml:space="preserve"> a</w:t>
      </w:r>
      <w:r w:rsidRPr="00BC1E70">
        <w:rPr>
          <w:rFonts w:ascii="Times New Roman" w:hAnsi="Times New Roman" w:cs="Times New Roman"/>
          <w:sz w:val="24"/>
          <w:szCs w:val="24"/>
        </w:rPr>
        <w:t xml:space="preserve"> </w:t>
      </w:r>
      <w:r w:rsidR="006B5592">
        <w:rPr>
          <w:rFonts w:ascii="Times New Roman" w:hAnsi="Times New Roman" w:cs="Times New Roman"/>
          <w:sz w:val="24"/>
          <w:szCs w:val="24"/>
        </w:rPr>
        <w:t xml:space="preserve">new </w:t>
      </w:r>
      <w:r w:rsidR="006212E3">
        <w:rPr>
          <w:rFonts w:ascii="Times New Roman" w:hAnsi="Times New Roman" w:cs="Times New Roman"/>
          <w:sz w:val="24"/>
          <w:szCs w:val="24"/>
        </w:rPr>
        <w:t>version</w:t>
      </w:r>
      <w:r w:rsidRPr="00BC1E70">
        <w:rPr>
          <w:rFonts w:ascii="Times New Roman" w:hAnsi="Times New Roman" w:cs="Times New Roman"/>
          <w:sz w:val="24"/>
          <w:szCs w:val="24"/>
        </w:rPr>
        <w:t>.</w:t>
      </w:r>
    </w:p>
    <w:p w14:paraId="73B6E6FA" w14:textId="4BF9010C" w:rsidR="00DB7047" w:rsidRPr="00775637" w:rsidRDefault="00DB7047" w:rsidP="00DB7047">
      <w:pPr>
        <w:rPr>
          <w:rFonts w:ascii="Times New Roman" w:hAnsi="Times New Roman" w:cs="Times New Roman"/>
          <w:sz w:val="24"/>
          <w:szCs w:val="24"/>
        </w:rPr>
      </w:pPr>
      <w:r w:rsidRPr="00775637">
        <w:rPr>
          <w:rFonts w:ascii="Times New Roman" w:hAnsi="Times New Roman" w:cs="Times New Roman"/>
          <w:sz w:val="24"/>
          <w:szCs w:val="24"/>
        </w:rPr>
        <w:t xml:space="preserve">The reporting standard sets out requirements for the provision of information to APRA </w:t>
      </w:r>
      <w:r w:rsidR="009211CB">
        <w:rPr>
          <w:rFonts w:ascii="Times New Roman" w:hAnsi="Times New Roman" w:cs="Times New Roman"/>
          <w:sz w:val="24"/>
          <w:szCs w:val="24"/>
        </w:rPr>
        <w:t>by an</w:t>
      </w:r>
      <w:r w:rsidRPr="00775637">
        <w:rPr>
          <w:rFonts w:ascii="Times New Roman" w:hAnsi="Times New Roman" w:cs="Times New Roman"/>
          <w:sz w:val="24"/>
          <w:szCs w:val="24"/>
        </w:rPr>
        <w:t xml:space="preserve"> </w:t>
      </w:r>
      <w:r w:rsidR="00231A7D">
        <w:rPr>
          <w:rFonts w:ascii="Times New Roman" w:hAnsi="Times New Roman" w:cs="Times New Roman"/>
          <w:sz w:val="24"/>
          <w:szCs w:val="24"/>
        </w:rPr>
        <w:t>ADI</w:t>
      </w:r>
      <w:r w:rsidRPr="00DB7047">
        <w:rPr>
          <w:rFonts w:ascii="Times New Roman" w:hAnsi="Times New Roman" w:cs="Times New Roman"/>
          <w:sz w:val="24"/>
          <w:szCs w:val="24"/>
        </w:rPr>
        <w:t xml:space="preserve"> </w:t>
      </w:r>
      <w:r>
        <w:rPr>
          <w:rFonts w:ascii="Times New Roman" w:hAnsi="Times New Roman" w:cs="Times New Roman"/>
          <w:sz w:val="24"/>
          <w:szCs w:val="24"/>
        </w:rPr>
        <w:t xml:space="preserve">that is a </w:t>
      </w:r>
      <w:r w:rsidRPr="00DB7047">
        <w:rPr>
          <w:rFonts w:ascii="Times New Roman" w:hAnsi="Times New Roman" w:cs="Times New Roman"/>
          <w:sz w:val="24"/>
          <w:szCs w:val="24"/>
        </w:rPr>
        <w:t xml:space="preserve">significant financial institution </w:t>
      </w:r>
      <w:r w:rsidR="00231A7D">
        <w:rPr>
          <w:rFonts w:ascii="Times New Roman" w:hAnsi="Times New Roman" w:cs="Times New Roman"/>
          <w:sz w:val="24"/>
          <w:szCs w:val="24"/>
        </w:rPr>
        <w:t xml:space="preserve">(SFI) </w:t>
      </w:r>
      <w:r w:rsidRPr="00DB7047">
        <w:rPr>
          <w:rFonts w:ascii="Times New Roman" w:hAnsi="Times New Roman" w:cs="Times New Roman"/>
          <w:sz w:val="24"/>
          <w:szCs w:val="24"/>
        </w:rPr>
        <w:t>relating to counterparty credit risk exposures</w:t>
      </w:r>
      <w:r w:rsidRPr="00775637">
        <w:rPr>
          <w:rFonts w:ascii="Times New Roman" w:hAnsi="Times New Roman" w:cs="Times New Roman"/>
          <w:sz w:val="24"/>
          <w:szCs w:val="24"/>
        </w:rPr>
        <w:t>.</w:t>
      </w:r>
    </w:p>
    <w:p w14:paraId="1343AEB0" w14:textId="4E2B5DC6"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7ADEB5C2" w:rsidR="00174039" w:rsidRDefault="00174039" w:rsidP="0EBE3CED">
      <w:p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prior to the commencement of the reporting standard. </w:t>
      </w:r>
      <w:r w:rsidR="302C88EE" w:rsidRPr="0EBE3CED">
        <w:rPr>
          <w:rFonts w:ascii="Times New Roman" w:hAnsi="Times New Roman" w:cs="Times New Roman"/>
          <w:sz w:val="24"/>
          <w:szCs w:val="24"/>
        </w:rPr>
        <w:t>However, t</w:t>
      </w:r>
      <w:r>
        <w:rPr>
          <w:rFonts w:ascii="Times New Roman" w:hAnsi="Times New Roman" w:cs="Times New Roman"/>
          <w:sz w:val="24"/>
          <w:szCs w:val="24"/>
        </w:rPr>
        <w:t xml:space="preserve">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w:t>
      </w:r>
      <w:r w:rsidR="2AF16DC5" w:rsidRPr="0EBE3CED">
        <w:rPr>
          <w:rFonts w:ascii="Times New Roman" w:hAnsi="Times New Roman" w:cs="Times New Roman"/>
          <w:sz w:val="24"/>
          <w:szCs w:val="24"/>
        </w:rPr>
        <w:t>(</w:t>
      </w:r>
      <w:r w:rsidR="008103D3" w:rsidRPr="0EBE3CED">
        <w:rPr>
          <w:rFonts w:ascii="Times New Roman" w:hAnsi="Times New Roman" w:cs="Times New Roman"/>
          <w:sz w:val="24"/>
          <w:szCs w:val="24"/>
        </w:rPr>
        <w:t>in</w:t>
      </w:r>
      <w:r w:rsidR="1E368B16" w:rsidRPr="0EBE3CED">
        <w:rPr>
          <w:rFonts w:ascii="Times New Roman" w:hAnsi="Times New Roman" w:cs="Times New Roman"/>
          <w:sz w:val="24"/>
          <w:szCs w:val="24"/>
        </w:rPr>
        <w:t>cluding in</w:t>
      </w:r>
      <w:r w:rsidR="008103D3" w:rsidRPr="0EBE3CED">
        <w:rPr>
          <w:rFonts w:ascii="Times New Roman" w:hAnsi="Times New Roman" w:cs="Times New Roman"/>
          <w:sz w:val="24"/>
          <w:szCs w:val="24"/>
        </w:rPr>
        <w:t xml:space="preserve"> relation to </w:t>
      </w:r>
      <w:r w:rsidR="1F536DE1" w:rsidRPr="0EBE3CED">
        <w:rPr>
          <w:rFonts w:ascii="Times New Roman" w:hAnsi="Times New Roman" w:cs="Times New Roman"/>
          <w:sz w:val="24"/>
          <w:szCs w:val="24"/>
        </w:rPr>
        <w:t xml:space="preserve">pre-commencement reporting periods) </w:t>
      </w:r>
      <w:r w:rsidR="25FDF5ED" w:rsidRPr="0EBE3CED">
        <w:rPr>
          <w:rFonts w:ascii="Times New Roman" w:hAnsi="Times New Roman" w:cs="Times New Roman"/>
          <w:sz w:val="24"/>
          <w:szCs w:val="24"/>
        </w:rPr>
        <w:t>only applies</w:t>
      </w:r>
      <w:r w:rsidRPr="00174039">
        <w:rPr>
          <w:rFonts w:ascii="Times New Roman" w:hAnsi="Times New Roman" w:cs="Times New Roman"/>
          <w:sz w:val="24"/>
          <w:szCs w:val="24"/>
        </w:rPr>
        <w:t xml:space="preserve"> </w:t>
      </w:r>
      <w:r w:rsidR="00330878" w:rsidRPr="0EBE3CED">
        <w:rPr>
          <w:rFonts w:ascii="Times New Roman" w:hAnsi="Times New Roman" w:cs="Times New Roman"/>
          <w:sz w:val="24"/>
          <w:szCs w:val="24"/>
        </w:rPr>
        <w:t>after</w:t>
      </w:r>
      <w:r w:rsidR="00F17DBC" w:rsidRPr="0EBE3CED">
        <w:rPr>
          <w:rFonts w:ascii="Times New Roman" w:hAnsi="Times New Roman" w:cs="Times New Roman"/>
          <w:sz w:val="24"/>
          <w:szCs w:val="24"/>
        </w:rPr>
        <w:t xml:space="preserve"> </w:t>
      </w:r>
      <w:r w:rsidRPr="00174039">
        <w:rPr>
          <w:rFonts w:ascii="Times New Roman" w:hAnsi="Times New Roman" w:cs="Times New Roman"/>
          <w:sz w:val="24"/>
          <w:szCs w:val="24"/>
        </w:rPr>
        <w:t>the commencement of the reporting standard.</w:t>
      </w:r>
    </w:p>
    <w:p w14:paraId="42B7A73D" w14:textId="77777777" w:rsidR="00155B35" w:rsidRPr="00775637" w:rsidRDefault="00155B35" w:rsidP="00155B35">
      <w:pPr>
        <w:numPr>
          <w:ilvl w:val="0"/>
          <w:numId w:val="0"/>
        </w:numPr>
        <w:rPr>
          <w:rFonts w:ascii="Times New Roman" w:hAnsi="Times New Roman" w:cs="Times New Roman"/>
          <w:b/>
          <w:bCs/>
          <w:i/>
          <w:iCs/>
          <w:sz w:val="24"/>
          <w:szCs w:val="24"/>
        </w:rPr>
      </w:pPr>
      <w:r w:rsidRPr="00775637">
        <w:rPr>
          <w:rFonts w:ascii="Times New Roman" w:hAnsi="Times New Roman" w:cs="Times New Roman"/>
          <w:b/>
          <w:bCs/>
          <w:i/>
          <w:iCs/>
          <w:sz w:val="24"/>
          <w:szCs w:val="24"/>
        </w:rPr>
        <w:t>Explanation of each provision in the instrument</w:t>
      </w:r>
    </w:p>
    <w:p w14:paraId="1A97B85D"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Authority – paragraph 1</w:t>
      </w:r>
    </w:p>
    <w:p w14:paraId="49887C29" w14:textId="77777777"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14100976"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Purpose – paragraph 2</w:t>
      </w:r>
    </w:p>
    <w:p w14:paraId="4647C22B" w14:textId="0DDD7243"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00C458EB">
        <w:rPr>
          <w:rFonts w:ascii="Times New Roman" w:hAnsi="Times New Roman" w:cs="Times New Roman"/>
          <w:sz w:val="24"/>
          <w:szCs w:val="24"/>
        </w:rPr>
        <w:t xml:space="preserve"> </w:t>
      </w:r>
      <w:r w:rsidRPr="00775637">
        <w:rPr>
          <w:rFonts w:ascii="Times New Roman" w:hAnsi="Times New Roman" w:cs="Times New Roman"/>
          <w:sz w:val="24"/>
          <w:szCs w:val="24"/>
        </w:rPr>
        <w:t xml:space="preserve">and publication. It may also be used by the </w:t>
      </w:r>
      <w:r w:rsidR="00C76533" w:rsidRPr="00C76533">
        <w:rPr>
          <w:rFonts w:ascii="Times New Roman" w:hAnsi="Times New Roman" w:cs="Times New Roman"/>
          <w:sz w:val="24"/>
          <w:szCs w:val="24"/>
        </w:rPr>
        <w:t>Reserve Bank of Australia (RBA) and the Australian Bureau of Statistics (ABS)</w:t>
      </w:r>
      <w:r w:rsidRPr="00775637">
        <w:rPr>
          <w:rFonts w:ascii="Times New Roman" w:hAnsi="Times New Roman" w:cs="Times New Roman"/>
          <w:sz w:val="24"/>
          <w:szCs w:val="24"/>
        </w:rPr>
        <w:t>.</w:t>
      </w:r>
    </w:p>
    <w:p w14:paraId="49F0BE57"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lastRenderedPageBreak/>
        <w:t>Application – paragraph 3</w:t>
      </w:r>
    </w:p>
    <w:p w14:paraId="33C2FDD3" w14:textId="566FC01B"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w:t>
      </w:r>
      <w:r w:rsidR="00E42CFE">
        <w:rPr>
          <w:rFonts w:ascii="Times New Roman" w:hAnsi="Times New Roman" w:cs="Times New Roman"/>
          <w:sz w:val="24"/>
          <w:szCs w:val="24"/>
        </w:rPr>
        <w:t>aragraph</w:t>
      </w:r>
      <w:r w:rsidR="00555A03">
        <w:rPr>
          <w:rFonts w:ascii="Times New Roman" w:hAnsi="Times New Roman" w:cs="Times New Roman"/>
          <w:sz w:val="24"/>
          <w:szCs w:val="24"/>
        </w:rPr>
        <w:t xml:space="preserve"> </w:t>
      </w:r>
      <w:r w:rsidRPr="00775637">
        <w:rPr>
          <w:rFonts w:ascii="Times New Roman" w:hAnsi="Times New Roman" w:cs="Times New Roman"/>
          <w:sz w:val="24"/>
          <w:szCs w:val="24"/>
        </w:rPr>
        <w:t>states which financial sector entities must comply with the reporting standard, as provided for in section 15 of the Act.</w:t>
      </w:r>
    </w:p>
    <w:p w14:paraId="5A9068E8"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Commencement – paragraph 4</w:t>
      </w:r>
    </w:p>
    <w:p w14:paraId="711583A4" w14:textId="40D3408B"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This </w:t>
      </w:r>
      <w:r w:rsidR="00743418" w:rsidRPr="00775637">
        <w:rPr>
          <w:rFonts w:ascii="Times New Roman" w:hAnsi="Times New Roman" w:cs="Times New Roman"/>
          <w:sz w:val="24"/>
          <w:szCs w:val="24"/>
        </w:rPr>
        <w:t>p</w:t>
      </w:r>
      <w:r w:rsidR="00743418">
        <w:rPr>
          <w:rFonts w:ascii="Times New Roman" w:hAnsi="Times New Roman" w:cs="Times New Roman"/>
          <w:sz w:val="24"/>
          <w:szCs w:val="24"/>
        </w:rPr>
        <w:t xml:space="preserve">aragraph </w:t>
      </w:r>
      <w:r w:rsidR="00743418" w:rsidRPr="00775637">
        <w:rPr>
          <w:rFonts w:ascii="Times New Roman" w:hAnsi="Times New Roman" w:cs="Times New Roman"/>
          <w:sz w:val="24"/>
          <w:szCs w:val="24"/>
        </w:rPr>
        <w:t>states</w:t>
      </w:r>
      <w:r w:rsidRPr="00775637">
        <w:rPr>
          <w:rFonts w:ascii="Times New Roman" w:hAnsi="Times New Roman" w:cs="Times New Roman"/>
          <w:sz w:val="24"/>
          <w:szCs w:val="24"/>
        </w:rPr>
        <w:t xml:space="preserve"> when the reporting standard commences as provided for in section 15 of the Act.</w:t>
      </w:r>
    </w:p>
    <w:p w14:paraId="48B50196" w14:textId="272CA68C" w:rsidR="00202C6D" w:rsidRPr="00775637" w:rsidRDefault="00202C6D" w:rsidP="00202C6D">
      <w:pPr>
        <w:rPr>
          <w:rFonts w:ascii="Times New Roman" w:hAnsi="Times New Roman" w:cs="Times New Roman"/>
          <w:sz w:val="24"/>
          <w:szCs w:val="24"/>
        </w:rPr>
      </w:pPr>
      <w:r w:rsidRPr="00775637">
        <w:rPr>
          <w:rFonts w:ascii="Times New Roman" w:hAnsi="Times New Roman" w:cs="Times New Roman"/>
          <w:sz w:val="24"/>
          <w:szCs w:val="24"/>
        </w:rPr>
        <w:t xml:space="preserve">Paragraph </w:t>
      </w:r>
      <w:r>
        <w:rPr>
          <w:rFonts w:ascii="Times New Roman" w:hAnsi="Times New Roman" w:cs="Times New Roman"/>
          <w:sz w:val="24"/>
          <w:szCs w:val="24"/>
        </w:rPr>
        <w:t>4</w:t>
      </w:r>
      <w:r w:rsidRPr="00775637">
        <w:rPr>
          <w:rFonts w:ascii="Times New Roman" w:hAnsi="Times New Roman" w:cs="Times New Roman"/>
          <w:sz w:val="24"/>
          <w:szCs w:val="24"/>
        </w:rPr>
        <w:t xml:space="preserve"> states that information required by this reporting standard must be provided for reporting periods ending on or after 30 </w:t>
      </w:r>
      <w:r w:rsidR="00802D76">
        <w:rPr>
          <w:rFonts w:ascii="Times New Roman" w:hAnsi="Times New Roman" w:cs="Times New Roman"/>
          <w:sz w:val="24"/>
          <w:szCs w:val="24"/>
        </w:rPr>
        <w:t>September</w:t>
      </w:r>
      <w:r w:rsidRPr="00775637">
        <w:rPr>
          <w:rFonts w:ascii="Times New Roman" w:hAnsi="Times New Roman" w:cs="Times New Roman"/>
          <w:sz w:val="24"/>
          <w:szCs w:val="24"/>
        </w:rPr>
        <w:t xml:space="preserve"> 2023.</w:t>
      </w:r>
    </w:p>
    <w:p w14:paraId="7DCE9E8A" w14:textId="46605AEC"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Information required – paragraph</w:t>
      </w:r>
      <w:r w:rsidR="00202C6D">
        <w:rPr>
          <w:rFonts w:ascii="Times New Roman" w:hAnsi="Times New Roman" w:cs="Times New Roman"/>
          <w:i/>
          <w:iCs/>
          <w:sz w:val="24"/>
          <w:szCs w:val="24"/>
        </w:rPr>
        <w:t>s</w:t>
      </w:r>
      <w:r w:rsidRPr="00775637">
        <w:rPr>
          <w:rFonts w:ascii="Times New Roman" w:hAnsi="Times New Roman" w:cs="Times New Roman"/>
          <w:i/>
          <w:iCs/>
          <w:sz w:val="24"/>
          <w:szCs w:val="24"/>
        </w:rPr>
        <w:t xml:space="preserve"> </w:t>
      </w:r>
      <w:r w:rsidR="00202C6D">
        <w:rPr>
          <w:rFonts w:ascii="Times New Roman" w:hAnsi="Times New Roman" w:cs="Times New Roman"/>
          <w:i/>
          <w:iCs/>
          <w:sz w:val="24"/>
          <w:szCs w:val="24"/>
        </w:rPr>
        <w:t>5</w:t>
      </w:r>
      <w:r w:rsidRPr="00775637">
        <w:rPr>
          <w:rFonts w:ascii="Times New Roman" w:hAnsi="Times New Roman" w:cs="Times New Roman"/>
          <w:i/>
          <w:iCs/>
          <w:sz w:val="24"/>
          <w:szCs w:val="24"/>
        </w:rPr>
        <w:t xml:space="preserve"> – </w:t>
      </w:r>
      <w:proofErr w:type="gramStart"/>
      <w:r w:rsidRPr="00775637">
        <w:rPr>
          <w:rFonts w:ascii="Times New Roman" w:hAnsi="Times New Roman" w:cs="Times New Roman"/>
          <w:i/>
          <w:iCs/>
          <w:sz w:val="24"/>
          <w:szCs w:val="24"/>
        </w:rPr>
        <w:t>7</w:t>
      </w:r>
      <w:proofErr w:type="gramEnd"/>
    </w:p>
    <w:p w14:paraId="7AA4FCA8" w14:textId="14736A50" w:rsidR="00155B35" w:rsidRPr="00775637" w:rsidRDefault="00F82BBC" w:rsidP="00155B35">
      <w:pPr>
        <w:rPr>
          <w:rFonts w:ascii="Times New Roman" w:hAnsi="Times New Roman" w:cs="Times New Roman"/>
          <w:sz w:val="24"/>
          <w:szCs w:val="24"/>
        </w:rPr>
      </w:pPr>
      <w:r>
        <w:rPr>
          <w:rFonts w:ascii="Times New Roman" w:hAnsi="Times New Roman" w:cs="Times New Roman"/>
          <w:sz w:val="24"/>
          <w:szCs w:val="24"/>
        </w:rPr>
        <w:t xml:space="preserve">Sections </w:t>
      </w:r>
      <w:r w:rsidR="00155B35" w:rsidRPr="00775637">
        <w:rPr>
          <w:rFonts w:ascii="Times New Roman" w:hAnsi="Times New Roman" w:cs="Times New Roman"/>
          <w:sz w:val="24"/>
          <w:szCs w:val="24"/>
        </w:rPr>
        <w:t>13(2)(d) and (e) of the Act permits reporting standards determined by APRA to include matters related to the times as at which, or the periods to which, the information in reporting documents is to relate, the giving of reporting documents to APRA, and when they should be provided.</w:t>
      </w:r>
    </w:p>
    <w:p w14:paraId="5AC6C63A" w14:textId="0B55A36E" w:rsidR="00202C6D"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Paragraphs </w:t>
      </w:r>
      <w:r w:rsidR="00202C6D">
        <w:rPr>
          <w:rFonts w:ascii="Times New Roman" w:hAnsi="Times New Roman" w:cs="Times New Roman"/>
          <w:sz w:val="24"/>
          <w:szCs w:val="24"/>
        </w:rPr>
        <w:t xml:space="preserve">5, </w:t>
      </w:r>
      <w:r w:rsidRPr="00775637">
        <w:rPr>
          <w:rFonts w:ascii="Times New Roman" w:hAnsi="Times New Roman" w:cs="Times New Roman"/>
          <w:sz w:val="24"/>
          <w:szCs w:val="24"/>
        </w:rPr>
        <w:t>6 and 7 rely on these</w:t>
      </w:r>
      <w:r w:rsidR="00802D76">
        <w:rPr>
          <w:rFonts w:ascii="Times New Roman" w:hAnsi="Times New Roman" w:cs="Times New Roman"/>
          <w:sz w:val="24"/>
          <w:szCs w:val="24"/>
        </w:rPr>
        <w:t xml:space="preserve"> </w:t>
      </w:r>
      <w:r w:rsidR="00AC150C">
        <w:rPr>
          <w:rFonts w:ascii="Times New Roman" w:hAnsi="Times New Roman" w:cs="Times New Roman"/>
          <w:sz w:val="24"/>
          <w:szCs w:val="24"/>
        </w:rPr>
        <w:t>power</w:t>
      </w:r>
      <w:r w:rsidR="00802D76">
        <w:rPr>
          <w:rFonts w:ascii="Times New Roman" w:hAnsi="Times New Roman" w:cs="Times New Roman"/>
          <w:sz w:val="24"/>
          <w:szCs w:val="24"/>
        </w:rPr>
        <w:t>s</w:t>
      </w:r>
      <w:r w:rsidRPr="00775637">
        <w:rPr>
          <w:rFonts w:ascii="Times New Roman" w:hAnsi="Times New Roman" w:cs="Times New Roman"/>
          <w:sz w:val="24"/>
          <w:szCs w:val="24"/>
        </w:rPr>
        <w:t xml:space="preserve">. </w:t>
      </w:r>
      <w:r w:rsidR="00202C6D">
        <w:rPr>
          <w:rFonts w:ascii="Times New Roman" w:hAnsi="Times New Roman" w:cs="Times New Roman"/>
          <w:sz w:val="24"/>
          <w:szCs w:val="24"/>
        </w:rPr>
        <w:t>Paragraph 5 applies to ADIs at Level 1 and Paragr</w:t>
      </w:r>
      <w:r w:rsidR="007857D9">
        <w:rPr>
          <w:rFonts w:ascii="Times New Roman" w:hAnsi="Times New Roman" w:cs="Times New Roman"/>
          <w:sz w:val="24"/>
          <w:szCs w:val="24"/>
        </w:rPr>
        <w:t>a</w:t>
      </w:r>
      <w:r w:rsidR="00202C6D">
        <w:rPr>
          <w:rFonts w:ascii="Times New Roman" w:hAnsi="Times New Roman" w:cs="Times New Roman"/>
          <w:sz w:val="24"/>
          <w:szCs w:val="24"/>
        </w:rPr>
        <w:t xml:space="preserve">ph 6 applies to </w:t>
      </w:r>
      <w:r w:rsidR="007857D9">
        <w:rPr>
          <w:rFonts w:ascii="Times New Roman" w:hAnsi="Times New Roman" w:cs="Times New Roman"/>
          <w:sz w:val="24"/>
          <w:szCs w:val="24"/>
        </w:rPr>
        <w:t>L</w:t>
      </w:r>
      <w:r w:rsidR="00202C6D">
        <w:rPr>
          <w:rFonts w:ascii="Times New Roman" w:hAnsi="Times New Roman" w:cs="Times New Roman"/>
          <w:sz w:val="24"/>
          <w:szCs w:val="24"/>
        </w:rPr>
        <w:t xml:space="preserve">evel 2 ADIs. </w:t>
      </w:r>
    </w:p>
    <w:p w14:paraId="6A22A4FC" w14:textId="4052C664" w:rsidR="00202C6D" w:rsidRDefault="00202C6D" w:rsidP="00155B35">
      <w:pPr>
        <w:rPr>
          <w:rFonts w:ascii="Times New Roman" w:hAnsi="Times New Roman" w:cs="Times New Roman"/>
          <w:sz w:val="24"/>
          <w:szCs w:val="24"/>
        </w:rPr>
      </w:pPr>
      <w:r>
        <w:rPr>
          <w:rFonts w:ascii="Times New Roman" w:hAnsi="Times New Roman" w:cs="Times New Roman"/>
          <w:sz w:val="24"/>
          <w:szCs w:val="24"/>
        </w:rPr>
        <w:t xml:space="preserve">Paragraph 7 </w:t>
      </w:r>
      <w:r w:rsidR="00743418">
        <w:rPr>
          <w:rFonts w:ascii="Times New Roman" w:hAnsi="Times New Roman" w:cs="Times New Roman"/>
          <w:sz w:val="24"/>
          <w:szCs w:val="24"/>
        </w:rPr>
        <w:t>specifies</w:t>
      </w:r>
      <w:r>
        <w:rPr>
          <w:rFonts w:ascii="Times New Roman" w:hAnsi="Times New Roman" w:cs="Times New Roman"/>
          <w:sz w:val="24"/>
          <w:szCs w:val="24"/>
        </w:rPr>
        <w:t xml:space="preserve"> the class of ADI to which the repo</w:t>
      </w:r>
      <w:r w:rsidR="00F47613">
        <w:rPr>
          <w:rFonts w:ascii="Times New Roman" w:hAnsi="Times New Roman" w:cs="Times New Roman"/>
          <w:sz w:val="24"/>
          <w:szCs w:val="24"/>
        </w:rPr>
        <w:t>r</w:t>
      </w:r>
      <w:r>
        <w:rPr>
          <w:rFonts w:ascii="Times New Roman" w:hAnsi="Times New Roman" w:cs="Times New Roman"/>
          <w:sz w:val="24"/>
          <w:szCs w:val="24"/>
        </w:rPr>
        <w:t>ting form applies.</w:t>
      </w:r>
    </w:p>
    <w:p w14:paraId="419D97E6" w14:textId="7220E25E" w:rsidR="00B10CA6" w:rsidRPr="00775637" w:rsidRDefault="00B10CA6" w:rsidP="00B10CA6">
      <w:pPr>
        <w:numPr>
          <w:ilvl w:val="0"/>
          <w:numId w:val="0"/>
        </w:numPr>
        <w:rPr>
          <w:rFonts w:ascii="Times New Roman" w:hAnsi="Times New Roman" w:cs="Times New Roman"/>
          <w:i/>
          <w:iCs/>
          <w:sz w:val="24"/>
          <w:szCs w:val="24"/>
        </w:rPr>
      </w:pPr>
      <w:r>
        <w:rPr>
          <w:rFonts w:ascii="Times New Roman" w:hAnsi="Times New Roman" w:cs="Times New Roman"/>
          <w:i/>
          <w:iCs/>
          <w:sz w:val="24"/>
          <w:szCs w:val="24"/>
        </w:rPr>
        <w:t>M</w:t>
      </w:r>
      <w:r w:rsidRPr="00775637">
        <w:rPr>
          <w:rFonts w:ascii="Times New Roman" w:hAnsi="Times New Roman" w:cs="Times New Roman"/>
          <w:i/>
          <w:iCs/>
          <w:sz w:val="24"/>
          <w:szCs w:val="24"/>
        </w:rPr>
        <w:t xml:space="preserve">ethod of submission – paragraph </w:t>
      </w:r>
      <w:r>
        <w:rPr>
          <w:rFonts w:ascii="Times New Roman" w:hAnsi="Times New Roman" w:cs="Times New Roman"/>
          <w:i/>
          <w:iCs/>
          <w:sz w:val="24"/>
          <w:szCs w:val="24"/>
        </w:rPr>
        <w:t>8</w:t>
      </w:r>
    </w:p>
    <w:p w14:paraId="55D93921" w14:textId="6EBC2BEA" w:rsidR="00B10CA6" w:rsidRDefault="00B10CA6" w:rsidP="00B10CA6">
      <w:pPr>
        <w:rPr>
          <w:rFonts w:ascii="Times New Roman" w:hAnsi="Times New Roman" w:cs="Times New Roman"/>
          <w:sz w:val="24"/>
          <w:szCs w:val="24"/>
        </w:rPr>
      </w:pPr>
      <w:r w:rsidRPr="00775637">
        <w:rPr>
          <w:rFonts w:ascii="Times New Roman" w:hAnsi="Times New Roman" w:cs="Times New Roman"/>
          <w:sz w:val="24"/>
          <w:szCs w:val="24"/>
        </w:rPr>
        <w:t>This p</w:t>
      </w:r>
      <w:r w:rsidR="00F47613">
        <w:rPr>
          <w:rFonts w:ascii="Times New Roman" w:hAnsi="Times New Roman" w:cs="Times New Roman"/>
          <w:sz w:val="24"/>
          <w:szCs w:val="24"/>
        </w:rPr>
        <w:t>aragraph</w:t>
      </w:r>
      <w:r w:rsidR="00555A03">
        <w:rPr>
          <w:rFonts w:ascii="Times New Roman" w:hAnsi="Times New Roman" w:cs="Times New Roman"/>
          <w:sz w:val="24"/>
          <w:szCs w:val="24"/>
        </w:rPr>
        <w:t xml:space="preserve"> </w:t>
      </w:r>
      <w:r w:rsidRPr="00775637">
        <w:rPr>
          <w:rFonts w:ascii="Times New Roman" w:hAnsi="Times New Roman" w:cs="Times New Roman"/>
          <w:sz w:val="24"/>
          <w:szCs w:val="24"/>
        </w:rPr>
        <w:t xml:space="preserve">specifies how information required by the reporting standard must be given to APRA as provided for in </w:t>
      </w:r>
      <w:r w:rsidR="00F47613">
        <w:rPr>
          <w:rFonts w:ascii="Times New Roman" w:hAnsi="Times New Roman" w:cs="Times New Roman"/>
          <w:sz w:val="24"/>
          <w:szCs w:val="24"/>
        </w:rPr>
        <w:t xml:space="preserve">section </w:t>
      </w:r>
      <w:r w:rsidRPr="00775637">
        <w:rPr>
          <w:rFonts w:ascii="Times New Roman" w:hAnsi="Times New Roman" w:cs="Times New Roman"/>
          <w:sz w:val="24"/>
          <w:szCs w:val="24"/>
        </w:rPr>
        <w:t>13(2)(e) of the Act.</w:t>
      </w:r>
    </w:p>
    <w:p w14:paraId="31B54569" w14:textId="467A11D3" w:rsidR="00B10CA6" w:rsidRPr="007857D9" w:rsidRDefault="00B10CA6" w:rsidP="00B10CA6">
      <w:pPr>
        <w:rPr>
          <w:rFonts w:ascii="Times New Roman" w:hAnsi="Times New Roman" w:cs="Times New Roman"/>
          <w:i/>
          <w:sz w:val="24"/>
          <w:szCs w:val="24"/>
        </w:rPr>
      </w:pPr>
      <w:r w:rsidRPr="007857D9">
        <w:rPr>
          <w:rFonts w:ascii="Times New Roman" w:hAnsi="Times New Roman" w:cs="Times New Roman"/>
          <w:i/>
          <w:sz w:val="24"/>
          <w:szCs w:val="24"/>
        </w:rPr>
        <w:t>Reporting period – paragraphs 9-11</w:t>
      </w:r>
    </w:p>
    <w:p w14:paraId="123492C2" w14:textId="10C9827F" w:rsidR="00B10CA6" w:rsidRPr="00B10CA6" w:rsidRDefault="00AC150C" w:rsidP="00B10CA6">
      <w:pPr>
        <w:rPr>
          <w:rFonts w:ascii="Times New Roman" w:hAnsi="Times New Roman" w:cs="Times New Roman"/>
          <w:sz w:val="24"/>
          <w:szCs w:val="24"/>
        </w:rPr>
      </w:pPr>
      <w:r>
        <w:rPr>
          <w:rFonts w:ascii="Times New Roman" w:hAnsi="Times New Roman" w:cs="Times New Roman"/>
          <w:sz w:val="24"/>
          <w:szCs w:val="24"/>
        </w:rPr>
        <w:t xml:space="preserve">Section </w:t>
      </w:r>
      <w:r w:rsidR="00B10CA6" w:rsidRPr="00B10CA6">
        <w:rPr>
          <w:rFonts w:ascii="Times New Roman" w:hAnsi="Times New Roman" w:cs="Times New Roman"/>
          <w:sz w:val="24"/>
          <w:szCs w:val="24"/>
        </w:rPr>
        <w:t>13(2)(d) of the Act permits reporting standards determined by APRA to include matters related to the times as at which, or the periods to which, the information in reporting documents is to relate.</w:t>
      </w:r>
    </w:p>
    <w:p w14:paraId="5D193BA4" w14:textId="42DD482D" w:rsidR="00B10CA6" w:rsidRPr="00B10CA6" w:rsidRDefault="00B10CA6">
      <w:pPr>
        <w:rPr>
          <w:rFonts w:ascii="Times New Roman" w:hAnsi="Times New Roman" w:cs="Times New Roman"/>
          <w:sz w:val="24"/>
          <w:szCs w:val="24"/>
        </w:rPr>
      </w:pPr>
      <w:r w:rsidRPr="00B10CA6">
        <w:rPr>
          <w:rFonts w:ascii="Times New Roman" w:hAnsi="Times New Roman" w:cs="Times New Roman"/>
          <w:sz w:val="24"/>
          <w:szCs w:val="24"/>
        </w:rPr>
        <w:t>Paragraph 9 relies on this</w:t>
      </w:r>
      <w:r w:rsidR="00801DCF">
        <w:rPr>
          <w:rFonts w:ascii="Times New Roman" w:hAnsi="Times New Roman" w:cs="Times New Roman"/>
          <w:sz w:val="24"/>
          <w:szCs w:val="24"/>
        </w:rPr>
        <w:t xml:space="preserve"> </w:t>
      </w:r>
      <w:r w:rsidR="00AC150C">
        <w:rPr>
          <w:rFonts w:ascii="Times New Roman" w:hAnsi="Times New Roman" w:cs="Times New Roman"/>
          <w:sz w:val="24"/>
          <w:szCs w:val="24"/>
        </w:rPr>
        <w:t>power</w:t>
      </w:r>
      <w:r w:rsidRPr="00B10CA6">
        <w:rPr>
          <w:rFonts w:ascii="Times New Roman" w:hAnsi="Times New Roman" w:cs="Times New Roman"/>
          <w:sz w:val="24"/>
          <w:szCs w:val="24"/>
        </w:rPr>
        <w:t xml:space="preserve">. Paragraph 5 states that ADIs that are SFIs are to provide the information required by this </w:t>
      </w:r>
      <w:r w:rsidR="002C4A3F">
        <w:rPr>
          <w:rFonts w:ascii="Times New Roman" w:hAnsi="Times New Roman" w:cs="Times New Roman"/>
          <w:sz w:val="24"/>
          <w:szCs w:val="24"/>
        </w:rPr>
        <w:t>r</w:t>
      </w:r>
      <w:r w:rsidRPr="00B10CA6">
        <w:rPr>
          <w:rFonts w:ascii="Times New Roman" w:hAnsi="Times New Roman" w:cs="Times New Roman"/>
          <w:sz w:val="24"/>
          <w:szCs w:val="24"/>
        </w:rPr>
        <w:t xml:space="preserve">eporting </w:t>
      </w:r>
      <w:r w:rsidR="002C4A3F">
        <w:rPr>
          <w:rFonts w:ascii="Times New Roman" w:hAnsi="Times New Roman" w:cs="Times New Roman"/>
          <w:sz w:val="24"/>
          <w:szCs w:val="24"/>
        </w:rPr>
        <w:t>s</w:t>
      </w:r>
      <w:r w:rsidRPr="00B10CA6">
        <w:rPr>
          <w:rFonts w:ascii="Times New Roman" w:hAnsi="Times New Roman" w:cs="Times New Roman"/>
          <w:sz w:val="24"/>
          <w:szCs w:val="24"/>
        </w:rPr>
        <w:t xml:space="preserve">tandard within 35 calendar days after the end of each quarter based on the ADI’s financial year (within the meaning of the </w:t>
      </w:r>
      <w:r w:rsidRPr="00B10CA6">
        <w:rPr>
          <w:rFonts w:ascii="Times New Roman" w:hAnsi="Times New Roman" w:cs="Times New Roman"/>
          <w:i/>
          <w:sz w:val="24"/>
          <w:szCs w:val="24"/>
        </w:rPr>
        <w:t>Corporations Act 2001</w:t>
      </w:r>
      <w:r w:rsidRPr="00B10CA6">
        <w:rPr>
          <w:rFonts w:ascii="Times New Roman" w:hAnsi="Times New Roman" w:cs="Times New Roman"/>
          <w:sz w:val="24"/>
          <w:szCs w:val="24"/>
        </w:rPr>
        <w:t>).</w:t>
      </w:r>
      <w:r w:rsidR="007857D9">
        <w:rPr>
          <w:rFonts w:ascii="Times New Roman" w:hAnsi="Times New Roman" w:cs="Times New Roman"/>
          <w:sz w:val="24"/>
          <w:szCs w:val="24"/>
        </w:rPr>
        <w:t xml:space="preserve"> </w:t>
      </w:r>
    </w:p>
    <w:p w14:paraId="00CD6DA1" w14:textId="1C941DC6" w:rsidR="00D910A7" w:rsidRPr="00775637" w:rsidRDefault="007773CF" w:rsidP="00D910A7">
      <w:pPr>
        <w:rPr>
          <w:rFonts w:ascii="Times New Roman" w:hAnsi="Times New Roman" w:cs="Times New Roman"/>
          <w:sz w:val="24"/>
          <w:szCs w:val="24"/>
        </w:rPr>
      </w:pPr>
      <w:r>
        <w:rPr>
          <w:rFonts w:ascii="Times New Roman" w:hAnsi="Times New Roman" w:cs="Times New Roman"/>
          <w:sz w:val="24"/>
          <w:szCs w:val="24"/>
        </w:rPr>
        <w:t xml:space="preserve">Sections </w:t>
      </w:r>
      <w:r w:rsidR="00D910A7" w:rsidRPr="00775637">
        <w:rPr>
          <w:rFonts w:ascii="Times New Roman" w:hAnsi="Times New Roman" w:cs="Times New Roman"/>
          <w:sz w:val="24"/>
          <w:szCs w:val="24"/>
        </w:rPr>
        <w:t>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p>
    <w:p w14:paraId="63F35E93" w14:textId="14F99539" w:rsidR="00D910A7" w:rsidRPr="00775637" w:rsidRDefault="00D910A7" w:rsidP="00D910A7">
      <w:pPr>
        <w:rPr>
          <w:rFonts w:ascii="Times New Roman" w:hAnsi="Times New Roman" w:cs="Times New Roman"/>
          <w:sz w:val="24"/>
          <w:szCs w:val="24"/>
        </w:rPr>
      </w:pPr>
      <w:r w:rsidRPr="00775637">
        <w:rPr>
          <w:rFonts w:ascii="Times New Roman" w:hAnsi="Times New Roman" w:cs="Times New Roman"/>
          <w:sz w:val="24"/>
          <w:szCs w:val="24"/>
        </w:rPr>
        <w:t>Paragraph 1</w:t>
      </w:r>
      <w:r>
        <w:rPr>
          <w:rFonts w:ascii="Times New Roman" w:hAnsi="Times New Roman" w:cs="Times New Roman"/>
          <w:sz w:val="24"/>
          <w:szCs w:val="24"/>
        </w:rPr>
        <w:t>0</w:t>
      </w:r>
      <w:r w:rsidRPr="00775637">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9</w:t>
      </w:r>
      <w:r w:rsidRPr="00775637">
        <w:rPr>
          <w:rFonts w:ascii="Times New Roman" w:hAnsi="Times New Roman" w:cs="Times New Roman"/>
          <w:sz w:val="24"/>
          <w:szCs w:val="24"/>
        </w:rPr>
        <w:t xml:space="preserve"> in writing, if, having regard to the </w:t>
      </w:r>
      <w:proofErr w:type="gramStart"/>
      <w:r w:rsidRPr="00775637">
        <w:rPr>
          <w:rFonts w:ascii="Times New Roman" w:hAnsi="Times New Roman" w:cs="Times New Roman"/>
          <w:sz w:val="24"/>
          <w:szCs w:val="24"/>
        </w:rPr>
        <w:t>particular circumstances</w:t>
      </w:r>
      <w:proofErr w:type="gramEnd"/>
      <w:r w:rsidRPr="00775637">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9</w:t>
      </w:r>
      <w:r w:rsidRPr="00775637">
        <w:rPr>
          <w:rFonts w:ascii="Times New Roman" w:hAnsi="Times New Roman" w:cs="Times New Roman"/>
          <w:sz w:val="24"/>
          <w:szCs w:val="24"/>
        </w:rPr>
        <w:t>. Paragraph 1</w:t>
      </w:r>
      <w:r>
        <w:rPr>
          <w:rFonts w:ascii="Times New Roman" w:hAnsi="Times New Roman" w:cs="Times New Roman"/>
          <w:sz w:val="24"/>
          <w:szCs w:val="24"/>
        </w:rPr>
        <w:t>0</w:t>
      </w:r>
      <w:r w:rsidRPr="00775637">
        <w:rPr>
          <w:rFonts w:ascii="Times New Roman" w:hAnsi="Times New Roman" w:cs="Times New Roman"/>
          <w:sz w:val="24"/>
          <w:szCs w:val="24"/>
        </w:rPr>
        <w:t xml:space="preserve"> also states that in the case of information provided in accordance with paragraph 1</w:t>
      </w:r>
      <w:r w:rsidR="007857D9">
        <w:rPr>
          <w:rFonts w:ascii="Times New Roman" w:hAnsi="Times New Roman" w:cs="Times New Roman"/>
          <w:sz w:val="24"/>
          <w:szCs w:val="24"/>
        </w:rPr>
        <w:t>0</w:t>
      </w:r>
      <w:r w:rsidRPr="00775637">
        <w:rPr>
          <w:rFonts w:ascii="Times New Roman" w:hAnsi="Times New Roman" w:cs="Times New Roman"/>
          <w:sz w:val="24"/>
          <w:szCs w:val="24"/>
        </w:rPr>
        <w:t>, the due date will be as stated on the written notice. Paragraph 1</w:t>
      </w:r>
      <w:r>
        <w:rPr>
          <w:rFonts w:ascii="Times New Roman" w:hAnsi="Times New Roman" w:cs="Times New Roman"/>
          <w:sz w:val="24"/>
          <w:szCs w:val="24"/>
        </w:rPr>
        <w:t>1</w:t>
      </w:r>
      <w:r w:rsidRPr="00775637">
        <w:rPr>
          <w:rFonts w:ascii="Times New Roman" w:hAnsi="Times New Roman" w:cs="Times New Roman"/>
          <w:sz w:val="24"/>
          <w:szCs w:val="24"/>
        </w:rPr>
        <w:t xml:space="preserve"> states that APRA may grant an extension of a due date in writing.</w:t>
      </w:r>
    </w:p>
    <w:p w14:paraId="32E9FBCD" w14:textId="7595648C" w:rsidR="00B10CA6" w:rsidRPr="0075598B" w:rsidRDefault="00B10CA6" w:rsidP="0093479E">
      <w:pPr>
        <w:keepNext/>
        <w:numPr>
          <w:ilvl w:val="0"/>
          <w:numId w:val="0"/>
        </w:numPr>
        <w:rPr>
          <w:rFonts w:ascii="Times New Roman" w:hAnsi="Times New Roman" w:cs="Times New Roman"/>
          <w:iCs/>
          <w:sz w:val="24"/>
          <w:szCs w:val="24"/>
        </w:rPr>
      </w:pPr>
      <w:r w:rsidRPr="00775637">
        <w:rPr>
          <w:rFonts w:ascii="Times New Roman" w:hAnsi="Times New Roman" w:cs="Times New Roman"/>
          <w:i/>
          <w:iCs/>
          <w:sz w:val="24"/>
          <w:szCs w:val="24"/>
        </w:rPr>
        <w:lastRenderedPageBreak/>
        <w:t>Quality control – paragraphs 1</w:t>
      </w:r>
      <w:r>
        <w:rPr>
          <w:rFonts w:ascii="Times New Roman" w:hAnsi="Times New Roman" w:cs="Times New Roman"/>
          <w:i/>
          <w:iCs/>
          <w:sz w:val="24"/>
          <w:szCs w:val="24"/>
        </w:rPr>
        <w:t>2</w:t>
      </w:r>
      <w:r w:rsidRPr="00775637">
        <w:rPr>
          <w:rFonts w:ascii="Times New Roman" w:hAnsi="Times New Roman" w:cs="Times New Roman"/>
          <w:i/>
          <w:iCs/>
          <w:sz w:val="24"/>
          <w:szCs w:val="24"/>
        </w:rPr>
        <w:t>-1</w:t>
      </w:r>
      <w:r>
        <w:rPr>
          <w:rFonts w:ascii="Times New Roman" w:hAnsi="Times New Roman" w:cs="Times New Roman"/>
          <w:i/>
          <w:iCs/>
          <w:sz w:val="24"/>
          <w:szCs w:val="24"/>
        </w:rPr>
        <w:t>3</w:t>
      </w:r>
    </w:p>
    <w:p w14:paraId="556DB5FF" w14:textId="1712F5A9" w:rsidR="00B10CA6" w:rsidRPr="00775637" w:rsidRDefault="00B10CA6" w:rsidP="00B10CA6">
      <w:pPr>
        <w:rPr>
          <w:rFonts w:ascii="Times New Roman" w:hAnsi="Times New Roman" w:cs="Times New Roman"/>
          <w:sz w:val="24"/>
          <w:szCs w:val="24"/>
        </w:rPr>
      </w:pPr>
      <w:r w:rsidRPr="00775637">
        <w:rPr>
          <w:rFonts w:ascii="Times New Roman" w:hAnsi="Times New Roman" w:cs="Times New Roman"/>
          <w:sz w:val="24"/>
          <w:szCs w:val="24"/>
        </w:rPr>
        <w:t>Paragraph 1</w:t>
      </w:r>
      <w:r>
        <w:rPr>
          <w:rFonts w:ascii="Times New Roman" w:hAnsi="Times New Roman" w:cs="Times New Roman"/>
          <w:sz w:val="24"/>
          <w:szCs w:val="24"/>
        </w:rPr>
        <w:t>2</w:t>
      </w:r>
      <w:r w:rsidRPr="00775637">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00D910A7">
        <w:rPr>
          <w:rFonts w:ascii="Times New Roman" w:hAnsi="Times New Roman" w:cs="Times New Roman"/>
          <w:sz w:val="24"/>
          <w:szCs w:val="24"/>
        </w:rPr>
        <w:t>external</w:t>
      </w:r>
      <w:r w:rsidRPr="00775637">
        <w:rPr>
          <w:rFonts w:ascii="Times New Roman" w:hAnsi="Times New Roman" w:cs="Times New Roman"/>
          <w:sz w:val="24"/>
          <w:szCs w:val="24"/>
        </w:rPr>
        <w:t xml:space="preserve"> auditor of the </w:t>
      </w:r>
      <w:r w:rsidR="00D910A7">
        <w:rPr>
          <w:rFonts w:ascii="Times New Roman" w:hAnsi="Times New Roman" w:cs="Times New Roman"/>
          <w:sz w:val="24"/>
          <w:szCs w:val="24"/>
        </w:rPr>
        <w:t>ADI</w:t>
      </w:r>
      <w:r w:rsidRPr="00775637">
        <w:rPr>
          <w:rFonts w:ascii="Times New Roman" w:hAnsi="Times New Roman" w:cs="Times New Roman"/>
          <w:sz w:val="24"/>
          <w:szCs w:val="24"/>
        </w:rPr>
        <w:t xml:space="preserve"> to which the information relates.</w:t>
      </w:r>
    </w:p>
    <w:p w14:paraId="6CEBDF43" w14:textId="466FC990" w:rsidR="00B10CA6" w:rsidRPr="00775637" w:rsidRDefault="00B10CA6" w:rsidP="00B10CA6">
      <w:pPr>
        <w:rPr>
          <w:rFonts w:ascii="Times New Roman" w:hAnsi="Times New Roman" w:cs="Times New Roman"/>
          <w:sz w:val="24"/>
          <w:szCs w:val="24"/>
        </w:rPr>
      </w:pPr>
      <w:r w:rsidRPr="00775637">
        <w:rPr>
          <w:rFonts w:ascii="Times New Roman" w:hAnsi="Times New Roman" w:cs="Times New Roman"/>
          <w:sz w:val="24"/>
          <w:szCs w:val="24"/>
        </w:rPr>
        <w:t>Paragraph 1</w:t>
      </w:r>
      <w:r w:rsidR="00D910A7">
        <w:rPr>
          <w:rFonts w:ascii="Times New Roman" w:hAnsi="Times New Roman" w:cs="Times New Roman"/>
          <w:sz w:val="24"/>
          <w:szCs w:val="24"/>
        </w:rPr>
        <w:t xml:space="preserve">3 </w:t>
      </w:r>
      <w:r w:rsidRPr="00775637">
        <w:rPr>
          <w:rFonts w:ascii="Times New Roman" w:hAnsi="Times New Roman" w:cs="Times New Roman"/>
          <w:sz w:val="24"/>
          <w:szCs w:val="24"/>
        </w:rPr>
        <w:t>states that information provided under this reporting standard must be subject to systems, processes and controls developed by the entity for the internal review and authorisation of that information.</w:t>
      </w:r>
    </w:p>
    <w:p w14:paraId="34D6F36C" w14:textId="000FD0EB" w:rsidR="00D910A7" w:rsidRPr="00775637" w:rsidRDefault="00D910A7" w:rsidP="00D910A7">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Authorisation – paragraph 1</w:t>
      </w:r>
      <w:r>
        <w:rPr>
          <w:rFonts w:ascii="Times New Roman" w:hAnsi="Times New Roman" w:cs="Times New Roman"/>
          <w:i/>
          <w:iCs/>
          <w:sz w:val="24"/>
          <w:szCs w:val="24"/>
        </w:rPr>
        <w:t>4</w:t>
      </w:r>
    </w:p>
    <w:p w14:paraId="354544D6" w14:textId="1EE130D5" w:rsidR="00D910A7" w:rsidRPr="00775637" w:rsidRDefault="00D910A7" w:rsidP="00D910A7">
      <w:pPr>
        <w:rPr>
          <w:rFonts w:ascii="Times New Roman" w:hAnsi="Times New Roman" w:cs="Times New Roman"/>
          <w:sz w:val="24"/>
          <w:szCs w:val="24"/>
        </w:rPr>
      </w:pPr>
      <w:r w:rsidRPr="00775637">
        <w:rPr>
          <w:rFonts w:ascii="Times New Roman" w:hAnsi="Times New Roman" w:cs="Times New Roman"/>
          <w:sz w:val="24"/>
          <w:szCs w:val="24"/>
        </w:rPr>
        <w:t>Paragraph 1</w:t>
      </w:r>
      <w:r>
        <w:rPr>
          <w:rFonts w:ascii="Times New Roman" w:hAnsi="Times New Roman" w:cs="Times New Roman"/>
          <w:sz w:val="24"/>
          <w:szCs w:val="24"/>
        </w:rPr>
        <w:t xml:space="preserve">4 </w:t>
      </w:r>
      <w:r w:rsidRPr="00775637">
        <w:rPr>
          <w:rFonts w:ascii="Times New Roman" w:hAnsi="Times New Roman" w:cs="Times New Roman"/>
          <w:sz w:val="24"/>
          <w:szCs w:val="24"/>
        </w:rPr>
        <w:t>state</w:t>
      </w:r>
      <w:r w:rsidR="00231A7D">
        <w:rPr>
          <w:rFonts w:ascii="Times New Roman" w:hAnsi="Times New Roman" w:cs="Times New Roman"/>
          <w:sz w:val="24"/>
          <w:szCs w:val="24"/>
        </w:rPr>
        <w:t>s</w:t>
      </w:r>
      <w:r w:rsidRPr="00775637">
        <w:rPr>
          <w:rFonts w:ascii="Times New Roman" w:hAnsi="Times New Roman" w:cs="Times New Roman"/>
          <w:sz w:val="24"/>
          <w:szCs w:val="24"/>
        </w:rPr>
        <w:t xml:space="preserve"> how information provided to APRA should be authenticated </w:t>
      </w:r>
      <w:r w:rsidR="00231A7D">
        <w:rPr>
          <w:rFonts w:ascii="Times New Roman" w:hAnsi="Times New Roman" w:cs="Times New Roman"/>
          <w:sz w:val="24"/>
          <w:szCs w:val="24"/>
        </w:rPr>
        <w:t xml:space="preserve">and </w:t>
      </w:r>
      <w:r w:rsidRPr="00775637">
        <w:rPr>
          <w:rFonts w:ascii="Times New Roman" w:hAnsi="Times New Roman" w:cs="Times New Roman"/>
          <w:sz w:val="24"/>
          <w:szCs w:val="24"/>
        </w:rPr>
        <w:t>who is authorised to provide information to APRA for a financial sector entity</w:t>
      </w:r>
      <w:r w:rsidR="00B7515C">
        <w:rPr>
          <w:rFonts w:ascii="Times New Roman" w:hAnsi="Times New Roman" w:cs="Times New Roman"/>
          <w:sz w:val="24"/>
          <w:szCs w:val="24"/>
        </w:rPr>
        <w:t xml:space="preserve">. </w:t>
      </w:r>
    </w:p>
    <w:p w14:paraId="25D4DC93" w14:textId="66F750BD" w:rsidR="00155B35" w:rsidRPr="00775637" w:rsidRDefault="00B10CA6" w:rsidP="00155B35">
      <w:pPr>
        <w:numPr>
          <w:ilvl w:val="0"/>
          <w:numId w:val="0"/>
        </w:numPr>
        <w:rPr>
          <w:rFonts w:ascii="Times New Roman" w:hAnsi="Times New Roman" w:cs="Times New Roman"/>
          <w:i/>
          <w:iCs/>
          <w:sz w:val="24"/>
          <w:szCs w:val="24"/>
        </w:rPr>
      </w:pPr>
      <w:r>
        <w:rPr>
          <w:rFonts w:ascii="Times New Roman" w:hAnsi="Times New Roman" w:cs="Times New Roman"/>
          <w:i/>
          <w:iCs/>
          <w:sz w:val="24"/>
          <w:szCs w:val="24"/>
        </w:rPr>
        <w:t>Variations</w:t>
      </w:r>
      <w:r w:rsidR="00155B35" w:rsidRPr="00775637">
        <w:rPr>
          <w:rFonts w:ascii="Times New Roman" w:hAnsi="Times New Roman" w:cs="Times New Roman"/>
          <w:i/>
          <w:iCs/>
          <w:sz w:val="24"/>
          <w:szCs w:val="24"/>
        </w:rPr>
        <w:t xml:space="preserve"> – paragraphs </w:t>
      </w:r>
      <w:r>
        <w:rPr>
          <w:rFonts w:ascii="Times New Roman" w:hAnsi="Times New Roman" w:cs="Times New Roman"/>
          <w:i/>
          <w:iCs/>
          <w:sz w:val="24"/>
          <w:szCs w:val="24"/>
        </w:rPr>
        <w:t>15</w:t>
      </w:r>
      <w:r w:rsidR="00155B35" w:rsidRPr="00775637">
        <w:rPr>
          <w:rFonts w:ascii="Times New Roman" w:hAnsi="Times New Roman" w:cs="Times New Roman"/>
          <w:i/>
          <w:iCs/>
          <w:sz w:val="24"/>
          <w:szCs w:val="24"/>
        </w:rPr>
        <w:t>-</w:t>
      </w:r>
      <w:r>
        <w:rPr>
          <w:rFonts w:ascii="Times New Roman" w:hAnsi="Times New Roman" w:cs="Times New Roman"/>
          <w:i/>
          <w:iCs/>
          <w:sz w:val="24"/>
          <w:szCs w:val="24"/>
        </w:rPr>
        <w:t>16</w:t>
      </w:r>
    </w:p>
    <w:p w14:paraId="721EB569" w14:textId="0C00F67E" w:rsidR="00155B35"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Paragraph </w:t>
      </w:r>
      <w:r w:rsidR="007857D9">
        <w:rPr>
          <w:rFonts w:ascii="Times New Roman" w:hAnsi="Times New Roman" w:cs="Times New Roman"/>
          <w:sz w:val="24"/>
          <w:szCs w:val="24"/>
        </w:rPr>
        <w:t>15</w:t>
      </w:r>
      <w:r w:rsidRPr="00775637">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w:t>
      </w:r>
    </w:p>
    <w:p w14:paraId="0E91C5FF" w14:textId="13441F89" w:rsidR="007857D9" w:rsidRDefault="00743418" w:rsidP="00155B35">
      <w:pPr>
        <w:rPr>
          <w:rFonts w:ascii="Times New Roman" w:hAnsi="Times New Roman" w:cs="Times New Roman"/>
          <w:sz w:val="24"/>
          <w:szCs w:val="24"/>
        </w:rPr>
      </w:pPr>
      <w:r>
        <w:rPr>
          <w:rFonts w:ascii="Times New Roman" w:hAnsi="Times New Roman" w:cs="Times New Roman"/>
          <w:sz w:val="24"/>
          <w:szCs w:val="24"/>
        </w:rPr>
        <w:t>Paragraph</w:t>
      </w:r>
      <w:r w:rsidR="007857D9">
        <w:rPr>
          <w:rFonts w:ascii="Times New Roman" w:hAnsi="Times New Roman" w:cs="Times New Roman"/>
          <w:sz w:val="24"/>
          <w:szCs w:val="24"/>
        </w:rPr>
        <w:t xml:space="preserve"> 16 states that APRA ma</w:t>
      </w:r>
      <w:r w:rsidR="003D26D2">
        <w:rPr>
          <w:rFonts w:ascii="Times New Roman" w:hAnsi="Times New Roman" w:cs="Times New Roman"/>
          <w:sz w:val="24"/>
          <w:szCs w:val="24"/>
        </w:rPr>
        <w:t>y</w:t>
      </w:r>
      <w:r w:rsidR="007857D9">
        <w:rPr>
          <w:rFonts w:ascii="Times New Roman" w:hAnsi="Times New Roman" w:cs="Times New Roman"/>
          <w:sz w:val="24"/>
          <w:szCs w:val="24"/>
        </w:rPr>
        <w:t xml:space="preserve"> determine in writing </w:t>
      </w:r>
      <w:r w:rsidR="007857D9" w:rsidRPr="007857D9">
        <w:rPr>
          <w:rFonts w:ascii="Times New Roman" w:hAnsi="Times New Roman" w:cs="Times New Roman"/>
          <w:sz w:val="24"/>
          <w:szCs w:val="24"/>
        </w:rPr>
        <w:t>that an individual ADI of one class of ADI is to be treated, for the purposes of this Reporting Standard, as though it was an ADI of another class of ADI.</w:t>
      </w:r>
    </w:p>
    <w:p w14:paraId="2F64DF1B" w14:textId="46A39CF1" w:rsidR="007857D9" w:rsidRDefault="007857D9" w:rsidP="007857D9">
      <w:pPr>
        <w:numPr>
          <w:ilvl w:val="0"/>
          <w:numId w:val="0"/>
        </w:numPr>
        <w:rPr>
          <w:rFonts w:ascii="Times New Roman" w:hAnsi="Times New Roman" w:cs="Times New Roman"/>
          <w:i/>
          <w:iCs/>
          <w:sz w:val="24"/>
          <w:szCs w:val="24"/>
        </w:rPr>
      </w:pPr>
      <w:r>
        <w:rPr>
          <w:rFonts w:ascii="Times New Roman" w:hAnsi="Times New Roman" w:cs="Times New Roman"/>
          <w:i/>
          <w:iCs/>
          <w:sz w:val="24"/>
          <w:szCs w:val="24"/>
        </w:rPr>
        <w:t>Tran</w:t>
      </w:r>
      <w:r w:rsidR="00045EF6">
        <w:rPr>
          <w:rFonts w:ascii="Times New Roman" w:hAnsi="Times New Roman" w:cs="Times New Roman"/>
          <w:i/>
          <w:iCs/>
          <w:sz w:val="24"/>
          <w:szCs w:val="24"/>
        </w:rPr>
        <w:t>s</w:t>
      </w:r>
      <w:r>
        <w:rPr>
          <w:rFonts w:ascii="Times New Roman" w:hAnsi="Times New Roman" w:cs="Times New Roman"/>
          <w:i/>
          <w:iCs/>
          <w:sz w:val="24"/>
          <w:szCs w:val="24"/>
        </w:rPr>
        <w:t>ition</w:t>
      </w:r>
      <w:r w:rsidRPr="00775637">
        <w:rPr>
          <w:rFonts w:ascii="Times New Roman" w:hAnsi="Times New Roman" w:cs="Times New Roman"/>
          <w:i/>
          <w:iCs/>
          <w:sz w:val="24"/>
          <w:szCs w:val="24"/>
        </w:rPr>
        <w:t xml:space="preserve"> – paragraphs </w:t>
      </w:r>
      <w:r>
        <w:rPr>
          <w:rFonts w:ascii="Times New Roman" w:hAnsi="Times New Roman" w:cs="Times New Roman"/>
          <w:i/>
          <w:iCs/>
          <w:sz w:val="24"/>
          <w:szCs w:val="24"/>
        </w:rPr>
        <w:t>17</w:t>
      </w:r>
    </w:p>
    <w:p w14:paraId="22EA3E3C" w14:textId="27CDC277" w:rsidR="007857D9" w:rsidRPr="007857D9" w:rsidRDefault="00045EF6" w:rsidP="007857D9">
      <w:pPr>
        <w:numPr>
          <w:ilvl w:val="0"/>
          <w:numId w:val="0"/>
        </w:numPr>
        <w:rPr>
          <w:rFonts w:ascii="Times New Roman" w:hAnsi="Times New Roman" w:cs="Times New Roman"/>
          <w:iCs/>
          <w:sz w:val="24"/>
          <w:szCs w:val="24"/>
        </w:rPr>
      </w:pPr>
      <w:r>
        <w:rPr>
          <w:rFonts w:ascii="Times New Roman" w:hAnsi="Times New Roman" w:cs="Times New Roman"/>
          <w:iCs/>
          <w:sz w:val="24"/>
          <w:szCs w:val="24"/>
        </w:rPr>
        <w:t xml:space="preserve">Paragraph 17 </w:t>
      </w:r>
      <w:r w:rsidR="00AA2490">
        <w:rPr>
          <w:rFonts w:ascii="Times New Roman" w:hAnsi="Times New Roman" w:cs="Times New Roman"/>
          <w:iCs/>
          <w:sz w:val="24"/>
          <w:szCs w:val="24"/>
        </w:rPr>
        <w:t>pr</w:t>
      </w:r>
      <w:r w:rsidR="00D71BFA">
        <w:rPr>
          <w:rFonts w:ascii="Times New Roman" w:hAnsi="Times New Roman" w:cs="Times New Roman"/>
          <w:iCs/>
          <w:sz w:val="24"/>
          <w:szCs w:val="24"/>
        </w:rPr>
        <w:t xml:space="preserve">ovides </w:t>
      </w:r>
      <w:r>
        <w:rPr>
          <w:rFonts w:ascii="Times New Roman" w:hAnsi="Times New Roman" w:cs="Times New Roman"/>
          <w:iCs/>
          <w:sz w:val="24"/>
          <w:szCs w:val="24"/>
        </w:rPr>
        <w:t xml:space="preserve">transitional reporting </w:t>
      </w:r>
      <w:r w:rsidR="00743418">
        <w:rPr>
          <w:rFonts w:ascii="Times New Roman" w:hAnsi="Times New Roman" w:cs="Times New Roman"/>
          <w:iCs/>
          <w:sz w:val="24"/>
          <w:szCs w:val="24"/>
        </w:rPr>
        <w:t>arrangements</w:t>
      </w:r>
      <w:r w:rsidR="00AA2490">
        <w:rPr>
          <w:rFonts w:ascii="Times New Roman" w:hAnsi="Times New Roman" w:cs="Times New Roman"/>
          <w:iCs/>
          <w:sz w:val="24"/>
          <w:szCs w:val="24"/>
        </w:rPr>
        <w:t xml:space="preserve"> </w:t>
      </w:r>
      <w:r w:rsidR="00CC7290">
        <w:rPr>
          <w:rFonts w:ascii="Times New Roman" w:hAnsi="Times New Roman" w:cs="Times New Roman"/>
          <w:iCs/>
          <w:sz w:val="24"/>
          <w:szCs w:val="24"/>
        </w:rPr>
        <w:t>to ensure that</w:t>
      </w:r>
      <w:r w:rsidR="005930C0">
        <w:rPr>
          <w:rFonts w:ascii="Times New Roman" w:hAnsi="Times New Roman" w:cs="Times New Roman"/>
          <w:iCs/>
          <w:sz w:val="24"/>
          <w:szCs w:val="24"/>
        </w:rPr>
        <w:t xml:space="preserve"> </w:t>
      </w:r>
      <w:r w:rsidR="00EA603F">
        <w:rPr>
          <w:rFonts w:ascii="Times New Roman" w:hAnsi="Times New Roman" w:cs="Times New Roman"/>
          <w:iCs/>
          <w:sz w:val="24"/>
          <w:szCs w:val="24"/>
        </w:rPr>
        <w:t xml:space="preserve">a financial sector </w:t>
      </w:r>
      <w:r w:rsidR="00743418">
        <w:rPr>
          <w:rFonts w:ascii="Times New Roman" w:hAnsi="Times New Roman" w:cs="Times New Roman"/>
          <w:iCs/>
          <w:sz w:val="24"/>
          <w:szCs w:val="24"/>
        </w:rPr>
        <w:t>entity’s</w:t>
      </w:r>
      <w:r w:rsidR="00EA603F">
        <w:rPr>
          <w:rFonts w:ascii="Times New Roman" w:hAnsi="Times New Roman" w:cs="Times New Roman"/>
          <w:iCs/>
          <w:sz w:val="24"/>
          <w:szCs w:val="24"/>
        </w:rPr>
        <w:t xml:space="preserve"> reporting obligations under the old reporting standard remain in effect and enforceable during the period from the </w:t>
      </w:r>
      <w:r w:rsidR="00702183">
        <w:rPr>
          <w:rFonts w:ascii="Times New Roman" w:hAnsi="Times New Roman" w:cs="Times New Roman"/>
          <w:iCs/>
          <w:sz w:val="24"/>
          <w:szCs w:val="24"/>
        </w:rPr>
        <w:t xml:space="preserve">commencement of </w:t>
      </w:r>
      <w:r w:rsidR="00EA603F">
        <w:rPr>
          <w:rFonts w:ascii="Times New Roman" w:hAnsi="Times New Roman" w:cs="Times New Roman"/>
          <w:iCs/>
          <w:sz w:val="24"/>
          <w:szCs w:val="24"/>
        </w:rPr>
        <w:t>the new reporting standard</w:t>
      </w:r>
      <w:r w:rsidR="00652ACD">
        <w:rPr>
          <w:rFonts w:ascii="Times New Roman" w:hAnsi="Times New Roman" w:cs="Times New Roman"/>
          <w:iCs/>
          <w:sz w:val="24"/>
          <w:szCs w:val="24"/>
        </w:rPr>
        <w:t xml:space="preserve"> and the </w:t>
      </w:r>
      <w:r w:rsidR="00E830DF">
        <w:rPr>
          <w:rFonts w:ascii="Times New Roman" w:hAnsi="Times New Roman" w:cs="Times New Roman"/>
          <w:iCs/>
          <w:sz w:val="24"/>
          <w:szCs w:val="24"/>
        </w:rPr>
        <w:t>new reporting obligations under that</w:t>
      </w:r>
      <w:r w:rsidR="00652ACD">
        <w:rPr>
          <w:rFonts w:ascii="Times New Roman" w:hAnsi="Times New Roman" w:cs="Times New Roman"/>
          <w:iCs/>
          <w:sz w:val="24"/>
          <w:szCs w:val="24"/>
        </w:rPr>
        <w:t xml:space="preserve"> reporting standard taking effect</w:t>
      </w:r>
      <w:r w:rsidR="00E830DF">
        <w:rPr>
          <w:rFonts w:ascii="Times New Roman" w:hAnsi="Times New Roman" w:cs="Times New Roman"/>
          <w:iCs/>
          <w:sz w:val="24"/>
          <w:szCs w:val="24"/>
        </w:rPr>
        <w:t xml:space="preserve">. </w:t>
      </w:r>
    </w:p>
    <w:p w14:paraId="1F227E53" w14:textId="0ED2DE5E"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 xml:space="preserve">Interpretation – paragraphs </w:t>
      </w:r>
      <w:r w:rsidR="00045EF6">
        <w:rPr>
          <w:rFonts w:ascii="Times New Roman" w:hAnsi="Times New Roman" w:cs="Times New Roman"/>
          <w:i/>
          <w:iCs/>
          <w:sz w:val="24"/>
          <w:szCs w:val="24"/>
        </w:rPr>
        <w:t>18-19</w:t>
      </w:r>
    </w:p>
    <w:p w14:paraId="0954EF54" w14:textId="4CD59792"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Paragraph </w:t>
      </w:r>
      <w:r w:rsidR="00045EF6">
        <w:rPr>
          <w:rFonts w:ascii="Times New Roman" w:hAnsi="Times New Roman" w:cs="Times New Roman"/>
          <w:sz w:val="24"/>
          <w:szCs w:val="24"/>
        </w:rPr>
        <w:t>18</w:t>
      </w:r>
      <w:r w:rsidRPr="00775637">
        <w:rPr>
          <w:rFonts w:ascii="Times New Roman" w:hAnsi="Times New Roman" w:cs="Times New Roman"/>
          <w:sz w:val="24"/>
          <w:szCs w:val="24"/>
        </w:rPr>
        <w:t xml:space="preserve"> provides definitions of common terms used throughout this reporting standard. Paragraph </w:t>
      </w:r>
      <w:r w:rsidR="00045EF6">
        <w:rPr>
          <w:rFonts w:ascii="Times New Roman" w:hAnsi="Times New Roman" w:cs="Times New Roman"/>
          <w:sz w:val="24"/>
          <w:szCs w:val="24"/>
        </w:rPr>
        <w:t>19</w:t>
      </w:r>
      <w:r w:rsidRPr="00775637">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w:t>
      </w:r>
    </w:p>
    <w:p w14:paraId="1A6E0D55"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General instructions</w:t>
      </w:r>
    </w:p>
    <w:p w14:paraId="0B0248FA" w14:textId="77777777"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1B66327"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Specific instructions</w:t>
      </w:r>
    </w:p>
    <w:p w14:paraId="7D06C22E" w14:textId="77777777"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The specific instructions list the specific data items that must be reported to APRA and how financial sector entities should determine these items.</w:t>
      </w:r>
    </w:p>
    <w:p w14:paraId="173C2909" w14:textId="77777777" w:rsidR="009211CB" w:rsidRPr="00775637" w:rsidRDefault="009211CB" w:rsidP="009211CB">
      <w:pPr>
        <w:numPr>
          <w:ilvl w:val="0"/>
          <w:numId w:val="0"/>
        </w:numPr>
        <w:rPr>
          <w:rFonts w:ascii="Times New Roman" w:hAnsi="Times New Roman" w:cs="Times New Roman"/>
          <w:b/>
          <w:bCs/>
          <w:i/>
          <w:iCs/>
          <w:sz w:val="24"/>
          <w:szCs w:val="24"/>
        </w:rPr>
      </w:pPr>
      <w:r w:rsidRPr="00775637">
        <w:rPr>
          <w:rFonts w:ascii="Times New Roman" w:hAnsi="Times New Roman" w:cs="Times New Roman"/>
          <w:b/>
          <w:bCs/>
          <w:i/>
          <w:iCs/>
          <w:sz w:val="24"/>
          <w:szCs w:val="24"/>
        </w:rPr>
        <w:t xml:space="preserve">Documents incorporated by </w:t>
      </w:r>
      <w:proofErr w:type="gramStart"/>
      <w:r w:rsidRPr="00775637">
        <w:rPr>
          <w:rFonts w:ascii="Times New Roman" w:hAnsi="Times New Roman" w:cs="Times New Roman"/>
          <w:b/>
          <w:bCs/>
          <w:i/>
          <w:iCs/>
          <w:sz w:val="24"/>
          <w:szCs w:val="24"/>
        </w:rPr>
        <w:t>reference</w:t>
      </w:r>
      <w:proofErr w:type="gramEnd"/>
    </w:p>
    <w:p w14:paraId="0476DEAB" w14:textId="77777777" w:rsidR="009211CB" w:rsidRPr="00CE11A6" w:rsidRDefault="009211CB" w:rsidP="009211CB">
      <w:pPr>
        <w:numPr>
          <w:ilvl w:val="0"/>
          <w:numId w:val="0"/>
        </w:numPr>
        <w:rPr>
          <w:rFonts w:ascii="Times New Roman" w:eastAsia="Times New Roman" w:hAnsi="Times New Roman" w:cs="Times New Roman"/>
          <w:b/>
          <w:bCs/>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 xml:space="preserve">Under paragraph 14(1)(a) of the </w:t>
      </w:r>
      <w:r w:rsidRPr="00CE11A6">
        <w:rPr>
          <w:rFonts w:ascii="Times New Roman" w:eastAsia="Times New Roman" w:hAnsi="Times New Roman" w:cs="Times New Roman"/>
          <w:i/>
          <w:iCs/>
          <w:color w:val="000000" w:themeColor="text1"/>
          <w:sz w:val="24"/>
          <w:szCs w:val="24"/>
          <w:lang w:eastAsia="en-AU"/>
        </w:rPr>
        <w:t>Legislation Act 2003</w:t>
      </w:r>
      <w:r w:rsidRPr="00CE11A6">
        <w:rPr>
          <w:rFonts w:ascii="Times New Roman" w:eastAsia="Times New Roman" w:hAnsi="Times New Roman" w:cs="Times New Roman"/>
          <w:color w:val="000000" w:themeColor="text1"/>
          <w:sz w:val="24"/>
          <w:szCs w:val="24"/>
          <w:lang w:eastAsia="en-AU"/>
        </w:rPr>
        <w:t>, the reporting standard may incorporate by reference as in force from time to time:</w:t>
      </w:r>
    </w:p>
    <w:p w14:paraId="5F48EEE1" w14:textId="0D0EA870"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lastRenderedPageBreak/>
        <w:t xml:space="preserve">Acts of Parliament and associated delegated </w:t>
      </w:r>
      <w:proofErr w:type="gramStart"/>
      <w:r w:rsidRPr="00CE11A6">
        <w:rPr>
          <w:rFonts w:ascii="Times New Roman" w:eastAsia="Times New Roman" w:hAnsi="Times New Roman" w:cs="Times New Roman"/>
          <w:color w:val="000000" w:themeColor="text1"/>
          <w:sz w:val="24"/>
          <w:szCs w:val="24"/>
          <w:lang w:eastAsia="en-AU"/>
        </w:rPr>
        <w:t>legislation;</w:t>
      </w:r>
      <w:proofErr w:type="gramEnd"/>
    </w:p>
    <w:p w14:paraId="233854A4" w14:textId="4B5114E9"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Prudential Standards determined by APRA under Subsection 11</w:t>
      </w:r>
      <w:proofErr w:type="gramStart"/>
      <w:r w:rsidRPr="00CE11A6">
        <w:rPr>
          <w:rFonts w:ascii="Times New Roman" w:eastAsia="Times New Roman" w:hAnsi="Times New Roman" w:cs="Times New Roman"/>
          <w:color w:val="000000" w:themeColor="text1"/>
          <w:sz w:val="24"/>
          <w:szCs w:val="24"/>
          <w:lang w:eastAsia="en-AU"/>
        </w:rPr>
        <w:t>AF(</w:t>
      </w:r>
      <w:proofErr w:type="gramEnd"/>
      <w:r w:rsidRPr="00CE11A6">
        <w:rPr>
          <w:rFonts w:ascii="Times New Roman" w:eastAsia="Times New Roman" w:hAnsi="Times New Roman" w:cs="Times New Roman"/>
          <w:color w:val="000000" w:themeColor="text1"/>
          <w:sz w:val="24"/>
          <w:szCs w:val="24"/>
          <w:lang w:eastAsia="en-AU"/>
        </w:rPr>
        <w:t>1) of the</w:t>
      </w:r>
      <w:r w:rsidRPr="00CE11A6">
        <w:rPr>
          <w:rFonts w:ascii="Times New Roman" w:eastAsia="Times New Roman" w:hAnsi="Times New Roman" w:cs="Times New Roman"/>
          <w:i/>
          <w:iCs/>
          <w:color w:val="000000" w:themeColor="text1"/>
          <w:sz w:val="24"/>
          <w:szCs w:val="24"/>
          <w:lang w:eastAsia="en-AU"/>
        </w:rPr>
        <w:t xml:space="preserve"> Banking Act 1959</w:t>
      </w:r>
      <w:r w:rsidRPr="00CE11A6">
        <w:rPr>
          <w:rFonts w:ascii="Times New Roman" w:eastAsia="Times New Roman" w:hAnsi="Times New Roman" w:cs="Times New Roman"/>
          <w:color w:val="000000" w:themeColor="text1"/>
          <w:sz w:val="24"/>
          <w:szCs w:val="24"/>
          <w:lang w:eastAsia="en-AU"/>
        </w:rPr>
        <w:t>;</w:t>
      </w:r>
    </w:p>
    <w:p w14:paraId="1CA5622D" w14:textId="60AA9889"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 xml:space="preserve">Reporting Standards determined by APRA under subsection 13(1) of the </w:t>
      </w:r>
      <w:proofErr w:type="gramStart"/>
      <w:r w:rsidRPr="00CE11A6">
        <w:rPr>
          <w:rFonts w:ascii="Times New Roman" w:eastAsia="Times New Roman" w:hAnsi="Times New Roman" w:cs="Times New Roman"/>
          <w:color w:val="000000" w:themeColor="text1"/>
          <w:sz w:val="24"/>
          <w:szCs w:val="24"/>
          <w:lang w:eastAsia="en-AU"/>
        </w:rPr>
        <w:t>Act;</w:t>
      </w:r>
      <w:proofErr w:type="gramEnd"/>
    </w:p>
    <w:p w14:paraId="0FB425D4" w14:textId="2FB9D2DC"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the Australian Accounting Standards determined by the Australian Accounting Standards Board under section 334 of the </w:t>
      </w:r>
      <w:r w:rsidRPr="00CE11A6">
        <w:rPr>
          <w:rFonts w:ascii="Times New Roman" w:eastAsia="Times New Roman" w:hAnsi="Times New Roman" w:cs="Times New Roman"/>
          <w:i/>
          <w:iCs/>
          <w:color w:val="000000" w:themeColor="text1"/>
          <w:sz w:val="24"/>
          <w:szCs w:val="24"/>
          <w:lang w:eastAsia="en-AU"/>
        </w:rPr>
        <w:t>Corporations Act 2001 </w:t>
      </w:r>
      <w:r w:rsidRPr="00CE11A6">
        <w:rPr>
          <w:rFonts w:ascii="Times New Roman" w:eastAsia="Times New Roman" w:hAnsi="Times New Roman" w:cs="Times New Roman"/>
          <w:color w:val="000000" w:themeColor="text1"/>
          <w:sz w:val="24"/>
          <w:szCs w:val="24"/>
          <w:lang w:eastAsia="en-AU"/>
        </w:rPr>
        <w:t>(</w:t>
      </w:r>
      <w:proofErr w:type="spellStart"/>
      <w:r w:rsidRPr="00CE11A6">
        <w:rPr>
          <w:rFonts w:ascii="Times New Roman" w:eastAsia="Times New Roman" w:hAnsi="Times New Roman" w:cs="Times New Roman"/>
          <w:color w:val="000000" w:themeColor="text1"/>
          <w:sz w:val="24"/>
          <w:szCs w:val="24"/>
          <w:lang w:eastAsia="en-AU"/>
        </w:rPr>
        <w:t>Cth</w:t>
      </w:r>
      <w:proofErr w:type="spellEnd"/>
      <w:r w:rsidRPr="00CE11A6">
        <w:rPr>
          <w:rFonts w:ascii="Times New Roman" w:eastAsia="Times New Roman" w:hAnsi="Times New Roman" w:cs="Times New Roman"/>
          <w:color w:val="000000" w:themeColor="text1"/>
          <w:sz w:val="24"/>
          <w:szCs w:val="24"/>
          <w:lang w:eastAsia="en-AU"/>
        </w:rPr>
        <w:t>); and</w:t>
      </w:r>
    </w:p>
    <w:p w14:paraId="0D1BE274" w14:textId="38A08917"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the Australian Auditing Standards determined by the Auditing and Assurance Standards Board under section 336 of the Corporations</w:t>
      </w:r>
      <w:r w:rsidRPr="00CE11A6">
        <w:rPr>
          <w:rFonts w:ascii="Times New Roman" w:eastAsia="Times New Roman" w:hAnsi="Times New Roman" w:cs="Times New Roman"/>
          <w:i/>
          <w:iCs/>
          <w:color w:val="000000" w:themeColor="text1"/>
          <w:sz w:val="24"/>
          <w:szCs w:val="24"/>
          <w:lang w:eastAsia="en-AU"/>
        </w:rPr>
        <w:t> Act 2001</w:t>
      </w:r>
      <w:r w:rsidRPr="00CE11A6">
        <w:rPr>
          <w:rFonts w:ascii="Times New Roman" w:eastAsia="Times New Roman" w:hAnsi="Times New Roman" w:cs="Times New Roman"/>
          <w:color w:val="000000" w:themeColor="text1"/>
          <w:sz w:val="24"/>
          <w:szCs w:val="24"/>
          <w:lang w:eastAsia="en-AU"/>
        </w:rPr>
        <w:t> (</w:t>
      </w:r>
      <w:proofErr w:type="spellStart"/>
      <w:r w:rsidRPr="00CE11A6">
        <w:rPr>
          <w:rFonts w:ascii="Times New Roman" w:eastAsia="Times New Roman" w:hAnsi="Times New Roman" w:cs="Times New Roman"/>
          <w:color w:val="000000" w:themeColor="text1"/>
          <w:sz w:val="24"/>
          <w:szCs w:val="24"/>
          <w:lang w:eastAsia="en-AU"/>
        </w:rPr>
        <w:t>Cth</w:t>
      </w:r>
      <w:proofErr w:type="spellEnd"/>
      <w:r w:rsidRPr="00CE11A6">
        <w:rPr>
          <w:rFonts w:ascii="Times New Roman" w:eastAsia="Times New Roman" w:hAnsi="Times New Roman" w:cs="Times New Roman"/>
          <w:color w:val="000000" w:themeColor="text1"/>
          <w:sz w:val="24"/>
          <w:szCs w:val="24"/>
          <w:lang w:eastAsia="en-AU"/>
        </w:rPr>
        <w:t>).</w:t>
      </w:r>
    </w:p>
    <w:p w14:paraId="5EBCB6C6" w14:textId="36FBE761" w:rsidR="00217F68" w:rsidRPr="00217F68" w:rsidRDefault="004A1328" w:rsidP="00C412CF">
      <w:pPr>
        <w:rPr>
          <w:rFonts w:ascii="Times New Roman" w:eastAsia="Times New Roman" w:hAnsi="Times New Roman" w:cs="Times New Roman"/>
          <w:color w:val="000000" w:themeColor="text1"/>
          <w:sz w:val="24"/>
          <w:szCs w:val="24"/>
          <w:lang w:eastAsia="en-AU"/>
        </w:rPr>
      </w:pPr>
      <w:r w:rsidRPr="00217F68">
        <w:rPr>
          <w:rFonts w:ascii="Times New Roman" w:eastAsia="Times New Roman" w:hAnsi="Times New Roman" w:cs="Times New Roman"/>
          <w:color w:val="000000" w:themeColor="text1"/>
          <w:sz w:val="24"/>
          <w:szCs w:val="24"/>
          <w:lang w:eastAsia="en-AU"/>
        </w:rPr>
        <w:t xml:space="preserve">Acts of </w:t>
      </w:r>
      <w:r w:rsidR="7D117780" w:rsidRPr="00217F68">
        <w:rPr>
          <w:rFonts w:ascii="Times New Roman" w:eastAsia="Times New Roman" w:hAnsi="Times New Roman" w:cs="Times New Roman"/>
          <w:color w:val="000000" w:themeColor="text1"/>
          <w:sz w:val="24"/>
          <w:szCs w:val="24"/>
          <w:lang w:eastAsia="en-AU"/>
        </w:rPr>
        <w:t>P</w:t>
      </w:r>
      <w:r w:rsidRPr="00217F68">
        <w:rPr>
          <w:rFonts w:ascii="Times New Roman" w:eastAsia="Times New Roman" w:hAnsi="Times New Roman" w:cs="Times New Roman"/>
          <w:color w:val="000000" w:themeColor="text1"/>
          <w:sz w:val="24"/>
          <w:szCs w:val="24"/>
          <w:lang w:eastAsia="en-AU"/>
        </w:rPr>
        <w:t>arliament</w:t>
      </w:r>
      <w:r w:rsidR="27661359" w:rsidRPr="00217F68">
        <w:rPr>
          <w:rFonts w:ascii="Times New Roman" w:eastAsia="Times New Roman" w:hAnsi="Times New Roman" w:cs="Times New Roman"/>
          <w:color w:val="000000" w:themeColor="text1"/>
          <w:sz w:val="24"/>
          <w:szCs w:val="24"/>
          <w:lang w:eastAsia="en-AU"/>
        </w:rPr>
        <w:t xml:space="preserve"> </w:t>
      </w:r>
      <w:r w:rsidRPr="00217F68">
        <w:rPr>
          <w:rFonts w:ascii="Times New Roman" w:eastAsia="Times New Roman" w:hAnsi="Times New Roman" w:cs="Times New Roman"/>
          <w:color w:val="000000" w:themeColor="text1"/>
          <w:sz w:val="24"/>
          <w:szCs w:val="24"/>
          <w:lang w:eastAsia="en-AU"/>
        </w:rPr>
        <w:t>and delegated legislation, APRA</w:t>
      </w:r>
      <w:r w:rsidR="00AD472C" w:rsidRPr="00217F68">
        <w:rPr>
          <w:rFonts w:ascii="Times New Roman" w:eastAsia="Times New Roman" w:hAnsi="Times New Roman" w:cs="Times New Roman"/>
          <w:color w:val="000000" w:themeColor="text1"/>
          <w:sz w:val="24"/>
          <w:szCs w:val="24"/>
          <w:lang w:eastAsia="en-AU"/>
        </w:rPr>
        <w:t>’</w:t>
      </w:r>
      <w:r w:rsidRPr="00217F68">
        <w:rPr>
          <w:rFonts w:ascii="Times New Roman" w:eastAsia="Times New Roman" w:hAnsi="Times New Roman" w:cs="Times New Roman"/>
          <w:color w:val="000000" w:themeColor="text1"/>
          <w:sz w:val="24"/>
          <w:szCs w:val="24"/>
          <w:lang w:eastAsia="en-AU"/>
        </w:rPr>
        <w:t>s Prud</w:t>
      </w:r>
      <w:r w:rsidR="00DA6E1B" w:rsidRPr="00217F68">
        <w:rPr>
          <w:rFonts w:ascii="Times New Roman" w:eastAsia="Times New Roman" w:hAnsi="Times New Roman" w:cs="Times New Roman"/>
          <w:color w:val="000000" w:themeColor="text1"/>
          <w:sz w:val="24"/>
          <w:szCs w:val="24"/>
          <w:lang w:eastAsia="en-AU"/>
        </w:rPr>
        <w:t>en</w:t>
      </w:r>
      <w:r w:rsidRPr="00217F68">
        <w:rPr>
          <w:rFonts w:ascii="Times New Roman" w:eastAsia="Times New Roman" w:hAnsi="Times New Roman" w:cs="Times New Roman"/>
          <w:color w:val="000000" w:themeColor="text1"/>
          <w:sz w:val="24"/>
          <w:szCs w:val="24"/>
          <w:lang w:eastAsia="en-AU"/>
        </w:rPr>
        <w:t xml:space="preserve">tial Standards and APRA’s Reporting Standards </w:t>
      </w:r>
      <w:r w:rsidR="009211CB" w:rsidRPr="00217F68">
        <w:rPr>
          <w:rFonts w:ascii="Times New Roman" w:eastAsia="Times New Roman" w:hAnsi="Times New Roman" w:cs="Times New Roman"/>
          <w:color w:val="000000" w:themeColor="text1"/>
          <w:sz w:val="24"/>
          <w:szCs w:val="24"/>
          <w:lang w:eastAsia="en-AU"/>
        </w:rPr>
        <w:t xml:space="preserve">may be freely obtained at </w:t>
      </w:r>
      <w:hyperlink r:id="rId12" w:history="1">
        <w:r w:rsidR="001830DF" w:rsidRPr="001D7BB6">
          <w:rPr>
            <w:rStyle w:val="Hyperlink"/>
            <w:rFonts w:ascii="Times New Roman" w:eastAsia="Times New Roman" w:hAnsi="Times New Roman" w:cs="Times New Roman"/>
            <w:sz w:val="24"/>
            <w:szCs w:val="24"/>
            <w:lang w:eastAsia="en-AU"/>
          </w:rPr>
          <w:t>www.legislation.gov.au</w:t>
        </w:r>
      </w:hyperlink>
      <w:r w:rsidRPr="00217F68">
        <w:rPr>
          <w:rFonts w:ascii="Times New Roman" w:eastAsia="Times New Roman" w:hAnsi="Times New Roman" w:cs="Times New Roman"/>
          <w:color w:val="000000" w:themeColor="text1"/>
          <w:sz w:val="24"/>
          <w:szCs w:val="24"/>
          <w:lang w:eastAsia="en-AU"/>
        </w:rPr>
        <w:t xml:space="preserve">. </w:t>
      </w:r>
      <w:r w:rsidR="009211CB" w:rsidRPr="00217F68">
        <w:rPr>
          <w:rFonts w:ascii="Times New Roman" w:eastAsia="Times New Roman" w:hAnsi="Times New Roman" w:cs="Times New Roman"/>
          <w:color w:val="000000" w:themeColor="text1"/>
          <w:sz w:val="24"/>
          <w:szCs w:val="24"/>
          <w:lang w:eastAsia="en-AU"/>
        </w:rPr>
        <w:t xml:space="preserve">Australian Accounting </w:t>
      </w:r>
      <w:r w:rsidR="00AD472C" w:rsidRPr="00217F68">
        <w:rPr>
          <w:rFonts w:ascii="Times New Roman" w:eastAsia="Times New Roman" w:hAnsi="Times New Roman" w:cs="Times New Roman"/>
          <w:color w:val="000000" w:themeColor="text1"/>
          <w:sz w:val="24"/>
          <w:szCs w:val="24"/>
          <w:lang w:eastAsia="en-AU"/>
        </w:rPr>
        <w:t>may be freely obtained from</w:t>
      </w:r>
      <w:r w:rsidR="00555A03" w:rsidRPr="00217F68">
        <w:rPr>
          <w:rFonts w:ascii="Times New Roman" w:eastAsia="Times New Roman" w:hAnsi="Times New Roman" w:cs="Times New Roman"/>
          <w:color w:val="000000" w:themeColor="text1"/>
          <w:sz w:val="24"/>
          <w:szCs w:val="24"/>
          <w:lang w:eastAsia="en-AU"/>
        </w:rPr>
        <w:t xml:space="preserve"> </w:t>
      </w:r>
      <w:bookmarkStart w:id="6" w:name="_Hlk149209529"/>
      <w:r w:rsidR="0093479E" w:rsidRPr="00217F68">
        <w:fldChar w:fldCharType="begin"/>
      </w:r>
      <w:r w:rsidR="00217F68">
        <w:instrText xml:space="preserve">HYPERLINK "https://www.aasb.gov.au/pronouncements/accounting-standards/" \h </w:instrText>
      </w:r>
      <w:r w:rsidR="0093479E" w:rsidRPr="00217F68">
        <w:fldChar w:fldCharType="separate"/>
      </w:r>
      <w:r w:rsidR="00E5406C" w:rsidRPr="00217F68">
        <w:rPr>
          <w:rStyle w:val="Hyperlink"/>
          <w:rFonts w:ascii="Times New Roman" w:eastAsia="Times New Roman" w:hAnsi="Times New Roman" w:cs="Times New Roman"/>
          <w:sz w:val="24"/>
          <w:szCs w:val="24"/>
          <w:lang w:eastAsia="en-AU"/>
        </w:rPr>
        <w:t>https://www.aasb.gov.au/pronouncements/accounting-standards/(Australian Accounting Standards)</w:t>
      </w:r>
      <w:r w:rsidR="0093479E" w:rsidRPr="00217F68">
        <w:rPr>
          <w:rStyle w:val="Hyperlink"/>
          <w:rFonts w:ascii="Times New Roman" w:eastAsia="Times New Roman" w:hAnsi="Times New Roman" w:cs="Times New Roman"/>
          <w:sz w:val="24"/>
          <w:szCs w:val="24"/>
          <w:lang w:eastAsia="en-AU"/>
        </w:rPr>
        <w:fldChar w:fldCharType="end"/>
      </w:r>
      <w:r w:rsidR="00217F68" w:rsidRPr="00217F68">
        <w:rPr>
          <w:rFonts w:ascii="Times New Roman" w:eastAsia="Times New Roman" w:hAnsi="Times New Roman" w:cs="Times New Roman"/>
          <w:color w:val="000000" w:themeColor="text1"/>
          <w:sz w:val="24"/>
          <w:szCs w:val="24"/>
          <w:lang w:eastAsia="en-AU"/>
        </w:rPr>
        <w:t>. A</w:t>
      </w:r>
      <w:r w:rsidR="00AD472C" w:rsidRPr="00217F68">
        <w:rPr>
          <w:rFonts w:ascii="Times New Roman" w:eastAsia="Times New Roman" w:hAnsi="Times New Roman" w:cs="Times New Roman"/>
          <w:color w:val="000000" w:themeColor="text1"/>
          <w:sz w:val="24"/>
          <w:szCs w:val="24"/>
          <w:lang w:eastAsia="en-AU"/>
        </w:rPr>
        <w:t>ustralian Auditing Standards may be free</w:t>
      </w:r>
      <w:r w:rsidR="00640C30" w:rsidRPr="00217F68">
        <w:rPr>
          <w:rFonts w:ascii="Times New Roman" w:eastAsia="Times New Roman" w:hAnsi="Times New Roman" w:cs="Times New Roman"/>
          <w:color w:val="000000" w:themeColor="text1"/>
          <w:sz w:val="24"/>
          <w:szCs w:val="24"/>
          <w:lang w:eastAsia="en-AU"/>
        </w:rPr>
        <w:t>ly</w:t>
      </w:r>
      <w:r w:rsidR="00AD472C" w:rsidRPr="00217F68">
        <w:rPr>
          <w:rFonts w:ascii="Times New Roman" w:eastAsia="Times New Roman" w:hAnsi="Times New Roman" w:cs="Times New Roman"/>
          <w:color w:val="000000" w:themeColor="text1"/>
          <w:sz w:val="24"/>
          <w:szCs w:val="24"/>
          <w:lang w:eastAsia="en-AU"/>
        </w:rPr>
        <w:t xml:space="preserve"> obtained from</w:t>
      </w:r>
      <w:r w:rsidR="00555A03" w:rsidRPr="00217F68">
        <w:rPr>
          <w:rFonts w:ascii="Times New Roman" w:eastAsia="Times New Roman" w:hAnsi="Times New Roman" w:cs="Times New Roman"/>
          <w:color w:val="000000" w:themeColor="text1"/>
          <w:sz w:val="24"/>
          <w:szCs w:val="24"/>
          <w:lang w:eastAsia="en-AU"/>
        </w:rPr>
        <w:t xml:space="preserve"> </w:t>
      </w:r>
      <w:hyperlink r:id="rId13">
        <w:r w:rsidR="00E5406C" w:rsidRPr="00217F68">
          <w:rPr>
            <w:rStyle w:val="Hyperlink"/>
            <w:rFonts w:ascii="Times New Roman" w:eastAsia="Times New Roman" w:hAnsi="Times New Roman" w:cs="Times New Roman"/>
            <w:sz w:val="24"/>
            <w:szCs w:val="24"/>
            <w:lang w:eastAsia="en-AU"/>
          </w:rPr>
          <w:t>https://auasb.gov.au/standards-guidance/auasb-standards/auditing-standards/(Australian Auditing Standards)</w:t>
        </w:r>
      </w:hyperlink>
      <w:r w:rsidR="00217F68" w:rsidRPr="00217F68">
        <w:rPr>
          <w:color w:val="000000" w:themeColor="text1"/>
        </w:rPr>
        <w:t>.</w:t>
      </w:r>
      <w:bookmarkEnd w:id="6"/>
    </w:p>
    <w:p w14:paraId="0AF7C802" w14:textId="77777777" w:rsidR="009211CB" w:rsidRPr="00775637" w:rsidRDefault="009211CB" w:rsidP="009211CB">
      <w:pPr>
        <w:numPr>
          <w:ilvl w:val="0"/>
          <w:numId w:val="0"/>
        </w:numPr>
        <w:rPr>
          <w:rFonts w:ascii="Times New Roman" w:hAnsi="Times New Roman" w:cs="Times New Roman"/>
          <w:b/>
          <w:bCs/>
          <w:i/>
          <w:iCs/>
          <w:sz w:val="24"/>
          <w:szCs w:val="24"/>
        </w:rPr>
      </w:pPr>
      <w:r w:rsidRPr="00775637">
        <w:rPr>
          <w:rFonts w:ascii="Times New Roman" w:hAnsi="Times New Roman" w:cs="Times New Roman"/>
          <w:b/>
          <w:bCs/>
          <w:i/>
          <w:iCs/>
          <w:sz w:val="24"/>
          <w:szCs w:val="24"/>
        </w:rPr>
        <w:t>Review of decisions</w:t>
      </w:r>
    </w:p>
    <w:p w14:paraId="306F5878" w14:textId="58693721"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w:t>
      </w:r>
      <w:proofErr w:type="gramStart"/>
      <w:r w:rsidRPr="006C1876">
        <w:rPr>
          <w:rFonts w:ascii="Times New Roman" w:hAnsi="Times New Roman" w:cs="Times New Roman"/>
          <w:sz w:val="24"/>
          <w:szCs w:val="24"/>
        </w:rPr>
        <w:t>discretion</w:t>
      </w:r>
      <w:proofErr w:type="gramEnd"/>
      <w:r w:rsidRPr="006C1876">
        <w:rPr>
          <w:rFonts w:ascii="Times New Roman" w:hAnsi="Times New Roman" w:cs="Times New Roman"/>
          <w:sz w:val="24"/>
          <w:szCs w:val="24"/>
        </w:rPr>
        <w:t xml:space="preserve">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2403B7A" w14:textId="1DD1DB01" w:rsidR="00775637" w:rsidRPr="00775637" w:rsidRDefault="006C1876" w:rsidP="00775637">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63192318" w:rsidR="00211AFD" w:rsidRPr="00BC1E70" w:rsidRDefault="00B670E9" w:rsidP="009211CB">
      <w:pPr>
        <w:pStyle w:val="paragraph"/>
        <w:spacing w:before="0" w:beforeAutospacing="0" w:after="240" w:afterAutospacing="0"/>
        <w:jc w:val="both"/>
        <w:textAlignment w:val="baseline"/>
        <w:rPr>
          <w:b/>
        </w:rPr>
      </w:pPr>
      <w:r w:rsidRPr="00BC1E70">
        <w:rPr>
          <w:b/>
        </w:rPr>
        <w:t>3.</w:t>
      </w:r>
      <w:r w:rsidRPr="00BC1E70">
        <w:rPr>
          <w:b/>
        </w:rPr>
        <w:tab/>
      </w:r>
      <w:r w:rsidR="00211AFD" w:rsidRPr="00BC1E70">
        <w:rPr>
          <w:b/>
        </w:rPr>
        <w:t>Consultation</w:t>
      </w:r>
    </w:p>
    <w:p w14:paraId="01AB756D" w14:textId="74370155" w:rsidR="00D97A60" w:rsidRPr="00D97A60" w:rsidRDefault="002143E2">
      <w:pPr>
        <w:rPr>
          <w:rFonts w:ascii="Times New Roman" w:hAnsi="Times New Roman" w:cs="Times New Roman"/>
          <w:sz w:val="24"/>
          <w:szCs w:val="24"/>
        </w:rPr>
      </w:pPr>
      <w:r w:rsidRPr="00D97A60">
        <w:rPr>
          <w:rFonts w:ascii="Times New Roman" w:hAnsi="Times New Roman"/>
          <w:sz w:val="24"/>
          <w:szCs w:val="24"/>
        </w:rPr>
        <w:t xml:space="preserve">APRA undertook </w:t>
      </w:r>
      <w:r w:rsidR="00C458EB" w:rsidRPr="00D97A60">
        <w:rPr>
          <w:rFonts w:ascii="Times New Roman" w:hAnsi="Times New Roman"/>
          <w:sz w:val="24"/>
          <w:szCs w:val="24"/>
        </w:rPr>
        <w:t xml:space="preserve">a short </w:t>
      </w:r>
      <w:r w:rsidRPr="00D97A60">
        <w:rPr>
          <w:rFonts w:ascii="Times New Roman" w:hAnsi="Times New Roman"/>
          <w:sz w:val="24"/>
          <w:szCs w:val="24"/>
        </w:rPr>
        <w:t xml:space="preserve">public consultation </w:t>
      </w:r>
      <w:r w:rsidR="009E0FA2">
        <w:rPr>
          <w:rFonts w:ascii="Times New Roman" w:hAnsi="Times New Roman"/>
          <w:sz w:val="24"/>
          <w:szCs w:val="24"/>
        </w:rPr>
        <w:t xml:space="preserve">in a letter to the ADI industry </w:t>
      </w:r>
      <w:r w:rsidR="006C2963">
        <w:rPr>
          <w:rFonts w:ascii="Times New Roman" w:hAnsi="Times New Roman"/>
          <w:sz w:val="24"/>
          <w:szCs w:val="24"/>
        </w:rPr>
        <w:t xml:space="preserve">in September 2023 </w:t>
      </w:r>
      <w:r w:rsidRPr="00D97A60">
        <w:rPr>
          <w:rFonts w:ascii="Times New Roman" w:hAnsi="Times New Roman"/>
          <w:sz w:val="24"/>
          <w:szCs w:val="24"/>
        </w:rPr>
        <w:t xml:space="preserve">on </w:t>
      </w:r>
      <w:r w:rsidR="006C2963">
        <w:rPr>
          <w:rFonts w:ascii="Times New Roman" w:hAnsi="Times New Roman"/>
          <w:sz w:val="24"/>
          <w:szCs w:val="24"/>
        </w:rPr>
        <w:t xml:space="preserve">the </w:t>
      </w:r>
      <w:r w:rsidRPr="00D97A60">
        <w:rPr>
          <w:rFonts w:ascii="Times New Roman" w:hAnsi="Times New Roman"/>
          <w:sz w:val="24"/>
          <w:szCs w:val="24"/>
        </w:rPr>
        <w:t>proposed updates to ADI capital reporting standards</w:t>
      </w:r>
      <w:r w:rsidR="00D97A60" w:rsidRPr="00D97A60">
        <w:rPr>
          <w:rFonts w:ascii="Times New Roman" w:hAnsi="Times New Roman"/>
          <w:sz w:val="24"/>
          <w:szCs w:val="24"/>
        </w:rPr>
        <w:t xml:space="preserve">. </w:t>
      </w:r>
      <w:r w:rsidR="00D97A60" w:rsidRPr="00D97A60">
        <w:rPr>
          <w:rFonts w:ascii="Times New Roman" w:hAnsi="Times New Roman" w:cs="Times New Roman"/>
          <w:sz w:val="24"/>
          <w:szCs w:val="24"/>
        </w:rPr>
        <w:t>APRA consult</w:t>
      </w:r>
      <w:r w:rsidR="00D97A60">
        <w:rPr>
          <w:rFonts w:ascii="Times New Roman" w:hAnsi="Times New Roman" w:cs="Times New Roman"/>
          <w:sz w:val="24"/>
          <w:szCs w:val="24"/>
        </w:rPr>
        <w:t>ed</w:t>
      </w:r>
      <w:r w:rsidR="00D97A60" w:rsidRPr="00D97A60">
        <w:rPr>
          <w:rFonts w:ascii="Times New Roman" w:hAnsi="Times New Roman" w:cs="Times New Roman"/>
          <w:sz w:val="24"/>
          <w:szCs w:val="24"/>
        </w:rPr>
        <w:t xml:space="preserve"> affected ADIs on proposed changes to ARS 180.0</w:t>
      </w:r>
      <w:r w:rsidR="00D97A60">
        <w:rPr>
          <w:rFonts w:ascii="Times New Roman" w:hAnsi="Times New Roman" w:cs="Times New Roman"/>
          <w:sz w:val="24"/>
          <w:szCs w:val="24"/>
        </w:rPr>
        <w:t xml:space="preserve"> </w:t>
      </w:r>
      <w:r w:rsidR="00D97A60" w:rsidRPr="00D97A60">
        <w:rPr>
          <w:rFonts w:ascii="Times New Roman" w:hAnsi="Times New Roman" w:cs="Times New Roman"/>
          <w:sz w:val="24"/>
          <w:szCs w:val="24"/>
        </w:rPr>
        <w:t>to:</w:t>
      </w:r>
    </w:p>
    <w:p w14:paraId="29C47B04" w14:textId="4258C3BC" w:rsidR="00D97A60" w:rsidRDefault="00D97A60" w:rsidP="00D97A60">
      <w:pPr>
        <w:pStyle w:val="ListParagraph"/>
        <w:numPr>
          <w:ilvl w:val="0"/>
          <w:numId w:val="24"/>
        </w:numPr>
        <w:rPr>
          <w:rFonts w:ascii="Times New Roman" w:hAnsi="Times New Roman" w:cs="Times New Roman"/>
          <w:sz w:val="24"/>
          <w:szCs w:val="24"/>
        </w:rPr>
      </w:pPr>
      <w:bookmarkStart w:id="7" w:name="_Hlk147764454"/>
      <w:r w:rsidRPr="005045F6">
        <w:rPr>
          <w:rFonts w:ascii="Times New Roman" w:hAnsi="Times New Roman" w:cs="Times New Roman"/>
          <w:sz w:val="24"/>
          <w:szCs w:val="24"/>
        </w:rPr>
        <w:t xml:space="preserve">Amend ARS 180.0 to only apply to SFIs as previously announced in updated prudential standards and guidance, as part of the new capital framework’s reduction of reporting burden on smaller ADIs; and </w:t>
      </w:r>
    </w:p>
    <w:p w14:paraId="71B00691" w14:textId="77777777" w:rsidR="00D97A60" w:rsidRPr="005045F6" w:rsidRDefault="00D97A60" w:rsidP="00D97A60">
      <w:pPr>
        <w:pStyle w:val="ListParagraph"/>
        <w:ind w:left="720"/>
        <w:rPr>
          <w:rFonts w:ascii="Times New Roman" w:hAnsi="Times New Roman" w:cs="Times New Roman"/>
          <w:sz w:val="24"/>
          <w:szCs w:val="24"/>
        </w:rPr>
      </w:pPr>
    </w:p>
    <w:p w14:paraId="08F8EFC6" w14:textId="56E98377" w:rsidR="00D97A60" w:rsidRPr="005045F6" w:rsidRDefault="00D97A60" w:rsidP="00D97A60">
      <w:pPr>
        <w:pStyle w:val="ListParagraph"/>
        <w:numPr>
          <w:ilvl w:val="0"/>
          <w:numId w:val="24"/>
        </w:numPr>
        <w:rPr>
          <w:rFonts w:ascii="Times New Roman" w:hAnsi="Times New Roman" w:cs="Times New Roman"/>
          <w:sz w:val="24"/>
          <w:szCs w:val="24"/>
        </w:rPr>
      </w:pPr>
      <w:r w:rsidRPr="005045F6">
        <w:rPr>
          <w:rFonts w:ascii="Times New Roman" w:hAnsi="Times New Roman" w:cs="Times New Roman"/>
          <w:sz w:val="24"/>
          <w:szCs w:val="24"/>
        </w:rPr>
        <w:t xml:space="preserve">Move ARF 226.0 to a new reporting standard called </w:t>
      </w:r>
      <w:r w:rsidRPr="003D26D2">
        <w:rPr>
          <w:rFonts w:ascii="Times New Roman" w:hAnsi="Times New Roman" w:cs="Times New Roman"/>
          <w:i/>
          <w:sz w:val="24"/>
          <w:szCs w:val="24"/>
        </w:rPr>
        <w:t>Reporting Standard ARS 226.0 Margining and risk mitigation for non-centrally cleared derivatives</w:t>
      </w:r>
      <w:r w:rsidRPr="005045F6">
        <w:rPr>
          <w:rFonts w:ascii="Times New Roman" w:hAnsi="Times New Roman" w:cs="Times New Roman"/>
          <w:sz w:val="24"/>
          <w:szCs w:val="24"/>
        </w:rPr>
        <w:t xml:space="preserve"> (ARS 226.0), with </w:t>
      </w:r>
      <w:r w:rsidRPr="005045F6">
        <w:rPr>
          <w:rFonts w:ascii="Times New Roman" w:hAnsi="Times New Roman" w:cs="Times New Roman"/>
          <w:sz w:val="24"/>
          <w:szCs w:val="24"/>
        </w:rPr>
        <w:lastRenderedPageBreak/>
        <w:t xml:space="preserve">no change in reporting obligations, to make it easier for the industry to locate this reporting form. </w:t>
      </w:r>
    </w:p>
    <w:bookmarkEnd w:id="7"/>
    <w:p w14:paraId="087C72AA" w14:textId="279986EC" w:rsidR="00045EF6" w:rsidRDefault="00045EF6" w:rsidP="00045EF6">
      <w:pPr>
        <w:rPr>
          <w:rFonts w:ascii="Times New Roman" w:hAnsi="Times New Roman" w:cs="Times New Roman"/>
          <w:sz w:val="24"/>
          <w:szCs w:val="24"/>
        </w:rPr>
      </w:pPr>
      <w:r>
        <w:rPr>
          <w:rFonts w:ascii="Times New Roman" w:hAnsi="Times New Roman" w:cs="Times New Roman"/>
          <w:sz w:val="24"/>
          <w:szCs w:val="24"/>
        </w:rPr>
        <w:t xml:space="preserve">There </w:t>
      </w:r>
      <w:r w:rsidR="006C2963">
        <w:rPr>
          <w:rFonts w:ascii="Times New Roman" w:hAnsi="Times New Roman" w:cs="Times New Roman"/>
          <w:sz w:val="24"/>
          <w:szCs w:val="24"/>
        </w:rPr>
        <w:t>was one</w:t>
      </w:r>
      <w:r>
        <w:rPr>
          <w:rFonts w:ascii="Times New Roman" w:hAnsi="Times New Roman" w:cs="Times New Roman"/>
          <w:sz w:val="24"/>
          <w:szCs w:val="24"/>
        </w:rPr>
        <w:t xml:space="preserve"> submission</w:t>
      </w:r>
      <w:r w:rsidR="00D97A60">
        <w:rPr>
          <w:rFonts w:ascii="Times New Roman" w:hAnsi="Times New Roman" w:cs="Times New Roman"/>
          <w:sz w:val="24"/>
          <w:szCs w:val="24"/>
        </w:rPr>
        <w:t xml:space="preserve"> to the </w:t>
      </w:r>
      <w:r w:rsidR="00743418">
        <w:rPr>
          <w:rFonts w:ascii="Times New Roman" w:hAnsi="Times New Roman" w:cs="Times New Roman"/>
          <w:sz w:val="24"/>
          <w:szCs w:val="24"/>
        </w:rPr>
        <w:t>consultation</w:t>
      </w:r>
      <w:r w:rsidR="006C2963">
        <w:rPr>
          <w:rFonts w:ascii="Times New Roman" w:hAnsi="Times New Roman" w:cs="Times New Roman"/>
          <w:sz w:val="24"/>
          <w:szCs w:val="24"/>
        </w:rPr>
        <w:t xml:space="preserve">, which </w:t>
      </w:r>
      <w:r>
        <w:rPr>
          <w:rFonts w:ascii="Times New Roman" w:hAnsi="Times New Roman" w:cs="Times New Roman"/>
          <w:sz w:val="24"/>
          <w:szCs w:val="24"/>
        </w:rPr>
        <w:t>supported the proposals</w:t>
      </w:r>
      <w:r w:rsidR="009E0FA2">
        <w:rPr>
          <w:rFonts w:ascii="Times New Roman" w:hAnsi="Times New Roman" w:cs="Times New Roman"/>
          <w:sz w:val="24"/>
          <w:szCs w:val="24"/>
        </w:rPr>
        <w:t xml:space="preserve"> </w:t>
      </w:r>
      <w:r w:rsidR="009E0FA2" w:rsidRPr="009E0FA2">
        <w:rPr>
          <w:rFonts w:ascii="Times New Roman" w:hAnsi="Times New Roman" w:cs="Times New Roman"/>
          <w:sz w:val="24"/>
          <w:szCs w:val="24"/>
        </w:rPr>
        <w:t>as a component of APRA’s move towards proportional regulation</w:t>
      </w:r>
      <w:r>
        <w:rPr>
          <w:rFonts w:ascii="Times New Roman" w:hAnsi="Times New Roman" w:cs="Times New Roman"/>
          <w:sz w:val="24"/>
          <w:szCs w:val="24"/>
        </w:rPr>
        <w:t>.</w:t>
      </w:r>
      <w:r w:rsidR="00D97A60">
        <w:rPr>
          <w:rFonts w:ascii="Times New Roman" w:hAnsi="Times New Roman" w:cs="Times New Roman"/>
          <w:sz w:val="24"/>
          <w:szCs w:val="24"/>
        </w:rPr>
        <w:t xml:space="preserve"> </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7ED771DF"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C702C3">
        <w:rPr>
          <w:rFonts w:ascii="Times New Roman" w:eastAsia="Times New Roman" w:hAnsi="Times New Roman" w:cs="Times New Roman"/>
          <w:b/>
          <w:sz w:val="24"/>
          <w:szCs w:val="24"/>
          <w:lang w:eastAsia="en-AU"/>
        </w:rPr>
        <w:t>130</w:t>
      </w:r>
      <w:r w:rsidR="00C702C3" w:rsidRPr="008234D8">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1D0023D"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3C7355" w:rsidRPr="00D56D61">
        <w:rPr>
          <w:rFonts w:ascii="Times New Roman" w:hAnsi="Times New Roman" w:cs="Times New Roman"/>
          <w:i/>
          <w:sz w:val="24"/>
          <w:szCs w:val="24"/>
        </w:rPr>
        <w:t>180.0 Counterparty Credit Risk</w:t>
      </w:r>
      <w:r w:rsidR="003C7355">
        <w:rPr>
          <w:rFonts w:ascii="Times New Roman" w:hAnsi="Times New Roman" w:cs="Times New Roman"/>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w:t>
      </w:r>
      <w:proofErr w:type="gramStart"/>
      <w:r w:rsidR="000F62C5">
        <w:rPr>
          <w:rFonts w:ascii="Times New Roman" w:hAnsi="Times New Roman" w:cs="Times New Roman"/>
          <w:sz w:val="24"/>
          <w:szCs w:val="24"/>
        </w:rPr>
        <w:t>as a result of</w:t>
      </w:r>
      <w:proofErr w:type="gramEnd"/>
      <w:r w:rsidR="000F62C5">
        <w:rPr>
          <w:rFonts w:ascii="Times New Roman" w:hAnsi="Times New Roman" w:cs="Times New Roman"/>
          <w:sz w:val="24"/>
          <w:szCs w:val="24"/>
        </w:rPr>
        <w:t xml:space="preserve">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A740A2A" w14:textId="3AFB7E0E" w:rsidR="00211AFD" w:rsidRPr="00EE0A8F" w:rsidRDefault="00B670E9" w:rsidP="00B81176">
      <w:pPr>
        <w:rPr>
          <w:rFonts w:ascii="Times New Roman" w:hAnsi="Times New Roman" w:cs="Times New Roman"/>
        </w:rPr>
      </w:pPr>
      <w:r w:rsidRPr="00EE0A8F">
        <w:rPr>
          <w:rFonts w:ascii="Times New Roman" w:hAnsi="Times New Roman" w:cs="Times New Roman"/>
          <w:sz w:val="24"/>
          <w:szCs w:val="24"/>
        </w:rPr>
        <w:t>Th</w:t>
      </w:r>
      <w:r w:rsidR="006212E3" w:rsidRPr="00EE0A8F">
        <w:rPr>
          <w:rFonts w:ascii="Times New Roman" w:hAnsi="Times New Roman" w:cs="Times New Roman"/>
          <w:sz w:val="24"/>
          <w:szCs w:val="24"/>
        </w:rPr>
        <w:t>i</w:t>
      </w:r>
      <w:r w:rsidRPr="00EE0A8F">
        <w:rPr>
          <w:rFonts w:ascii="Times New Roman" w:hAnsi="Times New Roman" w:cs="Times New Roman"/>
          <w:sz w:val="24"/>
          <w:szCs w:val="24"/>
        </w:rPr>
        <w:t xml:space="preserve">s Legislative Instrument </w:t>
      </w:r>
      <w:r w:rsidR="006212E3" w:rsidRPr="00EE0A8F">
        <w:rPr>
          <w:rFonts w:ascii="Times New Roman" w:hAnsi="Times New Roman" w:cs="Times New Roman"/>
          <w:sz w:val="24"/>
          <w:szCs w:val="24"/>
        </w:rPr>
        <w:t>is</w:t>
      </w:r>
      <w:r w:rsidRPr="00EE0A8F">
        <w:rPr>
          <w:rFonts w:ascii="Times New Roman" w:hAnsi="Times New Roman" w:cs="Times New Roman"/>
          <w:sz w:val="24"/>
          <w:szCs w:val="24"/>
        </w:rPr>
        <w:t xml:space="preserve"> compatible with human rights as </w:t>
      </w:r>
      <w:r w:rsidR="006212E3" w:rsidRPr="00EE0A8F">
        <w:rPr>
          <w:rFonts w:ascii="Times New Roman" w:hAnsi="Times New Roman" w:cs="Times New Roman"/>
          <w:sz w:val="24"/>
          <w:szCs w:val="24"/>
        </w:rPr>
        <w:t>it</w:t>
      </w:r>
      <w:r w:rsidRPr="00EE0A8F">
        <w:rPr>
          <w:rFonts w:ascii="Times New Roman" w:hAnsi="Times New Roman" w:cs="Times New Roman"/>
          <w:sz w:val="24"/>
          <w:szCs w:val="24"/>
        </w:rPr>
        <w:t xml:space="preserve"> do</w:t>
      </w:r>
      <w:r w:rsidR="006212E3" w:rsidRPr="00EE0A8F">
        <w:rPr>
          <w:rFonts w:ascii="Times New Roman" w:hAnsi="Times New Roman" w:cs="Times New Roman"/>
          <w:sz w:val="24"/>
          <w:szCs w:val="24"/>
        </w:rPr>
        <w:t>es</w:t>
      </w:r>
      <w:r w:rsidRPr="00EE0A8F">
        <w:rPr>
          <w:rFonts w:ascii="Times New Roman" w:hAnsi="Times New Roman" w:cs="Times New Roman"/>
          <w:sz w:val="24"/>
          <w:szCs w:val="24"/>
        </w:rPr>
        <w:t xml:space="preserve"> not raise any human rights issues.</w:t>
      </w:r>
    </w:p>
    <w:sectPr w:rsidR="00211AFD" w:rsidRPr="00EE0A8F" w:rsidSect="00B06E21">
      <w:footerReference w:type="default" r:id="rId14"/>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7771" w14:textId="77777777" w:rsidR="00B8408E" w:rsidRPr="000D4EDE" w:rsidRDefault="00B8408E" w:rsidP="000D4EDE">
      <w:r>
        <w:separator/>
      </w:r>
    </w:p>
  </w:endnote>
  <w:endnote w:type="continuationSeparator" w:id="0">
    <w:p w14:paraId="0B1E72FD" w14:textId="77777777" w:rsidR="00B8408E" w:rsidRPr="000D4EDE" w:rsidRDefault="00B8408E" w:rsidP="000D4EDE">
      <w:r>
        <w:continuationSeparator/>
      </w:r>
    </w:p>
  </w:endnote>
  <w:endnote w:type="continuationNotice" w:id="1">
    <w:p w14:paraId="4370CC0B" w14:textId="77777777" w:rsidR="00B8408E" w:rsidRDefault="00B84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6515"/>
      <w:docPartObj>
        <w:docPartGallery w:val="Page Numbers (Bottom of Page)"/>
        <w:docPartUnique/>
      </w:docPartObj>
    </w:sdtPr>
    <w:sdtEndPr>
      <w:rPr>
        <w:noProof/>
      </w:rPr>
    </w:sdtEndPr>
    <w:sdtContent>
      <w:p w14:paraId="02F26050" w14:textId="1909B055" w:rsidR="0075598B" w:rsidRDefault="007559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156F" w14:textId="77777777" w:rsidR="00B8408E" w:rsidRPr="000D4EDE" w:rsidRDefault="00B8408E" w:rsidP="000D4EDE">
      <w:r>
        <w:separator/>
      </w:r>
    </w:p>
  </w:footnote>
  <w:footnote w:type="continuationSeparator" w:id="0">
    <w:p w14:paraId="49F83F2A" w14:textId="77777777" w:rsidR="00B8408E" w:rsidRPr="000D4EDE" w:rsidRDefault="00B8408E" w:rsidP="000D4EDE">
      <w:r>
        <w:continuationSeparator/>
      </w:r>
    </w:p>
  </w:footnote>
  <w:footnote w:type="continuationNotice" w:id="1">
    <w:p w14:paraId="24907183" w14:textId="77777777" w:rsidR="00B8408E" w:rsidRDefault="00B840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0707908"/>
    <w:multiLevelType w:val="hybridMultilevel"/>
    <w:tmpl w:val="73F61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6E74B32"/>
    <w:multiLevelType w:val="multilevel"/>
    <w:tmpl w:val="271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562E1"/>
    <w:multiLevelType w:val="hybridMultilevel"/>
    <w:tmpl w:val="3DDE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684C3B"/>
    <w:multiLevelType w:val="multilevel"/>
    <w:tmpl w:val="828A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AE580B"/>
    <w:multiLevelType w:val="hybridMultilevel"/>
    <w:tmpl w:val="CEFC2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17"/>
  </w:num>
  <w:num w:numId="5" w16cid:durableId="521478323">
    <w:abstractNumId w:val="21"/>
  </w:num>
  <w:num w:numId="6" w16cid:durableId="288823805">
    <w:abstractNumId w:val="15"/>
  </w:num>
  <w:num w:numId="7" w16cid:durableId="1380936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2"/>
  </w:num>
  <w:num w:numId="9" w16cid:durableId="398133406">
    <w:abstractNumId w:val="2"/>
  </w:num>
  <w:num w:numId="10" w16cid:durableId="1790781280">
    <w:abstractNumId w:val="8"/>
  </w:num>
  <w:num w:numId="11" w16cid:durableId="785537199">
    <w:abstractNumId w:val="5"/>
  </w:num>
  <w:num w:numId="12" w16cid:durableId="2035961868">
    <w:abstractNumId w:val="4"/>
  </w:num>
  <w:num w:numId="13" w16cid:durableId="1725759766">
    <w:abstractNumId w:val="22"/>
  </w:num>
  <w:num w:numId="14" w16cid:durableId="168563981">
    <w:abstractNumId w:val="14"/>
  </w:num>
  <w:num w:numId="15" w16cid:durableId="2008093173">
    <w:abstractNumId w:val="10"/>
  </w:num>
  <w:num w:numId="16" w16cid:durableId="844632474">
    <w:abstractNumId w:val="13"/>
  </w:num>
  <w:num w:numId="17" w16cid:durableId="1251620339">
    <w:abstractNumId w:val="18"/>
  </w:num>
  <w:num w:numId="18" w16cid:durableId="1893076358">
    <w:abstractNumId w:val="19"/>
  </w:num>
  <w:num w:numId="19" w16cid:durableId="1667436918">
    <w:abstractNumId w:val="16"/>
  </w:num>
  <w:num w:numId="20" w16cid:durableId="351035494">
    <w:abstractNumId w:val="6"/>
  </w:num>
  <w:num w:numId="21" w16cid:durableId="1667903437">
    <w:abstractNumId w:val="9"/>
  </w:num>
  <w:num w:numId="22" w16cid:durableId="1984042247">
    <w:abstractNumId w:val="20"/>
  </w:num>
  <w:num w:numId="23" w16cid:durableId="210390120">
    <w:abstractNumId w:val="23"/>
  </w:num>
  <w:num w:numId="24" w16cid:durableId="664935416">
    <w:abstractNumId w:val="11"/>
  </w:num>
  <w:num w:numId="25" w16cid:durableId="7042564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6F35"/>
    <w:rsid w:val="00007262"/>
    <w:rsid w:val="00010789"/>
    <w:rsid w:val="00011C96"/>
    <w:rsid w:val="000141B9"/>
    <w:rsid w:val="00014E49"/>
    <w:rsid w:val="00020E4C"/>
    <w:rsid w:val="00023CE3"/>
    <w:rsid w:val="00024228"/>
    <w:rsid w:val="00034A19"/>
    <w:rsid w:val="00036F9E"/>
    <w:rsid w:val="000413B3"/>
    <w:rsid w:val="000431D2"/>
    <w:rsid w:val="000453D9"/>
    <w:rsid w:val="00045D7D"/>
    <w:rsid w:val="00045EF6"/>
    <w:rsid w:val="0005152D"/>
    <w:rsid w:val="000573E5"/>
    <w:rsid w:val="00057B71"/>
    <w:rsid w:val="000612B5"/>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00E5"/>
    <w:rsid w:val="000C14D9"/>
    <w:rsid w:val="000C15C7"/>
    <w:rsid w:val="000D4EDE"/>
    <w:rsid w:val="000D7F92"/>
    <w:rsid w:val="000E2460"/>
    <w:rsid w:val="000E43AC"/>
    <w:rsid w:val="000E6E37"/>
    <w:rsid w:val="000F0E6F"/>
    <w:rsid w:val="000F62C5"/>
    <w:rsid w:val="00100E7F"/>
    <w:rsid w:val="001018A5"/>
    <w:rsid w:val="00106F56"/>
    <w:rsid w:val="00115A39"/>
    <w:rsid w:val="00116AEF"/>
    <w:rsid w:val="00117479"/>
    <w:rsid w:val="00123576"/>
    <w:rsid w:val="001241CB"/>
    <w:rsid w:val="00124B21"/>
    <w:rsid w:val="001327B8"/>
    <w:rsid w:val="0013471B"/>
    <w:rsid w:val="00134B76"/>
    <w:rsid w:val="001352D4"/>
    <w:rsid w:val="00141A7E"/>
    <w:rsid w:val="00142132"/>
    <w:rsid w:val="00152C59"/>
    <w:rsid w:val="00155789"/>
    <w:rsid w:val="00155B35"/>
    <w:rsid w:val="00157C98"/>
    <w:rsid w:val="001637C7"/>
    <w:rsid w:val="001653B6"/>
    <w:rsid w:val="00165BF6"/>
    <w:rsid w:val="00174039"/>
    <w:rsid w:val="00174B0F"/>
    <w:rsid w:val="00180361"/>
    <w:rsid w:val="0018235E"/>
    <w:rsid w:val="001830DF"/>
    <w:rsid w:val="00184187"/>
    <w:rsid w:val="00184B1B"/>
    <w:rsid w:val="001A4EA4"/>
    <w:rsid w:val="001A664F"/>
    <w:rsid w:val="001B2DB7"/>
    <w:rsid w:val="001B3A9F"/>
    <w:rsid w:val="001D0C02"/>
    <w:rsid w:val="001D3D43"/>
    <w:rsid w:val="001E0F51"/>
    <w:rsid w:val="001E1ED8"/>
    <w:rsid w:val="001E55BF"/>
    <w:rsid w:val="001E6BCB"/>
    <w:rsid w:val="001F4824"/>
    <w:rsid w:val="001F6E1A"/>
    <w:rsid w:val="001F780A"/>
    <w:rsid w:val="001F7917"/>
    <w:rsid w:val="00200613"/>
    <w:rsid w:val="00202C6D"/>
    <w:rsid w:val="00211AFD"/>
    <w:rsid w:val="002143E2"/>
    <w:rsid w:val="00214883"/>
    <w:rsid w:val="002156F6"/>
    <w:rsid w:val="00217F68"/>
    <w:rsid w:val="00220550"/>
    <w:rsid w:val="00222497"/>
    <w:rsid w:val="002301A2"/>
    <w:rsid w:val="00231A7D"/>
    <w:rsid w:val="00236C2D"/>
    <w:rsid w:val="00237201"/>
    <w:rsid w:val="002374B7"/>
    <w:rsid w:val="00237A4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56F"/>
    <w:rsid w:val="00277D6C"/>
    <w:rsid w:val="00286EAD"/>
    <w:rsid w:val="00292A60"/>
    <w:rsid w:val="0029389B"/>
    <w:rsid w:val="002A1894"/>
    <w:rsid w:val="002A2188"/>
    <w:rsid w:val="002A36F2"/>
    <w:rsid w:val="002A7D14"/>
    <w:rsid w:val="002B0913"/>
    <w:rsid w:val="002B1C83"/>
    <w:rsid w:val="002B28E4"/>
    <w:rsid w:val="002B49A3"/>
    <w:rsid w:val="002B5EBC"/>
    <w:rsid w:val="002B7504"/>
    <w:rsid w:val="002C0D97"/>
    <w:rsid w:val="002C4A3F"/>
    <w:rsid w:val="002C66D1"/>
    <w:rsid w:val="002C7065"/>
    <w:rsid w:val="002C7D73"/>
    <w:rsid w:val="002C7F4A"/>
    <w:rsid w:val="002D2804"/>
    <w:rsid w:val="002D4B6C"/>
    <w:rsid w:val="002D5274"/>
    <w:rsid w:val="002E1EE3"/>
    <w:rsid w:val="002F0135"/>
    <w:rsid w:val="002F0C2C"/>
    <w:rsid w:val="002F5D25"/>
    <w:rsid w:val="002F66A5"/>
    <w:rsid w:val="00300655"/>
    <w:rsid w:val="0030075D"/>
    <w:rsid w:val="00301BB1"/>
    <w:rsid w:val="00303D18"/>
    <w:rsid w:val="00307ADD"/>
    <w:rsid w:val="00307E55"/>
    <w:rsid w:val="00312A66"/>
    <w:rsid w:val="003130CA"/>
    <w:rsid w:val="003133E1"/>
    <w:rsid w:val="003163CB"/>
    <w:rsid w:val="00317765"/>
    <w:rsid w:val="003210DB"/>
    <w:rsid w:val="00321180"/>
    <w:rsid w:val="0032180D"/>
    <w:rsid w:val="003306A5"/>
    <w:rsid w:val="00330878"/>
    <w:rsid w:val="003547B0"/>
    <w:rsid w:val="00355D40"/>
    <w:rsid w:val="00371067"/>
    <w:rsid w:val="00371AAC"/>
    <w:rsid w:val="00371F54"/>
    <w:rsid w:val="0037770C"/>
    <w:rsid w:val="00377C8B"/>
    <w:rsid w:val="00383A95"/>
    <w:rsid w:val="00385CA0"/>
    <w:rsid w:val="0039585F"/>
    <w:rsid w:val="00396373"/>
    <w:rsid w:val="003A2733"/>
    <w:rsid w:val="003A3021"/>
    <w:rsid w:val="003A4483"/>
    <w:rsid w:val="003A4D41"/>
    <w:rsid w:val="003A627E"/>
    <w:rsid w:val="003A79EE"/>
    <w:rsid w:val="003B45AB"/>
    <w:rsid w:val="003B6E16"/>
    <w:rsid w:val="003C180A"/>
    <w:rsid w:val="003C1E25"/>
    <w:rsid w:val="003C25A8"/>
    <w:rsid w:val="003C7355"/>
    <w:rsid w:val="003C76D4"/>
    <w:rsid w:val="003D26D2"/>
    <w:rsid w:val="003D27CB"/>
    <w:rsid w:val="003D292C"/>
    <w:rsid w:val="003D329D"/>
    <w:rsid w:val="003E1BB3"/>
    <w:rsid w:val="003E6BF6"/>
    <w:rsid w:val="003F0F0D"/>
    <w:rsid w:val="003F1DD2"/>
    <w:rsid w:val="0040173E"/>
    <w:rsid w:val="00435339"/>
    <w:rsid w:val="004410DC"/>
    <w:rsid w:val="0044447D"/>
    <w:rsid w:val="0044482D"/>
    <w:rsid w:val="00450C67"/>
    <w:rsid w:val="0045447E"/>
    <w:rsid w:val="00456AE0"/>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328"/>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5848"/>
    <w:rsid w:val="00506774"/>
    <w:rsid w:val="00512309"/>
    <w:rsid w:val="00541D54"/>
    <w:rsid w:val="00542522"/>
    <w:rsid w:val="00543472"/>
    <w:rsid w:val="0054526E"/>
    <w:rsid w:val="00545CE1"/>
    <w:rsid w:val="00546297"/>
    <w:rsid w:val="005476B5"/>
    <w:rsid w:val="005549D7"/>
    <w:rsid w:val="00555A03"/>
    <w:rsid w:val="005560B7"/>
    <w:rsid w:val="005602DA"/>
    <w:rsid w:val="00560CAF"/>
    <w:rsid w:val="00562087"/>
    <w:rsid w:val="005628DB"/>
    <w:rsid w:val="005678FC"/>
    <w:rsid w:val="0057138A"/>
    <w:rsid w:val="00573327"/>
    <w:rsid w:val="00573F5D"/>
    <w:rsid w:val="00574BA1"/>
    <w:rsid w:val="00577D9B"/>
    <w:rsid w:val="005806BB"/>
    <w:rsid w:val="00583ED8"/>
    <w:rsid w:val="00587001"/>
    <w:rsid w:val="005921A3"/>
    <w:rsid w:val="00592F64"/>
    <w:rsid w:val="005930C0"/>
    <w:rsid w:val="005A3F63"/>
    <w:rsid w:val="005A59D0"/>
    <w:rsid w:val="005B073E"/>
    <w:rsid w:val="005B227F"/>
    <w:rsid w:val="005B7801"/>
    <w:rsid w:val="005C3B43"/>
    <w:rsid w:val="005C5891"/>
    <w:rsid w:val="005C641B"/>
    <w:rsid w:val="005D04CC"/>
    <w:rsid w:val="005D5FAE"/>
    <w:rsid w:val="005E4BC9"/>
    <w:rsid w:val="005F0C9F"/>
    <w:rsid w:val="005F29B7"/>
    <w:rsid w:val="0060279C"/>
    <w:rsid w:val="00606EB5"/>
    <w:rsid w:val="00606FC8"/>
    <w:rsid w:val="00616C90"/>
    <w:rsid w:val="00617FDA"/>
    <w:rsid w:val="0062116F"/>
    <w:rsid w:val="006212E3"/>
    <w:rsid w:val="00623FD7"/>
    <w:rsid w:val="00626087"/>
    <w:rsid w:val="00634E4C"/>
    <w:rsid w:val="00636B8B"/>
    <w:rsid w:val="00640C30"/>
    <w:rsid w:val="00641EAA"/>
    <w:rsid w:val="006427FE"/>
    <w:rsid w:val="006451CC"/>
    <w:rsid w:val="006506C1"/>
    <w:rsid w:val="00652ACD"/>
    <w:rsid w:val="00657459"/>
    <w:rsid w:val="0065747A"/>
    <w:rsid w:val="00662E28"/>
    <w:rsid w:val="00663820"/>
    <w:rsid w:val="0066674D"/>
    <w:rsid w:val="00666A78"/>
    <w:rsid w:val="00670B59"/>
    <w:rsid w:val="00676C12"/>
    <w:rsid w:val="00687AED"/>
    <w:rsid w:val="0069292A"/>
    <w:rsid w:val="0069375D"/>
    <w:rsid w:val="0069407C"/>
    <w:rsid w:val="006955C2"/>
    <w:rsid w:val="0069574E"/>
    <w:rsid w:val="006969C0"/>
    <w:rsid w:val="006A1921"/>
    <w:rsid w:val="006A1B8B"/>
    <w:rsid w:val="006A2303"/>
    <w:rsid w:val="006A2C82"/>
    <w:rsid w:val="006B5592"/>
    <w:rsid w:val="006B76C6"/>
    <w:rsid w:val="006C1876"/>
    <w:rsid w:val="006C2963"/>
    <w:rsid w:val="006D2A45"/>
    <w:rsid w:val="006D315C"/>
    <w:rsid w:val="006D71B8"/>
    <w:rsid w:val="006E0FB8"/>
    <w:rsid w:val="006E4272"/>
    <w:rsid w:val="006E62BE"/>
    <w:rsid w:val="006F145A"/>
    <w:rsid w:val="006F27CB"/>
    <w:rsid w:val="006F359B"/>
    <w:rsid w:val="006F4962"/>
    <w:rsid w:val="006F5865"/>
    <w:rsid w:val="007002E5"/>
    <w:rsid w:val="00701EC6"/>
    <w:rsid w:val="00702183"/>
    <w:rsid w:val="00706179"/>
    <w:rsid w:val="00714F78"/>
    <w:rsid w:val="007152B0"/>
    <w:rsid w:val="007170F7"/>
    <w:rsid w:val="00717589"/>
    <w:rsid w:val="00722F9F"/>
    <w:rsid w:val="007253B8"/>
    <w:rsid w:val="00736E7D"/>
    <w:rsid w:val="00741EDB"/>
    <w:rsid w:val="00743418"/>
    <w:rsid w:val="007509A6"/>
    <w:rsid w:val="00753F83"/>
    <w:rsid w:val="007541B0"/>
    <w:rsid w:val="0075469B"/>
    <w:rsid w:val="00755163"/>
    <w:rsid w:val="0075598B"/>
    <w:rsid w:val="00756AAB"/>
    <w:rsid w:val="00757F63"/>
    <w:rsid w:val="007605EB"/>
    <w:rsid w:val="007631FA"/>
    <w:rsid w:val="007645AE"/>
    <w:rsid w:val="00764992"/>
    <w:rsid w:val="00765749"/>
    <w:rsid w:val="00771075"/>
    <w:rsid w:val="007720F8"/>
    <w:rsid w:val="0077507F"/>
    <w:rsid w:val="00775637"/>
    <w:rsid w:val="00775AA0"/>
    <w:rsid w:val="007770FA"/>
    <w:rsid w:val="007773CF"/>
    <w:rsid w:val="00781045"/>
    <w:rsid w:val="007857D9"/>
    <w:rsid w:val="00791738"/>
    <w:rsid w:val="00791780"/>
    <w:rsid w:val="00792D37"/>
    <w:rsid w:val="0079390C"/>
    <w:rsid w:val="00797BFD"/>
    <w:rsid w:val="007A0EB7"/>
    <w:rsid w:val="007B2C90"/>
    <w:rsid w:val="007B6871"/>
    <w:rsid w:val="007B7899"/>
    <w:rsid w:val="007C08B1"/>
    <w:rsid w:val="007C2CC2"/>
    <w:rsid w:val="007C38BD"/>
    <w:rsid w:val="007C79AA"/>
    <w:rsid w:val="007D1955"/>
    <w:rsid w:val="007D31DA"/>
    <w:rsid w:val="007D72C5"/>
    <w:rsid w:val="007E1D1C"/>
    <w:rsid w:val="007E2453"/>
    <w:rsid w:val="007E525D"/>
    <w:rsid w:val="007E5A0D"/>
    <w:rsid w:val="007E6391"/>
    <w:rsid w:val="007E7735"/>
    <w:rsid w:val="007F0323"/>
    <w:rsid w:val="007F379E"/>
    <w:rsid w:val="007F471C"/>
    <w:rsid w:val="008009B1"/>
    <w:rsid w:val="00800C90"/>
    <w:rsid w:val="00801DCF"/>
    <w:rsid w:val="00802D76"/>
    <w:rsid w:val="008103D3"/>
    <w:rsid w:val="008125F8"/>
    <w:rsid w:val="008208A8"/>
    <w:rsid w:val="0082097B"/>
    <w:rsid w:val="00821EFD"/>
    <w:rsid w:val="008234D8"/>
    <w:rsid w:val="008255F5"/>
    <w:rsid w:val="00826012"/>
    <w:rsid w:val="00827667"/>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4165"/>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11CB"/>
    <w:rsid w:val="00922193"/>
    <w:rsid w:val="00922C7C"/>
    <w:rsid w:val="00924152"/>
    <w:rsid w:val="009258A3"/>
    <w:rsid w:val="0093194D"/>
    <w:rsid w:val="0093479E"/>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0FA2"/>
    <w:rsid w:val="009E4116"/>
    <w:rsid w:val="009E529F"/>
    <w:rsid w:val="00A10DA6"/>
    <w:rsid w:val="00A151E9"/>
    <w:rsid w:val="00A15DBB"/>
    <w:rsid w:val="00A259F2"/>
    <w:rsid w:val="00A2758A"/>
    <w:rsid w:val="00A33802"/>
    <w:rsid w:val="00A34ADD"/>
    <w:rsid w:val="00A37162"/>
    <w:rsid w:val="00A37E51"/>
    <w:rsid w:val="00A41CDE"/>
    <w:rsid w:val="00A50B51"/>
    <w:rsid w:val="00A51499"/>
    <w:rsid w:val="00A51E2D"/>
    <w:rsid w:val="00A5319F"/>
    <w:rsid w:val="00A533A9"/>
    <w:rsid w:val="00A53690"/>
    <w:rsid w:val="00A54193"/>
    <w:rsid w:val="00A61213"/>
    <w:rsid w:val="00A62D31"/>
    <w:rsid w:val="00A63025"/>
    <w:rsid w:val="00A63380"/>
    <w:rsid w:val="00A8129D"/>
    <w:rsid w:val="00A82188"/>
    <w:rsid w:val="00A865C7"/>
    <w:rsid w:val="00A909CC"/>
    <w:rsid w:val="00A942CA"/>
    <w:rsid w:val="00A964A5"/>
    <w:rsid w:val="00A97E3B"/>
    <w:rsid w:val="00AA00CB"/>
    <w:rsid w:val="00AA20A1"/>
    <w:rsid w:val="00AA2490"/>
    <w:rsid w:val="00AA41F2"/>
    <w:rsid w:val="00AA555F"/>
    <w:rsid w:val="00AB039E"/>
    <w:rsid w:val="00AB1362"/>
    <w:rsid w:val="00AB2FFA"/>
    <w:rsid w:val="00AB4206"/>
    <w:rsid w:val="00AB556C"/>
    <w:rsid w:val="00AC150C"/>
    <w:rsid w:val="00AC1727"/>
    <w:rsid w:val="00AC6B54"/>
    <w:rsid w:val="00AC7E54"/>
    <w:rsid w:val="00AD472C"/>
    <w:rsid w:val="00AD51FB"/>
    <w:rsid w:val="00AD72D9"/>
    <w:rsid w:val="00AE43C8"/>
    <w:rsid w:val="00AE6A4E"/>
    <w:rsid w:val="00AE7B98"/>
    <w:rsid w:val="00AF129F"/>
    <w:rsid w:val="00AF67D4"/>
    <w:rsid w:val="00B06E21"/>
    <w:rsid w:val="00B07F39"/>
    <w:rsid w:val="00B10CA6"/>
    <w:rsid w:val="00B12DC9"/>
    <w:rsid w:val="00B13F84"/>
    <w:rsid w:val="00B14604"/>
    <w:rsid w:val="00B1471C"/>
    <w:rsid w:val="00B155D3"/>
    <w:rsid w:val="00B15ABA"/>
    <w:rsid w:val="00B20FA0"/>
    <w:rsid w:val="00B2141A"/>
    <w:rsid w:val="00B24DD4"/>
    <w:rsid w:val="00B30DDB"/>
    <w:rsid w:val="00B33A8A"/>
    <w:rsid w:val="00B34339"/>
    <w:rsid w:val="00B40B7D"/>
    <w:rsid w:val="00B42B2F"/>
    <w:rsid w:val="00B44900"/>
    <w:rsid w:val="00B467F6"/>
    <w:rsid w:val="00B472E1"/>
    <w:rsid w:val="00B52821"/>
    <w:rsid w:val="00B56C63"/>
    <w:rsid w:val="00B63ED2"/>
    <w:rsid w:val="00B664C7"/>
    <w:rsid w:val="00B670E9"/>
    <w:rsid w:val="00B71170"/>
    <w:rsid w:val="00B73CAF"/>
    <w:rsid w:val="00B7515C"/>
    <w:rsid w:val="00B80BCE"/>
    <w:rsid w:val="00B81524"/>
    <w:rsid w:val="00B81740"/>
    <w:rsid w:val="00B82726"/>
    <w:rsid w:val="00B83542"/>
    <w:rsid w:val="00B83763"/>
    <w:rsid w:val="00B8408E"/>
    <w:rsid w:val="00B85D7B"/>
    <w:rsid w:val="00B900EA"/>
    <w:rsid w:val="00B91069"/>
    <w:rsid w:val="00B92842"/>
    <w:rsid w:val="00BA2713"/>
    <w:rsid w:val="00BA2941"/>
    <w:rsid w:val="00BA4C61"/>
    <w:rsid w:val="00BA627A"/>
    <w:rsid w:val="00BB22FA"/>
    <w:rsid w:val="00BC1E70"/>
    <w:rsid w:val="00BC3209"/>
    <w:rsid w:val="00BC38DC"/>
    <w:rsid w:val="00BD12A1"/>
    <w:rsid w:val="00BD1D09"/>
    <w:rsid w:val="00BD50AC"/>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0474"/>
    <w:rsid w:val="00C3686B"/>
    <w:rsid w:val="00C42EA5"/>
    <w:rsid w:val="00C458EB"/>
    <w:rsid w:val="00C62BF5"/>
    <w:rsid w:val="00C636DA"/>
    <w:rsid w:val="00C67E22"/>
    <w:rsid w:val="00C702C3"/>
    <w:rsid w:val="00C71EDD"/>
    <w:rsid w:val="00C72271"/>
    <w:rsid w:val="00C72A17"/>
    <w:rsid w:val="00C76533"/>
    <w:rsid w:val="00C771AD"/>
    <w:rsid w:val="00C81356"/>
    <w:rsid w:val="00C813CD"/>
    <w:rsid w:val="00C8387B"/>
    <w:rsid w:val="00C858D9"/>
    <w:rsid w:val="00C86A64"/>
    <w:rsid w:val="00C87DA0"/>
    <w:rsid w:val="00C96BDA"/>
    <w:rsid w:val="00CA4E4D"/>
    <w:rsid w:val="00CA6FF9"/>
    <w:rsid w:val="00CA73DA"/>
    <w:rsid w:val="00CB2E3D"/>
    <w:rsid w:val="00CB4238"/>
    <w:rsid w:val="00CB5938"/>
    <w:rsid w:val="00CB5B27"/>
    <w:rsid w:val="00CB7364"/>
    <w:rsid w:val="00CC13F5"/>
    <w:rsid w:val="00CC1A64"/>
    <w:rsid w:val="00CC30A1"/>
    <w:rsid w:val="00CC34EB"/>
    <w:rsid w:val="00CC4C58"/>
    <w:rsid w:val="00CC66EA"/>
    <w:rsid w:val="00CC7290"/>
    <w:rsid w:val="00CD1253"/>
    <w:rsid w:val="00CD3C17"/>
    <w:rsid w:val="00CE11A6"/>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473EA"/>
    <w:rsid w:val="00D5162F"/>
    <w:rsid w:val="00D556D2"/>
    <w:rsid w:val="00D55B27"/>
    <w:rsid w:val="00D56D61"/>
    <w:rsid w:val="00D575EC"/>
    <w:rsid w:val="00D60CDC"/>
    <w:rsid w:val="00D615C7"/>
    <w:rsid w:val="00D61AAE"/>
    <w:rsid w:val="00D64CB8"/>
    <w:rsid w:val="00D67BB9"/>
    <w:rsid w:val="00D71BFA"/>
    <w:rsid w:val="00D720AE"/>
    <w:rsid w:val="00D72FD8"/>
    <w:rsid w:val="00D910A7"/>
    <w:rsid w:val="00D92A45"/>
    <w:rsid w:val="00D9697A"/>
    <w:rsid w:val="00D97A60"/>
    <w:rsid w:val="00DA2B14"/>
    <w:rsid w:val="00DA3023"/>
    <w:rsid w:val="00DA4C48"/>
    <w:rsid w:val="00DA6E1B"/>
    <w:rsid w:val="00DA727D"/>
    <w:rsid w:val="00DB53A7"/>
    <w:rsid w:val="00DB7047"/>
    <w:rsid w:val="00DC7391"/>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30D01"/>
    <w:rsid w:val="00E40B36"/>
    <w:rsid w:val="00E42CFE"/>
    <w:rsid w:val="00E45478"/>
    <w:rsid w:val="00E51672"/>
    <w:rsid w:val="00E51C2C"/>
    <w:rsid w:val="00E522FC"/>
    <w:rsid w:val="00E5406C"/>
    <w:rsid w:val="00E55EE5"/>
    <w:rsid w:val="00E61784"/>
    <w:rsid w:val="00E625B3"/>
    <w:rsid w:val="00E64743"/>
    <w:rsid w:val="00E71DAF"/>
    <w:rsid w:val="00E7257D"/>
    <w:rsid w:val="00E728CB"/>
    <w:rsid w:val="00E7336F"/>
    <w:rsid w:val="00E746F2"/>
    <w:rsid w:val="00E74F3B"/>
    <w:rsid w:val="00E75F54"/>
    <w:rsid w:val="00E76262"/>
    <w:rsid w:val="00E764D3"/>
    <w:rsid w:val="00E830DF"/>
    <w:rsid w:val="00E84A6B"/>
    <w:rsid w:val="00E92385"/>
    <w:rsid w:val="00E93F74"/>
    <w:rsid w:val="00E96DEA"/>
    <w:rsid w:val="00EA1585"/>
    <w:rsid w:val="00EA332C"/>
    <w:rsid w:val="00EA368D"/>
    <w:rsid w:val="00EA48AE"/>
    <w:rsid w:val="00EA603F"/>
    <w:rsid w:val="00EB09E2"/>
    <w:rsid w:val="00EB15A6"/>
    <w:rsid w:val="00EB74A5"/>
    <w:rsid w:val="00EC67E3"/>
    <w:rsid w:val="00ED4C82"/>
    <w:rsid w:val="00EE0126"/>
    <w:rsid w:val="00EE0A8F"/>
    <w:rsid w:val="00EE0C89"/>
    <w:rsid w:val="00EE47FE"/>
    <w:rsid w:val="00EE50C6"/>
    <w:rsid w:val="00EE5D41"/>
    <w:rsid w:val="00EE766D"/>
    <w:rsid w:val="00EF2A15"/>
    <w:rsid w:val="00EF5BFD"/>
    <w:rsid w:val="00EF7B33"/>
    <w:rsid w:val="00F00470"/>
    <w:rsid w:val="00F01C6F"/>
    <w:rsid w:val="00F0509B"/>
    <w:rsid w:val="00F06EE2"/>
    <w:rsid w:val="00F070F2"/>
    <w:rsid w:val="00F074DC"/>
    <w:rsid w:val="00F13B96"/>
    <w:rsid w:val="00F15632"/>
    <w:rsid w:val="00F17535"/>
    <w:rsid w:val="00F17DBC"/>
    <w:rsid w:val="00F20949"/>
    <w:rsid w:val="00F24F8F"/>
    <w:rsid w:val="00F303B2"/>
    <w:rsid w:val="00F307E0"/>
    <w:rsid w:val="00F30CF7"/>
    <w:rsid w:val="00F34D63"/>
    <w:rsid w:val="00F41BD7"/>
    <w:rsid w:val="00F42F7C"/>
    <w:rsid w:val="00F47613"/>
    <w:rsid w:val="00F57F7A"/>
    <w:rsid w:val="00F62D33"/>
    <w:rsid w:val="00F64AB3"/>
    <w:rsid w:val="00F655AA"/>
    <w:rsid w:val="00F6570B"/>
    <w:rsid w:val="00F66681"/>
    <w:rsid w:val="00F67615"/>
    <w:rsid w:val="00F76C98"/>
    <w:rsid w:val="00F804CD"/>
    <w:rsid w:val="00F80750"/>
    <w:rsid w:val="00F826F6"/>
    <w:rsid w:val="00F82BBC"/>
    <w:rsid w:val="00F85F59"/>
    <w:rsid w:val="00F86538"/>
    <w:rsid w:val="00F86717"/>
    <w:rsid w:val="00F86DD4"/>
    <w:rsid w:val="00F97C7A"/>
    <w:rsid w:val="00FA2909"/>
    <w:rsid w:val="00FA3CEC"/>
    <w:rsid w:val="00FB4CF2"/>
    <w:rsid w:val="00FC071B"/>
    <w:rsid w:val="00FC4845"/>
    <w:rsid w:val="00FC625F"/>
    <w:rsid w:val="00FC6B03"/>
    <w:rsid w:val="00FD06D5"/>
    <w:rsid w:val="00FD28FF"/>
    <w:rsid w:val="00FD68A1"/>
    <w:rsid w:val="00FE0985"/>
    <w:rsid w:val="00FE419E"/>
    <w:rsid w:val="00FF2484"/>
    <w:rsid w:val="00FF4201"/>
    <w:rsid w:val="04B39236"/>
    <w:rsid w:val="060EA5AE"/>
    <w:rsid w:val="0D01A915"/>
    <w:rsid w:val="0EBE3CED"/>
    <w:rsid w:val="1E368B16"/>
    <w:rsid w:val="1F536DE1"/>
    <w:rsid w:val="25FDF5ED"/>
    <w:rsid w:val="27661359"/>
    <w:rsid w:val="2AF16DC5"/>
    <w:rsid w:val="302C88EE"/>
    <w:rsid w:val="36655B40"/>
    <w:rsid w:val="64A5FD07"/>
    <w:rsid w:val="6AE7ED25"/>
    <w:rsid w:val="701537EA"/>
    <w:rsid w:val="7D11778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32153865-25BC-400F-B3E1-FA771240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paragraph" w:customStyle="1" w:styleId="paragraph">
    <w:name w:val="paragraph"/>
    <w:basedOn w:val="Normal"/>
    <w:rsid w:val="00D473EA"/>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D473EA"/>
  </w:style>
  <w:style w:type="character" w:customStyle="1" w:styleId="tabchar">
    <w:name w:val="tabchar"/>
    <w:basedOn w:val="DefaultParagraphFont"/>
    <w:rsid w:val="00D473EA"/>
  </w:style>
  <w:style w:type="character" w:customStyle="1" w:styleId="eop">
    <w:name w:val="eop"/>
    <w:basedOn w:val="DefaultParagraphFont"/>
    <w:rsid w:val="00D473EA"/>
  </w:style>
  <w:style w:type="character" w:styleId="UnresolvedMention">
    <w:name w:val="Unresolved Mention"/>
    <w:basedOn w:val="DefaultParagraphFont"/>
    <w:uiPriority w:val="99"/>
    <w:semiHidden/>
    <w:unhideWhenUsed/>
    <w:locked/>
    <w:rsid w:val="0077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76928020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005548789">
      <w:bodyDiv w:val="1"/>
      <w:marLeft w:val="0"/>
      <w:marRight w:val="0"/>
      <w:marTop w:val="0"/>
      <w:marBottom w:val="0"/>
      <w:divBdr>
        <w:top w:val="none" w:sz="0" w:space="0" w:color="auto"/>
        <w:left w:val="none" w:sz="0" w:space="0" w:color="auto"/>
        <w:bottom w:val="none" w:sz="0" w:space="0" w:color="auto"/>
        <w:right w:val="none" w:sz="0" w:space="0" w:color="auto"/>
      </w:divBdr>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
    <w:div w:id="1150948164">
      <w:bodyDiv w:val="1"/>
      <w:marLeft w:val="0"/>
      <w:marRight w:val="0"/>
      <w:marTop w:val="0"/>
      <w:marBottom w:val="0"/>
      <w:divBdr>
        <w:top w:val="none" w:sz="0" w:space="0" w:color="auto"/>
        <w:left w:val="none" w:sz="0" w:space="0" w:color="auto"/>
        <w:bottom w:val="none" w:sz="0" w:space="0" w:color="auto"/>
        <w:right w:val="none" w:sz="0" w:space="0" w:color="auto"/>
      </w:divBdr>
    </w:div>
    <w:div w:id="127362925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41122532">
      <w:bodyDiv w:val="1"/>
      <w:marLeft w:val="0"/>
      <w:marRight w:val="0"/>
      <w:marTop w:val="0"/>
      <w:marBottom w:val="0"/>
      <w:divBdr>
        <w:top w:val="none" w:sz="0" w:space="0" w:color="auto"/>
        <w:left w:val="none" w:sz="0" w:space="0" w:color="auto"/>
        <w:bottom w:val="none" w:sz="0" w:space="0" w:color="auto"/>
        <w:right w:val="none" w:sz="0" w:space="0" w:color="auto"/>
      </w:divBdr>
      <w:divsChild>
        <w:div w:id="1671760809">
          <w:marLeft w:val="0"/>
          <w:marRight w:val="0"/>
          <w:marTop w:val="0"/>
          <w:marBottom w:val="0"/>
          <w:divBdr>
            <w:top w:val="none" w:sz="0" w:space="0" w:color="auto"/>
            <w:left w:val="none" w:sz="0" w:space="0" w:color="auto"/>
            <w:bottom w:val="none" w:sz="0" w:space="0" w:color="auto"/>
            <w:right w:val="none" w:sz="0" w:space="0" w:color="auto"/>
          </w:divBdr>
          <w:divsChild>
            <w:div w:id="662247615">
              <w:marLeft w:val="0"/>
              <w:marRight w:val="0"/>
              <w:marTop w:val="0"/>
              <w:marBottom w:val="0"/>
              <w:divBdr>
                <w:top w:val="none" w:sz="0" w:space="0" w:color="auto"/>
                <w:left w:val="none" w:sz="0" w:space="0" w:color="auto"/>
                <w:bottom w:val="none" w:sz="0" w:space="0" w:color="auto"/>
                <w:right w:val="none" w:sz="0" w:space="0" w:color="auto"/>
              </w:divBdr>
            </w:div>
            <w:div w:id="1061557250">
              <w:marLeft w:val="0"/>
              <w:marRight w:val="0"/>
              <w:marTop w:val="0"/>
              <w:marBottom w:val="0"/>
              <w:divBdr>
                <w:top w:val="none" w:sz="0" w:space="0" w:color="auto"/>
                <w:left w:val="none" w:sz="0" w:space="0" w:color="auto"/>
                <w:bottom w:val="none" w:sz="0" w:space="0" w:color="auto"/>
                <w:right w:val="none" w:sz="0" w:space="0" w:color="auto"/>
              </w:divBdr>
            </w:div>
            <w:div w:id="1294677761">
              <w:marLeft w:val="0"/>
              <w:marRight w:val="0"/>
              <w:marTop w:val="0"/>
              <w:marBottom w:val="0"/>
              <w:divBdr>
                <w:top w:val="none" w:sz="0" w:space="0" w:color="auto"/>
                <w:left w:val="none" w:sz="0" w:space="0" w:color="auto"/>
                <w:bottom w:val="none" w:sz="0" w:space="0" w:color="auto"/>
                <w:right w:val="none" w:sz="0" w:space="0" w:color="auto"/>
              </w:divBdr>
            </w:div>
          </w:divsChild>
        </w:div>
        <w:div w:id="1900902902">
          <w:marLeft w:val="0"/>
          <w:marRight w:val="0"/>
          <w:marTop w:val="0"/>
          <w:marBottom w:val="0"/>
          <w:divBdr>
            <w:top w:val="none" w:sz="0" w:space="0" w:color="auto"/>
            <w:left w:val="none" w:sz="0" w:space="0" w:color="auto"/>
            <w:bottom w:val="none" w:sz="0" w:space="0" w:color="auto"/>
            <w:right w:val="none" w:sz="0" w:space="0" w:color="auto"/>
          </w:divBdr>
          <w:divsChild>
            <w:div w:id="4669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16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234</Value>
      <Value>109</Value>
      <Value>10</Value>
      <Value>19</Value>
    </TaxCatchAll>
    <SharedWithUsers xmlns="92a8a7e8-49a1-4017-acf0-0edc7cce208b">
      <UserInfo>
        <DisplayName>Alejandra Ahumada Melendez</DisplayName>
        <AccountId>501</AccountId>
        <AccountType/>
      </UserInfo>
      <UserInfo>
        <DisplayName>Toni Michalis</DisplayName>
        <AccountId>479</AccountId>
        <AccountType/>
      </UserInfo>
      <UserInfo>
        <DisplayName>Alex Rusten</DisplayName>
        <AccountId>474</AccountId>
        <AccountType/>
      </UserInfo>
      <UserInfo>
        <DisplayName>Michael Murphy</DisplayName>
        <AccountId>85</AccountId>
        <AccountType/>
      </UserInfo>
      <UserInfo>
        <DisplayName>Jocelyn Parker</DisplayName>
        <AccountId>23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0873f81f-5545-4105-9cf3-1e567ff68fe4"/>
    <ds:schemaRef ds:uri="http://schemas.microsoft.com/office/2006/metadata/properties"/>
    <ds:schemaRef ds:uri="http://purl.org/dc/elements/1.1/"/>
    <ds:schemaRef ds:uri="http://www.w3.org/XML/1998/namespace"/>
    <ds:schemaRef ds:uri="http://schemas.microsoft.com/office/2006/documentManagement/types"/>
    <ds:schemaRef ds:uri="5e7d1d2f-1d1d-4328-b1c4-d23268d86024"/>
    <ds:schemaRef ds:uri="http://schemas.openxmlformats.org/package/2006/metadata/core-properties"/>
    <ds:schemaRef ds:uri="http://purl.org/dc/term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8880032C-FF57-431E-A948-F361E6E44F74}"/>
</file>

<file path=docProps/app.xml><?xml version="1.0" encoding="utf-8"?>
<Properties xmlns="http://schemas.openxmlformats.org/officeDocument/2006/extended-properties" xmlns:vt="http://schemas.openxmlformats.org/officeDocument/2006/docPropsVTypes">
  <Template>Normal.dotm</Template>
  <TotalTime>2</TotalTime>
  <Pages>7</Pages>
  <Words>2416</Words>
  <Characters>13567</Characters>
  <Application>Microsoft Office Word</Application>
  <DocSecurity>0</DocSecurity>
  <Lines>228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Links>
    <vt:vector size="24" baseType="variant">
      <vt:variant>
        <vt:i4>2556013</vt:i4>
      </vt:variant>
      <vt:variant>
        <vt:i4>12</vt:i4>
      </vt:variant>
      <vt:variant>
        <vt:i4>0</vt:i4>
      </vt:variant>
      <vt:variant>
        <vt:i4>5</vt:i4>
      </vt:variant>
      <vt:variant>
        <vt:lpwstr>https://auasb.gov.au/standards-guidance/auasb-standards/auditing-standards/</vt:lpwstr>
      </vt:variant>
      <vt:variant>
        <vt:lpwstr/>
      </vt:variant>
      <vt:variant>
        <vt:i4>1966102</vt:i4>
      </vt:variant>
      <vt:variant>
        <vt:i4>9</vt:i4>
      </vt:variant>
      <vt:variant>
        <vt:i4>0</vt:i4>
      </vt:variant>
      <vt:variant>
        <vt:i4>5</vt:i4>
      </vt:variant>
      <vt:variant>
        <vt:lpwstr>https://www.aasb.gov.au/pronouncements/accounting-standards/</vt:lpwstr>
      </vt:variant>
      <vt:variant>
        <vt:lpwstr/>
      </vt:variant>
      <vt:variant>
        <vt:i4>6946865</vt:i4>
      </vt:variant>
      <vt:variant>
        <vt:i4>6</vt:i4>
      </vt:variant>
      <vt:variant>
        <vt:i4>0</vt:i4>
      </vt:variant>
      <vt:variant>
        <vt:i4>5</vt:i4>
      </vt:variant>
      <vt:variant>
        <vt:lpwstr>http://www.legislation.gov.au/</vt:lpwstr>
      </vt:variant>
      <vt:variant>
        <vt:lpwstr/>
      </vt:variant>
      <vt:variant>
        <vt:i4>7405608</vt:i4>
      </vt:variant>
      <vt:variant>
        <vt:i4>0</vt:i4>
      </vt:variant>
      <vt:variant>
        <vt:i4>0</vt:i4>
      </vt:variant>
      <vt:variant>
        <vt:i4>5</vt:i4>
      </vt:variant>
      <vt:variant>
        <vt:lpwstr>https://www.legislation.gov.au/Details/F2022L01630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2023-10-17T04:48:00Z</cp:lastPrinted>
  <dcterms:created xsi:type="dcterms:W3CDTF">2023-10-26T08:34:00Z</dcterms:created>
  <dcterms:modified xsi:type="dcterms:W3CDTF">2023-10-26T08:35:00Z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3cb4546e-cb97-4a24-b1bc-2a9469a3c50f</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{3cb4546e-cb97-4a24-b1bc-2a9469a3c50f}</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562F0DF0A449209664E520D23BA76FE7</vt:lpwstr>
  </property>
  <property fmtid="{D5CDD505-2E9C-101B-9397-08002B2CF9AE}" pid="55" name="PM_Hash_Salt">
    <vt:lpwstr>61D3522CCB0DC74C93FD89EB846305F2</vt:lpwstr>
  </property>
  <property fmtid="{D5CDD505-2E9C-101B-9397-08002B2CF9AE}" pid="56" name="PM_Hash_SHA1">
    <vt:lpwstr>7CB7AB47306BE6D4B7E864D49819F3BD82935AA8</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v=2022.1;a=SHA256;h=DEB815813680D2F0A2FA92C8F42C87DF009217B26C6E632E49A75A3E236B6E83</vt:lpwstr>
  </property>
  <property fmtid="{D5CDD505-2E9C-101B-9397-08002B2CF9AE}" pid="61" name="MSIP_Label_c0129afb-6481-4f92-bc9f-5a4a6346364d_ContentBits">
    <vt:lpwstr>0</vt:lpwstr>
  </property>
  <property fmtid="{D5CDD505-2E9C-101B-9397-08002B2CF9AE}" pid="62" name="MSIP_Label_c0129afb-6481-4f92-bc9f-5a4a6346364d_ActionId">
    <vt:lpwstr>ff71bd340b304dd99775c2e6c9499d94</vt:lpwstr>
  </property>
  <property fmtid="{D5CDD505-2E9C-101B-9397-08002B2CF9AE}" pid="63" name="ComplianceAssetId">
    <vt:lpwstr/>
  </property>
  <property fmtid="{D5CDD505-2E9C-101B-9397-08002B2CF9AE}" pid="64" name="_ExtendedDescription">
    <vt:lpwstr/>
  </property>
  <property fmtid="{D5CDD505-2E9C-101B-9397-08002B2CF9AE}" pid="65" name="TriggerFlowInfo">
    <vt:lpwstr/>
  </property>
  <property fmtid="{D5CDD505-2E9C-101B-9397-08002B2CF9AE}" pid="66" name="MediaServiceImageTags">
    <vt:lpwstr/>
  </property>
</Properties>
</file>