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318BAACA"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3C7355">
        <w:rPr>
          <w:sz w:val="24"/>
          <w:szCs w:val="24"/>
        </w:rPr>
        <w:t xml:space="preserve">determination No. </w:t>
      </w:r>
      <w:r w:rsidR="789A38BC" w:rsidRPr="64242FE4">
        <w:rPr>
          <w:sz w:val="24"/>
          <w:szCs w:val="24"/>
        </w:rPr>
        <w:t>131</w:t>
      </w:r>
      <w:r w:rsidR="00C87400" w:rsidRPr="003C7355">
        <w:rPr>
          <w:sz w:val="24"/>
          <w:szCs w:val="24"/>
        </w:rPr>
        <w:t xml:space="preserve"> </w:t>
      </w:r>
      <w:r w:rsidRPr="003C7355">
        <w:rPr>
          <w:sz w:val="24"/>
          <w:szCs w:val="24"/>
        </w:rPr>
        <w:t>of 202</w:t>
      </w:r>
      <w:r w:rsidR="00F13B96" w:rsidRPr="003C7355">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xml:space="preserve">, section </w:t>
      </w:r>
      <w:proofErr w:type="gramStart"/>
      <w:r>
        <w:t>33</w:t>
      </w:r>
      <w:proofErr w:type="gramEnd"/>
    </w:p>
    <w:p w14:paraId="101CED05" w14:textId="4C19AF5F"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w:t>
      </w:r>
      <w:r w:rsidR="00B73CAF">
        <w:rPr>
          <w:rFonts w:ascii="Times New Roman" w:hAnsi="Times New Roman"/>
          <w:sz w:val="24"/>
          <w:szCs w:val="24"/>
        </w:rPr>
        <w:t xml:space="preserve">, in writing, </w:t>
      </w:r>
      <w:r w:rsidRPr="001A2ADB">
        <w:rPr>
          <w:rFonts w:ascii="Times New Roman" w:hAnsi="Times New Roman"/>
          <w:sz w:val="24"/>
          <w:szCs w:val="24"/>
        </w:rPr>
        <w:t>reporting standards</w:t>
      </w:r>
      <w:r w:rsidR="0033771F">
        <w:rPr>
          <w:rFonts w:ascii="Times New Roman" w:hAnsi="Times New Roman"/>
          <w:sz w:val="24"/>
          <w:szCs w:val="24"/>
        </w:rPr>
        <w:t xml:space="preserve"> </w:t>
      </w:r>
      <w:r w:rsidRPr="001A2ADB">
        <w:rPr>
          <w:rFonts w:ascii="Times New Roman" w:hAnsi="Times New Roman"/>
          <w:sz w:val="24"/>
          <w:szCs w:val="24"/>
        </w:rPr>
        <w:t>with which</w:t>
      </w:r>
      <w:r w:rsidR="007002E5">
        <w:rPr>
          <w:rFonts w:ascii="Times New Roman" w:hAnsi="Times New Roman"/>
          <w:sz w:val="24"/>
          <w:szCs w:val="24"/>
        </w:rPr>
        <w:t xml:space="preserve"> specified</w:t>
      </w:r>
      <w:r w:rsidR="00587001">
        <w:rPr>
          <w:rFonts w:ascii="Times New Roman" w:hAnsi="Times New Roman"/>
          <w:sz w:val="24"/>
          <w:szCs w:val="24"/>
        </w:rPr>
        <w:t xml:space="preserve"> </w:t>
      </w:r>
      <w:r w:rsidRPr="001A2ADB">
        <w:rPr>
          <w:rFonts w:ascii="Times New Roman" w:hAnsi="Times New Roman"/>
          <w:sz w:val="24"/>
          <w:szCs w:val="24"/>
        </w:rPr>
        <w:t>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2B96FE5D"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62EA7633" w14:textId="0B5D8FCA" w:rsidR="00B07F39" w:rsidRPr="003C7355" w:rsidRDefault="00211AFD" w:rsidP="003C7355">
      <w:pPr>
        <w:numPr>
          <w:ilvl w:val="0"/>
          <w:numId w:val="0"/>
        </w:numPr>
        <w:rPr>
          <w:rFonts w:ascii="Times New Roman" w:hAnsi="Times New Roman" w:cs="Times New Roman"/>
          <w:sz w:val="24"/>
          <w:szCs w:val="24"/>
        </w:rPr>
      </w:pPr>
      <w:r w:rsidRPr="007433A8">
        <w:rPr>
          <w:rFonts w:ascii="Times New Roman" w:hAnsi="Times New Roman" w:cs="Times New Roman"/>
          <w:sz w:val="24"/>
          <w:szCs w:val="24"/>
        </w:rPr>
        <w:t>On</w:t>
      </w:r>
      <w:r w:rsidR="00F41BD7" w:rsidRPr="007433A8">
        <w:rPr>
          <w:rFonts w:ascii="Times New Roman" w:hAnsi="Times New Roman" w:cs="Times New Roman"/>
          <w:sz w:val="24"/>
          <w:szCs w:val="24"/>
        </w:rPr>
        <w:t xml:space="preserve"> </w:t>
      </w:r>
      <w:r w:rsidR="007433A8" w:rsidRPr="007433A8">
        <w:rPr>
          <w:rFonts w:ascii="Times New Roman" w:hAnsi="Times New Roman" w:cs="Times New Roman"/>
          <w:sz w:val="24"/>
          <w:szCs w:val="24"/>
        </w:rPr>
        <w:t>26</w:t>
      </w:r>
      <w:r w:rsidR="00B63ED2" w:rsidRPr="007433A8">
        <w:rPr>
          <w:rFonts w:ascii="Times New Roman" w:hAnsi="Times New Roman" w:cs="Times New Roman"/>
          <w:sz w:val="24"/>
          <w:szCs w:val="24"/>
        </w:rPr>
        <w:t xml:space="preserve"> </w:t>
      </w:r>
      <w:r w:rsidR="008A2E6E" w:rsidRPr="007433A8">
        <w:rPr>
          <w:rFonts w:ascii="Times New Roman" w:hAnsi="Times New Roman" w:cs="Times New Roman"/>
          <w:sz w:val="24"/>
          <w:szCs w:val="24"/>
        </w:rPr>
        <w:t>October</w:t>
      </w:r>
      <w:r w:rsidR="008A2E6E" w:rsidRPr="00CB7364">
        <w:rPr>
          <w:rFonts w:ascii="Times New Roman" w:hAnsi="Times New Roman" w:cs="Times New Roman"/>
          <w:sz w:val="24"/>
          <w:szCs w:val="24"/>
        </w:rPr>
        <w:t xml:space="preserve"> </w:t>
      </w:r>
      <w:r w:rsidR="00B83763" w:rsidRPr="00CB7364">
        <w:rPr>
          <w:rFonts w:ascii="Times New Roman" w:hAnsi="Times New Roman" w:cs="Times New Roman"/>
          <w:sz w:val="24"/>
          <w:szCs w:val="24"/>
        </w:rPr>
        <w:t>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C7355">
        <w:rPr>
          <w:rFonts w:ascii="Times New Roman" w:hAnsi="Times New Roman" w:cs="Times New Roman"/>
          <w:sz w:val="24"/>
          <w:szCs w:val="24"/>
        </w:rPr>
        <w:t xml:space="preserve"> </w:t>
      </w:r>
      <w:r w:rsidR="00B07F39" w:rsidRPr="003C7355">
        <w:rPr>
          <w:rFonts w:ascii="Times New Roman" w:hAnsi="Times New Roman"/>
          <w:sz w:val="24"/>
          <w:szCs w:val="24"/>
        </w:rPr>
        <w:t xml:space="preserve">Financial Sector (Collection of Data) (reporting standard) determination No. </w:t>
      </w:r>
      <w:r w:rsidR="00C87400">
        <w:rPr>
          <w:rFonts w:ascii="Times New Roman" w:hAnsi="Times New Roman"/>
          <w:sz w:val="24"/>
          <w:szCs w:val="24"/>
        </w:rPr>
        <w:t>131</w:t>
      </w:r>
      <w:r w:rsidR="00C87400" w:rsidRPr="003C7355">
        <w:rPr>
          <w:rFonts w:ascii="Times New Roman" w:hAnsi="Times New Roman"/>
          <w:sz w:val="24"/>
          <w:szCs w:val="24"/>
        </w:rPr>
        <w:t xml:space="preserve"> </w:t>
      </w:r>
      <w:r w:rsidR="00B07F39" w:rsidRPr="003C7355">
        <w:rPr>
          <w:rFonts w:ascii="Times New Roman" w:hAnsi="Times New Roman"/>
          <w:sz w:val="24"/>
          <w:szCs w:val="24"/>
        </w:rPr>
        <w:t>of 2023 which:</w:t>
      </w:r>
    </w:p>
    <w:p w14:paraId="34E1DE3A" w14:textId="5BDF2CE0" w:rsidR="00573F5D" w:rsidRDefault="00B07F39" w:rsidP="003C7355">
      <w:pPr>
        <w:pStyle w:val="ListParagraph"/>
        <w:numPr>
          <w:ilvl w:val="0"/>
          <w:numId w:val="19"/>
        </w:numPr>
        <w:tabs>
          <w:tab w:val="clear" w:pos="425"/>
          <w:tab w:val="clear" w:pos="851"/>
        </w:tabs>
        <w:contextualSpacing w:val="0"/>
        <w:rPr>
          <w:rFonts w:ascii="Times New Roman" w:hAnsi="Times New Roman"/>
          <w:sz w:val="24"/>
          <w:szCs w:val="24"/>
        </w:rPr>
      </w:pPr>
      <w:r w:rsidRPr="00DF2C01">
        <w:rPr>
          <w:rFonts w:ascii="Times New Roman" w:hAnsi="Times New Roman"/>
          <w:sz w:val="24"/>
          <w:szCs w:val="24"/>
        </w:rPr>
        <w:t xml:space="preserve">determines a new </w:t>
      </w:r>
      <w:r w:rsidRPr="00B07F39">
        <w:rPr>
          <w:rFonts w:ascii="Times New Roman" w:eastAsia="Times New Roman" w:hAnsi="Times New Roman"/>
          <w:i/>
          <w:sz w:val="24"/>
          <w:szCs w:val="24"/>
          <w:lang w:eastAsia="en-AU"/>
        </w:rPr>
        <w:t xml:space="preserve">Reporting Standard </w:t>
      </w:r>
      <w:r w:rsidRPr="00B07F39" w:rsidDel="00830213">
        <w:rPr>
          <w:rFonts w:ascii="Times New Roman" w:eastAsia="Times New Roman" w:hAnsi="Times New Roman"/>
          <w:i/>
          <w:sz w:val="24"/>
          <w:szCs w:val="24"/>
          <w:lang w:eastAsia="en-AU"/>
        </w:rPr>
        <w:t xml:space="preserve">ARS </w:t>
      </w:r>
      <w:r w:rsidR="00830213">
        <w:rPr>
          <w:rFonts w:ascii="Times New Roman" w:eastAsia="Times New Roman" w:hAnsi="Times New Roman"/>
          <w:i/>
          <w:sz w:val="24"/>
          <w:szCs w:val="24"/>
          <w:lang w:eastAsia="en-AU"/>
        </w:rPr>
        <w:t xml:space="preserve">226.0 Margining and risk </w:t>
      </w:r>
      <w:r w:rsidR="00830213" w:rsidRPr="00A170E4">
        <w:rPr>
          <w:rFonts w:ascii="Times New Roman" w:eastAsia="Times New Roman" w:hAnsi="Times New Roman"/>
          <w:sz w:val="24"/>
          <w:szCs w:val="24"/>
          <w:lang w:eastAsia="en-AU"/>
        </w:rPr>
        <w:t>mitigation</w:t>
      </w:r>
      <w:r w:rsidR="00830213">
        <w:rPr>
          <w:rFonts w:ascii="Times New Roman" w:eastAsia="Times New Roman" w:hAnsi="Times New Roman"/>
          <w:i/>
          <w:sz w:val="24"/>
          <w:szCs w:val="24"/>
          <w:lang w:eastAsia="en-AU"/>
        </w:rPr>
        <w:t xml:space="preserve"> for non-centrally cleared derivatives</w:t>
      </w:r>
      <w:r>
        <w:rPr>
          <w:rFonts w:ascii="Times New Roman" w:hAnsi="Times New Roman"/>
          <w:sz w:val="24"/>
          <w:szCs w:val="24"/>
        </w:rPr>
        <w:t xml:space="preserve"> (ARS </w:t>
      </w:r>
      <w:r w:rsidR="00830213">
        <w:rPr>
          <w:rFonts w:ascii="Times New Roman" w:hAnsi="Times New Roman"/>
          <w:sz w:val="24"/>
          <w:szCs w:val="24"/>
        </w:rPr>
        <w:t>226.0</w:t>
      </w:r>
      <w:r>
        <w:rPr>
          <w:rFonts w:ascii="Times New Roman" w:hAnsi="Times New Roman"/>
          <w:sz w:val="24"/>
          <w:szCs w:val="24"/>
        </w:rPr>
        <w:t>)</w:t>
      </w:r>
      <w:r w:rsidR="00244B0A">
        <w:rPr>
          <w:rFonts w:ascii="Times New Roman" w:hAnsi="Times New Roman"/>
          <w:sz w:val="24"/>
          <w:szCs w:val="24"/>
        </w:rPr>
        <w:t>.</w:t>
      </w:r>
    </w:p>
    <w:p w14:paraId="20C71CDB" w14:textId="42D54D9A" w:rsidR="00023CE3" w:rsidRDefault="00023CE3" w:rsidP="00023CE3">
      <w:pPr>
        <w:widowControl w:val="0"/>
        <w:rPr>
          <w:rFonts w:ascii="Times New Roman" w:hAnsi="Times New Roman"/>
          <w:sz w:val="24"/>
          <w:szCs w:val="24"/>
        </w:rPr>
      </w:pPr>
      <w:r>
        <w:rPr>
          <w:rFonts w:ascii="Times New Roman" w:hAnsi="Times New Roman"/>
          <w:sz w:val="24"/>
          <w:szCs w:val="24"/>
        </w:rPr>
        <w:t xml:space="preserve">The instrument </w:t>
      </w:r>
      <w:r w:rsidRPr="00580FC3">
        <w:rPr>
          <w:rFonts w:ascii="Times New Roman" w:hAnsi="Times New Roman"/>
          <w:sz w:val="24"/>
          <w:szCs w:val="24"/>
        </w:rPr>
        <w:t>commence</w:t>
      </w:r>
      <w:r w:rsidR="00244B0A">
        <w:rPr>
          <w:rFonts w:ascii="Times New Roman" w:hAnsi="Times New Roman"/>
          <w:sz w:val="24"/>
          <w:szCs w:val="24"/>
        </w:rPr>
        <w:t>s</w:t>
      </w:r>
      <w:r w:rsidRPr="00580FC3">
        <w:rPr>
          <w:rFonts w:ascii="Times New Roman" w:hAnsi="Times New Roman"/>
          <w:sz w:val="24"/>
          <w:szCs w:val="24"/>
        </w:rPr>
        <w:t xml:space="preserve"> </w:t>
      </w:r>
      <w:r w:rsidR="0045447E" w:rsidRPr="0045447E">
        <w:rPr>
          <w:rFonts w:ascii="Times New Roman" w:hAnsi="Times New Roman"/>
          <w:sz w:val="24"/>
          <w:szCs w:val="24"/>
          <w:u w:val="single"/>
        </w:rPr>
        <w:t xml:space="preserve">at the start of the day after </w:t>
      </w:r>
      <w:r w:rsidR="00702E34">
        <w:rPr>
          <w:rFonts w:ascii="Times New Roman" w:hAnsi="Times New Roman"/>
          <w:sz w:val="24"/>
          <w:szCs w:val="24"/>
          <w:u w:val="single"/>
        </w:rPr>
        <w:t xml:space="preserve">the day that </w:t>
      </w:r>
      <w:r w:rsidR="0045447E" w:rsidRPr="0045447E" w:rsidDel="00702E34">
        <w:rPr>
          <w:rFonts w:ascii="Times New Roman" w:hAnsi="Times New Roman"/>
          <w:sz w:val="24"/>
          <w:szCs w:val="24"/>
          <w:u w:val="single"/>
        </w:rPr>
        <w:t>it</w:t>
      </w:r>
      <w:r w:rsidR="0045447E" w:rsidRPr="0045447E">
        <w:rPr>
          <w:rFonts w:ascii="Times New Roman" w:hAnsi="Times New Roman"/>
          <w:sz w:val="24"/>
          <w:szCs w:val="24"/>
          <w:u w:val="single"/>
        </w:rPr>
        <w:t xml:space="preserve"> is registered</w:t>
      </w:r>
      <w:r w:rsidR="00C71EDD">
        <w:rPr>
          <w:rFonts w:ascii="Times New Roman" w:hAnsi="Times New Roman"/>
          <w:sz w:val="24"/>
          <w:szCs w:val="24"/>
          <w:u w:val="single"/>
        </w:rPr>
        <w:t xml:space="preserve"> </w:t>
      </w:r>
      <w:r>
        <w:rPr>
          <w:rFonts w:ascii="Times New Roman" w:hAnsi="Times New Roman"/>
          <w:sz w:val="24"/>
          <w:szCs w:val="24"/>
        </w:rPr>
        <w:t xml:space="preserve">on the Federal Register of Legislation. </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0443DA47" w14:textId="291FDB88" w:rsidR="00C3686B" w:rsidRPr="00C3686B" w:rsidRDefault="00C3686B" w:rsidP="00C3686B">
      <w:pPr>
        <w:numPr>
          <w:ilvl w:val="0"/>
          <w:numId w:val="0"/>
        </w:numPr>
        <w:rPr>
          <w:rFonts w:ascii="Times New Roman" w:hAnsi="Times New Roman" w:cs="Times New Roman"/>
          <w:sz w:val="24"/>
          <w:szCs w:val="24"/>
        </w:rPr>
      </w:pPr>
      <w:r w:rsidRPr="00C3686B">
        <w:rPr>
          <w:rFonts w:ascii="Times New Roman" w:hAnsi="Times New Roman" w:cs="Times New Roman"/>
          <w:sz w:val="24"/>
          <w:szCs w:val="24"/>
        </w:rPr>
        <w:t xml:space="preserve">APRA’s mandate is to ensure the safety and soundness of prudentially regulated financial institutions so that they can meet their financial promises to depositors, </w:t>
      </w:r>
      <w:proofErr w:type="gramStart"/>
      <w:r w:rsidRPr="00C3686B">
        <w:rPr>
          <w:rFonts w:ascii="Times New Roman" w:hAnsi="Times New Roman" w:cs="Times New Roman"/>
          <w:sz w:val="24"/>
          <w:szCs w:val="24"/>
        </w:rPr>
        <w:t>policyholders</w:t>
      </w:r>
      <w:proofErr w:type="gramEnd"/>
      <w:r w:rsidRPr="00C3686B">
        <w:rPr>
          <w:rFonts w:ascii="Times New Roman" w:hAnsi="Times New Roman" w:cs="Times New Roman"/>
          <w:sz w:val="24"/>
          <w:szCs w:val="24"/>
        </w:rPr>
        <w:t xml:space="preserve"> and fund members within a stable, efficient and competitive financial system. APRA carries out this mandate through a prudential framework and is empowered under the </w:t>
      </w:r>
      <w:r w:rsidRPr="00821EFD">
        <w:rPr>
          <w:rFonts w:ascii="Times New Roman" w:hAnsi="Times New Roman" w:cs="Times New Roman"/>
          <w:i/>
          <w:sz w:val="24"/>
          <w:szCs w:val="24"/>
        </w:rPr>
        <w:t>Banking Act 1959</w:t>
      </w:r>
      <w:r w:rsidRPr="00C3686B">
        <w:rPr>
          <w:rFonts w:ascii="Times New Roman" w:hAnsi="Times New Roman" w:cs="Times New Roman"/>
          <w:sz w:val="24"/>
          <w:szCs w:val="24"/>
        </w:rPr>
        <w:t xml:space="preserve"> to issue prudential standards that set out specific prudential requirements with which authorised deposit taking institutions (ADIs) must comply.</w:t>
      </w:r>
    </w:p>
    <w:p w14:paraId="722DFE10" w14:textId="43B9CA9F" w:rsidR="00C3686B" w:rsidRDefault="00C3686B" w:rsidP="00C3686B">
      <w:pPr>
        <w:numPr>
          <w:ilvl w:val="0"/>
          <w:numId w:val="0"/>
        </w:numPr>
        <w:rPr>
          <w:rFonts w:ascii="Times New Roman" w:hAnsi="Times New Roman" w:cs="Times New Roman"/>
          <w:sz w:val="24"/>
          <w:szCs w:val="24"/>
        </w:rPr>
      </w:pPr>
      <w:r w:rsidRPr="00C3686B">
        <w:rPr>
          <w:rFonts w:ascii="Times New Roman" w:hAnsi="Times New Roman" w:cs="Times New Roman"/>
          <w:sz w:val="24"/>
          <w:szCs w:val="24"/>
        </w:rPr>
        <w:t>A key component of APRA’s prudential framework is the suite of prudential standards that impose regulatory capital requirements on ADIs for the purpose of ensuring ADIs hold sufficient capital to address the risks associated with their operations.</w:t>
      </w:r>
      <w:r w:rsidR="002143E2">
        <w:rPr>
          <w:rFonts w:ascii="Times New Roman" w:hAnsi="Times New Roman" w:cs="Times New Roman"/>
          <w:sz w:val="24"/>
          <w:szCs w:val="24"/>
        </w:rPr>
        <w:t xml:space="preserve"> </w:t>
      </w:r>
    </w:p>
    <w:p w14:paraId="25512235" w14:textId="68962186" w:rsidR="00211AFD" w:rsidRDefault="00C3686B" w:rsidP="00244B0A">
      <w:pPr>
        <w:numPr>
          <w:ilvl w:val="0"/>
          <w:numId w:val="0"/>
        </w:numPr>
        <w:rPr>
          <w:rFonts w:ascii="Times New Roman" w:hAnsi="Times New Roman" w:cs="Times New Roman"/>
          <w:sz w:val="24"/>
          <w:szCs w:val="24"/>
        </w:rPr>
      </w:pPr>
      <w:r w:rsidRPr="005628DB">
        <w:rPr>
          <w:rFonts w:ascii="Times New Roman" w:hAnsi="Times New Roman" w:cs="Times New Roman"/>
          <w:sz w:val="24"/>
          <w:szCs w:val="24"/>
        </w:rPr>
        <w:t xml:space="preserve">The ADI capital reforms </w:t>
      </w:r>
      <w:r w:rsidR="00A63025">
        <w:rPr>
          <w:rFonts w:ascii="Times New Roman" w:hAnsi="Times New Roman" w:cs="Times New Roman"/>
          <w:sz w:val="24"/>
          <w:szCs w:val="24"/>
        </w:rPr>
        <w:t xml:space="preserve">in recent years </w:t>
      </w:r>
      <w:r w:rsidRPr="005628DB">
        <w:rPr>
          <w:rFonts w:ascii="Times New Roman" w:hAnsi="Times New Roman" w:cs="Times New Roman"/>
          <w:sz w:val="24"/>
          <w:szCs w:val="24"/>
        </w:rPr>
        <w:t xml:space="preserve">will embed the industry’s ‘unquestionably strong’ capital </w:t>
      </w:r>
      <w:r w:rsidR="00821EFD" w:rsidRPr="005628DB">
        <w:rPr>
          <w:rFonts w:ascii="Times New Roman" w:hAnsi="Times New Roman" w:cs="Times New Roman"/>
          <w:sz w:val="24"/>
          <w:szCs w:val="24"/>
        </w:rPr>
        <w:t>position and</w:t>
      </w:r>
      <w:r w:rsidRPr="005628DB">
        <w:rPr>
          <w:rFonts w:ascii="Times New Roman" w:hAnsi="Times New Roman" w:cs="Times New Roman"/>
          <w:sz w:val="24"/>
          <w:szCs w:val="24"/>
        </w:rPr>
        <w:t xml:space="preserve"> improve the flexibility of the framework to respond during periods of stress. To support the </w:t>
      </w:r>
      <w:r w:rsidRPr="007720F8">
        <w:rPr>
          <w:rFonts w:ascii="Times New Roman" w:hAnsi="Times New Roman" w:cs="Times New Roman"/>
          <w:sz w:val="24"/>
          <w:szCs w:val="24"/>
        </w:rPr>
        <w:t xml:space="preserve">capital reforms, APRA </w:t>
      </w:r>
      <w:r w:rsidR="00D67BB9">
        <w:rPr>
          <w:rFonts w:ascii="Times New Roman" w:hAnsi="Times New Roman" w:cs="Times New Roman"/>
          <w:sz w:val="24"/>
          <w:szCs w:val="24"/>
        </w:rPr>
        <w:t>updated</w:t>
      </w:r>
      <w:r w:rsidR="00A63025">
        <w:rPr>
          <w:rFonts w:ascii="Times New Roman" w:hAnsi="Times New Roman" w:cs="Times New Roman"/>
          <w:sz w:val="24"/>
          <w:szCs w:val="24"/>
        </w:rPr>
        <w:t xml:space="preserve"> </w:t>
      </w:r>
      <w:proofErr w:type="gramStart"/>
      <w:r w:rsidR="00A63025">
        <w:rPr>
          <w:rFonts w:ascii="Times New Roman" w:hAnsi="Times New Roman" w:cs="Times New Roman"/>
          <w:sz w:val="24"/>
          <w:szCs w:val="24"/>
        </w:rPr>
        <w:t>a number of</w:t>
      </w:r>
      <w:proofErr w:type="gramEnd"/>
      <w:r w:rsidR="00D67BB9">
        <w:rPr>
          <w:rFonts w:ascii="Times New Roman" w:hAnsi="Times New Roman" w:cs="Times New Roman"/>
          <w:sz w:val="24"/>
          <w:szCs w:val="24"/>
        </w:rPr>
        <w:t xml:space="preserve"> ADI reporting standards that incorporate necessary consequential changes as a result of the new ADI capital framework</w:t>
      </w:r>
      <w:r w:rsidR="00A63025">
        <w:rPr>
          <w:rFonts w:ascii="Times New Roman" w:hAnsi="Times New Roman" w:cs="Times New Roman"/>
          <w:sz w:val="24"/>
          <w:szCs w:val="24"/>
        </w:rPr>
        <w:t xml:space="preserve"> to</w:t>
      </w:r>
      <w:r w:rsidR="00A63025" w:rsidRPr="00A63025">
        <w:rPr>
          <w:rFonts w:ascii="Times New Roman" w:hAnsi="Times New Roman" w:cs="Times New Roman"/>
          <w:sz w:val="24"/>
          <w:szCs w:val="24"/>
        </w:rPr>
        <w:t xml:space="preserve"> </w:t>
      </w:r>
      <w:r w:rsidR="00A63025" w:rsidRPr="00244B0A">
        <w:rPr>
          <w:rFonts w:ascii="Times New Roman" w:hAnsi="Times New Roman" w:cs="Times New Roman"/>
          <w:sz w:val="24"/>
          <w:szCs w:val="24"/>
        </w:rPr>
        <w:t>ensure that APRA’s reporting framework aligns with APRA’s updated ADI capital framework</w:t>
      </w:r>
      <w:r w:rsidR="00D67BB9">
        <w:rPr>
          <w:rFonts w:ascii="Times New Roman" w:hAnsi="Times New Roman" w:cs="Times New Roman"/>
          <w:sz w:val="24"/>
          <w:szCs w:val="24"/>
        </w:rPr>
        <w:t xml:space="preserve">. </w:t>
      </w:r>
    </w:p>
    <w:p w14:paraId="3EFF2ECB" w14:textId="69FAA214" w:rsidR="00F42F7C" w:rsidRPr="00F42F7C" w:rsidRDefault="00C3584B" w:rsidP="00F42F7C">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As part of some </w:t>
      </w:r>
      <w:r w:rsidR="000771A4">
        <w:rPr>
          <w:rFonts w:ascii="Times New Roman" w:hAnsi="Times New Roman" w:cs="Times New Roman"/>
          <w:sz w:val="24"/>
          <w:szCs w:val="24"/>
        </w:rPr>
        <w:t>further</w:t>
      </w:r>
      <w:r>
        <w:rPr>
          <w:rFonts w:ascii="Times New Roman" w:hAnsi="Times New Roman" w:cs="Times New Roman"/>
          <w:sz w:val="24"/>
          <w:szCs w:val="24"/>
        </w:rPr>
        <w:t xml:space="preserve"> consequential amendments to </w:t>
      </w:r>
      <w:r w:rsidRPr="00FD6AF7">
        <w:rPr>
          <w:rFonts w:ascii="Times New Roman" w:hAnsi="Times New Roman" w:cs="Times New Roman"/>
          <w:i/>
          <w:sz w:val="24"/>
          <w:szCs w:val="24"/>
        </w:rPr>
        <w:t>Reporting Standard 180.0</w:t>
      </w:r>
      <w:r>
        <w:rPr>
          <w:rFonts w:ascii="Times New Roman" w:hAnsi="Times New Roman" w:cs="Times New Roman"/>
          <w:sz w:val="24"/>
          <w:szCs w:val="24"/>
        </w:rPr>
        <w:t xml:space="preserve"> </w:t>
      </w:r>
      <w:r w:rsidRPr="00781045">
        <w:rPr>
          <w:rFonts w:ascii="Times New Roman" w:hAnsi="Times New Roman" w:cs="Times New Roman"/>
          <w:i/>
          <w:iCs/>
          <w:sz w:val="24"/>
          <w:szCs w:val="24"/>
        </w:rPr>
        <w:t xml:space="preserve">Capital Adequacy: Counterparty Credit </w:t>
      </w:r>
      <w:r w:rsidRPr="00F50A8E">
        <w:rPr>
          <w:rFonts w:ascii="Times New Roman" w:hAnsi="Times New Roman" w:cs="Times New Roman"/>
          <w:i/>
          <w:sz w:val="24"/>
          <w:szCs w:val="24"/>
        </w:rPr>
        <w:t>Risk</w:t>
      </w:r>
      <w:r>
        <w:rPr>
          <w:rFonts w:ascii="Times New Roman" w:hAnsi="Times New Roman" w:cs="Times New Roman"/>
          <w:sz w:val="24"/>
          <w:szCs w:val="24"/>
        </w:rPr>
        <w:t xml:space="preserve"> (ARS 180.0)</w:t>
      </w:r>
      <w:r w:rsidR="000830C3">
        <w:rPr>
          <w:rFonts w:ascii="Times New Roman" w:hAnsi="Times New Roman" w:cs="Times New Roman"/>
          <w:sz w:val="24"/>
          <w:szCs w:val="24"/>
        </w:rPr>
        <w:t xml:space="preserve">, </w:t>
      </w:r>
      <w:r w:rsidR="00F42F7C" w:rsidRPr="00CE11A6">
        <w:rPr>
          <w:rFonts w:ascii="Times New Roman" w:hAnsi="Times New Roman" w:cs="Times New Roman"/>
          <w:sz w:val="24"/>
          <w:szCs w:val="24"/>
        </w:rPr>
        <w:t xml:space="preserve">APRA </w:t>
      </w:r>
      <w:r w:rsidR="0091175B">
        <w:rPr>
          <w:rFonts w:ascii="Times New Roman" w:hAnsi="Times New Roman" w:cs="Times New Roman"/>
          <w:sz w:val="24"/>
          <w:szCs w:val="24"/>
        </w:rPr>
        <w:t>has moved</w:t>
      </w:r>
      <w:r w:rsidDel="0091175B">
        <w:rPr>
          <w:rFonts w:ascii="Times New Roman" w:hAnsi="Times New Roman" w:cs="Times New Roman"/>
          <w:sz w:val="24"/>
          <w:szCs w:val="24"/>
        </w:rPr>
        <w:t xml:space="preserve"> </w:t>
      </w:r>
      <w:r w:rsidR="008A2E6E" w:rsidRPr="00025FD2">
        <w:rPr>
          <w:rFonts w:ascii="Times New Roman" w:hAnsi="Times New Roman" w:cs="Times New Roman"/>
          <w:i/>
          <w:sz w:val="24"/>
          <w:szCs w:val="24"/>
        </w:rPr>
        <w:t xml:space="preserve">Reporting Form ARF </w:t>
      </w:r>
      <w:r w:rsidR="008A2E6E" w:rsidRPr="00025FD2">
        <w:rPr>
          <w:rFonts w:ascii="Times New Roman" w:hAnsi="Times New Roman" w:cs="Times New Roman"/>
          <w:i/>
          <w:sz w:val="24"/>
          <w:szCs w:val="24"/>
        </w:rPr>
        <w:lastRenderedPageBreak/>
        <w:t>226.0 Margining and risk mitigation for non-centrally cleared derivatives</w:t>
      </w:r>
      <w:r w:rsidR="008A2E6E" w:rsidRPr="005045F6">
        <w:rPr>
          <w:rFonts w:ascii="Times New Roman" w:hAnsi="Times New Roman" w:cs="Times New Roman"/>
          <w:sz w:val="24"/>
          <w:szCs w:val="24"/>
        </w:rPr>
        <w:t xml:space="preserve"> (ARF 226.0)</w:t>
      </w:r>
      <w:r w:rsidR="0033771F">
        <w:rPr>
          <w:rFonts w:ascii="Times New Roman" w:hAnsi="Times New Roman" w:cs="Times New Roman"/>
          <w:sz w:val="24"/>
          <w:szCs w:val="24"/>
        </w:rPr>
        <w:t xml:space="preserve"> </w:t>
      </w:r>
      <w:r>
        <w:rPr>
          <w:rFonts w:ascii="Times New Roman" w:hAnsi="Times New Roman" w:cs="Times New Roman"/>
          <w:sz w:val="24"/>
          <w:szCs w:val="24"/>
        </w:rPr>
        <w:t xml:space="preserve">from ARS 180.0 </w:t>
      </w:r>
      <w:r w:rsidR="00F42F7C" w:rsidRPr="00CE11A6">
        <w:rPr>
          <w:rFonts w:ascii="Times New Roman" w:hAnsi="Times New Roman" w:cs="Times New Roman"/>
          <w:sz w:val="24"/>
          <w:szCs w:val="24"/>
        </w:rPr>
        <w:t>to a new reporting standard</w:t>
      </w:r>
      <w:r w:rsidR="0033771F">
        <w:rPr>
          <w:rFonts w:ascii="Times New Roman" w:hAnsi="Times New Roman" w:cs="Times New Roman"/>
          <w:sz w:val="24"/>
          <w:szCs w:val="24"/>
        </w:rPr>
        <w:t>,</w:t>
      </w:r>
      <w:r w:rsidR="00F42F7C" w:rsidRPr="00CE11A6">
        <w:rPr>
          <w:rFonts w:ascii="Times New Roman" w:hAnsi="Times New Roman" w:cs="Times New Roman"/>
          <w:sz w:val="24"/>
          <w:szCs w:val="24"/>
        </w:rPr>
        <w:t xml:space="preserve"> </w:t>
      </w:r>
      <w:r w:rsidRPr="005045F6">
        <w:rPr>
          <w:rFonts w:ascii="Times New Roman" w:hAnsi="Times New Roman" w:cs="Times New Roman"/>
          <w:sz w:val="24"/>
          <w:szCs w:val="24"/>
        </w:rPr>
        <w:t>AR</w:t>
      </w:r>
      <w:r>
        <w:rPr>
          <w:rFonts w:ascii="Times New Roman" w:hAnsi="Times New Roman" w:cs="Times New Roman"/>
          <w:sz w:val="24"/>
          <w:szCs w:val="24"/>
        </w:rPr>
        <w:t>S</w:t>
      </w:r>
      <w:r w:rsidRPr="005045F6">
        <w:rPr>
          <w:rFonts w:ascii="Times New Roman" w:hAnsi="Times New Roman" w:cs="Times New Roman"/>
          <w:sz w:val="24"/>
          <w:szCs w:val="24"/>
        </w:rPr>
        <w:t xml:space="preserve"> 226.0</w:t>
      </w:r>
      <w:r>
        <w:rPr>
          <w:rFonts w:ascii="Times New Roman" w:hAnsi="Times New Roman" w:cs="Times New Roman"/>
          <w:sz w:val="24"/>
          <w:szCs w:val="24"/>
        </w:rPr>
        <w:t xml:space="preserve">. This </w:t>
      </w:r>
      <w:r w:rsidR="000F3304">
        <w:rPr>
          <w:rFonts w:ascii="Times New Roman" w:hAnsi="Times New Roman" w:cs="Times New Roman"/>
          <w:sz w:val="24"/>
          <w:szCs w:val="24"/>
        </w:rPr>
        <w:t xml:space="preserve">change </w:t>
      </w:r>
      <w:r>
        <w:rPr>
          <w:rFonts w:ascii="Times New Roman" w:hAnsi="Times New Roman" w:cs="Times New Roman"/>
          <w:sz w:val="24"/>
          <w:szCs w:val="24"/>
        </w:rPr>
        <w:t>will</w:t>
      </w:r>
      <w:r w:rsidR="00F42F7C" w:rsidRPr="00CE11A6">
        <w:rPr>
          <w:rFonts w:ascii="Times New Roman" w:hAnsi="Times New Roman" w:cs="Times New Roman"/>
          <w:sz w:val="24"/>
          <w:szCs w:val="24"/>
        </w:rPr>
        <w:t xml:space="preserve"> make it easier for the industry to locate this reporting form</w:t>
      </w:r>
      <w:r w:rsidR="00574ACA">
        <w:rPr>
          <w:rFonts w:ascii="Times New Roman" w:hAnsi="Times New Roman" w:cs="Times New Roman"/>
          <w:sz w:val="24"/>
          <w:szCs w:val="24"/>
        </w:rPr>
        <w:t xml:space="preserve">, and avoid the confusion reported to APRA by </w:t>
      </w:r>
      <w:r w:rsidR="000771A4">
        <w:rPr>
          <w:rFonts w:ascii="Times New Roman" w:hAnsi="Times New Roman" w:cs="Times New Roman"/>
          <w:sz w:val="24"/>
          <w:szCs w:val="24"/>
        </w:rPr>
        <w:t xml:space="preserve">several </w:t>
      </w:r>
      <w:r w:rsidR="00574ACA">
        <w:rPr>
          <w:rFonts w:ascii="Times New Roman" w:hAnsi="Times New Roman" w:cs="Times New Roman"/>
          <w:sz w:val="24"/>
          <w:szCs w:val="24"/>
        </w:rPr>
        <w:t>entities</w:t>
      </w:r>
      <w:r w:rsidR="000771A4">
        <w:rPr>
          <w:rFonts w:ascii="Times New Roman" w:hAnsi="Times New Roman" w:cs="Times New Roman"/>
          <w:sz w:val="24"/>
          <w:szCs w:val="24"/>
        </w:rPr>
        <w:t xml:space="preserve"> over the years</w:t>
      </w:r>
      <w:r w:rsidR="00574ACA">
        <w:rPr>
          <w:rFonts w:ascii="Times New Roman" w:hAnsi="Times New Roman" w:cs="Times New Roman"/>
          <w:sz w:val="24"/>
          <w:szCs w:val="24"/>
        </w:rPr>
        <w:t xml:space="preserve"> </w:t>
      </w:r>
      <w:r w:rsidR="000771A4">
        <w:rPr>
          <w:rFonts w:ascii="Times New Roman" w:hAnsi="Times New Roman" w:cs="Times New Roman"/>
          <w:sz w:val="24"/>
          <w:szCs w:val="24"/>
        </w:rPr>
        <w:t>in relation to</w:t>
      </w:r>
      <w:r w:rsidR="00574ACA">
        <w:rPr>
          <w:rFonts w:ascii="Times New Roman" w:hAnsi="Times New Roman" w:cs="Times New Roman"/>
          <w:sz w:val="24"/>
          <w:szCs w:val="24"/>
        </w:rPr>
        <w:t xml:space="preserve"> whether they </w:t>
      </w:r>
      <w:proofErr w:type="gramStart"/>
      <w:r w:rsidR="00574ACA">
        <w:rPr>
          <w:rFonts w:ascii="Times New Roman" w:hAnsi="Times New Roman" w:cs="Times New Roman"/>
          <w:sz w:val="24"/>
          <w:szCs w:val="24"/>
        </w:rPr>
        <w:t>have to</w:t>
      </w:r>
      <w:proofErr w:type="gramEnd"/>
      <w:r w:rsidR="00574ACA">
        <w:rPr>
          <w:rFonts w:ascii="Times New Roman" w:hAnsi="Times New Roman" w:cs="Times New Roman"/>
          <w:sz w:val="24"/>
          <w:szCs w:val="24"/>
        </w:rPr>
        <w:t xml:space="preserve"> report on this form</w:t>
      </w:r>
      <w:r w:rsidR="00E655C4">
        <w:rPr>
          <w:rFonts w:ascii="Times New Roman" w:hAnsi="Times New Roman" w:cs="Times New Roman"/>
          <w:sz w:val="24"/>
          <w:szCs w:val="24"/>
        </w:rPr>
        <w:t>,</w:t>
      </w:r>
      <w:r w:rsidR="00574ACA">
        <w:rPr>
          <w:rFonts w:ascii="Times New Roman" w:hAnsi="Times New Roman" w:cs="Times New Roman"/>
          <w:sz w:val="24"/>
          <w:szCs w:val="24"/>
        </w:rPr>
        <w:t xml:space="preserve"> as it was difficult to find</w:t>
      </w:r>
      <w:r w:rsidR="0033771F">
        <w:rPr>
          <w:rFonts w:ascii="Times New Roman" w:hAnsi="Times New Roman" w:cs="Times New Roman"/>
          <w:sz w:val="24"/>
          <w:szCs w:val="24"/>
        </w:rPr>
        <w:t xml:space="preserve"> when it was</w:t>
      </w:r>
      <w:r w:rsidR="00CE11A6" w:rsidRPr="005045F6" w:rsidDel="00C3584B">
        <w:rPr>
          <w:rFonts w:ascii="Times New Roman" w:hAnsi="Times New Roman" w:cs="Times New Roman"/>
          <w:sz w:val="24"/>
          <w:szCs w:val="24"/>
        </w:rPr>
        <w:t xml:space="preserve"> located in ARS 180.0.</w:t>
      </w:r>
      <w:r w:rsidR="00CE11A6" w:rsidDel="00C3584B">
        <w:rPr>
          <w:rFonts w:ascii="Times New Roman" w:hAnsi="Times New Roman" w:cs="Times New Roman"/>
          <w:sz w:val="24"/>
          <w:szCs w:val="24"/>
        </w:rPr>
        <w:t xml:space="preserve"> </w:t>
      </w:r>
      <w:r w:rsidR="00F42F7C" w:rsidRPr="00CE11A6">
        <w:rPr>
          <w:rFonts w:ascii="Times New Roman" w:hAnsi="Times New Roman" w:cs="Times New Roman"/>
          <w:sz w:val="24"/>
          <w:szCs w:val="24"/>
        </w:rPr>
        <w:t>There will be no change in reporting burden.</w:t>
      </w:r>
      <w:r w:rsidR="00CE11A6">
        <w:rPr>
          <w:rFonts w:ascii="Times New Roman" w:hAnsi="Times New Roman" w:cs="Times New Roman"/>
          <w:sz w:val="24"/>
          <w:szCs w:val="24"/>
        </w:rPr>
        <w:t xml:space="preserve"> </w:t>
      </w:r>
    </w:p>
    <w:p w14:paraId="349A167C" w14:textId="3E0087E3"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65D549D" w14:textId="5FE54784" w:rsidR="00211AFD" w:rsidRPr="00BC1E70"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00FD6AF7">
        <w:rPr>
          <w:rFonts w:ascii="Times New Roman" w:hAnsi="Times New Roman" w:cs="Times New Roman"/>
          <w:sz w:val="24"/>
          <w:szCs w:val="24"/>
        </w:rPr>
        <w:t xml:space="preserve">determine a new reporting standard </w:t>
      </w:r>
      <w:r w:rsidR="000830C3">
        <w:rPr>
          <w:rFonts w:ascii="Times New Roman" w:hAnsi="Times New Roman" w:cs="Times New Roman"/>
          <w:sz w:val="24"/>
          <w:szCs w:val="24"/>
        </w:rPr>
        <w:t>ARS 226.0</w:t>
      </w:r>
      <w:r w:rsidRPr="00BC1E70">
        <w:rPr>
          <w:rFonts w:ascii="Times New Roman" w:hAnsi="Times New Roman" w:cs="Times New Roman"/>
          <w:sz w:val="24"/>
          <w:szCs w:val="24"/>
        </w:rPr>
        <w:t>.</w:t>
      </w:r>
    </w:p>
    <w:p w14:paraId="73B6E6FA" w14:textId="75590BD6" w:rsidR="00DB7047" w:rsidRPr="00775637" w:rsidRDefault="00DB7047" w:rsidP="00DB7047">
      <w:pPr>
        <w:rPr>
          <w:rFonts w:ascii="Times New Roman" w:hAnsi="Times New Roman" w:cs="Times New Roman"/>
          <w:sz w:val="24"/>
          <w:szCs w:val="24"/>
        </w:rPr>
      </w:pPr>
      <w:r w:rsidRPr="00775637">
        <w:rPr>
          <w:rFonts w:ascii="Times New Roman" w:hAnsi="Times New Roman" w:cs="Times New Roman"/>
          <w:sz w:val="24"/>
          <w:szCs w:val="24"/>
        </w:rPr>
        <w:t xml:space="preserve">The reporting standard sets out requirements for the provision of information to APRA </w:t>
      </w:r>
      <w:r w:rsidR="009211CB">
        <w:rPr>
          <w:rFonts w:ascii="Times New Roman" w:hAnsi="Times New Roman" w:cs="Times New Roman"/>
          <w:sz w:val="24"/>
          <w:szCs w:val="24"/>
        </w:rPr>
        <w:t>by an</w:t>
      </w:r>
      <w:r w:rsidRPr="00775637">
        <w:rPr>
          <w:rFonts w:ascii="Times New Roman" w:hAnsi="Times New Roman" w:cs="Times New Roman"/>
          <w:sz w:val="24"/>
          <w:szCs w:val="24"/>
        </w:rPr>
        <w:t xml:space="preserve"> </w:t>
      </w:r>
      <w:r w:rsidR="007433A8">
        <w:rPr>
          <w:rFonts w:ascii="Times New Roman" w:hAnsi="Times New Roman" w:cs="Times New Roman"/>
          <w:sz w:val="24"/>
          <w:szCs w:val="24"/>
        </w:rPr>
        <w:t>ADI</w:t>
      </w:r>
      <w:r w:rsidRPr="0033771F">
        <w:rPr>
          <w:rFonts w:ascii="Times New Roman" w:hAnsi="Times New Roman" w:cs="Times New Roman"/>
          <w:sz w:val="24"/>
          <w:szCs w:val="24"/>
        </w:rPr>
        <w:t xml:space="preserve"> relating to </w:t>
      </w:r>
      <w:r w:rsidR="00574ACA" w:rsidRPr="0033771F">
        <w:rPr>
          <w:rFonts w:ascii="Times New Roman" w:hAnsi="Times New Roman" w:cs="Times New Roman"/>
          <w:color w:val="000000" w:themeColor="text1"/>
          <w:sz w:val="24"/>
          <w:szCs w:val="24"/>
        </w:rPr>
        <w:t xml:space="preserve">margining </w:t>
      </w:r>
      <w:r w:rsidRPr="0033771F">
        <w:rPr>
          <w:rFonts w:ascii="Times New Roman" w:hAnsi="Times New Roman" w:cs="Times New Roman"/>
          <w:sz w:val="24"/>
          <w:szCs w:val="24"/>
        </w:rPr>
        <w:t>exposures</w:t>
      </w:r>
      <w:r w:rsidR="00574ACA" w:rsidRPr="0033771F">
        <w:rPr>
          <w:rFonts w:ascii="Times New Roman" w:hAnsi="Times New Roman" w:cs="Times New Roman"/>
          <w:sz w:val="24"/>
          <w:szCs w:val="24"/>
        </w:rPr>
        <w:t xml:space="preserve"> </w:t>
      </w:r>
      <w:r w:rsidR="00574ACA" w:rsidRPr="0033771F">
        <w:rPr>
          <w:rFonts w:ascii="Times New Roman" w:hAnsi="Times New Roman" w:cs="Times New Roman"/>
          <w:color w:val="000000" w:themeColor="text1"/>
          <w:sz w:val="24"/>
          <w:szCs w:val="24"/>
        </w:rPr>
        <w:t>for non-centrally cleared derivatives</w:t>
      </w:r>
      <w:r w:rsidRPr="0033771F">
        <w:rPr>
          <w:rFonts w:ascii="Times New Roman" w:hAnsi="Times New Roman" w:cs="Times New Roman"/>
          <w:sz w:val="24"/>
          <w:szCs w:val="24"/>
        </w:rPr>
        <w:t>.</w:t>
      </w:r>
    </w:p>
    <w:p w14:paraId="1343AEB0" w14:textId="748A6F53" w:rsidR="00AD72D9" w:rsidRPr="00D56D61" w:rsidRDefault="00AD72D9" w:rsidP="00211AFD">
      <w:pPr>
        <w:numPr>
          <w:ilvl w:val="0"/>
          <w:numId w:val="0"/>
        </w:numPr>
        <w:rPr>
          <w:rFonts w:ascii="Times New Roman" w:hAnsi="Times New Roman" w:cs="Times New Roman"/>
          <w:sz w:val="24"/>
          <w:szCs w:val="24"/>
        </w:rPr>
      </w:pPr>
      <w:r w:rsidRPr="00D56D61">
        <w:rPr>
          <w:rFonts w:ascii="Times New Roman" w:hAnsi="Times New Roman" w:cs="Times New Roman"/>
          <w:sz w:val="24"/>
          <w:szCs w:val="24"/>
        </w:rPr>
        <w:t xml:space="preserve">The </w:t>
      </w:r>
      <w:r w:rsidR="003E1BB3">
        <w:rPr>
          <w:rFonts w:ascii="Times New Roman" w:hAnsi="Times New Roman" w:cs="Times New Roman"/>
          <w:sz w:val="24"/>
          <w:szCs w:val="24"/>
        </w:rPr>
        <w:t>new</w:t>
      </w:r>
      <w:r w:rsidR="00C86A64" w:rsidRPr="00D56D61">
        <w:rPr>
          <w:rFonts w:ascii="Times New Roman" w:hAnsi="Times New Roman" w:cs="Times New Roman"/>
          <w:sz w:val="24"/>
          <w:szCs w:val="24"/>
        </w:rPr>
        <w:t xml:space="preserve"> </w:t>
      </w:r>
      <w:r w:rsidR="00AA555F" w:rsidRPr="00D56D61">
        <w:rPr>
          <w:rFonts w:ascii="Times New Roman" w:hAnsi="Times New Roman" w:cs="Times New Roman"/>
          <w:sz w:val="24"/>
          <w:szCs w:val="24"/>
        </w:rPr>
        <w:t>reporting</w:t>
      </w:r>
      <w:r w:rsidRPr="00D56D61">
        <w:rPr>
          <w:rFonts w:ascii="Times New Roman" w:hAnsi="Times New Roman" w:cs="Times New Roman"/>
          <w:sz w:val="24"/>
          <w:szCs w:val="24"/>
        </w:rPr>
        <w:t xml:space="preserve"> standard will</w:t>
      </w:r>
      <w:r w:rsidR="00AA555F" w:rsidRPr="00D56D61">
        <w:rPr>
          <w:rFonts w:ascii="Times New Roman" w:hAnsi="Times New Roman" w:cs="Times New Roman"/>
          <w:sz w:val="24"/>
          <w:szCs w:val="24"/>
        </w:rPr>
        <w:t xml:space="preserve"> ensure that APRA’s reporting framework ali</w:t>
      </w:r>
      <w:r w:rsidR="00045D7D" w:rsidRPr="00D56D61">
        <w:rPr>
          <w:rFonts w:ascii="Times New Roman" w:hAnsi="Times New Roman" w:cs="Times New Roman"/>
          <w:sz w:val="24"/>
          <w:szCs w:val="24"/>
        </w:rPr>
        <w:t>g</w:t>
      </w:r>
      <w:r w:rsidR="00AA555F" w:rsidRPr="00D56D61">
        <w:rPr>
          <w:rFonts w:ascii="Times New Roman" w:hAnsi="Times New Roman" w:cs="Times New Roman"/>
          <w:sz w:val="24"/>
          <w:szCs w:val="24"/>
        </w:rPr>
        <w:t>ns with its prudential framework</w:t>
      </w:r>
      <w:r w:rsidR="007720F8" w:rsidRPr="00D56D61">
        <w:rPr>
          <w:rFonts w:ascii="Times New Roman" w:hAnsi="Times New Roman" w:cs="Times New Roman"/>
          <w:sz w:val="24"/>
          <w:szCs w:val="24"/>
        </w:rPr>
        <w:t xml:space="preserve">. </w:t>
      </w:r>
      <w:r w:rsidR="006212E3">
        <w:rPr>
          <w:rFonts w:ascii="Times New Roman" w:hAnsi="Times New Roman" w:cs="Times New Roman"/>
          <w:sz w:val="24"/>
          <w:szCs w:val="24"/>
        </w:rPr>
        <w:t>It</w:t>
      </w:r>
      <w:r w:rsidR="007720F8" w:rsidRPr="00D56D61">
        <w:rPr>
          <w:rFonts w:ascii="Times New Roman" w:hAnsi="Times New Roman" w:cs="Times New Roman"/>
          <w:sz w:val="24"/>
          <w:szCs w:val="24"/>
        </w:rPr>
        <w:t xml:space="preserve"> will also ensure that APRA will continue to receive data that is necessary to supervise ADIs’ compliance against </w:t>
      </w:r>
      <w:r w:rsidR="000830C3" w:rsidRPr="000830C3">
        <w:rPr>
          <w:rFonts w:ascii="Times New Roman" w:hAnsi="Times New Roman" w:cs="Times New Roman"/>
          <w:i/>
          <w:sz w:val="24"/>
          <w:szCs w:val="24"/>
        </w:rPr>
        <w:t>Prudential Standard CPS 226 Margining and risk mitigation for non-centrally cleared derivatives</w:t>
      </w:r>
      <w:r w:rsidR="000830C3" w:rsidRPr="000830C3">
        <w:rPr>
          <w:rFonts w:ascii="Times New Roman" w:hAnsi="Times New Roman" w:cs="Times New Roman"/>
          <w:sz w:val="24"/>
          <w:szCs w:val="24"/>
        </w:rPr>
        <w:t xml:space="preserve"> (CPS 226)</w:t>
      </w:r>
      <w:r w:rsidR="000830C3" w:rsidRPr="00775637">
        <w:rPr>
          <w:rFonts w:ascii="Times New Roman" w:hAnsi="Times New Roman" w:cs="Times New Roman"/>
          <w:sz w:val="24"/>
          <w:szCs w:val="24"/>
        </w:rPr>
        <w:t>.</w:t>
      </w:r>
    </w:p>
    <w:p w14:paraId="2A7858A4" w14:textId="7A74B2C1" w:rsidR="00174039" w:rsidRDefault="00174039" w:rsidP="3EA1851B">
      <w:pPr>
        <w:rPr>
          <w:rFonts w:ascii="Times New Roman" w:hAnsi="Times New Roman" w:cs="Times New Roman"/>
          <w:sz w:val="24"/>
          <w:szCs w:val="24"/>
        </w:rPr>
      </w:pPr>
      <w:r>
        <w:rPr>
          <w:rFonts w:ascii="Times New Roman" w:hAnsi="Times New Roman" w:cs="Times New Roman"/>
          <w:sz w:val="24"/>
          <w:szCs w:val="24"/>
        </w:rPr>
        <w:t>The reporting standard</w:t>
      </w:r>
      <w:r w:rsidRPr="00174039">
        <w:rPr>
          <w:rFonts w:ascii="Times New Roman" w:hAnsi="Times New Roman" w:cs="Times New Roman"/>
          <w:sz w:val="24"/>
          <w:szCs w:val="24"/>
        </w:rPr>
        <w:t xml:space="preserve"> require</w:t>
      </w:r>
      <w:r w:rsidR="006212E3">
        <w:rPr>
          <w:rFonts w:ascii="Times New Roman" w:hAnsi="Times New Roman" w:cs="Times New Roman"/>
          <w:sz w:val="24"/>
          <w:szCs w:val="24"/>
        </w:rPr>
        <w:t>s</w:t>
      </w:r>
      <w:r w:rsidRPr="00174039">
        <w:rPr>
          <w:rFonts w:ascii="Times New Roman" w:hAnsi="Times New Roman" w:cs="Times New Roman"/>
          <w:sz w:val="24"/>
          <w:szCs w:val="24"/>
        </w:rPr>
        <w:t xml:space="preserve"> reporting for reporting periods prior to the commencement of the reporting standard. </w:t>
      </w:r>
      <w:r w:rsidR="00820044">
        <w:rPr>
          <w:rFonts w:ascii="Times New Roman" w:hAnsi="Times New Roman" w:cs="Times New Roman"/>
          <w:sz w:val="24"/>
          <w:szCs w:val="24"/>
        </w:rPr>
        <w:t xml:space="preserve">However, </w:t>
      </w:r>
      <w:r w:rsidR="00E655C4">
        <w:rPr>
          <w:rFonts w:ascii="Times New Roman" w:hAnsi="Times New Roman" w:cs="Times New Roman"/>
          <w:sz w:val="24"/>
          <w:szCs w:val="24"/>
        </w:rPr>
        <w:t>t</w:t>
      </w:r>
      <w:r>
        <w:rPr>
          <w:rFonts w:ascii="Times New Roman" w:hAnsi="Times New Roman" w:cs="Times New Roman"/>
          <w:sz w:val="24"/>
          <w:szCs w:val="24"/>
        </w:rPr>
        <w:t xml:space="preserve">he reporting standard </w:t>
      </w:r>
      <w:r w:rsidR="006212E3">
        <w:rPr>
          <w:rFonts w:ascii="Times New Roman" w:hAnsi="Times New Roman" w:cs="Times New Roman"/>
          <w:sz w:val="24"/>
          <w:szCs w:val="24"/>
        </w:rPr>
        <w:t>is</w:t>
      </w:r>
      <w:r w:rsidRPr="00174039">
        <w:rPr>
          <w:rFonts w:ascii="Times New Roman" w:hAnsi="Times New Roman" w:cs="Times New Roman"/>
          <w:sz w:val="24"/>
          <w:szCs w:val="24"/>
        </w:rPr>
        <w:t xml:space="preserve"> not retrospective in operation as the obligation to report </w:t>
      </w:r>
      <w:r w:rsidR="011BDCEF" w:rsidRPr="3EABCB69">
        <w:rPr>
          <w:rFonts w:ascii="Times New Roman" w:hAnsi="Times New Roman" w:cs="Times New Roman"/>
          <w:sz w:val="24"/>
          <w:szCs w:val="24"/>
        </w:rPr>
        <w:t>(including</w:t>
      </w:r>
      <w:r w:rsidRPr="3EABCB69">
        <w:rPr>
          <w:rFonts w:ascii="Times New Roman" w:hAnsi="Times New Roman" w:cs="Times New Roman"/>
          <w:sz w:val="24"/>
          <w:szCs w:val="24"/>
        </w:rPr>
        <w:t xml:space="preserve"> </w:t>
      </w:r>
      <w:r w:rsidR="008450D2">
        <w:rPr>
          <w:rFonts w:ascii="Times New Roman" w:hAnsi="Times New Roman" w:cs="Times New Roman"/>
          <w:sz w:val="24"/>
          <w:szCs w:val="24"/>
        </w:rPr>
        <w:t xml:space="preserve">in relation to </w:t>
      </w:r>
      <w:r w:rsidR="2A4DB7F1" w:rsidRPr="4D9FCDF8">
        <w:rPr>
          <w:rFonts w:ascii="Times New Roman" w:hAnsi="Times New Roman" w:cs="Times New Roman"/>
          <w:sz w:val="24"/>
          <w:szCs w:val="24"/>
        </w:rPr>
        <w:t xml:space="preserve">pre-commencement </w:t>
      </w:r>
      <w:r w:rsidR="2A4DB7F1" w:rsidRPr="4158E6D5">
        <w:rPr>
          <w:rFonts w:ascii="Times New Roman" w:hAnsi="Times New Roman" w:cs="Times New Roman"/>
          <w:sz w:val="24"/>
          <w:szCs w:val="24"/>
        </w:rPr>
        <w:t xml:space="preserve">reporting periods) only applies </w:t>
      </w:r>
      <w:r w:rsidR="008450D2" w:rsidRPr="430A482B">
        <w:rPr>
          <w:rFonts w:ascii="Times New Roman" w:hAnsi="Times New Roman" w:cs="Times New Roman"/>
          <w:sz w:val="24"/>
          <w:szCs w:val="24"/>
        </w:rPr>
        <w:t>after</w:t>
      </w:r>
      <w:r w:rsidRPr="00174039" w:rsidDel="008450D2">
        <w:rPr>
          <w:rFonts w:ascii="Times New Roman" w:hAnsi="Times New Roman" w:cs="Times New Roman"/>
          <w:sz w:val="24"/>
          <w:szCs w:val="24"/>
        </w:rPr>
        <w:t xml:space="preserve"> </w:t>
      </w:r>
      <w:r w:rsidRPr="00174039">
        <w:rPr>
          <w:rFonts w:ascii="Times New Roman" w:hAnsi="Times New Roman" w:cs="Times New Roman"/>
          <w:sz w:val="24"/>
          <w:szCs w:val="24"/>
        </w:rPr>
        <w:t>the commencement of the reporting standard.</w:t>
      </w:r>
    </w:p>
    <w:p w14:paraId="42B7A73D" w14:textId="77777777" w:rsidR="00155B35" w:rsidRPr="00775637" w:rsidRDefault="00155B35" w:rsidP="00155B35">
      <w:pPr>
        <w:numPr>
          <w:ilvl w:val="0"/>
          <w:numId w:val="0"/>
        </w:numPr>
        <w:rPr>
          <w:rFonts w:ascii="Times New Roman" w:hAnsi="Times New Roman" w:cs="Times New Roman"/>
          <w:b/>
          <w:bCs/>
          <w:i/>
          <w:iCs/>
          <w:sz w:val="24"/>
          <w:szCs w:val="24"/>
        </w:rPr>
      </w:pPr>
      <w:r w:rsidRPr="00775637">
        <w:rPr>
          <w:rFonts w:ascii="Times New Roman" w:hAnsi="Times New Roman" w:cs="Times New Roman"/>
          <w:b/>
          <w:bCs/>
          <w:i/>
          <w:iCs/>
          <w:sz w:val="24"/>
          <w:szCs w:val="24"/>
        </w:rPr>
        <w:t>Explanation of each provision in the instrument</w:t>
      </w:r>
    </w:p>
    <w:p w14:paraId="1A97B85D" w14:textId="77777777" w:rsidR="00155B35" w:rsidRPr="00775637" w:rsidRDefault="00155B35" w:rsidP="00155B35">
      <w:pPr>
        <w:numPr>
          <w:ilvl w:val="0"/>
          <w:numId w:val="0"/>
        </w:numPr>
        <w:rPr>
          <w:rFonts w:ascii="Times New Roman" w:hAnsi="Times New Roman" w:cs="Times New Roman"/>
          <w:i/>
          <w:iCs/>
          <w:sz w:val="24"/>
          <w:szCs w:val="24"/>
        </w:rPr>
      </w:pPr>
      <w:r w:rsidRPr="00775637">
        <w:rPr>
          <w:rFonts w:ascii="Times New Roman" w:hAnsi="Times New Roman" w:cs="Times New Roman"/>
          <w:i/>
          <w:iCs/>
          <w:sz w:val="24"/>
          <w:szCs w:val="24"/>
        </w:rPr>
        <w:t>Authority – paragraph 1</w:t>
      </w:r>
    </w:p>
    <w:p w14:paraId="49887C29" w14:textId="77777777" w:rsidR="00155B35" w:rsidRPr="00775637" w:rsidRDefault="00155B35" w:rsidP="00155B35">
      <w:pPr>
        <w:rPr>
          <w:rFonts w:ascii="Times New Roman" w:hAnsi="Times New Roman" w:cs="Times New Roman"/>
          <w:sz w:val="24"/>
          <w:szCs w:val="24"/>
        </w:rPr>
      </w:pPr>
      <w:r w:rsidRPr="00775637">
        <w:rPr>
          <w:rFonts w:ascii="Times New Roman" w:hAnsi="Times New Roman" w:cs="Times New Roman"/>
          <w:sz w:val="24"/>
          <w:szCs w:val="24"/>
        </w:rPr>
        <w:t>This paragraph outlines APRA’s authority to determine reporting standards that are required to be complied with by financial sector entities under section 13 of the Act.</w:t>
      </w:r>
    </w:p>
    <w:p w14:paraId="14100976" w14:textId="77777777" w:rsidR="00155B35" w:rsidRPr="00775637" w:rsidRDefault="00155B35" w:rsidP="00155B35">
      <w:pPr>
        <w:numPr>
          <w:ilvl w:val="0"/>
          <w:numId w:val="0"/>
        </w:numPr>
        <w:rPr>
          <w:rFonts w:ascii="Times New Roman" w:hAnsi="Times New Roman" w:cs="Times New Roman"/>
          <w:i/>
          <w:iCs/>
          <w:sz w:val="24"/>
          <w:szCs w:val="24"/>
        </w:rPr>
      </w:pPr>
      <w:r w:rsidRPr="00775637">
        <w:rPr>
          <w:rFonts w:ascii="Times New Roman" w:hAnsi="Times New Roman" w:cs="Times New Roman"/>
          <w:i/>
          <w:iCs/>
          <w:sz w:val="24"/>
          <w:szCs w:val="24"/>
        </w:rPr>
        <w:t>Purpose – paragraph 2</w:t>
      </w:r>
    </w:p>
    <w:p w14:paraId="4647C22B" w14:textId="0DDD7243" w:rsidR="00155B35" w:rsidRPr="00775637" w:rsidRDefault="00155B35" w:rsidP="00155B35">
      <w:pPr>
        <w:rPr>
          <w:rFonts w:ascii="Times New Roman" w:hAnsi="Times New Roman" w:cs="Times New Roman"/>
          <w:sz w:val="24"/>
          <w:szCs w:val="24"/>
        </w:rPr>
      </w:pPr>
      <w:r w:rsidRPr="00775637">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w:t>
      </w:r>
      <w:r w:rsidR="00C458EB">
        <w:rPr>
          <w:rFonts w:ascii="Times New Roman" w:hAnsi="Times New Roman" w:cs="Times New Roman"/>
          <w:sz w:val="24"/>
          <w:szCs w:val="24"/>
        </w:rPr>
        <w:t xml:space="preserve"> </w:t>
      </w:r>
      <w:r w:rsidRPr="00775637">
        <w:rPr>
          <w:rFonts w:ascii="Times New Roman" w:hAnsi="Times New Roman" w:cs="Times New Roman"/>
          <w:sz w:val="24"/>
          <w:szCs w:val="24"/>
        </w:rPr>
        <w:t xml:space="preserve">and publication. It may also be used by the </w:t>
      </w:r>
      <w:r w:rsidR="00C76533" w:rsidRPr="00C76533">
        <w:rPr>
          <w:rFonts w:ascii="Times New Roman" w:hAnsi="Times New Roman" w:cs="Times New Roman"/>
          <w:sz w:val="24"/>
          <w:szCs w:val="24"/>
        </w:rPr>
        <w:t>Reserve Bank of Australia (RBA) and the Australian Bureau of Statistics (ABS)</w:t>
      </w:r>
      <w:r w:rsidRPr="00775637">
        <w:rPr>
          <w:rFonts w:ascii="Times New Roman" w:hAnsi="Times New Roman" w:cs="Times New Roman"/>
          <w:sz w:val="24"/>
          <w:szCs w:val="24"/>
        </w:rPr>
        <w:t>.</w:t>
      </w:r>
    </w:p>
    <w:p w14:paraId="49F0BE57" w14:textId="77777777" w:rsidR="00155B35" w:rsidRPr="00775637" w:rsidRDefault="00155B35" w:rsidP="00155B35">
      <w:pPr>
        <w:numPr>
          <w:ilvl w:val="0"/>
          <w:numId w:val="0"/>
        </w:numPr>
        <w:rPr>
          <w:rFonts w:ascii="Times New Roman" w:hAnsi="Times New Roman" w:cs="Times New Roman"/>
          <w:i/>
          <w:iCs/>
          <w:sz w:val="24"/>
          <w:szCs w:val="24"/>
        </w:rPr>
      </w:pPr>
      <w:r w:rsidRPr="00775637">
        <w:rPr>
          <w:rFonts w:ascii="Times New Roman" w:hAnsi="Times New Roman" w:cs="Times New Roman"/>
          <w:i/>
          <w:iCs/>
          <w:sz w:val="24"/>
          <w:szCs w:val="24"/>
        </w:rPr>
        <w:t>Application – paragraph 3</w:t>
      </w:r>
    </w:p>
    <w:p w14:paraId="33C2FDD3" w14:textId="63F3218A" w:rsidR="00155B35" w:rsidRPr="00775637" w:rsidRDefault="00155B35" w:rsidP="00155B35">
      <w:pPr>
        <w:rPr>
          <w:rFonts w:ascii="Times New Roman" w:hAnsi="Times New Roman" w:cs="Times New Roman"/>
          <w:sz w:val="24"/>
          <w:szCs w:val="24"/>
        </w:rPr>
      </w:pPr>
      <w:r w:rsidRPr="00775637">
        <w:rPr>
          <w:rFonts w:ascii="Times New Roman" w:hAnsi="Times New Roman" w:cs="Times New Roman"/>
          <w:sz w:val="24"/>
          <w:szCs w:val="24"/>
        </w:rPr>
        <w:t>This p</w:t>
      </w:r>
      <w:r w:rsidR="00E42CFE">
        <w:rPr>
          <w:rFonts w:ascii="Times New Roman" w:hAnsi="Times New Roman" w:cs="Times New Roman"/>
          <w:sz w:val="24"/>
          <w:szCs w:val="24"/>
        </w:rPr>
        <w:t xml:space="preserve">aragraph </w:t>
      </w:r>
      <w:r w:rsidRPr="00775637">
        <w:rPr>
          <w:rFonts w:ascii="Times New Roman" w:hAnsi="Times New Roman" w:cs="Times New Roman"/>
          <w:sz w:val="24"/>
          <w:szCs w:val="24"/>
        </w:rPr>
        <w:t>states which financial sector entities must comply with the reporting standard, as provided for in section 15 of the Act.</w:t>
      </w:r>
    </w:p>
    <w:p w14:paraId="5A9068E8" w14:textId="77777777" w:rsidR="00155B35" w:rsidRPr="00775637" w:rsidRDefault="00155B35" w:rsidP="00155B35">
      <w:pPr>
        <w:numPr>
          <w:ilvl w:val="0"/>
          <w:numId w:val="0"/>
        </w:numPr>
        <w:rPr>
          <w:rFonts w:ascii="Times New Roman" w:hAnsi="Times New Roman" w:cs="Times New Roman"/>
          <w:i/>
          <w:iCs/>
          <w:sz w:val="24"/>
          <w:szCs w:val="24"/>
        </w:rPr>
      </w:pPr>
      <w:r w:rsidRPr="00775637">
        <w:rPr>
          <w:rFonts w:ascii="Times New Roman" w:hAnsi="Times New Roman" w:cs="Times New Roman"/>
          <w:i/>
          <w:iCs/>
          <w:sz w:val="24"/>
          <w:szCs w:val="24"/>
        </w:rPr>
        <w:t>Commencement – paragraph 4</w:t>
      </w:r>
    </w:p>
    <w:p w14:paraId="711583A4" w14:textId="3F381666" w:rsidR="00155B35" w:rsidRPr="00775637" w:rsidRDefault="00155B35" w:rsidP="00155B35">
      <w:pPr>
        <w:rPr>
          <w:rFonts w:ascii="Times New Roman" w:hAnsi="Times New Roman" w:cs="Times New Roman"/>
          <w:sz w:val="24"/>
          <w:szCs w:val="24"/>
        </w:rPr>
      </w:pPr>
      <w:r w:rsidRPr="00775637">
        <w:rPr>
          <w:rFonts w:ascii="Times New Roman" w:hAnsi="Times New Roman" w:cs="Times New Roman"/>
          <w:sz w:val="24"/>
          <w:szCs w:val="24"/>
        </w:rPr>
        <w:t>This p</w:t>
      </w:r>
      <w:r w:rsidR="00F82BBC">
        <w:rPr>
          <w:rFonts w:ascii="Times New Roman" w:hAnsi="Times New Roman" w:cs="Times New Roman"/>
          <w:sz w:val="24"/>
          <w:szCs w:val="24"/>
        </w:rPr>
        <w:t xml:space="preserve">aragraph </w:t>
      </w:r>
      <w:r w:rsidRPr="00775637">
        <w:rPr>
          <w:rFonts w:ascii="Times New Roman" w:hAnsi="Times New Roman" w:cs="Times New Roman"/>
          <w:sz w:val="24"/>
          <w:szCs w:val="24"/>
        </w:rPr>
        <w:t>states when the reporting standard commences as provided for in section 15 of the Act.</w:t>
      </w:r>
    </w:p>
    <w:p w14:paraId="48B50196" w14:textId="62AF6B06" w:rsidR="00202C6D" w:rsidRPr="00775637" w:rsidRDefault="00202C6D" w:rsidP="00202C6D">
      <w:pPr>
        <w:rPr>
          <w:rFonts w:ascii="Times New Roman" w:hAnsi="Times New Roman" w:cs="Times New Roman"/>
          <w:sz w:val="24"/>
          <w:szCs w:val="24"/>
        </w:rPr>
      </w:pPr>
      <w:r w:rsidRPr="00775637">
        <w:rPr>
          <w:rFonts w:ascii="Times New Roman" w:hAnsi="Times New Roman" w:cs="Times New Roman"/>
          <w:sz w:val="24"/>
          <w:szCs w:val="24"/>
        </w:rPr>
        <w:t xml:space="preserve">Paragraph </w:t>
      </w:r>
      <w:r>
        <w:rPr>
          <w:rFonts w:ascii="Times New Roman" w:hAnsi="Times New Roman" w:cs="Times New Roman"/>
          <w:sz w:val="24"/>
          <w:szCs w:val="24"/>
        </w:rPr>
        <w:t>4</w:t>
      </w:r>
      <w:r w:rsidRPr="00775637">
        <w:rPr>
          <w:rFonts w:ascii="Times New Roman" w:hAnsi="Times New Roman" w:cs="Times New Roman"/>
          <w:sz w:val="24"/>
          <w:szCs w:val="24"/>
        </w:rPr>
        <w:t xml:space="preserve"> states that information required by this reporting standard must be provided for reporting periods ending on or after 30 </w:t>
      </w:r>
      <w:r w:rsidR="00E655C4">
        <w:rPr>
          <w:rFonts w:ascii="Times New Roman" w:hAnsi="Times New Roman" w:cs="Times New Roman"/>
          <w:sz w:val="24"/>
          <w:szCs w:val="24"/>
        </w:rPr>
        <w:t>September</w:t>
      </w:r>
      <w:r w:rsidRPr="00775637">
        <w:rPr>
          <w:rFonts w:ascii="Times New Roman" w:hAnsi="Times New Roman" w:cs="Times New Roman"/>
          <w:sz w:val="24"/>
          <w:szCs w:val="24"/>
        </w:rPr>
        <w:t xml:space="preserve"> 2023.</w:t>
      </w:r>
    </w:p>
    <w:p w14:paraId="7DCE9E8A" w14:textId="46605AEC" w:rsidR="00155B35" w:rsidRPr="00775637" w:rsidRDefault="00155B35" w:rsidP="00155B35">
      <w:pPr>
        <w:numPr>
          <w:ilvl w:val="0"/>
          <w:numId w:val="0"/>
        </w:numPr>
        <w:rPr>
          <w:rFonts w:ascii="Times New Roman" w:hAnsi="Times New Roman" w:cs="Times New Roman"/>
          <w:i/>
          <w:iCs/>
          <w:sz w:val="24"/>
          <w:szCs w:val="24"/>
        </w:rPr>
      </w:pPr>
      <w:r w:rsidRPr="00775637">
        <w:rPr>
          <w:rFonts w:ascii="Times New Roman" w:hAnsi="Times New Roman" w:cs="Times New Roman"/>
          <w:i/>
          <w:iCs/>
          <w:sz w:val="24"/>
          <w:szCs w:val="24"/>
        </w:rPr>
        <w:t>Information required – paragraph</w:t>
      </w:r>
      <w:r w:rsidR="00202C6D">
        <w:rPr>
          <w:rFonts w:ascii="Times New Roman" w:hAnsi="Times New Roman" w:cs="Times New Roman"/>
          <w:i/>
          <w:iCs/>
          <w:sz w:val="24"/>
          <w:szCs w:val="24"/>
        </w:rPr>
        <w:t>s</w:t>
      </w:r>
      <w:r w:rsidRPr="00775637">
        <w:rPr>
          <w:rFonts w:ascii="Times New Roman" w:hAnsi="Times New Roman" w:cs="Times New Roman"/>
          <w:i/>
          <w:iCs/>
          <w:sz w:val="24"/>
          <w:szCs w:val="24"/>
        </w:rPr>
        <w:t xml:space="preserve"> </w:t>
      </w:r>
      <w:r w:rsidR="00202C6D">
        <w:rPr>
          <w:rFonts w:ascii="Times New Roman" w:hAnsi="Times New Roman" w:cs="Times New Roman"/>
          <w:i/>
          <w:iCs/>
          <w:sz w:val="24"/>
          <w:szCs w:val="24"/>
        </w:rPr>
        <w:t>5</w:t>
      </w:r>
      <w:r w:rsidRPr="00775637">
        <w:rPr>
          <w:rFonts w:ascii="Times New Roman" w:hAnsi="Times New Roman" w:cs="Times New Roman"/>
          <w:i/>
          <w:iCs/>
          <w:sz w:val="24"/>
          <w:szCs w:val="24"/>
        </w:rPr>
        <w:t xml:space="preserve"> – </w:t>
      </w:r>
      <w:proofErr w:type="gramStart"/>
      <w:r w:rsidRPr="00775637">
        <w:rPr>
          <w:rFonts w:ascii="Times New Roman" w:hAnsi="Times New Roman" w:cs="Times New Roman"/>
          <w:i/>
          <w:iCs/>
          <w:sz w:val="24"/>
          <w:szCs w:val="24"/>
        </w:rPr>
        <w:t>7</w:t>
      </w:r>
      <w:proofErr w:type="gramEnd"/>
    </w:p>
    <w:p w14:paraId="7AA4FCA8" w14:textId="14736A50" w:rsidR="00155B35" w:rsidRPr="00775637" w:rsidRDefault="00F82BBC" w:rsidP="00155B35">
      <w:pPr>
        <w:rPr>
          <w:rFonts w:ascii="Times New Roman" w:hAnsi="Times New Roman" w:cs="Times New Roman"/>
          <w:sz w:val="24"/>
          <w:szCs w:val="24"/>
        </w:rPr>
      </w:pPr>
      <w:r>
        <w:rPr>
          <w:rFonts w:ascii="Times New Roman" w:hAnsi="Times New Roman" w:cs="Times New Roman"/>
          <w:sz w:val="24"/>
          <w:szCs w:val="24"/>
        </w:rPr>
        <w:t xml:space="preserve">Sections </w:t>
      </w:r>
      <w:r w:rsidR="00155B35" w:rsidRPr="00775637">
        <w:rPr>
          <w:rFonts w:ascii="Times New Roman" w:hAnsi="Times New Roman" w:cs="Times New Roman"/>
          <w:sz w:val="24"/>
          <w:szCs w:val="24"/>
        </w:rPr>
        <w:t xml:space="preserve">13(2)(d) and (e) of the Act permits reporting standards determined by APRA to include matters related to the times as at which, or the periods to which, the information in </w:t>
      </w:r>
      <w:r w:rsidR="00155B35" w:rsidRPr="00775637">
        <w:rPr>
          <w:rFonts w:ascii="Times New Roman" w:hAnsi="Times New Roman" w:cs="Times New Roman"/>
          <w:sz w:val="24"/>
          <w:szCs w:val="24"/>
        </w:rPr>
        <w:lastRenderedPageBreak/>
        <w:t>reporting documents is to relate, the giving of reporting documents to APRA, and when they should be provided.</w:t>
      </w:r>
    </w:p>
    <w:p w14:paraId="5AC6C63A" w14:textId="7BDF896A" w:rsidR="00202C6D" w:rsidRDefault="00155B35" w:rsidP="00155B35">
      <w:pPr>
        <w:rPr>
          <w:rFonts w:ascii="Times New Roman" w:hAnsi="Times New Roman" w:cs="Times New Roman"/>
          <w:sz w:val="24"/>
          <w:szCs w:val="24"/>
        </w:rPr>
      </w:pPr>
      <w:r w:rsidRPr="00775637">
        <w:rPr>
          <w:rFonts w:ascii="Times New Roman" w:hAnsi="Times New Roman" w:cs="Times New Roman"/>
          <w:sz w:val="24"/>
          <w:szCs w:val="24"/>
        </w:rPr>
        <w:t xml:space="preserve">Paragraphs </w:t>
      </w:r>
      <w:r w:rsidR="00202C6D">
        <w:rPr>
          <w:rFonts w:ascii="Times New Roman" w:hAnsi="Times New Roman" w:cs="Times New Roman"/>
          <w:sz w:val="24"/>
          <w:szCs w:val="24"/>
        </w:rPr>
        <w:t xml:space="preserve">5, </w:t>
      </w:r>
      <w:r w:rsidRPr="00775637">
        <w:rPr>
          <w:rFonts w:ascii="Times New Roman" w:hAnsi="Times New Roman" w:cs="Times New Roman"/>
          <w:sz w:val="24"/>
          <w:szCs w:val="24"/>
        </w:rPr>
        <w:t xml:space="preserve">6 and 7 rely on </w:t>
      </w:r>
      <w:r w:rsidRPr="071E7C3F">
        <w:rPr>
          <w:rFonts w:ascii="Times New Roman" w:hAnsi="Times New Roman" w:cs="Times New Roman"/>
          <w:sz w:val="24"/>
          <w:szCs w:val="24"/>
        </w:rPr>
        <w:t>these</w:t>
      </w:r>
      <w:r w:rsidR="18156A49" w:rsidRPr="071E7C3F">
        <w:rPr>
          <w:rFonts w:ascii="Times New Roman" w:hAnsi="Times New Roman" w:cs="Times New Roman"/>
          <w:sz w:val="24"/>
          <w:szCs w:val="24"/>
        </w:rPr>
        <w:t xml:space="preserve"> </w:t>
      </w:r>
      <w:r w:rsidR="00AC150C" w:rsidRPr="2645F8DA">
        <w:rPr>
          <w:rFonts w:ascii="Times New Roman" w:hAnsi="Times New Roman" w:cs="Times New Roman"/>
          <w:sz w:val="24"/>
          <w:szCs w:val="24"/>
        </w:rPr>
        <w:t>power</w:t>
      </w:r>
      <w:r w:rsidR="4878CDF4" w:rsidRPr="2645F8DA">
        <w:rPr>
          <w:rFonts w:ascii="Times New Roman" w:hAnsi="Times New Roman" w:cs="Times New Roman"/>
          <w:sz w:val="24"/>
          <w:szCs w:val="24"/>
        </w:rPr>
        <w:t>s</w:t>
      </w:r>
      <w:r w:rsidRPr="2645F8DA">
        <w:rPr>
          <w:rFonts w:ascii="Times New Roman" w:hAnsi="Times New Roman" w:cs="Times New Roman"/>
          <w:sz w:val="24"/>
          <w:szCs w:val="24"/>
        </w:rPr>
        <w:t>.</w:t>
      </w:r>
      <w:r w:rsidRPr="00775637">
        <w:rPr>
          <w:rFonts w:ascii="Times New Roman" w:hAnsi="Times New Roman" w:cs="Times New Roman"/>
          <w:sz w:val="24"/>
          <w:szCs w:val="24"/>
        </w:rPr>
        <w:t xml:space="preserve"> </w:t>
      </w:r>
      <w:r w:rsidR="00202C6D">
        <w:rPr>
          <w:rFonts w:ascii="Times New Roman" w:hAnsi="Times New Roman" w:cs="Times New Roman"/>
          <w:sz w:val="24"/>
          <w:szCs w:val="24"/>
        </w:rPr>
        <w:t>Paragraph 5 applies to ADIs at Level 1 and Paragr</w:t>
      </w:r>
      <w:r w:rsidR="007857D9">
        <w:rPr>
          <w:rFonts w:ascii="Times New Roman" w:hAnsi="Times New Roman" w:cs="Times New Roman"/>
          <w:sz w:val="24"/>
          <w:szCs w:val="24"/>
        </w:rPr>
        <w:t>a</w:t>
      </w:r>
      <w:r w:rsidR="00202C6D">
        <w:rPr>
          <w:rFonts w:ascii="Times New Roman" w:hAnsi="Times New Roman" w:cs="Times New Roman"/>
          <w:sz w:val="24"/>
          <w:szCs w:val="24"/>
        </w:rPr>
        <w:t xml:space="preserve">ph 6 applies to </w:t>
      </w:r>
      <w:r w:rsidR="007857D9">
        <w:rPr>
          <w:rFonts w:ascii="Times New Roman" w:hAnsi="Times New Roman" w:cs="Times New Roman"/>
          <w:sz w:val="24"/>
          <w:szCs w:val="24"/>
        </w:rPr>
        <w:t>L</w:t>
      </w:r>
      <w:r w:rsidR="00202C6D">
        <w:rPr>
          <w:rFonts w:ascii="Times New Roman" w:hAnsi="Times New Roman" w:cs="Times New Roman"/>
          <w:sz w:val="24"/>
          <w:szCs w:val="24"/>
        </w:rPr>
        <w:t xml:space="preserve">evel 2 ADIs. </w:t>
      </w:r>
    </w:p>
    <w:p w14:paraId="6A22A4FC" w14:textId="4C46547D" w:rsidR="00202C6D" w:rsidRDefault="00202C6D" w:rsidP="00155B35">
      <w:pPr>
        <w:rPr>
          <w:rFonts w:ascii="Times New Roman" w:hAnsi="Times New Roman" w:cs="Times New Roman"/>
          <w:sz w:val="24"/>
          <w:szCs w:val="24"/>
        </w:rPr>
      </w:pPr>
      <w:r>
        <w:rPr>
          <w:rFonts w:ascii="Times New Roman" w:hAnsi="Times New Roman" w:cs="Times New Roman"/>
          <w:sz w:val="24"/>
          <w:szCs w:val="24"/>
        </w:rPr>
        <w:t xml:space="preserve">Paragraph 7 </w:t>
      </w:r>
      <w:r w:rsidR="55E4449B" w:rsidRPr="56B92AF8">
        <w:rPr>
          <w:rFonts w:ascii="Times New Roman" w:hAnsi="Times New Roman" w:cs="Times New Roman"/>
          <w:sz w:val="24"/>
          <w:szCs w:val="24"/>
        </w:rPr>
        <w:t>specifie</w:t>
      </w:r>
      <w:r w:rsidR="00E655C4">
        <w:rPr>
          <w:rFonts w:ascii="Times New Roman" w:hAnsi="Times New Roman" w:cs="Times New Roman"/>
          <w:sz w:val="24"/>
          <w:szCs w:val="24"/>
        </w:rPr>
        <w:t>s</w:t>
      </w:r>
      <w:r>
        <w:rPr>
          <w:rFonts w:ascii="Times New Roman" w:hAnsi="Times New Roman" w:cs="Times New Roman"/>
          <w:sz w:val="24"/>
          <w:szCs w:val="24"/>
        </w:rPr>
        <w:t xml:space="preserve"> the class of ADI to which the repo</w:t>
      </w:r>
      <w:r w:rsidR="00F47613">
        <w:rPr>
          <w:rFonts w:ascii="Times New Roman" w:hAnsi="Times New Roman" w:cs="Times New Roman"/>
          <w:sz w:val="24"/>
          <w:szCs w:val="24"/>
        </w:rPr>
        <w:t>r</w:t>
      </w:r>
      <w:r>
        <w:rPr>
          <w:rFonts w:ascii="Times New Roman" w:hAnsi="Times New Roman" w:cs="Times New Roman"/>
          <w:sz w:val="24"/>
          <w:szCs w:val="24"/>
        </w:rPr>
        <w:t>ting form applies.</w:t>
      </w:r>
    </w:p>
    <w:p w14:paraId="419D97E6" w14:textId="7220E25E" w:rsidR="00B10CA6" w:rsidRPr="00775637" w:rsidRDefault="00B10CA6" w:rsidP="00B10CA6">
      <w:pPr>
        <w:numPr>
          <w:ilvl w:val="0"/>
          <w:numId w:val="0"/>
        </w:numPr>
        <w:rPr>
          <w:rFonts w:ascii="Times New Roman" w:hAnsi="Times New Roman" w:cs="Times New Roman"/>
          <w:i/>
          <w:iCs/>
          <w:sz w:val="24"/>
          <w:szCs w:val="24"/>
        </w:rPr>
      </w:pPr>
      <w:r>
        <w:rPr>
          <w:rFonts w:ascii="Times New Roman" w:hAnsi="Times New Roman" w:cs="Times New Roman"/>
          <w:i/>
          <w:iCs/>
          <w:sz w:val="24"/>
          <w:szCs w:val="24"/>
        </w:rPr>
        <w:t>M</w:t>
      </w:r>
      <w:r w:rsidRPr="00775637">
        <w:rPr>
          <w:rFonts w:ascii="Times New Roman" w:hAnsi="Times New Roman" w:cs="Times New Roman"/>
          <w:i/>
          <w:iCs/>
          <w:sz w:val="24"/>
          <w:szCs w:val="24"/>
        </w:rPr>
        <w:t xml:space="preserve">ethod of submission – paragraph </w:t>
      </w:r>
      <w:r>
        <w:rPr>
          <w:rFonts w:ascii="Times New Roman" w:hAnsi="Times New Roman" w:cs="Times New Roman"/>
          <w:i/>
          <w:iCs/>
          <w:sz w:val="24"/>
          <w:szCs w:val="24"/>
        </w:rPr>
        <w:t>8</w:t>
      </w:r>
    </w:p>
    <w:p w14:paraId="55D93921" w14:textId="791DCD81" w:rsidR="00B10CA6" w:rsidRDefault="00B10CA6" w:rsidP="00B10CA6">
      <w:pPr>
        <w:rPr>
          <w:rFonts w:ascii="Times New Roman" w:hAnsi="Times New Roman" w:cs="Times New Roman"/>
          <w:sz w:val="24"/>
          <w:szCs w:val="24"/>
        </w:rPr>
      </w:pPr>
      <w:r w:rsidRPr="00775637">
        <w:rPr>
          <w:rFonts w:ascii="Times New Roman" w:hAnsi="Times New Roman" w:cs="Times New Roman"/>
          <w:sz w:val="24"/>
          <w:szCs w:val="24"/>
        </w:rPr>
        <w:t>This p</w:t>
      </w:r>
      <w:r w:rsidR="00F47613">
        <w:rPr>
          <w:rFonts w:ascii="Times New Roman" w:hAnsi="Times New Roman" w:cs="Times New Roman"/>
          <w:sz w:val="24"/>
          <w:szCs w:val="24"/>
        </w:rPr>
        <w:t xml:space="preserve">aragraph </w:t>
      </w:r>
      <w:r w:rsidRPr="00775637">
        <w:rPr>
          <w:rFonts w:ascii="Times New Roman" w:hAnsi="Times New Roman" w:cs="Times New Roman"/>
          <w:sz w:val="24"/>
          <w:szCs w:val="24"/>
        </w:rPr>
        <w:t xml:space="preserve">specifies how information required by the reporting standard must be given to APRA as provided for in </w:t>
      </w:r>
      <w:r w:rsidR="00F47613">
        <w:rPr>
          <w:rFonts w:ascii="Times New Roman" w:hAnsi="Times New Roman" w:cs="Times New Roman"/>
          <w:sz w:val="24"/>
          <w:szCs w:val="24"/>
        </w:rPr>
        <w:t xml:space="preserve">section </w:t>
      </w:r>
      <w:r w:rsidRPr="00775637">
        <w:rPr>
          <w:rFonts w:ascii="Times New Roman" w:hAnsi="Times New Roman" w:cs="Times New Roman"/>
          <w:sz w:val="24"/>
          <w:szCs w:val="24"/>
        </w:rPr>
        <w:t>13(2)(e) of the Act.</w:t>
      </w:r>
    </w:p>
    <w:p w14:paraId="31B54569" w14:textId="467A11D3" w:rsidR="00B10CA6" w:rsidRPr="007857D9" w:rsidRDefault="00B10CA6" w:rsidP="00B10CA6">
      <w:pPr>
        <w:rPr>
          <w:rFonts w:ascii="Times New Roman" w:hAnsi="Times New Roman" w:cs="Times New Roman"/>
          <w:i/>
          <w:sz w:val="24"/>
          <w:szCs w:val="24"/>
        </w:rPr>
      </w:pPr>
      <w:r w:rsidRPr="007857D9">
        <w:rPr>
          <w:rFonts w:ascii="Times New Roman" w:hAnsi="Times New Roman" w:cs="Times New Roman"/>
          <w:i/>
          <w:sz w:val="24"/>
          <w:szCs w:val="24"/>
        </w:rPr>
        <w:t>Reporting period – paragraphs 9-11</w:t>
      </w:r>
    </w:p>
    <w:p w14:paraId="123492C2" w14:textId="10C9827F" w:rsidR="00B10CA6" w:rsidRPr="00B10CA6" w:rsidRDefault="00AC150C" w:rsidP="00B10CA6">
      <w:pPr>
        <w:rPr>
          <w:rFonts w:ascii="Times New Roman" w:hAnsi="Times New Roman" w:cs="Times New Roman"/>
          <w:sz w:val="24"/>
          <w:szCs w:val="24"/>
        </w:rPr>
      </w:pPr>
      <w:r>
        <w:rPr>
          <w:rFonts w:ascii="Times New Roman" w:hAnsi="Times New Roman" w:cs="Times New Roman"/>
          <w:sz w:val="24"/>
          <w:szCs w:val="24"/>
        </w:rPr>
        <w:t xml:space="preserve">Section </w:t>
      </w:r>
      <w:r w:rsidR="00B10CA6" w:rsidRPr="00B10CA6">
        <w:rPr>
          <w:rFonts w:ascii="Times New Roman" w:hAnsi="Times New Roman" w:cs="Times New Roman"/>
          <w:sz w:val="24"/>
          <w:szCs w:val="24"/>
        </w:rPr>
        <w:t>13(2)(d) of the Act permits reporting standards determined by APRA to include matters related to the times as at which, or the periods to which, the information in reporting documents is to relate.</w:t>
      </w:r>
    </w:p>
    <w:p w14:paraId="5D193BA4" w14:textId="7F6B02EB" w:rsidR="00B10CA6" w:rsidRPr="00B10CA6" w:rsidRDefault="00B10CA6">
      <w:pPr>
        <w:rPr>
          <w:rFonts w:ascii="Times New Roman" w:hAnsi="Times New Roman" w:cs="Times New Roman"/>
          <w:sz w:val="24"/>
          <w:szCs w:val="24"/>
        </w:rPr>
      </w:pPr>
      <w:r w:rsidRPr="00B10CA6">
        <w:rPr>
          <w:rFonts w:ascii="Times New Roman" w:hAnsi="Times New Roman" w:cs="Times New Roman"/>
          <w:sz w:val="24"/>
          <w:szCs w:val="24"/>
        </w:rPr>
        <w:t>Paragraph 9 relies on this</w:t>
      </w:r>
      <w:r w:rsidR="005B2A8F">
        <w:rPr>
          <w:rFonts w:ascii="Times New Roman" w:hAnsi="Times New Roman" w:cs="Times New Roman"/>
          <w:sz w:val="24"/>
          <w:szCs w:val="24"/>
        </w:rPr>
        <w:t xml:space="preserve"> </w:t>
      </w:r>
      <w:r w:rsidR="00AC150C">
        <w:rPr>
          <w:rFonts w:ascii="Times New Roman" w:hAnsi="Times New Roman" w:cs="Times New Roman"/>
          <w:sz w:val="24"/>
          <w:szCs w:val="24"/>
        </w:rPr>
        <w:t>power</w:t>
      </w:r>
      <w:r w:rsidRPr="00B10CA6">
        <w:rPr>
          <w:rFonts w:ascii="Times New Roman" w:hAnsi="Times New Roman" w:cs="Times New Roman"/>
          <w:sz w:val="24"/>
          <w:szCs w:val="24"/>
        </w:rPr>
        <w:t xml:space="preserve">. Paragraph 5 states that ADIs </w:t>
      </w:r>
      <w:r w:rsidR="007433A8">
        <w:rPr>
          <w:rFonts w:ascii="Times New Roman" w:hAnsi="Times New Roman" w:cs="Times New Roman"/>
          <w:sz w:val="24"/>
          <w:szCs w:val="24"/>
        </w:rPr>
        <w:t xml:space="preserve">to which this Reporting Standard </w:t>
      </w:r>
      <w:r w:rsidR="001D7BB6">
        <w:rPr>
          <w:rFonts w:ascii="Times New Roman" w:hAnsi="Times New Roman" w:cs="Times New Roman"/>
          <w:sz w:val="24"/>
          <w:szCs w:val="24"/>
        </w:rPr>
        <w:t>applies</w:t>
      </w:r>
      <w:r w:rsidRPr="00B10CA6">
        <w:rPr>
          <w:rFonts w:ascii="Times New Roman" w:hAnsi="Times New Roman" w:cs="Times New Roman"/>
          <w:sz w:val="24"/>
          <w:szCs w:val="24"/>
        </w:rPr>
        <w:t xml:space="preserve"> are to provide the information required by this </w:t>
      </w:r>
      <w:r w:rsidR="002C4A3F">
        <w:rPr>
          <w:rFonts w:ascii="Times New Roman" w:hAnsi="Times New Roman" w:cs="Times New Roman"/>
          <w:sz w:val="24"/>
          <w:szCs w:val="24"/>
        </w:rPr>
        <w:t>r</w:t>
      </w:r>
      <w:r w:rsidRPr="00B10CA6">
        <w:rPr>
          <w:rFonts w:ascii="Times New Roman" w:hAnsi="Times New Roman" w:cs="Times New Roman"/>
          <w:sz w:val="24"/>
          <w:szCs w:val="24"/>
        </w:rPr>
        <w:t xml:space="preserve">eporting </w:t>
      </w:r>
      <w:r w:rsidR="002C4A3F">
        <w:rPr>
          <w:rFonts w:ascii="Times New Roman" w:hAnsi="Times New Roman" w:cs="Times New Roman"/>
          <w:sz w:val="24"/>
          <w:szCs w:val="24"/>
        </w:rPr>
        <w:t>s</w:t>
      </w:r>
      <w:r w:rsidRPr="00B10CA6">
        <w:rPr>
          <w:rFonts w:ascii="Times New Roman" w:hAnsi="Times New Roman" w:cs="Times New Roman"/>
          <w:sz w:val="24"/>
          <w:szCs w:val="24"/>
        </w:rPr>
        <w:t xml:space="preserve">tandard within 35 calendar days after the end of each quarter based on the ADI’s financial year (within the meaning of the </w:t>
      </w:r>
      <w:r w:rsidRPr="00B10CA6">
        <w:rPr>
          <w:rFonts w:ascii="Times New Roman" w:hAnsi="Times New Roman" w:cs="Times New Roman"/>
          <w:i/>
          <w:sz w:val="24"/>
          <w:szCs w:val="24"/>
        </w:rPr>
        <w:t>Corporations Act 2001</w:t>
      </w:r>
      <w:r w:rsidRPr="00B10CA6">
        <w:rPr>
          <w:rFonts w:ascii="Times New Roman" w:hAnsi="Times New Roman" w:cs="Times New Roman"/>
          <w:sz w:val="24"/>
          <w:szCs w:val="24"/>
        </w:rPr>
        <w:t>).</w:t>
      </w:r>
      <w:r w:rsidR="007857D9">
        <w:rPr>
          <w:rFonts w:ascii="Times New Roman" w:hAnsi="Times New Roman" w:cs="Times New Roman"/>
          <w:sz w:val="24"/>
          <w:szCs w:val="24"/>
        </w:rPr>
        <w:t xml:space="preserve"> </w:t>
      </w:r>
    </w:p>
    <w:p w14:paraId="00CD6DA1" w14:textId="1C941DC6" w:rsidR="00D910A7" w:rsidRPr="00775637" w:rsidRDefault="007773CF" w:rsidP="00D910A7">
      <w:pPr>
        <w:rPr>
          <w:rFonts w:ascii="Times New Roman" w:hAnsi="Times New Roman" w:cs="Times New Roman"/>
          <w:sz w:val="24"/>
          <w:szCs w:val="24"/>
        </w:rPr>
      </w:pPr>
      <w:r>
        <w:rPr>
          <w:rFonts w:ascii="Times New Roman" w:hAnsi="Times New Roman" w:cs="Times New Roman"/>
          <w:sz w:val="24"/>
          <w:szCs w:val="24"/>
        </w:rPr>
        <w:t xml:space="preserve">Sections </w:t>
      </w:r>
      <w:r w:rsidR="00D910A7" w:rsidRPr="00775637">
        <w:rPr>
          <w:rFonts w:ascii="Times New Roman" w:hAnsi="Times New Roman" w:cs="Times New Roman"/>
          <w:sz w:val="24"/>
          <w:szCs w:val="24"/>
        </w:rPr>
        <w:t>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p>
    <w:p w14:paraId="63F35E93" w14:textId="14F99539" w:rsidR="00D910A7" w:rsidRPr="00775637" w:rsidRDefault="00D910A7" w:rsidP="00D910A7">
      <w:pPr>
        <w:rPr>
          <w:rFonts w:ascii="Times New Roman" w:hAnsi="Times New Roman" w:cs="Times New Roman"/>
          <w:sz w:val="24"/>
          <w:szCs w:val="24"/>
        </w:rPr>
      </w:pPr>
      <w:r w:rsidRPr="00775637">
        <w:rPr>
          <w:rFonts w:ascii="Times New Roman" w:hAnsi="Times New Roman" w:cs="Times New Roman"/>
          <w:sz w:val="24"/>
          <w:szCs w:val="24"/>
        </w:rPr>
        <w:t>Paragraph 1</w:t>
      </w:r>
      <w:r>
        <w:rPr>
          <w:rFonts w:ascii="Times New Roman" w:hAnsi="Times New Roman" w:cs="Times New Roman"/>
          <w:sz w:val="24"/>
          <w:szCs w:val="24"/>
        </w:rPr>
        <w:t>0</w:t>
      </w:r>
      <w:r w:rsidRPr="00775637">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9</w:t>
      </w:r>
      <w:r w:rsidRPr="00775637">
        <w:rPr>
          <w:rFonts w:ascii="Times New Roman" w:hAnsi="Times New Roman" w:cs="Times New Roman"/>
          <w:sz w:val="24"/>
          <w:szCs w:val="24"/>
        </w:rPr>
        <w:t xml:space="preserve"> in writing, if, having regard to the </w:t>
      </w:r>
      <w:proofErr w:type="gramStart"/>
      <w:r w:rsidRPr="00775637">
        <w:rPr>
          <w:rFonts w:ascii="Times New Roman" w:hAnsi="Times New Roman" w:cs="Times New Roman"/>
          <w:sz w:val="24"/>
          <w:szCs w:val="24"/>
        </w:rPr>
        <w:t>particular circumstances</w:t>
      </w:r>
      <w:proofErr w:type="gramEnd"/>
      <w:r w:rsidRPr="00775637">
        <w:rPr>
          <w:rFonts w:ascii="Times New Roman" w:hAnsi="Times New Roman" w:cs="Times New Roman"/>
          <w:sz w:val="24"/>
          <w:szCs w:val="24"/>
        </w:rPr>
        <w:t xml:space="preserve"> of a financial sector entity, APRA considers it necessary or desirable to obtain information at a different frequency than stated in paragraph </w:t>
      </w:r>
      <w:r>
        <w:rPr>
          <w:rFonts w:ascii="Times New Roman" w:hAnsi="Times New Roman" w:cs="Times New Roman"/>
          <w:sz w:val="24"/>
          <w:szCs w:val="24"/>
        </w:rPr>
        <w:t>9</w:t>
      </w:r>
      <w:r w:rsidRPr="00775637">
        <w:rPr>
          <w:rFonts w:ascii="Times New Roman" w:hAnsi="Times New Roman" w:cs="Times New Roman"/>
          <w:sz w:val="24"/>
          <w:szCs w:val="24"/>
        </w:rPr>
        <w:t>. Paragraph 1</w:t>
      </w:r>
      <w:r>
        <w:rPr>
          <w:rFonts w:ascii="Times New Roman" w:hAnsi="Times New Roman" w:cs="Times New Roman"/>
          <w:sz w:val="24"/>
          <w:szCs w:val="24"/>
        </w:rPr>
        <w:t>0</w:t>
      </w:r>
      <w:r w:rsidRPr="00775637">
        <w:rPr>
          <w:rFonts w:ascii="Times New Roman" w:hAnsi="Times New Roman" w:cs="Times New Roman"/>
          <w:sz w:val="24"/>
          <w:szCs w:val="24"/>
        </w:rPr>
        <w:t xml:space="preserve"> also states that in the case of information provided in accordance with paragraph 1</w:t>
      </w:r>
      <w:r w:rsidR="007857D9">
        <w:rPr>
          <w:rFonts w:ascii="Times New Roman" w:hAnsi="Times New Roman" w:cs="Times New Roman"/>
          <w:sz w:val="24"/>
          <w:szCs w:val="24"/>
        </w:rPr>
        <w:t>0</w:t>
      </w:r>
      <w:r w:rsidRPr="00775637">
        <w:rPr>
          <w:rFonts w:ascii="Times New Roman" w:hAnsi="Times New Roman" w:cs="Times New Roman"/>
          <w:sz w:val="24"/>
          <w:szCs w:val="24"/>
        </w:rPr>
        <w:t>, the due date will be as stated on the written notice. Paragraph 1</w:t>
      </w:r>
      <w:r>
        <w:rPr>
          <w:rFonts w:ascii="Times New Roman" w:hAnsi="Times New Roman" w:cs="Times New Roman"/>
          <w:sz w:val="24"/>
          <w:szCs w:val="24"/>
        </w:rPr>
        <w:t>1</w:t>
      </w:r>
      <w:r w:rsidRPr="00775637">
        <w:rPr>
          <w:rFonts w:ascii="Times New Roman" w:hAnsi="Times New Roman" w:cs="Times New Roman"/>
          <w:sz w:val="24"/>
          <w:szCs w:val="24"/>
        </w:rPr>
        <w:t xml:space="preserve"> states that APRA may grant an extension of a due date in writing.</w:t>
      </w:r>
    </w:p>
    <w:p w14:paraId="32E9FBCD" w14:textId="7595648C" w:rsidR="00B10CA6" w:rsidRPr="00775637" w:rsidRDefault="00B10CA6" w:rsidP="00B10CA6">
      <w:pPr>
        <w:numPr>
          <w:ilvl w:val="0"/>
          <w:numId w:val="0"/>
        </w:numPr>
        <w:rPr>
          <w:rFonts w:ascii="Times New Roman" w:hAnsi="Times New Roman" w:cs="Times New Roman"/>
          <w:i/>
          <w:iCs/>
          <w:sz w:val="24"/>
          <w:szCs w:val="24"/>
        </w:rPr>
      </w:pPr>
      <w:r w:rsidRPr="00775637">
        <w:rPr>
          <w:rFonts w:ascii="Times New Roman" w:hAnsi="Times New Roman" w:cs="Times New Roman"/>
          <w:i/>
          <w:iCs/>
          <w:sz w:val="24"/>
          <w:szCs w:val="24"/>
        </w:rPr>
        <w:t>Quality control – paragraphs 1</w:t>
      </w:r>
      <w:r>
        <w:rPr>
          <w:rFonts w:ascii="Times New Roman" w:hAnsi="Times New Roman" w:cs="Times New Roman"/>
          <w:i/>
          <w:iCs/>
          <w:sz w:val="24"/>
          <w:szCs w:val="24"/>
        </w:rPr>
        <w:t>2</w:t>
      </w:r>
      <w:r w:rsidRPr="00775637">
        <w:rPr>
          <w:rFonts w:ascii="Times New Roman" w:hAnsi="Times New Roman" w:cs="Times New Roman"/>
          <w:i/>
          <w:iCs/>
          <w:sz w:val="24"/>
          <w:szCs w:val="24"/>
        </w:rPr>
        <w:t>-1</w:t>
      </w:r>
      <w:r>
        <w:rPr>
          <w:rFonts w:ascii="Times New Roman" w:hAnsi="Times New Roman" w:cs="Times New Roman"/>
          <w:i/>
          <w:iCs/>
          <w:sz w:val="24"/>
          <w:szCs w:val="24"/>
        </w:rPr>
        <w:t>3</w:t>
      </w:r>
    </w:p>
    <w:p w14:paraId="556DB5FF" w14:textId="1712F5A9" w:rsidR="00B10CA6" w:rsidRPr="00775637" w:rsidRDefault="00B10CA6" w:rsidP="00B10CA6">
      <w:pPr>
        <w:rPr>
          <w:rFonts w:ascii="Times New Roman" w:hAnsi="Times New Roman" w:cs="Times New Roman"/>
          <w:sz w:val="24"/>
          <w:szCs w:val="24"/>
        </w:rPr>
      </w:pPr>
      <w:r w:rsidRPr="00775637">
        <w:rPr>
          <w:rFonts w:ascii="Times New Roman" w:hAnsi="Times New Roman" w:cs="Times New Roman"/>
          <w:sz w:val="24"/>
          <w:szCs w:val="24"/>
        </w:rPr>
        <w:t>Paragraph 1</w:t>
      </w:r>
      <w:r>
        <w:rPr>
          <w:rFonts w:ascii="Times New Roman" w:hAnsi="Times New Roman" w:cs="Times New Roman"/>
          <w:sz w:val="24"/>
          <w:szCs w:val="24"/>
        </w:rPr>
        <w:t>2</w:t>
      </w:r>
      <w:r w:rsidRPr="00775637">
        <w:rPr>
          <w:rFonts w:ascii="Times New Roman" w:hAnsi="Times New Roman" w:cs="Times New Roman"/>
          <w:sz w:val="24"/>
          <w:szCs w:val="24"/>
        </w:rPr>
        <w:t xml:space="preserve"> states that information provided to APRA under this reporting standard must be the product of systems, processes and controls that have been reviewed and tested by the </w:t>
      </w:r>
      <w:r w:rsidR="00D910A7">
        <w:rPr>
          <w:rFonts w:ascii="Times New Roman" w:hAnsi="Times New Roman" w:cs="Times New Roman"/>
          <w:sz w:val="24"/>
          <w:szCs w:val="24"/>
        </w:rPr>
        <w:t>external</w:t>
      </w:r>
      <w:r w:rsidRPr="00775637">
        <w:rPr>
          <w:rFonts w:ascii="Times New Roman" w:hAnsi="Times New Roman" w:cs="Times New Roman"/>
          <w:sz w:val="24"/>
          <w:szCs w:val="24"/>
        </w:rPr>
        <w:t xml:space="preserve"> auditor of the </w:t>
      </w:r>
      <w:r w:rsidR="00D910A7">
        <w:rPr>
          <w:rFonts w:ascii="Times New Roman" w:hAnsi="Times New Roman" w:cs="Times New Roman"/>
          <w:sz w:val="24"/>
          <w:szCs w:val="24"/>
        </w:rPr>
        <w:t>ADI</w:t>
      </w:r>
      <w:r w:rsidRPr="00775637">
        <w:rPr>
          <w:rFonts w:ascii="Times New Roman" w:hAnsi="Times New Roman" w:cs="Times New Roman"/>
          <w:sz w:val="24"/>
          <w:szCs w:val="24"/>
        </w:rPr>
        <w:t xml:space="preserve"> to which the information relates.</w:t>
      </w:r>
    </w:p>
    <w:p w14:paraId="6CEBDF43" w14:textId="466FC990" w:rsidR="00B10CA6" w:rsidRPr="00775637" w:rsidRDefault="00B10CA6" w:rsidP="00B10CA6">
      <w:pPr>
        <w:rPr>
          <w:rFonts w:ascii="Times New Roman" w:hAnsi="Times New Roman" w:cs="Times New Roman"/>
          <w:sz w:val="24"/>
          <w:szCs w:val="24"/>
        </w:rPr>
      </w:pPr>
      <w:r w:rsidRPr="00775637">
        <w:rPr>
          <w:rFonts w:ascii="Times New Roman" w:hAnsi="Times New Roman" w:cs="Times New Roman"/>
          <w:sz w:val="24"/>
          <w:szCs w:val="24"/>
        </w:rPr>
        <w:t>Paragraph 1</w:t>
      </w:r>
      <w:r w:rsidR="00D910A7">
        <w:rPr>
          <w:rFonts w:ascii="Times New Roman" w:hAnsi="Times New Roman" w:cs="Times New Roman"/>
          <w:sz w:val="24"/>
          <w:szCs w:val="24"/>
        </w:rPr>
        <w:t xml:space="preserve">3 </w:t>
      </w:r>
      <w:r w:rsidRPr="00775637">
        <w:rPr>
          <w:rFonts w:ascii="Times New Roman" w:hAnsi="Times New Roman" w:cs="Times New Roman"/>
          <w:sz w:val="24"/>
          <w:szCs w:val="24"/>
        </w:rPr>
        <w:t>states that information provided under this reporting standard must be subject to systems, processes and controls developed by the entity for the internal review and authorisation of that information.</w:t>
      </w:r>
    </w:p>
    <w:p w14:paraId="34D6F36C" w14:textId="000FD0EB" w:rsidR="00D910A7" w:rsidRPr="00775637" w:rsidRDefault="00D910A7" w:rsidP="00D910A7">
      <w:pPr>
        <w:numPr>
          <w:ilvl w:val="0"/>
          <w:numId w:val="0"/>
        </w:numPr>
        <w:rPr>
          <w:rFonts w:ascii="Times New Roman" w:hAnsi="Times New Roman" w:cs="Times New Roman"/>
          <w:i/>
          <w:iCs/>
          <w:sz w:val="24"/>
          <w:szCs w:val="24"/>
        </w:rPr>
      </w:pPr>
      <w:r w:rsidRPr="00775637">
        <w:rPr>
          <w:rFonts w:ascii="Times New Roman" w:hAnsi="Times New Roman" w:cs="Times New Roman"/>
          <w:i/>
          <w:iCs/>
          <w:sz w:val="24"/>
          <w:szCs w:val="24"/>
        </w:rPr>
        <w:t>Authorisation – paragraph 1</w:t>
      </w:r>
      <w:r>
        <w:rPr>
          <w:rFonts w:ascii="Times New Roman" w:hAnsi="Times New Roman" w:cs="Times New Roman"/>
          <w:i/>
          <w:iCs/>
          <w:sz w:val="24"/>
          <w:szCs w:val="24"/>
        </w:rPr>
        <w:t>4</w:t>
      </w:r>
    </w:p>
    <w:p w14:paraId="354544D6" w14:textId="7FA78B74" w:rsidR="00D910A7" w:rsidRPr="00775637" w:rsidRDefault="00D910A7" w:rsidP="00D910A7">
      <w:pPr>
        <w:rPr>
          <w:rFonts w:ascii="Times New Roman" w:hAnsi="Times New Roman" w:cs="Times New Roman"/>
          <w:sz w:val="24"/>
          <w:szCs w:val="24"/>
        </w:rPr>
      </w:pPr>
      <w:r w:rsidRPr="00775637">
        <w:rPr>
          <w:rFonts w:ascii="Times New Roman" w:hAnsi="Times New Roman" w:cs="Times New Roman"/>
          <w:sz w:val="24"/>
          <w:szCs w:val="24"/>
        </w:rPr>
        <w:t>Paragraph 1</w:t>
      </w:r>
      <w:r>
        <w:rPr>
          <w:rFonts w:ascii="Times New Roman" w:hAnsi="Times New Roman" w:cs="Times New Roman"/>
          <w:sz w:val="24"/>
          <w:szCs w:val="24"/>
        </w:rPr>
        <w:t xml:space="preserve">4 </w:t>
      </w:r>
      <w:r w:rsidRPr="00775637">
        <w:rPr>
          <w:rFonts w:ascii="Times New Roman" w:hAnsi="Times New Roman" w:cs="Times New Roman"/>
          <w:sz w:val="24"/>
          <w:szCs w:val="24"/>
        </w:rPr>
        <w:t>state</w:t>
      </w:r>
      <w:r w:rsidR="007433A8">
        <w:rPr>
          <w:rFonts w:ascii="Times New Roman" w:hAnsi="Times New Roman" w:cs="Times New Roman"/>
          <w:sz w:val="24"/>
          <w:szCs w:val="24"/>
        </w:rPr>
        <w:t>s</w:t>
      </w:r>
      <w:r w:rsidRPr="00775637">
        <w:rPr>
          <w:rFonts w:ascii="Times New Roman" w:hAnsi="Times New Roman" w:cs="Times New Roman"/>
          <w:sz w:val="24"/>
          <w:szCs w:val="24"/>
        </w:rPr>
        <w:t xml:space="preserve"> how information provided to APRA should be authenticated</w:t>
      </w:r>
      <w:r w:rsidR="007433A8">
        <w:rPr>
          <w:rFonts w:ascii="Times New Roman" w:hAnsi="Times New Roman" w:cs="Times New Roman"/>
          <w:sz w:val="24"/>
          <w:szCs w:val="24"/>
        </w:rPr>
        <w:t xml:space="preserve"> and</w:t>
      </w:r>
      <w:r w:rsidRPr="00775637">
        <w:rPr>
          <w:rFonts w:ascii="Times New Roman" w:hAnsi="Times New Roman" w:cs="Times New Roman"/>
          <w:sz w:val="24"/>
          <w:szCs w:val="24"/>
        </w:rPr>
        <w:t xml:space="preserve"> who is authorised to provide information to APRA for a financial sector entity</w:t>
      </w:r>
      <w:r w:rsidR="00B7515C">
        <w:rPr>
          <w:rFonts w:ascii="Times New Roman" w:hAnsi="Times New Roman" w:cs="Times New Roman"/>
          <w:sz w:val="24"/>
          <w:szCs w:val="24"/>
        </w:rPr>
        <w:t xml:space="preserve">. </w:t>
      </w:r>
    </w:p>
    <w:p w14:paraId="25D4DC93" w14:textId="66F750BD" w:rsidR="00155B35" w:rsidRPr="00775637" w:rsidRDefault="00B10CA6" w:rsidP="007331E6">
      <w:pPr>
        <w:keepNext/>
        <w:numPr>
          <w:ilvl w:val="0"/>
          <w:numId w:val="0"/>
        </w:numPr>
        <w:rPr>
          <w:rFonts w:ascii="Times New Roman" w:hAnsi="Times New Roman" w:cs="Times New Roman"/>
          <w:i/>
          <w:iCs/>
          <w:sz w:val="24"/>
          <w:szCs w:val="24"/>
        </w:rPr>
      </w:pPr>
      <w:r>
        <w:rPr>
          <w:rFonts w:ascii="Times New Roman" w:hAnsi="Times New Roman" w:cs="Times New Roman"/>
          <w:i/>
          <w:iCs/>
          <w:sz w:val="24"/>
          <w:szCs w:val="24"/>
        </w:rPr>
        <w:lastRenderedPageBreak/>
        <w:t>Variations</w:t>
      </w:r>
      <w:r w:rsidR="00155B35" w:rsidRPr="00775637">
        <w:rPr>
          <w:rFonts w:ascii="Times New Roman" w:hAnsi="Times New Roman" w:cs="Times New Roman"/>
          <w:i/>
          <w:iCs/>
          <w:sz w:val="24"/>
          <w:szCs w:val="24"/>
        </w:rPr>
        <w:t xml:space="preserve"> – paragraphs </w:t>
      </w:r>
      <w:r>
        <w:rPr>
          <w:rFonts w:ascii="Times New Roman" w:hAnsi="Times New Roman" w:cs="Times New Roman"/>
          <w:i/>
          <w:iCs/>
          <w:sz w:val="24"/>
          <w:szCs w:val="24"/>
        </w:rPr>
        <w:t>15</w:t>
      </w:r>
      <w:r w:rsidR="00155B35" w:rsidRPr="00775637">
        <w:rPr>
          <w:rFonts w:ascii="Times New Roman" w:hAnsi="Times New Roman" w:cs="Times New Roman"/>
          <w:i/>
          <w:iCs/>
          <w:sz w:val="24"/>
          <w:szCs w:val="24"/>
        </w:rPr>
        <w:t>-</w:t>
      </w:r>
      <w:r>
        <w:rPr>
          <w:rFonts w:ascii="Times New Roman" w:hAnsi="Times New Roman" w:cs="Times New Roman"/>
          <w:i/>
          <w:iCs/>
          <w:sz w:val="24"/>
          <w:szCs w:val="24"/>
        </w:rPr>
        <w:t>16</w:t>
      </w:r>
    </w:p>
    <w:p w14:paraId="721EB569" w14:textId="412418F3" w:rsidR="00155B35" w:rsidRDefault="00155B35" w:rsidP="00155B35">
      <w:pPr>
        <w:rPr>
          <w:rFonts w:ascii="Times New Roman" w:hAnsi="Times New Roman" w:cs="Times New Roman"/>
          <w:sz w:val="24"/>
          <w:szCs w:val="24"/>
        </w:rPr>
      </w:pPr>
      <w:r w:rsidRPr="00775637">
        <w:rPr>
          <w:rFonts w:ascii="Times New Roman" w:hAnsi="Times New Roman" w:cs="Times New Roman"/>
          <w:sz w:val="24"/>
          <w:szCs w:val="24"/>
        </w:rPr>
        <w:t xml:space="preserve">Paragraph </w:t>
      </w:r>
      <w:r w:rsidR="007857D9">
        <w:rPr>
          <w:rFonts w:ascii="Times New Roman" w:hAnsi="Times New Roman" w:cs="Times New Roman"/>
          <w:sz w:val="24"/>
          <w:szCs w:val="24"/>
        </w:rPr>
        <w:t>15</w:t>
      </w:r>
      <w:r w:rsidRPr="00775637">
        <w:rPr>
          <w:rFonts w:ascii="Times New Roman" w:hAnsi="Times New Roman" w:cs="Times New Roman"/>
          <w:sz w:val="24"/>
          <w:szCs w:val="24"/>
        </w:rPr>
        <w:t xml:space="preserve"> states that APRA may vary the requirements of this reporting standard in relation to a financial sector entity in writing, as provided for in paragraph 13(2)(f) of the Act. </w:t>
      </w:r>
    </w:p>
    <w:p w14:paraId="0E91C5FF" w14:textId="3EEF60B3" w:rsidR="007857D9" w:rsidRDefault="00FE1712" w:rsidP="00155B35">
      <w:pPr>
        <w:rPr>
          <w:rFonts w:ascii="Times New Roman" w:hAnsi="Times New Roman" w:cs="Times New Roman"/>
          <w:sz w:val="24"/>
          <w:szCs w:val="24"/>
        </w:rPr>
      </w:pPr>
      <w:r>
        <w:rPr>
          <w:rFonts w:ascii="Times New Roman" w:hAnsi="Times New Roman" w:cs="Times New Roman"/>
          <w:sz w:val="24"/>
          <w:szCs w:val="24"/>
        </w:rPr>
        <w:t>Paragraph</w:t>
      </w:r>
      <w:r w:rsidR="007857D9">
        <w:rPr>
          <w:rFonts w:ascii="Times New Roman" w:hAnsi="Times New Roman" w:cs="Times New Roman"/>
          <w:sz w:val="24"/>
          <w:szCs w:val="24"/>
        </w:rPr>
        <w:t xml:space="preserve"> 16 states that APRA ma</w:t>
      </w:r>
      <w:r w:rsidR="406E619D" w:rsidRPr="430A482B">
        <w:rPr>
          <w:rFonts w:ascii="Times New Roman" w:hAnsi="Times New Roman" w:cs="Times New Roman"/>
          <w:sz w:val="24"/>
          <w:szCs w:val="24"/>
        </w:rPr>
        <w:t>y</w:t>
      </w:r>
      <w:r w:rsidR="007857D9">
        <w:rPr>
          <w:rFonts w:ascii="Times New Roman" w:hAnsi="Times New Roman" w:cs="Times New Roman"/>
          <w:sz w:val="24"/>
          <w:szCs w:val="24"/>
        </w:rPr>
        <w:t xml:space="preserve"> determine in writing </w:t>
      </w:r>
      <w:r w:rsidR="007857D9" w:rsidRPr="007857D9">
        <w:rPr>
          <w:rFonts w:ascii="Times New Roman" w:hAnsi="Times New Roman" w:cs="Times New Roman"/>
          <w:sz w:val="24"/>
          <w:szCs w:val="24"/>
        </w:rPr>
        <w:t>that an individual ADI of one class of ADI is to be treated, for the purposes of this Reporting Standard, as though it was an ADI of another class of ADI.</w:t>
      </w:r>
    </w:p>
    <w:p w14:paraId="1F227E53" w14:textId="418C6A42" w:rsidR="00155B35" w:rsidRPr="00775637" w:rsidRDefault="00155B35" w:rsidP="00A170E4">
      <w:pPr>
        <w:numPr>
          <w:ilvl w:val="0"/>
          <w:numId w:val="0"/>
        </w:numPr>
        <w:rPr>
          <w:rFonts w:ascii="Times New Roman" w:hAnsi="Times New Roman" w:cs="Times New Roman"/>
          <w:i/>
          <w:iCs/>
          <w:sz w:val="24"/>
          <w:szCs w:val="24"/>
        </w:rPr>
      </w:pPr>
      <w:r w:rsidRPr="00775637">
        <w:rPr>
          <w:rFonts w:ascii="Times New Roman" w:hAnsi="Times New Roman" w:cs="Times New Roman"/>
          <w:i/>
          <w:iCs/>
          <w:sz w:val="24"/>
          <w:szCs w:val="24"/>
        </w:rPr>
        <w:t xml:space="preserve">Interpretation – paragraphs </w:t>
      </w:r>
      <w:r w:rsidR="005B2A8F">
        <w:rPr>
          <w:rFonts w:ascii="Times New Roman" w:hAnsi="Times New Roman" w:cs="Times New Roman"/>
          <w:i/>
          <w:iCs/>
          <w:sz w:val="24"/>
          <w:szCs w:val="24"/>
        </w:rPr>
        <w:t>17-</w:t>
      </w:r>
      <w:r w:rsidR="00045EF6">
        <w:rPr>
          <w:rFonts w:ascii="Times New Roman" w:hAnsi="Times New Roman" w:cs="Times New Roman"/>
          <w:i/>
          <w:iCs/>
          <w:sz w:val="24"/>
          <w:szCs w:val="24"/>
        </w:rPr>
        <w:t>18</w:t>
      </w:r>
    </w:p>
    <w:p w14:paraId="0954EF54" w14:textId="2469EA7D" w:rsidR="00155B35" w:rsidRPr="00775637" w:rsidRDefault="00155B35" w:rsidP="00155B35">
      <w:pPr>
        <w:rPr>
          <w:rFonts w:ascii="Times New Roman" w:hAnsi="Times New Roman" w:cs="Times New Roman"/>
          <w:sz w:val="24"/>
          <w:szCs w:val="24"/>
        </w:rPr>
      </w:pPr>
      <w:r w:rsidRPr="00775637">
        <w:rPr>
          <w:rFonts w:ascii="Times New Roman" w:hAnsi="Times New Roman" w:cs="Times New Roman"/>
          <w:sz w:val="24"/>
          <w:szCs w:val="24"/>
        </w:rPr>
        <w:t xml:space="preserve">Paragraph </w:t>
      </w:r>
      <w:r w:rsidR="005B2A8F">
        <w:rPr>
          <w:rFonts w:ascii="Times New Roman" w:hAnsi="Times New Roman" w:cs="Times New Roman"/>
          <w:sz w:val="24"/>
          <w:szCs w:val="24"/>
        </w:rPr>
        <w:t>17</w:t>
      </w:r>
      <w:r w:rsidR="005B2A8F" w:rsidRPr="00775637">
        <w:rPr>
          <w:rFonts w:ascii="Times New Roman" w:hAnsi="Times New Roman" w:cs="Times New Roman"/>
          <w:sz w:val="24"/>
          <w:szCs w:val="24"/>
        </w:rPr>
        <w:t xml:space="preserve"> </w:t>
      </w:r>
      <w:r w:rsidRPr="00775637">
        <w:rPr>
          <w:rFonts w:ascii="Times New Roman" w:hAnsi="Times New Roman" w:cs="Times New Roman"/>
          <w:sz w:val="24"/>
          <w:szCs w:val="24"/>
        </w:rPr>
        <w:t xml:space="preserve">provides definitions of common terms used throughout this reporting standard. Paragraph </w:t>
      </w:r>
      <w:r w:rsidR="00045EF6" w:rsidRPr="2A7129BE">
        <w:rPr>
          <w:rFonts w:ascii="Times New Roman" w:hAnsi="Times New Roman" w:cs="Times New Roman"/>
          <w:sz w:val="24"/>
          <w:szCs w:val="24"/>
        </w:rPr>
        <w:t>1</w:t>
      </w:r>
      <w:r w:rsidR="005B2A8F" w:rsidRPr="2A7129BE">
        <w:rPr>
          <w:rFonts w:ascii="Times New Roman" w:hAnsi="Times New Roman" w:cs="Times New Roman"/>
          <w:sz w:val="24"/>
          <w:szCs w:val="24"/>
        </w:rPr>
        <w:t>8</w:t>
      </w:r>
      <w:r w:rsidRPr="00775637">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 </w:t>
      </w:r>
    </w:p>
    <w:p w14:paraId="1A6E0D55" w14:textId="77777777" w:rsidR="00155B35" w:rsidRPr="00775637" w:rsidRDefault="00155B35" w:rsidP="00155B35">
      <w:pPr>
        <w:numPr>
          <w:ilvl w:val="0"/>
          <w:numId w:val="0"/>
        </w:numPr>
        <w:rPr>
          <w:rFonts w:ascii="Times New Roman" w:hAnsi="Times New Roman" w:cs="Times New Roman"/>
          <w:i/>
          <w:iCs/>
          <w:sz w:val="24"/>
          <w:szCs w:val="24"/>
        </w:rPr>
      </w:pPr>
      <w:r w:rsidRPr="00775637">
        <w:rPr>
          <w:rFonts w:ascii="Times New Roman" w:hAnsi="Times New Roman" w:cs="Times New Roman"/>
          <w:i/>
          <w:iCs/>
          <w:sz w:val="24"/>
          <w:szCs w:val="24"/>
        </w:rPr>
        <w:t>General instructions</w:t>
      </w:r>
    </w:p>
    <w:p w14:paraId="0B0248FA" w14:textId="77777777" w:rsidR="00155B35" w:rsidRPr="00775637" w:rsidRDefault="00155B35" w:rsidP="00155B35">
      <w:pPr>
        <w:rPr>
          <w:rFonts w:ascii="Times New Roman" w:hAnsi="Times New Roman" w:cs="Times New Roman"/>
          <w:sz w:val="24"/>
          <w:szCs w:val="24"/>
        </w:rPr>
      </w:pPr>
      <w:r w:rsidRPr="00775637">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71B66327" w14:textId="77777777" w:rsidR="00155B35" w:rsidRPr="00775637" w:rsidRDefault="00155B35" w:rsidP="00155B35">
      <w:pPr>
        <w:numPr>
          <w:ilvl w:val="0"/>
          <w:numId w:val="0"/>
        </w:numPr>
        <w:rPr>
          <w:rFonts w:ascii="Times New Roman" w:hAnsi="Times New Roman" w:cs="Times New Roman"/>
          <w:i/>
          <w:iCs/>
          <w:sz w:val="24"/>
          <w:szCs w:val="24"/>
        </w:rPr>
      </w:pPr>
      <w:r w:rsidRPr="00775637">
        <w:rPr>
          <w:rFonts w:ascii="Times New Roman" w:hAnsi="Times New Roman" w:cs="Times New Roman"/>
          <w:i/>
          <w:iCs/>
          <w:sz w:val="24"/>
          <w:szCs w:val="24"/>
        </w:rPr>
        <w:t>Specific instructions</w:t>
      </w:r>
    </w:p>
    <w:p w14:paraId="7D06C22E" w14:textId="77777777" w:rsidR="00155B35" w:rsidRPr="00775637" w:rsidRDefault="00155B35" w:rsidP="00155B35">
      <w:pPr>
        <w:rPr>
          <w:rFonts w:ascii="Times New Roman" w:hAnsi="Times New Roman" w:cs="Times New Roman"/>
          <w:sz w:val="24"/>
          <w:szCs w:val="24"/>
        </w:rPr>
      </w:pPr>
      <w:r w:rsidRPr="00775637">
        <w:rPr>
          <w:rFonts w:ascii="Times New Roman" w:hAnsi="Times New Roman" w:cs="Times New Roman"/>
          <w:sz w:val="24"/>
          <w:szCs w:val="24"/>
        </w:rPr>
        <w:t>The specific instructions list the specific data items that must be reported to APRA and how financial sector entities should determine these items.</w:t>
      </w:r>
    </w:p>
    <w:p w14:paraId="173C2909" w14:textId="77777777" w:rsidR="009211CB" w:rsidRPr="00775637" w:rsidRDefault="009211CB" w:rsidP="009211CB">
      <w:pPr>
        <w:numPr>
          <w:ilvl w:val="0"/>
          <w:numId w:val="0"/>
        </w:numPr>
        <w:rPr>
          <w:rFonts w:ascii="Times New Roman" w:hAnsi="Times New Roman" w:cs="Times New Roman"/>
          <w:b/>
          <w:bCs/>
          <w:i/>
          <w:iCs/>
          <w:sz w:val="24"/>
          <w:szCs w:val="24"/>
        </w:rPr>
      </w:pPr>
      <w:r w:rsidRPr="00775637">
        <w:rPr>
          <w:rFonts w:ascii="Times New Roman" w:hAnsi="Times New Roman" w:cs="Times New Roman"/>
          <w:b/>
          <w:bCs/>
          <w:i/>
          <w:iCs/>
          <w:sz w:val="24"/>
          <w:szCs w:val="24"/>
        </w:rPr>
        <w:t xml:space="preserve">Documents incorporated by </w:t>
      </w:r>
      <w:proofErr w:type="gramStart"/>
      <w:r w:rsidRPr="00775637">
        <w:rPr>
          <w:rFonts w:ascii="Times New Roman" w:hAnsi="Times New Roman" w:cs="Times New Roman"/>
          <w:b/>
          <w:bCs/>
          <w:i/>
          <w:iCs/>
          <w:sz w:val="24"/>
          <w:szCs w:val="24"/>
        </w:rPr>
        <w:t>reference</w:t>
      </w:r>
      <w:proofErr w:type="gramEnd"/>
    </w:p>
    <w:p w14:paraId="0476DEAB" w14:textId="77777777" w:rsidR="009211CB" w:rsidRPr="00CE11A6" w:rsidRDefault="009211CB" w:rsidP="009211CB">
      <w:pPr>
        <w:numPr>
          <w:ilvl w:val="0"/>
          <w:numId w:val="0"/>
        </w:numPr>
        <w:rPr>
          <w:rFonts w:ascii="Times New Roman" w:eastAsia="Times New Roman" w:hAnsi="Times New Roman" w:cs="Times New Roman"/>
          <w:b/>
          <w:bCs/>
          <w:color w:val="000000" w:themeColor="text1"/>
          <w:sz w:val="24"/>
          <w:szCs w:val="24"/>
          <w:lang w:eastAsia="en-AU"/>
        </w:rPr>
      </w:pPr>
      <w:r w:rsidRPr="00CE11A6">
        <w:rPr>
          <w:rFonts w:ascii="Times New Roman" w:eastAsia="Times New Roman" w:hAnsi="Times New Roman" w:cs="Times New Roman"/>
          <w:color w:val="000000" w:themeColor="text1"/>
          <w:sz w:val="24"/>
          <w:szCs w:val="24"/>
          <w:lang w:eastAsia="en-AU"/>
        </w:rPr>
        <w:t xml:space="preserve">Under paragraph 14(1)(a) of the </w:t>
      </w:r>
      <w:r w:rsidRPr="00CE11A6">
        <w:rPr>
          <w:rFonts w:ascii="Times New Roman" w:eastAsia="Times New Roman" w:hAnsi="Times New Roman" w:cs="Times New Roman"/>
          <w:i/>
          <w:iCs/>
          <w:color w:val="000000" w:themeColor="text1"/>
          <w:sz w:val="24"/>
          <w:szCs w:val="24"/>
          <w:lang w:eastAsia="en-AU"/>
        </w:rPr>
        <w:t>Legislation Act 2003</w:t>
      </w:r>
      <w:r w:rsidRPr="00CE11A6">
        <w:rPr>
          <w:rFonts w:ascii="Times New Roman" w:eastAsia="Times New Roman" w:hAnsi="Times New Roman" w:cs="Times New Roman"/>
          <w:color w:val="000000" w:themeColor="text1"/>
          <w:sz w:val="24"/>
          <w:szCs w:val="24"/>
          <w:lang w:eastAsia="en-AU"/>
        </w:rPr>
        <w:t>, the reporting standard may incorporate by reference as in force from time to time:</w:t>
      </w:r>
    </w:p>
    <w:p w14:paraId="5F48EEE1" w14:textId="0D0EA870" w:rsidR="009211CB" w:rsidRPr="00CE11A6" w:rsidRDefault="009211CB" w:rsidP="009211CB">
      <w:pPr>
        <w:pStyle w:val="ListParagraph"/>
        <w:numPr>
          <w:ilvl w:val="0"/>
          <w:numId w:val="23"/>
        </w:numPr>
        <w:rPr>
          <w:rFonts w:ascii="Times New Roman" w:eastAsia="Times New Roman" w:hAnsi="Times New Roman" w:cs="Times New Roman"/>
          <w:color w:val="000000" w:themeColor="text1"/>
          <w:sz w:val="24"/>
          <w:szCs w:val="24"/>
          <w:lang w:eastAsia="en-AU"/>
        </w:rPr>
      </w:pPr>
      <w:r w:rsidRPr="00CE11A6">
        <w:rPr>
          <w:rFonts w:ascii="Times New Roman" w:eastAsia="Times New Roman" w:hAnsi="Times New Roman" w:cs="Times New Roman"/>
          <w:color w:val="000000" w:themeColor="text1"/>
          <w:sz w:val="24"/>
          <w:szCs w:val="24"/>
          <w:lang w:eastAsia="en-AU"/>
        </w:rPr>
        <w:t xml:space="preserve">Acts of Parliament and associated delegated </w:t>
      </w:r>
      <w:proofErr w:type="gramStart"/>
      <w:r w:rsidRPr="00CE11A6">
        <w:rPr>
          <w:rFonts w:ascii="Times New Roman" w:eastAsia="Times New Roman" w:hAnsi="Times New Roman" w:cs="Times New Roman"/>
          <w:color w:val="000000" w:themeColor="text1"/>
          <w:sz w:val="24"/>
          <w:szCs w:val="24"/>
          <w:lang w:eastAsia="en-AU"/>
        </w:rPr>
        <w:t>legislation;</w:t>
      </w:r>
      <w:proofErr w:type="gramEnd"/>
    </w:p>
    <w:p w14:paraId="233854A4" w14:textId="4B5114E9" w:rsidR="009211CB" w:rsidRPr="00CE11A6" w:rsidRDefault="009211CB" w:rsidP="009211CB">
      <w:pPr>
        <w:pStyle w:val="ListParagraph"/>
        <w:numPr>
          <w:ilvl w:val="0"/>
          <w:numId w:val="23"/>
        </w:numPr>
        <w:rPr>
          <w:rFonts w:ascii="Times New Roman" w:eastAsia="Times New Roman" w:hAnsi="Times New Roman" w:cs="Times New Roman"/>
          <w:color w:val="000000" w:themeColor="text1"/>
          <w:sz w:val="24"/>
          <w:szCs w:val="24"/>
          <w:lang w:eastAsia="en-AU"/>
        </w:rPr>
      </w:pPr>
      <w:r w:rsidRPr="00CE11A6">
        <w:rPr>
          <w:rFonts w:ascii="Times New Roman" w:eastAsia="Times New Roman" w:hAnsi="Times New Roman" w:cs="Times New Roman"/>
          <w:color w:val="000000" w:themeColor="text1"/>
          <w:sz w:val="24"/>
          <w:szCs w:val="24"/>
          <w:lang w:eastAsia="en-AU"/>
        </w:rPr>
        <w:t>Prudential Standards determined by APRA under Subsection 11</w:t>
      </w:r>
      <w:proofErr w:type="gramStart"/>
      <w:r w:rsidRPr="00CE11A6">
        <w:rPr>
          <w:rFonts w:ascii="Times New Roman" w:eastAsia="Times New Roman" w:hAnsi="Times New Roman" w:cs="Times New Roman"/>
          <w:color w:val="000000" w:themeColor="text1"/>
          <w:sz w:val="24"/>
          <w:szCs w:val="24"/>
          <w:lang w:eastAsia="en-AU"/>
        </w:rPr>
        <w:t>AF(</w:t>
      </w:r>
      <w:proofErr w:type="gramEnd"/>
      <w:r w:rsidRPr="00CE11A6">
        <w:rPr>
          <w:rFonts w:ascii="Times New Roman" w:eastAsia="Times New Roman" w:hAnsi="Times New Roman" w:cs="Times New Roman"/>
          <w:color w:val="000000" w:themeColor="text1"/>
          <w:sz w:val="24"/>
          <w:szCs w:val="24"/>
          <w:lang w:eastAsia="en-AU"/>
        </w:rPr>
        <w:t>1) of the</w:t>
      </w:r>
      <w:r w:rsidRPr="00CE11A6">
        <w:rPr>
          <w:rFonts w:ascii="Times New Roman" w:eastAsia="Times New Roman" w:hAnsi="Times New Roman" w:cs="Times New Roman"/>
          <w:i/>
          <w:iCs/>
          <w:color w:val="000000" w:themeColor="text1"/>
          <w:sz w:val="24"/>
          <w:szCs w:val="24"/>
          <w:lang w:eastAsia="en-AU"/>
        </w:rPr>
        <w:t xml:space="preserve"> Banking Act 1959</w:t>
      </w:r>
      <w:r w:rsidRPr="00CE11A6">
        <w:rPr>
          <w:rFonts w:ascii="Times New Roman" w:eastAsia="Times New Roman" w:hAnsi="Times New Roman" w:cs="Times New Roman"/>
          <w:color w:val="000000" w:themeColor="text1"/>
          <w:sz w:val="24"/>
          <w:szCs w:val="24"/>
          <w:lang w:eastAsia="en-AU"/>
        </w:rPr>
        <w:t>;</w:t>
      </w:r>
    </w:p>
    <w:p w14:paraId="1CA5622D" w14:textId="60AA9889" w:rsidR="009211CB" w:rsidRPr="00CE11A6" w:rsidRDefault="009211CB" w:rsidP="009211CB">
      <w:pPr>
        <w:pStyle w:val="ListParagraph"/>
        <w:numPr>
          <w:ilvl w:val="0"/>
          <w:numId w:val="23"/>
        </w:numPr>
        <w:rPr>
          <w:rFonts w:ascii="Times New Roman" w:eastAsia="Times New Roman" w:hAnsi="Times New Roman" w:cs="Times New Roman"/>
          <w:color w:val="000000" w:themeColor="text1"/>
          <w:sz w:val="24"/>
          <w:szCs w:val="24"/>
          <w:lang w:eastAsia="en-AU"/>
        </w:rPr>
      </w:pPr>
      <w:r w:rsidRPr="00CE11A6">
        <w:rPr>
          <w:rFonts w:ascii="Times New Roman" w:eastAsia="Times New Roman" w:hAnsi="Times New Roman" w:cs="Times New Roman"/>
          <w:color w:val="000000" w:themeColor="text1"/>
          <w:sz w:val="24"/>
          <w:szCs w:val="24"/>
          <w:lang w:eastAsia="en-AU"/>
        </w:rPr>
        <w:t xml:space="preserve">Reporting Standards determined by APRA under subsection 13(1) of the </w:t>
      </w:r>
      <w:proofErr w:type="gramStart"/>
      <w:r w:rsidRPr="00CE11A6">
        <w:rPr>
          <w:rFonts w:ascii="Times New Roman" w:eastAsia="Times New Roman" w:hAnsi="Times New Roman" w:cs="Times New Roman"/>
          <w:color w:val="000000" w:themeColor="text1"/>
          <w:sz w:val="24"/>
          <w:szCs w:val="24"/>
          <w:lang w:eastAsia="en-AU"/>
        </w:rPr>
        <w:t>Act;</w:t>
      </w:r>
      <w:proofErr w:type="gramEnd"/>
    </w:p>
    <w:p w14:paraId="0FB425D4" w14:textId="2FB9D2DC" w:rsidR="009211CB" w:rsidRPr="00CE11A6" w:rsidRDefault="009211CB" w:rsidP="009211CB">
      <w:pPr>
        <w:pStyle w:val="ListParagraph"/>
        <w:numPr>
          <w:ilvl w:val="0"/>
          <w:numId w:val="23"/>
        </w:numPr>
        <w:rPr>
          <w:rFonts w:ascii="Times New Roman" w:eastAsia="Times New Roman" w:hAnsi="Times New Roman" w:cs="Times New Roman"/>
          <w:color w:val="000000" w:themeColor="text1"/>
          <w:sz w:val="24"/>
          <w:szCs w:val="24"/>
          <w:lang w:eastAsia="en-AU"/>
        </w:rPr>
      </w:pPr>
      <w:r w:rsidRPr="00CE11A6">
        <w:rPr>
          <w:rFonts w:ascii="Times New Roman" w:eastAsia="Times New Roman" w:hAnsi="Times New Roman" w:cs="Times New Roman"/>
          <w:color w:val="000000" w:themeColor="text1"/>
          <w:sz w:val="24"/>
          <w:szCs w:val="24"/>
          <w:lang w:eastAsia="en-AU"/>
        </w:rPr>
        <w:t>the Australian Accounting Standards determined by the Australian Accounting Standards Board under section 334 of the </w:t>
      </w:r>
      <w:r w:rsidRPr="00CE11A6">
        <w:rPr>
          <w:rFonts w:ascii="Times New Roman" w:eastAsia="Times New Roman" w:hAnsi="Times New Roman" w:cs="Times New Roman"/>
          <w:i/>
          <w:iCs/>
          <w:color w:val="000000" w:themeColor="text1"/>
          <w:sz w:val="24"/>
          <w:szCs w:val="24"/>
          <w:lang w:eastAsia="en-AU"/>
        </w:rPr>
        <w:t>Corporations Act 2001 </w:t>
      </w:r>
      <w:r w:rsidRPr="00CE11A6">
        <w:rPr>
          <w:rFonts w:ascii="Times New Roman" w:eastAsia="Times New Roman" w:hAnsi="Times New Roman" w:cs="Times New Roman"/>
          <w:color w:val="000000" w:themeColor="text1"/>
          <w:sz w:val="24"/>
          <w:szCs w:val="24"/>
          <w:lang w:eastAsia="en-AU"/>
        </w:rPr>
        <w:t>(</w:t>
      </w:r>
      <w:proofErr w:type="spellStart"/>
      <w:r w:rsidRPr="00CE11A6">
        <w:rPr>
          <w:rFonts w:ascii="Times New Roman" w:eastAsia="Times New Roman" w:hAnsi="Times New Roman" w:cs="Times New Roman"/>
          <w:color w:val="000000" w:themeColor="text1"/>
          <w:sz w:val="24"/>
          <w:szCs w:val="24"/>
          <w:lang w:eastAsia="en-AU"/>
        </w:rPr>
        <w:t>Cth</w:t>
      </w:r>
      <w:proofErr w:type="spellEnd"/>
      <w:r w:rsidRPr="00CE11A6">
        <w:rPr>
          <w:rFonts w:ascii="Times New Roman" w:eastAsia="Times New Roman" w:hAnsi="Times New Roman" w:cs="Times New Roman"/>
          <w:color w:val="000000" w:themeColor="text1"/>
          <w:sz w:val="24"/>
          <w:szCs w:val="24"/>
          <w:lang w:eastAsia="en-AU"/>
        </w:rPr>
        <w:t>); and</w:t>
      </w:r>
    </w:p>
    <w:p w14:paraId="0D1BE274" w14:textId="38A08917" w:rsidR="009211CB" w:rsidRPr="00CE11A6" w:rsidRDefault="009211CB" w:rsidP="009211CB">
      <w:pPr>
        <w:pStyle w:val="ListParagraph"/>
        <w:numPr>
          <w:ilvl w:val="0"/>
          <w:numId w:val="23"/>
        </w:numPr>
        <w:rPr>
          <w:rFonts w:ascii="Times New Roman" w:eastAsia="Times New Roman" w:hAnsi="Times New Roman" w:cs="Times New Roman"/>
          <w:color w:val="000000" w:themeColor="text1"/>
          <w:sz w:val="24"/>
          <w:szCs w:val="24"/>
          <w:lang w:eastAsia="en-AU"/>
        </w:rPr>
      </w:pPr>
      <w:r w:rsidRPr="00CE11A6">
        <w:rPr>
          <w:rFonts w:ascii="Times New Roman" w:eastAsia="Times New Roman" w:hAnsi="Times New Roman" w:cs="Times New Roman"/>
          <w:color w:val="000000" w:themeColor="text1"/>
          <w:sz w:val="24"/>
          <w:szCs w:val="24"/>
          <w:lang w:eastAsia="en-AU"/>
        </w:rPr>
        <w:t>the Australian Auditing Standards determined by the Auditing and Assurance Standards Board under section 336 of the Corporations</w:t>
      </w:r>
      <w:r w:rsidRPr="00CE11A6">
        <w:rPr>
          <w:rFonts w:ascii="Times New Roman" w:eastAsia="Times New Roman" w:hAnsi="Times New Roman" w:cs="Times New Roman"/>
          <w:i/>
          <w:iCs/>
          <w:color w:val="000000" w:themeColor="text1"/>
          <w:sz w:val="24"/>
          <w:szCs w:val="24"/>
          <w:lang w:eastAsia="en-AU"/>
        </w:rPr>
        <w:t> Act 2001</w:t>
      </w:r>
      <w:r w:rsidRPr="00CE11A6">
        <w:rPr>
          <w:rFonts w:ascii="Times New Roman" w:eastAsia="Times New Roman" w:hAnsi="Times New Roman" w:cs="Times New Roman"/>
          <w:color w:val="000000" w:themeColor="text1"/>
          <w:sz w:val="24"/>
          <w:szCs w:val="24"/>
          <w:lang w:eastAsia="en-AU"/>
        </w:rPr>
        <w:t> (</w:t>
      </w:r>
      <w:proofErr w:type="spellStart"/>
      <w:r w:rsidRPr="00CE11A6">
        <w:rPr>
          <w:rFonts w:ascii="Times New Roman" w:eastAsia="Times New Roman" w:hAnsi="Times New Roman" w:cs="Times New Roman"/>
          <w:color w:val="000000" w:themeColor="text1"/>
          <w:sz w:val="24"/>
          <w:szCs w:val="24"/>
          <w:lang w:eastAsia="en-AU"/>
        </w:rPr>
        <w:t>Cth</w:t>
      </w:r>
      <w:proofErr w:type="spellEnd"/>
      <w:r w:rsidRPr="00CE11A6">
        <w:rPr>
          <w:rFonts w:ascii="Times New Roman" w:eastAsia="Times New Roman" w:hAnsi="Times New Roman" w:cs="Times New Roman"/>
          <w:color w:val="000000" w:themeColor="text1"/>
          <w:sz w:val="24"/>
          <w:szCs w:val="24"/>
          <w:lang w:eastAsia="en-AU"/>
        </w:rPr>
        <w:t>).</w:t>
      </w:r>
    </w:p>
    <w:p w14:paraId="01CB249B" w14:textId="5B5C5EA0" w:rsidR="009211CB" w:rsidRPr="005F2637" w:rsidRDefault="0099189A" w:rsidP="009211CB">
      <w:pPr>
        <w:rPr>
          <w:rFonts w:ascii="Times New Roman" w:eastAsia="Times New Roman" w:hAnsi="Times New Roman" w:cs="Times New Roman"/>
          <w:color w:val="000000" w:themeColor="text1"/>
          <w:sz w:val="24"/>
          <w:szCs w:val="24"/>
          <w:lang w:eastAsia="en-AU"/>
        </w:rPr>
      </w:pPr>
      <w:r w:rsidRPr="005F2637">
        <w:rPr>
          <w:rFonts w:ascii="Times New Roman" w:eastAsia="Times New Roman" w:hAnsi="Times New Roman" w:cs="Times New Roman"/>
          <w:color w:val="000000" w:themeColor="text1"/>
          <w:sz w:val="24"/>
          <w:szCs w:val="24"/>
          <w:lang w:eastAsia="en-AU"/>
        </w:rPr>
        <w:t>Acts of Parliament and delegated legislation, APRA’s Prudential Standards and APRA’s</w:t>
      </w:r>
      <w:r w:rsidR="005F2637" w:rsidRPr="005F2637">
        <w:rPr>
          <w:rFonts w:ascii="Times New Roman" w:eastAsia="Times New Roman" w:hAnsi="Times New Roman" w:cs="Times New Roman"/>
          <w:color w:val="000000" w:themeColor="text1"/>
          <w:sz w:val="24"/>
          <w:szCs w:val="24"/>
          <w:lang w:eastAsia="en-AU"/>
        </w:rPr>
        <w:t xml:space="preserve"> </w:t>
      </w:r>
      <w:r w:rsidRPr="005F2637">
        <w:rPr>
          <w:rFonts w:ascii="Times New Roman" w:eastAsia="Times New Roman" w:hAnsi="Times New Roman" w:cs="Times New Roman"/>
          <w:color w:val="000000" w:themeColor="text1"/>
          <w:sz w:val="24"/>
          <w:szCs w:val="24"/>
          <w:lang w:eastAsia="en-AU"/>
        </w:rPr>
        <w:t xml:space="preserve">Reporting Standards </w:t>
      </w:r>
      <w:r w:rsidR="009211CB" w:rsidRPr="005F2637">
        <w:rPr>
          <w:rFonts w:ascii="Times New Roman" w:eastAsia="Times New Roman" w:hAnsi="Times New Roman" w:cs="Times New Roman"/>
          <w:color w:val="000000" w:themeColor="text1"/>
          <w:sz w:val="24"/>
          <w:szCs w:val="24"/>
          <w:lang w:eastAsia="en-AU"/>
        </w:rPr>
        <w:t xml:space="preserve">may be freely </w:t>
      </w:r>
      <w:r w:rsidR="009211CB" w:rsidRPr="001D7BB6">
        <w:rPr>
          <w:rFonts w:ascii="Times New Roman" w:eastAsia="Times New Roman" w:hAnsi="Times New Roman" w:cs="Times New Roman"/>
          <w:color w:val="000000" w:themeColor="text1"/>
          <w:sz w:val="24"/>
          <w:szCs w:val="24"/>
          <w:lang w:eastAsia="en-AU"/>
        </w:rPr>
        <w:t xml:space="preserve">obtained at </w:t>
      </w:r>
      <w:bookmarkStart w:id="4" w:name="_Hlk149209707"/>
      <w:r w:rsidR="007331E6" w:rsidRPr="001D7BB6">
        <w:rPr>
          <w:rFonts w:ascii="Times New Roman" w:hAnsi="Times New Roman" w:cs="Times New Roman"/>
          <w:sz w:val="24"/>
          <w:szCs w:val="24"/>
        </w:rPr>
        <w:fldChar w:fldCharType="begin"/>
      </w:r>
      <w:r w:rsidR="001D7BB6" w:rsidRPr="001D7BB6">
        <w:rPr>
          <w:rFonts w:ascii="Times New Roman" w:hAnsi="Times New Roman" w:cs="Times New Roman"/>
          <w:sz w:val="24"/>
          <w:szCs w:val="24"/>
        </w:rPr>
        <w:instrText>HYPERLINK "http://www.legislation.gov.au/"</w:instrText>
      </w:r>
      <w:r w:rsidR="007331E6" w:rsidRPr="001D7BB6">
        <w:rPr>
          <w:rFonts w:ascii="Times New Roman" w:hAnsi="Times New Roman" w:cs="Times New Roman"/>
          <w:sz w:val="24"/>
          <w:szCs w:val="24"/>
        </w:rPr>
      </w:r>
      <w:r w:rsidR="007331E6" w:rsidRPr="001D7BB6">
        <w:rPr>
          <w:rFonts w:ascii="Times New Roman" w:hAnsi="Times New Roman" w:cs="Times New Roman"/>
          <w:sz w:val="24"/>
          <w:szCs w:val="24"/>
        </w:rPr>
        <w:fldChar w:fldCharType="separate"/>
      </w:r>
      <w:r w:rsidR="009211CB" w:rsidRPr="001D7BB6">
        <w:rPr>
          <w:rStyle w:val="Hyperlink"/>
          <w:rFonts w:ascii="Times New Roman" w:eastAsia="Times New Roman" w:hAnsi="Times New Roman" w:cs="Times New Roman"/>
          <w:sz w:val="24"/>
          <w:szCs w:val="24"/>
          <w:lang w:eastAsia="en-AU"/>
        </w:rPr>
        <w:t>www.legislation.gov.au</w:t>
      </w:r>
      <w:r w:rsidR="007331E6" w:rsidRPr="001D7BB6">
        <w:rPr>
          <w:rFonts w:ascii="Times New Roman" w:hAnsi="Times New Roman" w:cs="Times New Roman"/>
          <w:color w:val="000000" w:themeColor="text1"/>
          <w:sz w:val="24"/>
          <w:szCs w:val="24"/>
        </w:rPr>
        <w:fldChar w:fldCharType="end"/>
      </w:r>
      <w:bookmarkEnd w:id="4"/>
      <w:r w:rsidRPr="001D7BB6">
        <w:rPr>
          <w:rFonts w:ascii="Times New Roman" w:hAnsi="Times New Roman" w:cs="Times New Roman"/>
          <w:color w:val="000000" w:themeColor="text1"/>
          <w:sz w:val="24"/>
          <w:szCs w:val="24"/>
        </w:rPr>
        <w:t>. Austr</w:t>
      </w:r>
      <w:r w:rsidR="00E655C4" w:rsidRPr="001D7BB6">
        <w:rPr>
          <w:rFonts w:ascii="Times New Roman" w:hAnsi="Times New Roman" w:cs="Times New Roman"/>
          <w:color w:val="000000" w:themeColor="text1"/>
          <w:sz w:val="24"/>
          <w:szCs w:val="24"/>
        </w:rPr>
        <w:t>al</w:t>
      </w:r>
      <w:r w:rsidRPr="001D7BB6">
        <w:rPr>
          <w:rFonts w:ascii="Times New Roman" w:hAnsi="Times New Roman" w:cs="Times New Roman"/>
          <w:color w:val="000000" w:themeColor="text1"/>
          <w:sz w:val="24"/>
          <w:szCs w:val="24"/>
        </w:rPr>
        <w:t>ian</w:t>
      </w:r>
      <w:r w:rsidRPr="005F2637">
        <w:rPr>
          <w:rFonts w:ascii="Times New Roman" w:hAnsi="Times New Roman" w:cs="Times New Roman"/>
          <w:color w:val="000000" w:themeColor="text1"/>
          <w:sz w:val="24"/>
          <w:szCs w:val="24"/>
        </w:rPr>
        <w:t xml:space="preserve"> Accounting Standards may be freely obtained from </w:t>
      </w:r>
      <w:hyperlink r:id="rId11">
        <w:r w:rsidR="007433A8" w:rsidRPr="00217F68">
          <w:rPr>
            <w:rStyle w:val="Hyperlink"/>
            <w:rFonts w:ascii="Times New Roman" w:eastAsia="Times New Roman" w:hAnsi="Times New Roman" w:cs="Times New Roman"/>
            <w:sz w:val="24"/>
            <w:szCs w:val="24"/>
            <w:lang w:eastAsia="en-AU"/>
          </w:rPr>
          <w:t>https://www.aasb.gov.au/pronouncements/accounting-standards/(Australian Accounting Standards)</w:t>
        </w:r>
      </w:hyperlink>
      <w:r w:rsidR="007433A8" w:rsidRPr="00217F68">
        <w:rPr>
          <w:rFonts w:ascii="Times New Roman" w:eastAsia="Times New Roman" w:hAnsi="Times New Roman" w:cs="Times New Roman"/>
          <w:color w:val="000000" w:themeColor="text1"/>
          <w:sz w:val="24"/>
          <w:szCs w:val="24"/>
          <w:lang w:eastAsia="en-AU"/>
        </w:rPr>
        <w:t xml:space="preserve">. Australian Auditing Standards may be freely obtained from </w:t>
      </w:r>
      <w:hyperlink r:id="rId12">
        <w:r w:rsidR="007433A8" w:rsidRPr="00217F68">
          <w:rPr>
            <w:rStyle w:val="Hyperlink"/>
            <w:rFonts w:ascii="Times New Roman" w:eastAsia="Times New Roman" w:hAnsi="Times New Roman" w:cs="Times New Roman"/>
            <w:sz w:val="24"/>
            <w:szCs w:val="24"/>
            <w:lang w:eastAsia="en-AU"/>
          </w:rPr>
          <w:t>https://auasb.gov.au/standards-guidance/auasb-standards/auditing-standards/(Australian Auditing Standards)</w:t>
        </w:r>
      </w:hyperlink>
      <w:r w:rsidR="007433A8" w:rsidRPr="00217F68">
        <w:rPr>
          <w:color w:val="000000" w:themeColor="text1"/>
        </w:rPr>
        <w:t>.</w:t>
      </w:r>
    </w:p>
    <w:p w14:paraId="0AF7C802" w14:textId="77777777" w:rsidR="009211CB" w:rsidRPr="00775637" w:rsidRDefault="009211CB" w:rsidP="009211CB">
      <w:pPr>
        <w:numPr>
          <w:ilvl w:val="0"/>
          <w:numId w:val="0"/>
        </w:numPr>
        <w:rPr>
          <w:rFonts w:ascii="Times New Roman" w:hAnsi="Times New Roman" w:cs="Times New Roman"/>
          <w:b/>
          <w:bCs/>
          <w:i/>
          <w:iCs/>
          <w:sz w:val="24"/>
          <w:szCs w:val="24"/>
        </w:rPr>
      </w:pPr>
      <w:r w:rsidRPr="00775637">
        <w:rPr>
          <w:rFonts w:ascii="Times New Roman" w:hAnsi="Times New Roman" w:cs="Times New Roman"/>
          <w:b/>
          <w:bCs/>
          <w:i/>
          <w:iCs/>
          <w:sz w:val="24"/>
          <w:szCs w:val="24"/>
        </w:rPr>
        <w:t>Review of decisions</w:t>
      </w:r>
    </w:p>
    <w:p w14:paraId="306F5878" w14:textId="58693721" w:rsidR="006C1876" w:rsidRPr="006C1876" w:rsidRDefault="006C1876" w:rsidP="2A7129BE">
      <w:p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of </w:t>
      </w:r>
      <w:proofErr w:type="gramStart"/>
      <w:r w:rsidRPr="006C1876">
        <w:rPr>
          <w:rFonts w:ascii="Times New Roman" w:hAnsi="Times New Roman" w:cs="Times New Roman"/>
          <w:sz w:val="24"/>
          <w:szCs w:val="24"/>
        </w:rPr>
        <w:t>discretion</w:t>
      </w:r>
      <w:proofErr w:type="gramEnd"/>
      <w:r w:rsidRPr="006C1876">
        <w:rPr>
          <w:rFonts w:ascii="Times New Roman" w:hAnsi="Times New Roman" w:cs="Times New Roman"/>
          <w:sz w:val="24"/>
          <w:szCs w:val="24"/>
        </w:rPr>
        <w:t xml:space="preserve"> and which may impact the interests of the </w:t>
      </w:r>
      <w:r w:rsidR="00A54193">
        <w:rPr>
          <w:rFonts w:ascii="Times New Roman" w:hAnsi="Times New Roman" w:cs="Times New Roman"/>
          <w:sz w:val="24"/>
          <w:szCs w:val="24"/>
        </w:rPr>
        <w:t>ADIs</w:t>
      </w:r>
      <w:r w:rsidRPr="006C1876">
        <w:rPr>
          <w:rFonts w:ascii="Times New Roman" w:hAnsi="Times New Roman" w:cs="Times New Roman"/>
          <w:sz w:val="24"/>
          <w:szCs w:val="24"/>
        </w:rPr>
        <w:t xml:space="preserve"> to which the </w:t>
      </w:r>
      <w:r w:rsidRPr="006C1876">
        <w:rPr>
          <w:rFonts w:ascii="Times New Roman" w:hAnsi="Times New Roman" w:cs="Times New Roman"/>
          <w:sz w:val="24"/>
          <w:szCs w:val="24"/>
        </w:rPr>
        <w:lastRenderedPageBreak/>
        <w:t>reporting standard</w:t>
      </w:r>
      <w:r w:rsidR="00045D7D">
        <w:rPr>
          <w:rFonts w:ascii="Times New Roman" w:hAnsi="Times New Roman" w:cs="Times New Roman"/>
          <w:sz w:val="24"/>
          <w:szCs w:val="24"/>
        </w:rPr>
        <w:t>s</w:t>
      </w:r>
      <w:r w:rsidRPr="006C1876">
        <w:rPr>
          <w:rFonts w:ascii="Times New Roman" w:hAnsi="Times New Roman" w:cs="Times New Roman"/>
          <w:sz w:val="24"/>
          <w:szCs w:val="24"/>
        </w:rPr>
        <w:t xml:space="preserve"> appl</w:t>
      </w:r>
      <w:r w:rsidR="00045D7D">
        <w:rPr>
          <w:rFonts w:ascii="Times New Roman" w:hAnsi="Times New Roman" w:cs="Times New Roman"/>
          <w:sz w:val="24"/>
          <w:szCs w:val="24"/>
        </w:rPr>
        <w:t>y</w:t>
      </w:r>
      <w:r w:rsidRPr="006C1876">
        <w:rPr>
          <w:rFonts w:ascii="Times New Roman" w:hAnsi="Times New Roman" w:cs="Times New Roman"/>
          <w:sz w:val="24"/>
          <w:szCs w:val="24"/>
        </w:rPr>
        <w:t>. These decisions include APRA chang</w:t>
      </w:r>
      <w:r w:rsidR="00045D7D">
        <w:rPr>
          <w:rFonts w:ascii="Times New Roman" w:hAnsi="Times New Roman" w:cs="Times New Roman"/>
          <w:sz w:val="24"/>
          <w:szCs w:val="24"/>
        </w:rPr>
        <w:t>ing</w:t>
      </w:r>
      <w:r w:rsidRPr="006C1876">
        <w:rPr>
          <w:rFonts w:ascii="Times New Roman" w:hAnsi="Times New Roman" w:cs="Times New Roman"/>
          <w:sz w:val="24"/>
          <w:szCs w:val="24"/>
        </w:rPr>
        <w:t xml:space="preserve"> a reporting period or due date for an ADI to provide information required by each of the instruments</w:t>
      </w:r>
      <w:r w:rsidR="00045D7D">
        <w:rPr>
          <w:rFonts w:ascii="Times New Roman" w:hAnsi="Times New Roman" w:cs="Times New Roman"/>
          <w:sz w:val="24"/>
          <w:szCs w:val="24"/>
        </w:rPr>
        <w:t xml:space="preserve"> or </w:t>
      </w:r>
      <w:r w:rsidR="00AC1727" w:rsidRPr="00AC1727">
        <w:rPr>
          <w:rFonts w:ascii="Times New Roman" w:hAnsi="Times New Roman" w:cs="Times New Roman"/>
          <w:sz w:val="24"/>
          <w:szCs w:val="24"/>
        </w:rPr>
        <w:t>determin</w:t>
      </w:r>
      <w:r w:rsidR="00AC1727">
        <w:rPr>
          <w:rFonts w:ascii="Times New Roman" w:hAnsi="Times New Roman" w:cs="Times New Roman"/>
          <w:sz w:val="24"/>
          <w:szCs w:val="24"/>
        </w:rPr>
        <w:t>ing,</w:t>
      </w:r>
      <w:r w:rsidR="00AC1727" w:rsidRPr="00AC1727">
        <w:rPr>
          <w:rFonts w:ascii="Times New Roman" w:hAnsi="Times New Roman" w:cs="Times New Roman"/>
          <w:sz w:val="24"/>
          <w:szCs w:val="24"/>
        </w:rPr>
        <w:t xml:space="preserve"> in writing, that an individual ADI of one class of ADI is to be treated, for the purposes of </w:t>
      </w:r>
      <w:r w:rsidR="00AC1727">
        <w:rPr>
          <w:rFonts w:ascii="Times New Roman" w:hAnsi="Times New Roman" w:cs="Times New Roman"/>
          <w:sz w:val="24"/>
          <w:szCs w:val="24"/>
        </w:rPr>
        <w:t>a</w:t>
      </w:r>
      <w:r w:rsidR="00AC1727" w:rsidRPr="00AC1727">
        <w:rPr>
          <w:rFonts w:ascii="Times New Roman" w:hAnsi="Times New Roman" w:cs="Times New Roman"/>
          <w:sz w:val="24"/>
          <w:szCs w:val="24"/>
        </w:rPr>
        <w:t xml:space="preserve"> Reporting Standard, as though it were an ADI of another class of ADI</w:t>
      </w:r>
      <w:r w:rsidRPr="006C1876">
        <w:rPr>
          <w:rFonts w:ascii="Times New Roman" w:hAnsi="Times New Roman" w:cs="Times New Roman"/>
          <w:sz w:val="24"/>
          <w:szCs w:val="24"/>
        </w:rPr>
        <w:t>. Decisions made by APRA exercising those powers are not subject to merits review.</w:t>
      </w:r>
      <w:r w:rsidR="00045D7D">
        <w:rPr>
          <w:rFonts w:ascii="Times New Roman" w:hAnsi="Times New Roman" w:cs="Times New Roman"/>
          <w:sz w:val="24"/>
          <w:szCs w:val="24"/>
        </w:rPr>
        <w:t xml:space="preserve"> These discretions have not been amended and are consistent with discretions included in the reporting standards being revoked by the instrument. </w:t>
      </w:r>
    </w:p>
    <w:p w14:paraId="68145DE1" w14:textId="77777777"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52403B7A" w14:textId="1DD1DB01" w:rsidR="00775637" w:rsidRPr="00775637" w:rsidRDefault="006C1876" w:rsidP="2A7129BE">
      <w:pPr>
        <w:rPr>
          <w:rFonts w:ascii="Times New Roman" w:hAnsi="Times New Roman" w:cs="Times New Roman"/>
          <w:sz w:val="24"/>
          <w:szCs w:val="24"/>
        </w:rPr>
      </w:pPr>
      <w:r w:rsidRPr="006C1876">
        <w:rPr>
          <w:rFonts w:ascii="Times New Roman" w:hAnsi="Times New Roman" w:cs="Times New Roman"/>
          <w:sz w:val="24"/>
          <w:szCs w:val="24"/>
        </w:rPr>
        <w:t xml:space="preserve">APRA’s reporting standards collect financial data from regulated entities. This data contains critical indicators of a regulated entity’s financial wellbeing, including </w:t>
      </w:r>
      <w:r w:rsidR="00C175CC">
        <w:rPr>
          <w:rFonts w:ascii="Times New Roman" w:hAnsi="Times New Roman" w:cs="Times New Roman"/>
          <w:sz w:val="24"/>
          <w:szCs w:val="24"/>
        </w:rPr>
        <w:t>capital adequacy</w:t>
      </w:r>
      <w:r w:rsidRPr="006C1876">
        <w:rPr>
          <w:rFonts w:ascii="Times New Roman" w:hAnsi="Times New Roman" w:cs="Times New Roman"/>
          <w:sz w:val="24"/>
          <w:szCs w:val="24"/>
        </w:rPr>
        <w:t>. APRA relies heavily on this financial data to inform its supervisory actions towards its regulated entities. Without timely and complete data, APRA may miss indicators that a</w:t>
      </w:r>
      <w:r w:rsidR="00A54193">
        <w:rPr>
          <w:rFonts w:ascii="Times New Roman" w:hAnsi="Times New Roman" w:cs="Times New Roman"/>
          <w:sz w:val="24"/>
          <w:szCs w:val="24"/>
        </w:rPr>
        <w:t xml:space="preserve">n ADI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F2697B4" w14:textId="63192318" w:rsidR="00211AFD" w:rsidRPr="00BC1E70" w:rsidRDefault="00B670E9" w:rsidP="009211CB">
      <w:pPr>
        <w:pStyle w:val="paragraph"/>
        <w:spacing w:before="0" w:beforeAutospacing="0" w:after="240" w:afterAutospacing="0"/>
        <w:jc w:val="both"/>
        <w:textAlignment w:val="baseline"/>
        <w:rPr>
          <w:b/>
        </w:rPr>
      </w:pPr>
      <w:r w:rsidRPr="00BC1E70">
        <w:rPr>
          <w:b/>
        </w:rPr>
        <w:t>3.</w:t>
      </w:r>
      <w:r w:rsidRPr="00BC1E70">
        <w:rPr>
          <w:b/>
        </w:rPr>
        <w:tab/>
      </w:r>
      <w:r w:rsidR="00211AFD" w:rsidRPr="00BC1E70">
        <w:rPr>
          <w:b/>
        </w:rPr>
        <w:t>Consultation</w:t>
      </w:r>
    </w:p>
    <w:p w14:paraId="08F8EFC6" w14:textId="3D017ACE" w:rsidR="00D97A60" w:rsidRPr="005045F6" w:rsidRDefault="002143E2" w:rsidP="00A170E4">
      <w:pPr>
        <w:rPr>
          <w:rFonts w:ascii="Times New Roman" w:hAnsi="Times New Roman" w:cs="Times New Roman"/>
          <w:sz w:val="24"/>
          <w:szCs w:val="24"/>
        </w:rPr>
      </w:pPr>
      <w:r w:rsidRPr="00226D70">
        <w:rPr>
          <w:rFonts w:ascii="Times New Roman" w:hAnsi="Times New Roman"/>
          <w:sz w:val="24"/>
          <w:szCs w:val="24"/>
        </w:rPr>
        <w:t xml:space="preserve">APRA undertook </w:t>
      </w:r>
      <w:r w:rsidR="00C458EB" w:rsidRPr="00226D70">
        <w:rPr>
          <w:rFonts w:ascii="Times New Roman" w:hAnsi="Times New Roman"/>
          <w:sz w:val="24"/>
          <w:szCs w:val="24"/>
        </w:rPr>
        <w:t xml:space="preserve">a short </w:t>
      </w:r>
      <w:r w:rsidRPr="00226D70">
        <w:rPr>
          <w:rFonts w:ascii="Times New Roman" w:hAnsi="Times New Roman"/>
          <w:sz w:val="24"/>
          <w:szCs w:val="24"/>
        </w:rPr>
        <w:t xml:space="preserve">public consultation </w:t>
      </w:r>
      <w:r w:rsidR="009E0FA2" w:rsidRPr="00226D70">
        <w:rPr>
          <w:rFonts w:ascii="Times New Roman" w:hAnsi="Times New Roman"/>
          <w:sz w:val="24"/>
          <w:szCs w:val="24"/>
        </w:rPr>
        <w:t xml:space="preserve">in a letter to the ADI industry </w:t>
      </w:r>
      <w:r w:rsidR="006C2963" w:rsidRPr="00226D70">
        <w:rPr>
          <w:rFonts w:ascii="Times New Roman" w:hAnsi="Times New Roman"/>
          <w:sz w:val="24"/>
          <w:szCs w:val="24"/>
        </w:rPr>
        <w:t xml:space="preserve">in September 2023 </w:t>
      </w:r>
      <w:r w:rsidRPr="00226D70">
        <w:rPr>
          <w:rFonts w:ascii="Times New Roman" w:hAnsi="Times New Roman"/>
          <w:sz w:val="24"/>
          <w:szCs w:val="24"/>
        </w:rPr>
        <w:t xml:space="preserve">on </w:t>
      </w:r>
      <w:r w:rsidR="006C2963" w:rsidRPr="00226D70">
        <w:rPr>
          <w:rFonts w:ascii="Times New Roman" w:hAnsi="Times New Roman"/>
          <w:sz w:val="24"/>
          <w:szCs w:val="24"/>
        </w:rPr>
        <w:t xml:space="preserve">the </w:t>
      </w:r>
      <w:r w:rsidRPr="00226D70">
        <w:rPr>
          <w:rFonts w:ascii="Times New Roman" w:hAnsi="Times New Roman"/>
          <w:sz w:val="24"/>
          <w:szCs w:val="24"/>
        </w:rPr>
        <w:t>proposed updates to ADI capital reporting standards</w:t>
      </w:r>
      <w:r w:rsidR="00D97A60" w:rsidRPr="00226D70">
        <w:rPr>
          <w:rFonts w:ascii="Times New Roman" w:hAnsi="Times New Roman"/>
          <w:sz w:val="24"/>
          <w:szCs w:val="24"/>
        </w:rPr>
        <w:t xml:space="preserve">. </w:t>
      </w:r>
      <w:r w:rsidR="00D97A60" w:rsidRPr="00226D70">
        <w:rPr>
          <w:rFonts w:ascii="Times New Roman" w:hAnsi="Times New Roman" w:cs="Times New Roman"/>
          <w:sz w:val="24"/>
          <w:szCs w:val="24"/>
        </w:rPr>
        <w:t xml:space="preserve">APRA consulted affected ADIs on </w:t>
      </w:r>
      <w:r w:rsidR="00D97A60" w:rsidRPr="00226D70" w:rsidDel="00226D70">
        <w:rPr>
          <w:rFonts w:ascii="Times New Roman" w:hAnsi="Times New Roman" w:cs="Times New Roman"/>
          <w:sz w:val="24"/>
          <w:szCs w:val="24"/>
        </w:rPr>
        <w:t xml:space="preserve">to </w:t>
      </w:r>
      <w:r w:rsidR="00226D70" w:rsidRPr="2A7129BE">
        <w:rPr>
          <w:rFonts w:ascii="Times New Roman" w:hAnsi="Times New Roman" w:cs="Times New Roman"/>
          <w:sz w:val="24"/>
          <w:szCs w:val="24"/>
        </w:rPr>
        <w:t>m</w:t>
      </w:r>
      <w:r w:rsidR="00D97A60" w:rsidRPr="2A7129BE">
        <w:rPr>
          <w:rFonts w:ascii="Times New Roman" w:hAnsi="Times New Roman" w:cs="Times New Roman"/>
          <w:sz w:val="24"/>
          <w:szCs w:val="24"/>
        </w:rPr>
        <w:t>ov</w:t>
      </w:r>
      <w:r w:rsidR="00226D70" w:rsidRPr="2A7129BE">
        <w:rPr>
          <w:rFonts w:ascii="Times New Roman" w:hAnsi="Times New Roman" w:cs="Times New Roman"/>
          <w:sz w:val="24"/>
          <w:szCs w:val="24"/>
        </w:rPr>
        <w:t>ing</w:t>
      </w:r>
      <w:r w:rsidR="00D97A60" w:rsidRPr="2A7129BE" w:rsidDel="008A2E6E">
        <w:rPr>
          <w:rFonts w:ascii="Times New Roman" w:hAnsi="Times New Roman" w:cs="Times New Roman"/>
          <w:sz w:val="24"/>
          <w:szCs w:val="24"/>
        </w:rPr>
        <w:t xml:space="preserve"> ARF 226.0 </w:t>
      </w:r>
      <w:r w:rsidR="00D97A60" w:rsidRPr="005045F6">
        <w:rPr>
          <w:rFonts w:ascii="Times New Roman" w:hAnsi="Times New Roman" w:cs="Times New Roman"/>
          <w:sz w:val="24"/>
          <w:szCs w:val="24"/>
        </w:rPr>
        <w:t xml:space="preserve">to a new reporting standard </w:t>
      </w:r>
      <w:r w:rsidR="00D97A60" w:rsidRPr="2A7129BE">
        <w:rPr>
          <w:rFonts w:ascii="Times New Roman" w:hAnsi="Times New Roman" w:cs="Times New Roman"/>
          <w:sz w:val="24"/>
          <w:szCs w:val="24"/>
        </w:rPr>
        <w:t>ARS 226.0</w:t>
      </w:r>
      <w:r w:rsidR="00D97A60" w:rsidRPr="005045F6" w:rsidDel="00226D70">
        <w:rPr>
          <w:rFonts w:ascii="Times New Roman" w:hAnsi="Times New Roman" w:cs="Times New Roman"/>
          <w:sz w:val="24"/>
          <w:szCs w:val="24"/>
        </w:rPr>
        <w:t xml:space="preserve"> </w:t>
      </w:r>
      <w:r w:rsidR="00D97A60" w:rsidRPr="005045F6">
        <w:rPr>
          <w:rFonts w:ascii="Times New Roman" w:hAnsi="Times New Roman" w:cs="Times New Roman"/>
          <w:sz w:val="24"/>
          <w:szCs w:val="24"/>
        </w:rPr>
        <w:t xml:space="preserve">with no change in reporting obligations, to make it easier for the industry to locate this reporting form. </w:t>
      </w:r>
    </w:p>
    <w:p w14:paraId="087C72AA" w14:textId="475CE7FE" w:rsidR="00045EF6" w:rsidRDefault="502ADF23" w:rsidP="00045EF6">
      <w:pPr>
        <w:rPr>
          <w:rFonts w:ascii="Times New Roman" w:hAnsi="Times New Roman" w:cs="Times New Roman"/>
          <w:sz w:val="24"/>
          <w:szCs w:val="24"/>
        </w:rPr>
      </w:pPr>
      <w:r w:rsidRPr="0EC01228">
        <w:rPr>
          <w:rFonts w:ascii="Times New Roman" w:hAnsi="Times New Roman" w:cs="Times New Roman"/>
          <w:sz w:val="24"/>
          <w:szCs w:val="24"/>
        </w:rPr>
        <w:t xml:space="preserve">There </w:t>
      </w:r>
      <w:r w:rsidR="24F393A8" w:rsidRPr="0EC01228">
        <w:rPr>
          <w:rFonts w:ascii="Times New Roman" w:hAnsi="Times New Roman" w:cs="Times New Roman"/>
          <w:sz w:val="24"/>
          <w:szCs w:val="24"/>
        </w:rPr>
        <w:t>was one</w:t>
      </w:r>
      <w:r w:rsidRPr="0EC01228">
        <w:rPr>
          <w:rFonts w:ascii="Times New Roman" w:hAnsi="Times New Roman" w:cs="Times New Roman"/>
          <w:sz w:val="24"/>
          <w:szCs w:val="24"/>
        </w:rPr>
        <w:t xml:space="preserve"> submission</w:t>
      </w:r>
      <w:r w:rsidR="143DE3A7" w:rsidRPr="0EC01228">
        <w:rPr>
          <w:rFonts w:ascii="Times New Roman" w:hAnsi="Times New Roman" w:cs="Times New Roman"/>
          <w:sz w:val="24"/>
          <w:szCs w:val="24"/>
        </w:rPr>
        <w:t xml:space="preserve"> to the </w:t>
      </w:r>
      <w:r w:rsidR="312392EA" w:rsidRPr="0EC01228">
        <w:rPr>
          <w:rFonts w:ascii="Times New Roman" w:hAnsi="Times New Roman" w:cs="Times New Roman"/>
          <w:sz w:val="24"/>
          <w:szCs w:val="24"/>
        </w:rPr>
        <w:t>consultation</w:t>
      </w:r>
      <w:r w:rsidR="24F393A8" w:rsidRPr="0EC01228">
        <w:rPr>
          <w:rFonts w:ascii="Times New Roman" w:hAnsi="Times New Roman" w:cs="Times New Roman"/>
          <w:sz w:val="24"/>
          <w:szCs w:val="24"/>
        </w:rPr>
        <w:t xml:space="preserve">, which </w:t>
      </w:r>
      <w:r w:rsidR="00FB6BA9">
        <w:rPr>
          <w:rFonts w:ascii="Times New Roman" w:hAnsi="Times New Roman" w:cs="Times New Roman"/>
          <w:sz w:val="24"/>
          <w:szCs w:val="24"/>
        </w:rPr>
        <w:t>did not raise any concerns with this</w:t>
      </w:r>
      <w:r w:rsidR="579B6E5B" w:rsidRPr="0EC01228">
        <w:rPr>
          <w:rFonts w:ascii="Times New Roman" w:hAnsi="Times New Roman" w:cs="Times New Roman"/>
          <w:sz w:val="24"/>
          <w:szCs w:val="24"/>
        </w:rPr>
        <w:t xml:space="preserve"> </w:t>
      </w:r>
      <w:r w:rsidR="77989016" w:rsidRPr="0EC01228">
        <w:rPr>
          <w:rFonts w:ascii="Times New Roman" w:hAnsi="Times New Roman" w:cs="Times New Roman"/>
          <w:sz w:val="24"/>
          <w:szCs w:val="24"/>
        </w:rPr>
        <w:t>change</w:t>
      </w:r>
      <w:r w:rsidRPr="0EC01228">
        <w:rPr>
          <w:rFonts w:ascii="Times New Roman" w:hAnsi="Times New Roman" w:cs="Times New Roman"/>
          <w:sz w:val="24"/>
          <w:szCs w:val="24"/>
        </w:rPr>
        <w:t>.</w:t>
      </w:r>
      <w:r w:rsidR="143DE3A7" w:rsidRPr="0EC01228">
        <w:rPr>
          <w:rFonts w:ascii="Times New Roman" w:hAnsi="Times New Roman" w:cs="Times New Roman"/>
          <w:sz w:val="24"/>
          <w:szCs w:val="24"/>
        </w:rPr>
        <w:t xml:space="preserve"> </w:t>
      </w:r>
    </w:p>
    <w:p w14:paraId="1D2864CC" w14:textId="6E48C9E0" w:rsidR="00211AFD" w:rsidRPr="00A50B51" w:rsidRDefault="00B670E9">
      <w:pPr>
        <w:rPr>
          <w:rFonts w:ascii="Times New Roman" w:hAnsi="Times New Roman" w:cs="Times New Roman"/>
          <w:b/>
          <w:sz w:val="24"/>
          <w:szCs w:val="24"/>
        </w:rPr>
      </w:pPr>
      <w:r w:rsidRPr="00A50B51">
        <w:rPr>
          <w:rFonts w:ascii="Times New Roman" w:hAnsi="Times New Roman" w:cs="Times New Roman"/>
          <w:b/>
          <w:sz w:val="24"/>
          <w:szCs w:val="24"/>
        </w:rPr>
        <w:t>4.</w:t>
      </w:r>
      <w:r>
        <w:tab/>
      </w:r>
      <w:r w:rsidR="00211AFD" w:rsidRPr="00A50B51">
        <w:rPr>
          <w:rFonts w:ascii="Times New Roman" w:hAnsi="Times New Roman" w:cs="Times New Roman"/>
          <w:b/>
          <w:sz w:val="24"/>
          <w:szCs w:val="24"/>
        </w:rPr>
        <w:t>Regulation Impact Statement</w:t>
      </w:r>
    </w:p>
    <w:p w14:paraId="71FFFEDD" w14:textId="7F40C560" w:rsidR="00A54193" w:rsidRDefault="006B76C6" w:rsidP="00A54193">
      <w:pPr>
        <w:rPr>
          <w:rFonts w:ascii="Times New Roman" w:hAnsi="Times New Roman"/>
          <w:sz w:val="24"/>
          <w:szCs w:val="24"/>
        </w:rPr>
      </w:pPr>
      <w:r>
        <w:rPr>
          <w:rFonts w:ascii="Times New Roman" w:hAnsi="Times New Roman"/>
          <w:sz w:val="24"/>
          <w:szCs w:val="24"/>
        </w:rPr>
        <w:t>T</w:t>
      </w:r>
      <w:r w:rsidR="00A54193" w:rsidRPr="00FD005A">
        <w:rPr>
          <w:rFonts w:ascii="Times New Roman" w:hAnsi="Times New Roman"/>
          <w:sz w:val="24"/>
          <w:szCs w:val="24"/>
        </w:rPr>
        <w:t xml:space="preserve">he Office of </w:t>
      </w:r>
      <w:r w:rsidR="00A54193">
        <w:rPr>
          <w:rFonts w:ascii="Times New Roman" w:hAnsi="Times New Roman"/>
          <w:sz w:val="24"/>
          <w:szCs w:val="24"/>
        </w:rPr>
        <w:t>Impact Analys</w:t>
      </w:r>
      <w:r>
        <w:rPr>
          <w:rFonts w:ascii="Times New Roman" w:hAnsi="Times New Roman"/>
          <w:sz w:val="24"/>
          <w:szCs w:val="24"/>
        </w:rPr>
        <w:t>is confirmed that a Regulation Impact Statement was not required</w:t>
      </w:r>
      <w:r w:rsidR="00A54193">
        <w:rPr>
          <w:rFonts w:ascii="Times New Roman" w:hAnsi="Times New Roman"/>
          <w:sz w:val="24"/>
          <w:szCs w:val="24"/>
        </w:rPr>
        <w:t>.</w:t>
      </w:r>
    </w:p>
    <w:p w14:paraId="476EB71B" w14:textId="17812B34" w:rsidR="00B670E9" w:rsidRPr="00DE1106" w:rsidRDefault="00B670E9" w:rsidP="003163CB">
      <w:pPr>
        <w:pStyle w:val="Heading"/>
        <w:spacing w:before="0" w:after="240"/>
        <w:jc w:val="both"/>
        <w:rPr>
          <w:rFonts w:cs="Times New Roman"/>
          <w:i/>
          <w:sz w:val="24"/>
          <w:szCs w:val="24"/>
        </w:rPr>
      </w:pPr>
      <w:r w:rsidRPr="00BC1E70">
        <w:rPr>
          <w:rFonts w:cs="Times New Roman"/>
          <w:sz w:val="24"/>
          <w:szCs w:val="24"/>
        </w:rPr>
        <w:t>5.</w:t>
      </w:r>
      <w:r>
        <w:tab/>
      </w:r>
      <w:r w:rsidRPr="00BC1E70">
        <w:rPr>
          <w:rFonts w:cs="Times New Roman"/>
          <w:sz w:val="24"/>
          <w:szCs w:val="24"/>
        </w:rPr>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1873CBB0"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00C87400">
        <w:rPr>
          <w:rFonts w:ascii="Times New Roman" w:eastAsia="Times New Roman" w:hAnsi="Times New Roman" w:cs="Times New Roman"/>
          <w:b/>
          <w:sz w:val="24"/>
          <w:szCs w:val="24"/>
          <w:lang w:eastAsia="en-AU"/>
        </w:rPr>
        <w:t>131</w:t>
      </w:r>
      <w:r w:rsidR="00C87400" w:rsidRPr="008234D8">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sidR="006B76C6">
        <w:rPr>
          <w:rFonts w:ascii="Times New Roman" w:eastAsia="Times New Roman" w:hAnsi="Times New Roman" w:cs="Times New Roman"/>
          <w:b/>
          <w:sz w:val="24"/>
          <w:szCs w:val="24"/>
          <w:lang w:eastAsia="en-AU"/>
        </w:rPr>
        <w:t>3</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51DCF46" w14:textId="65351E3B" w:rsidR="00CD1253" w:rsidRDefault="00CD1253" w:rsidP="00D56D61">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D56D61">
        <w:rPr>
          <w:rFonts w:ascii="Times New Roman" w:hAnsi="Times New Roman" w:cs="Times New Roman"/>
          <w:sz w:val="24"/>
          <w:szCs w:val="24"/>
        </w:rPr>
        <w:t xml:space="preserve">determine </w:t>
      </w:r>
      <w:r w:rsidR="00574BA1">
        <w:rPr>
          <w:rFonts w:ascii="Times New Roman" w:hAnsi="Times New Roman" w:cs="Times New Roman"/>
          <w:sz w:val="24"/>
          <w:szCs w:val="24"/>
        </w:rPr>
        <w:t xml:space="preserve">a </w:t>
      </w:r>
      <w:r w:rsidR="00D56D61">
        <w:rPr>
          <w:rFonts w:ascii="Times New Roman" w:hAnsi="Times New Roman" w:cs="Times New Roman"/>
          <w:sz w:val="24"/>
          <w:szCs w:val="24"/>
        </w:rPr>
        <w:t xml:space="preserve">new </w:t>
      </w:r>
      <w:r w:rsidR="00574BA1">
        <w:rPr>
          <w:rFonts w:ascii="Times New Roman" w:hAnsi="Times New Roman" w:cs="Times New Roman"/>
          <w:i/>
          <w:sz w:val="24"/>
          <w:szCs w:val="24"/>
        </w:rPr>
        <w:t xml:space="preserve">Reporting Standard </w:t>
      </w:r>
      <w:r w:rsidR="00574BA1" w:rsidDel="00830213">
        <w:rPr>
          <w:rFonts w:ascii="Times New Roman" w:hAnsi="Times New Roman" w:cs="Times New Roman"/>
          <w:i/>
          <w:sz w:val="24"/>
          <w:szCs w:val="24"/>
        </w:rPr>
        <w:t xml:space="preserve">ARS </w:t>
      </w:r>
      <w:r w:rsidR="00830213">
        <w:rPr>
          <w:rFonts w:ascii="Times New Roman" w:hAnsi="Times New Roman" w:cs="Times New Roman"/>
          <w:i/>
          <w:sz w:val="24"/>
          <w:szCs w:val="24"/>
        </w:rPr>
        <w:t>226.0 Margining and risk mitigation for non-centrally cleared derivatives</w:t>
      </w:r>
      <w:r w:rsidR="003C7355">
        <w:rPr>
          <w:rFonts w:ascii="Times New Roman" w:hAnsi="Times New Roman" w:cs="Times New Roman"/>
          <w:sz w:val="24"/>
          <w:szCs w:val="24"/>
        </w:rPr>
        <w:t xml:space="preserve"> </w:t>
      </w:r>
      <w:r w:rsidR="00D56D61">
        <w:rPr>
          <w:rFonts w:ascii="Times New Roman" w:hAnsi="Times New Roman" w:cs="Times New Roman"/>
          <w:sz w:val="24"/>
          <w:szCs w:val="24"/>
        </w:rPr>
        <w:t xml:space="preserve">that </w:t>
      </w:r>
      <w:r w:rsidR="00226D70">
        <w:rPr>
          <w:rFonts w:ascii="Times New Roman" w:hAnsi="Times New Roman" w:cs="Times New Roman"/>
          <w:sz w:val="24"/>
          <w:szCs w:val="24"/>
        </w:rPr>
        <w:t xml:space="preserve">create a </w:t>
      </w:r>
      <w:r w:rsidR="008A2E6E">
        <w:rPr>
          <w:rFonts w:ascii="Times New Roman" w:hAnsi="Times New Roman" w:cs="Times New Roman"/>
          <w:sz w:val="24"/>
          <w:szCs w:val="24"/>
        </w:rPr>
        <w:t xml:space="preserve">new reporting standard for </w:t>
      </w:r>
      <w:r w:rsidR="008A2E6E" w:rsidRPr="00025FD2">
        <w:rPr>
          <w:rFonts w:ascii="Times New Roman" w:hAnsi="Times New Roman" w:cs="Times New Roman"/>
          <w:i/>
          <w:sz w:val="24"/>
          <w:szCs w:val="24"/>
        </w:rPr>
        <w:t>Reporting Form ARF 226.0 Margining and risk mitigation for non-centrally cleared derivatives</w:t>
      </w:r>
      <w:r w:rsidR="008A2E6E">
        <w:rPr>
          <w:rFonts w:ascii="Times New Roman" w:hAnsi="Times New Roman" w:cs="Times New Roman"/>
          <w:i/>
          <w:sz w:val="24"/>
          <w:szCs w:val="24"/>
        </w:rPr>
        <w:t xml:space="preserve"> </w:t>
      </w:r>
      <w:r w:rsidR="008A2E6E" w:rsidRPr="005045F6">
        <w:rPr>
          <w:rFonts w:ascii="Times New Roman" w:hAnsi="Times New Roman" w:cs="Times New Roman"/>
          <w:sz w:val="24"/>
          <w:szCs w:val="24"/>
        </w:rPr>
        <w:t>(ARF 226.0)</w:t>
      </w:r>
      <w:r w:rsidR="008A2E6E">
        <w:rPr>
          <w:rFonts w:ascii="Times New Roman" w:hAnsi="Times New Roman" w:cs="Times New Roman"/>
          <w:sz w:val="24"/>
          <w:szCs w:val="24"/>
        </w:rPr>
        <w:t>,</w:t>
      </w:r>
      <w:r w:rsidR="008A2E6E" w:rsidRPr="00CE11A6">
        <w:rPr>
          <w:rFonts w:ascii="Times New Roman" w:hAnsi="Times New Roman" w:cs="Times New Roman"/>
          <w:sz w:val="24"/>
          <w:szCs w:val="24"/>
        </w:rPr>
        <w:t xml:space="preserve"> </w:t>
      </w:r>
      <w:r w:rsidR="008A2E6E">
        <w:rPr>
          <w:rFonts w:ascii="Times New Roman" w:hAnsi="Times New Roman" w:cs="Times New Roman"/>
          <w:sz w:val="24"/>
          <w:szCs w:val="24"/>
        </w:rPr>
        <w:t>to</w:t>
      </w:r>
      <w:r w:rsidR="008A2E6E" w:rsidRPr="00CE11A6">
        <w:rPr>
          <w:rFonts w:ascii="Times New Roman" w:hAnsi="Times New Roman" w:cs="Times New Roman"/>
          <w:sz w:val="24"/>
          <w:szCs w:val="24"/>
        </w:rPr>
        <w:t xml:space="preserve"> make it easier for the industry to locate this reporting form. </w:t>
      </w:r>
      <w:r w:rsidR="008A2E6E" w:rsidRPr="005045F6">
        <w:rPr>
          <w:rFonts w:ascii="Times New Roman" w:hAnsi="Times New Roman" w:cs="Times New Roman"/>
          <w:sz w:val="24"/>
          <w:szCs w:val="24"/>
        </w:rPr>
        <w:t xml:space="preserve">Presently ARF 226.0 </w:t>
      </w:r>
      <w:proofErr w:type="gramStart"/>
      <w:r w:rsidR="008A2E6E" w:rsidRPr="005045F6">
        <w:rPr>
          <w:rFonts w:ascii="Times New Roman" w:hAnsi="Times New Roman" w:cs="Times New Roman"/>
          <w:sz w:val="24"/>
          <w:szCs w:val="24"/>
        </w:rPr>
        <w:t>is located in</w:t>
      </w:r>
      <w:proofErr w:type="gramEnd"/>
      <w:r w:rsidR="008A2E6E" w:rsidRPr="005045F6">
        <w:rPr>
          <w:rFonts w:ascii="Times New Roman" w:hAnsi="Times New Roman" w:cs="Times New Roman"/>
          <w:sz w:val="24"/>
          <w:szCs w:val="24"/>
        </w:rPr>
        <w:t xml:space="preserve"> </w:t>
      </w:r>
      <w:r w:rsidR="008A2E6E" w:rsidRPr="001D7BB6">
        <w:rPr>
          <w:rFonts w:ascii="Times New Roman" w:hAnsi="Times New Roman" w:cs="Times New Roman"/>
          <w:i/>
          <w:sz w:val="24"/>
          <w:szCs w:val="24"/>
        </w:rPr>
        <w:t xml:space="preserve">Reporting Standard 180.0 </w:t>
      </w:r>
      <w:r w:rsidR="008A2E6E" w:rsidRPr="001D7BB6">
        <w:rPr>
          <w:rFonts w:ascii="Times New Roman" w:hAnsi="Times New Roman" w:cs="Times New Roman"/>
          <w:i/>
          <w:iCs/>
          <w:sz w:val="24"/>
          <w:szCs w:val="24"/>
        </w:rPr>
        <w:t xml:space="preserve">Capital Adequacy: Counterparty Credit </w:t>
      </w:r>
      <w:r w:rsidR="008A2E6E" w:rsidRPr="001D7BB6">
        <w:rPr>
          <w:rFonts w:ascii="Times New Roman" w:hAnsi="Times New Roman" w:cs="Times New Roman"/>
          <w:i/>
          <w:sz w:val="24"/>
          <w:szCs w:val="24"/>
        </w:rPr>
        <w:t>Risk</w:t>
      </w:r>
      <w:r w:rsidR="008A2E6E" w:rsidRPr="00025FD2">
        <w:rPr>
          <w:rFonts w:ascii="Times New Roman" w:hAnsi="Times New Roman" w:cs="Times New Roman"/>
          <w:i/>
          <w:sz w:val="24"/>
          <w:szCs w:val="24"/>
        </w:rPr>
        <w:t xml:space="preserve"> </w:t>
      </w:r>
      <w:r w:rsidR="008A2E6E">
        <w:rPr>
          <w:rFonts w:ascii="Times New Roman" w:hAnsi="Times New Roman" w:cs="Times New Roman"/>
          <w:sz w:val="24"/>
          <w:szCs w:val="24"/>
        </w:rPr>
        <w:t>(</w:t>
      </w:r>
      <w:r w:rsidR="008A2E6E" w:rsidRPr="005045F6">
        <w:rPr>
          <w:rFonts w:ascii="Times New Roman" w:hAnsi="Times New Roman" w:cs="Times New Roman"/>
          <w:sz w:val="24"/>
          <w:szCs w:val="24"/>
        </w:rPr>
        <w:t>ARS 180.0</w:t>
      </w:r>
      <w:r w:rsidR="008A2E6E">
        <w:rPr>
          <w:rFonts w:ascii="Times New Roman" w:hAnsi="Times New Roman" w:cs="Times New Roman"/>
          <w:sz w:val="24"/>
          <w:szCs w:val="24"/>
        </w:rPr>
        <w:t>)</w:t>
      </w:r>
      <w:r w:rsidR="008A2E6E" w:rsidRPr="005045F6">
        <w:rPr>
          <w:rFonts w:ascii="Times New Roman" w:hAnsi="Times New Roman" w:cs="Times New Roman"/>
          <w:sz w:val="24"/>
          <w:szCs w:val="24"/>
        </w:rPr>
        <w:t>.</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6A740A2A" w14:textId="07BC82E4" w:rsidR="00211AFD" w:rsidRPr="00C87400" w:rsidRDefault="00B670E9" w:rsidP="00EC6D28">
      <w:pPr>
        <w:rPr>
          <w:rFonts w:ascii="Times New Roman" w:hAnsi="Times New Roman" w:cs="Times New Roman"/>
        </w:rPr>
      </w:pPr>
      <w:r w:rsidRPr="00C87400">
        <w:rPr>
          <w:rFonts w:ascii="Times New Roman" w:hAnsi="Times New Roman" w:cs="Times New Roman"/>
          <w:sz w:val="24"/>
          <w:szCs w:val="24"/>
        </w:rPr>
        <w:t>Th</w:t>
      </w:r>
      <w:r w:rsidR="006212E3" w:rsidRPr="00C87400">
        <w:rPr>
          <w:rFonts w:ascii="Times New Roman" w:hAnsi="Times New Roman" w:cs="Times New Roman"/>
          <w:sz w:val="24"/>
          <w:szCs w:val="24"/>
        </w:rPr>
        <w:t>i</w:t>
      </w:r>
      <w:r w:rsidRPr="00C87400">
        <w:rPr>
          <w:rFonts w:ascii="Times New Roman" w:hAnsi="Times New Roman" w:cs="Times New Roman"/>
          <w:sz w:val="24"/>
          <w:szCs w:val="24"/>
        </w:rPr>
        <w:t xml:space="preserve">s Legislative Instrument </w:t>
      </w:r>
      <w:r w:rsidR="006212E3" w:rsidRPr="00C87400">
        <w:rPr>
          <w:rFonts w:ascii="Times New Roman" w:hAnsi="Times New Roman" w:cs="Times New Roman"/>
          <w:sz w:val="24"/>
          <w:szCs w:val="24"/>
        </w:rPr>
        <w:t>is</w:t>
      </w:r>
      <w:r w:rsidRPr="00C87400">
        <w:rPr>
          <w:rFonts w:ascii="Times New Roman" w:hAnsi="Times New Roman" w:cs="Times New Roman"/>
          <w:sz w:val="24"/>
          <w:szCs w:val="24"/>
        </w:rPr>
        <w:t xml:space="preserve"> compatible with human rights as </w:t>
      </w:r>
      <w:r w:rsidR="006212E3" w:rsidRPr="00C87400">
        <w:rPr>
          <w:rFonts w:ascii="Times New Roman" w:hAnsi="Times New Roman" w:cs="Times New Roman"/>
          <w:sz w:val="24"/>
          <w:szCs w:val="24"/>
        </w:rPr>
        <w:t>it</w:t>
      </w:r>
      <w:r w:rsidRPr="00C87400">
        <w:rPr>
          <w:rFonts w:ascii="Times New Roman" w:hAnsi="Times New Roman" w:cs="Times New Roman"/>
          <w:sz w:val="24"/>
          <w:szCs w:val="24"/>
        </w:rPr>
        <w:t xml:space="preserve"> do</w:t>
      </w:r>
      <w:r w:rsidR="006212E3" w:rsidRPr="00C87400">
        <w:rPr>
          <w:rFonts w:ascii="Times New Roman" w:hAnsi="Times New Roman" w:cs="Times New Roman"/>
          <w:sz w:val="24"/>
          <w:szCs w:val="24"/>
        </w:rPr>
        <w:t>es</w:t>
      </w:r>
      <w:r w:rsidRPr="00C87400">
        <w:rPr>
          <w:rFonts w:ascii="Times New Roman" w:hAnsi="Times New Roman" w:cs="Times New Roman"/>
          <w:sz w:val="24"/>
          <w:szCs w:val="24"/>
        </w:rPr>
        <w:t xml:space="preserve"> not raise any human rights issues.</w:t>
      </w:r>
    </w:p>
    <w:sectPr w:rsidR="00211AFD" w:rsidRPr="00C87400" w:rsidSect="00B06E21">
      <w:footerReference w:type="default" r:id="rId13"/>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6885" w14:textId="77777777" w:rsidR="00B8408E" w:rsidRPr="000D4EDE" w:rsidRDefault="00B8408E" w:rsidP="000D4EDE">
      <w:r>
        <w:separator/>
      </w:r>
    </w:p>
  </w:endnote>
  <w:endnote w:type="continuationSeparator" w:id="0">
    <w:p w14:paraId="52290639" w14:textId="77777777" w:rsidR="00B8408E" w:rsidRPr="000D4EDE" w:rsidRDefault="00B8408E" w:rsidP="000D4EDE">
      <w:r>
        <w:continuationSeparator/>
      </w:r>
    </w:p>
  </w:endnote>
  <w:endnote w:type="continuationNotice" w:id="1">
    <w:p w14:paraId="67AA30C4" w14:textId="77777777" w:rsidR="00B8408E" w:rsidRDefault="00B840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19342"/>
      <w:docPartObj>
        <w:docPartGallery w:val="Page Numbers (Bottom of Page)"/>
        <w:docPartUnique/>
      </w:docPartObj>
    </w:sdtPr>
    <w:sdtEndPr>
      <w:rPr>
        <w:noProof/>
      </w:rPr>
    </w:sdtEndPr>
    <w:sdtContent>
      <w:p w14:paraId="48DCD401" w14:textId="4F16C130" w:rsidR="000544C9" w:rsidRDefault="000544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682A" w14:textId="77777777" w:rsidR="00B8408E" w:rsidRPr="000D4EDE" w:rsidRDefault="00B8408E" w:rsidP="000D4EDE">
      <w:r>
        <w:separator/>
      </w:r>
    </w:p>
  </w:footnote>
  <w:footnote w:type="continuationSeparator" w:id="0">
    <w:p w14:paraId="15342E6A" w14:textId="77777777" w:rsidR="00B8408E" w:rsidRPr="000D4EDE" w:rsidRDefault="00B8408E" w:rsidP="000D4EDE">
      <w:r>
        <w:continuationSeparator/>
      </w:r>
    </w:p>
  </w:footnote>
  <w:footnote w:type="continuationNotice" w:id="1">
    <w:p w14:paraId="2FCC1DCA" w14:textId="77777777" w:rsidR="00B8408E" w:rsidRDefault="00B840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0707908"/>
    <w:multiLevelType w:val="hybridMultilevel"/>
    <w:tmpl w:val="73F61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6E74B32"/>
    <w:multiLevelType w:val="multilevel"/>
    <w:tmpl w:val="2716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0562E1"/>
    <w:multiLevelType w:val="hybridMultilevel"/>
    <w:tmpl w:val="3DDEE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3"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F2247CB"/>
    <w:multiLevelType w:val="hybridMultilevel"/>
    <w:tmpl w:val="FFFFFFFF"/>
    <w:lvl w:ilvl="0" w:tplc="69C2C8F0">
      <w:start w:val="1"/>
      <w:numFmt w:val="bullet"/>
      <w:lvlText w:val=""/>
      <w:lvlJc w:val="left"/>
      <w:pPr>
        <w:ind w:left="720" w:hanging="360"/>
      </w:pPr>
      <w:rPr>
        <w:rFonts w:ascii="Symbol" w:hAnsi="Symbol" w:hint="default"/>
      </w:rPr>
    </w:lvl>
    <w:lvl w:ilvl="1" w:tplc="18E09B88">
      <w:start w:val="1"/>
      <w:numFmt w:val="bullet"/>
      <w:lvlText w:val="o"/>
      <w:lvlJc w:val="left"/>
      <w:pPr>
        <w:ind w:left="1440" w:hanging="360"/>
      </w:pPr>
      <w:rPr>
        <w:rFonts w:ascii="Courier New" w:hAnsi="Courier New" w:hint="default"/>
      </w:rPr>
    </w:lvl>
    <w:lvl w:ilvl="2" w:tplc="2674B2F6">
      <w:start w:val="1"/>
      <w:numFmt w:val="bullet"/>
      <w:lvlText w:val=""/>
      <w:lvlJc w:val="left"/>
      <w:pPr>
        <w:ind w:left="2160" w:hanging="360"/>
      </w:pPr>
      <w:rPr>
        <w:rFonts w:ascii="Wingdings" w:hAnsi="Wingdings" w:hint="default"/>
      </w:rPr>
    </w:lvl>
    <w:lvl w:ilvl="3" w:tplc="3962F4F0">
      <w:start w:val="1"/>
      <w:numFmt w:val="bullet"/>
      <w:lvlText w:val=""/>
      <w:lvlJc w:val="left"/>
      <w:pPr>
        <w:ind w:left="2880" w:hanging="360"/>
      </w:pPr>
      <w:rPr>
        <w:rFonts w:ascii="Symbol" w:hAnsi="Symbol" w:hint="default"/>
      </w:rPr>
    </w:lvl>
    <w:lvl w:ilvl="4" w:tplc="36A6D7D4">
      <w:start w:val="1"/>
      <w:numFmt w:val="bullet"/>
      <w:lvlText w:val="o"/>
      <w:lvlJc w:val="left"/>
      <w:pPr>
        <w:ind w:left="3600" w:hanging="360"/>
      </w:pPr>
      <w:rPr>
        <w:rFonts w:ascii="Courier New" w:hAnsi="Courier New" w:hint="default"/>
      </w:rPr>
    </w:lvl>
    <w:lvl w:ilvl="5" w:tplc="763E9B0C">
      <w:start w:val="1"/>
      <w:numFmt w:val="bullet"/>
      <w:lvlText w:val=""/>
      <w:lvlJc w:val="left"/>
      <w:pPr>
        <w:ind w:left="4320" w:hanging="360"/>
      </w:pPr>
      <w:rPr>
        <w:rFonts w:ascii="Wingdings" w:hAnsi="Wingdings" w:hint="default"/>
      </w:rPr>
    </w:lvl>
    <w:lvl w:ilvl="6" w:tplc="B008B046">
      <w:start w:val="1"/>
      <w:numFmt w:val="bullet"/>
      <w:lvlText w:val=""/>
      <w:lvlJc w:val="left"/>
      <w:pPr>
        <w:ind w:left="5040" w:hanging="360"/>
      </w:pPr>
      <w:rPr>
        <w:rFonts w:ascii="Symbol" w:hAnsi="Symbol" w:hint="default"/>
      </w:rPr>
    </w:lvl>
    <w:lvl w:ilvl="7" w:tplc="1E6203D2">
      <w:start w:val="1"/>
      <w:numFmt w:val="bullet"/>
      <w:lvlText w:val="o"/>
      <w:lvlJc w:val="left"/>
      <w:pPr>
        <w:ind w:left="5760" w:hanging="360"/>
      </w:pPr>
      <w:rPr>
        <w:rFonts w:ascii="Courier New" w:hAnsi="Courier New" w:hint="default"/>
      </w:rPr>
    </w:lvl>
    <w:lvl w:ilvl="8" w:tplc="0E34228A">
      <w:start w:val="1"/>
      <w:numFmt w:val="bullet"/>
      <w:lvlText w:val=""/>
      <w:lvlJc w:val="left"/>
      <w:pPr>
        <w:ind w:left="6480" w:hanging="360"/>
      </w:pPr>
      <w:rPr>
        <w:rFonts w:ascii="Wingdings" w:hAnsi="Wingdings" w:hint="default"/>
      </w:rPr>
    </w:lvl>
  </w:abstractNum>
  <w:abstractNum w:abstractNumId="16" w15:restartNumberingAfterBreak="0">
    <w:nsid w:val="3F8B07F6"/>
    <w:multiLevelType w:val="multilevel"/>
    <w:tmpl w:val="FFFFFFFF"/>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7684C3B"/>
    <w:multiLevelType w:val="multilevel"/>
    <w:tmpl w:val="828A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B17A3F"/>
    <w:multiLevelType w:val="multilevel"/>
    <w:tmpl w:val="8EA00C60"/>
    <w:styleLink w:val="1ai"/>
    <w:lvl w:ilvl="0">
      <w:start w:val="1"/>
      <w:numFmt w:val="decimal"/>
      <w:pStyle w:val="Normal"/>
      <w:suff w:val="nothing"/>
      <w:lvlText w:val=""/>
      <w:lvlJc w:val="left"/>
      <w:pPr>
        <w:ind w:left="0" w:firstLine="0"/>
      </w:p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9AE580B"/>
    <w:multiLevelType w:val="hybridMultilevel"/>
    <w:tmpl w:val="CEFC2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7"/>
  </w:num>
  <w:num w:numId="4" w16cid:durableId="2042590614">
    <w:abstractNumId w:val="19"/>
  </w:num>
  <w:num w:numId="5" w16cid:durableId="521478323">
    <w:abstractNumId w:val="23"/>
  </w:num>
  <w:num w:numId="6" w16cid:durableId="288823805">
    <w:abstractNumId w:val="17"/>
  </w:num>
  <w:num w:numId="7" w16cid:durableId="13809367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12"/>
  </w:num>
  <w:num w:numId="9" w16cid:durableId="398133406">
    <w:abstractNumId w:val="2"/>
  </w:num>
  <w:num w:numId="10" w16cid:durableId="1790781280">
    <w:abstractNumId w:val="8"/>
  </w:num>
  <w:num w:numId="11" w16cid:durableId="785537199">
    <w:abstractNumId w:val="5"/>
  </w:num>
  <w:num w:numId="12" w16cid:durableId="2035961868">
    <w:abstractNumId w:val="4"/>
  </w:num>
  <w:num w:numId="13" w16cid:durableId="1725759766">
    <w:abstractNumId w:val="24"/>
  </w:num>
  <w:num w:numId="14" w16cid:durableId="168563981">
    <w:abstractNumId w:val="14"/>
  </w:num>
  <w:num w:numId="15" w16cid:durableId="2008093173">
    <w:abstractNumId w:val="10"/>
  </w:num>
  <w:num w:numId="16" w16cid:durableId="844632474">
    <w:abstractNumId w:val="13"/>
  </w:num>
  <w:num w:numId="17" w16cid:durableId="1251620339">
    <w:abstractNumId w:val="20"/>
  </w:num>
  <w:num w:numId="18" w16cid:durableId="1893076358">
    <w:abstractNumId w:val="21"/>
  </w:num>
  <w:num w:numId="19" w16cid:durableId="1667436918">
    <w:abstractNumId w:val="18"/>
  </w:num>
  <w:num w:numId="20" w16cid:durableId="351035494">
    <w:abstractNumId w:val="6"/>
  </w:num>
  <w:num w:numId="21" w16cid:durableId="1667903437">
    <w:abstractNumId w:val="9"/>
  </w:num>
  <w:num w:numId="22" w16cid:durableId="1984042247">
    <w:abstractNumId w:val="22"/>
  </w:num>
  <w:num w:numId="23" w16cid:durableId="210390120">
    <w:abstractNumId w:val="25"/>
  </w:num>
  <w:num w:numId="24" w16cid:durableId="664935416">
    <w:abstractNumId w:val="11"/>
  </w:num>
  <w:num w:numId="25" w16cid:durableId="704256425">
    <w:abstractNumId w:val="3"/>
  </w:num>
  <w:num w:numId="26" w16cid:durableId="1480804350">
    <w:abstractNumId w:val="16"/>
  </w:num>
  <w:num w:numId="27" w16cid:durableId="56560794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1FF0"/>
    <w:rsid w:val="00004ED1"/>
    <w:rsid w:val="00005D98"/>
    <w:rsid w:val="00005F96"/>
    <w:rsid w:val="00007262"/>
    <w:rsid w:val="00010789"/>
    <w:rsid w:val="00011C96"/>
    <w:rsid w:val="000141B9"/>
    <w:rsid w:val="00014E49"/>
    <w:rsid w:val="00020E4C"/>
    <w:rsid w:val="00023CE3"/>
    <w:rsid w:val="00034A19"/>
    <w:rsid w:val="00036F9E"/>
    <w:rsid w:val="000413B3"/>
    <w:rsid w:val="000431D2"/>
    <w:rsid w:val="000453D9"/>
    <w:rsid w:val="00045D7D"/>
    <w:rsid w:val="00045EF6"/>
    <w:rsid w:val="000544C9"/>
    <w:rsid w:val="000573E5"/>
    <w:rsid w:val="00057B71"/>
    <w:rsid w:val="00060AE8"/>
    <w:rsid w:val="00065CB6"/>
    <w:rsid w:val="0006638F"/>
    <w:rsid w:val="00067E80"/>
    <w:rsid w:val="0007202C"/>
    <w:rsid w:val="00072B30"/>
    <w:rsid w:val="0007319C"/>
    <w:rsid w:val="000732AA"/>
    <w:rsid w:val="00073F77"/>
    <w:rsid w:val="000745D3"/>
    <w:rsid w:val="000767DD"/>
    <w:rsid w:val="000771A4"/>
    <w:rsid w:val="0008011A"/>
    <w:rsid w:val="000830C3"/>
    <w:rsid w:val="00084F8B"/>
    <w:rsid w:val="000851D0"/>
    <w:rsid w:val="00086D07"/>
    <w:rsid w:val="00086F71"/>
    <w:rsid w:val="00093915"/>
    <w:rsid w:val="000949AD"/>
    <w:rsid w:val="00094AEA"/>
    <w:rsid w:val="00095109"/>
    <w:rsid w:val="00096B0F"/>
    <w:rsid w:val="000A1A15"/>
    <w:rsid w:val="000A490E"/>
    <w:rsid w:val="000B04C5"/>
    <w:rsid w:val="000B63CA"/>
    <w:rsid w:val="000B752A"/>
    <w:rsid w:val="000C00E5"/>
    <w:rsid w:val="000C14D9"/>
    <w:rsid w:val="000C15C7"/>
    <w:rsid w:val="000D4EDE"/>
    <w:rsid w:val="000E2460"/>
    <w:rsid w:val="000E43AC"/>
    <w:rsid w:val="000E6E37"/>
    <w:rsid w:val="000F0E6F"/>
    <w:rsid w:val="000F3304"/>
    <w:rsid w:val="000F62C5"/>
    <w:rsid w:val="001018A5"/>
    <w:rsid w:val="00106F56"/>
    <w:rsid w:val="00115A39"/>
    <w:rsid w:val="00116AEF"/>
    <w:rsid w:val="00117479"/>
    <w:rsid w:val="00123576"/>
    <w:rsid w:val="001241CB"/>
    <w:rsid w:val="00124B21"/>
    <w:rsid w:val="001327B8"/>
    <w:rsid w:val="0013471B"/>
    <w:rsid w:val="00134B76"/>
    <w:rsid w:val="001352D4"/>
    <w:rsid w:val="00141E65"/>
    <w:rsid w:val="00142132"/>
    <w:rsid w:val="00155789"/>
    <w:rsid w:val="00155B35"/>
    <w:rsid w:val="00157C98"/>
    <w:rsid w:val="00161845"/>
    <w:rsid w:val="001637C7"/>
    <w:rsid w:val="001653B6"/>
    <w:rsid w:val="00165BF6"/>
    <w:rsid w:val="00174039"/>
    <w:rsid w:val="00174B0F"/>
    <w:rsid w:val="00180361"/>
    <w:rsid w:val="0018235E"/>
    <w:rsid w:val="00184187"/>
    <w:rsid w:val="00184B1B"/>
    <w:rsid w:val="001A4EA4"/>
    <w:rsid w:val="001A664F"/>
    <w:rsid w:val="001B2DB7"/>
    <w:rsid w:val="001B3A9F"/>
    <w:rsid w:val="001D0C02"/>
    <w:rsid w:val="001D3D43"/>
    <w:rsid w:val="001D7BB6"/>
    <w:rsid w:val="001E0F51"/>
    <w:rsid w:val="001E55BF"/>
    <w:rsid w:val="001E6BCB"/>
    <w:rsid w:val="001F154B"/>
    <w:rsid w:val="001F6E1A"/>
    <w:rsid w:val="001F780A"/>
    <w:rsid w:val="001F7917"/>
    <w:rsid w:val="00200613"/>
    <w:rsid w:val="00202C6D"/>
    <w:rsid w:val="00211AFD"/>
    <w:rsid w:val="002143E2"/>
    <w:rsid w:val="00214883"/>
    <w:rsid w:val="002156F6"/>
    <w:rsid w:val="00220550"/>
    <w:rsid w:val="00222497"/>
    <w:rsid w:val="00226D70"/>
    <w:rsid w:val="002301A2"/>
    <w:rsid w:val="00236C2D"/>
    <w:rsid w:val="00237201"/>
    <w:rsid w:val="002374B7"/>
    <w:rsid w:val="00240126"/>
    <w:rsid w:val="00241D16"/>
    <w:rsid w:val="00242384"/>
    <w:rsid w:val="0024304D"/>
    <w:rsid w:val="00244826"/>
    <w:rsid w:val="00244B0A"/>
    <w:rsid w:val="00247A25"/>
    <w:rsid w:val="00247ACA"/>
    <w:rsid w:val="00252604"/>
    <w:rsid w:val="0025287F"/>
    <w:rsid w:val="00252E6A"/>
    <w:rsid w:val="00255A20"/>
    <w:rsid w:val="00255DC5"/>
    <w:rsid w:val="0025782A"/>
    <w:rsid w:val="0026174A"/>
    <w:rsid w:val="00263414"/>
    <w:rsid w:val="002661A6"/>
    <w:rsid w:val="00266C23"/>
    <w:rsid w:val="00277D6C"/>
    <w:rsid w:val="00286EAD"/>
    <w:rsid w:val="00292A60"/>
    <w:rsid w:val="0029389B"/>
    <w:rsid w:val="002A1894"/>
    <w:rsid w:val="002A2188"/>
    <w:rsid w:val="002A36F2"/>
    <w:rsid w:val="002A6F5C"/>
    <w:rsid w:val="002A7D14"/>
    <w:rsid w:val="002B0913"/>
    <w:rsid w:val="002B1C83"/>
    <w:rsid w:val="002B28E4"/>
    <w:rsid w:val="002B49A3"/>
    <w:rsid w:val="002B5EBC"/>
    <w:rsid w:val="002B7497"/>
    <w:rsid w:val="002B7504"/>
    <w:rsid w:val="002C0D97"/>
    <w:rsid w:val="002C4A3F"/>
    <w:rsid w:val="002C66D1"/>
    <w:rsid w:val="002C7065"/>
    <w:rsid w:val="002C7D73"/>
    <w:rsid w:val="002C7F4A"/>
    <w:rsid w:val="002D2804"/>
    <w:rsid w:val="002D4B6C"/>
    <w:rsid w:val="002D5274"/>
    <w:rsid w:val="002E1EE3"/>
    <w:rsid w:val="002F0135"/>
    <w:rsid w:val="002F0C2C"/>
    <w:rsid w:val="002F5D25"/>
    <w:rsid w:val="002F66A5"/>
    <w:rsid w:val="00300655"/>
    <w:rsid w:val="0030075D"/>
    <w:rsid w:val="00301BB1"/>
    <w:rsid w:val="00303D18"/>
    <w:rsid w:val="00307ADD"/>
    <w:rsid w:val="00307E55"/>
    <w:rsid w:val="00312A66"/>
    <w:rsid w:val="003130CA"/>
    <w:rsid w:val="003163CB"/>
    <w:rsid w:val="00316FA4"/>
    <w:rsid w:val="00317765"/>
    <w:rsid w:val="00321180"/>
    <w:rsid w:val="0032180D"/>
    <w:rsid w:val="003306A5"/>
    <w:rsid w:val="0033771F"/>
    <w:rsid w:val="00355622"/>
    <w:rsid w:val="00355D40"/>
    <w:rsid w:val="00371AAC"/>
    <w:rsid w:val="00371F54"/>
    <w:rsid w:val="0037770C"/>
    <w:rsid w:val="00377C8B"/>
    <w:rsid w:val="00383A95"/>
    <w:rsid w:val="00385CA0"/>
    <w:rsid w:val="00390144"/>
    <w:rsid w:val="00392E9C"/>
    <w:rsid w:val="0039585F"/>
    <w:rsid w:val="00396373"/>
    <w:rsid w:val="003A2733"/>
    <w:rsid w:val="003A3021"/>
    <w:rsid w:val="003A4483"/>
    <w:rsid w:val="003A4D41"/>
    <w:rsid w:val="003A627E"/>
    <w:rsid w:val="003A79EE"/>
    <w:rsid w:val="003B45AB"/>
    <w:rsid w:val="003B6E16"/>
    <w:rsid w:val="003B716D"/>
    <w:rsid w:val="003C180A"/>
    <w:rsid w:val="003C1E25"/>
    <w:rsid w:val="003C7355"/>
    <w:rsid w:val="003C76D4"/>
    <w:rsid w:val="003D27CB"/>
    <w:rsid w:val="003D292C"/>
    <w:rsid w:val="003D329D"/>
    <w:rsid w:val="003E1BB3"/>
    <w:rsid w:val="003E6BF6"/>
    <w:rsid w:val="003F0F0D"/>
    <w:rsid w:val="003F478E"/>
    <w:rsid w:val="0040173E"/>
    <w:rsid w:val="00406F5C"/>
    <w:rsid w:val="00435339"/>
    <w:rsid w:val="00436169"/>
    <w:rsid w:val="004410DC"/>
    <w:rsid w:val="0044447D"/>
    <w:rsid w:val="0044482D"/>
    <w:rsid w:val="004458C6"/>
    <w:rsid w:val="00450C67"/>
    <w:rsid w:val="0045447E"/>
    <w:rsid w:val="00456AE0"/>
    <w:rsid w:val="0046020A"/>
    <w:rsid w:val="00460CF7"/>
    <w:rsid w:val="00463FA8"/>
    <w:rsid w:val="00464196"/>
    <w:rsid w:val="00466648"/>
    <w:rsid w:val="00472CBC"/>
    <w:rsid w:val="004765B3"/>
    <w:rsid w:val="004843CA"/>
    <w:rsid w:val="00493DAA"/>
    <w:rsid w:val="00494335"/>
    <w:rsid w:val="004955D9"/>
    <w:rsid w:val="00495A4C"/>
    <w:rsid w:val="004964A9"/>
    <w:rsid w:val="004967A1"/>
    <w:rsid w:val="004A0FE7"/>
    <w:rsid w:val="004A1AB5"/>
    <w:rsid w:val="004A29F6"/>
    <w:rsid w:val="004B584E"/>
    <w:rsid w:val="004C1106"/>
    <w:rsid w:val="004C34A8"/>
    <w:rsid w:val="004C6D4B"/>
    <w:rsid w:val="004C766B"/>
    <w:rsid w:val="004D16C6"/>
    <w:rsid w:val="004D33E3"/>
    <w:rsid w:val="004D76C1"/>
    <w:rsid w:val="004D7C22"/>
    <w:rsid w:val="004E2269"/>
    <w:rsid w:val="004E451A"/>
    <w:rsid w:val="004F0E3E"/>
    <w:rsid w:val="004F3339"/>
    <w:rsid w:val="004F72A2"/>
    <w:rsid w:val="004F78E5"/>
    <w:rsid w:val="005020B3"/>
    <w:rsid w:val="005026D4"/>
    <w:rsid w:val="00503A51"/>
    <w:rsid w:val="00506774"/>
    <w:rsid w:val="00512309"/>
    <w:rsid w:val="00541D54"/>
    <w:rsid w:val="00542522"/>
    <w:rsid w:val="00543472"/>
    <w:rsid w:val="0054526E"/>
    <w:rsid w:val="00545CE1"/>
    <w:rsid w:val="00546297"/>
    <w:rsid w:val="005476B5"/>
    <w:rsid w:val="005549D7"/>
    <w:rsid w:val="005560B7"/>
    <w:rsid w:val="005602DA"/>
    <w:rsid w:val="00560CAF"/>
    <w:rsid w:val="00562087"/>
    <w:rsid w:val="005628DB"/>
    <w:rsid w:val="005678FC"/>
    <w:rsid w:val="0057138A"/>
    <w:rsid w:val="00573327"/>
    <w:rsid w:val="00573F5D"/>
    <w:rsid w:val="00574ACA"/>
    <w:rsid w:val="00574BA1"/>
    <w:rsid w:val="00577D9B"/>
    <w:rsid w:val="00577F94"/>
    <w:rsid w:val="005806BB"/>
    <w:rsid w:val="00583ED8"/>
    <w:rsid w:val="00587001"/>
    <w:rsid w:val="005921A3"/>
    <w:rsid w:val="00592F64"/>
    <w:rsid w:val="005930C0"/>
    <w:rsid w:val="00593441"/>
    <w:rsid w:val="005A3F63"/>
    <w:rsid w:val="005A59D0"/>
    <w:rsid w:val="005B073E"/>
    <w:rsid w:val="005B227F"/>
    <w:rsid w:val="005B2A8F"/>
    <w:rsid w:val="005B7801"/>
    <w:rsid w:val="005C384A"/>
    <w:rsid w:val="005C3B43"/>
    <w:rsid w:val="005C5891"/>
    <w:rsid w:val="005C641B"/>
    <w:rsid w:val="005D04CC"/>
    <w:rsid w:val="005D0683"/>
    <w:rsid w:val="005D5FAE"/>
    <w:rsid w:val="005E4BC9"/>
    <w:rsid w:val="005F0C9F"/>
    <w:rsid w:val="005F2637"/>
    <w:rsid w:val="005F29B7"/>
    <w:rsid w:val="005F6487"/>
    <w:rsid w:val="006018C7"/>
    <w:rsid w:val="00606EB5"/>
    <w:rsid w:val="00606FC8"/>
    <w:rsid w:val="00616C90"/>
    <w:rsid w:val="00617984"/>
    <w:rsid w:val="00617FDA"/>
    <w:rsid w:val="0062116F"/>
    <w:rsid w:val="006212E3"/>
    <w:rsid w:val="00623FD7"/>
    <w:rsid w:val="00626087"/>
    <w:rsid w:val="00634E4C"/>
    <w:rsid w:val="00636B8B"/>
    <w:rsid w:val="00641EAA"/>
    <w:rsid w:val="006427FE"/>
    <w:rsid w:val="006451CC"/>
    <w:rsid w:val="006452B9"/>
    <w:rsid w:val="006506C1"/>
    <w:rsid w:val="00652ACD"/>
    <w:rsid w:val="00657459"/>
    <w:rsid w:val="0065747A"/>
    <w:rsid w:val="00662E28"/>
    <w:rsid w:val="00663820"/>
    <w:rsid w:val="0066674D"/>
    <w:rsid w:val="00666781"/>
    <w:rsid w:val="00666A78"/>
    <w:rsid w:val="00670B59"/>
    <w:rsid w:val="00676C12"/>
    <w:rsid w:val="00687AED"/>
    <w:rsid w:val="00692687"/>
    <w:rsid w:val="0069292A"/>
    <w:rsid w:val="0069375D"/>
    <w:rsid w:val="0069407C"/>
    <w:rsid w:val="006955C2"/>
    <w:rsid w:val="0069574E"/>
    <w:rsid w:val="006969C0"/>
    <w:rsid w:val="006A1921"/>
    <w:rsid w:val="006A1B8B"/>
    <w:rsid w:val="006A2303"/>
    <w:rsid w:val="006A2C82"/>
    <w:rsid w:val="006B5592"/>
    <w:rsid w:val="006B76C6"/>
    <w:rsid w:val="006C1876"/>
    <w:rsid w:val="006C2963"/>
    <w:rsid w:val="006D2A45"/>
    <w:rsid w:val="006D315C"/>
    <w:rsid w:val="006D71B8"/>
    <w:rsid w:val="006D78F3"/>
    <w:rsid w:val="006E0FB8"/>
    <w:rsid w:val="006E4272"/>
    <w:rsid w:val="006E62BE"/>
    <w:rsid w:val="006F145A"/>
    <w:rsid w:val="006F27CB"/>
    <w:rsid w:val="006F359B"/>
    <w:rsid w:val="006F4962"/>
    <w:rsid w:val="006F5865"/>
    <w:rsid w:val="007002E5"/>
    <w:rsid w:val="00701EC6"/>
    <w:rsid w:val="00702183"/>
    <w:rsid w:val="00702E34"/>
    <w:rsid w:val="00706179"/>
    <w:rsid w:val="00714F78"/>
    <w:rsid w:val="007152B0"/>
    <w:rsid w:val="007170F7"/>
    <w:rsid w:val="00717589"/>
    <w:rsid w:val="00722F9F"/>
    <w:rsid w:val="007253B8"/>
    <w:rsid w:val="007331E6"/>
    <w:rsid w:val="0073420B"/>
    <w:rsid w:val="00736E7D"/>
    <w:rsid w:val="00741EDB"/>
    <w:rsid w:val="007433A8"/>
    <w:rsid w:val="007509A6"/>
    <w:rsid w:val="00753F83"/>
    <w:rsid w:val="007541B0"/>
    <w:rsid w:val="0075469B"/>
    <w:rsid w:val="00755163"/>
    <w:rsid w:val="00756AAB"/>
    <w:rsid w:val="00757F63"/>
    <w:rsid w:val="007605EB"/>
    <w:rsid w:val="007645AE"/>
    <w:rsid w:val="00764992"/>
    <w:rsid w:val="00765749"/>
    <w:rsid w:val="007669F7"/>
    <w:rsid w:val="00771075"/>
    <w:rsid w:val="007720F8"/>
    <w:rsid w:val="0077507F"/>
    <w:rsid w:val="00775637"/>
    <w:rsid w:val="00775AA0"/>
    <w:rsid w:val="00776684"/>
    <w:rsid w:val="007770FA"/>
    <w:rsid w:val="007773CF"/>
    <w:rsid w:val="00781045"/>
    <w:rsid w:val="00784166"/>
    <w:rsid w:val="007857D9"/>
    <w:rsid w:val="00787996"/>
    <w:rsid w:val="00791738"/>
    <w:rsid w:val="00791780"/>
    <w:rsid w:val="00792D37"/>
    <w:rsid w:val="0079390C"/>
    <w:rsid w:val="00797BFD"/>
    <w:rsid w:val="007A0EB7"/>
    <w:rsid w:val="007B2C90"/>
    <w:rsid w:val="007B6871"/>
    <w:rsid w:val="007B7899"/>
    <w:rsid w:val="007C08B1"/>
    <w:rsid w:val="007C2CC2"/>
    <w:rsid w:val="007C38BD"/>
    <w:rsid w:val="007C690F"/>
    <w:rsid w:val="007C79AA"/>
    <w:rsid w:val="007D1955"/>
    <w:rsid w:val="007D31DA"/>
    <w:rsid w:val="007D72C5"/>
    <w:rsid w:val="007E1D1C"/>
    <w:rsid w:val="007E2453"/>
    <w:rsid w:val="007E525D"/>
    <w:rsid w:val="007E5A0D"/>
    <w:rsid w:val="007E6391"/>
    <w:rsid w:val="007E7735"/>
    <w:rsid w:val="007F0323"/>
    <w:rsid w:val="007F379E"/>
    <w:rsid w:val="007F471C"/>
    <w:rsid w:val="00800C90"/>
    <w:rsid w:val="008125F8"/>
    <w:rsid w:val="00820044"/>
    <w:rsid w:val="008208A8"/>
    <w:rsid w:val="0082097B"/>
    <w:rsid w:val="00821EFD"/>
    <w:rsid w:val="008234D8"/>
    <w:rsid w:val="008255F5"/>
    <w:rsid w:val="00826012"/>
    <w:rsid w:val="00826303"/>
    <w:rsid w:val="00830213"/>
    <w:rsid w:val="00834CE0"/>
    <w:rsid w:val="0084110F"/>
    <w:rsid w:val="008435C8"/>
    <w:rsid w:val="00844B1D"/>
    <w:rsid w:val="00844F5C"/>
    <w:rsid w:val="008450D2"/>
    <w:rsid w:val="00845843"/>
    <w:rsid w:val="00846D34"/>
    <w:rsid w:val="00854C33"/>
    <w:rsid w:val="008567D0"/>
    <w:rsid w:val="00863020"/>
    <w:rsid w:val="008637EC"/>
    <w:rsid w:val="00870BC6"/>
    <w:rsid w:val="00873384"/>
    <w:rsid w:val="00875DAD"/>
    <w:rsid w:val="00876761"/>
    <w:rsid w:val="008768D1"/>
    <w:rsid w:val="00877B84"/>
    <w:rsid w:val="00877E5F"/>
    <w:rsid w:val="0088036D"/>
    <w:rsid w:val="00881155"/>
    <w:rsid w:val="00882892"/>
    <w:rsid w:val="00885A14"/>
    <w:rsid w:val="0088689B"/>
    <w:rsid w:val="00890FA0"/>
    <w:rsid w:val="008947BF"/>
    <w:rsid w:val="008A0CAB"/>
    <w:rsid w:val="008A0CBE"/>
    <w:rsid w:val="008A1CA8"/>
    <w:rsid w:val="008A214D"/>
    <w:rsid w:val="008A2E6E"/>
    <w:rsid w:val="008A6F4A"/>
    <w:rsid w:val="008A72D2"/>
    <w:rsid w:val="008A74A3"/>
    <w:rsid w:val="008B6868"/>
    <w:rsid w:val="008B6D24"/>
    <w:rsid w:val="008C0389"/>
    <w:rsid w:val="008C34F7"/>
    <w:rsid w:val="008C6A43"/>
    <w:rsid w:val="008D080C"/>
    <w:rsid w:val="008D1867"/>
    <w:rsid w:val="008D6437"/>
    <w:rsid w:val="008D6EDF"/>
    <w:rsid w:val="008E3EF5"/>
    <w:rsid w:val="008E712A"/>
    <w:rsid w:val="008F33B5"/>
    <w:rsid w:val="00901414"/>
    <w:rsid w:val="00906799"/>
    <w:rsid w:val="0091175B"/>
    <w:rsid w:val="009136D0"/>
    <w:rsid w:val="00921181"/>
    <w:rsid w:val="009211CB"/>
    <w:rsid w:val="00922193"/>
    <w:rsid w:val="00922C7C"/>
    <w:rsid w:val="00924152"/>
    <w:rsid w:val="009258A3"/>
    <w:rsid w:val="0093194D"/>
    <w:rsid w:val="00934C3F"/>
    <w:rsid w:val="00937846"/>
    <w:rsid w:val="00937D36"/>
    <w:rsid w:val="009417AE"/>
    <w:rsid w:val="00945B3F"/>
    <w:rsid w:val="00950DCB"/>
    <w:rsid w:val="00952D47"/>
    <w:rsid w:val="00952D4C"/>
    <w:rsid w:val="009535CD"/>
    <w:rsid w:val="00954BC9"/>
    <w:rsid w:val="00960246"/>
    <w:rsid w:val="00961B7E"/>
    <w:rsid w:val="00971082"/>
    <w:rsid w:val="009720E1"/>
    <w:rsid w:val="00974F0E"/>
    <w:rsid w:val="00975CD7"/>
    <w:rsid w:val="00980CA1"/>
    <w:rsid w:val="00985E70"/>
    <w:rsid w:val="0098783B"/>
    <w:rsid w:val="0099189A"/>
    <w:rsid w:val="00993C2B"/>
    <w:rsid w:val="00996086"/>
    <w:rsid w:val="0099798A"/>
    <w:rsid w:val="009979F4"/>
    <w:rsid w:val="009A246D"/>
    <w:rsid w:val="009A37E2"/>
    <w:rsid w:val="009A45B2"/>
    <w:rsid w:val="009A5585"/>
    <w:rsid w:val="009A59D5"/>
    <w:rsid w:val="009B161B"/>
    <w:rsid w:val="009B2CB7"/>
    <w:rsid w:val="009C2198"/>
    <w:rsid w:val="009D2DDD"/>
    <w:rsid w:val="009D2F27"/>
    <w:rsid w:val="009E0C10"/>
    <w:rsid w:val="009E0FA2"/>
    <w:rsid w:val="009E3D7B"/>
    <w:rsid w:val="009E4116"/>
    <w:rsid w:val="009E529F"/>
    <w:rsid w:val="00A10DA6"/>
    <w:rsid w:val="00A151E9"/>
    <w:rsid w:val="00A15DBB"/>
    <w:rsid w:val="00A15F66"/>
    <w:rsid w:val="00A170E4"/>
    <w:rsid w:val="00A20086"/>
    <w:rsid w:val="00A259F2"/>
    <w:rsid w:val="00A269EC"/>
    <w:rsid w:val="00A2758A"/>
    <w:rsid w:val="00A33802"/>
    <w:rsid w:val="00A33BB5"/>
    <w:rsid w:val="00A34ADD"/>
    <w:rsid w:val="00A37162"/>
    <w:rsid w:val="00A37E51"/>
    <w:rsid w:val="00A41CDE"/>
    <w:rsid w:val="00A50B51"/>
    <w:rsid w:val="00A51499"/>
    <w:rsid w:val="00A51E2D"/>
    <w:rsid w:val="00A5319F"/>
    <w:rsid w:val="00A533A9"/>
    <w:rsid w:val="00A53690"/>
    <w:rsid w:val="00A54193"/>
    <w:rsid w:val="00A62D31"/>
    <w:rsid w:val="00A63025"/>
    <w:rsid w:val="00A63380"/>
    <w:rsid w:val="00A8129D"/>
    <w:rsid w:val="00A82188"/>
    <w:rsid w:val="00A865C7"/>
    <w:rsid w:val="00A909CC"/>
    <w:rsid w:val="00A942CA"/>
    <w:rsid w:val="00A94AF9"/>
    <w:rsid w:val="00A964A5"/>
    <w:rsid w:val="00A97E3B"/>
    <w:rsid w:val="00AA00CB"/>
    <w:rsid w:val="00AA20A1"/>
    <w:rsid w:val="00AA2490"/>
    <w:rsid w:val="00AA41F2"/>
    <w:rsid w:val="00AA555F"/>
    <w:rsid w:val="00AB039E"/>
    <w:rsid w:val="00AB1362"/>
    <w:rsid w:val="00AB2FFA"/>
    <w:rsid w:val="00AB4206"/>
    <w:rsid w:val="00AB556C"/>
    <w:rsid w:val="00AC150C"/>
    <w:rsid w:val="00AC1727"/>
    <w:rsid w:val="00AC2113"/>
    <w:rsid w:val="00AC441B"/>
    <w:rsid w:val="00AC6B54"/>
    <w:rsid w:val="00AC7E54"/>
    <w:rsid w:val="00AD51FB"/>
    <w:rsid w:val="00AD72D9"/>
    <w:rsid w:val="00AE43C8"/>
    <w:rsid w:val="00AE6A4E"/>
    <w:rsid w:val="00AE7B98"/>
    <w:rsid w:val="00AF129F"/>
    <w:rsid w:val="00AF67D4"/>
    <w:rsid w:val="00B06E21"/>
    <w:rsid w:val="00B07F39"/>
    <w:rsid w:val="00B10CA6"/>
    <w:rsid w:val="00B1164D"/>
    <w:rsid w:val="00B12DC9"/>
    <w:rsid w:val="00B13F84"/>
    <w:rsid w:val="00B14604"/>
    <w:rsid w:val="00B1471C"/>
    <w:rsid w:val="00B155D3"/>
    <w:rsid w:val="00B15ABA"/>
    <w:rsid w:val="00B20FA0"/>
    <w:rsid w:val="00B24DD4"/>
    <w:rsid w:val="00B33A8A"/>
    <w:rsid w:val="00B34339"/>
    <w:rsid w:val="00B40B7D"/>
    <w:rsid w:val="00B42B2F"/>
    <w:rsid w:val="00B44900"/>
    <w:rsid w:val="00B467F6"/>
    <w:rsid w:val="00B472E1"/>
    <w:rsid w:val="00B52821"/>
    <w:rsid w:val="00B56C63"/>
    <w:rsid w:val="00B63ED2"/>
    <w:rsid w:val="00B664C7"/>
    <w:rsid w:val="00B670E9"/>
    <w:rsid w:val="00B71170"/>
    <w:rsid w:val="00B71B53"/>
    <w:rsid w:val="00B73CAF"/>
    <w:rsid w:val="00B7515C"/>
    <w:rsid w:val="00B80BCE"/>
    <w:rsid w:val="00B81524"/>
    <w:rsid w:val="00B81740"/>
    <w:rsid w:val="00B82726"/>
    <w:rsid w:val="00B82F13"/>
    <w:rsid w:val="00B83542"/>
    <w:rsid w:val="00B83763"/>
    <w:rsid w:val="00B8408E"/>
    <w:rsid w:val="00B85D7B"/>
    <w:rsid w:val="00B900EA"/>
    <w:rsid w:val="00B90894"/>
    <w:rsid w:val="00B91069"/>
    <w:rsid w:val="00B92842"/>
    <w:rsid w:val="00BA2713"/>
    <w:rsid w:val="00BA2941"/>
    <w:rsid w:val="00BA4C61"/>
    <w:rsid w:val="00BA627A"/>
    <w:rsid w:val="00BB22FA"/>
    <w:rsid w:val="00BC1E70"/>
    <w:rsid w:val="00BC38DC"/>
    <w:rsid w:val="00BD12A1"/>
    <w:rsid w:val="00BD1D09"/>
    <w:rsid w:val="00BD7B83"/>
    <w:rsid w:val="00BE0662"/>
    <w:rsid w:val="00BE0C04"/>
    <w:rsid w:val="00BE625B"/>
    <w:rsid w:val="00BF17C6"/>
    <w:rsid w:val="00BF6F09"/>
    <w:rsid w:val="00C00FDA"/>
    <w:rsid w:val="00C02EB9"/>
    <w:rsid w:val="00C0373C"/>
    <w:rsid w:val="00C04E4B"/>
    <w:rsid w:val="00C11531"/>
    <w:rsid w:val="00C11B56"/>
    <w:rsid w:val="00C14C04"/>
    <w:rsid w:val="00C1529E"/>
    <w:rsid w:val="00C16045"/>
    <w:rsid w:val="00C175CC"/>
    <w:rsid w:val="00C21E27"/>
    <w:rsid w:val="00C2332A"/>
    <w:rsid w:val="00C30474"/>
    <w:rsid w:val="00C3584B"/>
    <w:rsid w:val="00C3686B"/>
    <w:rsid w:val="00C36D70"/>
    <w:rsid w:val="00C42EA5"/>
    <w:rsid w:val="00C458EB"/>
    <w:rsid w:val="00C57451"/>
    <w:rsid w:val="00C62BF5"/>
    <w:rsid w:val="00C636DA"/>
    <w:rsid w:val="00C67E22"/>
    <w:rsid w:val="00C71EDD"/>
    <w:rsid w:val="00C72271"/>
    <w:rsid w:val="00C72A17"/>
    <w:rsid w:val="00C739CC"/>
    <w:rsid w:val="00C74346"/>
    <w:rsid w:val="00C76533"/>
    <w:rsid w:val="00C771AD"/>
    <w:rsid w:val="00C81356"/>
    <w:rsid w:val="00C813CD"/>
    <w:rsid w:val="00C8387B"/>
    <w:rsid w:val="00C858D9"/>
    <w:rsid w:val="00C86A64"/>
    <w:rsid w:val="00C87400"/>
    <w:rsid w:val="00C87DA0"/>
    <w:rsid w:val="00C96BDA"/>
    <w:rsid w:val="00CA4E4D"/>
    <w:rsid w:val="00CA6FF9"/>
    <w:rsid w:val="00CA73DA"/>
    <w:rsid w:val="00CB2E3D"/>
    <w:rsid w:val="00CB4238"/>
    <w:rsid w:val="00CB5938"/>
    <w:rsid w:val="00CB5B27"/>
    <w:rsid w:val="00CB7364"/>
    <w:rsid w:val="00CC13F5"/>
    <w:rsid w:val="00CC1A64"/>
    <w:rsid w:val="00CC30A1"/>
    <w:rsid w:val="00CC34EB"/>
    <w:rsid w:val="00CC4C58"/>
    <w:rsid w:val="00CC66EA"/>
    <w:rsid w:val="00CC7290"/>
    <w:rsid w:val="00CD1253"/>
    <w:rsid w:val="00CD3C17"/>
    <w:rsid w:val="00CE11A6"/>
    <w:rsid w:val="00CE1F9C"/>
    <w:rsid w:val="00CE2E48"/>
    <w:rsid w:val="00CF0184"/>
    <w:rsid w:val="00CF55F6"/>
    <w:rsid w:val="00CF59E0"/>
    <w:rsid w:val="00CF6672"/>
    <w:rsid w:val="00D021F7"/>
    <w:rsid w:val="00D0248E"/>
    <w:rsid w:val="00D069C7"/>
    <w:rsid w:val="00D078A2"/>
    <w:rsid w:val="00D21123"/>
    <w:rsid w:val="00D21142"/>
    <w:rsid w:val="00D233D2"/>
    <w:rsid w:val="00D26BB7"/>
    <w:rsid w:val="00D367EB"/>
    <w:rsid w:val="00D36C91"/>
    <w:rsid w:val="00D41871"/>
    <w:rsid w:val="00D44505"/>
    <w:rsid w:val="00D45954"/>
    <w:rsid w:val="00D461C2"/>
    <w:rsid w:val="00D473EA"/>
    <w:rsid w:val="00D5162F"/>
    <w:rsid w:val="00D52776"/>
    <w:rsid w:val="00D55B27"/>
    <w:rsid w:val="00D56D61"/>
    <w:rsid w:val="00D575EC"/>
    <w:rsid w:val="00D60CDC"/>
    <w:rsid w:val="00D615C7"/>
    <w:rsid w:val="00D61AAE"/>
    <w:rsid w:val="00D63750"/>
    <w:rsid w:val="00D64CB8"/>
    <w:rsid w:val="00D67BB9"/>
    <w:rsid w:val="00D71BFA"/>
    <w:rsid w:val="00D71C7F"/>
    <w:rsid w:val="00D720AE"/>
    <w:rsid w:val="00D72FD8"/>
    <w:rsid w:val="00D910A7"/>
    <w:rsid w:val="00D92A45"/>
    <w:rsid w:val="00D9697A"/>
    <w:rsid w:val="00D97A60"/>
    <w:rsid w:val="00DA2B14"/>
    <w:rsid w:val="00DA3023"/>
    <w:rsid w:val="00DA4C48"/>
    <w:rsid w:val="00DA727D"/>
    <w:rsid w:val="00DB53A7"/>
    <w:rsid w:val="00DB7047"/>
    <w:rsid w:val="00DC64C5"/>
    <w:rsid w:val="00DC7391"/>
    <w:rsid w:val="00DD170F"/>
    <w:rsid w:val="00DD7F67"/>
    <w:rsid w:val="00DE0A8A"/>
    <w:rsid w:val="00DE1106"/>
    <w:rsid w:val="00DE6F23"/>
    <w:rsid w:val="00DF2F8B"/>
    <w:rsid w:val="00DF63B6"/>
    <w:rsid w:val="00DF6837"/>
    <w:rsid w:val="00DF68E4"/>
    <w:rsid w:val="00DF6E54"/>
    <w:rsid w:val="00E04228"/>
    <w:rsid w:val="00E04457"/>
    <w:rsid w:val="00E04BBC"/>
    <w:rsid w:val="00E10450"/>
    <w:rsid w:val="00E1158A"/>
    <w:rsid w:val="00E1478E"/>
    <w:rsid w:val="00E159D7"/>
    <w:rsid w:val="00E169BF"/>
    <w:rsid w:val="00E213AB"/>
    <w:rsid w:val="00E21653"/>
    <w:rsid w:val="00E21869"/>
    <w:rsid w:val="00E21C9B"/>
    <w:rsid w:val="00E22FD8"/>
    <w:rsid w:val="00E2414E"/>
    <w:rsid w:val="00E25E14"/>
    <w:rsid w:val="00E26830"/>
    <w:rsid w:val="00E26FAF"/>
    <w:rsid w:val="00E30D01"/>
    <w:rsid w:val="00E40B36"/>
    <w:rsid w:val="00E42CFE"/>
    <w:rsid w:val="00E45478"/>
    <w:rsid w:val="00E51672"/>
    <w:rsid w:val="00E51C2C"/>
    <w:rsid w:val="00E522FC"/>
    <w:rsid w:val="00E55EE5"/>
    <w:rsid w:val="00E60D5D"/>
    <w:rsid w:val="00E61784"/>
    <w:rsid w:val="00E625B3"/>
    <w:rsid w:val="00E64743"/>
    <w:rsid w:val="00E655C4"/>
    <w:rsid w:val="00E7257D"/>
    <w:rsid w:val="00E728CB"/>
    <w:rsid w:val="00E7336F"/>
    <w:rsid w:val="00E746F2"/>
    <w:rsid w:val="00E74F3B"/>
    <w:rsid w:val="00E75F54"/>
    <w:rsid w:val="00E76262"/>
    <w:rsid w:val="00E764D3"/>
    <w:rsid w:val="00E830DF"/>
    <w:rsid w:val="00E84A6B"/>
    <w:rsid w:val="00E87E34"/>
    <w:rsid w:val="00E87F39"/>
    <w:rsid w:val="00E92385"/>
    <w:rsid w:val="00E93F74"/>
    <w:rsid w:val="00E96DEA"/>
    <w:rsid w:val="00EA1585"/>
    <w:rsid w:val="00EA332C"/>
    <w:rsid w:val="00EA368D"/>
    <w:rsid w:val="00EA48AE"/>
    <w:rsid w:val="00EA603F"/>
    <w:rsid w:val="00EB09E2"/>
    <w:rsid w:val="00EB15A6"/>
    <w:rsid w:val="00EB74A5"/>
    <w:rsid w:val="00EC67E3"/>
    <w:rsid w:val="00EC6D28"/>
    <w:rsid w:val="00ED47A4"/>
    <w:rsid w:val="00ED4C82"/>
    <w:rsid w:val="00EE0126"/>
    <w:rsid w:val="00EE0392"/>
    <w:rsid w:val="00EE0C89"/>
    <w:rsid w:val="00EE47FE"/>
    <w:rsid w:val="00EE50C6"/>
    <w:rsid w:val="00EE5D41"/>
    <w:rsid w:val="00EE766D"/>
    <w:rsid w:val="00EF2A15"/>
    <w:rsid w:val="00EF5BFD"/>
    <w:rsid w:val="00EF7B33"/>
    <w:rsid w:val="00F00470"/>
    <w:rsid w:val="00F01C6F"/>
    <w:rsid w:val="00F0509B"/>
    <w:rsid w:val="00F06EE2"/>
    <w:rsid w:val="00F070F2"/>
    <w:rsid w:val="00F074DC"/>
    <w:rsid w:val="00F13B96"/>
    <w:rsid w:val="00F15632"/>
    <w:rsid w:val="00F17535"/>
    <w:rsid w:val="00F20949"/>
    <w:rsid w:val="00F24F8F"/>
    <w:rsid w:val="00F303B2"/>
    <w:rsid w:val="00F307E0"/>
    <w:rsid w:val="00F30CF7"/>
    <w:rsid w:val="00F34D63"/>
    <w:rsid w:val="00F41BD7"/>
    <w:rsid w:val="00F42F7C"/>
    <w:rsid w:val="00F47613"/>
    <w:rsid w:val="00F57F7A"/>
    <w:rsid w:val="00F62D33"/>
    <w:rsid w:val="00F64AB3"/>
    <w:rsid w:val="00F655AA"/>
    <w:rsid w:val="00F6570B"/>
    <w:rsid w:val="00F66681"/>
    <w:rsid w:val="00F67615"/>
    <w:rsid w:val="00F71DA1"/>
    <w:rsid w:val="00F76C98"/>
    <w:rsid w:val="00F804CD"/>
    <w:rsid w:val="00F80750"/>
    <w:rsid w:val="00F826F6"/>
    <w:rsid w:val="00F82BBC"/>
    <w:rsid w:val="00F85F59"/>
    <w:rsid w:val="00F86538"/>
    <w:rsid w:val="00F86717"/>
    <w:rsid w:val="00F86DD4"/>
    <w:rsid w:val="00F97C7A"/>
    <w:rsid w:val="00FA2909"/>
    <w:rsid w:val="00FA3CEC"/>
    <w:rsid w:val="00FB4CF2"/>
    <w:rsid w:val="00FB6BA9"/>
    <w:rsid w:val="00FB6CFB"/>
    <w:rsid w:val="00FC071B"/>
    <w:rsid w:val="00FC4845"/>
    <w:rsid w:val="00FC625F"/>
    <w:rsid w:val="00FC6B03"/>
    <w:rsid w:val="00FD06D5"/>
    <w:rsid w:val="00FD28FF"/>
    <w:rsid w:val="00FD68A1"/>
    <w:rsid w:val="00FD6AF7"/>
    <w:rsid w:val="00FE0985"/>
    <w:rsid w:val="00FE1712"/>
    <w:rsid w:val="00FE419E"/>
    <w:rsid w:val="00FF2484"/>
    <w:rsid w:val="00FF4201"/>
    <w:rsid w:val="00FF4A98"/>
    <w:rsid w:val="011BDCEF"/>
    <w:rsid w:val="071E7C3F"/>
    <w:rsid w:val="0EC01228"/>
    <w:rsid w:val="143DE3A7"/>
    <w:rsid w:val="14EF86C1"/>
    <w:rsid w:val="18156A49"/>
    <w:rsid w:val="1BAABC29"/>
    <w:rsid w:val="1C2E5113"/>
    <w:rsid w:val="1E816848"/>
    <w:rsid w:val="2489DCDF"/>
    <w:rsid w:val="24F393A8"/>
    <w:rsid w:val="2645F8DA"/>
    <w:rsid w:val="2A4DB7F1"/>
    <w:rsid w:val="2A7129BE"/>
    <w:rsid w:val="2B7CD995"/>
    <w:rsid w:val="2CE890D4"/>
    <w:rsid w:val="312392EA"/>
    <w:rsid w:val="3647AB05"/>
    <w:rsid w:val="3EA1851B"/>
    <w:rsid w:val="3EABCB69"/>
    <w:rsid w:val="406E619D"/>
    <w:rsid w:val="4158E6D5"/>
    <w:rsid w:val="430A482B"/>
    <w:rsid w:val="46FB172D"/>
    <w:rsid w:val="48384BCA"/>
    <w:rsid w:val="4878CDF4"/>
    <w:rsid w:val="48A64FBF"/>
    <w:rsid w:val="4D9FCDF8"/>
    <w:rsid w:val="502ADF23"/>
    <w:rsid w:val="511111BC"/>
    <w:rsid w:val="53ABBC84"/>
    <w:rsid w:val="55544875"/>
    <w:rsid w:val="55E4449B"/>
    <w:rsid w:val="56A4F031"/>
    <w:rsid w:val="56B92AF8"/>
    <w:rsid w:val="579B6E5B"/>
    <w:rsid w:val="5A3CD95D"/>
    <w:rsid w:val="64242FE4"/>
    <w:rsid w:val="667B52A3"/>
    <w:rsid w:val="77989016"/>
    <w:rsid w:val="789A38BC"/>
    <w:rsid w:val="7F9D256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D01DEF8F-17BF-478A-83D6-99981179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paragraph" w:customStyle="1" w:styleId="paragraph">
    <w:name w:val="paragraph"/>
    <w:basedOn w:val="Normal"/>
    <w:rsid w:val="00D473EA"/>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D473EA"/>
  </w:style>
  <w:style w:type="character" w:customStyle="1" w:styleId="tabchar">
    <w:name w:val="tabchar"/>
    <w:basedOn w:val="DefaultParagraphFont"/>
    <w:rsid w:val="00D473EA"/>
  </w:style>
  <w:style w:type="character" w:customStyle="1" w:styleId="eop">
    <w:name w:val="eop"/>
    <w:basedOn w:val="DefaultParagraphFont"/>
    <w:rsid w:val="00D473EA"/>
  </w:style>
  <w:style w:type="character" w:styleId="UnresolvedMention">
    <w:name w:val="Unresolved Mention"/>
    <w:basedOn w:val="DefaultParagraphFont"/>
    <w:uiPriority w:val="99"/>
    <w:semiHidden/>
    <w:unhideWhenUsed/>
    <w:locked/>
    <w:rsid w:val="00775637"/>
    <w:rPr>
      <w:color w:val="605E5C"/>
      <w:shd w:val="clear" w:color="auto" w:fill="E1DFDD"/>
    </w:rPr>
  </w:style>
  <w:style w:type="character" w:styleId="Mention">
    <w:name w:val="Mention"/>
    <w:basedOn w:val="DefaultParagraphFont"/>
    <w:uiPriority w:val="99"/>
    <w:unhideWhenUsed/>
    <w:locked/>
    <w:rsid w:val="003556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769280208">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005548789">
      <w:bodyDiv w:val="1"/>
      <w:marLeft w:val="0"/>
      <w:marRight w:val="0"/>
      <w:marTop w:val="0"/>
      <w:marBottom w:val="0"/>
      <w:divBdr>
        <w:top w:val="none" w:sz="0" w:space="0" w:color="auto"/>
        <w:left w:val="none" w:sz="0" w:space="0" w:color="auto"/>
        <w:bottom w:val="none" w:sz="0" w:space="0" w:color="auto"/>
        <w:right w:val="none" w:sz="0" w:space="0" w:color="auto"/>
      </w:divBdr>
    </w:div>
    <w:div w:id="1078482779">
      <w:bodyDiv w:val="1"/>
      <w:marLeft w:val="0"/>
      <w:marRight w:val="0"/>
      <w:marTop w:val="0"/>
      <w:marBottom w:val="0"/>
      <w:divBdr>
        <w:top w:val="none" w:sz="0" w:space="0" w:color="auto"/>
        <w:left w:val="none" w:sz="0" w:space="0" w:color="auto"/>
        <w:bottom w:val="none" w:sz="0" w:space="0" w:color="auto"/>
        <w:right w:val="none" w:sz="0" w:space="0" w:color="auto"/>
      </w:divBdr>
    </w:div>
    <w:div w:id="1150948164">
      <w:bodyDiv w:val="1"/>
      <w:marLeft w:val="0"/>
      <w:marRight w:val="0"/>
      <w:marTop w:val="0"/>
      <w:marBottom w:val="0"/>
      <w:divBdr>
        <w:top w:val="none" w:sz="0" w:space="0" w:color="auto"/>
        <w:left w:val="none" w:sz="0" w:space="0" w:color="auto"/>
        <w:bottom w:val="none" w:sz="0" w:space="0" w:color="auto"/>
        <w:right w:val="none" w:sz="0" w:space="0" w:color="auto"/>
      </w:divBdr>
    </w:div>
    <w:div w:id="1273629255">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041122532">
      <w:bodyDiv w:val="1"/>
      <w:marLeft w:val="0"/>
      <w:marRight w:val="0"/>
      <w:marTop w:val="0"/>
      <w:marBottom w:val="0"/>
      <w:divBdr>
        <w:top w:val="none" w:sz="0" w:space="0" w:color="auto"/>
        <w:left w:val="none" w:sz="0" w:space="0" w:color="auto"/>
        <w:bottom w:val="none" w:sz="0" w:space="0" w:color="auto"/>
        <w:right w:val="none" w:sz="0" w:space="0" w:color="auto"/>
      </w:divBdr>
      <w:divsChild>
        <w:div w:id="1671760809">
          <w:marLeft w:val="0"/>
          <w:marRight w:val="0"/>
          <w:marTop w:val="0"/>
          <w:marBottom w:val="0"/>
          <w:divBdr>
            <w:top w:val="none" w:sz="0" w:space="0" w:color="auto"/>
            <w:left w:val="none" w:sz="0" w:space="0" w:color="auto"/>
            <w:bottom w:val="none" w:sz="0" w:space="0" w:color="auto"/>
            <w:right w:val="none" w:sz="0" w:space="0" w:color="auto"/>
          </w:divBdr>
          <w:divsChild>
            <w:div w:id="662247615">
              <w:marLeft w:val="0"/>
              <w:marRight w:val="0"/>
              <w:marTop w:val="0"/>
              <w:marBottom w:val="0"/>
              <w:divBdr>
                <w:top w:val="none" w:sz="0" w:space="0" w:color="auto"/>
                <w:left w:val="none" w:sz="0" w:space="0" w:color="auto"/>
                <w:bottom w:val="none" w:sz="0" w:space="0" w:color="auto"/>
                <w:right w:val="none" w:sz="0" w:space="0" w:color="auto"/>
              </w:divBdr>
            </w:div>
            <w:div w:id="1061557250">
              <w:marLeft w:val="0"/>
              <w:marRight w:val="0"/>
              <w:marTop w:val="0"/>
              <w:marBottom w:val="0"/>
              <w:divBdr>
                <w:top w:val="none" w:sz="0" w:space="0" w:color="auto"/>
                <w:left w:val="none" w:sz="0" w:space="0" w:color="auto"/>
                <w:bottom w:val="none" w:sz="0" w:space="0" w:color="auto"/>
                <w:right w:val="none" w:sz="0" w:space="0" w:color="auto"/>
              </w:divBdr>
            </w:div>
            <w:div w:id="1294677761">
              <w:marLeft w:val="0"/>
              <w:marRight w:val="0"/>
              <w:marTop w:val="0"/>
              <w:marBottom w:val="0"/>
              <w:divBdr>
                <w:top w:val="none" w:sz="0" w:space="0" w:color="auto"/>
                <w:left w:val="none" w:sz="0" w:space="0" w:color="auto"/>
                <w:bottom w:val="none" w:sz="0" w:space="0" w:color="auto"/>
                <w:right w:val="none" w:sz="0" w:space="0" w:color="auto"/>
              </w:divBdr>
            </w:div>
          </w:divsChild>
        </w:div>
        <w:div w:id="1900902902">
          <w:marLeft w:val="0"/>
          <w:marRight w:val="0"/>
          <w:marTop w:val="0"/>
          <w:marBottom w:val="0"/>
          <w:divBdr>
            <w:top w:val="none" w:sz="0" w:space="0" w:color="auto"/>
            <w:left w:val="none" w:sz="0" w:space="0" w:color="auto"/>
            <w:bottom w:val="none" w:sz="0" w:space="0" w:color="auto"/>
            <w:right w:val="none" w:sz="0" w:space="0" w:color="auto"/>
          </w:divBdr>
          <w:divsChild>
            <w:div w:id="4669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asb.gov.au/standards-guidance/auasb-standards/audi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sb.gov.au/pronouncements/accounting-standard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234</Value>
      <Value>109</Value>
      <Value>10</Value>
      <Value>19</Value>
    </TaxCatchAll>
    <SharedWithUsers xmlns="92a8a7e8-49a1-4017-acf0-0edc7cce208b">
      <UserInfo>
        <DisplayName>Alex Rusten</DisplayName>
        <AccountId>474</AccountId>
        <AccountType/>
      </UserInfo>
      <UserInfo>
        <DisplayName>Toni Michalis</DisplayName>
        <AccountId>479</AccountId>
        <AccountType/>
      </UserInfo>
      <UserInfo>
        <DisplayName>Tim Sutton</DisplayName>
        <AccountId>475</AccountId>
        <AccountType/>
      </UserInfo>
      <UserInfo>
        <DisplayName>Michael Murphy</DisplayName>
        <AccountId>85</AccountId>
        <AccountType/>
      </UserInfo>
      <UserInfo>
        <DisplayName>Jocelyn Parker</DisplayName>
        <AccountId>23</AccountId>
        <AccountType/>
      </UserInfo>
      <UserInfo>
        <DisplayName>Alejandra Ahumada Melendez</DisplayName>
        <AccountId>501</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7" ma:contentTypeDescription="Create a new document." ma:contentTypeScope="" ma:versionID="2331766db4130645ec45f560b66a01a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c7b84690dd511863869f0c959d2cd8df"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A39F2-5068-45BF-85CC-A816CCABDD3E}">
  <ds:schemaRefs>
    <ds:schemaRef ds:uri="5e7d1d2f-1d1d-4328-b1c4-d23268d86024"/>
    <ds:schemaRef ds:uri="http://schemas.microsoft.com/office/2006/metadata/properties"/>
    <ds:schemaRef ds:uri="http://purl.org/dc/elements/1.1/"/>
    <ds:schemaRef ds:uri="http://schemas.microsoft.com/sharepoint/v3"/>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0873f81f-5545-4105-9cf3-1e567ff68fe4"/>
    <ds:schemaRef ds:uri="http://www.w3.org/XML/1998/namespace"/>
  </ds:schemaRefs>
</ds:datastoreItem>
</file>

<file path=customXml/itemProps2.xml><?xml version="1.0" encoding="utf-8"?>
<ds:datastoreItem xmlns:ds="http://schemas.openxmlformats.org/officeDocument/2006/customXml" ds:itemID="{E91CC356-BE5E-4554-A87F-7E80A011188B}"/>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2226</Words>
  <Characters>12396</Characters>
  <Application>Microsoft Office Word</Application>
  <DocSecurity>0</DocSecurity>
  <Lines>205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3</cp:revision>
  <cp:lastPrinted>2023-10-17T04:51:00Z</cp:lastPrinted>
  <dcterms:created xsi:type="dcterms:W3CDTF">2023-10-26T08:38:00Z</dcterms:created>
  <dcterms:modified xsi:type="dcterms:W3CDTF">2023-10-26T08:39:00Z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0x01010080D163DB4DEE504FAB457909715FEC45</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3cb4546e-cb97-4a24-b1bc-2a9469a3c50f</vt:lpwstr>
  </property>
  <property fmtid="{D5CDD505-2E9C-101B-9397-08002B2CF9AE}" pid="26" name="IsLocked">
    <vt:lpwstr>False</vt:lpwstr>
  </property>
  <property fmtid="{D5CDD505-2E9C-101B-9397-08002B2CF9AE}" pid="2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8" name="IT system type">
    <vt:lpwstr/>
  </property>
  <property fmtid="{D5CDD505-2E9C-101B-9397-08002B2CF9AE}" pid="29" name="APRACategory">
    <vt:lpwstr/>
  </property>
  <property fmtid="{D5CDD505-2E9C-101B-9397-08002B2CF9AE}" pid="30" name="APRADocumentType">
    <vt:lpwstr>234;#Explanatory statement|b22f2e2f-3f73-411b-9a7c-34264d26fa25</vt:lpwstr>
  </property>
  <property fmtid="{D5CDD505-2E9C-101B-9397-08002B2CF9AE}" pid="31" name="APRAStatus">
    <vt:lpwstr>19;#Final|84d6b2d0-8498-4d62-bf46-bab38babbe9e</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{88691c01-5bbb-4215-adc0-66cb7065b0af}</vt:lpwstr>
  </property>
  <property fmtid="{D5CDD505-2E9C-101B-9397-08002B2CF9AE}" pid="39" name="RecordPoint_ActiveItemListId">
    <vt:lpwstr>{0e59e171-09d8-4401-800a-327154450cb3}</vt:lpwstr>
  </property>
  <property fmtid="{D5CDD505-2E9C-101B-9397-08002B2CF9AE}" pid="40" name="RecordPoint_ActiveItemUniqueId">
    <vt:lpwstr>{3cb4546e-cb97-4a24-b1bc-2a9469a3c50f}</vt:lpwstr>
  </property>
  <property fmtid="{D5CDD505-2E9C-101B-9397-08002B2CF9AE}" pid="41" name="RecordPoint_ActiveItemWebId">
    <vt:lpwstr>{75a71c27-8d66-4282-ae60-1bfc22a83be1}</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OriginatorUserAccountName_SHA256">
    <vt:lpwstr>6E3018F28A186D2E5FF5207C041E7A82E907C3008E071057026A53705873B72E</vt:lpwstr>
  </property>
  <property fmtid="{D5CDD505-2E9C-101B-9397-08002B2CF9AE}" pid="55" name="MSIP_Label_c0129afb-6481-4f92-bc9f-5a4a6346364d_SetDate">
    <vt:lpwstr>2022-10-12T04:54:32Z</vt:lpwstr>
  </property>
  <property fmtid="{D5CDD505-2E9C-101B-9397-08002B2CF9AE}" pid="56" name="MSIP_Label_c0129afb-6481-4f92-bc9f-5a4a6346364d_Method">
    <vt:lpwstr>Privileged</vt:lpwstr>
  </property>
  <property fmtid="{D5CDD505-2E9C-101B-9397-08002B2CF9AE}" pid="57" name="MSIP_Label_c0129afb-6481-4f92-bc9f-5a4a6346364d_ContentBits">
    <vt:lpwstr>0</vt:lpwstr>
  </property>
  <property fmtid="{D5CDD505-2E9C-101B-9397-08002B2CF9AE}" pid="58" name="ComplianceAssetId">
    <vt:lpwstr/>
  </property>
  <property fmtid="{D5CDD505-2E9C-101B-9397-08002B2CF9AE}" pid="59" name="_ExtendedDescription">
    <vt:lpwstr/>
  </property>
  <property fmtid="{D5CDD505-2E9C-101B-9397-08002B2CF9AE}" pid="60" name="TriggerFlowInfo">
    <vt:lpwstr/>
  </property>
  <property fmtid="{D5CDD505-2E9C-101B-9397-08002B2CF9AE}" pid="61" name="MediaServiceImageTags">
    <vt:lpwstr/>
  </property>
  <property fmtid="{D5CDD505-2E9C-101B-9397-08002B2CF9AE}" pid="62" name="PM_Hash_Salt_Prev">
    <vt:lpwstr>66C9CF33712E61BD4CABCE3A5258A13F</vt:lpwstr>
  </property>
  <property fmtid="{D5CDD505-2E9C-101B-9397-08002B2CF9AE}" pid="63" name="PM_Hash_Salt">
    <vt:lpwstr>EE4441FD89230239A3949AC5C6E22DFC</vt:lpwstr>
  </property>
  <property fmtid="{D5CDD505-2E9C-101B-9397-08002B2CF9AE}" pid="64" name="PM_Hash_SHA1">
    <vt:lpwstr>D5A1C71DE7748905E6FBD4C2A218199785F501C6</vt:lpwstr>
  </property>
  <property fmtid="{D5CDD505-2E9C-101B-9397-08002B2CF9AE}" pid="65" name="PMHMAC">
    <vt:lpwstr>v=2022.1;a=SHA256;h=58F3C709A6E05115854CF10EDC05C2ED5A35296C0868D18A7A8DFDCB12048BCD</vt:lpwstr>
  </property>
  <property fmtid="{D5CDD505-2E9C-101B-9397-08002B2CF9AE}" pid="66" name="MSIP_Label_c0129afb-6481-4f92-bc9f-5a4a6346364d_ActionId">
    <vt:lpwstr>4c049264f0c24afa855e972e8c69a120</vt:lpwstr>
  </property>
</Properties>
</file>