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3EBF5" w14:textId="77777777" w:rsidR="004B3AA1" w:rsidRDefault="004B3AA1" w:rsidP="004B3AA1">
      <w:pPr>
        <w:spacing w:before="0"/>
        <w:ind w:right="40"/>
        <w:jc w:val="center"/>
        <w:rPr>
          <w:b/>
          <w:bCs/>
          <w:u w:val="single"/>
        </w:rPr>
      </w:pPr>
      <w:bookmarkStart w:id="0" w:name="_GoBack"/>
      <w:bookmarkEnd w:id="0"/>
      <w:r>
        <w:rPr>
          <w:b/>
          <w:bCs/>
          <w:u w:val="single"/>
        </w:rPr>
        <w:t>EXPLANATORY STATEMENT</w:t>
      </w:r>
    </w:p>
    <w:p w14:paraId="73FFEB45" w14:textId="77777777" w:rsidR="004B3AA1" w:rsidRDefault="004B3AA1" w:rsidP="004B3AA1">
      <w:pPr>
        <w:spacing w:before="0"/>
        <w:ind w:right="40"/>
        <w:jc w:val="center"/>
        <w:rPr>
          <w:b/>
          <w:bCs/>
          <w:u w:val="single"/>
        </w:rPr>
      </w:pPr>
    </w:p>
    <w:p w14:paraId="3BF1AB08" w14:textId="77777777" w:rsidR="004B3AA1" w:rsidRDefault="004B3AA1" w:rsidP="004B3AA1">
      <w:pPr>
        <w:spacing w:before="0"/>
        <w:jc w:val="center"/>
      </w:pPr>
      <w:r>
        <w:t>Issued by the Minister for Immigration, Citizenship and Multicultural Affairs</w:t>
      </w:r>
    </w:p>
    <w:p w14:paraId="413B1A36" w14:textId="77777777" w:rsidR="004B3AA1" w:rsidRDefault="004B3AA1" w:rsidP="004B3AA1">
      <w:pPr>
        <w:spacing w:before="0"/>
        <w:ind w:right="40"/>
        <w:jc w:val="center"/>
        <w:rPr>
          <w:i/>
          <w:iCs/>
        </w:rPr>
      </w:pPr>
    </w:p>
    <w:p w14:paraId="13696E53" w14:textId="77777777" w:rsidR="004B3AA1" w:rsidRDefault="004B3AA1" w:rsidP="004B3AA1">
      <w:pPr>
        <w:spacing w:before="0"/>
        <w:ind w:right="40"/>
        <w:jc w:val="center"/>
        <w:rPr>
          <w:i/>
          <w:iCs/>
        </w:rPr>
      </w:pPr>
      <w:r>
        <w:rPr>
          <w:i/>
          <w:iCs/>
        </w:rPr>
        <w:t>Migration Act 1958</w:t>
      </w:r>
    </w:p>
    <w:p w14:paraId="4EBA1E6C" w14:textId="77777777" w:rsidR="004B3AA1" w:rsidRDefault="004B3AA1" w:rsidP="004B3AA1">
      <w:pPr>
        <w:spacing w:before="0"/>
        <w:ind w:right="40"/>
        <w:jc w:val="center"/>
        <w:rPr>
          <w:i/>
          <w:iCs/>
        </w:rPr>
      </w:pPr>
    </w:p>
    <w:p w14:paraId="552DFEE2" w14:textId="77777777" w:rsidR="004B3AA1" w:rsidRPr="00846BE6" w:rsidRDefault="004B3AA1" w:rsidP="004B3AA1">
      <w:pPr>
        <w:spacing w:before="0"/>
        <w:ind w:left="1440" w:right="91"/>
        <w:rPr>
          <w:i/>
          <w:color w:val="000000"/>
        </w:rPr>
      </w:pPr>
      <w:r w:rsidRPr="00775BE6">
        <w:rPr>
          <w:i/>
          <w:iCs/>
          <w:color w:val="000000"/>
        </w:rPr>
        <w:t xml:space="preserve">Migration </w:t>
      </w:r>
      <w:r w:rsidRPr="00846BE6">
        <w:rPr>
          <w:i/>
          <w:iCs/>
          <w:color w:val="000000"/>
        </w:rPr>
        <w:t>Amendment (</w:t>
      </w:r>
      <w:r>
        <w:rPr>
          <w:i/>
          <w:color w:val="000000" w:themeColor="text1"/>
        </w:rPr>
        <w:t xml:space="preserve">Biosecurity Contravention) </w:t>
      </w:r>
      <w:r w:rsidR="001225A1">
        <w:rPr>
          <w:i/>
          <w:iCs/>
          <w:color w:val="000000"/>
        </w:rPr>
        <w:t>Regulations 2023</w:t>
      </w:r>
    </w:p>
    <w:p w14:paraId="60980249" w14:textId="77777777" w:rsidR="004B3AA1" w:rsidRDefault="004B3AA1" w:rsidP="004B3AA1">
      <w:pPr>
        <w:spacing w:before="0"/>
        <w:ind w:right="42"/>
      </w:pPr>
    </w:p>
    <w:p w14:paraId="429C90B9" w14:textId="77777777" w:rsidR="004B3AA1" w:rsidRDefault="004B3AA1" w:rsidP="004B3AA1">
      <w:pPr>
        <w:spacing w:before="0"/>
        <w:ind w:right="42"/>
      </w:pPr>
      <w:r>
        <w:t xml:space="preserve">The </w:t>
      </w:r>
      <w:r>
        <w:rPr>
          <w:i/>
          <w:iCs/>
        </w:rPr>
        <w:t>Migration Act 1958</w:t>
      </w:r>
      <w:r>
        <w:t xml:space="preserve"> (the Migration Act) is an Act relating to the entry into, and presence in, Australia of aliens, and the departure or deportation from Australia of aliens and certain other persons.</w:t>
      </w:r>
    </w:p>
    <w:p w14:paraId="0B68D9C2" w14:textId="77777777" w:rsidR="004B3AA1" w:rsidRDefault="004B3AA1" w:rsidP="004B3AA1">
      <w:pPr>
        <w:spacing w:before="0"/>
        <w:ind w:right="42"/>
      </w:pPr>
    </w:p>
    <w:p w14:paraId="5076A511" w14:textId="77777777" w:rsidR="004B3AA1" w:rsidRDefault="004B3AA1" w:rsidP="004B3AA1">
      <w:pPr>
        <w:spacing w:before="0"/>
        <w:ind w:right="42"/>
      </w:pPr>
      <w:r>
        <w:t>Subsection 504(1) of the Migration Act</w:t>
      </w:r>
      <w:r>
        <w:rPr>
          <w:i/>
          <w:iCs/>
        </w:rPr>
        <w:t xml:space="preserve"> </w:t>
      </w:r>
      <w:r>
        <w:t>provides that the Governor-General may make regulations, not inconsistent with the Migration Act, prescribing matters required or permitted to be prescribed, or necessary or convenient to be prescribed, for carrying out or giving effect to the Migration Act.</w:t>
      </w:r>
    </w:p>
    <w:p w14:paraId="72A762DA" w14:textId="77777777" w:rsidR="004B3AA1" w:rsidRDefault="004B3AA1" w:rsidP="004B3AA1">
      <w:pPr>
        <w:ind w:right="42"/>
      </w:pPr>
      <w:r>
        <w:t>Subparagraph 116(1)(g) of the Migration Act provides that the Minister may cancel a visa if he or she is satisfied that a prescribed ground for cancelling a visa applies to the holder, except if there exists a prescribed circumstance in which a visa cannot be cancelled.</w:t>
      </w:r>
    </w:p>
    <w:p w14:paraId="1A8831B2" w14:textId="77777777" w:rsidR="008B4AF8" w:rsidRPr="008B4AF8" w:rsidRDefault="008B4AF8" w:rsidP="008B4AF8">
      <w:pPr>
        <w:spacing w:before="0"/>
        <w:ind w:right="42"/>
      </w:pPr>
    </w:p>
    <w:p w14:paraId="75E72DBC" w14:textId="5A715F19" w:rsidR="008B4AF8" w:rsidRPr="008B4AF8" w:rsidRDefault="008B4AF8" w:rsidP="008B4AF8">
      <w:pPr>
        <w:spacing w:before="0"/>
        <w:ind w:right="42"/>
      </w:pPr>
      <w:r w:rsidRPr="008B4AF8">
        <w:t xml:space="preserve">The </w:t>
      </w:r>
      <w:r w:rsidRPr="008B4AF8">
        <w:rPr>
          <w:i/>
        </w:rPr>
        <w:t xml:space="preserve">Migration Amendment (Biosecurity Contravention) Regulations 2023 </w:t>
      </w:r>
      <w:r w:rsidRPr="008B4AF8">
        <w:t xml:space="preserve">(the </w:t>
      </w:r>
      <w:r w:rsidR="00C84728">
        <w:t xml:space="preserve">Amendment </w:t>
      </w:r>
      <w:r w:rsidRPr="008B4AF8">
        <w:t xml:space="preserve">Regulations) </w:t>
      </w:r>
      <w:r w:rsidR="00F76E1B">
        <w:t>amends</w:t>
      </w:r>
      <w:r w:rsidRPr="008B4AF8">
        <w:t xml:space="preserve"> the </w:t>
      </w:r>
      <w:r w:rsidRPr="008B4AF8">
        <w:rPr>
          <w:i/>
        </w:rPr>
        <w:t>Migration Regulations 1994</w:t>
      </w:r>
      <w:r w:rsidRPr="008B4AF8">
        <w:t xml:space="preserve"> (the Migration Regulations) </w:t>
      </w:r>
      <w:r w:rsidR="001225A1">
        <w:t>to expand the grounds for the cancellation of visas where the Minister or a delegate reasonabl</w:t>
      </w:r>
      <w:r w:rsidR="00582BC6">
        <w:t>y</w:t>
      </w:r>
      <w:r w:rsidR="001225A1">
        <w:t xml:space="preserve"> believes that a visa holder has contravened provisions under the </w:t>
      </w:r>
      <w:r w:rsidR="001225A1">
        <w:rPr>
          <w:i/>
        </w:rPr>
        <w:t>Biosecurity Act 2015</w:t>
      </w:r>
      <w:r w:rsidR="001225A1">
        <w:t xml:space="preserve"> (the Biosecurity Act)</w:t>
      </w:r>
      <w:r w:rsidR="00C84728">
        <w:t>,</w:t>
      </w:r>
      <w:r w:rsidR="001225A1">
        <w:t xml:space="preserve"> to include contravention of new subsection 186A(1) of the Biosecurity Act.</w:t>
      </w:r>
    </w:p>
    <w:p w14:paraId="40D28EB7" w14:textId="6EDCCAA3" w:rsidR="001225A1" w:rsidRDefault="001225A1" w:rsidP="001225A1">
      <w:pPr>
        <w:ind w:right="42"/>
      </w:pPr>
      <w:r>
        <w:t>The Biosecurity Act provides the regulatory framework for the management of diseases and pests entering Australia that may cause harm to human, animal or plant health or the environment. Contraventions of the Biosecurity Act pose a serious threat to Australia’s economy</w:t>
      </w:r>
      <w:r w:rsidR="00113C9A">
        <w:t>,</w:t>
      </w:r>
      <w:r>
        <w:t xml:space="preserve"> agricultural sector, animal, plant, human health and the environment. </w:t>
      </w:r>
    </w:p>
    <w:p w14:paraId="68B9E16A" w14:textId="77777777" w:rsidR="008B4AF8" w:rsidRPr="008B4AF8" w:rsidRDefault="008B4AF8" w:rsidP="008B4AF8">
      <w:pPr>
        <w:spacing w:before="0"/>
        <w:ind w:right="42"/>
      </w:pPr>
    </w:p>
    <w:p w14:paraId="3E097EAB" w14:textId="2454458C" w:rsidR="008B4AF8" w:rsidRPr="008B4AF8" w:rsidRDefault="008B4AF8" w:rsidP="008B4AF8">
      <w:pPr>
        <w:spacing w:before="0"/>
        <w:ind w:right="42"/>
      </w:pPr>
      <w:r w:rsidRPr="008B4AF8">
        <w:t xml:space="preserve">Under the </w:t>
      </w:r>
      <w:r w:rsidRPr="008B4AF8">
        <w:rPr>
          <w:i/>
        </w:rPr>
        <w:t>Migration Amendment (Biosecurity Contraventions and Importation of Objectionable Goods) Regulations 2019</w:t>
      </w:r>
      <w:r w:rsidRPr="008B4AF8">
        <w:t>, the cancellation ground under subparagraph 2.43(1)(s) was introduced</w:t>
      </w:r>
      <w:r w:rsidR="00AD4077">
        <w:t>. This ground</w:t>
      </w:r>
      <w:r w:rsidRPr="008B4AF8">
        <w:t xml:space="preserve"> gives</w:t>
      </w:r>
      <w:r w:rsidR="00B24187">
        <w:t xml:space="preserve"> the</w:t>
      </w:r>
      <w:r w:rsidRPr="008B4AF8">
        <w:t xml:space="preserve"> decision-maker </w:t>
      </w:r>
      <w:r w:rsidR="00631278">
        <w:t xml:space="preserve">the power </w:t>
      </w:r>
      <w:r w:rsidRPr="008B4AF8">
        <w:t xml:space="preserve">to cancel a </w:t>
      </w:r>
      <w:r w:rsidR="00C84728">
        <w:t>specified</w:t>
      </w:r>
      <w:r w:rsidR="00C84728" w:rsidRPr="008B4AF8">
        <w:t xml:space="preserve"> </w:t>
      </w:r>
      <w:r w:rsidRPr="008B4AF8">
        <w:t xml:space="preserve">visa </w:t>
      </w:r>
      <w:r w:rsidR="00C84728">
        <w:t xml:space="preserve">(visitor, student and temporary work visas) </w:t>
      </w:r>
      <w:r w:rsidRPr="008B4AF8">
        <w:t xml:space="preserve">where </w:t>
      </w:r>
      <w:r w:rsidR="00C84728">
        <w:t>it is</w:t>
      </w:r>
      <w:r w:rsidR="00C84728" w:rsidRPr="008B4AF8">
        <w:t xml:space="preserve"> </w:t>
      </w:r>
      <w:r w:rsidRPr="008B4AF8">
        <w:t>reasonably believe</w:t>
      </w:r>
      <w:r w:rsidR="00C84728">
        <w:t>d</w:t>
      </w:r>
      <w:r w:rsidRPr="008B4AF8">
        <w:t xml:space="preserve"> that the holder has contravened subsections 126(2), 128(2), 532(1) or 533(1) of the Biosecurity Act.  The purpose of this amendment was to strengthen compliance tools available to deter and respon</w:t>
      </w:r>
      <w:r w:rsidR="00113C9A">
        <w:t>d</w:t>
      </w:r>
      <w:r w:rsidRPr="008B4AF8">
        <w:t xml:space="preserve"> to behaviour that is in contravention of Australia’s biosecurity laws. </w:t>
      </w:r>
    </w:p>
    <w:p w14:paraId="0D4D33D3" w14:textId="77777777" w:rsidR="008B4AF8" w:rsidRPr="008B4AF8" w:rsidRDefault="008B4AF8" w:rsidP="008B4AF8">
      <w:pPr>
        <w:spacing w:before="0"/>
        <w:ind w:right="42"/>
      </w:pPr>
    </w:p>
    <w:p w14:paraId="0DAF60BD" w14:textId="30101821" w:rsidR="001225A1" w:rsidRDefault="003E24F4" w:rsidP="00B80AB9">
      <w:pPr>
        <w:spacing w:before="0"/>
        <w:ind w:right="40"/>
      </w:pPr>
      <w:r>
        <w:t>On 6</w:t>
      </w:r>
      <w:r w:rsidR="001225A1">
        <w:t xml:space="preserve"> December 2022, the Biosecurity Act was amended to include new section 186A. New subsection 186A(1) provides that a person is liable to a civil penalty if:</w:t>
      </w:r>
    </w:p>
    <w:p w14:paraId="29E1CF1C" w14:textId="77777777" w:rsidR="00B80AB9" w:rsidRDefault="00B80AB9" w:rsidP="00B80AB9">
      <w:pPr>
        <w:spacing w:before="0"/>
        <w:ind w:right="40"/>
      </w:pPr>
    </w:p>
    <w:p w14:paraId="1C1EEA8F" w14:textId="77777777" w:rsidR="001225A1" w:rsidRDefault="001225A1" w:rsidP="00B80AB9">
      <w:pPr>
        <w:pStyle w:val="ListParagraph"/>
        <w:numPr>
          <w:ilvl w:val="0"/>
          <w:numId w:val="1"/>
        </w:numPr>
        <w:spacing w:after="0" w:line="240" w:lineRule="auto"/>
        <w:ind w:right="40"/>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 xml:space="preserve">they bring or import conditionally non-prohibited goods into Australian territory; and </w:t>
      </w:r>
    </w:p>
    <w:p w14:paraId="691936C1" w14:textId="77777777" w:rsidR="001225A1" w:rsidRDefault="001225A1" w:rsidP="00B80AB9">
      <w:pPr>
        <w:pStyle w:val="ListParagraph"/>
        <w:numPr>
          <w:ilvl w:val="0"/>
          <w:numId w:val="1"/>
        </w:numPr>
        <w:spacing w:after="0" w:line="240" w:lineRule="auto"/>
        <w:ind w:right="40"/>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 xml:space="preserve">a condition in relation to such goods has not been complied with; and </w:t>
      </w:r>
    </w:p>
    <w:p w14:paraId="07567CE8" w14:textId="77777777" w:rsidR="001225A1" w:rsidRDefault="001225A1" w:rsidP="001225A1">
      <w:pPr>
        <w:pStyle w:val="ListParagraph"/>
        <w:numPr>
          <w:ilvl w:val="0"/>
          <w:numId w:val="1"/>
        </w:numPr>
        <w:spacing w:after="0" w:line="240" w:lineRule="auto"/>
        <w:ind w:right="42"/>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 xml:space="preserve">the goods are concealed for the purpose of preventing the goods from being found, or preventing the true nature of the goods from being determined, by a biosecurity official. </w:t>
      </w:r>
    </w:p>
    <w:p w14:paraId="2917E90B" w14:textId="2B647D7C" w:rsidR="001225A1" w:rsidRDefault="001225A1" w:rsidP="001225A1">
      <w:pPr>
        <w:ind w:right="42"/>
      </w:pPr>
      <w:r>
        <w:lastRenderedPageBreak/>
        <w:t xml:space="preserve">The </w:t>
      </w:r>
      <w:r w:rsidR="00C84728">
        <w:t xml:space="preserve">Amendment </w:t>
      </w:r>
      <w:r>
        <w:t xml:space="preserve">Regulations </w:t>
      </w:r>
      <w:r w:rsidR="003C793C">
        <w:t xml:space="preserve">provide </w:t>
      </w:r>
      <w:r>
        <w:t xml:space="preserve">the Minister </w:t>
      </w:r>
      <w:r w:rsidR="00BC527A">
        <w:t xml:space="preserve">with a </w:t>
      </w:r>
      <w:r>
        <w:t>discreti</w:t>
      </w:r>
      <w:r w:rsidR="00B80AB9">
        <w:t xml:space="preserve">on to cancel </w:t>
      </w:r>
      <w:r w:rsidR="003C793C">
        <w:t xml:space="preserve">the same </w:t>
      </w:r>
      <w:r w:rsidR="00B80AB9">
        <w:t>specified visas in Australia</w:t>
      </w:r>
      <w:r>
        <w:t xml:space="preserve"> in circumstances where it is reasonably believed that there has been an attempt to conceal goods for the purpose of preventing those goods from being found, or preventing the true nature of those goods from being determined by a biosecurity official under new subsection 186A(1). In making a decision, the Minister or delegate will weigh up a number of factors including the seriousness of the breach and the consequences to the passenger. This aligns with the purpose of the </w:t>
      </w:r>
      <w:r>
        <w:rPr>
          <w:i/>
        </w:rPr>
        <w:t>Migration Amendment (Biosecurity Contraventions and Importation of Objectionable Goods) Regulations 2019</w:t>
      </w:r>
      <w:r>
        <w:t xml:space="preserve"> to deter and respond to behaviour that contravenes Australia’s biosecurity laws.</w:t>
      </w:r>
    </w:p>
    <w:p w14:paraId="57CB3AC6" w14:textId="42FA1C69" w:rsidR="00B73504" w:rsidRDefault="00B73504" w:rsidP="008B4AF8">
      <w:pPr>
        <w:spacing w:before="0"/>
        <w:ind w:right="42"/>
      </w:pPr>
    </w:p>
    <w:p w14:paraId="2A9AB5BE" w14:textId="43754B54" w:rsidR="00B73504" w:rsidRPr="008B4AF8" w:rsidRDefault="00B73504" w:rsidP="008B4AF8">
      <w:pPr>
        <w:spacing w:before="0"/>
        <w:ind w:right="42"/>
      </w:pPr>
      <w:r>
        <w:t>The matters dealt with in the Regulations are appropriate for implementation</w:t>
      </w:r>
      <w:r w:rsidR="003E24F4">
        <w:t xml:space="preserve"> in regulations rather than by p</w:t>
      </w:r>
      <w:r>
        <w:t xml:space="preserve">arliamentary enactment. It has been consistent practice for the Government of the day to provide for detailed visa </w:t>
      </w:r>
      <w:r w:rsidR="003C793C">
        <w:t>settings</w:t>
      </w:r>
      <w:r>
        <w:t xml:space="preserve"> in the Migration Regulations rather than in the Migration Act itself. The Migration Act expressly provides for these matters to be prescribed in regulations, as can be seen in the authorising provisions. Providing for these details to be in delegated legislation rather than primary legislation gives the Government the ability to effectively manage the operation of Australia’s visa program and respond quickly to emerging needs. </w:t>
      </w:r>
    </w:p>
    <w:p w14:paraId="0C3AFE83" w14:textId="06B18888" w:rsidR="002C3B5F" w:rsidRDefault="00B73504">
      <w:r>
        <w:t xml:space="preserve">A Statement of Compatibility with Human Rights has been completed in accordance with the </w:t>
      </w:r>
      <w:r>
        <w:rPr>
          <w:i/>
        </w:rPr>
        <w:t>Human Rights (Parliamentary Scrutiny) Act 2011</w:t>
      </w:r>
      <w:r>
        <w:t xml:space="preserve">. The overall assessment is that the Regulations are compatible with human rights. A copy of the statement is at </w:t>
      </w:r>
      <w:r>
        <w:rPr>
          <w:u w:val="single"/>
        </w:rPr>
        <w:t>Attachment A</w:t>
      </w:r>
      <w:r>
        <w:t xml:space="preserve">. </w:t>
      </w:r>
    </w:p>
    <w:p w14:paraId="4E429BD0" w14:textId="1CB711C6" w:rsidR="00B73504" w:rsidRDefault="00F76E1B">
      <w:r w:rsidRPr="001225A1">
        <w:t>The Office of Impact Analysis</w:t>
      </w:r>
      <w:r w:rsidR="00F629D2" w:rsidRPr="001225A1">
        <w:t xml:space="preserve"> (OIA)</w:t>
      </w:r>
      <w:r w:rsidR="003E24F4">
        <w:t xml:space="preserve"> </w:t>
      </w:r>
      <w:r w:rsidR="00B73504" w:rsidRPr="001225A1">
        <w:t xml:space="preserve">has been consulted in relation to </w:t>
      </w:r>
      <w:r w:rsidR="003E24F4">
        <w:t xml:space="preserve">the </w:t>
      </w:r>
      <w:r w:rsidR="00334F11">
        <w:t xml:space="preserve">regulatory impact of </w:t>
      </w:r>
      <w:r w:rsidR="00B73504" w:rsidRPr="001225A1">
        <w:t xml:space="preserve">the amendments. </w:t>
      </w:r>
      <w:r w:rsidR="00631278">
        <w:t xml:space="preserve">The OIA has advised </w:t>
      </w:r>
      <w:r w:rsidR="00334F11">
        <w:t xml:space="preserve">that </w:t>
      </w:r>
      <w:r w:rsidR="00C82635">
        <w:t>an</w:t>
      </w:r>
      <w:r w:rsidR="00B73504" w:rsidRPr="001225A1">
        <w:t xml:space="preserve"> Impact </w:t>
      </w:r>
      <w:r w:rsidR="00631278">
        <w:t>Analysis</w:t>
      </w:r>
      <w:r w:rsidR="00631278" w:rsidRPr="001225A1">
        <w:t xml:space="preserve"> </w:t>
      </w:r>
      <w:r w:rsidR="00B73504" w:rsidRPr="001225A1">
        <w:t>is</w:t>
      </w:r>
      <w:r w:rsidR="00C82635">
        <w:t xml:space="preserve"> not</w:t>
      </w:r>
      <w:r w:rsidR="00B73504" w:rsidRPr="001225A1">
        <w:t xml:space="preserve"> required</w:t>
      </w:r>
      <w:r w:rsidR="00334F11">
        <w:t xml:space="preserve"> (</w:t>
      </w:r>
      <w:r w:rsidR="00E95DDC" w:rsidRPr="001225A1">
        <w:t>O</w:t>
      </w:r>
      <w:r w:rsidR="00F629D2" w:rsidRPr="001225A1">
        <w:t xml:space="preserve">IA </w:t>
      </w:r>
      <w:r w:rsidR="003E24F4">
        <w:t xml:space="preserve">consultation reference </w:t>
      </w:r>
      <w:r w:rsidR="001225A1">
        <w:t>OIA23-04954</w:t>
      </w:r>
      <w:r w:rsidR="00334F11">
        <w:t>)</w:t>
      </w:r>
      <w:r w:rsidR="00631278">
        <w:t>.</w:t>
      </w:r>
    </w:p>
    <w:p w14:paraId="6C606B8D" w14:textId="77777777" w:rsidR="00E95DDC" w:rsidRDefault="00E95DDC">
      <w:r>
        <w:t xml:space="preserve">Consultation has been undertaken with the Department of Agriculture, Fisheries and Forestry. </w:t>
      </w:r>
      <w:r w:rsidR="00F76E1B">
        <w:t>The consultation undertaken accords</w:t>
      </w:r>
      <w:r>
        <w:t xml:space="preserve"> with section 17 of the </w:t>
      </w:r>
      <w:r>
        <w:rPr>
          <w:i/>
        </w:rPr>
        <w:t>Legislation Act 2003</w:t>
      </w:r>
      <w:r>
        <w:t xml:space="preserve"> (the Legislation Act). </w:t>
      </w:r>
    </w:p>
    <w:p w14:paraId="4A0AFD21" w14:textId="69181C5E" w:rsidR="00E95DDC" w:rsidRDefault="00E95DDC">
      <w:r>
        <w:t xml:space="preserve">The amendments commence on the day after the Regulations are registered on the Federal Register of Legislation. </w:t>
      </w:r>
    </w:p>
    <w:p w14:paraId="229DAD09" w14:textId="77777777" w:rsidR="00E95DDC" w:rsidRDefault="00E95DDC">
      <w:r>
        <w:t xml:space="preserve">Further details of the Regulations are set out in </w:t>
      </w:r>
      <w:r>
        <w:rPr>
          <w:u w:val="single"/>
        </w:rPr>
        <w:t>Attachment B</w:t>
      </w:r>
      <w:r>
        <w:t xml:space="preserve">. </w:t>
      </w:r>
    </w:p>
    <w:p w14:paraId="16040824" w14:textId="3631A415" w:rsidR="00F76E1B" w:rsidRPr="00272A17" w:rsidRDefault="00F76E1B" w:rsidP="00F76E1B">
      <w:pPr>
        <w:spacing w:before="120"/>
        <w:rPr>
          <w:color w:val="000000"/>
        </w:rPr>
      </w:pPr>
      <w:r w:rsidRPr="00272A17">
        <w:t>The Regulations amend the Migration Regulations</w:t>
      </w:r>
      <w:r w:rsidR="003E24F4">
        <w:t>,</w:t>
      </w:r>
      <w:r w:rsidRPr="00272A17">
        <w:t xml:space="preserve"> which are exempt from sunsetting under table item 38A of section 12 of the </w:t>
      </w:r>
      <w:r w:rsidRPr="00272A17">
        <w:rPr>
          <w:i/>
        </w:rPr>
        <w:t xml:space="preserve">Legislation (Exemptions and Other Matters) Regulation 2015. </w:t>
      </w:r>
      <w:r w:rsidRPr="00272A17">
        <w:t xml:space="preserve">The Migration Regulations are exempt from sunsetting on the basis that </w:t>
      </w:r>
      <w:r w:rsidRPr="00272A17">
        <w:rPr>
          <w:color w:val="000000"/>
        </w:rPr>
        <w:t>the repeal and remaking of the Migration Regulations:</w:t>
      </w:r>
    </w:p>
    <w:p w14:paraId="33B906B3" w14:textId="77777777" w:rsidR="00F76E1B" w:rsidRPr="00272A17" w:rsidRDefault="00F76E1B" w:rsidP="00F76E1B">
      <w:pPr>
        <w:pStyle w:val="ListParagraph"/>
        <w:numPr>
          <w:ilvl w:val="0"/>
          <w:numId w:val="2"/>
        </w:numPr>
        <w:tabs>
          <w:tab w:val="clear" w:pos="360"/>
          <w:tab w:val="num" w:pos="720"/>
        </w:tabs>
        <w:spacing w:before="120" w:after="0" w:line="240" w:lineRule="auto"/>
        <w:ind w:left="714" w:right="91" w:hanging="357"/>
        <w:contextualSpacing w:val="0"/>
        <w:rPr>
          <w:rFonts w:ascii="Times New Roman" w:hAnsi="Times New Roman" w:cs="Times New Roman"/>
          <w:color w:val="000000"/>
          <w:sz w:val="24"/>
          <w:szCs w:val="24"/>
        </w:rPr>
      </w:pPr>
      <w:r w:rsidRPr="00272A17">
        <w:rPr>
          <w:rFonts w:ascii="Times New Roman" w:hAnsi="Times New Roman" w:cs="Times New Roman"/>
          <w:color w:val="000000"/>
          <w:sz w:val="24"/>
          <w:szCs w:val="24"/>
        </w:rPr>
        <w:t xml:space="preserve">is unnecessary as the Migration Regulations are regularly amended numerous times each year to update policy settings for immigration programs; </w:t>
      </w:r>
    </w:p>
    <w:p w14:paraId="5C42CEA7" w14:textId="77777777" w:rsidR="00F76E1B" w:rsidRPr="00272A17" w:rsidRDefault="00F76E1B" w:rsidP="00F76E1B">
      <w:pPr>
        <w:pStyle w:val="ListParagraph"/>
        <w:keepLines/>
        <w:numPr>
          <w:ilvl w:val="0"/>
          <w:numId w:val="2"/>
        </w:numPr>
        <w:tabs>
          <w:tab w:val="clear" w:pos="360"/>
          <w:tab w:val="num" w:pos="720"/>
        </w:tabs>
        <w:spacing w:before="120" w:after="0" w:line="240" w:lineRule="auto"/>
        <w:ind w:left="714" w:right="91" w:hanging="357"/>
        <w:contextualSpacing w:val="0"/>
        <w:rPr>
          <w:rFonts w:ascii="Times New Roman" w:hAnsi="Times New Roman" w:cs="Times New Roman"/>
          <w:color w:val="000000"/>
          <w:sz w:val="24"/>
          <w:szCs w:val="24"/>
        </w:rPr>
      </w:pPr>
      <w:r w:rsidRPr="00272A17">
        <w:rPr>
          <w:rFonts w:ascii="Times New Roman" w:hAnsi="Times New Roman" w:cs="Times New Roman"/>
          <w:color w:val="000000"/>
          <w:sz w:val="24"/>
          <w:szCs w:val="24"/>
        </w:rPr>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09FEBD67" w14:textId="77777777" w:rsidR="00F76E1B" w:rsidRDefault="00F76E1B" w:rsidP="00F76E1B">
      <w:pPr>
        <w:pStyle w:val="ListParagraph"/>
        <w:numPr>
          <w:ilvl w:val="0"/>
          <w:numId w:val="2"/>
        </w:numPr>
        <w:tabs>
          <w:tab w:val="clear" w:pos="360"/>
          <w:tab w:val="num" w:pos="720"/>
        </w:tabs>
        <w:spacing w:before="120" w:after="0" w:line="240" w:lineRule="auto"/>
        <w:ind w:left="714" w:right="91" w:hanging="357"/>
        <w:contextualSpacing w:val="0"/>
        <w:rPr>
          <w:rFonts w:ascii="Times New Roman" w:hAnsi="Times New Roman" w:cs="Times New Roman"/>
          <w:color w:val="000000"/>
          <w:sz w:val="24"/>
          <w:szCs w:val="24"/>
        </w:rPr>
      </w:pPr>
      <w:r w:rsidRPr="00272A17">
        <w:rPr>
          <w:rFonts w:ascii="Times New Roman" w:hAnsi="Times New Roman" w:cs="Times New Roman"/>
          <w:color w:val="000000"/>
          <w:sz w:val="24"/>
          <w:szCs w:val="24"/>
        </w:rPr>
        <w:lastRenderedPageBreak/>
        <w:t>would demand complicated and costly systems, training and operational changes that would impose significant strain on Government resources and the Australian public for insignificant gain, while not advancing the aims of the Legislation Act.</w:t>
      </w:r>
    </w:p>
    <w:p w14:paraId="0CB4DF01" w14:textId="06E22365" w:rsidR="00F76E1B" w:rsidRDefault="00F76E1B" w:rsidP="00F76E1B">
      <w:pPr>
        <w:ind w:right="91"/>
      </w:pPr>
      <w:r>
        <w:t>The Department follows standard practices to notify clients about</w:t>
      </w:r>
      <w:r w:rsidR="003E24F4">
        <w:t xml:space="preserve"> amendments of</w:t>
      </w:r>
      <w:r>
        <w:t xml:space="preserve"> the Regulations, including updating its website and notifying peak bodies. </w:t>
      </w:r>
    </w:p>
    <w:p w14:paraId="11DBE0E3" w14:textId="77777777" w:rsidR="00F76E1B" w:rsidRDefault="00F76E1B" w:rsidP="00F76E1B">
      <w:pPr>
        <w:ind w:right="91"/>
      </w:pPr>
      <w:r>
        <w:t>The Migration Act specifies no conditions that need to be satisfied before the power to make the Regulations may be exercised.</w:t>
      </w:r>
    </w:p>
    <w:p w14:paraId="3B4F2ECB" w14:textId="69574927" w:rsidR="00F76E1B" w:rsidRPr="00900BAA" w:rsidRDefault="00F76E1B" w:rsidP="00F76E1B">
      <w:pPr>
        <w:ind w:right="91"/>
        <w:rPr>
          <w:color w:val="000000"/>
        </w:rPr>
      </w:pPr>
      <w:r w:rsidRPr="00900BAA">
        <w:t>The Regulations are a legislative instrument for the purposes of the Legislation Act.</w:t>
      </w:r>
      <w:r w:rsidRPr="00900BAA">
        <w:rPr>
          <w:i/>
        </w:rPr>
        <w:t xml:space="preserve"> </w:t>
      </w:r>
    </w:p>
    <w:p w14:paraId="67C302C7" w14:textId="77777777" w:rsidR="00F76E1B" w:rsidRDefault="00F76E1B" w:rsidP="00F76E1B">
      <w:pPr>
        <w:spacing w:line="259" w:lineRule="auto"/>
      </w:pPr>
      <w:r>
        <w:br w:type="page"/>
      </w:r>
    </w:p>
    <w:p w14:paraId="3F4E6EC0" w14:textId="77777777" w:rsidR="00F76E1B" w:rsidRPr="005647D6" w:rsidRDefault="00F76E1B" w:rsidP="00F76E1B">
      <w:pPr>
        <w:jc w:val="right"/>
        <w:rPr>
          <w:b/>
          <w:u w:val="single"/>
        </w:rPr>
      </w:pPr>
      <w:r>
        <w:rPr>
          <w:b/>
          <w:u w:val="single"/>
        </w:rPr>
        <w:lastRenderedPageBreak/>
        <w:t>ATTACHMENT A</w:t>
      </w:r>
    </w:p>
    <w:p w14:paraId="3EFB8927" w14:textId="77777777" w:rsidR="000671E3" w:rsidRDefault="000671E3" w:rsidP="000671E3">
      <w:pPr>
        <w:pStyle w:val="Heading2"/>
      </w:pPr>
      <w:r>
        <w:t>Statement of Compatibility with Human Rights</w:t>
      </w:r>
    </w:p>
    <w:p w14:paraId="52C968FF" w14:textId="77777777" w:rsidR="000671E3" w:rsidRDefault="000671E3" w:rsidP="000671E3">
      <w:pPr>
        <w:spacing w:before="120" w:after="120"/>
        <w:jc w:val="center"/>
        <w:rPr>
          <w:rFonts w:eastAsiaTheme="minorHAnsi"/>
        </w:rPr>
      </w:pPr>
      <w:r>
        <w:rPr>
          <w:i/>
        </w:rPr>
        <w:t>Prepared in accordance with Part 3 of the Human Rights (Parliamentary Scrutiny) Act 2011</w:t>
      </w:r>
    </w:p>
    <w:p w14:paraId="13CDD196" w14:textId="77777777" w:rsidR="000671E3" w:rsidRDefault="000671E3" w:rsidP="000671E3">
      <w:pPr>
        <w:spacing w:before="120" w:after="120"/>
        <w:jc w:val="center"/>
      </w:pPr>
    </w:p>
    <w:p w14:paraId="59EE1DE4" w14:textId="77777777" w:rsidR="000671E3" w:rsidRDefault="000671E3" w:rsidP="000671E3">
      <w:pPr>
        <w:spacing w:before="120" w:after="120"/>
        <w:jc w:val="center"/>
        <w:rPr>
          <w:b/>
        </w:rPr>
      </w:pPr>
      <w:r>
        <w:rPr>
          <w:b/>
        </w:rPr>
        <w:t xml:space="preserve">Migration Amendment (Biosecurity Contravention) Regulations 2023 </w:t>
      </w:r>
    </w:p>
    <w:p w14:paraId="1EFD88B9" w14:textId="77777777" w:rsidR="000671E3" w:rsidRDefault="000671E3" w:rsidP="000671E3">
      <w:pPr>
        <w:spacing w:before="120" w:after="120"/>
        <w:jc w:val="center"/>
      </w:pPr>
    </w:p>
    <w:p w14:paraId="7F72F353" w14:textId="77777777" w:rsidR="000671E3" w:rsidRDefault="000671E3" w:rsidP="000671E3">
      <w:pPr>
        <w:spacing w:before="120" w:after="120"/>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14:paraId="77EDBA59" w14:textId="77777777" w:rsidR="000671E3" w:rsidRPr="000671E3" w:rsidRDefault="000671E3" w:rsidP="000671E3">
      <w:pPr>
        <w:spacing w:before="120" w:after="120"/>
        <w:rPr>
          <w:b/>
        </w:rPr>
      </w:pPr>
    </w:p>
    <w:p w14:paraId="382EA644" w14:textId="77777777" w:rsidR="00F45FE3" w:rsidRPr="00061C28" w:rsidRDefault="00F45FE3" w:rsidP="00F45FE3">
      <w:pPr>
        <w:spacing w:before="120" w:after="120"/>
      </w:pPr>
      <w:r w:rsidRPr="00061C28">
        <w:rPr>
          <w:rFonts w:eastAsia="Times New Roman"/>
          <w:color w:val="000000"/>
        </w:rPr>
        <w:t xml:space="preserve">The Australian Government is committed to protecting the Australian community from biosecurity risks posed by travellers, including non-citizens, who bring goods that pose a biosecurity risk into Australian territory through airports and ports. </w:t>
      </w:r>
      <w:r w:rsidRPr="00061C28">
        <w:t xml:space="preserve">The </w:t>
      </w:r>
      <w:r w:rsidRPr="00061C28">
        <w:rPr>
          <w:i/>
        </w:rPr>
        <w:t>Biosecurity Act 2015</w:t>
      </w:r>
      <w:r w:rsidRPr="00061C28">
        <w:t xml:space="preserve"> (the Biosecurity Act) provides the regulatory framework for the management of diseases and pests entering Australia that may cause harm to human, animal or plant health or the environment. Contraventions of the Biosecurity Act pose a serious threat to Australia’s economy, agricultural sector, animal, plant, human health and the environment.</w:t>
      </w:r>
    </w:p>
    <w:p w14:paraId="70AD50BF" w14:textId="77777777" w:rsidR="00F45FE3" w:rsidRPr="00061C28" w:rsidRDefault="00F45FE3" w:rsidP="00F45FE3">
      <w:pPr>
        <w:spacing w:before="120" w:after="120"/>
      </w:pPr>
      <w:r w:rsidRPr="00061C28">
        <w:t xml:space="preserve">The </w:t>
      </w:r>
      <w:r w:rsidRPr="00061C28">
        <w:rPr>
          <w:i/>
        </w:rPr>
        <w:t>Migration Act 1958</w:t>
      </w:r>
      <w:r w:rsidRPr="00061C28">
        <w:t xml:space="preserve"> (the Migration Act) and the </w:t>
      </w:r>
      <w:r w:rsidRPr="00061C28">
        <w:rPr>
          <w:i/>
        </w:rPr>
        <w:t>Migration Regulations 1994</w:t>
      </w:r>
      <w:r w:rsidRPr="00061C28">
        <w:t xml:space="preserve"> (the Migration Regulations) provide grounds for the discretionary cancellation of a non-citizen’s visa in certain circumstances. Paragraph 2.43(1)(s) of the Migration Regulations prescribes grounds for cancellation of a visa under paragraph 116(1)(g) of the Migration Act for contraventions of certain provisions of the Biosecurity Act. </w:t>
      </w:r>
    </w:p>
    <w:p w14:paraId="43FFAB9E" w14:textId="77777777" w:rsidR="00F45FE3" w:rsidRPr="00061C28" w:rsidRDefault="00F45FE3" w:rsidP="00F45FE3">
      <w:pPr>
        <w:spacing w:before="120" w:after="120"/>
      </w:pPr>
      <w:r w:rsidRPr="00061C28">
        <w:t>This provision allows the Minister (or delegate) to cancel certain listed types of temporary visa – visitor, student, working holiday, maritime crew and temporary work visas – if the visa holder is in Australia and has not been immigration cleared, and the Minister (or delegate) reasonably believes that the visa holder has contravened the following subsections of the Biosecurity Act:</w:t>
      </w:r>
    </w:p>
    <w:p w14:paraId="4267AC88" w14:textId="77777777" w:rsidR="00F45FE3" w:rsidRPr="00061C28" w:rsidRDefault="00F45FE3" w:rsidP="00F45FE3">
      <w:pPr>
        <w:pStyle w:val="ListParagraph"/>
        <w:numPr>
          <w:ilvl w:val="0"/>
          <w:numId w:val="1"/>
        </w:numPr>
        <w:spacing w:after="0" w:line="240" w:lineRule="auto"/>
        <w:ind w:right="42"/>
        <w:rPr>
          <w:rFonts w:ascii="Times New Roman" w:eastAsiaTheme="minorEastAsia" w:hAnsi="Times New Roman" w:cs="Times New Roman"/>
          <w:sz w:val="24"/>
          <w:szCs w:val="24"/>
          <w:lang w:eastAsia="en-AU"/>
        </w:rPr>
      </w:pPr>
      <w:r w:rsidRPr="00061C28">
        <w:rPr>
          <w:rFonts w:ascii="Times New Roman" w:eastAsiaTheme="minorEastAsia" w:hAnsi="Times New Roman" w:cs="Times New Roman"/>
          <w:sz w:val="24"/>
          <w:szCs w:val="24"/>
          <w:lang w:eastAsia="en-AU"/>
        </w:rPr>
        <w:t>126(2): not answering questions or providing information in relation to goods when requested by a biosecurity official</w:t>
      </w:r>
    </w:p>
    <w:p w14:paraId="1E52B8F9" w14:textId="77777777" w:rsidR="00F45FE3" w:rsidRPr="00061C28" w:rsidRDefault="00F45FE3" w:rsidP="00F45FE3">
      <w:pPr>
        <w:pStyle w:val="ListParagraph"/>
        <w:numPr>
          <w:ilvl w:val="0"/>
          <w:numId w:val="1"/>
        </w:numPr>
        <w:spacing w:after="0" w:line="240" w:lineRule="auto"/>
        <w:ind w:right="42"/>
        <w:rPr>
          <w:rFonts w:ascii="Times New Roman" w:eastAsiaTheme="minorEastAsia" w:hAnsi="Times New Roman" w:cs="Times New Roman"/>
          <w:sz w:val="24"/>
          <w:szCs w:val="24"/>
          <w:lang w:eastAsia="en-AU"/>
        </w:rPr>
      </w:pPr>
      <w:r w:rsidRPr="00061C28">
        <w:rPr>
          <w:rFonts w:ascii="Times New Roman" w:eastAsiaTheme="minorEastAsia" w:hAnsi="Times New Roman" w:cs="Times New Roman"/>
          <w:sz w:val="24"/>
          <w:szCs w:val="24"/>
          <w:lang w:eastAsia="en-AU"/>
        </w:rPr>
        <w:t>128(2): not following directions given by a biosecurity officer in relation to goods or baggage</w:t>
      </w:r>
    </w:p>
    <w:p w14:paraId="668EDA95" w14:textId="77777777" w:rsidR="00F45FE3" w:rsidRPr="00061C28" w:rsidRDefault="00F45FE3" w:rsidP="00F45FE3">
      <w:pPr>
        <w:pStyle w:val="ListParagraph"/>
        <w:numPr>
          <w:ilvl w:val="0"/>
          <w:numId w:val="1"/>
        </w:numPr>
        <w:spacing w:after="0" w:line="240" w:lineRule="auto"/>
        <w:ind w:right="42"/>
        <w:rPr>
          <w:rFonts w:ascii="Times New Roman" w:eastAsiaTheme="minorEastAsia" w:hAnsi="Times New Roman" w:cs="Times New Roman"/>
          <w:sz w:val="24"/>
          <w:szCs w:val="24"/>
          <w:lang w:eastAsia="en-AU"/>
        </w:rPr>
      </w:pPr>
      <w:r w:rsidRPr="00061C28">
        <w:rPr>
          <w:rFonts w:ascii="Times New Roman" w:eastAsiaTheme="minorEastAsia" w:hAnsi="Times New Roman" w:cs="Times New Roman"/>
          <w:sz w:val="24"/>
          <w:szCs w:val="24"/>
          <w:lang w:eastAsia="en-AU"/>
        </w:rPr>
        <w:t>532(1): knowingly providing false or misleading information to a biosecurity official or omitting information when asked</w:t>
      </w:r>
    </w:p>
    <w:p w14:paraId="116473D4" w14:textId="77777777" w:rsidR="00F45FE3" w:rsidRPr="00061C28" w:rsidRDefault="00F45FE3" w:rsidP="00F45FE3">
      <w:pPr>
        <w:pStyle w:val="ListParagraph"/>
        <w:numPr>
          <w:ilvl w:val="0"/>
          <w:numId w:val="1"/>
        </w:numPr>
        <w:spacing w:after="0" w:line="240" w:lineRule="auto"/>
        <w:ind w:right="42"/>
        <w:rPr>
          <w:rFonts w:ascii="Times New Roman" w:eastAsiaTheme="minorEastAsia" w:hAnsi="Times New Roman" w:cs="Times New Roman"/>
          <w:sz w:val="24"/>
          <w:szCs w:val="24"/>
          <w:lang w:eastAsia="en-AU"/>
        </w:rPr>
      </w:pPr>
      <w:r w:rsidRPr="00061C28">
        <w:rPr>
          <w:rFonts w:ascii="Times New Roman" w:eastAsiaTheme="minorEastAsia" w:hAnsi="Times New Roman" w:cs="Times New Roman"/>
          <w:sz w:val="24"/>
          <w:szCs w:val="24"/>
          <w:lang w:eastAsia="en-AU"/>
        </w:rPr>
        <w:t>533(1): knowingly producing a false or misleading document, including an Incoming Passenger Card or Crew Declaration, to a biosecurity official.</w:t>
      </w:r>
    </w:p>
    <w:p w14:paraId="55BC3C7E" w14:textId="6CEFB95C" w:rsidR="00F45FE3" w:rsidRPr="00061C28" w:rsidRDefault="003E24F4" w:rsidP="00F45FE3">
      <w:pPr>
        <w:spacing w:before="120" w:after="120"/>
      </w:pPr>
      <w:r>
        <w:t>On 6</w:t>
      </w:r>
      <w:r w:rsidR="00F45FE3" w:rsidRPr="00061C28">
        <w:t xml:space="preserve"> December 2022, the Biosecurity Act was amended to include subsection 186A(1), which provides that a person is liable to a civil penalty if:</w:t>
      </w:r>
    </w:p>
    <w:p w14:paraId="31699B9F" w14:textId="747A676D" w:rsidR="00F45FE3" w:rsidRPr="00061C28" w:rsidRDefault="00F45FE3" w:rsidP="00F45FE3">
      <w:pPr>
        <w:pStyle w:val="ListParagraph"/>
        <w:numPr>
          <w:ilvl w:val="0"/>
          <w:numId w:val="1"/>
        </w:numPr>
        <w:spacing w:after="0" w:line="240" w:lineRule="auto"/>
        <w:ind w:right="42"/>
        <w:rPr>
          <w:rFonts w:ascii="Times New Roman" w:eastAsiaTheme="minorEastAsia" w:hAnsi="Times New Roman" w:cs="Times New Roman"/>
          <w:sz w:val="24"/>
          <w:szCs w:val="24"/>
          <w:lang w:eastAsia="en-AU"/>
        </w:rPr>
      </w:pPr>
      <w:r w:rsidRPr="00061C28">
        <w:rPr>
          <w:rFonts w:ascii="Times New Roman" w:eastAsiaTheme="minorEastAsia" w:hAnsi="Times New Roman" w:cs="Times New Roman"/>
          <w:sz w:val="24"/>
          <w:szCs w:val="24"/>
          <w:lang w:eastAsia="en-AU"/>
        </w:rPr>
        <w:t>they bring or import conditionally non-prohibited goods into Australia</w:t>
      </w:r>
      <w:r w:rsidR="003E24F4">
        <w:rPr>
          <w:rFonts w:ascii="Times New Roman" w:eastAsiaTheme="minorEastAsia" w:hAnsi="Times New Roman" w:cs="Times New Roman"/>
          <w:sz w:val="24"/>
          <w:szCs w:val="24"/>
          <w:lang w:eastAsia="en-AU"/>
        </w:rPr>
        <w:t>n</w:t>
      </w:r>
      <w:r w:rsidRPr="00061C28">
        <w:rPr>
          <w:rFonts w:ascii="Times New Roman" w:eastAsiaTheme="minorEastAsia" w:hAnsi="Times New Roman" w:cs="Times New Roman"/>
          <w:sz w:val="24"/>
          <w:szCs w:val="24"/>
          <w:lang w:eastAsia="en-AU"/>
        </w:rPr>
        <w:t xml:space="preserve"> territory; and </w:t>
      </w:r>
    </w:p>
    <w:p w14:paraId="3B83E12D" w14:textId="77777777" w:rsidR="00F45FE3" w:rsidRPr="00061C28" w:rsidRDefault="00F45FE3" w:rsidP="00F45FE3">
      <w:pPr>
        <w:pStyle w:val="ListParagraph"/>
        <w:numPr>
          <w:ilvl w:val="0"/>
          <w:numId w:val="1"/>
        </w:numPr>
        <w:spacing w:after="0" w:line="240" w:lineRule="auto"/>
        <w:ind w:right="42"/>
        <w:rPr>
          <w:rFonts w:ascii="Times New Roman" w:eastAsiaTheme="minorEastAsia" w:hAnsi="Times New Roman" w:cs="Times New Roman"/>
          <w:sz w:val="24"/>
          <w:szCs w:val="24"/>
          <w:lang w:eastAsia="en-AU"/>
        </w:rPr>
      </w:pPr>
      <w:r w:rsidRPr="00061C28">
        <w:rPr>
          <w:rFonts w:ascii="Times New Roman" w:eastAsiaTheme="minorEastAsia" w:hAnsi="Times New Roman" w:cs="Times New Roman"/>
          <w:sz w:val="24"/>
          <w:szCs w:val="24"/>
          <w:lang w:eastAsia="en-AU"/>
        </w:rPr>
        <w:t xml:space="preserve">a condition in relation to such goods has not been complied with; and </w:t>
      </w:r>
    </w:p>
    <w:p w14:paraId="4D6260F3" w14:textId="77777777" w:rsidR="00F45FE3" w:rsidRPr="00061C28" w:rsidRDefault="00F45FE3" w:rsidP="00F45FE3">
      <w:pPr>
        <w:pStyle w:val="ListParagraph"/>
        <w:numPr>
          <w:ilvl w:val="0"/>
          <w:numId w:val="1"/>
        </w:numPr>
        <w:spacing w:after="0" w:line="240" w:lineRule="auto"/>
        <w:ind w:right="42"/>
        <w:rPr>
          <w:rFonts w:ascii="Times New Roman" w:eastAsiaTheme="minorEastAsia" w:hAnsi="Times New Roman" w:cs="Times New Roman"/>
          <w:sz w:val="24"/>
          <w:szCs w:val="24"/>
          <w:lang w:eastAsia="en-AU"/>
        </w:rPr>
      </w:pPr>
      <w:r w:rsidRPr="00061C28">
        <w:rPr>
          <w:rFonts w:ascii="Times New Roman" w:eastAsiaTheme="minorEastAsia" w:hAnsi="Times New Roman" w:cs="Times New Roman"/>
          <w:sz w:val="24"/>
          <w:szCs w:val="24"/>
          <w:lang w:eastAsia="en-AU"/>
        </w:rPr>
        <w:lastRenderedPageBreak/>
        <w:t xml:space="preserve">the goods are concealed for the purpose of preventing the goods from being found, or preventing the true nature of the goods from being determined by a biosecurity official. </w:t>
      </w:r>
    </w:p>
    <w:p w14:paraId="522E2FCE" w14:textId="77777777" w:rsidR="00F45FE3" w:rsidRPr="00061C28" w:rsidRDefault="00F45FE3" w:rsidP="00F45FE3">
      <w:pPr>
        <w:spacing w:before="120" w:after="120"/>
      </w:pPr>
      <w:r w:rsidRPr="00061C28">
        <w:t xml:space="preserve">Conditionally non-prohibited goods are those that must not be brought or imported into Australian territory unless certain specified conditions are complied with, including holding a valid import permit if required, so that the biosecurity risk associated with the goods </w:t>
      </w:r>
      <w:r>
        <w:t>is</w:t>
      </w:r>
      <w:r w:rsidRPr="00061C28">
        <w:t xml:space="preserve"> managed to an acceptable level. This may include goods such as meat or meat products, live animals and animal reproductive material, live plants, seeds, animal material and goods made of or containing animal material, plant products and goods containing or made of plants, infectious agents and microorganisms, and fungi and goods containing or made of fungi.</w:t>
      </w:r>
    </w:p>
    <w:p w14:paraId="50ECD065" w14:textId="77777777" w:rsidR="00F45FE3" w:rsidRPr="00061C28" w:rsidRDefault="00F45FE3" w:rsidP="00F45FE3">
      <w:pPr>
        <w:spacing w:before="120" w:after="120"/>
      </w:pPr>
      <w:r w:rsidRPr="00061C28">
        <w:t>Concealing such goods prevents biosecurity officers from being able to assess the risk associated with the goods and, where necessary, take measures to manage any such biosecurity risks.</w:t>
      </w:r>
    </w:p>
    <w:p w14:paraId="28039560" w14:textId="77777777" w:rsidR="00F45FE3" w:rsidRPr="00061C28" w:rsidRDefault="00F45FE3" w:rsidP="00F45FE3">
      <w:pPr>
        <w:spacing w:before="120" w:after="120"/>
      </w:pPr>
      <w:r w:rsidRPr="00061C28">
        <w:t xml:space="preserve">This Disallowable Legislative Instrument, the </w:t>
      </w:r>
      <w:r w:rsidRPr="00061C28">
        <w:rPr>
          <w:i/>
        </w:rPr>
        <w:t>Migration Amendment (Biosecurity Contravention) Regulations 2023</w:t>
      </w:r>
      <w:r w:rsidRPr="00061C28">
        <w:t xml:space="preserve"> (the Amendment Regulations) amends paragraph 2.43(1)(s) of the Migration Regulations to expand the grounds for visa cancellation to include circumstances where the Minister reasonably believes that the holder of a specified visa has contravened subsection 186A(1) of the Biosecurity Act. The policy intention is to ensure that persons who are reasonably believed to have contravened that subsection are subject to at least the same potential consequences in relation to their visa status as a person who demonstrates less serious conduct by contravening any of the other already specified subsections of the Biosecurity Act. Although a contravention of these already specified provisions is regarded as serious, it is nevertheless considered less serious than a contravention of subsection 186A(1).</w:t>
      </w:r>
    </w:p>
    <w:p w14:paraId="2C863FD2" w14:textId="77777777" w:rsidR="00F45FE3" w:rsidRPr="00061C28" w:rsidRDefault="00F45FE3" w:rsidP="00F45FE3">
      <w:pPr>
        <w:spacing w:before="120" w:after="120"/>
      </w:pPr>
      <w:r w:rsidRPr="00061C28">
        <w:t xml:space="preserve">Given the very serious nature of attempting to conceal conditionally non-prohibited goods and the concomitant threat that action represents to Australia’s unique biosecurity status, it is appropriate for migration officials to have the discretion to cancel the visa of persons who contravene this provision. </w:t>
      </w:r>
    </w:p>
    <w:p w14:paraId="354B1AC1" w14:textId="77777777" w:rsidR="00F45FE3" w:rsidRPr="00061C28" w:rsidRDefault="00F45FE3" w:rsidP="00F45FE3">
      <w:pPr>
        <w:spacing w:before="120" w:after="120"/>
      </w:pPr>
      <w:r w:rsidRPr="00061C28">
        <w:t xml:space="preserve">The biosecurity-related visa cancellation powers under the Migration Regulations are only engaged in circumstances where the Minister (or delegate) reasonably believes that a listed provision of the Biosecurity Act has been contravened by a holder of a specified visa. In most cases this will be where a biosecurity officer has issued that visa holder with an infringement notice under the Biosecurity Act. The existing biosecurity framework already contains provisions to issue an infringement notice to a person for contravention of Australian biosecurity requirements while the migration legislation sets out procedural fairness requirements relating to the consideration of visa cancellation under section 116 of the Migration Act. </w:t>
      </w:r>
    </w:p>
    <w:p w14:paraId="1D4E322F" w14:textId="77777777" w:rsidR="00F45FE3" w:rsidRPr="00061C28" w:rsidRDefault="00F45FE3" w:rsidP="00F45FE3">
      <w:pPr>
        <w:spacing w:before="120" w:after="120"/>
        <w:rPr>
          <w:rFonts w:eastAsia="Times New Roman"/>
          <w:color w:val="000000"/>
        </w:rPr>
      </w:pPr>
      <w:r w:rsidRPr="00061C28">
        <w:rPr>
          <w:rFonts w:eastAsia="Times New Roman"/>
          <w:color w:val="000000"/>
        </w:rPr>
        <w:t>The Government will undertake public messaging (including pre-departure education for students and temporary workers) about the possibility of visa cancellation for the contravention of biosecurity laws, the development of communication material for incoming passengers, and the development of robust procedural instructions and training for staff at ports of entry.</w:t>
      </w:r>
    </w:p>
    <w:p w14:paraId="5BE80745" w14:textId="77777777" w:rsidR="00F45FE3" w:rsidRPr="00061C28" w:rsidRDefault="00F45FE3" w:rsidP="00F45FE3">
      <w:pPr>
        <w:spacing w:before="120" w:after="120"/>
      </w:pPr>
      <w:r w:rsidRPr="00061C28">
        <w:t>The Government’s intention and expectation is that there will be an emphasis on education and counselling, with cancellation occurring only in repeat or egregious cases. This cautious and fair approach recognises that some of the affected visa holders, such as temporary workers and international students, may have existing substantial connections with Australia and Australians. Visa cancellation officers will be provided with policy guidance about the addition of subsection 186A(1) of the Biosecurity Act as a basis for considering cancellation of a person’s visa.</w:t>
      </w:r>
    </w:p>
    <w:p w14:paraId="6F6BC5DE" w14:textId="77777777" w:rsidR="00F45FE3" w:rsidRPr="00061C28" w:rsidRDefault="00F45FE3" w:rsidP="00F45FE3">
      <w:pPr>
        <w:spacing w:before="120" w:after="120"/>
      </w:pPr>
      <w:r w:rsidRPr="00061C28">
        <w:lastRenderedPageBreak/>
        <w:t xml:space="preserve">A person whose visa has been cancelled on a range of grounds, including the biosecurity-related grounds, is prevented by Public Interest Criterion 4013 from being granted </w:t>
      </w:r>
      <w:r>
        <w:t>most types of</w:t>
      </w:r>
      <w:r w:rsidRPr="00061C28">
        <w:t xml:space="preserve"> further visa to travel to Australia for three years from the date of the cancellation decision</w:t>
      </w:r>
      <w:r w:rsidRPr="00997620">
        <w:t>, unless the Minister is satisfied there are compelling circumstances that affect the interests of Australia or compassionate or</w:t>
      </w:r>
      <w:r w:rsidRPr="00997620">
        <w:rPr>
          <w:rFonts w:eastAsia="Times New Roman"/>
          <w:color w:val="000000"/>
        </w:rPr>
        <w:t xml:space="preserve"> compelling circumstances that affect the interests of an Australian citizen, an Australian permanent resident or an eligible New Zealand citizen.</w:t>
      </w:r>
    </w:p>
    <w:p w14:paraId="1492D3C1" w14:textId="500BDA7C" w:rsidR="00F45FE3" w:rsidRPr="00061C28" w:rsidRDefault="00F45FE3" w:rsidP="00F45FE3">
      <w:pPr>
        <w:spacing w:before="120" w:after="120"/>
      </w:pPr>
      <w:r w:rsidRPr="00061C28">
        <w:rPr>
          <w:rFonts w:eastAsia="Times New Roman"/>
          <w:color w:val="000000"/>
        </w:rPr>
        <w:t>The amendment to the </w:t>
      </w:r>
      <w:r w:rsidRPr="00061C28">
        <w:rPr>
          <w:rFonts w:eastAsia="Times New Roman"/>
          <w:iCs/>
          <w:color w:val="000000"/>
        </w:rPr>
        <w:t>Migration</w:t>
      </w:r>
      <w:r w:rsidRPr="00061C28">
        <w:rPr>
          <w:rFonts w:eastAsia="Times New Roman"/>
          <w:color w:val="000000"/>
        </w:rPr>
        <w:t xml:space="preserve"> Regulations made by the Amendment Regulations will enhance Australia’s biosecurity regime to protect the Australian community and agricultural systems from biosecurity risks. Further, it will also ensure that holders of the specified visas who attempt to bring or import goods that threaten Australia’s biosecurity by concealing those goods so that the risk level cannot be appropriately assessed by biosecurity officers</w:t>
      </w:r>
      <w:r w:rsidR="005423DF">
        <w:rPr>
          <w:rFonts w:eastAsia="Times New Roman"/>
          <w:color w:val="000000"/>
        </w:rPr>
        <w:t>,</w:t>
      </w:r>
      <w:r w:rsidRPr="00061C28">
        <w:rPr>
          <w:rFonts w:eastAsia="Times New Roman"/>
          <w:color w:val="000000"/>
        </w:rPr>
        <w:t xml:space="preserve"> face at least the same consequences as visa holders who commit less serious breaches of the Biosecurity Act. The consequence of potential visa cancellation under the migration legislation, in addition to the penalties under the Biosecurity Act, is aimed at further deterring conduct </w:t>
      </w:r>
      <w:r>
        <w:rPr>
          <w:rFonts w:eastAsia="Times New Roman"/>
          <w:color w:val="000000"/>
        </w:rPr>
        <w:t>that could result in significant and lasting impacts to Australia’s biosecurity status, market access and economy</w:t>
      </w:r>
      <w:r w:rsidRPr="00061C28">
        <w:rPr>
          <w:rFonts w:eastAsia="Times New Roman"/>
          <w:color w:val="000000"/>
        </w:rPr>
        <w:t>.</w:t>
      </w:r>
    </w:p>
    <w:p w14:paraId="5FD26190" w14:textId="77777777" w:rsidR="00F45FE3" w:rsidRPr="00061C28" w:rsidRDefault="00F45FE3" w:rsidP="00F45FE3">
      <w:pPr>
        <w:spacing w:before="120" w:after="120"/>
      </w:pPr>
    </w:p>
    <w:p w14:paraId="24F5B1F9" w14:textId="77777777" w:rsidR="00F45FE3" w:rsidRPr="00F45FE3" w:rsidRDefault="00F45FE3" w:rsidP="00F45FE3">
      <w:pPr>
        <w:pStyle w:val="Heading3"/>
        <w:rPr>
          <w:rFonts w:ascii="Times New Roman" w:hAnsi="Times New Roman" w:cs="Times New Roman"/>
          <w:b/>
          <w:color w:val="000000" w:themeColor="text1"/>
        </w:rPr>
      </w:pPr>
      <w:r w:rsidRPr="00F45FE3">
        <w:rPr>
          <w:rFonts w:ascii="Times New Roman" w:hAnsi="Times New Roman" w:cs="Times New Roman"/>
          <w:b/>
          <w:color w:val="000000" w:themeColor="text1"/>
        </w:rPr>
        <w:t>Human rights implications</w:t>
      </w:r>
    </w:p>
    <w:p w14:paraId="00B95D13" w14:textId="77777777" w:rsidR="00F45FE3" w:rsidRPr="00061C28" w:rsidRDefault="00F45FE3" w:rsidP="00F45FE3">
      <w:pPr>
        <w:spacing w:before="120" w:after="120"/>
      </w:pPr>
      <w:r>
        <w:t>In most cases, a person who contravenes subsection 186A(1) of the Biosecurity Act will also have contravened one of the already-specified provisions of the Biosecurity Act and enlivened the discretionary visa cancellation power in paragraph 2.43(1)(s) of the Migration Regulations. However, in a case where the other provisions have not been contravened, and/or the visa may be more likely to be cancelled because of the more serious nature of the offence under subsection 186A(1), the addition of subsection 186A(1) as a basis for visa cancellation by t</w:t>
      </w:r>
      <w:r w:rsidRPr="00061C28">
        <w:t>h</w:t>
      </w:r>
      <w:r>
        <w:t>e</w:t>
      </w:r>
      <w:r w:rsidRPr="00061C28">
        <w:t xml:space="preserve"> </w:t>
      </w:r>
      <w:r>
        <w:t>Amendment Regulations</w:t>
      </w:r>
      <w:r w:rsidRPr="00061C28">
        <w:t xml:space="preserve"> may engage the following rights:</w:t>
      </w:r>
    </w:p>
    <w:p w14:paraId="62345D8B" w14:textId="77777777" w:rsidR="00F45FE3" w:rsidRPr="00061C28" w:rsidRDefault="00F45FE3" w:rsidP="00F45FE3">
      <w:pPr>
        <w:pStyle w:val="ListParagraph"/>
        <w:numPr>
          <w:ilvl w:val="0"/>
          <w:numId w:val="4"/>
        </w:numPr>
        <w:spacing w:before="120" w:after="120" w:line="240" w:lineRule="auto"/>
        <w:rPr>
          <w:rFonts w:ascii="Times New Roman" w:hAnsi="Times New Roman"/>
          <w:sz w:val="24"/>
          <w:szCs w:val="24"/>
        </w:rPr>
      </w:pPr>
      <w:r w:rsidRPr="00061C28">
        <w:rPr>
          <w:rFonts w:ascii="Times New Roman" w:hAnsi="Times New Roman"/>
          <w:sz w:val="24"/>
          <w:szCs w:val="24"/>
        </w:rPr>
        <w:t xml:space="preserve">Expulsion of aliens – Article 13 of the </w:t>
      </w:r>
      <w:r w:rsidRPr="00061C28">
        <w:rPr>
          <w:rFonts w:ascii="Times New Roman" w:hAnsi="Times New Roman"/>
          <w:i/>
          <w:sz w:val="24"/>
          <w:szCs w:val="24"/>
        </w:rPr>
        <w:t xml:space="preserve">International Covenant on Civil and Political Rights </w:t>
      </w:r>
      <w:r w:rsidRPr="00061C28">
        <w:rPr>
          <w:rFonts w:ascii="Times New Roman" w:hAnsi="Times New Roman"/>
          <w:sz w:val="24"/>
          <w:szCs w:val="24"/>
        </w:rPr>
        <w:t>(ICCPR);</w:t>
      </w:r>
    </w:p>
    <w:p w14:paraId="0DF58DD1" w14:textId="77777777" w:rsidR="00F45FE3" w:rsidRPr="00061C28" w:rsidRDefault="00F45FE3" w:rsidP="00F45FE3">
      <w:pPr>
        <w:pStyle w:val="ListParagraph"/>
        <w:numPr>
          <w:ilvl w:val="0"/>
          <w:numId w:val="4"/>
        </w:numPr>
        <w:spacing w:before="120" w:after="120" w:line="240" w:lineRule="auto"/>
        <w:rPr>
          <w:rFonts w:ascii="Times New Roman" w:hAnsi="Times New Roman"/>
          <w:sz w:val="24"/>
          <w:szCs w:val="24"/>
        </w:rPr>
      </w:pPr>
      <w:r w:rsidRPr="00061C28">
        <w:rPr>
          <w:rFonts w:ascii="Times New Roman" w:hAnsi="Times New Roman"/>
          <w:sz w:val="24"/>
          <w:szCs w:val="24"/>
        </w:rPr>
        <w:t>Right to liberty – Article 9 of the ICCPR;</w:t>
      </w:r>
    </w:p>
    <w:p w14:paraId="204E5495" w14:textId="77777777" w:rsidR="00F45FE3" w:rsidRPr="00061C28" w:rsidRDefault="00F45FE3" w:rsidP="00F45FE3">
      <w:pPr>
        <w:pStyle w:val="ListParagraph"/>
        <w:numPr>
          <w:ilvl w:val="0"/>
          <w:numId w:val="4"/>
        </w:numPr>
        <w:spacing w:before="120" w:after="120" w:line="240" w:lineRule="auto"/>
        <w:rPr>
          <w:rFonts w:ascii="Times New Roman" w:hAnsi="Times New Roman"/>
          <w:sz w:val="24"/>
          <w:szCs w:val="24"/>
        </w:rPr>
      </w:pPr>
      <w:r w:rsidRPr="00BA1BF7">
        <w:rPr>
          <w:rFonts w:ascii="Times New Roman" w:hAnsi="Times New Roman"/>
          <w:i/>
          <w:sz w:val="24"/>
          <w:szCs w:val="24"/>
        </w:rPr>
        <w:t>Non-refoulement</w:t>
      </w:r>
      <w:r w:rsidRPr="00061C28">
        <w:rPr>
          <w:rFonts w:ascii="Times New Roman" w:hAnsi="Times New Roman"/>
          <w:sz w:val="24"/>
          <w:szCs w:val="24"/>
        </w:rPr>
        <w:t xml:space="preserve"> obligations – Articles 6 and 7 of the ICCPR and Article 3(1) of the </w:t>
      </w:r>
      <w:r w:rsidRPr="00061C28">
        <w:rPr>
          <w:rFonts w:ascii="Times New Roman" w:hAnsi="Times New Roman"/>
          <w:i/>
          <w:sz w:val="24"/>
          <w:szCs w:val="24"/>
        </w:rPr>
        <w:t>Convention against Torture and Other Cruel, Inhuman or Degrading Treatment or Punishment</w:t>
      </w:r>
      <w:r w:rsidRPr="00061C28">
        <w:rPr>
          <w:rFonts w:ascii="Times New Roman" w:hAnsi="Times New Roman"/>
          <w:sz w:val="24"/>
          <w:szCs w:val="24"/>
        </w:rPr>
        <w:t xml:space="preserve"> (CAT);</w:t>
      </w:r>
    </w:p>
    <w:p w14:paraId="780FA0CE" w14:textId="77777777" w:rsidR="00F45FE3" w:rsidRPr="00061C28" w:rsidRDefault="00F45FE3" w:rsidP="00F45FE3">
      <w:pPr>
        <w:pStyle w:val="ListParagraph"/>
        <w:numPr>
          <w:ilvl w:val="0"/>
          <w:numId w:val="4"/>
        </w:numPr>
        <w:spacing w:before="120" w:after="120" w:line="240" w:lineRule="auto"/>
        <w:rPr>
          <w:rFonts w:ascii="Times New Roman" w:hAnsi="Times New Roman"/>
          <w:sz w:val="24"/>
          <w:szCs w:val="24"/>
        </w:rPr>
      </w:pPr>
      <w:r w:rsidRPr="00061C28">
        <w:rPr>
          <w:rFonts w:ascii="Times New Roman" w:hAnsi="Times New Roman"/>
          <w:sz w:val="24"/>
          <w:szCs w:val="24"/>
        </w:rPr>
        <w:t xml:space="preserve">Rights relating to respect for the family and consideration of the best interests of the child – Articles 17(1) and 23(1) of the ICCPR and Article 3(1) of the </w:t>
      </w:r>
      <w:r w:rsidRPr="00061C28">
        <w:rPr>
          <w:rFonts w:ascii="Times New Roman" w:hAnsi="Times New Roman"/>
          <w:i/>
          <w:sz w:val="24"/>
          <w:szCs w:val="24"/>
        </w:rPr>
        <w:t>Convention on the Rights of the Child</w:t>
      </w:r>
      <w:r w:rsidRPr="00061C28">
        <w:rPr>
          <w:rFonts w:ascii="Times New Roman" w:hAnsi="Times New Roman"/>
          <w:sz w:val="24"/>
          <w:szCs w:val="24"/>
        </w:rPr>
        <w:t xml:space="preserve"> (CRC);</w:t>
      </w:r>
    </w:p>
    <w:p w14:paraId="0A990663" w14:textId="77777777" w:rsidR="00F45FE3" w:rsidRPr="00061C28" w:rsidRDefault="00F45FE3" w:rsidP="00F45FE3">
      <w:pPr>
        <w:pStyle w:val="ListParagraph"/>
        <w:numPr>
          <w:ilvl w:val="0"/>
          <w:numId w:val="4"/>
        </w:numPr>
        <w:spacing w:before="120" w:after="120" w:line="240" w:lineRule="auto"/>
        <w:rPr>
          <w:rFonts w:ascii="Times New Roman" w:hAnsi="Times New Roman"/>
          <w:sz w:val="24"/>
          <w:szCs w:val="24"/>
        </w:rPr>
      </w:pPr>
      <w:r w:rsidRPr="00061C28">
        <w:rPr>
          <w:rFonts w:ascii="Times New Roman" w:hAnsi="Times New Roman"/>
          <w:sz w:val="24"/>
          <w:szCs w:val="24"/>
        </w:rPr>
        <w:t>Right to privacy – Article 17(1) of the ICCPR.</w:t>
      </w:r>
    </w:p>
    <w:p w14:paraId="2B96A7B5" w14:textId="77777777" w:rsidR="00F45FE3" w:rsidRPr="00061C28" w:rsidRDefault="00F45FE3" w:rsidP="00F45FE3">
      <w:pPr>
        <w:shd w:val="clear" w:color="auto" w:fill="FFFFFF"/>
        <w:rPr>
          <w:rFonts w:eastAsia="Times New Roman"/>
        </w:rPr>
      </w:pPr>
    </w:p>
    <w:p w14:paraId="4DAC96E1" w14:textId="77777777" w:rsidR="00F45FE3" w:rsidRPr="00061C28" w:rsidRDefault="00F45FE3" w:rsidP="00F45FE3">
      <w:pPr>
        <w:spacing w:before="120" w:after="120"/>
      </w:pPr>
      <w:r w:rsidRPr="00061C28">
        <w:rPr>
          <w:u w:val="single"/>
        </w:rPr>
        <w:t>Expulsion of Aliens</w:t>
      </w:r>
    </w:p>
    <w:p w14:paraId="38F84E3A" w14:textId="7D691BE9" w:rsidR="00F45FE3" w:rsidRPr="00061C28" w:rsidRDefault="00F45FE3" w:rsidP="00F45FE3">
      <w:pPr>
        <w:shd w:val="clear" w:color="auto" w:fill="FFFFFF"/>
        <w:rPr>
          <w:rFonts w:eastAsia="Times New Roman"/>
          <w:color w:val="000000"/>
        </w:rPr>
      </w:pPr>
      <w:r w:rsidRPr="00061C28">
        <w:rPr>
          <w:rFonts w:eastAsia="Times New Roman"/>
        </w:rPr>
        <w:t>Article 13 of the ICCPR states:</w:t>
      </w:r>
    </w:p>
    <w:p w14:paraId="628BA201" w14:textId="0BBB641B" w:rsidR="00F45FE3" w:rsidRPr="00061C28" w:rsidRDefault="00F45FE3" w:rsidP="00F45FE3">
      <w:pPr>
        <w:shd w:val="clear" w:color="auto" w:fill="FFFFFF"/>
        <w:ind w:left="720"/>
        <w:rPr>
          <w:rFonts w:eastAsia="Times New Roman"/>
          <w:color w:val="000000"/>
        </w:rPr>
      </w:pPr>
      <w:r w:rsidRPr="00061C28">
        <w:rPr>
          <w:rFonts w:eastAsia="Times New Roman"/>
          <w:i/>
          <w:iCs/>
        </w:rPr>
        <w:t xml:space="preserve">An alien lawfully in the territory of a State Party to the present Covenant may be expelled therefrom only in pursuance of a decision reached in accordance with law and shall, except where compelling reasons of national security otherwise require, be allowed to submit the reasons against his expulsion and to have his case reviewed by, and be </w:t>
      </w:r>
      <w:r w:rsidRPr="00061C28">
        <w:rPr>
          <w:rFonts w:eastAsia="Times New Roman"/>
          <w:i/>
          <w:iCs/>
        </w:rPr>
        <w:lastRenderedPageBreak/>
        <w:t>represented for the purpose before, the competent authority or a person or persons especially designated by the competent authority.</w:t>
      </w:r>
    </w:p>
    <w:p w14:paraId="21D2F5A1" w14:textId="77777777" w:rsidR="00F45FE3" w:rsidRPr="00061C28" w:rsidRDefault="00F45FE3" w:rsidP="00F45FE3">
      <w:pPr>
        <w:shd w:val="clear" w:color="auto" w:fill="FFFFFF"/>
        <w:rPr>
          <w:rFonts w:eastAsia="Times New Roman"/>
          <w:color w:val="000000"/>
        </w:rPr>
      </w:pPr>
      <w:r w:rsidRPr="00061C28">
        <w:rPr>
          <w:rFonts w:eastAsia="Times New Roman"/>
        </w:rPr>
        <w:t xml:space="preserve">Under international law, Australia has the right to take reasonable steps to control the entry and stay of aliens. Decisions to cancel a visa for contraventions of certain sections of the Biosecurity Act, including subsection 186A(1), will be made in accordance with the Migration Act and the </w:t>
      </w:r>
      <w:r>
        <w:rPr>
          <w:rFonts w:eastAsia="Times New Roman"/>
        </w:rPr>
        <w:t xml:space="preserve">Migration </w:t>
      </w:r>
      <w:r w:rsidRPr="00061C28">
        <w:rPr>
          <w:rFonts w:eastAsia="Times New Roman"/>
        </w:rPr>
        <w:t>Regulations including paragraph 2.43(1)(s).</w:t>
      </w:r>
    </w:p>
    <w:p w14:paraId="3525DF3B" w14:textId="77777777" w:rsidR="00F45FE3" w:rsidRPr="00061C28" w:rsidRDefault="00F45FE3" w:rsidP="00F45FE3">
      <w:pPr>
        <w:spacing w:before="120" w:after="120"/>
        <w:rPr>
          <w:rFonts w:eastAsia="Times New Roman"/>
        </w:rPr>
      </w:pPr>
      <w:r w:rsidRPr="00061C28">
        <w:rPr>
          <w:rFonts w:eastAsia="Times New Roman"/>
        </w:rPr>
        <w:t xml:space="preserve">To the extent individuals may have their visa cancelled which would lead to their expulsion, the processes are in accordance with Article 13 in that, prior to a decision to cancel, the visa holder will be provided with adequate opportunity to put forward reasons as to why their visa should not be cancelled to a delegated officer. Procedural fairness provisions for visa cancellations </w:t>
      </w:r>
      <w:r>
        <w:rPr>
          <w:rFonts w:eastAsia="Times New Roman"/>
        </w:rPr>
        <w:t xml:space="preserve">under section 116 of the Migration Act </w:t>
      </w:r>
      <w:r w:rsidRPr="00061C28">
        <w:rPr>
          <w:rFonts w:eastAsia="Times New Roman"/>
        </w:rPr>
        <w:t xml:space="preserve">are </w:t>
      </w:r>
      <w:r>
        <w:rPr>
          <w:rFonts w:eastAsia="Times New Roman"/>
        </w:rPr>
        <w:t>set out</w:t>
      </w:r>
      <w:r w:rsidRPr="00061C28">
        <w:rPr>
          <w:rFonts w:eastAsia="Times New Roman"/>
        </w:rPr>
        <w:t xml:space="preserve"> in Subdivision E </w:t>
      </w:r>
      <w:r>
        <w:rPr>
          <w:rFonts w:eastAsia="Times New Roman"/>
        </w:rPr>
        <w:t xml:space="preserve">of Division 3 of Part 2 </w:t>
      </w:r>
      <w:r w:rsidRPr="00061C28">
        <w:rPr>
          <w:rFonts w:eastAsia="Times New Roman"/>
        </w:rPr>
        <w:t>of the Migration Act and will apply to these decisions, and judicial review in Australian courts is available. As such, this amendment does not infringe on Article 13 of the ICCPR.</w:t>
      </w:r>
    </w:p>
    <w:p w14:paraId="08F1A7B0" w14:textId="77777777" w:rsidR="00F45FE3" w:rsidRPr="00061C28" w:rsidRDefault="00F45FE3" w:rsidP="00F45FE3">
      <w:pPr>
        <w:spacing w:before="120" w:after="120"/>
      </w:pPr>
    </w:p>
    <w:p w14:paraId="39BAC8D4" w14:textId="77777777" w:rsidR="00F45FE3" w:rsidRPr="00061C28" w:rsidRDefault="00F45FE3" w:rsidP="00F45FE3">
      <w:pPr>
        <w:spacing w:before="120" w:after="120"/>
      </w:pPr>
      <w:r w:rsidRPr="00061C28">
        <w:rPr>
          <w:u w:val="single"/>
        </w:rPr>
        <w:t>Right to liberty</w:t>
      </w:r>
    </w:p>
    <w:p w14:paraId="0B59CEE8" w14:textId="2F21BE87" w:rsidR="00F45FE3" w:rsidRPr="00061C28" w:rsidRDefault="00F45FE3" w:rsidP="00F45FE3">
      <w:pPr>
        <w:shd w:val="clear" w:color="auto" w:fill="FFFFFF"/>
        <w:rPr>
          <w:rFonts w:eastAsia="Times New Roman"/>
          <w:color w:val="000000"/>
        </w:rPr>
      </w:pPr>
      <w:r w:rsidRPr="00061C28">
        <w:rPr>
          <w:rFonts w:eastAsia="Times New Roman"/>
          <w:color w:val="000000"/>
        </w:rPr>
        <w:t>Article 9(1) of the ICCPR states:</w:t>
      </w:r>
    </w:p>
    <w:p w14:paraId="6FFB5986" w14:textId="4105108F" w:rsidR="00F45FE3" w:rsidRPr="00061C28" w:rsidRDefault="00F45FE3" w:rsidP="00F45FE3">
      <w:pPr>
        <w:shd w:val="clear" w:color="auto" w:fill="FFFFFF"/>
        <w:ind w:left="720"/>
        <w:rPr>
          <w:rFonts w:eastAsia="Times New Roman"/>
          <w:color w:val="000000"/>
        </w:rPr>
      </w:pPr>
      <w:r w:rsidRPr="00061C28">
        <w:rPr>
          <w:rFonts w:eastAsia="Times New Roman"/>
          <w:i/>
          <w:iCs/>
        </w:rPr>
        <w:t>Everyone has the right to liberty and security of person. No one shall be subjected to arbitrary arrest or detention. No one shall be deprived of his liberty except on such grounds and in accordance with such procedure as are established by law.</w:t>
      </w:r>
    </w:p>
    <w:p w14:paraId="431C1624" w14:textId="36E34ED4" w:rsidR="00F45FE3" w:rsidRPr="00061C28" w:rsidRDefault="00F45FE3" w:rsidP="00F45FE3">
      <w:pPr>
        <w:shd w:val="clear" w:color="auto" w:fill="FFFFFF"/>
        <w:rPr>
          <w:rFonts w:eastAsia="Times New Roman"/>
          <w:color w:val="000000"/>
        </w:rPr>
      </w:pPr>
      <w:r w:rsidRPr="00061C28">
        <w:rPr>
          <w:rFonts w:eastAsia="Times New Roman"/>
          <w:color w:val="000000"/>
        </w:rPr>
        <w:t>The purpose of the Migration Act, set out in section 4, is to ‘regulate, in the national interest, the coming into and presence in Australia of non-citizens’. A visa holder whose visa is liable for cancellation, including because they are reasonably believed to have contravened subsection 186A(1) of the Biosecurity Act, may be detained under section 192 of the Migration Act for up to four hours for the purposes of questioning that person about their  visa and matters relevant to that visa. A person whose visa is cancelled becomes an ‘unlawful non-citizen’ under the Migration Act and is liable for removal under section 198 and/or immigration detention under section 189 of the Migration Act.</w:t>
      </w:r>
    </w:p>
    <w:p w14:paraId="7EB724E0" w14:textId="2516B868" w:rsidR="00F45FE3" w:rsidRPr="00061C28" w:rsidRDefault="00F45FE3" w:rsidP="00F45FE3">
      <w:pPr>
        <w:shd w:val="clear" w:color="auto" w:fill="FFFFFF"/>
        <w:rPr>
          <w:rFonts w:eastAsia="Times New Roman"/>
          <w:color w:val="000000"/>
        </w:rPr>
      </w:pPr>
      <w:r w:rsidRPr="00061C28">
        <w:rPr>
          <w:rFonts w:eastAsia="Times New Roman"/>
          <w:color w:val="000000"/>
        </w:rPr>
        <w:t>Individuals whose visas are cancelled on the biosecurity-related grounds, including where they have concealed goods that threaten Australia’s biosecurity, would be refused immigration clearance and returned to their country of origin or citizenship on the next available flight. In instances where it is not feasible to return the individual to their country of origin or citizenship straight away, the visa cancellation may result in immigration detention until it is reasonably practicable to remove the individual.</w:t>
      </w:r>
    </w:p>
    <w:p w14:paraId="716C2DAF" w14:textId="368743AA" w:rsidR="00F45FE3" w:rsidRPr="00061C28" w:rsidRDefault="00F45FE3" w:rsidP="00F45FE3">
      <w:pPr>
        <w:shd w:val="clear" w:color="auto" w:fill="FFFFFF"/>
        <w:rPr>
          <w:rFonts w:eastAsia="Times New Roman"/>
          <w:color w:val="000000"/>
        </w:rPr>
      </w:pPr>
      <w:r w:rsidRPr="00061C28">
        <w:rPr>
          <w:rFonts w:eastAsia="Times New Roman"/>
        </w:rPr>
        <w:t>The cancellation of an individual’s visa in these circumstances is aimed at achieving a legitimate purpose – the protection of the Australian community from those persons who risk Australia’s unique biosecurity status by concealing goods and, in doing so, threaten Australia’s agricultural industry, economy and international trading reputation as well as the integrity of the migration program.</w:t>
      </w:r>
    </w:p>
    <w:p w14:paraId="46486DCD" w14:textId="58623F0A" w:rsidR="00F45FE3" w:rsidRPr="00061C28" w:rsidRDefault="00F45FE3" w:rsidP="00F45FE3">
      <w:pPr>
        <w:shd w:val="clear" w:color="auto" w:fill="FFFFFF"/>
        <w:rPr>
          <w:rFonts w:eastAsia="Times New Roman"/>
          <w:color w:val="000000"/>
        </w:rPr>
      </w:pPr>
      <w:r w:rsidRPr="00061C28">
        <w:rPr>
          <w:rFonts w:eastAsia="Times New Roman"/>
          <w:color w:val="000000"/>
        </w:rPr>
        <w:lastRenderedPageBreak/>
        <w:t xml:space="preserve">Decision-makers exercising the discretion to cancel a person’s visa will be guided by comprehensive policy guidelines and will take into account the individual’s circumstances, relevant international obligations, seriousness of the breach and the consequences for the individual. </w:t>
      </w:r>
      <w:r w:rsidR="00AE317F">
        <w:rPr>
          <w:rFonts w:eastAsia="Times New Roman"/>
          <w:color w:val="000000"/>
        </w:rPr>
        <w:t>P</w:t>
      </w:r>
      <w:r w:rsidR="00AE317F" w:rsidRPr="00061C28">
        <w:rPr>
          <w:rFonts w:eastAsia="Times New Roman"/>
          <w:color w:val="000000"/>
        </w:rPr>
        <w:t>rocedural fairness is afforded in the visa cancellation process</w:t>
      </w:r>
      <w:r w:rsidR="00AE317F">
        <w:rPr>
          <w:rFonts w:eastAsia="Times New Roman"/>
          <w:color w:val="000000"/>
        </w:rPr>
        <w:t>, t</w:t>
      </w:r>
      <w:r w:rsidRPr="00061C28">
        <w:rPr>
          <w:rFonts w:eastAsia="Times New Roman"/>
          <w:color w:val="000000"/>
        </w:rPr>
        <w:t>he individual will be given the opportunity to provide reasons why their visa should not be cancelled. Judicial review of a decision to cancel will be available. As such, the visa cancellation decision, and any consequent detention are not arbitrary. Rather, they constitute a proportionate response to the individual circumstances of each case.</w:t>
      </w:r>
    </w:p>
    <w:p w14:paraId="63A91EA6" w14:textId="71662DE0" w:rsidR="00F45FE3" w:rsidRPr="00061C28" w:rsidRDefault="00F45FE3" w:rsidP="00F45FE3">
      <w:pPr>
        <w:shd w:val="clear" w:color="auto" w:fill="FFFFFF"/>
        <w:rPr>
          <w:rFonts w:eastAsia="Times New Roman"/>
          <w:color w:val="000000"/>
        </w:rPr>
      </w:pPr>
      <w:r w:rsidRPr="00061C28">
        <w:rPr>
          <w:rFonts w:eastAsia="Times New Roman"/>
          <w:color w:val="000000"/>
        </w:rPr>
        <w:t>In lig</w:t>
      </w:r>
      <w:r>
        <w:rPr>
          <w:rFonts w:eastAsia="Times New Roman"/>
          <w:color w:val="000000"/>
        </w:rPr>
        <w:t>h</w:t>
      </w:r>
      <w:r w:rsidRPr="00061C28">
        <w:rPr>
          <w:rFonts w:eastAsia="Times New Roman"/>
          <w:color w:val="000000"/>
        </w:rPr>
        <w:t>t of the above considerations, to the extent the amendments may engage the right under Article 9 of the ICCPR, the proposed amendments are consistent with Article 9(1) of the ICCPR as any detention would be lawful and would not be arbitrary.</w:t>
      </w:r>
    </w:p>
    <w:p w14:paraId="6A09A397" w14:textId="77777777" w:rsidR="00F45FE3" w:rsidRPr="00061C28" w:rsidRDefault="00F45FE3" w:rsidP="00F45FE3">
      <w:pPr>
        <w:spacing w:before="120" w:after="120"/>
        <w:rPr>
          <w:rFonts w:eastAsia="Times New Roman"/>
          <w:color w:val="000000"/>
        </w:rPr>
      </w:pPr>
    </w:p>
    <w:p w14:paraId="0ED5B72B" w14:textId="77777777" w:rsidR="00F45FE3" w:rsidRPr="00061C28" w:rsidRDefault="00F45FE3" w:rsidP="00F45FE3">
      <w:pPr>
        <w:spacing w:before="120" w:after="120"/>
        <w:rPr>
          <w:rFonts w:eastAsia="Times New Roman"/>
          <w:color w:val="000000"/>
        </w:rPr>
      </w:pPr>
      <w:r w:rsidRPr="00061C28">
        <w:rPr>
          <w:rFonts w:eastAsia="Times New Roman"/>
          <w:i/>
          <w:color w:val="000000"/>
          <w:u w:val="single"/>
        </w:rPr>
        <w:t>Non-refoulement</w:t>
      </w:r>
      <w:r w:rsidRPr="00061C28">
        <w:rPr>
          <w:rFonts w:eastAsia="Times New Roman"/>
          <w:color w:val="000000"/>
          <w:u w:val="single"/>
        </w:rPr>
        <w:t xml:space="preserve"> obligations</w:t>
      </w:r>
    </w:p>
    <w:p w14:paraId="37E0A1E5" w14:textId="77777777" w:rsidR="00F45FE3" w:rsidRPr="00061C28" w:rsidRDefault="00F45FE3" w:rsidP="00F45FE3">
      <w:pPr>
        <w:shd w:val="clear" w:color="auto" w:fill="FFFFFF"/>
        <w:rPr>
          <w:rFonts w:eastAsia="Times New Roman"/>
          <w:color w:val="000000"/>
        </w:rPr>
      </w:pPr>
      <w:r w:rsidRPr="00061C28">
        <w:rPr>
          <w:rFonts w:eastAsia="Times New Roman"/>
        </w:rPr>
        <w:t>Article 6 of the ICCPR states:</w:t>
      </w:r>
    </w:p>
    <w:p w14:paraId="51A5A2E1" w14:textId="0E70D26D" w:rsidR="00F45FE3" w:rsidRPr="00061C28" w:rsidRDefault="00F45FE3" w:rsidP="00F45FE3">
      <w:pPr>
        <w:shd w:val="clear" w:color="auto" w:fill="FFFFFF"/>
        <w:ind w:left="720"/>
        <w:rPr>
          <w:rFonts w:eastAsia="Times New Roman"/>
          <w:color w:val="000000"/>
        </w:rPr>
      </w:pPr>
      <w:r w:rsidRPr="00061C28">
        <w:rPr>
          <w:rFonts w:eastAsia="Times New Roman"/>
          <w:i/>
          <w:iCs/>
        </w:rPr>
        <w:t>Every human being has the inherent right to life. This right shall be protected by law. No one shall be arbitrarily deprived of his life.</w:t>
      </w:r>
    </w:p>
    <w:p w14:paraId="5A6668F4" w14:textId="77777777" w:rsidR="00F45FE3" w:rsidRPr="00061C28" w:rsidRDefault="00F45FE3" w:rsidP="00F45FE3">
      <w:pPr>
        <w:shd w:val="clear" w:color="auto" w:fill="FFFFFF"/>
        <w:rPr>
          <w:rFonts w:eastAsia="Times New Roman"/>
          <w:color w:val="000000"/>
        </w:rPr>
      </w:pPr>
      <w:r w:rsidRPr="00061C28">
        <w:rPr>
          <w:rFonts w:eastAsia="Times New Roman"/>
        </w:rPr>
        <w:t>Article 7 of the ICCPR states:</w:t>
      </w:r>
    </w:p>
    <w:p w14:paraId="0176CDE8" w14:textId="60227803" w:rsidR="00F45FE3" w:rsidRPr="00061C28" w:rsidRDefault="00F45FE3" w:rsidP="00F45FE3">
      <w:pPr>
        <w:shd w:val="clear" w:color="auto" w:fill="FFFFFF"/>
        <w:ind w:left="720"/>
        <w:rPr>
          <w:rFonts w:eastAsia="Times New Roman"/>
          <w:color w:val="000000"/>
        </w:rPr>
      </w:pPr>
      <w:r w:rsidRPr="00061C28">
        <w:rPr>
          <w:rFonts w:eastAsia="Times New Roman"/>
          <w:i/>
          <w:iCs/>
        </w:rPr>
        <w:t>No one shall be subjected to torture or to cruel, inhuman or degrading treatment or punishment. In particular, no one shall be subjected without his free consent to medical or scientific experimentation.</w:t>
      </w:r>
    </w:p>
    <w:p w14:paraId="57BD3C9C" w14:textId="55D15C38" w:rsidR="00F45FE3" w:rsidRPr="00061C28" w:rsidRDefault="00F45FE3" w:rsidP="00F45FE3">
      <w:pPr>
        <w:shd w:val="clear" w:color="auto" w:fill="FFFFFF"/>
        <w:rPr>
          <w:rFonts w:eastAsia="Times New Roman"/>
          <w:color w:val="000000"/>
        </w:rPr>
      </w:pPr>
      <w:r w:rsidRPr="00061C28">
        <w:rPr>
          <w:rFonts w:eastAsia="Times New Roman"/>
        </w:rPr>
        <w:t>Article 3(1) of the CAT states:</w:t>
      </w:r>
    </w:p>
    <w:p w14:paraId="39015082" w14:textId="1C11BA35" w:rsidR="00F45FE3" w:rsidRPr="00061C28" w:rsidRDefault="00F45FE3" w:rsidP="00F45FE3">
      <w:pPr>
        <w:shd w:val="clear" w:color="auto" w:fill="FFFFFF"/>
        <w:ind w:left="720"/>
        <w:rPr>
          <w:rFonts w:eastAsia="Times New Roman"/>
          <w:color w:val="000000"/>
        </w:rPr>
      </w:pPr>
      <w:r w:rsidRPr="00061C28">
        <w:rPr>
          <w:rFonts w:eastAsia="Times New Roman"/>
          <w:i/>
          <w:iCs/>
        </w:rPr>
        <w:t>No State Party shall expel, return ("refouler") or extradite a person to another State where there are substantial grounds for believing that he would be in danger of being subjected to torture.</w:t>
      </w:r>
    </w:p>
    <w:p w14:paraId="027A5183" w14:textId="77777777" w:rsidR="00F45FE3" w:rsidRPr="00061C28" w:rsidRDefault="00F45FE3" w:rsidP="00F45FE3">
      <w:pPr>
        <w:shd w:val="clear" w:color="auto" w:fill="FFFFFF"/>
        <w:rPr>
          <w:rFonts w:ascii="Arial" w:eastAsia="Times New Roman" w:hAnsi="Arial" w:cs="Arial"/>
          <w:color w:val="000000"/>
        </w:rPr>
      </w:pPr>
      <w:r w:rsidRPr="00061C28">
        <w:rPr>
          <w:rFonts w:eastAsia="Times New Roman"/>
          <w:color w:val="000000"/>
        </w:rPr>
        <w:t>A person whose visa is cancelled is liable for removal from Australia under the Migration Act</w:t>
      </w:r>
      <w:r>
        <w:rPr>
          <w:rFonts w:eastAsia="Times New Roman"/>
          <w:color w:val="000000"/>
        </w:rPr>
        <w:t>.</w:t>
      </w:r>
      <w:r w:rsidRPr="00061C28">
        <w:rPr>
          <w:rFonts w:eastAsia="Times New Roman"/>
          <w:color w:val="000000"/>
        </w:rPr>
        <w:t xml:space="preserve"> </w:t>
      </w:r>
      <w:r>
        <w:rPr>
          <w:rFonts w:eastAsia="Times New Roman"/>
          <w:color w:val="000000"/>
        </w:rPr>
        <w:t xml:space="preserve">If the visa is cancelled on the basis of subsection 186A(1) of the Biosecurity Act, this may </w:t>
      </w:r>
      <w:r w:rsidRPr="00061C28">
        <w:rPr>
          <w:rFonts w:eastAsia="Times New Roman"/>
          <w:color w:val="000000"/>
        </w:rPr>
        <w:t>potentially engage Articles 6 and 7 of the ICCPR and Article 3(1) of the CAT.</w:t>
      </w:r>
    </w:p>
    <w:p w14:paraId="2995D09A" w14:textId="3E4985A9" w:rsidR="00F45FE3" w:rsidRPr="00061C28" w:rsidRDefault="00F45FE3" w:rsidP="00F45FE3">
      <w:pPr>
        <w:spacing w:before="120" w:after="120"/>
      </w:pPr>
      <w:r w:rsidRPr="00061C28">
        <w:rPr>
          <w:rFonts w:eastAsia="Times New Roman"/>
          <w:color w:val="000000"/>
        </w:rPr>
        <w:t xml:space="preserve">Australia remains committed to its international obligations concerning </w:t>
      </w:r>
      <w:r w:rsidRPr="00061C28">
        <w:rPr>
          <w:rFonts w:eastAsia="Times New Roman"/>
          <w:i/>
          <w:color w:val="000000"/>
        </w:rPr>
        <w:t>non-refoulement</w:t>
      </w:r>
      <w:r w:rsidRPr="00061C28">
        <w:rPr>
          <w:rFonts w:eastAsia="Times New Roman"/>
          <w:color w:val="000000"/>
        </w:rPr>
        <w:t xml:space="preserve">. </w:t>
      </w:r>
      <w:r w:rsidRPr="00061C28">
        <w:rPr>
          <w:rFonts w:eastAsia="Times New Roman"/>
        </w:rPr>
        <w:t>There is scope for these obligations to be considered as part of the decision to cancel a visa or through the protection visa process if the person makes a claim for Australia’s protection from these kinds of harm. Individuals would not be subject to removal unless and until any claims for protection they may have</w:t>
      </w:r>
      <w:r w:rsidR="0068651B">
        <w:rPr>
          <w:rFonts w:eastAsia="Times New Roman"/>
        </w:rPr>
        <w:t>,</w:t>
      </w:r>
      <w:r w:rsidRPr="00061C28">
        <w:rPr>
          <w:rFonts w:eastAsia="Times New Roman"/>
        </w:rPr>
        <w:t xml:space="preserve"> are assessed according to law. If </w:t>
      </w:r>
      <w:r w:rsidRPr="00061C28">
        <w:rPr>
          <w:rFonts w:eastAsia="Times New Roman"/>
          <w:i/>
        </w:rPr>
        <w:t>non-refoulement</w:t>
      </w:r>
      <w:r w:rsidRPr="00061C28">
        <w:rPr>
          <w:rFonts w:eastAsia="Times New Roman"/>
        </w:rPr>
        <w:t xml:space="preserve"> obligations are found to be engaged in a protection visa process, subsection 197C(3) of the Migration Act ensures that the person would not be subject to removal in breach of those obligations. As such, this amendment does not affect Australia’s commitment to complying with its </w:t>
      </w:r>
      <w:r w:rsidRPr="00061C28">
        <w:rPr>
          <w:rFonts w:eastAsia="Times New Roman"/>
          <w:i/>
        </w:rPr>
        <w:t>non-refoulement</w:t>
      </w:r>
      <w:r w:rsidRPr="00061C28">
        <w:rPr>
          <w:rFonts w:eastAsia="Times New Roman"/>
        </w:rPr>
        <w:t xml:space="preserve"> obligations in relation to either Articles 6 and 7 of the ICCPR or Article 3 of the CAT.</w:t>
      </w:r>
    </w:p>
    <w:p w14:paraId="73707EC2" w14:textId="77777777" w:rsidR="00F45FE3" w:rsidRPr="00061C28" w:rsidRDefault="00F45FE3" w:rsidP="00F45FE3">
      <w:pPr>
        <w:spacing w:before="120" w:after="120"/>
      </w:pPr>
    </w:p>
    <w:p w14:paraId="3DBBCF03" w14:textId="77777777" w:rsidR="00F45FE3" w:rsidRPr="00061C28" w:rsidRDefault="00F45FE3" w:rsidP="00F45FE3">
      <w:pPr>
        <w:spacing w:before="120" w:after="120"/>
      </w:pPr>
      <w:r w:rsidRPr="00061C28">
        <w:rPr>
          <w:u w:val="single"/>
        </w:rPr>
        <w:lastRenderedPageBreak/>
        <w:t>Rights relating to family and children</w:t>
      </w:r>
    </w:p>
    <w:p w14:paraId="7BA68755" w14:textId="132FDAAA" w:rsidR="00F45FE3" w:rsidRPr="00061C28" w:rsidRDefault="00F45FE3" w:rsidP="00F45FE3">
      <w:pPr>
        <w:shd w:val="clear" w:color="auto" w:fill="FFFFFF"/>
        <w:rPr>
          <w:rFonts w:eastAsia="Times New Roman"/>
        </w:rPr>
      </w:pPr>
      <w:r w:rsidRPr="00061C28">
        <w:rPr>
          <w:rFonts w:eastAsia="Times New Roman"/>
        </w:rPr>
        <w:t>Article 17(1) of the ICCPR states:</w:t>
      </w:r>
    </w:p>
    <w:p w14:paraId="072A50A3" w14:textId="1F93E52B" w:rsidR="00F45FE3" w:rsidRPr="00061C28" w:rsidRDefault="00F45FE3" w:rsidP="00F45FE3">
      <w:pPr>
        <w:shd w:val="clear" w:color="auto" w:fill="FFFFFF"/>
        <w:ind w:left="720"/>
        <w:rPr>
          <w:rFonts w:eastAsia="Times New Roman"/>
        </w:rPr>
      </w:pPr>
      <w:r w:rsidRPr="00061C28">
        <w:rPr>
          <w:rFonts w:eastAsia="Times New Roman"/>
          <w:i/>
          <w:iCs/>
        </w:rPr>
        <w:t>No one shall be subjected to arbitrary or unlawful interference with his privacy, family, home or correspondence, nor to unlawful attacks on his honour and reputation.’</w:t>
      </w:r>
    </w:p>
    <w:p w14:paraId="073CAD05" w14:textId="5D17755B" w:rsidR="00F45FE3" w:rsidRPr="00061C28" w:rsidRDefault="00F45FE3" w:rsidP="00F45FE3">
      <w:pPr>
        <w:keepNext/>
        <w:shd w:val="clear" w:color="auto" w:fill="FFFFFF"/>
        <w:rPr>
          <w:rFonts w:eastAsia="Times New Roman"/>
        </w:rPr>
      </w:pPr>
      <w:r w:rsidRPr="00061C28">
        <w:rPr>
          <w:rFonts w:eastAsia="Times New Roman"/>
        </w:rPr>
        <w:t>Article 23(1) of the ICCPR states:</w:t>
      </w:r>
    </w:p>
    <w:p w14:paraId="7C721F04" w14:textId="5B1D6531" w:rsidR="00F45FE3" w:rsidRPr="00061C28" w:rsidRDefault="00F45FE3" w:rsidP="00F45FE3">
      <w:pPr>
        <w:shd w:val="clear" w:color="auto" w:fill="FFFFFF"/>
        <w:ind w:left="720"/>
        <w:rPr>
          <w:rFonts w:eastAsia="Times New Roman"/>
        </w:rPr>
      </w:pPr>
      <w:r w:rsidRPr="00061C28">
        <w:rPr>
          <w:rFonts w:eastAsia="Times New Roman"/>
          <w:i/>
          <w:iCs/>
        </w:rPr>
        <w:t>The family is the natural and fundamental group unit of society and is entitled to protection by society and the State.</w:t>
      </w:r>
    </w:p>
    <w:p w14:paraId="0BE523CC" w14:textId="173C59AF" w:rsidR="00F45FE3" w:rsidRPr="00061C28" w:rsidRDefault="00F45FE3" w:rsidP="00F45FE3">
      <w:pPr>
        <w:shd w:val="clear" w:color="auto" w:fill="FFFFFF"/>
        <w:rPr>
          <w:rFonts w:eastAsia="Times New Roman"/>
        </w:rPr>
      </w:pPr>
      <w:r w:rsidRPr="00061C28">
        <w:rPr>
          <w:rFonts w:eastAsia="Times New Roman"/>
        </w:rPr>
        <w:t>Article 3(1) of the CRC states:</w:t>
      </w:r>
    </w:p>
    <w:p w14:paraId="06F81FBA" w14:textId="507F9205" w:rsidR="00F45FE3" w:rsidRPr="00061C28" w:rsidRDefault="00F45FE3" w:rsidP="00F45FE3">
      <w:pPr>
        <w:shd w:val="clear" w:color="auto" w:fill="FFFFFF"/>
        <w:ind w:left="720"/>
        <w:rPr>
          <w:rFonts w:eastAsia="Times New Roman"/>
        </w:rPr>
      </w:pPr>
      <w:r w:rsidRPr="00061C28">
        <w:rPr>
          <w:rFonts w:eastAsia="Times New Roman"/>
          <w:i/>
          <w:iCs/>
        </w:rPr>
        <w:t>In all actions concerning children, whether undertaken by a public or private social welfare institutions, courts of law, administrative authorities or legislative bodies, the best interests of the child shall be a primary consideration.</w:t>
      </w:r>
    </w:p>
    <w:p w14:paraId="458570B9" w14:textId="2C37FF61" w:rsidR="00F45FE3" w:rsidRPr="00061C28" w:rsidRDefault="00F45FE3" w:rsidP="00F45FE3">
      <w:pPr>
        <w:shd w:val="clear" w:color="auto" w:fill="FFFFFF"/>
        <w:rPr>
          <w:rFonts w:eastAsia="Times New Roman"/>
        </w:rPr>
      </w:pPr>
      <w:r w:rsidRPr="00061C28">
        <w:rPr>
          <w:rFonts w:eastAsia="Times New Roman"/>
        </w:rPr>
        <w:t>Articles 17 and 23 of the ICCPR prohibit arbitrary and unlawful interference with the family and set obligations regarding the protection of the family. Article 3 of the CRC provides that the best interests of the child are </w:t>
      </w:r>
      <w:r w:rsidRPr="00061C28">
        <w:rPr>
          <w:rFonts w:eastAsia="Times New Roman"/>
          <w:i/>
          <w:iCs/>
        </w:rPr>
        <w:t>a</w:t>
      </w:r>
      <w:r w:rsidRPr="00061C28">
        <w:rPr>
          <w:rFonts w:eastAsia="Times New Roman"/>
        </w:rPr>
        <w:t>, not </w:t>
      </w:r>
      <w:r w:rsidRPr="00061C28">
        <w:rPr>
          <w:rFonts w:eastAsia="Times New Roman"/>
          <w:i/>
          <w:iCs/>
        </w:rPr>
        <w:t>the,</w:t>
      </w:r>
      <w:r w:rsidRPr="00061C28">
        <w:rPr>
          <w:rFonts w:eastAsia="Times New Roman"/>
        </w:rPr>
        <w:t> primary consideration to be taken into account in decisions affecting a child and may be outweighed by countervailing primary considerations, including the safety of the Australian community.</w:t>
      </w:r>
    </w:p>
    <w:p w14:paraId="291B6923" w14:textId="0D556C21" w:rsidR="00F45FE3" w:rsidRPr="00061C28" w:rsidRDefault="00F45FE3" w:rsidP="00F45FE3">
      <w:pPr>
        <w:shd w:val="clear" w:color="auto" w:fill="FFFFFF"/>
        <w:rPr>
          <w:rFonts w:eastAsia="Times New Roman"/>
        </w:rPr>
      </w:pPr>
      <w:r w:rsidRPr="00061C28">
        <w:rPr>
          <w:rFonts w:eastAsia="Times New Roman"/>
        </w:rPr>
        <w:t xml:space="preserve">This amendment engages these obligations in relation to a decision to cancel a visa, on the basis of a contravention of subsection 186A(1) of the Biosecurity Act, held by a child or where the decision would affect a child or other family members in Australia. </w:t>
      </w:r>
    </w:p>
    <w:p w14:paraId="752ABD7C" w14:textId="6CF19211" w:rsidR="00F45FE3" w:rsidRPr="00061C28" w:rsidRDefault="00F45FE3" w:rsidP="00F45FE3">
      <w:pPr>
        <w:shd w:val="clear" w:color="auto" w:fill="FFFFFF"/>
        <w:rPr>
          <w:rFonts w:eastAsia="Times New Roman"/>
        </w:rPr>
      </w:pPr>
      <w:r w:rsidRPr="00061C28">
        <w:rPr>
          <w:rFonts w:eastAsia="Times New Roman"/>
        </w:rPr>
        <w:t>Temporary visa holders who are members of the family unit (including spouses, partners and children) of a person whose temporary visa is cancelled will in most cases have their visas consequentially cancelled by operation of law. This means that a family travelling together will usually be removed together if the primary holder has their visa cancelled and no separation of the family will occur.</w:t>
      </w:r>
    </w:p>
    <w:p w14:paraId="35D8E295" w14:textId="3D4E6ADE" w:rsidR="00F45FE3" w:rsidRPr="00061C28" w:rsidRDefault="00F45FE3" w:rsidP="00F45FE3">
      <w:pPr>
        <w:shd w:val="clear" w:color="auto" w:fill="FFFFFF"/>
        <w:rPr>
          <w:rFonts w:eastAsia="Times New Roman"/>
        </w:rPr>
      </w:pPr>
      <w:r w:rsidRPr="00061C28">
        <w:rPr>
          <w:rFonts w:eastAsia="Times New Roman"/>
        </w:rPr>
        <w:t>Extending the visa cancellation grounds under paragraph 2.43(1)(s) to include visa holders who are reasonably believed to have contravened subsection 186A(1) of the Biosecurity Act may also engage these obligations if the detention or removal of a person from Australia whose visa has been cancelled on this basis separates them from family members who continue to have an entitlement to remain in Australia. </w:t>
      </w:r>
    </w:p>
    <w:p w14:paraId="32F8F035" w14:textId="2ECFBCCB" w:rsidR="00F45FE3" w:rsidRPr="00061C28" w:rsidRDefault="00F45FE3" w:rsidP="00F45FE3">
      <w:pPr>
        <w:shd w:val="clear" w:color="auto" w:fill="FFFFFF"/>
        <w:rPr>
          <w:rFonts w:eastAsia="Times New Roman"/>
        </w:rPr>
      </w:pPr>
      <w:r w:rsidRPr="00061C28">
        <w:rPr>
          <w:rFonts w:eastAsia="Times New Roman"/>
        </w:rPr>
        <w:t xml:space="preserve">This extension of the grounds for cancellation under paragraph 2.43(1)(s) is necessary to protect the Australian community from biosecurity risks and to maintain Australia’s unique biosecurity status. The impact of a cancellation decision on the visa holder’s family members in Australia, including any children, will be appropriately weighed when making a discretionary cancellation decision. In particular, decision-makers treat the best interests of affected children in Australia as a primary consideration. While the best interests of the child and rights relating to family generally weigh against cancellation, they do not grant an absolute right to remain in Australia and must be considered in conjunction with the risk that contraventions of the Biosecurity Act </w:t>
      </w:r>
      <w:r w:rsidRPr="00061C28">
        <w:rPr>
          <w:rFonts w:eastAsia="Times New Roman"/>
        </w:rPr>
        <w:lastRenderedPageBreak/>
        <w:t xml:space="preserve">will have on Australia’s community, its people, animal and plants, its agricultural industries and unique environment. </w:t>
      </w:r>
    </w:p>
    <w:p w14:paraId="656A84A4" w14:textId="647E034A" w:rsidR="00F45FE3" w:rsidRPr="00061C28" w:rsidRDefault="00F45FE3" w:rsidP="00F45FE3">
      <w:pPr>
        <w:shd w:val="clear" w:color="auto" w:fill="FFFFFF"/>
        <w:rPr>
          <w:rFonts w:eastAsia="Times New Roman"/>
        </w:rPr>
      </w:pPr>
      <w:r w:rsidRPr="00061C28">
        <w:rPr>
          <w:rFonts w:eastAsia="Times New Roman"/>
        </w:rPr>
        <w:t>Therefore, any separation from family members in Australia caused by an unlawful non-citizen being detained or removed as a result of having their visa cancelled on the basis of being reasonably believed to have contravened subsection 186A(1) of the Biosecurity Act will not be inconsistent with Articles 17 and 23 of the ICCPR and Article 3 of the CRC as the decision to cancel the visa will appropriately weigh the impact of potential separation from family and the best interests of any children against the non-citizen’s risk to the Australian community and the objectives of protecting Australia from biosecurity risks.</w:t>
      </w:r>
    </w:p>
    <w:p w14:paraId="426F6E3B" w14:textId="77777777" w:rsidR="00F45FE3" w:rsidRPr="00061C28" w:rsidRDefault="00F45FE3" w:rsidP="00F45FE3">
      <w:pPr>
        <w:shd w:val="clear" w:color="auto" w:fill="FFFFFF"/>
        <w:rPr>
          <w:rFonts w:eastAsia="Times New Roman"/>
          <w:color w:val="000000"/>
        </w:rPr>
      </w:pPr>
      <w:r w:rsidRPr="00061C28">
        <w:rPr>
          <w:rFonts w:eastAsia="Times New Roman"/>
        </w:rPr>
        <w:t xml:space="preserve">The amendment will also mean that persons who are reasonably believed to have contravened subsection 186A(1) of the Biosecurity Act and whose visa is cancelled on this basis will be subject to PIC 4013. This means that such persons will not be able to be granted most visas to travel to Australia for a period of 3 years unless there are certain compelling reasons to justify the grant of the visa. This exception allows for consideration of </w:t>
      </w:r>
      <w:r w:rsidRPr="00061C28">
        <w:t>compassionate or</w:t>
      </w:r>
      <w:r w:rsidRPr="00061C28">
        <w:rPr>
          <w:rFonts w:eastAsia="Times New Roman"/>
          <w:color w:val="000000"/>
        </w:rPr>
        <w:t xml:space="preserve"> compelling circumstances that affect the interests of an Australian citizen or permanent resident. Therefore this may include consideration of the interests of family members of the person who may be residing in Australia, and </w:t>
      </w:r>
      <w:r w:rsidRPr="00061C28">
        <w:rPr>
          <w:rFonts w:eastAsia="Times New Roman"/>
        </w:rPr>
        <w:t>consideration of the best interests of an affected child as a primary consideration, in determining whether to grant the visa under the exception. As such, the amendment does not limit the consideration of the rights under Articles 17 and 23 of the ICCPR and Article 3 of the CRC.</w:t>
      </w:r>
    </w:p>
    <w:p w14:paraId="47E4A16E" w14:textId="77777777" w:rsidR="00F45FE3" w:rsidRPr="00061C28" w:rsidRDefault="00F45FE3" w:rsidP="00F45FE3">
      <w:pPr>
        <w:spacing w:before="120" w:after="120"/>
      </w:pPr>
    </w:p>
    <w:p w14:paraId="2911C431" w14:textId="77777777" w:rsidR="00F45FE3" w:rsidRPr="00061C28" w:rsidRDefault="00F45FE3" w:rsidP="00F45FE3">
      <w:pPr>
        <w:spacing w:before="120" w:after="120"/>
        <w:rPr>
          <w:u w:val="single"/>
        </w:rPr>
      </w:pPr>
      <w:r w:rsidRPr="00061C28">
        <w:rPr>
          <w:u w:val="single"/>
        </w:rPr>
        <w:t>Right to privacy</w:t>
      </w:r>
    </w:p>
    <w:p w14:paraId="05C4C028" w14:textId="15244C81" w:rsidR="00F45FE3" w:rsidRPr="00061C28" w:rsidRDefault="00F45FE3" w:rsidP="00F45FE3">
      <w:pPr>
        <w:shd w:val="clear" w:color="auto" w:fill="FFFFFF"/>
        <w:rPr>
          <w:rFonts w:eastAsia="Times New Roman"/>
          <w:color w:val="000000"/>
        </w:rPr>
      </w:pPr>
      <w:r w:rsidRPr="00061C28">
        <w:rPr>
          <w:rFonts w:eastAsia="Times New Roman"/>
        </w:rPr>
        <w:t>Article 17(1) of the ICCPR states:</w:t>
      </w:r>
    </w:p>
    <w:p w14:paraId="3F4DD61B" w14:textId="612BE380" w:rsidR="00F45FE3" w:rsidRPr="00061C28" w:rsidRDefault="00F45FE3" w:rsidP="00F45FE3">
      <w:pPr>
        <w:shd w:val="clear" w:color="auto" w:fill="FFFFFF"/>
        <w:ind w:left="720"/>
        <w:rPr>
          <w:rFonts w:eastAsia="Times New Roman"/>
          <w:color w:val="000000"/>
        </w:rPr>
      </w:pPr>
      <w:r w:rsidRPr="00061C28">
        <w:rPr>
          <w:rFonts w:eastAsia="Times New Roman"/>
          <w:i/>
          <w:iCs/>
        </w:rPr>
        <w:t>No one shall be subjected to arbitrary or unlawful interference with his privacy, family, home or correspondence, nor to unlawful attacks on his honour and reputation.’</w:t>
      </w:r>
    </w:p>
    <w:p w14:paraId="4989D025" w14:textId="616F8143" w:rsidR="00F45FE3" w:rsidRPr="00F45FE3" w:rsidRDefault="00F45FE3" w:rsidP="00F45FE3">
      <w:pPr>
        <w:shd w:val="clear" w:color="auto" w:fill="FFFFFF"/>
        <w:rPr>
          <w:rFonts w:ascii="Arial" w:eastAsia="Times New Roman" w:hAnsi="Arial" w:cs="Arial"/>
          <w:color w:val="000000"/>
        </w:rPr>
      </w:pPr>
      <w:r w:rsidRPr="00061C28">
        <w:rPr>
          <w:rFonts w:eastAsia="Times New Roman"/>
          <w:color w:val="000000"/>
        </w:rPr>
        <w:t>This amendment extends the circumstances in which personal information can be collected and disclosed by immigration, customs and biosecurity officers for the purpose of identifying non-citizens who may have contravened the Biosecurity Act. Information sharing and disclosure between Commonwealth officers is subject to the requirements of the </w:t>
      </w:r>
      <w:r w:rsidRPr="00061C28">
        <w:rPr>
          <w:rFonts w:eastAsia="Times New Roman"/>
          <w:i/>
          <w:iCs/>
          <w:color w:val="000000"/>
        </w:rPr>
        <w:t>Privacy Act 1988</w:t>
      </w:r>
      <w:r w:rsidRPr="00061C28">
        <w:rPr>
          <w:rFonts w:eastAsia="Times New Roman"/>
          <w:color w:val="000000"/>
        </w:rPr>
        <w:t> and will be guided operationally through the development of procedural instructions, including referral guidelines to protect the privacy rights of non-citizens.</w:t>
      </w:r>
    </w:p>
    <w:p w14:paraId="599F44C6" w14:textId="114AB038" w:rsidR="00F45FE3" w:rsidRPr="00061C28" w:rsidRDefault="00F45FE3" w:rsidP="00F45FE3">
      <w:pPr>
        <w:shd w:val="clear" w:color="auto" w:fill="FFFFFF"/>
        <w:rPr>
          <w:rFonts w:eastAsia="Times New Roman"/>
          <w:color w:val="000000"/>
        </w:rPr>
      </w:pPr>
      <w:r w:rsidRPr="00061C28">
        <w:rPr>
          <w:rFonts w:eastAsia="Times New Roman"/>
          <w:color w:val="000000"/>
        </w:rPr>
        <w:t>Information collection, use and disclosure to allow consideration of the cancellation ground in this amendment is not arbitrary or unreasonable because it is in the public interest that information held by the Department of Home Affairs, including information provided to the Department by other agencies, be effectively utilised to arrive at lawful and merit-based decisions.  Further, it supports the legitimate objective of upholding the migration and biosecurity frameworks as such information could be used to protect the safety of the community where a person has concealed goods that may pose a biosecurity risk.</w:t>
      </w:r>
    </w:p>
    <w:p w14:paraId="4E1E3A11" w14:textId="77777777" w:rsidR="00F45FE3" w:rsidRPr="00061C28" w:rsidRDefault="00F45FE3" w:rsidP="00F45FE3">
      <w:pPr>
        <w:shd w:val="clear" w:color="auto" w:fill="FFFFFF"/>
        <w:rPr>
          <w:rFonts w:ascii="Arial" w:eastAsia="Times New Roman" w:hAnsi="Arial" w:cs="Arial"/>
          <w:color w:val="000000"/>
        </w:rPr>
      </w:pPr>
      <w:r w:rsidRPr="00061C28">
        <w:rPr>
          <w:rFonts w:eastAsia="Times New Roman"/>
          <w:color w:val="000000"/>
        </w:rPr>
        <w:t>The collection, use and disclosure of personal information, in accordance with the requirements of the </w:t>
      </w:r>
      <w:r w:rsidRPr="00061C28">
        <w:rPr>
          <w:rFonts w:eastAsia="Times New Roman"/>
          <w:i/>
          <w:iCs/>
          <w:color w:val="000000"/>
        </w:rPr>
        <w:t>Privacy Act 1988</w:t>
      </w:r>
      <w:r w:rsidRPr="00061C28">
        <w:rPr>
          <w:rFonts w:eastAsia="Times New Roman"/>
          <w:color w:val="000000"/>
        </w:rPr>
        <w:t xml:space="preserve">, for the purpose of identifying non-citizens who contravene the </w:t>
      </w:r>
      <w:r w:rsidRPr="00061C28">
        <w:rPr>
          <w:rFonts w:eastAsia="Times New Roman"/>
          <w:color w:val="000000"/>
        </w:rPr>
        <w:lastRenderedPageBreak/>
        <w:t>Biosecurity Act, is reasonable and proportionate to achieve the intended operation of cancellation grounds for the purpose of protecting the Australian community. Any interference with the privacy of the person who has contravened the Biosecurity Act, in order to help identify them, would therefore not be unlawful or arbitrary under Article 17 of the ICCPR.</w:t>
      </w:r>
    </w:p>
    <w:p w14:paraId="78A68BB8" w14:textId="77777777" w:rsidR="00F45FE3" w:rsidRPr="00061C28" w:rsidRDefault="00F45FE3" w:rsidP="00F45FE3">
      <w:pPr>
        <w:spacing w:before="120" w:after="120"/>
      </w:pPr>
    </w:p>
    <w:p w14:paraId="284B011D" w14:textId="77777777" w:rsidR="00F45FE3" w:rsidRPr="00F45FE3" w:rsidRDefault="00F45FE3" w:rsidP="00F45FE3">
      <w:pPr>
        <w:pStyle w:val="Heading3"/>
        <w:rPr>
          <w:rFonts w:ascii="Times New Roman" w:hAnsi="Times New Roman" w:cs="Times New Roman"/>
          <w:b/>
          <w:color w:val="000000" w:themeColor="text1"/>
        </w:rPr>
      </w:pPr>
      <w:r w:rsidRPr="00F45FE3">
        <w:rPr>
          <w:rFonts w:ascii="Times New Roman" w:hAnsi="Times New Roman" w:cs="Times New Roman"/>
          <w:b/>
          <w:color w:val="000000" w:themeColor="text1"/>
        </w:rPr>
        <w:t>Conclusion</w:t>
      </w:r>
    </w:p>
    <w:p w14:paraId="60768555" w14:textId="77777777" w:rsidR="00F45FE3" w:rsidRPr="00061C28" w:rsidRDefault="00F45FE3" w:rsidP="00F45FE3">
      <w:pPr>
        <w:spacing w:before="120" w:after="120"/>
        <w:rPr>
          <w:rFonts w:eastAsia="Times New Roman"/>
        </w:rPr>
      </w:pPr>
      <w:r w:rsidRPr="00061C28">
        <w:rPr>
          <w:rFonts w:eastAsia="Times New Roman"/>
          <w:color w:val="000000"/>
        </w:rPr>
        <w:t xml:space="preserve">The amendment made by the Amendment Regulations is for the legitimate purpose of protecting the Australian community from the risk of harm posed by biosecurity threats. </w:t>
      </w:r>
      <w:r w:rsidRPr="00061C28">
        <w:rPr>
          <w:rFonts w:eastAsia="Times New Roman"/>
        </w:rPr>
        <w:t>Therefore, the amendment is compatible with human rights as, to the extent it may limit some human rights, those limitations are reasonable, necessary and proportionate to its objective.</w:t>
      </w:r>
    </w:p>
    <w:p w14:paraId="0F82B822" w14:textId="77777777" w:rsidR="000671E3" w:rsidRDefault="000671E3" w:rsidP="000671E3">
      <w:pPr>
        <w:spacing w:before="120" w:after="120"/>
        <w:rPr>
          <w:rFonts w:eastAsiaTheme="minorHAnsi" w:cstheme="minorBidi"/>
          <w:lang w:eastAsia="en-US"/>
        </w:rPr>
      </w:pPr>
    </w:p>
    <w:p w14:paraId="24DEB211" w14:textId="77777777" w:rsidR="000671E3" w:rsidRDefault="000671E3" w:rsidP="000671E3">
      <w:pPr>
        <w:jc w:val="center"/>
        <w:rPr>
          <w:b/>
          <w:color w:val="000000" w:themeColor="text1"/>
        </w:rPr>
      </w:pPr>
      <w:r>
        <w:rPr>
          <w:b/>
          <w:color w:val="000000" w:themeColor="text1"/>
        </w:rPr>
        <w:t>The Hon Andrew Giles MP</w:t>
      </w:r>
    </w:p>
    <w:p w14:paraId="0E61F51E" w14:textId="77777777" w:rsidR="000671E3" w:rsidRDefault="000671E3" w:rsidP="003E24F4">
      <w:pPr>
        <w:spacing w:before="0"/>
        <w:jc w:val="center"/>
        <w:rPr>
          <w:b/>
          <w:color w:val="000000" w:themeColor="text1"/>
        </w:rPr>
      </w:pPr>
      <w:r>
        <w:rPr>
          <w:b/>
          <w:color w:val="000000" w:themeColor="text1"/>
        </w:rPr>
        <w:t>Minister for Immigration, Citizenship and Multicultural Affairs</w:t>
      </w:r>
    </w:p>
    <w:p w14:paraId="5F05498D" w14:textId="77777777" w:rsidR="00F76E1B" w:rsidRDefault="00F76E1B" w:rsidP="00F76E1B">
      <w:pPr>
        <w:spacing w:line="259" w:lineRule="auto"/>
      </w:pPr>
      <w:r>
        <w:br w:type="page"/>
      </w:r>
    </w:p>
    <w:p w14:paraId="68E39544" w14:textId="77777777" w:rsidR="00F76E1B" w:rsidRPr="007B25A4" w:rsidRDefault="00F76E1B" w:rsidP="001225A1">
      <w:pPr>
        <w:tabs>
          <w:tab w:val="left" w:pos="6521"/>
        </w:tabs>
        <w:ind w:right="-2"/>
        <w:jc w:val="right"/>
        <w:rPr>
          <w:b/>
          <w:bCs/>
        </w:rPr>
      </w:pPr>
      <w:r w:rsidRPr="005647D6">
        <w:rPr>
          <w:b/>
          <w:bCs/>
          <w:u w:val="single"/>
        </w:rPr>
        <w:lastRenderedPageBreak/>
        <w:t>ATTACHMENT</w:t>
      </w:r>
      <w:r>
        <w:rPr>
          <w:b/>
          <w:bCs/>
          <w:u w:val="single"/>
        </w:rPr>
        <w:t xml:space="preserve"> B</w:t>
      </w:r>
    </w:p>
    <w:p w14:paraId="7DE232E2" w14:textId="77777777" w:rsidR="00F76E1B" w:rsidRPr="001225A1" w:rsidRDefault="00F76E1B" w:rsidP="00F76E1B">
      <w:pPr>
        <w:ind w:right="91"/>
        <w:rPr>
          <w:b/>
          <w:bCs/>
          <w:iCs/>
          <w:color w:val="000000"/>
          <w:u w:val="single"/>
        </w:rPr>
      </w:pPr>
      <w:r w:rsidRPr="001E4ADF">
        <w:rPr>
          <w:b/>
          <w:bCs/>
          <w:color w:val="000000"/>
          <w:u w:val="single"/>
        </w:rPr>
        <w:t xml:space="preserve">Details of the </w:t>
      </w:r>
      <w:r w:rsidRPr="003E24F4">
        <w:rPr>
          <w:b/>
          <w:i/>
          <w:iCs/>
          <w:color w:val="000000"/>
          <w:u w:val="single"/>
        </w:rPr>
        <w:t>Migration Amendment (</w:t>
      </w:r>
      <w:r w:rsidRPr="003E24F4">
        <w:rPr>
          <w:b/>
          <w:i/>
          <w:color w:val="000000" w:themeColor="text1"/>
          <w:u w:val="single"/>
        </w:rPr>
        <w:t xml:space="preserve">Biosecurity Contravention) </w:t>
      </w:r>
      <w:r w:rsidR="001225A1" w:rsidRPr="003E24F4">
        <w:rPr>
          <w:b/>
          <w:i/>
          <w:iCs/>
          <w:color w:val="000000"/>
          <w:u w:val="single"/>
        </w:rPr>
        <w:t>Regulations 2023</w:t>
      </w:r>
    </w:p>
    <w:p w14:paraId="69C6F87E" w14:textId="77777777" w:rsidR="00F76E1B" w:rsidRPr="00F76E1B" w:rsidRDefault="00F76E1B" w:rsidP="00F76E1B">
      <w:pPr>
        <w:widowControl w:val="0"/>
        <w:ind w:left="709" w:hanging="709"/>
        <w:rPr>
          <w:kern w:val="28"/>
          <w:u w:val="single"/>
        </w:rPr>
      </w:pPr>
      <w:r w:rsidRPr="001E4ADF">
        <w:rPr>
          <w:kern w:val="28"/>
          <w:u w:val="single"/>
        </w:rPr>
        <w:t>Section 1 - Name</w:t>
      </w:r>
    </w:p>
    <w:p w14:paraId="1137E54C" w14:textId="77777777" w:rsidR="00F76E1B" w:rsidRPr="00F76E1B" w:rsidRDefault="00F76E1B" w:rsidP="00F76E1B">
      <w:pPr>
        <w:ind w:right="91"/>
        <w:rPr>
          <w:iCs/>
        </w:rPr>
      </w:pPr>
      <w:r w:rsidRPr="001E4ADF">
        <w:t>This section provide</w:t>
      </w:r>
      <w:r>
        <w:t>s</w:t>
      </w:r>
      <w:r w:rsidRPr="001E4ADF">
        <w:t xml:space="preserve"> that the name of the </w:t>
      </w:r>
      <w:r w:rsidRPr="001E4ADF">
        <w:rPr>
          <w:iCs/>
        </w:rPr>
        <w:t>Regulations</w:t>
      </w:r>
      <w:r w:rsidRPr="001E4ADF">
        <w:t xml:space="preserve"> is the </w:t>
      </w:r>
      <w:r w:rsidRPr="001E4ADF">
        <w:rPr>
          <w:i/>
          <w:iCs/>
          <w:color w:val="000000"/>
        </w:rPr>
        <w:t>Migration Amendment (</w:t>
      </w:r>
      <w:r>
        <w:rPr>
          <w:i/>
          <w:color w:val="000000" w:themeColor="text1"/>
        </w:rPr>
        <w:t>Biosecurity Contravention</w:t>
      </w:r>
      <w:r w:rsidRPr="001E4ADF">
        <w:rPr>
          <w:i/>
          <w:color w:val="000000" w:themeColor="text1"/>
        </w:rPr>
        <w:t xml:space="preserve">) </w:t>
      </w:r>
      <w:r w:rsidR="001225A1">
        <w:rPr>
          <w:i/>
          <w:iCs/>
          <w:color w:val="000000"/>
        </w:rPr>
        <w:t>Regulations 2023</w:t>
      </w:r>
      <w:r w:rsidRPr="001E4ADF">
        <w:rPr>
          <w:iCs/>
        </w:rPr>
        <w:t>.</w:t>
      </w:r>
    </w:p>
    <w:p w14:paraId="28646130" w14:textId="77777777" w:rsidR="00F76E1B" w:rsidRPr="00F76E1B" w:rsidRDefault="00F76E1B" w:rsidP="00F76E1B">
      <w:pPr>
        <w:ind w:right="91"/>
        <w:rPr>
          <w:u w:val="single"/>
        </w:rPr>
      </w:pPr>
      <w:r w:rsidRPr="001E4ADF">
        <w:rPr>
          <w:u w:val="single"/>
        </w:rPr>
        <w:t>Section 2 - Commencement</w:t>
      </w:r>
    </w:p>
    <w:p w14:paraId="2DF13A57" w14:textId="758DE86C" w:rsidR="00F76E1B" w:rsidRPr="00F76E1B" w:rsidRDefault="00F76E1B" w:rsidP="00F76E1B">
      <w:pPr>
        <w:ind w:right="91"/>
        <w:rPr>
          <w:i/>
          <w:iCs/>
        </w:rPr>
      </w:pPr>
      <w:r>
        <w:rPr>
          <w:rFonts w:eastAsia="SimSun"/>
        </w:rPr>
        <w:t xml:space="preserve">This </w:t>
      </w:r>
      <w:r w:rsidRPr="001E4ADF">
        <w:rPr>
          <w:rFonts w:eastAsia="SimSun"/>
        </w:rPr>
        <w:t xml:space="preserve">section </w:t>
      </w:r>
      <w:r w:rsidRPr="001E4ADF">
        <w:t>provide</w:t>
      </w:r>
      <w:r>
        <w:t>s</w:t>
      </w:r>
      <w:r w:rsidRPr="001E4ADF">
        <w:rPr>
          <w:rFonts w:eastAsia="SimSun"/>
        </w:rPr>
        <w:t xml:space="preserve"> that the Regulations commence on the day after the Regulations are registered on the Federal Register of Legislation</w:t>
      </w:r>
      <w:r w:rsidRPr="001E4ADF">
        <w:rPr>
          <w:i/>
          <w:iCs/>
        </w:rPr>
        <w:t xml:space="preserve">. </w:t>
      </w:r>
    </w:p>
    <w:p w14:paraId="1A57F586" w14:textId="77777777" w:rsidR="00F76E1B" w:rsidRPr="00F76E1B" w:rsidRDefault="00F76E1B" w:rsidP="00F76E1B">
      <w:pPr>
        <w:tabs>
          <w:tab w:val="left" w:pos="6521"/>
        </w:tabs>
        <w:ind w:right="170"/>
        <w:rPr>
          <w:u w:val="single"/>
        </w:rPr>
      </w:pPr>
      <w:r w:rsidRPr="001E4ADF">
        <w:rPr>
          <w:u w:val="single"/>
        </w:rPr>
        <w:t>Section 3 - Authority</w:t>
      </w:r>
    </w:p>
    <w:p w14:paraId="3B72C7F5" w14:textId="705E72D6" w:rsidR="00F76E1B" w:rsidRPr="001E4ADF" w:rsidRDefault="00F76E1B" w:rsidP="00F76E1B">
      <w:pPr>
        <w:rPr>
          <w:rFonts w:eastAsia="SimSun"/>
        </w:rPr>
      </w:pPr>
      <w:r w:rsidRPr="001E4ADF">
        <w:rPr>
          <w:rFonts w:eastAsia="SimSun"/>
        </w:rPr>
        <w:t xml:space="preserve">This section </w:t>
      </w:r>
      <w:r w:rsidRPr="001E4ADF">
        <w:t>provide</w:t>
      </w:r>
      <w:r>
        <w:t>s</w:t>
      </w:r>
      <w:r w:rsidRPr="001E4ADF">
        <w:rPr>
          <w:rFonts w:eastAsia="SimSun"/>
        </w:rPr>
        <w:t xml:space="preserve"> that the Regulations are made under the </w:t>
      </w:r>
      <w:r w:rsidR="004655ED">
        <w:rPr>
          <w:rFonts w:eastAsia="SimSun"/>
          <w:i/>
          <w:iCs/>
        </w:rPr>
        <w:t xml:space="preserve">Migration Act </w:t>
      </w:r>
      <w:r w:rsidRPr="001E4ADF">
        <w:rPr>
          <w:rFonts w:eastAsia="SimSun"/>
          <w:i/>
          <w:iCs/>
        </w:rPr>
        <w:t xml:space="preserve">1958 </w:t>
      </w:r>
      <w:r w:rsidRPr="001E4ADF">
        <w:rPr>
          <w:rFonts w:eastAsia="SimSun"/>
        </w:rPr>
        <w:t>(the Migration Act).</w:t>
      </w:r>
    </w:p>
    <w:p w14:paraId="3D6DD746" w14:textId="77777777" w:rsidR="00F76E1B" w:rsidRPr="001E4ADF" w:rsidRDefault="00F76E1B" w:rsidP="00F76E1B">
      <w:pPr>
        <w:rPr>
          <w:rFonts w:eastAsia="SimSun"/>
          <w:u w:val="single"/>
        </w:rPr>
      </w:pPr>
      <w:r w:rsidRPr="001E4ADF">
        <w:rPr>
          <w:rFonts w:eastAsia="SimSun"/>
          <w:u w:val="single"/>
        </w:rPr>
        <w:t>Section 4 - Schedules</w:t>
      </w:r>
    </w:p>
    <w:p w14:paraId="39E86708" w14:textId="77777777" w:rsidR="00F76E1B" w:rsidRPr="001E4ADF" w:rsidRDefault="00F76E1B" w:rsidP="00F76E1B">
      <w:r w:rsidRPr="001E4ADF">
        <w:t>This section provide</w:t>
      </w:r>
      <w:r>
        <w:t>s</w:t>
      </w:r>
      <w:r w:rsidRPr="001E4ADF">
        <w:t xml:space="preserve"> for how the amendments made by the Regulations operate.</w:t>
      </w:r>
    </w:p>
    <w:p w14:paraId="23C56624" w14:textId="77777777" w:rsidR="00F76E1B" w:rsidRPr="001E4ADF" w:rsidRDefault="00F76E1B" w:rsidP="00F76E1B">
      <w:pPr>
        <w:spacing w:before="100" w:beforeAutospacing="1"/>
        <w:rPr>
          <w:b/>
          <w:u w:val="single"/>
        </w:rPr>
      </w:pPr>
      <w:r w:rsidRPr="001E4ADF">
        <w:rPr>
          <w:b/>
          <w:u w:val="single"/>
        </w:rPr>
        <w:t>Schedule 1 – Amendments</w:t>
      </w:r>
    </w:p>
    <w:p w14:paraId="66EC2A73" w14:textId="77777777" w:rsidR="00F76E1B" w:rsidRDefault="00F76E1B" w:rsidP="00F76E1B">
      <w:pPr>
        <w:spacing w:before="100" w:beforeAutospacing="1"/>
        <w:rPr>
          <w:b/>
        </w:rPr>
      </w:pPr>
      <w:r w:rsidRPr="001E4ADF">
        <w:rPr>
          <w:b/>
          <w:i/>
        </w:rPr>
        <w:t>Migration Regulations 1994</w:t>
      </w:r>
    </w:p>
    <w:p w14:paraId="0D256089" w14:textId="77777777" w:rsidR="00F76E1B" w:rsidRDefault="00F76E1B" w:rsidP="00F76E1B">
      <w:pPr>
        <w:spacing w:before="100" w:beforeAutospacing="1"/>
        <w:rPr>
          <w:b/>
        </w:rPr>
      </w:pPr>
      <w:r>
        <w:rPr>
          <w:b/>
        </w:rPr>
        <w:t>Item [1] - Paragraph 2.43(1)(s)</w:t>
      </w:r>
    </w:p>
    <w:p w14:paraId="6DF52AAE" w14:textId="11B39C06" w:rsidR="00F76E1B" w:rsidRDefault="00F76E1B" w:rsidP="00F76E1B">
      <w:pPr>
        <w:spacing w:before="100" w:beforeAutospacing="1"/>
      </w:pPr>
      <w:r>
        <w:t xml:space="preserve">This item amends paragraph 2.43(1)(s) of Part 1 </w:t>
      </w:r>
      <w:r w:rsidR="003E24F4">
        <w:t>of</w:t>
      </w:r>
      <w:r>
        <w:t xml:space="preserve"> the </w:t>
      </w:r>
      <w:r>
        <w:rPr>
          <w:i/>
        </w:rPr>
        <w:t>Migration Regulations 1994</w:t>
      </w:r>
      <w:r>
        <w:t xml:space="preserve"> (the Migration Regulations) to insert a reference to subsection 186A(1) of the </w:t>
      </w:r>
      <w:r>
        <w:rPr>
          <w:i/>
        </w:rPr>
        <w:t xml:space="preserve">Biosecurity Act 2015 </w:t>
      </w:r>
      <w:r>
        <w:t xml:space="preserve">(the Biosecurity Act). </w:t>
      </w:r>
      <w:r w:rsidR="003E24F4">
        <w:t>S</w:t>
      </w:r>
      <w:r w:rsidR="00463893">
        <w:t xml:space="preserve">ubsection 186A(1) of the Biosecurity Act provides </w:t>
      </w:r>
      <w:r w:rsidR="003E24F4">
        <w:t xml:space="preserve">for </w:t>
      </w:r>
      <w:r w:rsidR="00463893">
        <w:t>a civil penalty for concealing conditionally non-prohibited goods when bringing or importing those goods into Australian territory.</w:t>
      </w:r>
    </w:p>
    <w:p w14:paraId="717336EA" w14:textId="71708E23" w:rsidR="00F76E1B" w:rsidRDefault="00F76E1B" w:rsidP="00F76E1B">
      <w:pPr>
        <w:spacing w:before="100" w:beforeAutospacing="1"/>
      </w:pPr>
      <w:r>
        <w:t>Currently, paragraph 2.43(1)(s) of the Migration Regulations prescribes a ground for cancellation of a visa under paragraph 116(1)(g) of the Migration Act in circumstances where the Minister reasonably believes that a visa holder of a specified visa has contravened subsection 126(2), 128(2), 532(1) or 533(1) of the Biosecurity Act. These subsections provide for civil penalties for the failure of a person to provide required answers or information about goods</w:t>
      </w:r>
      <w:r w:rsidR="003E24F4">
        <w:t>;</w:t>
      </w:r>
      <w:r>
        <w:t xml:space="preserve"> a failure to comply with a direction</w:t>
      </w:r>
      <w:r w:rsidR="00463893">
        <w:t xml:space="preserve"> in</w:t>
      </w:r>
      <w:r>
        <w:t xml:space="preserve"> relation to the mov</w:t>
      </w:r>
      <w:r w:rsidR="003E24F4">
        <w:t>ement of goods;</w:t>
      </w:r>
      <w:r>
        <w:t xml:space="preserve"> the provision of false or misleading information</w:t>
      </w:r>
      <w:r w:rsidR="003E24F4">
        <w:t>;</w:t>
      </w:r>
      <w:r>
        <w:t xml:space="preserve"> and the provision of a false or misleading document for the purpose of the Biosecurity Act.</w:t>
      </w:r>
    </w:p>
    <w:p w14:paraId="6C0EA9D0" w14:textId="0609D4C5" w:rsidR="00F76E1B" w:rsidRDefault="00F76E1B" w:rsidP="00F76E1B">
      <w:pPr>
        <w:spacing w:before="100" w:beforeAutospacing="1"/>
      </w:pPr>
      <w:r>
        <w:t xml:space="preserve">The type of offending contemplated under subsection 186A(1) is considered to be more serious and egregious than conduct by a person who contravenes subsection 126(2), 128(2), 532(1) or 533(1) of the Biosecurity Act, which may currently lead to visa cancellation under the Migration Regulations. </w:t>
      </w:r>
    </w:p>
    <w:p w14:paraId="099585AE" w14:textId="62533D9C" w:rsidR="00F76E1B" w:rsidRDefault="00F76E1B" w:rsidP="00F76E1B">
      <w:pPr>
        <w:spacing w:before="100" w:beforeAutospacing="1"/>
      </w:pPr>
      <w:r>
        <w:lastRenderedPageBreak/>
        <w:t xml:space="preserve">The effect of the amendment is to </w:t>
      </w:r>
      <w:r w:rsidR="003E24F4">
        <w:t>enable</w:t>
      </w:r>
      <w:r>
        <w:t xml:space="preserve"> the Minister</w:t>
      </w:r>
      <w:r w:rsidR="00463893">
        <w:t xml:space="preserve"> or delegate</w:t>
      </w:r>
      <w:r>
        <w:t xml:space="preserve"> to cancel a visa specified in paragraph 2.43(1)(s) of the Migration Regulations, if he or she reasonably believes that the visa holder has contravened subsection 186A(1) of the Biosecurity Act, and the visa holder is in Australia and has not been immigration cleared. </w:t>
      </w:r>
    </w:p>
    <w:p w14:paraId="48361417" w14:textId="77777777" w:rsidR="00463893" w:rsidRDefault="00463893" w:rsidP="00F76E1B">
      <w:pPr>
        <w:spacing w:before="100" w:beforeAutospacing="1"/>
      </w:pPr>
      <w:r>
        <w:t xml:space="preserve">In making a decision whether to cancel a specified visa, the Minister or delegate will provide procedural fairness to the visa holder and will weigh up a number of factors, including the seriousness of the breach, the potential threat posed by the goods the person has sought to bring into Australian territory, the personal circumstances of the visa holder, and the consequences of visa cancellation for that person and others who may be affected. In accordance with the merits review entitlements under the Migration Act, there is no provision for merits review by the Administrative Appeals Tribunal (AAT) if the visa is cancelled in immigration clearance. This is because the purpose of visa cancellation in immigration clearance is to provide for the immediate removal of the person from Australia. </w:t>
      </w:r>
    </w:p>
    <w:p w14:paraId="76D35F71" w14:textId="77777777" w:rsidR="00B54A67" w:rsidRDefault="00B54A67" w:rsidP="00B54A67">
      <w:pPr>
        <w:spacing w:before="100" w:beforeAutospacing="1"/>
      </w:pPr>
      <w:r>
        <w:t xml:space="preserve">The reason for this amendment is to ensure that holders of specified visas who are reasonably believed to have contravened subsection 186A(1) of the Biosecurity Act are subject to the same potential consequences in relation to their visa status, as a person who demonstrates less serious conduct where it is reasonably believed they have contravened any of the other listed subsections of the Biosecurity Act in the Migration Regulations. </w:t>
      </w:r>
    </w:p>
    <w:p w14:paraId="66E63B4F" w14:textId="77777777" w:rsidR="00F76E1B" w:rsidRPr="00F76E1B" w:rsidRDefault="00F76E1B" w:rsidP="00F76E1B">
      <w:pPr>
        <w:spacing w:before="100" w:beforeAutospacing="1"/>
        <w:rPr>
          <w:b/>
        </w:rPr>
      </w:pPr>
      <w:r>
        <w:rPr>
          <w:b/>
        </w:rPr>
        <w:t xml:space="preserve">Item [2] - In the appropriate position in Schedule 13 </w:t>
      </w:r>
    </w:p>
    <w:p w14:paraId="297E284E" w14:textId="1C246B8B" w:rsidR="00F76E1B" w:rsidRDefault="00463893" w:rsidP="00F76E1B">
      <w:pPr>
        <w:ind w:right="42"/>
      </w:pPr>
      <w:r>
        <w:t>This item inserts new Part 120</w:t>
      </w:r>
      <w:r w:rsidR="003E24F4">
        <w:t xml:space="preserve"> in Schedule 13 to</w:t>
      </w:r>
      <w:r w:rsidR="00F76E1B">
        <w:t xml:space="preserve"> the Migration Regu</w:t>
      </w:r>
      <w:r>
        <w:t>lations. The purpose of Part 120</w:t>
      </w:r>
      <w:r w:rsidR="00F76E1B">
        <w:t xml:space="preserve"> is to provide for the application of the am</w:t>
      </w:r>
      <w:r w:rsidR="00B54A67">
        <w:t>endments made by the Regulations</w:t>
      </w:r>
      <w:r w:rsidR="00F76E1B">
        <w:t xml:space="preserve">. </w:t>
      </w:r>
    </w:p>
    <w:p w14:paraId="67DD13AC" w14:textId="77777777" w:rsidR="00F76E1B" w:rsidRDefault="00463893" w:rsidP="00F76E1B">
      <w:pPr>
        <w:ind w:right="42"/>
        <w:rPr>
          <w:b/>
        </w:rPr>
      </w:pPr>
      <w:r>
        <w:rPr>
          <w:b/>
        </w:rPr>
        <w:t>Clause [12001</w:t>
      </w:r>
      <w:r w:rsidR="00F76E1B">
        <w:rPr>
          <w:b/>
        </w:rPr>
        <w:t xml:space="preserve">] Operation of amendment </w:t>
      </w:r>
    </w:p>
    <w:p w14:paraId="2748976F" w14:textId="148C2725" w:rsidR="00F76E1B" w:rsidRPr="000F5833" w:rsidRDefault="00463893" w:rsidP="00F76E1B">
      <w:pPr>
        <w:ind w:right="42"/>
      </w:pPr>
      <w:r>
        <w:t>Clause 12001</w:t>
      </w:r>
      <w:r w:rsidR="00F76E1B">
        <w:t xml:space="preserve"> provides that the amendments made by Schedule 1</w:t>
      </w:r>
      <w:r w:rsidR="003E24F4">
        <w:t xml:space="preserve"> to the amending Regulations</w:t>
      </w:r>
      <w:r w:rsidR="00F76E1B">
        <w:t xml:space="preserve"> apply in relation to the cancellation of a </w:t>
      </w:r>
      <w:r w:rsidR="00B86F50">
        <w:t xml:space="preserve">specified </w:t>
      </w:r>
      <w:r w:rsidR="00F76E1B">
        <w:t xml:space="preserve">visa if </w:t>
      </w:r>
      <w:r w:rsidR="00F76E1B" w:rsidRPr="000F5833">
        <w:t>the visa was granted, before, on or after the commencement of that Sch</w:t>
      </w:r>
      <w:r w:rsidR="00F76E1B">
        <w:t>edule,</w:t>
      </w:r>
      <w:r w:rsidR="00F76E1B" w:rsidRPr="000F5833">
        <w:t xml:space="preserve"> and the contravention </w:t>
      </w:r>
      <w:r w:rsidR="00D57118">
        <w:t xml:space="preserve">of subsection 186A(1) of the Biosecurity Act </w:t>
      </w:r>
      <w:r w:rsidR="00F76E1B" w:rsidRPr="000F5833">
        <w:t xml:space="preserve">occurs on or after that commencement. </w:t>
      </w:r>
    </w:p>
    <w:p w14:paraId="26E65105" w14:textId="77777777" w:rsidR="00F76E1B" w:rsidRPr="00E95DDC" w:rsidRDefault="00F76E1B"/>
    <w:sectPr w:rsidR="00F76E1B" w:rsidRPr="00E95D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7E70D" w16cex:dateUtc="2023-10-04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B6AB53" w16cid:durableId="28C7E7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5FF00" w14:textId="77777777" w:rsidR="00DF67EA" w:rsidRDefault="00DF67EA" w:rsidP="00DF67EA">
      <w:pPr>
        <w:spacing w:before="0"/>
      </w:pPr>
      <w:r>
        <w:separator/>
      </w:r>
    </w:p>
  </w:endnote>
  <w:endnote w:type="continuationSeparator" w:id="0">
    <w:p w14:paraId="72A780F0" w14:textId="77777777" w:rsidR="00DF67EA" w:rsidRDefault="00DF67EA" w:rsidP="00DF67E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0BD5" w14:textId="77777777" w:rsidR="00DF67EA" w:rsidRDefault="00DF6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4D7E9" w14:textId="77777777" w:rsidR="00DF67EA" w:rsidRDefault="00DF67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553C0" w14:textId="77777777" w:rsidR="00DF67EA" w:rsidRDefault="00DF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E3D03" w14:textId="77777777" w:rsidR="00DF67EA" w:rsidRDefault="00DF67EA" w:rsidP="00DF67EA">
      <w:pPr>
        <w:spacing w:before="0"/>
      </w:pPr>
      <w:r>
        <w:separator/>
      </w:r>
    </w:p>
  </w:footnote>
  <w:footnote w:type="continuationSeparator" w:id="0">
    <w:p w14:paraId="0AF0B455" w14:textId="77777777" w:rsidR="00DF67EA" w:rsidRDefault="00DF67EA" w:rsidP="00DF67E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1DE5" w14:textId="77777777" w:rsidR="00DF67EA" w:rsidRDefault="00DF6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FC620" w14:textId="77777777" w:rsidR="00DF67EA" w:rsidRDefault="00DF67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EAD15" w14:textId="77777777" w:rsidR="00DF67EA" w:rsidRDefault="00DF6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E32"/>
    <w:multiLevelType w:val="hybridMultilevel"/>
    <w:tmpl w:val="DA965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44128CC"/>
    <w:multiLevelType w:val="hybridMultilevel"/>
    <w:tmpl w:val="B2D2D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72431B"/>
    <w:multiLevelType w:val="hybridMultilevel"/>
    <w:tmpl w:val="EEC6C9D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A1"/>
    <w:rsid w:val="000671E3"/>
    <w:rsid w:val="00113C9A"/>
    <w:rsid w:val="001225A1"/>
    <w:rsid w:val="00147CD6"/>
    <w:rsid w:val="00151076"/>
    <w:rsid w:val="001B1460"/>
    <w:rsid w:val="002C3B5F"/>
    <w:rsid w:val="00334F11"/>
    <w:rsid w:val="003C793C"/>
    <w:rsid w:val="003D020B"/>
    <w:rsid w:val="003E24F4"/>
    <w:rsid w:val="00463893"/>
    <w:rsid w:val="004655ED"/>
    <w:rsid w:val="004B3AA1"/>
    <w:rsid w:val="004C41F4"/>
    <w:rsid w:val="004F16D2"/>
    <w:rsid w:val="005423DF"/>
    <w:rsid w:val="00582BC6"/>
    <w:rsid w:val="005878DF"/>
    <w:rsid w:val="005D0111"/>
    <w:rsid w:val="00631278"/>
    <w:rsid w:val="00684D83"/>
    <w:rsid w:val="0068651B"/>
    <w:rsid w:val="007A4643"/>
    <w:rsid w:val="007D238F"/>
    <w:rsid w:val="008B4AF8"/>
    <w:rsid w:val="00997620"/>
    <w:rsid w:val="00AD4077"/>
    <w:rsid w:val="00AE317F"/>
    <w:rsid w:val="00AE5F48"/>
    <w:rsid w:val="00B24187"/>
    <w:rsid w:val="00B530B9"/>
    <w:rsid w:val="00B54A67"/>
    <w:rsid w:val="00B73504"/>
    <w:rsid w:val="00B80AB9"/>
    <w:rsid w:val="00B86F50"/>
    <w:rsid w:val="00BC527A"/>
    <w:rsid w:val="00C82635"/>
    <w:rsid w:val="00C84728"/>
    <w:rsid w:val="00D57118"/>
    <w:rsid w:val="00DF67EA"/>
    <w:rsid w:val="00E95DDC"/>
    <w:rsid w:val="00F450B0"/>
    <w:rsid w:val="00F45FE3"/>
    <w:rsid w:val="00F629D2"/>
    <w:rsid w:val="00F76E1B"/>
    <w:rsid w:val="00FC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B74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AA1"/>
    <w:pPr>
      <w:spacing w:before="240" w:after="0" w:line="240" w:lineRule="auto"/>
    </w:pPr>
    <w:rPr>
      <w:rFonts w:ascii="Times New Roman" w:eastAsiaTheme="minorEastAsia" w:hAnsi="Times New Roman" w:cs="Times New Roman"/>
      <w:sz w:val="24"/>
      <w:szCs w:val="24"/>
      <w:lang w:val="en-AU" w:eastAsia="en-AU"/>
    </w:rPr>
  </w:style>
  <w:style w:type="paragraph" w:styleId="Heading2">
    <w:name w:val="heading 2"/>
    <w:basedOn w:val="Normal"/>
    <w:next w:val="Normal"/>
    <w:link w:val="Heading2Char"/>
    <w:uiPriority w:val="9"/>
    <w:unhideWhenUsed/>
    <w:qFormat/>
    <w:rsid w:val="00F76E1B"/>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semiHidden/>
    <w:unhideWhenUsed/>
    <w:qFormat/>
    <w:rsid w:val="000671E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F76E1B"/>
    <w:pPr>
      <w:spacing w:before="0" w:after="160" w:line="256" w:lineRule="auto"/>
      <w:ind w:left="720"/>
      <w:contextualSpacing/>
    </w:pPr>
    <w:rPr>
      <w:rFonts w:asciiTheme="minorHAnsi" w:eastAsiaTheme="minorHAnsi" w:hAnsiTheme="minorHAnsi" w:cstheme="minorBidi"/>
      <w:sz w:val="22"/>
      <w:szCs w:val="22"/>
      <w:lang w:val="en-US" w:eastAsia="en-US"/>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F76E1B"/>
  </w:style>
  <w:style w:type="character" w:customStyle="1" w:styleId="Heading2Char">
    <w:name w:val="Heading 2 Char"/>
    <w:basedOn w:val="DefaultParagraphFont"/>
    <w:link w:val="Heading2"/>
    <w:uiPriority w:val="9"/>
    <w:rsid w:val="00F76E1B"/>
    <w:rPr>
      <w:rFonts w:ascii="Times New Roman" w:hAnsi="Times New Roman"/>
      <w:b/>
      <w:sz w:val="28"/>
      <w:szCs w:val="28"/>
      <w:lang w:val="en-AU"/>
    </w:rPr>
  </w:style>
  <w:style w:type="character" w:customStyle="1" w:styleId="Heading3Char">
    <w:name w:val="Heading 3 Char"/>
    <w:basedOn w:val="DefaultParagraphFont"/>
    <w:link w:val="Heading3"/>
    <w:uiPriority w:val="9"/>
    <w:semiHidden/>
    <w:rsid w:val="000671E3"/>
    <w:rPr>
      <w:rFonts w:asciiTheme="majorHAnsi" w:eastAsiaTheme="majorEastAsia" w:hAnsiTheme="majorHAnsi" w:cstheme="majorBidi"/>
      <w:color w:val="1F4D78" w:themeColor="accent1" w:themeShade="7F"/>
      <w:sz w:val="24"/>
      <w:szCs w:val="24"/>
      <w:lang w:val="en-AU" w:eastAsia="en-AU"/>
    </w:rPr>
  </w:style>
  <w:style w:type="paragraph" w:styleId="CommentText">
    <w:name w:val="annotation text"/>
    <w:basedOn w:val="Normal"/>
    <w:link w:val="CommentTextChar"/>
    <w:uiPriority w:val="99"/>
    <w:unhideWhenUsed/>
    <w:rsid w:val="000671E3"/>
    <w:pPr>
      <w:spacing w:before="0"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0671E3"/>
    <w:rPr>
      <w:sz w:val="20"/>
      <w:szCs w:val="20"/>
      <w:lang w:val="en-AU"/>
    </w:rPr>
  </w:style>
  <w:style w:type="character" w:styleId="CommentReference">
    <w:name w:val="annotation reference"/>
    <w:basedOn w:val="DefaultParagraphFont"/>
    <w:uiPriority w:val="99"/>
    <w:semiHidden/>
    <w:unhideWhenUsed/>
    <w:rsid w:val="000671E3"/>
    <w:rPr>
      <w:sz w:val="16"/>
      <w:szCs w:val="16"/>
    </w:rPr>
  </w:style>
  <w:style w:type="paragraph" w:styleId="BalloonText">
    <w:name w:val="Balloon Text"/>
    <w:basedOn w:val="Normal"/>
    <w:link w:val="BalloonTextChar"/>
    <w:uiPriority w:val="99"/>
    <w:semiHidden/>
    <w:unhideWhenUsed/>
    <w:rsid w:val="000671E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1E3"/>
    <w:rPr>
      <w:rFonts w:ascii="Segoe UI" w:eastAsiaTheme="minorEastAsia" w:hAnsi="Segoe UI" w:cs="Segoe UI"/>
      <w:sz w:val="18"/>
      <w:szCs w:val="18"/>
      <w:lang w:val="en-AU" w:eastAsia="en-AU"/>
    </w:rPr>
  </w:style>
  <w:style w:type="paragraph" w:styleId="Revision">
    <w:name w:val="Revision"/>
    <w:hidden/>
    <w:uiPriority w:val="99"/>
    <w:semiHidden/>
    <w:rsid w:val="00631278"/>
    <w:pPr>
      <w:spacing w:after="0" w:line="240" w:lineRule="auto"/>
    </w:pPr>
    <w:rPr>
      <w:rFonts w:ascii="Times New Roman" w:eastAsiaTheme="minorEastAsia" w:hAnsi="Times New Roman" w:cs="Times New Roman"/>
      <w:sz w:val="24"/>
      <w:szCs w:val="24"/>
      <w:lang w:val="en-AU" w:eastAsia="en-AU"/>
    </w:rPr>
  </w:style>
  <w:style w:type="paragraph" w:styleId="CommentSubject">
    <w:name w:val="annotation subject"/>
    <w:basedOn w:val="CommentText"/>
    <w:next w:val="CommentText"/>
    <w:link w:val="CommentSubjectChar"/>
    <w:uiPriority w:val="99"/>
    <w:semiHidden/>
    <w:unhideWhenUsed/>
    <w:rsid w:val="00631278"/>
    <w:pPr>
      <w:spacing w:before="240" w:after="0"/>
    </w:pPr>
    <w:rPr>
      <w:rFonts w:ascii="Times New Roman" w:eastAsiaTheme="minorEastAsia" w:hAnsi="Times New Roman" w:cs="Times New Roman"/>
      <w:b/>
      <w:bCs/>
      <w:lang w:eastAsia="en-AU"/>
    </w:rPr>
  </w:style>
  <w:style w:type="character" w:customStyle="1" w:styleId="CommentSubjectChar">
    <w:name w:val="Comment Subject Char"/>
    <w:basedOn w:val="CommentTextChar"/>
    <w:link w:val="CommentSubject"/>
    <w:uiPriority w:val="99"/>
    <w:semiHidden/>
    <w:rsid w:val="00631278"/>
    <w:rPr>
      <w:rFonts w:ascii="Times New Roman" w:eastAsiaTheme="minorEastAsia" w:hAnsi="Times New Roman" w:cs="Times New Roman"/>
      <w:b/>
      <w:bCs/>
      <w:sz w:val="20"/>
      <w:szCs w:val="20"/>
      <w:lang w:val="en-AU" w:eastAsia="en-AU"/>
    </w:rPr>
  </w:style>
  <w:style w:type="paragraph" w:styleId="Header">
    <w:name w:val="header"/>
    <w:basedOn w:val="Normal"/>
    <w:link w:val="HeaderChar"/>
    <w:uiPriority w:val="99"/>
    <w:unhideWhenUsed/>
    <w:rsid w:val="00DF67EA"/>
    <w:pPr>
      <w:tabs>
        <w:tab w:val="center" w:pos="4513"/>
        <w:tab w:val="right" w:pos="9026"/>
      </w:tabs>
      <w:spacing w:before="0"/>
    </w:pPr>
  </w:style>
  <w:style w:type="character" w:customStyle="1" w:styleId="HeaderChar">
    <w:name w:val="Header Char"/>
    <w:basedOn w:val="DefaultParagraphFont"/>
    <w:link w:val="Header"/>
    <w:uiPriority w:val="99"/>
    <w:rsid w:val="00DF67EA"/>
    <w:rPr>
      <w:rFonts w:ascii="Times New Roman" w:eastAsiaTheme="minorEastAsia" w:hAnsi="Times New Roman" w:cs="Times New Roman"/>
      <w:sz w:val="24"/>
      <w:szCs w:val="24"/>
      <w:lang w:val="en-AU" w:eastAsia="en-AU"/>
    </w:rPr>
  </w:style>
  <w:style w:type="paragraph" w:styleId="Footer">
    <w:name w:val="footer"/>
    <w:basedOn w:val="Normal"/>
    <w:link w:val="FooterChar"/>
    <w:uiPriority w:val="99"/>
    <w:unhideWhenUsed/>
    <w:rsid w:val="00DF67EA"/>
    <w:pPr>
      <w:tabs>
        <w:tab w:val="center" w:pos="4513"/>
        <w:tab w:val="right" w:pos="9026"/>
      </w:tabs>
      <w:spacing w:before="0"/>
    </w:pPr>
  </w:style>
  <w:style w:type="character" w:customStyle="1" w:styleId="FooterChar">
    <w:name w:val="Footer Char"/>
    <w:basedOn w:val="DefaultParagraphFont"/>
    <w:link w:val="Footer"/>
    <w:uiPriority w:val="99"/>
    <w:rsid w:val="00DF67EA"/>
    <w:rPr>
      <w:rFonts w:ascii="Times New Roman" w:eastAsiaTheme="minorEastAsia"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491506">
      <w:bodyDiv w:val="1"/>
      <w:marLeft w:val="0"/>
      <w:marRight w:val="0"/>
      <w:marTop w:val="0"/>
      <w:marBottom w:val="0"/>
      <w:divBdr>
        <w:top w:val="none" w:sz="0" w:space="0" w:color="auto"/>
        <w:left w:val="none" w:sz="0" w:space="0" w:color="auto"/>
        <w:bottom w:val="none" w:sz="0" w:space="0" w:color="auto"/>
        <w:right w:val="none" w:sz="0" w:space="0" w:color="auto"/>
      </w:divBdr>
      <w:divsChild>
        <w:div w:id="454562077">
          <w:marLeft w:val="0"/>
          <w:marRight w:val="0"/>
          <w:marTop w:val="0"/>
          <w:marBottom w:val="0"/>
          <w:divBdr>
            <w:top w:val="none" w:sz="0" w:space="0" w:color="auto"/>
            <w:left w:val="none" w:sz="0" w:space="0" w:color="auto"/>
            <w:bottom w:val="none" w:sz="0" w:space="0" w:color="auto"/>
            <w:right w:val="none" w:sz="0" w:space="0" w:color="auto"/>
          </w:divBdr>
          <w:divsChild>
            <w:div w:id="64650895">
              <w:marLeft w:val="0"/>
              <w:marRight w:val="0"/>
              <w:marTop w:val="0"/>
              <w:marBottom w:val="0"/>
              <w:divBdr>
                <w:top w:val="none" w:sz="0" w:space="0" w:color="auto"/>
                <w:left w:val="none" w:sz="0" w:space="0" w:color="auto"/>
                <w:bottom w:val="none" w:sz="0" w:space="0" w:color="auto"/>
                <w:right w:val="none" w:sz="0" w:space="0" w:color="auto"/>
              </w:divBdr>
            </w:div>
            <w:div w:id="13676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6796">
      <w:bodyDiv w:val="1"/>
      <w:marLeft w:val="0"/>
      <w:marRight w:val="0"/>
      <w:marTop w:val="0"/>
      <w:marBottom w:val="0"/>
      <w:divBdr>
        <w:top w:val="none" w:sz="0" w:space="0" w:color="auto"/>
        <w:left w:val="none" w:sz="0" w:space="0" w:color="auto"/>
        <w:bottom w:val="none" w:sz="0" w:space="0" w:color="auto"/>
        <w:right w:val="none" w:sz="0" w:space="0" w:color="auto"/>
      </w:divBdr>
      <w:divsChild>
        <w:div w:id="104544535">
          <w:marLeft w:val="0"/>
          <w:marRight w:val="0"/>
          <w:marTop w:val="0"/>
          <w:marBottom w:val="0"/>
          <w:divBdr>
            <w:top w:val="none" w:sz="0" w:space="0" w:color="auto"/>
            <w:left w:val="none" w:sz="0" w:space="0" w:color="auto"/>
            <w:bottom w:val="none" w:sz="0" w:space="0" w:color="auto"/>
            <w:right w:val="none" w:sz="0" w:space="0" w:color="auto"/>
          </w:divBdr>
          <w:divsChild>
            <w:div w:id="1061754004">
              <w:marLeft w:val="0"/>
              <w:marRight w:val="0"/>
              <w:marTop w:val="0"/>
              <w:marBottom w:val="0"/>
              <w:divBdr>
                <w:top w:val="none" w:sz="0" w:space="0" w:color="auto"/>
                <w:left w:val="none" w:sz="0" w:space="0" w:color="auto"/>
                <w:bottom w:val="none" w:sz="0" w:space="0" w:color="auto"/>
                <w:right w:val="none" w:sz="0" w:space="0" w:color="auto"/>
              </w:divBdr>
            </w:div>
            <w:div w:id="1238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88F48-C8EF-4AD9-AD60-AC033862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4936</Words>
  <Characters>28137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2023-10-26T01:03:00Z</dcterms:created>
  <dcterms:modified xsi:type="dcterms:W3CDTF">2023-10-26T01:03:00Z</dcterms:modified>
</cp:coreProperties>
</file>