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6C19" w14:textId="32DE2B89" w:rsidR="00554826" w:rsidRPr="00203F7E" w:rsidRDefault="000347F9" w:rsidP="00203F7E">
      <w:pPr>
        <w:pStyle w:val="ShortT"/>
        <w:rPr>
          <w:rFonts w:ascii="Arial" w:hAnsi="Arial" w:cs="Arial"/>
          <w:sz w:val="36"/>
        </w:rPr>
      </w:pPr>
      <w:bookmarkStart w:id="0" w:name="_Toc454512520"/>
      <w:r w:rsidRPr="00203F7E">
        <w:rPr>
          <w:rFonts w:ascii="Arial" w:hAnsi="Arial" w:cs="Arial"/>
          <w:sz w:val="36"/>
        </w:rPr>
        <w:t>Explanatory Statement for</w:t>
      </w:r>
      <w:r w:rsidR="00203F7E">
        <w:rPr>
          <w:rFonts w:ascii="Arial" w:hAnsi="Arial" w:cs="Arial"/>
          <w:sz w:val="36"/>
        </w:rPr>
        <w:t xml:space="preserve"> the</w:t>
      </w:r>
      <w:r w:rsidRPr="00203F7E">
        <w:rPr>
          <w:rFonts w:ascii="Arial" w:hAnsi="Arial" w:cs="Arial"/>
          <w:sz w:val="36"/>
        </w:rPr>
        <w:t xml:space="preserve"> </w:t>
      </w:r>
      <w:r w:rsidR="008670EC">
        <w:rPr>
          <w:rFonts w:ascii="Arial" w:hAnsi="Arial" w:cs="Arial"/>
          <w:i/>
          <w:sz w:val="36"/>
        </w:rPr>
        <w:t xml:space="preserve">Housing Australia Future Fund </w:t>
      </w:r>
      <w:r w:rsidRPr="00203F7E">
        <w:rPr>
          <w:rFonts w:ascii="Arial" w:hAnsi="Arial" w:cs="Arial"/>
          <w:i/>
          <w:sz w:val="36"/>
        </w:rPr>
        <w:t>Investment Mandate Direction 20</w:t>
      </w:r>
      <w:r w:rsidR="00B72D81">
        <w:rPr>
          <w:rFonts w:ascii="Arial" w:hAnsi="Arial" w:cs="Arial"/>
          <w:i/>
          <w:sz w:val="36"/>
        </w:rPr>
        <w:t>2</w:t>
      </w:r>
      <w:bookmarkEnd w:id="0"/>
      <w:r w:rsidR="008670EC">
        <w:rPr>
          <w:rFonts w:ascii="Arial" w:hAnsi="Arial" w:cs="Arial"/>
          <w:i/>
          <w:sz w:val="36"/>
        </w:rPr>
        <w:t>3</w:t>
      </w:r>
    </w:p>
    <w:p w14:paraId="010CADF6" w14:textId="77777777" w:rsidR="00554826" w:rsidRPr="00F559F4" w:rsidRDefault="0022304B" w:rsidP="00554826">
      <w:pPr>
        <w:pStyle w:val="Head2"/>
      </w:pPr>
      <w:r>
        <w:t xml:space="preserve">Objective of the </w:t>
      </w:r>
      <w:r w:rsidRPr="00F559F4">
        <w:t>Direction (‘Investment Mandate’)</w:t>
      </w:r>
    </w:p>
    <w:p w14:paraId="5E7A76A7" w14:textId="4C0BAB11" w:rsidR="0022304B" w:rsidRPr="00F559F4" w:rsidRDefault="0022304B" w:rsidP="001F48DB">
      <w:pPr>
        <w:pStyle w:val="BodyNum"/>
        <w:tabs>
          <w:tab w:val="clear" w:pos="720"/>
        </w:tabs>
        <w:ind w:left="426" w:hanging="426"/>
      </w:pPr>
      <w:r w:rsidRPr="00F559F4">
        <w:t xml:space="preserve">As stated in the </w:t>
      </w:r>
      <w:r w:rsidR="008670EC">
        <w:rPr>
          <w:i/>
        </w:rPr>
        <w:t xml:space="preserve">Housing Australia Future </w:t>
      </w:r>
      <w:r w:rsidR="00F806EB">
        <w:rPr>
          <w:i/>
        </w:rPr>
        <w:t>Fund Act 20</w:t>
      </w:r>
      <w:r w:rsidR="008670EC">
        <w:rPr>
          <w:i/>
        </w:rPr>
        <w:t>23</w:t>
      </w:r>
      <w:r w:rsidRPr="00F559F4">
        <w:t xml:space="preserve"> (the Act), the Government has established the </w:t>
      </w:r>
      <w:r w:rsidR="008670EC">
        <w:t xml:space="preserve">Housing Australia Future Fund </w:t>
      </w:r>
      <w:r w:rsidRPr="00F559F4">
        <w:t>(the Fund) to</w:t>
      </w:r>
      <w:r w:rsidR="00CD3CEE">
        <w:t xml:space="preserve"> </w:t>
      </w:r>
      <w:r w:rsidR="008670EC">
        <w:t xml:space="preserve">provide a </w:t>
      </w:r>
      <w:r w:rsidR="00E47B55">
        <w:t xml:space="preserve">funding mechanism </w:t>
      </w:r>
      <w:r w:rsidR="00C627C4">
        <w:t xml:space="preserve">to increase the availability of social housing and affordable housing and to address acute housing needs, including </w:t>
      </w:r>
      <w:r w:rsidR="00B125A8">
        <w:t>in relation to Indigenous persons, women, children and veterans</w:t>
      </w:r>
      <w:r w:rsidR="0049599E">
        <w:t>.</w:t>
      </w:r>
    </w:p>
    <w:p w14:paraId="1B26DF08" w14:textId="06999283" w:rsidR="00CA2D5F" w:rsidRPr="004361EF" w:rsidRDefault="0069310C" w:rsidP="00061E0A">
      <w:pPr>
        <w:pStyle w:val="BodyNum"/>
        <w:tabs>
          <w:tab w:val="clear" w:pos="720"/>
        </w:tabs>
        <w:ind w:left="426" w:hanging="426"/>
      </w:pPr>
      <w:r w:rsidRPr="004361EF">
        <w:t>Under the Act, the Future Fund Board of Guardians (the Board)</w:t>
      </w:r>
      <w:r w:rsidR="00B125A8">
        <w:t xml:space="preserve"> is </w:t>
      </w:r>
      <w:r w:rsidR="00CA2D5F" w:rsidRPr="004361EF">
        <w:t>responsible for deciding how to invest the Fund</w:t>
      </w:r>
      <w:r w:rsidRPr="004361EF">
        <w:t xml:space="preserve"> </w:t>
      </w:r>
      <w:r w:rsidR="00B125A8">
        <w:t xml:space="preserve">and </w:t>
      </w:r>
      <w:r w:rsidRPr="004361EF">
        <w:t>must seek to maximise the return earned on the Fund over the long term</w:t>
      </w:r>
      <w:r w:rsidR="00CA2D5F" w:rsidRPr="004361EF">
        <w:t>, consistent with international best practice for institutional investment</w:t>
      </w:r>
      <w:r w:rsidRPr="004361EF">
        <w:t>.</w:t>
      </w:r>
    </w:p>
    <w:p w14:paraId="3D46E63C" w14:textId="053E9712" w:rsidR="00A36E6D" w:rsidRDefault="00CA2D5F">
      <w:pPr>
        <w:pStyle w:val="BodyNum"/>
        <w:tabs>
          <w:tab w:val="clear" w:pos="720"/>
        </w:tabs>
        <w:ind w:left="426" w:hanging="426"/>
      </w:pPr>
      <w:r>
        <w:t xml:space="preserve">This investment function is subject to any restrictions placed on the Fund by the Act and any directions given by the responsible </w:t>
      </w:r>
      <w:r w:rsidR="00A52D62">
        <w:t>Ministers under subsection</w:t>
      </w:r>
      <w:r w:rsidR="00DD7731">
        <w:t> </w:t>
      </w:r>
      <w:r w:rsidR="00B125A8">
        <w:t>41</w:t>
      </w:r>
      <w:r>
        <w:t xml:space="preserve">(1). Directions issued under subsection </w:t>
      </w:r>
      <w:r w:rsidR="00B125A8">
        <w:t>41</w:t>
      </w:r>
      <w:r>
        <w:t xml:space="preserve">(1) of the Act are known collectively as the </w:t>
      </w:r>
      <w:r w:rsidR="00B125A8">
        <w:t xml:space="preserve">Housing Australia Future </w:t>
      </w:r>
      <w:r w:rsidR="00A52D62">
        <w:t>Fund</w:t>
      </w:r>
      <w:r>
        <w:t xml:space="preserve"> Investment Mandate.</w:t>
      </w:r>
    </w:p>
    <w:p w14:paraId="63FB6BB4" w14:textId="77777777" w:rsidR="0001680E" w:rsidRDefault="00BC65B6" w:rsidP="0001680E">
      <w:pPr>
        <w:pStyle w:val="Head2"/>
      </w:pPr>
      <w:r>
        <w:t xml:space="preserve">Notes on </w:t>
      </w:r>
      <w:r w:rsidR="00C820C8">
        <w:t xml:space="preserve">the </w:t>
      </w:r>
      <w:r w:rsidR="00424F49">
        <w:t>Sections</w:t>
      </w:r>
    </w:p>
    <w:p w14:paraId="3F5FC569" w14:textId="77777777" w:rsidR="00C820C8" w:rsidRPr="00C820C8" w:rsidRDefault="00C820C8" w:rsidP="00BC65B6">
      <w:pPr>
        <w:pStyle w:val="BodyNum"/>
        <w:numPr>
          <w:ilvl w:val="0"/>
          <w:numId w:val="0"/>
        </w:numPr>
        <w:rPr>
          <w:b/>
        </w:rPr>
      </w:pPr>
      <w:r w:rsidRPr="00C820C8">
        <w:rPr>
          <w:b/>
        </w:rPr>
        <w:t>Part 1</w:t>
      </w:r>
      <w:r w:rsidR="00041EA9">
        <w:rPr>
          <w:b/>
        </w:rPr>
        <w:t xml:space="preserve"> - Preliminary</w:t>
      </w:r>
    </w:p>
    <w:p w14:paraId="582531FF" w14:textId="77777777" w:rsidR="00BC65B6" w:rsidRPr="00E40986" w:rsidRDefault="00C820C8" w:rsidP="00BC65B6">
      <w:pPr>
        <w:pStyle w:val="BodyNum"/>
        <w:numPr>
          <w:ilvl w:val="0"/>
          <w:numId w:val="0"/>
        </w:numPr>
        <w:rPr>
          <w:b/>
          <w:i/>
        </w:rPr>
      </w:pPr>
      <w:r w:rsidRPr="00E40986">
        <w:rPr>
          <w:b/>
          <w:i/>
        </w:rPr>
        <w:t>Section 1</w:t>
      </w:r>
      <w:r w:rsidR="00152BE1" w:rsidRPr="00E40986">
        <w:rPr>
          <w:b/>
          <w:i/>
        </w:rPr>
        <w:t xml:space="preserve"> - Name</w:t>
      </w:r>
    </w:p>
    <w:p w14:paraId="25FBF036" w14:textId="4C568242" w:rsidR="00C820C8" w:rsidRPr="00CD7151" w:rsidRDefault="00C820C8" w:rsidP="001F48DB">
      <w:pPr>
        <w:pStyle w:val="BodyNum"/>
        <w:tabs>
          <w:tab w:val="clear" w:pos="720"/>
        </w:tabs>
        <w:ind w:left="426" w:hanging="426"/>
      </w:pPr>
      <w:r w:rsidRPr="00CD7151">
        <w:t>The naming</w:t>
      </w:r>
      <w:r w:rsidR="0023444F" w:rsidRPr="00CD7151">
        <w:t xml:space="preserve"> convention of this investment mandate follows the Office of Parliamentary Co</w:t>
      </w:r>
      <w:r w:rsidR="003865FA" w:rsidRPr="00CD7151">
        <w:t>unsel</w:t>
      </w:r>
      <w:r w:rsidR="0023444F" w:rsidRPr="00CD7151">
        <w:t>’</w:t>
      </w:r>
      <w:r w:rsidR="003865FA" w:rsidRPr="00CD7151">
        <w:t>s Drafting Direction No 1.1A, issued 1</w:t>
      </w:r>
      <w:r w:rsidR="008A0CB0">
        <w:t xml:space="preserve"> July 2022</w:t>
      </w:r>
      <w:r w:rsidR="003865FA" w:rsidRPr="00CD7151">
        <w:t>.</w:t>
      </w:r>
    </w:p>
    <w:p w14:paraId="4D3B02A9" w14:textId="78024462" w:rsidR="00D91C57" w:rsidRDefault="006D4AEF" w:rsidP="001F48DB">
      <w:pPr>
        <w:pStyle w:val="BodyNum"/>
        <w:tabs>
          <w:tab w:val="clear" w:pos="720"/>
        </w:tabs>
        <w:ind w:left="426" w:hanging="426"/>
      </w:pPr>
      <w:r>
        <w:t>The</w:t>
      </w:r>
      <w:r w:rsidR="000D7C79">
        <w:t xml:space="preserve"> investment mandate</w:t>
      </w:r>
      <w:r w:rsidR="00C46014">
        <w:t xml:space="preserve"> directs</w:t>
      </w:r>
      <w:r w:rsidR="000D7C79">
        <w:t xml:space="preserve"> </w:t>
      </w:r>
      <w:r w:rsidR="00702BE7">
        <w:t>t</w:t>
      </w:r>
      <w:r w:rsidR="00C46014">
        <w:t>he Board (via ‘</w:t>
      </w:r>
      <w:r w:rsidR="00B730E4">
        <w:t>written d</w:t>
      </w:r>
      <w:r w:rsidR="00D91C57">
        <w:t>irection</w:t>
      </w:r>
      <w:r w:rsidR="000D7C79">
        <w:t>s</w:t>
      </w:r>
      <w:r w:rsidR="00D91C57">
        <w:t>’</w:t>
      </w:r>
      <w:r w:rsidR="00C46014">
        <w:t xml:space="preserve">) </w:t>
      </w:r>
      <w:r w:rsidR="00FE372A">
        <w:t xml:space="preserve">under </w:t>
      </w:r>
      <w:r w:rsidR="00702BE7">
        <w:t>sub</w:t>
      </w:r>
      <w:r w:rsidR="00D91C57">
        <w:t xml:space="preserve">section </w:t>
      </w:r>
      <w:r w:rsidR="00774CBB">
        <w:t>41</w:t>
      </w:r>
      <w:r w:rsidR="00D91C57">
        <w:t>(1) of the Act.</w:t>
      </w:r>
    </w:p>
    <w:p w14:paraId="6BE1EC54" w14:textId="77777777" w:rsidR="00D91C57" w:rsidRPr="00E40986" w:rsidRDefault="00D91C57" w:rsidP="00D91C57">
      <w:pPr>
        <w:pStyle w:val="BodyNum"/>
        <w:numPr>
          <w:ilvl w:val="0"/>
          <w:numId w:val="0"/>
        </w:numPr>
        <w:rPr>
          <w:b/>
          <w:i/>
        </w:rPr>
      </w:pPr>
      <w:r w:rsidRPr="00E40986">
        <w:rPr>
          <w:b/>
          <w:i/>
        </w:rPr>
        <w:t>Section 2</w:t>
      </w:r>
      <w:r w:rsidR="00152BE1" w:rsidRPr="00E40986">
        <w:rPr>
          <w:b/>
          <w:i/>
        </w:rPr>
        <w:t xml:space="preserve"> - Commencement</w:t>
      </w:r>
    </w:p>
    <w:p w14:paraId="553431AC" w14:textId="1585F11F" w:rsidR="00C45657" w:rsidRDefault="006D4AEF" w:rsidP="001F48DB">
      <w:pPr>
        <w:pStyle w:val="BodyNum"/>
        <w:tabs>
          <w:tab w:val="clear" w:pos="720"/>
        </w:tabs>
        <w:ind w:left="426" w:hanging="426"/>
      </w:pPr>
      <w:r>
        <w:t>Th</w:t>
      </w:r>
      <w:r w:rsidR="00043173">
        <w:t>e</w:t>
      </w:r>
      <w:r w:rsidR="005519F3">
        <w:t xml:space="preserve"> investment mandate </w:t>
      </w:r>
      <w:r w:rsidR="00C45657">
        <w:t>take</w:t>
      </w:r>
      <w:r w:rsidR="004D69A6">
        <w:t>s</w:t>
      </w:r>
      <w:r w:rsidR="00C45657">
        <w:t xml:space="preserve"> effect </w:t>
      </w:r>
      <w:r w:rsidR="006B3AF2">
        <w:t>15 days</w:t>
      </w:r>
      <w:r w:rsidR="00C45657">
        <w:t xml:space="preserve"> after it has been </w:t>
      </w:r>
      <w:r w:rsidR="005568E6">
        <w:t>provided</w:t>
      </w:r>
      <w:r w:rsidR="00C45657">
        <w:t xml:space="preserve"> to the Board</w:t>
      </w:r>
      <w:r w:rsidR="00771778">
        <w:t>,</w:t>
      </w:r>
      <w:r>
        <w:t xml:space="preserve"> </w:t>
      </w:r>
      <w:r w:rsidR="00312203">
        <w:t>consistent with sub</w:t>
      </w:r>
      <w:r>
        <w:t xml:space="preserve">section </w:t>
      </w:r>
      <w:r w:rsidR="00F261DA">
        <w:t>41</w:t>
      </w:r>
      <w:r>
        <w:t>(6) of the Act</w:t>
      </w:r>
      <w:r w:rsidR="00C45657">
        <w:t>.</w:t>
      </w:r>
    </w:p>
    <w:p w14:paraId="4E6287B3" w14:textId="72F78977" w:rsidR="007262D9" w:rsidRDefault="007262D9" w:rsidP="001F48DB">
      <w:pPr>
        <w:pStyle w:val="BodyNum"/>
        <w:tabs>
          <w:tab w:val="clear" w:pos="720"/>
        </w:tabs>
        <w:ind w:left="426" w:hanging="426"/>
      </w:pPr>
      <w:r>
        <w:t xml:space="preserve">This investment mandate is a legislative instrument that is not subject to disallowance or sunsetting, pursuant to the </w:t>
      </w:r>
      <w:r w:rsidRPr="00265248">
        <w:rPr>
          <w:i/>
        </w:rPr>
        <w:t>Legislation (Exemption and Other Matters) Regulation 2015</w:t>
      </w:r>
      <w:r>
        <w:t xml:space="preserve"> made under the </w:t>
      </w:r>
      <w:r w:rsidRPr="009E38D0">
        <w:rPr>
          <w:i/>
        </w:rPr>
        <w:t>Legislation Act 2003</w:t>
      </w:r>
      <w:r>
        <w:t>.</w:t>
      </w:r>
      <w:r w:rsidR="00E02BC7">
        <w:t xml:space="preserve"> This is consistent with the longstanding approach for all Commonwealth investment funds.</w:t>
      </w:r>
    </w:p>
    <w:p w14:paraId="0084676D" w14:textId="6B1C052C" w:rsidR="00720696" w:rsidRPr="00720696" w:rsidRDefault="00720696" w:rsidP="00720696">
      <w:pPr>
        <w:pStyle w:val="BodyNum"/>
        <w:numPr>
          <w:ilvl w:val="0"/>
          <w:numId w:val="0"/>
        </w:numPr>
        <w:ind w:left="426"/>
        <w:rPr>
          <w:i/>
          <w:iCs/>
        </w:rPr>
      </w:pPr>
      <w:r>
        <w:rPr>
          <w:i/>
          <w:iCs/>
        </w:rPr>
        <w:lastRenderedPageBreak/>
        <w:t>Exemption from disallowance</w:t>
      </w:r>
    </w:p>
    <w:p w14:paraId="0DED73CE" w14:textId="031F44B1" w:rsidR="00746292" w:rsidRDefault="00FC44DC" w:rsidP="001F48DB">
      <w:pPr>
        <w:pStyle w:val="BodyNum"/>
        <w:tabs>
          <w:tab w:val="clear" w:pos="720"/>
        </w:tabs>
        <w:ind w:left="426" w:hanging="426"/>
      </w:pPr>
      <w:r w:rsidRPr="00FC44DC">
        <w:t>As written direction</w:t>
      </w:r>
      <w:r w:rsidR="0060201E">
        <w:t>s</w:t>
      </w:r>
      <w:r w:rsidRPr="00FC44DC">
        <w:t xml:space="preserve"> from the </w:t>
      </w:r>
      <w:r w:rsidR="00450FAF">
        <w:t xml:space="preserve">responsible Ministers </w:t>
      </w:r>
      <w:r w:rsidRPr="00FC44DC">
        <w:t xml:space="preserve">to a body (the Board), investment mandates are exempt from disallowance under item 2 of the table at section 9 of the </w:t>
      </w:r>
      <w:r w:rsidRPr="00975B29">
        <w:rPr>
          <w:i/>
          <w:iCs/>
        </w:rPr>
        <w:t>Legislation (Exemptions and Other Matters)</w:t>
      </w:r>
      <w:r w:rsidR="0060201E">
        <w:rPr>
          <w:i/>
          <w:iCs/>
        </w:rPr>
        <w:t xml:space="preserve"> </w:t>
      </w:r>
      <w:r w:rsidRPr="00975B29">
        <w:rPr>
          <w:i/>
          <w:iCs/>
        </w:rPr>
        <w:t>Regulation 2015</w:t>
      </w:r>
      <w:r w:rsidRPr="00FC44DC">
        <w:t>, which provides that ‘an instrument that is a direction by a Minister to any person or body’</w:t>
      </w:r>
      <w:r w:rsidR="0081466F">
        <w:t xml:space="preserve"> is </w:t>
      </w:r>
      <w:r w:rsidR="0081466F" w:rsidRPr="00FC44DC">
        <w:t xml:space="preserve">a class of instruments </w:t>
      </w:r>
      <w:r w:rsidR="0081466F">
        <w:t xml:space="preserve">that is </w:t>
      </w:r>
      <w:r w:rsidR="0081466F" w:rsidRPr="00FC44DC">
        <w:t>not subject to disallowance</w:t>
      </w:r>
      <w:r w:rsidRPr="00FC44DC">
        <w:t>.</w:t>
      </w:r>
    </w:p>
    <w:p w14:paraId="37A69DD5" w14:textId="3AA87677" w:rsidR="00D910B6" w:rsidRPr="006E3719" w:rsidRDefault="00450FAF" w:rsidP="009B6F69">
      <w:pPr>
        <w:pStyle w:val="BodyNum"/>
        <w:tabs>
          <w:tab w:val="clear" w:pos="720"/>
        </w:tabs>
        <w:ind w:left="426" w:hanging="426"/>
      </w:pPr>
      <w:r w:rsidRPr="006E3719">
        <w:t xml:space="preserve">Exemption from disallowance </w:t>
      </w:r>
      <w:r w:rsidR="009B6F69" w:rsidRPr="006E3719">
        <w:t xml:space="preserve">provides the </w:t>
      </w:r>
      <w:r w:rsidRPr="006E3719">
        <w:t xml:space="preserve">Board </w:t>
      </w:r>
      <w:r w:rsidR="009B6F69" w:rsidRPr="006E3719">
        <w:t xml:space="preserve">with </w:t>
      </w:r>
      <w:r w:rsidR="008E3E1C" w:rsidRPr="006E3719">
        <w:t xml:space="preserve">the </w:t>
      </w:r>
      <w:r w:rsidRPr="006E3719">
        <w:t xml:space="preserve">necessary </w:t>
      </w:r>
      <w:r w:rsidR="008E3E1C" w:rsidRPr="006E3719">
        <w:t xml:space="preserve">level of </w:t>
      </w:r>
      <w:r w:rsidRPr="006E3719">
        <w:t xml:space="preserve">certainty when investing </w:t>
      </w:r>
      <w:r w:rsidR="009B6F69" w:rsidRPr="006E3719">
        <w:t xml:space="preserve">the capital of the </w:t>
      </w:r>
      <w:r w:rsidRPr="006E3719">
        <w:t>Fund</w:t>
      </w:r>
      <w:r w:rsidR="00D42A0D" w:rsidRPr="006E3719">
        <w:t xml:space="preserve">. Subjecting the investment mandate to a period of disallowance before coming into effect </w:t>
      </w:r>
      <w:r w:rsidR="008F7DF6" w:rsidRPr="006E3719">
        <w:t>would</w:t>
      </w:r>
      <w:r w:rsidR="008E3E1C" w:rsidRPr="006E3719">
        <w:t xml:space="preserve"> </w:t>
      </w:r>
      <w:r w:rsidR="00825C0F" w:rsidRPr="006E3719">
        <w:t xml:space="preserve">delay the investment of the Fund, potentially by several months, and would likely </w:t>
      </w:r>
      <w:r w:rsidR="006E3719" w:rsidRPr="006E3719">
        <w:t xml:space="preserve">incur </w:t>
      </w:r>
      <w:r w:rsidR="00825C0F" w:rsidRPr="006E3719">
        <w:t>a significant opportunity cost in terms of foregone returns.</w:t>
      </w:r>
      <w:r w:rsidR="006E3719" w:rsidRPr="006E3719">
        <w:t xml:space="preserve"> It would also impede the ability of the Government to make timely changes to the investment mandate</w:t>
      </w:r>
      <w:r w:rsidR="0081466F">
        <w:t xml:space="preserve">, </w:t>
      </w:r>
      <w:r w:rsidR="00BE7B6F">
        <w:t xml:space="preserve">as and </w:t>
      </w:r>
      <w:r w:rsidR="006E3719" w:rsidRPr="006E3719">
        <w:t>when required.</w:t>
      </w:r>
    </w:p>
    <w:p w14:paraId="47148A5E" w14:textId="2C8DBB83" w:rsidR="000B4E41" w:rsidRDefault="000B4E41" w:rsidP="000B4E41">
      <w:pPr>
        <w:pStyle w:val="BodyNum"/>
        <w:tabs>
          <w:tab w:val="clear" w:pos="720"/>
        </w:tabs>
        <w:ind w:left="426" w:hanging="426"/>
      </w:pPr>
      <w:r>
        <w:t xml:space="preserve">Although </w:t>
      </w:r>
      <w:r w:rsidR="00615561">
        <w:t xml:space="preserve">the </w:t>
      </w:r>
      <w:r>
        <w:t xml:space="preserve">investment mandate </w:t>
      </w:r>
      <w:r w:rsidR="00615561">
        <w:t xml:space="preserve">is </w:t>
      </w:r>
      <w:r>
        <w:t>exempt from disallowance, the Act</w:t>
      </w:r>
      <w:r w:rsidR="00615561">
        <w:t xml:space="preserve"> </w:t>
      </w:r>
      <w:r>
        <w:t xml:space="preserve">provides for appropriate parliamentary and public scrutiny. The Act requires the responsible Ministers </w:t>
      </w:r>
      <w:r w:rsidR="009D5248">
        <w:t xml:space="preserve">to </w:t>
      </w:r>
      <w:r>
        <w:t xml:space="preserve">consult the Board </w:t>
      </w:r>
      <w:r w:rsidR="009D5248">
        <w:t xml:space="preserve">before issuing an investment mandate, with </w:t>
      </w:r>
      <w:r>
        <w:t xml:space="preserve">any submission </w:t>
      </w:r>
      <w:r w:rsidR="009D5248">
        <w:t xml:space="preserve">to be considered </w:t>
      </w:r>
      <w:r w:rsidR="008502A8">
        <w:t xml:space="preserve">by </w:t>
      </w:r>
      <w:r w:rsidR="00F545E9">
        <w:t xml:space="preserve">responsible </w:t>
      </w:r>
      <w:r w:rsidR="008502A8">
        <w:t xml:space="preserve">Ministers </w:t>
      </w:r>
      <w:r w:rsidR="009D5248">
        <w:t xml:space="preserve">and </w:t>
      </w:r>
      <w:r>
        <w:t>tabled in both houses of the Parliament (subsection 4</w:t>
      </w:r>
      <w:r w:rsidR="008502A8">
        <w:t>4</w:t>
      </w:r>
      <w:r>
        <w:t>(2) of the Act refers). This requirement ensures that the Parliament is informed of any matters raised by the Board with respect to proposed investment mandates.</w:t>
      </w:r>
    </w:p>
    <w:p w14:paraId="1E62218A" w14:textId="6027ABDA" w:rsidR="00720696" w:rsidRDefault="00720696" w:rsidP="00720696">
      <w:pPr>
        <w:pStyle w:val="BodyNum"/>
        <w:tabs>
          <w:tab w:val="clear" w:pos="720"/>
        </w:tabs>
        <w:ind w:left="426" w:hanging="426"/>
      </w:pPr>
      <w:r>
        <w:t>The investment mandate will be published</w:t>
      </w:r>
      <w:r w:rsidRPr="00D41726">
        <w:t xml:space="preserve"> </w:t>
      </w:r>
      <w:r>
        <w:t>on the Federal Register of Legislation, along with any submission on the draft investment mandate by the Board.</w:t>
      </w:r>
    </w:p>
    <w:p w14:paraId="12E3F8FE" w14:textId="1D9D1D2D" w:rsidR="00720696" w:rsidRPr="00720696" w:rsidRDefault="00720696" w:rsidP="00720696">
      <w:pPr>
        <w:pStyle w:val="BodyNum"/>
        <w:numPr>
          <w:ilvl w:val="0"/>
          <w:numId w:val="0"/>
        </w:numPr>
        <w:ind w:firstLine="426"/>
        <w:rPr>
          <w:i/>
          <w:iCs/>
        </w:rPr>
      </w:pPr>
      <w:r w:rsidRPr="00720696">
        <w:rPr>
          <w:i/>
          <w:iCs/>
        </w:rPr>
        <w:t xml:space="preserve">Exemption from </w:t>
      </w:r>
      <w:r>
        <w:rPr>
          <w:i/>
          <w:iCs/>
        </w:rPr>
        <w:t>sunsetting</w:t>
      </w:r>
    </w:p>
    <w:p w14:paraId="7599C7FD" w14:textId="1FFE3BAE" w:rsidR="009D5F93" w:rsidRPr="00E75809" w:rsidRDefault="009D5F93" w:rsidP="001F48DB">
      <w:pPr>
        <w:pStyle w:val="BodyNum"/>
        <w:tabs>
          <w:tab w:val="clear" w:pos="720"/>
        </w:tabs>
        <w:ind w:left="426" w:hanging="426"/>
      </w:pPr>
      <w:r w:rsidRPr="00E75809">
        <w:t>Note</w:t>
      </w:r>
      <w:r w:rsidR="002502F7" w:rsidRPr="00E75809">
        <w:t xml:space="preserve"> 2 </w:t>
      </w:r>
      <w:r w:rsidR="00262A90" w:rsidRPr="00E75809">
        <w:t xml:space="preserve">to </w:t>
      </w:r>
      <w:r w:rsidR="002502F7" w:rsidRPr="00E75809">
        <w:t xml:space="preserve">subsection 41(7) </w:t>
      </w:r>
      <w:r w:rsidR="00262A90" w:rsidRPr="00E75809">
        <w:t>o</w:t>
      </w:r>
      <w:r w:rsidR="002502F7" w:rsidRPr="00E75809">
        <w:t xml:space="preserve">f the Act </w:t>
      </w:r>
      <w:r w:rsidR="003E71D8" w:rsidRPr="00E75809">
        <w:t xml:space="preserve">states that Part 4 of Chapter 3 of the </w:t>
      </w:r>
      <w:r w:rsidR="003E71D8" w:rsidRPr="00E75809">
        <w:rPr>
          <w:i/>
          <w:iCs/>
        </w:rPr>
        <w:t>Legislation Act 2003</w:t>
      </w:r>
      <w:r w:rsidR="003E71D8" w:rsidRPr="00E75809">
        <w:t xml:space="preserve"> (sunsetting) does not apply to the investment mandate direction. </w:t>
      </w:r>
    </w:p>
    <w:p w14:paraId="6CA78C31" w14:textId="188318B6" w:rsidR="00F807F8" w:rsidRDefault="008E6665">
      <w:pPr>
        <w:pStyle w:val="BodyNum"/>
        <w:tabs>
          <w:tab w:val="clear" w:pos="720"/>
        </w:tabs>
        <w:ind w:left="426" w:hanging="426"/>
      </w:pPr>
      <w:r w:rsidRPr="00E75809">
        <w:t>I</w:t>
      </w:r>
      <w:r w:rsidR="00693F30" w:rsidRPr="00E75809">
        <w:t>nvestment mandate</w:t>
      </w:r>
      <w:r w:rsidR="00024A2D" w:rsidRPr="00E75809">
        <w:t xml:space="preserve">s for </w:t>
      </w:r>
      <w:r w:rsidR="0000172C" w:rsidRPr="00E75809">
        <w:t>C</w:t>
      </w:r>
      <w:r w:rsidR="00024A2D" w:rsidRPr="00E75809">
        <w:t xml:space="preserve">ommonwealth investment funds are not </w:t>
      </w:r>
      <w:r w:rsidR="006C5802" w:rsidRPr="00E75809">
        <w:t>subject to sunsetting due to the long-term nature of the funds</w:t>
      </w:r>
      <w:r w:rsidR="00024A2D" w:rsidRPr="00E75809">
        <w:t>’</w:t>
      </w:r>
      <w:r w:rsidR="006C5802" w:rsidRPr="00E75809">
        <w:t xml:space="preserve"> investments and the administrative and technical nature of th</w:t>
      </w:r>
      <w:r w:rsidR="00BC2D08">
        <w:t>e</w:t>
      </w:r>
      <w:r w:rsidR="006C5802" w:rsidRPr="00E75809">
        <w:t xml:space="preserve"> </w:t>
      </w:r>
      <w:r w:rsidR="00BC2D08">
        <w:t>investment mandates</w:t>
      </w:r>
      <w:r w:rsidR="006C5802" w:rsidRPr="00E75809">
        <w:t>.</w:t>
      </w:r>
      <w:r w:rsidR="0064570B" w:rsidRPr="00E75809">
        <w:t xml:space="preserve"> </w:t>
      </w:r>
    </w:p>
    <w:p w14:paraId="0D93CBB5" w14:textId="31E98042" w:rsidR="00815BFB" w:rsidRDefault="00815BFB">
      <w:pPr>
        <w:pStyle w:val="BodyNum"/>
        <w:tabs>
          <w:tab w:val="clear" w:pos="720"/>
        </w:tabs>
        <w:ind w:left="426" w:hanging="426"/>
      </w:pPr>
      <w:r>
        <w:t xml:space="preserve">While </w:t>
      </w:r>
      <w:r w:rsidR="00040753">
        <w:t xml:space="preserve">the Government may need to update </w:t>
      </w:r>
      <w:r w:rsidR="00F40B58">
        <w:t xml:space="preserve">one or more </w:t>
      </w:r>
      <w:r>
        <w:t>investment</w:t>
      </w:r>
      <w:r w:rsidR="009135F3">
        <w:t xml:space="preserve"> mandate</w:t>
      </w:r>
      <w:r w:rsidR="00F40B58">
        <w:t>s</w:t>
      </w:r>
      <w:r>
        <w:t xml:space="preserve"> </w:t>
      </w:r>
      <w:r w:rsidR="00F40B58">
        <w:t>from time to time</w:t>
      </w:r>
      <w:r>
        <w:t xml:space="preserve"> </w:t>
      </w:r>
      <w:r w:rsidR="00F40B58">
        <w:t xml:space="preserve">(for example, </w:t>
      </w:r>
      <w:r>
        <w:t>in response to</w:t>
      </w:r>
      <w:r w:rsidR="00BB3271">
        <w:t xml:space="preserve"> </w:t>
      </w:r>
      <w:r w:rsidR="00040753">
        <w:t xml:space="preserve">urgent or unforeseen </w:t>
      </w:r>
      <w:r w:rsidR="00D72897">
        <w:t>events</w:t>
      </w:r>
      <w:r w:rsidR="00B76F40">
        <w:t>, or to reflect evolving investment market dynamics</w:t>
      </w:r>
      <w:r w:rsidR="00F40B58">
        <w:t>)</w:t>
      </w:r>
      <w:r w:rsidR="00D72897">
        <w:t xml:space="preserve">, </w:t>
      </w:r>
      <w:r w:rsidR="006E6644">
        <w:t xml:space="preserve">an </w:t>
      </w:r>
      <w:r w:rsidR="00D72897">
        <w:t xml:space="preserve">investment mandate </w:t>
      </w:r>
      <w:r w:rsidR="00F40B58">
        <w:t xml:space="preserve">is </w:t>
      </w:r>
      <w:r w:rsidR="00EF685B">
        <w:t xml:space="preserve">generally issued </w:t>
      </w:r>
      <w:r w:rsidR="00552136">
        <w:t xml:space="preserve">with the expectation </w:t>
      </w:r>
      <w:r w:rsidR="006E6644">
        <w:t xml:space="preserve">that it will be </w:t>
      </w:r>
      <w:r w:rsidR="00552136">
        <w:t xml:space="preserve">in place over </w:t>
      </w:r>
      <w:r w:rsidR="00EF685B">
        <w:t xml:space="preserve">the </w:t>
      </w:r>
      <w:r w:rsidR="00552136">
        <w:t xml:space="preserve">medium to </w:t>
      </w:r>
      <w:r w:rsidR="00EF685B">
        <w:t>long</w:t>
      </w:r>
      <w:r w:rsidR="00552136">
        <w:t>er</w:t>
      </w:r>
      <w:r w:rsidR="00EF685B">
        <w:t xml:space="preserve"> term</w:t>
      </w:r>
      <w:r w:rsidR="00D72897">
        <w:t>.</w:t>
      </w:r>
      <w:r w:rsidR="00EF685B">
        <w:t xml:space="preserve"> </w:t>
      </w:r>
      <w:r w:rsidR="00D72897">
        <w:t xml:space="preserve">For example, the </w:t>
      </w:r>
      <w:r w:rsidR="00781CC1" w:rsidRPr="00781CC1">
        <w:t xml:space="preserve">investment mandates for the DisabilityCare </w:t>
      </w:r>
      <w:r w:rsidR="00781CC1" w:rsidRPr="00781CC1">
        <w:lastRenderedPageBreak/>
        <w:t>Australia Fund and the Medical Research Future Fund have been in place since inception (2013 and 2015 respectively).</w:t>
      </w:r>
    </w:p>
    <w:p w14:paraId="16C8A6B2" w14:textId="21EC9EC6" w:rsidR="004D742B" w:rsidRDefault="0064570B">
      <w:pPr>
        <w:pStyle w:val="BodyNum"/>
        <w:tabs>
          <w:tab w:val="clear" w:pos="720"/>
        </w:tabs>
        <w:ind w:left="426" w:hanging="426"/>
      </w:pPr>
      <w:r w:rsidRPr="00E75809">
        <w:t xml:space="preserve">Exemption from sunsetting provides for an </w:t>
      </w:r>
      <w:r w:rsidR="00E75809" w:rsidRPr="00E75809">
        <w:t>ongoing</w:t>
      </w:r>
      <w:r w:rsidRPr="00E75809">
        <w:t xml:space="preserve"> investment mandate until such a time that the Government </w:t>
      </w:r>
      <w:r w:rsidR="00E75809" w:rsidRPr="00E75809">
        <w:t>considers</w:t>
      </w:r>
      <w:r w:rsidRPr="00E75809">
        <w:t xml:space="preserve"> it necessary to </w:t>
      </w:r>
      <w:r w:rsidR="00404243" w:rsidRPr="00E75809">
        <w:t xml:space="preserve">amend </w:t>
      </w:r>
      <w:r w:rsidR="00E75809" w:rsidRPr="00E75809">
        <w:t xml:space="preserve">the </w:t>
      </w:r>
      <w:r w:rsidR="00404243" w:rsidRPr="00E75809">
        <w:t>investment mandate or issue a new investment mandate.</w:t>
      </w:r>
    </w:p>
    <w:p w14:paraId="7DCA2AEC" w14:textId="4AB1C81E" w:rsidR="00FD2CCC" w:rsidRPr="00E75809" w:rsidRDefault="00095C66">
      <w:pPr>
        <w:pStyle w:val="BodyNum"/>
        <w:tabs>
          <w:tab w:val="clear" w:pos="720"/>
        </w:tabs>
        <w:ind w:left="426" w:hanging="426"/>
      </w:pPr>
      <w:r>
        <w:t>Additionally</w:t>
      </w:r>
      <w:r w:rsidR="00FD2CCC">
        <w:t xml:space="preserve">, </w:t>
      </w:r>
      <w:r w:rsidR="00A36EC3">
        <w:t>the</w:t>
      </w:r>
      <w:r w:rsidR="00DF19E6">
        <w:t xml:space="preserve"> investment mandate for the Fund may comprise of multiple different directions </w:t>
      </w:r>
      <w:r w:rsidR="00857647">
        <w:t xml:space="preserve">issued at different times. </w:t>
      </w:r>
      <w:r w:rsidR="00D972F3">
        <w:t xml:space="preserve">The exemption from sunsetting ensures that the directions remain coherent, regardless of </w:t>
      </w:r>
      <w:r>
        <w:t>when specific directions were issued.</w:t>
      </w:r>
    </w:p>
    <w:p w14:paraId="5C91438E" w14:textId="77777777" w:rsidR="00821554" w:rsidRPr="00E40986" w:rsidRDefault="00821554" w:rsidP="00821554">
      <w:pPr>
        <w:pStyle w:val="BodyNum"/>
        <w:numPr>
          <w:ilvl w:val="0"/>
          <w:numId w:val="0"/>
        </w:numPr>
        <w:rPr>
          <w:b/>
          <w:i/>
        </w:rPr>
      </w:pPr>
      <w:r w:rsidRPr="00E40986">
        <w:rPr>
          <w:b/>
          <w:i/>
        </w:rPr>
        <w:t>Section 3 - Authority</w:t>
      </w:r>
    </w:p>
    <w:p w14:paraId="4BD97D98" w14:textId="1B34DAB8" w:rsidR="00821554" w:rsidRDefault="00BF4C70" w:rsidP="001F48DB">
      <w:pPr>
        <w:pStyle w:val="BodyNum"/>
        <w:tabs>
          <w:tab w:val="clear" w:pos="720"/>
        </w:tabs>
        <w:ind w:left="426" w:hanging="426"/>
      </w:pPr>
      <w:r>
        <w:t xml:space="preserve">The Minister </w:t>
      </w:r>
      <w:r w:rsidR="00483C68">
        <w:t xml:space="preserve">for Finance </w:t>
      </w:r>
      <w:r>
        <w:t>and the Treasurer, as responsible Minister</w:t>
      </w:r>
      <w:r w:rsidR="0095082D">
        <w:t>s</w:t>
      </w:r>
      <w:r>
        <w:t xml:space="preserve"> under the Act</w:t>
      </w:r>
      <w:r w:rsidR="00A51FA1">
        <w:t>, are</w:t>
      </w:r>
      <w:r w:rsidR="00821554">
        <w:t xml:space="preserve"> required to issue at least one investment mandate to the Board under section</w:t>
      </w:r>
      <w:r w:rsidR="00DD7731">
        <w:t> </w:t>
      </w:r>
      <w:r w:rsidR="00093469">
        <w:t>41</w:t>
      </w:r>
      <w:r w:rsidR="00CB6669">
        <w:t>(1)</w:t>
      </w:r>
      <w:r w:rsidR="00821554">
        <w:t xml:space="preserve"> of the Act.</w:t>
      </w:r>
      <w:r w:rsidR="00752627">
        <w:t xml:space="preserve"> This is the </w:t>
      </w:r>
      <w:r w:rsidR="00167A0A">
        <w:t>first</w:t>
      </w:r>
      <w:r w:rsidR="00752627">
        <w:t xml:space="preserve"> investment mandate </w:t>
      </w:r>
      <w:r w:rsidR="002C2C57">
        <w:t xml:space="preserve">that will </w:t>
      </w:r>
      <w:r w:rsidR="00BA029D">
        <w:t xml:space="preserve">take effect after </w:t>
      </w:r>
      <w:r w:rsidR="00CB6669">
        <w:t xml:space="preserve">the </w:t>
      </w:r>
      <w:r w:rsidR="00167A0A">
        <w:t>commencement</w:t>
      </w:r>
      <w:r w:rsidR="00CB6669">
        <w:t xml:space="preserve"> of the Act.</w:t>
      </w:r>
    </w:p>
    <w:p w14:paraId="71B41658" w14:textId="77777777" w:rsidR="00976ACE" w:rsidRPr="00E40986" w:rsidRDefault="00976ACE" w:rsidP="00976ACE">
      <w:pPr>
        <w:pStyle w:val="BodyNum"/>
        <w:numPr>
          <w:ilvl w:val="0"/>
          <w:numId w:val="0"/>
        </w:numPr>
        <w:rPr>
          <w:b/>
          <w:i/>
        </w:rPr>
      </w:pPr>
      <w:r w:rsidRPr="00E40986">
        <w:rPr>
          <w:b/>
          <w:i/>
        </w:rPr>
        <w:t>Section 4 - Definitions</w:t>
      </w:r>
    </w:p>
    <w:p w14:paraId="24CA1DEA" w14:textId="77777777" w:rsidR="005519F3" w:rsidRDefault="00976ACE" w:rsidP="001F48DB">
      <w:pPr>
        <w:pStyle w:val="BodyNum"/>
        <w:tabs>
          <w:tab w:val="clear" w:pos="720"/>
        </w:tabs>
        <w:ind w:left="426" w:hanging="426"/>
      </w:pPr>
      <w:r>
        <w:t xml:space="preserve">Definitions </w:t>
      </w:r>
      <w:r w:rsidR="004D69A6">
        <w:t xml:space="preserve">are to </w:t>
      </w:r>
      <w:r>
        <w:t xml:space="preserve">be read in conjunction with the relevant </w:t>
      </w:r>
      <w:r w:rsidR="00600D49">
        <w:t>A</w:t>
      </w:r>
      <w:r>
        <w:t xml:space="preserve">cts, </w:t>
      </w:r>
      <w:r w:rsidR="004D2F44">
        <w:t>which include</w:t>
      </w:r>
      <w:r>
        <w:t xml:space="preserve"> th</w:t>
      </w:r>
      <w:r w:rsidR="004D2F44">
        <w:t>e</w:t>
      </w:r>
      <w:r>
        <w:t xml:space="preserve"> Act</w:t>
      </w:r>
      <w:r w:rsidR="0091214F">
        <w:t xml:space="preserve"> and</w:t>
      </w:r>
      <w:r>
        <w:t xml:space="preserve"> the </w:t>
      </w:r>
      <w:r w:rsidRPr="00A51FA1">
        <w:rPr>
          <w:i/>
        </w:rPr>
        <w:t>F</w:t>
      </w:r>
      <w:r w:rsidR="00A51FA1" w:rsidRPr="00A51FA1">
        <w:rPr>
          <w:i/>
        </w:rPr>
        <w:t>uture Fund Act 2006</w:t>
      </w:r>
      <w:r>
        <w:t>.</w:t>
      </w:r>
      <w:r w:rsidR="005519F3">
        <w:t xml:space="preserve"> </w:t>
      </w:r>
    </w:p>
    <w:p w14:paraId="78EA5BDE" w14:textId="77777777" w:rsidR="004D4DC6" w:rsidRPr="004D4DC6" w:rsidRDefault="004D4DC6" w:rsidP="004D4DC6">
      <w:pPr>
        <w:pStyle w:val="BodyNum"/>
        <w:numPr>
          <w:ilvl w:val="0"/>
          <w:numId w:val="0"/>
        </w:numPr>
        <w:rPr>
          <w:b/>
        </w:rPr>
      </w:pPr>
      <w:r w:rsidRPr="004D4DC6">
        <w:rPr>
          <w:b/>
        </w:rPr>
        <w:t xml:space="preserve">Part </w:t>
      </w:r>
      <w:r>
        <w:rPr>
          <w:b/>
        </w:rPr>
        <w:t>2</w:t>
      </w:r>
      <w:r w:rsidRPr="004D4DC6">
        <w:rPr>
          <w:b/>
        </w:rPr>
        <w:t xml:space="preserve"> - </w:t>
      </w:r>
      <w:r>
        <w:rPr>
          <w:b/>
        </w:rPr>
        <w:t>Direction</w:t>
      </w:r>
    </w:p>
    <w:p w14:paraId="51D346E3" w14:textId="77777777" w:rsidR="004D4DC6" w:rsidRPr="00E40986" w:rsidRDefault="004D4DC6" w:rsidP="004D4DC6">
      <w:pPr>
        <w:pStyle w:val="BodyNum"/>
        <w:numPr>
          <w:ilvl w:val="0"/>
          <w:numId w:val="0"/>
        </w:numPr>
        <w:rPr>
          <w:b/>
          <w:i/>
        </w:rPr>
      </w:pPr>
      <w:r w:rsidRPr="00E40986">
        <w:rPr>
          <w:b/>
          <w:i/>
        </w:rPr>
        <w:t>Section 5 - Object</w:t>
      </w:r>
    </w:p>
    <w:p w14:paraId="31535A64" w14:textId="77777777" w:rsidR="0039706E" w:rsidRPr="00F559F4" w:rsidRDefault="0039706E" w:rsidP="001F48DB">
      <w:pPr>
        <w:pStyle w:val="BodyNum"/>
        <w:tabs>
          <w:tab w:val="clear" w:pos="720"/>
        </w:tabs>
        <w:ind w:left="426" w:hanging="426"/>
      </w:pPr>
      <w:r w:rsidRPr="00F559F4">
        <w:t>The Board is to carry out the investment function as outlined in the Act and in accordance with this investment mandate</w:t>
      </w:r>
      <w:r w:rsidR="003633CB">
        <w:t>, i</w:t>
      </w:r>
      <w:r w:rsidRPr="00F559F4">
        <w:t xml:space="preserve">n addition to their existing functions </w:t>
      </w:r>
      <w:r w:rsidR="00803806" w:rsidRPr="00F559F4">
        <w:t xml:space="preserve">outlined </w:t>
      </w:r>
      <w:r w:rsidR="007E7D80" w:rsidRPr="00F559F4">
        <w:t xml:space="preserve">in the </w:t>
      </w:r>
      <w:r w:rsidR="00580099" w:rsidRPr="00F559F4">
        <w:rPr>
          <w:i/>
        </w:rPr>
        <w:t>Future Fund Act 2006</w:t>
      </w:r>
      <w:r w:rsidR="007E7D80" w:rsidRPr="00F559F4">
        <w:t>.</w:t>
      </w:r>
    </w:p>
    <w:p w14:paraId="65BF85B1" w14:textId="77777777" w:rsidR="0039706E" w:rsidRDefault="0039706E" w:rsidP="001F48DB">
      <w:pPr>
        <w:pStyle w:val="BodyNum"/>
        <w:tabs>
          <w:tab w:val="clear" w:pos="720"/>
        </w:tabs>
        <w:ind w:left="426" w:hanging="426"/>
      </w:pPr>
      <w:r>
        <w:t>Th</w:t>
      </w:r>
      <w:r w:rsidR="00803806">
        <w:t xml:space="preserve">e </w:t>
      </w:r>
      <w:r>
        <w:t xml:space="preserve">investment mandate </w:t>
      </w:r>
      <w:r w:rsidR="003633CB">
        <w:t>requires</w:t>
      </w:r>
      <w:r w:rsidR="00803806">
        <w:t xml:space="preserve"> t</w:t>
      </w:r>
      <w:r>
        <w:t>he Board</w:t>
      </w:r>
      <w:r w:rsidR="00EA5858">
        <w:t xml:space="preserve"> </w:t>
      </w:r>
      <w:r>
        <w:t>to maximise the return earned on the Fund over the long term, consistent with international best practice for institutional investment</w:t>
      </w:r>
      <w:r w:rsidR="003A5C8F">
        <w:t>.</w:t>
      </w:r>
    </w:p>
    <w:p w14:paraId="7F78CF8F" w14:textId="77777777" w:rsidR="00600D49" w:rsidRPr="00295023" w:rsidRDefault="00803806" w:rsidP="00295023">
      <w:pPr>
        <w:pStyle w:val="BodyNum"/>
        <w:tabs>
          <w:tab w:val="clear" w:pos="720"/>
        </w:tabs>
        <w:ind w:left="426" w:hanging="426"/>
        <w:rPr>
          <w:b/>
          <w:i/>
        </w:rPr>
      </w:pPr>
      <w:r>
        <w:t>The investment mandate provide</w:t>
      </w:r>
      <w:r w:rsidR="00AD5E1E">
        <w:t>s</w:t>
      </w:r>
      <w:r>
        <w:t xml:space="preserve"> guidance to the Board on </w:t>
      </w:r>
      <w:r w:rsidR="003A5C8F" w:rsidRPr="00291469">
        <w:t>matters of risk and returns, and other matters that are consistent with the Act</w:t>
      </w:r>
      <w:r w:rsidR="007E7D80">
        <w:t>.</w:t>
      </w:r>
    </w:p>
    <w:p w14:paraId="58BF8F3E" w14:textId="77777777" w:rsidR="0005160D" w:rsidRPr="00E40986" w:rsidRDefault="0005160D" w:rsidP="0005160D">
      <w:pPr>
        <w:pStyle w:val="BodyNum"/>
        <w:numPr>
          <w:ilvl w:val="0"/>
          <w:numId w:val="0"/>
        </w:numPr>
        <w:rPr>
          <w:b/>
          <w:i/>
        </w:rPr>
      </w:pPr>
      <w:r w:rsidRPr="00E40986">
        <w:rPr>
          <w:b/>
          <w:i/>
        </w:rPr>
        <w:t xml:space="preserve">Section </w:t>
      </w:r>
      <w:r w:rsidR="001619F6">
        <w:rPr>
          <w:b/>
          <w:i/>
        </w:rPr>
        <w:t>6</w:t>
      </w:r>
      <w:r w:rsidR="001619F6" w:rsidRPr="00E40986">
        <w:rPr>
          <w:b/>
          <w:i/>
        </w:rPr>
        <w:t xml:space="preserve"> </w:t>
      </w:r>
      <w:r w:rsidRPr="00E40986">
        <w:rPr>
          <w:b/>
          <w:i/>
        </w:rPr>
        <w:t>- Benchmark return</w:t>
      </w:r>
      <w:r w:rsidR="004F5494">
        <w:rPr>
          <w:b/>
          <w:i/>
        </w:rPr>
        <w:t xml:space="preserve"> and acceptable level of risk</w:t>
      </w:r>
    </w:p>
    <w:p w14:paraId="47E725C0" w14:textId="6DDEB389" w:rsidR="00AC7CC0" w:rsidRPr="00CD7151" w:rsidRDefault="00964F7C" w:rsidP="00AC7CC0">
      <w:pPr>
        <w:pStyle w:val="BodyNum"/>
        <w:tabs>
          <w:tab w:val="clear" w:pos="720"/>
        </w:tabs>
        <w:ind w:left="426" w:hanging="426"/>
      </w:pPr>
      <w:r>
        <w:t>For the purposes of this investment mandate the Government has directed the Board to adopt</w:t>
      </w:r>
      <w:r w:rsidR="0082784C">
        <w:t>,</w:t>
      </w:r>
      <w:r>
        <w:t xml:space="preserve"> as the benchmark </w:t>
      </w:r>
      <w:r w:rsidR="001218E4">
        <w:t xml:space="preserve">return </w:t>
      </w:r>
      <w:r>
        <w:t xml:space="preserve">for the performance of the Fund, an </w:t>
      </w:r>
      <w:r>
        <w:lastRenderedPageBreak/>
        <w:t>average return</w:t>
      </w:r>
      <w:r w:rsidR="00B23842">
        <w:t xml:space="preserve"> over the long</w:t>
      </w:r>
      <w:r w:rsidR="007C5540">
        <w:t xml:space="preserve"> </w:t>
      </w:r>
      <w:r w:rsidR="00B23842">
        <w:t xml:space="preserve">term of at least </w:t>
      </w:r>
      <w:r>
        <w:t xml:space="preserve">the </w:t>
      </w:r>
      <w:r w:rsidRPr="00CD7151">
        <w:t>Consumer Price Index +</w:t>
      </w:r>
      <w:r w:rsidR="00124E83">
        <w:t> </w:t>
      </w:r>
      <w:r w:rsidRPr="00CD7151">
        <w:t>2.0</w:t>
      </w:r>
      <w:r w:rsidR="00124E83">
        <w:t> </w:t>
      </w:r>
      <w:r w:rsidR="00F72961">
        <w:t>per</w:t>
      </w:r>
      <w:r w:rsidR="00124E83">
        <w:t> </w:t>
      </w:r>
      <w:r w:rsidR="00F72961">
        <w:t>cent</w:t>
      </w:r>
      <w:r w:rsidRPr="00CD7151">
        <w:t xml:space="preserve"> to </w:t>
      </w:r>
      <w:r w:rsidR="007D6C1D" w:rsidRPr="00CD7151">
        <w:t>+</w:t>
      </w:r>
      <w:r w:rsidRPr="00CD7151">
        <w:t>3.0 per cent per annum</w:t>
      </w:r>
      <w:r w:rsidR="0094186D" w:rsidRPr="00CD7151">
        <w:t xml:space="preserve"> net of costs</w:t>
      </w:r>
      <w:r w:rsidR="006C61E9" w:rsidRPr="00CD7151">
        <w:t>.</w:t>
      </w:r>
      <w:r w:rsidRPr="00CD7151">
        <w:t xml:space="preserve"> </w:t>
      </w:r>
    </w:p>
    <w:p w14:paraId="09A003A1" w14:textId="6246F07B" w:rsidR="00AC7CC0" w:rsidRDefault="00236658" w:rsidP="00AC7CC0">
      <w:pPr>
        <w:pStyle w:val="BodyNum"/>
        <w:tabs>
          <w:tab w:val="clear" w:pos="720"/>
        </w:tabs>
        <w:ind w:left="426" w:hanging="426"/>
      </w:pPr>
      <w:r>
        <w:t xml:space="preserve">Implementing a mandate with a </w:t>
      </w:r>
      <w:r w:rsidR="00AC7CC0">
        <w:t xml:space="preserve">range </w:t>
      </w:r>
      <w:r>
        <w:t xml:space="preserve">provides </w:t>
      </w:r>
      <w:r w:rsidR="00AC7CC0">
        <w:t xml:space="preserve">the Board </w:t>
      </w:r>
      <w:r>
        <w:t xml:space="preserve">with scope </w:t>
      </w:r>
      <w:r w:rsidR="00AC7CC0">
        <w:t xml:space="preserve">to target lower levels of return when </w:t>
      </w:r>
      <w:r w:rsidR="007C5540">
        <w:t>it</w:t>
      </w:r>
      <w:r w:rsidR="00AC7CC0">
        <w:t xml:space="preserve"> believe</w:t>
      </w:r>
      <w:r w:rsidR="007C5540">
        <w:t>s</w:t>
      </w:r>
      <w:r w:rsidR="00AC7CC0">
        <w:t xml:space="preserve"> the prospective reward for investment risk is relatively low, and conversely, higher levels of return when </w:t>
      </w:r>
      <w:r w:rsidR="007C5540">
        <w:t xml:space="preserve">it </w:t>
      </w:r>
      <w:r w:rsidR="00AC7CC0">
        <w:t>believe</w:t>
      </w:r>
      <w:r w:rsidR="007C5540">
        <w:t>s</w:t>
      </w:r>
      <w:r w:rsidR="00AC7CC0">
        <w:t xml:space="preserve"> the prospective reward for investment risk is relatively high. </w:t>
      </w:r>
    </w:p>
    <w:p w14:paraId="01073CD6" w14:textId="02F74480" w:rsidR="00784DFD" w:rsidRDefault="001D39A7" w:rsidP="001F48DB">
      <w:pPr>
        <w:pStyle w:val="BodyNum"/>
        <w:tabs>
          <w:tab w:val="clear" w:pos="720"/>
        </w:tabs>
        <w:ind w:left="426" w:hanging="426"/>
      </w:pPr>
      <w:r>
        <w:t>The Government accepts that the</w:t>
      </w:r>
      <w:r w:rsidR="00B01460">
        <w:t xml:space="preserve">re will need to be an </w:t>
      </w:r>
      <w:r>
        <w:t>initial transition period</w:t>
      </w:r>
      <w:r w:rsidR="00784DFD">
        <w:t xml:space="preserve"> for the Board to </w:t>
      </w:r>
      <w:r w:rsidR="00BB5C0F">
        <w:t xml:space="preserve">invest </w:t>
      </w:r>
      <w:r w:rsidR="00B9218D">
        <w:t xml:space="preserve">amounts </w:t>
      </w:r>
      <w:r w:rsidR="00BE7650">
        <w:t>credit</w:t>
      </w:r>
      <w:r w:rsidR="00B9218D">
        <w:t>ed</w:t>
      </w:r>
      <w:r w:rsidR="00BE7650">
        <w:t xml:space="preserve"> in financial assets </w:t>
      </w:r>
      <w:r w:rsidR="00BB5C0F">
        <w:t>and implement a long</w:t>
      </w:r>
      <w:r w:rsidR="00BE7650">
        <w:noBreakHyphen/>
      </w:r>
      <w:r w:rsidR="00BB5C0F">
        <w:t>term strategic asset allocation consistent with the</w:t>
      </w:r>
      <w:r w:rsidR="00BE7650">
        <w:t xml:space="preserve"> Board’s obligations under the Act and the directions in the Investment Mandate.</w:t>
      </w:r>
    </w:p>
    <w:p w14:paraId="0340FDFD" w14:textId="7D585482" w:rsidR="00A5494F" w:rsidRDefault="00A5494F" w:rsidP="001F48DB">
      <w:pPr>
        <w:pStyle w:val="BodyNum"/>
        <w:tabs>
          <w:tab w:val="clear" w:pos="720"/>
        </w:tabs>
        <w:ind w:left="426" w:hanging="426"/>
      </w:pPr>
      <w:r>
        <w:t xml:space="preserve">During this period, the benchmark return </w:t>
      </w:r>
      <w:r w:rsidR="00025287">
        <w:t xml:space="preserve">may </w:t>
      </w:r>
      <w:r w:rsidRPr="00CD7151">
        <w:t>not be met.</w:t>
      </w:r>
      <w:r w:rsidR="00025287">
        <w:t xml:space="preserve"> </w:t>
      </w:r>
      <w:r w:rsidRPr="00CD7151">
        <w:t xml:space="preserve">The Government </w:t>
      </w:r>
      <w:r w:rsidR="00025287">
        <w:t xml:space="preserve">accepts that </w:t>
      </w:r>
      <w:r w:rsidRPr="00CD7151">
        <w:t>this transition period could be up to</w:t>
      </w:r>
      <w:r w:rsidR="00CD7151">
        <w:t xml:space="preserve"> 12 months</w:t>
      </w:r>
      <w:r w:rsidRPr="00CD7151">
        <w:t>.</w:t>
      </w:r>
      <w:r w:rsidR="00236658">
        <w:br/>
      </w:r>
      <w:r w:rsidR="00236658">
        <w:br/>
      </w:r>
      <w:r w:rsidR="00236658" w:rsidRPr="00236658">
        <w:rPr>
          <w:i/>
        </w:rPr>
        <w:t>Acceptable level of risk</w:t>
      </w:r>
    </w:p>
    <w:p w14:paraId="6F5C7C58" w14:textId="77777777" w:rsidR="00EC2F0C" w:rsidRDefault="00616132" w:rsidP="001F48DB">
      <w:pPr>
        <w:pStyle w:val="BodyNum"/>
        <w:tabs>
          <w:tab w:val="clear" w:pos="720"/>
        </w:tabs>
        <w:ind w:left="426" w:hanging="426"/>
      </w:pPr>
      <w:r>
        <w:t>T</w:t>
      </w:r>
      <w:r w:rsidR="0005160D">
        <w:t xml:space="preserve">he </w:t>
      </w:r>
      <w:r w:rsidR="001A3723">
        <w:t>Government is conscious of the risks inherent in investing financial asse</w:t>
      </w:r>
      <w:r w:rsidR="00EC2F0C">
        <w:t>ts and acknowledges that</w:t>
      </w:r>
      <w:r w:rsidR="00DE24EB">
        <w:t>,</w:t>
      </w:r>
      <w:r w:rsidR="00EC2F0C">
        <w:t xml:space="preserve"> in practice</w:t>
      </w:r>
      <w:r w:rsidR="00DE24EB">
        <w:t>,</w:t>
      </w:r>
      <w:r w:rsidR="00EC2F0C">
        <w:t xml:space="preserve"> this will involve some volatility in the Fund’s returns, including the possibility of </w:t>
      </w:r>
      <w:r w:rsidR="000F2268">
        <w:t xml:space="preserve">material </w:t>
      </w:r>
      <w:r w:rsidR="00EC2F0C">
        <w:t>losses in some years.</w:t>
      </w:r>
      <w:r w:rsidR="004723A7">
        <w:t xml:space="preserve"> </w:t>
      </w:r>
    </w:p>
    <w:p w14:paraId="4A1B26F8" w14:textId="190D5CA1" w:rsidR="004F5494" w:rsidRPr="003E48FC" w:rsidRDefault="00616132" w:rsidP="001F48DB">
      <w:pPr>
        <w:pStyle w:val="BodyNum"/>
        <w:tabs>
          <w:tab w:val="clear" w:pos="720"/>
        </w:tabs>
        <w:ind w:left="426" w:hanging="426"/>
      </w:pPr>
      <w:r w:rsidRPr="00EA5858">
        <w:t xml:space="preserve">To </w:t>
      </w:r>
      <w:r w:rsidR="00236658" w:rsidRPr="00EA5858">
        <w:t xml:space="preserve">provide the Board with guidance on the limits to the Government’s acceptance of risk </w:t>
      </w:r>
      <w:r w:rsidR="00236658" w:rsidRPr="00DF4C9F">
        <w:t xml:space="preserve">in </w:t>
      </w:r>
      <w:r w:rsidR="0045687C" w:rsidRPr="00DF4C9F">
        <w:t>pursuing the benchmark rate of return</w:t>
      </w:r>
      <w:r w:rsidRPr="00DF4C9F">
        <w:t xml:space="preserve">, the Direction </w:t>
      </w:r>
      <w:r w:rsidR="004063B8" w:rsidRPr="00DF4C9F">
        <w:t xml:space="preserve">states </w:t>
      </w:r>
      <w:r w:rsidR="004063B8" w:rsidRPr="00DF4C9F">
        <w:rPr>
          <w:szCs w:val="24"/>
        </w:rPr>
        <w:t>“the Government acknowledges that targeting</w:t>
      </w:r>
      <w:r w:rsidR="003F1EA9" w:rsidRPr="00DF4C9F">
        <w:rPr>
          <w:szCs w:val="24"/>
        </w:rPr>
        <w:t xml:space="preserve"> </w:t>
      </w:r>
      <w:r w:rsidR="00C33C16" w:rsidRPr="00DF4C9F">
        <w:rPr>
          <w:rFonts w:eastAsia="Calibri"/>
          <w:szCs w:val="24"/>
          <w:lang w:eastAsia="en-US"/>
        </w:rPr>
        <w:t xml:space="preserve">the </w:t>
      </w:r>
      <w:r w:rsidR="003E48FC" w:rsidRPr="00DF4C9F">
        <w:rPr>
          <w:rFonts w:eastAsia="Calibri"/>
          <w:szCs w:val="24"/>
          <w:lang w:eastAsia="en-US"/>
        </w:rPr>
        <w:t>long-term</w:t>
      </w:r>
      <w:r w:rsidR="00C33C16" w:rsidRPr="00DF4C9F">
        <w:rPr>
          <w:rFonts w:eastAsia="Calibri"/>
          <w:szCs w:val="24"/>
          <w:lang w:eastAsia="en-US"/>
        </w:rPr>
        <w:t xml:space="preserve"> benchmark return implies accepting the risk of capital losses</w:t>
      </w:r>
      <w:r w:rsidR="003809B1" w:rsidRPr="00DF4C9F">
        <w:rPr>
          <w:rFonts w:eastAsia="Calibri"/>
          <w:szCs w:val="24"/>
          <w:lang w:eastAsia="en-US"/>
        </w:rPr>
        <w:t>, in adverse markets,</w:t>
      </w:r>
      <w:r w:rsidR="00C33C16" w:rsidRPr="00DF4C9F">
        <w:rPr>
          <w:rFonts w:eastAsia="Calibri"/>
          <w:szCs w:val="24"/>
          <w:lang w:eastAsia="en-US"/>
        </w:rPr>
        <w:t xml:space="preserve"> that may be 15</w:t>
      </w:r>
      <w:r w:rsidR="00B97482">
        <w:rPr>
          <w:rFonts w:eastAsia="Calibri"/>
          <w:szCs w:val="24"/>
          <w:lang w:eastAsia="en-US"/>
        </w:rPr>
        <w:t xml:space="preserve"> </w:t>
      </w:r>
      <w:r w:rsidR="00F72961">
        <w:rPr>
          <w:rFonts w:eastAsia="Calibri"/>
          <w:szCs w:val="24"/>
          <w:lang w:eastAsia="en-US"/>
        </w:rPr>
        <w:t xml:space="preserve">per cent to </w:t>
      </w:r>
      <w:r w:rsidR="00C33C16" w:rsidRPr="00DF4C9F">
        <w:rPr>
          <w:rFonts w:eastAsia="Calibri"/>
          <w:szCs w:val="24"/>
          <w:lang w:eastAsia="en-US"/>
        </w:rPr>
        <w:t>20</w:t>
      </w:r>
      <w:r w:rsidR="00DD7731" w:rsidRPr="00DF4C9F">
        <w:rPr>
          <w:rFonts w:eastAsia="Calibri"/>
          <w:szCs w:val="24"/>
          <w:lang w:eastAsia="en-US"/>
        </w:rPr>
        <w:t> </w:t>
      </w:r>
      <w:r w:rsidR="00CB7304" w:rsidRPr="00DF4C9F">
        <w:rPr>
          <w:rFonts w:eastAsia="Calibri"/>
          <w:szCs w:val="24"/>
          <w:lang w:eastAsia="en-US"/>
        </w:rPr>
        <w:t>per</w:t>
      </w:r>
      <w:r w:rsidR="00DD7731" w:rsidRPr="00DF4C9F">
        <w:rPr>
          <w:rFonts w:eastAsia="Calibri"/>
          <w:szCs w:val="24"/>
          <w:lang w:eastAsia="en-US"/>
        </w:rPr>
        <w:t> </w:t>
      </w:r>
      <w:r w:rsidR="00CB7304" w:rsidRPr="00DF4C9F">
        <w:rPr>
          <w:rFonts w:eastAsia="Calibri"/>
          <w:szCs w:val="24"/>
          <w:lang w:eastAsia="en-US"/>
        </w:rPr>
        <w:t>cent</w:t>
      </w:r>
      <w:r w:rsidR="00C33C16" w:rsidRPr="00DF4C9F">
        <w:rPr>
          <w:rFonts w:eastAsia="Calibri"/>
          <w:szCs w:val="24"/>
          <w:lang w:eastAsia="en-US"/>
        </w:rPr>
        <w:t xml:space="preserve"> of the portfolio over a three</w:t>
      </w:r>
      <w:r w:rsidR="00DD7731" w:rsidRPr="00DF4C9F">
        <w:rPr>
          <w:rFonts w:eastAsia="Calibri"/>
          <w:szCs w:val="24"/>
          <w:lang w:eastAsia="en-US"/>
        </w:rPr>
        <w:t>-</w:t>
      </w:r>
      <w:r w:rsidR="00C33C16" w:rsidRPr="00DF4C9F">
        <w:rPr>
          <w:rFonts w:eastAsia="Calibri"/>
          <w:szCs w:val="24"/>
          <w:lang w:eastAsia="en-US"/>
        </w:rPr>
        <w:t>year period”</w:t>
      </w:r>
      <w:r w:rsidR="001D4381" w:rsidRPr="00DF4C9F">
        <w:rPr>
          <w:rFonts w:eastAsia="Calibri"/>
          <w:szCs w:val="24"/>
          <w:lang w:eastAsia="en-US"/>
        </w:rPr>
        <w:t>.</w:t>
      </w:r>
    </w:p>
    <w:p w14:paraId="3CF71D0E" w14:textId="3AA9F2C9" w:rsidR="008F0C85" w:rsidRDefault="00624E0C" w:rsidP="008214D7">
      <w:pPr>
        <w:pStyle w:val="BodyNum"/>
        <w:tabs>
          <w:tab w:val="clear" w:pos="720"/>
        </w:tabs>
        <w:ind w:left="426" w:hanging="426"/>
      </w:pPr>
      <w:r>
        <w:t>The Direction provides that the Government ac</w:t>
      </w:r>
      <w:r w:rsidR="00136C45">
        <w:t>knowledges</w:t>
      </w:r>
      <w:r w:rsidR="004D7448">
        <w:t xml:space="preserve"> </w:t>
      </w:r>
      <w:r>
        <w:t>the risk that the Fund</w:t>
      </w:r>
      <w:r w:rsidR="00E37B54">
        <w:t>’s value</w:t>
      </w:r>
      <w:r>
        <w:t xml:space="preserve"> may fall below the value </w:t>
      </w:r>
      <w:r w:rsidR="00E7267F">
        <w:t xml:space="preserve">(in nominal terms) </w:t>
      </w:r>
      <w:r>
        <w:t>of the credit</w:t>
      </w:r>
      <w:r w:rsidR="00E37B54">
        <w:t>(s)</w:t>
      </w:r>
      <w:r>
        <w:t xml:space="preserve"> to the Fund </w:t>
      </w:r>
      <w:r w:rsidR="00A73681">
        <w:t>(</w:t>
      </w:r>
      <w:r>
        <w:t xml:space="preserve">as per section 11 of the Act) in the future. </w:t>
      </w:r>
      <w:r w:rsidR="00810FC0">
        <w:t xml:space="preserve">This may occur </w:t>
      </w:r>
      <w:r w:rsidR="005C1B0A">
        <w:t xml:space="preserve">if the Fund suffers </w:t>
      </w:r>
      <w:r w:rsidR="00810FC0">
        <w:t xml:space="preserve">capital losses, </w:t>
      </w:r>
      <w:r w:rsidR="00AE2B66">
        <w:t xml:space="preserve">or where </w:t>
      </w:r>
      <w:r w:rsidR="009F5C73">
        <w:t xml:space="preserve">disbursements from the Fund exceed </w:t>
      </w:r>
      <w:r w:rsidR="003E48FC">
        <w:t xml:space="preserve">the </w:t>
      </w:r>
      <w:r w:rsidR="005C1B0A">
        <w:t>Fund’s returns (net of costs)</w:t>
      </w:r>
      <w:r w:rsidR="008F0C85">
        <w:t xml:space="preserve">. </w:t>
      </w:r>
    </w:p>
    <w:p w14:paraId="6A12F299" w14:textId="0B6733FD" w:rsidR="00624E0C" w:rsidRPr="00DF4C9F" w:rsidRDefault="009E1FE9" w:rsidP="008F0C85">
      <w:pPr>
        <w:pStyle w:val="BodyNum"/>
        <w:tabs>
          <w:tab w:val="clear" w:pos="720"/>
        </w:tabs>
        <w:ind w:left="426" w:hanging="426"/>
      </w:pPr>
      <w:r>
        <w:t>T</w:t>
      </w:r>
      <w:r w:rsidR="0012716B">
        <w:t xml:space="preserve">he </w:t>
      </w:r>
      <w:r w:rsidR="0070485D">
        <w:t>Direction</w:t>
      </w:r>
      <w:r w:rsidR="00B34D8F">
        <w:t xml:space="preserve"> </w:t>
      </w:r>
      <w:r w:rsidR="003A546F">
        <w:t xml:space="preserve">also provides </w:t>
      </w:r>
      <w:r w:rsidR="0070485D">
        <w:t xml:space="preserve">that the </w:t>
      </w:r>
      <w:r w:rsidR="0012716B">
        <w:t xml:space="preserve">Government acknowledges </w:t>
      </w:r>
      <w:r w:rsidR="00E7267F">
        <w:t xml:space="preserve">that the Board does not have any obligation (in addition to its duties and obligations set out in the </w:t>
      </w:r>
      <w:r w:rsidR="00E7267F" w:rsidRPr="003441AB">
        <w:rPr>
          <w:i/>
          <w:iCs/>
        </w:rPr>
        <w:t>Future Fund Act 2006</w:t>
      </w:r>
      <w:r w:rsidR="00E7267F">
        <w:t>, the Act and the investment mandate) to preserve the value (in nominal or real terms) of the total amounts that are credited to the Fund under section 11 of the Act</w:t>
      </w:r>
      <w:r w:rsidR="00810FC0">
        <w:t xml:space="preserve">. </w:t>
      </w:r>
    </w:p>
    <w:p w14:paraId="0EB2D156" w14:textId="1D41CE62" w:rsidR="00C33C16" w:rsidRDefault="00C33C16" w:rsidP="001F48DB">
      <w:pPr>
        <w:pStyle w:val="BodyNum"/>
        <w:tabs>
          <w:tab w:val="clear" w:pos="720"/>
        </w:tabs>
        <w:ind w:left="426" w:hanging="426"/>
      </w:pPr>
      <w:r w:rsidRPr="00DF4C9F">
        <w:t>The investment mandate requires</w:t>
      </w:r>
      <w:r w:rsidRPr="00A5012E">
        <w:t xml:space="preserve"> the Board to have regard to section 1</w:t>
      </w:r>
      <w:r w:rsidR="0076657C">
        <w:t>5</w:t>
      </w:r>
      <w:r w:rsidRPr="00A5012E">
        <w:t xml:space="preserve"> of the Act. This requires the Board to take all reasonable steps to ensure that the balance of the Special Account is sufficient to cover debits for the purposes of the Fund. </w:t>
      </w:r>
      <w:r w:rsidRPr="00A5012E">
        <w:lastRenderedPageBreak/>
        <w:t>The Board will need to ensure the portfolio has sufficient liquidity to meet the required cash</w:t>
      </w:r>
      <w:r w:rsidR="00A5012E">
        <w:t xml:space="preserve"> </w:t>
      </w:r>
      <w:r w:rsidRPr="00A5012E">
        <w:t>flows</w:t>
      </w:r>
      <w:r w:rsidR="009615AB">
        <w:t>.</w:t>
      </w:r>
    </w:p>
    <w:p w14:paraId="7D159087" w14:textId="7A7CBBB5" w:rsidR="00BD66CB" w:rsidRPr="006A4BD4" w:rsidRDefault="00BD66CB" w:rsidP="00A5494F">
      <w:pPr>
        <w:pStyle w:val="BodyPara"/>
        <w:numPr>
          <w:ilvl w:val="0"/>
          <w:numId w:val="0"/>
        </w:numPr>
        <w:rPr>
          <w:b/>
          <w:i/>
        </w:rPr>
      </w:pPr>
      <w:r w:rsidRPr="006A4BD4">
        <w:rPr>
          <w:b/>
          <w:i/>
        </w:rPr>
        <w:t xml:space="preserve">Section </w:t>
      </w:r>
      <w:r w:rsidR="001619F6" w:rsidRPr="006A4BD4">
        <w:rPr>
          <w:b/>
          <w:i/>
        </w:rPr>
        <w:t xml:space="preserve">7 </w:t>
      </w:r>
      <w:r w:rsidRPr="006A4BD4">
        <w:rPr>
          <w:b/>
          <w:i/>
        </w:rPr>
        <w:t>- Board must consider impacts from its investment strategy</w:t>
      </w:r>
    </w:p>
    <w:p w14:paraId="3F568567" w14:textId="77777777" w:rsidR="00C930BE" w:rsidRDefault="00BD66CB" w:rsidP="001F48DB">
      <w:pPr>
        <w:pStyle w:val="BodyNum"/>
        <w:tabs>
          <w:tab w:val="clear" w:pos="720"/>
        </w:tabs>
        <w:ind w:left="426" w:hanging="426"/>
      </w:pPr>
      <w:r>
        <w:t>The Government has a broad obligation to the Australian community to make decisions that are economically and fiscally responsible. In establishing the Fund</w:t>
      </w:r>
      <w:r w:rsidR="00C930BE">
        <w:t>,</w:t>
      </w:r>
      <w:r>
        <w:t xml:space="preserve"> it is the expectation of the Government that the investments of the Fund should not disrupt the normal operation of domestic financial markets. </w:t>
      </w:r>
    </w:p>
    <w:p w14:paraId="75488BB8" w14:textId="77777777" w:rsidR="00BD66CB" w:rsidRDefault="00BD66CB" w:rsidP="001F48DB">
      <w:pPr>
        <w:pStyle w:val="BodyNum"/>
        <w:tabs>
          <w:tab w:val="clear" w:pos="720"/>
        </w:tabs>
        <w:ind w:left="426" w:hanging="426"/>
      </w:pPr>
      <w:r>
        <w:t>The Board, in setting the investment strategy and in instructing the investment of the Fund, must act in a manner that minimises the potential to effect any abnormal change in the volatility or efficient operation of Australian financial markets.</w:t>
      </w:r>
    </w:p>
    <w:p w14:paraId="7B2500BC" w14:textId="77777777" w:rsidR="00BD66CB" w:rsidRDefault="00BD66CB" w:rsidP="001F48DB">
      <w:pPr>
        <w:pStyle w:val="BodyNum"/>
        <w:tabs>
          <w:tab w:val="clear" w:pos="720"/>
        </w:tabs>
        <w:ind w:left="426" w:hanging="426"/>
      </w:pPr>
      <w:r>
        <w:t>The Board is also required to act in a manner that is unlikely to cause any diminution of the Government’s reputation in Australian and international financial markets.</w:t>
      </w:r>
    </w:p>
    <w:p w14:paraId="559A25E8" w14:textId="77777777" w:rsidR="00BD66CB" w:rsidRDefault="00BD66CB" w:rsidP="001F48DB">
      <w:pPr>
        <w:pStyle w:val="BodyNum"/>
        <w:tabs>
          <w:tab w:val="clear" w:pos="720"/>
        </w:tabs>
        <w:ind w:left="426" w:hanging="426"/>
      </w:pPr>
      <w:r>
        <w:t xml:space="preserve">The Government participates in a number of international organisations which pursue high standards of conduct in financial markets. The Government recognises that the Board will invest in international capital markets as part of a sound investment strategy involving diversification. In doing so, the Government expects that the Board will act in a manner that is unlikely to cause embarrassment to the Government. </w:t>
      </w:r>
    </w:p>
    <w:p w14:paraId="15AD07A1" w14:textId="37FD4938" w:rsidR="00BD66CB" w:rsidRPr="00E40986" w:rsidRDefault="00BD66CB" w:rsidP="003E36CC">
      <w:pPr>
        <w:pStyle w:val="BodyNum"/>
        <w:numPr>
          <w:ilvl w:val="0"/>
          <w:numId w:val="0"/>
        </w:numPr>
        <w:rPr>
          <w:b/>
        </w:rPr>
      </w:pPr>
      <w:r w:rsidRPr="00E40986">
        <w:rPr>
          <w:b/>
          <w:i/>
        </w:rPr>
        <w:t xml:space="preserve">Section </w:t>
      </w:r>
      <w:r w:rsidR="001619F6">
        <w:rPr>
          <w:b/>
          <w:i/>
        </w:rPr>
        <w:t>8</w:t>
      </w:r>
      <w:r w:rsidR="001619F6" w:rsidRPr="00E40986">
        <w:rPr>
          <w:b/>
          <w:i/>
        </w:rPr>
        <w:t xml:space="preserve"> </w:t>
      </w:r>
      <w:r w:rsidRPr="00E40986">
        <w:rPr>
          <w:b/>
          <w:i/>
        </w:rPr>
        <w:t xml:space="preserve">- </w:t>
      </w:r>
      <w:r w:rsidR="003E36CC" w:rsidRPr="00E40986">
        <w:rPr>
          <w:b/>
          <w:i/>
        </w:rPr>
        <w:t>Corporate governance</w:t>
      </w:r>
      <w:r w:rsidR="00920A4F">
        <w:rPr>
          <w:b/>
          <w:i/>
        </w:rPr>
        <w:t xml:space="preserve"> </w:t>
      </w:r>
    </w:p>
    <w:p w14:paraId="2A0A76DE" w14:textId="3EB0438D" w:rsidR="00BD66CB" w:rsidRDefault="003E36CC" w:rsidP="001F48DB">
      <w:pPr>
        <w:pStyle w:val="BodyNum"/>
        <w:tabs>
          <w:tab w:val="clear" w:pos="720"/>
        </w:tabs>
        <w:ind w:left="426" w:hanging="426"/>
      </w:pPr>
      <w:r w:rsidRPr="003E36CC">
        <w:t>In undertaking its investment functions, the Board must act consistent with, and establish policies on matters relevant to, international best practice for institutional investment.</w:t>
      </w:r>
      <w:r w:rsidR="00920A4F">
        <w:t xml:space="preserve"> T</w:t>
      </w:r>
      <w:r w:rsidRPr="003E36CC">
        <w:t xml:space="preserve">he Government would </w:t>
      </w:r>
      <w:r w:rsidR="00920A4F">
        <w:t xml:space="preserve">also </w:t>
      </w:r>
      <w:r w:rsidRPr="003E36CC">
        <w:t>expect the Board’s policies to include its approach to corporate governance principles</w:t>
      </w:r>
      <w:r w:rsidR="008B3234">
        <w:t>,</w:t>
      </w:r>
      <w:r w:rsidR="004C56C3" w:rsidDel="00C367B3">
        <w:t xml:space="preserve"> </w:t>
      </w:r>
      <w:r w:rsidRPr="003E36CC">
        <w:t>including its voting policy.</w:t>
      </w:r>
    </w:p>
    <w:p w14:paraId="6E7EF225" w14:textId="77777777" w:rsidR="0088379C" w:rsidRPr="006D73BA" w:rsidRDefault="0088379C" w:rsidP="006D73BA">
      <w:pPr>
        <w:pStyle w:val="BodyNum"/>
        <w:numPr>
          <w:ilvl w:val="0"/>
          <w:numId w:val="0"/>
        </w:numPr>
      </w:pPr>
      <w:r>
        <w:rPr>
          <w:b/>
          <w:i/>
        </w:rPr>
        <w:t>Section 9 – Reporting</w:t>
      </w:r>
    </w:p>
    <w:p w14:paraId="171C6AEF" w14:textId="77777777" w:rsidR="00FD6F69" w:rsidRDefault="00C0590D" w:rsidP="006D73BA">
      <w:pPr>
        <w:pStyle w:val="BodyNum"/>
        <w:tabs>
          <w:tab w:val="clear" w:pos="720"/>
        </w:tabs>
        <w:ind w:left="426" w:hanging="426"/>
      </w:pPr>
      <w:r>
        <w:t xml:space="preserve">To provide </w:t>
      </w:r>
      <w:r w:rsidR="00881F6A">
        <w:t>appropriate</w:t>
      </w:r>
      <w:r w:rsidR="00F467DA">
        <w:t xml:space="preserve"> </w:t>
      </w:r>
      <w:r>
        <w:t>transparency</w:t>
      </w:r>
      <w:r w:rsidR="00825FB5">
        <w:t xml:space="preserve"> on the </w:t>
      </w:r>
      <w:r w:rsidR="00DE121F">
        <w:t xml:space="preserve">investment </w:t>
      </w:r>
      <w:r w:rsidR="00825FB5">
        <w:t xml:space="preserve">performance of the </w:t>
      </w:r>
      <w:r w:rsidR="00DE121F">
        <w:t>Fund</w:t>
      </w:r>
      <w:r w:rsidR="00B33924">
        <w:t>,</w:t>
      </w:r>
      <w:r w:rsidR="00840BBB">
        <w:t xml:space="preserve"> the Board </w:t>
      </w:r>
      <w:r w:rsidR="00371C7B">
        <w:t>is</w:t>
      </w:r>
      <w:r w:rsidR="00840BBB">
        <w:t xml:space="preserve"> required</w:t>
      </w:r>
      <w:r w:rsidR="005039EE">
        <w:t>,</w:t>
      </w:r>
      <w:r w:rsidR="00FD6F69">
        <w:t xml:space="preserve"> </w:t>
      </w:r>
      <w:r w:rsidR="005039EE">
        <w:t xml:space="preserve">at a minimum, </w:t>
      </w:r>
      <w:r w:rsidR="00FD6F69">
        <w:t xml:space="preserve">to publish quarterly reports on </w:t>
      </w:r>
      <w:r w:rsidR="004E73EC">
        <w:t xml:space="preserve">its </w:t>
      </w:r>
      <w:r w:rsidR="00FD6F69">
        <w:t>website.</w:t>
      </w:r>
    </w:p>
    <w:p w14:paraId="383EFF1C" w14:textId="0F0DCBD5" w:rsidR="00232616" w:rsidRPr="006D73BA" w:rsidRDefault="00CB044E" w:rsidP="001907FB">
      <w:pPr>
        <w:pStyle w:val="BodyNum"/>
        <w:tabs>
          <w:tab w:val="clear" w:pos="720"/>
        </w:tabs>
        <w:ind w:left="426" w:hanging="426"/>
      </w:pPr>
      <w:r>
        <w:t xml:space="preserve">Consistent with the quarterly reports for the </w:t>
      </w:r>
      <w:r w:rsidR="00FC3A70">
        <w:t>existing Commonwealth investment funds</w:t>
      </w:r>
      <w:r>
        <w:t xml:space="preserve">, </w:t>
      </w:r>
      <w:r w:rsidR="00BF0CBF">
        <w:t xml:space="preserve">the </w:t>
      </w:r>
      <w:r w:rsidR="00232616">
        <w:t>quarterly</w:t>
      </w:r>
      <w:r w:rsidR="00BF0CBF">
        <w:t xml:space="preserve"> reports are to include</w:t>
      </w:r>
      <w:r w:rsidR="00232616">
        <w:t xml:space="preserve"> information on</w:t>
      </w:r>
      <w:r w:rsidR="00BF0CBF">
        <w:t xml:space="preserve"> the asset allocation </w:t>
      </w:r>
      <w:r w:rsidR="00232616">
        <w:t xml:space="preserve">of the </w:t>
      </w:r>
      <w:r w:rsidR="003F1378">
        <w:t>portfolio</w:t>
      </w:r>
      <w:r w:rsidR="00232616">
        <w:t xml:space="preserve"> </w:t>
      </w:r>
      <w:r w:rsidR="00BF0CBF">
        <w:t xml:space="preserve">by category and </w:t>
      </w:r>
      <w:r w:rsidR="003F1378">
        <w:t xml:space="preserve">the actual returns against the </w:t>
      </w:r>
      <w:r w:rsidR="00371C7B">
        <w:t>benchmark</w:t>
      </w:r>
      <w:r w:rsidR="003F1378">
        <w:t xml:space="preserve"> return.</w:t>
      </w:r>
    </w:p>
    <w:p w14:paraId="63CD960F" w14:textId="77777777" w:rsidR="00554826" w:rsidRDefault="00554826" w:rsidP="006D73BA">
      <w:pPr>
        <w:pStyle w:val="Head2"/>
      </w:pPr>
      <w:bookmarkStart w:id="1" w:name="_Toc454512522"/>
      <w:r>
        <w:lastRenderedPageBreak/>
        <w:t>C</w:t>
      </w:r>
      <w:r w:rsidR="000223A7">
        <w:t>onsultation</w:t>
      </w:r>
      <w:bookmarkEnd w:id="1"/>
    </w:p>
    <w:p w14:paraId="6102A2D3" w14:textId="6CD4F731" w:rsidR="003E36CC" w:rsidRPr="00E941EA" w:rsidRDefault="00D41726" w:rsidP="001F48DB">
      <w:pPr>
        <w:pStyle w:val="BodyNum"/>
        <w:tabs>
          <w:tab w:val="clear" w:pos="720"/>
        </w:tabs>
        <w:ind w:left="426" w:hanging="426"/>
      </w:pPr>
      <w:r w:rsidRPr="00E941EA">
        <w:rPr>
          <w:color w:val="000000"/>
          <w:shd w:val="clear" w:color="auto" w:fill="FFFFFF"/>
        </w:rPr>
        <w:t>T</w:t>
      </w:r>
      <w:r w:rsidR="003E36CC" w:rsidRPr="00E941EA">
        <w:rPr>
          <w:color w:val="000000"/>
          <w:shd w:val="clear" w:color="auto" w:fill="FFFFFF"/>
        </w:rPr>
        <w:t>he Board</w:t>
      </w:r>
      <w:r w:rsidRPr="00E941EA">
        <w:rPr>
          <w:color w:val="000000"/>
          <w:shd w:val="clear" w:color="auto" w:fill="FFFFFF"/>
        </w:rPr>
        <w:t xml:space="preserve"> has been consulted prior to setting this investment mandate, in accordance with </w:t>
      </w:r>
      <w:r w:rsidR="003E36CC" w:rsidRPr="00E941EA">
        <w:rPr>
          <w:color w:val="000000"/>
          <w:shd w:val="clear" w:color="auto" w:fill="FFFFFF"/>
        </w:rPr>
        <w:t xml:space="preserve">section </w:t>
      </w:r>
      <w:r w:rsidR="00BE6292">
        <w:rPr>
          <w:color w:val="000000"/>
          <w:shd w:val="clear" w:color="auto" w:fill="FFFFFF"/>
        </w:rPr>
        <w:t>4</w:t>
      </w:r>
      <w:r w:rsidR="00FC3A70">
        <w:rPr>
          <w:color w:val="000000"/>
          <w:shd w:val="clear" w:color="auto" w:fill="FFFFFF"/>
        </w:rPr>
        <w:t>4</w:t>
      </w:r>
      <w:r w:rsidR="003E36CC" w:rsidRPr="00E941EA">
        <w:rPr>
          <w:color w:val="000000"/>
          <w:shd w:val="clear" w:color="auto" w:fill="FFFFFF"/>
        </w:rPr>
        <w:t xml:space="preserve"> of the Act. The</w:t>
      </w:r>
      <w:r w:rsidR="00FC3A70">
        <w:rPr>
          <w:color w:val="000000"/>
          <w:shd w:val="clear" w:color="auto" w:fill="FFFFFF"/>
        </w:rPr>
        <w:t xml:space="preserve"> Board’s </w:t>
      </w:r>
      <w:r w:rsidR="00450EBF" w:rsidRPr="00E941EA">
        <w:rPr>
          <w:color w:val="000000"/>
          <w:shd w:val="clear" w:color="auto" w:fill="FFFFFF"/>
        </w:rPr>
        <w:t xml:space="preserve">submission, if made, </w:t>
      </w:r>
      <w:r w:rsidR="003E36CC" w:rsidRPr="00E941EA">
        <w:rPr>
          <w:color w:val="000000"/>
          <w:shd w:val="clear" w:color="auto" w:fill="FFFFFF"/>
        </w:rPr>
        <w:t xml:space="preserve">will be </w:t>
      </w:r>
      <w:r w:rsidR="00B632DE" w:rsidRPr="00E941EA">
        <w:rPr>
          <w:color w:val="000000"/>
          <w:shd w:val="clear" w:color="auto" w:fill="FFFFFF"/>
        </w:rPr>
        <w:t xml:space="preserve">tabled and </w:t>
      </w:r>
      <w:r w:rsidR="003E36CC" w:rsidRPr="00E941EA">
        <w:rPr>
          <w:color w:val="000000"/>
          <w:shd w:val="clear" w:color="auto" w:fill="FFFFFF"/>
        </w:rPr>
        <w:t xml:space="preserve">published </w:t>
      </w:r>
      <w:r w:rsidR="00B632DE" w:rsidRPr="00E941EA">
        <w:rPr>
          <w:color w:val="000000"/>
          <w:shd w:val="clear" w:color="auto" w:fill="FFFFFF"/>
        </w:rPr>
        <w:t>on the Federal Register of Legislation.</w:t>
      </w:r>
    </w:p>
    <w:p w14:paraId="3D2D6FA4" w14:textId="77777777" w:rsidR="000223A7" w:rsidRPr="00E941EA" w:rsidRDefault="000223A7" w:rsidP="00D11886">
      <w:pPr>
        <w:pStyle w:val="BodyNum"/>
        <w:numPr>
          <w:ilvl w:val="0"/>
          <w:numId w:val="0"/>
        </w:numPr>
        <w:ind w:left="426"/>
      </w:pPr>
    </w:p>
    <w:sectPr w:rsidR="000223A7" w:rsidRPr="00E941EA" w:rsidSect="008C2EAC">
      <w:headerReference w:type="even" r:id="rId13"/>
      <w:headerReference w:type="default" r:id="rId14"/>
      <w:footerReference w:type="even" r:id="rId15"/>
      <w:footerReference w:type="default" r:id="rId16"/>
      <w:headerReference w:type="first" r:id="rId17"/>
      <w:footerReference w:type="first" r:id="rId1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E54A" w14:textId="77777777" w:rsidR="00AC45E4" w:rsidRDefault="00AC45E4" w:rsidP="00715914">
      <w:pPr>
        <w:spacing w:line="240" w:lineRule="auto"/>
      </w:pPr>
      <w:r>
        <w:separator/>
      </w:r>
    </w:p>
    <w:p w14:paraId="0D3A30DC" w14:textId="77777777" w:rsidR="00AC45E4" w:rsidRDefault="00AC45E4"/>
    <w:p w14:paraId="0C712DC2" w14:textId="77777777" w:rsidR="00AC45E4" w:rsidRDefault="00AC45E4"/>
  </w:endnote>
  <w:endnote w:type="continuationSeparator" w:id="0">
    <w:p w14:paraId="145AB52D" w14:textId="77777777" w:rsidR="00AC45E4" w:rsidRDefault="00AC45E4" w:rsidP="00715914">
      <w:pPr>
        <w:spacing w:line="240" w:lineRule="auto"/>
      </w:pPr>
      <w:r>
        <w:continuationSeparator/>
      </w:r>
    </w:p>
    <w:p w14:paraId="76E5366B" w14:textId="77777777" w:rsidR="00AC45E4" w:rsidRDefault="00AC45E4"/>
    <w:p w14:paraId="5265941E" w14:textId="77777777" w:rsidR="00AC45E4" w:rsidRDefault="00AC45E4"/>
  </w:endnote>
  <w:endnote w:type="continuationNotice" w:id="1">
    <w:p w14:paraId="1E99DB33" w14:textId="77777777" w:rsidR="00AC45E4" w:rsidRDefault="00AC45E4">
      <w:pPr>
        <w:spacing w:line="240" w:lineRule="auto"/>
      </w:pPr>
    </w:p>
    <w:p w14:paraId="0F7AE775" w14:textId="77777777" w:rsidR="00AC45E4" w:rsidRDefault="00AC45E4"/>
    <w:p w14:paraId="790E2242" w14:textId="77777777" w:rsidR="00AC45E4" w:rsidRDefault="00AC4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0EF7"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D3FD8B6" w14:textId="77777777">
      <w:tc>
        <w:tcPr>
          <w:tcW w:w="365" w:type="pct"/>
        </w:tcPr>
        <w:p w14:paraId="5C4CDA2B"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4E83">
            <w:rPr>
              <w:i/>
              <w:noProof/>
              <w:sz w:val="18"/>
            </w:rPr>
            <w:t>4</w:t>
          </w:r>
          <w:r w:rsidRPr="00ED79B6">
            <w:rPr>
              <w:i/>
              <w:sz w:val="18"/>
            </w:rPr>
            <w:fldChar w:fldCharType="end"/>
          </w:r>
        </w:p>
      </w:tc>
      <w:tc>
        <w:tcPr>
          <w:tcW w:w="3688" w:type="pct"/>
        </w:tcPr>
        <w:p w14:paraId="0B5A858E" w14:textId="652BCC3E"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633A7">
            <w:rPr>
              <w:i/>
              <w:noProof/>
              <w:sz w:val="18"/>
            </w:rPr>
            <w:t>Explanatory Statement for the Housing Australia Future Fund Investment Mandate Direction 2023</w:t>
          </w:r>
          <w:r w:rsidRPr="004E1307">
            <w:rPr>
              <w:i/>
              <w:sz w:val="18"/>
            </w:rPr>
            <w:fldChar w:fldCharType="end"/>
          </w:r>
        </w:p>
      </w:tc>
      <w:tc>
        <w:tcPr>
          <w:tcW w:w="947" w:type="pct"/>
        </w:tcPr>
        <w:p w14:paraId="2AC25B93" w14:textId="77777777" w:rsidR="008C2EAC" w:rsidRDefault="008C2EAC">
          <w:pPr>
            <w:spacing w:line="0" w:lineRule="atLeast"/>
            <w:jc w:val="right"/>
            <w:rPr>
              <w:sz w:val="18"/>
            </w:rPr>
          </w:pPr>
        </w:p>
      </w:tc>
    </w:tr>
    <w:tr w:rsidR="008C2EAC" w14:paraId="134A11E3" w14:textId="77777777">
      <w:tc>
        <w:tcPr>
          <w:tcW w:w="5000" w:type="pct"/>
          <w:gridSpan w:val="3"/>
        </w:tcPr>
        <w:p w14:paraId="1569B4CE" w14:textId="77777777" w:rsidR="008C2EAC" w:rsidRDefault="008C2EAC">
          <w:pPr>
            <w:jc w:val="right"/>
            <w:rPr>
              <w:sz w:val="18"/>
            </w:rPr>
          </w:pPr>
        </w:p>
      </w:tc>
    </w:tr>
  </w:tbl>
  <w:p w14:paraId="1B9CFD25" w14:textId="77777777" w:rsidR="008C2EAC" w:rsidRPr="00ED79B6" w:rsidRDefault="008C2EAC">
    <w:pPr>
      <w:rPr>
        <w:i/>
        <w:sz w:val="18"/>
      </w:rPr>
    </w:pPr>
  </w:p>
  <w:p w14:paraId="70A83973" w14:textId="77777777" w:rsidR="00CA088F" w:rsidRDefault="00CA088F"/>
  <w:p w14:paraId="00B0D5C9" w14:textId="77777777" w:rsidR="00CA088F" w:rsidRDefault="00CA08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EAA3"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24654C3" w14:textId="77777777">
      <w:tc>
        <w:tcPr>
          <w:tcW w:w="947" w:type="pct"/>
        </w:tcPr>
        <w:p w14:paraId="4B915A66" w14:textId="77777777" w:rsidR="008C2EAC" w:rsidRDefault="008C2EAC">
          <w:pPr>
            <w:spacing w:line="0" w:lineRule="atLeast"/>
            <w:rPr>
              <w:sz w:val="18"/>
            </w:rPr>
          </w:pPr>
        </w:p>
      </w:tc>
      <w:tc>
        <w:tcPr>
          <w:tcW w:w="3688" w:type="pct"/>
        </w:tcPr>
        <w:p w14:paraId="2245E1DC" w14:textId="16EBEDDA"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633A7">
            <w:rPr>
              <w:i/>
              <w:noProof/>
              <w:sz w:val="18"/>
            </w:rPr>
            <w:t>Explanatory Statement for the Housing Australia Future Fund Investment Mandate Direction 2023</w:t>
          </w:r>
          <w:r w:rsidRPr="004E1307">
            <w:rPr>
              <w:i/>
              <w:sz w:val="18"/>
            </w:rPr>
            <w:fldChar w:fldCharType="end"/>
          </w:r>
        </w:p>
      </w:tc>
      <w:tc>
        <w:tcPr>
          <w:tcW w:w="365" w:type="pct"/>
        </w:tcPr>
        <w:p w14:paraId="6DF6707D" w14:textId="77777777" w:rsidR="008C2EAC" w:rsidRDefault="008C2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4E83">
            <w:rPr>
              <w:i/>
              <w:noProof/>
              <w:sz w:val="18"/>
            </w:rPr>
            <w:t>3</w:t>
          </w:r>
          <w:r w:rsidRPr="00ED79B6">
            <w:rPr>
              <w:i/>
              <w:sz w:val="18"/>
            </w:rPr>
            <w:fldChar w:fldCharType="end"/>
          </w:r>
        </w:p>
      </w:tc>
    </w:tr>
    <w:tr w:rsidR="008C2EAC" w14:paraId="35D68B3C" w14:textId="77777777">
      <w:tc>
        <w:tcPr>
          <w:tcW w:w="5000" w:type="pct"/>
          <w:gridSpan w:val="3"/>
        </w:tcPr>
        <w:p w14:paraId="7F2E7F4C" w14:textId="77777777" w:rsidR="008C2EAC" w:rsidRDefault="008C2EAC">
          <w:pPr>
            <w:rPr>
              <w:sz w:val="18"/>
            </w:rPr>
          </w:pPr>
        </w:p>
      </w:tc>
    </w:tr>
  </w:tbl>
  <w:p w14:paraId="02A843C2" w14:textId="77777777" w:rsidR="008C2EAC" w:rsidRPr="00ED79B6" w:rsidRDefault="008C2EAC">
    <w:pPr>
      <w:rPr>
        <w:i/>
        <w:sz w:val="18"/>
      </w:rPr>
    </w:pPr>
  </w:p>
  <w:p w14:paraId="0C3C1D7B" w14:textId="77777777" w:rsidR="00CA088F" w:rsidRDefault="00CA088F"/>
  <w:p w14:paraId="7943AD68" w14:textId="77777777" w:rsidR="00CA088F" w:rsidRDefault="00CA08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A62" w14:textId="77777777" w:rsidR="00297900" w:rsidRDefault="00297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E544" w14:textId="77777777" w:rsidR="00AC45E4" w:rsidRDefault="00AC45E4" w:rsidP="00715914">
      <w:pPr>
        <w:spacing w:line="240" w:lineRule="auto"/>
      </w:pPr>
      <w:r>
        <w:separator/>
      </w:r>
    </w:p>
    <w:p w14:paraId="055162BC" w14:textId="77777777" w:rsidR="00AC45E4" w:rsidRDefault="00AC45E4"/>
    <w:p w14:paraId="1E4571AF" w14:textId="77777777" w:rsidR="00AC45E4" w:rsidRDefault="00AC45E4"/>
  </w:footnote>
  <w:footnote w:type="continuationSeparator" w:id="0">
    <w:p w14:paraId="184DAB25" w14:textId="77777777" w:rsidR="00AC45E4" w:rsidRDefault="00AC45E4" w:rsidP="00715914">
      <w:pPr>
        <w:spacing w:line="240" w:lineRule="auto"/>
      </w:pPr>
      <w:r>
        <w:continuationSeparator/>
      </w:r>
    </w:p>
    <w:p w14:paraId="76AB7691" w14:textId="77777777" w:rsidR="00AC45E4" w:rsidRDefault="00AC45E4"/>
    <w:p w14:paraId="2AF0877F" w14:textId="77777777" w:rsidR="00AC45E4" w:rsidRDefault="00AC45E4"/>
  </w:footnote>
  <w:footnote w:type="continuationNotice" w:id="1">
    <w:p w14:paraId="32AC9BC6" w14:textId="77777777" w:rsidR="00AC45E4" w:rsidRDefault="00AC45E4">
      <w:pPr>
        <w:spacing w:line="240" w:lineRule="auto"/>
      </w:pPr>
    </w:p>
    <w:p w14:paraId="22E0BAD8" w14:textId="77777777" w:rsidR="00AC45E4" w:rsidRDefault="00AC45E4"/>
    <w:p w14:paraId="226CC7FD" w14:textId="77777777" w:rsidR="00AC45E4" w:rsidRDefault="00AC4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F45" w14:textId="7EBA14EB" w:rsidR="004E1307" w:rsidRDefault="004E1307" w:rsidP="00715914">
    <w:pPr>
      <w:rPr>
        <w:sz w:val="20"/>
      </w:rPr>
    </w:pPr>
  </w:p>
  <w:p w14:paraId="595226F0" w14:textId="77777777" w:rsidR="004E1307" w:rsidRDefault="004E1307" w:rsidP="00715914">
    <w:pPr>
      <w:rPr>
        <w:sz w:val="20"/>
      </w:rPr>
    </w:pPr>
  </w:p>
  <w:p w14:paraId="3FAC9C1B" w14:textId="77777777" w:rsidR="004E1307" w:rsidRPr="007A1328" w:rsidRDefault="004E1307" w:rsidP="00715914">
    <w:pPr>
      <w:rPr>
        <w:sz w:val="20"/>
      </w:rPr>
    </w:pPr>
  </w:p>
  <w:p w14:paraId="5BED8642" w14:textId="77777777" w:rsidR="004E1307" w:rsidRPr="007A1328" w:rsidRDefault="004E1307" w:rsidP="00715914">
    <w:pPr>
      <w:rPr>
        <w:b/>
        <w:sz w:val="24"/>
      </w:rPr>
    </w:pPr>
  </w:p>
  <w:p w14:paraId="424472A2" w14:textId="77777777" w:rsidR="004E1307" w:rsidRPr="007A1328" w:rsidRDefault="004E1307" w:rsidP="00D6537E">
    <w:pPr>
      <w:pBdr>
        <w:bottom w:val="single" w:sz="6" w:space="1" w:color="auto"/>
      </w:pBdr>
      <w:spacing w:after="120"/>
      <w:rPr>
        <w:sz w:val="24"/>
      </w:rPr>
    </w:pPr>
  </w:p>
  <w:p w14:paraId="56EE96D4" w14:textId="77777777" w:rsidR="00CA088F" w:rsidRDefault="00CA088F"/>
  <w:p w14:paraId="1A1D2506" w14:textId="77777777" w:rsidR="00CA088F" w:rsidRDefault="00CA08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F9E8" w14:textId="43C16A0B" w:rsidR="004E1307" w:rsidRPr="007A1328" w:rsidRDefault="004E1307" w:rsidP="00715914">
    <w:pPr>
      <w:jc w:val="right"/>
      <w:rPr>
        <w:sz w:val="20"/>
      </w:rPr>
    </w:pPr>
  </w:p>
  <w:p w14:paraId="0C166D75" w14:textId="77777777" w:rsidR="004E1307" w:rsidRPr="007A1328" w:rsidRDefault="004E1307" w:rsidP="00715914">
    <w:pPr>
      <w:jc w:val="right"/>
      <w:rPr>
        <w:sz w:val="20"/>
      </w:rPr>
    </w:pPr>
  </w:p>
  <w:p w14:paraId="5371D055" w14:textId="77777777" w:rsidR="004E1307" w:rsidRPr="007A1328" w:rsidRDefault="004E1307" w:rsidP="00715914">
    <w:pPr>
      <w:jc w:val="right"/>
      <w:rPr>
        <w:sz w:val="20"/>
      </w:rPr>
    </w:pPr>
  </w:p>
  <w:p w14:paraId="50523ADF" w14:textId="77777777" w:rsidR="004E1307" w:rsidRPr="007A1328" w:rsidRDefault="004E1307" w:rsidP="00715914">
    <w:pPr>
      <w:jc w:val="right"/>
      <w:rPr>
        <w:b/>
        <w:sz w:val="24"/>
      </w:rPr>
    </w:pPr>
  </w:p>
  <w:p w14:paraId="7DA96FB9" w14:textId="77777777" w:rsidR="004E1307" w:rsidRPr="007A1328" w:rsidRDefault="004E1307" w:rsidP="00D6537E">
    <w:pPr>
      <w:pBdr>
        <w:bottom w:val="single" w:sz="6" w:space="1" w:color="auto"/>
      </w:pBdr>
      <w:spacing w:after="120"/>
      <w:jc w:val="right"/>
      <w:rPr>
        <w:sz w:val="24"/>
      </w:rPr>
    </w:pPr>
  </w:p>
  <w:p w14:paraId="68300FEE" w14:textId="77777777" w:rsidR="00CA088F" w:rsidRDefault="00CA088F"/>
  <w:p w14:paraId="16E003E4" w14:textId="77777777" w:rsidR="00CA088F" w:rsidRDefault="00CA08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BA24" w14:textId="01C5076A" w:rsidR="00297900" w:rsidRDefault="00297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B03710E"/>
    <w:multiLevelType w:val="multilevel"/>
    <w:tmpl w:val="BC929C60"/>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36006652">
    <w:abstractNumId w:val="2"/>
  </w:num>
  <w:num w:numId="2" w16cid:durableId="151920071">
    <w:abstractNumId w:val="1"/>
    <w:lvlOverride w:ilvl="0">
      <w:lvl w:ilvl="0">
        <w:start w:val="1"/>
        <w:numFmt w:val="decimal"/>
        <w:pStyle w:val="BodyNum"/>
        <w:lvlText w:val="%1"/>
        <w:lvlJc w:val="left"/>
        <w:pPr>
          <w:tabs>
            <w:tab w:val="num" w:pos="720"/>
          </w:tabs>
          <w:ind w:left="0" w:firstLine="0"/>
        </w:pPr>
        <w:rPr>
          <w:rFonts w:hint="default"/>
          <w:b w:val="0"/>
          <w:i w:val="0"/>
        </w:rPr>
      </w:lvl>
    </w:lvlOverride>
  </w:num>
  <w:num w:numId="3" w16cid:durableId="1536580218">
    <w:abstractNumId w:val="1"/>
  </w:num>
  <w:num w:numId="4" w16cid:durableId="1761951370">
    <w:abstractNumId w:val="0"/>
  </w:num>
  <w:num w:numId="5" w16cid:durableId="285700911">
    <w:abstractNumId w:val="1"/>
    <w:lvlOverride w:ilvl="0">
      <w:lvl w:ilvl="0">
        <w:start w:val="1"/>
        <w:numFmt w:val="decimal"/>
        <w:pStyle w:val="BodyNum"/>
        <w:lvlText w:val="%1"/>
        <w:lvlJc w:val="left"/>
        <w:pPr>
          <w:tabs>
            <w:tab w:val="num" w:pos="720"/>
          </w:tabs>
          <w:ind w:left="0" w:firstLine="0"/>
        </w:pPr>
        <w:rPr>
          <w:rFonts w:hint="default"/>
          <w:b w:val="0"/>
          <w:i w:val="0"/>
        </w:rPr>
      </w:lvl>
    </w:lvlOverride>
  </w:num>
  <w:num w:numId="6" w16cid:durableId="182519311">
    <w:abstractNumId w:val="1"/>
    <w:lvlOverride w:ilvl="0">
      <w:lvl w:ilvl="0">
        <w:start w:val="1"/>
        <w:numFmt w:val="decimal"/>
        <w:pStyle w:val="BodyNum"/>
        <w:lvlText w:val="%1"/>
        <w:lvlJc w:val="left"/>
        <w:pPr>
          <w:tabs>
            <w:tab w:val="num" w:pos="720"/>
          </w:tabs>
          <w:ind w:left="0" w:firstLine="0"/>
        </w:pPr>
        <w:rPr>
          <w:rFonts w:hint="default"/>
          <w:b w:val="0"/>
          <w:i w:val="0"/>
        </w:rPr>
      </w:lvl>
    </w:lvlOverride>
  </w:num>
  <w:num w:numId="7" w16cid:durableId="43720002">
    <w:abstractNumId w:val="1"/>
    <w:lvlOverride w:ilvl="0">
      <w:lvl w:ilvl="0">
        <w:start w:val="1"/>
        <w:numFmt w:val="decimal"/>
        <w:pStyle w:val="BodyNum"/>
        <w:lvlText w:val="%1"/>
        <w:lvlJc w:val="left"/>
        <w:pPr>
          <w:tabs>
            <w:tab w:val="num" w:pos="720"/>
          </w:tabs>
          <w:ind w:left="0" w:firstLine="0"/>
        </w:pPr>
        <w:rPr>
          <w:rFonts w:hint="default"/>
          <w:b w:val="0"/>
          <w:i w:val="0"/>
        </w:rPr>
      </w:lvl>
    </w:lvlOverride>
  </w:num>
  <w:num w:numId="8" w16cid:durableId="381445128">
    <w:abstractNumId w:val="1"/>
    <w:lvlOverride w:ilvl="0">
      <w:lvl w:ilvl="0">
        <w:start w:val="1"/>
        <w:numFmt w:val="decimal"/>
        <w:pStyle w:val="BodyNum"/>
        <w:lvlText w:val="%1"/>
        <w:lvlJc w:val="left"/>
        <w:pPr>
          <w:tabs>
            <w:tab w:val="num" w:pos="720"/>
          </w:tabs>
          <w:ind w:left="0" w:firstLine="0"/>
        </w:pPr>
        <w:rPr>
          <w:rFonts w:hint="default"/>
          <w:b w:val="0"/>
          <w:i w:val="0"/>
        </w:rPr>
      </w:lvl>
    </w:lvlOverride>
  </w:num>
  <w:num w:numId="9" w16cid:durableId="133063377">
    <w:abstractNumId w:val="1"/>
    <w:lvlOverride w:ilvl="0">
      <w:lvl w:ilvl="0">
        <w:start w:val="1"/>
        <w:numFmt w:val="decimal"/>
        <w:pStyle w:val="BodyNum"/>
        <w:lvlText w:val="%1"/>
        <w:lvlJc w:val="left"/>
        <w:pPr>
          <w:tabs>
            <w:tab w:val="num" w:pos="720"/>
          </w:tabs>
          <w:ind w:left="0" w:firstLine="0"/>
        </w:pPr>
        <w:rPr>
          <w:rFonts w:hint="default"/>
          <w:b w:val="0"/>
          <w:i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AE"/>
    <w:rsid w:val="00000ABC"/>
    <w:rsid w:val="0000172C"/>
    <w:rsid w:val="00004174"/>
    <w:rsid w:val="00004470"/>
    <w:rsid w:val="000136AF"/>
    <w:rsid w:val="000165B1"/>
    <w:rsid w:val="0001680E"/>
    <w:rsid w:val="00020428"/>
    <w:rsid w:val="000223A7"/>
    <w:rsid w:val="00024A2D"/>
    <w:rsid w:val="00025287"/>
    <w:rsid w:val="000258B1"/>
    <w:rsid w:val="00030C8C"/>
    <w:rsid w:val="000347F9"/>
    <w:rsid w:val="000376F0"/>
    <w:rsid w:val="00040753"/>
    <w:rsid w:val="00040A89"/>
    <w:rsid w:val="00041EA9"/>
    <w:rsid w:val="00043173"/>
    <w:rsid w:val="000437C1"/>
    <w:rsid w:val="0004455A"/>
    <w:rsid w:val="0005160D"/>
    <w:rsid w:val="0005365D"/>
    <w:rsid w:val="00060DE9"/>
    <w:rsid w:val="000614BF"/>
    <w:rsid w:val="00061862"/>
    <w:rsid w:val="00061E0A"/>
    <w:rsid w:val="00064918"/>
    <w:rsid w:val="0006501A"/>
    <w:rsid w:val="00066942"/>
    <w:rsid w:val="0006709C"/>
    <w:rsid w:val="000702B8"/>
    <w:rsid w:val="000733FB"/>
    <w:rsid w:val="0007363E"/>
    <w:rsid w:val="00074376"/>
    <w:rsid w:val="0008216F"/>
    <w:rsid w:val="000854B6"/>
    <w:rsid w:val="00093469"/>
    <w:rsid w:val="0009392A"/>
    <w:rsid w:val="00095C66"/>
    <w:rsid w:val="00097891"/>
    <w:rsid w:val="000978F5"/>
    <w:rsid w:val="000A2517"/>
    <w:rsid w:val="000A7B48"/>
    <w:rsid w:val="000B15CD"/>
    <w:rsid w:val="000B35EB"/>
    <w:rsid w:val="000B4E41"/>
    <w:rsid w:val="000B770D"/>
    <w:rsid w:val="000D05EF"/>
    <w:rsid w:val="000D7C79"/>
    <w:rsid w:val="000E2261"/>
    <w:rsid w:val="000E650B"/>
    <w:rsid w:val="000E78B7"/>
    <w:rsid w:val="000F082C"/>
    <w:rsid w:val="000F21C1"/>
    <w:rsid w:val="000F2268"/>
    <w:rsid w:val="000F63B9"/>
    <w:rsid w:val="00105C87"/>
    <w:rsid w:val="0010745C"/>
    <w:rsid w:val="00113500"/>
    <w:rsid w:val="00115F89"/>
    <w:rsid w:val="00117961"/>
    <w:rsid w:val="001218E4"/>
    <w:rsid w:val="001238D8"/>
    <w:rsid w:val="00124E83"/>
    <w:rsid w:val="0012716B"/>
    <w:rsid w:val="00130E3D"/>
    <w:rsid w:val="00130F5E"/>
    <w:rsid w:val="00132CEB"/>
    <w:rsid w:val="001339B0"/>
    <w:rsid w:val="00136C45"/>
    <w:rsid w:val="0013715E"/>
    <w:rsid w:val="0014113C"/>
    <w:rsid w:val="00142B62"/>
    <w:rsid w:val="001441B7"/>
    <w:rsid w:val="001516CB"/>
    <w:rsid w:val="00152336"/>
    <w:rsid w:val="00152BE1"/>
    <w:rsid w:val="0015602A"/>
    <w:rsid w:val="00156B55"/>
    <w:rsid w:val="00156E43"/>
    <w:rsid w:val="00157B8B"/>
    <w:rsid w:val="001619F6"/>
    <w:rsid w:val="00162EAB"/>
    <w:rsid w:val="00163225"/>
    <w:rsid w:val="001633A7"/>
    <w:rsid w:val="00166C2F"/>
    <w:rsid w:val="00167A0A"/>
    <w:rsid w:val="001809D7"/>
    <w:rsid w:val="00181CDD"/>
    <w:rsid w:val="001853D5"/>
    <w:rsid w:val="001873B5"/>
    <w:rsid w:val="001907FB"/>
    <w:rsid w:val="001939E1"/>
    <w:rsid w:val="00194C3E"/>
    <w:rsid w:val="00195382"/>
    <w:rsid w:val="001A2FCB"/>
    <w:rsid w:val="001A3723"/>
    <w:rsid w:val="001B234F"/>
    <w:rsid w:val="001B2CB6"/>
    <w:rsid w:val="001C31F3"/>
    <w:rsid w:val="001C445C"/>
    <w:rsid w:val="001C61C5"/>
    <w:rsid w:val="001C69C4"/>
    <w:rsid w:val="001D37EF"/>
    <w:rsid w:val="001D39A7"/>
    <w:rsid w:val="001D4381"/>
    <w:rsid w:val="001D4CF4"/>
    <w:rsid w:val="001E3590"/>
    <w:rsid w:val="001E48E9"/>
    <w:rsid w:val="001E66D8"/>
    <w:rsid w:val="001E7407"/>
    <w:rsid w:val="001F48DB"/>
    <w:rsid w:val="001F5D5E"/>
    <w:rsid w:val="001F6219"/>
    <w:rsid w:val="001F6CD4"/>
    <w:rsid w:val="001F70E8"/>
    <w:rsid w:val="00203F7E"/>
    <w:rsid w:val="00206C4D"/>
    <w:rsid w:val="00215AF1"/>
    <w:rsid w:val="002226B5"/>
    <w:rsid w:val="0022304B"/>
    <w:rsid w:val="002230A6"/>
    <w:rsid w:val="002321E8"/>
    <w:rsid w:val="00232616"/>
    <w:rsid w:val="00232984"/>
    <w:rsid w:val="0023444F"/>
    <w:rsid w:val="00236658"/>
    <w:rsid w:val="0024010F"/>
    <w:rsid w:val="00240749"/>
    <w:rsid w:val="00241BE9"/>
    <w:rsid w:val="00243018"/>
    <w:rsid w:val="00243579"/>
    <w:rsid w:val="002502F7"/>
    <w:rsid w:val="002561A9"/>
    <w:rsid w:val="002564A4"/>
    <w:rsid w:val="00262A90"/>
    <w:rsid w:val="0026371E"/>
    <w:rsid w:val="00264321"/>
    <w:rsid w:val="00265248"/>
    <w:rsid w:val="00266B20"/>
    <w:rsid w:val="0026736C"/>
    <w:rsid w:val="00272A44"/>
    <w:rsid w:val="002775C4"/>
    <w:rsid w:val="00281308"/>
    <w:rsid w:val="00284719"/>
    <w:rsid w:val="002879E9"/>
    <w:rsid w:val="00291469"/>
    <w:rsid w:val="00295023"/>
    <w:rsid w:val="00297900"/>
    <w:rsid w:val="00297ECB"/>
    <w:rsid w:val="002A0483"/>
    <w:rsid w:val="002A7BCF"/>
    <w:rsid w:val="002B3E74"/>
    <w:rsid w:val="002B560E"/>
    <w:rsid w:val="002C118D"/>
    <w:rsid w:val="002C2C57"/>
    <w:rsid w:val="002C3FD1"/>
    <w:rsid w:val="002D043A"/>
    <w:rsid w:val="002D08EA"/>
    <w:rsid w:val="002D266B"/>
    <w:rsid w:val="002D6224"/>
    <w:rsid w:val="002E2B95"/>
    <w:rsid w:val="00304F8B"/>
    <w:rsid w:val="003066E1"/>
    <w:rsid w:val="00311207"/>
    <w:rsid w:val="00312203"/>
    <w:rsid w:val="00312758"/>
    <w:rsid w:val="003144F8"/>
    <w:rsid w:val="00314C9A"/>
    <w:rsid w:val="00315BD3"/>
    <w:rsid w:val="003204F1"/>
    <w:rsid w:val="00330664"/>
    <w:rsid w:val="00335BC6"/>
    <w:rsid w:val="0034024B"/>
    <w:rsid w:val="003415D3"/>
    <w:rsid w:val="003416DF"/>
    <w:rsid w:val="003441AB"/>
    <w:rsid w:val="00344338"/>
    <w:rsid w:val="00344701"/>
    <w:rsid w:val="00352574"/>
    <w:rsid w:val="00352B0F"/>
    <w:rsid w:val="003566DF"/>
    <w:rsid w:val="003570FD"/>
    <w:rsid w:val="00357A3B"/>
    <w:rsid w:val="00360459"/>
    <w:rsid w:val="00361E1A"/>
    <w:rsid w:val="003633CB"/>
    <w:rsid w:val="00370C0F"/>
    <w:rsid w:val="00371C7B"/>
    <w:rsid w:val="0038049F"/>
    <w:rsid w:val="003809B1"/>
    <w:rsid w:val="003834E4"/>
    <w:rsid w:val="003865FA"/>
    <w:rsid w:val="0038668F"/>
    <w:rsid w:val="00394543"/>
    <w:rsid w:val="0039706E"/>
    <w:rsid w:val="003A0693"/>
    <w:rsid w:val="003A1406"/>
    <w:rsid w:val="003A546F"/>
    <w:rsid w:val="003A5C8F"/>
    <w:rsid w:val="003B303A"/>
    <w:rsid w:val="003B32DD"/>
    <w:rsid w:val="003B73F0"/>
    <w:rsid w:val="003C6231"/>
    <w:rsid w:val="003C77A3"/>
    <w:rsid w:val="003D0BFE"/>
    <w:rsid w:val="003D5700"/>
    <w:rsid w:val="003E3361"/>
    <w:rsid w:val="003E341B"/>
    <w:rsid w:val="003E36CC"/>
    <w:rsid w:val="003E48FC"/>
    <w:rsid w:val="003E4D00"/>
    <w:rsid w:val="003E63D6"/>
    <w:rsid w:val="003E71D8"/>
    <w:rsid w:val="003F1378"/>
    <w:rsid w:val="003F1EA9"/>
    <w:rsid w:val="00401069"/>
    <w:rsid w:val="00404243"/>
    <w:rsid w:val="004063B8"/>
    <w:rsid w:val="00407F97"/>
    <w:rsid w:val="004116CD"/>
    <w:rsid w:val="00416058"/>
    <w:rsid w:val="00417EB9"/>
    <w:rsid w:val="00424CA9"/>
    <w:rsid w:val="00424F49"/>
    <w:rsid w:val="00426387"/>
    <w:rsid w:val="004276DF"/>
    <w:rsid w:val="00431E9B"/>
    <w:rsid w:val="004355D6"/>
    <w:rsid w:val="004361EF"/>
    <w:rsid w:val="004379E3"/>
    <w:rsid w:val="0044015E"/>
    <w:rsid w:val="0044291A"/>
    <w:rsid w:val="00446736"/>
    <w:rsid w:val="00446BCD"/>
    <w:rsid w:val="004471A7"/>
    <w:rsid w:val="00450EBF"/>
    <w:rsid w:val="00450FAF"/>
    <w:rsid w:val="0045562E"/>
    <w:rsid w:val="0045687C"/>
    <w:rsid w:val="0046734F"/>
    <w:rsid w:val="00467661"/>
    <w:rsid w:val="004723A7"/>
    <w:rsid w:val="00472DBE"/>
    <w:rsid w:val="00474A19"/>
    <w:rsid w:val="00477830"/>
    <w:rsid w:val="004803F4"/>
    <w:rsid w:val="00482F8F"/>
    <w:rsid w:val="00483529"/>
    <w:rsid w:val="00483C68"/>
    <w:rsid w:val="004858A8"/>
    <w:rsid w:val="00487764"/>
    <w:rsid w:val="0049461C"/>
    <w:rsid w:val="0049599E"/>
    <w:rsid w:val="0049614D"/>
    <w:rsid w:val="00496685"/>
    <w:rsid w:val="00496F97"/>
    <w:rsid w:val="004A6EF5"/>
    <w:rsid w:val="004A726A"/>
    <w:rsid w:val="004B6C48"/>
    <w:rsid w:val="004C106B"/>
    <w:rsid w:val="004C34D9"/>
    <w:rsid w:val="004C4E59"/>
    <w:rsid w:val="004C56C3"/>
    <w:rsid w:val="004C619A"/>
    <w:rsid w:val="004C6809"/>
    <w:rsid w:val="004D2F44"/>
    <w:rsid w:val="004D4DC6"/>
    <w:rsid w:val="004D69A6"/>
    <w:rsid w:val="004D6E2A"/>
    <w:rsid w:val="004D72A5"/>
    <w:rsid w:val="004D742B"/>
    <w:rsid w:val="004D7448"/>
    <w:rsid w:val="004E063A"/>
    <w:rsid w:val="004E1307"/>
    <w:rsid w:val="004E49D5"/>
    <w:rsid w:val="004E73EC"/>
    <w:rsid w:val="004E7BEC"/>
    <w:rsid w:val="004F5494"/>
    <w:rsid w:val="005039EE"/>
    <w:rsid w:val="00505D3D"/>
    <w:rsid w:val="00506AF6"/>
    <w:rsid w:val="00511192"/>
    <w:rsid w:val="00513A11"/>
    <w:rsid w:val="00516B8D"/>
    <w:rsid w:val="00520C38"/>
    <w:rsid w:val="005245D4"/>
    <w:rsid w:val="00526B61"/>
    <w:rsid w:val="005303C8"/>
    <w:rsid w:val="005337CF"/>
    <w:rsid w:val="005346A4"/>
    <w:rsid w:val="00537FBC"/>
    <w:rsid w:val="00541117"/>
    <w:rsid w:val="00546842"/>
    <w:rsid w:val="005519F3"/>
    <w:rsid w:val="00552136"/>
    <w:rsid w:val="00554826"/>
    <w:rsid w:val="00555295"/>
    <w:rsid w:val="005568E6"/>
    <w:rsid w:val="00562877"/>
    <w:rsid w:val="00563A1D"/>
    <w:rsid w:val="00564898"/>
    <w:rsid w:val="00565CC2"/>
    <w:rsid w:val="0056641A"/>
    <w:rsid w:val="0057149F"/>
    <w:rsid w:val="0057464A"/>
    <w:rsid w:val="00580028"/>
    <w:rsid w:val="00580099"/>
    <w:rsid w:val="005810EC"/>
    <w:rsid w:val="00584811"/>
    <w:rsid w:val="00585784"/>
    <w:rsid w:val="005937A3"/>
    <w:rsid w:val="00593AA6"/>
    <w:rsid w:val="00594161"/>
    <w:rsid w:val="00594749"/>
    <w:rsid w:val="00596BC1"/>
    <w:rsid w:val="00596C99"/>
    <w:rsid w:val="005A18F6"/>
    <w:rsid w:val="005A2646"/>
    <w:rsid w:val="005A65D5"/>
    <w:rsid w:val="005A6CA8"/>
    <w:rsid w:val="005B4067"/>
    <w:rsid w:val="005B5289"/>
    <w:rsid w:val="005C1B0A"/>
    <w:rsid w:val="005C3F41"/>
    <w:rsid w:val="005C67B8"/>
    <w:rsid w:val="005D1D92"/>
    <w:rsid w:val="005D2D09"/>
    <w:rsid w:val="005D49AB"/>
    <w:rsid w:val="005F59FA"/>
    <w:rsid w:val="005F7F80"/>
    <w:rsid w:val="00600219"/>
    <w:rsid w:val="0060028E"/>
    <w:rsid w:val="00600D49"/>
    <w:rsid w:val="0060201E"/>
    <w:rsid w:val="0060324B"/>
    <w:rsid w:val="00604F2A"/>
    <w:rsid w:val="00605030"/>
    <w:rsid w:val="0061005B"/>
    <w:rsid w:val="006114E5"/>
    <w:rsid w:val="00612C8D"/>
    <w:rsid w:val="00614A0E"/>
    <w:rsid w:val="00615561"/>
    <w:rsid w:val="00616132"/>
    <w:rsid w:val="00620076"/>
    <w:rsid w:val="00621CC7"/>
    <w:rsid w:val="00624E0C"/>
    <w:rsid w:val="00627E0A"/>
    <w:rsid w:val="0063048A"/>
    <w:rsid w:val="0063659C"/>
    <w:rsid w:val="00643304"/>
    <w:rsid w:val="0064570B"/>
    <w:rsid w:val="0065488B"/>
    <w:rsid w:val="00660C67"/>
    <w:rsid w:val="00661E0B"/>
    <w:rsid w:val="00665F60"/>
    <w:rsid w:val="006677CB"/>
    <w:rsid w:val="00670EA1"/>
    <w:rsid w:val="00677CC2"/>
    <w:rsid w:val="0068122D"/>
    <w:rsid w:val="0068744B"/>
    <w:rsid w:val="006905DE"/>
    <w:rsid w:val="00691FDB"/>
    <w:rsid w:val="0069207B"/>
    <w:rsid w:val="0069310C"/>
    <w:rsid w:val="00693F30"/>
    <w:rsid w:val="006A154F"/>
    <w:rsid w:val="006A2E37"/>
    <w:rsid w:val="006A437B"/>
    <w:rsid w:val="006A4BD4"/>
    <w:rsid w:val="006A6860"/>
    <w:rsid w:val="006B3AF2"/>
    <w:rsid w:val="006B5789"/>
    <w:rsid w:val="006C0F2C"/>
    <w:rsid w:val="006C25AC"/>
    <w:rsid w:val="006C30C5"/>
    <w:rsid w:val="006C5802"/>
    <w:rsid w:val="006C61E9"/>
    <w:rsid w:val="006C7F8C"/>
    <w:rsid w:val="006D4AEF"/>
    <w:rsid w:val="006D73BA"/>
    <w:rsid w:val="006E2E1C"/>
    <w:rsid w:val="006E3719"/>
    <w:rsid w:val="006E6246"/>
    <w:rsid w:val="006E6644"/>
    <w:rsid w:val="006E69C2"/>
    <w:rsid w:val="006E6DCC"/>
    <w:rsid w:val="006F1B18"/>
    <w:rsid w:val="006F1EA9"/>
    <w:rsid w:val="006F318F"/>
    <w:rsid w:val="006F7F4F"/>
    <w:rsid w:val="0070017E"/>
    <w:rsid w:val="00700B2C"/>
    <w:rsid w:val="00702BE7"/>
    <w:rsid w:val="0070485D"/>
    <w:rsid w:val="007050A2"/>
    <w:rsid w:val="00710716"/>
    <w:rsid w:val="00713084"/>
    <w:rsid w:val="00714397"/>
    <w:rsid w:val="00714F20"/>
    <w:rsid w:val="0071590F"/>
    <w:rsid w:val="00715914"/>
    <w:rsid w:val="0071740D"/>
    <w:rsid w:val="00720262"/>
    <w:rsid w:val="00720696"/>
    <w:rsid w:val="0072147A"/>
    <w:rsid w:val="00723791"/>
    <w:rsid w:val="007262D9"/>
    <w:rsid w:val="00731E00"/>
    <w:rsid w:val="00732DA2"/>
    <w:rsid w:val="007376B0"/>
    <w:rsid w:val="0074239A"/>
    <w:rsid w:val="007440B7"/>
    <w:rsid w:val="00746292"/>
    <w:rsid w:val="007500C8"/>
    <w:rsid w:val="00752627"/>
    <w:rsid w:val="00752CFF"/>
    <w:rsid w:val="00756272"/>
    <w:rsid w:val="007569C0"/>
    <w:rsid w:val="00762D38"/>
    <w:rsid w:val="0076657C"/>
    <w:rsid w:val="007715C9"/>
    <w:rsid w:val="00771613"/>
    <w:rsid w:val="00771778"/>
    <w:rsid w:val="00772323"/>
    <w:rsid w:val="00774CBB"/>
    <w:rsid w:val="00774EDD"/>
    <w:rsid w:val="007757EC"/>
    <w:rsid w:val="00781CC1"/>
    <w:rsid w:val="00783E89"/>
    <w:rsid w:val="00784DFD"/>
    <w:rsid w:val="00791462"/>
    <w:rsid w:val="00793915"/>
    <w:rsid w:val="007A208F"/>
    <w:rsid w:val="007A3CCA"/>
    <w:rsid w:val="007C2253"/>
    <w:rsid w:val="007C5540"/>
    <w:rsid w:val="007C6472"/>
    <w:rsid w:val="007D2669"/>
    <w:rsid w:val="007D6C1D"/>
    <w:rsid w:val="007D7911"/>
    <w:rsid w:val="007E163D"/>
    <w:rsid w:val="007E42C0"/>
    <w:rsid w:val="007E667A"/>
    <w:rsid w:val="007E7D80"/>
    <w:rsid w:val="007F28C9"/>
    <w:rsid w:val="007F51B2"/>
    <w:rsid w:val="00803806"/>
    <w:rsid w:val="008040DD"/>
    <w:rsid w:val="00804179"/>
    <w:rsid w:val="00810EE9"/>
    <w:rsid w:val="00810FC0"/>
    <w:rsid w:val="008117E9"/>
    <w:rsid w:val="0081466F"/>
    <w:rsid w:val="00815BFB"/>
    <w:rsid w:val="008214D7"/>
    <w:rsid w:val="00821554"/>
    <w:rsid w:val="00823BAE"/>
    <w:rsid w:val="00824498"/>
    <w:rsid w:val="00825C0F"/>
    <w:rsid w:val="00825FB5"/>
    <w:rsid w:val="00826BD1"/>
    <w:rsid w:val="0082784C"/>
    <w:rsid w:val="00835604"/>
    <w:rsid w:val="00840BBB"/>
    <w:rsid w:val="008502A8"/>
    <w:rsid w:val="008514E8"/>
    <w:rsid w:val="00854D0B"/>
    <w:rsid w:val="00855F38"/>
    <w:rsid w:val="00856A31"/>
    <w:rsid w:val="00857647"/>
    <w:rsid w:val="00860B4E"/>
    <w:rsid w:val="008670EC"/>
    <w:rsid w:val="00867B37"/>
    <w:rsid w:val="008754D0"/>
    <w:rsid w:val="00875D13"/>
    <w:rsid w:val="00881F6A"/>
    <w:rsid w:val="0088379C"/>
    <w:rsid w:val="00884935"/>
    <w:rsid w:val="008855C9"/>
    <w:rsid w:val="00886456"/>
    <w:rsid w:val="008878C3"/>
    <w:rsid w:val="00896176"/>
    <w:rsid w:val="00896C08"/>
    <w:rsid w:val="008A0CB0"/>
    <w:rsid w:val="008A46E1"/>
    <w:rsid w:val="008A4F43"/>
    <w:rsid w:val="008B2706"/>
    <w:rsid w:val="008B3234"/>
    <w:rsid w:val="008C2EAC"/>
    <w:rsid w:val="008C4615"/>
    <w:rsid w:val="008C5194"/>
    <w:rsid w:val="008D0EE0"/>
    <w:rsid w:val="008D1AD2"/>
    <w:rsid w:val="008D51BD"/>
    <w:rsid w:val="008D7611"/>
    <w:rsid w:val="008D7E02"/>
    <w:rsid w:val="008E0027"/>
    <w:rsid w:val="008E2DA0"/>
    <w:rsid w:val="008E3E1C"/>
    <w:rsid w:val="008E6067"/>
    <w:rsid w:val="008E6665"/>
    <w:rsid w:val="008E7954"/>
    <w:rsid w:val="008F0C85"/>
    <w:rsid w:val="008F0CC9"/>
    <w:rsid w:val="008F54E7"/>
    <w:rsid w:val="008F7DF6"/>
    <w:rsid w:val="00902FE4"/>
    <w:rsid w:val="00903422"/>
    <w:rsid w:val="00907C03"/>
    <w:rsid w:val="0091214F"/>
    <w:rsid w:val="009135F3"/>
    <w:rsid w:val="00914086"/>
    <w:rsid w:val="00920A4F"/>
    <w:rsid w:val="009254C3"/>
    <w:rsid w:val="00932377"/>
    <w:rsid w:val="009330F6"/>
    <w:rsid w:val="00935D9C"/>
    <w:rsid w:val="00941236"/>
    <w:rsid w:val="0094186D"/>
    <w:rsid w:val="009430A1"/>
    <w:rsid w:val="00943FD5"/>
    <w:rsid w:val="0094445E"/>
    <w:rsid w:val="00947D5A"/>
    <w:rsid w:val="0095082D"/>
    <w:rsid w:val="00951AC0"/>
    <w:rsid w:val="00952F01"/>
    <w:rsid w:val="009532A5"/>
    <w:rsid w:val="009545BD"/>
    <w:rsid w:val="009615AB"/>
    <w:rsid w:val="00964CF0"/>
    <w:rsid w:val="00964F7C"/>
    <w:rsid w:val="0097353F"/>
    <w:rsid w:val="00975B29"/>
    <w:rsid w:val="00976ACE"/>
    <w:rsid w:val="00977806"/>
    <w:rsid w:val="00982242"/>
    <w:rsid w:val="009868E9"/>
    <w:rsid w:val="009900A3"/>
    <w:rsid w:val="00992D7F"/>
    <w:rsid w:val="009B6F69"/>
    <w:rsid w:val="009B7886"/>
    <w:rsid w:val="009C0578"/>
    <w:rsid w:val="009C3413"/>
    <w:rsid w:val="009D29C1"/>
    <w:rsid w:val="009D3ACE"/>
    <w:rsid w:val="009D5248"/>
    <w:rsid w:val="009D5F93"/>
    <w:rsid w:val="009D634D"/>
    <w:rsid w:val="009D673D"/>
    <w:rsid w:val="009E1FE9"/>
    <w:rsid w:val="009E2237"/>
    <w:rsid w:val="009E38D0"/>
    <w:rsid w:val="009E43AA"/>
    <w:rsid w:val="009E561C"/>
    <w:rsid w:val="009F5C73"/>
    <w:rsid w:val="00A0441E"/>
    <w:rsid w:val="00A12128"/>
    <w:rsid w:val="00A22C98"/>
    <w:rsid w:val="00A231E2"/>
    <w:rsid w:val="00A369E3"/>
    <w:rsid w:val="00A36E6D"/>
    <w:rsid w:val="00A36EC3"/>
    <w:rsid w:val="00A37D43"/>
    <w:rsid w:val="00A5012E"/>
    <w:rsid w:val="00A51FA1"/>
    <w:rsid w:val="00A525C6"/>
    <w:rsid w:val="00A52D62"/>
    <w:rsid w:val="00A5494F"/>
    <w:rsid w:val="00A559F4"/>
    <w:rsid w:val="00A57600"/>
    <w:rsid w:val="00A64912"/>
    <w:rsid w:val="00A70A74"/>
    <w:rsid w:val="00A71994"/>
    <w:rsid w:val="00A73681"/>
    <w:rsid w:val="00A741D4"/>
    <w:rsid w:val="00A75FE9"/>
    <w:rsid w:val="00A82979"/>
    <w:rsid w:val="00A830C4"/>
    <w:rsid w:val="00A92D1B"/>
    <w:rsid w:val="00A92EC0"/>
    <w:rsid w:val="00A94892"/>
    <w:rsid w:val="00A9779E"/>
    <w:rsid w:val="00AA16CC"/>
    <w:rsid w:val="00AC45E4"/>
    <w:rsid w:val="00AC7CC0"/>
    <w:rsid w:val="00AD0B97"/>
    <w:rsid w:val="00AD16C8"/>
    <w:rsid w:val="00AD53CC"/>
    <w:rsid w:val="00AD5641"/>
    <w:rsid w:val="00AD5E1E"/>
    <w:rsid w:val="00AD6A4E"/>
    <w:rsid w:val="00AE1A90"/>
    <w:rsid w:val="00AE2B66"/>
    <w:rsid w:val="00AE53B5"/>
    <w:rsid w:val="00AE6E24"/>
    <w:rsid w:val="00AF06CF"/>
    <w:rsid w:val="00AF5554"/>
    <w:rsid w:val="00B01460"/>
    <w:rsid w:val="00B0378C"/>
    <w:rsid w:val="00B07CDB"/>
    <w:rsid w:val="00B107EF"/>
    <w:rsid w:val="00B125A8"/>
    <w:rsid w:val="00B162D0"/>
    <w:rsid w:val="00B16A31"/>
    <w:rsid w:val="00B17DFD"/>
    <w:rsid w:val="00B201E2"/>
    <w:rsid w:val="00B20F3D"/>
    <w:rsid w:val="00B223D3"/>
    <w:rsid w:val="00B2257A"/>
    <w:rsid w:val="00B23842"/>
    <w:rsid w:val="00B25306"/>
    <w:rsid w:val="00B263C3"/>
    <w:rsid w:val="00B27831"/>
    <w:rsid w:val="00B308FE"/>
    <w:rsid w:val="00B33709"/>
    <w:rsid w:val="00B33924"/>
    <w:rsid w:val="00B33B3C"/>
    <w:rsid w:val="00B34D8F"/>
    <w:rsid w:val="00B36392"/>
    <w:rsid w:val="00B418CB"/>
    <w:rsid w:val="00B439F8"/>
    <w:rsid w:val="00B43B85"/>
    <w:rsid w:val="00B47444"/>
    <w:rsid w:val="00B50ADC"/>
    <w:rsid w:val="00B566B1"/>
    <w:rsid w:val="00B632DE"/>
    <w:rsid w:val="00B63834"/>
    <w:rsid w:val="00B664D7"/>
    <w:rsid w:val="00B72D81"/>
    <w:rsid w:val="00B730E4"/>
    <w:rsid w:val="00B76D9B"/>
    <w:rsid w:val="00B76F40"/>
    <w:rsid w:val="00B80199"/>
    <w:rsid w:val="00B810C9"/>
    <w:rsid w:val="00B83204"/>
    <w:rsid w:val="00B844ED"/>
    <w:rsid w:val="00B856E7"/>
    <w:rsid w:val="00B9218D"/>
    <w:rsid w:val="00B97482"/>
    <w:rsid w:val="00BA029D"/>
    <w:rsid w:val="00BA220B"/>
    <w:rsid w:val="00BA3A57"/>
    <w:rsid w:val="00BB1533"/>
    <w:rsid w:val="00BB3271"/>
    <w:rsid w:val="00BB4E1A"/>
    <w:rsid w:val="00BB5C0F"/>
    <w:rsid w:val="00BB67E3"/>
    <w:rsid w:val="00BC015E"/>
    <w:rsid w:val="00BC2D08"/>
    <w:rsid w:val="00BC5740"/>
    <w:rsid w:val="00BC65B6"/>
    <w:rsid w:val="00BC76AC"/>
    <w:rsid w:val="00BD0ECB"/>
    <w:rsid w:val="00BD5248"/>
    <w:rsid w:val="00BD53CC"/>
    <w:rsid w:val="00BD66CB"/>
    <w:rsid w:val="00BD7CA7"/>
    <w:rsid w:val="00BE0DD0"/>
    <w:rsid w:val="00BE1C02"/>
    <w:rsid w:val="00BE2155"/>
    <w:rsid w:val="00BE6292"/>
    <w:rsid w:val="00BE719A"/>
    <w:rsid w:val="00BE720A"/>
    <w:rsid w:val="00BE7650"/>
    <w:rsid w:val="00BE7B6F"/>
    <w:rsid w:val="00BF0CBF"/>
    <w:rsid w:val="00BF0D73"/>
    <w:rsid w:val="00BF1CDD"/>
    <w:rsid w:val="00BF2465"/>
    <w:rsid w:val="00BF4C70"/>
    <w:rsid w:val="00BF59A5"/>
    <w:rsid w:val="00C0088C"/>
    <w:rsid w:val="00C0590D"/>
    <w:rsid w:val="00C05C47"/>
    <w:rsid w:val="00C06D00"/>
    <w:rsid w:val="00C10400"/>
    <w:rsid w:val="00C15B49"/>
    <w:rsid w:val="00C16619"/>
    <w:rsid w:val="00C2130E"/>
    <w:rsid w:val="00C219DE"/>
    <w:rsid w:val="00C25E7F"/>
    <w:rsid w:val="00C2746F"/>
    <w:rsid w:val="00C323D6"/>
    <w:rsid w:val="00C324A0"/>
    <w:rsid w:val="00C33C16"/>
    <w:rsid w:val="00C367B3"/>
    <w:rsid w:val="00C42BF8"/>
    <w:rsid w:val="00C431A1"/>
    <w:rsid w:val="00C45657"/>
    <w:rsid w:val="00C45FB1"/>
    <w:rsid w:val="00C46014"/>
    <w:rsid w:val="00C468F5"/>
    <w:rsid w:val="00C50043"/>
    <w:rsid w:val="00C50AE5"/>
    <w:rsid w:val="00C527F3"/>
    <w:rsid w:val="00C627C4"/>
    <w:rsid w:val="00C74B08"/>
    <w:rsid w:val="00C7573B"/>
    <w:rsid w:val="00C8172C"/>
    <w:rsid w:val="00C820C8"/>
    <w:rsid w:val="00C83207"/>
    <w:rsid w:val="00C930BE"/>
    <w:rsid w:val="00C97A54"/>
    <w:rsid w:val="00CA088F"/>
    <w:rsid w:val="00CA2C3E"/>
    <w:rsid w:val="00CA2D5F"/>
    <w:rsid w:val="00CA5B23"/>
    <w:rsid w:val="00CB044E"/>
    <w:rsid w:val="00CB1383"/>
    <w:rsid w:val="00CB602E"/>
    <w:rsid w:val="00CB6669"/>
    <w:rsid w:val="00CB7304"/>
    <w:rsid w:val="00CB7E90"/>
    <w:rsid w:val="00CD1B61"/>
    <w:rsid w:val="00CD3CEE"/>
    <w:rsid w:val="00CD7151"/>
    <w:rsid w:val="00CE051D"/>
    <w:rsid w:val="00CE1335"/>
    <w:rsid w:val="00CE30AD"/>
    <w:rsid w:val="00CE493D"/>
    <w:rsid w:val="00CE6A7F"/>
    <w:rsid w:val="00CF07FA"/>
    <w:rsid w:val="00CF0BB2"/>
    <w:rsid w:val="00CF1050"/>
    <w:rsid w:val="00CF1EB9"/>
    <w:rsid w:val="00CF3EE8"/>
    <w:rsid w:val="00CF5BC2"/>
    <w:rsid w:val="00CF6A1C"/>
    <w:rsid w:val="00D11886"/>
    <w:rsid w:val="00D13441"/>
    <w:rsid w:val="00D150E7"/>
    <w:rsid w:val="00D171D7"/>
    <w:rsid w:val="00D2694B"/>
    <w:rsid w:val="00D3686D"/>
    <w:rsid w:val="00D410D5"/>
    <w:rsid w:val="00D41726"/>
    <w:rsid w:val="00D42A0D"/>
    <w:rsid w:val="00D44FA0"/>
    <w:rsid w:val="00D5201F"/>
    <w:rsid w:val="00D52DC2"/>
    <w:rsid w:val="00D53BCC"/>
    <w:rsid w:val="00D54C9E"/>
    <w:rsid w:val="00D550FE"/>
    <w:rsid w:val="00D562D4"/>
    <w:rsid w:val="00D56307"/>
    <w:rsid w:val="00D56A6D"/>
    <w:rsid w:val="00D6016E"/>
    <w:rsid w:val="00D6537E"/>
    <w:rsid w:val="00D6640B"/>
    <w:rsid w:val="00D66936"/>
    <w:rsid w:val="00D6696A"/>
    <w:rsid w:val="00D70DFB"/>
    <w:rsid w:val="00D71088"/>
    <w:rsid w:val="00D72897"/>
    <w:rsid w:val="00D766DF"/>
    <w:rsid w:val="00D77F21"/>
    <w:rsid w:val="00D8206C"/>
    <w:rsid w:val="00D865F4"/>
    <w:rsid w:val="00D910B6"/>
    <w:rsid w:val="00D91C57"/>
    <w:rsid w:val="00D91F10"/>
    <w:rsid w:val="00D972F3"/>
    <w:rsid w:val="00DA10B3"/>
    <w:rsid w:val="00DA186E"/>
    <w:rsid w:val="00DA4116"/>
    <w:rsid w:val="00DA6C13"/>
    <w:rsid w:val="00DB251C"/>
    <w:rsid w:val="00DB44E4"/>
    <w:rsid w:val="00DB4630"/>
    <w:rsid w:val="00DC4F88"/>
    <w:rsid w:val="00DD2A92"/>
    <w:rsid w:val="00DD51C5"/>
    <w:rsid w:val="00DD5DAF"/>
    <w:rsid w:val="00DD7731"/>
    <w:rsid w:val="00DE107C"/>
    <w:rsid w:val="00DE121F"/>
    <w:rsid w:val="00DE24EB"/>
    <w:rsid w:val="00DE47ED"/>
    <w:rsid w:val="00DE5415"/>
    <w:rsid w:val="00DF19E6"/>
    <w:rsid w:val="00DF2388"/>
    <w:rsid w:val="00DF4C9F"/>
    <w:rsid w:val="00E01EC1"/>
    <w:rsid w:val="00E02556"/>
    <w:rsid w:val="00E0299C"/>
    <w:rsid w:val="00E02BC7"/>
    <w:rsid w:val="00E05704"/>
    <w:rsid w:val="00E20B85"/>
    <w:rsid w:val="00E32115"/>
    <w:rsid w:val="00E338EF"/>
    <w:rsid w:val="00E37B54"/>
    <w:rsid w:val="00E40986"/>
    <w:rsid w:val="00E47B55"/>
    <w:rsid w:val="00E50F5A"/>
    <w:rsid w:val="00E544BB"/>
    <w:rsid w:val="00E62053"/>
    <w:rsid w:val="00E7267F"/>
    <w:rsid w:val="00E74DC7"/>
    <w:rsid w:val="00E74E06"/>
    <w:rsid w:val="00E75809"/>
    <w:rsid w:val="00E76181"/>
    <w:rsid w:val="00E8075A"/>
    <w:rsid w:val="00E86484"/>
    <w:rsid w:val="00E87C83"/>
    <w:rsid w:val="00E91F6C"/>
    <w:rsid w:val="00E940D8"/>
    <w:rsid w:val="00E941EA"/>
    <w:rsid w:val="00E942DE"/>
    <w:rsid w:val="00E94D5E"/>
    <w:rsid w:val="00E954E2"/>
    <w:rsid w:val="00EA4A49"/>
    <w:rsid w:val="00EA53B3"/>
    <w:rsid w:val="00EA5858"/>
    <w:rsid w:val="00EA7100"/>
    <w:rsid w:val="00EA7F9F"/>
    <w:rsid w:val="00EB1274"/>
    <w:rsid w:val="00EB28C3"/>
    <w:rsid w:val="00EB79C6"/>
    <w:rsid w:val="00EC037F"/>
    <w:rsid w:val="00EC2F0C"/>
    <w:rsid w:val="00EC3340"/>
    <w:rsid w:val="00ED2BB6"/>
    <w:rsid w:val="00ED34E1"/>
    <w:rsid w:val="00ED3B8D"/>
    <w:rsid w:val="00ED5051"/>
    <w:rsid w:val="00EE1B3E"/>
    <w:rsid w:val="00EE1D87"/>
    <w:rsid w:val="00EE3231"/>
    <w:rsid w:val="00EE5E36"/>
    <w:rsid w:val="00EF2E3A"/>
    <w:rsid w:val="00EF2FF8"/>
    <w:rsid w:val="00EF685B"/>
    <w:rsid w:val="00F0070C"/>
    <w:rsid w:val="00F025AD"/>
    <w:rsid w:val="00F02C7C"/>
    <w:rsid w:val="00F031C8"/>
    <w:rsid w:val="00F0470E"/>
    <w:rsid w:val="00F06AFC"/>
    <w:rsid w:val="00F072A7"/>
    <w:rsid w:val="00F078DC"/>
    <w:rsid w:val="00F1228F"/>
    <w:rsid w:val="00F23392"/>
    <w:rsid w:val="00F243A1"/>
    <w:rsid w:val="00F261DA"/>
    <w:rsid w:val="00F3088C"/>
    <w:rsid w:val="00F32BA8"/>
    <w:rsid w:val="00F32EE0"/>
    <w:rsid w:val="00F349F1"/>
    <w:rsid w:val="00F36CE3"/>
    <w:rsid w:val="00F3783A"/>
    <w:rsid w:val="00F40B58"/>
    <w:rsid w:val="00F4350D"/>
    <w:rsid w:val="00F45EFA"/>
    <w:rsid w:val="00F467DA"/>
    <w:rsid w:val="00F4686D"/>
    <w:rsid w:val="00F479C4"/>
    <w:rsid w:val="00F47BDD"/>
    <w:rsid w:val="00F545E9"/>
    <w:rsid w:val="00F550AB"/>
    <w:rsid w:val="00F559F4"/>
    <w:rsid w:val="00F567F7"/>
    <w:rsid w:val="00F637DC"/>
    <w:rsid w:val="00F6696E"/>
    <w:rsid w:val="00F719DD"/>
    <w:rsid w:val="00F72961"/>
    <w:rsid w:val="00F73BD6"/>
    <w:rsid w:val="00F745D0"/>
    <w:rsid w:val="00F77065"/>
    <w:rsid w:val="00F806EB"/>
    <w:rsid w:val="00F807F8"/>
    <w:rsid w:val="00F83989"/>
    <w:rsid w:val="00F85099"/>
    <w:rsid w:val="00F913E7"/>
    <w:rsid w:val="00F9379C"/>
    <w:rsid w:val="00F9632C"/>
    <w:rsid w:val="00F9677C"/>
    <w:rsid w:val="00FA1E52"/>
    <w:rsid w:val="00FA36C7"/>
    <w:rsid w:val="00FA3D5D"/>
    <w:rsid w:val="00FA4D29"/>
    <w:rsid w:val="00FB5A08"/>
    <w:rsid w:val="00FB655C"/>
    <w:rsid w:val="00FC3A70"/>
    <w:rsid w:val="00FC44DC"/>
    <w:rsid w:val="00FC6A80"/>
    <w:rsid w:val="00FD2CCC"/>
    <w:rsid w:val="00FD3030"/>
    <w:rsid w:val="00FD6F69"/>
    <w:rsid w:val="00FE372A"/>
    <w:rsid w:val="00FE3A86"/>
    <w:rsid w:val="00FE4688"/>
    <w:rsid w:val="00FE5A84"/>
    <w:rsid w:val="00FE725D"/>
    <w:rsid w:val="00FF5704"/>
    <w:rsid w:val="00FF6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4E94"/>
  <w15:docId w15:val="{1D94DACF-2F23-481E-B435-B2B0582C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C34D9"/>
    <w:rPr>
      <w:sz w:val="16"/>
      <w:szCs w:val="16"/>
    </w:rPr>
  </w:style>
  <w:style w:type="paragraph" w:styleId="CommentText">
    <w:name w:val="annotation text"/>
    <w:basedOn w:val="Normal"/>
    <w:link w:val="CommentTextChar"/>
    <w:uiPriority w:val="99"/>
    <w:semiHidden/>
    <w:unhideWhenUsed/>
    <w:rsid w:val="004C34D9"/>
    <w:pPr>
      <w:spacing w:line="240" w:lineRule="auto"/>
    </w:pPr>
    <w:rPr>
      <w:sz w:val="20"/>
    </w:rPr>
  </w:style>
  <w:style w:type="character" w:customStyle="1" w:styleId="CommentTextChar">
    <w:name w:val="Comment Text Char"/>
    <w:basedOn w:val="DefaultParagraphFont"/>
    <w:link w:val="CommentText"/>
    <w:uiPriority w:val="99"/>
    <w:semiHidden/>
    <w:rsid w:val="004C34D9"/>
  </w:style>
  <w:style w:type="paragraph" w:styleId="CommentSubject">
    <w:name w:val="annotation subject"/>
    <w:basedOn w:val="CommentText"/>
    <w:next w:val="CommentText"/>
    <w:link w:val="CommentSubjectChar"/>
    <w:uiPriority w:val="99"/>
    <w:semiHidden/>
    <w:unhideWhenUsed/>
    <w:rsid w:val="004C34D9"/>
    <w:rPr>
      <w:b/>
      <w:bCs/>
    </w:rPr>
  </w:style>
  <w:style w:type="character" w:customStyle="1" w:styleId="CommentSubjectChar">
    <w:name w:val="Comment Subject Char"/>
    <w:basedOn w:val="CommentTextChar"/>
    <w:link w:val="CommentSubject"/>
    <w:uiPriority w:val="99"/>
    <w:semiHidden/>
    <w:rsid w:val="004C34D9"/>
    <w:rPr>
      <w:b/>
      <w:bCs/>
    </w:rPr>
  </w:style>
  <w:style w:type="paragraph" w:styleId="Revision">
    <w:name w:val="Revision"/>
    <w:hidden/>
    <w:uiPriority w:val="99"/>
    <w:semiHidden/>
    <w:rsid w:val="00AC7CC0"/>
    <w:rPr>
      <w:sz w:val="22"/>
    </w:rPr>
  </w:style>
  <w:style w:type="character" w:customStyle="1" w:styleId="ListParagraphChar">
    <w:name w:val="List Paragraph Char"/>
    <w:aliases w:val="Recommendation Char,List Paragraph1 Char,List Paragraph11 Char,L Char,Numbered paragraph Char,Bullets Char,Bullet point Char,List Bullet 1 Char,FRSA_List Paragraph Char,Bulletr List Paragraph Char,Content descriptions Char,列出段落 Char"/>
    <w:basedOn w:val="DefaultParagraphFont"/>
    <w:link w:val="ListParagraph"/>
    <w:uiPriority w:val="1"/>
    <w:locked/>
    <w:rsid w:val="00896C08"/>
    <w:rPr>
      <w:rFonts w:ascii="Calibri" w:hAnsi="Calibri" w:cs="Calibri"/>
    </w:rPr>
  </w:style>
  <w:style w:type="paragraph" w:styleId="ListParagraph">
    <w:name w:val="List Paragraph"/>
    <w:aliases w:val="Recommendation,List Paragraph1,List Paragraph11,L,Numbered paragraph,Bullets,Bullet point,List Bullet 1,FRSA_List Paragraph,Bulletr List Paragraph,Content descriptions,FooterText,List Paragraph2,List Paragraph21,Listeafsnit1,numbered,列出段落"/>
    <w:basedOn w:val="Normal"/>
    <w:link w:val="ListParagraphChar"/>
    <w:uiPriority w:val="1"/>
    <w:qFormat/>
    <w:rsid w:val="00896C08"/>
    <w:pPr>
      <w:spacing w:line="240" w:lineRule="auto"/>
      <w:ind w:left="720"/>
      <w:contextualSpacing/>
    </w:pPr>
    <w:rPr>
      <w:rFonts w:ascii="Calibri" w:hAnsi="Calibri" w:cs="Calibri"/>
      <w:sz w:val="20"/>
    </w:rPr>
  </w:style>
  <w:style w:type="paragraph" w:customStyle="1" w:styleId="Bullet">
    <w:name w:val="Bullet"/>
    <w:basedOn w:val="Normal"/>
    <w:rsid w:val="007E42C0"/>
    <w:pPr>
      <w:numPr>
        <w:numId w:val="4"/>
      </w:numPr>
      <w:spacing w:after="240" w:line="240" w:lineRule="auto"/>
    </w:pPr>
    <w:rPr>
      <w:rFonts w:eastAsia="Times New Roman" w:cs="Times New Roman"/>
      <w:sz w:val="24"/>
      <w:szCs w:val="24"/>
    </w:rPr>
  </w:style>
  <w:style w:type="paragraph" w:customStyle="1" w:styleId="Dash">
    <w:name w:val="Dash"/>
    <w:basedOn w:val="Normal"/>
    <w:rsid w:val="007E42C0"/>
    <w:pPr>
      <w:numPr>
        <w:ilvl w:val="1"/>
        <w:numId w:val="4"/>
      </w:numPr>
      <w:spacing w:after="240" w:line="240" w:lineRule="auto"/>
    </w:pPr>
    <w:rPr>
      <w:rFonts w:eastAsia="Times New Roman" w:cs="Times New Roman"/>
      <w:sz w:val="24"/>
      <w:szCs w:val="24"/>
    </w:rPr>
  </w:style>
  <w:style w:type="paragraph" w:customStyle="1" w:styleId="DoubleDot">
    <w:name w:val="Double Dot"/>
    <w:basedOn w:val="Normal"/>
    <w:rsid w:val="007E42C0"/>
    <w:pPr>
      <w:numPr>
        <w:ilvl w:val="2"/>
        <w:numId w:val="4"/>
      </w:numPr>
      <w:spacing w:after="24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21542">
      <w:bodyDiv w:val="1"/>
      <w:marLeft w:val="0"/>
      <w:marRight w:val="0"/>
      <w:marTop w:val="0"/>
      <w:marBottom w:val="0"/>
      <w:divBdr>
        <w:top w:val="none" w:sz="0" w:space="0" w:color="auto"/>
        <w:left w:val="none" w:sz="0" w:space="0" w:color="auto"/>
        <w:bottom w:val="none" w:sz="0" w:space="0" w:color="auto"/>
        <w:right w:val="none" w:sz="0" w:space="0" w:color="auto"/>
      </w:divBdr>
    </w:div>
    <w:div w:id="9557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jai\Downloads\Template%20-%20Principal%20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FIN33757-401221797-23795</_dlc_DocId>
    <_dlc_DocIdUrl xmlns="6a7e9632-768a-49bf-85ac-c69233ab2a52">
      <Url>https://financegovau.sharepoint.com/sites/M365_DoF_50033757/_layouts/15/DocIdRedir.aspx?ID=FIN33757-401221797-23795</Url>
      <Description>FIN33757-401221797-23795</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Funds</TermName>
          <TermId xmlns="http://schemas.microsoft.com/office/infopath/2007/PartnerControls">085d3ce9-d508-4461-8b60-afec832bdd3a</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f4779725-d62b-4f67-840c-1d1da6cf128d">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C49C7E8ED54DB4CB1BDC7C25122FEB7" ma:contentTypeVersion="29" ma:contentTypeDescription="Create a new document." ma:contentTypeScope="" ma:versionID="d209507c23142bd4b8ef5391adbb101a">
  <xsd:schema xmlns:xsd="http://www.w3.org/2001/XMLSchema" xmlns:xs="http://www.w3.org/2001/XMLSchema" xmlns:p="http://schemas.microsoft.com/office/2006/metadata/properties" xmlns:ns2="a334ba3b-e131-42d3-95f3-2728f5a41884" xmlns:ns3="f4779725-d62b-4f67-840c-1d1da6cf128d" xmlns:ns4="6a7e9632-768a-49bf-85ac-c69233ab2a52" targetNamespace="http://schemas.microsoft.com/office/2006/metadata/properties" ma:root="true" ma:fieldsID="3b26331adc72a913fdf01bf2d769a63f" ns2:_="" ns3:_="" ns4:_="">
    <xsd:import namespace="a334ba3b-e131-42d3-95f3-2728f5a41884"/>
    <xsd:import namespace="f4779725-d62b-4f67-840c-1d1da6cf128d"/>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_dlc_DocId" minOccurs="0"/>
                <xsd:element ref="ns4:_dlc_DocIdUrl" minOccurs="0"/>
                <xsd:element ref="ns4: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0" nillable="true" ma:taxonomy="true" ma:internalName="e0fcb3f570964638902a63147cd98219" ma:taxonomyFieldName="Organisation_x0020_Unit" ma:displayName="Organisation Unit" ma:default="2;#Funds|085d3ce9-d508-4461-8b60-afec832bdd3a"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2"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4"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19"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863b59d-461a-4118-a473-dae298484fbd}"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7863b59d-461a-4118-a473-dae298484fbd}"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779725-d62b-4f67-840c-1d1da6cf128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1" nillable="true" ma:displayName="Shared With Details" ma:hidden="true" ma:internalName="SharedWithDetails" ma:readOnly="true">
      <xsd:simpleType>
        <xsd:restriction base="dms:Note"/>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59CBC-81CC-4ACC-8646-B2122D53EBC2}">
  <ds:schemaRefs>
    <ds:schemaRef ds:uri="Microsoft.SharePoint.Taxonomy.ContentTypeSync"/>
  </ds:schemaRefs>
</ds:datastoreItem>
</file>

<file path=customXml/itemProps2.xml><?xml version="1.0" encoding="utf-8"?>
<ds:datastoreItem xmlns:ds="http://schemas.openxmlformats.org/officeDocument/2006/customXml" ds:itemID="{DC061AF0-4BCA-4C68-85F0-134CDD02EECD}">
  <ds:schemaRefs>
    <ds:schemaRef ds:uri="http://schemas.microsoft.com/office/2006/metadata/properties"/>
    <ds:schemaRef ds:uri="http://schemas.microsoft.com/office/infopath/2007/PartnerControls"/>
    <ds:schemaRef ds:uri="a334ba3b-e131-42d3-95f3-2728f5a41884"/>
    <ds:schemaRef ds:uri="6a7e9632-768a-49bf-85ac-c69233ab2a52"/>
    <ds:schemaRef ds:uri="f4779725-d62b-4f67-840c-1d1da6cf128d"/>
  </ds:schemaRefs>
</ds:datastoreItem>
</file>

<file path=customXml/itemProps3.xml><?xml version="1.0" encoding="utf-8"?>
<ds:datastoreItem xmlns:ds="http://schemas.openxmlformats.org/officeDocument/2006/customXml" ds:itemID="{452074F0-92B9-4F0D-837F-96F6E6B406F5}">
  <ds:schemaRefs>
    <ds:schemaRef ds:uri="http://schemas.microsoft.com/sharepoint/events"/>
  </ds:schemaRefs>
</ds:datastoreItem>
</file>

<file path=customXml/itemProps4.xml><?xml version="1.0" encoding="utf-8"?>
<ds:datastoreItem xmlns:ds="http://schemas.openxmlformats.org/officeDocument/2006/customXml" ds:itemID="{4B6C09FA-EE53-423C-9CF8-3FA0A284D66B}">
  <ds:schemaRefs>
    <ds:schemaRef ds:uri="http://schemas.openxmlformats.org/officeDocument/2006/bibliography"/>
  </ds:schemaRefs>
</ds:datastoreItem>
</file>

<file path=customXml/itemProps5.xml><?xml version="1.0" encoding="utf-8"?>
<ds:datastoreItem xmlns:ds="http://schemas.openxmlformats.org/officeDocument/2006/customXml" ds:itemID="{9EE56B5A-3A6D-4DBA-9719-8DD37C52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f4779725-d62b-4f67-840c-1d1da6cf128d"/>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F0F0A5-A98E-4C76-B6A1-DD8D7C513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Principal instrument (1)</Template>
  <TotalTime>0</TotalTime>
  <Pages>6</Pages>
  <Words>1723</Words>
  <Characters>9052</Characters>
  <Application>Microsoft Office Word</Application>
  <DocSecurity>4</DocSecurity>
  <Lines>165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 Jaison</dc:creator>
  <cp:keywords>[SEC=OFFICIAL]</cp:keywords>
  <cp:lastModifiedBy>de Vito, Rosanna</cp:lastModifiedBy>
  <cp:revision>2</cp:revision>
  <cp:lastPrinted>2023-04-21T20:16:00Z</cp:lastPrinted>
  <dcterms:created xsi:type="dcterms:W3CDTF">2023-11-01T05:42:00Z</dcterms:created>
  <dcterms:modified xsi:type="dcterms:W3CDTF">2023-11-01T05:42:00Z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0x010100B7B479F47583304BA8B631462CC772D7004C49C7E8ED54DB4CB1BDC7C25122FEB7</vt:lpwstr>
  </property>
  <property fmtid="{D5CDD505-2E9C-101B-9397-08002B2CF9AE}" pid="3" name="TaxKeyword">
    <vt:lpwstr>20;#[SEC=OFFICIAL]|07351cc0-de73-4913-be2f-56f124cbf8bb</vt:lpwstr>
  </property>
  <property fmtid="{D5CDD505-2E9C-101B-9397-08002B2CF9AE}" pid="4" name="g30b6d601f624994bd5004651b59f186">
    <vt:lpwstr/>
  </property>
  <property fmtid="{D5CDD505-2E9C-101B-9397-08002B2CF9AE}" pid="5" name="OrgUnit">
    <vt:lpwstr>1;#Funds|085d3ce9-d508-4461-8b60-afec832bdd3a</vt:lpwstr>
  </property>
  <property fmtid="{D5CDD505-2E9C-101B-9397-08002B2CF9AE}" pid="6" name="DocumentType">
    <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AbtEntity">
    <vt:lpwstr>2;#Department of Finance|fd660e8f-8f31-49bd-92a3-d31d4da31afe</vt:lpwstr>
  </property>
  <property fmtid="{D5CDD505-2E9C-101B-9397-08002B2CF9AE}" pid="10" name="_dlc_DocIdItemGuid">
    <vt:lpwstr>5430f1b8-f29a-40b8-b8b6-fb7f388eac36</vt:lpwstr>
  </property>
  <property fmtid="{D5CDD505-2E9C-101B-9397-08002B2CF9AE}" pid="11" name="EmReceivedByName">
    <vt:lpwstr/>
  </property>
  <property fmtid="{D5CDD505-2E9C-101B-9397-08002B2CF9AE}" pid="12" name="Order">
    <vt:r8>1313300</vt:r8>
  </property>
  <property fmtid="{D5CDD505-2E9C-101B-9397-08002B2CF9AE}" pid="13" name="EmCon">
    <vt:lpwstr/>
  </property>
  <property fmtid="{D5CDD505-2E9C-101B-9397-08002B2CF9AE}" pid="14" name="EmFromSMTPAddress">
    <vt:lpwstr/>
  </property>
  <property fmtid="{D5CDD505-2E9C-101B-9397-08002B2CF9AE}" pid="15" name="EmCompanies">
    <vt:lpwstr/>
  </property>
  <property fmtid="{D5CDD505-2E9C-101B-9397-08002B2CF9AE}" pid="16" name="EmSubject">
    <vt:lpwstr/>
  </property>
  <property fmtid="{D5CDD505-2E9C-101B-9397-08002B2CF9AE}" pid="17" name="EmAttachCount">
    <vt:lpwstr/>
  </property>
  <property fmtid="{D5CDD505-2E9C-101B-9397-08002B2CF9AE}" pid="18" name="EmToAddress">
    <vt:lpwstr/>
  </property>
  <property fmtid="{D5CDD505-2E9C-101B-9397-08002B2CF9AE}" pid="19" name="EmReceivedOnBehalfOfName">
    <vt:lpwstr/>
  </property>
  <property fmtid="{D5CDD505-2E9C-101B-9397-08002B2CF9AE}" pid="20" name="EmCategory">
    <vt:lpwstr/>
  </property>
  <property fmtid="{D5CDD505-2E9C-101B-9397-08002B2CF9AE}" pid="21" name="EmConversationIndex">
    <vt:lpwstr/>
  </property>
  <property fmtid="{D5CDD505-2E9C-101B-9397-08002B2CF9AE}" pid="22" name="EmBody">
    <vt:lpwstr/>
  </property>
  <property fmtid="{D5CDD505-2E9C-101B-9397-08002B2CF9AE}" pid="23" name="EmHasAttachments">
    <vt:bool>false</vt:bool>
  </property>
  <property fmtid="{D5CDD505-2E9C-101B-9397-08002B2CF9AE}" pid="24" name="EmRetentionPolicyName">
    <vt:lpwstr/>
  </property>
  <property fmtid="{D5CDD505-2E9C-101B-9397-08002B2CF9AE}" pid="25" name="EmReplyRecipientNames">
    <vt:lpwstr/>
  </property>
  <property fmtid="{D5CDD505-2E9C-101B-9397-08002B2CF9AE}" pid="26" name="EmReplyRecipients">
    <vt:lpwstr/>
  </property>
  <property fmtid="{D5CDD505-2E9C-101B-9397-08002B2CF9AE}" pid="27" name="EmCC">
    <vt:lpwstr/>
  </property>
  <property fmtid="{D5CDD505-2E9C-101B-9397-08002B2CF9AE}" pid="28" name="EmFromName">
    <vt:lpwstr/>
  </property>
  <property fmtid="{D5CDD505-2E9C-101B-9397-08002B2CF9AE}" pid="29" name="EmBCCSMTPAddress">
    <vt:lpwstr/>
  </property>
  <property fmtid="{D5CDD505-2E9C-101B-9397-08002B2CF9AE}" pid="30" name="About Entity">
    <vt:lpwstr>1;#Department of Finance|fd660e8f-8f31-49bd-92a3-d31d4da31afe</vt:lpwstr>
  </property>
  <property fmtid="{D5CDD505-2E9C-101B-9397-08002B2CF9AE}" pid="31" name="EmTo">
    <vt:lpwstr/>
  </property>
  <property fmtid="{D5CDD505-2E9C-101B-9397-08002B2CF9AE}" pid="32" name="EmFrom">
    <vt:lpwstr/>
  </property>
  <property fmtid="{D5CDD505-2E9C-101B-9397-08002B2CF9AE}" pid="33" name="EmAttachmentNames">
    <vt:lpwstr/>
  </property>
  <property fmtid="{D5CDD505-2E9C-101B-9397-08002B2CF9AE}" pid="34" name="EmToSMTPAddress">
    <vt:lpwstr/>
  </property>
  <property fmtid="{D5CDD505-2E9C-101B-9397-08002B2CF9AE}" pid="35" name="EmSentOnBehalfOfName">
    <vt:lpwstr/>
  </property>
  <property fmtid="{D5CDD505-2E9C-101B-9397-08002B2CF9AE}" pid="36" name="Initiating Entity">
    <vt:lpwstr>1;#Department of Finance|fd660e8f-8f31-49bd-92a3-d31d4da31afe</vt:lpwstr>
  </property>
  <property fmtid="{D5CDD505-2E9C-101B-9397-08002B2CF9AE}" pid="37" name="EmCCSMTPAddress">
    <vt:lpwstr/>
  </property>
  <property fmtid="{D5CDD505-2E9C-101B-9397-08002B2CF9AE}" pid="38" name="Organisation Unit">
    <vt:lpwstr>2;#Funds|085d3ce9-d508-4461-8b60-afec832bdd3a</vt:lpwstr>
  </property>
  <property fmtid="{D5CDD505-2E9C-101B-9397-08002B2CF9AE}" pid="39" name="EmConversationID">
    <vt:lpwstr/>
  </property>
  <property fmtid="{D5CDD505-2E9C-101B-9397-08002B2CF9AE}" pid="40" name="EmBCC">
    <vt:lpwstr/>
  </property>
  <property fmtid="{D5CDD505-2E9C-101B-9397-08002B2CF9AE}" pid="41" name="EmID">
    <vt:lpwstr/>
  </property>
  <property fmtid="{D5CDD505-2E9C-101B-9397-08002B2CF9AE}" pid="42" name="MediaServiceImageTags">
    <vt:lpwstr/>
  </property>
  <property fmtid="{D5CDD505-2E9C-101B-9397-08002B2CF9AE}" pid="43" name="PM_Namespace">
    <vt:lpwstr>gov.au</vt:lpwstr>
  </property>
  <property fmtid="{D5CDD505-2E9C-101B-9397-08002B2CF9AE}" pid="44" name="PM_Caveats_Count">
    <vt:lpwstr>0</vt:lpwstr>
  </property>
  <property fmtid="{D5CDD505-2E9C-101B-9397-08002B2CF9AE}" pid="45" name="PM_Version">
    <vt:lpwstr>2018.4</vt:lpwstr>
  </property>
  <property fmtid="{D5CDD505-2E9C-101B-9397-08002B2CF9AE}" pid="46" name="PM_Note">
    <vt:lpwstr/>
  </property>
  <property fmtid="{D5CDD505-2E9C-101B-9397-08002B2CF9AE}" pid="47" name="PMHMAC">
    <vt:lpwstr>v=2022.1;a=SHA256;h=4398EA9A5752F4F0BDCE8A24D1DCAF23743FDC1E98DACD9739F21C9CD7460EDA</vt:lpwstr>
  </property>
  <property fmtid="{D5CDD505-2E9C-101B-9397-08002B2CF9AE}" pid="48" name="PM_Qualifier">
    <vt:lpwstr/>
  </property>
  <property fmtid="{D5CDD505-2E9C-101B-9397-08002B2CF9AE}" pid="49" name="PM_SecurityClassification">
    <vt:lpwstr>OFFICIAL</vt:lpwstr>
  </property>
  <property fmtid="{D5CDD505-2E9C-101B-9397-08002B2CF9AE}" pid="50" name="PM_ProtectiveMarkingValue_Header">
    <vt:lpwstr>OFFICIAL</vt:lpwstr>
  </property>
  <property fmtid="{D5CDD505-2E9C-101B-9397-08002B2CF9AE}" pid="51" name="PM_OriginationTimeStamp">
    <vt:lpwstr>2023-03-20T01:28:06Z</vt:lpwstr>
  </property>
  <property fmtid="{D5CDD505-2E9C-101B-9397-08002B2CF9AE}" pid="52" name="PM_Markers">
    <vt:lpwstr/>
  </property>
  <property fmtid="{D5CDD505-2E9C-101B-9397-08002B2CF9AE}" pid="53" name="MSIP_Label_87d6481e-ccdd-4ab6-8b26-05a0df5699e7_Name">
    <vt:lpwstr>OFFICIAL</vt:lpwstr>
  </property>
  <property fmtid="{D5CDD505-2E9C-101B-9397-08002B2CF9AE}" pid="54" name="MSIP_Label_87d6481e-ccdd-4ab6-8b26-05a0df5699e7_SiteId">
    <vt:lpwstr>08954cee-4782-4ff6-9ad5-1997dccef4b0</vt:lpwstr>
  </property>
  <property fmtid="{D5CDD505-2E9C-101B-9397-08002B2CF9AE}" pid="55" name="MSIP_Label_87d6481e-ccdd-4ab6-8b26-05a0df5699e7_Enabled">
    <vt:lpwstr>true</vt:lpwstr>
  </property>
  <property fmtid="{D5CDD505-2E9C-101B-9397-08002B2CF9AE}" pid="56" name="PM_OriginatorUserAccountName_SHA256">
    <vt:lpwstr>CD6B5B5DCE086ED4DC80910A5CB30D9DF8B294D40780A7392EA0C33DE37F70D2</vt:lpwstr>
  </property>
  <property fmtid="{D5CDD505-2E9C-101B-9397-08002B2CF9AE}" pid="57" name="MSIP_Label_87d6481e-ccdd-4ab6-8b26-05a0df5699e7_SetDate">
    <vt:lpwstr>2023-03-20T01:28:06Z</vt:lpwstr>
  </property>
  <property fmtid="{D5CDD505-2E9C-101B-9397-08002B2CF9AE}" pid="58" name="MSIP_Label_87d6481e-ccdd-4ab6-8b26-05a0df5699e7_Method">
    <vt:lpwstr>Privileged</vt:lpwstr>
  </property>
  <property fmtid="{D5CDD505-2E9C-101B-9397-08002B2CF9AE}" pid="59" name="MSIP_Label_87d6481e-ccdd-4ab6-8b26-05a0df5699e7_ContentBits">
    <vt:lpwstr>0</vt:lpwstr>
  </property>
  <property fmtid="{D5CDD505-2E9C-101B-9397-08002B2CF9AE}" pid="60" name="MSIP_Label_87d6481e-ccdd-4ab6-8b26-05a0df5699e7_ActionId">
    <vt:lpwstr>6452b127e2294c6eb807cc3d64c836ba</vt:lpwstr>
  </property>
  <property fmtid="{D5CDD505-2E9C-101B-9397-08002B2CF9AE}" pid="61" name="PM_InsertionValue">
    <vt:lpwstr>OFFICIAL</vt:lpwstr>
  </property>
  <property fmtid="{D5CDD505-2E9C-101B-9397-08002B2CF9AE}" pid="62" name="PM_Originator_Hash_SHA1">
    <vt:lpwstr>B948CB1FD26A4D65B4A62AF32BCD809746D7DC22</vt:lpwstr>
  </property>
  <property fmtid="{D5CDD505-2E9C-101B-9397-08002B2CF9AE}" pid="63" name="PM_DisplayValueSecClassificationWithQualifier">
    <vt:lpwstr>OFFICIAL</vt:lpwstr>
  </property>
  <property fmtid="{D5CDD505-2E9C-101B-9397-08002B2CF9AE}" pid="64" name="PM_Originating_FileId">
    <vt:lpwstr>5A0C69F50CA44C04944BC15103566B5B</vt:lpwstr>
  </property>
  <property fmtid="{D5CDD505-2E9C-101B-9397-08002B2CF9AE}" pid="65" name="PM_ProtectiveMarkingValue_Footer">
    <vt:lpwstr>OFFICIAL</vt:lpwstr>
  </property>
  <property fmtid="{D5CDD505-2E9C-101B-9397-08002B2CF9AE}" pid="66" name="PM_ProtectiveMarkingImage_Header">
    <vt:lpwstr>C:\Program Files\Common Files\janusNET Shared\janusSEAL\Images\DocumentSlashBlue.png</vt:lpwstr>
  </property>
  <property fmtid="{D5CDD505-2E9C-101B-9397-08002B2CF9AE}" pid="67" name="PM_ProtectiveMarkingImage_Footer">
    <vt:lpwstr>C:\Program Files\Common Files\janusNET Shared\janusSEAL\Images\DocumentSlashBlue.png</vt:lpwstr>
  </property>
  <property fmtid="{D5CDD505-2E9C-101B-9397-08002B2CF9AE}" pid="68" name="PM_Display">
    <vt:lpwstr>OFFICIAL</vt:lpwstr>
  </property>
  <property fmtid="{D5CDD505-2E9C-101B-9397-08002B2CF9AE}" pid="69" name="PM_OriginatorDomainName_SHA256">
    <vt:lpwstr>325440F6CA31C4C3BCE4433552DC42928CAAD3E2731ABE35FDE729ECEB763AF0</vt:lpwstr>
  </property>
  <property fmtid="{D5CDD505-2E9C-101B-9397-08002B2CF9AE}" pid="70" name="PMUuid">
    <vt:lpwstr>v=2022.2;d=gov.au;g=46DD6D7C-8107-577B-BC6E-F348953B2E44</vt:lpwstr>
  </property>
  <property fmtid="{D5CDD505-2E9C-101B-9397-08002B2CF9AE}" pid="71" name="PM_Hash_Version">
    <vt:lpwstr>2022.1</vt:lpwstr>
  </property>
  <property fmtid="{D5CDD505-2E9C-101B-9397-08002B2CF9AE}" pid="72" name="PM_Hash_Salt_Prev">
    <vt:lpwstr>726223C38F7C65B3F0D3F96214541E24</vt:lpwstr>
  </property>
  <property fmtid="{D5CDD505-2E9C-101B-9397-08002B2CF9AE}" pid="73" name="PM_Hash_Salt">
    <vt:lpwstr>439819587A410FA0331A9A7DE2F188B8</vt:lpwstr>
  </property>
  <property fmtid="{D5CDD505-2E9C-101B-9397-08002B2CF9AE}" pid="74" name="PM_Hash_SHA1">
    <vt:lpwstr>BE533B9838C4E43C09AE1D65775038AE27222781</vt:lpwstr>
  </property>
  <property fmtid="{D5CDD505-2E9C-101B-9397-08002B2CF9AE}" pid="75" name="PM_SecurityClassification_Prev">
    <vt:lpwstr>OFFICIAL</vt:lpwstr>
  </property>
  <property fmtid="{D5CDD505-2E9C-101B-9397-08002B2CF9AE}" pid="76" name="PM_Qualifier_Prev">
    <vt:lpwstr/>
  </property>
</Properties>
</file>