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DDC5" w14:textId="77777777" w:rsidR="00955175" w:rsidRDefault="00955175" w:rsidP="00E2168B">
      <w:pPr>
        <w:spacing w:before="280" w:after="240"/>
        <w:rPr>
          <w:b/>
          <w:sz w:val="32"/>
          <w:szCs w:val="32"/>
        </w:rPr>
      </w:pPr>
    </w:p>
    <w:p w14:paraId="042AB6B9" w14:textId="3E604110" w:rsidR="00955175" w:rsidRPr="009A798F" w:rsidRDefault="000466CB" w:rsidP="00E2168B">
      <w:pPr>
        <w:spacing w:before="280" w:after="240"/>
        <w:rPr>
          <w:b/>
          <w:sz w:val="32"/>
          <w:szCs w:val="32"/>
        </w:rPr>
      </w:pPr>
      <w:r w:rsidRPr="009A798F">
        <w:rPr>
          <w:noProof/>
          <w:color w:val="2B579A"/>
          <w:shd w:val="clear" w:color="auto" w:fill="E6E6E6"/>
        </w:rPr>
        <w:drawing>
          <wp:anchor distT="0" distB="0" distL="114300" distR="114300" simplePos="0" relativeHeight="251658240" behindDoc="0" locked="0" layoutInCell="1" allowOverlap="1" wp14:anchorId="5EA53063" wp14:editId="1F98ACF2">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75B076C0" w14:textId="77777777" w:rsidR="00955175" w:rsidRPr="009A798F" w:rsidRDefault="00955175" w:rsidP="00955175">
      <w:pPr>
        <w:pStyle w:val="LI-Title"/>
        <w:pBdr>
          <w:top w:val="none" w:sz="0" w:space="0" w:color="auto"/>
        </w:pBdr>
        <w:jc w:val="center"/>
      </w:pPr>
    </w:p>
    <w:p w14:paraId="0DC88FA6" w14:textId="77777777" w:rsidR="00955175" w:rsidRPr="009A798F" w:rsidRDefault="00955175" w:rsidP="00955175">
      <w:pPr>
        <w:pStyle w:val="LI-Title"/>
        <w:pBdr>
          <w:top w:val="none" w:sz="0" w:space="0" w:color="auto"/>
        </w:pBdr>
        <w:jc w:val="center"/>
      </w:pPr>
      <w:r w:rsidRPr="009A798F">
        <w:t>Explanatory Statement</w:t>
      </w:r>
    </w:p>
    <w:p w14:paraId="623B9C5C" w14:textId="77777777" w:rsidR="00955175" w:rsidRPr="009A798F" w:rsidRDefault="00955175" w:rsidP="00955175">
      <w:pPr>
        <w:rPr>
          <w:lang w:eastAsia="en-AU"/>
        </w:rPr>
      </w:pPr>
    </w:p>
    <w:p w14:paraId="23EA5316" w14:textId="26E21E8E" w:rsidR="00C4170B" w:rsidRPr="009A798F" w:rsidRDefault="0008149D" w:rsidP="007C2803">
      <w:pPr>
        <w:jc w:val="center"/>
        <w:rPr>
          <w:b/>
          <w:i/>
          <w:sz w:val="28"/>
          <w:szCs w:val="28"/>
          <w:lang w:eastAsia="en-AU"/>
        </w:rPr>
      </w:pPr>
      <w:r w:rsidRPr="009A798F">
        <w:rPr>
          <w:b/>
          <w:i/>
          <w:sz w:val="28"/>
          <w:szCs w:val="28"/>
          <w:lang w:eastAsia="en-AU"/>
        </w:rPr>
        <w:t>ASIC (Supervisory Cost Recovery Levy—Regulatory Costs)</w:t>
      </w:r>
      <w:r w:rsidR="007C2803" w:rsidRPr="009A798F">
        <w:rPr>
          <w:b/>
          <w:i/>
          <w:sz w:val="28"/>
          <w:szCs w:val="28"/>
          <w:lang w:eastAsia="en-AU"/>
        </w:rPr>
        <w:t xml:space="preserve"> Instrument </w:t>
      </w:r>
      <w:r w:rsidR="001E389B" w:rsidRPr="009A798F">
        <w:rPr>
          <w:b/>
          <w:i/>
          <w:sz w:val="28"/>
          <w:szCs w:val="28"/>
          <w:lang w:eastAsia="en-AU"/>
        </w:rPr>
        <w:t>202</w:t>
      </w:r>
      <w:r w:rsidR="00D04984" w:rsidRPr="009A798F">
        <w:rPr>
          <w:b/>
          <w:i/>
          <w:sz w:val="28"/>
          <w:szCs w:val="28"/>
          <w:lang w:eastAsia="en-AU"/>
        </w:rPr>
        <w:t>3</w:t>
      </w:r>
      <w:r w:rsidR="00E86D30" w:rsidRPr="009A798F">
        <w:rPr>
          <w:b/>
          <w:i/>
          <w:sz w:val="28"/>
          <w:szCs w:val="28"/>
          <w:lang w:eastAsia="en-AU"/>
        </w:rPr>
        <w:t>/</w:t>
      </w:r>
      <w:r w:rsidR="00F24B62" w:rsidRPr="009A798F">
        <w:rPr>
          <w:b/>
          <w:i/>
          <w:sz w:val="28"/>
          <w:szCs w:val="28"/>
          <w:lang w:eastAsia="en-AU"/>
        </w:rPr>
        <w:t>777</w:t>
      </w:r>
    </w:p>
    <w:p w14:paraId="6F82286A" w14:textId="70477F25" w:rsidR="00F800C9" w:rsidRPr="009A798F" w:rsidRDefault="00F800C9" w:rsidP="00F800C9">
      <w:pPr>
        <w:pStyle w:val="LI-BodyTextParaa"/>
        <w:ind w:left="0" w:firstLine="0"/>
      </w:pPr>
      <w:r w:rsidRPr="009A798F">
        <w:t xml:space="preserve">This is the Explanatory Statement for </w:t>
      </w:r>
      <w:r w:rsidR="00A70962" w:rsidRPr="009A798F">
        <w:t xml:space="preserve">the </w:t>
      </w:r>
      <w:r w:rsidR="007C2803" w:rsidRPr="009A798F">
        <w:rPr>
          <w:i/>
        </w:rPr>
        <w:t xml:space="preserve">ASIC (Supervisory Cost Recovery Levy—Regulatory Costs) Instrument </w:t>
      </w:r>
      <w:r w:rsidR="00AC7041" w:rsidRPr="009A798F">
        <w:rPr>
          <w:i/>
        </w:rPr>
        <w:t>202</w:t>
      </w:r>
      <w:r w:rsidR="00D04984" w:rsidRPr="009A798F">
        <w:rPr>
          <w:i/>
        </w:rPr>
        <w:t>3</w:t>
      </w:r>
      <w:r w:rsidR="00E86D30" w:rsidRPr="009A798F">
        <w:rPr>
          <w:i/>
        </w:rPr>
        <w:t>/</w:t>
      </w:r>
      <w:r w:rsidR="00F24B62" w:rsidRPr="009A798F">
        <w:rPr>
          <w:i/>
        </w:rPr>
        <w:t>777</w:t>
      </w:r>
      <w:r w:rsidR="00E86D30" w:rsidRPr="009A798F">
        <w:rPr>
          <w:i/>
        </w:rPr>
        <w:t>.</w:t>
      </w:r>
      <w:r w:rsidR="00E86D30" w:rsidRPr="009A798F">
        <w:t xml:space="preserve"> </w:t>
      </w:r>
      <w:r w:rsidR="00863657" w:rsidRPr="009A798F">
        <w:t>Th</w:t>
      </w:r>
      <w:r w:rsidRPr="009A798F">
        <w:t>e</w:t>
      </w:r>
      <w:r w:rsidR="00863657" w:rsidRPr="009A798F">
        <w:t xml:space="preserve"> </w:t>
      </w:r>
      <w:r w:rsidRPr="009A798F">
        <w:t>Explanatory Statement is approved by the Australian Securities and Investments Commission (</w:t>
      </w:r>
      <w:r w:rsidRPr="009A798F">
        <w:rPr>
          <w:b/>
          <w:i/>
        </w:rPr>
        <w:t>ASIC</w:t>
      </w:r>
      <w:r w:rsidRPr="009A798F">
        <w:t>).</w:t>
      </w:r>
    </w:p>
    <w:p w14:paraId="6F5557E7" w14:textId="77777777" w:rsidR="00F800C9" w:rsidRPr="009A798F" w:rsidRDefault="005D1FEA" w:rsidP="00F800C9">
      <w:pPr>
        <w:pStyle w:val="LI-BodyTextNumbered"/>
        <w:ind w:left="0" w:firstLine="0"/>
        <w:rPr>
          <w:b/>
        </w:rPr>
      </w:pPr>
      <w:r w:rsidRPr="009A798F">
        <w:rPr>
          <w:b/>
        </w:rPr>
        <w:t>Summary</w:t>
      </w:r>
    </w:p>
    <w:p w14:paraId="381A1A40" w14:textId="77777777" w:rsidR="00DD4938" w:rsidRPr="009A798F" w:rsidRDefault="00DD4938" w:rsidP="00DD4938">
      <w:pPr>
        <w:spacing w:line="240" w:lineRule="auto"/>
        <w:ind w:left="567" w:hanging="567"/>
        <w:rPr>
          <w:sz w:val="24"/>
          <w:szCs w:val="24"/>
        </w:rPr>
      </w:pPr>
    </w:p>
    <w:p w14:paraId="5C6DE14A" w14:textId="77777777" w:rsidR="004E3510" w:rsidRPr="009A798F" w:rsidRDefault="004E3510" w:rsidP="004E3510">
      <w:pPr>
        <w:spacing w:line="240" w:lineRule="auto"/>
        <w:ind w:left="567" w:hanging="567"/>
        <w:rPr>
          <w:sz w:val="24"/>
          <w:szCs w:val="24"/>
        </w:rPr>
      </w:pPr>
      <w:r w:rsidRPr="009A798F">
        <w:rPr>
          <w:sz w:val="24"/>
          <w:szCs w:val="24"/>
        </w:rPr>
        <w:t>1.</w:t>
      </w:r>
      <w:r w:rsidRPr="009A798F">
        <w:rPr>
          <w:sz w:val="24"/>
          <w:szCs w:val="24"/>
        </w:rPr>
        <w:tab/>
        <w:t xml:space="preserve">This instrument relates to levies imposed on ASIC’s regulatory population. These industry levies are imposed on an annual basis. The annual levies are aimed at recovering ASIC’s regulatory costs for the financial year. </w:t>
      </w:r>
    </w:p>
    <w:p w14:paraId="7E68BE21" w14:textId="77777777" w:rsidR="004E3510" w:rsidRPr="009A798F" w:rsidRDefault="004E3510" w:rsidP="004E3510">
      <w:pPr>
        <w:spacing w:line="240" w:lineRule="auto"/>
        <w:ind w:left="567" w:hanging="567"/>
        <w:rPr>
          <w:sz w:val="24"/>
          <w:szCs w:val="24"/>
        </w:rPr>
      </w:pPr>
    </w:p>
    <w:p w14:paraId="1352E78F" w14:textId="5DD23274" w:rsidR="00DD4938" w:rsidRPr="009A798F" w:rsidRDefault="004E3510" w:rsidP="00DD4938">
      <w:pPr>
        <w:spacing w:line="240" w:lineRule="auto"/>
        <w:ind w:left="567" w:hanging="567"/>
        <w:rPr>
          <w:rFonts w:eastAsia="Times New Roman"/>
          <w:sz w:val="24"/>
          <w:szCs w:val="24"/>
          <w:lang w:eastAsia="en-AU"/>
        </w:rPr>
      </w:pPr>
      <w:r w:rsidRPr="009A798F">
        <w:rPr>
          <w:sz w:val="24"/>
          <w:szCs w:val="24"/>
        </w:rPr>
        <w:t>2</w:t>
      </w:r>
      <w:r w:rsidR="005D1FEA" w:rsidRPr="009A798F">
        <w:rPr>
          <w:sz w:val="24"/>
          <w:szCs w:val="24"/>
        </w:rPr>
        <w:t>.</w:t>
      </w:r>
      <w:r w:rsidR="00F800C9" w:rsidRPr="009A798F">
        <w:rPr>
          <w:sz w:val="24"/>
          <w:szCs w:val="24"/>
        </w:rPr>
        <w:tab/>
      </w:r>
      <w:r w:rsidR="00DD4938" w:rsidRPr="009A798F">
        <w:rPr>
          <w:rFonts w:eastAsia="Times New Roman"/>
          <w:sz w:val="24"/>
          <w:szCs w:val="24"/>
          <w:lang w:eastAsia="en-AU"/>
        </w:rPr>
        <w:t>This instrument specifies ASIC’s regulatory costs and their attribution to each </w:t>
      </w:r>
      <w:r w:rsidR="001D1FDE" w:rsidRPr="009A798F">
        <w:rPr>
          <w:rFonts w:eastAsia="Times New Roman"/>
          <w:sz w:val="24"/>
          <w:szCs w:val="24"/>
          <w:lang w:eastAsia="en-AU"/>
        </w:rPr>
        <w:t xml:space="preserve">industry </w:t>
      </w:r>
      <w:r w:rsidR="00DD4938" w:rsidRPr="009A798F">
        <w:rPr>
          <w:rFonts w:eastAsia="Times New Roman"/>
          <w:sz w:val="24"/>
          <w:szCs w:val="24"/>
          <w:lang w:eastAsia="en-AU"/>
        </w:rPr>
        <w:t xml:space="preserve">sub-sector for the </w:t>
      </w:r>
      <w:r w:rsidR="00AC7041" w:rsidRPr="009A798F">
        <w:rPr>
          <w:rFonts w:eastAsia="Times New Roman"/>
          <w:sz w:val="24"/>
          <w:szCs w:val="24"/>
          <w:lang w:eastAsia="en-AU"/>
        </w:rPr>
        <w:t>20</w:t>
      </w:r>
      <w:r w:rsidR="00C57047" w:rsidRPr="009A798F">
        <w:rPr>
          <w:rFonts w:eastAsia="Times New Roman"/>
          <w:sz w:val="24"/>
          <w:szCs w:val="24"/>
          <w:lang w:eastAsia="en-AU"/>
        </w:rPr>
        <w:t>2</w:t>
      </w:r>
      <w:r w:rsidR="00D04984" w:rsidRPr="009A798F">
        <w:rPr>
          <w:rFonts w:eastAsia="Times New Roman"/>
          <w:sz w:val="24"/>
          <w:szCs w:val="24"/>
          <w:lang w:eastAsia="en-AU"/>
        </w:rPr>
        <w:t>2</w:t>
      </w:r>
      <w:r w:rsidR="00A76913" w:rsidRPr="009A798F">
        <w:rPr>
          <w:rFonts w:eastAsia="Times New Roman"/>
          <w:sz w:val="24"/>
          <w:szCs w:val="24"/>
          <w:lang w:eastAsia="en-AU"/>
        </w:rPr>
        <w:t>-</w:t>
      </w:r>
      <w:r w:rsidR="00AC7041" w:rsidRPr="009A798F">
        <w:rPr>
          <w:rFonts w:eastAsia="Times New Roman"/>
          <w:sz w:val="24"/>
          <w:szCs w:val="24"/>
          <w:lang w:eastAsia="en-AU"/>
        </w:rPr>
        <w:t>2</w:t>
      </w:r>
      <w:r w:rsidR="00D04984" w:rsidRPr="009A798F">
        <w:rPr>
          <w:rFonts w:eastAsia="Times New Roman"/>
          <w:sz w:val="24"/>
          <w:szCs w:val="24"/>
          <w:lang w:eastAsia="en-AU"/>
        </w:rPr>
        <w:t>3</w:t>
      </w:r>
      <w:r w:rsidR="00DD4938" w:rsidRPr="009A798F">
        <w:rPr>
          <w:rFonts w:eastAsia="Times New Roman"/>
          <w:sz w:val="24"/>
          <w:szCs w:val="24"/>
          <w:lang w:eastAsia="en-AU"/>
        </w:rPr>
        <w:t xml:space="preserve"> financial year. </w:t>
      </w:r>
    </w:p>
    <w:p w14:paraId="6E8A1E41" w14:textId="77777777" w:rsidR="005D1FEA" w:rsidRPr="009A798F" w:rsidRDefault="005D1FEA" w:rsidP="00DD4938">
      <w:pPr>
        <w:pStyle w:val="LI-BodyTextParaa"/>
        <w:ind w:left="567"/>
        <w:rPr>
          <w:b/>
        </w:rPr>
      </w:pPr>
      <w:r w:rsidRPr="009A798F">
        <w:rPr>
          <w:b/>
        </w:rPr>
        <w:t>Purpose of the instrument</w:t>
      </w:r>
    </w:p>
    <w:p w14:paraId="43B7A47D" w14:textId="77777777" w:rsidR="001D23C9" w:rsidRPr="009A798F" w:rsidRDefault="001D23C9" w:rsidP="001D23C9">
      <w:pPr>
        <w:spacing w:line="240" w:lineRule="auto"/>
        <w:ind w:left="567" w:hanging="567"/>
        <w:rPr>
          <w:color w:val="FF0000"/>
          <w:sz w:val="24"/>
          <w:szCs w:val="24"/>
        </w:rPr>
      </w:pPr>
    </w:p>
    <w:p w14:paraId="772E396E" w14:textId="2D6D5194" w:rsidR="001D23C9" w:rsidRPr="009A798F" w:rsidRDefault="00A22AFF" w:rsidP="001D23C9">
      <w:pPr>
        <w:spacing w:line="240" w:lineRule="auto"/>
        <w:ind w:left="567" w:hanging="567"/>
        <w:rPr>
          <w:rFonts w:eastAsia="Times New Roman"/>
          <w:sz w:val="24"/>
          <w:szCs w:val="24"/>
          <w:lang w:eastAsia="en-AU"/>
        </w:rPr>
      </w:pPr>
      <w:r w:rsidRPr="009A798F">
        <w:rPr>
          <w:sz w:val="24"/>
          <w:szCs w:val="24"/>
        </w:rPr>
        <w:t>3</w:t>
      </w:r>
      <w:r w:rsidR="00F03BB5" w:rsidRPr="009A798F">
        <w:rPr>
          <w:sz w:val="24"/>
          <w:szCs w:val="24"/>
        </w:rPr>
        <w:t>.</w:t>
      </w:r>
      <w:r w:rsidR="005D1FEA" w:rsidRPr="009A798F">
        <w:rPr>
          <w:sz w:val="24"/>
          <w:szCs w:val="24"/>
        </w:rPr>
        <w:tab/>
      </w:r>
      <w:r w:rsidR="001D23C9" w:rsidRPr="009A798F">
        <w:rPr>
          <w:sz w:val="24"/>
          <w:szCs w:val="24"/>
        </w:rPr>
        <w:t xml:space="preserve">The purpose of the instrument is to determine </w:t>
      </w:r>
      <w:r w:rsidR="001D23C9" w:rsidRPr="009A798F">
        <w:rPr>
          <w:rFonts w:eastAsia="Times New Roman"/>
          <w:sz w:val="24"/>
          <w:szCs w:val="24"/>
          <w:lang w:eastAsia="en-AU"/>
        </w:rPr>
        <w:t>ASIC’s regulatory costs and their attribution to each </w:t>
      </w:r>
      <w:r w:rsidR="001D1FDE" w:rsidRPr="009A798F">
        <w:rPr>
          <w:rFonts w:eastAsia="Times New Roman"/>
          <w:sz w:val="24"/>
          <w:szCs w:val="24"/>
          <w:lang w:eastAsia="en-AU"/>
        </w:rPr>
        <w:t xml:space="preserve">industry </w:t>
      </w:r>
      <w:r w:rsidR="001D23C9" w:rsidRPr="009A798F">
        <w:rPr>
          <w:rFonts w:eastAsia="Times New Roman"/>
          <w:sz w:val="24"/>
          <w:szCs w:val="24"/>
          <w:lang w:eastAsia="en-AU"/>
        </w:rPr>
        <w:t xml:space="preserve">sub-sector for the </w:t>
      </w:r>
      <w:r w:rsidR="00AC7041" w:rsidRPr="009A798F">
        <w:rPr>
          <w:rFonts w:eastAsia="Times New Roman"/>
          <w:sz w:val="24"/>
          <w:szCs w:val="24"/>
          <w:lang w:eastAsia="en-AU"/>
        </w:rPr>
        <w:t>20</w:t>
      </w:r>
      <w:r w:rsidR="00C57047" w:rsidRPr="009A798F">
        <w:rPr>
          <w:rFonts w:eastAsia="Times New Roman"/>
          <w:sz w:val="24"/>
          <w:szCs w:val="24"/>
          <w:lang w:eastAsia="en-AU"/>
        </w:rPr>
        <w:t>2</w:t>
      </w:r>
      <w:r w:rsidR="00D04984" w:rsidRPr="009A798F">
        <w:rPr>
          <w:rFonts w:eastAsia="Times New Roman"/>
          <w:sz w:val="24"/>
          <w:szCs w:val="24"/>
          <w:lang w:eastAsia="en-AU"/>
        </w:rPr>
        <w:t>2</w:t>
      </w:r>
      <w:r w:rsidR="001D23C9" w:rsidRPr="009A798F">
        <w:rPr>
          <w:rFonts w:eastAsia="Times New Roman"/>
          <w:sz w:val="24"/>
          <w:szCs w:val="24"/>
          <w:lang w:eastAsia="en-AU"/>
        </w:rPr>
        <w:t>-</w:t>
      </w:r>
      <w:r w:rsidR="00AC7041" w:rsidRPr="009A798F">
        <w:rPr>
          <w:rFonts w:eastAsia="Times New Roman"/>
          <w:sz w:val="24"/>
          <w:szCs w:val="24"/>
          <w:lang w:eastAsia="en-AU"/>
        </w:rPr>
        <w:t>2</w:t>
      </w:r>
      <w:r w:rsidR="00D04984" w:rsidRPr="009A798F">
        <w:rPr>
          <w:rFonts w:eastAsia="Times New Roman"/>
          <w:sz w:val="24"/>
          <w:szCs w:val="24"/>
          <w:lang w:eastAsia="en-AU"/>
        </w:rPr>
        <w:t>3</w:t>
      </w:r>
      <w:r w:rsidR="001D23C9" w:rsidRPr="009A798F">
        <w:rPr>
          <w:rFonts w:eastAsia="Times New Roman"/>
          <w:sz w:val="24"/>
          <w:szCs w:val="24"/>
          <w:lang w:eastAsia="en-AU"/>
        </w:rPr>
        <w:t xml:space="preserve"> financial year so as to facilitate the collection of industry levies to recover those regulatory costs. </w:t>
      </w:r>
    </w:p>
    <w:p w14:paraId="435E31FD" w14:textId="77777777" w:rsidR="00B41435" w:rsidRPr="009A798F" w:rsidRDefault="00B41435" w:rsidP="001D23C9">
      <w:pPr>
        <w:spacing w:line="240" w:lineRule="auto"/>
        <w:ind w:left="567" w:hanging="567"/>
        <w:rPr>
          <w:rFonts w:eastAsia="Times New Roman"/>
          <w:sz w:val="24"/>
          <w:szCs w:val="24"/>
          <w:lang w:eastAsia="en-AU"/>
        </w:rPr>
      </w:pPr>
    </w:p>
    <w:p w14:paraId="0FB088A9" w14:textId="77777777" w:rsidR="00A22AFF" w:rsidRPr="0008149D" w:rsidRDefault="00A22AFF" w:rsidP="00A22AFF">
      <w:pPr>
        <w:spacing w:line="240" w:lineRule="auto"/>
        <w:ind w:left="567" w:hanging="567"/>
        <w:rPr>
          <w:rFonts w:eastAsia="Times New Roman"/>
          <w:sz w:val="24"/>
          <w:szCs w:val="24"/>
          <w:lang w:eastAsia="en-AU"/>
        </w:rPr>
      </w:pPr>
      <w:r w:rsidRPr="009A798F">
        <w:rPr>
          <w:rFonts w:eastAsia="Times New Roman"/>
          <w:sz w:val="24"/>
          <w:szCs w:val="24"/>
          <w:lang w:eastAsia="en-AU"/>
        </w:rPr>
        <w:t>4.</w:t>
      </w:r>
      <w:r w:rsidRPr="009A798F">
        <w:rPr>
          <w:rFonts w:eastAsia="Times New Roman"/>
          <w:sz w:val="24"/>
          <w:szCs w:val="24"/>
          <w:lang w:eastAsia="en-AU"/>
        </w:rPr>
        <w:tab/>
        <w:t>Any entity which is a leviable entity is required to pay a levy for each sub</w:t>
      </w:r>
      <w:r w:rsidRPr="009A798F">
        <w:rPr>
          <w:rFonts w:eastAsia="Times New Roman"/>
          <w:sz w:val="24"/>
          <w:szCs w:val="24"/>
          <w:lang w:eastAsia="en-AU"/>
        </w:rPr>
        <w:noBreakHyphen/>
        <w:t xml:space="preserve">sector they were a part of at any time during the relevant financial year. The sub-sectors are determined by the </w:t>
      </w:r>
      <w:r w:rsidRPr="009A798F">
        <w:rPr>
          <w:rFonts w:eastAsia="Times New Roman"/>
          <w:i/>
          <w:sz w:val="24"/>
          <w:szCs w:val="24"/>
          <w:lang w:eastAsia="en-AU"/>
        </w:rPr>
        <w:t>ASIC Supervisory</w:t>
      </w:r>
      <w:r w:rsidRPr="00A379EE">
        <w:rPr>
          <w:rFonts w:eastAsia="Times New Roman"/>
          <w:i/>
          <w:sz w:val="24"/>
          <w:szCs w:val="24"/>
          <w:lang w:eastAsia="en-AU"/>
        </w:rPr>
        <w:t xml:space="preserve"> Cost Recovery Levy Regulations 2017</w:t>
      </w:r>
      <w:r w:rsidRPr="00A379EE">
        <w:rPr>
          <w:rFonts w:eastAsia="Times New Roman"/>
          <w:sz w:val="24"/>
          <w:szCs w:val="24"/>
          <w:lang w:eastAsia="en-AU"/>
        </w:rPr>
        <w:t xml:space="preserve"> (the </w:t>
      </w:r>
      <w:r w:rsidRPr="00A379EE">
        <w:rPr>
          <w:rFonts w:eastAsia="Times New Roman"/>
          <w:b/>
          <w:i/>
          <w:sz w:val="24"/>
          <w:szCs w:val="24"/>
          <w:lang w:eastAsia="en-AU"/>
        </w:rPr>
        <w:t>Cost Recovery Regulations</w:t>
      </w:r>
      <w:r w:rsidRPr="00A379EE">
        <w:rPr>
          <w:rFonts w:eastAsia="Times New Roman"/>
          <w:sz w:val="24"/>
          <w:szCs w:val="24"/>
          <w:lang w:eastAsia="en-AU"/>
        </w:rPr>
        <w:t>). The Cost Recovery Regulations are made for the purposes</w:t>
      </w:r>
      <w:r>
        <w:rPr>
          <w:rFonts w:eastAsia="Times New Roman"/>
          <w:sz w:val="24"/>
          <w:szCs w:val="24"/>
          <w:lang w:eastAsia="en-AU"/>
        </w:rPr>
        <w:t xml:space="preserve"> of the </w:t>
      </w:r>
      <w:r w:rsidRPr="0008149D">
        <w:rPr>
          <w:rFonts w:eastAsia="Times New Roman"/>
          <w:i/>
          <w:sz w:val="24"/>
          <w:szCs w:val="24"/>
          <w:lang w:eastAsia="en-AU"/>
        </w:rPr>
        <w:t xml:space="preserve">ASIC Supervisory Cost Recovery Levy </w:t>
      </w:r>
      <w:r>
        <w:rPr>
          <w:rFonts w:eastAsia="Times New Roman"/>
          <w:i/>
          <w:sz w:val="24"/>
          <w:szCs w:val="24"/>
          <w:lang w:eastAsia="en-AU"/>
        </w:rPr>
        <w:t xml:space="preserve">Act 2017 </w:t>
      </w:r>
      <w:r w:rsidRPr="0086041A">
        <w:rPr>
          <w:rFonts w:eastAsia="Times New Roman"/>
          <w:sz w:val="24"/>
          <w:szCs w:val="24"/>
          <w:lang w:eastAsia="en-AU"/>
        </w:rPr>
        <w:t>(the</w:t>
      </w:r>
      <w:r>
        <w:rPr>
          <w:rFonts w:eastAsia="Times New Roman"/>
          <w:sz w:val="24"/>
          <w:szCs w:val="24"/>
          <w:lang w:eastAsia="en-AU"/>
        </w:rPr>
        <w:t xml:space="preserve"> </w:t>
      </w:r>
      <w:r w:rsidRPr="0036661F">
        <w:rPr>
          <w:rFonts w:eastAsia="Times New Roman"/>
          <w:b/>
          <w:i/>
          <w:sz w:val="24"/>
          <w:szCs w:val="24"/>
          <w:lang w:eastAsia="en-AU"/>
        </w:rPr>
        <w:t>Cost Recovery Act</w:t>
      </w:r>
      <w:r>
        <w:rPr>
          <w:rFonts w:eastAsia="Times New Roman"/>
          <w:sz w:val="24"/>
          <w:szCs w:val="24"/>
          <w:lang w:eastAsia="en-AU"/>
        </w:rPr>
        <w:t xml:space="preserve">). </w:t>
      </w:r>
      <w:r>
        <w:rPr>
          <w:rFonts w:eastAsia="Times New Roman"/>
          <w:i/>
          <w:sz w:val="24"/>
          <w:szCs w:val="24"/>
          <w:lang w:eastAsia="en-AU"/>
        </w:rPr>
        <w:t xml:space="preserve"> </w:t>
      </w:r>
    </w:p>
    <w:p w14:paraId="02777565" w14:textId="77777777" w:rsidR="00A22AFF" w:rsidRPr="0008149D" w:rsidRDefault="00A22AFF" w:rsidP="00A22AFF">
      <w:pPr>
        <w:spacing w:line="240" w:lineRule="auto"/>
        <w:ind w:left="567" w:hanging="567"/>
        <w:rPr>
          <w:rFonts w:eastAsia="Times New Roman"/>
          <w:sz w:val="24"/>
          <w:szCs w:val="24"/>
          <w:lang w:eastAsia="en-AU"/>
        </w:rPr>
      </w:pPr>
    </w:p>
    <w:p w14:paraId="3BDF476F" w14:textId="39FAAD4E" w:rsidR="00A22AFF" w:rsidRPr="0008149D" w:rsidRDefault="00A22AFF" w:rsidP="00A22AFF">
      <w:pPr>
        <w:spacing w:line="240" w:lineRule="auto"/>
        <w:ind w:left="567" w:hanging="567"/>
        <w:rPr>
          <w:rFonts w:eastAsia="Times New Roman"/>
          <w:sz w:val="24"/>
          <w:szCs w:val="24"/>
          <w:lang w:eastAsia="en-AU"/>
        </w:rPr>
      </w:pPr>
      <w:r w:rsidRPr="0E1ECF8E">
        <w:rPr>
          <w:rFonts w:eastAsia="Times New Roman"/>
          <w:sz w:val="24"/>
          <w:szCs w:val="24"/>
          <w:lang w:eastAsia="en-AU"/>
        </w:rPr>
        <w:t>5.</w:t>
      </w:r>
      <w:r>
        <w:tab/>
      </w:r>
      <w:r w:rsidRPr="0E1ECF8E">
        <w:rPr>
          <w:rFonts w:eastAsia="Times New Roman"/>
          <w:sz w:val="24"/>
          <w:szCs w:val="24"/>
          <w:lang w:eastAsia="en-AU"/>
        </w:rPr>
        <w:t xml:space="preserve">This instrument, together with </w:t>
      </w:r>
      <w:r w:rsidRPr="0E1ECF8E">
        <w:rPr>
          <w:rFonts w:eastAsia="Times New Roman"/>
          <w:i/>
          <w:iCs/>
          <w:sz w:val="24"/>
          <w:szCs w:val="24"/>
          <w:lang w:eastAsia="en-AU"/>
        </w:rPr>
        <w:t xml:space="preserve">ASIC (Supervisory Cost Recovery Levy—Annual Determination) Instrument </w:t>
      </w:r>
      <w:r w:rsidR="001E389B" w:rsidRPr="0E1ECF8E">
        <w:rPr>
          <w:rFonts w:eastAsia="Times New Roman"/>
          <w:i/>
          <w:iCs/>
          <w:sz w:val="24"/>
          <w:szCs w:val="24"/>
          <w:lang w:eastAsia="en-AU"/>
        </w:rPr>
        <w:t>202</w:t>
      </w:r>
      <w:r w:rsidR="000A4133" w:rsidRPr="0E1ECF8E">
        <w:rPr>
          <w:rFonts w:eastAsia="Times New Roman"/>
          <w:i/>
          <w:iCs/>
          <w:sz w:val="24"/>
          <w:szCs w:val="24"/>
          <w:lang w:eastAsia="en-AU"/>
        </w:rPr>
        <w:t>3</w:t>
      </w:r>
      <w:r w:rsidRPr="0E1ECF8E">
        <w:rPr>
          <w:rFonts w:eastAsia="Times New Roman"/>
          <w:i/>
          <w:iCs/>
          <w:sz w:val="24"/>
          <w:szCs w:val="24"/>
          <w:lang w:eastAsia="en-AU"/>
        </w:rPr>
        <w:t>/</w:t>
      </w:r>
      <w:r w:rsidR="00AC7905" w:rsidRPr="0E1ECF8E">
        <w:rPr>
          <w:rFonts w:eastAsia="Times New Roman"/>
          <w:i/>
          <w:iCs/>
          <w:sz w:val="24"/>
          <w:szCs w:val="24"/>
          <w:lang w:eastAsia="en-AU"/>
        </w:rPr>
        <w:t>778</w:t>
      </w:r>
      <w:r w:rsidRPr="0E1ECF8E">
        <w:rPr>
          <w:rFonts w:eastAsia="Times New Roman"/>
          <w:sz w:val="24"/>
          <w:szCs w:val="24"/>
          <w:lang w:eastAsia="en-AU"/>
        </w:rPr>
        <w:t xml:space="preserve">, provide ASIC with the figures to enable it to calculate the levies payable by each leviable entity for the </w:t>
      </w:r>
      <w:r w:rsidR="00AC7041" w:rsidRPr="0E1ECF8E">
        <w:rPr>
          <w:rFonts w:eastAsia="Times New Roman"/>
          <w:sz w:val="24"/>
          <w:szCs w:val="24"/>
          <w:lang w:eastAsia="en-AU"/>
        </w:rPr>
        <w:t>20</w:t>
      </w:r>
      <w:r w:rsidR="00C57047" w:rsidRPr="0E1ECF8E">
        <w:rPr>
          <w:rFonts w:eastAsia="Times New Roman"/>
          <w:sz w:val="24"/>
          <w:szCs w:val="24"/>
          <w:lang w:eastAsia="en-AU"/>
        </w:rPr>
        <w:t>2</w:t>
      </w:r>
      <w:r w:rsidR="000C5894" w:rsidRPr="0E1ECF8E">
        <w:rPr>
          <w:rFonts w:eastAsia="Times New Roman"/>
          <w:sz w:val="24"/>
          <w:szCs w:val="24"/>
          <w:lang w:eastAsia="en-AU"/>
        </w:rPr>
        <w:t>2</w:t>
      </w:r>
      <w:r w:rsidRPr="0E1ECF8E">
        <w:rPr>
          <w:rFonts w:eastAsia="Times New Roman"/>
          <w:sz w:val="24"/>
          <w:szCs w:val="24"/>
          <w:lang w:eastAsia="en-AU"/>
        </w:rPr>
        <w:t>-</w:t>
      </w:r>
      <w:r w:rsidR="00AC7041" w:rsidRPr="0E1ECF8E">
        <w:rPr>
          <w:rFonts w:eastAsia="Times New Roman"/>
          <w:sz w:val="24"/>
          <w:szCs w:val="24"/>
          <w:lang w:eastAsia="en-AU"/>
        </w:rPr>
        <w:t>2</w:t>
      </w:r>
      <w:r w:rsidR="000C5894" w:rsidRPr="0E1ECF8E">
        <w:rPr>
          <w:rFonts w:eastAsia="Times New Roman"/>
          <w:sz w:val="24"/>
          <w:szCs w:val="24"/>
          <w:lang w:eastAsia="en-AU"/>
        </w:rPr>
        <w:t>3</w:t>
      </w:r>
      <w:r w:rsidRPr="0E1ECF8E">
        <w:rPr>
          <w:rFonts w:eastAsia="Times New Roman"/>
          <w:sz w:val="24"/>
          <w:szCs w:val="24"/>
          <w:lang w:eastAsia="en-AU"/>
        </w:rPr>
        <w:t xml:space="preserve"> financial year. ASIC will use the figures in these instruments in preparing the invoices for the levies which will be sent out to industry in January </w:t>
      </w:r>
      <w:r w:rsidR="00AC7041" w:rsidRPr="0E1ECF8E">
        <w:rPr>
          <w:rFonts w:eastAsia="Times New Roman"/>
          <w:sz w:val="24"/>
          <w:szCs w:val="24"/>
          <w:lang w:eastAsia="en-AU"/>
        </w:rPr>
        <w:t>202</w:t>
      </w:r>
      <w:r w:rsidR="000C5894" w:rsidRPr="0E1ECF8E">
        <w:rPr>
          <w:rFonts w:eastAsia="Times New Roman"/>
          <w:sz w:val="24"/>
          <w:szCs w:val="24"/>
          <w:lang w:eastAsia="en-AU"/>
        </w:rPr>
        <w:t>4</w:t>
      </w:r>
      <w:r w:rsidRPr="0E1ECF8E">
        <w:rPr>
          <w:rFonts w:eastAsia="Times New Roman"/>
          <w:sz w:val="24"/>
          <w:szCs w:val="24"/>
          <w:lang w:eastAsia="en-AU"/>
        </w:rPr>
        <w:t xml:space="preserve">.  </w:t>
      </w:r>
    </w:p>
    <w:p w14:paraId="7FC43973" w14:textId="77777777" w:rsidR="009A3F74" w:rsidRPr="00445FEC" w:rsidRDefault="009A3F74" w:rsidP="009A3F74">
      <w:pPr>
        <w:pStyle w:val="LI-BodyTextNumbered"/>
        <w:ind w:hanging="1134"/>
        <w:rPr>
          <w:b/>
        </w:rPr>
      </w:pPr>
      <w:bookmarkStart w:id="0" w:name="_Hlk534291624"/>
      <w:r w:rsidRPr="00445FEC">
        <w:rPr>
          <w:b/>
        </w:rPr>
        <w:t>Consultation</w:t>
      </w:r>
    </w:p>
    <w:p w14:paraId="25DCF69A" w14:textId="77777777" w:rsidR="00445FEC" w:rsidRPr="00445FEC" w:rsidRDefault="001D23C9" w:rsidP="0086041A">
      <w:pPr>
        <w:pStyle w:val="LI-BodyTextParaa"/>
        <w:ind w:left="567"/>
      </w:pPr>
      <w:r>
        <w:t>6</w:t>
      </w:r>
      <w:r w:rsidR="009A3F74">
        <w:t>.</w:t>
      </w:r>
      <w:r>
        <w:tab/>
      </w:r>
      <w:r w:rsidR="00445FEC">
        <w:t xml:space="preserve">Section 17 of the </w:t>
      </w:r>
      <w:r w:rsidR="00445FEC" w:rsidRPr="008C6A60">
        <w:rPr>
          <w:i/>
          <w:iCs/>
        </w:rPr>
        <w:t>Legislation Act 2003</w:t>
      </w:r>
      <w:r w:rsidR="00445FEC" w:rsidRPr="008C6A60">
        <w:t xml:space="preserve"> </w:t>
      </w:r>
      <w:r w:rsidR="00FA5486" w:rsidRPr="008C6A60">
        <w:t xml:space="preserve">(the </w:t>
      </w:r>
      <w:r w:rsidR="00FA5486" w:rsidRPr="008C6A60">
        <w:rPr>
          <w:b/>
          <w:bCs/>
          <w:i/>
          <w:iCs/>
        </w:rPr>
        <w:t>Legislation Act</w:t>
      </w:r>
      <w:r w:rsidR="00FA5486" w:rsidRPr="008C6A60">
        <w:t xml:space="preserve">) </w:t>
      </w:r>
      <w:r w:rsidR="00445FEC" w:rsidRPr="008C6A60">
        <w:t xml:space="preserve">provides that, before a legislative instrument is made, the rule-maker must be satisfied that </w:t>
      </w:r>
      <w:r w:rsidR="00445FEC" w:rsidRPr="008C6A60">
        <w:lastRenderedPageBreak/>
        <w:t>there has been undertaken any consultation that is considered by the rule-maker to be appropriate, and reasonably practicable to unde</w:t>
      </w:r>
      <w:r w:rsidR="00445FEC">
        <w:t xml:space="preserve">rtake. </w:t>
      </w:r>
    </w:p>
    <w:p w14:paraId="28ED354F" w14:textId="77777777" w:rsidR="00445FEC" w:rsidRPr="00445FEC" w:rsidRDefault="001D23C9" w:rsidP="00445FEC">
      <w:pPr>
        <w:pStyle w:val="LI-BodyTextParaa"/>
        <w:ind w:left="567"/>
      </w:pPr>
      <w:r>
        <w:t>7</w:t>
      </w:r>
      <w:r w:rsidR="00445FEC">
        <w:t>.</w:t>
      </w:r>
      <w:r w:rsidR="00445FEC" w:rsidRPr="00445FEC">
        <w:tab/>
        <w:t xml:space="preserve">In determining whether any consultation that was undertaken is appropriate, the rule-maker may have regard to any relevant matter, including the extent to which the consultation drew on the knowledge of persons having expertise in fields relevant to the proposed instrument. </w:t>
      </w:r>
    </w:p>
    <w:p w14:paraId="2F22D67E" w14:textId="77777777" w:rsidR="00445FEC" w:rsidRPr="00445FEC" w:rsidRDefault="001D23C9" w:rsidP="00445FEC">
      <w:pPr>
        <w:pStyle w:val="LI-BodyTextParaa"/>
        <w:ind w:left="567"/>
      </w:pPr>
      <w:r>
        <w:t>8</w:t>
      </w:r>
      <w:r w:rsidR="00445FEC">
        <w:t>.</w:t>
      </w:r>
      <w:r>
        <w:tab/>
      </w:r>
      <w:r w:rsidR="00445FEC">
        <w:t xml:space="preserve">ASIC did not engage in consultation before making this legislative instrument. The reason why no consultation was undertaken was because the instrument specifies information that is exclusively within ASIC’s knowledge, being the amount of ASIC’s regulatory costs for the financial year, and the extent to which those costs are attributable to each sub-sector. </w:t>
      </w:r>
    </w:p>
    <w:p w14:paraId="668B5B7D" w14:textId="77777777" w:rsidR="005D1FEA" w:rsidRPr="00DC447D" w:rsidRDefault="005D1FEA" w:rsidP="00445FEC">
      <w:pPr>
        <w:pStyle w:val="LI-BodyTextParaa"/>
        <w:ind w:left="567"/>
        <w:rPr>
          <w:b/>
        </w:rPr>
      </w:pPr>
      <w:r w:rsidRPr="00DC447D">
        <w:rPr>
          <w:b/>
        </w:rPr>
        <w:t>Operation of the instrument</w:t>
      </w:r>
    </w:p>
    <w:p w14:paraId="0B41C1B3" w14:textId="11416B3C" w:rsidR="00445FEC" w:rsidRPr="0008149D" w:rsidRDefault="001D23C9" w:rsidP="00445FEC">
      <w:pPr>
        <w:spacing w:before="200" w:line="300" w:lineRule="atLeast"/>
        <w:ind w:left="567" w:hanging="567"/>
        <w:rPr>
          <w:rFonts w:eastAsia="Times New Roman"/>
          <w:sz w:val="24"/>
          <w:szCs w:val="24"/>
          <w:lang w:eastAsia="en-AU"/>
        </w:rPr>
      </w:pPr>
      <w:r>
        <w:rPr>
          <w:rFonts w:eastAsia="Times New Roman"/>
          <w:sz w:val="24"/>
          <w:szCs w:val="24"/>
          <w:lang w:eastAsia="en-AU"/>
        </w:rPr>
        <w:t>9</w:t>
      </w:r>
      <w:r w:rsidR="00DC447D">
        <w:rPr>
          <w:rFonts w:eastAsia="Times New Roman"/>
          <w:sz w:val="24"/>
          <w:szCs w:val="24"/>
          <w:lang w:eastAsia="en-AU"/>
        </w:rPr>
        <w:t>.</w:t>
      </w:r>
      <w:r w:rsidR="00445FEC" w:rsidRPr="0008149D">
        <w:rPr>
          <w:rFonts w:eastAsia="Times New Roman"/>
          <w:sz w:val="24"/>
          <w:szCs w:val="24"/>
          <w:lang w:eastAsia="en-AU"/>
        </w:rPr>
        <w:tab/>
        <w:t xml:space="preserve">The legislative instrument applies in relation to the </w:t>
      </w:r>
      <w:r w:rsidR="00AC7041">
        <w:rPr>
          <w:rFonts w:eastAsia="Times New Roman"/>
          <w:b/>
          <w:sz w:val="24"/>
          <w:szCs w:val="24"/>
          <w:lang w:eastAsia="en-AU"/>
        </w:rPr>
        <w:t>20</w:t>
      </w:r>
      <w:r w:rsidR="00C57047">
        <w:rPr>
          <w:rFonts w:eastAsia="Times New Roman"/>
          <w:b/>
          <w:sz w:val="24"/>
          <w:szCs w:val="24"/>
          <w:lang w:eastAsia="en-AU"/>
        </w:rPr>
        <w:t>2</w:t>
      </w:r>
      <w:r w:rsidR="000C5894">
        <w:rPr>
          <w:rFonts w:eastAsia="Times New Roman"/>
          <w:b/>
          <w:sz w:val="24"/>
          <w:szCs w:val="24"/>
          <w:lang w:eastAsia="en-AU"/>
        </w:rPr>
        <w:t>2</w:t>
      </w:r>
      <w:r w:rsidR="00A76913">
        <w:rPr>
          <w:rFonts w:eastAsia="Times New Roman"/>
          <w:b/>
          <w:sz w:val="24"/>
          <w:szCs w:val="24"/>
          <w:lang w:eastAsia="en-AU"/>
        </w:rPr>
        <w:t>-</w:t>
      </w:r>
      <w:r w:rsidR="00AC7041">
        <w:rPr>
          <w:rFonts w:eastAsia="Times New Roman"/>
          <w:b/>
          <w:sz w:val="24"/>
          <w:szCs w:val="24"/>
          <w:lang w:eastAsia="en-AU"/>
        </w:rPr>
        <w:t>2</w:t>
      </w:r>
      <w:r w:rsidR="000C5894">
        <w:rPr>
          <w:rFonts w:eastAsia="Times New Roman"/>
          <w:b/>
          <w:sz w:val="24"/>
          <w:szCs w:val="24"/>
          <w:lang w:eastAsia="en-AU"/>
        </w:rPr>
        <w:t>3</w:t>
      </w:r>
      <w:r w:rsidR="00445FEC" w:rsidRPr="0008149D">
        <w:rPr>
          <w:rFonts w:eastAsia="Times New Roman"/>
          <w:b/>
          <w:sz w:val="24"/>
          <w:szCs w:val="24"/>
          <w:lang w:eastAsia="en-AU"/>
        </w:rPr>
        <w:t xml:space="preserve"> financial year</w:t>
      </w:r>
      <w:r w:rsidR="00445FEC" w:rsidRPr="0008149D">
        <w:rPr>
          <w:rFonts w:eastAsia="Times New Roman"/>
          <w:sz w:val="24"/>
          <w:szCs w:val="24"/>
          <w:lang w:eastAsia="en-AU"/>
        </w:rPr>
        <w:t>.</w:t>
      </w:r>
    </w:p>
    <w:p w14:paraId="74B0AA18" w14:textId="6E779B03" w:rsidR="00445FEC" w:rsidRPr="0008149D" w:rsidRDefault="00445FEC" w:rsidP="00445FEC">
      <w:pPr>
        <w:spacing w:before="200" w:line="300" w:lineRule="atLeast"/>
        <w:ind w:left="567"/>
        <w:rPr>
          <w:rFonts w:eastAsia="Times New Roman"/>
          <w:sz w:val="24"/>
          <w:szCs w:val="24"/>
          <w:u w:val="single"/>
          <w:lang w:eastAsia="en-AU"/>
        </w:rPr>
      </w:pPr>
      <w:r w:rsidRPr="0008149D">
        <w:rPr>
          <w:rFonts w:eastAsia="Times New Roman"/>
          <w:sz w:val="24"/>
          <w:szCs w:val="24"/>
          <w:u w:val="single"/>
          <w:lang w:eastAsia="en-AU"/>
        </w:rPr>
        <w:t xml:space="preserve">Amount of ASIC’s regulatory costs for the </w:t>
      </w:r>
      <w:r w:rsidR="00AC7041">
        <w:rPr>
          <w:rFonts w:eastAsia="Times New Roman"/>
          <w:sz w:val="24"/>
          <w:szCs w:val="24"/>
          <w:u w:val="single"/>
          <w:lang w:eastAsia="en-AU"/>
        </w:rPr>
        <w:t>20</w:t>
      </w:r>
      <w:r w:rsidR="00C57047">
        <w:rPr>
          <w:rFonts w:eastAsia="Times New Roman"/>
          <w:sz w:val="24"/>
          <w:szCs w:val="24"/>
          <w:u w:val="single"/>
          <w:lang w:eastAsia="en-AU"/>
        </w:rPr>
        <w:t>2</w:t>
      </w:r>
      <w:r w:rsidR="000C5894">
        <w:rPr>
          <w:rFonts w:eastAsia="Times New Roman"/>
          <w:sz w:val="24"/>
          <w:szCs w:val="24"/>
          <w:u w:val="single"/>
          <w:lang w:eastAsia="en-AU"/>
        </w:rPr>
        <w:t>2</w:t>
      </w:r>
      <w:r w:rsidR="00A76913">
        <w:rPr>
          <w:rFonts w:eastAsia="Times New Roman"/>
          <w:sz w:val="24"/>
          <w:szCs w:val="24"/>
          <w:u w:val="single"/>
          <w:lang w:eastAsia="en-AU"/>
        </w:rPr>
        <w:t>-</w:t>
      </w:r>
      <w:r w:rsidR="00AC7041">
        <w:rPr>
          <w:rFonts w:eastAsia="Times New Roman"/>
          <w:sz w:val="24"/>
          <w:szCs w:val="24"/>
          <w:u w:val="single"/>
          <w:lang w:eastAsia="en-AU"/>
        </w:rPr>
        <w:t>2</w:t>
      </w:r>
      <w:r w:rsidR="000C5894">
        <w:rPr>
          <w:rFonts w:eastAsia="Times New Roman"/>
          <w:sz w:val="24"/>
          <w:szCs w:val="24"/>
          <w:u w:val="single"/>
          <w:lang w:eastAsia="en-AU"/>
        </w:rPr>
        <w:t>3</w:t>
      </w:r>
      <w:r w:rsidRPr="0008149D">
        <w:rPr>
          <w:rFonts w:eastAsia="Times New Roman"/>
          <w:sz w:val="24"/>
          <w:szCs w:val="24"/>
          <w:u w:val="single"/>
          <w:lang w:eastAsia="en-AU"/>
        </w:rPr>
        <w:t xml:space="preserve"> financial year</w:t>
      </w:r>
    </w:p>
    <w:p w14:paraId="387A5228" w14:textId="77777777" w:rsidR="00445FEC" w:rsidRPr="0008149D" w:rsidRDefault="00445FEC" w:rsidP="00445FEC">
      <w:pPr>
        <w:spacing w:line="240" w:lineRule="auto"/>
        <w:ind w:left="567" w:hanging="567"/>
        <w:rPr>
          <w:rFonts w:eastAsia="Times New Roman"/>
          <w:sz w:val="24"/>
          <w:szCs w:val="24"/>
          <w:lang w:eastAsia="en-AU"/>
        </w:rPr>
      </w:pPr>
    </w:p>
    <w:p w14:paraId="47AE90B0" w14:textId="63FBAD03" w:rsidR="00445FEC" w:rsidRPr="0008149D" w:rsidRDefault="0086041A" w:rsidP="00445FEC">
      <w:pPr>
        <w:spacing w:line="240" w:lineRule="auto"/>
        <w:ind w:left="567" w:hanging="567"/>
        <w:rPr>
          <w:rFonts w:eastAsia="Times New Roman"/>
          <w:sz w:val="24"/>
          <w:szCs w:val="24"/>
          <w:lang w:eastAsia="en-AU"/>
        </w:rPr>
      </w:pPr>
      <w:bookmarkStart w:id="1" w:name="_Hlk56496621"/>
      <w:r>
        <w:rPr>
          <w:rFonts w:eastAsia="Times New Roman"/>
          <w:sz w:val="24"/>
          <w:szCs w:val="24"/>
          <w:lang w:eastAsia="en-AU"/>
        </w:rPr>
        <w:t>1</w:t>
      </w:r>
      <w:r w:rsidR="001D23C9">
        <w:rPr>
          <w:rFonts w:eastAsia="Times New Roman"/>
          <w:sz w:val="24"/>
          <w:szCs w:val="24"/>
          <w:lang w:eastAsia="en-AU"/>
        </w:rPr>
        <w:t>0</w:t>
      </w:r>
      <w:r>
        <w:rPr>
          <w:rFonts w:eastAsia="Times New Roman"/>
          <w:sz w:val="24"/>
          <w:szCs w:val="24"/>
          <w:lang w:eastAsia="en-AU"/>
        </w:rPr>
        <w:t>.</w:t>
      </w:r>
      <w:r w:rsidR="00445FEC" w:rsidRPr="0008149D">
        <w:rPr>
          <w:rFonts w:eastAsia="Times New Roman"/>
          <w:sz w:val="24"/>
          <w:szCs w:val="24"/>
          <w:lang w:eastAsia="en-AU"/>
        </w:rPr>
        <w:tab/>
        <w:t>Section 6 of the instrument specifies the amount of ASIC’s regulatory costs for the financial year. ASIC’s regulatory costs were</w:t>
      </w:r>
      <w:r w:rsidR="002363F0">
        <w:rPr>
          <w:rFonts w:eastAsia="Times New Roman"/>
          <w:sz w:val="24"/>
          <w:szCs w:val="24"/>
          <w:lang w:eastAsia="en-AU"/>
        </w:rPr>
        <w:t xml:space="preserve"> </w:t>
      </w:r>
      <w:r w:rsidR="002363F0" w:rsidRPr="002363F0">
        <w:rPr>
          <w:rFonts w:eastAsia="Times New Roman"/>
          <w:sz w:val="24"/>
          <w:szCs w:val="24"/>
          <w:lang w:eastAsia="en-AU"/>
        </w:rPr>
        <w:t>$</w:t>
      </w:r>
      <w:r w:rsidR="00A55D60" w:rsidRPr="00A55D60">
        <w:rPr>
          <w:rFonts w:eastAsia="Times New Roman"/>
          <w:sz w:val="24"/>
          <w:szCs w:val="24"/>
          <w:lang w:eastAsia="en-AU"/>
        </w:rPr>
        <w:t>349,53</w:t>
      </w:r>
      <w:r w:rsidR="00432C4A">
        <w:rPr>
          <w:rFonts w:eastAsia="Times New Roman"/>
          <w:sz w:val="24"/>
          <w:szCs w:val="24"/>
          <w:lang w:eastAsia="en-AU"/>
        </w:rPr>
        <w:t>1</w:t>
      </w:r>
      <w:r w:rsidR="00A55D60" w:rsidRPr="00A55D60">
        <w:rPr>
          <w:rFonts w:eastAsia="Times New Roman"/>
          <w:sz w:val="24"/>
          <w:szCs w:val="24"/>
          <w:lang w:eastAsia="en-AU"/>
        </w:rPr>
        <w:t>,836</w:t>
      </w:r>
      <w:r w:rsidR="002363F0">
        <w:rPr>
          <w:rFonts w:eastAsia="Times New Roman"/>
          <w:sz w:val="24"/>
          <w:szCs w:val="24"/>
          <w:lang w:eastAsia="en-AU"/>
        </w:rPr>
        <w:t>.</w:t>
      </w:r>
      <w:r w:rsidR="00445FEC" w:rsidRPr="0008149D">
        <w:rPr>
          <w:rFonts w:eastAsia="Times New Roman"/>
          <w:sz w:val="24"/>
          <w:szCs w:val="24"/>
          <w:lang w:eastAsia="en-AU"/>
        </w:rPr>
        <w:t xml:space="preserve"> </w:t>
      </w:r>
    </w:p>
    <w:p w14:paraId="0EF186B5" w14:textId="77777777" w:rsidR="00445FEC" w:rsidRPr="0008149D" w:rsidRDefault="00445FEC" w:rsidP="00445FEC">
      <w:pPr>
        <w:spacing w:line="240" w:lineRule="auto"/>
        <w:ind w:left="567" w:hanging="567"/>
        <w:rPr>
          <w:rFonts w:eastAsia="Times New Roman"/>
          <w:sz w:val="24"/>
          <w:szCs w:val="24"/>
          <w:lang w:eastAsia="en-AU"/>
        </w:rPr>
      </w:pPr>
    </w:p>
    <w:p w14:paraId="62C98E44" w14:textId="6D6E040E" w:rsidR="00445FEC" w:rsidRPr="0008149D" w:rsidRDefault="0086041A" w:rsidP="00445FEC">
      <w:pPr>
        <w:spacing w:line="240" w:lineRule="auto"/>
        <w:ind w:left="567" w:hanging="567"/>
        <w:rPr>
          <w:rFonts w:eastAsia="Times New Roman"/>
          <w:sz w:val="24"/>
          <w:szCs w:val="24"/>
          <w:lang w:eastAsia="en-AU"/>
        </w:rPr>
      </w:pPr>
      <w:r>
        <w:rPr>
          <w:rFonts w:eastAsia="Times New Roman"/>
          <w:sz w:val="24"/>
          <w:szCs w:val="24"/>
          <w:lang w:eastAsia="en-AU"/>
        </w:rPr>
        <w:t>1</w:t>
      </w:r>
      <w:r w:rsidR="001D23C9">
        <w:rPr>
          <w:rFonts w:eastAsia="Times New Roman"/>
          <w:sz w:val="24"/>
          <w:szCs w:val="24"/>
          <w:lang w:eastAsia="en-AU"/>
        </w:rPr>
        <w:t>1</w:t>
      </w:r>
      <w:r>
        <w:rPr>
          <w:rFonts w:eastAsia="Times New Roman"/>
          <w:sz w:val="24"/>
          <w:szCs w:val="24"/>
          <w:lang w:eastAsia="en-AU"/>
        </w:rPr>
        <w:t>.</w:t>
      </w:r>
      <w:r w:rsidR="00445FEC" w:rsidRPr="0008149D">
        <w:rPr>
          <w:rFonts w:eastAsia="Times New Roman"/>
          <w:sz w:val="24"/>
          <w:szCs w:val="24"/>
          <w:lang w:eastAsia="en-AU"/>
        </w:rPr>
        <w:tab/>
        <w:t xml:space="preserve">ASIC confirms that the amount of its regulatory costs for </w:t>
      </w:r>
      <w:r w:rsidR="00445FEC" w:rsidRPr="002363F0">
        <w:rPr>
          <w:rFonts w:eastAsia="Times New Roman"/>
          <w:sz w:val="24"/>
          <w:szCs w:val="24"/>
          <w:lang w:eastAsia="en-AU"/>
        </w:rPr>
        <w:t>the financial year does not exceed the sum of all amounts appropriated by the Parliament for the purposes of ASIC for the financial year, that sum being $</w:t>
      </w:r>
      <w:r w:rsidR="00FE48C1">
        <w:rPr>
          <w:rFonts w:eastAsia="Times New Roman"/>
          <w:sz w:val="24"/>
          <w:szCs w:val="24"/>
          <w:lang w:eastAsia="en-AU"/>
        </w:rPr>
        <w:t>426,323,000</w:t>
      </w:r>
      <w:r w:rsidR="006141D9" w:rsidRPr="002363F0">
        <w:rPr>
          <w:rFonts w:eastAsia="Times New Roman"/>
          <w:sz w:val="24"/>
          <w:szCs w:val="24"/>
          <w:lang w:eastAsia="en-AU"/>
        </w:rPr>
        <w:t>.</w:t>
      </w:r>
    </w:p>
    <w:bookmarkEnd w:id="1"/>
    <w:p w14:paraId="6963AF9A" w14:textId="77777777" w:rsidR="00445FEC" w:rsidRPr="0008149D" w:rsidRDefault="00445FEC" w:rsidP="00445FEC">
      <w:pPr>
        <w:spacing w:line="240" w:lineRule="auto"/>
        <w:ind w:left="567" w:hanging="567"/>
        <w:rPr>
          <w:rFonts w:eastAsia="Times New Roman"/>
          <w:sz w:val="24"/>
          <w:szCs w:val="24"/>
          <w:lang w:eastAsia="en-AU"/>
        </w:rPr>
      </w:pPr>
    </w:p>
    <w:p w14:paraId="30548C2D" w14:textId="77777777" w:rsidR="00445FEC" w:rsidRPr="0008149D" w:rsidRDefault="0086041A" w:rsidP="00445FEC">
      <w:pPr>
        <w:spacing w:line="240" w:lineRule="auto"/>
        <w:ind w:left="567" w:hanging="567"/>
        <w:rPr>
          <w:rFonts w:eastAsia="Times New Roman"/>
          <w:sz w:val="24"/>
          <w:szCs w:val="24"/>
          <w:lang w:eastAsia="en-AU"/>
        </w:rPr>
      </w:pPr>
      <w:r>
        <w:rPr>
          <w:rFonts w:eastAsia="Times New Roman"/>
          <w:sz w:val="24"/>
          <w:szCs w:val="24"/>
          <w:lang w:eastAsia="en-AU"/>
        </w:rPr>
        <w:t>1</w:t>
      </w:r>
      <w:r w:rsidR="001D23C9">
        <w:rPr>
          <w:rFonts w:eastAsia="Times New Roman"/>
          <w:sz w:val="24"/>
          <w:szCs w:val="24"/>
          <w:lang w:eastAsia="en-AU"/>
        </w:rPr>
        <w:t>2</w:t>
      </w:r>
      <w:r>
        <w:rPr>
          <w:rFonts w:eastAsia="Times New Roman"/>
          <w:sz w:val="24"/>
          <w:szCs w:val="24"/>
          <w:lang w:eastAsia="en-AU"/>
        </w:rPr>
        <w:t>.</w:t>
      </w:r>
      <w:r w:rsidR="00445FEC" w:rsidRPr="0008149D">
        <w:rPr>
          <w:rFonts w:eastAsia="Times New Roman"/>
          <w:sz w:val="24"/>
          <w:szCs w:val="24"/>
          <w:lang w:eastAsia="en-AU"/>
        </w:rPr>
        <w:tab/>
        <w:t>ASIC confirms that the amount of its regulatory costs for the financial year did</w:t>
      </w:r>
      <w:r w:rsidR="007F7DFF">
        <w:rPr>
          <w:rFonts w:eastAsia="Times New Roman"/>
          <w:sz w:val="24"/>
          <w:szCs w:val="24"/>
          <w:lang w:eastAsia="en-AU"/>
        </w:rPr>
        <w:t> </w:t>
      </w:r>
      <w:r w:rsidR="00445FEC" w:rsidRPr="0008149D">
        <w:rPr>
          <w:rFonts w:eastAsia="Times New Roman"/>
          <w:i/>
          <w:sz w:val="24"/>
          <w:szCs w:val="24"/>
          <w:lang w:eastAsia="en-AU"/>
        </w:rPr>
        <w:t>not</w:t>
      </w:r>
      <w:r w:rsidR="00445FEC" w:rsidRPr="0008149D">
        <w:rPr>
          <w:rFonts w:eastAsia="Times New Roman"/>
          <w:sz w:val="24"/>
          <w:szCs w:val="24"/>
          <w:lang w:eastAsia="en-AU"/>
        </w:rPr>
        <w:t xml:space="preserve"> include:</w:t>
      </w:r>
      <w:r w:rsidR="00A76913">
        <w:rPr>
          <w:rFonts w:eastAsia="Times New Roman"/>
          <w:sz w:val="24"/>
          <w:szCs w:val="24"/>
          <w:lang w:eastAsia="en-AU"/>
        </w:rPr>
        <w:t xml:space="preserve"> </w:t>
      </w:r>
    </w:p>
    <w:p w14:paraId="36925D09" w14:textId="77777777" w:rsidR="00445FEC" w:rsidRPr="0008149D" w:rsidRDefault="00445FEC" w:rsidP="00445FEC">
      <w:pPr>
        <w:spacing w:line="240" w:lineRule="auto"/>
        <w:ind w:left="567" w:hanging="567"/>
        <w:rPr>
          <w:rFonts w:eastAsia="Times New Roman"/>
          <w:sz w:val="24"/>
          <w:szCs w:val="24"/>
          <w:lang w:eastAsia="en-AU"/>
        </w:rPr>
      </w:pPr>
    </w:p>
    <w:p w14:paraId="2807EF13" w14:textId="77777777" w:rsidR="00445FEC" w:rsidRPr="0008149D" w:rsidRDefault="00445FEC" w:rsidP="00445FEC">
      <w:pPr>
        <w:spacing w:line="240" w:lineRule="auto"/>
        <w:ind w:left="1134" w:hanging="567"/>
        <w:rPr>
          <w:rFonts w:eastAsia="Times New Roman"/>
          <w:sz w:val="24"/>
          <w:szCs w:val="24"/>
          <w:lang w:eastAsia="en-AU"/>
        </w:rPr>
      </w:pPr>
      <w:r w:rsidRPr="0008149D">
        <w:rPr>
          <w:rFonts w:eastAsia="Times New Roman"/>
          <w:sz w:val="24"/>
          <w:szCs w:val="24"/>
          <w:lang w:eastAsia="en-AU"/>
        </w:rPr>
        <w:t>(a)</w:t>
      </w:r>
      <w:r w:rsidRPr="0008149D">
        <w:rPr>
          <w:rFonts w:eastAsia="Times New Roman"/>
          <w:sz w:val="24"/>
          <w:szCs w:val="24"/>
          <w:lang w:eastAsia="en-AU"/>
        </w:rPr>
        <w:tab/>
        <w:t>any amounts relating directly to the regulation of persons and entities that are not leviable </w:t>
      </w:r>
      <w:proofErr w:type="gramStart"/>
      <w:r w:rsidRPr="0008149D">
        <w:rPr>
          <w:rFonts w:eastAsia="Times New Roman"/>
          <w:sz w:val="24"/>
          <w:szCs w:val="24"/>
          <w:lang w:eastAsia="en-AU"/>
        </w:rPr>
        <w:t>entities;</w:t>
      </w:r>
      <w:proofErr w:type="gramEnd"/>
    </w:p>
    <w:p w14:paraId="536B6658" w14:textId="77777777" w:rsidR="00445FEC" w:rsidRPr="0008149D" w:rsidRDefault="00445FEC" w:rsidP="00445FEC">
      <w:pPr>
        <w:spacing w:line="240" w:lineRule="auto"/>
        <w:ind w:left="1134" w:hanging="567"/>
        <w:rPr>
          <w:rFonts w:eastAsia="Times New Roman"/>
          <w:sz w:val="24"/>
          <w:szCs w:val="24"/>
          <w:lang w:eastAsia="en-AU"/>
        </w:rPr>
      </w:pPr>
    </w:p>
    <w:p w14:paraId="5A4231E2" w14:textId="77777777" w:rsidR="00445FEC" w:rsidRPr="0008149D" w:rsidRDefault="00445FEC" w:rsidP="00445FEC">
      <w:pPr>
        <w:spacing w:line="240" w:lineRule="auto"/>
        <w:ind w:left="1134" w:hanging="567"/>
        <w:rPr>
          <w:rFonts w:eastAsia="Times New Roman"/>
          <w:sz w:val="24"/>
          <w:szCs w:val="24"/>
          <w:lang w:eastAsia="en-AU"/>
        </w:rPr>
      </w:pPr>
      <w:r w:rsidRPr="0E1ECF8E">
        <w:rPr>
          <w:rFonts w:eastAsia="Times New Roman"/>
          <w:sz w:val="24"/>
          <w:szCs w:val="24"/>
          <w:lang w:eastAsia="en-AU"/>
        </w:rPr>
        <w:t>(b)</w:t>
      </w:r>
      <w:r>
        <w:tab/>
      </w:r>
      <w:r w:rsidRPr="0E1ECF8E">
        <w:rPr>
          <w:rFonts w:eastAsia="Times New Roman"/>
          <w:sz w:val="24"/>
          <w:szCs w:val="24"/>
          <w:lang w:eastAsia="en-AU"/>
        </w:rPr>
        <w:t xml:space="preserve">any costs giving rise to amounts debited from a special account established under paragraph 78(1)(a) of the </w:t>
      </w:r>
      <w:r w:rsidRPr="0E1ECF8E">
        <w:rPr>
          <w:rFonts w:eastAsia="Times New Roman"/>
          <w:i/>
          <w:iCs/>
          <w:sz w:val="24"/>
          <w:szCs w:val="24"/>
          <w:lang w:eastAsia="en-AU"/>
        </w:rPr>
        <w:t>Public Governance, Performance and Accountability Act 2013</w:t>
      </w:r>
      <w:r w:rsidRPr="0E1ECF8E">
        <w:rPr>
          <w:rFonts w:eastAsia="Times New Roman"/>
          <w:sz w:val="24"/>
          <w:szCs w:val="24"/>
          <w:lang w:eastAsia="en-AU"/>
        </w:rPr>
        <w:t>; or</w:t>
      </w:r>
    </w:p>
    <w:p w14:paraId="388084DE" w14:textId="77777777" w:rsidR="00445FEC" w:rsidRPr="0008149D" w:rsidRDefault="00445FEC" w:rsidP="00445FEC">
      <w:pPr>
        <w:spacing w:line="240" w:lineRule="auto"/>
        <w:ind w:left="1134" w:hanging="567"/>
        <w:rPr>
          <w:rFonts w:eastAsia="Times New Roman"/>
          <w:sz w:val="24"/>
          <w:szCs w:val="24"/>
          <w:lang w:eastAsia="en-AU"/>
        </w:rPr>
      </w:pPr>
    </w:p>
    <w:p w14:paraId="3576035A" w14:textId="14BD95E3" w:rsidR="00445FEC" w:rsidRPr="0008149D" w:rsidRDefault="00445FEC" w:rsidP="00445FEC">
      <w:pPr>
        <w:spacing w:line="240" w:lineRule="auto"/>
        <w:ind w:left="1134" w:hanging="567"/>
        <w:rPr>
          <w:rFonts w:eastAsia="Times New Roman"/>
          <w:sz w:val="24"/>
          <w:szCs w:val="24"/>
          <w:lang w:eastAsia="en-AU"/>
        </w:rPr>
      </w:pPr>
      <w:r w:rsidRPr="0008149D">
        <w:rPr>
          <w:rFonts w:eastAsia="Times New Roman"/>
          <w:sz w:val="24"/>
          <w:szCs w:val="24"/>
          <w:lang w:eastAsia="en-AU"/>
        </w:rPr>
        <w:t>(c)</w:t>
      </w:r>
      <w:r w:rsidRPr="0008149D">
        <w:rPr>
          <w:rFonts w:eastAsia="Times New Roman"/>
          <w:sz w:val="24"/>
          <w:szCs w:val="24"/>
          <w:lang w:eastAsia="en-AU"/>
        </w:rPr>
        <w:tab/>
        <w:t xml:space="preserve">any costs of the kind mentioned in section 5 of the </w:t>
      </w:r>
      <w:bookmarkStart w:id="2" w:name="_Hlk524367745"/>
      <w:r w:rsidRPr="0008149D">
        <w:rPr>
          <w:rFonts w:eastAsia="Times New Roman"/>
          <w:sz w:val="24"/>
          <w:szCs w:val="24"/>
          <w:lang w:eastAsia="en-AU"/>
        </w:rPr>
        <w:t>Cost Recovery Regulations</w:t>
      </w:r>
      <w:bookmarkEnd w:id="2"/>
      <w:r w:rsidRPr="0008149D">
        <w:rPr>
          <w:rFonts w:eastAsia="Times New Roman"/>
          <w:sz w:val="24"/>
          <w:szCs w:val="24"/>
          <w:lang w:eastAsia="en-AU"/>
        </w:rPr>
        <w:t>.</w:t>
      </w:r>
    </w:p>
    <w:p w14:paraId="0B6B7136" w14:textId="77777777" w:rsidR="00445FEC" w:rsidRPr="0008149D" w:rsidRDefault="00445FEC" w:rsidP="00445FEC">
      <w:pPr>
        <w:spacing w:line="240" w:lineRule="auto"/>
        <w:ind w:left="567" w:hanging="567"/>
        <w:rPr>
          <w:rFonts w:eastAsia="Times New Roman"/>
          <w:sz w:val="24"/>
          <w:szCs w:val="24"/>
          <w:lang w:eastAsia="en-AU"/>
        </w:rPr>
      </w:pPr>
    </w:p>
    <w:p w14:paraId="33E2CC1B" w14:textId="77777777" w:rsidR="00445FEC" w:rsidRPr="0008149D" w:rsidRDefault="0086041A" w:rsidP="00445FEC">
      <w:pPr>
        <w:spacing w:line="240" w:lineRule="auto"/>
        <w:ind w:left="567" w:hanging="567"/>
        <w:rPr>
          <w:rFonts w:eastAsia="Times New Roman"/>
          <w:sz w:val="24"/>
          <w:szCs w:val="24"/>
          <w:lang w:eastAsia="en-AU"/>
        </w:rPr>
      </w:pPr>
      <w:bookmarkStart w:id="3" w:name="_Hlk524364724"/>
      <w:r>
        <w:rPr>
          <w:rFonts w:eastAsia="Times New Roman"/>
          <w:sz w:val="24"/>
          <w:szCs w:val="24"/>
          <w:lang w:eastAsia="en-AU"/>
        </w:rPr>
        <w:t>1</w:t>
      </w:r>
      <w:r w:rsidR="001D23C9">
        <w:rPr>
          <w:rFonts w:eastAsia="Times New Roman"/>
          <w:sz w:val="24"/>
          <w:szCs w:val="24"/>
          <w:lang w:eastAsia="en-AU"/>
        </w:rPr>
        <w:t>3</w:t>
      </w:r>
      <w:r>
        <w:rPr>
          <w:rFonts w:eastAsia="Times New Roman"/>
          <w:sz w:val="24"/>
          <w:szCs w:val="24"/>
          <w:lang w:eastAsia="en-AU"/>
        </w:rPr>
        <w:t>.</w:t>
      </w:r>
      <w:r w:rsidR="00445FEC" w:rsidRPr="0008149D">
        <w:rPr>
          <w:rFonts w:eastAsia="Times New Roman"/>
          <w:sz w:val="24"/>
          <w:szCs w:val="24"/>
          <w:lang w:eastAsia="en-AU"/>
        </w:rPr>
        <w:tab/>
        <w:t>ASIC confirms that the amount of its regulatory costs for the financial year included the following amounts:</w:t>
      </w:r>
    </w:p>
    <w:bookmarkEnd w:id="3"/>
    <w:p w14:paraId="1EBCF716" w14:textId="77777777" w:rsidR="00445FEC" w:rsidRPr="0008149D" w:rsidRDefault="00445FEC" w:rsidP="00445FEC">
      <w:pPr>
        <w:spacing w:line="240" w:lineRule="auto"/>
        <w:ind w:left="567" w:hanging="567"/>
        <w:rPr>
          <w:rFonts w:eastAsia="Times New Roman"/>
          <w:sz w:val="24"/>
          <w:szCs w:val="24"/>
          <w:lang w:eastAsia="en-AU"/>
        </w:rPr>
      </w:pPr>
    </w:p>
    <w:p w14:paraId="525FC136" w14:textId="77777777" w:rsidR="00445FEC" w:rsidRPr="0008149D" w:rsidRDefault="00445FEC" w:rsidP="00445FEC">
      <w:pPr>
        <w:spacing w:line="240" w:lineRule="auto"/>
        <w:ind w:left="1134" w:hanging="567"/>
        <w:rPr>
          <w:rFonts w:eastAsia="Times New Roman"/>
          <w:sz w:val="24"/>
          <w:szCs w:val="24"/>
          <w:lang w:eastAsia="en-AU"/>
        </w:rPr>
      </w:pPr>
      <w:r w:rsidRPr="0008149D">
        <w:rPr>
          <w:rFonts w:eastAsia="Times New Roman"/>
          <w:sz w:val="24"/>
          <w:szCs w:val="24"/>
          <w:lang w:eastAsia="en-AU"/>
        </w:rPr>
        <w:t>(a)</w:t>
      </w:r>
      <w:r w:rsidRPr="0008149D">
        <w:rPr>
          <w:rFonts w:eastAsia="Times New Roman"/>
          <w:sz w:val="24"/>
          <w:szCs w:val="24"/>
          <w:lang w:eastAsia="en-AU"/>
        </w:rPr>
        <w:tab/>
        <w:t>costs relating directly or indirectly to the regulation of leviable entities, including costs relating to surveillance, education, guidance, engagement with industry and policy </w:t>
      </w:r>
      <w:proofErr w:type="gramStart"/>
      <w:r w:rsidRPr="0008149D">
        <w:rPr>
          <w:rFonts w:eastAsia="Times New Roman"/>
          <w:sz w:val="24"/>
          <w:szCs w:val="24"/>
          <w:lang w:eastAsia="en-AU"/>
        </w:rPr>
        <w:t>advice;</w:t>
      </w:r>
      <w:proofErr w:type="gramEnd"/>
    </w:p>
    <w:p w14:paraId="3E8413A0" w14:textId="77777777" w:rsidR="00445FEC" w:rsidRPr="0008149D" w:rsidRDefault="00445FEC" w:rsidP="00445FEC">
      <w:pPr>
        <w:spacing w:line="240" w:lineRule="auto"/>
        <w:ind w:left="1134" w:hanging="567"/>
        <w:rPr>
          <w:rFonts w:eastAsia="Times New Roman"/>
          <w:sz w:val="24"/>
          <w:szCs w:val="24"/>
          <w:lang w:eastAsia="en-AU"/>
        </w:rPr>
      </w:pPr>
    </w:p>
    <w:p w14:paraId="6BF1C740" w14:textId="2C8D2B5C" w:rsidR="00445FEC" w:rsidRPr="0008149D" w:rsidRDefault="00445FEC" w:rsidP="00445FEC">
      <w:pPr>
        <w:spacing w:line="240" w:lineRule="auto"/>
        <w:ind w:left="1134" w:hanging="567"/>
        <w:rPr>
          <w:rFonts w:eastAsia="Times New Roman"/>
          <w:sz w:val="24"/>
          <w:szCs w:val="24"/>
          <w:lang w:eastAsia="en-AU"/>
        </w:rPr>
      </w:pPr>
      <w:r w:rsidRPr="0E1ECF8E">
        <w:rPr>
          <w:rFonts w:eastAsia="Times New Roman"/>
          <w:sz w:val="24"/>
          <w:szCs w:val="24"/>
          <w:lang w:eastAsia="en-AU"/>
        </w:rPr>
        <w:t>(b)</w:t>
      </w:r>
      <w:r>
        <w:tab/>
      </w:r>
      <w:r w:rsidRPr="0E1ECF8E">
        <w:rPr>
          <w:rFonts w:eastAsia="Times New Roman"/>
          <w:sz w:val="24"/>
          <w:szCs w:val="24"/>
          <w:lang w:eastAsia="en-AU"/>
        </w:rPr>
        <w:t xml:space="preserve">the total of all amounts that, in the financial year, are debited against an appropriation and credited to a special account established under paragraph 78(1)(a) of the </w:t>
      </w:r>
      <w:r w:rsidRPr="0E1ECF8E">
        <w:rPr>
          <w:rFonts w:eastAsia="Times New Roman"/>
          <w:i/>
          <w:iCs/>
          <w:sz w:val="24"/>
          <w:szCs w:val="24"/>
          <w:lang w:eastAsia="en-AU"/>
        </w:rPr>
        <w:t xml:space="preserve">Public Governance, Performance and </w:t>
      </w:r>
      <w:r w:rsidRPr="0E1ECF8E">
        <w:rPr>
          <w:rFonts w:eastAsia="Times New Roman"/>
          <w:i/>
          <w:iCs/>
          <w:sz w:val="24"/>
          <w:szCs w:val="24"/>
          <w:lang w:eastAsia="en-AU"/>
        </w:rPr>
        <w:lastRenderedPageBreak/>
        <w:t xml:space="preserve">Accountability Act 2013 </w:t>
      </w:r>
      <w:r w:rsidRPr="0E1ECF8E">
        <w:rPr>
          <w:rFonts w:eastAsia="Times New Roman"/>
          <w:sz w:val="24"/>
          <w:szCs w:val="24"/>
          <w:lang w:eastAsia="en-AU"/>
        </w:rPr>
        <w:t>(even if the debits from the special account in the financial year fall short of the amount of those credits)</w:t>
      </w:r>
      <w:r w:rsidR="003C29AA" w:rsidRPr="0E1ECF8E">
        <w:rPr>
          <w:rFonts w:eastAsia="Times New Roman"/>
          <w:sz w:val="24"/>
          <w:szCs w:val="24"/>
          <w:lang w:eastAsia="en-AU"/>
        </w:rPr>
        <w:t>.</w:t>
      </w:r>
    </w:p>
    <w:p w14:paraId="3575D232" w14:textId="77777777" w:rsidR="00F81145" w:rsidRPr="0008149D" w:rsidRDefault="00F81145" w:rsidP="00F85F4F">
      <w:pPr>
        <w:spacing w:line="240" w:lineRule="auto"/>
        <w:rPr>
          <w:rFonts w:eastAsia="Times New Roman"/>
          <w:sz w:val="24"/>
          <w:szCs w:val="24"/>
          <w:lang w:eastAsia="en-AU"/>
        </w:rPr>
      </w:pPr>
    </w:p>
    <w:p w14:paraId="040D8A08" w14:textId="7B7B8E71" w:rsidR="00445FEC" w:rsidRPr="000A264B" w:rsidRDefault="0086041A" w:rsidP="00445FEC">
      <w:pPr>
        <w:spacing w:line="240" w:lineRule="auto"/>
        <w:ind w:left="567" w:hanging="567"/>
        <w:rPr>
          <w:rFonts w:eastAsia="Times New Roman"/>
          <w:sz w:val="24"/>
          <w:szCs w:val="24"/>
          <w:lang w:eastAsia="en-AU"/>
        </w:rPr>
      </w:pPr>
      <w:bookmarkStart w:id="4" w:name="_Hlk56496639"/>
      <w:r w:rsidRPr="000A264B">
        <w:rPr>
          <w:rFonts w:eastAsia="Times New Roman"/>
          <w:sz w:val="24"/>
          <w:szCs w:val="24"/>
          <w:lang w:eastAsia="en-AU"/>
        </w:rPr>
        <w:t>1</w:t>
      </w:r>
      <w:r w:rsidR="001D23C9" w:rsidRPr="000A264B">
        <w:rPr>
          <w:rFonts w:eastAsia="Times New Roman"/>
          <w:sz w:val="24"/>
          <w:szCs w:val="24"/>
          <w:lang w:eastAsia="en-AU"/>
        </w:rPr>
        <w:t>4</w:t>
      </w:r>
      <w:r w:rsidRPr="000A264B">
        <w:rPr>
          <w:rFonts w:eastAsia="Times New Roman"/>
          <w:sz w:val="24"/>
          <w:szCs w:val="24"/>
          <w:lang w:eastAsia="en-AU"/>
        </w:rPr>
        <w:t>.</w:t>
      </w:r>
      <w:r w:rsidR="00445FEC" w:rsidRPr="000A264B">
        <w:rPr>
          <w:rFonts w:eastAsia="Times New Roman"/>
          <w:sz w:val="24"/>
          <w:szCs w:val="24"/>
          <w:lang w:eastAsia="en-AU"/>
        </w:rPr>
        <w:tab/>
      </w:r>
      <w:bookmarkStart w:id="5" w:name="_Hlk87288519"/>
      <w:r w:rsidR="00200E85" w:rsidRPr="00877568">
        <w:rPr>
          <w:rFonts w:eastAsia="Times New Roman"/>
          <w:sz w:val="24"/>
          <w:szCs w:val="24"/>
          <w:lang w:eastAsia="en-AU"/>
        </w:rPr>
        <w:t xml:space="preserve">ASIC’s regulatory costs for </w:t>
      </w:r>
      <w:r w:rsidR="00FA5486" w:rsidRPr="00877568">
        <w:rPr>
          <w:rFonts w:eastAsia="Times New Roman"/>
          <w:sz w:val="24"/>
          <w:szCs w:val="24"/>
          <w:lang w:eastAsia="en-AU"/>
        </w:rPr>
        <w:t xml:space="preserve">the </w:t>
      </w:r>
      <w:r w:rsidR="00200E85" w:rsidRPr="00877568">
        <w:rPr>
          <w:rFonts w:eastAsia="Times New Roman"/>
          <w:sz w:val="24"/>
          <w:szCs w:val="24"/>
          <w:lang w:eastAsia="en-AU"/>
        </w:rPr>
        <w:t>20</w:t>
      </w:r>
      <w:r w:rsidR="00C57047">
        <w:rPr>
          <w:rFonts w:eastAsia="Times New Roman"/>
          <w:sz w:val="24"/>
          <w:szCs w:val="24"/>
          <w:lang w:eastAsia="en-AU"/>
        </w:rPr>
        <w:t>2</w:t>
      </w:r>
      <w:r w:rsidR="002E4BDD">
        <w:rPr>
          <w:rFonts w:eastAsia="Times New Roman"/>
          <w:sz w:val="24"/>
          <w:szCs w:val="24"/>
          <w:lang w:eastAsia="en-AU"/>
        </w:rPr>
        <w:t>2</w:t>
      </w:r>
      <w:r w:rsidR="00FA5486" w:rsidRPr="00877568">
        <w:rPr>
          <w:rFonts w:eastAsia="Times New Roman"/>
          <w:sz w:val="24"/>
          <w:szCs w:val="24"/>
          <w:lang w:eastAsia="en-AU"/>
        </w:rPr>
        <w:t>-</w:t>
      </w:r>
      <w:r w:rsidR="00AC7041" w:rsidRPr="00877568">
        <w:rPr>
          <w:rFonts w:eastAsia="Times New Roman"/>
          <w:sz w:val="24"/>
          <w:szCs w:val="24"/>
          <w:lang w:eastAsia="en-AU"/>
        </w:rPr>
        <w:t>2</w:t>
      </w:r>
      <w:r w:rsidR="002E4BDD">
        <w:rPr>
          <w:rFonts w:eastAsia="Times New Roman"/>
          <w:sz w:val="24"/>
          <w:szCs w:val="24"/>
          <w:lang w:eastAsia="en-AU"/>
        </w:rPr>
        <w:t>3</w:t>
      </w:r>
      <w:r w:rsidR="00200E85" w:rsidRPr="00877568">
        <w:rPr>
          <w:rFonts w:eastAsia="Times New Roman"/>
          <w:sz w:val="24"/>
          <w:szCs w:val="24"/>
          <w:lang w:eastAsia="en-AU"/>
        </w:rPr>
        <w:t xml:space="preserve"> </w:t>
      </w:r>
      <w:r w:rsidR="00FA5486" w:rsidRPr="00877568">
        <w:rPr>
          <w:rFonts w:eastAsia="Times New Roman"/>
          <w:sz w:val="24"/>
          <w:szCs w:val="24"/>
          <w:lang w:eastAsia="en-AU"/>
        </w:rPr>
        <w:t>financial year was</w:t>
      </w:r>
      <w:r w:rsidR="00877568">
        <w:rPr>
          <w:rFonts w:eastAsia="Times New Roman"/>
          <w:sz w:val="24"/>
          <w:szCs w:val="24"/>
          <w:lang w:eastAsia="en-AU"/>
        </w:rPr>
        <w:t xml:space="preserve"> increased</w:t>
      </w:r>
      <w:r w:rsidR="00FA5486" w:rsidRPr="00877568">
        <w:rPr>
          <w:rFonts w:eastAsia="Times New Roman"/>
          <w:sz w:val="24"/>
          <w:szCs w:val="24"/>
          <w:lang w:eastAsia="en-AU"/>
        </w:rPr>
        <w:t xml:space="preserve"> </w:t>
      </w:r>
      <w:r w:rsidR="00DD0E82" w:rsidRPr="00877568">
        <w:rPr>
          <w:rFonts w:eastAsia="Times New Roman"/>
          <w:sz w:val="24"/>
          <w:szCs w:val="24"/>
          <w:lang w:eastAsia="en-AU"/>
        </w:rPr>
        <w:t xml:space="preserve">by </w:t>
      </w:r>
      <w:r w:rsidR="00B42CFB" w:rsidRPr="0047501A">
        <w:rPr>
          <w:rFonts w:eastAsia="Times New Roman"/>
          <w:sz w:val="24"/>
          <w:szCs w:val="24"/>
          <w:lang w:eastAsia="en-AU"/>
        </w:rPr>
        <w:t>$</w:t>
      </w:r>
      <w:r w:rsidR="002425FB">
        <w:rPr>
          <w:rFonts w:eastAsia="Times New Roman"/>
          <w:sz w:val="24"/>
          <w:szCs w:val="24"/>
          <w:lang w:eastAsia="en-AU"/>
        </w:rPr>
        <w:t>3,725,646</w:t>
      </w:r>
      <w:r w:rsidR="0047501A" w:rsidRPr="002363F0">
        <w:rPr>
          <w:rFonts w:eastAsia="Times New Roman"/>
          <w:sz w:val="24"/>
          <w:szCs w:val="24"/>
          <w:lang w:eastAsia="en-AU"/>
        </w:rPr>
        <w:t xml:space="preserve"> </w:t>
      </w:r>
      <w:r w:rsidR="00200E85" w:rsidRPr="002363F0">
        <w:rPr>
          <w:rFonts w:eastAsia="Times New Roman"/>
          <w:sz w:val="24"/>
          <w:szCs w:val="24"/>
          <w:lang w:eastAsia="en-AU"/>
        </w:rPr>
        <w:t>to</w:t>
      </w:r>
      <w:r w:rsidR="00200E85" w:rsidRPr="00877568">
        <w:rPr>
          <w:rFonts w:eastAsia="Times New Roman"/>
          <w:sz w:val="24"/>
          <w:szCs w:val="24"/>
          <w:lang w:eastAsia="en-AU"/>
        </w:rPr>
        <w:t xml:space="preserve"> </w:t>
      </w:r>
      <w:r w:rsidR="0055349C" w:rsidRPr="00877568">
        <w:rPr>
          <w:rFonts w:eastAsia="Times New Roman"/>
          <w:sz w:val="24"/>
          <w:szCs w:val="24"/>
          <w:lang w:eastAsia="en-AU"/>
        </w:rPr>
        <w:t xml:space="preserve">take </w:t>
      </w:r>
      <w:r w:rsidR="00200E85" w:rsidRPr="00877568">
        <w:rPr>
          <w:rFonts w:eastAsia="Times New Roman"/>
          <w:sz w:val="24"/>
          <w:szCs w:val="24"/>
          <w:lang w:eastAsia="en-AU"/>
        </w:rPr>
        <w:t xml:space="preserve">account </w:t>
      </w:r>
      <w:r w:rsidR="0055349C" w:rsidRPr="00877568">
        <w:rPr>
          <w:rFonts w:eastAsia="Times New Roman"/>
          <w:sz w:val="24"/>
          <w:szCs w:val="24"/>
          <w:lang w:eastAsia="en-AU"/>
        </w:rPr>
        <w:t xml:space="preserve">of </w:t>
      </w:r>
      <w:r w:rsidR="00FA5486" w:rsidRPr="00877568">
        <w:rPr>
          <w:rFonts w:eastAsia="Times New Roman"/>
          <w:sz w:val="24"/>
          <w:szCs w:val="24"/>
          <w:lang w:eastAsia="en-AU"/>
        </w:rPr>
        <w:t xml:space="preserve">the </w:t>
      </w:r>
      <w:r w:rsidR="00877568">
        <w:rPr>
          <w:rFonts w:eastAsia="Times New Roman"/>
          <w:sz w:val="24"/>
          <w:szCs w:val="24"/>
          <w:lang w:eastAsia="en-AU"/>
        </w:rPr>
        <w:t>shortfall</w:t>
      </w:r>
      <w:r w:rsidR="00FA5486" w:rsidRPr="00877568">
        <w:rPr>
          <w:rFonts w:eastAsia="Times New Roman"/>
          <w:sz w:val="24"/>
          <w:szCs w:val="24"/>
          <w:lang w:eastAsia="en-AU"/>
        </w:rPr>
        <w:t xml:space="preserve"> of collected levy for the </w:t>
      </w:r>
      <w:r w:rsidR="00AC7041" w:rsidRPr="00877568">
        <w:rPr>
          <w:rFonts w:eastAsia="Times New Roman"/>
          <w:sz w:val="24"/>
          <w:szCs w:val="24"/>
          <w:lang w:eastAsia="en-AU"/>
        </w:rPr>
        <w:t>20</w:t>
      </w:r>
      <w:r w:rsidR="005402B2">
        <w:rPr>
          <w:rFonts w:eastAsia="Times New Roman"/>
          <w:sz w:val="24"/>
          <w:szCs w:val="24"/>
          <w:lang w:eastAsia="en-AU"/>
        </w:rPr>
        <w:t>2</w:t>
      </w:r>
      <w:r w:rsidR="00882E93">
        <w:rPr>
          <w:rFonts w:eastAsia="Times New Roman"/>
          <w:sz w:val="24"/>
          <w:szCs w:val="24"/>
          <w:lang w:eastAsia="en-AU"/>
        </w:rPr>
        <w:t>1</w:t>
      </w:r>
      <w:r w:rsidR="00200E85" w:rsidRPr="00877568">
        <w:rPr>
          <w:rFonts w:eastAsia="Times New Roman"/>
          <w:sz w:val="24"/>
          <w:szCs w:val="24"/>
          <w:lang w:eastAsia="en-AU"/>
        </w:rPr>
        <w:t>-</w:t>
      </w:r>
      <w:r w:rsidR="00C57047">
        <w:rPr>
          <w:rFonts w:eastAsia="Times New Roman"/>
          <w:sz w:val="24"/>
          <w:szCs w:val="24"/>
          <w:lang w:eastAsia="en-AU"/>
        </w:rPr>
        <w:t>2</w:t>
      </w:r>
      <w:r w:rsidR="00882E93">
        <w:rPr>
          <w:rFonts w:eastAsia="Times New Roman"/>
          <w:sz w:val="24"/>
          <w:szCs w:val="24"/>
          <w:lang w:eastAsia="en-AU"/>
        </w:rPr>
        <w:t>2</w:t>
      </w:r>
      <w:r w:rsidR="00FA5486" w:rsidRPr="00877568">
        <w:rPr>
          <w:rFonts w:eastAsia="Times New Roman"/>
          <w:sz w:val="24"/>
          <w:szCs w:val="24"/>
          <w:lang w:eastAsia="en-AU"/>
        </w:rPr>
        <w:t xml:space="preserve"> financial</w:t>
      </w:r>
      <w:r w:rsidR="00FA5486">
        <w:rPr>
          <w:rFonts w:eastAsia="Times New Roman"/>
          <w:sz w:val="24"/>
          <w:szCs w:val="24"/>
          <w:lang w:eastAsia="en-AU"/>
        </w:rPr>
        <w:t xml:space="preserve"> year</w:t>
      </w:r>
      <w:r w:rsidR="000B77FE">
        <w:rPr>
          <w:rFonts w:eastAsia="Times New Roman"/>
          <w:sz w:val="24"/>
          <w:szCs w:val="24"/>
          <w:lang w:eastAsia="en-AU"/>
        </w:rPr>
        <w:t xml:space="preserve"> (but not taking account the shortfall to the extent it arises because of a waiver under section 15 of the </w:t>
      </w:r>
      <w:r w:rsidR="000B77FE" w:rsidRPr="0008149D">
        <w:rPr>
          <w:rFonts w:eastAsia="Times New Roman"/>
          <w:i/>
          <w:sz w:val="24"/>
          <w:szCs w:val="24"/>
          <w:lang w:eastAsia="en-AU"/>
        </w:rPr>
        <w:t xml:space="preserve">ASIC Supervisory Cost Recovery Levy </w:t>
      </w:r>
      <w:r w:rsidR="000B77FE">
        <w:rPr>
          <w:rFonts w:eastAsia="Times New Roman"/>
          <w:i/>
          <w:sz w:val="24"/>
          <w:szCs w:val="24"/>
          <w:lang w:eastAsia="en-AU"/>
        </w:rPr>
        <w:t>(Collection) Act 2017</w:t>
      </w:r>
      <w:r w:rsidR="000B77FE">
        <w:rPr>
          <w:rFonts w:eastAsia="Times New Roman"/>
          <w:iCs/>
          <w:sz w:val="24"/>
          <w:szCs w:val="24"/>
          <w:lang w:eastAsia="en-AU"/>
        </w:rPr>
        <w:t>)</w:t>
      </w:r>
      <w:r w:rsidR="00200E85" w:rsidRPr="000A264B">
        <w:rPr>
          <w:rFonts w:eastAsia="Times New Roman"/>
          <w:sz w:val="24"/>
          <w:szCs w:val="24"/>
          <w:lang w:eastAsia="en-AU"/>
        </w:rPr>
        <w:t xml:space="preserve">. </w:t>
      </w:r>
      <w:bookmarkEnd w:id="5"/>
    </w:p>
    <w:bookmarkEnd w:id="4"/>
    <w:p w14:paraId="1674FB6C" w14:textId="648BBB8F" w:rsidR="00445FEC" w:rsidRPr="0008149D" w:rsidRDefault="00445FEC" w:rsidP="00445FEC">
      <w:pPr>
        <w:spacing w:before="200" w:line="300" w:lineRule="atLeast"/>
        <w:ind w:left="567"/>
        <w:rPr>
          <w:rFonts w:eastAsia="Times New Roman"/>
          <w:sz w:val="24"/>
          <w:szCs w:val="24"/>
          <w:u w:val="single"/>
          <w:lang w:eastAsia="en-AU"/>
        </w:rPr>
      </w:pPr>
      <w:r w:rsidRPr="0008149D">
        <w:rPr>
          <w:rFonts w:eastAsia="Times New Roman"/>
          <w:sz w:val="24"/>
          <w:szCs w:val="24"/>
          <w:u w:val="single"/>
          <w:lang w:eastAsia="en-AU"/>
        </w:rPr>
        <w:t xml:space="preserve">Attribution of costs to sub-sectors for the </w:t>
      </w:r>
      <w:r w:rsidR="00AC7041">
        <w:rPr>
          <w:rFonts w:eastAsia="Times New Roman"/>
          <w:sz w:val="24"/>
          <w:szCs w:val="24"/>
          <w:u w:val="single"/>
          <w:lang w:eastAsia="en-AU"/>
        </w:rPr>
        <w:t>20</w:t>
      </w:r>
      <w:r w:rsidR="00C57047">
        <w:rPr>
          <w:rFonts w:eastAsia="Times New Roman"/>
          <w:sz w:val="24"/>
          <w:szCs w:val="24"/>
          <w:u w:val="single"/>
          <w:lang w:eastAsia="en-AU"/>
        </w:rPr>
        <w:t>2</w:t>
      </w:r>
      <w:r w:rsidR="00882E93">
        <w:rPr>
          <w:rFonts w:eastAsia="Times New Roman"/>
          <w:sz w:val="24"/>
          <w:szCs w:val="24"/>
          <w:u w:val="single"/>
          <w:lang w:eastAsia="en-AU"/>
        </w:rPr>
        <w:t>2</w:t>
      </w:r>
      <w:r w:rsidRPr="0008149D">
        <w:rPr>
          <w:rFonts w:eastAsia="Times New Roman"/>
          <w:sz w:val="24"/>
          <w:szCs w:val="24"/>
          <w:u w:val="single"/>
          <w:lang w:eastAsia="en-AU"/>
        </w:rPr>
        <w:t>–</w:t>
      </w:r>
      <w:r w:rsidR="00AC7041">
        <w:rPr>
          <w:rFonts w:eastAsia="Times New Roman"/>
          <w:sz w:val="24"/>
          <w:szCs w:val="24"/>
          <w:u w:val="single"/>
          <w:lang w:eastAsia="en-AU"/>
        </w:rPr>
        <w:t>2</w:t>
      </w:r>
      <w:r w:rsidR="00882E93">
        <w:rPr>
          <w:rFonts w:eastAsia="Times New Roman"/>
          <w:sz w:val="24"/>
          <w:szCs w:val="24"/>
          <w:u w:val="single"/>
          <w:lang w:eastAsia="en-AU"/>
        </w:rPr>
        <w:t>3</w:t>
      </w:r>
      <w:r w:rsidRPr="0008149D">
        <w:rPr>
          <w:rFonts w:eastAsia="Times New Roman"/>
          <w:sz w:val="24"/>
          <w:szCs w:val="24"/>
          <w:u w:val="single"/>
          <w:lang w:eastAsia="en-AU"/>
        </w:rPr>
        <w:t xml:space="preserve"> financial year</w:t>
      </w:r>
    </w:p>
    <w:p w14:paraId="20DE1FA6" w14:textId="77777777" w:rsidR="00445FEC" w:rsidRPr="0008149D" w:rsidRDefault="00445FEC" w:rsidP="00445FEC">
      <w:pPr>
        <w:spacing w:line="240" w:lineRule="auto"/>
        <w:ind w:left="567" w:hanging="567"/>
        <w:rPr>
          <w:rFonts w:eastAsia="Times New Roman"/>
          <w:sz w:val="24"/>
          <w:szCs w:val="24"/>
          <w:lang w:eastAsia="en-AU"/>
        </w:rPr>
      </w:pPr>
    </w:p>
    <w:p w14:paraId="0470ECBD" w14:textId="77777777" w:rsidR="00445FEC" w:rsidRPr="0008149D" w:rsidRDefault="0086041A" w:rsidP="00445FEC">
      <w:pPr>
        <w:spacing w:line="240" w:lineRule="auto"/>
        <w:ind w:left="567" w:hanging="567"/>
        <w:rPr>
          <w:rFonts w:eastAsia="Times New Roman"/>
          <w:sz w:val="24"/>
          <w:szCs w:val="24"/>
          <w:lang w:eastAsia="en-AU"/>
        </w:rPr>
      </w:pPr>
      <w:r>
        <w:rPr>
          <w:rFonts w:eastAsia="Times New Roman"/>
          <w:sz w:val="24"/>
          <w:szCs w:val="24"/>
          <w:lang w:eastAsia="en-AU"/>
        </w:rPr>
        <w:t>1</w:t>
      </w:r>
      <w:r w:rsidR="001D23C9">
        <w:rPr>
          <w:rFonts w:eastAsia="Times New Roman"/>
          <w:sz w:val="24"/>
          <w:szCs w:val="24"/>
          <w:lang w:eastAsia="en-AU"/>
        </w:rPr>
        <w:t>5</w:t>
      </w:r>
      <w:r>
        <w:rPr>
          <w:rFonts w:eastAsia="Times New Roman"/>
          <w:sz w:val="24"/>
          <w:szCs w:val="24"/>
          <w:lang w:eastAsia="en-AU"/>
        </w:rPr>
        <w:t>.</w:t>
      </w:r>
      <w:r w:rsidR="00445FEC" w:rsidRPr="0008149D">
        <w:rPr>
          <w:rFonts w:eastAsia="Times New Roman"/>
          <w:sz w:val="24"/>
          <w:szCs w:val="24"/>
          <w:lang w:eastAsia="en-AU"/>
        </w:rPr>
        <w:tab/>
        <w:t xml:space="preserve">Section 7 of the instrument specifies how ASIC’s regulatory costs have been attributed to each sub-sector. </w:t>
      </w:r>
    </w:p>
    <w:p w14:paraId="7B36C26F" w14:textId="77777777" w:rsidR="00445FEC" w:rsidRPr="0008149D" w:rsidRDefault="00445FEC" w:rsidP="00445FEC">
      <w:pPr>
        <w:spacing w:line="240" w:lineRule="auto"/>
        <w:ind w:left="567" w:hanging="567"/>
        <w:rPr>
          <w:rFonts w:eastAsia="Times New Roman"/>
          <w:sz w:val="24"/>
          <w:szCs w:val="24"/>
          <w:lang w:eastAsia="en-AU"/>
        </w:rPr>
      </w:pPr>
    </w:p>
    <w:p w14:paraId="7ECE09DE" w14:textId="247DD7E8" w:rsidR="00445FEC" w:rsidRPr="0008149D" w:rsidRDefault="0086041A" w:rsidP="00445FEC">
      <w:pPr>
        <w:spacing w:line="240" w:lineRule="auto"/>
        <w:ind w:left="567" w:hanging="567"/>
        <w:rPr>
          <w:rFonts w:eastAsia="Times New Roman"/>
          <w:sz w:val="24"/>
          <w:szCs w:val="24"/>
          <w:lang w:eastAsia="en-AU"/>
        </w:rPr>
      </w:pPr>
      <w:r w:rsidRPr="0E1ECF8E">
        <w:rPr>
          <w:rFonts w:eastAsia="Times New Roman"/>
          <w:sz w:val="24"/>
          <w:szCs w:val="24"/>
          <w:lang w:eastAsia="en-AU"/>
        </w:rPr>
        <w:t>1</w:t>
      </w:r>
      <w:r w:rsidR="001D23C9" w:rsidRPr="0E1ECF8E">
        <w:rPr>
          <w:rFonts w:eastAsia="Times New Roman"/>
          <w:sz w:val="24"/>
          <w:szCs w:val="24"/>
          <w:lang w:eastAsia="en-AU"/>
        </w:rPr>
        <w:t>6</w:t>
      </w:r>
      <w:r w:rsidRPr="0E1ECF8E">
        <w:rPr>
          <w:rFonts w:eastAsia="Times New Roman"/>
          <w:sz w:val="24"/>
          <w:szCs w:val="24"/>
          <w:lang w:eastAsia="en-AU"/>
        </w:rPr>
        <w:t>.</w:t>
      </w:r>
      <w:r>
        <w:tab/>
      </w:r>
      <w:r w:rsidR="00445FEC" w:rsidRPr="0E1ECF8E">
        <w:rPr>
          <w:rFonts w:eastAsia="Times New Roman"/>
          <w:sz w:val="24"/>
          <w:szCs w:val="24"/>
          <w:lang w:eastAsia="en-AU"/>
        </w:rPr>
        <w:t xml:space="preserve">There are </w:t>
      </w:r>
      <w:r w:rsidR="0002167D" w:rsidRPr="0E1ECF8E">
        <w:rPr>
          <w:rFonts w:eastAsia="Times New Roman"/>
          <w:sz w:val="24"/>
          <w:szCs w:val="24"/>
          <w:lang w:eastAsia="en-AU"/>
        </w:rPr>
        <w:t>52</w:t>
      </w:r>
      <w:r w:rsidR="001E389B" w:rsidRPr="0E1ECF8E">
        <w:rPr>
          <w:rFonts w:eastAsia="Times New Roman"/>
          <w:sz w:val="24"/>
          <w:szCs w:val="24"/>
          <w:lang w:eastAsia="en-AU"/>
        </w:rPr>
        <w:t xml:space="preserve"> </w:t>
      </w:r>
      <w:r w:rsidR="00445FEC" w:rsidRPr="0E1ECF8E">
        <w:rPr>
          <w:rFonts w:eastAsia="Times New Roman"/>
          <w:sz w:val="24"/>
          <w:szCs w:val="24"/>
          <w:lang w:eastAsia="en-AU"/>
        </w:rPr>
        <w:t xml:space="preserve">sub-sectors in relation to the </w:t>
      </w:r>
      <w:r w:rsidR="00877FBD" w:rsidRPr="0E1ECF8E">
        <w:rPr>
          <w:rFonts w:eastAsia="Times New Roman"/>
          <w:sz w:val="24"/>
          <w:szCs w:val="24"/>
          <w:lang w:eastAsia="en-AU"/>
        </w:rPr>
        <w:t>20</w:t>
      </w:r>
      <w:r w:rsidR="00C57047" w:rsidRPr="0E1ECF8E">
        <w:rPr>
          <w:rFonts w:eastAsia="Times New Roman"/>
          <w:sz w:val="24"/>
          <w:szCs w:val="24"/>
          <w:lang w:eastAsia="en-AU"/>
        </w:rPr>
        <w:t>2</w:t>
      </w:r>
      <w:r w:rsidR="00882E93" w:rsidRPr="0E1ECF8E">
        <w:rPr>
          <w:rFonts w:eastAsia="Times New Roman"/>
          <w:sz w:val="24"/>
          <w:szCs w:val="24"/>
          <w:lang w:eastAsia="en-AU"/>
        </w:rPr>
        <w:t>2</w:t>
      </w:r>
      <w:r w:rsidR="00445FEC" w:rsidRPr="0E1ECF8E">
        <w:rPr>
          <w:rFonts w:eastAsia="Times New Roman"/>
          <w:sz w:val="24"/>
          <w:szCs w:val="24"/>
          <w:lang w:eastAsia="en-AU"/>
        </w:rPr>
        <w:t>–</w:t>
      </w:r>
      <w:r w:rsidR="00877FBD" w:rsidRPr="0E1ECF8E">
        <w:rPr>
          <w:rFonts w:eastAsia="Times New Roman"/>
          <w:sz w:val="24"/>
          <w:szCs w:val="24"/>
          <w:lang w:eastAsia="en-AU"/>
        </w:rPr>
        <w:t>2</w:t>
      </w:r>
      <w:r w:rsidR="00882E93" w:rsidRPr="0E1ECF8E">
        <w:rPr>
          <w:rFonts w:eastAsia="Times New Roman"/>
          <w:sz w:val="24"/>
          <w:szCs w:val="24"/>
          <w:lang w:eastAsia="en-AU"/>
        </w:rPr>
        <w:t>3</w:t>
      </w:r>
      <w:r w:rsidR="00445FEC" w:rsidRPr="0E1ECF8E">
        <w:rPr>
          <w:rFonts w:eastAsia="Times New Roman"/>
          <w:sz w:val="24"/>
          <w:szCs w:val="24"/>
          <w:lang w:eastAsia="en-AU"/>
        </w:rPr>
        <w:t xml:space="preserve"> financial year. They are:</w:t>
      </w:r>
    </w:p>
    <w:p w14:paraId="415D7911" w14:textId="77777777" w:rsidR="00445FEC" w:rsidRPr="0008149D" w:rsidRDefault="00445FEC" w:rsidP="00445FEC">
      <w:pPr>
        <w:spacing w:line="240" w:lineRule="auto"/>
        <w:ind w:left="567" w:hanging="567"/>
        <w:rPr>
          <w:rFonts w:eastAsia="Times New Roman"/>
          <w:szCs w:val="22"/>
          <w:lang w:eastAsia="en-AU"/>
        </w:rPr>
      </w:pPr>
    </w:p>
    <w:p w14:paraId="39FA5EE9"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1.</w:t>
      </w:r>
      <w:r w:rsidRPr="0008149D">
        <w:rPr>
          <w:rFonts w:eastAsia="Times New Roman"/>
          <w:sz w:val="20"/>
          <w:lang w:eastAsia="en-AU"/>
        </w:rPr>
        <w:tab/>
        <w:t>Auditors of disclosing entities</w:t>
      </w:r>
    </w:p>
    <w:p w14:paraId="5517F366" w14:textId="77777777" w:rsidR="00445FEC" w:rsidRPr="00F82A9A" w:rsidRDefault="00445FEC" w:rsidP="007F7DFF">
      <w:pPr>
        <w:spacing w:line="240" w:lineRule="auto"/>
        <w:ind w:left="1418" w:hanging="567"/>
        <w:rPr>
          <w:rFonts w:eastAsia="Times New Roman"/>
          <w:sz w:val="20"/>
          <w:lang w:eastAsia="en-AU"/>
        </w:rPr>
      </w:pPr>
      <w:r w:rsidRPr="0008149D">
        <w:rPr>
          <w:rFonts w:eastAsia="Times New Roman"/>
          <w:sz w:val="20"/>
          <w:lang w:eastAsia="en-AU"/>
        </w:rPr>
        <w:t>2.</w:t>
      </w:r>
      <w:r w:rsidRPr="0008149D">
        <w:rPr>
          <w:rFonts w:eastAsia="Times New Roman"/>
          <w:sz w:val="20"/>
          <w:lang w:eastAsia="en-AU"/>
        </w:rPr>
        <w:tab/>
        <w:t>Australian derivative trade repository operators</w:t>
      </w:r>
    </w:p>
    <w:p w14:paraId="12E17955" w14:textId="77777777" w:rsidR="0002167D" w:rsidRDefault="007F7DFF" w:rsidP="007F7DFF">
      <w:pPr>
        <w:spacing w:line="240" w:lineRule="auto"/>
        <w:ind w:left="1418" w:hanging="567"/>
        <w:rPr>
          <w:rFonts w:eastAsia="Times New Roman"/>
          <w:sz w:val="20"/>
          <w:lang w:eastAsia="en-AU"/>
        </w:rPr>
      </w:pPr>
      <w:r w:rsidRPr="00F82A9A">
        <w:rPr>
          <w:rFonts w:eastAsia="Times New Roman"/>
          <w:sz w:val="20"/>
          <w:lang w:eastAsia="en-AU"/>
        </w:rPr>
        <w:t>2A.</w:t>
      </w:r>
      <w:r w:rsidRPr="00F82A9A">
        <w:rPr>
          <w:rFonts w:eastAsia="Times New Roman"/>
          <w:sz w:val="20"/>
          <w:lang w:eastAsia="en-AU"/>
        </w:rPr>
        <w:tab/>
        <w:t xml:space="preserve">Benchmark administrators </w:t>
      </w:r>
    </w:p>
    <w:p w14:paraId="6EF86D38" w14:textId="77777777" w:rsidR="007F7DFF" w:rsidRPr="00F82A9A" w:rsidRDefault="0002167D" w:rsidP="007F7DFF">
      <w:pPr>
        <w:spacing w:line="240" w:lineRule="auto"/>
        <w:ind w:left="1418" w:hanging="567"/>
        <w:rPr>
          <w:rFonts w:eastAsia="Times New Roman"/>
          <w:sz w:val="20"/>
          <w:lang w:eastAsia="en-AU"/>
        </w:rPr>
      </w:pPr>
      <w:r>
        <w:rPr>
          <w:rFonts w:eastAsia="Times New Roman"/>
          <w:sz w:val="20"/>
          <w:lang w:eastAsia="en-AU"/>
        </w:rPr>
        <w:t>2B.</w:t>
      </w:r>
      <w:r w:rsidR="007F7DFF" w:rsidRPr="00F82A9A">
        <w:rPr>
          <w:rFonts w:eastAsia="Times New Roman"/>
          <w:sz w:val="20"/>
          <w:lang w:eastAsia="en-AU"/>
        </w:rPr>
        <w:t xml:space="preserve"> </w:t>
      </w:r>
      <w:r>
        <w:rPr>
          <w:rFonts w:eastAsia="Times New Roman"/>
          <w:sz w:val="20"/>
          <w:lang w:eastAsia="en-AU"/>
        </w:rPr>
        <w:tab/>
        <w:t>Claims handling and settling services providers</w:t>
      </w:r>
    </w:p>
    <w:p w14:paraId="4B82F827" w14:textId="77777777" w:rsidR="00445FEC" w:rsidRPr="00F82A9A" w:rsidRDefault="00445FEC" w:rsidP="007F7DFF">
      <w:pPr>
        <w:spacing w:line="240" w:lineRule="auto"/>
        <w:ind w:left="1418" w:hanging="567"/>
        <w:rPr>
          <w:rFonts w:eastAsia="Times New Roman"/>
          <w:sz w:val="20"/>
          <w:lang w:eastAsia="en-AU"/>
        </w:rPr>
      </w:pPr>
      <w:r w:rsidRPr="00F82A9A">
        <w:rPr>
          <w:rFonts w:eastAsia="Times New Roman"/>
          <w:sz w:val="20"/>
          <w:lang w:eastAsia="en-AU"/>
        </w:rPr>
        <w:t>3.</w:t>
      </w:r>
      <w:r w:rsidRPr="00F82A9A">
        <w:rPr>
          <w:rFonts w:eastAsia="Times New Roman"/>
          <w:sz w:val="20"/>
          <w:lang w:eastAsia="en-AU"/>
        </w:rPr>
        <w:tab/>
        <w:t>Corporate advisors</w:t>
      </w:r>
    </w:p>
    <w:p w14:paraId="7A76BEEA" w14:textId="77777777" w:rsidR="00445FEC" w:rsidRPr="00F82A9A" w:rsidRDefault="00445FEC" w:rsidP="007F7DFF">
      <w:pPr>
        <w:spacing w:line="240" w:lineRule="auto"/>
        <w:ind w:left="1418" w:hanging="567"/>
        <w:rPr>
          <w:rFonts w:eastAsia="Times New Roman"/>
          <w:sz w:val="20"/>
          <w:lang w:eastAsia="en-AU"/>
        </w:rPr>
      </w:pPr>
      <w:r w:rsidRPr="00F82A9A">
        <w:rPr>
          <w:rFonts w:eastAsia="Times New Roman"/>
          <w:sz w:val="20"/>
          <w:lang w:eastAsia="en-AU"/>
        </w:rPr>
        <w:t>4.</w:t>
      </w:r>
      <w:r w:rsidRPr="00F82A9A">
        <w:rPr>
          <w:rFonts w:eastAsia="Times New Roman"/>
          <w:sz w:val="20"/>
          <w:lang w:eastAsia="en-AU"/>
        </w:rPr>
        <w:tab/>
        <w:t>Credit intermediaries</w:t>
      </w:r>
    </w:p>
    <w:p w14:paraId="3887138A" w14:textId="77777777" w:rsidR="00445FEC" w:rsidRPr="00F82A9A" w:rsidRDefault="00445FEC" w:rsidP="007F7DFF">
      <w:pPr>
        <w:spacing w:line="240" w:lineRule="auto"/>
        <w:ind w:left="1418" w:hanging="567"/>
        <w:rPr>
          <w:rFonts w:eastAsia="Times New Roman"/>
          <w:sz w:val="20"/>
          <w:lang w:eastAsia="en-AU"/>
        </w:rPr>
      </w:pPr>
      <w:r w:rsidRPr="00F82A9A">
        <w:rPr>
          <w:rFonts w:eastAsia="Times New Roman"/>
          <w:sz w:val="20"/>
          <w:lang w:eastAsia="en-AU"/>
        </w:rPr>
        <w:t>5.</w:t>
      </w:r>
      <w:r w:rsidRPr="00F82A9A">
        <w:rPr>
          <w:rFonts w:eastAsia="Times New Roman"/>
          <w:sz w:val="20"/>
          <w:lang w:eastAsia="en-AU"/>
        </w:rPr>
        <w:tab/>
        <w:t>Credit providers</w:t>
      </w:r>
    </w:p>
    <w:p w14:paraId="31056AC7" w14:textId="77777777" w:rsidR="00445FEC" w:rsidRPr="00F82A9A" w:rsidRDefault="00445FEC" w:rsidP="007F7DFF">
      <w:pPr>
        <w:spacing w:line="240" w:lineRule="auto"/>
        <w:ind w:left="1418" w:hanging="567"/>
        <w:rPr>
          <w:rFonts w:eastAsia="Times New Roman"/>
          <w:sz w:val="20"/>
          <w:lang w:eastAsia="en-AU"/>
        </w:rPr>
      </w:pPr>
      <w:r w:rsidRPr="00F82A9A">
        <w:rPr>
          <w:rFonts w:eastAsia="Times New Roman"/>
          <w:sz w:val="20"/>
          <w:lang w:eastAsia="en-AU"/>
        </w:rPr>
        <w:t>6.</w:t>
      </w:r>
      <w:r w:rsidRPr="00F82A9A">
        <w:rPr>
          <w:rFonts w:eastAsia="Times New Roman"/>
          <w:sz w:val="20"/>
          <w:lang w:eastAsia="en-AU"/>
        </w:rPr>
        <w:tab/>
        <w:t>Credit rating agencies</w:t>
      </w:r>
    </w:p>
    <w:p w14:paraId="37DE1F5F" w14:textId="77777777" w:rsidR="00445FEC" w:rsidRPr="00F82A9A" w:rsidRDefault="00445FEC" w:rsidP="007F7DFF">
      <w:pPr>
        <w:spacing w:line="240" w:lineRule="auto"/>
        <w:ind w:left="1418" w:hanging="567"/>
        <w:rPr>
          <w:rFonts w:eastAsia="Times New Roman"/>
          <w:sz w:val="20"/>
          <w:lang w:eastAsia="en-AU"/>
        </w:rPr>
      </w:pPr>
      <w:r w:rsidRPr="00F82A9A">
        <w:rPr>
          <w:rFonts w:eastAsia="Times New Roman"/>
          <w:sz w:val="20"/>
          <w:lang w:eastAsia="en-AU"/>
        </w:rPr>
        <w:t>7.</w:t>
      </w:r>
      <w:r w:rsidRPr="00F82A9A">
        <w:rPr>
          <w:rFonts w:eastAsia="Times New Roman"/>
          <w:sz w:val="20"/>
          <w:lang w:eastAsia="en-AU"/>
        </w:rPr>
        <w:tab/>
        <w:t>Custodians</w:t>
      </w:r>
    </w:p>
    <w:p w14:paraId="5F665980" w14:textId="77777777" w:rsidR="00445FEC" w:rsidRPr="00F82A9A" w:rsidRDefault="00445FEC" w:rsidP="007F7DFF">
      <w:pPr>
        <w:spacing w:line="240" w:lineRule="auto"/>
        <w:ind w:left="1418" w:hanging="567"/>
        <w:rPr>
          <w:rFonts w:eastAsia="Times New Roman"/>
          <w:sz w:val="20"/>
          <w:lang w:eastAsia="en-AU"/>
        </w:rPr>
      </w:pPr>
      <w:r w:rsidRPr="00F82A9A">
        <w:rPr>
          <w:rFonts w:eastAsia="Times New Roman"/>
          <w:sz w:val="20"/>
          <w:lang w:eastAsia="en-AU"/>
        </w:rPr>
        <w:t>8.</w:t>
      </w:r>
      <w:r w:rsidRPr="00F82A9A">
        <w:rPr>
          <w:rFonts w:eastAsia="Times New Roman"/>
          <w:sz w:val="20"/>
          <w:lang w:eastAsia="en-AU"/>
        </w:rPr>
        <w:tab/>
        <w:t>Deposit product providers</w:t>
      </w:r>
    </w:p>
    <w:p w14:paraId="7484631B" w14:textId="77777777" w:rsidR="007F7DFF" w:rsidRPr="00F82A9A" w:rsidRDefault="007F7DFF" w:rsidP="007F7DFF">
      <w:pPr>
        <w:spacing w:line="240" w:lineRule="auto"/>
        <w:ind w:left="1418" w:hanging="567"/>
        <w:rPr>
          <w:rFonts w:eastAsia="Times New Roman"/>
          <w:sz w:val="20"/>
          <w:lang w:eastAsia="en-AU"/>
        </w:rPr>
      </w:pPr>
      <w:r w:rsidRPr="00F82A9A">
        <w:rPr>
          <w:rFonts w:eastAsia="Times New Roman"/>
          <w:sz w:val="20"/>
          <w:lang w:eastAsia="en-AU"/>
        </w:rPr>
        <w:t>8A.</w:t>
      </w:r>
      <w:r w:rsidRPr="00F82A9A">
        <w:rPr>
          <w:rFonts w:eastAsia="Times New Roman"/>
          <w:sz w:val="20"/>
          <w:lang w:eastAsia="en-AU"/>
        </w:rPr>
        <w:tab/>
      </w:r>
      <w:r w:rsidR="00F32CB0" w:rsidRPr="00F82A9A">
        <w:rPr>
          <w:rFonts w:eastAsia="Times New Roman"/>
          <w:sz w:val="20"/>
          <w:lang w:eastAsia="en-AU"/>
        </w:rPr>
        <w:t xml:space="preserve">Established specialised market operators </w:t>
      </w:r>
      <w:r w:rsidRPr="00F82A9A">
        <w:rPr>
          <w:rFonts w:eastAsia="Times New Roman"/>
          <w:sz w:val="20"/>
          <w:lang w:eastAsia="en-AU"/>
        </w:rPr>
        <w:t xml:space="preserve">  </w:t>
      </w:r>
    </w:p>
    <w:p w14:paraId="15DAFA52" w14:textId="77777777" w:rsidR="00445FEC" w:rsidRPr="00F82A9A" w:rsidRDefault="00445FEC" w:rsidP="007F7DFF">
      <w:pPr>
        <w:spacing w:line="240" w:lineRule="auto"/>
        <w:ind w:left="1418" w:hanging="567"/>
        <w:rPr>
          <w:rFonts w:eastAsia="Times New Roman"/>
          <w:sz w:val="20"/>
          <w:lang w:eastAsia="en-AU"/>
        </w:rPr>
      </w:pPr>
      <w:r w:rsidRPr="00F82A9A">
        <w:rPr>
          <w:rFonts w:eastAsia="Times New Roman"/>
          <w:sz w:val="20"/>
          <w:lang w:eastAsia="en-AU"/>
        </w:rPr>
        <w:t>9.</w:t>
      </w:r>
      <w:r w:rsidRPr="00F82A9A">
        <w:rPr>
          <w:rFonts w:eastAsia="Times New Roman"/>
          <w:sz w:val="20"/>
          <w:lang w:eastAsia="en-AU"/>
        </w:rPr>
        <w:tab/>
        <w:t>Exempt CS facility operators</w:t>
      </w:r>
    </w:p>
    <w:p w14:paraId="0CC1EAD8"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10.</w:t>
      </w:r>
      <w:r w:rsidRPr="0008149D">
        <w:rPr>
          <w:rFonts w:eastAsia="Times New Roman"/>
          <w:sz w:val="20"/>
          <w:lang w:eastAsia="en-AU"/>
        </w:rPr>
        <w:tab/>
        <w:t>Exempt market operators</w:t>
      </w:r>
    </w:p>
    <w:p w14:paraId="065B05C9"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11.</w:t>
      </w:r>
      <w:r w:rsidRPr="0008149D">
        <w:rPr>
          <w:rFonts w:eastAsia="Times New Roman"/>
          <w:sz w:val="20"/>
          <w:lang w:eastAsia="en-AU"/>
        </w:rPr>
        <w:tab/>
        <w:t>Insurance product distributors</w:t>
      </w:r>
    </w:p>
    <w:p w14:paraId="6CF9B507"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12.</w:t>
      </w:r>
      <w:r w:rsidRPr="0008149D">
        <w:rPr>
          <w:rFonts w:eastAsia="Times New Roman"/>
          <w:sz w:val="20"/>
          <w:lang w:eastAsia="en-AU"/>
        </w:rPr>
        <w:tab/>
        <w:t>Insurance product providers</w:t>
      </w:r>
    </w:p>
    <w:p w14:paraId="42A2B28C"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13.</w:t>
      </w:r>
      <w:r w:rsidRPr="0008149D">
        <w:rPr>
          <w:rFonts w:eastAsia="Times New Roman"/>
          <w:sz w:val="20"/>
          <w:lang w:eastAsia="en-AU"/>
        </w:rPr>
        <w:tab/>
        <w:t>Large futures exchange operators</w:t>
      </w:r>
    </w:p>
    <w:p w14:paraId="76A87900"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14.</w:t>
      </w:r>
      <w:r w:rsidRPr="0008149D">
        <w:rPr>
          <w:rFonts w:eastAsia="Times New Roman"/>
          <w:sz w:val="20"/>
          <w:lang w:eastAsia="en-AU"/>
        </w:rPr>
        <w:tab/>
        <w:t>Large futures exchange participants</w:t>
      </w:r>
    </w:p>
    <w:p w14:paraId="3836F487"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15.</w:t>
      </w:r>
      <w:r w:rsidRPr="0008149D">
        <w:rPr>
          <w:rFonts w:eastAsia="Times New Roman"/>
          <w:sz w:val="20"/>
          <w:lang w:eastAsia="en-AU"/>
        </w:rPr>
        <w:tab/>
        <w:t>Large proprietary companies</w:t>
      </w:r>
    </w:p>
    <w:p w14:paraId="2F4FBEE1"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16.</w:t>
      </w:r>
      <w:r w:rsidRPr="0008149D">
        <w:rPr>
          <w:rFonts w:eastAsia="Times New Roman"/>
          <w:sz w:val="20"/>
          <w:lang w:eastAsia="en-AU"/>
        </w:rPr>
        <w:tab/>
        <w:t>Large securities exchange operators</w:t>
      </w:r>
    </w:p>
    <w:p w14:paraId="215A7D6E"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17.</w:t>
      </w:r>
      <w:r w:rsidRPr="0008149D">
        <w:rPr>
          <w:rFonts w:eastAsia="Times New Roman"/>
          <w:sz w:val="20"/>
          <w:lang w:eastAsia="en-AU"/>
        </w:rPr>
        <w:tab/>
        <w:t>Large securities exchange participants</w:t>
      </w:r>
    </w:p>
    <w:p w14:paraId="278AA793"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18.</w:t>
      </w:r>
      <w:r w:rsidRPr="0008149D">
        <w:rPr>
          <w:rFonts w:eastAsia="Times New Roman"/>
          <w:sz w:val="20"/>
          <w:lang w:eastAsia="en-AU"/>
        </w:rPr>
        <w:tab/>
        <w:t>Licensees that provide only general advice to retail or wholesale clients</w:t>
      </w:r>
    </w:p>
    <w:p w14:paraId="0D4B783D"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19.</w:t>
      </w:r>
      <w:r w:rsidRPr="0008149D">
        <w:rPr>
          <w:rFonts w:eastAsia="Times New Roman"/>
          <w:sz w:val="20"/>
          <w:lang w:eastAsia="en-AU"/>
        </w:rPr>
        <w:tab/>
        <w:t>Licensees that provide personal advice on relevant financial products to retail clients</w:t>
      </w:r>
    </w:p>
    <w:p w14:paraId="23507ABA"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20.</w:t>
      </w:r>
      <w:r w:rsidRPr="0008149D">
        <w:rPr>
          <w:rFonts w:eastAsia="Times New Roman"/>
          <w:sz w:val="20"/>
          <w:lang w:eastAsia="en-AU"/>
        </w:rPr>
        <w:tab/>
        <w:t>Licensees that provide personal advice to only wholesale clients</w:t>
      </w:r>
    </w:p>
    <w:p w14:paraId="6180FEBF"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21.</w:t>
      </w:r>
      <w:r w:rsidRPr="0008149D">
        <w:rPr>
          <w:rFonts w:eastAsia="Times New Roman"/>
          <w:sz w:val="20"/>
          <w:lang w:eastAsia="en-AU"/>
        </w:rPr>
        <w:tab/>
        <w:t>Licensees that provide personal advice to retail clients on only products that are not relevant financial products</w:t>
      </w:r>
    </w:p>
    <w:p w14:paraId="2CB9C2AD"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22.</w:t>
      </w:r>
      <w:r w:rsidRPr="0008149D">
        <w:rPr>
          <w:rFonts w:eastAsia="Times New Roman"/>
          <w:sz w:val="20"/>
          <w:lang w:eastAsia="en-AU"/>
        </w:rPr>
        <w:tab/>
        <w:t>Listed corporations</w:t>
      </w:r>
    </w:p>
    <w:p w14:paraId="6D6E1FCA"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23.</w:t>
      </w:r>
      <w:r w:rsidRPr="0008149D">
        <w:rPr>
          <w:rFonts w:eastAsia="Times New Roman"/>
          <w:sz w:val="20"/>
          <w:lang w:eastAsia="en-AU"/>
        </w:rPr>
        <w:tab/>
        <w:t>Managed discretionary account providers</w:t>
      </w:r>
    </w:p>
    <w:p w14:paraId="34C68A62" w14:textId="77777777" w:rsidR="00445FEC" w:rsidRDefault="00445FEC" w:rsidP="007F7DFF">
      <w:pPr>
        <w:spacing w:line="240" w:lineRule="auto"/>
        <w:ind w:left="1418" w:hanging="567"/>
        <w:rPr>
          <w:rFonts w:eastAsia="Times New Roman"/>
          <w:sz w:val="20"/>
          <w:lang w:eastAsia="en-AU"/>
        </w:rPr>
      </w:pPr>
      <w:r w:rsidRPr="0008149D">
        <w:rPr>
          <w:rFonts w:eastAsia="Times New Roman"/>
          <w:sz w:val="20"/>
          <w:lang w:eastAsia="en-AU"/>
        </w:rPr>
        <w:t>24.</w:t>
      </w:r>
      <w:r w:rsidRPr="0008149D">
        <w:rPr>
          <w:rFonts w:eastAsia="Times New Roman"/>
          <w:sz w:val="20"/>
          <w:lang w:eastAsia="en-AU"/>
        </w:rPr>
        <w:tab/>
        <w:t>Margin lenders</w:t>
      </w:r>
    </w:p>
    <w:p w14:paraId="3FB7B123" w14:textId="77777777" w:rsidR="00F32CB0" w:rsidRPr="00F82A9A" w:rsidRDefault="00F32CB0" w:rsidP="007F7DFF">
      <w:pPr>
        <w:spacing w:line="240" w:lineRule="auto"/>
        <w:ind w:left="1418" w:hanging="567"/>
        <w:rPr>
          <w:rFonts w:eastAsia="Times New Roman"/>
          <w:sz w:val="20"/>
          <w:lang w:eastAsia="en-AU"/>
        </w:rPr>
      </w:pPr>
      <w:r w:rsidRPr="00F82A9A">
        <w:rPr>
          <w:rFonts w:eastAsia="Times New Roman"/>
          <w:sz w:val="20"/>
          <w:lang w:eastAsia="en-AU"/>
        </w:rPr>
        <w:t>24A.</w:t>
      </w:r>
      <w:r w:rsidRPr="00F82A9A">
        <w:rPr>
          <w:rFonts w:eastAsia="Times New Roman"/>
          <w:sz w:val="20"/>
          <w:lang w:eastAsia="en-AU"/>
        </w:rPr>
        <w:tab/>
        <w:t xml:space="preserve">New specialised market operators  </w:t>
      </w:r>
      <w:r w:rsidRPr="00F82A9A">
        <w:rPr>
          <w:rFonts w:eastAsia="Times New Roman"/>
          <w:sz w:val="20"/>
          <w:lang w:eastAsia="en-AU"/>
        </w:rPr>
        <w:tab/>
      </w:r>
    </w:p>
    <w:p w14:paraId="051355E6" w14:textId="77777777" w:rsidR="00445FEC" w:rsidRPr="00F82A9A" w:rsidRDefault="00445FEC" w:rsidP="007F7DFF">
      <w:pPr>
        <w:spacing w:line="240" w:lineRule="auto"/>
        <w:ind w:left="1418" w:hanging="567"/>
        <w:rPr>
          <w:rFonts w:eastAsia="Times New Roman"/>
          <w:sz w:val="20"/>
          <w:lang w:eastAsia="en-AU"/>
        </w:rPr>
      </w:pPr>
      <w:r w:rsidRPr="00F82A9A">
        <w:rPr>
          <w:rFonts w:eastAsia="Times New Roman"/>
          <w:sz w:val="20"/>
          <w:lang w:eastAsia="en-AU"/>
        </w:rPr>
        <w:t>25.</w:t>
      </w:r>
      <w:r w:rsidRPr="00F82A9A">
        <w:rPr>
          <w:rFonts w:eastAsia="Times New Roman"/>
          <w:sz w:val="20"/>
          <w:lang w:eastAsia="en-AU"/>
        </w:rPr>
        <w:tab/>
        <w:t>Operators of investor directed portfolio services</w:t>
      </w:r>
    </w:p>
    <w:p w14:paraId="51D30549" w14:textId="77777777" w:rsidR="00F32CB0" w:rsidRPr="00F82A9A" w:rsidRDefault="00F32CB0" w:rsidP="007F7DFF">
      <w:pPr>
        <w:spacing w:line="240" w:lineRule="auto"/>
        <w:ind w:left="1418" w:hanging="567"/>
        <w:rPr>
          <w:rFonts w:eastAsia="Times New Roman"/>
          <w:sz w:val="20"/>
          <w:lang w:eastAsia="en-AU"/>
        </w:rPr>
      </w:pPr>
      <w:r w:rsidRPr="00F82A9A">
        <w:rPr>
          <w:rFonts w:eastAsia="Times New Roman"/>
          <w:sz w:val="20"/>
          <w:lang w:eastAsia="en-AU"/>
        </w:rPr>
        <w:t>25A.</w:t>
      </w:r>
      <w:r w:rsidRPr="00F82A9A">
        <w:rPr>
          <w:rFonts w:eastAsia="Times New Roman"/>
          <w:sz w:val="20"/>
          <w:lang w:eastAsia="en-AU"/>
        </w:rPr>
        <w:tab/>
        <w:t xml:space="preserve">Operators of notified foreign passport funds and regulated former notified funds </w:t>
      </w:r>
      <w:r w:rsidRPr="00F82A9A">
        <w:rPr>
          <w:rFonts w:eastAsia="Times New Roman"/>
          <w:sz w:val="20"/>
          <w:lang w:eastAsia="en-AU"/>
        </w:rPr>
        <w:tab/>
      </w:r>
    </w:p>
    <w:p w14:paraId="277EAC38"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26.</w:t>
      </w:r>
      <w:r w:rsidRPr="0008149D">
        <w:rPr>
          <w:rFonts w:eastAsia="Times New Roman"/>
          <w:sz w:val="20"/>
          <w:lang w:eastAsia="en-AU"/>
        </w:rPr>
        <w:tab/>
        <w:t>Overseas market operators</w:t>
      </w:r>
    </w:p>
    <w:p w14:paraId="41A1ACFF" w14:textId="02755CD8" w:rsidR="00445FEC" w:rsidRPr="0008149D" w:rsidRDefault="00445FEC" w:rsidP="0E1ECF8E">
      <w:pPr>
        <w:spacing w:line="240" w:lineRule="auto"/>
        <w:ind w:left="1418" w:hanging="567"/>
        <w:rPr>
          <w:rFonts w:eastAsia="Times New Roman"/>
          <w:sz w:val="20"/>
          <w:lang w:eastAsia="en-AU"/>
        </w:rPr>
      </w:pPr>
      <w:r w:rsidRPr="0E1ECF8E">
        <w:rPr>
          <w:rFonts w:eastAsia="Times New Roman"/>
          <w:sz w:val="20"/>
          <w:lang w:eastAsia="en-AU"/>
        </w:rPr>
        <w:t>27.</w:t>
      </w:r>
      <w:r>
        <w:tab/>
      </w:r>
      <w:r w:rsidRPr="0E1ECF8E">
        <w:rPr>
          <w:rFonts w:eastAsia="Times New Roman"/>
          <w:sz w:val="20"/>
          <w:lang w:eastAsia="en-AU"/>
        </w:rPr>
        <w:t>Over</w:t>
      </w:r>
      <w:r w:rsidR="00517355" w:rsidRPr="0E1ECF8E">
        <w:rPr>
          <w:rFonts w:eastAsia="Times New Roman"/>
          <w:sz w:val="20"/>
          <w:lang w:eastAsia="en-AU"/>
        </w:rPr>
        <w:t>-</w:t>
      </w:r>
      <w:r w:rsidRPr="0E1ECF8E">
        <w:rPr>
          <w:rFonts w:eastAsia="Times New Roman"/>
          <w:sz w:val="20"/>
          <w:lang w:eastAsia="en-AU"/>
        </w:rPr>
        <w:t>the</w:t>
      </w:r>
      <w:r w:rsidR="00517355" w:rsidRPr="0E1ECF8E">
        <w:rPr>
          <w:rFonts w:eastAsia="Times New Roman"/>
          <w:sz w:val="20"/>
          <w:lang w:eastAsia="en-AU"/>
        </w:rPr>
        <w:t>-</w:t>
      </w:r>
      <w:r w:rsidRPr="0E1ECF8E">
        <w:rPr>
          <w:rFonts w:eastAsia="Times New Roman"/>
          <w:sz w:val="20"/>
          <w:lang w:eastAsia="en-AU"/>
        </w:rPr>
        <w:t>counter traders</w:t>
      </w:r>
    </w:p>
    <w:p w14:paraId="72768581"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28.</w:t>
      </w:r>
      <w:r w:rsidRPr="0008149D">
        <w:rPr>
          <w:rFonts w:eastAsia="Times New Roman"/>
          <w:sz w:val="20"/>
          <w:lang w:eastAsia="en-AU"/>
        </w:rPr>
        <w:tab/>
        <w:t>Payment product providers</w:t>
      </w:r>
    </w:p>
    <w:p w14:paraId="47ECA205"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29.</w:t>
      </w:r>
      <w:r w:rsidRPr="0008149D">
        <w:rPr>
          <w:rFonts w:eastAsia="Times New Roman"/>
          <w:sz w:val="20"/>
          <w:lang w:eastAsia="en-AU"/>
        </w:rPr>
        <w:tab/>
        <w:t>Public companies (unlisted)</w:t>
      </w:r>
    </w:p>
    <w:p w14:paraId="5C1072E8"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30.</w:t>
      </w:r>
      <w:r w:rsidRPr="0008149D">
        <w:rPr>
          <w:rFonts w:eastAsia="Times New Roman"/>
          <w:sz w:val="20"/>
          <w:lang w:eastAsia="en-AU"/>
        </w:rPr>
        <w:tab/>
        <w:t>Registered company auditors</w:t>
      </w:r>
    </w:p>
    <w:p w14:paraId="7E1506FE"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31.</w:t>
      </w:r>
      <w:r w:rsidRPr="0008149D">
        <w:rPr>
          <w:rFonts w:eastAsia="Times New Roman"/>
          <w:sz w:val="20"/>
          <w:lang w:eastAsia="en-AU"/>
        </w:rPr>
        <w:tab/>
        <w:t>Registered liquidators</w:t>
      </w:r>
    </w:p>
    <w:p w14:paraId="07BA40E1"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32.</w:t>
      </w:r>
      <w:r w:rsidRPr="0008149D">
        <w:rPr>
          <w:rFonts w:eastAsia="Times New Roman"/>
          <w:sz w:val="20"/>
          <w:lang w:eastAsia="en-AU"/>
        </w:rPr>
        <w:tab/>
        <w:t>Responsible entities</w:t>
      </w:r>
    </w:p>
    <w:p w14:paraId="0F579BEF"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33.</w:t>
      </w:r>
      <w:r w:rsidRPr="0008149D">
        <w:rPr>
          <w:rFonts w:eastAsia="Times New Roman"/>
          <w:sz w:val="20"/>
          <w:lang w:eastAsia="en-AU"/>
        </w:rPr>
        <w:tab/>
        <w:t>Retail over the counter derivatives issuers</w:t>
      </w:r>
    </w:p>
    <w:p w14:paraId="2F05C909"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34.</w:t>
      </w:r>
      <w:r w:rsidRPr="0008149D">
        <w:rPr>
          <w:rFonts w:eastAsia="Times New Roman"/>
          <w:sz w:val="20"/>
          <w:lang w:eastAsia="en-AU"/>
        </w:rPr>
        <w:tab/>
        <w:t>Risk management product providers</w:t>
      </w:r>
    </w:p>
    <w:p w14:paraId="0BFE345E"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35.</w:t>
      </w:r>
      <w:r w:rsidRPr="0008149D">
        <w:rPr>
          <w:rFonts w:eastAsia="Times New Roman"/>
          <w:sz w:val="20"/>
          <w:lang w:eastAsia="en-AU"/>
        </w:rPr>
        <w:tab/>
        <w:t>Securities dealers</w:t>
      </w:r>
    </w:p>
    <w:p w14:paraId="322BA250"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lastRenderedPageBreak/>
        <w:t>36.</w:t>
      </w:r>
      <w:r w:rsidRPr="0008149D">
        <w:rPr>
          <w:rFonts w:eastAsia="Times New Roman"/>
          <w:sz w:val="20"/>
          <w:lang w:eastAsia="en-AU"/>
        </w:rPr>
        <w:tab/>
      </w:r>
      <w:r w:rsidRPr="00F82A9A">
        <w:rPr>
          <w:rFonts w:eastAsia="Times New Roman"/>
          <w:sz w:val="20"/>
          <w:lang w:eastAsia="en-AU"/>
        </w:rPr>
        <w:t xml:space="preserve">Small </w:t>
      </w:r>
      <w:r w:rsidR="00F32CB0" w:rsidRPr="00F82A9A">
        <w:rPr>
          <w:rFonts w:eastAsia="Times New Roman"/>
          <w:sz w:val="20"/>
          <w:lang w:eastAsia="en-AU"/>
        </w:rPr>
        <w:t>and medium</w:t>
      </w:r>
      <w:r w:rsidR="00F32CB0">
        <w:rPr>
          <w:rFonts w:eastAsia="Times New Roman"/>
          <w:sz w:val="20"/>
          <w:lang w:eastAsia="en-AU"/>
        </w:rPr>
        <w:t xml:space="preserve"> </w:t>
      </w:r>
      <w:r w:rsidRPr="0008149D">
        <w:rPr>
          <w:rFonts w:eastAsia="Times New Roman"/>
          <w:sz w:val="20"/>
          <w:lang w:eastAsia="en-AU"/>
        </w:rPr>
        <w:t>amount credit providers</w:t>
      </w:r>
    </w:p>
    <w:p w14:paraId="4EFE9853"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38.</w:t>
      </w:r>
      <w:r w:rsidRPr="0008149D">
        <w:rPr>
          <w:rFonts w:eastAsia="Times New Roman"/>
          <w:sz w:val="20"/>
          <w:lang w:eastAsia="en-AU"/>
        </w:rPr>
        <w:tab/>
        <w:t>Small futures exchange operators</w:t>
      </w:r>
    </w:p>
    <w:p w14:paraId="18268A03"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39.</w:t>
      </w:r>
      <w:r w:rsidRPr="0008149D">
        <w:rPr>
          <w:rFonts w:eastAsia="Times New Roman"/>
          <w:sz w:val="20"/>
          <w:lang w:eastAsia="en-AU"/>
        </w:rPr>
        <w:tab/>
        <w:t>Small securities exchange operators</w:t>
      </w:r>
    </w:p>
    <w:p w14:paraId="1989511C" w14:textId="152C9F33" w:rsidR="00445FEC" w:rsidRPr="0008149D" w:rsidRDefault="00445FEC" w:rsidP="0E1ECF8E">
      <w:pPr>
        <w:spacing w:line="240" w:lineRule="auto"/>
        <w:ind w:left="1418" w:hanging="567"/>
        <w:rPr>
          <w:rFonts w:eastAsia="Times New Roman"/>
          <w:sz w:val="20"/>
          <w:lang w:eastAsia="en-AU"/>
        </w:rPr>
      </w:pPr>
      <w:r w:rsidRPr="0E1ECF8E">
        <w:rPr>
          <w:rFonts w:eastAsia="Times New Roman"/>
          <w:sz w:val="20"/>
          <w:lang w:eastAsia="en-AU"/>
        </w:rPr>
        <w:t>40.</w:t>
      </w:r>
      <w:r>
        <w:tab/>
      </w:r>
      <w:r w:rsidRPr="0E1ECF8E">
        <w:rPr>
          <w:rFonts w:eastAsia="Times New Roman"/>
          <w:sz w:val="20"/>
          <w:lang w:eastAsia="en-AU"/>
        </w:rPr>
        <w:t xml:space="preserve">Small securities exchange operators with </w:t>
      </w:r>
      <w:r w:rsidR="3ED79E90" w:rsidRPr="0E1ECF8E">
        <w:rPr>
          <w:rFonts w:eastAsia="Times New Roman"/>
          <w:sz w:val="20"/>
          <w:lang w:eastAsia="en-AU"/>
        </w:rPr>
        <w:t>self-listing</w:t>
      </w:r>
      <w:r w:rsidRPr="0E1ECF8E">
        <w:rPr>
          <w:rFonts w:eastAsia="Times New Roman"/>
          <w:sz w:val="20"/>
          <w:lang w:eastAsia="en-AU"/>
        </w:rPr>
        <w:t xml:space="preserve"> function only</w:t>
      </w:r>
    </w:p>
    <w:p w14:paraId="43F9659B"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41.</w:t>
      </w:r>
      <w:r w:rsidRPr="0008149D">
        <w:rPr>
          <w:rFonts w:eastAsia="Times New Roman"/>
          <w:sz w:val="20"/>
          <w:lang w:eastAsia="en-AU"/>
        </w:rPr>
        <w:tab/>
        <w:t>Superannuation trustees</w:t>
      </w:r>
    </w:p>
    <w:p w14:paraId="51BBBB42"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42.</w:t>
      </w:r>
      <w:r w:rsidRPr="0008149D">
        <w:rPr>
          <w:rFonts w:eastAsia="Times New Roman"/>
          <w:sz w:val="20"/>
          <w:lang w:eastAsia="en-AU"/>
        </w:rPr>
        <w:tab/>
        <w:t>Tier 1 clearing and settlement facility operators</w:t>
      </w:r>
    </w:p>
    <w:p w14:paraId="2A0BA58D"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43.</w:t>
      </w:r>
      <w:r w:rsidRPr="0008149D">
        <w:rPr>
          <w:rFonts w:eastAsia="Times New Roman"/>
          <w:sz w:val="20"/>
          <w:lang w:eastAsia="en-AU"/>
        </w:rPr>
        <w:tab/>
        <w:t>Tier 2 clearing and settlement facility operators</w:t>
      </w:r>
    </w:p>
    <w:p w14:paraId="1BDACC25"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44.</w:t>
      </w:r>
      <w:r w:rsidRPr="0008149D">
        <w:rPr>
          <w:rFonts w:eastAsia="Times New Roman"/>
          <w:sz w:val="20"/>
          <w:lang w:eastAsia="en-AU"/>
        </w:rPr>
        <w:tab/>
        <w:t>Tier 3 clearing and settlement facility operators</w:t>
      </w:r>
    </w:p>
    <w:p w14:paraId="33D66A94"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45.</w:t>
      </w:r>
      <w:r w:rsidRPr="0008149D">
        <w:rPr>
          <w:rFonts w:eastAsia="Times New Roman"/>
          <w:sz w:val="20"/>
          <w:lang w:eastAsia="en-AU"/>
        </w:rPr>
        <w:tab/>
        <w:t>Tier 4 clearing and settlement facility operators</w:t>
      </w:r>
    </w:p>
    <w:p w14:paraId="43C38004"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46.</w:t>
      </w:r>
      <w:r w:rsidRPr="0008149D">
        <w:rPr>
          <w:rFonts w:eastAsia="Times New Roman"/>
          <w:sz w:val="20"/>
          <w:lang w:eastAsia="en-AU"/>
        </w:rPr>
        <w:tab/>
        <w:t>Traditional trustee company service providers</w:t>
      </w:r>
    </w:p>
    <w:p w14:paraId="3E12E189" w14:textId="77777777" w:rsidR="00445FEC" w:rsidRPr="0008149D" w:rsidRDefault="00445FEC" w:rsidP="007F7DFF">
      <w:pPr>
        <w:spacing w:line="240" w:lineRule="auto"/>
        <w:ind w:left="1418" w:hanging="567"/>
        <w:rPr>
          <w:rFonts w:eastAsia="Times New Roman"/>
          <w:sz w:val="20"/>
          <w:lang w:eastAsia="en-AU"/>
        </w:rPr>
      </w:pPr>
      <w:r w:rsidRPr="0008149D">
        <w:rPr>
          <w:rFonts w:eastAsia="Times New Roman"/>
          <w:sz w:val="20"/>
          <w:lang w:eastAsia="en-AU"/>
        </w:rPr>
        <w:t>47.</w:t>
      </w:r>
      <w:r w:rsidRPr="0008149D">
        <w:rPr>
          <w:rFonts w:eastAsia="Times New Roman"/>
          <w:sz w:val="20"/>
          <w:lang w:eastAsia="en-AU"/>
        </w:rPr>
        <w:tab/>
        <w:t>Wholesale electricity dealers</w:t>
      </w:r>
    </w:p>
    <w:p w14:paraId="75631491" w14:textId="77777777" w:rsidR="00445FEC" w:rsidRPr="0008149D" w:rsidRDefault="00445FEC" w:rsidP="007F7DFF">
      <w:pPr>
        <w:spacing w:line="240" w:lineRule="auto"/>
        <w:ind w:left="1418" w:hanging="567"/>
        <w:rPr>
          <w:rFonts w:eastAsia="Times New Roman"/>
          <w:szCs w:val="22"/>
          <w:lang w:eastAsia="en-AU"/>
        </w:rPr>
      </w:pPr>
      <w:r w:rsidRPr="0008149D">
        <w:rPr>
          <w:rFonts w:eastAsia="Times New Roman"/>
          <w:sz w:val="20"/>
          <w:lang w:eastAsia="en-AU"/>
        </w:rPr>
        <w:t>48.</w:t>
      </w:r>
      <w:r w:rsidRPr="0008149D">
        <w:rPr>
          <w:rFonts w:eastAsia="Times New Roman"/>
          <w:sz w:val="20"/>
          <w:lang w:eastAsia="en-AU"/>
        </w:rPr>
        <w:tab/>
        <w:t>Wholesale trustees</w:t>
      </w:r>
    </w:p>
    <w:p w14:paraId="7518E9AC" w14:textId="77777777" w:rsidR="00445FEC" w:rsidRPr="0008149D" w:rsidRDefault="00445FEC" w:rsidP="00445FEC">
      <w:pPr>
        <w:spacing w:line="240" w:lineRule="auto"/>
        <w:ind w:left="567" w:hanging="567"/>
        <w:rPr>
          <w:rFonts w:eastAsia="Times New Roman"/>
          <w:szCs w:val="22"/>
          <w:lang w:eastAsia="en-AU"/>
        </w:rPr>
      </w:pPr>
    </w:p>
    <w:p w14:paraId="57C95402" w14:textId="77777777" w:rsidR="00445FEC" w:rsidRPr="0008149D" w:rsidRDefault="0086041A" w:rsidP="00445FEC">
      <w:pPr>
        <w:spacing w:line="240" w:lineRule="auto"/>
        <w:ind w:left="567" w:hanging="567"/>
        <w:rPr>
          <w:rFonts w:eastAsia="Times New Roman"/>
          <w:sz w:val="24"/>
          <w:szCs w:val="24"/>
          <w:lang w:eastAsia="en-AU"/>
        </w:rPr>
      </w:pPr>
      <w:r>
        <w:rPr>
          <w:rFonts w:eastAsia="Times New Roman"/>
          <w:sz w:val="24"/>
          <w:szCs w:val="24"/>
          <w:lang w:eastAsia="en-AU"/>
        </w:rPr>
        <w:t>1</w:t>
      </w:r>
      <w:r w:rsidR="001D23C9">
        <w:rPr>
          <w:rFonts w:eastAsia="Times New Roman"/>
          <w:sz w:val="24"/>
          <w:szCs w:val="24"/>
          <w:lang w:eastAsia="en-AU"/>
        </w:rPr>
        <w:t>7</w:t>
      </w:r>
      <w:r>
        <w:rPr>
          <w:rFonts w:eastAsia="Times New Roman"/>
          <w:sz w:val="24"/>
          <w:szCs w:val="24"/>
          <w:lang w:eastAsia="en-AU"/>
        </w:rPr>
        <w:t>.</w:t>
      </w:r>
      <w:r w:rsidR="00445FEC" w:rsidRPr="0008149D">
        <w:rPr>
          <w:rFonts w:eastAsia="Times New Roman"/>
          <w:sz w:val="24"/>
          <w:szCs w:val="24"/>
          <w:lang w:eastAsia="en-AU"/>
        </w:rPr>
        <w:tab/>
        <w:t>ASIC had regard to the following principles in attributing its regulatory costs to a sub-sector:</w:t>
      </w:r>
    </w:p>
    <w:p w14:paraId="61A8B98D" w14:textId="77777777" w:rsidR="00445FEC" w:rsidRPr="0008149D" w:rsidRDefault="00445FEC" w:rsidP="00445FEC">
      <w:pPr>
        <w:spacing w:line="240" w:lineRule="auto"/>
        <w:ind w:left="567" w:hanging="567"/>
        <w:rPr>
          <w:rFonts w:eastAsia="Times New Roman"/>
          <w:sz w:val="24"/>
          <w:szCs w:val="24"/>
          <w:lang w:eastAsia="en-AU"/>
        </w:rPr>
      </w:pPr>
    </w:p>
    <w:p w14:paraId="20E3347C" w14:textId="77777777" w:rsidR="00445FEC" w:rsidRPr="0008149D" w:rsidRDefault="00445FEC" w:rsidP="00445FEC">
      <w:pPr>
        <w:spacing w:line="240" w:lineRule="auto"/>
        <w:ind w:left="1134" w:hanging="567"/>
        <w:rPr>
          <w:rFonts w:eastAsia="Times New Roman"/>
          <w:sz w:val="24"/>
          <w:szCs w:val="24"/>
          <w:lang w:eastAsia="en-AU"/>
        </w:rPr>
      </w:pPr>
      <w:r w:rsidRPr="0008149D">
        <w:rPr>
          <w:rFonts w:eastAsia="Times New Roman"/>
          <w:sz w:val="24"/>
          <w:szCs w:val="24"/>
          <w:lang w:eastAsia="en-AU"/>
        </w:rPr>
        <w:t>(a)</w:t>
      </w:r>
      <w:r w:rsidRPr="0008149D">
        <w:rPr>
          <w:rFonts w:eastAsia="Times New Roman"/>
          <w:sz w:val="24"/>
          <w:szCs w:val="24"/>
          <w:lang w:eastAsia="en-AU"/>
        </w:rPr>
        <w:tab/>
        <w:t>costs relating to the direct regulation of leviable entities in particular sub-sectors are attributed to that sub-</w:t>
      </w:r>
      <w:proofErr w:type="gramStart"/>
      <w:r w:rsidRPr="0008149D">
        <w:rPr>
          <w:rFonts w:eastAsia="Times New Roman"/>
          <w:sz w:val="24"/>
          <w:szCs w:val="24"/>
          <w:lang w:eastAsia="en-AU"/>
        </w:rPr>
        <w:t>sector;</w:t>
      </w:r>
      <w:proofErr w:type="gramEnd"/>
    </w:p>
    <w:p w14:paraId="47613FDB" w14:textId="77777777" w:rsidR="00445FEC" w:rsidRPr="0008149D" w:rsidRDefault="00445FEC" w:rsidP="00445FEC">
      <w:pPr>
        <w:spacing w:line="240" w:lineRule="auto"/>
        <w:ind w:left="1134" w:hanging="567"/>
        <w:rPr>
          <w:rFonts w:eastAsia="Times New Roman"/>
          <w:sz w:val="24"/>
          <w:szCs w:val="24"/>
          <w:lang w:eastAsia="en-AU"/>
        </w:rPr>
      </w:pPr>
    </w:p>
    <w:p w14:paraId="78DB80FB" w14:textId="77777777" w:rsidR="00445FEC" w:rsidRDefault="00445FEC" w:rsidP="00445FEC">
      <w:pPr>
        <w:spacing w:line="240" w:lineRule="auto"/>
        <w:ind w:left="1134" w:hanging="567"/>
        <w:rPr>
          <w:rFonts w:eastAsia="Times New Roman"/>
          <w:sz w:val="24"/>
          <w:szCs w:val="24"/>
          <w:lang w:eastAsia="en-AU"/>
        </w:rPr>
      </w:pPr>
      <w:r w:rsidRPr="0008149D">
        <w:rPr>
          <w:rFonts w:eastAsia="Times New Roman"/>
          <w:sz w:val="24"/>
          <w:szCs w:val="24"/>
          <w:lang w:eastAsia="en-AU"/>
        </w:rPr>
        <w:t>(b)</w:t>
      </w:r>
      <w:r w:rsidRPr="0008149D">
        <w:rPr>
          <w:rFonts w:eastAsia="Times New Roman"/>
          <w:sz w:val="24"/>
          <w:szCs w:val="24"/>
          <w:lang w:eastAsia="en-AU"/>
        </w:rPr>
        <w:tab/>
        <w:t>costs relating indirectly to the regulation of leviable entities are attributed to each sub-sector in proportion to the regulatory resources dedicated to that sub-</w:t>
      </w:r>
      <w:proofErr w:type="gramStart"/>
      <w:r w:rsidRPr="0008149D">
        <w:rPr>
          <w:rFonts w:eastAsia="Times New Roman"/>
          <w:sz w:val="24"/>
          <w:szCs w:val="24"/>
          <w:lang w:eastAsia="en-AU"/>
        </w:rPr>
        <w:t>sector;</w:t>
      </w:r>
      <w:proofErr w:type="gramEnd"/>
    </w:p>
    <w:p w14:paraId="17F027E1" w14:textId="77777777" w:rsidR="00F32CB0" w:rsidRDefault="00F32CB0" w:rsidP="00445FEC">
      <w:pPr>
        <w:spacing w:line="240" w:lineRule="auto"/>
        <w:ind w:left="1134" w:hanging="567"/>
        <w:rPr>
          <w:rFonts w:eastAsia="Times New Roman"/>
          <w:sz w:val="24"/>
          <w:szCs w:val="24"/>
          <w:lang w:eastAsia="en-AU"/>
        </w:rPr>
      </w:pPr>
    </w:p>
    <w:p w14:paraId="73369E9A" w14:textId="77777777" w:rsidR="00FA5486" w:rsidRDefault="00F32CB0" w:rsidP="00445FEC">
      <w:pPr>
        <w:spacing w:line="240" w:lineRule="auto"/>
        <w:ind w:left="1134" w:hanging="567"/>
        <w:rPr>
          <w:rFonts w:eastAsia="Times New Roman"/>
          <w:sz w:val="24"/>
          <w:szCs w:val="24"/>
          <w:lang w:eastAsia="en-AU"/>
        </w:rPr>
      </w:pPr>
      <w:r w:rsidRPr="00FA5486">
        <w:rPr>
          <w:rFonts w:eastAsia="Times New Roman"/>
          <w:sz w:val="24"/>
          <w:szCs w:val="24"/>
          <w:lang w:eastAsia="en-AU"/>
        </w:rPr>
        <w:t>(c)</w:t>
      </w:r>
      <w:r w:rsidRPr="00FA5486">
        <w:rPr>
          <w:rFonts w:eastAsia="Times New Roman"/>
          <w:sz w:val="24"/>
          <w:szCs w:val="24"/>
          <w:lang w:eastAsia="en-AU"/>
        </w:rPr>
        <w:tab/>
        <w:t>an excess or shortfall that creates an adjustment under subsection 10(6) of the Cost Recovery Act is attributable the sub-sector</w:t>
      </w:r>
      <w:r w:rsidR="0086041A" w:rsidRPr="00FA5486">
        <w:rPr>
          <w:rFonts w:eastAsia="Times New Roman"/>
          <w:sz w:val="24"/>
          <w:szCs w:val="24"/>
          <w:lang w:eastAsia="en-AU"/>
        </w:rPr>
        <w:t xml:space="preserve"> in which the excess or shortfall </w:t>
      </w:r>
      <w:proofErr w:type="gramStart"/>
      <w:r w:rsidR="0086041A" w:rsidRPr="00FA5486">
        <w:rPr>
          <w:rFonts w:eastAsia="Times New Roman"/>
          <w:sz w:val="24"/>
          <w:szCs w:val="24"/>
          <w:lang w:eastAsia="en-AU"/>
        </w:rPr>
        <w:t>arose;</w:t>
      </w:r>
      <w:proofErr w:type="gramEnd"/>
    </w:p>
    <w:p w14:paraId="116F7F2C" w14:textId="77777777" w:rsidR="00445FEC" w:rsidRPr="0008149D" w:rsidRDefault="00445FEC" w:rsidP="00445FEC">
      <w:pPr>
        <w:spacing w:line="240" w:lineRule="auto"/>
        <w:ind w:left="1134" w:hanging="567"/>
        <w:rPr>
          <w:rFonts w:eastAsia="Times New Roman"/>
          <w:sz w:val="24"/>
          <w:szCs w:val="24"/>
          <w:lang w:eastAsia="en-AU"/>
        </w:rPr>
      </w:pPr>
    </w:p>
    <w:p w14:paraId="7D6E6CF5" w14:textId="77777777" w:rsidR="00445FEC" w:rsidRPr="0008149D" w:rsidRDefault="00445FEC" w:rsidP="00445FEC">
      <w:pPr>
        <w:spacing w:line="240" w:lineRule="auto"/>
        <w:ind w:left="1134" w:hanging="567"/>
        <w:rPr>
          <w:rFonts w:eastAsia="Times New Roman"/>
          <w:sz w:val="24"/>
          <w:szCs w:val="24"/>
          <w:lang w:eastAsia="en-AU"/>
        </w:rPr>
      </w:pPr>
      <w:r w:rsidRPr="0008149D">
        <w:rPr>
          <w:rFonts w:eastAsia="Times New Roman"/>
          <w:sz w:val="24"/>
          <w:szCs w:val="24"/>
          <w:lang w:eastAsia="en-AU"/>
        </w:rPr>
        <w:t>(</w:t>
      </w:r>
      <w:r w:rsidR="00F32CB0">
        <w:rPr>
          <w:rFonts w:eastAsia="Times New Roman"/>
          <w:sz w:val="24"/>
          <w:szCs w:val="24"/>
          <w:lang w:eastAsia="en-AU"/>
        </w:rPr>
        <w:t>d</w:t>
      </w:r>
      <w:r w:rsidRPr="0008149D">
        <w:rPr>
          <w:rFonts w:eastAsia="Times New Roman"/>
          <w:sz w:val="24"/>
          <w:szCs w:val="24"/>
          <w:lang w:eastAsia="en-AU"/>
        </w:rPr>
        <w:t>)</w:t>
      </w:r>
      <w:r w:rsidRPr="0008149D">
        <w:rPr>
          <w:rFonts w:eastAsia="Times New Roman"/>
          <w:sz w:val="24"/>
          <w:szCs w:val="24"/>
          <w:lang w:eastAsia="en-AU"/>
        </w:rPr>
        <w:tab/>
        <w:t>amounts credited to a special account established under paragraph</w:t>
      </w:r>
      <w:r w:rsidR="0086041A">
        <w:rPr>
          <w:rFonts w:eastAsia="Times New Roman"/>
          <w:sz w:val="24"/>
          <w:szCs w:val="24"/>
          <w:lang w:eastAsia="en-AU"/>
        </w:rPr>
        <w:t> </w:t>
      </w:r>
      <w:r w:rsidRPr="0008149D">
        <w:rPr>
          <w:rFonts w:eastAsia="Times New Roman"/>
          <w:sz w:val="24"/>
          <w:szCs w:val="24"/>
          <w:lang w:eastAsia="en-AU"/>
        </w:rPr>
        <w:t xml:space="preserve">78(1)(a) of the </w:t>
      </w:r>
      <w:r w:rsidRPr="0008149D">
        <w:rPr>
          <w:rFonts w:eastAsia="Times New Roman"/>
          <w:i/>
          <w:sz w:val="24"/>
          <w:szCs w:val="24"/>
          <w:lang w:eastAsia="en-AU"/>
        </w:rPr>
        <w:t>Public Governance, Performance and Accountability Act 2013</w:t>
      </w:r>
      <w:r w:rsidRPr="0008149D">
        <w:rPr>
          <w:rFonts w:eastAsia="Times New Roman"/>
          <w:sz w:val="24"/>
          <w:szCs w:val="24"/>
          <w:lang w:eastAsia="en-AU"/>
        </w:rPr>
        <w:t xml:space="preserve"> are to be attributed over time and in a reasonable</w:t>
      </w:r>
      <w:r w:rsidR="0086041A">
        <w:rPr>
          <w:rFonts w:eastAsia="Times New Roman"/>
          <w:sz w:val="24"/>
          <w:szCs w:val="24"/>
          <w:lang w:eastAsia="en-AU"/>
        </w:rPr>
        <w:t> </w:t>
      </w:r>
      <w:r w:rsidRPr="0008149D">
        <w:rPr>
          <w:rFonts w:eastAsia="Times New Roman"/>
          <w:sz w:val="24"/>
          <w:szCs w:val="24"/>
          <w:lang w:eastAsia="en-AU"/>
        </w:rPr>
        <w:t>manner, to the sub-sectors to which the costs giving rise to debits to the special account relate.</w:t>
      </w:r>
    </w:p>
    <w:p w14:paraId="1056F921" w14:textId="77777777" w:rsidR="0036661F" w:rsidRPr="0036661F" w:rsidRDefault="0036661F" w:rsidP="00443038">
      <w:pPr>
        <w:pStyle w:val="LI-BodyTextParaa"/>
        <w:ind w:left="567" w:firstLine="0"/>
        <w:rPr>
          <w:u w:val="single"/>
        </w:rPr>
      </w:pPr>
      <w:r>
        <w:rPr>
          <w:u w:val="single"/>
        </w:rPr>
        <w:t>Commencement</w:t>
      </w:r>
      <w:r w:rsidR="00342ECD">
        <w:rPr>
          <w:u w:val="single"/>
        </w:rPr>
        <w:t xml:space="preserve"> and date of effect</w:t>
      </w:r>
    </w:p>
    <w:p w14:paraId="73A01FDB" w14:textId="77777777" w:rsidR="001D23C9" w:rsidRPr="00445FEC" w:rsidRDefault="001D23C9" w:rsidP="001D23C9">
      <w:pPr>
        <w:pStyle w:val="LI-BodyTextParaa"/>
        <w:ind w:left="567"/>
      </w:pPr>
      <w:r w:rsidRPr="00445FEC">
        <w:t>1</w:t>
      </w:r>
      <w:r w:rsidR="00CE7434">
        <w:t>8</w:t>
      </w:r>
      <w:r w:rsidRPr="00445FEC">
        <w:t>.</w:t>
      </w:r>
      <w:r w:rsidRPr="00445FEC">
        <w:tab/>
        <w:t>This instrument is a disallowable legislative instrument.</w:t>
      </w:r>
    </w:p>
    <w:p w14:paraId="60F30F97" w14:textId="66BE23A2" w:rsidR="00342ECD" w:rsidRDefault="00CE7434" w:rsidP="005D1FEA">
      <w:pPr>
        <w:pStyle w:val="LI-BodyTextParaa"/>
        <w:ind w:left="567"/>
      </w:pPr>
      <w:r>
        <w:t>19</w:t>
      </w:r>
      <w:r w:rsidR="0036661F">
        <w:t>.</w:t>
      </w:r>
      <w:r w:rsidR="0036661F">
        <w:tab/>
      </w:r>
      <w:r w:rsidR="00DC25A4" w:rsidRPr="00BF5471">
        <w:t xml:space="preserve">The instrument </w:t>
      </w:r>
      <w:r w:rsidR="00342ECD" w:rsidRPr="00BF5471">
        <w:t>commences on the day after it is regist</w:t>
      </w:r>
      <w:r w:rsidR="00342ECD" w:rsidRPr="0088180F">
        <w:t>e</w:t>
      </w:r>
      <w:r w:rsidR="00342ECD" w:rsidRPr="008772C8">
        <w:t xml:space="preserve">red on the Federal Register of Legislation, but it </w:t>
      </w:r>
      <w:r w:rsidR="00DC25A4" w:rsidRPr="008772C8">
        <w:t xml:space="preserve">takes effect in accordance </w:t>
      </w:r>
      <w:r w:rsidR="00CE20AD" w:rsidRPr="008772C8">
        <w:t>with paragraphs 11(3)(a) and 11(4)(a) of the Cost Recovery Act. This means</w:t>
      </w:r>
      <w:r w:rsidR="00CE20AD" w:rsidRPr="00BF5471">
        <w:t xml:space="preserve"> the instrument</w:t>
      </w:r>
      <w:r w:rsidR="00CE20AD" w:rsidRPr="0088180F">
        <w:t xml:space="preserve"> </w:t>
      </w:r>
      <w:r w:rsidR="00CE20AD" w:rsidRPr="008772C8">
        <w:t>takes effect at the end of the special disallowance period</w:t>
      </w:r>
      <w:r w:rsidR="001D23C9" w:rsidRPr="008772C8">
        <w:t xml:space="preserve">, being </w:t>
      </w:r>
      <w:r w:rsidR="00BF5471">
        <w:t>(unless</w:t>
      </w:r>
      <w:r w:rsidR="00BF5471" w:rsidRPr="004833F1">
        <w:t xml:space="preserve"> notice of a motion of disallowance </w:t>
      </w:r>
      <w:r w:rsidR="00BF5471">
        <w:t>is</w:t>
      </w:r>
      <w:r w:rsidR="00BF5471" w:rsidRPr="004833F1">
        <w:t xml:space="preserve"> given in either House of Parliament</w:t>
      </w:r>
      <w:r w:rsidR="007A2CDE">
        <w:t>)</w:t>
      </w:r>
      <w:r w:rsidR="007A2CDE" w:rsidRPr="004833F1">
        <w:t>,</w:t>
      </w:r>
      <w:r w:rsidR="007A2CDE" w:rsidRPr="00182AF3">
        <w:t xml:space="preserve"> a</w:t>
      </w:r>
      <w:r w:rsidR="00CE20AD" w:rsidRPr="0088180F">
        <w:t xml:space="preserve"> p</w:t>
      </w:r>
      <w:r w:rsidR="00CE20AD" w:rsidRPr="008772C8">
        <w:t>eriod of 5 sitting days after the instrument has been tabled in both Houses of Parliament. The instrument does not take effect to the extent it is disallowed by either House of Parliament.</w:t>
      </w:r>
    </w:p>
    <w:p w14:paraId="67A9F795" w14:textId="77777777" w:rsidR="00863657" w:rsidRPr="00445FEC" w:rsidRDefault="00342ECD" w:rsidP="00342ECD">
      <w:pPr>
        <w:pStyle w:val="LI-BodyTextParaa"/>
        <w:ind w:left="567"/>
        <w:rPr>
          <w:u w:val="single"/>
        </w:rPr>
      </w:pPr>
      <w:r>
        <w:br w:type="page"/>
      </w:r>
      <w:r w:rsidR="00863657" w:rsidRPr="00445FEC">
        <w:rPr>
          <w:u w:val="single"/>
        </w:rPr>
        <w:lastRenderedPageBreak/>
        <w:t>Retrospective application</w:t>
      </w:r>
    </w:p>
    <w:p w14:paraId="7E8C0643" w14:textId="77777777" w:rsidR="00863657" w:rsidRPr="00445FEC" w:rsidRDefault="001D23C9" w:rsidP="00863657">
      <w:pPr>
        <w:pStyle w:val="LI-BodyTextParaa"/>
        <w:ind w:left="567"/>
        <w:rPr>
          <w:i/>
        </w:rPr>
      </w:pPr>
      <w:r>
        <w:t>2</w:t>
      </w:r>
      <w:r w:rsidR="00CE7434">
        <w:t>0</w:t>
      </w:r>
      <w:r w:rsidR="00863657" w:rsidRPr="00445FEC">
        <w:t>.</w:t>
      </w:r>
      <w:r w:rsidR="00863657" w:rsidRPr="00445FEC">
        <w:tab/>
      </w:r>
      <w:r w:rsidR="0086041A">
        <w:t>Subsection 12(2) (retrospective application of legislative instruments) of the Legislation Act does not apply to this instrument: see subsection 10(8)</w:t>
      </w:r>
      <w:r w:rsidR="0036661F">
        <w:t xml:space="preserve"> </w:t>
      </w:r>
      <w:r w:rsidR="0086041A">
        <w:t>of</w:t>
      </w:r>
      <w:r w:rsidR="0036661F">
        <w:t xml:space="preserve"> the Cost Recovery Act.</w:t>
      </w:r>
    </w:p>
    <w:bookmarkEnd w:id="0"/>
    <w:p w14:paraId="5CD93133" w14:textId="77777777" w:rsidR="00F03BB5" w:rsidRPr="00445FEC" w:rsidRDefault="00474B52" w:rsidP="009A3F74">
      <w:pPr>
        <w:pStyle w:val="LI-BodyTextParaa"/>
        <w:ind w:left="0" w:firstLine="0"/>
        <w:rPr>
          <w:b/>
        </w:rPr>
      </w:pPr>
      <w:r w:rsidRPr="00445FEC">
        <w:rPr>
          <w:b/>
        </w:rPr>
        <w:t>Legislative authority</w:t>
      </w:r>
    </w:p>
    <w:p w14:paraId="13414AEB" w14:textId="77777777" w:rsidR="00DD4938" w:rsidRPr="00445FEC" w:rsidRDefault="001D23C9" w:rsidP="00DD4938">
      <w:pPr>
        <w:pStyle w:val="LI-BodyTextParaa"/>
        <w:ind w:left="567"/>
      </w:pPr>
      <w:r>
        <w:t>2</w:t>
      </w:r>
      <w:r w:rsidR="00CE7434">
        <w:t>1</w:t>
      </w:r>
      <w:r w:rsidR="00F03BB5" w:rsidRPr="00445FEC">
        <w:t>.</w:t>
      </w:r>
      <w:r w:rsidR="00F03BB5" w:rsidRPr="00445FEC">
        <w:tab/>
      </w:r>
      <w:r w:rsidR="00DD4938" w:rsidRPr="00445FEC">
        <w:t xml:space="preserve">ASIC </w:t>
      </w:r>
      <w:r w:rsidR="00DD4938" w:rsidRPr="0008149D">
        <w:t>makes th</w:t>
      </w:r>
      <w:r w:rsidR="00DD4938" w:rsidRPr="00445FEC">
        <w:t xml:space="preserve">is instrument </w:t>
      </w:r>
      <w:r w:rsidR="00DD4938" w:rsidRPr="0008149D">
        <w:t>under subsection 12A(6) of the</w:t>
      </w:r>
      <w:r w:rsidR="00DD4938" w:rsidRPr="0008149D">
        <w:rPr>
          <w:i/>
        </w:rPr>
        <w:t xml:space="preserve"> Australian Securities and Investments Commission Act 2001 </w:t>
      </w:r>
      <w:r w:rsidR="00DD4938" w:rsidRPr="0008149D">
        <w:t xml:space="preserve">(the </w:t>
      </w:r>
      <w:r w:rsidR="00DD4938" w:rsidRPr="0008149D">
        <w:rPr>
          <w:b/>
          <w:i/>
        </w:rPr>
        <w:t>ASIC Act</w:t>
      </w:r>
      <w:r w:rsidR="00DD4938" w:rsidRPr="0008149D">
        <w:t>) for the purposes of subsection 10(2) of the Cost Recovery Act.</w:t>
      </w:r>
    </w:p>
    <w:p w14:paraId="4AE3E799" w14:textId="77777777" w:rsidR="00DD4938" w:rsidRPr="00445FEC" w:rsidRDefault="001D23C9" w:rsidP="00DD4938">
      <w:pPr>
        <w:pStyle w:val="LI-BodyTextParaa"/>
        <w:ind w:left="567"/>
      </w:pPr>
      <w:r>
        <w:t>2</w:t>
      </w:r>
      <w:r w:rsidR="00CE7434">
        <w:t>2</w:t>
      </w:r>
      <w:r w:rsidR="00DD4938" w:rsidRPr="00445FEC">
        <w:t>.</w:t>
      </w:r>
      <w:r w:rsidR="00DD4938" w:rsidRPr="00445FEC">
        <w:tab/>
      </w:r>
      <w:r w:rsidR="00DD4938" w:rsidRPr="00DD4938">
        <w:t xml:space="preserve">Subsection 10(1) of the Cost Recovery Act provides that ASIC’s regulatory costs for a financial year means the amount determined in an instrument under subsection 10(2) for the financial year. </w:t>
      </w:r>
    </w:p>
    <w:p w14:paraId="2438A456" w14:textId="77777777" w:rsidR="00DD4938" w:rsidRPr="00DD4938" w:rsidRDefault="001D23C9" w:rsidP="00DD4938">
      <w:pPr>
        <w:pStyle w:val="LI-BodyTextParaa"/>
        <w:ind w:left="567"/>
      </w:pPr>
      <w:r>
        <w:t>2</w:t>
      </w:r>
      <w:r w:rsidR="00CE7434">
        <w:t>3</w:t>
      </w:r>
      <w:r w:rsidR="00DD4938" w:rsidRPr="00445FEC">
        <w:t>.</w:t>
      </w:r>
      <w:r w:rsidR="00DD4938" w:rsidRPr="00445FEC">
        <w:tab/>
      </w:r>
      <w:r w:rsidR="00DD4938" w:rsidRPr="00DD4938">
        <w:t>Subsection 10(2) of the Cost Recovery Act provides that ASIC must, by</w:t>
      </w:r>
      <w:r w:rsidR="00DD4938" w:rsidRPr="00DD4938">
        <w:rPr>
          <w:i/>
        </w:rPr>
        <w:t xml:space="preserve"> </w:t>
      </w:r>
      <w:r w:rsidR="00DD4938" w:rsidRPr="00DD4938">
        <w:t xml:space="preserve">legislative instrument, </w:t>
      </w:r>
      <w:proofErr w:type="gramStart"/>
      <w:r w:rsidR="00DD4938" w:rsidRPr="00DD4938">
        <w:t>make a determination</w:t>
      </w:r>
      <w:proofErr w:type="gramEnd"/>
      <w:r w:rsidR="00DD4938" w:rsidRPr="00DD4938">
        <w:t xml:space="preserve"> specifying the amount of its regulatory costs for a financial year and the extent to which those costs are attributable to each sub</w:t>
      </w:r>
      <w:r w:rsidR="00DD4938" w:rsidRPr="00DD4938">
        <w:noBreakHyphen/>
        <w:t>sector.</w:t>
      </w:r>
    </w:p>
    <w:p w14:paraId="2C054339" w14:textId="77777777" w:rsidR="00DD4938" w:rsidRPr="00DD4938" w:rsidRDefault="001D23C9" w:rsidP="00DD4938">
      <w:pPr>
        <w:pStyle w:val="LI-BodyTextParaa"/>
        <w:ind w:left="567"/>
      </w:pPr>
      <w:r>
        <w:t>2</w:t>
      </w:r>
      <w:r w:rsidR="00CE7434">
        <w:t>4</w:t>
      </w:r>
      <w:r w:rsidR="00DD4938" w:rsidRPr="00445FEC">
        <w:t>.</w:t>
      </w:r>
      <w:r w:rsidR="00DD4938" w:rsidRPr="00445FEC">
        <w:tab/>
      </w:r>
      <w:r w:rsidR="00DD4938" w:rsidRPr="00DD4938">
        <w:t>Subsection 12A(6) of the ASIC Act provides that ASIC has power to do whatever is necessary for or in connection with, or reasonably incidental to, the performance of its functions. This includes functions conferred on ASIC by or under the Cost Recovery Act. Th</w:t>
      </w:r>
      <w:r w:rsidR="00DD4938" w:rsidRPr="00445FEC">
        <w:t xml:space="preserve">is </w:t>
      </w:r>
      <w:r w:rsidR="00DD4938" w:rsidRPr="00DD4938">
        <w:t xml:space="preserve">power extends to the making of instruments in connection with the performance of those functions. </w:t>
      </w:r>
    </w:p>
    <w:p w14:paraId="60F09C39" w14:textId="77777777" w:rsidR="00EA17A6" w:rsidRPr="00445FEC" w:rsidRDefault="00EA17A6" w:rsidP="00435EEF">
      <w:pPr>
        <w:pStyle w:val="LI-BodyTextParaa"/>
        <w:ind w:left="567"/>
        <w:rPr>
          <w:b/>
        </w:rPr>
      </w:pPr>
      <w:r w:rsidRPr="00445FEC">
        <w:rPr>
          <w:b/>
        </w:rPr>
        <w:t xml:space="preserve">Statement of Compatibility with Human Rights  </w:t>
      </w:r>
    </w:p>
    <w:p w14:paraId="09A63198" w14:textId="77777777" w:rsidR="00223DCF" w:rsidRPr="00445FEC" w:rsidRDefault="001D23C9" w:rsidP="00435EEF">
      <w:pPr>
        <w:pStyle w:val="LI-BodyTextParaa"/>
        <w:ind w:left="567"/>
      </w:pPr>
      <w:r>
        <w:t>2</w:t>
      </w:r>
      <w:r w:rsidR="00CE7434">
        <w:t>5</w:t>
      </w:r>
      <w:r w:rsidR="00223DCF" w:rsidRPr="00445FEC">
        <w:t>.</w:t>
      </w:r>
      <w:r w:rsidR="00223DCF" w:rsidRPr="00445FEC">
        <w:tab/>
        <w:t xml:space="preserve">The Explanatory Statement for a disallowable legislative instrument must contain a Statement of Compatibility with Human Rights under subsection 9(1) of the </w:t>
      </w:r>
      <w:r w:rsidR="00223DCF" w:rsidRPr="00445FEC">
        <w:rPr>
          <w:i/>
          <w:iCs/>
        </w:rPr>
        <w:t>Human Rights (Parliamentary Scrutiny) Act 2011.</w:t>
      </w:r>
      <w:r w:rsidR="00223DCF" w:rsidRPr="00445FEC">
        <w:rPr>
          <w:iCs/>
        </w:rPr>
        <w:t xml:space="preserve"> </w:t>
      </w:r>
      <w:r w:rsidR="00223DCF" w:rsidRPr="00445FEC">
        <w:t xml:space="preserve">A Statement of Compatibility with Human Rights is in the </w:t>
      </w:r>
      <w:r w:rsidR="00223DCF" w:rsidRPr="00445FEC">
        <w:rPr>
          <w:u w:val="single"/>
        </w:rPr>
        <w:t>Attachment</w:t>
      </w:r>
      <w:r w:rsidR="00223DCF" w:rsidRPr="00445FEC">
        <w:t xml:space="preserve">. </w:t>
      </w:r>
    </w:p>
    <w:p w14:paraId="47C94380" w14:textId="77777777" w:rsidR="00223DCF" w:rsidRPr="00EA17A6" w:rsidRDefault="00223DCF" w:rsidP="00223DCF">
      <w:pPr>
        <w:pStyle w:val="LI-BodyTextParaa"/>
        <w:ind w:left="567"/>
        <w:jc w:val="right"/>
        <w:rPr>
          <w:u w:val="single"/>
        </w:rPr>
      </w:pPr>
      <w:r w:rsidRPr="00445FEC">
        <w:rPr>
          <w:color w:val="FF0000"/>
        </w:rPr>
        <w:br w:type="page"/>
      </w:r>
      <w:r w:rsidRPr="00EA17A6">
        <w:rPr>
          <w:u w:val="single"/>
        </w:rPr>
        <w:lastRenderedPageBreak/>
        <w:t xml:space="preserve">Attachment </w:t>
      </w:r>
    </w:p>
    <w:p w14:paraId="0F2F5095"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253317C2" w14:textId="77777777" w:rsidR="00AE787B" w:rsidRPr="00EA17A6" w:rsidRDefault="00AE787B" w:rsidP="00223DCF">
      <w:pPr>
        <w:pStyle w:val="LI-BodyTextNumbered"/>
        <w:ind w:left="0" w:firstLine="0"/>
        <w:rPr>
          <w:iCs/>
        </w:rPr>
      </w:pPr>
      <w:bookmarkStart w:id="6" w:name="_Hlk534286677"/>
    </w:p>
    <w:p w14:paraId="342326B9"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7" w:name="_Hlk4054932"/>
      <w:r w:rsidRPr="00EA17A6">
        <w:rPr>
          <w:iCs/>
        </w:rPr>
        <w:t xml:space="preserve">the </w:t>
      </w:r>
      <w:r w:rsidRPr="00EA17A6">
        <w:rPr>
          <w:i/>
          <w:iCs/>
        </w:rPr>
        <w:t>Human Rights (Parliamentary Scrutiny) Act 2011</w:t>
      </w:r>
      <w:bookmarkEnd w:id="7"/>
      <w:r w:rsidRPr="00EA17A6">
        <w:rPr>
          <w:iCs/>
        </w:rPr>
        <w:t xml:space="preserve">.   </w:t>
      </w:r>
    </w:p>
    <w:p w14:paraId="4391585B" w14:textId="66351F12" w:rsidR="00223DCF" w:rsidRPr="00EA17A6" w:rsidRDefault="009B0346" w:rsidP="00223DCF">
      <w:pPr>
        <w:pStyle w:val="LI-BodyTextNumbered"/>
        <w:ind w:left="0" w:firstLine="0"/>
        <w:rPr>
          <w:b/>
          <w:i/>
        </w:rPr>
      </w:pPr>
      <w:r>
        <w:rPr>
          <w:b/>
          <w:i/>
        </w:rPr>
        <w:t xml:space="preserve">ASIC </w:t>
      </w:r>
      <w:r w:rsidR="001D1FDE">
        <w:rPr>
          <w:b/>
          <w:i/>
        </w:rPr>
        <w:t xml:space="preserve">(Supervisory Cost Recovery Levy—Regulatory Costs) Instrument </w:t>
      </w:r>
      <w:r w:rsidR="00551CF2">
        <w:rPr>
          <w:b/>
          <w:i/>
        </w:rPr>
        <w:t>202</w:t>
      </w:r>
      <w:r w:rsidR="00EC444B">
        <w:rPr>
          <w:b/>
          <w:i/>
        </w:rPr>
        <w:t>3</w:t>
      </w:r>
      <w:r w:rsidR="00E86D30">
        <w:rPr>
          <w:b/>
          <w:i/>
        </w:rPr>
        <w:t>/</w:t>
      </w:r>
      <w:r w:rsidR="00D15B1D">
        <w:rPr>
          <w:b/>
          <w:i/>
        </w:rPr>
        <w:t>777</w:t>
      </w:r>
    </w:p>
    <w:p w14:paraId="39F76A09" w14:textId="77777777" w:rsidR="00223DCF" w:rsidRPr="00EA17A6" w:rsidRDefault="00223DCF" w:rsidP="001872DC">
      <w:pPr>
        <w:pStyle w:val="LI-BodyTextNumbered"/>
        <w:ind w:left="567"/>
        <w:rPr>
          <w:u w:val="single"/>
        </w:rPr>
      </w:pPr>
      <w:r w:rsidRPr="00EA17A6">
        <w:rPr>
          <w:u w:val="single"/>
        </w:rPr>
        <w:t>Overview</w:t>
      </w:r>
    </w:p>
    <w:p w14:paraId="63AB9FFA" w14:textId="77777777" w:rsidR="001D1FDE" w:rsidRPr="0008149D" w:rsidRDefault="00CB2D96" w:rsidP="001D1FDE">
      <w:pPr>
        <w:spacing w:before="240" w:line="240" w:lineRule="auto"/>
        <w:ind w:left="567" w:hanging="567"/>
        <w:rPr>
          <w:rFonts w:eastAsia="Times New Roman"/>
          <w:sz w:val="24"/>
          <w:szCs w:val="24"/>
          <w:lang w:eastAsia="en-AU"/>
        </w:rPr>
      </w:pPr>
      <w:r w:rsidRPr="00EA17A6">
        <w:rPr>
          <w:rFonts w:eastAsia="Times New Roman"/>
          <w:sz w:val="24"/>
          <w:szCs w:val="24"/>
          <w:lang w:eastAsia="en-AU"/>
        </w:rPr>
        <w:t>1.</w:t>
      </w:r>
      <w:r w:rsidRPr="00EA17A6">
        <w:rPr>
          <w:rFonts w:eastAsia="Times New Roman"/>
          <w:sz w:val="24"/>
          <w:szCs w:val="24"/>
          <w:lang w:eastAsia="en-AU"/>
        </w:rPr>
        <w:tab/>
      </w:r>
      <w:r w:rsidR="001D1FDE" w:rsidRPr="0008149D">
        <w:rPr>
          <w:rFonts w:eastAsia="Times New Roman"/>
          <w:sz w:val="24"/>
          <w:szCs w:val="24"/>
          <w:lang w:eastAsia="en-AU"/>
        </w:rPr>
        <w:t xml:space="preserve">Subsection 10(2) of the </w:t>
      </w:r>
      <w:r w:rsidR="001D1FDE" w:rsidRPr="0008149D">
        <w:rPr>
          <w:rFonts w:eastAsia="Times New Roman"/>
          <w:i/>
          <w:sz w:val="24"/>
          <w:szCs w:val="24"/>
          <w:lang w:eastAsia="en-AU"/>
        </w:rPr>
        <w:t>ASIC Supervisory Cost Recovery Levy Act 2017</w:t>
      </w:r>
      <w:r w:rsidR="001D1FDE" w:rsidRPr="0008149D">
        <w:rPr>
          <w:rFonts w:eastAsia="Times New Roman"/>
          <w:sz w:val="24"/>
          <w:szCs w:val="24"/>
          <w:lang w:eastAsia="en-AU"/>
        </w:rPr>
        <w:t xml:space="preserve"> requires ASIC to </w:t>
      </w:r>
      <w:proofErr w:type="gramStart"/>
      <w:r w:rsidR="001D1FDE" w:rsidRPr="0008149D">
        <w:rPr>
          <w:rFonts w:eastAsia="Times New Roman"/>
          <w:sz w:val="24"/>
          <w:szCs w:val="24"/>
          <w:lang w:eastAsia="en-AU"/>
        </w:rPr>
        <w:t>make a determination</w:t>
      </w:r>
      <w:proofErr w:type="gramEnd"/>
      <w:r w:rsidR="001D1FDE" w:rsidRPr="0008149D">
        <w:rPr>
          <w:rFonts w:eastAsia="Times New Roman"/>
          <w:sz w:val="24"/>
          <w:szCs w:val="24"/>
          <w:lang w:eastAsia="en-AU"/>
        </w:rPr>
        <w:t xml:space="preserve">, by legislative instrument, specifying the amount of its regulatory costs for a financial year and the extent to which those costs are attributable to each </w:t>
      </w:r>
      <w:r w:rsidR="001D1FDE">
        <w:rPr>
          <w:rFonts w:eastAsia="Times New Roman"/>
          <w:sz w:val="24"/>
          <w:szCs w:val="24"/>
          <w:lang w:eastAsia="en-AU"/>
        </w:rPr>
        <w:t xml:space="preserve">industry </w:t>
      </w:r>
      <w:r w:rsidR="001D1FDE" w:rsidRPr="0008149D">
        <w:rPr>
          <w:rFonts w:eastAsia="Times New Roman"/>
          <w:sz w:val="24"/>
          <w:szCs w:val="24"/>
          <w:lang w:eastAsia="en-AU"/>
        </w:rPr>
        <w:t>sub-sector.</w:t>
      </w:r>
    </w:p>
    <w:p w14:paraId="4A252950" w14:textId="77777777" w:rsidR="001D1FDE" w:rsidRDefault="001D1FDE" w:rsidP="001D1FDE">
      <w:pPr>
        <w:spacing w:before="240" w:line="240" w:lineRule="auto"/>
        <w:ind w:left="567" w:hanging="567"/>
        <w:rPr>
          <w:rFonts w:eastAsia="Times New Roman"/>
          <w:sz w:val="24"/>
          <w:szCs w:val="24"/>
          <w:lang w:eastAsia="en-AU"/>
        </w:rPr>
      </w:pPr>
      <w:r>
        <w:rPr>
          <w:rFonts w:eastAsia="Times New Roman"/>
          <w:sz w:val="24"/>
          <w:szCs w:val="24"/>
          <w:lang w:eastAsia="en-AU"/>
        </w:rPr>
        <w:t>2</w:t>
      </w:r>
      <w:r w:rsidRPr="001D1FDE">
        <w:rPr>
          <w:rFonts w:eastAsia="Times New Roman"/>
          <w:sz w:val="24"/>
          <w:szCs w:val="24"/>
          <w:lang w:eastAsia="en-AU"/>
        </w:rPr>
        <w:t>.</w:t>
      </w:r>
      <w:r w:rsidRPr="001D1FDE">
        <w:rPr>
          <w:rFonts w:eastAsia="Times New Roman"/>
          <w:sz w:val="24"/>
          <w:szCs w:val="24"/>
          <w:lang w:eastAsia="en-AU"/>
        </w:rPr>
        <w:tab/>
        <w:t>The instrument relates to levies imposed on ASIC’s regulatory population. These industry levies are imposed on an annual basis. The annual levies are aimed at recovering ASIC’s regulatory costs for the financial year.</w:t>
      </w:r>
    </w:p>
    <w:p w14:paraId="0EAEC6B2" w14:textId="53B07DE4" w:rsidR="001D1FDE" w:rsidRPr="001D1FDE" w:rsidRDefault="001D1FDE" w:rsidP="001D1FDE">
      <w:pPr>
        <w:spacing w:before="240" w:line="240" w:lineRule="auto"/>
        <w:ind w:left="567" w:hanging="567"/>
        <w:rPr>
          <w:rFonts w:eastAsia="Times New Roman"/>
          <w:sz w:val="24"/>
          <w:szCs w:val="24"/>
          <w:lang w:eastAsia="en-AU"/>
        </w:rPr>
      </w:pPr>
      <w:r>
        <w:rPr>
          <w:rFonts w:eastAsia="Times New Roman"/>
          <w:sz w:val="24"/>
          <w:szCs w:val="24"/>
          <w:lang w:eastAsia="en-AU"/>
        </w:rPr>
        <w:t>3.</w:t>
      </w:r>
      <w:r>
        <w:rPr>
          <w:rFonts w:eastAsia="Times New Roman"/>
          <w:sz w:val="24"/>
          <w:szCs w:val="24"/>
          <w:lang w:eastAsia="en-AU"/>
        </w:rPr>
        <w:tab/>
      </w:r>
      <w:r w:rsidRPr="0008149D">
        <w:rPr>
          <w:rFonts w:eastAsia="Times New Roman"/>
          <w:sz w:val="24"/>
          <w:szCs w:val="24"/>
          <w:lang w:eastAsia="en-AU"/>
        </w:rPr>
        <w:t>Th</w:t>
      </w:r>
      <w:r w:rsidRPr="001D1FDE">
        <w:rPr>
          <w:rFonts w:eastAsia="Times New Roman"/>
          <w:sz w:val="24"/>
          <w:szCs w:val="24"/>
          <w:lang w:eastAsia="en-AU"/>
        </w:rPr>
        <w:t xml:space="preserve">is </w:t>
      </w:r>
      <w:r w:rsidRPr="0008149D">
        <w:rPr>
          <w:rFonts w:eastAsia="Times New Roman"/>
          <w:sz w:val="24"/>
          <w:szCs w:val="24"/>
          <w:lang w:eastAsia="en-AU"/>
        </w:rPr>
        <w:t>instrument specif</w:t>
      </w:r>
      <w:r w:rsidRPr="001D1FDE">
        <w:rPr>
          <w:rFonts w:eastAsia="Times New Roman"/>
          <w:sz w:val="24"/>
          <w:szCs w:val="24"/>
          <w:lang w:eastAsia="en-AU"/>
        </w:rPr>
        <w:t>ies</w:t>
      </w:r>
      <w:r w:rsidRPr="0008149D">
        <w:rPr>
          <w:rFonts w:eastAsia="Times New Roman"/>
          <w:sz w:val="24"/>
          <w:szCs w:val="24"/>
          <w:lang w:eastAsia="en-AU"/>
        </w:rPr>
        <w:t xml:space="preserve"> ASIC’s regulatory costs and their attribution to each </w:t>
      </w:r>
      <w:r>
        <w:rPr>
          <w:rFonts w:eastAsia="Times New Roman"/>
          <w:sz w:val="24"/>
          <w:szCs w:val="24"/>
          <w:lang w:eastAsia="en-AU"/>
        </w:rPr>
        <w:t xml:space="preserve">industry </w:t>
      </w:r>
      <w:r w:rsidRPr="0008149D">
        <w:rPr>
          <w:rFonts w:eastAsia="Times New Roman"/>
          <w:sz w:val="24"/>
          <w:szCs w:val="24"/>
          <w:lang w:eastAsia="en-AU"/>
        </w:rPr>
        <w:t xml:space="preserve">sub-sector for the </w:t>
      </w:r>
      <w:r w:rsidR="00877FBD">
        <w:rPr>
          <w:rFonts w:eastAsia="Times New Roman"/>
          <w:sz w:val="24"/>
          <w:szCs w:val="24"/>
          <w:lang w:eastAsia="en-AU"/>
        </w:rPr>
        <w:t>20</w:t>
      </w:r>
      <w:r w:rsidR="00C57047">
        <w:rPr>
          <w:rFonts w:eastAsia="Times New Roman"/>
          <w:sz w:val="24"/>
          <w:szCs w:val="24"/>
          <w:lang w:eastAsia="en-AU"/>
        </w:rPr>
        <w:t>2</w:t>
      </w:r>
      <w:r w:rsidR="00EC444B">
        <w:rPr>
          <w:rFonts w:eastAsia="Times New Roman"/>
          <w:sz w:val="24"/>
          <w:szCs w:val="24"/>
          <w:lang w:eastAsia="en-AU"/>
        </w:rPr>
        <w:t>2</w:t>
      </w:r>
      <w:r w:rsidRPr="001D1FDE">
        <w:rPr>
          <w:rFonts w:eastAsia="Times New Roman"/>
          <w:sz w:val="24"/>
          <w:szCs w:val="24"/>
          <w:lang w:eastAsia="en-AU"/>
        </w:rPr>
        <w:t>-</w:t>
      </w:r>
      <w:r w:rsidR="00877FBD">
        <w:rPr>
          <w:rFonts w:eastAsia="Times New Roman"/>
          <w:sz w:val="24"/>
          <w:szCs w:val="24"/>
          <w:lang w:eastAsia="en-AU"/>
        </w:rPr>
        <w:t>2</w:t>
      </w:r>
      <w:r w:rsidR="00EC444B">
        <w:rPr>
          <w:rFonts w:eastAsia="Times New Roman"/>
          <w:sz w:val="24"/>
          <w:szCs w:val="24"/>
          <w:lang w:eastAsia="en-AU"/>
        </w:rPr>
        <w:t>3</w:t>
      </w:r>
      <w:r w:rsidRPr="0008149D">
        <w:rPr>
          <w:rFonts w:eastAsia="Times New Roman"/>
          <w:sz w:val="24"/>
          <w:szCs w:val="24"/>
          <w:lang w:eastAsia="en-AU"/>
        </w:rPr>
        <w:t xml:space="preserve"> financial year.</w:t>
      </w:r>
    </w:p>
    <w:p w14:paraId="62094BF7" w14:textId="77777777" w:rsidR="001872DC" w:rsidRPr="001D1FDE" w:rsidRDefault="001872DC" w:rsidP="001D1FDE">
      <w:pPr>
        <w:spacing w:before="240" w:line="240" w:lineRule="auto"/>
        <w:ind w:left="567" w:hanging="567"/>
        <w:rPr>
          <w:sz w:val="24"/>
          <w:szCs w:val="24"/>
          <w:u w:val="single"/>
        </w:rPr>
      </w:pPr>
      <w:bookmarkStart w:id="8" w:name="_Hlk534286807"/>
      <w:bookmarkEnd w:id="6"/>
      <w:r w:rsidRPr="001D1FDE">
        <w:rPr>
          <w:sz w:val="24"/>
          <w:szCs w:val="24"/>
          <w:u w:val="single"/>
        </w:rPr>
        <w:t>Assessment of human rights implications</w:t>
      </w:r>
    </w:p>
    <w:p w14:paraId="19B43081" w14:textId="77777777" w:rsidR="001D1FDE" w:rsidRDefault="001D1FDE" w:rsidP="00D306F8">
      <w:pPr>
        <w:pStyle w:val="LI-BodyTextNumbered"/>
        <w:ind w:left="567"/>
      </w:pPr>
      <w:r>
        <w:t>4</w:t>
      </w:r>
      <w:r w:rsidR="001872DC" w:rsidRPr="00EA17A6">
        <w:t>.</w:t>
      </w:r>
      <w:r w:rsidR="001872DC" w:rsidRPr="00EA17A6">
        <w:tab/>
      </w:r>
      <w:bookmarkEnd w:id="8"/>
      <w:r w:rsidR="001872DC" w:rsidRPr="00EA17A6">
        <w:t xml:space="preserve">This instrument </w:t>
      </w:r>
      <w:r w:rsidR="00D306F8" w:rsidRPr="00EA17A6">
        <w:t>does not engage any of the applicable rights or freedoms</w:t>
      </w:r>
      <w:r>
        <w:t>.</w:t>
      </w:r>
    </w:p>
    <w:p w14:paraId="30B57C50" w14:textId="77777777" w:rsidR="00CB2D96" w:rsidRPr="00EA17A6" w:rsidRDefault="00CB2D96" w:rsidP="00D306F8">
      <w:pPr>
        <w:pStyle w:val="LI-BodyTextNumbered"/>
        <w:ind w:left="567"/>
        <w:rPr>
          <w:u w:val="single"/>
        </w:rPr>
      </w:pPr>
      <w:r w:rsidRPr="00EA17A6">
        <w:rPr>
          <w:u w:val="single"/>
        </w:rPr>
        <w:t>Conclusion</w:t>
      </w:r>
    </w:p>
    <w:p w14:paraId="3D6ECC6C" w14:textId="77777777" w:rsidR="00CB2D96" w:rsidRPr="00EA17A6" w:rsidRDefault="001D1FDE" w:rsidP="00D306F8">
      <w:pPr>
        <w:pStyle w:val="LI-BodyTextNumbered"/>
        <w:ind w:left="567"/>
      </w:pPr>
      <w:r>
        <w:t>5</w:t>
      </w:r>
      <w:r w:rsidR="00CB2D96" w:rsidRPr="00EA17A6">
        <w:t>.</w:t>
      </w:r>
      <w:r w:rsidR="00CB2D96" w:rsidRPr="00EA17A6">
        <w:tab/>
        <w:t xml:space="preserve">This instrument is compatible with the human rights and freedoms recognised or declared in the international instruments listed in section 3 of </w:t>
      </w:r>
      <w:r w:rsidR="00CB2D96" w:rsidRPr="00EA17A6">
        <w:rPr>
          <w:iCs/>
        </w:rPr>
        <w:t xml:space="preserve">the </w:t>
      </w:r>
      <w:r w:rsidR="00CB2D96" w:rsidRPr="00EA17A6">
        <w:rPr>
          <w:i/>
          <w:iCs/>
        </w:rPr>
        <w:t>Human Rights (Parliamentary Scrutiny) Act 2011</w:t>
      </w:r>
      <w:r w:rsidR="00CB2D96" w:rsidRPr="00EA17A6">
        <w:t>.</w:t>
      </w:r>
    </w:p>
    <w:sectPr w:rsidR="00CB2D96" w:rsidRPr="00EA17A6" w:rsidSect="00863657">
      <w:headerReference w:type="even" r:id="rId15"/>
      <w:headerReference w:type="default" r:id="rId16"/>
      <w:footerReference w:type="even" r:id="rId17"/>
      <w:footerReference w:type="default" r:id="rId18"/>
      <w:headerReference w:type="first" r:id="rId19"/>
      <w:footerReference w:type="first" r:id="rId20"/>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213F" w14:textId="77777777" w:rsidR="000037BB" w:rsidRDefault="000037BB" w:rsidP="00715914">
      <w:pPr>
        <w:spacing w:line="240" w:lineRule="auto"/>
      </w:pPr>
      <w:r>
        <w:separator/>
      </w:r>
    </w:p>
  </w:endnote>
  <w:endnote w:type="continuationSeparator" w:id="0">
    <w:p w14:paraId="60E79B3D" w14:textId="77777777" w:rsidR="000037BB" w:rsidRDefault="000037BB" w:rsidP="00715914">
      <w:pPr>
        <w:spacing w:line="240" w:lineRule="auto"/>
      </w:pPr>
      <w:r>
        <w:continuationSeparator/>
      </w:r>
    </w:p>
  </w:endnote>
  <w:endnote w:type="continuationNotice" w:id="1">
    <w:p w14:paraId="6E7BA55E" w14:textId="77777777" w:rsidR="000037BB" w:rsidRDefault="000037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192E" w14:textId="77777777" w:rsidR="008C6A60" w:rsidRDefault="008C6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137F" w14:textId="77777777" w:rsidR="00516244" w:rsidRPr="008C6A60" w:rsidRDefault="00516244">
    <w:pPr>
      <w:pStyle w:val="Footer"/>
      <w:jc w:val="center"/>
      <w:rPr>
        <w:noProof/>
      </w:rPr>
    </w:pPr>
    <w:r w:rsidRPr="00B265EB">
      <w:rPr>
        <w:noProof/>
      </w:rPr>
      <w:fldChar w:fldCharType="begin"/>
    </w:r>
    <w:r w:rsidRPr="008C6A60">
      <w:rPr>
        <w:noProof/>
      </w:rPr>
      <w:instrText xml:space="preserve"> PAGE   \* MERGEFORMAT </w:instrText>
    </w:r>
    <w:r w:rsidRPr="00B265EB">
      <w:rPr>
        <w:noProof/>
      </w:rPr>
      <w:fldChar w:fldCharType="separate"/>
    </w:r>
    <w:r w:rsidRPr="008C6A60">
      <w:rPr>
        <w:noProof/>
      </w:rPr>
      <w:t>2</w:t>
    </w:r>
    <w:r w:rsidRPr="00B265EB">
      <w:rPr>
        <w:noProof/>
      </w:rPr>
      <w:fldChar w:fldCharType="end"/>
    </w:r>
  </w:p>
  <w:p w14:paraId="4E43E380" w14:textId="77777777" w:rsidR="00516244" w:rsidRDefault="00516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A362" w14:textId="77777777" w:rsidR="008C6A60" w:rsidRDefault="008C6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5103" w14:textId="77777777" w:rsidR="000037BB" w:rsidRDefault="000037BB" w:rsidP="00715914">
      <w:pPr>
        <w:spacing w:line="240" w:lineRule="auto"/>
      </w:pPr>
      <w:r>
        <w:separator/>
      </w:r>
    </w:p>
  </w:footnote>
  <w:footnote w:type="continuationSeparator" w:id="0">
    <w:p w14:paraId="5F249100" w14:textId="77777777" w:rsidR="000037BB" w:rsidRDefault="000037BB" w:rsidP="00715914">
      <w:pPr>
        <w:spacing w:line="240" w:lineRule="auto"/>
      </w:pPr>
      <w:r>
        <w:continuationSeparator/>
      </w:r>
    </w:p>
  </w:footnote>
  <w:footnote w:type="continuationNotice" w:id="1">
    <w:p w14:paraId="3DE11D74" w14:textId="77777777" w:rsidR="000037BB" w:rsidRDefault="000037B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61A4" w14:textId="77777777" w:rsidR="00516244" w:rsidRPr="00243EC0" w:rsidRDefault="00516244"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516244" w:rsidRPr="00E40FF8" w14:paraId="1FCBD5B6" w14:textId="77777777" w:rsidTr="001E77ED">
      <w:tc>
        <w:tcPr>
          <w:tcW w:w="4253" w:type="dxa"/>
          <w:shd w:val="clear" w:color="auto" w:fill="auto"/>
        </w:tcPr>
        <w:p w14:paraId="20FB712B" w14:textId="77777777" w:rsidR="00516244" w:rsidRDefault="00516244" w:rsidP="00E40FF8">
          <w:pPr>
            <w:pStyle w:val="LI-Header"/>
            <w:pBdr>
              <w:bottom w:val="none" w:sz="0" w:space="0" w:color="auto"/>
            </w:pBdr>
            <w:jc w:val="left"/>
          </w:pPr>
        </w:p>
      </w:tc>
      <w:tc>
        <w:tcPr>
          <w:tcW w:w="4060" w:type="dxa"/>
          <w:shd w:val="clear" w:color="auto" w:fill="auto"/>
        </w:tcPr>
        <w:p w14:paraId="69313504" w14:textId="77777777" w:rsidR="00516244" w:rsidRDefault="00516244" w:rsidP="00F03BB5">
          <w:pPr>
            <w:pStyle w:val="LI-BodyTextNumbered"/>
          </w:pPr>
        </w:p>
      </w:tc>
    </w:tr>
  </w:tbl>
  <w:p w14:paraId="69D2793D" w14:textId="77777777" w:rsidR="00516244" w:rsidRPr="00F4215A" w:rsidRDefault="00516244" w:rsidP="00F42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1C89" w14:textId="77777777" w:rsidR="008C6A60" w:rsidRDefault="008C6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8257504">
    <w:abstractNumId w:val="9"/>
  </w:num>
  <w:num w:numId="2" w16cid:durableId="1571773961">
    <w:abstractNumId w:val="7"/>
  </w:num>
  <w:num w:numId="3" w16cid:durableId="1416512443">
    <w:abstractNumId w:val="6"/>
  </w:num>
  <w:num w:numId="4" w16cid:durableId="830487784">
    <w:abstractNumId w:val="5"/>
  </w:num>
  <w:num w:numId="5" w16cid:durableId="1182015172">
    <w:abstractNumId w:val="4"/>
  </w:num>
  <w:num w:numId="6" w16cid:durableId="2822380">
    <w:abstractNumId w:val="8"/>
  </w:num>
  <w:num w:numId="7" w16cid:durableId="1809856405">
    <w:abstractNumId w:val="3"/>
  </w:num>
  <w:num w:numId="8" w16cid:durableId="78840003">
    <w:abstractNumId w:val="2"/>
  </w:num>
  <w:num w:numId="9" w16cid:durableId="1857963757">
    <w:abstractNumId w:val="1"/>
  </w:num>
  <w:num w:numId="10" w16cid:durableId="1110709088">
    <w:abstractNumId w:val="0"/>
  </w:num>
  <w:num w:numId="11" w16cid:durableId="1905867649">
    <w:abstractNumId w:val="12"/>
  </w:num>
  <w:num w:numId="12" w16cid:durableId="107891743">
    <w:abstractNumId w:val="10"/>
  </w:num>
  <w:num w:numId="13" w16cid:durableId="124785808">
    <w:abstractNumId w:val="11"/>
  </w:num>
  <w:num w:numId="14" w16cid:durableId="2209496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37BB"/>
    <w:rsid w:val="00004470"/>
    <w:rsid w:val="00005446"/>
    <w:rsid w:val="000136AF"/>
    <w:rsid w:val="00013B8D"/>
    <w:rsid w:val="00015719"/>
    <w:rsid w:val="0002167D"/>
    <w:rsid w:val="00023D53"/>
    <w:rsid w:val="0004262D"/>
    <w:rsid w:val="000437C1"/>
    <w:rsid w:val="000466CB"/>
    <w:rsid w:val="0005365D"/>
    <w:rsid w:val="000614BF"/>
    <w:rsid w:val="0006250C"/>
    <w:rsid w:val="00070F39"/>
    <w:rsid w:val="0008149D"/>
    <w:rsid w:val="00081794"/>
    <w:rsid w:val="00084FF4"/>
    <w:rsid w:val="000A142F"/>
    <w:rsid w:val="000A2060"/>
    <w:rsid w:val="000A264B"/>
    <w:rsid w:val="000A296A"/>
    <w:rsid w:val="000A4133"/>
    <w:rsid w:val="000A6C39"/>
    <w:rsid w:val="000B58FA"/>
    <w:rsid w:val="000B77FE"/>
    <w:rsid w:val="000C55A0"/>
    <w:rsid w:val="000C5894"/>
    <w:rsid w:val="000D041F"/>
    <w:rsid w:val="000D05EF"/>
    <w:rsid w:val="000E2261"/>
    <w:rsid w:val="000E3C2E"/>
    <w:rsid w:val="000F01FB"/>
    <w:rsid w:val="000F21C1"/>
    <w:rsid w:val="000F3922"/>
    <w:rsid w:val="00102CA6"/>
    <w:rsid w:val="0010745C"/>
    <w:rsid w:val="00125141"/>
    <w:rsid w:val="00132CEB"/>
    <w:rsid w:val="0014093A"/>
    <w:rsid w:val="00142B62"/>
    <w:rsid w:val="001503DE"/>
    <w:rsid w:val="00153B32"/>
    <w:rsid w:val="00154481"/>
    <w:rsid w:val="001561ED"/>
    <w:rsid w:val="00157B8B"/>
    <w:rsid w:val="001624E1"/>
    <w:rsid w:val="00166C2F"/>
    <w:rsid w:val="00171A6E"/>
    <w:rsid w:val="00175CC9"/>
    <w:rsid w:val="001809D7"/>
    <w:rsid w:val="0018659E"/>
    <w:rsid w:val="001872DC"/>
    <w:rsid w:val="001939E1"/>
    <w:rsid w:val="00194C3E"/>
    <w:rsid w:val="00195382"/>
    <w:rsid w:val="00195BD4"/>
    <w:rsid w:val="001A6451"/>
    <w:rsid w:val="001C61C5"/>
    <w:rsid w:val="001C69C4"/>
    <w:rsid w:val="001D1FDE"/>
    <w:rsid w:val="001D23C9"/>
    <w:rsid w:val="001D37EF"/>
    <w:rsid w:val="001E3590"/>
    <w:rsid w:val="001E389B"/>
    <w:rsid w:val="001E41F4"/>
    <w:rsid w:val="001E6DFA"/>
    <w:rsid w:val="001E7407"/>
    <w:rsid w:val="001E77ED"/>
    <w:rsid w:val="001F02B1"/>
    <w:rsid w:val="001F5D5E"/>
    <w:rsid w:val="001F6219"/>
    <w:rsid w:val="001F6CCE"/>
    <w:rsid w:val="001F6CD4"/>
    <w:rsid w:val="00200E85"/>
    <w:rsid w:val="00206C4D"/>
    <w:rsid w:val="0021053C"/>
    <w:rsid w:val="00215AF1"/>
    <w:rsid w:val="00220A36"/>
    <w:rsid w:val="00223DCF"/>
    <w:rsid w:val="00231069"/>
    <w:rsid w:val="002321E8"/>
    <w:rsid w:val="002363F0"/>
    <w:rsid w:val="00236EEC"/>
    <w:rsid w:val="0024010F"/>
    <w:rsid w:val="00240749"/>
    <w:rsid w:val="002425FB"/>
    <w:rsid w:val="00243018"/>
    <w:rsid w:val="00243424"/>
    <w:rsid w:val="00243EC0"/>
    <w:rsid w:val="00244742"/>
    <w:rsid w:val="002564A4"/>
    <w:rsid w:val="0026736C"/>
    <w:rsid w:val="00281308"/>
    <w:rsid w:val="00281813"/>
    <w:rsid w:val="00284719"/>
    <w:rsid w:val="00297ECB"/>
    <w:rsid w:val="002A3F07"/>
    <w:rsid w:val="002A7328"/>
    <w:rsid w:val="002A7BCF"/>
    <w:rsid w:val="002B19F3"/>
    <w:rsid w:val="002B4A0D"/>
    <w:rsid w:val="002C7B6F"/>
    <w:rsid w:val="002D043A"/>
    <w:rsid w:val="002D6224"/>
    <w:rsid w:val="002E3F4B"/>
    <w:rsid w:val="002E4BDD"/>
    <w:rsid w:val="002F33B4"/>
    <w:rsid w:val="00304F8B"/>
    <w:rsid w:val="003143AD"/>
    <w:rsid w:val="00327DDF"/>
    <w:rsid w:val="003354D2"/>
    <w:rsid w:val="00335BC6"/>
    <w:rsid w:val="003415D3"/>
    <w:rsid w:val="00342ECD"/>
    <w:rsid w:val="00344701"/>
    <w:rsid w:val="00346902"/>
    <w:rsid w:val="003528DA"/>
    <w:rsid w:val="00352B0F"/>
    <w:rsid w:val="00356326"/>
    <w:rsid w:val="00356690"/>
    <w:rsid w:val="00357DD0"/>
    <w:rsid w:val="00360459"/>
    <w:rsid w:val="00361462"/>
    <w:rsid w:val="00363632"/>
    <w:rsid w:val="00365497"/>
    <w:rsid w:val="0036661F"/>
    <w:rsid w:val="003721D5"/>
    <w:rsid w:val="00382E05"/>
    <w:rsid w:val="00387A96"/>
    <w:rsid w:val="003953ED"/>
    <w:rsid w:val="003A2A48"/>
    <w:rsid w:val="003B28C3"/>
    <w:rsid w:val="003B732F"/>
    <w:rsid w:val="003C18B0"/>
    <w:rsid w:val="003C29AA"/>
    <w:rsid w:val="003C6231"/>
    <w:rsid w:val="003D0BFE"/>
    <w:rsid w:val="003D5700"/>
    <w:rsid w:val="003E0F99"/>
    <w:rsid w:val="003E2A65"/>
    <w:rsid w:val="003E341B"/>
    <w:rsid w:val="003F272C"/>
    <w:rsid w:val="003F2C4E"/>
    <w:rsid w:val="003F3EFD"/>
    <w:rsid w:val="0040053F"/>
    <w:rsid w:val="004116CD"/>
    <w:rsid w:val="004144EC"/>
    <w:rsid w:val="00416A30"/>
    <w:rsid w:val="00417EB9"/>
    <w:rsid w:val="00424CA9"/>
    <w:rsid w:val="00431398"/>
    <w:rsid w:val="00431E9B"/>
    <w:rsid w:val="00432C4A"/>
    <w:rsid w:val="00433E96"/>
    <w:rsid w:val="00435EEF"/>
    <w:rsid w:val="004379E3"/>
    <w:rsid w:val="0044015E"/>
    <w:rsid w:val="0044291A"/>
    <w:rsid w:val="00443038"/>
    <w:rsid w:val="00444ABD"/>
    <w:rsid w:val="00445FEC"/>
    <w:rsid w:val="00447DB4"/>
    <w:rsid w:val="00460F1D"/>
    <w:rsid w:val="00465DC1"/>
    <w:rsid w:val="00466625"/>
    <w:rsid w:val="00467661"/>
    <w:rsid w:val="004705B7"/>
    <w:rsid w:val="00472DBE"/>
    <w:rsid w:val="00474A19"/>
    <w:rsid w:val="00474B52"/>
    <w:rsid w:val="0047501A"/>
    <w:rsid w:val="00477981"/>
    <w:rsid w:val="00481C24"/>
    <w:rsid w:val="004823C0"/>
    <w:rsid w:val="0048276B"/>
    <w:rsid w:val="00494295"/>
    <w:rsid w:val="00496B5F"/>
    <w:rsid w:val="00496F97"/>
    <w:rsid w:val="004A44FC"/>
    <w:rsid w:val="004B5B44"/>
    <w:rsid w:val="004C1CB1"/>
    <w:rsid w:val="004C2B72"/>
    <w:rsid w:val="004D7E7F"/>
    <w:rsid w:val="004E063A"/>
    <w:rsid w:val="004E3510"/>
    <w:rsid w:val="004E7BEC"/>
    <w:rsid w:val="004F0251"/>
    <w:rsid w:val="0050044F"/>
    <w:rsid w:val="00505D3D"/>
    <w:rsid w:val="00506AF6"/>
    <w:rsid w:val="00507335"/>
    <w:rsid w:val="00516244"/>
    <w:rsid w:val="00516B8D"/>
    <w:rsid w:val="00517355"/>
    <w:rsid w:val="00517E56"/>
    <w:rsid w:val="00521DE9"/>
    <w:rsid w:val="00532049"/>
    <w:rsid w:val="005321B1"/>
    <w:rsid w:val="005356A7"/>
    <w:rsid w:val="005360C7"/>
    <w:rsid w:val="00536184"/>
    <w:rsid w:val="00537578"/>
    <w:rsid w:val="00537FBC"/>
    <w:rsid w:val="005402B2"/>
    <w:rsid w:val="00545F00"/>
    <w:rsid w:val="00551CF2"/>
    <w:rsid w:val="0055349C"/>
    <w:rsid w:val="005574D1"/>
    <w:rsid w:val="00561ABB"/>
    <w:rsid w:val="005657FE"/>
    <w:rsid w:val="00572BB1"/>
    <w:rsid w:val="0057670F"/>
    <w:rsid w:val="00583FCE"/>
    <w:rsid w:val="00584811"/>
    <w:rsid w:val="00585784"/>
    <w:rsid w:val="00586266"/>
    <w:rsid w:val="00593AA6"/>
    <w:rsid w:val="00594161"/>
    <w:rsid w:val="00594749"/>
    <w:rsid w:val="005B4067"/>
    <w:rsid w:val="005B780C"/>
    <w:rsid w:val="005C3851"/>
    <w:rsid w:val="005C38F1"/>
    <w:rsid w:val="005C3F41"/>
    <w:rsid w:val="005D0489"/>
    <w:rsid w:val="005D1FEA"/>
    <w:rsid w:val="005D2D09"/>
    <w:rsid w:val="005D3BCA"/>
    <w:rsid w:val="005D3D41"/>
    <w:rsid w:val="005D4CBE"/>
    <w:rsid w:val="005E4810"/>
    <w:rsid w:val="005F4140"/>
    <w:rsid w:val="005F65CD"/>
    <w:rsid w:val="00600219"/>
    <w:rsid w:val="00602499"/>
    <w:rsid w:val="00603DC4"/>
    <w:rsid w:val="00607A71"/>
    <w:rsid w:val="006117CB"/>
    <w:rsid w:val="006141D9"/>
    <w:rsid w:val="00620076"/>
    <w:rsid w:val="00634044"/>
    <w:rsid w:val="00640161"/>
    <w:rsid w:val="00652769"/>
    <w:rsid w:val="0065542F"/>
    <w:rsid w:val="006554FF"/>
    <w:rsid w:val="00670EA1"/>
    <w:rsid w:val="00677CC2"/>
    <w:rsid w:val="00682BA0"/>
    <w:rsid w:val="006905DE"/>
    <w:rsid w:val="0069207B"/>
    <w:rsid w:val="00693F29"/>
    <w:rsid w:val="006B5789"/>
    <w:rsid w:val="006B5EFB"/>
    <w:rsid w:val="006C30C5"/>
    <w:rsid w:val="006C48FA"/>
    <w:rsid w:val="006C7F8C"/>
    <w:rsid w:val="006D7F97"/>
    <w:rsid w:val="006E5320"/>
    <w:rsid w:val="006E6246"/>
    <w:rsid w:val="006F318F"/>
    <w:rsid w:val="006F4226"/>
    <w:rsid w:val="0070017E"/>
    <w:rsid w:val="00700B2C"/>
    <w:rsid w:val="00702EFD"/>
    <w:rsid w:val="007050A2"/>
    <w:rsid w:val="00712968"/>
    <w:rsid w:val="00713084"/>
    <w:rsid w:val="0071399B"/>
    <w:rsid w:val="00714F20"/>
    <w:rsid w:val="0071590F"/>
    <w:rsid w:val="00715914"/>
    <w:rsid w:val="00723396"/>
    <w:rsid w:val="007251BC"/>
    <w:rsid w:val="0073026B"/>
    <w:rsid w:val="00731E00"/>
    <w:rsid w:val="00741EE8"/>
    <w:rsid w:val="0074265F"/>
    <w:rsid w:val="007440B7"/>
    <w:rsid w:val="007500C8"/>
    <w:rsid w:val="00756272"/>
    <w:rsid w:val="007662B5"/>
    <w:rsid w:val="0076681A"/>
    <w:rsid w:val="007715C9"/>
    <w:rsid w:val="00771613"/>
    <w:rsid w:val="00774EDD"/>
    <w:rsid w:val="0077506D"/>
    <w:rsid w:val="007757EC"/>
    <w:rsid w:val="00783E89"/>
    <w:rsid w:val="007842CE"/>
    <w:rsid w:val="00785A9E"/>
    <w:rsid w:val="00786CE5"/>
    <w:rsid w:val="00793915"/>
    <w:rsid w:val="007A2CDE"/>
    <w:rsid w:val="007A3753"/>
    <w:rsid w:val="007B4C4F"/>
    <w:rsid w:val="007C2253"/>
    <w:rsid w:val="007C2803"/>
    <w:rsid w:val="007D230B"/>
    <w:rsid w:val="007E163D"/>
    <w:rsid w:val="007E667A"/>
    <w:rsid w:val="007F102B"/>
    <w:rsid w:val="007F28C9"/>
    <w:rsid w:val="007F7DFF"/>
    <w:rsid w:val="0080312D"/>
    <w:rsid w:val="00803587"/>
    <w:rsid w:val="0080651D"/>
    <w:rsid w:val="008117E9"/>
    <w:rsid w:val="00824498"/>
    <w:rsid w:val="00835179"/>
    <w:rsid w:val="00840442"/>
    <w:rsid w:val="00841A92"/>
    <w:rsid w:val="00845B01"/>
    <w:rsid w:val="008527C0"/>
    <w:rsid w:val="00856A31"/>
    <w:rsid w:val="0086041A"/>
    <w:rsid w:val="00860B58"/>
    <w:rsid w:val="00863657"/>
    <w:rsid w:val="00867B37"/>
    <w:rsid w:val="008718DD"/>
    <w:rsid w:val="008754D0"/>
    <w:rsid w:val="008772C8"/>
    <w:rsid w:val="00877568"/>
    <w:rsid w:val="00877FBD"/>
    <w:rsid w:val="0088180F"/>
    <w:rsid w:val="00882E93"/>
    <w:rsid w:val="008855C9"/>
    <w:rsid w:val="00886456"/>
    <w:rsid w:val="0088721F"/>
    <w:rsid w:val="0088737F"/>
    <w:rsid w:val="008945E0"/>
    <w:rsid w:val="0089527F"/>
    <w:rsid w:val="008A362B"/>
    <w:rsid w:val="008A46E1"/>
    <w:rsid w:val="008A4F43"/>
    <w:rsid w:val="008B2706"/>
    <w:rsid w:val="008C0F29"/>
    <w:rsid w:val="008C69F0"/>
    <w:rsid w:val="008C6A60"/>
    <w:rsid w:val="008D0EE0"/>
    <w:rsid w:val="008D3422"/>
    <w:rsid w:val="008E0FAF"/>
    <w:rsid w:val="008E6067"/>
    <w:rsid w:val="008F54E7"/>
    <w:rsid w:val="009016BE"/>
    <w:rsid w:val="00903422"/>
    <w:rsid w:val="009157B9"/>
    <w:rsid w:val="00915DF9"/>
    <w:rsid w:val="009254C3"/>
    <w:rsid w:val="00926940"/>
    <w:rsid w:val="009270B1"/>
    <w:rsid w:val="00930143"/>
    <w:rsid w:val="00930A0A"/>
    <w:rsid w:val="00932377"/>
    <w:rsid w:val="0094196E"/>
    <w:rsid w:val="009460DC"/>
    <w:rsid w:val="00946759"/>
    <w:rsid w:val="00947D5A"/>
    <w:rsid w:val="009532A5"/>
    <w:rsid w:val="00955175"/>
    <w:rsid w:val="0095528E"/>
    <w:rsid w:val="009636A2"/>
    <w:rsid w:val="0096753E"/>
    <w:rsid w:val="00982242"/>
    <w:rsid w:val="00983284"/>
    <w:rsid w:val="009868E9"/>
    <w:rsid w:val="009944E6"/>
    <w:rsid w:val="009A3A6F"/>
    <w:rsid w:val="009A3F74"/>
    <w:rsid w:val="009A49C9"/>
    <w:rsid w:val="009A56B4"/>
    <w:rsid w:val="009A750A"/>
    <w:rsid w:val="009A798F"/>
    <w:rsid w:val="009B0346"/>
    <w:rsid w:val="009B4859"/>
    <w:rsid w:val="009D1818"/>
    <w:rsid w:val="009D195A"/>
    <w:rsid w:val="009E5CFC"/>
    <w:rsid w:val="009F6A44"/>
    <w:rsid w:val="00A079CB"/>
    <w:rsid w:val="00A12128"/>
    <w:rsid w:val="00A12F48"/>
    <w:rsid w:val="00A15512"/>
    <w:rsid w:val="00A22AFF"/>
    <w:rsid w:val="00A22C98"/>
    <w:rsid w:val="00A231E2"/>
    <w:rsid w:val="00A31435"/>
    <w:rsid w:val="00A33D55"/>
    <w:rsid w:val="00A34412"/>
    <w:rsid w:val="00A379EE"/>
    <w:rsid w:val="00A40424"/>
    <w:rsid w:val="00A44C99"/>
    <w:rsid w:val="00A52B0F"/>
    <w:rsid w:val="00A55D60"/>
    <w:rsid w:val="00A5632E"/>
    <w:rsid w:val="00A60213"/>
    <w:rsid w:val="00A64912"/>
    <w:rsid w:val="00A64F93"/>
    <w:rsid w:val="00A70962"/>
    <w:rsid w:val="00A70A74"/>
    <w:rsid w:val="00A76913"/>
    <w:rsid w:val="00A810BC"/>
    <w:rsid w:val="00A91966"/>
    <w:rsid w:val="00AA66AC"/>
    <w:rsid w:val="00AB1DE8"/>
    <w:rsid w:val="00AB69D9"/>
    <w:rsid w:val="00AC06E5"/>
    <w:rsid w:val="00AC0886"/>
    <w:rsid w:val="00AC39C4"/>
    <w:rsid w:val="00AC7041"/>
    <w:rsid w:val="00AC7905"/>
    <w:rsid w:val="00AD1F73"/>
    <w:rsid w:val="00AD5315"/>
    <w:rsid w:val="00AD5641"/>
    <w:rsid w:val="00AD709F"/>
    <w:rsid w:val="00AD7889"/>
    <w:rsid w:val="00AE567F"/>
    <w:rsid w:val="00AE787B"/>
    <w:rsid w:val="00AF021B"/>
    <w:rsid w:val="00AF06CF"/>
    <w:rsid w:val="00B04305"/>
    <w:rsid w:val="00B07CDB"/>
    <w:rsid w:val="00B16A31"/>
    <w:rsid w:val="00B17DFD"/>
    <w:rsid w:val="00B265EB"/>
    <w:rsid w:val="00B2799D"/>
    <w:rsid w:val="00B308FE"/>
    <w:rsid w:val="00B33709"/>
    <w:rsid w:val="00B33B3C"/>
    <w:rsid w:val="00B33BD1"/>
    <w:rsid w:val="00B41435"/>
    <w:rsid w:val="00B42CFB"/>
    <w:rsid w:val="00B42FBE"/>
    <w:rsid w:val="00B50ADC"/>
    <w:rsid w:val="00B566B1"/>
    <w:rsid w:val="00B577C8"/>
    <w:rsid w:val="00B63834"/>
    <w:rsid w:val="00B72734"/>
    <w:rsid w:val="00B80199"/>
    <w:rsid w:val="00B81C24"/>
    <w:rsid w:val="00B82D81"/>
    <w:rsid w:val="00B83204"/>
    <w:rsid w:val="00B9005E"/>
    <w:rsid w:val="00B9126E"/>
    <w:rsid w:val="00B92D8D"/>
    <w:rsid w:val="00BA220B"/>
    <w:rsid w:val="00BA3A57"/>
    <w:rsid w:val="00BB4E1A"/>
    <w:rsid w:val="00BB5C17"/>
    <w:rsid w:val="00BC015E"/>
    <w:rsid w:val="00BC7183"/>
    <w:rsid w:val="00BC76AC"/>
    <w:rsid w:val="00BD0ECB"/>
    <w:rsid w:val="00BE2155"/>
    <w:rsid w:val="00BE2213"/>
    <w:rsid w:val="00BE6EF9"/>
    <w:rsid w:val="00BE719A"/>
    <w:rsid w:val="00BE720A"/>
    <w:rsid w:val="00BF0D73"/>
    <w:rsid w:val="00BF2465"/>
    <w:rsid w:val="00BF5471"/>
    <w:rsid w:val="00BF75C9"/>
    <w:rsid w:val="00C0544A"/>
    <w:rsid w:val="00C11452"/>
    <w:rsid w:val="00C15F43"/>
    <w:rsid w:val="00C2147F"/>
    <w:rsid w:val="00C25E7F"/>
    <w:rsid w:val="00C2746F"/>
    <w:rsid w:val="00C324A0"/>
    <w:rsid w:val="00C3300F"/>
    <w:rsid w:val="00C34E77"/>
    <w:rsid w:val="00C35875"/>
    <w:rsid w:val="00C35DAF"/>
    <w:rsid w:val="00C4170B"/>
    <w:rsid w:val="00C42BF8"/>
    <w:rsid w:val="00C45171"/>
    <w:rsid w:val="00C50043"/>
    <w:rsid w:val="00C50B97"/>
    <w:rsid w:val="00C57047"/>
    <w:rsid w:val="00C6434E"/>
    <w:rsid w:val="00C70CA8"/>
    <w:rsid w:val="00C7573B"/>
    <w:rsid w:val="00C764F1"/>
    <w:rsid w:val="00C7761F"/>
    <w:rsid w:val="00C86B32"/>
    <w:rsid w:val="00C904E5"/>
    <w:rsid w:val="00C93C03"/>
    <w:rsid w:val="00CA66DC"/>
    <w:rsid w:val="00CB2C8E"/>
    <w:rsid w:val="00CB2D96"/>
    <w:rsid w:val="00CB602E"/>
    <w:rsid w:val="00CC7C7E"/>
    <w:rsid w:val="00CD2E90"/>
    <w:rsid w:val="00CD64F8"/>
    <w:rsid w:val="00CE0149"/>
    <w:rsid w:val="00CE051D"/>
    <w:rsid w:val="00CE1335"/>
    <w:rsid w:val="00CE1473"/>
    <w:rsid w:val="00CE20AD"/>
    <w:rsid w:val="00CE3D2A"/>
    <w:rsid w:val="00CE493D"/>
    <w:rsid w:val="00CE541A"/>
    <w:rsid w:val="00CE6D42"/>
    <w:rsid w:val="00CE7434"/>
    <w:rsid w:val="00CF07FA"/>
    <w:rsid w:val="00CF0BB2"/>
    <w:rsid w:val="00CF3EE8"/>
    <w:rsid w:val="00CF5313"/>
    <w:rsid w:val="00D03717"/>
    <w:rsid w:val="00D04984"/>
    <w:rsid w:val="00D050E6"/>
    <w:rsid w:val="00D13441"/>
    <w:rsid w:val="00D150E7"/>
    <w:rsid w:val="00D15B1D"/>
    <w:rsid w:val="00D20A4B"/>
    <w:rsid w:val="00D306F8"/>
    <w:rsid w:val="00D32F65"/>
    <w:rsid w:val="00D341C4"/>
    <w:rsid w:val="00D34873"/>
    <w:rsid w:val="00D46CD9"/>
    <w:rsid w:val="00D52DC2"/>
    <w:rsid w:val="00D53BCC"/>
    <w:rsid w:val="00D56D6A"/>
    <w:rsid w:val="00D601EB"/>
    <w:rsid w:val="00D60528"/>
    <w:rsid w:val="00D648BB"/>
    <w:rsid w:val="00D702DE"/>
    <w:rsid w:val="00D70DFB"/>
    <w:rsid w:val="00D732EC"/>
    <w:rsid w:val="00D73C22"/>
    <w:rsid w:val="00D766DF"/>
    <w:rsid w:val="00D80468"/>
    <w:rsid w:val="00D84D48"/>
    <w:rsid w:val="00D93483"/>
    <w:rsid w:val="00DA186E"/>
    <w:rsid w:val="00DA4116"/>
    <w:rsid w:val="00DB251C"/>
    <w:rsid w:val="00DB38AD"/>
    <w:rsid w:val="00DB4630"/>
    <w:rsid w:val="00DC25A4"/>
    <w:rsid w:val="00DC4445"/>
    <w:rsid w:val="00DC447D"/>
    <w:rsid w:val="00DC4F88"/>
    <w:rsid w:val="00DD0E82"/>
    <w:rsid w:val="00DD4843"/>
    <w:rsid w:val="00DD4938"/>
    <w:rsid w:val="00DE0A85"/>
    <w:rsid w:val="00DE79F9"/>
    <w:rsid w:val="00E05704"/>
    <w:rsid w:val="00E06CC3"/>
    <w:rsid w:val="00E11E44"/>
    <w:rsid w:val="00E13AFA"/>
    <w:rsid w:val="00E2168B"/>
    <w:rsid w:val="00E21F03"/>
    <w:rsid w:val="00E338EF"/>
    <w:rsid w:val="00E40FF8"/>
    <w:rsid w:val="00E513FE"/>
    <w:rsid w:val="00E544BB"/>
    <w:rsid w:val="00E55FC7"/>
    <w:rsid w:val="00E578EC"/>
    <w:rsid w:val="00E60423"/>
    <w:rsid w:val="00E649D7"/>
    <w:rsid w:val="00E662CB"/>
    <w:rsid w:val="00E74DC7"/>
    <w:rsid w:val="00E8075A"/>
    <w:rsid w:val="00E818A6"/>
    <w:rsid w:val="00E85A91"/>
    <w:rsid w:val="00E86D30"/>
    <w:rsid w:val="00E87718"/>
    <w:rsid w:val="00E92643"/>
    <w:rsid w:val="00E94D5E"/>
    <w:rsid w:val="00E9552C"/>
    <w:rsid w:val="00EA0BF6"/>
    <w:rsid w:val="00EA17A6"/>
    <w:rsid w:val="00EA2B8A"/>
    <w:rsid w:val="00EA7100"/>
    <w:rsid w:val="00EA7F9F"/>
    <w:rsid w:val="00EB0E70"/>
    <w:rsid w:val="00EB1274"/>
    <w:rsid w:val="00EC3704"/>
    <w:rsid w:val="00EC444B"/>
    <w:rsid w:val="00EC4757"/>
    <w:rsid w:val="00EC7EDB"/>
    <w:rsid w:val="00ED2BB6"/>
    <w:rsid w:val="00ED34E1"/>
    <w:rsid w:val="00ED3B8D"/>
    <w:rsid w:val="00EF15D3"/>
    <w:rsid w:val="00EF2E3A"/>
    <w:rsid w:val="00EF39AD"/>
    <w:rsid w:val="00F0044C"/>
    <w:rsid w:val="00F02EF9"/>
    <w:rsid w:val="00F03BB5"/>
    <w:rsid w:val="00F047D8"/>
    <w:rsid w:val="00F072A7"/>
    <w:rsid w:val="00F078DC"/>
    <w:rsid w:val="00F07AE7"/>
    <w:rsid w:val="00F14593"/>
    <w:rsid w:val="00F171A1"/>
    <w:rsid w:val="00F237C4"/>
    <w:rsid w:val="00F24B62"/>
    <w:rsid w:val="00F32BA8"/>
    <w:rsid w:val="00F32CB0"/>
    <w:rsid w:val="00F349F1"/>
    <w:rsid w:val="00F4215A"/>
    <w:rsid w:val="00F4350D"/>
    <w:rsid w:val="00F50532"/>
    <w:rsid w:val="00F53F1B"/>
    <w:rsid w:val="00F567F7"/>
    <w:rsid w:val="00F61B09"/>
    <w:rsid w:val="00F62036"/>
    <w:rsid w:val="00F65B52"/>
    <w:rsid w:val="00F67BCA"/>
    <w:rsid w:val="00F73BD6"/>
    <w:rsid w:val="00F800C9"/>
    <w:rsid w:val="00F81145"/>
    <w:rsid w:val="00F82A9A"/>
    <w:rsid w:val="00F83989"/>
    <w:rsid w:val="00F85099"/>
    <w:rsid w:val="00F85F4F"/>
    <w:rsid w:val="00F9379C"/>
    <w:rsid w:val="00F9632C"/>
    <w:rsid w:val="00FA1E52"/>
    <w:rsid w:val="00FA31DE"/>
    <w:rsid w:val="00FA5486"/>
    <w:rsid w:val="00FA7D17"/>
    <w:rsid w:val="00FC3EB8"/>
    <w:rsid w:val="00FC5909"/>
    <w:rsid w:val="00FC7D25"/>
    <w:rsid w:val="00FD13CC"/>
    <w:rsid w:val="00FE2FB8"/>
    <w:rsid w:val="00FE4688"/>
    <w:rsid w:val="00FE48C1"/>
    <w:rsid w:val="00FE72D6"/>
    <w:rsid w:val="00FE79D0"/>
    <w:rsid w:val="04ED1F12"/>
    <w:rsid w:val="0A708B29"/>
    <w:rsid w:val="0C82FF2D"/>
    <w:rsid w:val="0E1ECF8E"/>
    <w:rsid w:val="220E532C"/>
    <w:rsid w:val="257B1C5F"/>
    <w:rsid w:val="3ED79E90"/>
    <w:rsid w:val="44A1C419"/>
    <w:rsid w:val="52D7B80B"/>
    <w:rsid w:val="565B18EA"/>
    <w:rsid w:val="589B9CBA"/>
    <w:rsid w:val="5F669FAA"/>
    <w:rsid w:val="79FE4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E19A1"/>
  <w15:chartTrackingRefBased/>
  <w15:docId w15:val="{82EE4AC1-99C2-40CE-ABD8-2092F9C2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styleId="Revision">
    <w:name w:val="Revision"/>
    <w:hidden/>
    <w:uiPriority w:val="99"/>
    <w:semiHidden/>
    <w:rsid w:val="005C3851"/>
    <w:rPr>
      <w:sz w:val="22"/>
      <w:lang w:eastAsia="en-US"/>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acthead40">
    <w:name w:val="acthead4"/>
    <w:basedOn w:val="Normal"/>
    <w:rsid w:val="0080651D"/>
    <w:pPr>
      <w:spacing w:before="100" w:beforeAutospacing="1" w:after="100" w:afterAutospacing="1" w:line="240" w:lineRule="auto"/>
    </w:pPr>
    <w:rPr>
      <w:rFonts w:eastAsia="Times New Roman"/>
      <w:sz w:val="24"/>
      <w:szCs w:val="24"/>
      <w:lang w:eastAsia="en-AU"/>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acthead5">
    <w:name w:val="acthead5"/>
    <w:basedOn w:val="Normal"/>
    <w:rsid w:val="0080651D"/>
    <w:pPr>
      <w:spacing w:before="100" w:beforeAutospacing="1" w:after="100" w:afterAutospacing="1" w:line="240" w:lineRule="auto"/>
    </w:pPr>
    <w:rPr>
      <w:rFonts w:eastAsia="Times New Roman"/>
      <w:sz w:val="24"/>
      <w:szCs w:val="24"/>
      <w:lang w:eastAsia="en-AU"/>
    </w:rPr>
  </w:style>
  <w:style w:type="character" w:customStyle="1" w:styleId="LI-SubtitleChar">
    <w:name w:val="LI - Subtitle Char"/>
    <w:link w:val="LI-Subtitle"/>
    <w:rsid w:val="00243EC0"/>
    <w:rPr>
      <w:b/>
      <w:sz w:val="28"/>
      <w:szCs w:val="28"/>
    </w:rPr>
  </w:style>
  <w:style w:type="paragraph" w:customStyle="1" w:styleId="subsection">
    <w:name w:val="subsection"/>
    <w:basedOn w:val="Normal"/>
    <w:rsid w:val="0080651D"/>
    <w:pPr>
      <w:spacing w:before="100" w:beforeAutospacing="1" w:after="100" w:afterAutospacing="1" w:line="240" w:lineRule="auto"/>
    </w:pPr>
    <w:rPr>
      <w:rFonts w:eastAsia="Times New Roman"/>
      <w:sz w:val="24"/>
      <w:szCs w:val="24"/>
      <w:lang w:eastAsia="en-AU"/>
    </w:rPr>
  </w:style>
  <w:style w:type="paragraph" w:customStyle="1" w:styleId="paragraph">
    <w:name w:val="paragraph"/>
    <w:basedOn w:val="Normal"/>
    <w:rsid w:val="0080651D"/>
    <w:pPr>
      <w:spacing w:before="100" w:beforeAutospacing="1" w:after="100" w:afterAutospacing="1" w:line="240" w:lineRule="auto"/>
    </w:pPr>
    <w:rPr>
      <w:rFonts w:eastAsia="Times New Roman"/>
      <w:sz w:val="24"/>
      <w:szCs w:val="24"/>
      <w:lang w:eastAsia="en-AU"/>
    </w:rPr>
  </w:style>
  <w:style w:type="paragraph" w:customStyle="1" w:styleId="paragraphsub0">
    <w:name w:val="paragraphsub"/>
    <w:basedOn w:val="Normal"/>
    <w:rsid w:val="0080651D"/>
    <w:pPr>
      <w:spacing w:before="100" w:beforeAutospacing="1" w:after="100" w:afterAutospacing="1" w:line="240" w:lineRule="auto"/>
    </w:pPr>
    <w:rPr>
      <w:rFonts w:eastAsia="Times New Roman"/>
      <w:sz w:val="24"/>
      <w:szCs w:val="24"/>
      <w:lang w:eastAsia="en-AU"/>
    </w:rPr>
  </w:style>
  <w:style w:type="paragraph" w:customStyle="1" w:styleId="subsectionhead">
    <w:name w:val="subsectionhead"/>
    <w:basedOn w:val="Normal"/>
    <w:rsid w:val="0080651D"/>
    <w:pPr>
      <w:spacing w:before="100" w:beforeAutospacing="1" w:after="100" w:afterAutospacing="1" w:line="240" w:lineRule="auto"/>
    </w:pPr>
    <w:rPr>
      <w:rFonts w:eastAsia="Times New Roman"/>
      <w:sz w:val="24"/>
      <w:szCs w:val="24"/>
      <w:lang w:eastAsia="en-AU"/>
    </w:rPr>
  </w:style>
  <w:style w:type="character" w:customStyle="1" w:styleId="charsubdno0">
    <w:name w:val="charsubdno"/>
    <w:basedOn w:val="DefaultParagraphFont"/>
    <w:rsid w:val="0080651D"/>
  </w:style>
  <w:style w:type="character" w:customStyle="1" w:styleId="charsubdtext0">
    <w:name w:val="charsubdtext"/>
    <w:basedOn w:val="DefaultParagraphFont"/>
    <w:rsid w:val="0080651D"/>
  </w:style>
  <w:style w:type="character" w:customStyle="1" w:styleId="charsectno0">
    <w:name w:val="charsectno"/>
    <w:basedOn w:val="DefaultParagraphFont"/>
    <w:rsid w:val="0080651D"/>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14410077">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2A7ADFF6D74F1409A55FF9F4E253CCC" ma:contentTypeVersion="25" ma:contentTypeDescription="Create a new document." ma:contentTypeScope="" ma:versionID="b7d3d4496a7d678150fa37425a2d1198">
  <xsd:schema xmlns:xsd="http://www.w3.org/2001/XMLSchema" xmlns:xs="http://www.w3.org/2001/XMLSchema" xmlns:p="http://schemas.microsoft.com/office/2006/metadata/properties" xmlns:ns2="db2b92ca-6ed0-4085-802d-4c686a2e8c3f" xmlns:ns3="32b1aa61-305c-44f8-8736-ffb61b902b9f" xmlns:ns4="d7178837-db25-4e97-91b0-e28ab06ee2a7" targetNamespace="http://schemas.microsoft.com/office/2006/metadata/properties" ma:root="true" ma:fieldsID="9561173b6a76acdd94ad007cb3488210" ns2:_="" ns3:_="" ns4:_="">
    <xsd:import namespace="db2b92ca-6ed0-4085-802d-4c686a2e8c3f"/>
    <xsd:import namespace="32b1aa61-305c-44f8-8736-ffb61b902b9f"/>
    <xsd:import namespace="d7178837-db25-4e97-91b0-e28ab06ee2a7"/>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3:ECMSP13ModifiedBy" minOccurs="0"/>
                <xsd:element ref="ns3:ECMSP13CreatedBy" minOccurs="0"/>
                <xsd:element ref="ns4:_Flow_Signoff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d9b8cdf-fbb3-4029-b56a-1c46108e6169}" ma:internalName="TaxCatchAll" ma:showField="CatchAllData" ma:web="32b1aa61-305c-44f8-8736-ffb61b902b9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d9b8cdf-fbb3-4029-b56a-1c46108e6169}" ma:internalName="TaxCatchAllLabel" ma:readOnly="true" ma:showField="CatchAllDataLabel" ma:web="32b1aa61-305c-44f8-8736-ffb61b902b9f">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b1aa61-305c-44f8-8736-ffb61b902b9f"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6" nillable="true" ma:displayName="ECM SP13 Modified By" ma:internalName="ECMSP13ModifiedBy">
      <xsd:simpleType>
        <xsd:restriction base="dms:Text"/>
      </xsd:simpleType>
    </xsd:element>
    <xsd:element name="ECMSP13CreatedBy" ma:index="17" nillable="true" ma:displayName="ECM SP13 Created By" ma:internalName="ECMSP13CreatedBy">
      <xsd:simpleType>
        <xsd:restriction base="dms:Text"/>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7178837-db25-4e97-91b0-e28ab06ee2a7" elementFormDefault="qualified">
    <xsd:import namespace="http://schemas.microsoft.com/office/2006/documentManagement/types"/>
    <xsd:import namespace="http://schemas.microsoft.com/office/infopath/2007/PartnerControls"/>
    <xsd:element name="_Flow_SignoffStatus" ma:index="1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ECMSP13ModifiedBy xmlns="32b1aa61-305c-44f8-8736-ffb61b902b9f">Narelle Kane</ECMSP13ModifiedBy>
    <TaxCatchAll xmlns="db2b92ca-6ed0-4085-802d-4c686a2e8c3f">
      <Value>1</Value>
    </TaxCatchAll>
    <ECMSP13CreatedBy xmlns="32b1aa61-305c-44f8-8736-ffb61b902b9f">John Warton</ECMSP13CreatedBy>
    <ECMSP13SecurityClassification xmlns="32b1aa61-305c-44f8-8736-ffb61b902b9f">OFFICIAL - Sensitive</ECMSP13SecurityClassification>
    <ECMSP13DocumentID xmlns="32b1aa61-305c-44f8-8736-ffb61b902b9f">R20210000764401</ECMSP13DocumentID>
    <DocumentNotes xmlns="db2b92ca-6ed0-4085-802d-4c686a2e8c3f" xsi:nil="true"/>
    <_Flow_SignoffStatus xmlns="d7178837-db25-4e97-91b0-e28ab06ee2a7" xsi:nil="true"/>
    <NAPReason xmlns="db2b92ca-6ed0-4085-802d-4c686a2e8c3f" xsi:nil="true"/>
    <_dlc_DocId xmlns="32b1aa61-305c-44f8-8736-ffb61b902b9f">003104-1906218246-15443</_dlc_DocId>
    <_dlc_DocIdUrl xmlns="32b1aa61-305c-44f8-8736-ffb61b902b9f">
      <Url>https://asiclink.sharepoint.com/teams/003104/_layouts/15/DocIdRedir.aspx?ID=003104-1906218246-15443</Url>
      <Description>003104-1906218246-15443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af302855-5de3-48f9-83c2-fc1acc0f760b" ContentTypeId="0x010100B5F685A1365F544391EF8C813B164F3A" PreviousValue="false"/>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876D211B-32D6-4EE6-8166-557EF0458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32b1aa61-305c-44f8-8736-ffb61b902b9f"/>
    <ds:schemaRef ds:uri="d7178837-db25-4e97-91b0-e28ab06ee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B666C-3142-439A-AD4F-34BF93CD0523}">
  <ds:schemaRefs>
    <ds:schemaRef ds:uri="http://schemas.microsoft.com/sharepoint/v3/contenttype/forms"/>
  </ds:schemaRefs>
</ds:datastoreItem>
</file>

<file path=customXml/itemProps3.xml><?xml version="1.0" encoding="utf-8"?>
<ds:datastoreItem xmlns:ds="http://schemas.openxmlformats.org/officeDocument/2006/customXml" ds:itemID="{678FD79F-47C6-4760-BC69-70A584F04629}">
  <ds:schemaRefs>
    <ds:schemaRef ds:uri="http://schemas.openxmlformats.org/officeDocument/2006/bibliography"/>
  </ds:schemaRefs>
</ds:datastoreItem>
</file>

<file path=customXml/itemProps4.xml><?xml version="1.0" encoding="utf-8"?>
<ds:datastoreItem xmlns:ds="http://schemas.openxmlformats.org/officeDocument/2006/customXml" ds:itemID="{0886DA1D-65F8-4E07-A903-129E720D7F51}">
  <ds:schemaRefs>
    <ds:schemaRef ds:uri="http://schemas.microsoft.com/office/2006/metadata/properties"/>
    <ds:schemaRef ds:uri="http://schemas.microsoft.com/office/infopath/2007/PartnerControls"/>
    <ds:schemaRef ds:uri="db2b92ca-6ed0-4085-802d-4c686a2e8c3f"/>
    <ds:schemaRef ds:uri="32b1aa61-305c-44f8-8736-ffb61b902b9f"/>
    <ds:schemaRef ds:uri="d7178837-db25-4e97-91b0-e28ab06ee2a7"/>
  </ds:schemaRefs>
</ds:datastoreItem>
</file>

<file path=customXml/itemProps5.xml><?xml version="1.0" encoding="utf-8"?>
<ds:datastoreItem xmlns:ds="http://schemas.openxmlformats.org/officeDocument/2006/customXml" ds:itemID="{F058F683-3DD0-4392-9574-355B37D5DB07}">
  <ds:schemaRefs>
    <ds:schemaRef ds:uri="http://schemas.microsoft.com/sharepoint/events"/>
  </ds:schemaRefs>
</ds:datastoreItem>
</file>

<file path=customXml/itemProps6.xml><?xml version="1.0" encoding="utf-8"?>
<ds:datastoreItem xmlns:ds="http://schemas.openxmlformats.org/officeDocument/2006/customXml" ds:itemID="{0E85D2D4-191A-42E5-A7A1-B2DF01E675A3}">
  <ds:schemaRefs>
    <ds:schemaRef ds:uri="Microsoft.SharePoint.Taxonomy.ContentTypeSync"/>
  </ds:schemaRefs>
</ds:datastoreItem>
</file>

<file path=customXml/itemProps7.xml><?xml version="1.0" encoding="utf-8"?>
<ds:datastoreItem xmlns:ds="http://schemas.openxmlformats.org/officeDocument/2006/customXml" ds:itemID="{DAD91144-6D61-4EC2-95ED-6D6E70F7B01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INST_NEW.DOTX</Template>
  <TotalTime>2</TotalTime>
  <Pages>6</Pages>
  <Words>1720</Words>
  <Characters>9805</Characters>
  <Application>Microsoft Office Word</Application>
  <DocSecurity>0</DocSecurity>
  <PresentationFormat/>
  <Lines>81</Lines>
  <Paragraphs>23</Paragraphs>
  <ScaleCrop>false</ScaleCrop>
  <Company>ASIC</Company>
  <LinksUpToDate>false</LinksUpToDate>
  <CharactersWithSpaces>11502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Narelle Kane</dc:creator>
  <cp:keywords/>
  <cp:lastModifiedBy>Narelle Kane</cp:lastModifiedBy>
  <cp:revision>4</cp:revision>
  <cp:lastPrinted>2022-11-08T12:29:00Z</cp:lastPrinted>
  <dcterms:created xsi:type="dcterms:W3CDTF">2023-11-03T03:00:00Z</dcterms:created>
  <dcterms:modified xsi:type="dcterms:W3CDTF">2023-11-03T03:21:00Z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{59951a00-eab2-45ef-817a-a6c157253a13}</vt:lpwstr>
  </property>
  <property fmtid="{D5CDD505-2E9C-101B-9397-08002B2CF9AE}" pid="41" name="RecordPoint_ActiveItemListId">
    <vt:lpwstr>{e9b6cd0b-d786-46ed-b86e-81d5755e0e1c}</vt:lpwstr>
  </property>
  <property fmtid="{D5CDD505-2E9C-101B-9397-08002B2CF9AE}" pid="42" name="RecordPoint_ActiveItemUniqueId">
    <vt:lpwstr>{dfcebbc9-3b30-49d5-8003-216c4b6c8ad4}</vt:lpwstr>
  </property>
  <property fmtid="{D5CDD505-2E9C-101B-9397-08002B2CF9AE}" pid="43" name="RecordPoint_ActiveItemWebId">
    <vt:lpwstr>{a056d18a-53c3-48b0-b0a0-823f4c5d810b}</vt:lpwstr>
  </property>
  <property fmtid="{D5CDD505-2E9C-101B-9397-08002B2CF9AE}" pid="44" name="IconOverlay">
    <vt:lpwstr/>
  </property>
  <property fmtid="{D5CDD505-2E9C-101B-9397-08002B2CF9AE}" pid="45" name="RecordNumber">
    <vt:lpwstr>R20210000764401</vt:lpwstr>
  </property>
  <property fmtid="{D5CDD505-2E9C-101B-9397-08002B2CF9AE}" pid="46" name="RecordPoint_SubmissionCompleted">
    <vt:lpwstr>2021-11-15T14:35:25.6568837+11:00</vt:lpwstr>
  </property>
  <property fmtid="{D5CDD505-2E9C-101B-9397-08002B2CF9AE}" pid="47" name="RecordPoint_RecordNumberSubmitted">
    <vt:lpwstr>R20210000764401</vt:lpwstr>
  </property>
  <property fmtid="{D5CDD505-2E9C-101B-9397-08002B2CF9AE}" pid="48" name="Reviewers">
    <vt:lpwstr/>
  </property>
  <property fmtid="{D5CDD505-2E9C-101B-9397-08002B2CF9AE}" pid="49" name="NotesLinks">
    <vt:lpwstr/>
  </property>
  <property fmtid="{D5CDD505-2E9C-101B-9397-08002B2CF9AE}" pid="50" name="Approvers">
    <vt:lpwstr/>
  </property>
  <property fmtid="{D5CDD505-2E9C-101B-9397-08002B2CF9AE}" pid="51" name="SecurityClassification">
    <vt:lpwstr>1;#OFFICIAL - Sensitive|6eccc17f-024b-41b0-b6b1-faf98d2aff85</vt:lpwstr>
  </property>
  <property fmtid="{D5CDD505-2E9C-101B-9397-08002B2CF9AE}" pid="52" name="ObjectiveID">
    <vt:lpwstr/>
  </property>
  <property fmtid="{D5CDD505-2E9C-101B-9397-08002B2CF9AE}" pid="53" name="SignificantFlag">
    <vt:lpwstr>0</vt:lpwstr>
  </property>
  <property fmtid="{D5CDD505-2E9C-101B-9397-08002B2CF9AE}" pid="54" name="SenateOrder12">
    <vt:lpwstr>0</vt:lpwstr>
  </property>
  <property fmtid="{D5CDD505-2E9C-101B-9397-08002B2CF9AE}" pid="55" name="ded95d7ab059406991d558011d18c177">
    <vt:lpwstr/>
  </property>
  <property fmtid="{D5CDD505-2E9C-101B-9397-08002B2CF9AE}" pid="56" name="SignificantReason">
    <vt:lpwstr/>
  </property>
  <property fmtid="{D5CDD505-2E9C-101B-9397-08002B2CF9AE}" pid="57" name="Order">
    <vt:lpwstr>71900.0000000000</vt:lpwstr>
  </property>
  <property fmtid="{D5CDD505-2E9C-101B-9397-08002B2CF9AE}" pid="58" name="RecordPoint_SubmissionDate">
    <vt:lpwstr/>
  </property>
  <property fmtid="{D5CDD505-2E9C-101B-9397-08002B2CF9AE}" pid="59" name="RecordPoint_RecordFormat">
    <vt:lpwstr/>
  </property>
  <property fmtid="{D5CDD505-2E9C-101B-9397-08002B2CF9AE}" pid="60" name="ContentTypeId">
    <vt:lpwstr>0x010100B5F685A1365F544391EF8C813B164F3A006A0666AD55E74A4AA7B2AAEA6C351A600042A7ADFF6D74F1409A55FF9F4E253CCC</vt:lpwstr>
  </property>
  <property fmtid="{D5CDD505-2E9C-101B-9397-08002B2CF9AE}" pid="61" name="j6fc6a599c14497db952b10662d36cee">
    <vt:lpwstr>OFFICIAL - Sensitive|6eccc17f-024b-41b0-b6b1-faf98d2aff85</vt:lpwstr>
  </property>
  <property fmtid="{D5CDD505-2E9C-101B-9397-08002B2CF9AE}" pid="62" name="MailSubject">
    <vt:lpwstr/>
  </property>
  <property fmtid="{D5CDD505-2E9C-101B-9397-08002B2CF9AE}" pid="63" name="MailIn-Reply-To0">
    <vt:lpwstr/>
  </property>
  <property fmtid="{D5CDD505-2E9C-101B-9397-08002B2CF9AE}" pid="64" name="display_urn:schemas-microsoft-com:office:office#Editor">
    <vt:lpwstr>Narelle Kane</vt:lpwstr>
  </property>
  <property fmtid="{D5CDD505-2E9C-101B-9397-08002B2CF9AE}" pid="65" name="MailCc">
    <vt:lpwstr/>
  </property>
  <property fmtid="{D5CDD505-2E9C-101B-9397-08002B2CF9AE}" pid="66" name="MailTo">
    <vt:lpwstr/>
  </property>
  <property fmtid="{D5CDD505-2E9C-101B-9397-08002B2CF9AE}" pid="67" name="DocumentSetDescription">
    <vt:lpwstr/>
  </property>
  <property fmtid="{D5CDD505-2E9C-101B-9397-08002B2CF9AE}" pid="68" name="display_urn:schemas-microsoft-com:office:office#Author">
    <vt:lpwstr>John Warton</vt:lpwstr>
  </property>
  <property fmtid="{D5CDD505-2E9C-101B-9397-08002B2CF9AE}" pid="69" name="MailDate">
    <vt:lpwstr/>
  </property>
  <property fmtid="{D5CDD505-2E9C-101B-9397-08002B2CF9AE}" pid="70" name="URL">
    <vt:lpwstr/>
  </property>
  <property fmtid="{D5CDD505-2E9C-101B-9397-08002B2CF9AE}" pid="71" name="MailReferences">
    <vt:lpwstr/>
  </property>
  <property fmtid="{D5CDD505-2E9C-101B-9397-08002B2CF9AE}" pid="72" name="Financial">
    <vt:lpwstr/>
  </property>
  <property fmtid="{D5CDD505-2E9C-101B-9397-08002B2CF9AE}" pid="73" name="MailOriginalSubject">
    <vt:lpwstr/>
  </property>
  <property fmtid="{D5CDD505-2E9C-101B-9397-08002B2CF9AE}" pid="74" name="MailFrom">
    <vt:lpwstr/>
  </property>
  <property fmtid="{D5CDD505-2E9C-101B-9397-08002B2CF9AE}" pid="75" name="MailAttachments">
    <vt:lpwstr/>
  </property>
  <property fmtid="{D5CDD505-2E9C-101B-9397-08002B2CF9AE}" pid="76" name="MailReply-To0">
    <vt:lpwstr/>
  </property>
  <property fmtid="{D5CDD505-2E9C-101B-9397-08002B2CF9AE}" pid="77" name="_dlc_DocId">
    <vt:lpwstr>003104-1906218246-8237</vt:lpwstr>
  </property>
  <property fmtid="{D5CDD505-2E9C-101B-9397-08002B2CF9AE}" pid="78" name="_dlc_DocIdItemGuid">
    <vt:lpwstr>474187ec-953b-4355-925c-7afe7f46584c</vt:lpwstr>
  </property>
  <property fmtid="{D5CDD505-2E9C-101B-9397-08002B2CF9AE}" pid="79" name="_dlc_DocIdUrl">
    <vt:lpwstr>https://asiclink.sharepoint.com/teams/003104/_layouts/15/DocIdRedir.aspx?ID=003104-1906218246-8237, 003104-1906218246-8237</vt:lpwstr>
  </property>
  <property fmtid="{D5CDD505-2E9C-101B-9397-08002B2CF9AE}" pid="80" name="MSIP_Label_a6aead41-07f8-4767-ac8e-ef1c9c793766_Enabled">
    <vt:lpwstr>true</vt:lpwstr>
  </property>
  <property fmtid="{D5CDD505-2E9C-101B-9397-08002B2CF9AE}" pid="81" name="MSIP_Label_a6aead41-07f8-4767-ac8e-ef1c9c793766_SetDate">
    <vt:lpwstr>2023-10-27T03:43:55Z</vt:lpwstr>
  </property>
  <property fmtid="{D5CDD505-2E9C-101B-9397-08002B2CF9AE}" pid="82" name="MSIP_Label_a6aead41-07f8-4767-ac8e-ef1c9c793766_Method">
    <vt:lpwstr>Standard</vt:lpwstr>
  </property>
  <property fmtid="{D5CDD505-2E9C-101B-9397-08002B2CF9AE}" pid="83" name="MSIP_Label_a6aead41-07f8-4767-ac8e-ef1c9c793766_Name">
    <vt:lpwstr>OFFICIAL</vt:lpwstr>
  </property>
  <property fmtid="{D5CDD505-2E9C-101B-9397-08002B2CF9AE}" pid="84" name="MSIP_Label_a6aead41-07f8-4767-ac8e-ef1c9c793766_SiteId">
    <vt:lpwstr>5f1de7c6-55cd-4bb2-902d-514c78cf10f4</vt:lpwstr>
  </property>
  <property fmtid="{D5CDD505-2E9C-101B-9397-08002B2CF9AE}" pid="85" name="MSIP_Label_a6aead41-07f8-4767-ac8e-ef1c9c793766_ActionId">
    <vt:lpwstr>b3940d44-91b0-47cb-b521-9f87e6170c6c</vt:lpwstr>
  </property>
  <property fmtid="{D5CDD505-2E9C-101B-9397-08002B2CF9AE}" pid="86" name="MSIP_Label_a6aead41-07f8-4767-ac8e-ef1c9c793766_ContentBits">
    <vt:lpwstr>0</vt:lpwstr>
  </property>
</Properties>
</file>