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F5EF" w14:textId="77777777" w:rsidR="00E43F49" w:rsidRPr="00ED5535" w:rsidRDefault="00E43F49" w:rsidP="00E43F49">
      <w:pPr>
        <w:shd w:val="clear" w:color="auto" w:fill="FFFFFF"/>
        <w:spacing w:before="100" w:after="0" w:line="240" w:lineRule="auto"/>
        <w:jc w:val="center"/>
        <w:rPr>
          <w:rFonts w:ascii="Times New Roman" w:eastAsia="Times New Roman" w:hAnsi="Times New Roman" w:cs="Times New Roman"/>
          <w:b/>
          <w:bCs/>
          <w:sz w:val="28"/>
          <w:szCs w:val="28"/>
          <w:lang w:eastAsia="en-AU"/>
        </w:rPr>
      </w:pPr>
      <w:r w:rsidRPr="00ED5535">
        <w:rPr>
          <w:rFonts w:ascii="Times New Roman" w:eastAsia="Times New Roman" w:hAnsi="Times New Roman" w:cs="Times New Roman"/>
          <w:b/>
          <w:bCs/>
          <w:lang w:eastAsia="en-AU"/>
        </w:rPr>
        <w:t>EXPLANATORY STATEMENT</w:t>
      </w:r>
    </w:p>
    <w:p w14:paraId="5BBC8A05" w14:textId="77777777" w:rsidR="00E43F49" w:rsidRPr="00ED5535" w:rsidRDefault="00E43F49" w:rsidP="00E43F49">
      <w:pPr>
        <w:shd w:val="clear" w:color="auto" w:fill="FFFFFF"/>
        <w:spacing w:after="0" w:line="240" w:lineRule="auto"/>
        <w:rPr>
          <w:rFonts w:ascii="Tms Rmn" w:eastAsia="Times New Roman" w:hAnsi="Tms Rmn" w:cs="Times New Roman"/>
          <w:sz w:val="24"/>
          <w:szCs w:val="24"/>
          <w:lang w:eastAsia="en-AU"/>
        </w:rPr>
      </w:pPr>
      <w:r w:rsidRPr="00ED5535">
        <w:rPr>
          <w:rFonts w:ascii="Tms Rmn" w:eastAsia="Times New Roman" w:hAnsi="Tms Rmn" w:cs="Times New Roman"/>
          <w:sz w:val="24"/>
          <w:szCs w:val="24"/>
          <w:lang w:eastAsia="en-AU"/>
        </w:rPr>
        <w:t> </w:t>
      </w:r>
    </w:p>
    <w:p w14:paraId="6B07C47F" w14:textId="77777777" w:rsidR="00E43F49" w:rsidRPr="00ED5535" w:rsidRDefault="00E43F49" w:rsidP="00E43F49">
      <w:pPr>
        <w:shd w:val="clear" w:color="auto" w:fill="FFFFFF"/>
        <w:spacing w:after="0" w:line="240" w:lineRule="auto"/>
        <w:jc w:val="center"/>
        <w:rPr>
          <w:rFonts w:ascii="Tms Rmn" w:eastAsia="Times New Roman" w:hAnsi="Tms Rmn" w:cs="Times New Roman"/>
          <w:b/>
          <w:bCs/>
          <w:sz w:val="24"/>
          <w:szCs w:val="24"/>
          <w:lang w:eastAsia="en-AU"/>
        </w:rPr>
      </w:pPr>
      <w:r w:rsidRPr="00ED5535">
        <w:rPr>
          <w:rFonts w:ascii="Times New Roman" w:eastAsia="Times New Roman" w:hAnsi="Times New Roman" w:cs="Times New Roman"/>
          <w:b/>
          <w:bCs/>
          <w:i/>
          <w:iCs/>
          <w:lang w:eastAsia="en-AU"/>
        </w:rPr>
        <w:t>Private Health Insurance Act 2007</w:t>
      </w:r>
    </w:p>
    <w:p w14:paraId="240A1E72" w14:textId="77777777" w:rsidR="00E43F49" w:rsidRPr="00ED5535" w:rsidRDefault="00E43F49" w:rsidP="00E43F49">
      <w:pPr>
        <w:shd w:val="clear" w:color="auto" w:fill="FFFFFF"/>
        <w:spacing w:after="0" w:line="240" w:lineRule="auto"/>
        <w:rPr>
          <w:rFonts w:ascii="Tms Rmn" w:eastAsia="Times New Roman" w:hAnsi="Tms Rmn" w:cs="Times New Roman"/>
          <w:sz w:val="24"/>
          <w:szCs w:val="24"/>
          <w:lang w:eastAsia="en-AU"/>
        </w:rPr>
      </w:pPr>
      <w:r w:rsidRPr="00ED5535">
        <w:rPr>
          <w:rFonts w:ascii="Times New Roman" w:eastAsia="Times New Roman" w:hAnsi="Times New Roman" w:cs="Times New Roman"/>
          <w:lang w:eastAsia="en-AU"/>
        </w:rPr>
        <w:t> </w:t>
      </w:r>
    </w:p>
    <w:p w14:paraId="333EBAE1" w14:textId="5ACBBD5B" w:rsidR="00E43F49" w:rsidRPr="00ED5535" w:rsidRDefault="00E43F49" w:rsidP="00E43F49">
      <w:pPr>
        <w:shd w:val="clear" w:color="auto" w:fill="FFFFFF"/>
        <w:spacing w:after="0" w:line="240" w:lineRule="auto"/>
        <w:ind w:right="-483"/>
        <w:jc w:val="center"/>
        <w:rPr>
          <w:rFonts w:ascii="Tms Rmn" w:eastAsia="Times New Roman" w:hAnsi="Tms Rmn" w:cs="Times New Roman"/>
          <w:sz w:val="24"/>
          <w:szCs w:val="24"/>
          <w:lang w:eastAsia="en-AU"/>
        </w:rPr>
      </w:pPr>
      <w:bookmarkStart w:id="0" w:name="_Hlk126588619"/>
      <w:r w:rsidRPr="00ED5535">
        <w:rPr>
          <w:rFonts w:ascii="Times New Roman" w:eastAsia="Times New Roman" w:hAnsi="Times New Roman" w:cs="Times New Roman"/>
          <w:b/>
          <w:bCs/>
          <w:i/>
          <w:iCs/>
          <w:lang w:eastAsia="en-AU"/>
        </w:rPr>
        <w:t>Private Health Insurance (</w:t>
      </w:r>
      <w:r w:rsidR="001715EB" w:rsidRPr="00ED5535">
        <w:rPr>
          <w:rFonts w:ascii="Times New Roman" w:eastAsia="Times New Roman" w:hAnsi="Times New Roman" w:cs="Times New Roman"/>
          <w:b/>
          <w:bCs/>
          <w:i/>
          <w:iCs/>
          <w:lang w:eastAsia="en-AU"/>
        </w:rPr>
        <w:t>Medical Devices and Human Tissue Products</w:t>
      </w:r>
      <w:r w:rsidRPr="00ED5535">
        <w:rPr>
          <w:rFonts w:ascii="Times New Roman" w:eastAsia="Times New Roman" w:hAnsi="Times New Roman" w:cs="Times New Roman"/>
          <w:b/>
          <w:bCs/>
          <w:i/>
          <w:iCs/>
          <w:lang w:eastAsia="en-AU"/>
        </w:rPr>
        <w:t xml:space="preserve">) </w:t>
      </w:r>
      <w:r w:rsidR="00C85DF8" w:rsidRPr="00ED5535">
        <w:rPr>
          <w:rFonts w:ascii="Times New Roman" w:eastAsia="Times New Roman" w:hAnsi="Times New Roman" w:cs="Times New Roman"/>
          <w:b/>
          <w:bCs/>
          <w:i/>
          <w:iCs/>
          <w:lang w:eastAsia="en-AU"/>
        </w:rPr>
        <w:t xml:space="preserve">Amendment </w:t>
      </w:r>
      <w:r w:rsidRPr="00ED5535">
        <w:rPr>
          <w:rFonts w:ascii="Times New Roman" w:eastAsia="Times New Roman" w:hAnsi="Times New Roman" w:cs="Times New Roman"/>
          <w:b/>
          <w:bCs/>
          <w:i/>
          <w:iCs/>
          <w:lang w:eastAsia="en-AU"/>
        </w:rPr>
        <w:t xml:space="preserve">Rules </w:t>
      </w:r>
      <w:r w:rsidR="00DC6513" w:rsidRPr="00ED5535">
        <w:rPr>
          <w:rFonts w:ascii="Times New Roman" w:eastAsia="Times New Roman" w:hAnsi="Times New Roman" w:cs="Times New Roman"/>
          <w:b/>
          <w:bCs/>
          <w:i/>
          <w:iCs/>
          <w:lang w:eastAsia="en-AU"/>
        </w:rPr>
        <w:t xml:space="preserve">(No. </w:t>
      </w:r>
      <w:r w:rsidR="003A3BF5" w:rsidRPr="00ED5535">
        <w:rPr>
          <w:rFonts w:ascii="Times New Roman" w:eastAsia="Times New Roman" w:hAnsi="Times New Roman" w:cs="Times New Roman"/>
          <w:b/>
          <w:bCs/>
          <w:i/>
          <w:iCs/>
          <w:lang w:eastAsia="en-AU"/>
        </w:rPr>
        <w:t>2</w:t>
      </w:r>
      <w:r w:rsidR="00DC6513" w:rsidRPr="00ED5535">
        <w:rPr>
          <w:rFonts w:ascii="Times New Roman" w:eastAsia="Times New Roman" w:hAnsi="Times New Roman" w:cs="Times New Roman"/>
          <w:b/>
          <w:bCs/>
          <w:i/>
          <w:iCs/>
          <w:lang w:eastAsia="en-AU"/>
        </w:rPr>
        <w:t xml:space="preserve">) </w:t>
      </w:r>
      <w:r w:rsidRPr="00ED5535">
        <w:rPr>
          <w:rFonts w:ascii="Times New Roman" w:eastAsia="Times New Roman" w:hAnsi="Times New Roman" w:cs="Times New Roman"/>
          <w:b/>
          <w:bCs/>
          <w:i/>
          <w:iCs/>
          <w:lang w:eastAsia="en-AU"/>
        </w:rPr>
        <w:t>2023</w:t>
      </w:r>
      <w:bookmarkEnd w:id="0"/>
    </w:p>
    <w:p w14:paraId="08941DD0" w14:textId="77777777" w:rsidR="00E43F49" w:rsidRPr="00ED5535" w:rsidRDefault="00E43F49" w:rsidP="00E43F49">
      <w:pPr>
        <w:shd w:val="clear" w:color="auto" w:fill="FFFFFF"/>
        <w:spacing w:after="0" w:line="279" w:lineRule="atLeast"/>
        <w:rPr>
          <w:rFonts w:ascii="Tms Rmn" w:eastAsia="Times New Roman" w:hAnsi="Tms Rmn" w:cs="Times New Roman"/>
          <w:sz w:val="24"/>
          <w:szCs w:val="24"/>
          <w:lang w:eastAsia="en-AU"/>
        </w:rPr>
      </w:pPr>
      <w:r w:rsidRPr="00ED5535">
        <w:rPr>
          <w:rFonts w:ascii="Times New Roman" w:eastAsia="Times New Roman" w:hAnsi="Times New Roman" w:cs="Times New Roman"/>
          <w:lang w:eastAsia="en-AU"/>
        </w:rPr>
        <w:t> </w:t>
      </w:r>
    </w:p>
    <w:p w14:paraId="293C1327" w14:textId="3F14D261" w:rsidR="00E43F49" w:rsidRPr="00ED5535" w:rsidRDefault="00E43F49" w:rsidP="00E43F49">
      <w:pPr>
        <w:shd w:val="clear" w:color="auto" w:fill="FFFFFF"/>
        <w:spacing w:after="0" w:line="240" w:lineRule="auto"/>
        <w:rPr>
          <w:rFonts w:ascii="Times New Roman" w:eastAsia="Times New Roman" w:hAnsi="Times New Roman" w:cs="Times New Roman"/>
          <w:b/>
          <w:bCs/>
          <w:lang w:eastAsia="en-AU"/>
        </w:rPr>
      </w:pPr>
      <w:bookmarkStart w:id="1" w:name="_Hlk136950434"/>
      <w:r w:rsidRPr="00ED5535">
        <w:rPr>
          <w:rFonts w:ascii="Times New Roman" w:eastAsia="Times New Roman" w:hAnsi="Times New Roman" w:cs="Times New Roman"/>
          <w:b/>
          <w:bCs/>
          <w:lang w:eastAsia="en-AU"/>
        </w:rPr>
        <w:t>Purpose</w:t>
      </w:r>
    </w:p>
    <w:p w14:paraId="1CD7B8FE" w14:textId="77777777" w:rsidR="00780A67" w:rsidRPr="00ED5535" w:rsidRDefault="00780A67" w:rsidP="00E43F49">
      <w:pPr>
        <w:shd w:val="clear" w:color="auto" w:fill="FFFFFF"/>
        <w:spacing w:after="0" w:line="240" w:lineRule="auto"/>
        <w:rPr>
          <w:rFonts w:ascii="Tms Rmn" w:eastAsia="Times New Roman" w:hAnsi="Tms Rmn" w:cs="Times New Roman"/>
          <w:sz w:val="24"/>
          <w:szCs w:val="24"/>
          <w:lang w:eastAsia="en-AU"/>
        </w:rPr>
      </w:pPr>
    </w:p>
    <w:p w14:paraId="1DA68114" w14:textId="6FE507B0" w:rsidR="0021433B" w:rsidRPr="00ED5535" w:rsidRDefault="00E43F49">
      <w:pPr>
        <w:shd w:val="clear" w:color="auto" w:fill="FFFFFF"/>
        <w:spacing w:after="0" w:line="240" w:lineRule="auto"/>
        <w:jc w:val="both"/>
        <w:rPr>
          <w:rFonts w:ascii="Times New Roman" w:eastAsia="Times New Roman" w:hAnsi="Times New Roman" w:cs="Times New Roman"/>
          <w:lang w:eastAsia="en-AU"/>
        </w:rPr>
      </w:pPr>
      <w:r w:rsidRPr="00ED5535">
        <w:rPr>
          <w:rFonts w:ascii="Times New Roman" w:eastAsia="Times New Roman" w:hAnsi="Times New Roman" w:cs="Times New Roman"/>
          <w:lang w:eastAsia="en-AU"/>
        </w:rPr>
        <w:t>The</w:t>
      </w:r>
      <w:r w:rsidR="0021433B" w:rsidRPr="00ED5535">
        <w:rPr>
          <w:rFonts w:ascii="Times New Roman" w:eastAsia="Times New Roman" w:hAnsi="Times New Roman" w:cs="Times New Roman"/>
          <w:lang w:eastAsia="en-AU"/>
        </w:rPr>
        <w:t xml:space="preserve"> purpose of the </w:t>
      </w:r>
      <w:r w:rsidRPr="00ED5535">
        <w:rPr>
          <w:rFonts w:ascii="Times New Roman" w:eastAsia="Times New Roman" w:hAnsi="Times New Roman" w:cs="Times New Roman"/>
          <w:i/>
          <w:iCs/>
          <w:lang w:eastAsia="en-AU"/>
        </w:rPr>
        <w:t>Private Health Insurance (</w:t>
      </w:r>
      <w:r w:rsidR="001715EB" w:rsidRPr="00ED5535">
        <w:rPr>
          <w:rFonts w:ascii="Times New Roman" w:eastAsia="Times New Roman" w:hAnsi="Times New Roman" w:cs="Times New Roman"/>
          <w:i/>
          <w:iCs/>
          <w:lang w:eastAsia="en-AU"/>
        </w:rPr>
        <w:t>Medical Devices and Human Tissue Products</w:t>
      </w:r>
      <w:r w:rsidRPr="00ED5535">
        <w:rPr>
          <w:rFonts w:ascii="Times New Roman" w:eastAsia="Times New Roman" w:hAnsi="Times New Roman" w:cs="Times New Roman"/>
          <w:i/>
          <w:iCs/>
          <w:lang w:eastAsia="en-AU"/>
        </w:rPr>
        <w:t xml:space="preserve">) </w:t>
      </w:r>
      <w:r w:rsidR="00C85DF8" w:rsidRPr="00ED5535">
        <w:rPr>
          <w:rFonts w:ascii="Times New Roman" w:eastAsia="Times New Roman" w:hAnsi="Times New Roman" w:cs="Times New Roman"/>
          <w:i/>
          <w:iCs/>
          <w:lang w:eastAsia="en-AU"/>
        </w:rPr>
        <w:t xml:space="preserve">Amendment </w:t>
      </w:r>
      <w:r w:rsidRPr="00ED5535">
        <w:rPr>
          <w:rFonts w:ascii="Times New Roman" w:eastAsia="Times New Roman" w:hAnsi="Times New Roman" w:cs="Times New Roman"/>
          <w:i/>
          <w:iCs/>
          <w:lang w:eastAsia="en-AU"/>
        </w:rPr>
        <w:t xml:space="preserve">Rules </w:t>
      </w:r>
      <w:r w:rsidR="00DC6513" w:rsidRPr="00ED5535">
        <w:rPr>
          <w:rFonts w:ascii="Times New Roman" w:eastAsia="Times New Roman" w:hAnsi="Times New Roman" w:cs="Times New Roman"/>
          <w:i/>
          <w:iCs/>
          <w:lang w:eastAsia="en-AU"/>
        </w:rPr>
        <w:t>(No. </w:t>
      </w:r>
      <w:r w:rsidR="003A3BF5" w:rsidRPr="00ED5535">
        <w:rPr>
          <w:rFonts w:ascii="Times New Roman" w:eastAsia="Times New Roman" w:hAnsi="Times New Roman" w:cs="Times New Roman"/>
          <w:i/>
          <w:iCs/>
          <w:lang w:eastAsia="en-AU"/>
        </w:rPr>
        <w:t>2</w:t>
      </w:r>
      <w:r w:rsidR="00DC6513" w:rsidRPr="00ED5535">
        <w:rPr>
          <w:rFonts w:ascii="Times New Roman" w:eastAsia="Times New Roman" w:hAnsi="Times New Roman" w:cs="Times New Roman"/>
          <w:i/>
          <w:iCs/>
          <w:lang w:eastAsia="en-AU"/>
        </w:rPr>
        <w:t xml:space="preserve">) </w:t>
      </w:r>
      <w:r w:rsidRPr="00ED5535">
        <w:rPr>
          <w:rFonts w:ascii="Times New Roman" w:eastAsia="Times New Roman" w:hAnsi="Times New Roman" w:cs="Times New Roman"/>
          <w:i/>
          <w:iCs/>
          <w:lang w:eastAsia="en-AU"/>
        </w:rPr>
        <w:t>2023 </w:t>
      </w:r>
      <w:r w:rsidRPr="00ED5535">
        <w:rPr>
          <w:rFonts w:ascii="Times New Roman" w:eastAsia="Times New Roman" w:hAnsi="Times New Roman" w:cs="Times New Roman"/>
          <w:lang w:eastAsia="en-AU"/>
        </w:rPr>
        <w:t>(</w:t>
      </w:r>
      <w:r w:rsidR="001715EB" w:rsidRPr="00ED5535">
        <w:rPr>
          <w:rFonts w:ascii="Times New Roman" w:eastAsia="Times New Roman" w:hAnsi="Times New Roman" w:cs="Times New Roman"/>
          <w:lang w:eastAsia="en-AU"/>
        </w:rPr>
        <w:t xml:space="preserve">MDHTP </w:t>
      </w:r>
      <w:r w:rsidR="00C85DF8" w:rsidRPr="00ED5535">
        <w:rPr>
          <w:rFonts w:ascii="Times New Roman" w:eastAsia="Times New Roman" w:hAnsi="Times New Roman" w:cs="Times New Roman"/>
          <w:lang w:eastAsia="en-AU"/>
        </w:rPr>
        <w:t xml:space="preserve">Amendment </w:t>
      </w:r>
      <w:r w:rsidRPr="00ED5535">
        <w:rPr>
          <w:rFonts w:ascii="Times New Roman" w:eastAsia="Times New Roman" w:hAnsi="Times New Roman" w:cs="Times New Roman"/>
          <w:lang w:eastAsia="en-AU"/>
        </w:rPr>
        <w:t xml:space="preserve">Rules) </w:t>
      </w:r>
      <w:r w:rsidR="0021433B" w:rsidRPr="00ED5535">
        <w:rPr>
          <w:rFonts w:ascii="Times New Roman" w:eastAsia="Times New Roman" w:hAnsi="Times New Roman" w:cs="Times New Roman"/>
          <w:lang w:eastAsia="en-AU"/>
        </w:rPr>
        <w:t>is to</w:t>
      </w:r>
      <w:r w:rsidR="00BC4AC8" w:rsidRPr="00ED5535">
        <w:rPr>
          <w:rFonts w:ascii="Times New Roman" w:eastAsia="Times New Roman" w:hAnsi="Times New Roman" w:cs="Times New Roman"/>
          <w:lang w:eastAsia="en-AU"/>
        </w:rPr>
        <w:t xml:space="preserve"> </w:t>
      </w:r>
      <w:r w:rsidR="00C85DF8" w:rsidRPr="00ED5535">
        <w:rPr>
          <w:rFonts w:ascii="Times New Roman" w:eastAsia="Times New Roman" w:hAnsi="Times New Roman" w:cs="Times New Roman"/>
          <w:lang w:eastAsia="en-AU"/>
        </w:rPr>
        <w:t>amend the</w:t>
      </w:r>
      <w:r w:rsidR="00BC4AC8" w:rsidRPr="00ED5535">
        <w:rPr>
          <w:rFonts w:ascii="Times New Roman" w:eastAsia="Times New Roman" w:hAnsi="Times New Roman" w:cs="Times New Roman"/>
          <w:lang w:eastAsia="en-AU"/>
        </w:rPr>
        <w:t xml:space="preserve"> </w:t>
      </w:r>
      <w:r w:rsidR="00BC4AC8" w:rsidRPr="00ED5535">
        <w:rPr>
          <w:rFonts w:ascii="Times New Roman" w:eastAsia="Times New Roman" w:hAnsi="Times New Roman" w:cs="Times New Roman"/>
          <w:i/>
          <w:iCs/>
          <w:lang w:eastAsia="en-AU"/>
        </w:rPr>
        <w:t xml:space="preserve">Private Health Insurance (Medical Devices and Human Tissue Products) Rules (No. </w:t>
      </w:r>
      <w:r w:rsidR="00C85DF8" w:rsidRPr="00ED5535">
        <w:rPr>
          <w:rFonts w:ascii="Times New Roman" w:eastAsia="Times New Roman" w:hAnsi="Times New Roman" w:cs="Times New Roman"/>
          <w:i/>
          <w:iCs/>
          <w:lang w:eastAsia="en-AU"/>
        </w:rPr>
        <w:t>2</w:t>
      </w:r>
      <w:r w:rsidR="00BC4AC8" w:rsidRPr="00ED5535">
        <w:rPr>
          <w:rFonts w:ascii="Times New Roman" w:eastAsia="Times New Roman" w:hAnsi="Times New Roman" w:cs="Times New Roman"/>
          <w:i/>
          <w:iCs/>
          <w:lang w:eastAsia="en-AU"/>
        </w:rPr>
        <w:t xml:space="preserve">) 2023 </w:t>
      </w:r>
      <w:r w:rsidR="00BC4AC8" w:rsidRPr="00ED5535">
        <w:rPr>
          <w:rFonts w:ascii="Times New Roman" w:eastAsia="Times New Roman" w:hAnsi="Times New Roman" w:cs="Times New Roman"/>
          <w:lang w:eastAsia="en-AU"/>
        </w:rPr>
        <w:t>(</w:t>
      </w:r>
      <w:r w:rsidR="00C85DF8" w:rsidRPr="00ED5535">
        <w:rPr>
          <w:rFonts w:ascii="Times New Roman" w:eastAsia="Times New Roman" w:hAnsi="Times New Roman" w:cs="Times New Roman"/>
          <w:lang w:eastAsia="en-AU"/>
        </w:rPr>
        <w:t>MDHTP</w:t>
      </w:r>
      <w:r w:rsidR="00BC4AC8" w:rsidRPr="00ED5535">
        <w:rPr>
          <w:rFonts w:ascii="Times New Roman" w:eastAsia="Times New Roman" w:hAnsi="Times New Roman" w:cs="Times New Roman"/>
          <w:lang w:eastAsia="en-AU"/>
        </w:rPr>
        <w:t xml:space="preserve"> Rules)</w:t>
      </w:r>
      <w:r w:rsidR="00C85DF8" w:rsidRPr="00ED5535">
        <w:rPr>
          <w:rFonts w:ascii="Times New Roman" w:eastAsia="Times New Roman" w:hAnsi="Times New Roman" w:cs="Times New Roman"/>
          <w:lang w:eastAsia="en-AU"/>
        </w:rPr>
        <w:t>.</w:t>
      </w:r>
      <w:r w:rsidR="00BC4AC8" w:rsidRPr="00ED5535">
        <w:rPr>
          <w:rFonts w:ascii="Times New Roman" w:eastAsia="Times New Roman" w:hAnsi="Times New Roman" w:cs="Times New Roman"/>
          <w:lang w:eastAsia="en-AU"/>
        </w:rPr>
        <w:t xml:space="preserve"> </w:t>
      </w:r>
      <w:r w:rsidR="00C85DF8" w:rsidRPr="00ED5535">
        <w:rPr>
          <w:rFonts w:ascii="Times New Roman" w:eastAsia="Times New Roman" w:hAnsi="Times New Roman" w:cs="Times New Roman"/>
          <w:lang w:eastAsia="en-AU"/>
        </w:rPr>
        <w:t xml:space="preserve">The MDHTP Amendment </w:t>
      </w:r>
      <w:r w:rsidR="00AF706E" w:rsidRPr="00ED5535">
        <w:rPr>
          <w:rFonts w:ascii="Times New Roman" w:eastAsia="Times New Roman" w:hAnsi="Times New Roman" w:cs="Times New Roman"/>
          <w:lang w:eastAsia="en-AU"/>
        </w:rPr>
        <w:t>R</w:t>
      </w:r>
      <w:r w:rsidR="00C85DF8" w:rsidRPr="00ED5535">
        <w:rPr>
          <w:rFonts w:ascii="Times New Roman" w:eastAsia="Times New Roman" w:hAnsi="Times New Roman" w:cs="Times New Roman"/>
          <w:lang w:eastAsia="en-AU"/>
        </w:rPr>
        <w:t>ules amend the condition</w:t>
      </w:r>
      <w:r w:rsidR="00C851A1" w:rsidRPr="00ED5535">
        <w:rPr>
          <w:rFonts w:ascii="Times New Roman" w:eastAsia="Times New Roman" w:hAnsi="Times New Roman" w:cs="Times New Roman"/>
          <w:lang w:eastAsia="en-AU"/>
        </w:rPr>
        <w:t>s</w:t>
      </w:r>
      <w:r w:rsidR="00C85DF8" w:rsidRPr="00ED5535">
        <w:rPr>
          <w:rFonts w:ascii="Times New Roman" w:eastAsia="Times New Roman" w:hAnsi="Times New Roman" w:cs="Times New Roman"/>
          <w:lang w:eastAsia="en-AU"/>
        </w:rPr>
        <w:t xml:space="preserve"> applied to </w:t>
      </w:r>
      <w:r w:rsidR="002F4411" w:rsidRPr="00ED5535">
        <w:rPr>
          <w:rFonts w:ascii="Times New Roman" w:eastAsia="Times New Roman" w:hAnsi="Times New Roman" w:cs="Times New Roman"/>
          <w:lang w:eastAsia="en-AU"/>
        </w:rPr>
        <w:t>37</w:t>
      </w:r>
      <w:r w:rsidR="00C85DF8" w:rsidRPr="00ED5535">
        <w:rPr>
          <w:rFonts w:ascii="Times New Roman" w:eastAsia="Times New Roman" w:hAnsi="Times New Roman" w:cs="Times New Roman"/>
          <w:lang w:eastAsia="en-AU"/>
        </w:rPr>
        <w:t xml:space="preserve"> billing codes listed in Part A of Schedule</w:t>
      </w:r>
      <w:r w:rsidR="00C851A1" w:rsidRPr="00ED5535">
        <w:rPr>
          <w:rFonts w:ascii="Times New Roman" w:eastAsia="Times New Roman" w:hAnsi="Times New Roman" w:cs="Times New Roman"/>
          <w:lang w:eastAsia="en-AU"/>
        </w:rPr>
        <w:t xml:space="preserve"> 1</w:t>
      </w:r>
      <w:r w:rsidR="00C85DF8" w:rsidRPr="00ED5535">
        <w:rPr>
          <w:rFonts w:ascii="Times New Roman" w:eastAsia="Times New Roman" w:hAnsi="Times New Roman" w:cs="Times New Roman"/>
          <w:lang w:eastAsia="en-AU"/>
        </w:rPr>
        <w:t xml:space="preserve">, commonly known as the Prescribed List of Medical Devices and Human Tissue Products (Prescribed List), </w:t>
      </w:r>
      <w:r w:rsidR="00601A64" w:rsidRPr="00ED5535">
        <w:rPr>
          <w:rFonts w:ascii="Times New Roman" w:eastAsia="Times New Roman" w:hAnsi="Times New Roman" w:cs="Times New Roman"/>
          <w:lang w:eastAsia="en-AU"/>
        </w:rPr>
        <w:t>correct</w:t>
      </w:r>
      <w:r w:rsidR="00C85DF8" w:rsidRPr="00ED5535">
        <w:rPr>
          <w:rFonts w:ascii="Times New Roman" w:eastAsia="Times New Roman" w:hAnsi="Times New Roman" w:cs="Times New Roman"/>
          <w:lang w:eastAsia="en-AU"/>
        </w:rPr>
        <w:t xml:space="preserve"> the minimum benefit for one billing code in Part B of Schedule</w:t>
      </w:r>
      <w:r w:rsidR="00C851A1" w:rsidRPr="00ED5535">
        <w:rPr>
          <w:rFonts w:ascii="Times New Roman" w:eastAsia="Times New Roman" w:hAnsi="Times New Roman" w:cs="Times New Roman"/>
          <w:lang w:eastAsia="en-AU"/>
        </w:rPr>
        <w:t xml:space="preserve"> 1</w:t>
      </w:r>
      <w:r w:rsidR="00601A64" w:rsidRPr="00ED5535">
        <w:rPr>
          <w:rFonts w:ascii="Times New Roman" w:eastAsia="Times New Roman" w:hAnsi="Times New Roman" w:cs="Times New Roman"/>
          <w:lang w:eastAsia="en-AU"/>
        </w:rPr>
        <w:t xml:space="preserve">, </w:t>
      </w:r>
      <w:bookmarkStart w:id="2" w:name="_Hlk149639629"/>
      <w:r w:rsidR="00601A64" w:rsidRPr="00ED5535">
        <w:rPr>
          <w:rFonts w:ascii="Times New Roman" w:eastAsia="Times New Roman" w:hAnsi="Times New Roman" w:cs="Times New Roman"/>
          <w:lang w:eastAsia="en-AU"/>
        </w:rPr>
        <w:t xml:space="preserve">correct benefits for </w:t>
      </w:r>
      <w:r w:rsidR="00135200" w:rsidRPr="00ED5535">
        <w:rPr>
          <w:rFonts w:ascii="Times New Roman" w:eastAsia="Times New Roman" w:hAnsi="Times New Roman" w:cs="Times New Roman"/>
          <w:lang w:eastAsia="en-AU"/>
        </w:rPr>
        <w:t>5</w:t>
      </w:r>
      <w:r w:rsidR="00601A64" w:rsidRPr="00ED5535">
        <w:rPr>
          <w:rFonts w:ascii="Times New Roman" w:eastAsia="Times New Roman" w:hAnsi="Times New Roman" w:cs="Times New Roman"/>
          <w:lang w:eastAsia="en-AU"/>
        </w:rPr>
        <w:t xml:space="preserve"> billing codes in Part D of Schedule</w:t>
      </w:r>
      <w:r w:rsidR="00C851A1" w:rsidRPr="00ED5535">
        <w:rPr>
          <w:rFonts w:ascii="Times New Roman" w:eastAsia="Times New Roman" w:hAnsi="Times New Roman" w:cs="Times New Roman"/>
          <w:lang w:eastAsia="en-AU"/>
        </w:rPr>
        <w:t xml:space="preserve"> 1</w:t>
      </w:r>
      <w:r w:rsidR="00610B0F" w:rsidRPr="00ED5535">
        <w:rPr>
          <w:rFonts w:ascii="Times New Roman" w:eastAsia="Times New Roman" w:hAnsi="Times New Roman" w:cs="Times New Roman"/>
          <w:lang w:eastAsia="en-AU"/>
        </w:rPr>
        <w:t>, and</w:t>
      </w:r>
      <w:r w:rsidR="00467757" w:rsidRPr="00ED5535">
        <w:rPr>
          <w:rFonts w:ascii="Times New Roman" w:eastAsia="Times New Roman" w:hAnsi="Times New Roman" w:cs="Times New Roman"/>
          <w:lang w:eastAsia="en-AU"/>
        </w:rPr>
        <w:t xml:space="preserve"> to make editorial changes</w:t>
      </w:r>
      <w:r w:rsidR="00C85DF8" w:rsidRPr="00ED5535">
        <w:rPr>
          <w:rFonts w:ascii="Times New Roman" w:eastAsia="Times New Roman" w:hAnsi="Times New Roman" w:cs="Times New Roman"/>
          <w:lang w:eastAsia="en-AU"/>
        </w:rPr>
        <w:t>.</w:t>
      </w:r>
      <w:bookmarkEnd w:id="2"/>
    </w:p>
    <w:p w14:paraId="5225A0DA" w14:textId="0898BC6A" w:rsidR="00C85DF8" w:rsidRPr="00ED5535" w:rsidRDefault="00C85DF8">
      <w:pPr>
        <w:shd w:val="clear" w:color="auto" w:fill="FFFFFF"/>
        <w:spacing w:after="0" w:line="240" w:lineRule="auto"/>
        <w:jc w:val="both"/>
        <w:rPr>
          <w:rFonts w:ascii="Times New Roman" w:eastAsia="Times New Roman" w:hAnsi="Times New Roman" w:cs="Times New Roman"/>
          <w:lang w:eastAsia="en-AU"/>
        </w:rPr>
      </w:pPr>
    </w:p>
    <w:p w14:paraId="5BB8AFC0" w14:textId="77777777" w:rsidR="00286A33" w:rsidRPr="00ED5535" w:rsidRDefault="00286A33" w:rsidP="00286A33">
      <w:pPr>
        <w:shd w:val="clear" w:color="auto" w:fill="FFFFFF"/>
        <w:spacing w:after="0" w:line="240" w:lineRule="auto"/>
        <w:rPr>
          <w:rFonts w:ascii="Times New Roman" w:eastAsia="Times New Roman" w:hAnsi="Times New Roman" w:cs="Times New Roman"/>
          <w:b/>
          <w:bCs/>
          <w:lang w:eastAsia="en-AU"/>
        </w:rPr>
      </w:pPr>
      <w:r w:rsidRPr="00ED5535">
        <w:rPr>
          <w:rFonts w:ascii="Times New Roman" w:eastAsia="Times New Roman" w:hAnsi="Times New Roman" w:cs="Times New Roman"/>
          <w:b/>
          <w:bCs/>
          <w:lang w:eastAsia="en-AU"/>
        </w:rPr>
        <w:t>Background</w:t>
      </w:r>
    </w:p>
    <w:p w14:paraId="573B42D9" w14:textId="77777777" w:rsidR="00286A33" w:rsidRPr="00ED5535" w:rsidRDefault="00286A33" w:rsidP="00286A33">
      <w:pPr>
        <w:shd w:val="clear" w:color="auto" w:fill="FFFFFF"/>
        <w:spacing w:after="0" w:line="240" w:lineRule="auto"/>
        <w:rPr>
          <w:rFonts w:ascii="Times New Roman" w:eastAsia="Times New Roman" w:hAnsi="Times New Roman" w:cs="Times New Roman"/>
          <w:b/>
          <w:bCs/>
          <w:lang w:eastAsia="en-AU"/>
        </w:rPr>
      </w:pPr>
    </w:p>
    <w:p w14:paraId="17806077" w14:textId="7A9CA05A" w:rsidR="00286A33" w:rsidRPr="00ED5535" w:rsidRDefault="00286A33" w:rsidP="00286A33">
      <w:pPr>
        <w:shd w:val="clear" w:color="auto" w:fill="FFFFFF"/>
        <w:spacing w:after="0" w:line="240" w:lineRule="auto"/>
        <w:jc w:val="both"/>
        <w:rPr>
          <w:rFonts w:ascii="Times New Roman" w:eastAsia="Times New Roman" w:hAnsi="Times New Roman" w:cs="Times New Roman"/>
          <w:lang w:eastAsia="en-AU"/>
        </w:rPr>
      </w:pPr>
      <w:r w:rsidRPr="00ED5535">
        <w:rPr>
          <w:rFonts w:ascii="Times New Roman" w:eastAsia="Times New Roman" w:hAnsi="Times New Roman" w:cs="Times New Roman"/>
          <w:lang w:eastAsia="en-AU"/>
        </w:rPr>
        <w:t xml:space="preserve">The MDHTP Rules apply a condition on 37 billing codes for surgical guides and </w:t>
      </w:r>
      <w:proofErr w:type="spellStart"/>
      <w:r w:rsidRPr="00ED5535">
        <w:rPr>
          <w:rFonts w:ascii="Times New Roman" w:eastAsia="Times New Roman" w:hAnsi="Times New Roman" w:cs="Times New Roman"/>
          <w:lang w:eastAsia="en-AU"/>
        </w:rPr>
        <w:t>biomodels</w:t>
      </w:r>
      <w:proofErr w:type="spellEnd"/>
      <w:r w:rsidRPr="00ED5535">
        <w:rPr>
          <w:rFonts w:ascii="Times New Roman" w:eastAsia="Times New Roman" w:hAnsi="Times New Roman" w:cs="Times New Roman"/>
          <w:lang w:eastAsia="en-AU"/>
        </w:rPr>
        <w:t xml:space="preserve"> </w:t>
      </w:r>
      <w:r w:rsidR="00940822" w:rsidRPr="00ED5535">
        <w:rPr>
          <w:rFonts w:ascii="Times New Roman" w:eastAsia="Times New Roman" w:hAnsi="Times New Roman" w:cs="Times New Roman"/>
          <w:lang w:eastAsia="en-AU"/>
        </w:rPr>
        <w:t xml:space="preserve">in the Plastic and Reconstructive category </w:t>
      </w:r>
      <w:r w:rsidRPr="00ED5535">
        <w:rPr>
          <w:rFonts w:ascii="Times New Roman" w:eastAsia="Times New Roman" w:hAnsi="Times New Roman" w:cs="Times New Roman"/>
          <w:lang w:eastAsia="en-AU"/>
        </w:rPr>
        <w:t xml:space="preserve">in Part A of the Prescribed List, that must be satisfied in relation to the provision of the listed items. This follows a post-listing review of these devices to test whether they satisfy the criteria for listing and the circumstances in which they </w:t>
      </w:r>
      <w:r w:rsidR="006448F3" w:rsidRPr="00ED5535">
        <w:rPr>
          <w:rFonts w:ascii="Times New Roman" w:eastAsia="Times New Roman" w:hAnsi="Times New Roman" w:cs="Times New Roman"/>
          <w:lang w:eastAsia="en-AU"/>
        </w:rPr>
        <w:t xml:space="preserve">are required to </w:t>
      </w:r>
      <w:r w:rsidRPr="00ED5535">
        <w:rPr>
          <w:rFonts w:ascii="Times New Roman" w:eastAsia="Times New Roman" w:hAnsi="Times New Roman" w:cs="Times New Roman"/>
          <w:lang w:eastAsia="en-AU"/>
        </w:rPr>
        <w:t xml:space="preserve">be reimbursed. The review found there is evidence to demonstrate that surgical guides and </w:t>
      </w:r>
      <w:proofErr w:type="spellStart"/>
      <w:r w:rsidRPr="00ED5535">
        <w:rPr>
          <w:rFonts w:ascii="Times New Roman" w:eastAsia="Times New Roman" w:hAnsi="Times New Roman" w:cs="Times New Roman"/>
          <w:lang w:eastAsia="en-AU"/>
        </w:rPr>
        <w:t>biomodels</w:t>
      </w:r>
      <w:proofErr w:type="spellEnd"/>
      <w:r w:rsidRPr="00ED5535">
        <w:rPr>
          <w:rFonts w:ascii="Times New Roman" w:eastAsia="Times New Roman" w:hAnsi="Times New Roman" w:cs="Times New Roman"/>
          <w:lang w:eastAsia="en-AU"/>
        </w:rPr>
        <w:t xml:space="preserve"> are clinically effective when used in craniomaxillofacial surgery procedures involving insertion of a medical device, but there is insufficient evidence to support listing of these billing codes for any other types of surgeries</w:t>
      </w:r>
      <w:r w:rsidRPr="00ED5535">
        <w:rPr>
          <w:rFonts w:ascii="Times New Roman" w:hAnsi="Times New Roman" w:cs="Times New Roman"/>
        </w:rPr>
        <w:t xml:space="preserve"> and </w:t>
      </w:r>
      <w:r w:rsidRPr="00ED5535">
        <w:rPr>
          <w:rFonts w:ascii="Times New Roman" w:eastAsia="Times New Roman" w:hAnsi="Times New Roman" w:cs="Times New Roman"/>
          <w:lang w:eastAsia="en-AU"/>
        </w:rPr>
        <w:t xml:space="preserve">that the </w:t>
      </w:r>
      <w:r w:rsidR="00AF245F" w:rsidRPr="00ED5535">
        <w:rPr>
          <w:rFonts w:ascii="Times New Roman" w:eastAsia="Times New Roman" w:hAnsi="Times New Roman" w:cs="Times New Roman"/>
          <w:lang w:eastAsia="en-AU"/>
        </w:rPr>
        <w:t>Prescribed List</w:t>
      </w:r>
      <w:r w:rsidR="00AF245F" w:rsidRPr="00ED5535" w:rsidDel="00AF245F">
        <w:rPr>
          <w:rFonts w:ascii="Times New Roman" w:eastAsia="Times New Roman" w:hAnsi="Times New Roman" w:cs="Times New Roman"/>
          <w:lang w:eastAsia="en-AU"/>
        </w:rPr>
        <w:t xml:space="preserve"> </w:t>
      </w:r>
      <w:r w:rsidRPr="00ED5535">
        <w:rPr>
          <w:rFonts w:ascii="Times New Roman" w:eastAsia="Times New Roman" w:hAnsi="Times New Roman" w:cs="Times New Roman"/>
          <w:lang w:eastAsia="en-AU"/>
        </w:rPr>
        <w:t>reimbursement of the devices should be restricted in respect to number of devices reimbursed per procedure. Accordingly, the condition</w:t>
      </w:r>
      <w:r w:rsidR="006448F3" w:rsidRPr="00ED5535">
        <w:rPr>
          <w:rFonts w:ascii="Times New Roman" w:eastAsia="Times New Roman" w:hAnsi="Times New Roman" w:cs="Times New Roman"/>
          <w:lang w:eastAsia="en-AU"/>
        </w:rPr>
        <w:t>,</w:t>
      </w:r>
      <w:r w:rsidRPr="00ED5535">
        <w:rPr>
          <w:rFonts w:ascii="Times New Roman" w:eastAsia="Times New Roman" w:hAnsi="Times New Roman" w:cs="Times New Roman"/>
          <w:lang w:eastAsia="en-AU"/>
        </w:rPr>
        <w:t xml:space="preserve"> </w:t>
      </w:r>
      <w:r w:rsidR="006448F3" w:rsidRPr="00ED5535">
        <w:rPr>
          <w:rFonts w:ascii="Times New Roman" w:eastAsia="Times New Roman" w:hAnsi="Times New Roman" w:cs="Times New Roman"/>
          <w:lang w:eastAsia="en-AU"/>
        </w:rPr>
        <w:t xml:space="preserve">placed on the billing codes for surgical guides and </w:t>
      </w:r>
      <w:proofErr w:type="spellStart"/>
      <w:r w:rsidR="006448F3" w:rsidRPr="00ED5535">
        <w:rPr>
          <w:rFonts w:ascii="Times New Roman" w:eastAsia="Times New Roman" w:hAnsi="Times New Roman" w:cs="Times New Roman"/>
          <w:lang w:eastAsia="en-AU"/>
        </w:rPr>
        <w:t>biomodels</w:t>
      </w:r>
      <w:proofErr w:type="spellEnd"/>
      <w:r w:rsidR="006448F3" w:rsidRPr="00ED5535">
        <w:rPr>
          <w:rFonts w:ascii="Times New Roman" w:eastAsia="Times New Roman" w:hAnsi="Times New Roman" w:cs="Times New Roman"/>
          <w:lang w:eastAsia="en-AU"/>
        </w:rPr>
        <w:t xml:space="preserve"> in the MDHTP Rules, </w:t>
      </w:r>
      <w:r w:rsidRPr="00ED5535">
        <w:rPr>
          <w:rFonts w:ascii="Times New Roman" w:eastAsia="Times New Roman" w:hAnsi="Times New Roman" w:cs="Times New Roman"/>
          <w:lang w:eastAsia="en-AU"/>
        </w:rPr>
        <w:t xml:space="preserve">specifies that: </w:t>
      </w:r>
      <w:r w:rsidRPr="00ED5535">
        <w:rPr>
          <w:rFonts w:ascii="Times New Roman" w:eastAsia="Times New Roman" w:hAnsi="Times New Roman" w:cs="Times New Roman"/>
          <w:i/>
          <w:iCs/>
          <w:lang w:eastAsia="en-AU"/>
        </w:rPr>
        <w:t>Prescribed List reimbursement of the device is restricted to the use in craniomaxillofacial surgery procedures involving insertion of a medical device listed in Schedule 1, and for no more than 3 devices per procedure</w:t>
      </w:r>
      <w:r w:rsidRPr="00ED5535">
        <w:rPr>
          <w:rFonts w:ascii="Times New Roman" w:eastAsia="Times New Roman" w:hAnsi="Times New Roman" w:cs="Times New Roman"/>
          <w:lang w:eastAsia="en-AU"/>
        </w:rPr>
        <w:t>.</w:t>
      </w:r>
    </w:p>
    <w:p w14:paraId="330182B5" w14:textId="77777777" w:rsidR="00286A33" w:rsidRPr="00ED5535" w:rsidRDefault="00286A33" w:rsidP="00286A33">
      <w:pPr>
        <w:shd w:val="clear" w:color="auto" w:fill="FFFFFF"/>
        <w:spacing w:after="0" w:line="240" w:lineRule="auto"/>
        <w:rPr>
          <w:rFonts w:ascii="Times New Roman" w:eastAsia="Times New Roman" w:hAnsi="Times New Roman" w:cs="Times New Roman"/>
          <w:lang w:eastAsia="en-AU"/>
        </w:rPr>
      </w:pPr>
    </w:p>
    <w:p w14:paraId="5C002C8C" w14:textId="6FB5774E" w:rsidR="00286A33" w:rsidRPr="00ED5535" w:rsidRDefault="00AF17A4" w:rsidP="00286A33">
      <w:pPr>
        <w:shd w:val="clear" w:color="auto" w:fill="FFFFFF"/>
        <w:spacing w:after="0" w:line="240" w:lineRule="auto"/>
        <w:rPr>
          <w:rFonts w:ascii="Times New Roman" w:eastAsia="Times New Roman" w:hAnsi="Times New Roman" w:cs="Times New Roman"/>
          <w:lang w:eastAsia="en-AU"/>
        </w:rPr>
      </w:pPr>
      <w:r w:rsidRPr="00ED5535">
        <w:rPr>
          <w:rFonts w:ascii="Times New Roman" w:eastAsia="Times New Roman" w:hAnsi="Times New Roman" w:cs="Times New Roman"/>
          <w:lang w:eastAsia="en-AU"/>
        </w:rPr>
        <w:t>Following registration of the MDHTP Rules, t</w:t>
      </w:r>
      <w:r w:rsidR="00286A33" w:rsidRPr="00ED5535">
        <w:rPr>
          <w:rFonts w:ascii="Times New Roman" w:eastAsia="Times New Roman" w:hAnsi="Times New Roman" w:cs="Times New Roman"/>
          <w:lang w:eastAsia="en-AU"/>
        </w:rPr>
        <w:t>he Department of Health and Aged Care received queries from several stakeholders seeking clarification on the interpretation, intent, and scope of the condition. Stakeholders also raised concerns that insufficient notice had been given to stakeholders about the commencement of the condition on 1 November 2023.</w:t>
      </w:r>
    </w:p>
    <w:p w14:paraId="0DB9EC0D" w14:textId="77777777" w:rsidR="00286A33" w:rsidRPr="00ED5535" w:rsidRDefault="00286A33" w:rsidP="00286A33">
      <w:pPr>
        <w:shd w:val="clear" w:color="auto" w:fill="FFFFFF"/>
        <w:spacing w:after="0" w:line="240" w:lineRule="auto"/>
        <w:rPr>
          <w:rFonts w:ascii="Times New Roman" w:eastAsia="Times New Roman" w:hAnsi="Times New Roman" w:cs="Times New Roman"/>
          <w:lang w:eastAsia="en-AU"/>
        </w:rPr>
      </w:pPr>
    </w:p>
    <w:p w14:paraId="30A1657F" w14:textId="63188326" w:rsidR="00286A33" w:rsidRPr="00ED5535" w:rsidRDefault="009C66C6" w:rsidP="00286A33">
      <w:pPr>
        <w:shd w:val="clear" w:color="auto" w:fill="FFFFFF"/>
        <w:spacing w:after="0" w:line="240" w:lineRule="auto"/>
        <w:rPr>
          <w:rFonts w:ascii="Times New Roman" w:eastAsia="Times New Roman" w:hAnsi="Times New Roman" w:cs="Times New Roman"/>
          <w:lang w:eastAsia="en-AU"/>
        </w:rPr>
      </w:pPr>
      <w:r w:rsidRPr="00ED5535">
        <w:rPr>
          <w:rFonts w:ascii="Times New Roman" w:eastAsia="Times New Roman" w:hAnsi="Times New Roman" w:cs="Times New Roman"/>
          <w:lang w:eastAsia="en-AU"/>
        </w:rPr>
        <w:t>The</w:t>
      </w:r>
      <w:r w:rsidR="00286A33" w:rsidRPr="00ED5535">
        <w:rPr>
          <w:rFonts w:ascii="Times New Roman" w:eastAsia="Times New Roman" w:hAnsi="Times New Roman" w:cs="Times New Roman"/>
          <w:lang w:eastAsia="en-AU"/>
        </w:rPr>
        <w:t xml:space="preserve"> MDHTP Amendment Rules</w:t>
      </w:r>
      <w:r w:rsidRPr="00ED5535">
        <w:rPr>
          <w:rFonts w:ascii="Times New Roman" w:eastAsia="Times New Roman" w:hAnsi="Times New Roman" w:cs="Times New Roman"/>
          <w:lang w:eastAsia="en-AU"/>
        </w:rPr>
        <w:t xml:space="preserve"> revise</w:t>
      </w:r>
      <w:r w:rsidR="00286A33" w:rsidRPr="00ED5535">
        <w:rPr>
          <w:rFonts w:ascii="Times New Roman" w:eastAsia="Times New Roman" w:hAnsi="Times New Roman" w:cs="Times New Roman"/>
          <w:lang w:eastAsia="en-AU"/>
        </w:rPr>
        <w:t xml:space="preserve"> the condition to clarify the circumstances in which benefits are payable for the billing codes for surgical guides and </w:t>
      </w:r>
      <w:proofErr w:type="spellStart"/>
      <w:r w:rsidR="00286A33" w:rsidRPr="00ED5535">
        <w:rPr>
          <w:rFonts w:ascii="Times New Roman" w:eastAsia="Times New Roman" w:hAnsi="Times New Roman" w:cs="Times New Roman"/>
          <w:lang w:eastAsia="en-AU"/>
        </w:rPr>
        <w:t>biomodels</w:t>
      </w:r>
      <w:proofErr w:type="spellEnd"/>
      <w:r w:rsidR="00286A33" w:rsidRPr="00ED5535">
        <w:rPr>
          <w:rFonts w:ascii="Times New Roman" w:eastAsia="Times New Roman" w:hAnsi="Times New Roman" w:cs="Times New Roman"/>
          <w:lang w:eastAsia="en-AU"/>
        </w:rPr>
        <w:t xml:space="preserve">. The MDHTP Amendment Rules also provide that the condition will become effective on 1 February 2024. The delayed commencement will allow </w:t>
      </w:r>
      <w:r w:rsidR="006448F3" w:rsidRPr="00ED5535">
        <w:rPr>
          <w:rFonts w:ascii="Times New Roman" w:eastAsia="Times New Roman" w:hAnsi="Times New Roman" w:cs="Times New Roman"/>
          <w:lang w:eastAsia="en-AU"/>
        </w:rPr>
        <w:t xml:space="preserve">the </w:t>
      </w:r>
      <w:r w:rsidR="00286A33" w:rsidRPr="00ED5535">
        <w:rPr>
          <w:rFonts w:ascii="Times New Roman" w:eastAsia="Times New Roman" w:hAnsi="Times New Roman" w:cs="Times New Roman"/>
          <w:lang w:eastAsia="en-AU"/>
        </w:rPr>
        <w:t xml:space="preserve">booked procedures to go ahead and for stakeholders to plan </w:t>
      </w:r>
      <w:r w:rsidR="00FD6EDB" w:rsidRPr="00ED5535">
        <w:rPr>
          <w:rFonts w:ascii="Times New Roman" w:eastAsia="Times New Roman" w:hAnsi="Times New Roman" w:cs="Times New Roman"/>
          <w:lang w:eastAsia="en-AU"/>
        </w:rPr>
        <w:t xml:space="preserve">accordingly </w:t>
      </w:r>
      <w:r w:rsidR="00286A33" w:rsidRPr="00ED5535">
        <w:rPr>
          <w:rFonts w:ascii="Times New Roman" w:eastAsia="Times New Roman" w:hAnsi="Times New Roman" w:cs="Times New Roman"/>
          <w:lang w:eastAsia="en-AU"/>
        </w:rPr>
        <w:t>future procedures using the devices.</w:t>
      </w:r>
    </w:p>
    <w:p w14:paraId="3ABF8A82" w14:textId="77777777" w:rsidR="00286A33" w:rsidRPr="00ED5535" w:rsidRDefault="00286A33" w:rsidP="00286A33">
      <w:pPr>
        <w:shd w:val="clear" w:color="auto" w:fill="FFFFFF"/>
        <w:spacing w:after="0" w:line="240" w:lineRule="auto"/>
        <w:rPr>
          <w:rFonts w:ascii="Times New Roman" w:eastAsia="Times New Roman" w:hAnsi="Times New Roman" w:cs="Times New Roman"/>
          <w:lang w:eastAsia="en-AU"/>
        </w:rPr>
      </w:pPr>
    </w:p>
    <w:p w14:paraId="10C5B92E" w14:textId="64F5FC76" w:rsidR="00E074C5" w:rsidRPr="00ED5535" w:rsidRDefault="00286A33" w:rsidP="000B344D">
      <w:pPr>
        <w:rPr>
          <w:rFonts w:ascii="Times New Roman" w:eastAsia="Times New Roman" w:hAnsi="Times New Roman" w:cs="Times New Roman"/>
          <w:i/>
          <w:iCs/>
          <w:lang w:eastAsia="en-AU"/>
        </w:rPr>
      </w:pPr>
      <w:r w:rsidRPr="00ED5535">
        <w:rPr>
          <w:rFonts w:ascii="Times New Roman" w:eastAsia="Times New Roman" w:hAnsi="Times New Roman" w:cs="Times New Roman"/>
          <w:lang w:eastAsia="en-AU"/>
        </w:rPr>
        <w:t xml:space="preserve">The revised condition specifies that: </w:t>
      </w:r>
      <w:r w:rsidRPr="00ED5535">
        <w:rPr>
          <w:rFonts w:ascii="Times New Roman" w:eastAsia="Times New Roman" w:hAnsi="Times New Roman" w:cs="Times New Roman"/>
          <w:i/>
          <w:iCs/>
          <w:lang w:eastAsia="en-AU"/>
        </w:rPr>
        <w:t xml:space="preserve">Prescribed List reimbursement is restricted to the use of the device in craniomaxillofacial surgery procedures involving insertion of an implantable medical device, where that implantable device is listed in either sub-category 07.01 - Craniomaxillofacial Reconstruction &amp; Fixation, or 07.02 – Craniomaxillofacial Implants, or 07.04 – Distractor Systems of Schedule 1, or sub-category 07.03 - Dental Implants, but only if the </w:t>
      </w:r>
      <w:r w:rsidR="00E10267" w:rsidRPr="00ED5535">
        <w:rPr>
          <w:rFonts w:ascii="Times New Roman" w:eastAsia="Times New Roman" w:hAnsi="Times New Roman" w:cs="Times New Roman"/>
          <w:i/>
          <w:iCs/>
          <w:lang w:eastAsia="en-AU"/>
        </w:rPr>
        <w:t xml:space="preserve">[dental] </w:t>
      </w:r>
      <w:r w:rsidRPr="00ED5535">
        <w:rPr>
          <w:rFonts w:ascii="Times New Roman" w:eastAsia="Times New Roman" w:hAnsi="Times New Roman" w:cs="Times New Roman"/>
          <w:i/>
          <w:iCs/>
          <w:lang w:eastAsia="en-AU"/>
        </w:rPr>
        <w:t xml:space="preserve">implantable medical device is explicitly identified in the product name or description of the billing code for the surgical guide or </w:t>
      </w:r>
      <w:proofErr w:type="spellStart"/>
      <w:r w:rsidRPr="00ED5535">
        <w:rPr>
          <w:rFonts w:ascii="Times New Roman" w:eastAsia="Times New Roman" w:hAnsi="Times New Roman" w:cs="Times New Roman"/>
          <w:i/>
          <w:iCs/>
          <w:lang w:eastAsia="en-AU"/>
        </w:rPr>
        <w:t>biomodel</w:t>
      </w:r>
      <w:proofErr w:type="spellEnd"/>
      <w:r w:rsidRPr="00ED5535">
        <w:rPr>
          <w:rFonts w:ascii="Times New Roman" w:eastAsia="Times New Roman" w:hAnsi="Times New Roman" w:cs="Times New Roman"/>
          <w:i/>
          <w:iCs/>
          <w:lang w:eastAsia="en-AU"/>
        </w:rPr>
        <w:t xml:space="preserve"> and is used in hospital. Not limiting the above, for a claim for any implantation procedure (defined by the respective MBS items stated in the claim) for a patient, the Prescribed List reimbursement is limited to 3 or less PL benefits for any billing codes for surgical guides or </w:t>
      </w:r>
      <w:proofErr w:type="spellStart"/>
      <w:r w:rsidRPr="00ED5535">
        <w:rPr>
          <w:rFonts w:ascii="Times New Roman" w:eastAsia="Times New Roman" w:hAnsi="Times New Roman" w:cs="Times New Roman"/>
          <w:i/>
          <w:iCs/>
          <w:lang w:eastAsia="en-AU"/>
        </w:rPr>
        <w:t>biomodels</w:t>
      </w:r>
      <w:proofErr w:type="spellEnd"/>
      <w:r w:rsidRPr="00ED5535">
        <w:rPr>
          <w:rFonts w:ascii="Times New Roman" w:eastAsia="Times New Roman" w:hAnsi="Times New Roman" w:cs="Times New Roman"/>
          <w:i/>
          <w:iCs/>
          <w:lang w:eastAsia="en-AU"/>
        </w:rPr>
        <w:t xml:space="preserve">, or no more than 6 benefits if both surgical guides and </w:t>
      </w:r>
      <w:proofErr w:type="spellStart"/>
      <w:r w:rsidRPr="00ED5535">
        <w:rPr>
          <w:rFonts w:ascii="Times New Roman" w:eastAsia="Times New Roman" w:hAnsi="Times New Roman" w:cs="Times New Roman"/>
          <w:i/>
          <w:iCs/>
          <w:lang w:eastAsia="en-AU"/>
        </w:rPr>
        <w:t>biomodels</w:t>
      </w:r>
      <w:proofErr w:type="spellEnd"/>
      <w:r w:rsidRPr="00ED5535">
        <w:rPr>
          <w:rFonts w:ascii="Times New Roman" w:eastAsia="Times New Roman" w:hAnsi="Times New Roman" w:cs="Times New Roman"/>
          <w:i/>
          <w:iCs/>
          <w:lang w:eastAsia="en-AU"/>
        </w:rPr>
        <w:t xml:space="preserve"> (maximum 3 for each) </w:t>
      </w:r>
      <w:r w:rsidRPr="00ED5535">
        <w:rPr>
          <w:rFonts w:ascii="Times New Roman" w:eastAsia="Times New Roman" w:hAnsi="Times New Roman" w:cs="Times New Roman"/>
          <w:i/>
          <w:iCs/>
          <w:lang w:eastAsia="en-AU"/>
        </w:rPr>
        <w:lastRenderedPageBreak/>
        <w:t xml:space="preserve">have been used in an implantation procedure for a patient. </w:t>
      </w:r>
      <w:bookmarkStart w:id="3" w:name="_Hlk150440529"/>
      <w:r w:rsidR="000B344D" w:rsidRPr="00ED5535">
        <w:rPr>
          <w:rFonts w:ascii="Times New Roman" w:eastAsia="Times New Roman" w:hAnsi="Times New Roman" w:cs="Times New Roman"/>
          <w:i/>
          <w:iCs/>
          <w:lang w:eastAsia="en-AU"/>
        </w:rPr>
        <w:t xml:space="preserve">This restriction is not impacted by a number of devices implanted during a procedure. </w:t>
      </w:r>
      <w:bookmarkEnd w:id="3"/>
      <w:r w:rsidR="000B344D" w:rsidRPr="00ED5535">
        <w:rPr>
          <w:rFonts w:ascii="Times New Roman" w:eastAsia="Times New Roman" w:hAnsi="Times New Roman" w:cs="Times New Roman"/>
          <w:i/>
          <w:iCs/>
          <w:lang w:eastAsia="en-AU"/>
        </w:rPr>
        <w:t>The condition is taking effect on 1 February 2024.</w:t>
      </w:r>
    </w:p>
    <w:p w14:paraId="6680F397" w14:textId="5682B223" w:rsidR="00C85DF8" w:rsidRPr="00ED5535" w:rsidRDefault="00C85DF8">
      <w:pPr>
        <w:shd w:val="clear" w:color="auto" w:fill="FFFFFF"/>
        <w:spacing w:after="0" w:line="240" w:lineRule="auto"/>
        <w:jc w:val="both"/>
        <w:rPr>
          <w:rFonts w:ascii="Times New Roman" w:eastAsia="Times New Roman" w:hAnsi="Times New Roman" w:cs="Times New Roman"/>
          <w:b/>
          <w:bCs/>
          <w:lang w:eastAsia="en-AU"/>
        </w:rPr>
      </w:pPr>
      <w:r w:rsidRPr="00ED5535">
        <w:rPr>
          <w:rFonts w:ascii="Times New Roman" w:eastAsia="Times New Roman" w:hAnsi="Times New Roman" w:cs="Times New Roman"/>
          <w:b/>
          <w:bCs/>
          <w:lang w:eastAsia="en-AU"/>
        </w:rPr>
        <w:t>Authority</w:t>
      </w:r>
    </w:p>
    <w:p w14:paraId="399AFA31" w14:textId="77777777" w:rsidR="00780A67" w:rsidRPr="00ED5535" w:rsidRDefault="00780A67">
      <w:pPr>
        <w:shd w:val="clear" w:color="auto" w:fill="FFFFFF"/>
        <w:spacing w:after="0" w:line="240" w:lineRule="auto"/>
        <w:jc w:val="both"/>
        <w:rPr>
          <w:rFonts w:ascii="Times New Roman" w:eastAsia="Times New Roman" w:hAnsi="Times New Roman" w:cs="Times New Roman"/>
          <w:b/>
          <w:bCs/>
          <w:lang w:eastAsia="en-AU"/>
        </w:rPr>
      </w:pPr>
    </w:p>
    <w:p w14:paraId="4AC2EB07" w14:textId="3F926465" w:rsidR="00C85DF8" w:rsidRPr="00ED5535" w:rsidRDefault="00C85DF8">
      <w:pPr>
        <w:shd w:val="clear" w:color="auto" w:fill="FFFFFF"/>
        <w:spacing w:after="0" w:line="240" w:lineRule="auto"/>
        <w:jc w:val="both"/>
        <w:rPr>
          <w:rFonts w:ascii="Times New Roman" w:eastAsia="Times New Roman" w:hAnsi="Times New Roman" w:cs="Times New Roman"/>
          <w:lang w:eastAsia="en-AU"/>
        </w:rPr>
      </w:pPr>
      <w:r w:rsidRPr="00ED5535">
        <w:rPr>
          <w:rFonts w:ascii="Times New Roman" w:eastAsia="Times New Roman" w:hAnsi="Times New Roman" w:cs="Times New Roman"/>
          <w:lang w:eastAsia="en-AU"/>
        </w:rPr>
        <w:t xml:space="preserve">Section 333-20 of the Act provides that the Minister may make Private Health Insurance (Medical Devices and Human Tissue Products) Rules providing for matters required or permitted by Part 3-3 of the Act, or necessary or convenient in order to carry out or give effect to Part </w:t>
      </w:r>
      <w:r w:rsidR="00270379" w:rsidRPr="00ED5535">
        <w:rPr>
          <w:rFonts w:ascii="Times New Roman" w:eastAsia="Times New Roman" w:hAnsi="Times New Roman" w:cs="Times New Roman"/>
          <w:lang w:eastAsia="en-AU"/>
        </w:rPr>
        <w:t>3-3 of the Act.</w:t>
      </w:r>
    </w:p>
    <w:p w14:paraId="6E224A75" w14:textId="348F6D8E" w:rsidR="00270379" w:rsidRPr="00ED5535" w:rsidRDefault="00270379">
      <w:pPr>
        <w:shd w:val="clear" w:color="auto" w:fill="FFFFFF"/>
        <w:spacing w:after="0" w:line="240" w:lineRule="auto"/>
        <w:jc w:val="both"/>
        <w:rPr>
          <w:rFonts w:ascii="Times New Roman" w:eastAsia="Times New Roman" w:hAnsi="Times New Roman" w:cs="Times New Roman"/>
          <w:lang w:eastAsia="en-AU"/>
        </w:rPr>
      </w:pPr>
    </w:p>
    <w:p w14:paraId="00B88DB5" w14:textId="77777777" w:rsidR="00270379" w:rsidRPr="00ED5535" w:rsidRDefault="00270379" w:rsidP="00270379">
      <w:pPr>
        <w:shd w:val="clear" w:color="auto" w:fill="FFFFFF"/>
        <w:spacing w:after="0" w:line="240" w:lineRule="auto"/>
        <w:rPr>
          <w:rFonts w:ascii="Times New Roman" w:eastAsia="Times New Roman" w:hAnsi="Times New Roman" w:cs="Times New Roman"/>
          <w:lang w:eastAsia="en-AU"/>
        </w:rPr>
      </w:pPr>
      <w:r w:rsidRPr="00ED5535">
        <w:rPr>
          <w:rFonts w:ascii="Times New Roman" w:eastAsia="Times New Roman" w:hAnsi="Times New Roman" w:cs="Times New Roman"/>
          <w:lang w:eastAsia="en-AU"/>
        </w:rPr>
        <w:t xml:space="preserve">The table in subsection 72-1(2) of Part 3-3 of the Act (Table) provides for benefit requirements a complying health insurance policy that covers hospital treatment must meet. Under item 4 of the Table, there must be a benefit for the provision of a medical device or human tissue product, of a kind listed in the MDHTP Rules, in specified circumstances and under any specified conditions. The specified circumstances are that the listed item is provided in circumstances in which a </w:t>
      </w:r>
      <w:proofErr w:type="spellStart"/>
      <w:r w:rsidRPr="00ED5535">
        <w:rPr>
          <w:rFonts w:ascii="Times New Roman" w:eastAsia="Times New Roman" w:hAnsi="Times New Roman" w:cs="Times New Roman"/>
          <w:lang w:eastAsia="en-AU"/>
        </w:rPr>
        <w:t>medicare</w:t>
      </w:r>
      <w:proofErr w:type="spellEnd"/>
      <w:r w:rsidRPr="00ED5535">
        <w:rPr>
          <w:rFonts w:ascii="Times New Roman" w:eastAsia="Times New Roman" w:hAnsi="Times New Roman" w:cs="Times New Roman"/>
          <w:lang w:eastAsia="en-AU"/>
        </w:rPr>
        <w:t xml:space="preserve"> benefit is payable or in other circumstances which may be set out in the MDHTP Rules. The specified conditions are any that may be set out in the MDHTP</w:t>
      </w:r>
      <w:r w:rsidRPr="00ED5535" w:rsidDel="00CC4A45">
        <w:rPr>
          <w:rFonts w:ascii="Times New Roman" w:eastAsia="Times New Roman" w:hAnsi="Times New Roman" w:cs="Times New Roman"/>
          <w:lang w:eastAsia="en-AU"/>
        </w:rPr>
        <w:t xml:space="preserve"> </w:t>
      </w:r>
      <w:r w:rsidRPr="00ED5535">
        <w:rPr>
          <w:rFonts w:ascii="Times New Roman" w:eastAsia="Times New Roman" w:hAnsi="Times New Roman" w:cs="Times New Roman"/>
          <w:lang w:eastAsia="en-AU"/>
        </w:rPr>
        <w:t>Rules.</w:t>
      </w:r>
    </w:p>
    <w:p w14:paraId="43210ABB" w14:textId="77777777" w:rsidR="00270379" w:rsidRPr="00ED5535" w:rsidRDefault="00270379" w:rsidP="00270379">
      <w:pPr>
        <w:shd w:val="clear" w:color="auto" w:fill="FFFFFF"/>
        <w:spacing w:after="0" w:line="240" w:lineRule="auto"/>
        <w:rPr>
          <w:rFonts w:ascii="Times New Roman" w:eastAsia="Times New Roman" w:hAnsi="Times New Roman" w:cs="Times New Roman"/>
          <w:lang w:eastAsia="en-AU"/>
        </w:rPr>
      </w:pPr>
      <w:r w:rsidRPr="00ED5535">
        <w:rPr>
          <w:rFonts w:ascii="Times New Roman" w:eastAsia="Times New Roman" w:hAnsi="Times New Roman" w:cs="Times New Roman"/>
          <w:lang w:eastAsia="en-AU"/>
        </w:rPr>
        <w:t xml:space="preserve"> </w:t>
      </w:r>
    </w:p>
    <w:p w14:paraId="65A587B1" w14:textId="77777777" w:rsidR="00270379" w:rsidRPr="00ED5535" w:rsidRDefault="00270379" w:rsidP="00270379">
      <w:pPr>
        <w:shd w:val="clear" w:color="auto" w:fill="FFFFFF"/>
        <w:spacing w:after="0" w:line="240" w:lineRule="auto"/>
        <w:rPr>
          <w:rFonts w:ascii="Times New Roman" w:eastAsia="Times New Roman" w:hAnsi="Times New Roman" w:cs="Times New Roman"/>
          <w:lang w:eastAsia="en-AU"/>
        </w:rPr>
      </w:pPr>
      <w:r w:rsidRPr="00ED5535">
        <w:rPr>
          <w:rFonts w:ascii="Times New Roman" w:eastAsia="Times New Roman" w:hAnsi="Times New Roman" w:cs="Times New Roman"/>
          <w:lang w:eastAsia="en-AU"/>
        </w:rPr>
        <w:t>If the complying health insurance policy also covers hospital-substitute treatment then under item 4 of the Table, the same requirements apply.</w:t>
      </w:r>
    </w:p>
    <w:p w14:paraId="0244BF33" w14:textId="77777777" w:rsidR="0021433B" w:rsidRPr="00ED5535" w:rsidRDefault="0021433B">
      <w:pPr>
        <w:shd w:val="clear" w:color="auto" w:fill="FFFFFF"/>
        <w:spacing w:after="0" w:line="240" w:lineRule="auto"/>
        <w:rPr>
          <w:rFonts w:ascii="Times New Roman" w:eastAsia="Times New Roman" w:hAnsi="Times New Roman" w:cs="Times New Roman"/>
          <w:lang w:eastAsia="en-AU"/>
        </w:rPr>
      </w:pPr>
    </w:p>
    <w:p w14:paraId="01D0B40D" w14:textId="097D0D3C" w:rsidR="00270379" w:rsidRPr="00ED5535" w:rsidRDefault="00270379" w:rsidP="00270379">
      <w:pPr>
        <w:shd w:val="clear" w:color="auto" w:fill="FFFFFF"/>
        <w:spacing w:after="0" w:line="240" w:lineRule="auto"/>
        <w:rPr>
          <w:rFonts w:ascii="Tms Rmn" w:eastAsia="Times New Roman" w:hAnsi="Tms Rmn" w:cs="Calibri"/>
          <w:sz w:val="24"/>
          <w:szCs w:val="24"/>
          <w:lang w:eastAsia="en-AU"/>
        </w:rPr>
      </w:pPr>
      <w:r w:rsidRPr="00ED5535">
        <w:rPr>
          <w:rFonts w:ascii="Times New Roman" w:eastAsia="Times New Roman" w:hAnsi="Times New Roman" w:cs="Times New Roman"/>
          <w:b/>
          <w:bCs/>
          <w:lang w:eastAsia="en-AU"/>
        </w:rPr>
        <w:t>Reliance on subsection 33(3) of the </w:t>
      </w:r>
      <w:r w:rsidRPr="00ED5535">
        <w:rPr>
          <w:rFonts w:ascii="Times New Roman" w:eastAsia="Times New Roman" w:hAnsi="Times New Roman" w:cs="Times New Roman"/>
          <w:b/>
          <w:bCs/>
          <w:i/>
          <w:iCs/>
          <w:lang w:eastAsia="en-AU"/>
        </w:rPr>
        <w:t>Acts Interpretation Act 1901</w:t>
      </w:r>
      <w:r w:rsidRPr="00ED5535">
        <w:rPr>
          <w:rFonts w:ascii="Tms Rmn" w:eastAsia="Times New Roman" w:hAnsi="Tms Rmn" w:cs="Calibri"/>
          <w:sz w:val="24"/>
          <w:szCs w:val="24"/>
          <w:lang w:eastAsia="en-AU"/>
        </w:rPr>
        <w:t> </w:t>
      </w:r>
    </w:p>
    <w:p w14:paraId="1D716BB3" w14:textId="77777777" w:rsidR="00780A67" w:rsidRPr="00ED5535" w:rsidRDefault="00780A67" w:rsidP="00270379">
      <w:pPr>
        <w:shd w:val="clear" w:color="auto" w:fill="FFFFFF"/>
        <w:spacing w:after="0" w:line="240" w:lineRule="auto"/>
        <w:rPr>
          <w:rFonts w:ascii="Calibri" w:eastAsia="Times New Roman" w:hAnsi="Calibri" w:cs="Calibri"/>
          <w:lang w:eastAsia="en-AU"/>
        </w:rPr>
      </w:pPr>
    </w:p>
    <w:p w14:paraId="3E9817D6" w14:textId="79112686" w:rsidR="00270379" w:rsidRPr="00ED5535" w:rsidRDefault="00126490" w:rsidP="00270379">
      <w:pPr>
        <w:shd w:val="clear" w:color="auto" w:fill="FFFFFF"/>
        <w:spacing w:after="0" w:line="240" w:lineRule="auto"/>
        <w:rPr>
          <w:rFonts w:ascii="Calibri" w:eastAsia="Times New Roman" w:hAnsi="Calibri" w:cs="Calibri"/>
          <w:lang w:eastAsia="en-AU"/>
        </w:rPr>
      </w:pPr>
      <w:r w:rsidRPr="00ED5535">
        <w:rPr>
          <w:rFonts w:ascii="Times New Roman" w:eastAsia="Times New Roman" w:hAnsi="Times New Roman" w:cs="Times New Roman"/>
          <w:lang w:eastAsia="en-AU"/>
        </w:rPr>
        <w:t>S</w:t>
      </w:r>
      <w:r w:rsidR="00270379" w:rsidRPr="00ED5535">
        <w:rPr>
          <w:rFonts w:ascii="Times New Roman" w:eastAsia="Times New Roman" w:hAnsi="Times New Roman" w:cs="Times New Roman"/>
          <w:lang w:eastAsia="en-AU"/>
        </w:rPr>
        <w:t>ubsection 33(3) of the </w:t>
      </w:r>
      <w:r w:rsidR="00270379" w:rsidRPr="00ED5535">
        <w:rPr>
          <w:rFonts w:ascii="Times New Roman" w:eastAsia="Times New Roman" w:hAnsi="Times New Roman" w:cs="Times New Roman"/>
          <w:i/>
          <w:iCs/>
          <w:lang w:eastAsia="en-AU"/>
        </w:rPr>
        <w:t>Acts Interpretation Act 1901</w:t>
      </w:r>
      <w:r w:rsidR="00270379" w:rsidRPr="00ED5535">
        <w:rPr>
          <w:rFonts w:ascii="Times New Roman" w:eastAsia="Times New Roman" w:hAnsi="Times New Roman" w:cs="Times New Roman"/>
          <w:lang w:eastAsia="en-AU"/>
        </w:rPr>
        <w:t>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6980A96" w14:textId="77777777" w:rsidR="00270379" w:rsidRPr="00ED5535" w:rsidRDefault="00270379" w:rsidP="007B0091">
      <w:pPr>
        <w:shd w:val="clear" w:color="auto" w:fill="FFFFFF"/>
        <w:spacing w:after="0" w:line="240" w:lineRule="auto"/>
        <w:rPr>
          <w:rFonts w:ascii="Times New Roman" w:eastAsia="Times New Roman" w:hAnsi="Times New Roman" w:cs="Times New Roman"/>
          <w:lang w:eastAsia="en-AU"/>
        </w:rPr>
      </w:pPr>
    </w:p>
    <w:p w14:paraId="5C6D22F2" w14:textId="233D6EA5" w:rsidR="001E485A" w:rsidRPr="00ED5535" w:rsidRDefault="001E485A" w:rsidP="001E485A">
      <w:pPr>
        <w:shd w:val="clear" w:color="auto" w:fill="FFFFFF"/>
        <w:spacing w:after="0" w:line="240" w:lineRule="auto"/>
        <w:rPr>
          <w:rFonts w:ascii="Times New Roman" w:eastAsia="Times New Roman" w:hAnsi="Times New Roman" w:cs="Times New Roman"/>
          <w:b/>
          <w:bCs/>
          <w:lang w:eastAsia="en-AU"/>
        </w:rPr>
      </w:pPr>
      <w:r w:rsidRPr="00ED5535">
        <w:rPr>
          <w:rFonts w:ascii="Times New Roman" w:eastAsia="Times New Roman" w:hAnsi="Times New Roman" w:cs="Times New Roman"/>
          <w:b/>
          <w:bCs/>
          <w:lang w:eastAsia="en-AU"/>
        </w:rPr>
        <w:t>Commencement </w:t>
      </w:r>
    </w:p>
    <w:p w14:paraId="06CA87C3" w14:textId="77777777" w:rsidR="00780A67" w:rsidRPr="00ED5535" w:rsidRDefault="00780A67" w:rsidP="001E485A">
      <w:pPr>
        <w:shd w:val="clear" w:color="auto" w:fill="FFFFFF"/>
        <w:spacing w:after="0" w:line="240" w:lineRule="auto"/>
        <w:rPr>
          <w:rFonts w:ascii="Tms Rmn" w:eastAsia="Times New Roman" w:hAnsi="Tms Rmn" w:cs="Times New Roman"/>
          <w:sz w:val="24"/>
          <w:szCs w:val="24"/>
          <w:lang w:eastAsia="en-AU"/>
        </w:rPr>
      </w:pPr>
    </w:p>
    <w:p w14:paraId="724E164A" w14:textId="71BB0A68" w:rsidR="001E485A" w:rsidRPr="00ED5535" w:rsidRDefault="001E485A" w:rsidP="001E485A">
      <w:pPr>
        <w:shd w:val="clear" w:color="auto" w:fill="FFFFFF"/>
        <w:spacing w:after="0" w:line="240" w:lineRule="auto"/>
        <w:rPr>
          <w:rFonts w:ascii="Times New Roman" w:eastAsia="Times New Roman" w:hAnsi="Times New Roman" w:cs="Times New Roman"/>
          <w:lang w:eastAsia="en-AU"/>
        </w:rPr>
      </w:pPr>
      <w:r w:rsidRPr="00ED5535">
        <w:rPr>
          <w:rFonts w:ascii="Times New Roman" w:eastAsia="Times New Roman" w:hAnsi="Times New Roman" w:cs="Times New Roman"/>
          <w:lang w:eastAsia="en-AU"/>
        </w:rPr>
        <w:t xml:space="preserve">The MDHTP </w:t>
      </w:r>
      <w:r w:rsidR="007E3357" w:rsidRPr="00ED5535">
        <w:rPr>
          <w:rFonts w:ascii="Times New Roman" w:eastAsia="Times New Roman" w:hAnsi="Times New Roman" w:cs="Times New Roman"/>
          <w:lang w:eastAsia="en-AU"/>
        </w:rPr>
        <w:t xml:space="preserve">Amendment </w:t>
      </w:r>
      <w:r w:rsidRPr="00ED5535">
        <w:rPr>
          <w:rFonts w:ascii="Times New Roman" w:eastAsia="Times New Roman" w:hAnsi="Times New Roman" w:cs="Times New Roman"/>
          <w:lang w:eastAsia="en-AU"/>
        </w:rPr>
        <w:t xml:space="preserve">Rules commence on </w:t>
      </w:r>
      <w:r w:rsidR="007E3357" w:rsidRPr="00ED5535">
        <w:rPr>
          <w:rFonts w:ascii="Times New Roman" w:eastAsia="Times New Roman" w:hAnsi="Times New Roman" w:cs="Times New Roman"/>
          <w:lang w:eastAsia="en-AU"/>
        </w:rPr>
        <w:t xml:space="preserve">the day after the instrument is registered </w:t>
      </w:r>
      <w:r w:rsidR="00F85D5A" w:rsidRPr="00ED5535">
        <w:rPr>
          <w:rFonts w:ascii="Times New Roman" w:eastAsia="Times New Roman" w:hAnsi="Times New Roman" w:cs="Times New Roman"/>
          <w:lang w:eastAsia="en-AU"/>
        </w:rPr>
        <w:t xml:space="preserve">on </w:t>
      </w:r>
      <w:r w:rsidR="007E3357" w:rsidRPr="00ED5535">
        <w:rPr>
          <w:rFonts w:ascii="Times New Roman" w:eastAsia="Times New Roman" w:hAnsi="Times New Roman" w:cs="Times New Roman"/>
          <w:lang w:eastAsia="en-AU"/>
        </w:rPr>
        <w:t>the Federal Register of Legislation.</w:t>
      </w:r>
    </w:p>
    <w:p w14:paraId="21AACCAC" w14:textId="307AB13C" w:rsidR="007E3357" w:rsidRPr="00ED5535" w:rsidRDefault="007E3357" w:rsidP="001E485A">
      <w:pPr>
        <w:shd w:val="clear" w:color="auto" w:fill="FFFFFF"/>
        <w:spacing w:after="0" w:line="240" w:lineRule="auto"/>
        <w:rPr>
          <w:rFonts w:ascii="Times New Roman" w:eastAsia="Times New Roman" w:hAnsi="Times New Roman" w:cs="Times New Roman"/>
          <w:lang w:eastAsia="en-AU"/>
        </w:rPr>
      </w:pPr>
    </w:p>
    <w:bookmarkEnd w:id="1"/>
    <w:p w14:paraId="4C4D5222" w14:textId="77777777" w:rsidR="00E43F49" w:rsidRPr="00ED5535" w:rsidRDefault="00E43F49">
      <w:pPr>
        <w:shd w:val="clear" w:color="auto" w:fill="FFFFFF"/>
        <w:spacing w:after="0" w:line="240" w:lineRule="auto"/>
        <w:rPr>
          <w:rFonts w:ascii="Tms Rmn" w:eastAsia="Times New Roman" w:hAnsi="Tms Rmn" w:cs="Times New Roman"/>
          <w:sz w:val="24"/>
          <w:szCs w:val="24"/>
          <w:lang w:eastAsia="en-AU"/>
        </w:rPr>
      </w:pPr>
      <w:r w:rsidRPr="00ED5535">
        <w:rPr>
          <w:rFonts w:ascii="Times New Roman" w:eastAsia="Times New Roman" w:hAnsi="Times New Roman" w:cs="Times New Roman"/>
          <w:b/>
          <w:bCs/>
          <w:lang w:eastAsia="en-AU"/>
        </w:rPr>
        <w:t>Consultation</w:t>
      </w:r>
    </w:p>
    <w:p w14:paraId="4D54B3B9" w14:textId="77777777" w:rsidR="00E43F49" w:rsidRPr="00ED5535" w:rsidRDefault="00E43F49">
      <w:pPr>
        <w:shd w:val="clear" w:color="auto" w:fill="FFFFFF"/>
        <w:spacing w:after="0" w:line="240" w:lineRule="auto"/>
        <w:rPr>
          <w:rFonts w:ascii="Tms Rmn" w:eastAsia="Times New Roman" w:hAnsi="Tms Rmn" w:cs="Times New Roman"/>
          <w:sz w:val="24"/>
          <w:szCs w:val="24"/>
          <w:lang w:eastAsia="en-AU"/>
        </w:rPr>
      </w:pPr>
      <w:r w:rsidRPr="00ED5535">
        <w:rPr>
          <w:rFonts w:ascii="Times New Roman" w:eastAsia="Times New Roman" w:hAnsi="Times New Roman" w:cs="Times New Roman"/>
          <w:b/>
          <w:bCs/>
          <w:lang w:eastAsia="en-AU"/>
        </w:rPr>
        <w:t> </w:t>
      </w:r>
    </w:p>
    <w:p w14:paraId="548C928B" w14:textId="6A111747" w:rsidR="00B31BCD" w:rsidRPr="00ED5535" w:rsidRDefault="00DC4197" w:rsidP="003E1E93">
      <w:pPr>
        <w:shd w:val="clear" w:color="auto" w:fill="FFFFFF"/>
        <w:spacing w:after="0" w:line="240" w:lineRule="auto"/>
        <w:jc w:val="both"/>
        <w:rPr>
          <w:rFonts w:ascii="Times New Roman" w:eastAsia="Times New Roman" w:hAnsi="Times New Roman" w:cs="Times New Roman"/>
          <w:lang w:eastAsia="en-AU"/>
        </w:rPr>
      </w:pPr>
      <w:r w:rsidRPr="00ED5535">
        <w:rPr>
          <w:rFonts w:ascii="Times New Roman" w:eastAsia="Times New Roman" w:hAnsi="Times New Roman" w:cs="Times New Roman"/>
          <w:lang w:eastAsia="en-AU"/>
        </w:rPr>
        <w:t xml:space="preserve">In making the MDHTP Amendment Rules, the </w:t>
      </w:r>
      <w:r w:rsidR="00780A67" w:rsidRPr="00ED5535">
        <w:rPr>
          <w:rFonts w:ascii="Times New Roman" w:eastAsia="Times New Roman" w:hAnsi="Times New Roman" w:cs="Times New Roman"/>
          <w:lang w:eastAsia="en-AU"/>
        </w:rPr>
        <w:t>rule</w:t>
      </w:r>
      <w:r w:rsidR="0089231C" w:rsidRPr="00ED5535">
        <w:rPr>
          <w:rFonts w:ascii="Times New Roman" w:eastAsia="Times New Roman" w:hAnsi="Times New Roman" w:cs="Times New Roman"/>
          <w:lang w:eastAsia="en-AU"/>
        </w:rPr>
        <w:t>-</w:t>
      </w:r>
      <w:r w:rsidR="00780A67" w:rsidRPr="00ED5535">
        <w:rPr>
          <w:rFonts w:ascii="Times New Roman" w:eastAsia="Times New Roman" w:hAnsi="Times New Roman" w:cs="Times New Roman"/>
          <w:lang w:eastAsia="en-AU"/>
        </w:rPr>
        <w:t xml:space="preserve">maker had regard to feedback from stakeholders, including hospitals, private health insurers and medical devices sponsors </w:t>
      </w:r>
      <w:r w:rsidR="00DE0352" w:rsidRPr="00ED5535">
        <w:rPr>
          <w:rFonts w:ascii="Times New Roman" w:eastAsia="Times New Roman" w:hAnsi="Times New Roman" w:cs="Times New Roman"/>
          <w:lang w:eastAsia="en-AU"/>
        </w:rPr>
        <w:t>on</w:t>
      </w:r>
      <w:r w:rsidR="00780A67" w:rsidRPr="00ED5535">
        <w:rPr>
          <w:rFonts w:ascii="Times New Roman" w:eastAsia="Times New Roman" w:hAnsi="Times New Roman" w:cs="Times New Roman"/>
          <w:lang w:eastAsia="en-AU"/>
        </w:rPr>
        <w:t xml:space="preserve"> the condition to be applied to surgical guides and </w:t>
      </w:r>
      <w:proofErr w:type="spellStart"/>
      <w:r w:rsidR="00780A67" w:rsidRPr="00ED5535">
        <w:rPr>
          <w:rFonts w:ascii="Times New Roman" w:eastAsia="Times New Roman" w:hAnsi="Times New Roman" w:cs="Times New Roman"/>
          <w:lang w:eastAsia="en-AU"/>
        </w:rPr>
        <w:t>biomodels</w:t>
      </w:r>
      <w:proofErr w:type="spellEnd"/>
      <w:r w:rsidR="00780A67" w:rsidRPr="00ED5535">
        <w:rPr>
          <w:rFonts w:ascii="Times New Roman" w:eastAsia="Times New Roman" w:hAnsi="Times New Roman" w:cs="Times New Roman"/>
          <w:lang w:eastAsia="en-AU"/>
        </w:rPr>
        <w:t>, and advice from the sponsor</w:t>
      </w:r>
      <w:r w:rsidR="006448F3" w:rsidRPr="00ED5535">
        <w:rPr>
          <w:rFonts w:ascii="Times New Roman" w:eastAsia="Times New Roman" w:hAnsi="Times New Roman" w:cs="Times New Roman"/>
          <w:lang w:eastAsia="en-AU"/>
        </w:rPr>
        <w:t>s</w:t>
      </w:r>
      <w:r w:rsidR="00780A67" w:rsidRPr="00ED5535">
        <w:rPr>
          <w:rFonts w:ascii="Times New Roman" w:eastAsia="Times New Roman" w:hAnsi="Times New Roman" w:cs="Times New Roman"/>
          <w:lang w:eastAsia="en-AU"/>
        </w:rPr>
        <w:t xml:space="preserve"> of the billing code</w:t>
      </w:r>
      <w:r w:rsidR="006448F3" w:rsidRPr="00ED5535">
        <w:rPr>
          <w:rFonts w:ascii="Times New Roman" w:eastAsia="Times New Roman" w:hAnsi="Times New Roman" w:cs="Times New Roman"/>
          <w:lang w:eastAsia="en-AU"/>
        </w:rPr>
        <w:t>s</w:t>
      </w:r>
      <w:r w:rsidR="00780A67" w:rsidRPr="00ED5535">
        <w:rPr>
          <w:rFonts w:ascii="Times New Roman" w:eastAsia="Times New Roman" w:hAnsi="Times New Roman" w:cs="Times New Roman"/>
          <w:lang w:eastAsia="en-AU"/>
        </w:rPr>
        <w:t xml:space="preserve"> </w:t>
      </w:r>
      <w:r w:rsidR="00DE0352" w:rsidRPr="00ED5535">
        <w:rPr>
          <w:rFonts w:ascii="Times New Roman" w:eastAsia="Times New Roman" w:hAnsi="Times New Roman" w:cs="Times New Roman"/>
          <w:lang w:eastAsia="en-AU"/>
        </w:rPr>
        <w:t>regarding</w:t>
      </w:r>
      <w:r w:rsidR="00780A67" w:rsidRPr="00ED5535">
        <w:rPr>
          <w:rFonts w:ascii="Times New Roman" w:eastAsia="Times New Roman" w:hAnsi="Times New Roman" w:cs="Times New Roman"/>
          <w:lang w:eastAsia="en-AU"/>
        </w:rPr>
        <w:t xml:space="preserve"> the incorrect benefit</w:t>
      </w:r>
      <w:r w:rsidR="006448F3" w:rsidRPr="00ED5535">
        <w:rPr>
          <w:rFonts w:ascii="Times New Roman" w:eastAsia="Times New Roman" w:hAnsi="Times New Roman" w:cs="Times New Roman"/>
          <w:lang w:eastAsia="en-AU"/>
        </w:rPr>
        <w:t>s</w:t>
      </w:r>
      <w:r w:rsidR="00780A67" w:rsidRPr="00ED5535">
        <w:rPr>
          <w:rFonts w:ascii="Times New Roman" w:eastAsia="Times New Roman" w:hAnsi="Times New Roman" w:cs="Times New Roman"/>
          <w:lang w:eastAsia="en-AU"/>
        </w:rPr>
        <w:t>.</w:t>
      </w:r>
    </w:p>
    <w:p w14:paraId="7B5869BB" w14:textId="77777777" w:rsidR="00780A67" w:rsidRPr="00ED5535" w:rsidRDefault="00780A67" w:rsidP="003E1E93">
      <w:pPr>
        <w:shd w:val="clear" w:color="auto" w:fill="FFFFFF"/>
        <w:spacing w:after="0" w:line="240" w:lineRule="auto"/>
        <w:jc w:val="both"/>
        <w:rPr>
          <w:rFonts w:ascii="Times New Roman" w:eastAsia="Times New Roman" w:hAnsi="Times New Roman" w:cs="Times New Roman"/>
          <w:lang w:eastAsia="en-AU"/>
        </w:rPr>
      </w:pPr>
    </w:p>
    <w:p w14:paraId="2C67FF14" w14:textId="77777777" w:rsidR="00FE0789" w:rsidRPr="00ED5535" w:rsidRDefault="00FE0789">
      <w:pPr>
        <w:shd w:val="clear" w:color="auto" w:fill="FFFFFF"/>
        <w:spacing w:after="0" w:line="240" w:lineRule="auto"/>
        <w:rPr>
          <w:rFonts w:ascii="Times New Roman" w:eastAsia="Times New Roman" w:hAnsi="Times New Roman" w:cs="Times New Roman"/>
          <w:b/>
          <w:bCs/>
          <w:lang w:eastAsia="en-AU"/>
        </w:rPr>
      </w:pPr>
      <w:r w:rsidRPr="00ED5535">
        <w:rPr>
          <w:rFonts w:ascii="Times New Roman" w:eastAsia="Times New Roman" w:hAnsi="Times New Roman" w:cs="Times New Roman"/>
          <w:b/>
          <w:bCs/>
          <w:lang w:eastAsia="en-AU"/>
        </w:rPr>
        <w:t>General</w:t>
      </w:r>
    </w:p>
    <w:p w14:paraId="7C221783" w14:textId="77777777" w:rsidR="00FE0789" w:rsidRPr="00ED5535" w:rsidRDefault="00FE0789" w:rsidP="00FE0789">
      <w:pPr>
        <w:shd w:val="clear" w:color="auto" w:fill="FFFFFF"/>
        <w:spacing w:after="0" w:line="240" w:lineRule="auto"/>
        <w:rPr>
          <w:rFonts w:ascii="Times New Roman" w:eastAsia="Times New Roman" w:hAnsi="Times New Roman" w:cs="Times New Roman"/>
          <w:lang w:eastAsia="en-AU"/>
        </w:rPr>
      </w:pPr>
    </w:p>
    <w:p w14:paraId="3D90E63D" w14:textId="6115B59A" w:rsidR="00FE0789" w:rsidRPr="00ED5535" w:rsidRDefault="00FE0789" w:rsidP="00FE0789">
      <w:pPr>
        <w:shd w:val="clear" w:color="auto" w:fill="FFFFFF"/>
        <w:spacing w:after="0" w:line="240" w:lineRule="auto"/>
        <w:rPr>
          <w:rFonts w:ascii="Times New Roman" w:eastAsia="Times New Roman" w:hAnsi="Times New Roman" w:cs="Times New Roman"/>
          <w:lang w:eastAsia="en-AU"/>
        </w:rPr>
      </w:pPr>
      <w:r w:rsidRPr="00ED5535">
        <w:rPr>
          <w:rFonts w:ascii="Times New Roman" w:eastAsia="Times New Roman" w:hAnsi="Times New Roman" w:cs="Times New Roman"/>
          <w:lang w:eastAsia="en-AU"/>
        </w:rPr>
        <w:t xml:space="preserve">The MDHTP </w:t>
      </w:r>
      <w:r w:rsidR="00780A67" w:rsidRPr="00ED5535">
        <w:rPr>
          <w:rFonts w:ascii="Times New Roman" w:eastAsia="Times New Roman" w:hAnsi="Times New Roman" w:cs="Times New Roman"/>
          <w:lang w:eastAsia="en-AU"/>
        </w:rPr>
        <w:t xml:space="preserve">Amendment </w:t>
      </w:r>
      <w:r w:rsidRPr="00ED5535">
        <w:rPr>
          <w:rFonts w:ascii="Times New Roman" w:eastAsia="Times New Roman" w:hAnsi="Times New Roman" w:cs="Times New Roman"/>
          <w:lang w:eastAsia="en-AU"/>
        </w:rPr>
        <w:t xml:space="preserve">Rules are a legislative instrument for the purposes of the </w:t>
      </w:r>
      <w:r w:rsidRPr="00ED5535">
        <w:rPr>
          <w:rFonts w:ascii="Times New Roman" w:eastAsia="Times New Roman" w:hAnsi="Times New Roman" w:cs="Times New Roman"/>
          <w:i/>
          <w:iCs/>
          <w:lang w:eastAsia="en-AU"/>
        </w:rPr>
        <w:t>Legislation Act</w:t>
      </w:r>
      <w:r w:rsidR="005A1698" w:rsidRPr="00ED5535">
        <w:rPr>
          <w:rFonts w:ascii="Times New Roman" w:eastAsia="Times New Roman" w:hAnsi="Times New Roman" w:cs="Times New Roman"/>
          <w:i/>
          <w:iCs/>
          <w:lang w:eastAsia="en-AU"/>
        </w:rPr>
        <w:t> </w:t>
      </w:r>
      <w:r w:rsidRPr="00ED5535">
        <w:rPr>
          <w:rFonts w:ascii="Times New Roman" w:eastAsia="Times New Roman" w:hAnsi="Times New Roman" w:cs="Times New Roman"/>
          <w:i/>
          <w:iCs/>
          <w:lang w:eastAsia="en-AU"/>
        </w:rPr>
        <w:t>2003</w:t>
      </w:r>
      <w:r w:rsidRPr="00ED5535">
        <w:rPr>
          <w:rFonts w:ascii="Times New Roman" w:eastAsia="Times New Roman" w:hAnsi="Times New Roman" w:cs="Times New Roman"/>
          <w:lang w:eastAsia="en-AU"/>
        </w:rPr>
        <w:t xml:space="preserve">. </w:t>
      </w:r>
    </w:p>
    <w:p w14:paraId="7ADD7E0F" w14:textId="77777777" w:rsidR="00FE0789" w:rsidRPr="00ED5535" w:rsidRDefault="00FE0789" w:rsidP="00FE0789">
      <w:pPr>
        <w:shd w:val="clear" w:color="auto" w:fill="FFFFFF"/>
        <w:spacing w:after="0" w:line="240" w:lineRule="auto"/>
        <w:rPr>
          <w:rFonts w:ascii="Times New Roman" w:eastAsia="Times New Roman" w:hAnsi="Times New Roman" w:cs="Times New Roman"/>
          <w:lang w:eastAsia="en-AU"/>
        </w:rPr>
      </w:pPr>
      <w:r w:rsidRPr="00ED5535">
        <w:rPr>
          <w:rFonts w:ascii="Times New Roman" w:eastAsia="Times New Roman" w:hAnsi="Times New Roman" w:cs="Times New Roman"/>
          <w:lang w:eastAsia="en-AU"/>
        </w:rPr>
        <w:t xml:space="preserve"> </w:t>
      </w:r>
    </w:p>
    <w:p w14:paraId="1E3A05BB" w14:textId="70CF6947" w:rsidR="00FE0789" w:rsidRPr="00ED5535" w:rsidRDefault="00FE0789" w:rsidP="00FE0789">
      <w:pPr>
        <w:shd w:val="clear" w:color="auto" w:fill="FFFFFF"/>
        <w:spacing w:after="0" w:line="240" w:lineRule="auto"/>
        <w:rPr>
          <w:rFonts w:ascii="Times New Roman" w:eastAsia="Times New Roman" w:hAnsi="Times New Roman" w:cs="Times New Roman"/>
          <w:lang w:eastAsia="en-AU"/>
        </w:rPr>
      </w:pPr>
      <w:r w:rsidRPr="00ED5535">
        <w:rPr>
          <w:rFonts w:ascii="Times New Roman" w:eastAsia="Times New Roman" w:hAnsi="Times New Roman" w:cs="Times New Roman"/>
          <w:lang w:eastAsia="en-AU"/>
        </w:rPr>
        <w:t xml:space="preserve">Details of the MDHTP </w:t>
      </w:r>
      <w:r w:rsidR="00780A67" w:rsidRPr="00ED5535">
        <w:rPr>
          <w:rFonts w:ascii="Times New Roman" w:eastAsia="Times New Roman" w:hAnsi="Times New Roman" w:cs="Times New Roman"/>
          <w:lang w:eastAsia="en-AU"/>
        </w:rPr>
        <w:t xml:space="preserve">Amendment </w:t>
      </w:r>
      <w:r w:rsidRPr="00ED5535">
        <w:rPr>
          <w:rFonts w:ascii="Times New Roman" w:eastAsia="Times New Roman" w:hAnsi="Times New Roman" w:cs="Times New Roman"/>
          <w:lang w:eastAsia="en-AU"/>
        </w:rPr>
        <w:t xml:space="preserve">Rules are set out in </w:t>
      </w:r>
      <w:r w:rsidRPr="00ED5535">
        <w:rPr>
          <w:rFonts w:ascii="Times New Roman" w:eastAsia="Times New Roman" w:hAnsi="Times New Roman" w:cs="Times New Roman"/>
          <w:b/>
          <w:bCs/>
          <w:lang w:eastAsia="en-AU"/>
        </w:rPr>
        <w:t>Attachment A.</w:t>
      </w:r>
      <w:r w:rsidRPr="00ED5535">
        <w:rPr>
          <w:rFonts w:ascii="Times New Roman" w:eastAsia="Times New Roman" w:hAnsi="Times New Roman" w:cs="Times New Roman"/>
          <w:lang w:eastAsia="en-AU"/>
        </w:rPr>
        <w:t xml:space="preserve"> </w:t>
      </w:r>
    </w:p>
    <w:p w14:paraId="32FA8936" w14:textId="77777777" w:rsidR="00FE0789" w:rsidRPr="00ED5535" w:rsidRDefault="00FE0789" w:rsidP="00FE0789">
      <w:pPr>
        <w:shd w:val="clear" w:color="auto" w:fill="FFFFFF"/>
        <w:spacing w:after="0" w:line="240" w:lineRule="auto"/>
        <w:rPr>
          <w:rFonts w:ascii="Times New Roman" w:eastAsia="Times New Roman" w:hAnsi="Times New Roman" w:cs="Times New Roman"/>
          <w:lang w:eastAsia="en-AU"/>
        </w:rPr>
      </w:pPr>
    </w:p>
    <w:p w14:paraId="5B5D6C9E" w14:textId="23A27744" w:rsidR="00C44989" w:rsidRPr="00ED5535" w:rsidRDefault="00FE0789" w:rsidP="0049309A">
      <w:pPr>
        <w:shd w:val="clear" w:color="auto" w:fill="FFFFFF"/>
        <w:spacing w:after="0" w:line="240" w:lineRule="auto"/>
        <w:rPr>
          <w:rFonts w:ascii="Times New Roman" w:eastAsia="Times New Roman" w:hAnsi="Times New Roman" w:cs="Times New Roman"/>
          <w:sz w:val="24"/>
          <w:szCs w:val="24"/>
          <w:lang w:eastAsia="en-AU"/>
        </w:rPr>
      </w:pPr>
      <w:r w:rsidRPr="00ED5535">
        <w:rPr>
          <w:rFonts w:ascii="Times New Roman" w:eastAsia="Times New Roman" w:hAnsi="Times New Roman" w:cs="Times New Roman"/>
          <w:lang w:eastAsia="en-AU"/>
        </w:rPr>
        <w:t xml:space="preserve">This instrument is compatible with the human rights and freedoms recognised or declared under section 3 of the Human Rights (Parliamentary Scrutiny) Act 2011. A full statement of compatibility is set out in </w:t>
      </w:r>
      <w:r w:rsidRPr="00ED5535">
        <w:rPr>
          <w:rFonts w:ascii="Times New Roman" w:eastAsia="Times New Roman" w:hAnsi="Times New Roman" w:cs="Times New Roman"/>
          <w:b/>
          <w:bCs/>
          <w:lang w:eastAsia="en-AU"/>
        </w:rPr>
        <w:t>Attachment B</w:t>
      </w:r>
      <w:r w:rsidRPr="00ED5535">
        <w:rPr>
          <w:rFonts w:ascii="Times New Roman" w:eastAsia="Times New Roman" w:hAnsi="Times New Roman" w:cs="Times New Roman"/>
          <w:lang w:eastAsia="en-AU"/>
        </w:rPr>
        <w:t>.</w:t>
      </w:r>
      <w:r w:rsidR="00E43F49" w:rsidRPr="00ED5535">
        <w:rPr>
          <w:rFonts w:ascii="Times New Roman" w:eastAsia="Times New Roman" w:hAnsi="Times New Roman" w:cs="Times New Roman"/>
          <w:lang w:eastAsia="en-AU"/>
        </w:rPr>
        <w:t> </w:t>
      </w:r>
      <w:r w:rsidR="00C44989" w:rsidRPr="00ED5535">
        <w:rPr>
          <w:rFonts w:ascii="Times New Roman" w:eastAsia="Times New Roman" w:hAnsi="Times New Roman" w:cs="Times New Roman"/>
          <w:sz w:val="24"/>
          <w:szCs w:val="24"/>
          <w:lang w:eastAsia="en-AU"/>
        </w:rPr>
        <w:br w:type="page"/>
      </w:r>
    </w:p>
    <w:p w14:paraId="4281258A" w14:textId="07211205" w:rsidR="00E43F49" w:rsidRPr="00ED5535" w:rsidRDefault="00E43F49" w:rsidP="00E43F49">
      <w:pPr>
        <w:shd w:val="clear" w:color="auto" w:fill="FFFFFF"/>
        <w:spacing w:after="0" w:line="240" w:lineRule="auto"/>
        <w:jc w:val="right"/>
        <w:rPr>
          <w:rFonts w:ascii="Times New Roman" w:eastAsia="Times New Roman" w:hAnsi="Times New Roman" w:cs="Times New Roman"/>
          <w:b/>
          <w:bCs/>
          <w:sz w:val="24"/>
          <w:szCs w:val="24"/>
          <w:lang w:eastAsia="en-AU"/>
        </w:rPr>
      </w:pPr>
      <w:r w:rsidRPr="00ED5535">
        <w:rPr>
          <w:rFonts w:ascii="Times New Roman" w:eastAsia="Times New Roman" w:hAnsi="Times New Roman" w:cs="Times New Roman"/>
          <w:b/>
          <w:bCs/>
          <w:lang w:eastAsia="en-AU"/>
        </w:rPr>
        <w:lastRenderedPageBreak/>
        <w:t>ATTACHMENT</w:t>
      </w:r>
      <w:r w:rsidR="00BE271E" w:rsidRPr="00ED5535">
        <w:rPr>
          <w:rFonts w:ascii="Times New Roman" w:eastAsia="Times New Roman" w:hAnsi="Times New Roman" w:cs="Times New Roman"/>
          <w:b/>
          <w:bCs/>
          <w:lang w:eastAsia="en-AU"/>
        </w:rPr>
        <w:t xml:space="preserve"> </w:t>
      </w:r>
      <w:r w:rsidR="00FE0789" w:rsidRPr="00ED5535">
        <w:rPr>
          <w:rFonts w:ascii="Times New Roman" w:eastAsia="Times New Roman" w:hAnsi="Times New Roman" w:cs="Times New Roman"/>
          <w:b/>
          <w:bCs/>
          <w:lang w:eastAsia="en-AU"/>
        </w:rPr>
        <w:t>A</w:t>
      </w:r>
    </w:p>
    <w:p w14:paraId="6F89E4BD" w14:textId="77777777" w:rsidR="00E43F49" w:rsidRPr="00ED5535" w:rsidRDefault="00E43F49" w:rsidP="00E43F49">
      <w:pPr>
        <w:shd w:val="clear" w:color="auto" w:fill="FFFFFF"/>
        <w:spacing w:after="0" w:line="240" w:lineRule="auto"/>
        <w:rPr>
          <w:rFonts w:ascii="Times New Roman" w:eastAsia="Times New Roman" w:hAnsi="Times New Roman" w:cs="Times New Roman"/>
          <w:b/>
          <w:bCs/>
          <w:sz w:val="24"/>
          <w:szCs w:val="24"/>
          <w:lang w:eastAsia="en-AU"/>
        </w:rPr>
      </w:pPr>
      <w:r w:rsidRPr="00ED5535">
        <w:rPr>
          <w:rFonts w:ascii="Times New Roman" w:eastAsia="Times New Roman" w:hAnsi="Times New Roman" w:cs="Times New Roman"/>
          <w:b/>
          <w:bCs/>
          <w:lang w:eastAsia="en-AU"/>
        </w:rPr>
        <w:t> </w:t>
      </w:r>
    </w:p>
    <w:p w14:paraId="18191D0D" w14:textId="7A28B0F4" w:rsidR="00E43F49" w:rsidRPr="00ED5535" w:rsidRDefault="000B5994" w:rsidP="00E43F49">
      <w:pPr>
        <w:shd w:val="clear" w:color="auto" w:fill="FFFFFF"/>
        <w:spacing w:after="0" w:line="240" w:lineRule="auto"/>
        <w:rPr>
          <w:rFonts w:ascii="Times New Roman" w:eastAsia="Times New Roman" w:hAnsi="Times New Roman" w:cs="Times New Roman"/>
          <w:b/>
          <w:bCs/>
          <w:sz w:val="24"/>
          <w:szCs w:val="24"/>
          <w:lang w:eastAsia="en-AU"/>
        </w:rPr>
      </w:pPr>
      <w:r w:rsidRPr="00ED5535">
        <w:rPr>
          <w:rFonts w:ascii="Times New Roman" w:eastAsia="Times New Roman" w:hAnsi="Times New Roman" w:cs="Times New Roman"/>
          <w:b/>
          <w:bCs/>
          <w:lang w:eastAsia="en-AU"/>
        </w:rPr>
        <w:t>Details</w:t>
      </w:r>
      <w:r w:rsidR="00E43F49" w:rsidRPr="00ED5535">
        <w:rPr>
          <w:rFonts w:ascii="Times New Roman" w:eastAsia="Times New Roman" w:hAnsi="Times New Roman" w:cs="Times New Roman"/>
          <w:b/>
          <w:bCs/>
          <w:lang w:eastAsia="en-AU"/>
        </w:rPr>
        <w:t xml:space="preserve"> of the </w:t>
      </w:r>
      <w:r w:rsidR="00E43F49" w:rsidRPr="00ED5535">
        <w:rPr>
          <w:rFonts w:ascii="Times New Roman" w:eastAsia="Times New Roman" w:hAnsi="Times New Roman" w:cs="Times New Roman"/>
          <w:b/>
          <w:bCs/>
          <w:i/>
          <w:iCs/>
          <w:lang w:eastAsia="en-AU"/>
        </w:rPr>
        <w:t>Private</w:t>
      </w:r>
      <w:r w:rsidR="00E43F49" w:rsidRPr="00ED5535">
        <w:rPr>
          <w:rFonts w:ascii="Times New Roman" w:eastAsia="Times New Roman" w:hAnsi="Times New Roman" w:cs="Times New Roman"/>
          <w:b/>
          <w:bCs/>
          <w:lang w:eastAsia="en-AU"/>
        </w:rPr>
        <w:t> </w:t>
      </w:r>
      <w:r w:rsidR="00E43F49" w:rsidRPr="00ED5535">
        <w:rPr>
          <w:rFonts w:ascii="Times New Roman" w:eastAsia="Times New Roman" w:hAnsi="Times New Roman" w:cs="Times New Roman"/>
          <w:b/>
          <w:bCs/>
          <w:i/>
          <w:iCs/>
          <w:lang w:eastAsia="en-AU"/>
        </w:rPr>
        <w:t>Health Insurance (</w:t>
      </w:r>
      <w:r w:rsidR="00053755" w:rsidRPr="00ED5535">
        <w:rPr>
          <w:rFonts w:ascii="Times New Roman" w:eastAsia="Times New Roman" w:hAnsi="Times New Roman" w:cs="Times New Roman"/>
          <w:b/>
          <w:bCs/>
          <w:i/>
          <w:iCs/>
          <w:lang w:eastAsia="en-AU"/>
        </w:rPr>
        <w:t>Medical Devices and Human Tissue Products</w:t>
      </w:r>
      <w:r w:rsidR="00E43F49" w:rsidRPr="00ED5535">
        <w:rPr>
          <w:rFonts w:ascii="Times New Roman" w:eastAsia="Times New Roman" w:hAnsi="Times New Roman" w:cs="Times New Roman"/>
          <w:b/>
          <w:bCs/>
          <w:i/>
          <w:iCs/>
          <w:lang w:eastAsia="en-AU"/>
        </w:rPr>
        <w:t xml:space="preserve">) </w:t>
      </w:r>
      <w:r w:rsidR="00780A67" w:rsidRPr="00ED5535">
        <w:rPr>
          <w:rFonts w:ascii="Times New Roman" w:eastAsia="Times New Roman" w:hAnsi="Times New Roman" w:cs="Times New Roman"/>
          <w:b/>
          <w:bCs/>
          <w:i/>
          <w:iCs/>
          <w:lang w:eastAsia="en-AU"/>
        </w:rPr>
        <w:t xml:space="preserve">Amendment </w:t>
      </w:r>
      <w:r w:rsidR="00E43F49" w:rsidRPr="00ED5535">
        <w:rPr>
          <w:rFonts w:ascii="Times New Roman" w:eastAsia="Times New Roman" w:hAnsi="Times New Roman" w:cs="Times New Roman"/>
          <w:b/>
          <w:bCs/>
          <w:i/>
          <w:iCs/>
          <w:lang w:eastAsia="en-AU"/>
        </w:rPr>
        <w:t>Rules</w:t>
      </w:r>
      <w:r w:rsidR="00780A67" w:rsidRPr="00ED5535">
        <w:rPr>
          <w:rFonts w:ascii="Times New Roman" w:eastAsia="Times New Roman" w:hAnsi="Times New Roman" w:cs="Times New Roman"/>
          <w:b/>
          <w:bCs/>
          <w:i/>
          <w:iCs/>
          <w:lang w:eastAsia="en-AU"/>
        </w:rPr>
        <w:t xml:space="preserve"> </w:t>
      </w:r>
      <w:r w:rsidR="00B725B6" w:rsidRPr="00ED5535">
        <w:rPr>
          <w:rFonts w:ascii="Times New Roman" w:eastAsia="Times New Roman" w:hAnsi="Times New Roman" w:cs="Times New Roman"/>
          <w:b/>
          <w:bCs/>
          <w:i/>
          <w:iCs/>
          <w:lang w:eastAsia="en-AU"/>
        </w:rPr>
        <w:t xml:space="preserve">(No. </w:t>
      </w:r>
      <w:r w:rsidR="00855A79" w:rsidRPr="00ED5535">
        <w:rPr>
          <w:rFonts w:ascii="Times New Roman" w:eastAsia="Times New Roman" w:hAnsi="Times New Roman" w:cs="Times New Roman"/>
          <w:b/>
          <w:bCs/>
          <w:i/>
          <w:iCs/>
          <w:lang w:eastAsia="en-AU"/>
        </w:rPr>
        <w:t>2</w:t>
      </w:r>
      <w:r w:rsidR="00B725B6" w:rsidRPr="00ED5535">
        <w:rPr>
          <w:rFonts w:ascii="Times New Roman" w:eastAsia="Times New Roman" w:hAnsi="Times New Roman" w:cs="Times New Roman"/>
          <w:b/>
          <w:bCs/>
          <w:i/>
          <w:iCs/>
          <w:lang w:eastAsia="en-AU"/>
        </w:rPr>
        <w:t xml:space="preserve">) </w:t>
      </w:r>
      <w:r w:rsidR="00E43F49" w:rsidRPr="00ED5535">
        <w:rPr>
          <w:rFonts w:ascii="Times New Roman" w:eastAsia="Times New Roman" w:hAnsi="Times New Roman" w:cs="Times New Roman"/>
          <w:b/>
          <w:bCs/>
          <w:i/>
          <w:iCs/>
          <w:lang w:eastAsia="en-AU"/>
        </w:rPr>
        <w:t>2023</w:t>
      </w:r>
    </w:p>
    <w:p w14:paraId="167C2EE7" w14:textId="77777777" w:rsidR="00E43F49" w:rsidRPr="00ED5535" w:rsidRDefault="00E43F49" w:rsidP="00E43F49">
      <w:pPr>
        <w:shd w:val="clear" w:color="auto" w:fill="FFFFFF"/>
        <w:spacing w:after="0" w:line="240" w:lineRule="auto"/>
        <w:rPr>
          <w:rFonts w:ascii="Times New Roman" w:eastAsia="Times New Roman" w:hAnsi="Times New Roman" w:cs="Times New Roman"/>
          <w:b/>
          <w:bCs/>
          <w:sz w:val="24"/>
          <w:szCs w:val="24"/>
          <w:lang w:eastAsia="en-AU"/>
        </w:rPr>
      </w:pPr>
      <w:r w:rsidRPr="00ED5535">
        <w:rPr>
          <w:rFonts w:ascii="Times New Roman" w:eastAsia="Times New Roman" w:hAnsi="Times New Roman" w:cs="Times New Roman"/>
          <w:b/>
          <w:bCs/>
          <w:i/>
          <w:iCs/>
          <w:lang w:eastAsia="en-AU"/>
        </w:rPr>
        <w:t> </w:t>
      </w:r>
    </w:p>
    <w:p w14:paraId="0951BECA" w14:textId="795ADEFC" w:rsidR="00E43F49" w:rsidRPr="00ED5535" w:rsidRDefault="00462834" w:rsidP="003E1E93">
      <w:pPr>
        <w:shd w:val="clear" w:color="auto" w:fill="FFFFFF"/>
        <w:tabs>
          <w:tab w:val="left" w:pos="1134"/>
        </w:tabs>
        <w:spacing w:after="0" w:line="240" w:lineRule="auto"/>
        <w:ind w:left="851" w:hanging="851"/>
        <w:rPr>
          <w:rFonts w:ascii="Times New Roman" w:eastAsia="Times New Roman" w:hAnsi="Times New Roman" w:cs="Times New Roman"/>
          <w:b/>
          <w:bCs/>
          <w:sz w:val="24"/>
          <w:szCs w:val="24"/>
          <w:lang w:eastAsia="en-AU"/>
        </w:rPr>
      </w:pPr>
      <w:r w:rsidRPr="00ED5535">
        <w:rPr>
          <w:rFonts w:ascii="Times New Roman" w:eastAsia="Times New Roman" w:hAnsi="Times New Roman" w:cs="Times New Roman"/>
          <w:b/>
          <w:bCs/>
          <w:lang w:eastAsia="en-AU"/>
        </w:rPr>
        <w:t>Section</w:t>
      </w:r>
      <w:r w:rsidR="00E43F49" w:rsidRPr="00ED5535">
        <w:rPr>
          <w:rFonts w:ascii="Times New Roman" w:eastAsia="Times New Roman" w:hAnsi="Times New Roman" w:cs="Times New Roman"/>
          <w:b/>
          <w:bCs/>
          <w:lang w:eastAsia="en-AU"/>
        </w:rPr>
        <w:t xml:space="preserve"> 1</w:t>
      </w:r>
      <w:r w:rsidR="008463A4" w:rsidRPr="00ED5535">
        <w:rPr>
          <w:rFonts w:ascii="Times New Roman" w:eastAsia="Times New Roman" w:hAnsi="Times New Roman" w:cs="Times New Roman"/>
          <w:b/>
          <w:bCs/>
          <w:lang w:eastAsia="en-AU"/>
        </w:rPr>
        <w:tab/>
      </w:r>
      <w:r w:rsidR="006D2B19" w:rsidRPr="00ED5535">
        <w:rPr>
          <w:rFonts w:ascii="Times New Roman" w:eastAsia="Times New Roman" w:hAnsi="Times New Roman" w:cs="Times New Roman"/>
          <w:b/>
          <w:bCs/>
          <w:lang w:eastAsia="en-AU"/>
        </w:rPr>
        <w:t xml:space="preserve">   </w:t>
      </w:r>
      <w:r w:rsidR="00E43F49" w:rsidRPr="00ED5535">
        <w:rPr>
          <w:rFonts w:ascii="Times New Roman" w:eastAsia="Times New Roman" w:hAnsi="Times New Roman" w:cs="Times New Roman"/>
          <w:b/>
          <w:bCs/>
          <w:lang w:eastAsia="en-AU"/>
        </w:rPr>
        <w:t>Name</w:t>
      </w:r>
    </w:p>
    <w:p w14:paraId="2010FEDC" w14:textId="77777777" w:rsidR="00E43F49" w:rsidRPr="00ED5535" w:rsidRDefault="00E43F49" w:rsidP="00E43F49">
      <w:pPr>
        <w:shd w:val="clear" w:color="auto" w:fill="FFFFFF"/>
        <w:spacing w:after="0" w:line="240" w:lineRule="auto"/>
        <w:rPr>
          <w:rFonts w:ascii="Times New Roman" w:eastAsia="Times New Roman" w:hAnsi="Times New Roman" w:cs="Times New Roman"/>
          <w:b/>
          <w:bCs/>
          <w:sz w:val="24"/>
          <w:szCs w:val="24"/>
          <w:lang w:eastAsia="en-AU"/>
        </w:rPr>
      </w:pPr>
      <w:r w:rsidRPr="00ED5535">
        <w:rPr>
          <w:rFonts w:ascii="Times New Roman" w:eastAsia="Times New Roman" w:hAnsi="Times New Roman" w:cs="Times New Roman"/>
          <w:lang w:eastAsia="en-AU"/>
        </w:rPr>
        <w:t> </w:t>
      </w:r>
    </w:p>
    <w:p w14:paraId="470E0F98" w14:textId="6FDEA71C" w:rsidR="00E43F49" w:rsidRPr="00ED5535" w:rsidRDefault="00462834" w:rsidP="00E43F49">
      <w:pPr>
        <w:shd w:val="clear" w:color="auto" w:fill="FFFFFF"/>
        <w:spacing w:after="0" w:line="285" w:lineRule="atLeast"/>
        <w:jc w:val="both"/>
        <w:outlineLvl w:val="0"/>
        <w:rPr>
          <w:rFonts w:ascii="Times New Roman" w:eastAsia="Times New Roman" w:hAnsi="Times New Roman" w:cs="Times New Roman"/>
          <w:b/>
          <w:bCs/>
          <w:kern w:val="36"/>
          <w:sz w:val="24"/>
          <w:szCs w:val="24"/>
          <w:u w:val="single"/>
          <w:lang w:eastAsia="en-AU"/>
        </w:rPr>
      </w:pPr>
      <w:r w:rsidRPr="00ED5535">
        <w:rPr>
          <w:rFonts w:ascii="Times New Roman" w:eastAsia="Times New Roman" w:hAnsi="Times New Roman" w:cs="Times New Roman"/>
          <w:kern w:val="36"/>
          <w:lang w:eastAsia="en-AU"/>
        </w:rPr>
        <w:t xml:space="preserve">Section </w:t>
      </w:r>
      <w:r w:rsidR="00E43F49" w:rsidRPr="00ED5535">
        <w:rPr>
          <w:rFonts w:ascii="Times New Roman" w:eastAsia="Times New Roman" w:hAnsi="Times New Roman" w:cs="Times New Roman"/>
          <w:kern w:val="36"/>
          <w:lang w:eastAsia="en-AU"/>
        </w:rPr>
        <w:t xml:space="preserve">1 provides that the </w:t>
      </w:r>
      <w:r w:rsidR="000B5994" w:rsidRPr="00ED5535">
        <w:rPr>
          <w:rFonts w:ascii="Times New Roman" w:eastAsia="Times New Roman" w:hAnsi="Times New Roman" w:cs="Times New Roman"/>
          <w:kern w:val="36"/>
          <w:lang w:eastAsia="en-AU"/>
        </w:rPr>
        <w:t>name</w:t>
      </w:r>
      <w:r w:rsidR="00E43F49" w:rsidRPr="00ED5535">
        <w:rPr>
          <w:rFonts w:ascii="Times New Roman" w:eastAsia="Times New Roman" w:hAnsi="Times New Roman" w:cs="Times New Roman"/>
          <w:kern w:val="36"/>
          <w:lang w:eastAsia="en-AU"/>
        </w:rPr>
        <w:t xml:space="preserve"> of the </w:t>
      </w:r>
      <w:r w:rsidRPr="00ED5535">
        <w:rPr>
          <w:rFonts w:ascii="Times New Roman" w:eastAsia="Times New Roman" w:hAnsi="Times New Roman" w:cs="Times New Roman"/>
          <w:kern w:val="36"/>
          <w:lang w:eastAsia="en-AU"/>
        </w:rPr>
        <w:t>instrument</w:t>
      </w:r>
      <w:r w:rsidR="00E43F49" w:rsidRPr="00ED5535">
        <w:rPr>
          <w:rFonts w:ascii="Times New Roman" w:eastAsia="Times New Roman" w:hAnsi="Times New Roman" w:cs="Times New Roman"/>
          <w:kern w:val="36"/>
          <w:lang w:eastAsia="en-AU"/>
        </w:rPr>
        <w:t xml:space="preserve"> is the </w:t>
      </w:r>
      <w:r w:rsidR="00E43F49" w:rsidRPr="00ED5535">
        <w:rPr>
          <w:rFonts w:ascii="Times New Roman" w:eastAsia="Times New Roman" w:hAnsi="Times New Roman" w:cs="Times New Roman"/>
          <w:i/>
          <w:iCs/>
          <w:kern w:val="36"/>
          <w:lang w:eastAsia="en-AU"/>
        </w:rPr>
        <w:t>Private Health Insurance (</w:t>
      </w:r>
      <w:r w:rsidR="00053755" w:rsidRPr="00ED5535">
        <w:rPr>
          <w:rFonts w:ascii="Times New Roman" w:eastAsia="Times New Roman" w:hAnsi="Times New Roman" w:cs="Times New Roman"/>
          <w:i/>
          <w:iCs/>
          <w:kern w:val="36"/>
          <w:lang w:eastAsia="en-AU"/>
        </w:rPr>
        <w:t>Medical Devices and Human Tissue Products</w:t>
      </w:r>
      <w:r w:rsidR="00E43F49" w:rsidRPr="00ED5535">
        <w:rPr>
          <w:rFonts w:ascii="Times New Roman" w:eastAsia="Times New Roman" w:hAnsi="Times New Roman" w:cs="Times New Roman"/>
          <w:i/>
          <w:iCs/>
          <w:kern w:val="36"/>
          <w:lang w:eastAsia="en-AU"/>
        </w:rPr>
        <w:t xml:space="preserve">) </w:t>
      </w:r>
      <w:r w:rsidR="00780A67" w:rsidRPr="00ED5535">
        <w:rPr>
          <w:rFonts w:ascii="Times New Roman" w:eastAsia="Times New Roman" w:hAnsi="Times New Roman" w:cs="Times New Roman"/>
          <w:i/>
          <w:iCs/>
          <w:kern w:val="36"/>
          <w:lang w:eastAsia="en-AU"/>
        </w:rPr>
        <w:t xml:space="preserve">Amendment </w:t>
      </w:r>
      <w:r w:rsidR="00E43F49" w:rsidRPr="00ED5535">
        <w:rPr>
          <w:rFonts w:ascii="Times New Roman" w:eastAsia="Times New Roman" w:hAnsi="Times New Roman" w:cs="Times New Roman"/>
          <w:i/>
          <w:iCs/>
          <w:kern w:val="36"/>
          <w:lang w:eastAsia="en-AU"/>
        </w:rPr>
        <w:t>Rules</w:t>
      </w:r>
      <w:r w:rsidR="00B725B6" w:rsidRPr="00ED5535">
        <w:rPr>
          <w:rFonts w:ascii="Times New Roman" w:eastAsia="Times New Roman" w:hAnsi="Times New Roman" w:cs="Times New Roman"/>
          <w:i/>
          <w:iCs/>
          <w:kern w:val="36"/>
          <w:lang w:eastAsia="en-AU"/>
        </w:rPr>
        <w:t xml:space="preserve"> (No. </w:t>
      </w:r>
      <w:r w:rsidR="00855A79" w:rsidRPr="00ED5535">
        <w:rPr>
          <w:rFonts w:ascii="Times New Roman" w:eastAsia="Times New Roman" w:hAnsi="Times New Roman" w:cs="Times New Roman"/>
          <w:i/>
          <w:iCs/>
          <w:kern w:val="36"/>
          <w:lang w:eastAsia="en-AU"/>
        </w:rPr>
        <w:t>2</w:t>
      </w:r>
      <w:r w:rsidR="00B725B6" w:rsidRPr="00ED5535">
        <w:rPr>
          <w:rFonts w:ascii="Times New Roman" w:eastAsia="Times New Roman" w:hAnsi="Times New Roman" w:cs="Times New Roman"/>
          <w:i/>
          <w:iCs/>
          <w:kern w:val="36"/>
          <w:lang w:eastAsia="en-AU"/>
        </w:rPr>
        <w:t>)</w:t>
      </w:r>
      <w:r w:rsidR="00E43F49" w:rsidRPr="00ED5535">
        <w:rPr>
          <w:rFonts w:ascii="Times New Roman" w:eastAsia="Times New Roman" w:hAnsi="Times New Roman" w:cs="Times New Roman"/>
          <w:i/>
          <w:iCs/>
          <w:kern w:val="36"/>
          <w:lang w:eastAsia="en-AU"/>
        </w:rPr>
        <w:t xml:space="preserve"> 2023.</w:t>
      </w:r>
    </w:p>
    <w:p w14:paraId="0179139D" w14:textId="77777777" w:rsidR="00E43F49" w:rsidRPr="00ED5535" w:rsidRDefault="00E43F49" w:rsidP="00E43F49">
      <w:pPr>
        <w:shd w:val="clear" w:color="auto" w:fill="FFFFFF"/>
        <w:spacing w:after="0" w:line="240" w:lineRule="auto"/>
        <w:rPr>
          <w:rFonts w:ascii="Tms Rmn" w:eastAsia="Times New Roman" w:hAnsi="Tms Rmn" w:cs="Times New Roman"/>
          <w:sz w:val="24"/>
          <w:szCs w:val="24"/>
          <w:lang w:eastAsia="en-AU"/>
        </w:rPr>
      </w:pPr>
      <w:r w:rsidRPr="00ED5535">
        <w:rPr>
          <w:rFonts w:ascii="Times New Roman" w:eastAsia="Times New Roman" w:hAnsi="Times New Roman" w:cs="Times New Roman"/>
          <w:lang w:eastAsia="en-AU"/>
        </w:rPr>
        <w:t> </w:t>
      </w:r>
    </w:p>
    <w:p w14:paraId="1CF215E6" w14:textId="2E295046" w:rsidR="00E43F49" w:rsidRPr="00ED5535" w:rsidRDefault="00B928B8" w:rsidP="003E1E93">
      <w:pPr>
        <w:shd w:val="clear" w:color="auto" w:fill="FFFFFF"/>
        <w:tabs>
          <w:tab w:val="left" w:pos="1134"/>
        </w:tabs>
        <w:spacing w:after="0" w:line="240" w:lineRule="auto"/>
        <w:ind w:left="851" w:hanging="851"/>
        <w:rPr>
          <w:rFonts w:ascii="Times New Roman" w:eastAsia="Times New Roman" w:hAnsi="Times New Roman" w:cs="Times New Roman"/>
          <w:b/>
          <w:bCs/>
          <w:sz w:val="24"/>
          <w:szCs w:val="24"/>
          <w:lang w:eastAsia="en-AU"/>
        </w:rPr>
      </w:pPr>
      <w:r w:rsidRPr="00ED5535">
        <w:rPr>
          <w:rFonts w:ascii="Times New Roman" w:eastAsia="Times New Roman" w:hAnsi="Times New Roman" w:cs="Times New Roman"/>
          <w:b/>
          <w:bCs/>
          <w:lang w:eastAsia="en-AU"/>
        </w:rPr>
        <w:t>Section</w:t>
      </w:r>
      <w:r w:rsidR="00E43F49" w:rsidRPr="00ED5535">
        <w:rPr>
          <w:rFonts w:ascii="Times New Roman" w:eastAsia="Times New Roman" w:hAnsi="Times New Roman" w:cs="Times New Roman"/>
          <w:b/>
          <w:bCs/>
          <w:lang w:eastAsia="en-AU"/>
        </w:rPr>
        <w:t xml:space="preserve"> 2</w:t>
      </w:r>
      <w:r w:rsidR="008463A4" w:rsidRPr="00ED5535">
        <w:rPr>
          <w:rFonts w:ascii="Times New Roman" w:eastAsia="Times New Roman" w:hAnsi="Times New Roman" w:cs="Times New Roman"/>
          <w:b/>
          <w:bCs/>
          <w:lang w:eastAsia="en-AU"/>
        </w:rPr>
        <w:tab/>
      </w:r>
      <w:r w:rsidR="006D2B19" w:rsidRPr="00ED5535">
        <w:rPr>
          <w:rFonts w:ascii="Times New Roman" w:eastAsia="Times New Roman" w:hAnsi="Times New Roman" w:cs="Times New Roman"/>
          <w:b/>
          <w:bCs/>
          <w:lang w:eastAsia="en-AU"/>
        </w:rPr>
        <w:t xml:space="preserve">   </w:t>
      </w:r>
      <w:r w:rsidR="00E43F49" w:rsidRPr="00ED5535">
        <w:rPr>
          <w:rFonts w:ascii="Times New Roman" w:eastAsia="Times New Roman" w:hAnsi="Times New Roman" w:cs="Times New Roman"/>
          <w:b/>
          <w:bCs/>
          <w:lang w:eastAsia="en-AU"/>
        </w:rPr>
        <w:t>Commencement</w:t>
      </w:r>
    </w:p>
    <w:p w14:paraId="0E3EE450" w14:textId="77777777" w:rsidR="00E43F49" w:rsidRPr="00ED5535" w:rsidRDefault="00E43F49" w:rsidP="00E43F49">
      <w:pPr>
        <w:shd w:val="clear" w:color="auto" w:fill="FFFFFF"/>
        <w:spacing w:after="0" w:line="240" w:lineRule="auto"/>
        <w:rPr>
          <w:rFonts w:ascii="Times New Roman" w:eastAsia="Times New Roman" w:hAnsi="Times New Roman" w:cs="Times New Roman"/>
          <w:b/>
          <w:bCs/>
          <w:sz w:val="24"/>
          <w:szCs w:val="24"/>
          <w:lang w:eastAsia="en-AU"/>
        </w:rPr>
      </w:pPr>
      <w:r w:rsidRPr="00ED5535">
        <w:rPr>
          <w:rFonts w:ascii="Times New Roman" w:eastAsia="Times New Roman" w:hAnsi="Times New Roman" w:cs="Times New Roman"/>
          <w:lang w:eastAsia="en-AU"/>
        </w:rPr>
        <w:t> </w:t>
      </w:r>
    </w:p>
    <w:p w14:paraId="1DC9822E" w14:textId="2C9D0970" w:rsidR="00E43F49" w:rsidRPr="00ED5535" w:rsidRDefault="00B928B8" w:rsidP="00E43F49">
      <w:pPr>
        <w:shd w:val="clear" w:color="auto" w:fill="FFFFFF"/>
        <w:spacing w:after="0" w:line="240" w:lineRule="auto"/>
        <w:jc w:val="both"/>
        <w:rPr>
          <w:rFonts w:ascii="Times New Roman" w:eastAsia="Times New Roman" w:hAnsi="Times New Roman" w:cs="Times New Roman"/>
          <w:b/>
          <w:bCs/>
          <w:sz w:val="24"/>
          <w:szCs w:val="24"/>
          <w:lang w:eastAsia="en-AU"/>
        </w:rPr>
      </w:pPr>
      <w:r w:rsidRPr="00ED5535">
        <w:rPr>
          <w:rFonts w:ascii="Times New Roman" w:eastAsia="Times New Roman" w:hAnsi="Times New Roman" w:cs="Times New Roman"/>
          <w:lang w:eastAsia="en-AU"/>
        </w:rPr>
        <w:t>Section</w:t>
      </w:r>
      <w:r w:rsidR="00E43F49" w:rsidRPr="00ED5535">
        <w:rPr>
          <w:rFonts w:ascii="Times New Roman" w:eastAsia="Times New Roman" w:hAnsi="Times New Roman" w:cs="Times New Roman"/>
          <w:lang w:eastAsia="en-AU"/>
        </w:rPr>
        <w:t xml:space="preserve"> 2 provides that the </w:t>
      </w:r>
      <w:r w:rsidR="000B5994" w:rsidRPr="00ED5535">
        <w:rPr>
          <w:rFonts w:ascii="Times New Roman" w:eastAsia="Times New Roman" w:hAnsi="Times New Roman" w:cs="Times New Roman"/>
          <w:lang w:eastAsia="en-AU"/>
        </w:rPr>
        <w:t>instrument</w:t>
      </w:r>
      <w:r w:rsidR="00E43F49" w:rsidRPr="00ED5535">
        <w:rPr>
          <w:rFonts w:ascii="Times New Roman" w:eastAsia="Times New Roman" w:hAnsi="Times New Roman" w:cs="Times New Roman"/>
          <w:lang w:eastAsia="en-AU"/>
        </w:rPr>
        <w:t xml:space="preserve"> commence</w:t>
      </w:r>
      <w:r w:rsidR="000B5994" w:rsidRPr="00ED5535">
        <w:rPr>
          <w:rFonts w:ascii="Times New Roman" w:eastAsia="Times New Roman" w:hAnsi="Times New Roman" w:cs="Times New Roman"/>
          <w:lang w:eastAsia="en-AU"/>
        </w:rPr>
        <w:t>s</w:t>
      </w:r>
      <w:r w:rsidR="00E43F49" w:rsidRPr="00ED5535">
        <w:rPr>
          <w:rFonts w:ascii="Times New Roman" w:eastAsia="Times New Roman" w:hAnsi="Times New Roman" w:cs="Times New Roman"/>
          <w:lang w:eastAsia="en-AU"/>
        </w:rPr>
        <w:t xml:space="preserve"> on</w:t>
      </w:r>
      <w:r w:rsidR="00780A67" w:rsidRPr="00ED5535">
        <w:rPr>
          <w:rFonts w:ascii="Times New Roman" w:eastAsia="Times New Roman" w:hAnsi="Times New Roman" w:cs="Times New Roman"/>
          <w:lang w:eastAsia="en-AU"/>
        </w:rPr>
        <w:t xml:space="preserve"> the day after the instrument is registered</w:t>
      </w:r>
      <w:r w:rsidR="00E43F49" w:rsidRPr="00ED5535">
        <w:rPr>
          <w:rFonts w:ascii="Times New Roman" w:eastAsia="Times New Roman" w:hAnsi="Times New Roman" w:cs="Times New Roman"/>
          <w:lang w:eastAsia="en-AU"/>
        </w:rPr>
        <w:t>.</w:t>
      </w:r>
    </w:p>
    <w:p w14:paraId="5693E7E1" w14:textId="77777777" w:rsidR="00E43F49" w:rsidRPr="00ED5535" w:rsidRDefault="00E43F49" w:rsidP="00E43F49">
      <w:pPr>
        <w:shd w:val="clear" w:color="auto" w:fill="FFFFFF"/>
        <w:spacing w:after="0" w:line="240" w:lineRule="auto"/>
        <w:rPr>
          <w:rFonts w:ascii="Times New Roman" w:eastAsia="Times New Roman" w:hAnsi="Times New Roman" w:cs="Times New Roman"/>
          <w:b/>
          <w:bCs/>
          <w:sz w:val="24"/>
          <w:szCs w:val="24"/>
          <w:lang w:eastAsia="en-AU"/>
        </w:rPr>
      </w:pPr>
      <w:r w:rsidRPr="00ED5535">
        <w:rPr>
          <w:rFonts w:ascii="Times New Roman" w:eastAsia="Times New Roman" w:hAnsi="Times New Roman" w:cs="Times New Roman"/>
          <w:b/>
          <w:bCs/>
          <w:lang w:eastAsia="en-AU"/>
        </w:rPr>
        <w:t> </w:t>
      </w:r>
    </w:p>
    <w:p w14:paraId="033377AC" w14:textId="582991AB" w:rsidR="00E43F49" w:rsidRPr="00ED5535" w:rsidRDefault="00B928B8" w:rsidP="003E1E93">
      <w:pPr>
        <w:shd w:val="clear" w:color="auto" w:fill="FFFFFF"/>
        <w:tabs>
          <w:tab w:val="left" w:pos="1134"/>
        </w:tabs>
        <w:spacing w:after="0" w:line="240" w:lineRule="auto"/>
        <w:ind w:left="851" w:hanging="851"/>
        <w:rPr>
          <w:rFonts w:ascii="Times New Roman" w:eastAsia="Times New Roman" w:hAnsi="Times New Roman" w:cs="Times New Roman"/>
          <w:b/>
          <w:bCs/>
          <w:sz w:val="24"/>
          <w:szCs w:val="24"/>
          <w:lang w:eastAsia="en-AU"/>
        </w:rPr>
      </w:pPr>
      <w:r w:rsidRPr="00ED5535">
        <w:rPr>
          <w:rFonts w:ascii="Times New Roman" w:eastAsia="Times New Roman" w:hAnsi="Times New Roman" w:cs="Times New Roman"/>
          <w:b/>
          <w:bCs/>
          <w:lang w:eastAsia="en-AU"/>
        </w:rPr>
        <w:t>Section</w:t>
      </w:r>
      <w:r w:rsidR="00E43F49" w:rsidRPr="00ED5535">
        <w:rPr>
          <w:rFonts w:ascii="Times New Roman" w:eastAsia="Times New Roman" w:hAnsi="Times New Roman" w:cs="Times New Roman"/>
          <w:b/>
          <w:bCs/>
          <w:lang w:eastAsia="en-AU"/>
        </w:rPr>
        <w:t xml:space="preserve"> 3</w:t>
      </w:r>
      <w:r w:rsidR="006D2B19" w:rsidRPr="00ED5535">
        <w:rPr>
          <w:rFonts w:ascii="Times New Roman" w:eastAsia="Times New Roman" w:hAnsi="Times New Roman" w:cs="Times New Roman"/>
          <w:b/>
          <w:bCs/>
          <w:lang w:eastAsia="en-AU"/>
        </w:rPr>
        <w:t xml:space="preserve">   </w:t>
      </w:r>
      <w:r w:rsidR="00E43F49" w:rsidRPr="00ED5535">
        <w:rPr>
          <w:rFonts w:ascii="Times New Roman" w:eastAsia="Times New Roman" w:hAnsi="Times New Roman" w:cs="Times New Roman"/>
          <w:b/>
          <w:bCs/>
          <w:lang w:eastAsia="en-AU"/>
        </w:rPr>
        <w:t>Authority</w:t>
      </w:r>
    </w:p>
    <w:p w14:paraId="6882C3DE" w14:textId="77777777" w:rsidR="00E43F49" w:rsidRPr="00ED5535" w:rsidRDefault="00E43F49" w:rsidP="00E43F49">
      <w:pPr>
        <w:shd w:val="clear" w:color="auto" w:fill="FFFFFF"/>
        <w:spacing w:after="0" w:line="240" w:lineRule="auto"/>
        <w:rPr>
          <w:rFonts w:ascii="Times New Roman" w:eastAsia="Times New Roman" w:hAnsi="Times New Roman" w:cs="Times New Roman"/>
          <w:b/>
          <w:bCs/>
          <w:sz w:val="24"/>
          <w:szCs w:val="24"/>
          <w:lang w:eastAsia="en-AU"/>
        </w:rPr>
      </w:pPr>
      <w:r w:rsidRPr="00ED5535">
        <w:rPr>
          <w:rFonts w:ascii="Times New Roman" w:eastAsia="Times New Roman" w:hAnsi="Times New Roman" w:cs="Times New Roman"/>
          <w:lang w:eastAsia="en-AU"/>
        </w:rPr>
        <w:t> </w:t>
      </w:r>
    </w:p>
    <w:p w14:paraId="7BA1194D" w14:textId="07558271" w:rsidR="00E43F49" w:rsidRPr="00ED5535" w:rsidRDefault="00B928B8" w:rsidP="00E43F49">
      <w:pPr>
        <w:shd w:val="clear" w:color="auto" w:fill="FFFFFF"/>
        <w:spacing w:after="0" w:line="240" w:lineRule="auto"/>
        <w:jc w:val="both"/>
        <w:rPr>
          <w:rFonts w:ascii="Times New Roman" w:eastAsia="Times New Roman" w:hAnsi="Times New Roman" w:cs="Times New Roman"/>
          <w:b/>
          <w:bCs/>
          <w:sz w:val="24"/>
          <w:szCs w:val="24"/>
          <w:lang w:eastAsia="en-AU"/>
        </w:rPr>
      </w:pPr>
      <w:r w:rsidRPr="00ED5535">
        <w:rPr>
          <w:rFonts w:ascii="Times New Roman" w:eastAsia="Times New Roman" w:hAnsi="Times New Roman" w:cs="Times New Roman"/>
          <w:lang w:eastAsia="en-AU"/>
        </w:rPr>
        <w:t>Section</w:t>
      </w:r>
      <w:r w:rsidR="00E43F49" w:rsidRPr="00ED5535">
        <w:rPr>
          <w:rFonts w:ascii="Times New Roman" w:eastAsia="Times New Roman" w:hAnsi="Times New Roman" w:cs="Times New Roman"/>
          <w:lang w:eastAsia="en-AU"/>
        </w:rPr>
        <w:t xml:space="preserve"> 3 provides that the </w:t>
      </w:r>
      <w:r w:rsidR="000B5994" w:rsidRPr="00ED5535">
        <w:rPr>
          <w:rFonts w:ascii="Times New Roman" w:eastAsia="Times New Roman" w:hAnsi="Times New Roman" w:cs="Times New Roman"/>
          <w:lang w:eastAsia="en-AU"/>
        </w:rPr>
        <w:t xml:space="preserve">instrument is </w:t>
      </w:r>
      <w:r w:rsidR="00E43F49" w:rsidRPr="00ED5535">
        <w:rPr>
          <w:rFonts w:ascii="Times New Roman" w:eastAsia="Times New Roman" w:hAnsi="Times New Roman" w:cs="Times New Roman"/>
          <w:lang w:eastAsia="en-AU"/>
        </w:rPr>
        <w:t>made under item 4 of the table in section 333</w:t>
      </w:r>
      <w:r w:rsidR="00E43F49" w:rsidRPr="00ED5535">
        <w:rPr>
          <w:rFonts w:ascii="Times New Roman" w:eastAsia="Times New Roman" w:hAnsi="Times New Roman" w:cs="Times New Roman"/>
          <w:lang w:eastAsia="en-AU"/>
        </w:rPr>
        <w:noBreakHyphen/>
        <w:t>20 of the </w:t>
      </w:r>
      <w:r w:rsidR="00E43F49" w:rsidRPr="00ED5535">
        <w:rPr>
          <w:rFonts w:ascii="Times New Roman" w:eastAsia="Times New Roman" w:hAnsi="Times New Roman" w:cs="Times New Roman"/>
          <w:i/>
          <w:iCs/>
          <w:lang w:eastAsia="en-AU"/>
        </w:rPr>
        <w:t>Private Health Insurance Act 2007</w:t>
      </w:r>
      <w:r w:rsidR="00E43F49" w:rsidRPr="00ED5535">
        <w:rPr>
          <w:rFonts w:ascii="Times New Roman" w:eastAsia="Times New Roman" w:hAnsi="Times New Roman" w:cs="Times New Roman"/>
          <w:lang w:eastAsia="en-AU"/>
        </w:rPr>
        <w:t>.</w:t>
      </w:r>
    </w:p>
    <w:p w14:paraId="6E54A744" w14:textId="75C9967E" w:rsidR="00E43F49" w:rsidRPr="00ED5535" w:rsidRDefault="00E43F49" w:rsidP="00830CC6">
      <w:pPr>
        <w:shd w:val="clear" w:color="auto" w:fill="FFFFFF"/>
        <w:tabs>
          <w:tab w:val="left" w:pos="3730"/>
        </w:tabs>
        <w:spacing w:after="0" w:line="240" w:lineRule="auto"/>
        <w:rPr>
          <w:rFonts w:ascii="Times New Roman" w:eastAsia="Times New Roman" w:hAnsi="Times New Roman" w:cs="Times New Roman"/>
          <w:b/>
          <w:bCs/>
          <w:sz w:val="24"/>
          <w:szCs w:val="24"/>
          <w:lang w:eastAsia="en-AU"/>
        </w:rPr>
      </w:pPr>
      <w:r w:rsidRPr="00ED5535">
        <w:rPr>
          <w:rFonts w:ascii="Times New Roman" w:eastAsia="Times New Roman" w:hAnsi="Times New Roman" w:cs="Times New Roman"/>
          <w:lang w:eastAsia="en-AU"/>
        </w:rPr>
        <w:t> </w:t>
      </w:r>
    </w:p>
    <w:p w14:paraId="08582229" w14:textId="0C5AFA98" w:rsidR="00E47D8F" w:rsidRPr="00ED5535" w:rsidRDefault="00E47D8F" w:rsidP="003E1E93">
      <w:pPr>
        <w:shd w:val="clear" w:color="auto" w:fill="FFFFFF"/>
        <w:tabs>
          <w:tab w:val="left" w:pos="1134"/>
        </w:tabs>
        <w:spacing w:after="0" w:line="240" w:lineRule="auto"/>
        <w:ind w:left="851" w:hanging="851"/>
        <w:rPr>
          <w:rFonts w:ascii="Times New Roman" w:eastAsia="Times New Roman" w:hAnsi="Times New Roman" w:cs="Times New Roman"/>
          <w:b/>
          <w:bCs/>
          <w:lang w:eastAsia="en-AU"/>
        </w:rPr>
      </w:pPr>
      <w:r w:rsidRPr="00ED5535">
        <w:rPr>
          <w:rFonts w:ascii="Times New Roman" w:eastAsia="Times New Roman" w:hAnsi="Times New Roman" w:cs="Times New Roman"/>
          <w:b/>
          <w:bCs/>
          <w:lang w:eastAsia="en-AU"/>
        </w:rPr>
        <w:t>Section 4</w:t>
      </w:r>
      <w:r w:rsidRPr="00ED5535">
        <w:rPr>
          <w:rFonts w:ascii="Times New Roman" w:eastAsia="Times New Roman" w:hAnsi="Times New Roman" w:cs="Times New Roman"/>
          <w:b/>
          <w:bCs/>
          <w:lang w:eastAsia="en-AU"/>
        </w:rPr>
        <w:tab/>
        <w:t xml:space="preserve">   </w:t>
      </w:r>
      <w:r w:rsidR="00780A67" w:rsidRPr="00ED5535">
        <w:rPr>
          <w:rFonts w:ascii="Times New Roman" w:eastAsia="Times New Roman" w:hAnsi="Times New Roman" w:cs="Times New Roman"/>
          <w:b/>
          <w:bCs/>
          <w:lang w:eastAsia="en-AU"/>
        </w:rPr>
        <w:t>Schedules</w:t>
      </w:r>
    </w:p>
    <w:p w14:paraId="3B4E05CB" w14:textId="4912DB15" w:rsidR="00E47D8F" w:rsidRPr="00ED5535" w:rsidRDefault="00E47D8F" w:rsidP="003E1E93">
      <w:pPr>
        <w:shd w:val="clear" w:color="auto" w:fill="FFFFFF"/>
        <w:tabs>
          <w:tab w:val="left" w:pos="1134"/>
        </w:tabs>
        <w:spacing w:after="0" w:line="240" w:lineRule="auto"/>
        <w:ind w:left="851" w:hanging="851"/>
        <w:rPr>
          <w:rFonts w:ascii="Times New Roman" w:eastAsia="Times New Roman" w:hAnsi="Times New Roman" w:cs="Times New Roman"/>
          <w:b/>
          <w:bCs/>
          <w:lang w:eastAsia="en-AU"/>
        </w:rPr>
      </w:pPr>
    </w:p>
    <w:p w14:paraId="298913DC" w14:textId="1739D19B" w:rsidR="00E43F49" w:rsidRPr="00ED5535" w:rsidRDefault="0094793C" w:rsidP="00E43F49">
      <w:pPr>
        <w:shd w:val="clear" w:color="auto" w:fill="FFFFFF"/>
        <w:spacing w:after="0" w:line="240" w:lineRule="auto"/>
        <w:rPr>
          <w:rFonts w:ascii="Times New Roman" w:eastAsia="Times New Roman" w:hAnsi="Times New Roman" w:cs="Times New Roman"/>
          <w:i/>
          <w:iCs/>
          <w:lang w:eastAsia="en-AU"/>
        </w:rPr>
      </w:pPr>
      <w:r w:rsidRPr="00ED5535">
        <w:rPr>
          <w:rFonts w:ascii="Times New Roman" w:eastAsia="Times New Roman" w:hAnsi="Times New Roman" w:cs="Times New Roman"/>
          <w:lang w:eastAsia="en-AU"/>
        </w:rPr>
        <w:t xml:space="preserve">Section 4 provides that the </w:t>
      </w:r>
      <w:r w:rsidRPr="00ED5535">
        <w:rPr>
          <w:rFonts w:ascii="Times New Roman" w:eastAsia="Times New Roman" w:hAnsi="Times New Roman" w:cs="Times New Roman"/>
          <w:i/>
          <w:iCs/>
          <w:lang w:eastAsia="en-AU"/>
        </w:rPr>
        <w:t xml:space="preserve">Private Health Insurance (Medical Devices and Human Tissue Products) Rules (No. 2) 2023 </w:t>
      </w:r>
      <w:r w:rsidR="002F6987" w:rsidRPr="00ED5535">
        <w:rPr>
          <w:rFonts w:ascii="Times New Roman" w:eastAsia="Times New Roman" w:hAnsi="Times New Roman" w:cs="Times New Roman"/>
          <w:lang w:eastAsia="en-AU"/>
        </w:rPr>
        <w:t xml:space="preserve">is amended as set out in </w:t>
      </w:r>
      <w:r w:rsidR="00E43F49" w:rsidRPr="00ED5535">
        <w:rPr>
          <w:rFonts w:ascii="Times New Roman" w:eastAsia="Times New Roman" w:hAnsi="Times New Roman" w:cs="Times New Roman"/>
          <w:lang w:eastAsia="en-AU"/>
        </w:rPr>
        <w:t xml:space="preserve">Schedule </w:t>
      </w:r>
      <w:r w:rsidR="00102CBA" w:rsidRPr="00ED5535">
        <w:rPr>
          <w:rFonts w:ascii="Times New Roman" w:eastAsia="Times New Roman" w:hAnsi="Times New Roman" w:cs="Times New Roman"/>
          <w:lang w:eastAsia="en-AU"/>
        </w:rPr>
        <w:t>1</w:t>
      </w:r>
      <w:r w:rsidR="002F6987" w:rsidRPr="00ED5535">
        <w:rPr>
          <w:rFonts w:ascii="Times New Roman" w:eastAsia="Times New Roman" w:hAnsi="Times New Roman" w:cs="Times New Roman"/>
          <w:lang w:eastAsia="en-AU"/>
        </w:rPr>
        <w:t>.</w:t>
      </w:r>
    </w:p>
    <w:p w14:paraId="2740846D" w14:textId="77777777" w:rsidR="002F6987" w:rsidRPr="00ED5535" w:rsidRDefault="002F6987" w:rsidP="00E43F49">
      <w:pPr>
        <w:shd w:val="clear" w:color="auto" w:fill="FFFFFF"/>
        <w:spacing w:after="0" w:line="240" w:lineRule="auto"/>
        <w:rPr>
          <w:rFonts w:ascii="Times New Roman" w:eastAsia="Times New Roman" w:hAnsi="Times New Roman" w:cs="Times New Roman"/>
          <w:i/>
          <w:iCs/>
          <w:lang w:eastAsia="en-AU"/>
        </w:rPr>
      </w:pPr>
    </w:p>
    <w:p w14:paraId="2EBC3AFB" w14:textId="494BEE60" w:rsidR="002F6987" w:rsidRPr="00ED5535" w:rsidRDefault="002F6987" w:rsidP="00E43F49">
      <w:pPr>
        <w:shd w:val="clear" w:color="auto" w:fill="FFFFFF"/>
        <w:spacing w:after="0" w:line="240" w:lineRule="auto"/>
        <w:rPr>
          <w:rFonts w:ascii="Times New Roman" w:eastAsia="Times New Roman" w:hAnsi="Times New Roman" w:cs="Times New Roman"/>
          <w:b/>
          <w:bCs/>
          <w:lang w:eastAsia="en-AU"/>
        </w:rPr>
      </w:pPr>
      <w:r w:rsidRPr="00ED5535">
        <w:rPr>
          <w:rFonts w:ascii="Times New Roman" w:eastAsia="Times New Roman" w:hAnsi="Times New Roman" w:cs="Times New Roman"/>
          <w:b/>
          <w:bCs/>
          <w:lang w:eastAsia="en-AU"/>
        </w:rPr>
        <w:t>Schedule 1 – Amendments</w:t>
      </w:r>
    </w:p>
    <w:p w14:paraId="06C8F8D4" w14:textId="54570D42" w:rsidR="002F6987" w:rsidRPr="00ED5535" w:rsidRDefault="002F6987" w:rsidP="00E43F49">
      <w:pPr>
        <w:shd w:val="clear" w:color="auto" w:fill="FFFFFF"/>
        <w:spacing w:after="0" w:line="240" w:lineRule="auto"/>
        <w:rPr>
          <w:rFonts w:ascii="Times New Roman" w:eastAsia="Times New Roman" w:hAnsi="Times New Roman" w:cs="Times New Roman"/>
          <w:lang w:eastAsia="en-AU"/>
        </w:rPr>
      </w:pPr>
    </w:p>
    <w:p w14:paraId="2AA46E5A" w14:textId="503D65AE" w:rsidR="00DA0C60" w:rsidRPr="00ED5535" w:rsidRDefault="00DA0C60" w:rsidP="00E43F49">
      <w:pPr>
        <w:shd w:val="clear" w:color="auto" w:fill="FFFFFF"/>
        <w:spacing w:after="0" w:line="240" w:lineRule="auto"/>
        <w:rPr>
          <w:rFonts w:ascii="Times New Roman" w:eastAsia="Times New Roman" w:hAnsi="Times New Roman" w:cs="Times New Roman"/>
          <w:b/>
          <w:bCs/>
          <w:lang w:eastAsia="en-AU"/>
        </w:rPr>
      </w:pPr>
      <w:r w:rsidRPr="00ED5535">
        <w:rPr>
          <w:rFonts w:ascii="Times New Roman" w:eastAsia="Times New Roman" w:hAnsi="Times New Roman" w:cs="Times New Roman"/>
          <w:b/>
          <w:bCs/>
          <w:lang w:eastAsia="en-AU"/>
        </w:rPr>
        <w:t>Items 1 to 15</w:t>
      </w:r>
    </w:p>
    <w:p w14:paraId="0B2F26F4" w14:textId="2CB6ED04" w:rsidR="00DA0C60" w:rsidRPr="00ED5535" w:rsidRDefault="00DA0C60" w:rsidP="00DA0C60">
      <w:pPr>
        <w:rPr>
          <w:rFonts w:ascii="Times New Roman" w:eastAsia="Times New Roman" w:hAnsi="Times New Roman" w:cs="Times New Roman"/>
          <w:lang w:eastAsia="en-AU"/>
        </w:rPr>
      </w:pPr>
      <w:r w:rsidRPr="00ED5535">
        <w:rPr>
          <w:rFonts w:ascii="Times New Roman" w:eastAsia="Times New Roman" w:hAnsi="Times New Roman" w:cs="Times New Roman"/>
          <w:lang w:eastAsia="en-AU"/>
        </w:rPr>
        <w:t>Items 1 to 15 amend specific provisions of the MDHTP Rules which currently contain incorrect references to provisions in the MDHTP Rules. The following provisions affected are amended by the MDHTP Amendment Rules to correct these references: certain definitions within section 5; paragraphs (b) to (d) of subsection 17(2); note 2 to subsection 18(1); note 2 to subsection 19(1); the note to subsection 19(</w:t>
      </w:r>
      <w:r w:rsidR="006448F3" w:rsidRPr="00ED5535">
        <w:rPr>
          <w:rFonts w:ascii="Times New Roman" w:eastAsia="Times New Roman" w:hAnsi="Times New Roman" w:cs="Times New Roman"/>
          <w:lang w:eastAsia="en-AU"/>
        </w:rPr>
        <w:t>4</w:t>
      </w:r>
      <w:r w:rsidRPr="00ED5535">
        <w:rPr>
          <w:rFonts w:ascii="Times New Roman" w:eastAsia="Times New Roman" w:hAnsi="Times New Roman" w:cs="Times New Roman"/>
          <w:lang w:eastAsia="en-AU"/>
        </w:rPr>
        <w:t xml:space="preserve">); </w:t>
      </w:r>
      <w:r w:rsidR="006448F3" w:rsidRPr="00ED5535">
        <w:rPr>
          <w:rFonts w:ascii="Times New Roman" w:eastAsia="Times New Roman" w:hAnsi="Times New Roman" w:cs="Times New Roman"/>
          <w:lang w:eastAsia="en-AU"/>
        </w:rPr>
        <w:t xml:space="preserve">the note to subsection 20(1); </w:t>
      </w:r>
      <w:r w:rsidRPr="00ED5535">
        <w:rPr>
          <w:rFonts w:ascii="Times New Roman" w:eastAsia="Times New Roman" w:hAnsi="Times New Roman" w:cs="Times New Roman"/>
          <w:lang w:eastAsia="en-AU"/>
        </w:rPr>
        <w:t>the example to subsection 23(3); note 1 to subsection 23(5); notes 2 and 3 to subsection 23(5); and the note to subsection 28.</w:t>
      </w:r>
    </w:p>
    <w:p w14:paraId="44EBC663" w14:textId="28C4265C" w:rsidR="00DA0C60" w:rsidRPr="00ED5535" w:rsidRDefault="00DA0C60" w:rsidP="00DA0C60">
      <w:pPr>
        <w:spacing w:after="0"/>
        <w:rPr>
          <w:rFonts w:ascii="Times New Roman" w:eastAsia="Times New Roman" w:hAnsi="Times New Roman" w:cs="Times New Roman"/>
          <w:b/>
          <w:bCs/>
          <w:lang w:eastAsia="en-AU"/>
        </w:rPr>
      </w:pPr>
      <w:r w:rsidRPr="00ED5535">
        <w:rPr>
          <w:rFonts w:ascii="Times New Roman" w:eastAsia="Times New Roman" w:hAnsi="Times New Roman" w:cs="Times New Roman"/>
          <w:b/>
          <w:bCs/>
          <w:lang w:eastAsia="en-AU"/>
        </w:rPr>
        <w:t>Item 16</w:t>
      </w:r>
    </w:p>
    <w:p w14:paraId="101AB626" w14:textId="32B146CF" w:rsidR="00DA0C60" w:rsidRPr="00ED5535" w:rsidRDefault="00DA0C60" w:rsidP="00DA0C60">
      <w:pPr>
        <w:spacing w:after="0"/>
        <w:rPr>
          <w:rFonts w:ascii="Times New Roman" w:eastAsia="Times New Roman" w:hAnsi="Times New Roman" w:cs="Times New Roman"/>
          <w:lang w:eastAsia="en-AU"/>
        </w:rPr>
      </w:pPr>
      <w:r w:rsidRPr="00ED5535">
        <w:rPr>
          <w:rFonts w:ascii="Times New Roman" w:eastAsia="Times New Roman" w:hAnsi="Times New Roman" w:cs="Times New Roman"/>
          <w:lang w:eastAsia="en-AU"/>
        </w:rPr>
        <w:t xml:space="preserve">Item 16 repeals Schedule 1 </w:t>
      </w:r>
      <w:r w:rsidR="0037713A" w:rsidRPr="00ED5535">
        <w:rPr>
          <w:rFonts w:ascii="Times New Roman" w:eastAsia="Times New Roman" w:hAnsi="Times New Roman" w:cs="Times New Roman"/>
          <w:lang w:eastAsia="en-AU"/>
        </w:rPr>
        <w:t>–</w:t>
      </w:r>
      <w:r w:rsidRPr="00ED5535">
        <w:rPr>
          <w:rFonts w:ascii="Times New Roman" w:eastAsia="Times New Roman" w:hAnsi="Times New Roman" w:cs="Times New Roman"/>
          <w:lang w:eastAsia="en-AU"/>
        </w:rPr>
        <w:t xml:space="preserve"> </w:t>
      </w:r>
      <w:r w:rsidR="0037713A" w:rsidRPr="00ED5535">
        <w:rPr>
          <w:rFonts w:ascii="Times New Roman" w:eastAsia="Times New Roman" w:hAnsi="Times New Roman" w:cs="Times New Roman"/>
          <w:lang w:eastAsia="en-AU"/>
        </w:rPr>
        <w:t>Listed medical devices and human tissue products and substitutes a new Schedule 1 – Listed medical devices and human tissue products, with the revised condition applied to 37 billing codes listed in Part A of Schedule 1, and the minimum benefits corrected for one billing code in Part B and 5 billing codes in Part D.</w:t>
      </w:r>
    </w:p>
    <w:p w14:paraId="03418545" w14:textId="5743A3C3" w:rsidR="005622D7" w:rsidRPr="00ED5535" w:rsidRDefault="005622D7">
      <w:pPr>
        <w:rPr>
          <w:rFonts w:ascii="Times New Roman" w:eastAsia="Times New Roman" w:hAnsi="Times New Roman" w:cs="Times New Roman"/>
          <w:b/>
          <w:bCs/>
          <w:lang w:eastAsia="en-AU"/>
        </w:rPr>
      </w:pPr>
      <w:r w:rsidRPr="00ED5535">
        <w:rPr>
          <w:rFonts w:ascii="Times New Roman" w:eastAsia="Times New Roman" w:hAnsi="Times New Roman" w:cs="Times New Roman"/>
          <w:b/>
          <w:bCs/>
          <w:lang w:eastAsia="en-AU"/>
        </w:rPr>
        <w:br w:type="page"/>
      </w:r>
    </w:p>
    <w:p w14:paraId="649D0D6F" w14:textId="1D256F87" w:rsidR="009C40F7" w:rsidRPr="00ED5535" w:rsidRDefault="009C40F7" w:rsidP="00830CC6">
      <w:pPr>
        <w:shd w:val="clear" w:color="auto" w:fill="FFFFFF"/>
        <w:spacing w:before="360" w:after="120" w:line="240" w:lineRule="auto"/>
        <w:ind w:left="5760" w:firstLine="720"/>
        <w:rPr>
          <w:rFonts w:ascii="Times New Roman" w:eastAsia="Times New Roman" w:hAnsi="Times New Roman" w:cs="Times New Roman"/>
          <w:b/>
          <w:bCs/>
          <w:lang w:eastAsia="en-AU"/>
        </w:rPr>
      </w:pPr>
      <w:r w:rsidRPr="00ED5535">
        <w:rPr>
          <w:rFonts w:ascii="Times New Roman" w:eastAsia="Times New Roman" w:hAnsi="Times New Roman" w:cs="Times New Roman"/>
          <w:b/>
          <w:bCs/>
          <w:lang w:eastAsia="en-AU"/>
        </w:rPr>
        <w:lastRenderedPageBreak/>
        <w:t>ATTACHMENT B</w:t>
      </w:r>
    </w:p>
    <w:p w14:paraId="519CAB4C" w14:textId="5F29E0AC" w:rsidR="00E43F49" w:rsidRPr="00ED5535" w:rsidRDefault="00E43F49" w:rsidP="00E43F49">
      <w:pPr>
        <w:shd w:val="clear" w:color="auto" w:fill="FFFFFF"/>
        <w:spacing w:before="360" w:after="120" w:line="240" w:lineRule="auto"/>
        <w:jc w:val="center"/>
        <w:rPr>
          <w:rFonts w:ascii="Tms Rmn" w:eastAsia="Times New Roman" w:hAnsi="Tms Rmn" w:cs="Times New Roman"/>
          <w:sz w:val="24"/>
          <w:szCs w:val="24"/>
          <w:lang w:eastAsia="en-AU"/>
        </w:rPr>
      </w:pPr>
      <w:r w:rsidRPr="00ED5535">
        <w:rPr>
          <w:rFonts w:ascii="Times New Roman" w:eastAsia="Times New Roman" w:hAnsi="Times New Roman" w:cs="Times New Roman"/>
          <w:b/>
          <w:bCs/>
          <w:lang w:eastAsia="en-AU"/>
        </w:rPr>
        <w:t>Statement of Compatibility with Human Rights</w:t>
      </w:r>
    </w:p>
    <w:p w14:paraId="02646512" w14:textId="77777777" w:rsidR="00E43F49" w:rsidRPr="00ED5535" w:rsidRDefault="00E43F49" w:rsidP="00E43F49">
      <w:pPr>
        <w:shd w:val="clear" w:color="auto" w:fill="FFFFFF"/>
        <w:spacing w:before="120" w:after="120" w:line="240" w:lineRule="auto"/>
        <w:jc w:val="center"/>
        <w:rPr>
          <w:rFonts w:ascii="Tms Rmn" w:eastAsia="Times New Roman" w:hAnsi="Tms Rmn" w:cs="Times New Roman"/>
          <w:sz w:val="24"/>
          <w:szCs w:val="24"/>
          <w:lang w:eastAsia="en-AU"/>
        </w:rPr>
      </w:pPr>
      <w:r w:rsidRPr="00ED5535">
        <w:rPr>
          <w:rFonts w:ascii="Times New Roman" w:eastAsia="Times New Roman" w:hAnsi="Times New Roman" w:cs="Times New Roman"/>
          <w:i/>
          <w:iCs/>
          <w:lang w:eastAsia="en-AU"/>
        </w:rPr>
        <w:t>Prepared in accordance with Part 3 of the Human Rights (Parliamentary Scrutiny) Act 2011</w:t>
      </w:r>
    </w:p>
    <w:p w14:paraId="11509B99" w14:textId="05F9BCB0" w:rsidR="00E43F49" w:rsidRPr="00ED5535" w:rsidRDefault="00E43F49" w:rsidP="00E43F49">
      <w:pPr>
        <w:shd w:val="clear" w:color="auto" w:fill="FFFFFF"/>
        <w:spacing w:after="0" w:line="240" w:lineRule="auto"/>
        <w:jc w:val="center"/>
        <w:rPr>
          <w:rFonts w:ascii="Tms Rmn" w:eastAsia="Times New Roman" w:hAnsi="Tms Rmn" w:cs="Times New Roman"/>
          <w:sz w:val="24"/>
          <w:szCs w:val="24"/>
          <w:lang w:eastAsia="en-AU"/>
        </w:rPr>
      </w:pPr>
      <w:r w:rsidRPr="00ED5535">
        <w:rPr>
          <w:rFonts w:ascii="Times New Roman" w:eastAsia="Times New Roman" w:hAnsi="Times New Roman" w:cs="Times New Roman"/>
          <w:b/>
          <w:bCs/>
          <w:i/>
          <w:iCs/>
          <w:lang w:eastAsia="en-AU"/>
        </w:rPr>
        <w:t>Private Health Insurance (</w:t>
      </w:r>
      <w:r w:rsidR="003B1855" w:rsidRPr="00ED5535">
        <w:rPr>
          <w:rFonts w:ascii="Times New Roman" w:eastAsia="Times New Roman" w:hAnsi="Times New Roman" w:cs="Times New Roman"/>
          <w:b/>
          <w:bCs/>
          <w:i/>
          <w:iCs/>
          <w:lang w:eastAsia="en-AU"/>
        </w:rPr>
        <w:t>Medical Devices and Human Tissue Products</w:t>
      </w:r>
      <w:r w:rsidRPr="00ED5535">
        <w:rPr>
          <w:rFonts w:ascii="Times New Roman" w:eastAsia="Times New Roman" w:hAnsi="Times New Roman" w:cs="Times New Roman"/>
          <w:b/>
          <w:bCs/>
          <w:i/>
          <w:iCs/>
          <w:lang w:eastAsia="en-AU"/>
        </w:rPr>
        <w:t xml:space="preserve">) </w:t>
      </w:r>
      <w:r w:rsidR="007E7856" w:rsidRPr="00ED5535">
        <w:rPr>
          <w:rFonts w:ascii="Times New Roman" w:eastAsia="Times New Roman" w:hAnsi="Times New Roman" w:cs="Times New Roman"/>
          <w:b/>
          <w:bCs/>
          <w:i/>
          <w:iCs/>
          <w:lang w:eastAsia="en-AU"/>
        </w:rPr>
        <w:t xml:space="preserve">Amendment </w:t>
      </w:r>
      <w:r w:rsidRPr="00ED5535">
        <w:rPr>
          <w:rFonts w:ascii="Times New Roman" w:eastAsia="Times New Roman" w:hAnsi="Times New Roman" w:cs="Times New Roman"/>
          <w:b/>
          <w:bCs/>
          <w:i/>
          <w:iCs/>
          <w:lang w:eastAsia="en-AU"/>
        </w:rPr>
        <w:t xml:space="preserve">Rules </w:t>
      </w:r>
      <w:r w:rsidR="006A7356" w:rsidRPr="00ED5535">
        <w:rPr>
          <w:rFonts w:ascii="Times New Roman" w:eastAsia="Times New Roman" w:hAnsi="Times New Roman" w:cs="Times New Roman"/>
          <w:b/>
          <w:bCs/>
          <w:i/>
          <w:iCs/>
          <w:lang w:eastAsia="en-AU"/>
        </w:rPr>
        <w:t>(No.</w:t>
      </w:r>
      <w:r w:rsidR="007E7856" w:rsidRPr="00ED5535">
        <w:rPr>
          <w:rFonts w:ascii="Times New Roman" w:eastAsia="Times New Roman" w:hAnsi="Times New Roman" w:cs="Times New Roman"/>
          <w:b/>
          <w:bCs/>
          <w:i/>
          <w:iCs/>
          <w:lang w:eastAsia="en-AU"/>
        </w:rPr>
        <w:t> </w:t>
      </w:r>
      <w:r w:rsidR="006A7356" w:rsidRPr="00ED5535">
        <w:rPr>
          <w:rFonts w:ascii="Times New Roman" w:eastAsia="Times New Roman" w:hAnsi="Times New Roman" w:cs="Times New Roman"/>
          <w:b/>
          <w:bCs/>
          <w:i/>
          <w:iCs/>
          <w:lang w:eastAsia="en-AU"/>
        </w:rPr>
        <w:t xml:space="preserve"> </w:t>
      </w:r>
      <w:r w:rsidR="00525C83" w:rsidRPr="00ED5535">
        <w:rPr>
          <w:rFonts w:ascii="Times New Roman" w:eastAsia="Times New Roman" w:hAnsi="Times New Roman" w:cs="Times New Roman"/>
          <w:b/>
          <w:bCs/>
          <w:i/>
          <w:iCs/>
          <w:lang w:eastAsia="en-AU"/>
        </w:rPr>
        <w:t>2</w:t>
      </w:r>
      <w:r w:rsidR="006A7356" w:rsidRPr="00ED5535">
        <w:rPr>
          <w:rFonts w:ascii="Times New Roman" w:eastAsia="Times New Roman" w:hAnsi="Times New Roman" w:cs="Times New Roman"/>
          <w:b/>
          <w:bCs/>
          <w:i/>
          <w:iCs/>
          <w:lang w:eastAsia="en-AU"/>
        </w:rPr>
        <w:t xml:space="preserve">) </w:t>
      </w:r>
      <w:r w:rsidRPr="00ED5535">
        <w:rPr>
          <w:rFonts w:ascii="Times New Roman" w:eastAsia="Times New Roman" w:hAnsi="Times New Roman" w:cs="Times New Roman"/>
          <w:b/>
          <w:bCs/>
          <w:i/>
          <w:iCs/>
          <w:lang w:eastAsia="en-AU"/>
        </w:rPr>
        <w:t>2023</w:t>
      </w:r>
      <w:r w:rsidRPr="00ED5535">
        <w:rPr>
          <w:rFonts w:ascii="Times New Roman" w:eastAsia="Times New Roman" w:hAnsi="Times New Roman" w:cs="Times New Roman"/>
          <w:b/>
          <w:bCs/>
          <w:i/>
          <w:iCs/>
          <w:lang w:eastAsia="en-AU"/>
        </w:rPr>
        <w:br/>
      </w:r>
      <w:r w:rsidRPr="00ED5535">
        <w:rPr>
          <w:rFonts w:ascii="Times New Roman" w:eastAsia="Times New Roman" w:hAnsi="Times New Roman" w:cs="Times New Roman"/>
          <w:b/>
          <w:bCs/>
          <w:i/>
          <w:iCs/>
          <w:lang w:eastAsia="en-AU"/>
        </w:rPr>
        <w:br/>
      </w:r>
      <w:r w:rsidRPr="00ED5535">
        <w:rPr>
          <w:rFonts w:ascii="Times New Roman" w:eastAsia="Times New Roman" w:hAnsi="Times New Roman" w:cs="Times New Roman"/>
          <w:lang w:eastAsia="en-AU"/>
        </w:rPr>
        <w:t>This instrument is compatible with the human rights and freedoms recognised or declared in the international instruments listed in section 3 of the </w:t>
      </w:r>
      <w:r w:rsidRPr="00ED5535">
        <w:rPr>
          <w:rFonts w:ascii="Times New Roman" w:eastAsia="Times New Roman" w:hAnsi="Times New Roman" w:cs="Times New Roman"/>
          <w:i/>
          <w:iCs/>
          <w:lang w:eastAsia="en-AU"/>
        </w:rPr>
        <w:t>Human Rights (Parliamentary Scrutiny) Act 2011</w:t>
      </w:r>
      <w:r w:rsidRPr="00ED5535">
        <w:rPr>
          <w:rFonts w:ascii="Times New Roman" w:eastAsia="Times New Roman" w:hAnsi="Times New Roman" w:cs="Times New Roman"/>
          <w:lang w:eastAsia="en-AU"/>
        </w:rPr>
        <w:t>.</w:t>
      </w:r>
    </w:p>
    <w:p w14:paraId="5C6E002A" w14:textId="4AC548AA" w:rsidR="00E43F49" w:rsidRPr="00ED5535" w:rsidRDefault="00E43F49" w:rsidP="00E43F49">
      <w:pPr>
        <w:shd w:val="clear" w:color="auto" w:fill="FFFFFF"/>
        <w:spacing w:before="120" w:after="120" w:line="240" w:lineRule="auto"/>
        <w:rPr>
          <w:rFonts w:ascii="Tms Rmn" w:eastAsia="Times New Roman" w:hAnsi="Tms Rmn" w:cs="Times New Roman"/>
          <w:sz w:val="24"/>
          <w:szCs w:val="24"/>
          <w:lang w:eastAsia="en-AU"/>
        </w:rPr>
      </w:pPr>
      <w:r w:rsidRPr="00ED5535">
        <w:rPr>
          <w:rFonts w:ascii="Times New Roman" w:eastAsia="Times New Roman" w:hAnsi="Times New Roman" w:cs="Times New Roman"/>
          <w:b/>
          <w:bCs/>
          <w:lang w:eastAsia="en-AU"/>
        </w:rPr>
        <w:t>Overview of the</w:t>
      </w:r>
      <w:r w:rsidR="00BF5A59" w:rsidRPr="00ED5535">
        <w:rPr>
          <w:rFonts w:ascii="Times New Roman" w:eastAsia="Times New Roman" w:hAnsi="Times New Roman" w:cs="Times New Roman"/>
          <w:b/>
          <w:bCs/>
          <w:lang w:eastAsia="en-AU"/>
        </w:rPr>
        <w:t xml:space="preserve"> Disallowable</w:t>
      </w:r>
      <w:r w:rsidRPr="00ED5535">
        <w:rPr>
          <w:rFonts w:ascii="Times New Roman" w:eastAsia="Times New Roman" w:hAnsi="Times New Roman" w:cs="Times New Roman"/>
          <w:b/>
          <w:bCs/>
          <w:lang w:eastAsia="en-AU"/>
        </w:rPr>
        <w:t xml:space="preserve"> Legislative Instrument</w:t>
      </w:r>
    </w:p>
    <w:p w14:paraId="0772EE20" w14:textId="5FCA79AB" w:rsidR="00525C83" w:rsidRPr="00ED5535" w:rsidRDefault="00240856" w:rsidP="00525C83">
      <w:pPr>
        <w:shd w:val="clear" w:color="auto" w:fill="FFFFFF"/>
        <w:spacing w:after="0" w:line="240" w:lineRule="auto"/>
        <w:jc w:val="both"/>
        <w:rPr>
          <w:rFonts w:ascii="Times New Roman" w:eastAsia="Times New Roman" w:hAnsi="Times New Roman" w:cs="Times New Roman"/>
          <w:lang w:eastAsia="en-AU"/>
        </w:rPr>
      </w:pPr>
      <w:r w:rsidRPr="00ED5535">
        <w:rPr>
          <w:rFonts w:ascii="Times New Roman" w:eastAsia="Times New Roman" w:hAnsi="Times New Roman" w:cs="Times New Roman"/>
          <w:lang w:eastAsia="en-AU"/>
        </w:rPr>
        <w:t xml:space="preserve">The table in subsection 72-1(2) of Part 3-3 of the Act (Table) provides for benefit requirements a complying health insurance policy that covers hospital treatment must meet. Under item 4 of the Table </w:t>
      </w:r>
    </w:p>
    <w:p w14:paraId="2ADFA624" w14:textId="1D96AD00" w:rsidR="00240856" w:rsidRPr="00ED5535" w:rsidRDefault="00240856" w:rsidP="00240856">
      <w:pPr>
        <w:shd w:val="clear" w:color="auto" w:fill="FFFFFF"/>
        <w:spacing w:after="0" w:line="240" w:lineRule="auto"/>
        <w:jc w:val="both"/>
        <w:rPr>
          <w:rFonts w:ascii="Times New Roman" w:eastAsia="Times New Roman" w:hAnsi="Times New Roman" w:cs="Times New Roman"/>
          <w:lang w:eastAsia="en-AU"/>
        </w:rPr>
      </w:pPr>
      <w:r w:rsidRPr="00ED5535">
        <w:rPr>
          <w:rFonts w:ascii="Times New Roman" w:eastAsia="Times New Roman" w:hAnsi="Times New Roman" w:cs="Times New Roman"/>
          <w:lang w:eastAsia="en-AU"/>
        </w:rPr>
        <w:t xml:space="preserve">there must be a benefit for the provision of a medical device or human tissue product, of a kind listed in the Private Health Insurance (Medical Devices and Human Tissue Products) Rules, in specified circumstances and under any specified conditions. The specified circumstances are that the listed item is provided in circumstances in which a </w:t>
      </w:r>
      <w:proofErr w:type="spellStart"/>
      <w:r w:rsidRPr="00ED5535">
        <w:rPr>
          <w:rFonts w:ascii="Times New Roman" w:eastAsia="Times New Roman" w:hAnsi="Times New Roman" w:cs="Times New Roman"/>
          <w:lang w:eastAsia="en-AU"/>
        </w:rPr>
        <w:t>medicare</w:t>
      </w:r>
      <w:proofErr w:type="spellEnd"/>
      <w:r w:rsidRPr="00ED5535">
        <w:rPr>
          <w:rFonts w:ascii="Times New Roman" w:eastAsia="Times New Roman" w:hAnsi="Times New Roman" w:cs="Times New Roman"/>
          <w:lang w:eastAsia="en-AU"/>
        </w:rPr>
        <w:t xml:space="preserve"> benefit is payable or in other circumstances which may be set out in the Private Health Insurance (Medical Devices and Human Tissue Products) Rules. The specified conditions are any that may be set out in the Private Health Insurance (Medical Devices and Human Tissue Products) Rules.</w:t>
      </w:r>
    </w:p>
    <w:p w14:paraId="60F589EB" w14:textId="2B7FFF51" w:rsidR="00240856" w:rsidRPr="00ED5535" w:rsidRDefault="00240856" w:rsidP="00240856">
      <w:pPr>
        <w:shd w:val="clear" w:color="auto" w:fill="FFFFFF"/>
        <w:spacing w:after="0" w:line="240" w:lineRule="auto"/>
        <w:jc w:val="both"/>
        <w:rPr>
          <w:rFonts w:ascii="Times New Roman" w:eastAsia="Times New Roman" w:hAnsi="Times New Roman" w:cs="Times New Roman"/>
          <w:lang w:eastAsia="en-AU"/>
        </w:rPr>
      </w:pPr>
    </w:p>
    <w:p w14:paraId="284CF5D7" w14:textId="00AF6D5A" w:rsidR="002F4411" w:rsidRPr="00ED5535" w:rsidRDefault="002F4411" w:rsidP="002F4411">
      <w:pPr>
        <w:shd w:val="clear" w:color="auto" w:fill="FFFFFF"/>
        <w:spacing w:after="0" w:line="240" w:lineRule="auto"/>
        <w:jc w:val="both"/>
        <w:rPr>
          <w:rFonts w:ascii="Times New Roman" w:eastAsia="Times New Roman" w:hAnsi="Times New Roman" w:cs="Times New Roman"/>
          <w:lang w:eastAsia="en-AU"/>
        </w:rPr>
      </w:pPr>
      <w:r w:rsidRPr="00ED5535">
        <w:rPr>
          <w:rFonts w:ascii="Times New Roman" w:eastAsia="Times New Roman" w:hAnsi="Times New Roman" w:cs="Times New Roman"/>
          <w:lang w:eastAsia="en-AU"/>
        </w:rPr>
        <w:t xml:space="preserve">The purpose of the </w:t>
      </w:r>
      <w:r w:rsidRPr="00ED5535">
        <w:rPr>
          <w:rFonts w:ascii="Times New Roman" w:eastAsia="Times New Roman" w:hAnsi="Times New Roman" w:cs="Times New Roman"/>
          <w:i/>
          <w:iCs/>
          <w:lang w:eastAsia="en-AU"/>
        </w:rPr>
        <w:t>Private Health Insurance (Medical Devices and Human Tissue Products) Amendment Rules (No. 2) 2023 </w:t>
      </w:r>
      <w:r w:rsidRPr="00ED5535">
        <w:rPr>
          <w:rFonts w:ascii="Times New Roman" w:eastAsia="Times New Roman" w:hAnsi="Times New Roman" w:cs="Times New Roman"/>
          <w:lang w:eastAsia="en-AU"/>
        </w:rPr>
        <w:t xml:space="preserve">(MDHTP Amendment Rules) is to amend the </w:t>
      </w:r>
      <w:r w:rsidRPr="00ED5535">
        <w:rPr>
          <w:rFonts w:ascii="Times New Roman" w:eastAsia="Times New Roman" w:hAnsi="Times New Roman" w:cs="Times New Roman"/>
          <w:i/>
          <w:iCs/>
          <w:lang w:eastAsia="en-AU"/>
        </w:rPr>
        <w:t xml:space="preserve">Private Health Insurance (Medical Devices and Human Tissue Products) Rules (No. 2) 2023 </w:t>
      </w:r>
      <w:r w:rsidRPr="00ED5535">
        <w:rPr>
          <w:rFonts w:ascii="Times New Roman" w:eastAsia="Times New Roman" w:hAnsi="Times New Roman" w:cs="Times New Roman"/>
          <w:lang w:eastAsia="en-AU"/>
        </w:rPr>
        <w:t xml:space="preserve">(MDHTP Rules), made under section 333-20 of the </w:t>
      </w:r>
      <w:r w:rsidRPr="00ED5535">
        <w:rPr>
          <w:rFonts w:ascii="Times New Roman" w:eastAsia="Times New Roman" w:hAnsi="Times New Roman" w:cs="Times New Roman"/>
          <w:i/>
          <w:iCs/>
          <w:lang w:eastAsia="en-AU"/>
        </w:rPr>
        <w:t xml:space="preserve">Private Health Insurance Act 2007 </w:t>
      </w:r>
      <w:r w:rsidRPr="00ED5535">
        <w:rPr>
          <w:rFonts w:ascii="Times New Roman" w:eastAsia="Times New Roman" w:hAnsi="Times New Roman" w:cs="Times New Roman"/>
          <w:lang w:eastAsia="en-AU"/>
        </w:rPr>
        <w:t xml:space="preserve">(Act). The MDHTP Amendment </w:t>
      </w:r>
      <w:r w:rsidR="00556437" w:rsidRPr="00ED5535">
        <w:rPr>
          <w:rFonts w:ascii="Times New Roman" w:eastAsia="Times New Roman" w:hAnsi="Times New Roman" w:cs="Times New Roman"/>
          <w:lang w:eastAsia="en-AU"/>
        </w:rPr>
        <w:t>R</w:t>
      </w:r>
      <w:r w:rsidRPr="00ED5535">
        <w:rPr>
          <w:rFonts w:ascii="Times New Roman" w:eastAsia="Times New Roman" w:hAnsi="Times New Roman" w:cs="Times New Roman"/>
          <w:lang w:eastAsia="en-AU"/>
        </w:rPr>
        <w:t xml:space="preserve">ules amend the condition applied to 37 billing codes listed in Part A of the Schedule, commonly known as the Prescribed List of Medical Devices and Human Tissue Products (Prescribed List), </w:t>
      </w:r>
      <w:r w:rsidR="006448F3" w:rsidRPr="00ED5535">
        <w:rPr>
          <w:rFonts w:ascii="Times New Roman" w:eastAsia="Times New Roman" w:hAnsi="Times New Roman" w:cs="Times New Roman"/>
          <w:lang w:eastAsia="en-AU"/>
        </w:rPr>
        <w:t xml:space="preserve">correct </w:t>
      </w:r>
      <w:r w:rsidRPr="00ED5535">
        <w:rPr>
          <w:rFonts w:ascii="Times New Roman" w:eastAsia="Times New Roman" w:hAnsi="Times New Roman" w:cs="Times New Roman"/>
          <w:lang w:eastAsia="en-AU"/>
        </w:rPr>
        <w:t>the minimum benefit for one billing code in Part B of the Schedule</w:t>
      </w:r>
      <w:r w:rsidR="006448F3" w:rsidRPr="00ED5535">
        <w:rPr>
          <w:rFonts w:ascii="Times New Roman" w:eastAsia="Times New Roman" w:hAnsi="Times New Roman" w:cs="Times New Roman"/>
          <w:lang w:eastAsia="en-AU"/>
        </w:rPr>
        <w:t xml:space="preserve"> 1</w:t>
      </w:r>
      <w:r w:rsidR="00135200" w:rsidRPr="00ED5535">
        <w:rPr>
          <w:rFonts w:ascii="Times New Roman" w:eastAsia="Times New Roman" w:hAnsi="Times New Roman" w:cs="Times New Roman"/>
          <w:lang w:eastAsia="en-AU"/>
        </w:rPr>
        <w:t>, correct benefits for 5 billing codes in Part D of the Schedule</w:t>
      </w:r>
      <w:r w:rsidR="006448F3" w:rsidRPr="00ED5535">
        <w:rPr>
          <w:rFonts w:ascii="Times New Roman" w:eastAsia="Times New Roman" w:hAnsi="Times New Roman" w:cs="Times New Roman"/>
          <w:lang w:eastAsia="en-AU"/>
        </w:rPr>
        <w:t xml:space="preserve"> 1</w:t>
      </w:r>
      <w:r w:rsidR="00556437" w:rsidRPr="00ED5535">
        <w:rPr>
          <w:rFonts w:ascii="Times New Roman" w:eastAsia="Times New Roman" w:hAnsi="Times New Roman" w:cs="Times New Roman"/>
          <w:lang w:eastAsia="en-AU"/>
        </w:rPr>
        <w:t>, and to make editorial changes.</w:t>
      </w:r>
    </w:p>
    <w:p w14:paraId="7034DEE3" w14:textId="77777777" w:rsidR="00240856" w:rsidRPr="00ED5535" w:rsidRDefault="00240856" w:rsidP="0096304F">
      <w:pPr>
        <w:shd w:val="clear" w:color="auto" w:fill="FFFFFF"/>
        <w:spacing w:after="0" w:line="240" w:lineRule="auto"/>
        <w:jc w:val="both"/>
        <w:rPr>
          <w:rFonts w:ascii="Times New Roman" w:eastAsia="Times New Roman" w:hAnsi="Times New Roman" w:cs="Times New Roman"/>
          <w:lang w:eastAsia="en-AU"/>
        </w:rPr>
      </w:pPr>
    </w:p>
    <w:p w14:paraId="5F7C7BC8" w14:textId="35993DEB" w:rsidR="002F4411" w:rsidRPr="00ED5535" w:rsidRDefault="002F4411" w:rsidP="002F4411">
      <w:pPr>
        <w:shd w:val="clear" w:color="auto" w:fill="FFFFFF"/>
        <w:spacing w:after="0" w:line="240" w:lineRule="auto"/>
        <w:jc w:val="both"/>
        <w:rPr>
          <w:rFonts w:ascii="Times New Roman" w:eastAsia="Times New Roman" w:hAnsi="Times New Roman" w:cs="Times New Roman"/>
          <w:lang w:eastAsia="en-AU"/>
        </w:rPr>
      </w:pPr>
      <w:r w:rsidRPr="00ED5535">
        <w:rPr>
          <w:rFonts w:ascii="Times New Roman" w:eastAsia="Times New Roman" w:hAnsi="Times New Roman" w:cs="Times New Roman"/>
          <w:lang w:eastAsia="en-AU"/>
        </w:rPr>
        <w:t xml:space="preserve">The MDHTP Rules apply a condition on 37 billing codes for surgical guides and </w:t>
      </w:r>
      <w:proofErr w:type="spellStart"/>
      <w:r w:rsidRPr="00ED5535">
        <w:rPr>
          <w:rFonts w:ascii="Times New Roman" w:eastAsia="Times New Roman" w:hAnsi="Times New Roman" w:cs="Times New Roman"/>
          <w:lang w:eastAsia="en-AU"/>
        </w:rPr>
        <w:t>biomodels</w:t>
      </w:r>
      <w:proofErr w:type="spellEnd"/>
      <w:r w:rsidRPr="00ED5535">
        <w:rPr>
          <w:rFonts w:ascii="Times New Roman" w:eastAsia="Times New Roman" w:hAnsi="Times New Roman" w:cs="Times New Roman"/>
          <w:lang w:eastAsia="en-AU"/>
        </w:rPr>
        <w:t xml:space="preserve"> in Part A of the Prescribed List, that must be satisfied in relation to the provision of the listed items. This follows a post-listing review of these devices to test whether they satisfy the criteria for listing and the circumstances in which they </w:t>
      </w:r>
      <w:r w:rsidR="006448F3" w:rsidRPr="00ED5535">
        <w:rPr>
          <w:rFonts w:ascii="Times New Roman" w:eastAsia="Times New Roman" w:hAnsi="Times New Roman" w:cs="Times New Roman"/>
          <w:lang w:eastAsia="en-AU"/>
        </w:rPr>
        <w:t xml:space="preserve">are required to </w:t>
      </w:r>
      <w:r w:rsidRPr="00ED5535">
        <w:rPr>
          <w:rFonts w:ascii="Times New Roman" w:eastAsia="Times New Roman" w:hAnsi="Times New Roman" w:cs="Times New Roman"/>
          <w:lang w:eastAsia="en-AU"/>
        </w:rPr>
        <w:t xml:space="preserve">be reimbursed. The review found that there is evidence to demonstrate that surgical guides and </w:t>
      </w:r>
      <w:proofErr w:type="spellStart"/>
      <w:r w:rsidRPr="00ED5535">
        <w:rPr>
          <w:rFonts w:ascii="Times New Roman" w:eastAsia="Times New Roman" w:hAnsi="Times New Roman" w:cs="Times New Roman"/>
          <w:lang w:eastAsia="en-AU"/>
        </w:rPr>
        <w:t>biomodels</w:t>
      </w:r>
      <w:proofErr w:type="spellEnd"/>
      <w:r w:rsidRPr="00ED5535">
        <w:rPr>
          <w:rFonts w:ascii="Times New Roman" w:eastAsia="Times New Roman" w:hAnsi="Times New Roman" w:cs="Times New Roman"/>
          <w:lang w:eastAsia="en-AU"/>
        </w:rPr>
        <w:t xml:space="preserve"> are clinically effective when used in craniomaxillofacial surgery procedures involving insertion of a medical device, but there is insufficient evidence to support listing of these billing codes for any other types of surgeries</w:t>
      </w:r>
      <w:r w:rsidRPr="00ED5535">
        <w:rPr>
          <w:rFonts w:ascii="Times New Roman" w:hAnsi="Times New Roman" w:cs="Times New Roman"/>
        </w:rPr>
        <w:t xml:space="preserve"> and </w:t>
      </w:r>
      <w:r w:rsidRPr="00ED5535">
        <w:rPr>
          <w:rFonts w:ascii="Times New Roman" w:eastAsia="Times New Roman" w:hAnsi="Times New Roman" w:cs="Times New Roman"/>
          <w:lang w:eastAsia="en-AU"/>
        </w:rPr>
        <w:t xml:space="preserve">that the </w:t>
      </w:r>
      <w:r w:rsidR="00864721" w:rsidRPr="00ED5535">
        <w:rPr>
          <w:rFonts w:ascii="Times New Roman" w:eastAsia="Times New Roman" w:hAnsi="Times New Roman" w:cs="Times New Roman"/>
          <w:lang w:eastAsia="en-AU"/>
        </w:rPr>
        <w:t>Prescribed List</w:t>
      </w:r>
      <w:r w:rsidR="00B8078B" w:rsidRPr="00ED5535">
        <w:rPr>
          <w:rFonts w:ascii="Times New Roman" w:eastAsia="Times New Roman" w:hAnsi="Times New Roman" w:cs="Times New Roman"/>
          <w:lang w:eastAsia="en-AU"/>
        </w:rPr>
        <w:t xml:space="preserve"> </w:t>
      </w:r>
      <w:r w:rsidRPr="00ED5535">
        <w:rPr>
          <w:rFonts w:ascii="Times New Roman" w:eastAsia="Times New Roman" w:hAnsi="Times New Roman" w:cs="Times New Roman"/>
          <w:lang w:eastAsia="en-AU"/>
        </w:rPr>
        <w:t>reimbursement of the devices should be restricted in respect to number of devices reimbursed per procedure. Accordingly, the condition</w:t>
      </w:r>
      <w:r w:rsidR="006448F3" w:rsidRPr="00ED5535">
        <w:rPr>
          <w:rFonts w:ascii="Times New Roman" w:eastAsia="Times New Roman" w:hAnsi="Times New Roman" w:cs="Times New Roman"/>
          <w:lang w:eastAsia="en-AU"/>
        </w:rPr>
        <w:t>, placed on the billing codes for surgical gui</w:t>
      </w:r>
      <w:r w:rsidR="003B2B84" w:rsidRPr="00ED5535">
        <w:rPr>
          <w:rFonts w:ascii="Times New Roman" w:eastAsia="Times New Roman" w:hAnsi="Times New Roman" w:cs="Times New Roman"/>
          <w:lang w:eastAsia="en-AU"/>
        </w:rPr>
        <w:t xml:space="preserve">des and </w:t>
      </w:r>
      <w:proofErr w:type="spellStart"/>
      <w:r w:rsidR="003B2B84" w:rsidRPr="00ED5535">
        <w:rPr>
          <w:rFonts w:ascii="Times New Roman" w:eastAsia="Times New Roman" w:hAnsi="Times New Roman" w:cs="Times New Roman"/>
          <w:lang w:eastAsia="en-AU"/>
        </w:rPr>
        <w:t>biomodels</w:t>
      </w:r>
      <w:proofErr w:type="spellEnd"/>
      <w:r w:rsidR="003B2B84" w:rsidRPr="00ED5535">
        <w:rPr>
          <w:rFonts w:ascii="Times New Roman" w:eastAsia="Times New Roman" w:hAnsi="Times New Roman" w:cs="Times New Roman"/>
          <w:lang w:eastAsia="en-AU"/>
        </w:rPr>
        <w:t xml:space="preserve"> in the MDHTP Rules,</w:t>
      </w:r>
      <w:r w:rsidRPr="00ED5535">
        <w:rPr>
          <w:rFonts w:ascii="Times New Roman" w:eastAsia="Times New Roman" w:hAnsi="Times New Roman" w:cs="Times New Roman"/>
          <w:lang w:eastAsia="en-AU"/>
        </w:rPr>
        <w:t xml:space="preserve"> specifies that: </w:t>
      </w:r>
      <w:r w:rsidRPr="00ED5535">
        <w:rPr>
          <w:rFonts w:ascii="Times New Roman" w:eastAsia="Times New Roman" w:hAnsi="Times New Roman" w:cs="Times New Roman"/>
          <w:i/>
          <w:iCs/>
          <w:lang w:eastAsia="en-AU"/>
        </w:rPr>
        <w:t>Prescribed List reimbursement of the device is restricted to the use in craniomaxillofacial surgery procedures involving insertion of a medical device listed in Schedule 1, and for no more than 3 devices per procedure</w:t>
      </w:r>
      <w:r w:rsidRPr="00ED5535">
        <w:rPr>
          <w:rFonts w:ascii="Times New Roman" w:eastAsia="Times New Roman" w:hAnsi="Times New Roman" w:cs="Times New Roman"/>
          <w:lang w:eastAsia="en-AU"/>
        </w:rPr>
        <w:t>.</w:t>
      </w:r>
    </w:p>
    <w:p w14:paraId="45A583F8" w14:textId="77777777" w:rsidR="002F4411" w:rsidRPr="00ED5535" w:rsidRDefault="002F4411" w:rsidP="002F4411">
      <w:pPr>
        <w:shd w:val="clear" w:color="auto" w:fill="FFFFFF"/>
        <w:spacing w:after="0" w:line="240" w:lineRule="auto"/>
        <w:rPr>
          <w:rFonts w:ascii="Times New Roman" w:eastAsia="Times New Roman" w:hAnsi="Times New Roman" w:cs="Times New Roman"/>
          <w:lang w:eastAsia="en-AU"/>
        </w:rPr>
      </w:pPr>
    </w:p>
    <w:p w14:paraId="79C4928A" w14:textId="1AF892DA" w:rsidR="002F4411" w:rsidRPr="00ED5535" w:rsidRDefault="00AF17A4" w:rsidP="003B2B84">
      <w:pPr>
        <w:shd w:val="clear" w:color="auto" w:fill="FFFFFF"/>
        <w:spacing w:after="0" w:line="240" w:lineRule="auto"/>
        <w:rPr>
          <w:rFonts w:ascii="Times New Roman" w:eastAsia="Times New Roman" w:hAnsi="Times New Roman" w:cs="Times New Roman"/>
          <w:lang w:eastAsia="en-AU"/>
        </w:rPr>
      </w:pPr>
      <w:r w:rsidRPr="00ED5535">
        <w:rPr>
          <w:rFonts w:ascii="Times New Roman" w:eastAsia="Times New Roman" w:hAnsi="Times New Roman" w:cs="Times New Roman"/>
          <w:lang w:eastAsia="en-AU"/>
        </w:rPr>
        <w:t>Following registration of the MDHTP Rules, the</w:t>
      </w:r>
      <w:r w:rsidR="00B8078B" w:rsidRPr="00ED5535">
        <w:rPr>
          <w:rFonts w:ascii="Times New Roman" w:eastAsia="Times New Roman" w:hAnsi="Times New Roman" w:cs="Times New Roman"/>
          <w:lang w:eastAsia="en-AU"/>
        </w:rPr>
        <w:t xml:space="preserve"> </w:t>
      </w:r>
      <w:r w:rsidR="002F4411" w:rsidRPr="00ED5535">
        <w:rPr>
          <w:rFonts w:ascii="Times New Roman" w:eastAsia="Times New Roman" w:hAnsi="Times New Roman" w:cs="Times New Roman"/>
          <w:lang w:eastAsia="en-AU"/>
        </w:rPr>
        <w:t xml:space="preserve">Department of Health and Aged Care received queries from several stakeholders </w:t>
      </w:r>
      <w:r w:rsidR="003B2B84" w:rsidRPr="00ED5535">
        <w:rPr>
          <w:rFonts w:ascii="Times New Roman" w:eastAsia="Times New Roman" w:hAnsi="Times New Roman" w:cs="Times New Roman"/>
          <w:lang w:eastAsia="en-AU"/>
        </w:rPr>
        <w:t xml:space="preserve">seeking clarification on the interpretation, intent, and scope of </w:t>
      </w:r>
      <w:r w:rsidR="002F4411" w:rsidRPr="00ED5535">
        <w:rPr>
          <w:rFonts w:ascii="Times New Roman" w:eastAsia="Times New Roman" w:hAnsi="Times New Roman" w:cs="Times New Roman"/>
          <w:lang w:eastAsia="en-AU"/>
        </w:rPr>
        <w:t xml:space="preserve">the condition. Stakeholders also raised concerns that insufficient notice had been given to stakeholders about the </w:t>
      </w:r>
      <w:r w:rsidR="003B2B84" w:rsidRPr="00ED5535">
        <w:rPr>
          <w:rFonts w:ascii="Times New Roman" w:eastAsia="Times New Roman" w:hAnsi="Times New Roman" w:cs="Times New Roman"/>
          <w:lang w:eastAsia="en-AU"/>
        </w:rPr>
        <w:t xml:space="preserve">commencement </w:t>
      </w:r>
      <w:r w:rsidR="002F4411" w:rsidRPr="00ED5535">
        <w:rPr>
          <w:rFonts w:ascii="Times New Roman" w:eastAsia="Times New Roman" w:hAnsi="Times New Roman" w:cs="Times New Roman"/>
          <w:lang w:eastAsia="en-AU"/>
        </w:rPr>
        <w:t xml:space="preserve">of the condition </w:t>
      </w:r>
      <w:r w:rsidR="003B2B84" w:rsidRPr="00ED5535">
        <w:rPr>
          <w:rFonts w:ascii="Times New Roman" w:eastAsia="Times New Roman" w:hAnsi="Times New Roman" w:cs="Times New Roman"/>
          <w:lang w:eastAsia="en-AU"/>
        </w:rPr>
        <w:t xml:space="preserve">on </w:t>
      </w:r>
      <w:r w:rsidR="002F4411" w:rsidRPr="00ED5535">
        <w:rPr>
          <w:rFonts w:ascii="Times New Roman" w:eastAsia="Times New Roman" w:hAnsi="Times New Roman" w:cs="Times New Roman"/>
          <w:lang w:eastAsia="en-AU"/>
        </w:rPr>
        <w:t>1 November 2023.</w:t>
      </w:r>
    </w:p>
    <w:p w14:paraId="0536A2FC" w14:textId="77777777" w:rsidR="002F4411" w:rsidRPr="00ED5535" w:rsidRDefault="002F4411" w:rsidP="002F4411">
      <w:pPr>
        <w:shd w:val="clear" w:color="auto" w:fill="FFFFFF"/>
        <w:spacing w:after="0" w:line="240" w:lineRule="auto"/>
        <w:rPr>
          <w:rFonts w:ascii="Times New Roman" w:eastAsia="Times New Roman" w:hAnsi="Times New Roman" w:cs="Times New Roman"/>
          <w:lang w:eastAsia="en-AU"/>
        </w:rPr>
      </w:pPr>
    </w:p>
    <w:p w14:paraId="1C1751ED" w14:textId="0E3EC846" w:rsidR="002F4411" w:rsidRPr="00ED5535" w:rsidRDefault="00A74F42" w:rsidP="002F4411">
      <w:pPr>
        <w:shd w:val="clear" w:color="auto" w:fill="FFFFFF"/>
        <w:spacing w:after="0" w:line="240" w:lineRule="auto"/>
        <w:rPr>
          <w:rFonts w:ascii="Times New Roman" w:eastAsia="Times New Roman" w:hAnsi="Times New Roman" w:cs="Times New Roman"/>
          <w:lang w:eastAsia="en-AU"/>
        </w:rPr>
      </w:pPr>
      <w:r w:rsidRPr="00ED5535">
        <w:rPr>
          <w:rFonts w:ascii="Times New Roman" w:eastAsia="Times New Roman" w:hAnsi="Times New Roman" w:cs="Times New Roman"/>
          <w:lang w:eastAsia="en-AU"/>
        </w:rPr>
        <w:t>The</w:t>
      </w:r>
      <w:r w:rsidR="002F4411" w:rsidRPr="00ED5535">
        <w:rPr>
          <w:rFonts w:ascii="Times New Roman" w:eastAsia="Times New Roman" w:hAnsi="Times New Roman" w:cs="Times New Roman"/>
          <w:lang w:eastAsia="en-AU"/>
        </w:rPr>
        <w:t xml:space="preserve"> MDHTP Amendment Rules</w:t>
      </w:r>
      <w:r w:rsidRPr="00ED5535">
        <w:rPr>
          <w:rFonts w:ascii="Times New Roman" w:eastAsia="Times New Roman" w:hAnsi="Times New Roman" w:cs="Times New Roman"/>
          <w:lang w:eastAsia="en-AU"/>
        </w:rPr>
        <w:t xml:space="preserve"> revise</w:t>
      </w:r>
      <w:r w:rsidR="002F4411" w:rsidRPr="00ED5535">
        <w:rPr>
          <w:rFonts w:ascii="Times New Roman" w:eastAsia="Times New Roman" w:hAnsi="Times New Roman" w:cs="Times New Roman"/>
          <w:lang w:eastAsia="en-AU"/>
        </w:rPr>
        <w:t xml:space="preserve"> the condition to clarify the circumstances in which benefits are payable for the billing codes </w:t>
      </w:r>
      <w:r w:rsidR="003B2B84" w:rsidRPr="00ED5535">
        <w:rPr>
          <w:rFonts w:ascii="Times New Roman" w:eastAsia="Times New Roman" w:hAnsi="Times New Roman" w:cs="Times New Roman"/>
          <w:lang w:eastAsia="en-AU"/>
        </w:rPr>
        <w:t xml:space="preserve">for surgical guides and </w:t>
      </w:r>
      <w:proofErr w:type="spellStart"/>
      <w:r w:rsidR="003B2B84" w:rsidRPr="00ED5535">
        <w:rPr>
          <w:rFonts w:ascii="Times New Roman" w:eastAsia="Times New Roman" w:hAnsi="Times New Roman" w:cs="Times New Roman"/>
          <w:lang w:eastAsia="en-AU"/>
        </w:rPr>
        <w:t>biomodels</w:t>
      </w:r>
      <w:proofErr w:type="spellEnd"/>
      <w:r w:rsidR="003B2B84" w:rsidRPr="00ED5535">
        <w:rPr>
          <w:rFonts w:ascii="Times New Roman" w:eastAsia="Times New Roman" w:hAnsi="Times New Roman" w:cs="Times New Roman"/>
          <w:lang w:eastAsia="en-AU"/>
        </w:rPr>
        <w:t xml:space="preserve">. The MDHTP Amendment Rules also provide </w:t>
      </w:r>
      <w:r w:rsidR="002F4411" w:rsidRPr="00ED5535">
        <w:rPr>
          <w:rFonts w:ascii="Times New Roman" w:eastAsia="Times New Roman" w:hAnsi="Times New Roman" w:cs="Times New Roman"/>
          <w:lang w:eastAsia="en-AU"/>
        </w:rPr>
        <w:t xml:space="preserve">that the condition will become effective </w:t>
      </w:r>
      <w:r w:rsidR="003B2B84" w:rsidRPr="00ED5535">
        <w:rPr>
          <w:rFonts w:ascii="Times New Roman" w:eastAsia="Times New Roman" w:hAnsi="Times New Roman" w:cs="Times New Roman"/>
          <w:lang w:eastAsia="en-AU"/>
        </w:rPr>
        <w:t xml:space="preserve">on </w:t>
      </w:r>
      <w:r w:rsidR="002F4411" w:rsidRPr="00ED5535">
        <w:rPr>
          <w:rFonts w:ascii="Times New Roman" w:eastAsia="Times New Roman" w:hAnsi="Times New Roman" w:cs="Times New Roman"/>
          <w:lang w:eastAsia="en-AU"/>
        </w:rPr>
        <w:t>1 February 2024. The delayed commencement will allow</w:t>
      </w:r>
      <w:r w:rsidR="003B2B84" w:rsidRPr="00ED5535">
        <w:rPr>
          <w:rFonts w:ascii="Times New Roman" w:eastAsia="Times New Roman" w:hAnsi="Times New Roman" w:cs="Times New Roman"/>
          <w:lang w:eastAsia="en-AU"/>
        </w:rPr>
        <w:t xml:space="preserve"> the</w:t>
      </w:r>
      <w:r w:rsidR="002F4411" w:rsidRPr="00ED5535">
        <w:rPr>
          <w:rFonts w:ascii="Times New Roman" w:eastAsia="Times New Roman" w:hAnsi="Times New Roman" w:cs="Times New Roman"/>
          <w:lang w:eastAsia="en-AU"/>
        </w:rPr>
        <w:t xml:space="preserve"> booked procedures to go ahead and for stakeholders to plan </w:t>
      </w:r>
      <w:r w:rsidR="00FD6EDB" w:rsidRPr="00ED5535">
        <w:rPr>
          <w:rFonts w:ascii="Times New Roman" w:eastAsia="Times New Roman" w:hAnsi="Times New Roman" w:cs="Times New Roman"/>
          <w:lang w:eastAsia="en-AU"/>
        </w:rPr>
        <w:t xml:space="preserve">accordingly </w:t>
      </w:r>
      <w:r w:rsidR="002F4411" w:rsidRPr="00ED5535">
        <w:rPr>
          <w:rFonts w:ascii="Times New Roman" w:eastAsia="Times New Roman" w:hAnsi="Times New Roman" w:cs="Times New Roman"/>
          <w:lang w:eastAsia="en-AU"/>
        </w:rPr>
        <w:t>future procedures using the devices.</w:t>
      </w:r>
    </w:p>
    <w:p w14:paraId="45AEA34D" w14:textId="77777777" w:rsidR="002F4411" w:rsidRPr="00ED5535" w:rsidRDefault="002F4411" w:rsidP="002F4411">
      <w:pPr>
        <w:shd w:val="clear" w:color="auto" w:fill="FFFFFF"/>
        <w:spacing w:after="0" w:line="240" w:lineRule="auto"/>
        <w:rPr>
          <w:rFonts w:ascii="Times New Roman" w:eastAsia="Times New Roman" w:hAnsi="Times New Roman" w:cs="Times New Roman"/>
          <w:lang w:eastAsia="en-AU"/>
        </w:rPr>
      </w:pPr>
    </w:p>
    <w:p w14:paraId="51744326" w14:textId="48CB1A4D" w:rsidR="002F4411" w:rsidRPr="00ED5535" w:rsidRDefault="005A1698" w:rsidP="000B344D">
      <w:pPr>
        <w:rPr>
          <w:rFonts w:ascii="Times New Roman" w:eastAsia="Times New Roman" w:hAnsi="Times New Roman" w:cs="Times New Roman"/>
          <w:i/>
          <w:iCs/>
          <w:lang w:eastAsia="en-AU"/>
        </w:rPr>
      </w:pPr>
      <w:r w:rsidRPr="00ED5535">
        <w:rPr>
          <w:rFonts w:ascii="Times New Roman" w:eastAsia="Times New Roman" w:hAnsi="Times New Roman" w:cs="Times New Roman"/>
          <w:lang w:eastAsia="en-AU"/>
        </w:rPr>
        <w:t xml:space="preserve">The revised condition specifies that: </w:t>
      </w:r>
      <w:r w:rsidRPr="00ED5535">
        <w:rPr>
          <w:rFonts w:ascii="Times New Roman" w:eastAsia="Times New Roman" w:hAnsi="Times New Roman" w:cs="Times New Roman"/>
          <w:i/>
          <w:iCs/>
          <w:lang w:eastAsia="en-AU"/>
        </w:rPr>
        <w:t xml:space="preserve">Prescribed List reimbursement is restricted to the use of the device in craniomaxillofacial surgery procedures involving insertion of an implantable medical device, where that implantable device is listed in either sub-category 07.01 - Craniomaxillofacial Reconstruction &amp; Fixation, or 07.02 – Craniomaxillofacial Implants, or 07.04 – Distractor Systems of Schedule 1, or sub-category 07.03 - Dental Implants, but only if the [dental] implantable medical device is explicitly identified in the product name or description of the billing code for the surgical guide or </w:t>
      </w:r>
      <w:proofErr w:type="spellStart"/>
      <w:r w:rsidRPr="00ED5535">
        <w:rPr>
          <w:rFonts w:ascii="Times New Roman" w:eastAsia="Times New Roman" w:hAnsi="Times New Roman" w:cs="Times New Roman"/>
          <w:i/>
          <w:iCs/>
          <w:lang w:eastAsia="en-AU"/>
        </w:rPr>
        <w:t>biomodel</w:t>
      </w:r>
      <w:proofErr w:type="spellEnd"/>
      <w:r w:rsidRPr="00ED5535">
        <w:rPr>
          <w:rFonts w:ascii="Times New Roman" w:eastAsia="Times New Roman" w:hAnsi="Times New Roman" w:cs="Times New Roman"/>
          <w:i/>
          <w:iCs/>
          <w:lang w:eastAsia="en-AU"/>
        </w:rPr>
        <w:t xml:space="preserve"> and is used in hospital. Not limiting the above, for a claim for any implantation procedure (defined by the respective MBS items stated in the claim) for a patient, the Prescribed List reimbursement is limited to 3 or less PL benefits for any billing codes for surgical guides or </w:t>
      </w:r>
      <w:proofErr w:type="spellStart"/>
      <w:r w:rsidRPr="00ED5535">
        <w:rPr>
          <w:rFonts w:ascii="Times New Roman" w:eastAsia="Times New Roman" w:hAnsi="Times New Roman" w:cs="Times New Roman"/>
          <w:i/>
          <w:iCs/>
          <w:lang w:eastAsia="en-AU"/>
        </w:rPr>
        <w:t>biomodels</w:t>
      </w:r>
      <w:proofErr w:type="spellEnd"/>
      <w:r w:rsidRPr="00ED5535">
        <w:rPr>
          <w:rFonts w:ascii="Times New Roman" w:eastAsia="Times New Roman" w:hAnsi="Times New Roman" w:cs="Times New Roman"/>
          <w:i/>
          <w:iCs/>
          <w:lang w:eastAsia="en-AU"/>
        </w:rPr>
        <w:t xml:space="preserve">, or no more than 6 benefits if both surgical guides and </w:t>
      </w:r>
      <w:proofErr w:type="spellStart"/>
      <w:r w:rsidRPr="00ED5535">
        <w:rPr>
          <w:rFonts w:ascii="Times New Roman" w:eastAsia="Times New Roman" w:hAnsi="Times New Roman" w:cs="Times New Roman"/>
          <w:i/>
          <w:iCs/>
          <w:lang w:eastAsia="en-AU"/>
        </w:rPr>
        <w:t>biomodels</w:t>
      </w:r>
      <w:proofErr w:type="spellEnd"/>
      <w:r w:rsidRPr="00ED5535">
        <w:rPr>
          <w:rFonts w:ascii="Times New Roman" w:eastAsia="Times New Roman" w:hAnsi="Times New Roman" w:cs="Times New Roman"/>
          <w:i/>
          <w:iCs/>
          <w:lang w:eastAsia="en-AU"/>
        </w:rPr>
        <w:t xml:space="preserve"> (maximum 3 for each) have been used in an implantation procedure for a patient. This restriction is not impacted by a number of devices implanted during a procedure. The condition is taking effect on 1 February 2024.</w:t>
      </w:r>
    </w:p>
    <w:p w14:paraId="588401F8" w14:textId="77777777" w:rsidR="00E43F49" w:rsidRPr="00ED5535" w:rsidRDefault="00E43F49" w:rsidP="00830CC6">
      <w:pPr>
        <w:shd w:val="clear" w:color="auto" w:fill="FFFFFF"/>
        <w:spacing w:after="0" w:line="240" w:lineRule="auto"/>
        <w:jc w:val="both"/>
        <w:rPr>
          <w:rFonts w:ascii="Tms Rmn" w:eastAsia="Times New Roman" w:hAnsi="Tms Rmn" w:cs="Times New Roman"/>
          <w:sz w:val="24"/>
          <w:szCs w:val="24"/>
          <w:lang w:eastAsia="en-AU"/>
        </w:rPr>
      </w:pPr>
      <w:r w:rsidRPr="00ED5535">
        <w:rPr>
          <w:rFonts w:ascii="Times New Roman" w:eastAsia="Times New Roman" w:hAnsi="Times New Roman" w:cs="Times New Roman"/>
          <w:b/>
          <w:bCs/>
          <w:lang w:eastAsia="en-AU"/>
        </w:rPr>
        <w:t>Human rights implications</w:t>
      </w:r>
    </w:p>
    <w:p w14:paraId="5B4C5CE3" w14:textId="77777777" w:rsidR="00E43F49" w:rsidRPr="00ED5535" w:rsidRDefault="00E43F49" w:rsidP="00E43F49">
      <w:pPr>
        <w:shd w:val="clear" w:color="auto" w:fill="FFFFFF"/>
        <w:spacing w:before="120" w:after="120" w:line="240" w:lineRule="auto"/>
        <w:jc w:val="both"/>
        <w:rPr>
          <w:rFonts w:ascii="Tms Rmn" w:eastAsia="Times New Roman" w:hAnsi="Tms Rmn" w:cs="Times New Roman"/>
          <w:sz w:val="24"/>
          <w:szCs w:val="24"/>
          <w:lang w:eastAsia="en-AU"/>
        </w:rPr>
      </w:pPr>
      <w:r w:rsidRPr="00ED5535">
        <w:rPr>
          <w:rFonts w:ascii="Times New Roman" w:eastAsia="Times New Roman" w:hAnsi="Times New Roman" w:cs="Times New Roman"/>
          <w:lang w:eastAsia="en-AU"/>
        </w:rPr>
        <w:t>This instrument engages article 12 of the International Covenant on Economic Social and Cultural Rights (ICESCR), specifically the right to health.</w:t>
      </w:r>
    </w:p>
    <w:p w14:paraId="1B94497B" w14:textId="77777777" w:rsidR="00E43F49" w:rsidRPr="00ED5535" w:rsidRDefault="00E43F49" w:rsidP="00E43F49">
      <w:pPr>
        <w:shd w:val="clear" w:color="auto" w:fill="FFFFFF"/>
        <w:spacing w:before="120" w:after="120" w:line="240" w:lineRule="auto"/>
        <w:jc w:val="both"/>
        <w:rPr>
          <w:rFonts w:ascii="Tms Rmn" w:eastAsia="Times New Roman" w:hAnsi="Tms Rmn" w:cs="Times New Roman"/>
          <w:sz w:val="24"/>
          <w:szCs w:val="24"/>
          <w:lang w:eastAsia="en-AU"/>
        </w:rPr>
      </w:pPr>
      <w:r w:rsidRPr="00ED5535">
        <w:rPr>
          <w:rFonts w:ascii="Times New Roman" w:eastAsia="Times New Roman" w:hAnsi="Times New Roman" w:cs="Times New Roman"/>
          <w:i/>
          <w:iCs/>
          <w:lang w:eastAsia="en-AU"/>
        </w:rPr>
        <w:t>Right to Health</w:t>
      </w:r>
    </w:p>
    <w:p w14:paraId="22D3C56F" w14:textId="06E21355" w:rsidR="00E43F49" w:rsidRPr="00ED5535" w:rsidRDefault="00E43F49" w:rsidP="00E43F49">
      <w:pPr>
        <w:shd w:val="clear" w:color="auto" w:fill="FFFFFF"/>
        <w:spacing w:before="120" w:after="120" w:line="240" w:lineRule="auto"/>
        <w:jc w:val="both"/>
        <w:rPr>
          <w:rFonts w:ascii="Tms Rmn" w:eastAsia="Times New Roman" w:hAnsi="Tms Rmn" w:cs="Times New Roman"/>
          <w:sz w:val="24"/>
          <w:szCs w:val="24"/>
          <w:lang w:eastAsia="en-AU"/>
        </w:rPr>
      </w:pPr>
      <w:r w:rsidRPr="00ED5535">
        <w:rPr>
          <w:rFonts w:ascii="Times New Roman" w:eastAsia="Times New Roman" w:hAnsi="Times New Roman" w:cs="Times New Roman"/>
          <w:lang w:eastAsia="en-AU"/>
        </w:rPr>
        <w:t>The right to the enjoyment of the highest attainable standard of physical and mental health is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 In addition, the right to health must meet certain key requirements, including that health care must be scientifically and medically appropriate and of good quality.</w:t>
      </w:r>
    </w:p>
    <w:p w14:paraId="3149ED52" w14:textId="77777777" w:rsidR="00E43F49" w:rsidRPr="00ED5535" w:rsidRDefault="00E43F49" w:rsidP="00E43F49">
      <w:pPr>
        <w:shd w:val="clear" w:color="auto" w:fill="FFFFFF"/>
        <w:spacing w:before="120" w:after="120" w:line="240" w:lineRule="auto"/>
        <w:jc w:val="both"/>
        <w:rPr>
          <w:rFonts w:ascii="Tms Rmn" w:eastAsia="Times New Roman" w:hAnsi="Tms Rmn" w:cs="Times New Roman"/>
          <w:sz w:val="24"/>
          <w:szCs w:val="24"/>
          <w:lang w:eastAsia="en-AU"/>
        </w:rPr>
      </w:pPr>
      <w:r w:rsidRPr="00ED5535">
        <w:rPr>
          <w:rFonts w:ascii="Times New Roman" w:eastAsia="Times New Roman" w:hAnsi="Times New Roman" w:cs="Times New Roman"/>
          <w:i/>
          <w:iCs/>
          <w:lang w:eastAsia="en-AU"/>
        </w:rPr>
        <w:t>Analysis</w:t>
      </w:r>
    </w:p>
    <w:p w14:paraId="7C222CE4" w14:textId="6A6EBF50" w:rsidR="00E43F49" w:rsidRPr="00ED5535" w:rsidRDefault="00E43F49" w:rsidP="00E43F49">
      <w:pPr>
        <w:shd w:val="clear" w:color="auto" w:fill="FFFFFF"/>
        <w:spacing w:after="120" w:line="240" w:lineRule="auto"/>
        <w:jc w:val="both"/>
        <w:rPr>
          <w:rFonts w:ascii="Tms Rmn" w:eastAsia="Times New Roman" w:hAnsi="Tms Rmn" w:cs="Times New Roman"/>
          <w:sz w:val="24"/>
          <w:szCs w:val="24"/>
          <w:lang w:eastAsia="en-AU"/>
        </w:rPr>
      </w:pPr>
      <w:r w:rsidRPr="00ED5535">
        <w:rPr>
          <w:rFonts w:ascii="Times New Roman" w:eastAsia="Times New Roman" w:hAnsi="Times New Roman" w:cs="Times New Roman"/>
          <w:lang w:eastAsia="en-AU"/>
        </w:rPr>
        <w:t xml:space="preserve">The </w:t>
      </w:r>
      <w:r w:rsidR="002F4411" w:rsidRPr="00ED5535">
        <w:rPr>
          <w:rFonts w:ascii="Times New Roman" w:eastAsia="Times New Roman" w:hAnsi="Times New Roman" w:cs="Times New Roman"/>
          <w:lang w:eastAsia="en-AU"/>
        </w:rPr>
        <w:t xml:space="preserve">clarification of the condition applied to the 37 billing codes ensures that insured patients will have access to medical devices that </w:t>
      </w:r>
      <w:r w:rsidR="007C2079" w:rsidRPr="00ED5535">
        <w:rPr>
          <w:rFonts w:ascii="Times New Roman" w:eastAsia="Times New Roman" w:hAnsi="Times New Roman" w:cs="Times New Roman"/>
          <w:lang w:eastAsia="en-AU"/>
        </w:rPr>
        <w:t xml:space="preserve">have been demonstrated to be comparatively clinically effective and cost effective. Correcting the </w:t>
      </w:r>
      <w:r w:rsidR="00651C84" w:rsidRPr="00ED5535">
        <w:rPr>
          <w:rFonts w:ascii="Times New Roman" w:eastAsia="Times New Roman" w:hAnsi="Times New Roman" w:cs="Times New Roman"/>
          <w:lang w:eastAsia="en-AU"/>
        </w:rPr>
        <w:t>benefit</w:t>
      </w:r>
      <w:r w:rsidR="00135200" w:rsidRPr="00ED5535">
        <w:rPr>
          <w:rFonts w:ascii="Times New Roman" w:eastAsia="Times New Roman" w:hAnsi="Times New Roman" w:cs="Times New Roman"/>
          <w:lang w:eastAsia="en-AU"/>
        </w:rPr>
        <w:t>s</w:t>
      </w:r>
      <w:r w:rsidR="00651C84" w:rsidRPr="00ED5535">
        <w:rPr>
          <w:rFonts w:ascii="Times New Roman" w:eastAsia="Times New Roman" w:hAnsi="Times New Roman" w:cs="Times New Roman"/>
          <w:lang w:eastAsia="en-AU"/>
        </w:rPr>
        <w:t xml:space="preserve"> for the </w:t>
      </w:r>
      <w:r w:rsidR="00135200" w:rsidRPr="00ED5535">
        <w:rPr>
          <w:rFonts w:ascii="Times New Roman" w:eastAsia="Times New Roman" w:hAnsi="Times New Roman" w:cs="Times New Roman"/>
          <w:lang w:eastAsia="en-AU"/>
        </w:rPr>
        <w:t xml:space="preserve">6 </w:t>
      </w:r>
      <w:r w:rsidR="00651C84" w:rsidRPr="00ED5535">
        <w:rPr>
          <w:rFonts w:ascii="Times New Roman" w:eastAsia="Times New Roman" w:hAnsi="Times New Roman" w:cs="Times New Roman"/>
          <w:lang w:eastAsia="en-AU"/>
        </w:rPr>
        <w:t>billing code</w:t>
      </w:r>
      <w:r w:rsidR="00135200" w:rsidRPr="00ED5535">
        <w:rPr>
          <w:rFonts w:ascii="Times New Roman" w:eastAsia="Times New Roman" w:hAnsi="Times New Roman" w:cs="Times New Roman"/>
          <w:lang w:eastAsia="en-AU"/>
        </w:rPr>
        <w:t>s</w:t>
      </w:r>
      <w:r w:rsidR="00651C84" w:rsidRPr="00ED5535">
        <w:rPr>
          <w:rFonts w:ascii="Times New Roman" w:eastAsia="Times New Roman" w:hAnsi="Times New Roman" w:cs="Times New Roman"/>
          <w:lang w:eastAsia="en-AU"/>
        </w:rPr>
        <w:t xml:space="preserve"> will ensure that privately insured patients will be reimbursed appropriately for the human tissue product</w:t>
      </w:r>
      <w:r w:rsidR="00135200" w:rsidRPr="00ED5535">
        <w:rPr>
          <w:rFonts w:ascii="Times New Roman" w:eastAsia="Times New Roman" w:hAnsi="Times New Roman" w:cs="Times New Roman"/>
          <w:lang w:eastAsia="en-AU"/>
        </w:rPr>
        <w:t xml:space="preserve"> and medical devices</w:t>
      </w:r>
      <w:r w:rsidRPr="00ED5535">
        <w:rPr>
          <w:rFonts w:ascii="Times New Roman" w:eastAsia="Times New Roman" w:hAnsi="Times New Roman" w:cs="Times New Roman"/>
          <w:lang w:eastAsia="en-AU"/>
        </w:rPr>
        <w:t>. This will impact positively on the right to health of insured persons.</w:t>
      </w:r>
    </w:p>
    <w:p w14:paraId="524F682A" w14:textId="0E4635D5" w:rsidR="00E43F49" w:rsidRPr="00ED5535" w:rsidRDefault="00E43F49" w:rsidP="00434011">
      <w:pPr>
        <w:rPr>
          <w:rFonts w:ascii="Tms Rmn" w:eastAsia="Times New Roman" w:hAnsi="Tms Rmn" w:cs="Times New Roman"/>
          <w:sz w:val="24"/>
          <w:szCs w:val="24"/>
          <w:lang w:eastAsia="en-AU"/>
        </w:rPr>
      </w:pPr>
      <w:r w:rsidRPr="00ED5535">
        <w:rPr>
          <w:rFonts w:ascii="Times New Roman" w:eastAsia="Times New Roman" w:hAnsi="Times New Roman" w:cs="Times New Roman"/>
          <w:b/>
          <w:bCs/>
          <w:lang w:eastAsia="en-AU"/>
        </w:rPr>
        <w:t>Conclusion</w:t>
      </w:r>
    </w:p>
    <w:p w14:paraId="4B5BE9CD" w14:textId="237FD2B9" w:rsidR="00E43F49" w:rsidRPr="00ED5535" w:rsidRDefault="00E43F49" w:rsidP="00E43F49">
      <w:pPr>
        <w:shd w:val="clear" w:color="auto" w:fill="FFFFFF"/>
        <w:spacing w:before="120" w:after="120" w:line="240" w:lineRule="auto"/>
        <w:jc w:val="both"/>
        <w:rPr>
          <w:rFonts w:ascii="Times New Roman" w:eastAsia="Times New Roman" w:hAnsi="Times New Roman" w:cs="Times New Roman"/>
          <w:lang w:eastAsia="en-AU"/>
        </w:rPr>
      </w:pPr>
      <w:r w:rsidRPr="00ED5535">
        <w:rPr>
          <w:rFonts w:ascii="Times New Roman" w:eastAsia="Times New Roman" w:hAnsi="Times New Roman" w:cs="Times New Roman"/>
          <w:lang w:eastAsia="en-AU"/>
        </w:rPr>
        <w:t>The</w:t>
      </w:r>
      <w:r w:rsidR="002D25C1" w:rsidRPr="00ED5535">
        <w:rPr>
          <w:rFonts w:ascii="Times New Roman" w:eastAsia="Times New Roman" w:hAnsi="Times New Roman" w:cs="Times New Roman"/>
          <w:lang w:eastAsia="en-AU"/>
        </w:rPr>
        <w:t xml:space="preserve"> </w:t>
      </w:r>
      <w:r w:rsidR="00BF5A59" w:rsidRPr="00ED5535">
        <w:rPr>
          <w:rFonts w:ascii="Times New Roman" w:eastAsia="Times New Roman" w:hAnsi="Times New Roman" w:cs="Times New Roman"/>
          <w:lang w:eastAsia="en-AU"/>
        </w:rPr>
        <w:t>D</w:t>
      </w:r>
      <w:r w:rsidR="002D25C1" w:rsidRPr="00ED5535">
        <w:rPr>
          <w:rFonts w:ascii="Times New Roman" w:eastAsia="Times New Roman" w:hAnsi="Times New Roman" w:cs="Times New Roman"/>
          <w:lang w:eastAsia="en-AU"/>
        </w:rPr>
        <w:t xml:space="preserve">isallowable </w:t>
      </w:r>
      <w:r w:rsidR="00BF5A59" w:rsidRPr="00ED5535">
        <w:rPr>
          <w:rFonts w:ascii="Times New Roman" w:eastAsia="Times New Roman" w:hAnsi="Times New Roman" w:cs="Times New Roman"/>
          <w:lang w:eastAsia="en-AU"/>
        </w:rPr>
        <w:t>L</w:t>
      </w:r>
      <w:r w:rsidR="002D25C1" w:rsidRPr="00ED5535">
        <w:rPr>
          <w:rFonts w:ascii="Times New Roman" w:eastAsia="Times New Roman" w:hAnsi="Times New Roman" w:cs="Times New Roman"/>
          <w:lang w:eastAsia="en-AU"/>
        </w:rPr>
        <w:t>egislative</w:t>
      </w:r>
      <w:r w:rsidRPr="00ED5535">
        <w:rPr>
          <w:rFonts w:ascii="Times New Roman" w:eastAsia="Times New Roman" w:hAnsi="Times New Roman" w:cs="Times New Roman"/>
          <w:lang w:eastAsia="en-AU"/>
        </w:rPr>
        <w:t xml:space="preserve"> </w:t>
      </w:r>
      <w:r w:rsidR="00BF5A59" w:rsidRPr="00ED5535">
        <w:rPr>
          <w:rFonts w:ascii="Times New Roman" w:eastAsia="Times New Roman" w:hAnsi="Times New Roman" w:cs="Times New Roman"/>
          <w:lang w:eastAsia="en-AU"/>
        </w:rPr>
        <w:t>I</w:t>
      </w:r>
      <w:r w:rsidRPr="00ED5535">
        <w:rPr>
          <w:rFonts w:ascii="Times New Roman" w:eastAsia="Times New Roman" w:hAnsi="Times New Roman" w:cs="Times New Roman"/>
          <w:lang w:eastAsia="en-AU"/>
        </w:rPr>
        <w:t xml:space="preserve">nstrument is compatible with human rights because it </w:t>
      </w:r>
      <w:r w:rsidR="00FE760B" w:rsidRPr="00ED5535">
        <w:rPr>
          <w:rFonts w:ascii="Times New Roman" w:eastAsia="Times New Roman" w:hAnsi="Times New Roman" w:cs="Times New Roman"/>
          <w:lang w:eastAsia="en-AU"/>
        </w:rPr>
        <w:t>promotes</w:t>
      </w:r>
      <w:r w:rsidRPr="00ED5535">
        <w:rPr>
          <w:rFonts w:ascii="Times New Roman" w:eastAsia="Times New Roman" w:hAnsi="Times New Roman" w:cs="Times New Roman"/>
          <w:lang w:eastAsia="en-AU"/>
        </w:rPr>
        <w:t xml:space="preserve"> the protection of human rights, in particular the right to health.</w:t>
      </w:r>
    </w:p>
    <w:p w14:paraId="2BBDB3E6" w14:textId="77777777" w:rsidR="00651C84" w:rsidRPr="00ED5535" w:rsidRDefault="00651C84" w:rsidP="00E43F49">
      <w:pPr>
        <w:shd w:val="clear" w:color="auto" w:fill="FFFFFF"/>
        <w:spacing w:before="120" w:after="120" w:line="240" w:lineRule="auto"/>
        <w:jc w:val="both"/>
        <w:rPr>
          <w:rFonts w:ascii="Tms Rmn" w:eastAsia="Times New Roman" w:hAnsi="Tms Rmn" w:cs="Times New Roman"/>
          <w:sz w:val="24"/>
          <w:szCs w:val="24"/>
          <w:lang w:eastAsia="en-AU"/>
        </w:rPr>
      </w:pPr>
    </w:p>
    <w:p w14:paraId="20252F72" w14:textId="509E3613" w:rsidR="00E43F49" w:rsidRPr="00ED5535" w:rsidRDefault="00DF6C0E" w:rsidP="00E92777">
      <w:pPr>
        <w:shd w:val="clear" w:color="auto" w:fill="FFFFFF"/>
        <w:tabs>
          <w:tab w:val="center" w:pos="4314"/>
          <w:tab w:val="left" w:pos="6345"/>
        </w:tabs>
        <w:spacing w:after="0" w:line="240" w:lineRule="atLeast"/>
        <w:ind w:right="397"/>
        <w:rPr>
          <w:rFonts w:ascii="Tms Rmn" w:eastAsia="Times New Roman" w:hAnsi="Tms Rmn" w:cs="Times New Roman"/>
          <w:sz w:val="24"/>
          <w:szCs w:val="24"/>
          <w:lang w:eastAsia="en-AU"/>
        </w:rPr>
      </w:pPr>
      <w:r w:rsidRPr="00ED5535">
        <w:rPr>
          <w:rFonts w:ascii="Times New Roman" w:eastAsia="Times New Roman" w:hAnsi="Times New Roman" w:cs="Times New Roman"/>
          <w:b/>
          <w:bCs/>
          <w:lang w:eastAsia="en-AU"/>
        </w:rPr>
        <w:tab/>
      </w:r>
      <w:r w:rsidR="00651C84" w:rsidRPr="00ED5535">
        <w:rPr>
          <w:rFonts w:ascii="Times New Roman" w:eastAsia="Times New Roman" w:hAnsi="Times New Roman" w:cs="Times New Roman"/>
          <w:b/>
          <w:bCs/>
          <w:lang w:eastAsia="en-AU"/>
        </w:rPr>
        <w:t>Andrew Rintoul</w:t>
      </w:r>
    </w:p>
    <w:p w14:paraId="26B19C2B" w14:textId="67B23F4D" w:rsidR="00E43F49" w:rsidRPr="00ED5535" w:rsidRDefault="001E7BF4" w:rsidP="00434011">
      <w:pPr>
        <w:shd w:val="clear" w:color="auto" w:fill="FFFFFF"/>
        <w:spacing w:after="0" w:line="240" w:lineRule="atLeast"/>
        <w:ind w:right="-46"/>
        <w:jc w:val="center"/>
        <w:rPr>
          <w:rFonts w:ascii="Tms Rmn" w:eastAsia="Times New Roman" w:hAnsi="Tms Rmn" w:cs="Times New Roman"/>
          <w:sz w:val="24"/>
          <w:szCs w:val="24"/>
          <w:lang w:eastAsia="en-AU"/>
        </w:rPr>
      </w:pPr>
      <w:r w:rsidRPr="00ED5535">
        <w:rPr>
          <w:rFonts w:ascii="Times New Roman" w:eastAsia="Times New Roman" w:hAnsi="Times New Roman" w:cs="Times New Roman"/>
          <w:b/>
          <w:bCs/>
          <w:lang w:eastAsia="en-AU"/>
        </w:rPr>
        <w:t xml:space="preserve">Acting </w:t>
      </w:r>
      <w:r w:rsidR="00E43F49" w:rsidRPr="00ED5535">
        <w:rPr>
          <w:rFonts w:ascii="Times New Roman" w:eastAsia="Times New Roman" w:hAnsi="Times New Roman" w:cs="Times New Roman"/>
          <w:b/>
          <w:bCs/>
          <w:lang w:eastAsia="en-AU"/>
        </w:rPr>
        <w:t>Assistant Secretary</w:t>
      </w:r>
    </w:p>
    <w:p w14:paraId="06C0EAE0" w14:textId="77777777" w:rsidR="00E43F49" w:rsidRPr="00ED5535" w:rsidRDefault="00E43F49" w:rsidP="00434011">
      <w:pPr>
        <w:shd w:val="clear" w:color="auto" w:fill="FFFFFF"/>
        <w:spacing w:after="0" w:line="240" w:lineRule="atLeast"/>
        <w:ind w:right="-46"/>
        <w:jc w:val="center"/>
        <w:rPr>
          <w:rFonts w:ascii="Tms Rmn" w:eastAsia="Times New Roman" w:hAnsi="Tms Rmn" w:cs="Times New Roman"/>
          <w:sz w:val="24"/>
          <w:szCs w:val="24"/>
          <w:lang w:eastAsia="en-AU"/>
        </w:rPr>
      </w:pPr>
      <w:r w:rsidRPr="00ED5535">
        <w:rPr>
          <w:rFonts w:ascii="Times New Roman" w:eastAsia="Times New Roman" w:hAnsi="Times New Roman" w:cs="Times New Roman"/>
          <w:b/>
          <w:bCs/>
          <w:lang w:eastAsia="en-AU"/>
        </w:rPr>
        <w:t>Prostheses List Reform Taskforce</w:t>
      </w:r>
    </w:p>
    <w:p w14:paraId="31FF5144" w14:textId="77777777" w:rsidR="00E43F49" w:rsidRPr="00ED5535" w:rsidRDefault="00E43F49" w:rsidP="00434011">
      <w:pPr>
        <w:shd w:val="clear" w:color="auto" w:fill="FFFFFF"/>
        <w:spacing w:after="0" w:line="240" w:lineRule="atLeast"/>
        <w:ind w:right="-46"/>
        <w:jc w:val="center"/>
        <w:rPr>
          <w:rFonts w:ascii="Tms Rmn" w:eastAsia="Times New Roman" w:hAnsi="Tms Rmn" w:cs="Times New Roman"/>
          <w:sz w:val="24"/>
          <w:szCs w:val="24"/>
          <w:lang w:eastAsia="en-AU"/>
        </w:rPr>
      </w:pPr>
      <w:r w:rsidRPr="00ED5535">
        <w:rPr>
          <w:rFonts w:ascii="Times New Roman" w:eastAsia="Times New Roman" w:hAnsi="Times New Roman" w:cs="Times New Roman"/>
          <w:b/>
          <w:bCs/>
          <w:lang w:eastAsia="en-AU"/>
        </w:rPr>
        <w:t>Technology Assessment and Access Division</w:t>
      </w:r>
    </w:p>
    <w:p w14:paraId="2ADD78E4" w14:textId="77777777" w:rsidR="00E43F49" w:rsidRPr="00ED5535" w:rsidRDefault="00E43F49" w:rsidP="00434011">
      <w:pPr>
        <w:shd w:val="clear" w:color="auto" w:fill="FFFFFF"/>
        <w:spacing w:after="0" w:line="240" w:lineRule="atLeast"/>
        <w:ind w:right="-46"/>
        <w:jc w:val="center"/>
        <w:rPr>
          <w:rFonts w:ascii="Tms Rmn" w:eastAsia="Times New Roman" w:hAnsi="Tms Rmn" w:cs="Times New Roman"/>
          <w:sz w:val="24"/>
          <w:szCs w:val="24"/>
          <w:lang w:eastAsia="en-AU"/>
        </w:rPr>
      </w:pPr>
      <w:r w:rsidRPr="00ED5535">
        <w:rPr>
          <w:rFonts w:ascii="Times New Roman" w:eastAsia="Times New Roman" w:hAnsi="Times New Roman" w:cs="Times New Roman"/>
          <w:b/>
          <w:bCs/>
          <w:lang w:eastAsia="en-AU"/>
        </w:rPr>
        <w:t>Health Resourcing Group</w:t>
      </w:r>
    </w:p>
    <w:p w14:paraId="2F92A421" w14:textId="46E24DF2" w:rsidR="009F2170" w:rsidRPr="00ED5535" w:rsidRDefault="00E43F49" w:rsidP="00434011">
      <w:pPr>
        <w:shd w:val="clear" w:color="auto" w:fill="FFFFFF"/>
        <w:spacing w:after="0" w:line="240" w:lineRule="atLeast"/>
        <w:ind w:right="-46"/>
        <w:jc w:val="center"/>
      </w:pPr>
      <w:r w:rsidRPr="00ED5535">
        <w:rPr>
          <w:rFonts w:ascii="Times New Roman" w:eastAsia="Times New Roman" w:hAnsi="Times New Roman" w:cs="Times New Roman"/>
          <w:b/>
          <w:bCs/>
          <w:lang w:eastAsia="en-AU"/>
        </w:rPr>
        <w:t>Department of Health</w:t>
      </w:r>
      <w:bookmarkStart w:id="4" w:name="hit40"/>
      <w:bookmarkStart w:id="5" w:name="term0_18"/>
      <w:bookmarkStart w:id="6" w:name="hit41"/>
      <w:bookmarkStart w:id="7" w:name="term1_23"/>
      <w:bookmarkEnd w:id="4"/>
      <w:bookmarkEnd w:id="5"/>
      <w:bookmarkEnd w:id="6"/>
      <w:bookmarkEnd w:id="7"/>
      <w:r w:rsidRPr="00ED5535">
        <w:rPr>
          <w:rFonts w:ascii="Times New Roman" w:eastAsia="Times New Roman" w:hAnsi="Times New Roman" w:cs="Times New Roman"/>
          <w:b/>
          <w:bCs/>
          <w:lang w:eastAsia="en-AU"/>
        </w:rPr>
        <w:t> and Aged Care</w:t>
      </w:r>
    </w:p>
    <w:sectPr w:rsidR="009F2170" w:rsidRPr="00ED553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8AE83" w14:textId="77777777" w:rsidR="00A10245" w:rsidRDefault="00A10245" w:rsidP="009C2D37">
      <w:pPr>
        <w:spacing w:after="0" w:line="240" w:lineRule="auto"/>
      </w:pPr>
      <w:r>
        <w:separator/>
      </w:r>
    </w:p>
  </w:endnote>
  <w:endnote w:type="continuationSeparator" w:id="0">
    <w:p w14:paraId="64CC7351" w14:textId="77777777" w:rsidR="00A10245" w:rsidRDefault="00A10245" w:rsidP="009C2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F334" w14:textId="77777777" w:rsidR="002F4411" w:rsidRDefault="002F4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B711" w14:textId="77777777" w:rsidR="002F4411" w:rsidRDefault="002F4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EB9B" w14:textId="77777777" w:rsidR="002F4411" w:rsidRDefault="002F4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2619C" w14:textId="77777777" w:rsidR="00A10245" w:rsidRDefault="00A10245" w:rsidP="009C2D37">
      <w:pPr>
        <w:spacing w:after="0" w:line="240" w:lineRule="auto"/>
      </w:pPr>
      <w:r>
        <w:separator/>
      </w:r>
    </w:p>
  </w:footnote>
  <w:footnote w:type="continuationSeparator" w:id="0">
    <w:p w14:paraId="083F3F94" w14:textId="77777777" w:rsidR="00A10245" w:rsidRDefault="00A10245" w:rsidP="009C2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BF58" w14:textId="77777777" w:rsidR="002F4411" w:rsidRDefault="002F4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D06D" w14:textId="7E1BFCEF" w:rsidR="002F4411" w:rsidRDefault="002F44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4B5B" w14:textId="77777777" w:rsidR="002F4411" w:rsidRDefault="002F4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968"/>
    <w:multiLevelType w:val="hybridMultilevel"/>
    <w:tmpl w:val="D658A71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4C243D6"/>
    <w:multiLevelType w:val="hybridMultilevel"/>
    <w:tmpl w:val="586A5370"/>
    <w:lvl w:ilvl="0" w:tplc="1D3C0C9E">
      <w:start w:val="1"/>
      <w:numFmt w:val="bullet"/>
      <w:lvlText w:val=""/>
      <w:lvlJc w:val="left"/>
      <w:pPr>
        <w:ind w:left="709" w:hanging="360"/>
      </w:pPr>
      <w:rPr>
        <w:rFonts w:ascii="Symbol" w:eastAsia="Times New Roman" w:hAnsi="Symbol" w:cs="Times New Roman" w:hint="default"/>
        <w:sz w:val="22"/>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 w15:restartNumberingAfterBreak="0">
    <w:nsid w:val="0B155209"/>
    <w:multiLevelType w:val="hybridMultilevel"/>
    <w:tmpl w:val="6B3C7314"/>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47647A"/>
    <w:multiLevelType w:val="hybridMultilevel"/>
    <w:tmpl w:val="F626D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A064E"/>
    <w:multiLevelType w:val="hybridMultilevel"/>
    <w:tmpl w:val="0458F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45480F"/>
    <w:multiLevelType w:val="hybridMultilevel"/>
    <w:tmpl w:val="75420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7273E7"/>
    <w:multiLevelType w:val="hybridMultilevel"/>
    <w:tmpl w:val="7C461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F05F99"/>
    <w:multiLevelType w:val="hybridMultilevel"/>
    <w:tmpl w:val="52AC267A"/>
    <w:lvl w:ilvl="0" w:tplc="343655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783CD7"/>
    <w:multiLevelType w:val="hybridMultilevel"/>
    <w:tmpl w:val="8CAE8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9C222E"/>
    <w:multiLevelType w:val="hybridMultilevel"/>
    <w:tmpl w:val="EA52D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C34308"/>
    <w:multiLevelType w:val="multilevel"/>
    <w:tmpl w:val="A7B4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7D29D9"/>
    <w:multiLevelType w:val="hybridMultilevel"/>
    <w:tmpl w:val="4D8C81F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8D51CC9"/>
    <w:multiLevelType w:val="hybridMultilevel"/>
    <w:tmpl w:val="52B2E8F0"/>
    <w:lvl w:ilvl="0" w:tplc="C5ACDF2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7B759C"/>
    <w:multiLevelType w:val="hybridMultilevel"/>
    <w:tmpl w:val="864450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404A18"/>
    <w:multiLevelType w:val="hybridMultilevel"/>
    <w:tmpl w:val="72DCDF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DFF5D71"/>
    <w:multiLevelType w:val="hybridMultilevel"/>
    <w:tmpl w:val="02642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4B3AF4"/>
    <w:multiLevelType w:val="hybridMultilevel"/>
    <w:tmpl w:val="C9A08D64"/>
    <w:lvl w:ilvl="0" w:tplc="0C090001">
      <w:start w:val="1"/>
      <w:numFmt w:val="bullet"/>
      <w:lvlText w:val=""/>
      <w:lvlJc w:val="left"/>
      <w:pPr>
        <w:ind w:left="780" w:hanging="360"/>
      </w:pPr>
      <w:rPr>
        <w:rFonts w:ascii="Symbol" w:hAnsi="Symbol" w:hint="default"/>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7" w15:restartNumberingAfterBreak="0">
    <w:nsid w:val="2E5B2808"/>
    <w:multiLevelType w:val="hybridMultilevel"/>
    <w:tmpl w:val="9D6A84F4"/>
    <w:lvl w:ilvl="0" w:tplc="2DB8419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2103D50"/>
    <w:multiLevelType w:val="hybridMultilevel"/>
    <w:tmpl w:val="B1B86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513F0D"/>
    <w:multiLevelType w:val="hybridMultilevel"/>
    <w:tmpl w:val="2A7665A2"/>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0" w15:restartNumberingAfterBreak="0">
    <w:nsid w:val="3B1E38EA"/>
    <w:multiLevelType w:val="hybridMultilevel"/>
    <w:tmpl w:val="2CFC3B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A771D7"/>
    <w:multiLevelType w:val="hybridMultilevel"/>
    <w:tmpl w:val="0AC8EE9E"/>
    <w:lvl w:ilvl="0" w:tplc="343655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90402A"/>
    <w:multiLevelType w:val="hybridMultilevel"/>
    <w:tmpl w:val="9E4081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6403A9E"/>
    <w:multiLevelType w:val="hybridMultilevel"/>
    <w:tmpl w:val="601A5FBC"/>
    <w:lvl w:ilvl="0" w:tplc="AB06A78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A2952B8"/>
    <w:multiLevelType w:val="hybridMultilevel"/>
    <w:tmpl w:val="27CAB5DE"/>
    <w:lvl w:ilvl="0" w:tplc="AB06A786">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57781B"/>
    <w:multiLevelType w:val="hybridMultilevel"/>
    <w:tmpl w:val="4A48119A"/>
    <w:lvl w:ilvl="0" w:tplc="96748E0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CA1628"/>
    <w:multiLevelType w:val="hybridMultilevel"/>
    <w:tmpl w:val="78EA2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11411B"/>
    <w:multiLevelType w:val="hybridMultilevel"/>
    <w:tmpl w:val="279A8470"/>
    <w:lvl w:ilvl="0" w:tplc="C3567788">
      <w:numFmt w:val="bullet"/>
      <w:lvlText w:val="·"/>
      <w:lvlJc w:val="left"/>
      <w:pPr>
        <w:ind w:left="739" w:hanging="390"/>
      </w:pPr>
      <w:rPr>
        <w:rFonts w:ascii="Times New Roman" w:eastAsia="Times New Roman" w:hAnsi="Times New Roman" w:cs="Times New Roman" w:hint="default"/>
        <w:sz w:val="22"/>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8" w15:restartNumberingAfterBreak="0">
    <w:nsid w:val="582A1322"/>
    <w:multiLevelType w:val="hybridMultilevel"/>
    <w:tmpl w:val="6B3C7314"/>
    <w:lvl w:ilvl="0" w:tplc="C5ACDF2E">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BDE28D6"/>
    <w:multiLevelType w:val="hybridMultilevel"/>
    <w:tmpl w:val="84400FF6"/>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30" w15:restartNumberingAfterBreak="0">
    <w:nsid w:val="5F063FD6"/>
    <w:multiLevelType w:val="hybridMultilevel"/>
    <w:tmpl w:val="76669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1A5191"/>
    <w:multiLevelType w:val="hybridMultilevel"/>
    <w:tmpl w:val="C1D4619E"/>
    <w:lvl w:ilvl="0" w:tplc="C5ACDF2E">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9B64428"/>
    <w:multiLevelType w:val="hybridMultilevel"/>
    <w:tmpl w:val="DCB46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2669E3"/>
    <w:multiLevelType w:val="hybridMultilevel"/>
    <w:tmpl w:val="6B3C7314"/>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D4F4F70"/>
    <w:multiLevelType w:val="multilevel"/>
    <w:tmpl w:val="7F60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8B4730"/>
    <w:multiLevelType w:val="multilevel"/>
    <w:tmpl w:val="A090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9F4B02"/>
    <w:multiLevelType w:val="hybridMultilevel"/>
    <w:tmpl w:val="2BE8C9F0"/>
    <w:lvl w:ilvl="0" w:tplc="CA6897F4">
      <w:start w:val="1"/>
      <w:numFmt w:val="bullet"/>
      <w:lvlText w:val=""/>
      <w:lvlJc w:val="left"/>
      <w:pPr>
        <w:ind w:left="739" w:hanging="390"/>
      </w:pPr>
      <w:rPr>
        <w:rFonts w:ascii="Symbol" w:hAnsi="Symbol" w:hint="default"/>
        <w:b w:val="0"/>
        <w:i w:val="0"/>
        <w:sz w:val="22"/>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37" w15:restartNumberingAfterBreak="0">
    <w:nsid w:val="6E7711D6"/>
    <w:multiLevelType w:val="hybridMultilevel"/>
    <w:tmpl w:val="07967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337549D"/>
    <w:multiLevelType w:val="hybridMultilevel"/>
    <w:tmpl w:val="C816A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424677"/>
    <w:multiLevelType w:val="multilevel"/>
    <w:tmpl w:val="D04468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BE11BE"/>
    <w:multiLevelType w:val="hybridMultilevel"/>
    <w:tmpl w:val="51EE820C"/>
    <w:lvl w:ilvl="0" w:tplc="CD82A44A">
      <w:start w:val="9"/>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D03180"/>
    <w:multiLevelType w:val="hybridMultilevel"/>
    <w:tmpl w:val="E6CE0632"/>
    <w:lvl w:ilvl="0" w:tplc="0C090001">
      <w:start w:val="1"/>
      <w:numFmt w:val="bullet"/>
      <w:lvlText w:val=""/>
      <w:lvlJc w:val="left"/>
      <w:pPr>
        <w:ind w:left="1077" w:hanging="360"/>
      </w:pPr>
      <w:rPr>
        <w:rFonts w:ascii="Symbol" w:hAnsi="Symbol" w:hint="default"/>
      </w:rPr>
    </w:lvl>
    <w:lvl w:ilvl="1" w:tplc="25E2C438">
      <w:numFmt w:val="bullet"/>
      <w:lvlText w:val="·"/>
      <w:lvlJc w:val="left"/>
      <w:pPr>
        <w:ind w:left="2187" w:hanging="750"/>
      </w:pPr>
      <w:rPr>
        <w:rFonts w:ascii="Times New Roman" w:eastAsia="Times New Roman" w:hAnsi="Times New Roman" w:cs="Times New Roman"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2" w15:restartNumberingAfterBreak="0">
    <w:nsid w:val="7C6B6CDD"/>
    <w:multiLevelType w:val="hybridMultilevel"/>
    <w:tmpl w:val="11320D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903829258">
    <w:abstractNumId w:val="10"/>
  </w:num>
  <w:num w:numId="2" w16cid:durableId="669986330">
    <w:abstractNumId w:val="39"/>
  </w:num>
  <w:num w:numId="3" w16cid:durableId="1258296388">
    <w:abstractNumId w:val="35"/>
  </w:num>
  <w:num w:numId="4" w16cid:durableId="615990610">
    <w:abstractNumId w:val="34"/>
  </w:num>
  <w:num w:numId="5" w16cid:durableId="1357928963">
    <w:abstractNumId w:val="1"/>
  </w:num>
  <w:num w:numId="6" w16cid:durableId="1781216607">
    <w:abstractNumId w:val="7"/>
  </w:num>
  <w:num w:numId="7" w16cid:durableId="1451170111">
    <w:abstractNumId w:val="21"/>
  </w:num>
  <w:num w:numId="8" w16cid:durableId="2124494362">
    <w:abstractNumId w:val="6"/>
  </w:num>
  <w:num w:numId="9" w16cid:durableId="1364789016">
    <w:abstractNumId w:val="13"/>
  </w:num>
  <w:num w:numId="10" w16cid:durableId="1643919887">
    <w:abstractNumId w:val="30"/>
  </w:num>
  <w:num w:numId="11" w16cid:durableId="1126464176">
    <w:abstractNumId w:val="4"/>
  </w:num>
  <w:num w:numId="12" w16cid:durableId="2100639960">
    <w:abstractNumId w:val="11"/>
  </w:num>
  <w:num w:numId="13" w16cid:durableId="1051878996">
    <w:abstractNumId w:val="38"/>
  </w:num>
  <w:num w:numId="14" w16cid:durableId="1691369341">
    <w:abstractNumId w:val="18"/>
  </w:num>
  <w:num w:numId="15" w16cid:durableId="938023208">
    <w:abstractNumId w:val="8"/>
  </w:num>
  <w:num w:numId="16" w16cid:durableId="866066008">
    <w:abstractNumId w:val="5"/>
  </w:num>
  <w:num w:numId="17" w16cid:durableId="1578128760">
    <w:abstractNumId w:val="26"/>
  </w:num>
  <w:num w:numId="18" w16cid:durableId="1238518607">
    <w:abstractNumId w:val="20"/>
  </w:num>
  <w:num w:numId="19" w16cid:durableId="302539732">
    <w:abstractNumId w:val="16"/>
  </w:num>
  <w:num w:numId="20" w16cid:durableId="1418212579">
    <w:abstractNumId w:val="22"/>
  </w:num>
  <w:num w:numId="21" w16cid:durableId="980767150">
    <w:abstractNumId w:val="9"/>
  </w:num>
  <w:num w:numId="22" w16cid:durableId="562983806">
    <w:abstractNumId w:val="12"/>
  </w:num>
  <w:num w:numId="23" w16cid:durableId="351031827">
    <w:abstractNumId w:val="25"/>
  </w:num>
  <w:num w:numId="24" w16cid:durableId="1644892328">
    <w:abstractNumId w:val="17"/>
  </w:num>
  <w:num w:numId="25" w16cid:durableId="675692111">
    <w:abstractNumId w:val="23"/>
  </w:num>
  <w:num w:numId="26" w16cid:durableId="915356692">
    <w:abstractNumId w:val="28"/>
  </w:num>
  <w:num w:numId="27" w16cid:durableId="2117602642">
    <w:abstractNumId w:val="2"/>
  </w:num>
  <w:num w:numId="28" w16cid:durableId="1800411491">
    <w:abstractNumId w:val="33"/>
  </w:num>
  <w:num w:numId="29" w16cid:durableId="1774280093">
    <w:abstractNumId w:val="31"/>
  </w:num>
  <w:num w:numId="30" w16cid:durableId="107049619">
    <w:abstractNumId w:val="24"/>
  </w:num>
  <w:num w:numId="31" w16cid:durableId="839856384">
    <w:abstractNumId w:val="40"/>
  </w:num>
  <w:num w:numId="32" w16cid:durableId="1125274625">
    <w:abstractNumId w:val="32"/>
  </w:num>
  <w:num w:numId="33" w16cid:durableId="787747444">
    <w:abstractNumId w:val="37"/>
  </w:num>
  <w:num w:numId="34" w16cid:durableId="1847789527">
    <w:abstractNumId w:val="41"/>
  </w:num>
  <w:num w:numId="35" w16cid:durableId="2554108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1932394">
    <w:abstractNumId w:val="0"/>
  </w:num>
  <w:num w:numId="37" w16cid:durableId="1666669121">
    <w:abstractNumId w:val="15"/>
  </w:num>
  <w:num w:numId="38" w16cid:durableId="1845168797">
    <w:abstractNumId w:val="27"/>
  </w:num>
  <w:num w:numId="39" w16cid:durableId="1421099689">
    <w:abstractNumId w:val="36"/>
  </w:num>
  <w:num w:numId="40" w16cid:durableId="1247493023">
    <w:abstractNumId w:val="3"/>
  </w:num>
  <w:num w:numId="41" w16cid:durableId="628635947">
    <w:abstractNumId w:val="29"/>
  </w:num>
  <w:num w:numId="42" w16cid:durableId="1514027933">
    <w:abstractNumId w:val="19"/>
  </w:num>
  <w:num w:numId="43" w16cid:durableId="15262104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49"/>
    <w:rsid w:val="00001169"/>
    <w:rsid w:val="00007638"/>
    <w:rsid w:val="00013BB4"/>
    <w:rsid w:val="00020A6C"/>
    <w:rsid w:val="00020C4A"/>
    <w:rsid w:val="00020C8E"/>
    <w:rsid w:val="00020EC6"/>
    <w:rsid w:val="00023456"/>
    <w:rsid w:val="000237D7"/>
    <w:rsid w:val="00027129"/>
    <w:rsid w:val="00030457"/>
    <w:rsid w:val="000317C2"/>
    <w:rsid w:val="0003239E"/>
    <w:rsid w:val="000334D1"/>
    <w:rsid w:val="00033F37"/>
    <w:rsid w:val="000355D4"/>
    <w:rsid w:val="00042949"/>
    <w:rsid w:val="00044322"/>
    <w:rsid w:val="00046C52"/>
    <w:rsid w:val="000524E0"/>
    <w:rsid w:val="00053755"/>
    <w:rsid w:val="00054597"/>
    <w:rsid w:val="00055667"/>
    <w:rsid w:val="000560F8"/>
    <w:rsid w:val="000566C4"/>
    <w:rsid w:val="000608EA"/>
    <w:rsid w:val="0006448F"/>
    <w:rsid w:val="00065AA2"/>
    <w:rsid w:val="00065E58"/>
    <w:rsid w:val="00066D3D"/>
    <w:rsid w:val="00074735"/>
    <w:rsid w:val="00075575"/>
    <w:rsid w:val="00076947"/>
    <w:rsid w:val="00077D63"/>
    <w:rsid w:val="00081D6C"/>
    <w:rsid w:val="00084127"/>
    <w:rsid w:val="0008429C"/>
    <w:rsid w:val="00086447"/>
    <w:rsid w:val="00086857"/>
    <w:rsid w:val="00090E6B"/>
    <w:rsid w:val="00092279"/>
    <w:rsid w:val="000A0269"/>
    <w:rsid w:val="000A2123"/>
    <w:rsid w:val="000A4AE6"/>
    <w:rsid w:val="000A68FE"/>
    <w:rsid w:val="000A6DB8"/>
    <w:rsid w:val="000B344D"/>
    <w:rsid w:val="000B3C9A"/>
    <w:rsid w:val="000B54B5"/>
    <w:rsid w:val="000B5994"/>
    <w:rsid w:val="000B70D8"/>
    <w:rsid w:val="000D14A5"/>
    <w:rsid w:val="000D2387"/>
    <w:rsid w:val="000D4539"/>
    <w:rsid w:val="000D6F14"/>
    <w:rsid w:val="000D70FE"/>
    <w:rsid w:val="000E1037"/>
    <w:rsid w:val="000E2C7F"/>
    <w:rsid w:val="000E479E"/>
    <w:rsid w:val="000F1698"/>
    <w:rsid w:val="000F1FC4"/>
    <w:rsid w:val="000F6B16"/>
    <w:rsid w:val="00102CBA"/>
    <w:rsid w:val="00110C6C"/>
    <w:rsid w:val="00111BB5"/>
    <w:rsid w:val="00114BB0"/>
    <w:rsid w:val="00116EC7"/>
    <w:rsid w:val="00120A4D"/>
    <w:rsid w:val="00120C52"/>
    <w:rsid w:val="0012137A"/>
    <w:rsid w:val="00121C78"/>
    <w:rsid w:val="00122097"/>
    <w:rsid w:val="0012347C"/>
    <w:rsid w:val="00126490"/>
    <w:rsid w:val="00130FB8"/>
    <w:rsid w:val="00131C05"/>
    <w:rsid w:val="001332FF"/>
    <w:rsid w:val="00135200"/>
    <w:rsid w:val="001372B7"/>
    <w:rsid w:val="00140EAA"/>
    <w:rsid w:val="00143796"/>
    <w:rsid w:val="00153B5C"/>
    <w:rsid w:val="00154043"/>
    <w:rsid w:val="00156975"/>
    <w:rsid w:val="00157F3E"/>
    <w:rsid w:val="00160C32"/>
    <w:rsid w:val="00161F8E"/>
    <w:rsid w:val="00162A9E"/>
    <w:rsid w:val="001670FC"/>
    <w:rsid w:val="001715EB"/>
    <w:rsid w:val="001737F7"/>
    <w:rsid w:val="001759D5"/>
    <w:rsid w:val="00180510"/>
    <w:rsid w:val="001806CD"/>
    <w:rsid w:val="001807D9"/>
    <w:rsid w:val="00182111"/>
    <w:rsid w:val="001916C3"/>
    <w:rsid w:val="00191777"/>
    <w:rsid w:val="001A1D28"/>
    <w:rsid w:val="001A2407"/>
    <w:rsid w:val="001A414A"/>
    <w:rsid w:val="001A421F"/>
    <w:rsid w:val="001A56CA"/>
    <w:rsid w:val="001B09A3"/>
    <w:rsid w:val="001B3D06"/>
    <w:rsid w:val="001B6E1E"/>
    <w:rsid w:val="001C0D45"/>
    <w:rsid w:val="001C3937"/>
    <w:rsid w:val="001C6E39"/>
    <w:rsid w:val="001D01D3"/>
    <w:rsid w:val="001D12B0"/>
    <w:rsid w:val="001D2CC6"/>
    <w:rsid w:val="001D3605"/>
    <w:rsid w:val="001D46A5"/>
    <w:rsid w:val="001E10B4"/>
    <w:rsid w:val="001E1664"/>
    <w:rsid w:val="001E1D2B"/>
    <w:rsid w:val="001E485A"/>
    <w:rsid w:val="001E4D75"/>
    <w:rsid w:val="001E7BF4"/>
    <w:rsid w:val="001F19E3"/>
    <w:rsid w:val="001F19EB"/>
    <w:rsid w:val="001F71FC"/>
    <w:rsid w:val="00200DEA"/>
    <w:rsid w:val="002019EE"/>
    <w:rsid w:val="00203554"/>
    <w:rsid w:val="00203CEF"/>
    <w:rsid w:val="00204361"/>
    <w:rsid w:val="00207A64"/>
    <w:rsid w:val="00207EA3"/>
    <w:rsid w:val="0021251B"/>
    <w:rsid w:val="002131E0"/>
    <w:rsid w:val="0021433B"/>
    <w:rsid w:val="00216093"/>
    <w:rsid w:val="002248AF"/>
    <w:rsid w:val="00224BE2"/>
    <w:rsid w:val="00225662"/>
    <w:rsid w:val="00230031"/>
    <w:rsid w:val="00230AED"/>
    <w:rsid w:val="002325E2"/>
    <w:rsid w:val="00234197"/>
    <w:rsid w:val="00235267"/>
    <w:rsid w:val="00240856"/>
    <w:rsid w:val="00241D7F"/>
    <w:rsid w:val="00242638"/>
    <w:rsid w:val="00246C9C"/>
    <w:rsid w:val="00247A42"/>
    <w:rsid w:val="002523E9"/>
    <w:rsid w:val="00252681"/>
    <w:rsid w:val="002527CA"/>
    <w:rsid w:val="0026270F"/>
    <w:rsid w:val="002635EA"/>
    <w:rsid w:val="00263867"/>
    <w:rsid w:val="00266318"/>
    <w:rsid w:val="0027016E"/>
    <w:rsid w:val="00270379"/>
    <w:rsid w:val="002734E8"/>
    <w:rsid w:val="0028162B"/>
    <w:rsid w:val="002816F6"/>
    <w:rsid w:val="00281B59"/>
    <w:rsid w:val="0028488D"/>
    <w:rsid w:val="00285610"/>
    <w:rsid w:val="00286A33"/>
    <w:rsid w:val="00290DCF"/>
    <w:rsid w:val="00291861"/>
    <w:rsid w:val="0029329F"/>
    <w:rsid w:val="002938AF"/>
    <w:rsid w:val="002A0587"/>
    <w:rsid w:val="002A31E8"/>
    <w:rsid w:val="002A3FE5"/>
    <w:rsid w:val="002A4485"/>
    <w:rsid w:val="002A5506"/>
    <w:rsid w:val="002A658B"/>
    <w:rsid w:val="002B01B7"/>
    <w:rsid w:val="002B2FDE"/>
    <w:rsid w:val="002B78CD"/>
    <w:rsid w:val="002C43A9"/>
    <w:rsid w:val="002C64CA"/>
    <w:rsid w:val="002D07C2"/>
    <w:rsid w:val="002D1180"/>
    <w:rsid w:val="002D25C1"/>
    <w:rsid w:val="002D2B6D"/>
    <w:rsid w:val="002D3FBC"/>
    <w:rsid w:val="002D7F02"/>
    <w:rsid w:val="002E19B8"/>
    <w:rsid w:val="002E27B3"/>
    <w:rsid w:val="002E2C38"/>
    <w:rsid w:val="002E64D4"/>
    <w:rsid w:val="002E6E93"/>
    <w:rsid w:val="002E73D1"/>
    <w:rsid w:val="002F06E4"/>
    <w:rsid w:val="002F4411"/>
    <w:rsid w:val="002F6987"/>
    <w:rsid w:val="00304C44"/>
    <w:rsid w:val="003105C2"/>
    <w:rsid w:val="00310CAA"/>
    <w:rsid w:val="00310F1C"/>
    <w:rsid w:val="0031156D"/>
    <w:rsid w:val="00312888"/>
    <w:rsid w:val="00313A75"/>
    <w:rsid w:val="00316493"/>
    <w:rsid w:val="00316A0E"/>
    <w:rsid w:val="0031776A"/>
    <w:rsid w:val="00320E4E"/>
    <w:rsid w:val="003226A3"/>
    <w:rsid w:val="00326B01"/>
    <w:rsid w:val="00333336"/>
    <w:rsid w:val="003365BF"/>
    <w:rsid w:val="00341166"/>
    <w:rsid w:val="003426F2"/>
    <w:rsid w:val="0034555F"/>
    <w:rsid w:val="00345EAF"/>
    <w:rsid w:val="00350D16"/>
    <w:rsid w:val="003524DC"/>
    <w:rsid w:val="00354BEE"/>
    <w:rsid w:val="003572DC"/>
    <w:rsid w:val="003615CB"/>
    <w:rsid w:val="00363645"/>
    <w:rsid w:val="00364201"/>
    <w:rsid w:val="00365BE8"/>
    <w:rsid w:val="003712B2"/>
    <w:rsid w:val="00374CB0"/>
    <w:rsid w:val="00374DA1"/>
    <w:rsid w:val="00376794"/>
    <w:rsid w:val="00376836"/>
    <w:rsid w:val="0037713A"/>
    <w:rsid w:val="00380779"/>
    <w:rsid w:val="003820E9"/>
    <w:rsid w:val="0038457E"/>
    <w:rsid w:val="00394EB3"/>
    <w:rsid w:val="0039531A"/>
    <w:rsid w:val="00395627"/>
    <w:rsid w:val="003A3370"/>
    <w:rsid w:val="003A3754"/>
    <w:rsid w:val="003A3BF5"/>
    <w:rsid w:val="003A60AE"/>
    <w:rsid w:val="003B1855"/>
    <w:rsid w:val="003B18D2"/>
    <w:rsid w:val="003B29ED"/>
    <w:rsid w:val="003B2B84"/>
    <w:rsid w:val="003B517F"/>
    <w:rsid w:val="003B6EB1"/>
    <w:rsid w:val="003C17BB"/>
    <w:rsid w:val="003C367C"/>
    <w:rsid w:val="003C499C"/>
    <w:rsid w:val="003C5C93"/>
    <w:rsid w:val="003D0CB7"/>
    <w:rsid w:val="003D23CB"/>
    <w:rsid w:val="003D64AD"/>
    <w:rsid w:val="003D7B11"/>
    <w:rsid w:val="003E1544"/>
    <w:rsid w:val="003E1E93"/>
    <w:rsid w:val="003E20ED"/>
    <w:rsid w:val="003E4C87"/>
    <w:rsid w:val="003E69BC"/>
    <w:rsid w:val="003E7781"/>
    <w:rsid w:val="003F02DE"/>
    <w:rsid w:val="003F1091"/>
    <w:rsid w:val="003F1406"/>
    <w:rsid w:val="003F65B3"/>
    <w:rsid w:val="003F7E87"/>
    <w:rsid w:val="00400C5D"/>
    <w:rsid w:val="00400F8E"/>
    <w:rsid w:val="004039A5"/>
    <w:rsid w:val="00410325"/>
    <w:rsid w:val="00411FF1"/>
    <w:rsid w:val="004228FB"/>
    <w:rsid w:val="00423C08"/>
    <w:rsid w:val="00423E41"/>
    <w:rsid w:val="00425093"/>
    <w:rsid w:val="00425232"/>
    <w:rsid w:val="00426332"/>
    <w:rsid w:val="00427462"/>
    <w:rsid w:val="00434011"/>
    <w:rsid w:val="004340E6"/>
    <w:rsid w:val="0043510A"/>
    <w:rsid w:val="00437ACC"/>
    <w:rsid w:val="00442B12"/>
    <w:rsid w:val="00443BDA"/>
    <w:rsid w:val="00443BEE"/>
    <w:rsid w:val="00444A1B"/>
    <w:rsid w:val="00446F1B"/>
    <w:rsid w:val="00452414"/>
    <w:rsid w:val="00457EB4"/>
    <w:rsid w:val="00462834"/>
    <w:rsid w:val="00467757"/>
    <w:rsid w:val="00467DC1"/>
    <w:rsid w:val="00467DD2"/>
    <w:rsid w:val="0047411A"/>
    <w:rsid w:val="00477B15"/>
    <w:rsid w:val="00480E2D"/>
    <w:rsid w:val="004826AD"/>
    <w:rsid w:val="00484014"/>
    <w:rsid w:val="0049309A"/>
    <w:rsid w:val="004A3B56"/>
    <w:rsid w:val="004A6020"/>
    <w:rsid w:val="004A75BA"/>
    <w:rsid w:val="004B7B21"/>
    <w:rsid w:val="004B7C87"/>
    <w:rsid w:val="004B7E75"/>
    <w:rsid w:val="004C22B5"/>
    <w:rsid w:val="004C2920"/>
    <w:rsid w:val="004D0830"/>
    <w:rsid w:val="004D213B"/>
    <w:rsid w:val="004D32D4"/>
    <w:rsid w:val="004D7998"/>
    <w:rsid w:val="004E2B01"/>
    <w:rsid w:val="004E5A9C"/>
    <w:rsid w:val="00502193"/>
    <w:rsid w:val="00505B29"/>
    <w:rsid w:val="005161B8"/>
    <w:rsid w:val="00517DFB"/>
    <w:rsid w:val="00522C8F"/>
    <w:rsid w:val="00525C83"/>
    <w:rsid w:val="00525FC6"/>
    <w:rsid w:val="00527FAA"/>
    <w:rsid w:val="00530361"/>
    <w:rsid w:val="0053047E"/>
    <w:rsid w:val="00530795"/>
    <w:rsid w:val="00530D92"/>
    <w:rsid w:val="0053109C"/>
    <w:rsid w:val="00532EEE"/>
    <w:rsid w:val="005358C9"/>
    <w:rsid w:val="00537005"/>
    <w:rsid w:val="00546C8B"/>
    <w:rsid w:val="005470B3"/>
    <w:rsid w:val="00550CD2"/>
    <w:rsid w:val="00551AE3"/>
    <w:rsid w:val="00556437"/>
    <w:rsid w:val="005602E7"/>
    <w:rsid w:val="005622D7"/>
    <w:rsid w:val="005700C4"/>
    <w:rsid w:val="00572223"/>
    <w:rsid w:val="00572897"/>
    <w:rsid w:val="005748E9"/>
    <w:rsid w:val="00577CE0"/>
    <w:rsid w:val="00582B29"/>
    <w:rsid w:val="0058500D"/>
    <w:rsid w:val="005858C8"/>
    <w:rsid w:val="00593BB4"/>
    <w:rsid w:val="005A1698"/>
    <w:rsid w:val="005A39C3"/>
    <w:rsid w:val="005A3CB6"/>
    <w:rsid w:val="005B6DDB"/>
    <w:rsid w:val="005C0B89"/>
    <w:rsid w:val="005C7A52"/>
    <w:rsid w:val="005D0196"/>
    <w:rsid w:val="005D391E"/>
    <w:rsid w:val="005D3AE0"/>
    <w:rsid w:val="005D3C69"/>
    <w:rsid w:val="005D4D75"/>
    <w:rsid w:val="005D7B42"/>
    <w:rsid w:val="005E2775"/>
    <w:rsid w:val="005E353D"/>
    <w:rsid w:val="005E3A11"/>
    <w:rsid w:val="005F020A"/>
    <w:rsid w:val="005F18F6"/>
    <w:rsid w:val="005F3158"/>
    <w:rsid w:val="005F439F"/>
    <w:rsid w:val="0060053E"/>
    <w:rsid w:val="006008A4"/>
    <w:rsid w:val="00601A64"/>
    <w:rsid w:val="00610B0F"/>
    <w:rsid w:val="006126DA"/>
    <w:rsid w:val="00614882"/>
    <w:rsid w:val="00617CF4"/>
    <w:rsid w:val="00623F9B"/>
    <w:rsid w:val="0062715F"/>
    <w:rsid w:val="00637F85"/>
    <w:rsid w:val="00640288"/>
    <w:rsid w:val="0064089E"/>
    <w:rsid w:val="00642633"/>
    <w:rsid w:val="00643298"/>
    <w:rsid w:val="006448F3"/>
    <w:rsid w:val="00651C84"/>
    <w:rsid w:val="0065366A"/>
    <w:rsid w:val="00655F82"/>
    <w:rsid w:val="006624D6"/>
    <w:rsid w:val="006662F0"/>
    <w:rsid w:val="00670F65"/>
    <w:rsid w:val="006720FF"/>
    <w:rsid w:val="00677C6B"/>
    <w:rsid w:val="0068024F"/>
    <w:rsid w:val="00681F75"/>
    <w:rsid w:val="00684A28"/>
    <w:rsid w:val="00685CEF"/>
    <w:rsid w:val="006910F6"/>
    <w:rsid w:val="0069173E"/>
    <w:rsid w:val="00693FAC"/>
    <w:rsid w:val="006948C1"/>
    <w:rsid w:val="006951FF"/>
    <w:rsid w:val="0069712B"/>
    <w:rsid w:val="006A1A69"/>
    <w:rsid w:val="006A5651"/>
    <w:rsid w:val="006A6EFF"/>
    <w:rsid w:val="006A7356"/>
    <w:rsid w:val="006B32D7"/>
    <w:rsid w:val="006B49F0"/>
    <w:rsid w:val="006B5E7C"/>
    <w:rsid w:val="006B7EFC"/>
    <w:rsid w:val="006C5743"/>
    <w:rsid w:val="006C5EEC"/>
    <w:rsid w:val="006C6C10"/>
    <w:rsid w:val="006C717C"/>
    <w:rsid w:val="006D10F0"/>
    <w:rsid w:val="006D2231"/>
    <w:rsid w:val="006D28D5"/>
    <w:rsid w:val="006D2B19"/>
    <w:rsid w:val="006E0E54"/>
    <w:rsid w:val="006E108D"/>
    <w:rsid w:val="006E170C"/>
    <w:rsid w:val="006E2E1F"/>
    <w:rsid w:val="006E6111"/>
    <w:rsid w:val="006E74E4"/>
    <w:rsid w:val="006F03AC"/>
    <w:rsid w:val="006F6E8E"/>
    <w:rsid w:val="007007CA"/>
    <w:rsid w:val="00700D5C"/>
    <w:rsid w:val="00702C86"/>
    <w:rsid w:val="00702EEB"/>
    <w:rsid w:val="00702FF1"/>
    <w:rsid w:val="00704F5E"/>
    <w:rsid w:val="0070528C"/>
    <w:rsid w:val="00706D00"/>
    <w:rsid w:val="007170FD"/>
    <w:rsid w:val="00722524"/>
    <w:rsid w:val="00724C4A"/>
    <w:rsid w:val="00732FB7"/>
    <w:rsid w:val="00736B4C"/>
    <w:rsid w:val="0074142C"/>
    <w:rsid w:val="007433CC"/>
    <w:rsid w:val="0074530B"/>
    <w:rsid w:val="00754665"/>
    <w:rsid w:val="0075787C"/>
    <w:rsid w:val="00767930"/>
    <w:rsid w:val="0077024B"/>
    <w:rsid w:val="00772ABD"/>
    <w:rsid w:val="00780A67"/>
    <w:rsid w:val="00780AF6"/>
    <w:rsid w:val="007818BF"/>
    <w:rsid w:val="00783799"/>
    <w:rsid w:val="007933B0"/>
    <w:rsid w:val="00794259"/>
    <w:rsid w:val="00795BC4"/>
    <w:rsid w:val="007A44A8"/>
    <w:rsid w:val="007A517F"/>
    <w:rsid w:val="007A5657"/>
    <w:rsid w:val="007B0091"/>
    <w:rsid w:val="007B24DA"/>
    <w:rsid w:val="007C00DC"/>
    <w:rsid w:val="007C0DF2"/>
    <w:rsid w:val="007C1183"/>
    <w:rsid w:val="007C2079"/>
    <w:rsid w:val="007C2FFF"/>
    <w:rsid w:val="007C6204"/>
    <w:rsid w:val="007C7C1D"/>
    <w:rsid w:val="007D1532"/>
    <w:rsid w:val="007D1D5E"/>
    <w:rsid w:val="007D642B"/>
    <w:rsid w:val="007D6FE3"/>
    <w:rsid w:val="007E08C6"/>
    <w:rsid w:val="007E0AD6"/>
    <w:rsid w:val="007E3295"/>
    <w:rsid w:val="007E3357"/>
    <w:rsid w:val="007E615D"/>
    <w:rsid w:val="007E64A5"/>
    <w:rsid w:val="007E7856"/>
    <w:rsid w:val="007F40E0"/>
    <w:rsid w:val="007F4F58"/>
    <w:rsid w:val="007F5214"/>
    <w:rsid w:val="007F5A4C"/>
    <w:rsid w:val="007F5AA6"/>
    <w:rsid w:val="008039DC"/>
    <w:rsid w:val="00803BFD"/>
    <w:rsid w:val="00811A29"/>
    <w:rsid w:val="00812971"/>
    <w:rsid w:val="008130E0"/>
    <w:rsid w:val="00813AF1"/>
    <w:rsid w:val="00825ED4"/>
    <w:rsid w:val="00830CC6"/>
    <w:rsid w:val="0083506D"/>
    <w:rsid w:val="0083563A"/>
    <w:rsid w:val="00836799"/>
    <w:rsid w:val="00841B00"/>
    <w:rsid w:val="008463A4"/>
    <w:rsid w:val="0084698A"/>
    <w:rsid w:val="00850F2C"/>
    <w:rsid w:val="008516D5"/>
    <w:rsid w:val="00855479"/>
    <w:rsid w:val="0085572E"/>
    <w:rsid w:val="00855A79"/>
    <w:rsid w:val="00855E7B"/>
    <w:rsid w:val="0085709B"/>
    <w:rsid w:val="008621EC"/>
    <w:rsid w:val="00864494"/>
    <w:rsid w:val="00864721"/>
    <w:rsid w:val="0086515C"/>
    <w:rsid w:val="00870AB1"/>
    <w:rsid w:val="00873AAA"/>
    <w:rsid w:val="008747AB"/>
    <w:rsid w:val="00874CF6"/>
    <w:rsid w:val="0087534C"/>
    <w:rsid w:val="008825E4"/>
    <w:rsid w:val="008839E6"/>
    <w:rsid w:val="00887F91"/>
    <w:rsid w:val="0089069A"/>
    <w:rsid w:val="0089231C"/>
    <w:rsid w:val="0089394D"/>
    <w:rsid w:val="00893B4B"/>
    <w:rsid w:val="00893EAB"/>
    <w:rsid w:val="00895AA2"/>
    <w:rsid w:val="00897B02"/>
    <w:rsid w:val="008A2F14"/>
    <w:rsid w:val="008A5EAA"/>
    <w:rsid w:val="008A5F82"/>
    <w:rsid w:val="008A6E35"/>
    <w:rsid w:val="008B0C08"/>
    <w:rsid w:val="008B775F"/>
    <w:rsid w:val="008C2217"/>
    <w:rsid w:val="008C482E"/>
    <w:rsid w:val="008C7402"/>
    <w:rsid w:val="008D1849"/>
    <w:rsid w:val="008D2BEB"/>
    <w:rsid w:val="008D52A9"/>
    <w:rsid w:val="008D63A7"/>
    <w:rsid w:val="008E6EB5"/>
    <w:rsid w:val="008F4295"/>
    <w:rsid w:val="008F4DB5"/>
    <w:rsid w:val="00902B06"/>
    <w:rsid w:val="009134A5"/>
    <w:rsid w:val="00914A81"/>
    <w:rsid w:val="0092662B"/>
    <w:rsid w:val="009357EE"/>
    <w:rsid w:val="00935EB1"/>
    <w:rsid w:val="00940822"/>
    <w:rsid w:val="00941472"/>
    <w:rsid w:val="00946768"/>
    <w:rsid w:val="0094793C"/>
    <w:rsid w:val="00954964"/>
    <w:rsid w:val="00955485"/>
    <w:rsid w:val="0096304F"/>
    <w:rsid w:val="009655FA"/>
    <w:rsid w:val="00972FB6"/>
    <w:rsid w:val="009756F8"/>
    <w:rsid w:val="00983BCE"/>
    <w:rsid w:val="00984665"/>
    <w:rsid w:val="00984BE5"/>
    <w:rsid w:val="0098558A"/>
    <w:rsid w:val="00987726"/>
    <w:rsid w:val="00990520"/>
    <w:rsid w:val="00993E2B"/>
    <w:rsid w:val="009961A2"/>
    <w:rsid w:val="009A14DF"/>
    <w:rsid w:val="009A3084"/>
    <w:rsid w:val="009A3B4C"/>
    <w:rsid w:val="009A432E"/>
    <w:rsid w:val="009A44E9"/>
    <w:rsid w:val="009B0946"/>
    <w:rsid w:val="009B0B1C"/>
    <w:rsid w:val="009B188D"/>
    <w:rsid w:val="009B2C98"/>
    <w:rsid w:val="009B38C1"/>
    <w:rsid w:val="009C1D82"/>
    <w:rsid w:val="009C20C7"/>
    <w:rsid w:val="009C2D37"/>
    <w:rsid w:val="009C40F7"/>
    <w:rsid w:val="009C66C6"/>
    <w:rsid w:val="009C6F31"/>
    <w:rsid w:val="009D4B3F"/>
    <w:rsid w:val="009D6A39"/>
    <w:rsid w:val="009E2A6E"/>
    <w:rsid w:val="009E5CBA"/>
    <w:rsid w:val="009E745B"/>
    <w:rsid w:val="009F2170"/>
    <w:rsid w:val="009F24E6"/>
    <w:rsid w:val="009F2C6E"/>
    <w:rsid w:val="009F49A1"/>
    <w:rsid w:val="009F741D"/>
    <w:rsid w:val="00A02008"/>
    <w:rsid w:val="00A0386C"/>
    <w:rsid w:val="00A039E9"/>
    <w:rsid w:val="00A07A30"/>
    <w:rsid w:val="00A10245"/>
    <w:rsid w:val="00A10769"/>
    <w:rsid w:val="00A171ED"/>
    <w:rsid w:val="00A172AD"/>
    <w:rsid w:val="00A213AB"/>
    <w:rsid w:val="00A27181"/>
    <w:rsid w:val="00A31221"/>
    <w:rsid w:val="00A31482"/>
    <w:rsid w:val="00A44398"/>
    <w:rsid w:val="00A446E9"/>
    <w:rsid w:val="00A46461"/>
    <w:rsid w:val="00A507DA"/>
    <w:rsid w:val="00A51E86"/>
    <w:rsid w:val="00A52ADF"/>
    <w:rsid w:val="00A54DFD"/>
    <w:rsid w:val="00A550E4"/>
    <w:rsid w:val="00A55C74"/>
    <w:rsid w:val="00A576D9"/>
    <w:rsid w:val="00A6074E"/>
    <w:rsid w:val="00A624B6"/>
    <w:rsid w:val="00A62564"/>
    <w:rsid w:val="00A66555"/>
    <w:rsid w:val="00A74F42"/>
    <w:rsid w:val="00A81D0C"/>
    <w:rsid w:val="00A8230A"/>
    <w:rsid w:val="00A87A85"/>
    <w:rsid w:val="00A96FD1"/>
    <w:rsid w:val="00AA15D3"/>
    <w:rsid w:val="00AA4D79"/>
    <w:rsid w:val="00AA5CFE"/>
    <w:rsid w:val="00AA7E75"/>
    <w:rsid w:val="00AB0836"/>
    <w:rsid w:val="00AC47F8"/>
    <w:rsid w:val="00AC4A9C"/>
    <w:rsid w:val="00AC6398"/>
    <w:rsid w:val="00AD2D92"/>
    <w:rsid w:val="00AD4204"/>
    <w:rsid w:val="00AD56EB"/>
    <w:rsid w:val="00AE5139"/>
    <w:rsid w:val="00AE53F7"/>
    <w:rsid w:val="00AE5640"/>
    <w:rsid w:val="00AE6D75"/>
    <w:rsid w:val="00AF17A4"/>
    <w:rsid w:val="00AF1D58"/>
    <w:rsid w:val="00AF245F"/>
    <w:rsid w:val="00AF6329"/>
    <w:rsid w:val="00AF706E"/>
    <w:rsid w:val="00B0415F"/>
    <w:rsid w:val="00B06DE1"/>
    <w:rsid w:val="00B1426A"/>
    <w:rsid w:val="00B17B2E"/>
    <w:rsid w:val="00B2235A"/>
    <w:rsid w:val="00B24E8A"/>
    <w:rsid w:val="00B25E0D"/>
    <w:rsid w:val="00B26EC9"/>
    <w:rsid w:val="00B27997"/>
    <w:rsid w:val="00B31032"/>
    <w:rsid w:val="00B31BCD"/>
    <w:rsid w:val="00B32EB0"/>
    <w:rsid w:val="00B35D3C"/>
    <w:rsid w:val="00B36EEF"/>
    <w:rsid w:val="00B44EF8"/>
    <w:rsid w:val="00B4616A"/>
    <w:rsid w:val="00B50743"/>
    <w:rsid w:val="00B520FC"/>
    <w:rsid w:val="00B52189"/>
    <w:rsid w:val="00B541E2"/>
    <w:rsid w:val="00B54D7A"/>
    <w:rsid w:val="00B576F6"/>
    <w:rsid w:val="00B57EDE"/>
    <w:rsid w:val="00B6174A"/>
    <w:rsid w:val="00B62876"/>
    <w:rsid w:val="00B725B6"/>
    <w:rsid w:val="00B7306C"/>
    <w:rsid w:val="00B73154"/>
    <w:rsid w:val="00B75621"/>
    <w:rsid w:val="00B8078B"/>
    <w:rsid w:val="00B8163A"/>
    <w:rsid w:val="00B8417A"/>
    <w:rsid w:val="00B84747"/>
    <w:rsid w:val="00B8725B"/>
    <w:rsid w:val="00B928B8"/>
    <w:rsid w:val="00B93328"/>
    <w:rsid w:val="00B94A6C"/>
    <w:rsid w:val="00BA1B12"/>
    <w:rsid w:val="00BA35DB"/>
    <w:rsid w:val="00BB3941"/>
    <w:rsid w:val="00BB724B"/>
    <w:rsid w:val="00BC26BD"/>
    <w:rsid w:val="00BC4AC8"/>
    <w:rsid w:val="00BC6690"/>
    <w:rsid w:val="00BD1609"/>
    <w:rsid w:val="00BD27CB"/>
    <w:rsid w:val="00BD27E1"/>
    <w:rsid w:val="00BD37A2"/>
    <w:rsid w:val="00BD4CC5"/>
    <w:rsid w:val="00BD7B6E"/>
    <w:rsid w:val="00BD7DFB"/>
    <w:rsid w:val="00BE271E"/>
    <w:rsid w:val="00BF2FA2"/>
    <w:rsid w:val="00BF310D"/>
    <w:rsid w:val="00BF5A59"/>
    <w:rsid w:val="00C05C71"/>
    <w:rsid w:val="00C05EE9"/>
    <w:rsid w:val="00C05EEE"/>
    <w:rsid w:val="00C23339"/>
    <w:rsid w:val="00C23DCA"/>
    <w:rsid w:val="00C23F3D"/>
    <w:rsid w:val="00C27D01"/>
    <w:rsid w:val="00C31E6E"/>
    <w:rsid w:val="00C3375A"/>
    <w:rsid w:val="00C35D0C"/>
    <w:rsid w:val="00C3659A"/>
    <w:rsid w:val="00C411EE"/>
    <w:rsid w:val="00C44989"/>
    <w:rsid w:val="00C45B56"/>
    <w:rsid w:val="00C5521A"/>
    <w:rsid w:val="00C67A40"/>
    <w:rsid w:val="00C67E56"/>
    <w:rsid w:val="00C72DCA"/>
    <w:rsid w:val="00C74773"/>
    <w:rsid w:val="00C74D8E"/>
    <w:rsid w:val="00C76254"/>
    <w:rsid w:val="00C77AAB"/>
    <w:rsid w:val="00C80B67"/>
    <w:rsid w:val="00C8143A"/>
    <w:rsid w:val="00C82459"/>
    <w:rsid w:val="00C851A1"/>
    <w:rsid w:val="00C85DF8"/>
    <w:rsid w:val="00C8744C"/>
    <w:rsid w:val="00C94204"/>
    <w:rsid w:val="00CA013A"/>
    <w:rsid w:val="00CA15DB"/>
    <w:rsid w:val="00CA21AF"/>
    <w:rsid w:val="00CA3971"/>
    <w:rsid w:val="00CA5C32"/>
    <w:rsid w:val="00CA6347"/>
    <w:rsid w:val="00CA7D56"/>
    <w:rsid w:val="00CC29A2"/>
    <w:rsid w:val="00CD2C36"/>
    <w:rsid w:val="00CE0D9D"/>
    <w:rsid w:val="00CE5E34"/>
    <w:rsid w:val="00CE72EA"/>
    <w:rsid w:val="00CF07E4"/>
    <w:rsid w:val="00CF32A6"/>
    <w:rsid w:val="00CF3888"/>
    <w:rsid w:val="00CF48C8"/>
    <w:rsid w:val="00CF7312"/>
    <w:rsid w:val="00D04AFA"/>
    <w:rsid w:val="00D04B87"/>
    <w:rsid w:val="00D12485"/>
    <w:rsid w:val="00D1460E"/>
    <w:rsid w:val="00D16747"/>
    <w:rsid w:val="00D2371A"/>
    <w:rsid w:val="00D24FB8"/>
    <w:rsid w:val="00D34600"/>
    <w:rsid w:val="00D359A8"/>
    <w:rsid w:val="00D369E8"/>
    <w:rsid w:val="00D36C8D"/>
    <w:rsid w:val="00D43D8E"/>
    <w:rsid w:val="00D45041"/>
    <w:rsid w:val="00D47294"/>
    <w:rsid w:val="00D51F4D"/>
    <w:rsid w:val="00D5215C"/>
    <w:rsid w:val="00D72E80"/>
    <w:rsid w:val="00D742E8"/>
    <w:rsid w:val="00D75BE6"/>
    <w:rsid w:val="00D81C7C"/>
    <w:rsid w:val="00D831F6"/>
    <w:rsid w:val="00D9400C"/>
    <w:rsid w:val="00D962D9"/>
    <w:rsid w:val="00DA0C60"/>
    <w:rsid w:val="00DA1C5E"/>
    <w:rsid w:val="00DA3AF2"/>
    <w:rsid w:val="00DA613A"/>
    <w:rsid w:val="00DA6756"/>
    <w:rsid w:val="00DB2981"/>
    <w:rsid w:val="00DB525B"/>
    <w:rsid w:val="00DB65BC"/>
    <w:rsid w:val="00DB6D96"/>
    <w:rsid w:val="00DC09B0"/>
    <w:rsid w:val="00DC35E2"/>
    <w:rsid w:val="00DC4197"/>
    <w:rsid w:val="00DC45F0"/>
    <w:rsid w:val="00DC5D79"/>
    <w:rsid w:val="00DC6513"/>
    <w:rsid w:val="00DC65B1"/>
    <w:rsid w:val="00DC6D94"/>
    <w:rsid w:val="00DD0B62"/>
    <w:rsid w:val="00DD2288"/>
    <w:rsid w:val="00DD25DF"/>
    <w:rsid w:val="00DD2A0F"/>
    <w:rsid w:val="00DD5050"/>
    <w:rsid w:val="00DE0352"/>
    <w:rsid w:val="00DE0EB3"/>
    <w:rsid w:val="00DE39E2"/>
    <w:rsid w:val="00DE3E46"/>
    <w:rsid w:val="00DE5408"/>
    <w:rsid w:val="00DF0C0E"/>
    <w:rsid w:val="00DF2873"/>
    <w:rsid w:val="00DF3AFE"/>
    <w:rsid w:val="00DF541F"/>
    <w:rsid w:val="00DF6C0E"/>
    <w:rsid w:val="00E0037F"/>
    <w:rsid w:val="00E00E2B"/>
    <w:rsid w:val="00E04466"/>
    <w:rsid w:val="00E074C5"/>
    <w:rsid w:val="00E10267"/>
    <w:rsid w:val="00E119ED"/>
    <w:rsid w:val="00E149D8"/>
    <w:rsid w:val="00E14B4B"/>
    <w:rsid w:val="00E15F1C"/>
    <w:rsid w:val="00E16A4D"/>
    <w:rsid w:val="00E17B54"/>
    <w:rsid w:val="00E2356C"/>
    <w:rsid w:val="00E25C68"/>
    <w:rsid w:val="00E261E3"/>
    <w:rsid w:val="00E3332C"/>
    <w:rsid w:val="00E33606"/>
    <w:rsid w:val="00E43F49"/>
    <w:rsid w:val="00E4476C"/>
    <w:rsid w:val="00E47D8F"/>
    <w:rsid w:val="00E600FB"/>
    <w:rsid w:val="00E6157E"/>
    <w:rsid w:val="00E61EA2"/>
    <w:rsid w:val="00E652E1"/>
    <w:rsid w:val="00E66364"/>
    <w:rsid w:val="00E76359"/>
    <w:rsid w:val="00E84109"/>
    <w:rsid w:val="00E85896"/>
    <w:rsid w:val="00E90B67"/>
    <w:rsid w:val="00E92777"/>
    <w:rsid w:val="00E93393"/>
    <w:rsid w:val="00E933C9"/>
    <w:rsid w:val="00E9644D"/>
    <w:rsid w:val="00E97AF0"/>
    <w:rsid w:val="00EA2CAD"/>
    <w:rsid w:val="00EA4FDA"/>
    <w:rsid w:val="00EB0ACB"/>
    <w:rsid w:val="00EB4E0A"/>
    <w:rsid w:val="00EB6D10"/>
    <w:rsid w:val="00EB6E8B"/>
    <w:rsid w:val="00EC1099"/>
    <w:rsid w:val="00EC3B17"/>
    <w:rsid w:val="00EC56B5"/>
    <w:rsid w:val="00EC595F"/>
    <w:rsid w:val="00EC6B8A"/>
    <w:rsid w:val="00EC7A87"/>
    <w:rsid w:val="00ED1951"/>
    <w:rsid w:val="00ED48A6"/>
    <w:rsid w:val="00ED5535"/>
    <w:rsid w:val="00EE0C0C"/>
    <w:rsid w:val="00EE1F67"/>
    <w:rsid w:val="00EE44C9"/>
    <w:rsid w:val="00EE4F54"/>
    <w:rsid w:val="00EF0418"/>
    <w:rsid w:val="00EF12F3"/>
    <w:rsid w:val="00EF2CC7"/>
    <w:rsid w:val="00F00923"/>
    <w:rsid w:val="00F0490F"/>
    <w:rsid w:val="00F12AA3"/>
    <w:rsid w:val="00F200EB"/>
    <w:rsid w:val="00F21A79"/>
    <w:rsid w:val="00F26599"/>
    <w:rsid w:val="00F30200"/>
    <w:rsid w:val="00F30A9D"/>
    <w:rsid w:val="00F33212"/>
    <w:rsid w:val="00F4084D"/>
    <w:rsid w:val="00F42D41"/>
    <w:rsid w:val="00F53588"/>
    <w:rsid w:val="00F577C9"/>
    <w:rsid w:val="00F632E4"/>
    <w:rsid w:val="00F63C64"/>
    <w:rsid w:val="00F766A1"/>
    <w:rsid w:val="00F77AF7"/>
    <w:rsid w:val="00F80F89"/>
    <w:rsid w:val="00F828DE"/>
    <w:rsid w:val="00F828E4"/>
    <w:rsid w:val="00F85D5A"/>
    <w:rsid w:val="00F868C3"/>
    <w:rsid w:val="00F95003"/>
    <w:rsid w:val="00F96267"/>
    <w:rsid w:val="00FA118A"/>
    <w:rsid w:val="00FA22DF"/>
    <w:rsid w:val="00FA5B35"/>
    <w:rsid w:val="00FA685C"/>
    <w:rsid w:val="00FA6CBC"/>
    <w:rsid w:val="00FA7F75"/>
    <w:rsid w:val="00FB7076"/>
    <w:rsid w:val="00FC2857"/>
    <w:rsid w:val="00FC30EA"/>
    <w:rsid w:val="00FC6B2C"/>
    <w:rsid w:val="00FD38C9"/>
    <w:rsid w:val="00FD4558"/>
    <w:rsid w:val="00FD63DB"/>
    <w:rsid w:val="00FD6BAB"/>
    <w:rsid w:val="00FD6E41"/>
    <w:rsid w:val="00FD6EDB"/>
    <w:rsid w:val="00FE03C8"/>
    <w:rsid w:val="00FE0789"/>
    <w:rsid w:val="00FE1898"/>
    <w:rsid w:val="00FE3765"/>
    <w:rsid w:val="00FE54D3"/>
    <w:rsid w:val="00FE760B"/>
    <w:rsid w:val="00FF039B"/>
    <w:rsid w:val="00FF2B73"/>
    <w:rsid w:val="00FF7D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E72C8"/>
  <w15:chartTrackingRefBased/>
  <w15:docId w15:val="{E0D72237-9D6E-44DB-914E-56446D66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AFE"/>
    <w:pPr>
      <w:ind w:left="720"/>
      <w:contextualSpacing/>
    </w:pPr>
  </w:style>
  <w:style w:type="character" w:styleId="CommentReference">
    <w:name w:val="annotation reference"/>
    <w:basedOn w:val="DefaultParagraphFont"/>
    <w:uiPriority w:val="99"/>
    <w:semiHidden/>
    <w:unhideWhenUsed/>
    <w:rsid w:val="009C6F31"/>
    <w:rPr>
      <w:sz w:val="16"/>
      <w:szCs w:val="16"/>
    </w:rPr>
  </w:style>
  <w:style w:type="paragraph" w:styleId="CommentText">
    <w:name w:val="annotation text"/>
    <w:basedOn w:val="Normal"/>
    <w:link w:val="CommentTextChar"/>
    <w:uiPriority w:val="99"/>
    <w:unhideWhenUsed/>
    <w:rsid w:val="009C6F31"/>
    <w:pPr>
      <w:spacing w:line="240" w:lineRule="auto"/>
    </w:pPr>
    <w:rPr>
      <w:sz w:val="20"/>
      <w:szCs w:val="20"/>
    </w:rPr>
  </w:style>
  <w:style w:type="character" w:customStyle="1" w:styleId="CommentTextChar">
    <w:name w:val="Comment Text Char"/>
    <w:basedOn w:val="DefaultParagraphFont"/>
    <w:link w:val="CommentText"/>
    <w:uiPriority w:val="99"/>
    <w:rsid w:val="009C6F31"/>
    <w:rPr>
      <w:sz w:val="20"/>
      <w:szCs w:val="20"/>
    </w:rPr>
  </w:style>
  <w:style w:type="paragraph" w:styleId="CommentSubject">
    <w:name w:val="annotation subject"/>
    <w:basedOn w:val="CommentText"/>
    <w:next w:val="CommentText"/>
    <w:link w:val="CommentSubjectChar"/>
    <w:uiPriority w:val="99"/>
    <w:semiHidden/>
    <w:unhideWhenUsed/>
    <w:rsid w:val="009C6F31"/>
    <w:rPr>
      <w:b/>
      <w:bCs/>
    </w:rPr>
  </w:style>
  <w:style w:type="character" w:customStyle="1" w:styleId="CommentSubjectChar">
    <w:name w:val="Comment Subject Char"/>
    <w:basedOn w:val="CommentTextChar"/>
    <w:link w:val="CommentSubject"/>
    <w:uiPriority w:val="99"/>
    <w:semiHidden/>
    <w:rsid w:val="009C6F31"/>
    <w:rPr>
      <w:b/>
      <w:bCs/>
      <w:sz w:val="20"/>
      <w:szCs w:val="20"/>
    </w:rPr>
  </w:style>
  <w:style w:type="character" w:customStyle="1" w:styleId="subsectionChar">
    <w:name w:val="subsection Char"/>
    <w:aliases w:val="ss Char"/>
    <w:basedOn w:val="DefaultParagraphFont"/>
    <w:link w:val="subsection"/>
    <w:locked/>
    <w:rsid w:val="00A46461"/>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A46461"/>
    <w:pPr>
      <w:tabs>
        <w:tab w:val="right" w:pos="1021"/>
      </w:tabs>
      <w:spacing w:before="180" w:after="0" w:line="240" w:lineRule="auto"/>
      <w:ind w:left="1134" w:hanging="1134"/>
    </w:pPr>
    <w:rPr>
      <w:rFonts w:ascii="Times New Roman" w:eastAsia="Times New Roman" w:hAnsi="Times New Roman" w:cs="Times New Roman"/>
      <w:lang w:eastAsia="en-AU"/>
    </w:rPr>
  </w:style>
  <w:style w:type="character" w:customStyle="1" w:styleId="paragraphChar">
    <w:name w:val="paragraph Char"/>
    <w:aliases w:val="a Char"/>
    <w:link w:val="paragraph"/>
    <w:locked/>
    <w:rsid w:val="00AD2D92"/>
    <w:rPr>
      <w:rFonts w:ascii="Times New Roman" w:eastAsia="Times New Roman" w:hAnsi="Times New Roman" w:cs="Times New Roman"/>
      <w:lang w:eastAsia="en-AU"/>
    </w:rPr>
  </w:style>
  <w:style w:type="paragraph" w:customStyle="1" w:styleId="paragraph">
    <w:name w:val="paragraph"/>
    <w:aliases w:val="a"/>
    <w:basedOn w:val="Normal"/>
    <w:link w:val="paragraphChar"/>
    <w:rsid w:val="00AD2D92"/>
    <w:pPr>
      <w:tabs>
        <w:tab w:val="right" w:pos="1531"/>
      </w:tabs>
      <w:spacing w:before="40" w:after="0" w:line="240" w:lineRule="auto"/>
      <w:ind w:left="1644" w:hanging="1644"/>
    </w:pPr>
    <w:rPr>
      <w:rFonts w:ascii="Times New Roman" w:eastAsia="Times New Roman" w:hAnsi="Times New Roman" w:cs="Times New Roman"/>
      <w:lang w:eastAsia="en-AU"/>
    </w:rPr>
  </w:style>
  <w:style w:type="character" w:customStyle="1" w:styleId="ActHead5Char">
    <w:name w:val="ActHead 5 Char"/>
    <w:aliases w:val="s Char"/>
    <w:link w:val="ActHead5"/>
    <w:locked/>
    <w:rsid w:val="006C6C10"/>
    <w:rPr>
      <w:rFonts w:ascii="Times New Roman" w:eastAsia="Times New Roman" w:hAnsi="Times New Roman" w:cs="Times New Roman"/>
      <w:b/>
      <w:kern w:val="28"/>
      <w:sz w:val="24"/>
      <w:lang w:eastAsia="en-AU"/>
    </w:rPr>
  </w:style>
  <w:style w:type="paragraph" w:customStyle="1" w:styleId="ActHead5">
    <w:name w:val="ActHead 5"/>
    <w:aliases w:val="s"/>
    <w:basedOn w:val="Normal"/>
    <w:next w:val="Normal"/>
    <w:link w:val="ActHead5Char"/>
    <w:qFormat/>
    <w:rsid w:val="006C6C10"/>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styleId="Hyperlink">
    <w:name w:val="Hyperlink"/>
    <w:basedOn w:val="DefaultParagraphFont"/>
    <w:uiPriority w:val="99"/>
    <w:unhideWhenUsed/>
    <w:rsid w:val="007B0091"/>
    <w:rPr>
      <w:color w:val="0563C1" w:themeColor="hyperlink"/>
      <w:u w:val="single"/>
    </w:rPr>
  </w:style>
  <w:style w:type="character" w:styleId="UnresolvedMention">
    <w:name w:val="Unresolved Mention"/>
    <w:basedOn w:val="DefaultParagraphFont"/>
    <w:uiPriority w:val="99"/>
    <w:semiHidden/>
    <w:unhideWhenUsed/>
    <w:rsid w:val="007B0091"/>
    <w:rPr>
      <w:color w:val="605E5C"/>
      <w:shd w:val="clear" w:color="auto" w:fill="E1DFDD"/>
    </w:rPr>
  </w:style>
  <w:style w:type="paragraph" w:styleId="Revision">
    <w:name w:val="Revision"/>
    <w:hidden/>
    <w:uiPriority w:val="99"/>
    <w:semiHidden/>
    <w:rsid w:val="007E08C6"/>
    <w:pPr>
      <w:spacing w:after="0" w:line="240" w:lineRule="auto"/>
    </w:pPr>
  </w:style>
  <w:style w:type="paragraph" w:styleId="Header">
    <w:name w:val="header"/>
    <w:basedOn w:val="Normal"/>
    <w:link w:val="HeaderChar"/>
    <w:uiPriority w:val="99"/>
    <w:unhideWhenUsed/>
    <w:rsid w:val="009C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D37"/>
  </w:style>
  <w:style w:type="paragraph" w:styleId="Footer">
    <w:name w:val="footer"/>
    <w:basedOn w:val="Normal"/>
    <w:link w:val="FooterChar"/>
    <w:uiPriority w:val="99"/>
    <w:unhideWhenUsed/>
    <w:rsid w:val="009C2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1236">
      <w:bodyDiv w:val="1"/>
      <w:marLeft w:val="0"/>
      <w:marRight w:val="0"/>
      <w:marTop w:val="0"/>
      <w:marBottom w:val="0"/>
      <w:divBdr>
        <w:top w:val="none" w:sz="0" w:space="0" w:color="auto"/>
        <w:left w:val="none" w:sz="0" w:space="0" w:color="auto"/>
        <w:bottom w:val="none" w:sz="0" w:space="0" w:color="auto"/>
        <w:right w:val="none" w:sz="0" w:space="0" w:color="auto"/>
      </w:divBdr>
    </w:div>
    <w:div w:id="658074128">
      <w:bodyDiv w:val="1"/>
      <w:marLeft w:val="0"/>
      <w:marRight w:val="0"/>
      <w:marTop w:val="0"/>
      <w:marBottom w:val="0"/>
      <w:divBdr>
        <w:top w:val="none" w:sz="0" w:space="0" w:color="auto"/>
        <w:left w:val="none" w:sz="0" w:space="0" w:color="auto"/>
        <w:bottom w:val="none" w:sz="0" w:space="0" w:color="auto"/>
        <w:right w:val="none" w:sz="0" w:space="0" w:color="auto"/>
      </w:divBdr>
    </w:div>
    <w:div w:id="1411809174">
      <w:bodyDiv w:val="1"/>
      <w:marLeft w:val="0"/>
      <w:marRight w:val="0"/>
      <w:marTop w:val="0"/>
      <w:marBottom w:val="0"/>
      <w:divBdr>
        <w:top w:val="none" w:sz="0" w:space="0" w:color="auto"/>
        <w:left w:val="none" w:sz="0" w:space="0" w:color="auto"/>
        <w:bottom w:val="none" w:sz="0" w:space="0" w:color="auto"/>
        <w:right w:val="none" w:sz="0" w:space="0" w:color="auto"/>
      </w:divBdr>
    </w:div>
    <w:div w:id="1594631328">
      <w:bodyDiv w:val="1"/>
      <w:marLeft w:val="0"/>
      <w:marRight w:val="0"/>
      <w:marTop w:val="0"/>
      <w:marBottom w:val="0"/>
      <w:divBdr>
        <w:top w:val="none" w:sz="0" w:space="0" w:color="auto"/>
        <w:left w:val="none" w:sz="0" w:space="0" w:color="auto"/>
        <w:bottom w:val="none" w:sz="0" w:space="0" w:color="auto"/>
        <w:right w:val="none" w:sz="0" w:space="0" w:color="auto"/>
      </w:divBdr>
    </w:div>
    <w:div w:id="1753896596">
      <w:bodyDiv w:val="1"/>
      <w:marLeft w:val="0"/>
      <w:marRight w:val="0"/>
      <w:marTop w:val="0"/>
      <w:marBottom w:val="0"/>
      <w:divBdr>
        <w:top w:val="none" w:sz="0" w:space="0" w:color="auto"/>
        <w:left w:val="none" w:sz="0" w:space="0" w:color="auto"/>
        <w:bottom w:val="none" w:sz="0" w:space="0" w:color="auto"/>
        <w:right w:val="none" w:sz="0" w:space="0" w:color="auto"/>
      </w:divBdr>
    </w:div>
    <w:div w:id="1906062990">
      <w:bodyDiv w:val="1"/>
      <w:marLeft w:val="0"/>
      <w:marRight w:val="0"/>
      <w:marTop w:val="0"/>
      <w:marBottom w:val="0"/>
      <w:divBdr>
        <w:top w:val="none" w:sz="0" w:space="0" w:color="auto"/>
        <w:left w:val="none" w:sz="0" w:space="0" w:color="auto"/>
        <w:bottom w:val="none" w:sz="0" w:space="0" w:color="auto"/>
        <w:right w:val="none" w:sz="0" w:space="0" w:color="auto"/>
      </w:divBdr>
    </w:div>
    <w:div w:id="1996373032">
      <w:bodyDiv w:val="1"/>
      <w:marLeft w:val="0"/>
      <w:marRight w:val="0"/>
      <w:marTop w:val="0"/>
      <w:marBottom w:val="0"/>
      <w:divBdr>
        <w:top w:val="none" w:sz="0" w:space="0" w:color="auto"/>
        <w:left w:val="none" w:sz="0" w:space="0" w:color="auto"/>
        <w:bottom w:val="none" w:sz="0" w:space="0" w:color="auto"/>
        <w:right w:val="none" w:sz="0" w:space="0" w:color="auto"/>
      </w:divBdr>
    </w:div>
    <w:div w:id="21360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ADCD3-EB31-4677-AAE1-D1622327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1978</Words>
  <Characters>12997</Characters>
  <Application>Microsoft Office Word</Application>
  <DocSecurity>0</DocSecurity>
  <Lines>1444</Lines>
  <Paragraphs>935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KEANE, Rob</dc:creator>
  <cp:keywords/>
  <dc:description/>
  <cp:lastModifiedBy>Constitutional Risk &amp; Legislation Section</cp:lastModifiedBy>
  <cp:revision>13</cp:revision>
  <cp:lastPrinted>2023-11-09T06:25:00Z</cp:lastPrinted>
  <dcterms:created xsi:type="dcterms:W3CDTF">2023-11-03T00:38:00Z</dcterms:created>
  <dcterms:modified xsi:type="dcterms:W3CDTF">2023-11-10T03:14:00Z</dcterms:modified>
</cp:coreProperties>
</file>