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7C2E" w14:textId="77777777" w:rsidR="004033EA" w:rsidRDefault="004033EA" w:rsidP="004033EA">
      <w:pPr>
        <w:rPr>
          <w:rFonts w:ascii="Times New Roman" w:hAnsi="Times New Roman" w:cs="Times New Roman"/>
          <w:sz w:val="28"/>
        </w:rPr>
      </w:pPr>
      <w:r>
        <w:rPr>
          <w:rFonts w:ascii="Times New Roman" w:hAnsi="Times New Roman" w:cs="Times New Roman"/>
          <w:noProof/>
          <w:lang w:eastAsia="en-AU"/>
        </w:rPr>
        <w:drawing>
          <wp:inline distT="0" distB="0" distL="0" distR="0" wp14:anchorId="7E3BDA0F" wp14:editId="10E68AC9">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AD5ACCF" w14:textId="77777777" w:rsidR="004033EA" w:rsidRDefault="004033EA" w:rsidP="004033EA">
      <w:pPr>
        <w:rPr>
          <w:rFonts w:ascii="Times New Roman" w:hAnsi="Times New Roman" w:cs="Times New Roman"/>
          <w:sz w:val="19"/>
        </w:rPr>
      </w:pPr>
    </w:p>
    <w:p w14:paraId="4253283D" w14:textId="77777777" w:rsidR="004033EA" w:rsidRDefault="004033EA" w:rsidP="004033EA">
      <w:pPr>
        <w:pStyle w:val="ShortT"/>
      </w:pPr>
      <w:r>
        <w:t>Variation to Licence Area Plan – Roxby Downs Community Radio – 2023 (No. 1)</w:t>
      </w:r>
    </w:p>
    <w:p w14:paraId="0B3B77FE" w14:textId="77777777" w:rsidR="004033EA" w:rsidRDefault="004033EA" w:rsidP="004033EA">
      <w:pPr>
        <w:pStyle w:val="SignCoverPageStart"/>
        <w:spacing w:before="0" w:line="240" w:lineRule="auto"/>
        <w:rPr>
          <w:szCs w:val="22"/>
        </w:rPr>
      </w:pPr>
    </w:p>
    <w:p w14:paraId="0376F7DC" w14:textId="77777777" w:rsidR="004033EA" w:rsidRDefault="004033EA" w:rsidP="004033EA">
      <w:pPr>
        <w:pStyle w:val="SignCoverPageStart"/>
        <w:spacing w:before="0" w:line="240" w:lineRule="auto"/>
        <w:rPr>
          <w:szCs w:val="22"/>
        </w:rPr>
      </w:pPr>
      <w:r>
        <w:rPr>
          <w:szCs w:val="22"/>
        </w:rPr>
        <w:t xml:space="preserve">The Australian Communications and Media Authority makes the following instrument under </w:t>
      </w:r>
      <w:r>
        <w:t xml:space="preserve">subsection 26(2) of the </w:t>
      </w:r>
      <w:r>
        <w:rPr>
          <w:i/>
        </w:rPr>
        <w:t>Broadcasting Services Act 1992</w:t>
      </w:r>
      <w:r>
        <w:t>.</w:t>
      </w:r>
    </w:p>
    <w:p w14:paraId="3994B933" w14:textId="4C454598" w:rsidR="00EB6F08" w:rsidRDefault="004033EA" w:rsidP="00EB6F08">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EB6F08">
        <w:rPr>
          <w:rFonts w:ascii="Times New Roman" w:hAnsi="Times New Roman" w:cs="Times New Roman"/>
        </w:rPr>
        <w:t xml:space="preserve"> 9 November 2023</w:t>
      </w:r>
    </w:p>
    <w:p w14:paraId="43267084" w14:textId="59490E7D" w:rsidR="00EB6F08" w:rsidRDefault="00052D9F" w:rsidP="00EB6F08">
      <w:pPr>
        <w:tabs>
          <w:tab w:val="left" w:pos="840"/>
          <w:tab w:val="left" w:pos="3119"/>
          <w:tab w:val="right" w:pos="8651"/>
        </w:tabs>
        <w:spacing w:after="0" w:line="300" w:lineRule="atLeast"/>
        <w:ind w:right="375"/>
        <w:jc w:val="right"/>
        <w:rPr>
          <w:rFonts w:ascii="Times New Roman" w:hAnsi="Times New Roman" w:cs="Times New Roman"/>
        </w:rPr>
      </w:pPr>
      <w:r>
        <w:rPr>
          <w:rFonts w:ascii="Times New Roman" w:hAnsi="Times New Roman" w:cs="Times New Roman"/>
        </w:rPr>
        <w:t>Adam</w:t>
      </w:r>
      <w:r w:rsidR="007F0134">
        <w:rPr>
          <w:rFonts w:ascii="Times New Roman" w:hAnsi="Times New Roman" w:cs="Times New Roman"/>
        </w:rPr>
        <w:t xml:space="preserve"> Suckling</w:t>
      </w:r>
    </w:p>
    <w:p w14:paraId="78D21E84" w14:textId="20C18F90" w:rsidR="00EB6F08" w:rsidRDefault="007F0134" w:rsidP="00EB6F08">
      <w:pPr>
        <w:tabs>
          <w:tab w:val="left" w:pos="840"/>
          <w:tab w:val="left" w:pos="3119"/>
          <w:tab w:val="right" w:pos="8651"/>
        </w:tabs>
        <w:spacing w:after="0" w:line="300" w:lineRule="atLeast"/>
        <w:ind w:right="375"/>
        <w:jc w:val="right"/>
        <w:rPr>
          <w:rFonts w:ascii="Times New Roman" w:hAnsi="Times New Roman" w:cs="Times New Roman"/>
        </w:rPr>
      </w:pPr>
      <w:r>
        <w:rPr>
          <w:rFonts w:ascii="Times New Roman" w:hAnsi="Times New Roman" w:cs="Times New Roman"/>
        </w:rPr>
        <w:t>[signed]</w:t>
      </w:r>
    </w:p>
    <w:p w14:paraId="184843B0" w14:textId="34B758B0" w:rsidR="004033EA" w:rsidRDefault="004033EA" w:rsidP="00EB6F08">
      <w:pPr>
        <w:tabs>
          <w:tab w:val="left" w:pos="840"/>
          <w:tab w:val="left" w:pos="3119"/>
          <w:tab w:val="right" w:pos="8651"/>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C9E2A16" w14:textId="77777777" w:rsidR="007F0134" w:rsidRDefault="007F0134" w:rsidP="00EB6F08">
      <w:pPr>
        <w:tabs>
          <w:tab w:val="left" w:pos="840"/>
          <w:tab w:val="left" w:pos="3119"/>
          <w:tab w:val="right" w:pos="8651"/>
        </w:tabs>
        <w:spacing w:after="0" w:line="300" w:lineRule="atLeast"/>
        <w:ind w:right="375"/>
        <w:jc w:val="right"/>
        <w:rPr>
          <w:rFonts w:ascii="Times New Roman" w:hAnsi="Times New Roman" w:cs="Times New Roman"/>
        </w:rPr>
      </w:pPr>
    </w:p>
    <w:p w14:paraId="2FCCEE98" w14:textId="6D7B8215" w:rsidR="007F0134" w:rsidRDefault="007F0134" w:rsidP="00EB6F08">
      <w:pPr>
        <w:tabs>
          <w:tab w:val="left" w:pos="840"/>
          <w:tab w:val="left" w:pos="3119"/>
          <w:tab w:val="right" w:pos="8651"/>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2D98AFED" w14:textId="37280013" w:rsidR="007F0134" w:rsidRDefault="007F0134" w:rsidP="00EB6F08">
      <w:pPr>
        <w:tabs>
          <w:tab w:val="left" w:pos="840"/>
          <w:tab w:val="left" w:pos="3119"/>
          <w:tab w:val="right" w:pos="8651"/>
        </w:tabs>
        <w:spacing w:after="0" w:line="300" w:lineRule="atLeast"/>
        <w:ind w:right="375"/>
        <w:jc w:val="right"/>
        <w:rPr>
          <w:rFonts w:ascii="Times New Roman" w:hAnsi="Times New Roman" w:cs="Times New Roman"/>
        </w:rPr>
      </w:pPr>
      <w:r>
        <w:rPr>
          <w:rFonts w:ascii="Times New Roman" w:hAnsi="Times New Roman" w:cs="Times New Roman"/>
        </w:rPr>
        <w:t>[signed]</w:t>
      </w:r>
    </w:p>
    <w:p w14:paraId="275962B3" w14:textId="77777777" w:rsidR="004033EA" w:rsidRDefault="004033EA" w:rsidP="00EB6F08">
      <w:pPr>
        <w:tabs>
          <w:tab w:val="left" w:pos="3119"/>
        </w:tabs>
        <w:spacing w:after="0" w:line="300" w:lineRule="atLeast"/>
        <w:ind w:right="375"/>
        <w:jc w:val="right"/>
        <w:rPr>
          <w:rFonts w:ascii="Times New Roman" w:hAnsi="Times New Roman" w:cs="Times New Roman"/>
        </w:rPr>
      </w:pPr>
      <w:r w:rsidRPr="007F0134">
        <w:rPr>
          <w:rFonts w:ascii="Times New Roman" w:hAnsi="Times New Roman" w:cs="Times New Roman"/>
          <w:strike/>
        </w:rPr>
        <w:t>Member</w:t>
      </w:r>
      <w:r>
        <w:rPr>
          <w:rFonts w:ascii="Times New Roman" w:hAnsi="Times New Roman" w:cs="Times New Roman"/>
        </w:rPr>
        <w:t>/General Manager</w:t>
      </w:r>
      <w:bookmarkEnd w:id="1"/>
    </w:p>
    <w:p w14:paraId="2B2C2380" w14:textId="77777777" w:rsidR="004033EA" w:rsidRDefault="004033EA" w:rsidP="004033EA">
      <w:pPr>
        <w:pStyle w:val="SignCoverPageEnd"/>
        <w:ind w:right="794"/>
        <w:rPr>
          <w:szCs w:val="22"/>
        </w:rPr>
      </w:pPr>
    </w:p>
    <w:p w14:paraId="575AC15C" w14:textId="77777777" w:rsidR="004033EA" w:rsidRDefault="004033EA" w:rsidP="004033EA">
      <w:pPr>
        <w:pStyle w:val="SignCoverPageEnd"/>
        <w:ind w:right="794"/>
        <w:rPr>
          <w:szCs w:val="22"/>
        </w:rPr>
      </w:pPr>
      <w:r>
        <w:rPr>
          <w:szCs w:val="22"/>
        </w:rPr>
        <w:t>Australian Communications and Media Authority</w:t>
      </w:r>
    </w:p>
    <w:p w14:paraId="4FB8DAC9" w14:textId="77777777" w:rsidR="004033EA" w:rsidRDefault="004033EA" w:rsidP="004033EA">
      <w:pPr>
        <w:rPr>
          <w:rFonts w:ascii="Times New Roman" w:hAnsi="Times New Roman" w:cs="Times New Roman"/>
        </w:rPr>
      </w:pPr>
    </w:p>
    <w:p w14:paraId="01AE2E3C" w14:textId="77777777" w:rsidR="004033EA" w:rsidRDefault="004033EA" w:rsidP="004033EA">
      <w:pPr>
        <w:rPr>
          <w:rFonts w:ascii="Times New Roman" w:hAnsi="Times New Roman" w:cs="Times New Roman"/>
        </w:rPr>
      </w:pPr>
    </w:p>
    <w:p w14:paraId="123065C7" w14:textId="77777777" w:rsidR="004033EA" w:rsidRDefault="004033EA" w:rsidP="004033EA">
      <w:pPr>
        <w:rPr>
          <w:rFonts w:ascii="Times New Roman" w:hAnsi="Times New Roman" w:cs="Times New Roman"/>
        </w:rPr>
      </w:pPr>
    </w:p>
    <w:p w14:paraId="65BD3CB0" w14:textId="77777777" w:rsidR="004033EA" w:rsidRDefault="004033EA" w:rsidP="004033EA">
      <w:pPr>
        <w:spacing w:after="0"/>
        <w:rPr>
          <w:rFonts w:ascii="Times New Roman" w:hAnsi="Times New Roman" w:cs="Times New Roman"/>
        </w:rPr>
        <w:sectPr w:rsidR="004033EA">
          <w:pgSz w:w="11906" w:h="16838"/>
          <w:pgMar w:top="1440" w:right="1440" w:bottom="1440" w:left="1440" w:header="708" w:footer="708" w:gutter="0"/>
          <w:pgNumType w:start="1"/>
          <w:cols w:space="720"/>
        </w:sectPr>
      </w:pPr>
    </w:p>
    <w:p w14:paraId="27CE2207" w14:textId="77777777" w:rsidR="004033EA" w:rsidRDefault="004033EA" w:rsidP="004033EA">
      <w:pPr>
        <w:pStyle w:val="ActHead5"/>
        <w:spacing w:before="0"/>
        <w:ind w:left="0" w:firstLine="0"/>
        <w:rPr>
          <w:sz w:val="32"/>
          <w:szCs w:val="32"/>
        </w:rPr>
      </w:pPr>
      <w:bookmarkStart w:id="2" w:name="_Toc444596031"/>
      <w:r>
        <w:rPr>
          <w:rStyle w:val="CharSectno"/>
        </w:rPr>
        <w:lastRenderedPageBreak/>
        <w:t>1</w:t>
      </w:r>
      <w:r>
        <w:t xml:space="preserve">  Name</w:t>
      </w:r>
    </w:p>
    <w:p w14:paraId="29FC2436" w14:textId="77777777" w:rsidR="004033EA" w:rsidRDefault="004033EA" w:rsidP="004033EA">
      <w:pPr>
        <w:pStyle w:val="subsection"/>
      </w:pPr>
      <w:r>
        <w:tab/>
      </w:r>
      <w:r>
        <w:tab/>
        <w:t xml:space="preserve">This is the </w:t>
      </w:r>
      <w:bookmarkStart w:id="3" w:name="BKCheck15B_3"/>
      <w:bookmarkEnd w:id="3"/>
      <w:r w:rsidRPr="004C240C">
        <w:rPr>
          <w:i/>
          <w:iCs/>
        </w:rPr>
        <w:t xml:space="preserve">Variation to Licence Area Plan – </w:t>
      </w:r>
      <w:r>
        <w:rPr>
          <w:i/>
          <w:iCs/>
        </w:rPr>
        <w:t>Roxby Downs Community</w:t>
      </w:r>
      <w:r w:rsidRPr="004C240C">
        <w:rPr>
          <w:i/>
          <w:iCs/>
        </w:rPr>
        <w:t xml:space="preserve"> Radio – 202</w:t>
      </w:r>
      <w:r>
        <w:rPr>
          <w:i/>
          <w:iCs/>
        </w:rPr>
        <w:t>3</w:t>
      </w:r>
      <w:r w:rsidRPr="004C240C">
        <w:rPr>
          <w:i/>
          <w:iCs/>
        </w:rPr>
        <w:t xml:space="preserve"> (No. 1)</w:t>
      </w:r>
      <w:r>
        <w:t>.</w:t>
      </w:r>
    </w:p>
    <w:p w14:paraId="4905F1E6" w14:textId="77777777" w:rsidR="004033EA" w:rsidRDefault="004033EA" w:rsidP="004033EA">
      <w:pPr>
        <w:pStyle w:val="ActHead5"/>
      </w:pPr>
      <w:bookmarkStart w:id="4" w:name="_Toc444596032"/>
      <w:r>
        <w:rPr>
          <w:rStyle w:val="CharSectno"/>
        </w:rPr>
        <w:t>2</w:t>
      </w:r>
      <w:r>
        <w:t xml:space="preserve">  Commencement</w:t>
      </w:r>
      <w:bookmarkEnd w:id="4"/>
    </w:p>
    <w:p w14:paraId="041DECEF" w14:textId="77777777" w:rsidR="004033EA" w:rsidRDefault="004033EA" w:rsidP="004033EA">
      <w:pPr>
        <w:pStyle w:val="subsection"/>
      </w:pPr>
      <w:r>
        <w:tab/>
      </w:r>
      <w:r>
        <w:tab/>
        <w:t xml:space="preserve">This instrument commences at the start of the day after the day it is registered on the Federal Register of Legislation. </w:t>
      </w:r>
    </w:p>
    <w:p w14:paraId="0B174147" w14:textId="77777777" w:rsidR="004033EA" w:rsidRDefault="004033EA" w:rsidP="004033EA">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162FF9F7" w14:textId="77777777" w:rsidR="004033EA" w:rsidRDefault="004033EA" w:rsidP="004033EA">
      <w:pPr>
        <w:pStyle w:val="ActHead5"/>
      </w:pPr>
      <w:bookmarkStart w:id="5" w:name="_Toc444596033"/>
      <w:r>
        <w:rPr>
          <w:rStyle w:val="CharSectno"/>
        </w:rPr>
        <w:t>3</w:t>
      </w:r>
      <w:r>
        <w:t xml:space="preserve">  Authority</w:t>
      </w:r>
      <w:bookmarkEnd w:id="5"/>
    </w:p>
    <w:p w14:paraId="499542E9" w14:textId="77777777" w:rsidR="004033EA" w:rsidRDefault="004033EA" w:rsidP="004033EA">
      <w:pPr>
        <w:pStyle w:val="subsection"/>
      </w:pPr>
      <w:r>
        <w:tab/>
      </w:r>
      <w:r>
        <w:tab/>
        <w:t xml:space="preserve">This instrument is made under subsection 26(2) of the </w:t>
      </w:r>
      <w:r>
        <w:rPr>
          <w:i/>
        </w:rPr>
        <w:t>Broadcasting Services Act 1992</w:t>
      </w:r>
      <w:r>
        <w:t>.</w:t>
      </w:r>
    </w:p>
    <w:p w14:paraId="7E34B7BD" w14:textId="77777777" w:rsidR="004033EA" w:rsidRDefault="004033EA" w:rsidP="004033EA">
      <w:pPr>
        <w:pStyle w:val="ActHead5"/>
      </w:pPr>
      <w:bookmarkStart w:id="6" w:name="_Toc444596034"/>
      <w:r>
        <w:t>4  Amendments</w:t>
      </w:r>
    </w:p>
    <w:p w14:paraId="4779B85C" w14:textId="77777777" w:rsidR="004033EA" w:rsidRDefault="004033EA" w:rsidP="004033EA">
      <w:pPr>
        <w:pStyle w:val="subsection"/>
        <w:rPr>
          <w:rStyle w:val="CharSectno"/>
        </w:rPr>
      </w:pPr>
      <w:r>
        <w:tab/>
      </w:r>
      <w:r>
        <w:tab/>
        <w:t>The instrument that is specified in Schedule 1 is amended as set out in the applicable items in that Schedule.</w:t>
      </w:r>
      <w:r>
        <w:rPr>
          <w:i/>
        </w:rPr>
        <w:t xml:space="preserve"> </w:t>
      </w:r>
    </w:p>
    <w:bookmarkEnd w:id="6"/>
    <w:p w14:paraId="23A26E13" w14:textId="77777777" w:rsidR="004033EA" w:rsidRDefault="004033EA" w:rsidP="004033EA">
      <w:pPr>
        <w:pStyle w:val="notetext"/>
      </w:pPr>
      <w:r>
        <w:t xml:space="preserve"> </w:t>
      </w:r>
    </w:p>
    <w:bookmarkEnd w:id="2"/>
    <w:p w14:paraId="2965A1C6" w14:textId="77777777" w:rsidR="004033EA" w:rsidRDefault="004033EA" w:rsidP="004033EA">
      <w:pPr>
        <w:spacing w:after="0"/>
        <w:rPr>
          <w:rFonts w:ascii="Times New Roman" w:hAnsi="Times New Roman" w:cs="Times New Roman"/>
          <w:b/>
          <w:sz w:val="24"/>
          <w:szCs w:val="24"/>
        </w:rPr>
        <w:sectPr w:rsidR="004033EA" w:rsidSect="009534F6">
          <w:headerReference w:type="even" r:id="rId14"/>
          <w:headerReference w:type="default" r:id="rId15"/>
          <w:footerReference w:type="default" r:id="rId16"/>
          <w:headerReference w:type="first" r:id="rId17"/>
          <w:pgSz w:w="11906" w:h="16838"/>
          <w:pgMar w:top="1440" w:right="1440" w:bottom="1440" w:left="1440" w:header="708" w:footer="708" w:gutter="0"/>
          <w:pgNumType w:start="2"/>
          <w:cols w:space="720"/>
        </w:sectPr>
      </w:pPr>
    </w:p>
    <w:p w14:paraId="3AFBFEB9" w14:textId="77777777" w:rsidR="004033EA" w:rsidRDefault="004033EA" w:rsidP="004033EA">
      <w:pPr>
        <w:pStyle w:val="ActHead5"/>
        <w:spacing w:before="0"/>
        <w:ind w:left="0" w:firstLine="0"/>
        <w:rPr>
          <w:rStyle w:val="CharSectno"/>
          <w:sz w:val="32"/>
          <w:szCs w:val="32"/>
        </w:rPr>
      </w:pPr>
    </w:p>
    <w:p w14:paraId="7067D838" w14:textId="77777777" w:rsidR="004033EA" w:rsidRDefault="004033EA" w:rsidP="004033EA">
      <w:pPr>
        <w:pStyle w:val="ActHead5"/>
        <w:spacing w:before="0"/>
        <w:ind w:left="0" w:firstLine="0"/>
        <w:rPr>
          <w:rFonts w:ascii="Arial" w:hAnsi="Arial" w:cs="Arial"/>
          <w:sz w:val="32"/>
          <w:szCs w:val="32"/>
        </w:rPr>
      </w:pPr>
      <w:r>
        <w:rPr>
          <w:rStyle w:val="CharSectno"/>
          <w:rFonts w:ascii="Arial" w:hAnsi="Arial" w:cs="Arial"/>
          <w:sz w:val="32"/>
          <w:szCs w:val="32"/>
        </w:rPr>
        <w:t>Schedule 1</w:t>
      </w:r>
      <w:r>
        <w:rPr>
          <w:rFonts w:ascii="Arial" w:hAnsi="Arial" w:cs="Arial"/>
          <w:sz w:val="32"/>
          <w:szCs w:val="32"/>
        </w:rPr>
        <w:t>—Amendments</w:t>
      </w:r>
    </w:p>
    <w:p w14:paraId="5ADED474" w14:textId="77777777" w:rsidR="004033EA" w:rsidRPr="00CE3662" w:rsidRDefault="004033EA" w:rsidP="004033EA">
      <w:pPr>
        <w:pStyle w:val="subsection"/>
        <w:spacing w:before="0"/>
        <w:ind w:firstLine="851"/>
        <w:rPr>
          <w:sz w:val="18"/>
          <w:szCs w:val="18"/>
        </w:rPr>
      </w:pPr>
      <w:r>
        <w:rPr>
          <w:sz w:val="18"/>
          <w:szCs w:val="18"/>
        </w:rPr>
        <w:t>(</w:t>
      </w:r>
      <w:proofErr w:type="gramStart"/>
      <w:r>
        <w:rPr>
          <w:sz w:val="18"/>
          <w:szCs w:val="18"/>
        </w:rPr>
        <w:t>section</w:t>
      </w:r>
      <w:proofErr w:type="gramEnd"/>
      <w:r>
        <w:rPr>
          <w:sz w:val="18"/>
          <w:szCs w:val="18"/>
        </w:rPr>
        <w:t xml:space="preserve"> 4)</w:t>
      </w:r>
    </w:p>
    <w:p w14:paraId="31894693" w14:textId="77777777" w:rsidR="004033EA" w:rsidRPr="00904169" w:rsidRDefault="004033EA" w:rsidP="004033EA">
      <w:pPr>
        <w:pStyle w:val="ActHead9"/>
        <w:ind w:left="0" w:firstLine="0"/>
        <w:rPr>
          <w:b w:val="0"/>
          <w:bCs/>
          <w:i w:val="0"/>
          <w:iCs/>
        </w:rPr>
      </w:pPr>
      <w:bookmarkStart w:id="7" w:name="_Toc444596036"/>
      <w:r>
        <w:t xml:space="preserve">Licence Area Plan – Roxby Downs Community Radio – February 2004 </w:t>
      </w:r>
      <w:r w:rsidRPr="00904169">
        <w:rPr>
          <w:b w:val="0"/>
          <w:bCs/>
          <w:i w:val="0"/>
          <w:iCs/>
          <w:szCs w:val="28"/>
        </w:rPr>
        <w:t>(F2005B00</w:t>
      </w:r>
      <w:r>
        <w:rPr>
          <w:b w:val="0"/>
          <w:bCs/>
          <w:i w:val="0"/>
          <w:iCs/>
          <w:szCs w:val="28"/>
        </w:rPr>
        <w:t>710</w:t>
      </w:r>
      <w:r w:rsidRPr="00904169">
        <w:rPr>
          <w:b w:val="0"/>
          <w:bCs/>
          <w:i w:val="0"/>
          <w:iCs/>
          <w:szCs w:val="28"/>
        </w:rPr>
        <w:t>)</w:t>
      </w:r>
    </w:p>
    <w:p w14:paraId="7A654679" w14:textId="77777777" w:rsidR="004033EA" w:rsidRPr="004127B6" w:rsidRDefault="004033EA" w:rsidP="004033EA">
      <w:pPr>
        <w:pStyle w:val="ItemHead"/>
      </w:pPr>
      <w:r w:rsidRPr="004127B6">
        <w:t xml:space="preserve">1  </w:t>
      </w:r>
      <w:r>
        <w:t>Name of instrument</w:t>
      </w:r>
    </w:p>
    <w:p w14:paraId="1A4D7E54" w14:textId="77777777" w:rsidR="004033EA" w:rsidRPr="004127B6" w:rsidRDefault="004033EA" w:rsidP="004033EA">
      <w:pPr>
        <w:pStyle w:val="Item"/>
      </w:pPr>
      <w:r>
        <w:t>Rename the instrument as the ‘Licence Area Plan – Roxby Downs Community Radio’</w:t>
      </w:r>
      <w:r w:rsidRPr="004127B6">
        <w:t>.</w:t>
      </w:r>
    </w:p>
    <w:p w14:paraId="29F4256C" w14:textId="77777777" w:rsidR="004033EA" w:rsidRPr="007B52DA" w:rsidRDefault="004033EA" w:rsidP="004033EA">
      <w:pPr>
        <w:pStyle w:val="ItemHead"/>
      </w:pPr>
      <w:r w:rsidRPr="007B52DA">
        <w:t>2  Title page</w:t>
      </w:r>
    </w:p>
    <w:p w14:paraId="164C6FF6" w14:textId="77777777" w:rsidR="004033EA" w:rsidRPr="007B52DA" w:rsidRDefault="004033EA" w:rsidP="004033EA">
      <w:pPr>
        <w:pStyle w:val="Item"/>
      </w:pPr>
      <w:r w:rsidRPr="007B52DA">
        <w:t>Omit the title page, substitute:</w:t>
      </w:r>
    </w:p>
    <w:p w14:paraId="0D6FEE09" w14:textId="77777777" w:rsidR="004033EA" w:rsidRPr="004A671D" w:rsidRDefault="004033EA" w:rsidP="004033EA">
      <w:pPr>
        <w:pStyle w:val="Item"/>
        <w:jc w:val="center"/>
        <w:rPr>
          <w:b/>
          <w:bCs/>
        </w:rPr>
      </w:pPr>
      <w:r w:rsidRPr="007B52DA">
        <w:rPr>
          <w:b/>
          <w:bCs/>
        </w:rPr>
        <w:t>Licence Area Plan – Roxby Downs Community Radio</w:t>
      </w:r>
    </w:p>
    <w:p w14:paraId="1A0B958E" w14:textId="77777777" w:rsidR="004033EA" w:rsidRPr="004127B6" w:rsidRDefault="004033EA" w:rsidP="004033EA">
      <w:pPr>
        <w:pStyle w:val="ItemHead"/>
      </w:pPr>
      <w:proofErr w:type="gramStart"/>
      <w:r w:rsidRPr="004127B6">
        <w:t xml:space="preserve">3  </w:t>
      </w:r>
      <w:r>
        <w:t>Heading</w:t>
      </w:r>
      <w:proofErr w:type="gramEnd"/>
      <w:r>
        <w:t xml:space="preserve"> before clauses</w:t>
      </w:r>
    </w:p>
    <w:p w14:paraId="49752A99" w14:textId="77777777" w:rsidR="004033EA" w:rsidRDefault="004033EA" w:rsidP="004033EA">
      <w:pPr>
        <w:pStyle w:val="Item"/>
      </w:pPr>
      <w:r>
        <w:t>Repeal the heading, substitute:</w:t>
      </w:r>
    </w:p>
    <w:p w14:paraId="2EF00A66" w14:textId="77777777" w:rsidR="004033EA" w:rsidRPr="004C5761" w:rsidRDefault="004033EA" w:rsidP="004033EA">
      <w:pPr>
        <w:pStyle w:val="Item"/>
        <w:rPr>
          <w:b/>
          <w:bCs/>
        </w:rPr>
      </w:pPr>
      <w:r>
        <w:tab/>
      </w:r>
      <w:r>
        <w:tab/>
      </w:r>
      <w:r>
        <w:rPr>
          <w:b/>
          <w:bCs/>
        </w:rPr>
        <w:t>LICENCE AREA PLAN – ROXBY DOWNS COMMUNITY RADIO</w:t>
      </w:r>
    </w:p>
    <w:p w14:paraId="49CBA43A" w14:textId="77777777" w:rsidR="004033EA" w:rsidRDefault="004033EA" w:rsidP="004033EA">
      <w:pPr>
        <w:pStyle w:val="ItemHead"/>
      </w:pPr>
      <w:r>
        <w:t>4  Determination (after the heading before clauses)</w:t>
      </w:r>
    </w:p>
    <w:p w14:paraId="24680F40" w14:textId="77777777" w:rsidR="004033EA" w:rsidRDefault="004033EA" w:rsidP="004033EA">
      <w:pPr>
        <w:pStyle w:val="Item"/>
      </w:pPr>
      <w:r>
        <w:t>Repeal the heading ‘DETERMINATION’ and the two paragraphs following it, substitute:</w:t>
      </w:r>
    </w:p>
    <w:p w14:paraId="471DDD58" w14:textId="77777777" w:rsidR="004033EA" w:rsidRDefault="004033EA" w:rsidP="004033EA">
      <w:pPr>
        <w:pStyle w:val="subsection"/>
      </w:pPr>
      <w:r>
        <w:tab/>
        <w:t>(1)</w:t>
      </w:r>
      <w:r>
        <w:tab/>
        <w:t xml:space="preserve">This plan for community broadcasting services in the Roxby Downs area of South Australia is made under subsection 26(1) of the </w:t>
      </w:r>
      <w:r>
        <w:rPr>
          <w:i/>
          <w:iCs/>
        </w:rPr>
        <w:t>Broadcasting Services Act 1992</w:t>
      </w:r>
      <w:r>
        <w:t>.</w:t>
      </w:r>
    </w:p>
    <w:p w14:paraId="5FC163AA" w14:textId="77777777" w:rsidR="004033EA" w:rsidRDefault="004033EA" w:rsidP="004033EA">
      <w:pPr>
        <w:pStyle w:val="subsection"/>
        <w:rPr>
          <w:color w:val="000000"/>
          <w:shd w:val="clear" w:color="auto" w:fill="FFFFFF"/>
        </w:rPr>
      </w:pPr>
      <w:r>
        <w:tab/>
        <w:t>(2)</w:t>
      </w:r>
      <w:r>
        <w:tab/>
      </w:r>
      <w:r>
        <w:rPr>
          <w:color w:val="000000"/>
          <w:shd w:val="clear" w:color="auto" w:fill="FFFFFF"/>
        </w:rPr>
        <w:t>One community radio broadcasting service is to be made available in the area described at Attachment 1.1 to this plan with the use of broadcasting services bands. The characteristics, including technical specifications, of the service that is to be available in the area described at Attachment 1.1 are set out in Schedule One and Attachment 1.2 to this plan.</w:t>
      </w:r>
    </w:p>
    <w:p w14:paraId="191963C7" w14:textId="77777777" w:rsidR="004033EA" w:rsidRDefault="004033EA" w:rsidP="004033EA">
      <w:pPr>
        <w:pStyle w:val="subsection"/>
      </w:pPr>
      <w:r>
        <w:tab/>
        <w:t>(3)</w:t>
      </w:r>
      <w:r>
        <w:tab/>
        <w:t>In this plan, unless the contrary intention appears:</w:t>
      </w:r>
    </w:p>
    <w:p w14:paraId="7E1575CC" w14:textId="77777777" w:rsidR="004033EA" w:rsidRPr="004C1176" w:rsidRDefault="004033EA" w:rsidP="004033EA">
      <w:pPr>
        <w:pStyle w:val="subsection"/>
        <w:tabs>
          <w:tab w:val="left" w:pos="1560"/>
        </w:tabs>
        <w:ind w:left="2160" w:hanging="2160"/>
      </w:pPr>
      <w:r>
        <w:tab/>
      </w:r>
      <w:r>
        <w:tab/>
      </w:r>
      <w:r w:rsidRPr="004C1176">
        <w:t>(a)</w:t>
      </w:r>
      <w:r w:rsidRPr="004C1176">
        <w:tab/>
        <w:t>a reference to a schedule or an attachment is a reference to a schedule or an attachment to this plan;</w:t>
      </w:r>
    </w:p>
    <w:p w14:paraId="18550F45" w14:textId="77777777" w:rsidR="004033EA" w:rsidRPr="004C1176" w:rsidRDefault="004033EA" w:rsidP="004033EA">
      <w:pPr>
        <w:pStyle w:val="subsection"/>
        <w:tabs>
          <w:tab w:val="left" w:pos="1560"/>
        </w:tabs>
        <w:ind w:left="2160" w:hanging="2160"/>
      </w:pPr>
      <w:r w:rsidRPr="004C1176">
        <w:tab/>
      </w:r>
      <w:r w:rsidRPr="004C1176">
        <w:tab/>
        <w:t>(b)</w:t>
      </w:r>
      <w:r w:rsidRPr="004C1176">
        <w:tab/>
        <w:t>a reference to a legislative instrument is a reference to that instrument as in force from time to time;</w:t>
      </w:r>
    </w:p>
    <w:p w14:paraId="12377CCC" w14:textId="77777777" w:rsidR="004033EA" w:rsidRDefault="004033EA" w:rsidP="004033EA">
      <w:pPr>
        <w:pStyle w:val="subsection"/>
        <w:tabs>
          <w:tab w:val="left" w:pos="1560"/>
        </w:tabs>
        <w:ind w:left="2160" w:hanging="2160"/>
      </w:pPr>
      <w:r w:rsidRPr="004C1176">
        <w:tab/>
      </w:r>
      <w:r w:rsidRPr="004C1176">
        <w:tab/>
        <w:t>(c)</w:t>
      </w:r>
      <w:r w:rsidRPr="004C1176">
        <w:tab/>
        <w:t>a reference to any other kind of instrument or writing is a reference to that other kind of instrument or writing as in force or in existence at the time the reference was included in this plan.</w:t>
      </w:r>
    </w:p>
    <w:p w14:paraId="75BB5075" w14:textId="77777777" w:rsidR="004033EA" w:rsidRPr="00405C74" w:rsidRDefault="004033EA" w:rsidP="004033EA">
      <w:pPr>
        <w:pStyle w:val="subsection"/>
        <w:ind w:left="1440" w:hanging="1440"/>
        <w:rPr>
          <w:sz w:val="18"/>
          <w:szCs w:val="16"/>
        </w:rPr>
      </w:pPr>
      <w:r w:rsidRPr="00405C74">
        <w:rPr>
          <w:sz w:val="18"/>
          <w:szCs w:val="16"/>
        </w:rPr>
        <w:tab/>
        <w:t>Note 1:</w:t>
      </w:r>
      <w:r w:rsidRPr="00405C74">
        <w:rPr>
          <w:sz w:val="18"/>
          <w:szCs w:val="16"/>
        </w:rPr>
        <w:tab/>
        <w:t xml:space="preserve">For references to Commonwealth Acts, see section 10 of the </w:t>
      </w:r>
      <w:r w:rsidRPr="00AB62B9">
        <w:rPr>
          <w:i/>
          <w:iCs/>
          <w:sz w:val="18"/>
          <w:szCs w:val="16"/>
        </w:rPr>
        <w:t>Acts Interpretation Act 1901</w:t>
      </w:r>
      <w:r w:rsidRPr="00405C74">
        <w:rPr>
          <w:sz w:val="18"/>
          <w:szCs w:val="16"/>
        </w:rPr>
        <w:t xml:space="preserve">; and see also subsection 13(1) of the </w:t>
      </w:r>
      <w:r w:rsidRPr="00AB62B9">
        <w:rPr>
          <w:i/>
          <w:iCs/>
          <w:sz w:val="18"/>
          <w:szCs w:val="16"/>
        </w:rPr>
        <w:t>Legislation Act 2003</w:t>
      </w:r>
      <w:r w:rsidRPr="00405C74">
        <w:rPr>
          <w:sz w:val="18"/>
          <w:szCs w:val="16"/>
        </w:rPr>
        <w:t xml:space="preserve"> for the application of the </w:t>
      </w:r>
      <w:r w:rsidRPr="00BC4823">
        <w:rPr>
          <w:i/>
          <w:iCs/>
          <w:sz w:val="18"/>
          <w:szCs w:val="16"/>
        </w:rPr>
        <w:t>Acts Interpretation Act 1901</w:t>
      </w:r>
      <w:r w:rsidRPr="00405C74">
        <w:rPr>
          <w:sz w:val="18"/>
          <w:szCs w:val="16"/>
        </w:rPr>
        <w:t xml:space="preserve"> to legislative instruments.</w:t>
      </w:r>
    </w:p>
    <w:p w14:paraId="2E0A9B1B" w14:textId="77777777" w:rsidR="004033EA" w:rsidRPr="00405C74" w:rsidRDefault="004033EA" w:rsidP="004033EA">
      <w:pPr>
        <w:pStyle w:val="subsection"/>
        <w:ind w:left="1440" w:hanging="1440"/>
        <w:rPr>
          <w:sz w:val="18"/>
          <w:szCs w:val="16"/>
        </w:rPr>
      </w:pPr>
      <w:r w:rsidRPr="00405C74">
        <w:rPr>
          <w:sz w:val="18"/>
          <w:szCs w:val="16"/>
        </w:rPr>
        <w:tab/>
        <w:t>Note 2:</w:t>
      </w:r>
      <w:r w:rsidRPr="00405C74">
        <w:rPr>
          <w:sz w:val="18"/>
          <w:szCs w:val="16"/>
        </w:rPr>
        <w:tab/>
        <w:t>All Commonwealth Acts and legislative instruments are registered on the Federal Register of Legislation.</w:t>
      </w:r>
    </w:p>
    <w:p w14:paraId="67ED255C" w14:textId="77777777" w:rsidR="004033EA" w:rsidRPr="00874378" w:rsidRDefault="004033EA" w:rsidP="004033EA">
      <w:pPr>
        <w:pStyle w:val="subsection"/>
        <w:keepNext/>
      </w:pPr>
      <w:r>
        <w:tab/>
      </w:r>
      <w:r w:rsidRPr="00874378">
        <w:t>(</w:t>
      </w:r>
      <w:r>
        <w:t>4</w:t>
      </w:r>
      <w:r w:rsidRPr="00874378">
        <w:t>)</w:t>
      </w:r>
      <w:r w:rsidRPr="00874378">
        <w:tab/>
        <w:t xml:space="preserve">For </w:t>
      </w:r>
      <w:r>
        <w:t>the</w:t>
      </w:r>
      <w:r w:rsidRPr="00874378">
        <w:t xml:space="preserve"> area mentioned in clause (2), Schedule </w:t>
      </w:r>
      <w:r>
        <w:t>One</w:t>
      </w:r>
      <w:r w:rsidRPr="00874378">
        <w:t xml:space="preserve"> </w:t>
      </w:r>
      <w:r>
        <w:t xml:space="preserve">specifies </w:t>
      </w:r>
      <w:r w:rsidRPr="00874378">
        <w:t>the radiocommunications transmitters planned for the provision of broadcasting services by reference to:</w:t>
      </w:r>
    </w:p>
    <w:p w14:paraId="0FBF305D" w14:textId="77777777" w:rsidR="004033EA" w:rsidRPr="00874378" w:rsidRDefault="004033EA" w:rsidP="004033EA">
      <w:pPr>
        <w:pStyle w:val="paragraph"/>
      </w:pPr>
      <w:r w:rsidRPr="00874378">
        <w:tab/>
        <w:t>(a)</w:t>
      </w:r>
      <w:r w:rsidRPr="00874378">
        <w:tab/>
        <w:t>the Attachment that determines the technical specifications for each transmitter; and</w:t>
      </w:r>
    </w:p>
    <w:p w14:paraId="34AF0F84" w14:textId="77777777" w:rsidR="004033EA" w:rsidRPr="00874378" w:rsidRDefault="004033EA" w:rsidP="004033EA">
      <w:pPr>
        <w:pStyle w:val="paragraph"/>
      </w:pPr>
      <w:r w:rsidRPr="00874378">
        <w:lastRenderedPageBreak/>
        <w:tab/>
        <w:t>(b)</w:t>
      </w:r>
      <w:r w:rsidRPr="00874378">
        <w:tab/>
        <w:t xml:space="preserve">the frequency on </w:t>
      </w:r>
      <w:r>
        <w:t xml:space="preserve">which </w:t>
      </w:r>
      <w:r w:rsidRPr="00874378">
        <w:t xml:space="preserve">each transmitter is planned to operate and the approximate geographic area </w:t>
      </w:r>
      <w:r>
        <w:t>each</w:t>
      </w:r>
      <w:r w:rsidRPr="00874378">
        <w:t xml:space="preserve"> transmitter is planned to serve; and</w:t>
      </w:r>
    </w:p>
    <w:p w14:paraId="3AF3097B" w14:textId="77777777" w:rsidR="004033EA" w:rsidRPr="00874378" w:rsidRDefault="004033EA" w:rsidP="004033EA">
      <w:pPr>
        <w:pStyle w:val="paragraph"/>
      </w:pPr>
      <w:r w:rsidRPr="00874378">
        <w:tab/>
        <w:t>(c)</w:t>
      </w:r>
      <w:r w:rsidRPr="00874378">
        <w:tab/>
        <w:t>the technical specification number for each transmitter and, for a transmitter planned for the provision of a service under a broadcasting services bands licence, the licence number of that licence.</w:t>
      </w:r>
    </w:p>
    <w:p w14:paraId="18BF74F3" w14:textId="77777777" w:rsidR="004033EA" w:rsidRPr="00874378" w:rsidRDefault="004033EA" w:rsidP="004033EA">
      <w:pPr>
        <w:pStyle w:val="subsection"/>
        <w:keepNext/>
      </w:pPr>
      <w:r w:rsidRPr="00874378">
        <w:tab/>
        <w:t>(</w:t>
      </w:r>
      <w:r>
        <w:t>5</w:t>
      </w:r>
      <w:r w:rsidRPr="00874378">
        <w:t>)</w:t>
      </w:r>
      <w:r w:rsidRPr="00874378">
        <w:tab/>
        <w:t xml:space="preserve">Each Attachment, other than an attachment that describes an area within which broadcasting services are to be available, determines the following technical specifications for a radiocommunications transmitter specified </w:t>
      </w:r>
      <w:r>
        <w:t>in Schedule One</w:t>
      </w:r>
      <w:r w:rsidRPr="00874378">
        <w:t>:</w:t>
      </w:r>
    </w:p>
    <w:p w14:paraId="03F649C6" w14:textId="77777777" w:rsidR="004033EA" w:rsidRPr="00874378" w:rsidRDefault="004033EA" w:rsidP="004033EA">
      <w:pPr>
        <w:pStyle w:val="paragraph"/>
      </w:pPr>
      <w:r w:rsidRPr="00874378">
        <w:tab/>
        <w:t>(a)</w:t>
      </w:r>
      <w:r w:rsidRPr="00874378">
        <w:tab/>
        <w:t>subject to clause (</w:t>
      </w:r>
      <w:r>
        <w:t>6</w:t>
      </w:r>
      <w:r w:rsidRPr="00874378">
        <w:t>), a description, and geographic coordinates, of the location (</w:t>
      </w:r>
      <w:r w:rsidRPr="00874378">
        <w:rPr>
          <w:b/>
          <w:bCs/>
          <w:i/>
          <w:iCs/>
        </w:rPr>
        <w:t>nominal location</w:t>
      </w:r>
      <w:r w:rsidRPr="00874378">
        <w:t>) from where the radiocommunications transmitter must be operated;</w:t>
      </w:r>
    </w:p>
    <w:p w14:paraId="1A78ECF3" w14:textId="77777777" w:rsidR="004033EA" w:rsidRPr="00874378" w:rsidRDefault="004033EA" w:rsidP="004033EA">
      <w:pPr>
        <w:pStyle w:val="paragraph"/>
      </w:pPr>
      <w:r w:rsidRPr="00874378">
        <w:tab/>
        <w:t>(b)</w:t>
      </w:r>
      <w:r w:rsidRPr="00874378">
        <w:tab/>
        <w:t>the frequency on which the transmitter must be operated;</w:t>
      </w:r>
    </w:p>
    <w:p w14:paraId="2C26ECB6" w14:textId="77777777" w:rsidR="004033EA" w:rsidRPr="00874378" w:rsidRDefault="004033EA" w:rsidP="004033EA">
      <w:pPr>
        <w:pStyle w:val="paragraph"/>
      </w:pPr>
      <w:r w:rsidRPr="00874378">
        <w:tab/>
        <w:t>(c)</w:t>
      </w:r>
      <w:r w:rsidRPr="00874378">
        <w:tab/>
        <w:t>the frequency band containing that frequency, and the mode of transmission the transmitter must use;</w:t>
      </w:r>
    </w:p>
    <w:p w14:paraId="6C53D210" w14:textId="77777777" w:rsidR="004033EA" w:rsidRPr="00874378" w:rsidRDefault="004033EA" w:rsidP="004033EA">
      <w:pPr>
        <w:pStyle w:val="paragraph"/>
      </w:pPr>
      <w:r w:rsidRPr="00874378">
        <w:tab/>
        <w:t>(d)</w:t>
      </w:r>
      <w:r w:rsidRPr="00874378">
        <w:tab/>
        <w:t>the required polarisation of the transmission made by the transmitter;</w:t>
      </w:r>
    </w:p>
    <w:p w14:paraId="66AEA8BF" w14:textId="77777777" w:rsidR="004033EA" w:rsidRPr="00874378" w:rsidRDefault="004033EA" w:rsidP="004033EA">
      <w:pPr>
        <w:pStyle w:val="paragraph"/>
      </w:pPr>
      <w:r w:rsidRPr="00874378">
        <w:tab/>
        <w:t>(e)</w:t>
      </w:r>
      <w:r w:rsidRPr="00874378">
        <w:tab/>
        <w:t xml:space="preserve">the maximum antenna height for the transmitter; </w:t>
      </w:r>
    </w:p>
    <w:p w14:paraId="558C87D2" w14:textId="77777777" w:rsidR="004033EA" w:rsidRPr="00874378" w:rsidRDefault="004033EA" w:rsidP="004033EA">
      <w:pPr>
        <w:pStyle w:val="paragraph"/>
      </w:pPr>
      <w:r w:rsidRPr="00874378">
        <w:tab/>
        <w:t>(f)</w:t>
      </w:r>
      <w:r w:rsidRPr="00874378">
        <w:tab/>
        <w:t>the maximum effective radiated power</w:t>
      </w:r>
      <w:r>
        <w:t xml:space="preserve"> (</w:t>
      </w:r>
      <w:r w:rsidRPr="00A91474">
        <w:rPr>
          <w:b/>
          <w:bCs/>
          <w:i/>
          <w:iCs/>
        </w:rPr>
        <w:t>ERP</w:t>
      </w:r>
      <w:r>
        <w:t>)</w:t>
      </w:r>
      <w:r w:rsidRPr="00874378">
        <w:t>, in each specified direction, of transmissions made by the transmitter;</w:t>
      </w:r>
    </w:p>
    <w:p w14:paraId="0B43545D" w14:textId="77777777" w:rsidR="004033EA" w:rsidRPr="00874378" w:rsidRDefault="004033EA" w:rsidP="004033EA">
      <w:pPr>
        <w:pStyle w:val="paragraph"/>
      </w:pPr>
      <w:r w:rsidRPr="00874378">
        <w:tab/>
        <w:t>(g)</w:t>
      </w:r>
      <w:r w:rsidRPr="00874378">
        <w:tab/>
        <w:t>any special conditions that apply to the operation of the transmitter;</w:t>
      </w:r>
    </w:p>
    <w:p w14:paraId="31083BCB" w14:textId="77777777" w:rsidR="004033EA" w:rsidRPr="00874378" w:rsidRDefault="004033EA" w:rsidP="004033EA">
      <w:pPr>
        <w:pStyle w:val="paragraph"/>
      </w:pPr>
      <w:r w:rsidRPr="00874378">
        <w:tab/>
        <w:t>(h)</w:t>
      </w:r>
      <w:r w:rsidRPr="00874378">
        <w:tab/>
        <w:t>any circumstances that must exist for the transmitter to be able to be operated, or that prohibit the transmitter from being operated.</w:t>
      </w:r>
    </w:p>
    <w:p w14:paraId="23EAA394" w14:textId="77777777" w:rsidR="004033EA" w:rsidRPr="00874378" w:rsidRDefault="004033EA" w:rsidP="004033EA">
      <w:pPr>
        <w:pStyle w:val="subsection"/>
        <w:keepNext/>
      </w:pPr>
      <w:r w:rsidRPr="00874378">
        <w:tab/>
        <w:t>(</w:t>
      </w:r>
      <w:r>
        <w:t>6</w:t>
      </w:r>
      <w:r w:rsidRPr="00874378">
        <w:t>)</w:t>
      </w:r>
      <w:r w:rsidRPr="00874378">
        <w:tab/>
        <w:t xml:space="preserve">A radiocommunications transmitter may be operated from a </w:t>
      </w:r>
      <w:r>
        <w:t>location</w:t>
      </w:r>
      <w:r w:rsidRPr="00874378">
        <w:t xml:space="preserve"> other than a nominal location (</w:t>
      </w:r>
      <w:r w:rsidRPr="00874378">
        <w:rPr>
          <w:b/>
          <w:bCs/>
          <w:i/>
          <w:iCs/>
        </w:rPr>
        <w:t>alternative site</w:t>
      </w:r>
      <w:r w:rsidRPr="00874378">
        <w:t>) if operation from the alternative site complies with any requirements set out for the transmitter and for the operation of the transmitter in guidelines made under section 33 of the Act in relation to operation from an alternative site.</w:t>
      </w:r>
    </w:p>
    <w:p w14:paraId="7B922D85" w14:textId="77777777" w:rsidR="004033EA" w:rsidRPr="00874378" w:rsidRDefault="004033EA" w:rsidP="004033EA">
      <w:pPr>
        <w:pStyle w:val="notetext"/>
      </w:pPr>
      <w:r w:rsidRPr="00874378">
        <w:t>Note:</w:t>
      </w:r>
      <w:r w:rsidRPr="00874378">
        <w:tab/>
        <w:t xml:space="preserve">Guidelines under section 33 of the </w:t>
      </w:r>
      <w:r w:rsidRPr="00874378">
        <w:rPr>
          <w:i/>
          <w:iCs/>
        </w:rPr>
        <w:t>Broadcasting Services Act 1992</w:t>
      </w:r>
      <w:r w:rsidRPr="00874378">
        <w:t xml:space="preserve"> are available, free of charge, from the Federal Register of Legislation at </w:t>
      </w:r>
      <w:hyperlink r:id="rId18" w:history="1">
        <w:r w:rsidRPr="00874378">
          <w:rPr>
            <w:rStyle w:val="Hyperlink"/>
          </w:rPr>
          <w:t>www.legislation.gov.au</w:t>
        </w:r>
      </w:hyperlink>
      <w:r w:rsidRPr="00874378">
        <w:t xml:space="preserve">. At the time this clause commenced, the </w:t>
      </w:r>
      <w:r w:rsidRPr="00874378">
        <w:rPr>
          <w:i/>
          <w:iCs/>
        </w:rPr>
        <w:t xml:space="preserve">Broadcasting Services (Technical Planning) Guidelines 2017 </w:t>
      </w:r>
      <w:r w:rsidRPr="00874378">
        <w:t>were the guidelines in force under section 33.</w:t>
      </w:r>
    </w:p>
    <w:p w14:paraId="31E92F78" w14:textId="77777777" w:rsidR="004033EA" w:rsidRPr="00874378" w:rsidRDefault="004033EA" w:rsidP="004033EA">
      <w:pPr>
        <w:pStyle w:val="subsection"/>
      </w:pPr>
      <w:r w:rsidRPr="00874378">
        <w:tab/>
        <w:t>(</w:t>
      </w:r>
      <w:r>
        <w:t>7</w:t>
      </w:r>
      <w:r w:rsidRPr="00874378">
        <w:t>)</w:t>
      </w:r>
      <w:r w:rsidRPr="00874378">
        <w:tab/>
        <w:t xml:space="preserve">In this plan, </w:t>
      </w:r>
      <w:r w:rsidRPr="00874378">
        <w:rPr>
          <w:b/>
          <w:bCs/>
          <w:i/>
          <w:iCs/>
        </w:rPr>
        <w:t>radiocommunications transmitter</w:t>
      </w:r>
      <w:r w:rsidRPr="00874378">
        <w:t xml:space="preserve"> has the meaning given by the </w:t>
      </w:r>
      <w:r w:rsidRPr="00874378">
        <w:rPr>
          <w:i/>
          <w:iCs/>
        </w:rPr>
        <w:t>Radiocommunications Act 1992</w:t>
      </w:r>
      <w:r w:rsidRPr="00874378">
        <w:t>.</w:t>
      </w:r>
    </w:p>
    <w:p w14:paraId="59CED4A7" w14:textId="77777777" w:rsidR="004033EA" w:rsidRDefault="004033EA" w:rsidP="004033EA">
      <w:pPr>
        <w:pStyle w:val="ItemHead"/>
      </w:pPr>
      <w:r>
        <w:t>5  Determination</w:t>
      </w:r>
    </w:p>
    <w:p w14:paraId="6EC0DE23" w14:textId="77777777" w:rsidR="004033EA" w:rsidRPr="002B1398" w:rsidRDefault="004033EA" w:rsidP="004033EA">
      <w:pPr>
        <w:pStyle w:val="Item"/>
        <w:keepLines w:val="0"/>
      </w:pPr>
      <w:r>
        <w:tab/>
        <w:t>Omit ‘(Determined by the Australian Broadcasting Authority on 5 February 2004)’.</w:t>
      </w:r>
    </w:p>
    <w:p w14:paraId="7816CBE3" w14:textId="77777777" w:rsidR="004033EA" w:rsidRPr="000B37AE" w:rsidRDefault="004033EA" w:rsidP="004033EA">
      <w:pPr>
        <w:pStyle w:val="ItemHead"/>
      </w:pPr>
      <w:r w:rsidRPr="000B37AE">
        <w:t>6  Schedules</w:t>
      </w:r>
    </w:p>
    <w:p w14:paraId="1D98C851" w14:textId="77777777" w:rsidR="004033EA" w:rsidRPr="000B37AE" w:rsidRDefault="004033EA" w:rsidP="004033EA">
      <w:pPr>
        <w:pStyle w:val="Item"/>
        <w:keepLines w:val="0"/>
      </w:pPr>
      <w:r w:rsidRPr="000B37AE">
        <w:t xml:space="preserve">Repeal the heading </w:t>
      </w:r>
      <w:r>
        <w:t>‘</w:t>
      </w:r>
      <w:r w:rsidRPr="000B37AE">
        <w:t>SCHEDULES</w:t>
      </w:r>
      <w:r>
        <w:t>’</w:t>
      </w:r>
      <w:r w:rsidRPr="000B37AE">
        <w:t xml:space="preserve"> and all of the text under that heading until Schedule </w:t>
      </w:r>
      <w:r>
        <w:t>One</w:t>
      </w:r>
      <w:r w:rsidRPr="000B37AE">
        <w:t>.</w:t>
      </w:r>
    </w:p>
    <w:p w14:paraId="094980DA" w14:textId="77777777" w:rsidR="004033EA" w:rsidRDefault="004033EA" w:rsidP="004033EA">
      <w:pPr>
        <w:pStyle w:val="ItemHead"/>
      </w:pPr>
      <w:r>
        <w:t>7  Schedule One</w:t>
      </w:r>
    </w:p>
    <w:p w14:paraId="63E0F23A" w14:textId="77777777" w:rsidR="004033EA" w:rsidRDefault="004033EA" w:rsidP="004033EA">
      <w:pPr>
        <w:pStyle w:val="Item"/>
      </w:pPr>
      <w:r>
        <w:t>Omit:</w:t>
      </w:r>
    </w:p>
    <w:p w14:paraId="47B97C67" w14:textId="77777777" w:rsidR="004033EA" w:rsidRDefault="004033EA" w:rsidP="004033EA">
      <w:pPr>
        <w:pStyle w:val="ABAHeading3"/>
      </w:pPr>
      <w:r>
        <w:tab/>
      </w:r>
      <w:r w:rsidRPr="000F7BC2">
        <w:rPr>
          <w:b w:val="0"/>
          <w:bCs/>
        </w:rPr>
        <w:t>‘</w:t>
      </w:r>
      <w:r>
        <w:t>Licence Area Plan : Roxby Downs Community Radio – February 2004</w:t>
      </w:r>
    </w:p>
    <w:p w14:paraId="31E65363" w14:textId="77777777" w:rsidR="004033EA" w:rsidRPr="00BB3BF0" w:rsidRDefault="004033EA" w:rsidP="004033EA">
      <w:pPr>
        <w:pStyle w:val="Item"/>
      </w:pPr>
      <w:r w:rsidRPr="00BB3BF0">
        <w:t>Licence Area : ROXBY DOWNS COMMUNITY RA1</w:t>
      </w:r>
      <w:r>
        <w:t>’</w:t>
      </w:r>
    </w:p>
    <w:p w14:paraId="6C19B9E1" w14:textId="77777777" w:rsidR="004033EA" w:rsidRDefault="004033EA" w:rsidP="004033EA">
      <w:pPr>
        <w:pStyle w:val="Item"/>
      </w:pPr>
      <w:r>
        <w:t>Substitute:</w:t>
      </w:r>
    </w:p>
    <w:p w14:paraId="31FCE06E" w14:textId="77777777" w:rsidR="004033EA" w:rsidRDefault="004033EA" w:rsidP="004033EA">
      <w:pPr>
        <w:pStyle w:val="ABAHeading3"/>
        <w:ind w:firstLine="709"/>
      </w:pPr>
      <w:r w:rsidRPr="000F7BC2">
        <w:rPr>
          <w:b w:val="0"/>
          <w:bCs/>
        </w:rPr>
        <w:t>‘</w:t>
      </w:r>
      <w:r>
        <w:t>Licence Area Plan : Roxby Downs Community Radio</w:t>
      </w:r>
    </w:p>
    <w:p w14:paraId="4D3AA0D2" w14:textId="77777777" w:rsidR="004033EA" w:rsidRPr="00BB3BF0" w:rsidRDefault="004033EA" w:rsidP="004033EA">
      <w:pPr>
        <w:pStyle w:val="Item"/>
        <w:keepLines w:val="0"/>
      </w:pPr>
      <w:r w:rsidRPr="00BB3BF0">
        <w:t>Licence Area : ROXBY DOWNS RA1</w:t>
      </w:r>
      <w:r>
        <w:t>’</w:t>
      </w:r>
    </w:p>
    <w:p w14:paraId="5D386F5B" w14:textId="77777777" w:rsidR="004033EA" w:rsidRDefault="004033EA" w:rsidP="004033EA">
      <w:pPr>
        <w:pStyle w:val="ItemHead"/>
      </w:pPr>
      <w:r>
        <w:lastRenderedPageBreak/>
        <w:t>8  Attachment 1.1</w:t>
      </w:r>
    </w:p>
    <w:p w14:paraId="5914D272" w14:textId="77777777" w:rsidR="004033EA" w:rsidRDefault="004033EA" w:rsidP="004033EA">
      <w:pPr>
        <w:pStyle w:val="Item"/>
      </w:pPr>
      <w:r>
        <w:t>Omit:</w:t>
      </w:r>
    </w:p>
    <w:p w14:paraId="0EDA37D5" w14:textId="77777777" w:rsidR="004033EA" w:rsidRDefault="004033EA" w:rsidP="004033EA">
      <w:pPr>
        <w:pStyle w:val="Item"/>
      </w:pPr>
      <w:r>
        <w:t xml:space="preserve">‘LICENCE AREA – ROXBY DOWNS COMMUNITY RA1’ </w:t>
      </w:r>
    </w:p>
    <w:p w14:paraId="649CA6BE" w14:textId="77777777" w:rsidR="004033EA" w:rsidRDefault="004033EA" w:rsidP="004033EA">
      <w:pPr>
        <w:pStyle w:val="Item"/>
      </w:pPr>
      <w:r>
        <w:t>Substitute:</w:t>
      </w:r>
    </w:p>
    <w:p w14:paraId="68B5A1FC" w14:textId="77777777" w:rsidR="004033EA" w:rsidRDefault="004033EA" w:rsidP="004033EA">
      <w:pPr>
        <w:pStyle w:val="Item"/>
      </w:pPr>
      <w:r>
        <w:t>‘LICENCE AREA – ROXBY DOWNS RA1’</w:t>
      </w:r>
    </w:p>
    <w:p w14:paraId="1B142E05" w14:textId="77777777" w:rsidR="004033EA" w:rsidRDefault="004033EA" w:rsidP="004033EA">
      <w:pPr>
        <w:pStyle w:val="ItemHead"/>
        <w:ind w:left="0" w:firstLine="0"/>
      </w:pPr>
      <w:r>
        <w:t>9  Attachment 1.2</w:t>
      </w:r>
    </w:p>
    <w:p w14:paraId="703637C0" w14:textId="2887218A" w:rsidR="004033EA" w:rsidRDefault="004033EA" w:rsidP="004033EA">
      <w:pPr>
        <w:pStyle w:val="subsection"/>
        <w:numPr>
          <w:ilvl w:val="0"/>
          <w:numId w:val="8"/>
        </w:numPr>
        <w:tabs>
          <w:tab w:val="clear" w:pos="1021"/>
          <w:tab w:val="left" w:pos="284"/>
        </w:tabs>
      </w:pPr>
      <w:r>
        <w:t xml:space="preserve">Omit ‘ </w:t>
      </w:r>
      <w:r w:rsidRPr="00AB62B9">
        <w:rPr>
          <w:b/>
          <w:bCs/>
        </w:rPr>
        <w:t xml:space="preserve">– </w:t>
      </w:r>
      <w:r w:rsidRPr="009F7214">
        <w:rPr>
          <w:b/>
          <w:bCs/>
        </w:rPr>
        <w:t>February 2004</w:t>
      </w:r>
      <w:r>
        <w:t>’</w:t>
      </w:r>
      <w:r w:rsidR="00761539">
        <w:t>.</w:t>
      </w:r>
    </w:p>
    <w:p w14:paraId="6B05BAF5" w14:textId="77777777" w:rsidR="004033EA" w:rsidRDefault="004033EA" w:rsidP="004033EA">
      <w:pPr>
        <w:pStyle w:val="subsection"/>
        <w:tabs>
          <w:tab w:val="clear" w:pos="1021"/>
          <w:tab w:val="left" w:pos="284"/>
        </w:tabs>
        <w:ind w:left="709" w:hanging="567"/>
        <w:rPr>
          <w:rFonts w:eastAsia="MS Mincho"/>
          <w:bCs/>
        </w:rPr>
      </w:pPr>
      <w:r>
        <w:tab/>
        <w:t>(2)</w:t>
      </w:r>
      <w:r>
        <w:tab/>
      </w:r>
      <w:r>
        <w:rPr>
          <w:rFonts w:eastAsia="MS Mincho"/>
          <w:bCs/>
        </w:rPr>
        <w:t>Omit ‘Richardson Place ROXBY DOWNS SA’, substitute ‘Council Depot  28 Olympic Way ROXBY DOWNS’.</w:t>
      </w:r>
    </w:p>
    <w:p w14:paraId="55E22CBC" w14:textId="77777777" w:rsidR="004033EA" w:rsidRDefault="004033EA" w:rsidP="004033EA">
      <w:pPr>
        <w:pStyle w:val="subsection"/>
        <w:tabs>
          <w:tab w:val="clear" w:pos="1021"/>
          <w:tab w:val="left" w:pos="284"/>
        </w:tabs>
        <w:ind w:left="709" w:hanging="567"/>
      </w:pPr>
      <w:r>
        <w:tab/>
        <w:t>(3)</w:t>
      </w:r>
      <w:r>
        <w:tab/>
        <w:t>Omit:</w:t>
      </w:r>
    </w:p>
    <w:p w14:paraId="60DAF925" w14:textId="77777777" w:rsidR="004033EA" w:rsidRDefault="004033EA" w:rsidP="004033EA">
      <w:pPr>
        <w:pStyle w:val="subsection"/>
        <w:tabs>
          <w:tab w:val="clear" w:pos="1021"/>
          <w:tab w:val="right" w:pos="5103"/>
          <w:tab w:val="left" w:pos="6096"/>
        </w:tabs>
        <w:spacing w:before="0"/>
        <w:ind w:left="4820" w:hanging="3119"/>
      </w:pPr>
      <w:r>
        <w:t xml:space="preserve">Australian Map Grid : </w:t>
      </w:r>
      <w:r>
        <w:tab/>
        <w:t>Zone</w:t>
      </w:r>
      <w:r>
        <w:tab/>
        <w:t>Easting</w:t>
      </w:r>
      <w:r>
        <w:tab/>
      </w:r>
      <w:r>
        <w:tab/>
        <w:t>Northing</w:t>
      </w:r>
    </w:p>
    <w:p w14:paraId="4B94D9E8" w14:textId="77777777" w:rsidR="004033EA" w:rsidRDefault="004033EA" w:rsidP="004033EA">
      <w:pPr>
        <w:pStyle w:val="subsection"/>
        <w:tabs>
          <w:tab w:val="clear" w:pos="1021"/>
          <w:tab w:val="right" w:pos="5103"/>
          <w:tab w:val="left" w:pos="6096"/>
        </w:tabs>
        <w:spacing w:before="0"/>
        <w:ind w:left="4820" w:hanging="3119"/>
      </w:pPr>
      <w:r>
        <w:t>Reference</w:t>
      </w:r>
      <w:r>
        <w:tab/>
        <w:t>53</w:t>
      </w:r>
      <w:r>
        <w:tab/>
      </w:r>
      <w:r>
        <w:tab/>
        <w:t>681766</w:t>
      </w:r>
      <w:r>
        <w:tab/>
      </w:r>
      <w:r>
        <w:tab/>
        <w:t>6617319</w:t>
      </w:r>
    </w:p>
    <w:p w14:paraId="28786E7A" w14:textId="77777777" w:rsidR="004033EA" w:rsidRPr="005273FC" w:rsidRDefault="004033EA" w:rsidP="004033EA">
      <w:pPr>
        <w:pStyle w:val="subsection"/>
        <w:tabs>
          <w:tab w:val="clear" w:pos="1021"/>
          <w:tab w:val="left" w:pos="284"/>
        </w:tabs>
        <w:ind w:left="709" w:hanging="567"/>
      </w:pPr>
      <w:r>
        <w:tab/>
      </w:r>
      <w:r>
        <w:tab/>
        <w:t>substitute</w:t>
      </w:r>
      <w:r w:rsidRPr="005273FC">
        <w:t>:</w:t>
      </w:r>
    </w:p>
    <w:p w14:paraId="2F3305F4" w14:textId="77777777" w:rsidR="004033EA" w:rsidRDefault="004033EA" w:rsidP="004033EA">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53782DFE" w14:textId="77777777" w:rsidR="004033EA" w:rsidRPr="005273FC" w:rsidRDefault="004033EA" w:rsidP="004033EA">
      <w:pPr>
        <w:pStyle w:val="subsection"/>
        <w:tabs>
          <w:tab w:val="clear" w:pos="1021"/>
          <w:tab w:val="right" w:pos="5103"/>
          <w:tab w:val="left" w:pos="6096"/>
        </w:tabs>
        <w:spacing w:before="0"/>
        <w:ind w:left="4820" w:hanging="3119"/>
      </w:pPr>
      <w:r w:rsidRPr="005273FC">
        <w:t>(GDA94) :</w:t>
      </w:r>
      <w:r w:rsidRPr="005273FC">
        <w:tab/>
      </w:r>
      <w:r w:rsidRPr="005273FC">
        <w:tab/>
        <w:t>-3</w:t>
      </w:r>
      <w:r>
        <w:t>0.554481</w:t>
      </w:r>
      <w:r w:rsidRPr="005273FC">
        <w:tab/>
      </w:r>
      <w:r w:rsidRPr="005273FC">
        <w:tab/>
      </w:r>
      <w:r>
        <w:t>136.893775</w:t>
      </w:r>
    </w:p>
    <w:p w14:paraId="448946A2" w14:textId="77777777" w:rsidR="004033EA" w:rsidRDefault="004033EA" w:rsidP="004033EA">
      <w:pPr>
        <w:pStyle w:val="subsection"/>
        <w:tabs>
          <w:tab w:val="clear" w:pos="1021"/>
          <w:tab w:val="left" w:pos="284"/>
        </w:tabs>
        <w:ind w:left="709" w:hanging="567"/>
      </w:pPr>
      <w:r>
        <w:tab/>
        <w:t>(4)</w:t>
      </w:r>
      <w:r>
        <w:tab/>
        <w:t>Omit:</w:t>
      </w:r>
    </w:p>
    <w:p w14:paraId="61679B21" w14:textId="77777777" w:rsidR="004033EA" w:rsidRDefault="004033EA" w:rsidP="004033EA">
      <w:pPr>
        <w:pStyle w:val="Item"/>
        <w:ind w:left="3600" w:hanging="2160"/>
      </w:pPr>
      <w:r>
        <w:t>Site Tolerance :</w:t>
      </w:r>
      <w:r>
        <w:tab/>
        <w:t>Refer to Technical Planning Guidelines</w:t>
      </w:r>
    </w:p>
    <w:p w14:paraId="5EB71881" w14:textId="77777777" w:rsidR="004033EA" w:rsidRDefault="004033EA" w:rsidP="004033EA">
      <w:pPr>
        <w:pStyle w:val="subsection"/>
        <w:tabs>
          <w:tab w:val="clear" w:pos="1021"/>
          <w:tab w:val="left" w:pos="284"/>
        </w:tabs>
        <w:ind w:left="709" w:hanging="567"/>
      </w:pPr>
      <w:r>
        <w:tab/>
        <w:t>(5)</w:t>
      </w:r>
      <w:r>
        <w:tab/>
        <w:t>Omit ‘Vertical’, substitute ‘Mixed’.</w:t>
      </w:r>
    </w:p>
    <w:p w14:paraId="3133ECB3" w14:textId="77777777" w:rsidR="004033EA" w:rsidRDefault="004033EA" w:rsidP="004033EA">
      <w:pPr>
        <w:pStyle w:val="subsection"/>
        <w:tabs>
          <w:tab w:val="clear" w:pos="1021"/>
          <w:tab w:val="left" w:pos="284"/>
        </w:tabs>
        <w:ind w:left="709" w:hanging="567"/>
      </w:pPr>
      <w:r>
        <w:tab/>
        <w:t>(6)</w:t>
      </w:r>
      <w:r>
        <w:tab/>
        <w:t>Omit ‘12 m’, substitute ‘20 m’.</w:t>
      </w:r>
    </w:p>
    <w:p w14:paraId="300C4EB8" w14:textId="77777777" w:rsidR="004033EA" w:rsidRDefault="004033EA" w:rsidP="004033EA">
      <w:pPr>
        <w:pStyle w:val="subsection"/>
        <w:tabs>
          <w:tab w:val="clear" w:pos="1021"/>
          <w:tab w:val="left" w:pos="284"/>
        </w:tabs>
        <w:ind w:left="709" w:hanging="567"/>
      </w:pPr>
      <w:r>
        <w:tab/>
        <w:t>(7)</w:t>
      </w:r>
      <w:r>
        <w:tab/>
        <w:t>Omit the output radiation pattern table, substitute:</w:t>
      </w:r>
    </w:p>
    <w:p w14:paraId="6334AB74" w14:textId="77777777" w:rsidR="004033EA" w:rsidRPr="00E728D9" w:rsidRDefault="004033EA" w:rsidP="004033EA">
      <w:pPr>
        <w:pStyle w:val="ABAHeading4"/>
        <w:spacing w:before="120"/>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4033EA" w:rsidRPr="00E728D9" w14:paraId="2A21A23D" w14:textId="77777777" w:rsidTr="00925E0A">
        <w:trPr>
          <w:trHeight w:val="808"/>
        </w:trPr>
        <w:tc>
          <w:tcPr>
            <w:tcW w:w="3015" w:type="dxa"/>
            <w:tcBorders>
              <w:top w:val="single" w:sz="4" w:space="0" w:color="auto"/>
              <w:left w:val="nil"/>
              <w:bottom w:val="single" w:sz="4" w:space="0" w:color="auto"/>
              <w:right w:val="nil"/>
            </w:tcBorders>
            <w:hideMark/>
          </w:tcPr>
          <w:p w14:paraId="76A26D56" w14:textId="77777777" w:rsidR="004033EA" w:rsidRPr="00E728D9" w:rsidRDefault="004033EA" w:rsidP="00925E0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5049612C" w14:textId="77777777" w:rsidR="004033EA" w:rsidRPr="00E728D9" w:rsidRDefault="004033EA" w:rsidP="00925E0A">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4033EA" w:rsidRPr="00E728D9" w14:paraId="4B3EDBA8" w14:textId="77777777" w:rsidTr="00925E0A">
        <w:trPr>
          <w:trHeight w:val="525"/>
        </w:trPr>
        <w:tc>
          <w:tcPr>
            <w:tcW w:w="3015" w:type="dxa"/>
            <w:tcBorders>
              <w:top w:val="single" w:sz="4" w:space="0" w:color="auto"/>
              <w:left w:val="nil"/>
              <w:bottom w:val="single" w:sz="4" w:space="0" w:color="auto"/>
              <w:right w:val="nil"/>
            </w:tcBorders>
            <w:hideMark/>
          </w:tcPr>
          <w:p w14:paraId="6759BC0D" w14:textId="77777777" w:rsidR="004033EA" w:rsidRPr="00E728D9" w:rsidRDefault="004033EA" w:rsidP="00925E0A">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789019E8" w14:textId="77777777" w:rsidR="004033EA" w:rsidRPr="00E728D9" w:rsidRDefault="004033EA" w:rsidP="00925E0A">
            <w:pPr>
              <w:pStyle w:val="ABATableText"/>
            </w:pPr>
            <w:r>
              <w:t>50</w:t>
            </w:r>
            <w:r w:rsidRPr="00E728D9">
              <w:t>0 W</w:t>
            </w:r>
          </w:p>
        </w:tc>
      </w:tr>
      <w:bookmarkEnd w:id="7"/>
    </w:tbl>
    <w:p w14:paraId="03E1408F" w14:textId="77777777" w:rsidR="00C40C54" w:rsidRPr="004033EA" w:rsidRDefault="00C40C54" w:rsidP="004033EA"/>
    <w:sectPr w:rsidR="00C40C54" w:rsidRPr="004033EA" w:rsidSect="00957210">
      <w:headerReference w:type="even" r:id="rId19"/>
      <w:head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D3DC" w14:textId="77777777" w:rsidR="00C264AB" w:rsidRDefault="00C264AB" w:rsidP="0017734A">
      <w:pPr>
        <w:spacing w:after="0" w:line="240" w:lineRule="auto"/>
      </w:pPr>
      <w:r>
        <w:separator/>
      </w:r>
    </w:p>
  </w:endnote>
  <w:endnote w:type="continuationSeparator" w:id="0">
    <w:p w14:paraId="0AEBB239" w14:textId="77777777" w:rsidR="00C264AB" w:rsidRDefault="00C264AB"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0AEA" w14:textId="77777777" w:rsidR="004033EA" w:rsidRDefault="004033EA" w:rsidP="00A47268">
    <w:pPr>
      <w:pStyle w:val="Footer"/>
      <w:pBdr>
        <w:top w:val="single" w:sz="4" w:space="1" w:color="auto"/>
      </w:pBdr>
      <w:spacing w:before="120"/>
      <w:jc w:val="center"/>
      <w:rPr>
        <w:rFonts w:ascii="Times New Roman" w:hAnsi="Times New Roman" w:cs="Times New Roman"/>
        <w:i/>
        <w:iCs/>
      </w:rPr>
    </w:pPr>
    <w:r>
      <w:rPr>
        <w:rFonts w:ascii="Times New Roman" w:hAnsi="Times New Roman" w:cs="Times New Roman"/>
        <w:i/>
        <w:iCs/>
      </w:rPr>
      <w:t>Variation to Licence Area Plan – Roxby Downs Community Radio – 2023 (No. 1)</w:t>
    </w:r>
  </w:p>
  <w:p w14:paraId="269092EB" w14:textId="77777777" w:rsidR="004033EA" w:rsidRDefault="004033EA" w:rsidP="00A47268">
    <w:pPr>
      <w:pStyle w:val="Footer"/>
      <w:pBdr>
        <w:top w:val="single" w:sz="4" w:space="1" w:color="auto"/>
      </w:pBdr>
      <w:jc w:val="right"/>
      <w:rPr>
        <w:rFonts w:ascii="Times New Roman" w:hAnsi="Times New Roman" w:cs="Times New Roman"/>
        <w:b/>
        <w:bCs/>
        <w:i/>
        <w:iCs/>
      </w:rPr>
    </w:pPr>
    <w:r w:rsidRPr="009534F6">
      <w:rPr>
        <w:rFonts w:ascii="Times New Roman" w:hAnsi="Times New Roman" w:cs="Times New Roman"/>
      </w:rPr>
      <w:fldChar w:fldCharType="begin"/>
    </w:r>
    <w:r w:rsidRPr="00A91474">
      <w:rPr>
        <w:rFonts w:ascii="Times New Roman" w:hAnsi="Times New Roman" w:cs="Times New Roman"/>
        <w:highlight w:val="yellow"/>
      </w:rPr>
      <w:instrText xml:space="preserve"> PAGE  \* Arabic  \* MERGEFORMAT </w:instrText>
    </w:r>
    <w:r w:rsidRPr="009534F6">
      <w:rPr>
        <w:rFonts w:ascii="Times New Roman" w:hAnsi="Times New Roman" w:cs="Times New Roman"/>
      </w:rPr>
      <w:fldChar w:fldCharType="separate"/>
    </w:r>
    <w:r w:rsidRPr="00A91474">
      <w:rPr>
        <w:rFonts w:ascii="Times New Roman" w:hAnsi="Times New Roman" w:cs="Times New Roman"/>
        <w:highlight w:val="yellow"/>
      </w:rPr>
      <w:t>4</w:t>
    </w:r>
    <w:r w:rsidRPr="009534F6">
      <w:rPr>
        <w:rFonts w:ascii="Times New Roman" w:hAnsi="Times New Roman" w:cs="Times New Roman"/>
      </w:rPr>
      <w:fldChar w:fldCharType="end"/>
    </w:r>
    <w:r w:rsidRPr="00A47268">
      <w:rPr>
        <w:rFonts w:ascii="Times New Roman" w:hAnsi="Times New Roman" w:cs="Times New Roman"/>
        <w:b/>
        <w:bCs/>
        <w:i/>
        <w:iCs/>
      </w:rPr>
      <w:t xml:space="preserve"> </w:t>
    </w:r>
  </w:p>
  <w:p w14:paraId="13610808" w14:textId="77777777" w:rsidR="004033EA" w:rsidRPr="00A47268" w:rsidRDefault="004033EA" w:rsidP="00A47268">
    <w:pPr>
      <w:pStyle w:val="Footer"/>
      <w:pBdr>
        <w:top w:val="single" w:sz="4" w:space="1" w:color="auto"/>
      </w:pBd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94FE" w14:textId="77777777" w:rsidR="00C264AB" w:rsidRDefault="00C264AB" w:rsidP="0017734A">
      <w:pPr>
        <w:spacing w:after="0" w:line="240" w:lineRule="auto"/>
      </w:pPr>
      <w:r>
        <w:separator/>
      </w:r>
    </w:p>
  </w:footnote>
  <w:footnote w:type="continuationSeparator" w:id="0">
    <w:p w14:paraId="22742E6F" w14:textId="77777777" w:rsidR="00C264AB" w:rsidRDefault="00C264AB"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26B6" w14:textId="77777777" w:rsidR="004033EA" w:rsidRDefault="00403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33BA" w14:textId="7594F979" w:rsidR="004033EA" w:rsidRDefault="004033EA" w:rsidP="004127B6">
    <w:pPr>
      <w:pStyle w:val="Header"/>
      <w:pBdr>
        <w:bottom w:val="single" w:sz="4" w:space="1" w:color="auto"/>
      </w:pBd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7F0134">
      <w:rPr>
        <w:rFonts w:ascii="Times New Roman" w:hAnsi="Times New Roman" w:cs="Times New Roman"/>
        <w:noProof/>
      </w:rPr>
      <w:t>1</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E443" w14:textId="77777777" w:rsidR="004033EA" w:rsidRDefault="004033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7AF0" w14:textId="2DCA62CE" w:rsidR="004B434A" w:rsidRDefault="004B43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04D" w14:textId="2161A1CF" w:rsidR="00E728D9" w:rsidRDefault="00E728D9" w:rsidP="004127B6">
    <w:pPr>
      <w:pStyle w:val="Header"/>
      <w:pBdr>
        <w:bottom w:val="single" w:sz="4" w:space="1" w:color="auto"/>
      </w:pBdr>
    </w:pPr>
    <w:r>
      <w:rPr>
        <w:rFonts w:ascii="Times New Roman" w:hAnsi="Times New Roman" w:cs="Times New Roman"/>
      </w:rPr>
      <w:t xml:space="preserve">Schedule </w:t>
    </w:r>
    <w:r w:rsidR="006025A2">
      <w:rPr>
        <w:rFonts w:ascii="Times New Roman" w:hAnsi="Times New Roman" w:cs="Times New Roman"/>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BBA" w14:textId="6FA87CD8" w:rsidR="004B434A" w:rsidRDefault="004B4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17068D"/>
    <w:multiLevelType w:val="hybridMultilevel"/>
    <w:tmpl w:val="4CE0A0B4"/>
    <w:lvl w:ilvl="0" w:tplc="6F26A47A">
      <w:start w:val="1"/>
      <w:numFmt w:val="decimal"/>
      <w:lvlText w:val="(%1)"/>
      <w:lvlJc w:val="left"/>
      <w:pPr>
        <w:ind w:left="712" w:hanging="420"/>
      </w:pPr>
      <w:rPr>
        <w:rFonts w:hint="default"/>
      </w:rPr>
    </w:lvl>
    <w:lvl w:ilvl="1" w:tplc="0C090019" w:tentative="1">
      <w:start w:val="1"/>
      <w:numFmt w:val="lowerLetter"/>
      <w:lvlText w:val="%2."/>
      <w:lvlJc w:val="left"/>
      <w:pPr>
        <w:ind w:left="1372" w:hanging="360"/>
      </w:pPr>
    </w:lvl>
    <w:lvl w:ilvl="2" w:tplc="0C09001B" w:tentative="1">
      <w:start w:val="1"/>
      <w:numFmt w:val="lowerRoman"/>
      <w:lvlText w:val="%3."/>
      <w:lvlJc w:val="right"/>
      <w:pPr>
        <w:ind w:left="2092" w:hanging="180"/>
      </w:pPr>
    </w:lvl>
    <w:lvl w:ilvl="3" w:tplc="0C09000F" w:tentative="1">
      <w:start w:val="1"/>
      <w:numFmt w:val="decimal"/>
      <w:lvlText w:val="%4."/>
      <w:lvlJc w:val="left"/>
      <w:pPr>
        <w:ind w:left="2812" w:hanging="360"/>
      </w:pPr>
    </w:lvl>
    <w:lvl w:ilvl="4" w:tplc="0C090019" w:tentative="1">
      <w:start w:val="1"/>
      <w:numFmt w:val="lowerLetter"/>
      <w:lvlText w:val="%5."/>
      <w:lvlJc w:val="left"/>
      <w:pPr>
        <w:ind w:left="3532" w:hanging="360"/>
      </w:pPr>
    </w:lvl>
    <w:lvl w:ilvl="5" w:tplc="0C09001B" w:tentative="1">
      <w:start w:val="1"/>
      <w:numFmt w:val="lowerRoman"/>
      <w:lvlText w:val="%6."/>
      <w:lvlJc w:val="right"/>
      <w:pPr>
        <w:ind w:left="4252" w:hanging="180"/>
      </w:pPr>
    </w:lvl>
    <w:lvl w:ilvl="6" w:tplc="0C09000F" w:tentative="1">
      <w:start w:val="1"/>
      <w:numFmt w:val="decimal"/>
      <w:lvlText w:val="%7."/>
      <w:lvlJc w:val="left"/>
      <w:pPr>
        <w:ind w:left="4972" w:hanging="360"/>
      </w:pPr>
    </w:lvl>
    <w:lvl w:ilvl="7" w:tplc="0C090019" w:tentative="1">
      <w:start w:val="1"/>
      <w:numFmt w:val="lowerLetter"/>
      <w:lvlText w:val="%8."/>
      <w:lvlJc w:val="left"/>
      <w:pPr>
        <w:ind w:left="5692" w:hanging="360"/>
      </w:pPr>
    </w:lvl>
    <w:lvl w:ilvl="8" w:tplc="0C09001B" w:tentative="1">
      <w:start w:val="1"/>
      <w:numFmt w:val="lowerRoman"/>
      <w:lvlText w:val="%9."/>
      <w:lvlJc w:val="right"/>
      <w:pPr>
        <w:ind w:left="6412"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9956100">
    <w:abstractNumId w:val="1"/>
  </w:num>
  <w:num w:numId="2" w16cid:durableId="2065516773">
    <w:abstractNumId w:val="6"/>
  </w:num>
  <w:num w:numId="3" w16cid:durableId="906035375">
    <w:abstractNumId w:val="3"/>
  </w:num>
  <w:num w:numId="4" w16cid:durableId="716120999">
    <w:abstractNumId w:val="4"/>
  </w:num>
  <w:num w:numId="5" w16cid:durableId="1081490789">
    <w:abstractNumId w:val="2"/>
  </w:num>
  <w:num w:numId="6" w16cid:durableId="1062946836">
    <w:abstractNumId w:val="0"/>
  </w:num>
  <w:num w:numId="7" w16cid:durableId="485634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9171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4AD9"/>
    <w:rsid w:val="00006492"/>
    <w:rsid w:val="00007A71"/>
    <w:rsid w:val="00010EAB"/>
    <w:rsid w:val="00011F13"/>
    <w:rsid w:val="0001753F"/>
    <w:rsid w:val="00025D23"/>
    <w:rsid w:val="00033B39"/>
    <w:rsid w:val="000340E0"/>
    <w:rsid w:val="00052D9F"/>
    <w:rsid w:val="0005316B"/>
    <w:rsid w:val="00053B06"/>
    <w:rsid w:val="00055551"/>
    <w:rsid w:val="00060C67"/>
    <w:rsid w:val="000611EF"/>
    <w:rsid w:val="0006339E"/>
    <w:rsid w:val="00063CF9"/>
    <w:rsid w:val="00063E7B"/>
    <w:rsid w:val="00070DC0"/>
    <w:rsid w:val="0007191A"/>
    <w:rsid w:val="000724D3"/>
    <w:rsid w:val="0008041B"/>
    <w:rsid w:val="000826AB"/>
    <w:rsid w:val="000854A4"/>
    <w:rsid w:val="00095BF8"/>
    <w:rsid w:val="00097890"/>
    <w:rsid w:val="000A430B"/>
    <w:rsid w:val="000B06C8"/>
    <w:rsid w:val="000B3174"/>
    <w:rsid w:val="000B3465"/>
    <w:rsid w:val="000B37AE"/>
    <w:rsid w:val="000B4E1A"/>
    <w:rsid w:val="000C0E7F"/>
    <w:rsid w:val="000C3E67"/>
    <w:rsid w:val="000C5A8B"/>
    <w:rsid w:val="000C64A1"/>
    <w:rsid w:val="000E01C5"/>
    <w:rsid w:val="000E2AF5"/>
    <w:rsid w:val="000F05E7"/>
    <w:rsid w:val="000F3235"/>
    <w:rsid w:val="000F7BBA"/>
    <w:rsid w:val="000F7BC2"/>
    <w:rsid w:val="00100881"/>
    <w:rsid w:val="00102B52"/>
    <w:rsid w:val="00111E87"/>
    <w:rsid w:val="001127E3"/>
    <w:rsid w:val="00113890"/>
    <w:rsid w:val="00121BB9"/>
    <w:rsid w:val="00130C48"/>
    <w:rsid w:val="00132EEA"/>
    <w:rsid w:val="00140884"/>
    <w:rsid w:val="0015399B"/>
    <w:rsid w:val="00155BD3"/>
    <w:rsid w:val="00160BF3"/>
    <w:rsid w:val="0016159C"/>
    <w:rsid w:val="00164FC6"/>
    <w:rsid w:val="0017734A"/>
    <w:rsid w:val="00180759"/>
    <w:rsid w:val="00183396"/>
    <w:rsid w:val="00183F93"/>
    <w:rsid w:val="001901A3"/>
    <w:rsid w:val="001B3096"/>
    <w:rsid w:val="001B4FDE"/>
    <w:rsid w:val="001B60BB"/>
    <w:rsid w:val="001B7B9D"/>
    <w:rsid w:val="001C12ED"/>
    <w:rsid w:val="001C1DAB"/>
    <w:rsid w:val="001D2F53"/>
    <w:rsid w:val="001D7553"/>
    <w:rsid w:val="00201C37"/>
    <w:rsid w:val="00205430"/>
    <w:rsid w:val="002063D8"/>
    <w:rsid w:val="0020657F"/>
    <w:rsid w:val="002071D6"/>
    <w:rsid w:val="00217C50"/>
    <w:rsid w:val="002313FC"/>
    <w:rsid w:val="0023229F"/>
    <w:rsid w:val="0023795D"/>
    <w:rsid w:val="00243A5C"/>
    <w:rsid w:val="00245973"/>
    <w:rsid w:val="00251DA3"/>
    <w:rsid w:val="00257AB3"/>
    <w:rsid w:val="00265688"/>
    <w:rsid w:val="00272A91"/>
    <w:rsid w:val="00275DE4"/>
    <w:rsid w:val="002803F9"/>
    <w:rsid w:val="00284B90"/>
    <w:rsid w:val="00285196"/>
    <w:rsid w:val="00294523"/>
    <w:rsid w:val="002974DE"/>
    <w:rsid w:val="002A5C5C"/>
    <w:rsid w:val="002B0B5C"/>
    <w:rsid w:val="002B1398"/>
    <w:rsid w:val="002B5793"/>
    <w:rsid w:val="002B5901"/>
    <w:rsid w:val="002B73D8"/>
    <w:rsid w:val="002D1AA3"/>
    <w:rsid w:val="002D2F92"/>
    <w:rsid w:val="002D4BD4"/>
    <w:rsid w:val="002D5E95"/>
    <w:rsid w:val="002E74B1"/>
    <w:rsid w:val="002F0E3F"/>
    <w:rsid w:val="002F1511"/>
    <w:rsid w:val="002F27A4"/>
    <w:rsid w:val="002F2B06"/>
    <w:rsid w:val="003025FF"/>
    <w:rsid w:val="00316C57"/>
    <w:rsid w:val="0032498C"/>
    <w:rsid w:val="00343462"/>
    <w:rsid w:val="003534F1"/>
    <w:rsid w:val="003557F5"/>
    <w:rsid w:val="00372DEF"/>
    <w:rsid w:val="003744BC"/>
    <w:rsid w:val="00390A26"/>
    <w:rsid w:val="00390E52"/>
    <w:rsid w:val="003974E2"/>
    <w:rsid w:val="003A1DCD"/>
    <w:rsid w:val="003A452E"/>
    <w:rsid w:val="003B613D"/>
    <w:rsid w:val="003C44A9"/>
    <w:rsid w:val="003C663B"/>
    <w:rsid w:val="003D06C4"/>
    <w:rsid w:val="003D1061"/>
    <w:rsid w:val="003D55C6"/>
    <w:rsid w:val="003E025C"/>
    <w:rsid w:val="003E080A"/>
    <w:rsid w:val="003E096F"/>
    <w:rsid w:val="003E6EC0"/>
    <w:rsid w:val="003F13EF"/>
    <w:rsid w:val="00401088"/>
    <w:rsid w:val="004033EA"/>
    <w:rsid w:val="00405C74"/>
    <w:rsid w:val="00405F03"/>
    <w:rsid w:val="004102A9"/>
    <w:rsid w:val="004125E7"/>
    <w:rsid w:val="004127B6"/>
    <w:rsid w:val="0041478C"/>
    <w:rsid w:val="00416DE2"/>
    <w:rsid w:val="004309EA"/>
    <w:rsid w:val="00430A4F"/>
    <w:rsid w:val="0043249F"/>
    <w:rsid w:val="00432AAA"/>
    <w:rsid w:val="004361D9"/>
    <w:rsid w:val="0043651D"/>
    <w:rsid w:val="0045320C"/>
    <w:rsid w:val="004542C5"/>
    <w:rsid w:val="00454D68"/>
    <w:rsid w:val="00460FD9"/>
    <w:rsid w:val="004750C7"/>
    <w:rsid w:val="00486503"/>
    <w:rsid w:val="00493F7B"/>
    <w:rsid w:val="00494C29"/>
    <w:rsid w:val="004A5BA5"/>
    <w:rsid w:val="004A671D"/>
    <w:rsid w:val="004B434A"/>
    <w:rsid w:val="004B7A60"/>
    <w:rsid w:val="004C1176"/>
    <w:rsid w:val="004C240C"/>
    <w:rsid w:val="004C5761"/>
    <w:rsid w:val="004D28F1"/>
    <w:rsid w:val="004D3709"/>
    <w:rsid w:val="004D6B79"/>
    <w:rsid w:val="004F5D89"/>
    <w:rsid w:val="005033D9"/>
    <w:rsid w:val="00504256"/>
    <w:rsid w:val="00504A0B"/>
    <w:rsid w:val="00505A09"/>
    <w:rsid w:val="00514B56"/>
    <w:rsid w:val="00523156"/>
    <w:rsid w:val="00524586"/>
    <w:rsid w:val="005273FC"/>
    <w:rsid w:val="00537FCE"/>
    <w:rsid w:val="005423EB"/>
    <w:rsid w:val="00545240"/>
    <w:rsid w:val="00546A90"/>
    <w:rsid w:val="00550D1A"/>
    <w:rsid w:val="00563F70"/>
    <w:rsid w:val="00567734"/>
    <w:rsid w:val="00585B9A"/>
    <w:rsid w:val="00590EA1"/>
    <w:rsid w:val="00592025"/>
    <w:rsid w:val="00593D82"/>
    <w:rsid w:val="005957A6"/>
    <w:rsid w:val="005A73E6"/>
    <w:rsid w:val="005B4AC1"/>
    <w:rsid w:val="005C12D8"/>
    <w:rsid w:val="005D09D8"/>
    <w:rsid w:val="005D1B99"/>
    <w:rsid w:val="005E2224"/>
    <w:rsid w:val="005E3C4A"/>
    <w:rsid w:val="0060096F"/>
    <w:rsid w:val="006025A2"/>
    <w:rsid w:val="006031FE"/>
    <w:rsid w:val="00611B2D"/>
    <w:rsid w:val="00614D21"/>
    <w:rsid w:val="00617B2B"/>
    <w:rsid w:val="0062032D"/>
    <w:rsid w:val="00624B91"/>
    <w:rsid w:val="006269EF"/>
    <w:rsid w:val="00627E48"/>
    <w:rsid w:val="00631FED"/>
    <w:rsid w:val="0063425B"/>
    <w:rsid w:val="0064057C"/>
    <w:rsid w:val="00646A36"/>
    <w:rsid w:val="00647329"/>
    <w:rsid w:val="0065093E"/>
    <w:rsid w:val="00655723"/>
    <w:rsid w:val="006666FF"/>
    <w:rsid w:val="00677435"/>
    <w:rsid w:val="006805E1"/>
    <w:rsid w:val="006911BE"/>
    <w:rsid w:val="006A541D"/>
    <w:rsid w:val="006A5836"/>
    <w:rsid w:val="006A6835"/>
    <w:rsid w:val="006B0532"/>
    <w:rsid w:val="006B5F6A"/>
    <w:rsid w:val="006B7C79"/>
    <w:rsid w:val="006C0251"/>
    <w:rsid w:val="006D2F79"/>
    <w:rsid w:val="006D6B20"/>
    <w:rsid w:val="006E739C"/>
    <w:rsid w:val="006F5CF2"/>
    <w:rsid w:val="00701847"/>
    <w:rsid w:val="00703828"/>
    <w:rsid w:val="00704DE6"/>
    <w:rsid w:val="007055D1"/>
    <w:rsid w:val="00712A7F"/>
    <w:rsid w:val="00721966"/>
    <w:rsid w:val="007245E5"/>
    <w:rsid w:val="00733FB0"/>
    <w:rsid w:val="00736B38"/>
    <w:rsid w:val="00737AB3"/>
    <w:rsid w:val="007552A0"/>
    <w:rsid w:val="007553C7"/>
    <w:rsid w:val="00761539"/>
    <w:rsid w:val="0076286E"/>
    <w:rsid w:val="00763A81"/>
    <w:rsid w:val="00764E6B"/>
    <w:rsid w:val="0077149E"/>
    <w:rsid w:val="0077261F"/>
    <w:rsid w:val="007743EB"/>
    <w:rsid w:val="00790607"/>
    <w:rsid w:val="00791A1E"/>
    <w:rsid w:val="00791D68"/>
    <w:rsid w:val="0079325B"/>
    <w:rsid w:val="007A2AFE"/>
    <w:rsid w:val="007B52DA"/>
    <w:rsid w:val="007B549E"/>
    <w:rsid w:val="007C04B1"/>
    <w:rsid w:val="007C0B20"/>
    <w:rsid w:val="007C121C"/>
    <w:rsid w:val="007C432D"/>
    <w:rsid w:val="007C49A7"/>
    <w:rsid w:val="007D2B9A"/>
    <w:rsid w:val="007D6261"/>
    <w:rsid w:val="007D7D2A"/>
    <w:rsid w:val="007F0134"/>
    <w:rsid w:val="007F1F68"/>
    <w:rsid w:val="00800926"/>
    <w:rsid w:val="00804864"/>
    <w:rsid w:val="00822DAE"/>
    <w:rsid w:val="0083081F"/>
    <w:rsid w:val="008331B0"/>
    <w:rsid w:val="00834DA9"/>
    <w:rsid w:val="00851BF1"/>
    <w:rsid w:val="00855139"/>
    <w:rsid w:val="00855AB3"/>
    <w:rsid w:val="00861B1E"/>
    <w:rsid w:val="00877B4A"/>
    <w:rsid w:val="008843D1"/>
    <w:rsid w:val="00892658"/>
    <w:rsid w:val="00892659"/>
    <w:rsid w:val="00896A23"/>
    <w:rsid w:val="00897161"/>
    <w:rsid w:val="008B00B3"/>
    <w:rsid w:val="008C4314"/>
    <w:rsid w:val="008D642E"/>
    <w:rsid w:val="008E79B3"/>
    <w:rsid w:val="008F29E5"/>
    <w:rsid w:val="008F49A7"/>
    <w:rsid w:val="008F622B"/>
    <w:rsid w:val="008F71F7"/>
    <w:rsid w:val="00901AA4"/>
    <w:rsid w:val="00903227"/>
    <w:rsid w:val="00904169"/>
    <w:rsid w:val="00916BD0"/>
    <w:rsid w:val="0091792E"/>
    <w:rsid w:val="009259E5"/>
    <w:rsid w:val="0093400F"/>
    <w:rsid w:val="00935767"/>
    <w:rsid w:val="00937BED"/>
    <w:rsid w:val="009534F6"/>
    <w:rsid w:val="0095649A"/>
    <w:rsid w:val="00957210"/>
    <w:rsid w:val="00962699"/>
    <w:rsid w:val="00974F89"/>
    <w:rsid w:val="009855B1"/>
    <w:rsid w:val="00987A5F"/>
    <w:rsid w:val="009944FF"/>
    <w:rsid w:val="009976EF"/>
    <w:rsid w:val="009A363B"/>
    <w:rsid w:val="009A505D"/>
    <w:rsid w:val="009A5855"/>
    <w:rsid w:val="009B3950"/>
    <w:rsid w:val="009C09AE"/>
    <w:rsid w:val="009C0D6F"/>
    <w:rsid w:val="009C4905"/>
    <w:rsid w:val="009E3B8A"/>
    <w:rsid w:val="009E3E77"/>
    <w:rsid w:val="009E4C3D"/>
    <w:rsid w:val="009F134F"/>
    <w:rsid w:val="009F34A0"/>
    <w:rsid w:val="009F553D"/>
    <w:rsid w:val="009F7214"/>
    <w:rsid w:val="00A04A88"/>
    <w:rsid w:val="00A102A0"/>
    <w:rsid w:val="00A142D8"/>
    <w:rsid w:val="00A17FF9"/>
    <w:rsid w:val="00A202F0"/>
    <w:rsid w:val="00A23708"/>
    <w:rsid w:val="00A2632B"/>
    <w:rsid w:val="00A27B85"/>
    <w:rsid w:val="00A41DEA"/>
    <w:rsid w:val="00A461C9"/>
    <w:rsid w:val="00A47268"/>
    <w:rsid w:val="00A47B7C"/>
    <w:rsid w:val="00A533E4"/>
    <w:rsid w:val="00A57402"/>
    <w:rsid w:val="00A6070D"/>
    <w:rsid w:val="00A64C0C"/>
    <w:rsid w:val="00A84D31"/>
    <w:rsid w:val="00A8726F"/>
    <w:rsid w:val="00A91474"/>
    <w:rsid w:val="00A95D4D"/>
    <w:rsid w:val="00A95E77"/>
    <w:rsid w:val="00A965A3"/>
    <w:rsid w:val="00A9689F"/>
    <w:rsid w:val="00AA51E2"/>
    <w:rsid w:val="00AA5752"/>
    <w:rsid w:val="00AA7166"/>
    <w:rsid w:val="00AB185A"/>
    <w:rsid w:val="00AB279A"/>
    <w:rsid w:val="00AB2C40"/>
    <w:rsid w:val="00AB4A49"/>
    <w:rsid w:val="00AB5DD9"/>
    <w:rsid w:val="00AB62B9"/>
    <w:rsid w:val="00AB663C"/>
    <w:rsid w:val="00AC1169"/>
    <w:rsid w:val="00AC38D4"/>
    <w:rsid w:val="00AC75D5"/>
    <w:rsid w:val="00AD14AA"/>
    <w:rsid w:val="00AD1EEA"/>
    <w:rsid w:val="00AD233D"/>
    <w:rsid w:val="00AE1698"/>
    <w:rsid w:val="00AE50D5"/>
    <w:rsid w:val="00AF42F9"/>
    <w:rsid w:val="00B07B27"/>
    <w:rsid w:val="00B16318"/>
    <w:rsid w:val="00B22FA4"/>
    <w:rsid w:val="00B3360A"/>
    <w:rsid w:val="00B34288"/>
    <w:rsid w:val="00B3665B"/>
    <w:rsid w:val="00B436EF"/>
    <w:rsid w:val="00B6203A"/>
    <w:rsid w:val="00B67139"/>
    <w:rsid w:val="00B679C8"/>
    <w:rsid w:val="00B7359B"/>
    <w:rsid w:val="00B777F1"/>
    <w:rsid w:val="00B83B4D"/>
    <w:rsid w:val="00B84A87"/>
    <w:rsid w:val="00B90F17"/>
    <w:rsid w:val="00B91ACF"/>
    <w:rsid w:val="00B926D8"/>
    <w:rsid w:val="00B926DC"/>
    <w:rsid w:val="00B92FF3"/>
    <w:rsid w:val="00B9362F"/>
    <w:rsid w:val="00B941AB"/>
    <w:rsid w:val="00B94765"/>
    <w:rsid w:val="00B96177"/>
    <w:rsid w:val="00BA34C5"/>
    <w:rsid w:val="00BB3BF0"/>
    <w:rsid w:val="00BC0E19"/>
    <w:rsid w:val="00BC1B6A"/>
    <w:rsid w:val="00BC28BC"/>
    <w:rsid w:val="00BC4823"/>
    <w:rsid w:val="00BD00F4"/>
    <w:rsid w:val="00BD164B"/>
    <w:rsid w:val="00BD2E6E"/>
    <w:rsid w:val="00BD466E"/>
    <w:rsid w:val="00BD68B1"/>
    <w:rsid w:val="00BD77C9"/>
    <w:rsid w:val="00BD7DF9"/>
    <w:rsid w:val="00BE73FA"/>
    <w:rsid w:val="00BF3EA3"/>
    <w:rsid w:val="00C031A2"/>
    <w:rsid w:val="00C03B5B"/>
    <w:rsid w:val="00C105B0"/>
    <w:rsid w:val="00C20593"/>
    <w:rsid w:val="00C20DD4"/>
    <w:rsid w:val="00C24B82"/>
    <w:rsid w:val="00C264AB"/>
    <w:rsid w:val="00C32F3A"/>
    <w:rsid w:val="00C350C8"/>
    <w:rsid w:val="00C353D6"/>
    <w:rsid w:val="00C379DF"/>
    <w:rsid w:val="00C407E6"/>
    <w:rsid w:val="00C40C54"/>
    <w:rsid w:val="00C4249D"/>
    <w:rsid w:val="00C43723"/>
    <w:rsid w:val="00C46A27"/>
    <w:rsid w:val="00C677EF"/>
    <w:rsid w:val="00C73ED0"/>
    <w:rsid w:val="00C77A83"/>
    <w:rsid w:val="00C80227"/>
    <w:rsid w:val="00C93F30"/>
    <w:rsid w:val="00CB2DFF"/>
    <w:rsid w:val="00CB3712"/>
    <w:rsid w:val="00CB5386"/>
    <w:rsid w:val="00CC64DD"/>
    <w:rsid w:val="00CD4109"/>
    <w:rsid w:val="00CD5290"/>
    <w:rsid w:val="00CE0F5E"/>
    <w:rsid w:val="00CE3662"/>
    <w:rsid w:val="00D00EFA"/>
    <w:rsid w:val="00D07021"/>
    <w:rsid w:val="00D07F2E"/>
    <w:rsid w:val="00D144E2"/>
    <w:rsid w:val="00D1570B"/>
    <w:rsid w:val="00D242C9"/>
    <w:rsid w:val="00D456AD"/>
    <w:rsid w:val="00D53EC2"/>
    <w:rsid w:val="00D805F8"/>
    <w:rsid w:val="00D971B5"/>
    <w:rsid w:val="00DA4D88"/>
    <w:rsid w:val="00DA7C69"/>
    <w:rsid w:val="00DB3C67"/>
    <w:rsid w:val="00DB4C78"/>
    <w:rsid w:val="00DB6C29"/>
    <w:rsid w:val="00DC0D40"/>
    <w:rsid w:val="00DC4C00"/>
    <w:rsid w:val="00DD0AFA"/>
    <w:rsid w:val="00DD781E"/>
    <w:rsid w:val="00DE78D0"/>
    <w:rsid w:val="00DF0278"/>
    <w:rsid w:val="00DF54BA"/>
    <w:rsid w:val="00DF7B08"/>
    <w:rsid w:val="00E02258"/>
    <w:rsid w:val="00E1191F"/>
    <w:rsid w:val="00E17ED2"/>
    <w:rsid w:val="00E257B1"/>
    <w:rsid w:val="00E318F7"/>
    <w:rsid w:val="00E360B8"/>
    <w:rsid w:val="00E42277"/>
    <w:rsid w:val="00E50018"/>
    <w:rsid w:val="00E50BF0"/>
    <w:rsid w:val="00E53D9C"/>
    <w:rsid w:val="00E5573C"/>
    <w:rsid w:val="00E55E75"/>
    <w:rsid w:val="00E61D57"/>
    <w:rsid w:val="00E62B65"/>
    <w:rsid w:val="00E71C31"/>
    <w:rsid w:val="00E72439"/>
    <w:rsid w:val="00E728D9"/>
    <w:rsid w:val="00E7332E"/>
    <w:rsid w:val="00E80E40"/>
    <w:rsid w:val="00E9255C"/>
    <w:rsid w:val="00E9332D"/>
    <w:rsid w:val="00E9552E"/>
    <w:rsid w:val="00EA411C"/>
    <w:rsid w:val="00EA709C"/>
    <w:rsid w:val="00EB53F9"/>
    <w:rsid w:val="00EB6AAA"/>
    <w:rsid w:val="00EB6F08"/>
    <w:rsid w:val="00EC038F"/>
    <w:rsid w:val="00EC0686"/>
    <w:rsid w:val="00EC0AA2"/>
    <w:rsid w:val="00EC54C3"/>
    <w:rsid w:val="00EC76ED"/>
    <w:rsid w:val="00ED6A97"/>
    <w:rsid w:val="00EE03F0"/>
    <w:rsid w:val="00EE0D9D"/>
    <w:rsid w:val="00EE2826"/>
    <w:rsid w:val="00EE384A"/>
    <w:rsid w:val="00EE7A54"/>
    <w:rsid w:val="00EF6088"/>
    <w:rsid w:val="00F03AC3"/>
    <w:rsid w:val="00F0720C"/>
    <w:rsid w:val="00F075D3"/>
    <w:rsid w:val="00F26DEC"/>
    <w:rsid w:val="00F31EC9"/>
    <w:rsid w:val="00F34204"/>
    <w:rsid w:val="00F35BA4"/>
    <w:rsid w:val="00F42EA3"/>
    <w:rsid w:val="00F4594D"/>
    <w:rsid w:val="00F47172"/>
    <w:rsid w:val="00F658B5"/>
    <w:rsid w:val="00F70AF8"/>
    <w:rsid w:val="00F70C7E"/>
    <w:rsid w:val="00F7118F"/>
    <w:rsid w:val="00F71C2A"/>
    <w:rsid w:val="00F76DDC"/>
    <w:rsid w:val="00F77DB5"/>
    <w:rsid w:val="00F82CB4"/>
    <w:rsid w:val="00F856A6"/>
    <w:rsid w:val="00F85ED9"/>
    <w:rsid w:val="00F87CB6"/>
    <w:rsid w:val="00F87F36"/>
    <w:rsid w:val="00F90642"/>
    <w:rsid w:val="00FB1C69"/>
    <w:rsid w:val="00FB59C1"/>
    <w:rsid w:val="00FE05D4"/>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390E5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390E52"/>
    <w:pPr>
      <w:keepNext/>
      <w:spacing w:before="240" w:after="0" w:line="240" w:lineRule="auto"/>
      <w:outlineLvl w:val="1"/>
    </w:pPr>
    <w:rPr>
      <w:rFonts w:ascii="Times New Roman" w:eastAsia="Times New Roman" w:hAnsi="Times New Roman" w:cs="Times New Roman"/>
      <w:b/>
      <w:sz w:val="20"/>
      <w:szCs w:val="20"/>
    </w:rPr>
  </w:style>
  <w:style w:type="paragraph" w:styleId="Heading4">
    <w:name w:val="heading 4"/>
    <w:basedOn w:val="Normal"/>
    <w:next w:val="Normal"/>
    <w:link w:val="Heading4Char"/>
    <w:semiHidden/>
    <w:unhideWhenUsed/>
    <w:qFormat/>
    <w:rsid w:val="00390E52"/>
    <w:pPr>
      <w:keepNext/>
      <w:spacing w:before="2400" w:after="240" w:line="240" w:lineRule="atLeast"/>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semiHidden/>
    <w:unhideWhenUsed/>
    <w:qFormat/>
    <w:rsid w:val="00390E52"/>
    <w:pPr>
      <w:keepNext/>
      <w:tabs>
        <w:tab w:val="left" w:pos="1418"/>
        <w:tab w:val="left" w:pos="1985"/>
      </w:tabs>
      <w:spacing w:before="240" w:after="0" w:line="240" w:lineRule="auto"/>
      <w:ind w:left="1985" w:hanging="1985"/>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semiHidden/>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AHeading2Char">
    <w:name w:val="ABA Heading 2 Char"/>
    <w:basedOn w:val="DefaultParagraphFont"/>
    <w:link w:val="ABAHeading2"/>
    <w:locked/>
    <w:rsid w:val="00401088"/>
    <w:rPr>
      <w:rFonts w:ascii="Arial" w:hAnsi="Arial" w:cs="Arial"/>
      <w:b/>
      <w:sz w:val="28"/>
    </w:rPr>
  </w:style>
  <w:style w:type="paragraph" w:customStyle="1" w:styleId="ABAHeading2">
    <w:name w:val="ABA Heading 2"/>
    <w:next w:val="Normal"/>
    <w:link w:val="ABAHeading2Char"/>
    <w:rsid w:val="00401088"/>
    <w:pPr>
      <w:keepNext/>
      <w:suppressAutoHyphens/>
      <w:spacing w:before="240" w:after="0" w:line="240" w:lineRule="auto"/>
      <w:outlineLvl w:val="2"/>
    </w:pPr>
    <w:rPr>
      <w:rFonts w:ascii="Arial" w:hAnsi="Arial" w:cs="Arial"/>
      <w:b/>
      <w:sz w:val="28"/>
    </w:rPr>
  </w:style>
  <w:style w:type="character" w:customStyle="1" w:styleId="ABAHeading3Char">
    <w:name w:val="ABA Heading 3 Char"/>
    <w:basedOn w:val="DefaultParagraphFont"/>
    <w:link w:val="ABAHeading3"/>
    <w:locked/>
    <w:rsid w:val="00401088"/>
    <w:rPr>
      <w:rFonts w:ascii="Arial" w:hAnsi="Arial" w:cs="Arial"/>
      <w:b/>
      <w:sz w:val="24"/>
    </w:rPr>
  </w:style>
  <w:style w:type="paragraph" w:customStyle="1" w:styleId="ABAHeading3">
    <w:name w:val="ABA Heading 3"/>
    <w:next w:val="Normal"/>
    <w:link w:val="ABAHeading3Char"/>
    <w:rsid w:val="00401088"/>
    <w:pPr>
      <w:keepNext/>
      <w:spacing w:before="120" w:after="0" w:line="240" w:lineRule="auto"/>
    </w:pPr>
    <w:rPr>
      <w:rFonts w:ascii="Arial" w:hAnsi="Arial" w:cs="Arial"/>
      <w:b/>
      <w:sz w:val="24"/>
    </w:rPr>
  </w:style>
  <w:style w:type="paragraph" w:customStyle="1" w:styleId="ABATableText">
    <w:name w:val="ABA Table Text"/>
    <w:autoRedefine/>
    <w:rsid w:val="009A5855"/>
    <w:pPr>
      <w:spacing w:before="40" w:after="40" w:line="240" w:lineRule="auto"/>
      <w:jc w:val="center"/>
    </w:pPr>
    <w:rPr>
      <w:rFonts w:ascii="Arial" w:eastAsia="Times New Roman" w:hAnsi="Arial" w:cs="Times New Roman"/>
      <w:sz w:val="20"/>
      <w:szCs w:val="20"/>
    </w:rPr>
  </w:style>
  <w:style w:type="paragraph" w:customStyle="1" w:styleId="ABAHeading4">
    <w:name w:val="ABA Heading 4"/>
    <w:next w:val="Normal"/>
    <w:link w:val="ABAHeading4Char"/>
    <w:rsid w:val="00401088"/>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401088"/>
    <w:pPr>
      <w:spacing w:before="40" w:after="40" w:line="240" w:lineRule="auto"/>
    </w:pPr>
    <w:rPr>
      <w:rFonts w:ascii="Arial" w:eastAsia="Times New Roman" w:hAnsi="Arial" w:cs="Times New Roman"/>
      <w:b/>
      <w:sz w:val="20"/>
      <w:szCs w:val="20"/>
    </w:rPr>
  </w:style>
  <w:style w:type="character" w:customStyle="1" w:styleId="Heading1Char">
    <w:name w:val="Heading 1 Char"/>
    <w:basedOn w:val="DefaultParagraphFont"/>
    <w:link w:val="Heading1"/>
    <w:rsid w:val="00390E52"/>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390E52"/>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390E52"/>
    <w:rPr>
      <w:rFonts w:ascii="Times New Roman" w:eastAsia="Times New Roman" w:hAnsi="Times New Roman" w:cs="Times New Roman"/>
      <w:b/>
      <w:sz w:val="32"/>
      <w:szCs w:val="20"/>
    </w:rPr>
  </w:style>
  <w:style w:type="character" w:customStyle="1" w:styleId="Heading5Char">
    <w:name w:val="Heading 5 Char"/>
    <w:basedOn w:val="DefaultParagraphFont"/>
    <w:link w:val="Heading5"/>
    <w:semiHidden/>
    <w:rsid w:val="00390E52"/>
    <w:rPr>
      <w:rFonts w:ascii="Times New Roman" w:eastAsia="Times New Roman" w:hAnsi="Times New Roman" w:cs="Times New Roman"/>
      <w:b/>
      <w:sz w:val="24"/>
      <w:szCs w:val="20"/>
    </w:rPr>
  </w:style>
  <w:style w:type="paragraph" w:customStyle="1" w:styleId="msonormal0">
    <w:name w:val="msonormal"/>
    <w:basedOn w:val="Normal"/>
    <w:rsid w:val="00390E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semiHidden/>
    <w:unhideWhenUsed/>
    <w:qFormat/>
    <w:rsid w:val="00390E52"/>
    <w:pPr>
      <w:spacing w:before="1320" w:after="240" w:line="240" w:lineRule="atLeast"/>
      <w:jc w:val="center"/>
    </w:pPr>
    <w:rPr>
      <w:rFonts w:ascii="Times New Roman" w:eastAsia="Times New Roman" w:hAnsi="Times New Roman" w:cs="Times New Roman"/>
      <w:b/>
      <w:sz w:val="48"/>
      <w:szCs w:val="20"/>
    </w:rPr>
  </w:style>
  <w:style w:type="paragraph" w:styleId="Title">
    <w:name w:val="Title"/>
    <w:basedOn w:val="Normal"/>
    <w:link w:val="TitleChar"/>
    <w:qFormat/>
    <w:rsid w:val="00390E52"/>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390E52"/>
    <w:rPr>
      <w:rFonts w:ascii="Times New Roman" w:eastAsia="Times New Roman" w:hAnsi="Times New Roman" w:cs="Times New Roman"/>
      <w:b/>
      <w:sz w:val="36"/>
      <w:szCs w:val="20"/>
    </w:rPr>
  </w:style>
  <w:style w:type="paragraph" w:styleId="BodyText">
    <w:name w:val="Body Text"/>
    <w:basedOn w:val="Normal"/>
    <w:link w:val="BodyTextChar"/>
    <w:semiHidden/>
    <w:unhideWhenUsed/>
    <w:rsid w:val="00390E52"/>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90E52"/>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390E5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390E52"/>
    <w:rPr>
      <w:rFonts w:ascii="Courier New" w:eastAsia="Times New Roman" w:hAnsi="Courier New" w:cs="Times New Roman"/>
      <w:sz w:val="20"/>
      <w:szCs w:val="20"/>
    </w:rPr>
  </w:style>
  <w:style w:type="paragraph" w:styleId="Revision">
    <w:name w:val="Revision"/>
    <w:uiPriority w:val="99"/>
    <w:semiHidden/>
    <w:rsid w:val="00390E52"/>
    <w:pPr>
      <w:spacing w:after="0" w:line="240" w:lineRule="auto"/>
    </w:pPr>
    <w:rPr>
      <w:rFonts w:ascii="Times New Roman" w:eastAsia="Times New Roman" w:hAnsi="Times New Roman" w:cs="Times New Roman"/>
      <w:sz w:val="24"/>
      <w:szCs w:val="20"/>
    </w:rPr>
  </w:style>
  <w:style w:type="character" w:customStyle="1" w:styleId="ABABodyTextChar">
    <w:name w:val="ABA Body Text Char"/>
    <w:basedOn w:val="DefaultParagraphFont"/>
    <w:link w:val="ABABodyText"/>
    <w:locked/>
    <w:rsid w:val="00390E52"/>
    <w:rPr>
      <w:sz w:val="24"/>
    </w:rPr>
  </w:style>
  <w:style w:type="paragraph" w:customStyle="1" w:styleId="ABABodyText">
    <w:name w:val="ABA Body Text"/>
    <w:link w:val="ABABodyTextChar"/>
    <w:rsid w:val="00390E52"/>
    <w:pPr>
      <w:suppressAutoHyphens/>
      <w:snapToGrid w:val="0"/>
      <w:spacing w:before="80" w:after="120" w:line="280" w:lineRule="atLeast"/>
    </w:pPr>
    <w:rPr>
      <w:sz w:val="24"/>
    </w:rPr>
  </w:style>
  <w:style w:type="character" w:customStyle="1" w:styleId="ABAHeading4Char">
    <w:name w:val="ABA Heading 4 Char"/>
    <w:basedOn w:val="DefaultParagraphFont"/>
    <w:link w:val="ABAHeading4"/>
    <w:locked/>
    <w:rsid w:val="00113890"/>
    <w:rPr>
      <w:rFonts w:ascii="Arial" w:eastAsia="Times New Roman" w:hAnsi="Arial"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49">
      <w:bodyDiv w:val="1"/>
      <w:marLeft w:val="0"/>
      <w:marRight w:val="0"/>
      <w:marTop w:val="0"/>
      <w:marBottom w:val="0"/>
      <w:divBdr>
        <w:top w:val="none" w:sz="0" w:space="0" w:color="auto"/>
        <w:left w:val="none" w:sz="0" w:space="0" w:color="auto"/>
        <w:bottom w:val="none" w:sz="0" w:space="0" w:color="auto"/>
        <w:right w:val="none" w:sz="0" w:space="0" w:color="auto"/>
      </w:divBdr>
    </w:div>
    <w:div w:id="157233067">
      <w:bodyDiv w:val="1"/>
      <w:marLeft w:val="0"/>
      <w:marRight w:val="0"/>
      <w:marTop w:val="0"/>
      <w:marBottom w:val="0"/>
      <w:divBdr>
        <w:top w:val="none" w:sz="0" w:space="0" w:color="auto"/>
        <w:left w:val="none" w:sz="0" w:space="0" w:color="auto"/>
        <w:bottom w:val="none" w:sz="0" w:space="0" w:color="auto"/>
        <w:right w:val="none" w:sz="0" w:space="0" w:color="auto"/>
      </w:divBdr>
    </w:div>
    <w:div w:id="267734688">
      <w:bodyDiv w:val="1"/>
      <w:marLeft w:val="0"/>
      <w:marRight w:val="0"/>
      <w:marTop w:val="0"/>
      <w:marBottom w:val="0"/>
      <w:divBdr>
        <w:top w:val="none" w:sz="0" w:space="0" w:color="auto"/>
        <w:left w:val="none" w:sz="0" w:space="0" w:color="auto"/>
        <w:bottom w:val="none" w:sz="0" w:space="0" w:color="auto"/>
        <w:right w:val="none" w:sz="0" w:space="0" w:color="auto"/>
      </w:divBdr>
    </w:div>
    <w:div w:id="301085548">
      <w:bodyDiv w:val="1"/>
      <w:marLeft w:val="0"/>
      <w:marRight w:val="0"/>
      <w:marTop w:val="0"/>
      <w:marBottom w:val="0"/>
      <w:divBdr>
        <w:top w:val="none" w:sz="0" w:space="0" w:color="auto"/>
        <w:left w:val="none" w:sz="0" w:space="0" w:color="auto"/>
        <w:bottom w:val="none" w:sz="0" w:space="0" w:color="auto"/>
        <w:right w:val="none" w:sz="0" w:space="0" w:color="auto"/>
      </w:divBdr>
    </w:div>
    <w:div w:id="334958323">
      <w:bodyDiv w:val="1"/>
      <w:marLeft w:val="0"/>
      <w:marRight w:val="0"/>
      <w:marTop w:val="0"/>
      <w:marBottom w:val="0"/>
      <w:divBdr>
        <w:top w:val="none" w:sz="0" w:space="0" w:color="auto"/>
        <w:left w:val="none" w:sz="0" w:space="0" w:color="auto"/>
        <w:bottom w:val="none" w:sz="0" w:space="0" w:color="auto"/>
        <w:right w:val="none" w:sz="0" w:space="0" w:color="auto"/>
      </w:divBdr>
    </w:div>
    <w:div w:id="572086615">
      <w:bodyDiv w:val="1"/>
      <w:marLeft w:val="0"/>
      <w:marRight w:val="0"/>
      <w:marTop w:val="0"/>
      <w:marBottom w:val="0"/>
      <w:divBdr>
        <w:top w:val="none" w:sz="0" w:space="0" w:color="auto"/>
        <w:left w:val="none" w:sz="0" w:space="0" w:color="auto"/>
        <w:bottom w:val="none" w:sz="0" w:space="0" w:color="auto"/>
        <w:right w:val="none" w:sz="0" w:space="0" w:color="auto"/>
      </w:divBdr>
    </w:div>
    <w:div w:id="589237251">
      <w:bodyDiv w:val="1"/>
      <w:marLeft w:val="0"/>
      <w:marRight w:val="0"/>
      <w:marTop w:val="0"/>
      <w:marBottom w:val="0"/>
      <w:divBdr>
        <w:top w:val="none" w:sz="0" w:space="0" w:color="auto"/>
        <w:left w:val="none" w:sz="0" w:space="0" w:color="auto"/>
        <w:bottom w:val="none" w:sz="0" w:space="0" w:color="auto"/>
        <w:right w:val="none" w:sz="0" w:space="0" w:color="auto"/>
      </w:divBdr>
    </w:div>
    <w:div w:id="653224379">
      <w:bodyDiv w:val="1"/>
      <w:marLeft w:val="0"/>
      <w:marRight w:val="0"/>
      <w:marTop w:val="0"/>
      <w:marBottom w:val="0"/>
      <w:divBdr>
        <w:top w:val="none" w:sz="0" w:space="0" w:color="auto"/>
        <w:left w:val="none" w:sz="0" w:space="0" w:color="auto"/>
        <w:bottom w:val="none" w:sz="0" w:space="0" w:color="auto"/>
        <w:right w:val="none" w:sz="0" w:space="0" w:color="auto"/>
      </w:divBdr>
    </w:div>
    <w:div w:id="878396794">
      <w:bodyDiv w:val="1"/>
      <w:marLeft w:val="0"/>
      <w:marRight w:val="0"/>
      <w:marTop w:val="0"/>
      <w:marBottom w:val="0"/>
      <w:divBdr>
        <w:top w:val="none" w:sz="0" w:space="0" w:color="auto"/>
        <w:left w:val="none" w:sz="0" w:space="0" w:color="auto"/>
        <w:bottom w:val="none" w:sz="0" w:space="0" w:color="auto"/>
        <w:right w:val="none" w:sz="0" w:space="0" w:color="auto"/>
      </w:divBdr>
    </w:div>
    <w:div w:id="883100275">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59522567">
      <w:bodyDiv w:val="1"/>
      <w:marLeft w:val="0"/>
      <w:marRight w:val="0"/>
      <w:marTop w:val="0"/>
      <w:marBottom w:val="0"/>
      <w:divBdr>
        <w:top w:val="none" w:sz="0" w:space="0" w:color="auto"/>
        <w:left w:val="none" w:sz="0" w:space="0" w:color="auto"/>
        <w:bottom w:val="none" w:sz="0" w:space="0" w:color="auto"/>
        <w:right w:val="none" w:sz="0" w:space="0" w:color="auto"/>
      </w:divBdr>
    </w:div>
    <w:div w:id="1465000375">
      <w:bodyDiv w:val="1"/>
      <w:marLeft w:val="0"/>
      <w:marRight w:val="0"/>
      <w:marTop w:val="0"/>
      <w:marBottom w:val="0"/>
      <w:divBdr>
        <w:top w:val="none" w:sz="0" w:space="0" w:color="auto"/>
        <w:left w:val="none" w:sz="0" w:space="0" w:color="auto"/>
        <w:bottom w:val="none" w:sz="0" w:space="0" w:color="auto"/>
        <w:right w:val="none" w:sz="0" w:space="0" w:color="auto"/>
      </w:divBdr>
    </w:div>
    <w:div w:id="1695962448">
      <w:bodyDiv w:val="1"/>
      <w:marLeft w:val="0"/>
      <w:marRight w:val="0"/>
      <w:marTop w:val="0"/>
      <w:marBottom w:val="0"/>
      <w:divBdr>
        <w:top w:val="none" w:sz="0" w:space="0" w:color="auto"/>
        <w:left w:val="none" w:sz="0" w:space="0" w:color="auto"/>
        <w:bottom w:val="none" w:sz="0" w:space="0" w:color="auto"/>
        <w:right w:val="none" w:sz="0" w:space="0" w:color="auto"/>
      </w:divBdr>
    </w:div>
    <w:div w:id="1810900719">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21248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UQVA7MFFXVNW-850449931-2371</_dlc_DocId>
    <_dlc_DocIdUrl xmlns="04b8ec43-391f-4ce4-8841-d6a482add564">
      <Url>http://collaboration/organisation/auth/Chair/Auth/_layouts/15/DocIdRedir.aspx?ID=UQVA7MFFXVNW-850449931-2371</Url>
      <Description>UQVA7MFFXVNW-850449931-2371</Description>
    </_dlc_DocIdUrl>
    <_dlc_DocIdPersistId xmlns="04b8ec43-391f-4ce4-8841-d6a482add564" xsi:nil="true"/>
    <Category xmlns="026d8262-4725-4a9c-834e-3f991ab17ffd">(none)</Category>
  </documentManagement>
</p:properties>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2.xml><?xml version="1.0" encoding="utf-8"?>
<ds:datastoreItem xmlns:ds="http://schemas.openxmlformats.org/officeDocument/2006/customXml" ds:itemID="{00FE7E97-AE7A-40EC-B9C3-57C471FC0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4.xml><?xml version="1.0" encoding="utf-8"?>
<ds:datastoreItem xmlns:ds="http://schemas.openxmlformats.org/officeDocument/2006/customXml" ds:itemID="{39D996F5-4AFD-4A99-A425-76C5DDC014A2}">
  <ds:schemaRefs>
    <ds:schemaRef ds:uri="http://schemas.microsoft.com/sharepoint/events"/>
  </ds:schemaRefs>
</ds:datastoreItem>
</file>

<file path=customXml/itemProps5.xml><?xml version="1.0" encoding="utf-8"?>
<ds:datastoreItem xmlns:ds="http://schemas.openxmlformats.org/officeDocument/2006/customXml" ds:itemID="{B117E2CB-AF16-46E3-846B-30D487AC8324}">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metadata/properties"/>
    <ds:schemaRef ds:uri="0d8165ee-34cd-431d-b40c-e9af985cc7b8"/>
    <ds:schemaRef ds:uri="http://schemas.microsoft.com/office/infopath/2007/PartnerControls"/>
    <ds:schemaRef ds:uri="3532edf9-f135-45e5-a00a-f6098a78f3c6"/>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7</cp:revision>
  <cp:lastPrinted>2023-01-13T01:27:00Z</cp:lastPrinted>
  <dcterms:created xsi:type="dcterms:W3CDTF">2023-11-02T05:46:00Z</dcterms:created>
  <dcterms:modified xsi:type="dcterms:W3CDTF">2023-11-09T03:33:00Z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f7e11ee1-21cf-4824-9f21-95d3e7e20b81</vt:lpwstr>
  </property>
  <property fmtid="{D5CDD505-2E9C-101B-9397-08002B2CF9AE}" pid="4" name="TitusGUID">
    <vt:lpwstr>80ff6b78-fbd6-48fb-ac8e-c4806743392c</vt:lpwstr>
  </property>
</Properties>
</file>