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4BFA61" w14:textId="77777777" w:rsidR="00400470" w:rsidRPr="00720B9A" w:rsidRDefault="3BC8DC1A" w:rsidP="00614458">
      <w:pPr>
        <w:autoSpaceDE w:val="0"/>
        <w:autoSpaceDN w:val="0"/>
        <w:adjustRightInd w:val="0"/>
        <w:spacing w:after="240" w:line="276" w:lineRule="auto"/>
        <w:jc w:val="center"/>
        <w:rPr>
          <w:sz w:val="22"/>
          <w:szCs w:val="22"/>
          <w:u w:val="single"/>
        </w:rPr>
      </w:pPr>
      <w:bookmarkStart w:id="0" w:name="_Int_j5EgE6lj"/>
      <w:r w:rsidRPr="424A8EC8">
        <w:rPr>
          <w:sz w:val="22"/>
          <w:szCs w:val="22"/>
          <w:u w:val="single"/>
        </w:rPr>
        <w:t>EXPLANATORY STATEMENT</w:t>
      </w:r>
      <w:bookmarkEnd w:id="0"/>
    </w:p>
    <w:p w14:paraId="64D112D5" w14:textId="77777777" w:rsidR="00400470" w:rsidRPr="00720B9A" w:rsidRDefault="00400470" w:rsidP="00614458">
      <w:pPr>
        <w:autoSpaceDE w:val="0"/>
        <w:autoSpaceDN w:val="0"/>
        <w:adjustRightInd w:val="0"/>
        <w:spacing w:after="240" w:line="276" w:lineRule="auto"/>
        <w:jc w:val="center"/>
        <w:rPr>
          <w:b/>
          <w:sz w:val="22"/>
          <w:szCs w:val="22"/>
        </w:rPr>
      </w:pPr>
      <w:r w:rsidRPr="00720B9A">
        <w:rPr>
          <w:b/>
          <w:sz w:val="22"/>
          <w:szCs w:val="22"/>
        </w:rPr>
        <w:t>Issued by the Authority of the Australian Fisheries Management Authority</w:t>
      </w:r>
    </w:p>
    <w:p w14:paraId="43CC6D0A" w14:textId="77777777" w:rsidR="00400470" w:rsidRPr="00720B9A" w:rsidRDefault="00400470" w:rsidP="00614458">
      <w:pPr>
        <w:autoSpaceDE w:val="0"/>
        <w:autoSpaceDN w:val="0"/>
        <w:adjustRightInd w:val="0"/>
        <w:spacing w:after="240" w:line="276" w:lineRule="auto"/>
        <w:jc w:val="center"/>
        <w:rPr>
          <w:i/>
          <w:iCs/>
          <w:sz w:val="22"/>
          <w:szCs w:val="22"/>
        </w:rPr>
      </w:pPr>
      <w:r w:rsidRPr="00720B9A">
        <w:rPr>
          <w:i/>
          <w:iCs/>
          <w:sz w:val="22"/>
          <w:szCs w:val="22"/>
        </w:rPr>
        <w:t>Fisheries Management Act 1991</w:t>
      </w:r>
    </w:p>
    <w:p w14:paraId="147FF58C" w14:textId="77777777" w:rsidR="00400470" w:rsidRPr="00720B9A" w:rsidRDefault="00400470" w:rsidP="00614458">
      <w:pPr>
        <w:autoSpaceDE w:val="0"/>
        <w:autoSpaceDN w:val="0"/>
        <w:adjustRightInd w:val="0"/>
        <w:spacing w:after="240" w:line="276" w:lineRule="auto"/>
        <w:jc w:val="center"/>
        <w:rPr>
          <w:i/>
          <w:iCs/>
          <w:sz w:val="22"/>
          <w:szCs w:val="22"/>
        </w:rPr>
      </w:pPr>
      <w:r w:rsidRPr="00720B9A">
        <w:rPr>
          <w:i/>
          <w:iCs/>
          <w:sz w:val="22"/>
          <w:szCs w:val="22"/>
        </w:rPr>
        <w:t>Southern Bluefin Tuna Fishery Management Plan 1995</w:t>
      </w:r>
    </w:p>
    <w:p w14:paraId="0BFBB854" w14:textId="4E738F47" w:rsidR="00400470" w:rsidRPr="00720B9A" w:rsidRDefault="001F26AE" w:rsidP="00BB6C9A">
      <w:pPr>
        <w:autoSpaceDE w:val="0"/>
        <w:autoSpaceDN w:val="0"/>
        <w:adjustRightInd w:val="0"/>
        <w:spacing w:after="240" w:line="276" w:lineRule="auto"/>
        <w:ind w:left="360"/>
        <w:jc w:val="center"/>
        <w:rPr>
          <w:b/>
          <w:i/>
          <w:color w:val="000000"/>
          <w:sz w:val="22"/>
          <w:szCs w:val="22"/>
          <w:lang w:val="en-AU"/>
        </w:rPr>
      </w:pPr>
      <w:r>
        <w:rPr>
          <w:b/>
          <w:i/>
          <w:iCs/>
          <w:color w:val="000000"/>
          <w:sz w:val="22"/>
          <w:szCs w:val="22"/>
          <w:lang w:val="en-AU"/>
        </w:rPr>
        <w:t>Fisheries Management (</w:t>
      </w:r>
      <w:r w:rsidR="00400470" w:rsidRPr="00720B9A">
        <w:rPr>
          <w:b/>
          <w:i/>
          <w:iCs/>
          <w:color w:val="000000"/>
          <w:sz w:val="22"/>
          <w:szCs w:val="22"/>
          <w:lang w:val="en-AU"/>
        </w:rPr>
        <w:t xml:space="preserve">Southern Bluefin Tuna Fishery </w:t>
      </w:r>
      <w:r w:rsidR="00400470" w:rsidRPr="00720B9A">
        <w:rPr>
          <w:b/>
          <w:i/>
          <w:color w:val="000000"/>
          <w:sz w:val="22"/>
          <w:szCs w:val="22"/>
          <w:lang w:val="en-AU"/>
        </w:rPr>
        <w:t xml:space="preserve">Actual Live Weight Value of a Statutory </w:t>
      </w:r>
      <w:r w:rsidR="001A7593" w:rsidRPr="00720B9A">
        <w:rPr>
          <w:b/>
          <w:i/>
          <w:color w:val="000000"/>
          <w:sz w:val="22"/>
          <w:szCs w:val="22"/>
          <w:lang w:val="en-AU"/>
        </w:rPr>
        <w:t>Fishing Right</w:t>
      </w:r>
      <w:r w:rsidR="00614458" w:rsidRPr="00720B9A">
        <w:rPr>
          <w:b/>
          <w:i/>
          <w:color w:val="000000"/>
          <w:sz w:val="22"/>
          <w:szCs w:val="22"/>
          <w:lang w:val="en-AU"/>
        </w:rPr>
        <w:t>)</w:t>
      </w:r>
      <w:r w:rsidR="00720B9A" w:rsidRPr="00720B9A">
        <w:rPr>
          <w:b/>
          <w:i/>
          <w:color w:val="000000"/>
          <w:sz w:val="22"/>
          <w:szCs w:val="22"/>
          <w:lang w:val="en-AU"/>
        </w:rPr>
        <w:t xml:space="preserve"> Determination 202</w:t>
      </w:r>
      <w:r>
        <w:rPr>
          <w:b/>
          <w:i/>
          <w:color w:val="000000"/>
          <w:sz w:val="22"/>
          <w:szCs w:val="22"/>
          <w:lang w:val="en-AU"/>
        </w:rPr>
        <w:t>3</w:t>
      </w:r>
    </w:p>
    <w:p w14:paraId="52DB3865" w14:textId="5915ADE6" w:rsidR="00400470" w:rsidRPr="00720B9A" w:rsidRDefault="00400470" w:rsidP="00D34398">
      <w:pPr>
        <w:autoSpaceDE w:val="0"/>
        <w:autoSpaceDN w:val="0"/>
        <w:adjustRightInd w:val="0"/>
        <w:spacing w:after="240" w:line="276" w:lineRule="auto"/>
        <w:rPr>
          <w:sz w:val="22"/>
          <w:szCs w:val="22"/>
        </w:rPr>
      </w:pPr>
      <w:r w:rsidRPr="00720B9A">
        <w:rPr>
          <w:sz w:val="22"/>
          <w:szCs w:val="22"/>
        </w:rPr>
        <w:t xml:space="preserve">Subsection 17(5) of the </w:t>
      </w:r>
      <w:r w:rsidRPr="00720B9A">
        <w:rPr>
          <w:i/>
          <w:iCs/>
          <w:sz w:val="22"/>
          <w:szCs w:val="22"/>
        </w:rPr>
        <w:t xml:space="preserve">Fisheries Management Act 1991 </w:t>
      </w:r>
      <w:r w:rsidRPr="00720B9A">
        <w:rPr>
          <w:sz w:val="22"/>
          <w:szCs w:val="22"/>
        </w:rPr>
        <w:t xml:space="preserve">(the Act) provides that a plan of management made under the Act may provide for the Australian Fisheries Management Authority (AFMA) to give </w:t>
      </w:r>
      <w:proofErr w:type="gramStart"/>
      <w:r w:rsidRPr="00720B9A">
        <w:rPr>
          <w:sz w:val="22"/>
          <w:szCs w:val="22"/>
        </w:rPr>
        <w:t>particular determinations</w:t>
      </w:r>
      <w:proofErr w:type="gramEnd"/>
      <w:r w:rsidRPr="00720B9A">
        <w:rPr>
          <w:sz w:val="22"/>
          <w:szCs w:val="22"/>
        </w:rPr>
        <w:t xml:space="preserve"> for the purposes of attaining the objectives of the plan of management.</w:t>
      </w:r>
    </w:p>
    <w:p w14:paraId="3F0F5847" w14:textId="77777777" w:rsidR="00400470" w:rsidRPr="00720B9A" w:rsidRDefault="00EA112E" w:rsidP="00D34398">
      <w:pPr>
        <w:autoSpaceDE w:val="0"/>
        <w:autoSpaceDN w:val="0"/>
        <w:adjustRightInd w:val="0"/>
        <w:spacing w:after="240" w:line="276" w:lineRule="auto"/>
        <w:rPr>
          <w:sz w:val="22"/>
          <w:szCs w:val="22"/>
        </w:rPr>
      </w:pPr>
      <w:r w:rsidRPr="00720B9A">
        <w:rPr>
          <w:sz w:val="22"/>
          <w:szCs w:val="22"/>
        </w:rPr>
        <w:t>Paragraph</w:t>
      </w:r>
      <w:r w:rsidR="00400470" w:rsidRPr="00720B9A">
        <w:rPr>
          <w:sz w:val="22"/>
          <w:szCs w:val="22"/>
        </w:rPr>
        <w:t xml:space="preserve"> 17(</w:t>
      </w:r>
      <w:proofErr w:type="gramStart"/>
      <w:r w:rsidR="00400470" w:rsidRPr="00720B9A">
        <w:rPr>
          <w:sz w:val="22"/>
          <w:szCs w:val="22"/>
        </w:rPr>
        <w:t>6)(</w:t>
      </w:r>
      <w:proofErr w:type="gramEnd"/>
      <w:r w:rsidR="00400470" w:rsidRPr="00720B9A">
        <w:rPr>
          <w:sz w:val="22"/>
          <w:szCs w:val="22"/>
        </w:rPr>
        <w:t>aa) of the Act provides that a plan of management may determine or provide for AFMA to determine the fishing capacity measured, by that method or those methods permitted for the fishery or a part of the fishery in respect of a particular period or periods.</w:t>
      </w:r>
    </w:p>
    <w:p w14:paraId="4ABA709D" w14:textId="7DE9DCE2" w:rsidR="00400470" w:rsidRPr="00720B9A" w:rsidRDefault="00614458" w:rsidP="00D34398">
      <w:pPr>
        <w:autoSpaceDE w:val="0"/>
        <w:autoSpaceDN w:val="0"/>
        <w:adjustRightInd w:val="0"/>
        <w:spacing w:after="240" w:line="276" w:lineRule="auto"/>
        <w:rPr>
          <w:color w:val="000000"/>
          <w:sz w:val="22"/>
          <w:szCs w:val="22"/>
          <w:lang w:val="en-AU"/>
        </w:rPr>
      </w:pPr>
      <w:r w:rsidRPr="00720B9A">
        <w:rPr>
          <w:color w:val="000000"/>
          <w:sz w:val="22"/>
          <w:szCs w:val="22"/>
          <w:lang w:val="en-AU"/>
        </w:rPr>
        <w:t>Sub</w:t>
      </w:r>
      <w:r w:rsidR="001B0297">
        <w:rPr>
          <w:color w:val="000000"/>
          <w:sz w:val="22"/>
          <w:szCs w:val="22"/>
          <w:lang w:val="en-AU"/>
        </w:rPr>
        <w:t>clause</w:t>
      </w:r>
      <w:r w:rsidR="00400470" w:rsidRPr="00720B9A">
        <w:rPr>
          <w:color w:val="000000"/>
          <w:sz w:val="22"/>
          <w:szCs w:val="22"/>
          <w:lang w:val="en-AU"/>
        </w:rPr>
        <w:t xml:space="preserve"> 18.3 of the </w:t>
      </w:r>
      <w:r w:rsidR="00400470" w:rsidRPr="00720B9A">
        <w:rPr>
          <w:i/>
          <w:iCs/>
          <w:color w:val="000000"/>
          <w:sz w:val="22"/>
          <w:szCs w:val="22"/>
          <w:lang w:val="en-AU"/>
        </w:rPr>
        <w:t xml:space="preserve">Southern Bluefin Tuna Fishery </w:t>
      </w:r>
      <w:r w:rsidR="00400470" w:rsidRPr="00720B9A">
        <w:rPr>
          <w:i/>
          <w:color w:val="000000"/>
          <w:sz w:val="22"/>
          <w:szCs w:val="22"/>
          <w:lang w:val="en-AU"/>
        </w:rPr>
        <w:t>Management Plan</w:t>
      </w:r>
      <w:r w:rsidR="00400470" w:rsidRPr="00720B9A">
        <w:rPr>
          <w:color w:val="000000"/>
          <w:sz w:val="22"/>
          <w:szCs w:val="22"/>
          <w:lang w:val="en-AU"/>
        </w:rPr>
        <w:t xml:space="preserve"> </w:t>
      </w:r>
      <w:r w:rsidR="00400470" w:rsidRPr="00720B9A">
        <w:rPr>
          <w:i/>
          <w:iCs/>
          <w:color w:val="000000"/>
          <w:sz w:val="22"/>
          <w:szCs w:val="22"/>
          <w:lang w:val="en-AU"/>
        </w:rPr>
        <w:t xml:space="preserve">1995 </w:t>
      </w:r>
      <w:r w:rsidR="00400470" w:rsidRPr="00720B9A">
        <w:rPr>
          <w:color w:val="000000"/>
          <w:sz w:val="22"/>
          <w:szCs w:val="22"/>
          <w:lang w:val="en-AU"/>
        </w:rPr>
        <w:t xml:space="preserve">(the Plan) provides that before the commencement of the season if AFMA has determined </w:t>
      </w:r>
      <w:proofErr w:type="spellStart"/>
      <w:r w:rsidR="00044DC2" w:rsidRPr="00720B9A">
        <w:rPr>
          <w:color w:val="000000"/>
          <w:sz w:val="22"/>
          <w:szCs w:val="22"/>
          <w:lang w:val="en-AU"/>
        </w:rPr>
        <w:t>AusCatch</w:t>
      </w:r>
      <w:proofErr w:type="spellEnd"/>
      <w:r w:rsidR="00044DC2" w:rsidRPr="00720B9A">
        <w:rPr>
          <w:color w:val="000000"/>
          <w:sz w:val="22"/>
          <w:szCs w:val="22"/>
          <w:lang w:val="en-AU"/>
        </w:rPr>
        <w:t xml:space="preserve"> (Australia’s national catch allocation)</w:t>
      </w:r>
      <w:r w:rsidR="00400470" w:rsidRPr="00720B9A">
        <w:rPr>
          <w:color w:val="000000"/>
          <w:sz w:val="22"/>
          <w:szCs w:val="22"/>
          <w:lang w:val="en-AU"/>
        </w:rPr>
        <w:t xml:space="preserve"> for the season AFMA must determine the actual live weight value of a </w:t>
      </w:r>
      <w:r w:rsidR="004F3DBB">
        <w:rPr>
          <w:color w:val="000000"/>
          <w:sz w:val="22"/>
          <w:szCs w:val="22"/>
          <w:lang w:val="en-AU"/>
        </w:rPr>
        <w:t>SFR</w:t>
      </w:r>
      <w:r w:rsidR="00400470" w:rsidRPr="00720B9A">
        <w:rPr>
          <w:color w:val="000000"/>
          <w:sz w:val="22"/>
          <w:szCs w:val="22"/>
          <w:lang w:val="en-AU"/>
        </w:rPr>
        <w:t xml:space="preserve"> for the season.  </w:t>
      </w:r>
    </w:p>
    <w:p w14:paraId="6D7F0230" w14:textId="3DD564D8" w:rsidR="00400470" w:rsidRPr="00720B9A" w:rsidRDefault="00400470" w:rsidP="00D34398">
      <w:pPr>
        <w:pStyle w:val="AFMANormal"/>
        <w:spacing w:before="0" w:after="240" w:line="276" w:lineRule="auto"/>
        <w:jc w:val="left"/>
        <w:rPr>
          <w:sz w:val="22"/>
          <w:szCs w:val="22"/>
        </w:rPr>
      </w:pPr>
      <w:r w:rsidRPr="00720B9A">
        <w:rPr>
          <w:sz w:val="22"/>
          <w:szCs w:val="22"/>
        </w:rPr>
        <w:t xml:space="preserve">The </w:t>
      </w:r>
      <w:r w:rsidR="001F26AE" w:rsidRPr="001F26AE">
        <w:rPr>
          <w:i/>
          <w:sz w:val="22"/>
          <w:szCs w:val="22"/>
        </w:rPr>
        <w:t>Fisheries Management (Southern Bluefin Tuna Fishery Actual Live Weight Value of a Statutory Fishing Right) Determination 2023</w:t>
      </w:r>
      <w:r w:rsidRPr="00720B9A">
        <w:rPr>
          <w:sz w:val="22"/>
          <w:szCs w:val="22"/>
        </w:rPr>
        <w:t xml:space="preserve"> (the Determination) is a legislative instrument for the purposes of the </w:t>
      </w:r>
      <w:r w:rsidRPr="00720B9A">
        <w:rPr>
          <w:i/>
          <w:sz w:val="22"/>
          <w:szCs w:val="22"/>
        </w:rPr>
        <w:t>Legislati</w:t>
      </w:r>
      <w:r w:rsidR="00EF1D1E" w:rsidRPr="00720B9A">
        <w:rPr>
          <w:i/>
          <w:sz w:val="22"/>
          <w:szCs w:val="22"/>
        </w:rPr>
        <w:t>on</w:t>
      </w:r>
      <w:r w:rsidRPr="00720B9A">
        <w:rPr>
          <w:i/>
          <w:sz w:val="22"/>
          <w:szCs w:val="22"/>
        </w:rPr>
        <w:t xml:space="preserve"> Act 2003</w:t>
      </w:r>
      <w:r w:rsidRPr="00720B9A">
        <w:rPr>
          <w:sz w:val="22"/>
          <w:szCs w:val="22"/>
        </w:rPr>
        <w:t>.</w:t>
      </w:r>
    </w:p>
    <w:p w14:paraId="3C83CC65" w14:textId="2D92AF0C" w:rsidR="00400470" w:rsidRPr="00720B9A" w:rsidRDefault="00400470" w:rsidP="00D34398">
      <w:pPr>
        <w:autoSpaceDE w:val="0"/>
        <w:autoSpaceDN w:val="0"/>
        <w:adjustRightInd w:val="0"/>
        <w:spacing w:after="240" w:line="276" w:lineRule="auto"/>
        <w:rPr>
          <w:color w:val="000000"/>
          <w:sz w:val="22"/>
          <w:szCs w:val="22"/>
        </w:rPr>
      </w:pPr>
      <w:r w:rsidRPr="00720B9A">
        <w:rPr>
          <w:color w:val="000000"/>
          <w:sz w:val="22"/>
          <w:szCs w:val="22"/>
        </w:rPr>
        <w:t xml:space="preserve">The Determination determines the actual live weight value of a </w:t>
      </w:r>
      <w:r w:rsidR="00611DC4" w:rsidRPr="00720B9A">
        <w:rPr>
          <w:sz w:val="22"/>
          <w:szCs w:val="22"/>
        </w:rPr>
        <w:t>SFR</w:t>
      </w:r>
      <w:r w:rsidR="00611DC4">
        <w:rPr>
          <w:sz w:val="22"/>
          <w:szCs w:val="22"/>
        </w:rPr>
        <w:t xml:space="preserve"> </w:t>
      </w:r>
      <w:r w:rsidR="00BB6C9A" w:rsidRPr="00720B9A">
        <w:rPr>
          <w:color w:val="000000"/>
          <w:sz w:val="22"/>
          <w:szCs w:val="22"/>
        </w:rPr>
        <w:t xml:space="preserve">for the </w:t>
      </w:r>
      <w:r w:rsidR="00E6287B" w:rsidRPr="00720B9A">
        <w:rPr>
          <w:sz w:val="22"/>
          <w:szCs w:val="22"/>
        </w:rPr>
        <w:t>Southern Bluefin Tuna (SBT)</w:t>
      </w:r>
      <w:r w:rsidR="00E6287B">
        <w:rPr>
          <w:sz w:val="22"/>
          <w:szCs w:val="22"/>
        </w:rPr>
        <w:t xml:space="preserve"> </w:t>
      </w:r>
      <w:r w:rsidR="002D3969" w:rsidRPr="00720B9A">
        <w:rPr>
          <w:color w:val="000000"/>
          <w:sz w:val="22"/>
          <w:szCs w:val="22"/>
        </w:rPr>
        <w:t>Fishery fishing season</w:t>
      </w:r>
      <w:r w:rsidR="00720B9A" w:rsidRPr="00720B9A">
        <w:rPr>
          <w:color w:val="000000"/>
          <w:sz w:val="22"/>
          <w:szCs w:val="22"/>
        </w:rPr>
        <w:t xml:space="preserve"> starting on 1 December 202</w:t>
      </w:r>
      <w:r w:rsidR="00DF38C3">
        <w:rPr>
          <w:color w:val="000000"/>
          <w:sz w:val="22"/>
          <w:szCs w:val="22"/>
        </w:rPr>
        <w:t>3</w:t>
      </w:r>
      <w:r w:rsidR="001A7593" w:rsidRPr="00720B9A">
        <w:rPr>
          <w:color w:val="000000"/>
          <w:sz w:val="22"/>
          <w:szCs w:val="22"/>
        </w:rPr>
        <w:t xml:space="preserve"> a</w:t>
      </w:r>
      <w:r w:rsidR="00263D70" w:rsidRPr="00720B9A">
        <w:rPr>
          <w:color w:val="000000"/>
          <w:sz w:val="22"/>
          <w:szCs w:val="22"/>
        </w:rPr>
        <w:t>nd finishing on</w:t>
      </w:r>
      <w:r w:rsidR="00720B9A" w:rsidRPr="00720B9A">
        <w:rPr>
          <w:color w:val="000000"/>
          <w:sz w:val="22"/>
          <w:szCs w:val="22"/>
        </w:rPr>
        <w:t xml:space="preserve"> 30 November 202</w:t>
      </w:r>
      <w:r w:rsidR="00DF38C3">
        <w:rPr>
          <w:color w:val="000000"/>
          <w:sz w:val="22"/>
          <w:szCs w:val="22"/>
        </w:rPr>
        <w:t>4</w:t>
      </w:r>
      <w:r w:rsidR="00263D70" w:rsidRPr="00720B9A">
        <w:rPr>
          <w:color w:val="000000"/>
          <w:sz w:val="22"/>
          <w:szCs w:val="22"/>
        </w:rPr>
        <w:t xml:space="preserve">. </w:t>
      </w:r>
      <w:r w:rsidRPr="00720B9A">
        <w:rPr>
          <w:color w:val="000000"/>
          <w:sz w:val="22"/>
          <w:szCs w:val="22"/>
        </w:rPr>
        <w:t xml:space="preserve">The values have been determined in accordance with the formulas for calculation provided in </w:t>
      </w:r>
      <w:r w:rsidR="00614458" w:rsidRPr="00720B9A">
        <w:rPr>
          <w:color w:val="000000"/>
          <w:sz w:val="22"/>
          <w:szCs w:val="22"/>
        </w:rPr>
        <w:t>subsection</w:t>
      </w:r>
      <w:r w:rsidRPr="00720B9A">
        <w:rPr>
          <w:color w:val="000000"/>
          <w:sz w:val="22"/>
          <w:szCs w:val="22"/>
        </w:rPr>
        <w:t xml:space="preserve"> 18.2 of the Plan.  </w:t>
      </w:r>
    </w:p>
    <w:p w14:paraId="27451A55" w14:textId="77777777" w:rsidR="00614458" w:rsidRPr="00720B9A" w:rsidRDefault="00614458" w:rsidP="00D34398">
      <w:pPr>
        <w:autoSpaceDE w:val="0"/>
        <w:autoSpaceDN w:val="0"/>
        <w:adjustRightInd w:val="0"/>
        <w:spacing w:after="240" w:line="276" w:lineRule="auto"/>
        <w:rPr>
          <w:b/>
          <w:bCs/>
          <w:sz w:val="22"/>
          <w:szCs w:val="22"/>
        </w:rPr>
      </w:pPr>
      <w:r w:rsidRPr="00720B9A">
        <w:rPr>
          <w:b/>
          <w:bCs/>
          <w:sz w:val="22"/>
          <w:szCs w:val="22"/>
        </w:rPr>
        <w:t>The Fishery</w:t>
      </w:r>
    </w:p>
    <w:p w14:paraId="210FE7FA" w14:textId="33A0D352" w:rsidR="00E90BF9" w:rsidRPr="00720B9A" w:rsidRDefault="00400470" w:rsidP="00D34398">
      <w:pPr>
        <w:autoSpaceDE w:val="0"/>
        <w:autoSpaceDN w:val="0"/>
        <w:adjustRightInd w:val="0"/>
        <w:spacing w:after="240" w:line="276" w:lineRule="auto"/>
        <w:rPr>
          <w:sz w:val="22"/>
          <w:szCs w:val="22"/>
        </w:rPr>
      </w:pPr>
      <w:r w:rsidRPr="00720B9A">
        <w:rPr>
          <w:sz w:val="22"/>
          <w:szCs w:val="22"/>
        </w:rPr>
        <w:t>SBT</w:t>
      </w:r>
      <w:r w:rsidR="00E6287B">
        <w:rPr>
          <w:sz w:val="22"/>
          <w:szCs w:val="22"/>
        </w:rPr>
        <w:t xml:space="preserve"> </w:t>
      </w:r>
      <w:r w:rsidRPr="00720B9A">
        <w:rPr>
          <w:sz w:val="22"/>
          <w:szCs w:val="22"/>
        </w:rPr>
        <w:t>is a highly migratory species and is widely distributed throughout waters of the southern oceans, including the Australian Fishing Zone (AFZ).</w:t>
      </w:r>
      <w:r w:rsidR="00904C4C" w:rsidRPr="00720B9A">
        <w:rPr>
          <w:sz w:val="22"/>
          <w:szCs w:val="22"/>
        </w:rPr>
        <w:t xml:space="preserve"> Internationally the fishery is managed by the Commission for the Conservation of Southern Bluefin Tuna (CCSBT) of which Australia is a member. </w:t>
      </w:r>
      <w:r w:rsidRPr="00720B9A">
        <w:rPr>
          <w:sz w:val="22"/>
          <w:szCs w:val="22"/>
        </w:rPr>
        <w:t xml:space="preserve"> The Australian </w:t>
      </w:r>
      <w:r w:rsidR="007C1A94">
        <w:rPr>
          <w:sz w:val="22"/>
          <w:szCs w:val="22"/>
        </w:rPr>
        <w:t xml:space="preserve">SBT </w:t>
      </w:r>
      <w:r w:rsidRPr="00720B9A">
        <w:rPr>
          <w:sz w:val="22"/>
          <w:szCs w:val="22"/>
        </w:rPr>
        <w:t>Fishery encompasses SBT fishing operations inside the AFZ (i.e.</w:t>
      </w:r>
      <w:r w:rsidR="004B7E30">
        <w:rPr>
          <w:sz w:val="22"/>
          <w:szCs w:val="22"/>
        </w:rPr>
        <w:t>,</w:t>
      </w:r>
      <w:r w:rsidRPr="00720B9A">
        <w:rPr>
          <w:sz w:val="22"/>
          <w:szCs w:val="22"/>
        </w:rPr>
        <w:t xml:space="preserve"> adjacent from 3 to 200 nautical miles around Australia) and on the high seas. Aside from New South Wales, under an Offshore Constitutional Settlement agreement between the Commonwealth and the States/Territories, management of the SBT Fishery to the area of low water mark is the responsibility of the Commonwealth through AFMA.</w:t>
      </w:r>
      <w:r w:rsidR="00DE393A" w:rsidRPr="00720B9A">
        <w:t xml:space="preserve"> </w:t>
      </w:r>
      <w:r w:rsidR="00DE393A" w:rsidRPr="00720B9A">
        <w:rPr>
          <w:sz w:val="22"/>
          <w:szCs w:val="22"/>
        </w:rPr>
        <w:t>The</w:t>
      </w:r>
      <w:r w:rsidR="00DE393A" w:rsidRPr="00720B9A">
        <w:rPr>
          <w:i/>
          <w:sz w:val="22"/>
          <w:szCs w:val="22"/>
        </w:rPr>
        <w:t xml:space="preserve"> </w:t>
      </w:r>
      <w:r w:rsidR="00A11F6A" w:rsidRPr="00720B9A">
        <w:rPr>
          <w:sz w:val="22"/>
          <w:szCs w:val="22"/>
        </w:rPr>
        <w:t>Plan</w:t>
      </w:r>
      <w:r w:rsidR="00A11F6A" w:rsidRPr="00720B9A">
        <w:rPr>
          <w:i/>
          <w:sz w:val="22"/>
          <w:szCs w:val="22"/>
        </w:rPr>
        <w:t xml:space="preserve"> </w:t>
      </w:r>
      <w:r w:rsidR="00DE393A" w:rsidRPr="00720B9A">
        <w:rPr>
          <w:sz w:val="22"/>
          <w:szCs w:val="22"/>
        </w:rPr>
        <w:t xml:space="preserve">was amended in 2020 to implement the </w:t>
      </w:r>
      <w:r w:rsidR="004B7E30">
        <w:rPr>
          <w:sz w:val="22"/>
          <w:szCs w:val="22"/>
        </w:rPr>
        <w:t>g</w:t>
      </w:r>
      <w:r w:rsidR="00DE393A" w:rsidRPr="00720B9A">
        <w:rPr>
          <w:sz w:val="22"/>
          <w:szCs w:val="22"/>
        </w:rPr>
        <w:t>overnment’s commitment to set aside five per cent of Australia’s CCSBT allocation for recreational fishing mortality. The set aside means that up to 95</w:t>
      </w:r>
      <w:r w:rsidR="00B95314">
        <w:rPr>
          <w:sz w:val="22"/>
          <w:szCs w:val="22"/>
        </w:rPr>
        <w:t xml:space="preserve"> per cent</w:t>
      </w:r>
      <w:r w:rsidR="00DE393A" w:rsidRPr="00720B9A">
        <w:rPr>
          <w:sz w:val="22"/>
          <w:szCs w:val="22"/>
        </w:rPr>
        <w:t xml:space="preserve"> of Australia’s</w:t>
      </w:r>
      <w:r w:rsidR="00D56C97" w:rsidRPr="00720B9A">
        <w:rPr>
          <w:sz w:val="22"/>
          <w:szCs w:val="22"/>
        </w:rPr>
        <w:t xml:space="preserve"> annual</w:t>
      </w:r>
      <w:r w:rsidR="00DE393A" w:rsidRPr="00720B9A">
        <w:rPr>
          <w:sz w:val="22"/>
          <w:szCs w:val="22"/>
        </w:rPr>
        <w:t xml:space="preserve"> CCSBT allocation will be available to the commercial sector.</w:t>
      </w:r>
    </w:p>
    <w:p w14:paraId="7A432507" w14:textId="3253B6CC" w:rsidR="00BB6C9A" w:rsidRPr="00720B9A" w:rsidRDefault="00BB6C9A" w:rsidP="00D34398">
      <w:pPr>
        <w:autoSpaceDE w:val="0"/>
        <w:autoSpaceDN w:val="0"/>
        <w:adjustRightInd w:val="0"/>
        <w:spacing w:after="240" w:line="276" w:lineRule="auto"/>
        <w:rPr>
          <w:sz w:val="22"/>
          <w:szCs w:val="22"/>
        </w:rPr>
      </w:pPr>
      <w:r w:rsidRPr="00720B9A">
        <w:rPr>
          <w:sz w:val="22"/>
          <w:szCs w:val="22"/>
        </w:rPr>
        <w:t xml:space="preserve">The </w:t>
      </w:r>
      <w:r w:rsidR="00DE393A" w:rsidRPr="00720B9A">
        <w:rPr>
          <w:sz w:val="22"/>
          <w:szCs w:val="22"/>
        </w:rPr>
        <w:t xml:space="preserve">commercial </w:t>
      </w:r>
      <w:r w:rsidRPr="00720B9A">
        <w:rPr>
          <w:sz w:val="22"/>
          <w:szCs w:val="22"/>
        </w:rPr>
        <w:t xml:space="preserve">SBT Fishery is </w:t>
      </w:r>
      <w:r w:rsidR="00400470" w:rsidRPr="00720B9A">
        <w:rPr>
          <w:sz w:val="22"/>
          <w:szCs w:val="22"/>
        </w:rPr>
        <w:t xml:space="preserve">managed using SFRs </w:t>
      </w:r>
      <w:r w:rsidR="00B95314">
        <w:rPr>
          <w:sz w:val="22"/>
          <w:szCs w:val="22"/>
        </w:rPr>
        <w:t>that</w:t>
      </w:r>
      <w:r w:rsidR="00400470" w:rsidRPr="00720B9A">
        <w:rPr>
          <w:sz w:val="22"/>
          <w:szCs w:val="22"/>
        </w:rPr>
        <w:t xml:space="preserve"> allow holders to fish for SBT within the AFZ and the high seas. </w:t>
      </w:r>
      <w:r w:rsidRPr="00720B9A">
        <w:rPr>
          <w:sz w:val="22"/>
          <w:szCs w:val="22"/>
        </w:rPr>
        <w:t xml:space="preserve">The majority of </w:t>
      </w:r>
      <w:r w:rsidR="00400470" w:rsidRPr="00720B9A">
        <w:rPr>
          <w:sz w:val="22"/>
          <w:szCs w:val="22"/>
        </w:rPr>
        <w:t xml:space="preserve">SBT are caught live and transferred from a tow cage into a farm where </w:t>
      </w:r>
      <w:r w:rsidR="00400470" w:rsidRPr="00720B9A">
        <w:rPr>
          <w:sz w:val="22"/>
          <w:szCs w:val="22"/>
        </w:rPr>
        <w:lastRenderedPageBreak/>
        <w:t xml:space="preserve">the fish are kept for an approximate </w:t>
      </w:r>
      <w:r w:rsidR="00B95314">
        <w:rPr>
          <w:sz w:val="22"/>
          <w:szCs w:val="22"/>
        </w:rPr>
        <w:t>six</w:t>
      </w:r>
      <w:r w:rsidR="00400470" w:rsidRPr="00720B9A">
        <w:rPr>
          <w:sz w:val="22"/>
          <w:szCs w:val="22"/>
        </w:rPr>
        <w:t xml:space="preserve"> months grow</w:t>
      </w:r>
      <w:r w:rsidR="00B95314">
        <w:rPr>
          <w:sz w:val="22"/>
          <w:szCs w:val="22"/>
        </w:rPr>
        <w:t>-</w:t>
      </w:r>
      <w:r w:rsidR="00400470" w:rsidRPr="00720B9A">
        <w:rPr>
          <w:sz w:val="22"/>
          <w:szCs w:val="22"/>
        </w:rPr>
        <w:t xml:space="preserve">out period. </w:t>
      </w:r>
      <w:r w:rsidRPr="00720B9A">
        <w:rPr>
          <w:sz w:val="22"/>
          <w:szCs w:val="22"/>
        </w:rPr>
        <w:t xml:space="preserve">Fishing occurs in </w:t>
      </w:r>
      <w:r w:rsidR="00904C4C" w:rsidRPr="00720B9A">
        <w:rPr>
          <w:sz w:val="22"/>
          <w:szCs w:val="22"/>
        </w:rPr>
        <w:t xml:space="preserve">offshore </w:t>
      </w:r>
      <w:r w:rsidRPr="00720B9A">
        <w:rPr>
          <w:sz w:val="22"/>
          <w:szCs w:val="22"/>
        </w:rPr>
        <w:t>waters adjacent to Kangaroo Island, South Australia</w:t>
      </w:r>
      <w:r w:rsidR="00904C4C" w:rsidRPr="00720B9A">
        <w:rPr>
          <w:sz w:val="22"/>
          <w:szCs w:val="22"/>
        </w:rPr>
        <w:t xml:space="preserve">. </w:t>
      </w:r>
      <w:r w:rsidRPr="00720B9A">
        <w:rPr>
          <w:sz w:val="22"/>
          <w:szCs w:val="22"/>
        </w:rPr>
        <w:t xml:space="preserve">The remainder are caught using longline </w:t>
      </w:r>
      <w:r w:rsidR="00904C4C" w:rsidRPr="00720B9A">
        <w:rPr>
          <w:sz w:val="22"/>
          <w:szCs w:val="22"/>
        </w:rPr>
        <w:t>methods, predominantly off south eastern Austr</w:t>
      </w:r>
      <w:r w:rsidR="0002051F">
        <w:rPr>
          <w:sz w:val="22"/>
          <w:szCs w:val="22"/>
        </w:rPr>
        <w:t xml:space="preserve">alia during the winter months. </w:t>
      </w:r>
      <w:r w:rsidR="00DE393A" w:rsidRPr="00720B9A">
        <w:rPr>
          <w:sz w:val="22"/>
          <w:szCs w:val="22"/>
        </w:rPr>
        <w:t xml:space="preserve">The recreational sector continues to be managed by the relevant states using bag and size limits. </w:t>
      </w:r>
    </w:p>
    <w:p w14:paraId="7CF07B1F" w14:textId="77777777" w:rsidR="00400470" w:rsidRPr="00720B9A" w:rsidRDefault="00400470" w:rsidP="00D34398">
      <w:pPr>
        <w:autoSpaceDE w:val="0"/>
        <w:autoSpaceDN w:val="0"/>
        <w:adjustRightInd w:val="0"/>
        <w:spacing w:after="240" w:line="276" w:lineRule="auto"/>
        <w:rPr>
          <w:b/>
          <w:bCs/>
          <w:sz w:val="22"/>
          <w:szCs w:val="22"/>
        </w:rPr>
      </w:pPr>
      <w:r w:rsidRPr="7284FB15">
        <w:rPr>
          <w:b/>
          <w:bCs/>
          <w:sz w:val="22"/>
          <w:szCs w:val="22"/>
        </w:rPr>
        <w:t>Consultation</w:t>
      </w:r>
    </w:p>
    <w:p w14:paraId="745DD0BD" w14:textId="4614FAEF" w:rsidR="00400470" w:rsidRPr="00AA3F5B" w:rsidRDefault="30127554" w:rsidP="00D34398">
      <w:pPr>
        <w:autoSpaceDE w:val="0"/>
        <w:autoSpaceDN w:val="0"/>
        <w:adjustRightInd w:val="0"/>
        <w:spacing w:after="240" w:line="276" w:lineRule="auto"/>
        <w:rPr>
          <w:kern w:val="20"/>
          <w:sz w:val="22"/>
          <w:szCs w:val="22"/>
          <w:lang w:val="en-AU"/>
        </w:rPr>
      </w:pPr>
      <w:r w:rsidRPr="57FFC9BB">
        <w:rPr>
          <w:color w:val="000000" w:themeColor="text1"/>
          <w:sz w:val="22"/>
          <w:szCs w:val="22"/>
          <w:lang w:val="en-AU"/>
        </w:rPr>
        <w:t xml:space="preserve">Representatives of the Australian Southern Bluefin Tuna Industry Association, the Department of Agriculture, </w:t>
      </w:r>
      <w:r w:rsidR="00904B92">
        <w:rPr>
          <w:color w:val="000000" w:themeColor="text1"/>
          <w:sz w:val="22"/>
          <w:szCs w:val="22"/>
          <w:lang w:val="en-AU"/>
        </w:rPr>
        <w:t>Fisheries and Forestry</w:t>
      </w:r>
      <w:r w:rsidR="00192A34">
        <w:rPr>
          <w:color w:val="000000" w:themeColor="text1"/>
          <w:sz w:val="22"/>
          <w:szCs w:val="22"/>
          <w:lang w:val="en-AU"/>
        </w:rPr>
        <w:t xml:space="preserve"> and </w:t>
      </w:r>
      <w:r w:rsidRPr="57FFC9BB">
        <w:rPr>
          <w:color w:val="000000" w:themeColor="text1"/>
          <w:sz w:val="22"/>
          <w:szCs w:val="22"/>
          <w:lang w:val="en-AU"/>
        </w:rPr>
        <w:t xml:space="preserve">AFMA attended the </w:t>
      </w:r>
      <w:r w:rsidR="00192A34">
        <w:rPr>
          <w:color w:val="000000" w:themeColor="text1"/>
          <w:sz w:val="22"/>
          <w:szCs w:val="22"/>
          <w:lang w:val="en-AU"/>
        </w:rPr>
        <w:t>30</w:t>
      </w:r>
      <w:r w:rsidRPr="57FFC9BB">
        <w:rPr>
          <w:color w:val="000000" w:themeColor="text1"/>
          <w:sz w:val="22"/>
          <w:szCs w:val="22"/>
          <w:lang w:val="en-AU"/>
        </w:rPr>
        <w:t xml:space="preserve">th Annual </w:t>
      </w:r>
      <w:r w:rsidR="004F3992">
        <w:rPr>
          <w:color w:val="000000" w:themeColor="text1"/>
          <w:sz w:val="22"/>
          <w:szCs w:val="22"/>
          <w:lang w:val="en-AU"/>
        </w:rPr>
        <w:t xml:space="preserve">CCSBT </w:t>
      </w:r>
      <w:r w:rsidRPr="57FFC9BB">
        <w:rPr>
          <w:color w:val="000000" w:themeColor="text1"/>
          <w:sz w:val="22"/>
          <w:szCs w:val="22"/>
          <w:lang w:val="en-AU"/>
        </w:rPr>
        <w:t xml:space="preserve">meeting </w:t>
      </w:r>
      <w:r w:rsidR="0002051F">
        <w:rPr>
          <w:color w:val="000000" w:themeColor="text1"/>
          <w:sz w:val="22"/>
          <w:szCs w:val="22"/>
          <w:lang w:val="en-AU"/>
        </w:rPr>
        <w:t>(</w:t>
      </w:r>
      <w:r w:rsidR="00F84EEE">
        <w:rPr>
          <w:color w:val="000000" w:themeColor="text1"/>
          <w:sz w:val="22"/>
          <w:szCs w:val="22"/>
          <w:lang w:val="en-AU"/>
        </w:rPr>
        <w:t xml:space="preserve">9-12 </w:t>
      </w:r>
      <w:proofErr w:type="gramStart"/>
      <w:r w:rsidR="0002051F">
        <w:rPr>
          <w:color w:val="000000" w:themeColor="text1"/>
          <w:sz w:val="22"/>
          <w:szCs w:val="22"/>
          <w:lang w:val="en-AU"/>
        </w:rPr>
        <w:t>October,</w:t>
      </w:r>
      <w:proofErr w:type="gramEnd"/>
      <w:r w:rsidR="0002051F">
        <w:rPr>
          <w:color w:val="000000" w:themeColor="text1"/>
          <w:sz w:val="22"/>
          <w:szCs w:val="22"/>
          <w:lang w:val="en-AU"/>
        </w:rPr>
        <w:t xml:space="preserve"> 202</w:t>
      </w:r>
      <w:r w:rsidR="008B102E">
        <w:rPr>
          <w:color w:val="000000" w:themeColor="text1"/>
          <w:sz w:val="22"/>
          <w:szCs w:val="22"/>
          <w:lang w:val="en-AU"/>
        </w:rPr>
        <w:t>3</w:t>
      </w:r>
      <w:r w:rsidR="0002051F">
        <w:rPr>
          <w:color w:val="000000" w:themeColor="text1"/>
          <w:sz w:val="22"/>
          <w:szCs w:val="22"/>
          <w:lang w:val="en-AU"/>
        </w:rPr>
        <w:t xml:space="preserve">) </w:t>
      </w:r>
      <w:r w:rsidRPr="57FFC9BB">
        <w:rPr>
          <w:color w:val="000000" w:themeColor="text1"/>
          <w:sz w:val="22"/>
          <w:szCs w:val="22"/>
          <w:lang w:val="en-AU"/>
        </w:rPr>
        <w:t xml:space="preserve">as part of the Australian delegation. The meeting discussed and agreed national catch allocations for Australia and other member countries. </w:t>
      </w:r>
      <w:r w:rsidR="00382778">
        <w:rPr>
          <w:color w:val="000000" w:themeColor="text1"/>
          <w:sz w:val="22"/>
          <w:szCs w:val="22"/>
          <w:lang w:val="en-AU"/>
        </w:rPr>
        <w:t xml:space="preserve">The </w:t>
      </w:r>
      <w:r w:rsidRPr="57FFC9BB">
        <w:rPr>
          <w:color w:val="000000" w:themeColor="text1"/>
          <w:sz w:val="22"/>
          <w:szCs w:val="22"/>
          <w:lang w:val="en-AU"/>
        </w:rPr>
        <w:t xml:space="preserve">Southern Bluefin Tuna Management Advisory Committee </w:t>
      </w:r>
      <w:r w:rsidR="00A45D56">
        <w:rPr>
          <w:color w:val="000000" w:themeColor="text1"/>
          <w:sz w:val="22"/>
          <w:szCs w:val="22"/>
          <w:lang w:val="en-AU"/>
        </w:rPr>
        <w:t xml:space="preserve">noted potential CCSBT outcomes </w:t>
      </w:r>
      <w:r w:rsidR="00382778">
        <w:rPr>
          <w:color w:val="000000" w:themeColor="text1"/>
          <w:sz w:val="22"/>
          <w:szCs w:val="22"/>
          <w:lang w:val="en-AU"/>
        </w:rPr>
        <w:t xml:space="preserve">relating </w:t>
      </w:r>
      <w:r w:rsidR="00CD28E2">
        <w:rPr>
          <w:color w:val="000000" w:themeColor="text1"/>
          <w:sz w:val="22"/>
          <w:szCs w:val="22"/>
          <w:lang w:val="en-AU"/>
        </w:rPr>
        <w:t xml:space="preserve">to Australia’s national catch allocation </w:t>
      </w:r>
      <w:r w:rsidR="00A45D56">
        <w:rPr>
          <w:color w:val="000000" w:themeColor="text1"/>
          <w:sz w:val="22"/>
          <w:szCs w:val="22"/>
          <w:lang w:val="en-AU"/>
        </w:rPr>
        <w:t xml:space="preserve">at </w:t>
      </w:r>
      <w:r w:rsidR="00FD5C1E">
        <w:rPr>
          <w:color w:val="000000" w:themeColor="text1"/>
          <w:sz w:val="22"/>
          <w:szCs w:val="22"/>
          <w:lang w:val="en-AU"/>
        </w:rPr>
        <w:t>its annual meeting in September 202</w:t>
      </w:r>
      <w:r w:rsidR="00DF38C3">
        <w:rPr>
          <w:color w:val="000000" w:themeColor="text1"/>
          <w:sz w:val="22"/>
          <w:szCs w:val="22"/>
          <w:lang w:val="en-AU"/>
        </w:rPr>
        <w:t>3</w:t>
      </w:r>
      <w:r w:rsidR="00FD5C1E">
        <w:rPr>
          <w:color w:val="000000" w:themeColor="text1"/>
          <w:sz w:val="22"/>
          <w:szCs w:val="22"/>
          <w:lang w:val="en-AU"/>
        </w:rPr>
        <w:t xml:space="preserve">. </w:t>
      </w:r>
      <w:r w:rsidR="58598D64" w:rsidRPr="57FFC9BB">
        <w:rPr>
          <w:color w:val="000000" w:themeColor="text1"/>
          <w:sz w:val="22"/>
          <w:szCs w:val="22"/>
          <w:lang w:val="en-AU"/>
        </w:rPr>
        <w:t xml:space="preserve"> </w:t>
      </w:r>
    </w:p>
    <w:p w14:paraId="4E1DD11B" w14:textId="77777777" w:rsidR="00400470" w:rsidRPr="00720B9A" w:rsidRDefault="00400470" w:rsidP="00D34398">
      <w:pPr>
        <w:spacing w:after="240" w:line="276" w:lineRule="auto"/>
        <w:rPr>
          <w:b/>
          <w:sz w:val="22"/>
          <w:szCs w:val="22"/>
          <w:lang w:val="en-AU"/>
        </w:rPr>
      </w:pPr>
      <w:r w:rsidRPr="00720B9A">
        <w:rPr>
          <w:b/>
          <w:sz w:val="22"/>
          <w:szCs w:val="22"/>
          <w:lang w:val="en-AU"/>
        </w:rPr>
        <w:t>The Commission’s Decision</w:t>
      </w:r>
    </w:p>
    <w:p w14:paraId="68EBC8C1" w14:textId="2FBD2EE4" w:rsidR="00400470" w:rsidRPr="00720B9A" w:rsidRDefault="00400470" w:rsidP="00D34398">
      <w:pPr>
        <w:autoSpaceDE w:val="0"/>
        <w:autoSpaceDN w:val="0"/>
        <w:adjustRightInd w:val="0"/>
        <w:spacing w:after="240" w:line="276" w:lineRule="auto"/>
        <w:rPr>
          <w:sz w:val="22"/>
          <w:szCs w:val="22"/>
          <w:lang w:val="en-AU"/>
        </w:rPr>
      </w:pPr>
      <w:r w:rsidRPr="57FFC9BB">
        <w:rPr>
          <w:color w:val="000000" w:themeColor="text1"/>
          <w:sz w:val="22"/>
          <w:szCs w:val="22"/>
          <w:lang w:val="en-AU"/>
        </w:rPr>
        <w:t>The AFMA Commission determined the actual live weight of a stat</w:t>
      </w:r>
      <w:r w:rsidR="00792501" w:rsidRPr="57FFC9BB">
        <w:rPr>
          <w:color w:val="000000" w:themeColor="text1"/>
          <w:sz w:val="22"/>
          <w:szCs w:val="22"/>
          <w:lang w:val="en-AU"/>
        </w:rPr>
        <w:t xml:space="preserve">utory fishing right for the </w:t>
      </w:r>
      <w:r w:rsidR="007F733A" w:rsidRPr="57FFC9BB">
        <w:rPr>
          <w:color w:val="000000" w:themeColor="text1"/>
          <w:sz w:val="22"/>
          <w:szCs w:val="22"/>
          <w:lang w:val="en-AU"/>
        </w:rPr>
        <w:t>s</w:t>
      </w:r>
      <w:r w:rsidR="00720B9A" w:rsidRPr="57FFC9BB">
        <w:rPr>
          <w:color w:val="000000" w:themeColor="text1"/>
          <w:sz w:val="22"/>
          <w:szCs w:val="22"/>
          <w:lang w:val="en-AU"/>
        </w:rPr>
        <w:t>eason commencing 1 December 202</w:t>
      </w:r>
      <w:r w:rsidR="00283974">
        <w:rPr>
          <w:color w:val="000000" w:themeColor="text1"/>
          <w:sz w:val="22"/>
          <w:szCs w:val="22"/>
          <w:lang w:val="en-AU"/>
        </w:rPr>
        <w:t>3</w:t>
      </w:r>
      <w:r w:rsidR="007F733A" w:rsidRPr="57FFC9BB">
        <w:rPr>
          <w:color w:val="000000" w:themeColor="text1"/>
          <w:sz w:val="22"/>
          <w:szCs w:val="22"/>
          <w:lang w:val="en-AU"/>
        </w:rPr>
        <w:t xml:space="preserve"> </w:t>
      </w:r>
      <w:r w:rsidR="00A231A1" w:rsidRPr="57FFC9BB">
        <w:rPr>
          <w:color w:val="000000" w:themeColor="text1"/>
          <w:sz w:val="22"/>
          <w:szCs w:val="22"/>
          <w:lang w:val="en-AU"/>
        </w:rPr>
        <w:t xml:space="preserve">at its meeting </w:t>
      </w:r>
      <w:r w:rsidR="6216423B" w:rsidRPr="57FFC9BB">
        <w:rPr>
          <w:color w:val="000000" w:themeColor="text1"/>
          <w:sz w:val="22"/>
          <w:szCs w:val="22"/>
          <w:lang w:val="en-AU"/>
        </w:rPr>
        <w:t xml:space="preserve">of </w:t>
      </w:r>
      <w:r w:rsidR="00283974">
        <w:rPr>
          <w:color w:val="000000" w:themeColor="text1"/>
          <w:sz w:val="22"/>
          <w:szCs w:val="22"/>
          <w:lang w:val="en-AU"/>
        </w:rPr>
        <w:t>8-9</w:t>
      </w:r>
      <w:r w:rsidR="00A231A1" w:rsidRPr="57FFC9BB">
        <w:rPr>
          <w:color w:val="000000" w:themeColor="text1"/>
          <w:sz w:val="22"/>
          <w:szCs w:val="22"/>
          <w:lang w:val="en-AU"/>
        </w:rPr>
        <w:t xml:space="preserve"> November </w:t>
      </w:r>
      <w:r w:rsidR="00720B9A" w:rsidRPr="57FFC9BB">
        <w:rPr>
          <w:color w:val="000000" w:themeColor="text1"/>
          <w:sz w:val="22"/>
          <w:szCs w:val="22"/>
          <w:lang w:val="en-AU"/>
        </w:rPr>
        <w:t>202</w:t>
      </w:r>
      <w:r w:rsidR="00283974">
        <w:rPr>
          <w:color w:val="000000" w:themeColor="text1"/>
          <w:sz w:val="22"/>
          <w:szCs w:val="22"/>
          <w:lang w:val="en-AU"/>
        </w:rPr>
        <w:t>3</w:t>
      </w:r>
      <w:r w:rsidRPr="57FFC9BB">
        <w:rPr>
          <w:sz w:val="22"/>
          <w:szCs w:val="22"/>
          <w:lang w:val="en-AU"/>
        </w:rPr>
        <w:t>.</w:t>
      </w:r>
      <w:r w:rsidR="006F0E5A" w:rsidRPr="57FFC9BB">
        <w:rPr>
          <w:sz w:val="22"/>
          <w:szCs w:val="22"/>
          <w:lang w:val="en-AU"/>
        </w:rPr>
        <w:t xml:space="preserve"> </w:t>
      </w:r>
      <w:r w:rsidRPr="57FFC9BB">
        <w:rPr>
          <w:sz w:val="22"/>
          <w:szCs w:val="22"/>
          <w:lang w:val="en-AU"/>
        </w:rPr>
        <w:t xml:space="preserve">The Commission was satisfied that the Determination is consistent with AFMA’s obligation to pursue its statutory objectives, specified in section 3 of the Act and section 6 of the </w:t>
      </w:r>
      <w:r w:rsidRPr="57FFC9BB">
        <w:rPr>
          <w:i/>
          <w:iCs/>
          <w:sz w:val="22"/>
          <w:szCs w:val="22"/>
          <w:lang w:val="en-AU"/>
        </w:rPr>
        <w:t>Fisheries Administration Act 1991</w:t>
      </w:r>
      <w:r w:rsidRPr="57FFC9BB">
        <w:rPr>
          <w:sz w:val="22"/>
          <w:szCs w:val="22"/>
          <w:lang w:val="en-AU"/>
        </w:rPr>
        <w:t xml:space="preserve">.  </w:t>
      </w:r>
    </w:p>
    <w:p w14:paraId="38818D0C" w14:textId="77777777" w:rsidR="00400470" w:rsidRPr="00720B9A" w:rsidRDefault="00400470" w:rsidP="00D34398">
      <w:pPr>
        <w:autoSpaceDE w:val="0"/>
        <w:autoSpaceDN w:val="0"/>
        <w:adjustRightInd w:val="0"/>
        <w:spacing w:after="240" w:line="276" w:lineRule="auto"/>
        <w:rPr>
          <w:b/>
          <w:bCs/>
          <w:sz w:val="22"/>
          <w:szCs w:val="22"/>
        </w:rPr>
      </w:pPr>
      <w:r w:rsidRPr="00720B9A">
        <w:rPr>
          <w:b/>
          <w:bCs/>
          <w:sz w:val="22"/>
          <w:szCs w:val="22"/>
        </w:rPr>
        <w:t>Regulation Impact Statement</w:t>
      </w:r>
    </w:p>
    <w:p w14:paraId="5D0CE5A4" w14:textId="5BD771F8" w:rsidR="005851C2" w:rsidRPr="00720B9A" w:rsidRDefault="005851C2" w:rsidP="00D34398">
      <w:pPr>
        <w:pStyle w:val="Default"/>
        <w:spacing w:after="240" w:line="276" w:lineRule="auto"/>
        <w:rPr>
          <w:rFonts w:ascii="Times New Roman" w:hAnsi="Times New Roman" w:cs="Times New Roman"/>
          <w:sz w:val="22"/>
          <w:szCs w:val="22"/>
        </w:rPr>
      </w:pPr>
      <w:r w:rsidRPr="00720B9A">
        <w:rPr>
          <w:rFonts w:ascii="Times New Roman" w:hAnsi="Times New Roman" w:cs="Times New Roman"/>
          <w:sz w:val="22"/>
          <w:szCs w:val="22"/>
        </w:rPr>
        <w:t xml:space="preserve">The Office of </w:t>
      </w:r>
      <w:r w:rsidR="004332E2">
        <w:rPr>
          <w:rFonts w:ascii="Times New Roman" w:hAnsi="Times New Roman" w:cs="Times New Roman"/>
          <w:sz w:val="22"/>
          <w:szCs w:val="22"/>
        </w:rPr>
        <w:t xml:space="preserve">Impact Analysis </w:t>
      </w:r>
      <w:r w:rsidR="00971090">
        <w:rPr>
          <w:rFonts w:ascii="Times New Roman" w:hAnsi="Times New Roman" w:cs="Times New Roman"/>
          <w:sz w:val="22"/>
          <w:szCs w:val="22"/>
        </w:rPr>
        <w:t xml:space="preserve">(formerly the Office of </w:t>
      </w:r>
      <w:r w:rsidRPr="00720B9A">
        <w:rPr>
          <w:rFonts w:ascii="Times New Roman" w:hAnsi="Times New Roman" w:cs="Times New Roman"/>
          <w:sz w:val="22"/>
          <w:szCs w:val="22"/>
        </w:rPr>
        <w:t>Best Practice Regulation</w:t>
      </w:r>
      <w:r w:rsidR="00186F86">
        <w:rPr>
          <w:rFonts w:ascii="Times New Roman" w:hAnsi="Times New Roman" w:cs="Times New Roman"/>
          <w:sz w:val="22"/>
          <w:szCs w:val="22"/>
        </w:rPr>
        <w:t xml:space="preserve">) </w:t>
      </w:r>
      <w:r w:rsidRPr="00720B9A">
        <w:rPr>
          <w:rFonts w:ascii="Times New Roman" w:hAnsi="Times New Roman" w:cs="Times New Roman"/>
          <w:sz w:val="22"/>
          <w:szCs w:val="22"/>
        </w:rPr>
        <w:t xml:space="preserve">has previously identified that decisions by AFMA including </w:t>
      </w:r>
      <w:r w:rsidR="00092253" w:rsidRPr="00720B9A">
        <w:rPr>
          <w:rFonts w:ascii="Times New Roman" w:hAnsi="Times New Roman" w:cs="Times New Roman"/>
          <w:sz w:val="22"/>
          <w:szCs w:val="22"/>
        </w:rPr>
        <w:t>the setting</w:t>
      </w:r>
      <w:r w:rsidRPr="00720B9A">
        <w:rPr>
          <w:rFonts w:ascii="Times New Roman" w:hAnsi="Times New Roman" w:cs="Times New Roman"/>
          <w:bCs/>
          <w:sz w:val="22"/>
          <w:szCs w:val="22"/>
        </w:rPr>
        <w:t xml:space="preserve"> </w:t>
      </w:r>
      <w:r w:rsidR="00A11F6A" w:rsidRPr="00720B9A">
        <w:rPr>
          <w:rFonts w:ascii="Times New Roman" w:hAnsi="Times New Roman" w:cs="Times New Roman"/>
          <w:bCs/>
          <w:sz w:val="22"/>
          <w:szCs w:val="22"/>
        </w:rPr>
        <w:t xml:space="preserve">of a </w:t>
      </w:r>
      <w:r w:rsidRPr="00720B9A">
        <w:rPr>
          <w:rFonts w:ascii="Times New Roman" w:hAnsi="Times New Roman" w:cs="Times New Roman"/>
          <w:bCs/>
          <w:sz w:val="22"/>
          <w:szCs w:val="22"/>
        </w:rPr>
        <w:t xml:space="preserve">total allowable catch; setting opening and closing dates for a fishing season; and setting </w:t>
      </w:r>
      <w:proofErr w:type="spellStart"/>
      <w:r w:rsidRPr="00720B9A">
        <w:rPr>
          <w:rFonts w:ascii="Times New Roman" w:hAnsi="Times New Roman" w:cs="Times New Roman"/>
          <w:bCs/>
          <w:sz w:val="22"/>
          <w:szCs w:val="22"/>
        </w:rPr>
        <w:t>undercatch</w:t>
      </w:r>
      <w:proofErr w:type="spellEnd"/>
      <w:r w:rsidRPr="00720B9A">
        <w:rPr>
          <w:rFonts w:ascii="Times New Roman" w:hAnsi="Times New Roman" w:cs="Times New Roman"/>
          <w:bCs/>
          <w:sz w:val="22"/>
          <w:szCs w:val="22"/>
        </w:rPr>
        <w:t xml:space="preserve"> and </w:t>
      </w:r>
      <w:proofErr w:type="spellStart"/>
      <w:r w:rsidRPr="00720B9A">
        <w:rPr>
          <w:rFonts w:ascii="Times New Roman" w:hAnsi="Times New Roman" w:cs="Times New Roman"/>
          <w:bCs/>
          <w:sz w:val="22"/>
          <w:szCs w:val="22"/>
        </w:rPr>
        <w:t>overcatch</w:t>
      </w:r>
      <w:proofErr w:type="spellEnd"/>
      <w:r w:rsidRPr="00720B9A">
        <w:rPr>
          <w:rFonts w:ascii="Times New Roman" w:hAnsi="Times New Roman" w:cs="Times New Roman"/>
          <w:bCs/>
          <w:sz w:val="22"/>
          <w:szCs w:val="22"/>
        </w:rPr>
        <w:t xml:space="preserve"> provisions in a fishery, do not require </w:t>
      </w:r>
      <w:r w:rsidRPr="00720B9A">
        <w:rPr>
          <w:rFonts w:ascii="Times New Roman" w:hAnsi="Times New Roman" w:cs="Times New Roman"/>
          <w:sz w:val="22"/>
          <w:szCs w:val="22"/>
        </w:rPr>
        <w:t xml:space="preserve">a Regulation Impact Statement. Such decisions </w:t>
      </w:r>
      <w:proofErr w:type="gramStart"/>
      <w:r w:rsidRPr="00720B9A">
        <w:rPr>
          <w:rFonts w:ascii="Times New Roman" w:hAnsi="Times New Roman" w:cs="Times New Roman"/>
          <w:sz w:val="22"/>
          <w:szCs w:val="22"/>
        </w:rPr>
        <w:t>are considered to be</w:t>
      </w:r>
      <w:proofErr w:type="gramEnd"/>
      <w:r w:rsidRPr="00720B9A">
        <w:rPr>
          <w:rFonts w:ascii="Times New Roman" w:hAnsi="Times New Roman" w:cs="Times New Roman"/>
          <w:sz w:val="22"/>
          <w:szCs w:val="22"/>
        </w:rPr>
        <w:t xml:space="preserve"> machinery in nature and are included in an approved carve-out (OBPR reference no. 14421) </w:t>
      </w:r>
      <w:r w:rsidR="00470D5B" w:rsidRPr="00720B9A">
        <w:rPr>
          <w:rFonts w:ascii="Times New Roman" w:hAnsi="Times New Roman" w:cs="Times New Roman"/>
          <w:sz w:val="22"/>
          <w:szCs w:val="22"/>
        </w:rPr>
        <w:t>for AFMA.</w:t>
      </w:r>
    </w:p>
    <w:p w14:paraId="52D2AE14" w14:textId="77777777" w:rsidR="00400470" w:rsidRPr="00720B9A" w:rsidRDefault="00400470" w:rsidP="00D34398">
      <w:pPr>
        <w:spacing w:after="240" w:line="276" w:lineRule="auto"/>
        <w:rPr>
          <w:b/>
          <w:sz w:val="22"/>
          <w:szCs w:val="22"/>
        </w:rPr>
      </w:pPr>
      <w:r w:rsidRPr="00720B9A">
        <w:rPr>
          <w:b/>
          <w:sz w:val="22"/>
          <w:szCs w:val="22"/>
        </w:rPr>
        <w:t xml:space="preserve">Statement of compatibility prepared in accordance with Part 3 of the </w:t>
      </w:r>
      <w:r w:rsidRPr="00720B9A">
        <w:rPr>
          <w:b/>
          <w:i/>
          <w:sz w:val="22"/>
          <w:szCs w:val="22"/>
        </w:rPr>
        <w:t xml:space="preserve">Human Rights (Parliamentary Scrutiny) Act 2011 </w:t>
      </w:r>
    </w:p>
    <w:p w14:paraId="776D0583" w14:textId="040090D9" w:rsidR="00400470" w:rsidRPr="00720B9A" w:rsidRDefault="00400470" w:rsidP="00D34398">
      <w:pPr>
        <w:keepNext/>
        <w:spacing w:after="240" w:line="276" w:lineRule="auto"/>
        <w:rPr>
          <w:rFonts w:ascii="Helvetica Neue" w:hAnsi="Helvetica Neue"/>
          <w:sz w:val="22"/>
          <w:szCs w:val="22"/>
          <w:lang w:val="en-AU" w:eastAsia="en-AU"/>
        </w:rPr>
      </w:pPr>
      <w:r w:rsidRPr="00720B9A">
        <w:rPr>
          <w:sz w:val="22"/>
          <w:szCs w:val="22"/>
          <w:lang w:val="en-AU" w:eastAsia="en-AU"/>
        </w:rPr>
        <w:t xml:space="preserve">AFMA assesses under section 3 of the </w:t>
      </w:r>
      <w:r w:rsidRPr="00720B9A">
        <w:rPr>
          <w:i/>
          <w:iCs/>
          <w:sz w:val="22"/>
          <w:szCs w:val="22"/>
          <w:lang w:val="en-AU" w:eastAsia="en-AU"/>
        </w:rPr>
        <w:t xml:space="preserve">Human Rights (Parliamentary Scrutiny) Act 2011 </w:t>
      </w:r>
      <w:r w:rsidRPr="00720B9A">
        <w:rPr>
          <w:iCs/>
          <w:sz w:val="22"/>
          <w:szCs w:val="22"/>
          <w:lang w:val="en-AU" w:eastAsia="en-AU"/>
        </w:rPr>
        <w:t>that this legislative instrument is compatible with human rights</w:t>
      </w:r>
      <w:r w:rsidRPr="00720B9A">
        <w:rPr>
          <w:sz w:val="22"/>
          <w:szCs w:val="22"/>
          <w:lang w:val="en-AU" w:eastAsia="en-AU"/>
        </w:rPr>
        <w:t xml:space="preserve">. </w:t>
      </w:r>
      <w:r w:rsidR="00B00F8F" w:rsidRPr="000C37C7">
        <w:rPr>
          <w:sz w:val="22"/>
          <w:szCs w:val="22"/>
          <w:lang w:eastAsia="en-AU"/>
        </w:rPr>
        <w:t>AFMA’s Statement of Compatibility is outlined below</w:t>
      </w:r>
      <w:r w:rsidRPr="00720B9A">
        <w:rPr>
          <w:sz w:val="22"/>
          <w:szCs w:val="22"/>
          <w:lang w:val="en-AU" w:eastAsia="en-AU"/>
        </w:rPr>
        <w:t xml:space="preserve">.  </w:t>
      </w:r>
    </w:p>
    <w:p w14:paraId="2C796109" w14:textId="77777777" w:rsidR="00614458" w:rsidRPr="00AA3F5B" w:rsidRDefault="00614458" w:rsidP="00D34398">
      <w:pPr>
        <w:spacing w:after="200" w:line="276" w:lineRule="auto"/>
        <w:rPr>
          <w:sz w:val="22"/>
          <w:szCs w:val="22"/>
        </w:rPr>
      </w:pPr>
      <w:r w:rsidRPr="00AA3F5B">
        <w:rPr>
          <w:sz w:val="22"/>
          <w:szCs w:val="22"/>
        </w:rPr>
        <w:br w:type="page"/>
      </w:r>
    </w:p>
    <w:p w14:paraId="478C6638" w14:textId="77777777" w:rsidR="00400470" w:rsidRPr="00720B9A" w:rsidRDefault="00400470" w:rsidP="00614458">
      <w:pPr>
        <w:autoSpaceDE w:val="0"/>
        <w:autoSpaceDN w:val="0"/>
        <w:adjustRightInd w:val="0"/>
        <w:spacing w:after="240" w:line="276" w:lineRule="auto"/>
        <w:rPr>
          <w:sz w:val="22"/>
          <w:szCs w:val="22"/>
        </w:rPr>
      </w:pPr>
      <w:r w:rsidRPr="00720B9A">
        <w:rPr>
          <w:sz w:val="22"/>
          <w:szCs w:val="22"/>
        </w:rPr>
        <w:lastRenderedPageBreak/>
        <w:t>Details of the Determination are set out below:</w:t>
      </w:r>
    </w:p>
    <w:p w14:paraId="703A44EA" w14:textId="4B2A8656" w:rsidR="00400470" w:rsidRPr="00720B9A" w:rsidRDefault="00400470" w:rsidP="00614458">
      <w:pPr>
        <w:spacing w:after="240" w:line="276" w:lineRule="auto"/>
        <w:ind w:left="1276" w:hanging="1276"/>
        <w:rPr>
          <w:sz w:val="22"/>
          <w:szCs w:val="22"/>
        </w:rPr>
      </w:pPr>
      <w:r w:rsidRPr="00720B9A">
        <w:rPr>
          <w:b/>
          <w:i/>
          <w:sz w:val="22"/>
          <w:szCs w:val="22"/>
        </w:rPr>
        <w:t>Clause 1</w:t>
      </w:r>
      <w:r w:rsidRPr="00720B9A">
        <w:rPr>
          <w:sz w:val="22"/>
          <w:szCs w:val="22"/>
        </w:rPr>
        <w:tab/>
        <w:t xml:space="preserve">Provides for the Determination to be cited as the </w:t>
      </w:r>
      <w:r w:rsidR="001F26AE" w:rsidRPr="001F26AE">
        <w:rPr>
          <w:i/>
          <w:sz w:val="22"/>
          <w:szCs w:val="22"/>
        </w:rPr>
        <w:t>Fisheries Management (Southern Bluefin Tuna Fishery Actual Live Weight Value of a Statutory Fishing Right) Determination 2023</w:t>
      </w:r>
      <w:r w:rsidRPr="00720B9A">
        <w:rPr>
          <w:sz w:val="22"/>
          <w:szCs w:val="22"/>
        </w:rPr>
        <w:t>.</w:t>
      </w:r>
    </w:p>
    <w:p w14:paraId="0672A54B" w14:textId="2304BFC4" w:rsidR="00400470" w:rsidRPr="00720B9A" w:rsidRDefault="00400470" w:rsidP="00614458">
      <w:pPr>
        <w:spacing w:after="240" w:line="276" w:lineRule="auto"/>
        <w:ind w:left="1276" w:hanging="1276"/>
        <w:rPr>
          <w:sz w:val="22"/>
          <w:szCs w:val="22"/>
        </w:rPr>
      </w:pPr>
      <w:r w:rsidRPr="00720B9A">
        <w:rPr>
          <w:b/>
          <w:i/>
          <w:sz w:val="22"/>
          <w:szCs w:val="22"/>
        </w:rPr>
        <w:t>Clause 2</w:t>
      </w:r>
      <w:r w:rsidRPr="00720B9A">
        <w:rPr>
          <w:sz w:val="22"/>
          <w:szCs w:val="22"/>
        </w:rPr>
        <w:tab/>
      </w:r>
      <w:r w:rsidRPr="00720B9A">
        <w:rPr>
          <w:color w:val="000000"/>
          <w:sz w:val="22"/>
          <w:szCs w:val="22"/>
        </w:rPr>
        <w:t>Provides that</w:t>
      </w:r>
      <w:r w:rsidR="00F14F33" w:rsidRPr="00720B9A">
        <w:rPr>
          <w:color w:val="000000"/>
          <w:sz w:val="22"/>
          <w:szCs w:val="22"/>
        </w:rPr>
        <w:t xml:space="preserve"> the Determinat</w:t>
      </w:r>
      <w:r w:rsidR="00BA3985" w:rsidRPr="00720B9A">
        <w:rPr>
          <w:color w:val="000000"/>
          <w:sz w:val="22"/>
          <w:szCs w:val="22"/>
        </w:rPr>
        <w:t xml:space="preserve">ion </w:t>
      </w:r>
      <w:r w:rsidR="00720B9A" w:rsidRPr="00720B9A">
        <w:rPr>
          <w:color w:val="000000"/>
          <w:sz w:val="22"/>
          <w:szCs w:val="22"/>
        </w:rPr>
        <w:t>commences on 1 December 202</w:t>
      </w:r>
      <w:r w:rsidR="00F84EEE">
        <w:rPr>
          <w:color w:val="000000"/>
          <w:sz w:val="22"/>
          <w:szCs w:val="22"/>
        </w:rPr>
        <w:t>3</w:t>
      </w:r>
      <w:r w:rsidR="00F14F33" w:rsidRPr="00720B9A">
        <w:rPr>
          <w:color w:val="000000"/>
          <w:sz w:val="22"/>
          <w:szCs w:val="22"/>
        </w:rPr>
        <w:t>.</w:t>
      </w:r>
    </w:p>
    <w:p w14:paraId="773BF174" w14:textId="6C291617" w:rsidR="00400470" w:rsidRPr="00720B9A" w:rsidRDefault="00400470" w:rsidP="00614458">
      <w:pPr>
        <w:spacing w:after="240" w:line="276" w:lineRule="auto"/>
        <w:ind w:left="1276" w:hanging="1276"/>
        <w:rPr>
          <w:color w:val="000000"/>
          <w:sz w:val="22"/>
          <w:szCs w:val="22"/>
        </w:rPr>
      </w:pPr>
      <w:r w:rsidRPr="00720B9A">
        <w:rPr>
          <w:b/>
          <w:i/>
          <w:sz w:val="22"/>
          <w:szCs w:val="22"/>
        </w:rPr>
        <w:t>Clause 3</w:t>
      </w:r>
      <w:r w:rsidRPr="00720B9A">
        <w:rPr>
          <w:b/>
          <w:i/>
          <w:sz w:val="22"/>
          <w:szCs w:val="22"/>
        </w:rPr>
        <w:tab/>
      </w:r>
      <w:r w:rsidRPr="00720B9A">
        <w:rPr>
          <w:color w:val="000000"/>
          <w:sz w:val="22"/>
          <w:szCs w:val="22"/>
        </w:rPr>
        <w:t xml:space="preserve">Provides that the Determination ceases </w:t>
      </w:r>
      <w:r w:rsidR="00720B9A" w:rsidRPr="00720B9A">
        <w:rPr>
          <w:color w:val="000000"/>
          <w:sz w:val="22"/>
          <w:szCs w:val="22"/>
        </w:rPr>
        <w:t xml:space="preserve">on </w:t>
      </w:r>
      <w:r w:rsidR="009F6EE1">
        <w:rPr>
          <w:color w:val="000000"/>
          <w:sz w:val="22"/>
          <w:szCs w:val="22"/>
        </w:rPr>
        <w:t>30 November</w:t>
      </w:r>
      <w:r w:rsidR="00720B9A" w:rsidRPr="00720B9A">
        <w:rPr>
          <w:color w:val="000000"/>
          <w:sz w:val="22"/>
          <w:szCs w:val="22"/>
        </w:rPr>
        <w:t xml:space="preserve"> 202</w:t>
      </w:r>
      <w:r w:rsidR="00F84EEE">
        <w:rPr>
          <w:color w:val="000000"/>
          <w:sz w:val="22"/>
          <w:szCs w:val="22"/>
        </w:rPr>
        <w:t>4</w:t>
      </w:r>
      <w:r w:rsidRPr="00720B9A">
        <w:rPr>
          <w:color w:val="000000"/>
          <w:sz w:val="22"/>
          <w:szCs w:val="22"/>
        </w:rPr>
        <w:t>.</w:t>
      </w:r>
    </w:p>
    <w:p w14:paraId="51AAECB8" w14:textId="49DEDB8A" w:rsidR="003F7CEF" w:rsidRPr="00720B9A" w:rsidRDefault="003F7CEF" w:rsidP="00614458">
      <w:pPr>
        <w:spacing w:after="240" w:line="276" w:lineRule="auto"/>
        <w:ind w:left="1276" w:hanging="1276"/>
        <w:rPr>
          <w:sz w:val="22"/>
          <w:szCs w:val="22"/>
        </w:rPr>
      </w:pPr>
      <w:r w:rsidRPr="00720B9A">
        <w:rPr>
          <w:b/>
          <w:i/>
          <w:sz w:val="22"/>
          <w:szCs w:val="22"/>
        </w:rPr>
        <w:t>Clause 4</w:t>
      </w:r>
      <w:r w:rsidRPr="00720B9A">
        <w:rPr>
          <w:b/>
          <w:i/>
          <w:sz w:val="22"/>
          <w:szCs w:val="22"/>
        </w:rPr>
        <w:tab/>
      </w:r>
      <w:r w:rsidRPr="00720B9A">
        <w:rPr>
          <w:sz w:val="22"/>
          <w:szCs w:val="22"/>
        </w:rPr>
        <w:t xml:space="preserve">Provides that the Determination is made pursuant to </w:t>
      </w:r>
      <w:r w:rsidR="00614458" w:rsidRPr="00720B9A">
        <w:rPr>
          <w:sz w:val="22"/>
          <w:szCs w:val="22"/>
        </w:rPr>
        <w:t>paragraph</w:t>
      </w:r>
      <w:r w:rsidRPr="00720B9A">
        <w:rPr>
          <w:sz w:val="22"/>
          <w:szCs w:val="22"/>
        </w:rPr>
        <w:t xml:space="preserve"> 17(</w:t>
      </w:r>
      <w:proofErr w:type="gramStart"/>
      <w:r w:rsidRPr="00720B9A">
        <w:rPr>
          <w:sz w:val="22"/>
          <w:szCs w:val="22"/>
        </w:rPr>
        <w:t>6)(</w:t>
      </w:r>
      <w:proofErr w:type="gramEnd"/>
      <w:r w:rsidRPr="00720B9A">
        <w:rPr>
          <w:sz w:val="22"/>
          <w:szCs w:val="22"/>
        </w:rPr>
        <w:t xml:space="preserve">aa) of the </w:t>
      </w:r>
      <w:r w:rsidR="00487778" w:rsidRPr="00487778">
        <w:rPr>
          <w:sz w:val="22"/>
          <w:szCs w:val="22"/>
        </w:rPr>
        <w:t>Act</w:t>
      </w:r>
      <w:r w:rsidRPr="00720B9A">
        <w:rPr>
          <w:sz w:val="22"/>
          <w:szCs w:val="22"/>
        </w:rPr>
        <w:t xml:space="preserve"> under </w:t>
      </w:r>
      <w:r w:rsidR="00614458" w:rsidRPr="00720B9A">
        <w:rPr>
          <w:sz w:val="22"/>
          <w:szCs w:val="22"/>
        </w:rPr>
        <w:t>sub</w:t>
      </w:r>
      <w:r w:rsidR="000A27FD">
        <w:rPr>
          <w:sz w:val="22"/>
          <w:szCs w:val="22"/>
        </w:rPr>
        <w:t>clause</w:t>
      </w:r>
      <w:r w:rsidRPr="00720B9A">
        <w:rPr>
          <w:sz w:val="22"/>
          <w:szCs w:val="22"/>
        </w:rPr>
        <w:t xml:space="preserve"> 18.3 of the </w:t>
      </w:r>
      <w:r w:rsidR="00487778" w:rsidRPr="00487778">
        <w:rPr>
          <w:iCs/>
          <w:sz w:val="22"/>
          <w:szCs w:val="22"/>
        </w:rPr>
        <w:t>Plan</w:t>
      </w:r>
      <w:r w:rsidRPr="00720B9A">
        <w:rPr>
          <w:sz w:val="22"/>
          <w:szCs w:val="22"/>
        </w:rPr>
        <w:t>.</w:t>
      </w:r>
    </w:p>
    <w:p w14:paraId="2548392B" w14:textId="7D706488" w:rsidR="00400470" w:rsidRPr="00720B9A" w:rsidRDefault="00400470" w:rsidP="00614458">
      <w:pPr>
        <w:spacing w:after="240" w:line="276" w:lineRule="auto"/>
        <w:ind w:left="1276" w:hanging="1276"/>
        <w:rPr>
          <w:i/>
          <w:sz w:val="22"/>
          <w:szCs w:val="22"/>
        </w:rPr>
      </w:pPr>
      <w:r w:rsidRPr="00720B9A">
        <w:rPr>
          <w:b/>
          <w:i/>
          <w:sz w:val="22"/>
          <w:szCs w:val="22"/>
        </w:rPr>
        <w:t xml:space="preserve">Clause </w:t>
      </w:r>
      <w:r w:rsidR="003F7CEF" w:rsidRPr="00720B9A">
        <w:rPr>
          <w:b/>
          <w:i/>
          <w:sz w:val="22"/>
          <w:szCs w:val="22"/>
        </w:rPr>
        <w:t>5</w:t>
      </w:r>
      <w:r w:rsidRPr="00720B9A">
        <w:rPr>
          <w:b/>
          <w:i/>
          <w:sz w:val="22"/>
          <w:szCs w:val="22"/>
        </w:rPr>
        <w:tab/>
      </w:r>
      <w:r w:rsidRPr="00720B9A">
        <w:rPr>
          <w:sz w:val="22"/>
          <w:szCs w:val="22"/>
        </w:rPr>
        <w:t>Provides that a term used in the Determination and in the Plan or Act has the same meaning in the Determination as in the Plan or Act</w:t>
      </w:r>
      <w:r w:rsidRPr="00720B9A">
        <w:rPr>
          <w:i/>
          <w:sz w:val="22"/>
          <w:szCs w:val="22"/>
        </w:rPr>
        <w:t>.</w:t>
      </w:r>
    </w:p>
    <w:p w14:paraId="5EC5F6CB" w14:textId="2EEC40F5" w:rsidR="00BA3985" w:rsidRPr="00720B9A" w:rsidRDefault="00400470" w:rsidP="00614458">
      <w:pPr>
        <w:spacing w:after="240" w:line="276" w:lineRule="auto"/>
        <w:ind w:left="1276" w:hanging="1276"/>
        <w:rPr>
          <w:sz w:val="22"/>
          <w:szCs w:val="22"/>
        </w:rPr>
      </w:pPr>
      <w:r w:rsidRPr="00720B9A">
        <w:rPr>
          <w:b/>
          <w:i/>
          <w:sz w:val="22"/>
          <w:szCs w:val="22"/>
        </w:rPr>
        <w:t xml:space="preserve">Clause </w:t>
      </w:r>
      <w:r w:rsidR="003F7CEF" w:rsidRPr="00720B9A">
        <w:rPr>
          <w:b/>
          <w:i/>
          <w:sz w:val="22"/>
          <w:szCs w:val="22"/>
        </w:rPr>
        <w:t>6</w:t>
      </w:r>
      <w:r w:rsidRPr="00720B9A">
        <w:rPr>
          <w:b/>
          <w:i/>
          <w:sz w:val="22"/>
          <w:szCs w:val="22"/>
        </w:rPr>
        <w:tab/>
      </w:r>
      <w:r w:rsidRPr="00720B9A">
        <w:rPr>
          <w:sz w:val="22"/>
          <w:szCs w:val="22"/>
        </w:rPr>
        <w:t xml:space="preserve">Determines the </w:t>
      </w:r>
      <w:r w:rsidR="003F7CEF" w:rsidRPr="00720B9A">
        <w:rPr>
          <w:sz w:val="22"/>
          <w:szCs w:val="22"/>
        </w:rPr>
        <w:t xml:space="preserve">actual live weight value of a statutory fishing right for the season in the </w:t>
      </w:r>
      <w:r w:rsidR="00614458" w:rsidRPr="00720B9A">
        <w:rPr>
          <w:sz w:val="22"/>
          <w:szCs w:val="22"/>
        </w:rPr>
        <w:t xml:space="preserve">SBT Fishery that commences on </w:t>
      </w:r>
      <w:r w:rsidR="00720B9A" w:rsidRPr="00720B9A">
        <w:rPr>
          <w:sz w:val="22"/>
          <w:szCs w:val="22"/>
        </w:rPr>
        <w:t>1 December 202</w:t>
      </w:r>
      <w:r w:rsidR="00F84EEE">
        <w:rPr>
          <w:sz w:val="22"/>
          <w:szCs w:val="22"/>
        </w:rPr>
        <w:t>3</w:t>
      </w:r>
      <w:r w:rsidR="00BA3985" w:rsidRPr="00720B9A">
        <w:rPr>
          <w:sz w:val="22"/>
          <w:szCs w:val="22"/>
        </w:rPr>
        <w:t xml:space="preserve"> and </w:t>
      </w:r>
      <w:r w:rsidR="00614458" w:rsidRPr="00720B9A">
        <w:rPr>
          <w:sz w:val="22"/>
          <w:szCs w:val="22"/>
        </w:rPr>
        <w:t>ends</w:t>
      </w:r>
      <w:r w:rsidR="00720B9A" w:rsidRPr="00720B9A">
        <w:rPr>
          <w:sz w:val="22"/>
          <w:szCs w:val="22"/>
        </w:rPr>
        <w:t xml:space="preserve"> on 30 November 202</w:t>
      </w:r>
      <w:r w:rsidR="00F84EEE">
        <w:rPr>
          <w:sz w:val="22"/>
          <w:szCs w:val="22"/>
        </w:rPr>
        <w:t>4</w:t>
      </w:r>
      <w:r w:rsidRPr="00720B9A">
        <w:rPr>
          <w:sz w:val="22"/>
          <w:szCs w:val="22"/>
        </w:rPr>
        <w:t xml:space="preserve"> </w:t>
      </w:r>
      <w:r w:rsidR="00614458" w:rsidRPr="00720B9A">
        <w:rPr>
          <w:sz w:val="22"/>
          <w:szCs w:val="22"/>
        </w:rPr>
        <w:t>is</w:t>
      </w:r>
      <w:r w:rsidR="00234682" w:rsidRPr="00720B9A">
        <w:rPr>
          <w:sz w:val="22"/>
          <w:szCs w:val="22"/>
        </w:rPr>
        <w:t xml:space="preserve"> </w:t>
      </w:r>
      <w:r w:rsidR="007F733A" w:rsidRPr="00720B9A">
        <w:rPr>
          <w:sz w:val="22"/>
          <w:szCs w:val="22"/>
        </w:rPr>
        <w:t>1.</w:t>
      </w:r>
      <w:r w:rsidR="00F84EEE">
        <w:rPr>
          <w:sz w:val="22"/>
          <w:szCs w:val="22"/>
        </w:rPr>
        <w:t>3</w:t>
      </w:r>
      <w:r w:rsidR="0039367E">
        <w:rPr>
          <w:sz w:val="22"/>
          <w:szCs w:val="22"/>
        </w:rPr>
        <w:t>0152</w:t>
      </w:r>
      <w:r w:rsidR="007F733A" w:rsidRPr="00720B9A">
        <w:rPr>
          <w:sz w:val="22"/>
          <w:szCs w:val="22"/>
        </w:rPr>
        <w:t xml:space="preserve"> </w:t>
      </w:r>
      <w:r w:rsidR="00234682" w:rsidRPr="00720B9A">
        <w:rPr>
          <w:sz w:val="22"/>
          <w:szCs w:val="22"/>
        </w:rPr>
        <w:t>kilograms</w:t>
      </w:r>
      <w:r w:rsidR="00A231A1" w:rsidRPr="00720B9A">
        <w:rPr>
          <w:sz w:val="22"/>
          <w:szCs w:val="22"/>
        </w:rPr>
        <w:t>.</w:t>
      </w:r>
    </w:p>
    <w:p w14:paraId="6B99B138" w14:textId="77777777" w:rsidR="003F7CEF" w:rsidRPr="00AA3F5B" w:rsidRDefault="003F7CEF">
      <w:pPr>
        <w:spacing w:after="200" w:line="276" w:lineRule="auto"/>
        <w:rPr>
          <w:snapToGrid w:val="0"/>
          <w:kern w:val="20"/>
          <w:szCs w:val="20"/>
          <w:lang w:val="en-AU"/>
        </w:rPr>
      </w:pPr>
      <w:r w:rsidRPr="00AA3F5B">
        <w:br w:type="page"/>
      </w:r>
    </w:p>
    <w:p w14:paraId="777F86FB" w14:textId="77777777" w:rsidR="001F26AE" w:rsidRDefault="001F26AE" w:rsidP="001F26AE">
      <w:pPr>
        <w:spacing w:before="360" w:after="120" w:line="276" w:lineRule="auto"/>
        <w:jc w:val="center"/>
        <w:rPr>
          <w:b/>
          <w:sz w:val="28"/>
          <w:szCs w:val="28"/>
        </w:rPr>
      </w:pPr>
      <w:r>
        <w:rPr>
          <w:b/>
          <w:sz w:val="28"/>
          <w:szCs w:val="28"/>
        </w:rPr>
        <w:lastRenderedPageBreak/>
        <w:t>Statement of Compatibility with Human Rights</w:t>
      </w:r>
    </w:p>
    <w:p w14:paraId="726A391A" w14:textId="77777777" w:rsidR="001F26AE" w:rsidRPr="00614458" w:rsidRDefault="001F26AE" w:rsidP="001F26AE">
      <w:pPr>
        <w:spacing w:before="120" w:after="120" w:line="276" w:lineRule="auto"/>
        <w:jc w:val="center"/>
        <w:rPr>
          <w:sz w:val="22"/>
        </w:rPr>
      </w:pPr>
      <w:r w:rsidRPr="00EF1D1E">
        <w:rPr>
          <w:i/>
        </w:rPr>
        <w:t xml:space="preserve">Prepared in accordance with Part 3 of the Human </w:t>
      </w:r>
      <w:r w:rsidRPr="00614458">
        <w:rPr>
          <w:i/>
          <w:sz w:val="22"/>
        </w:rPr>
        <w:t>Rights (Parliamentary Scrutiny) Act 2011</w:t>
      </w:r>
    </w:p>
    <w:p w14:paraId="701D8644" w14:textId="77777777" w:rsidR="001F26AE" w:rsidRPr="00614458" w:rsidRDefault="001F26AE" w:rsidP="001F26AE">
      <w:pPr>
        <w:spacing w:before="120" w:after="120" w:line="276" w:lineRule="auto"/>
        <w:jc w:val="center"/>
        <w:rPr>
          <w:sz w:val="22"/>
        </w:rPr>
      </w:pPr>
    </w:p>
    <w:p w14:paraId="37B4C73B" w14:textId="77777777" w:rsidR="001F26AE" w:rsidRPr="001F26AE" w:rsidRDefault="001F26AE" w:rsidP="001F26AE">
      <w:pPr>
        <w:spacing w:before="120" w:after="120" w:line="276" w:lineRule="auto"/>
        <w:jc w:val="center"/>
        <w:rPr>
          <w:b/>
          <w:i/>
          <w:color w:val="000000"/>
          <w:sz w:val="22"/>
        </w:rPr>
      </w:pPr>
      <w:r w:rsidRPr="001F26AE">
        <w:rPr>
          <w:b/>
          <w:i/>
          <w:color w:val="000000"/>
          <w:sz w:val="22"/>
        </w:rPr>
        <w:t>Fisheries Management (Southern Bluefin Tuna Fishery Actual Live Weight Value of a Statutory Fishing Right) Determination 2023</w:t>
      </w:r>
    </w:p>
    <w:p w14:paraId="2D4BE4E5" w14:textId="77777777" w:rsidR="001F26AE" w:rsidRPr="00614458" w:rsidRDefault="001F26AE" w:rsidP="008B308E">
      <w:pPr>
        <w:spacing w:before="120" w:after="120" w:line="276" w:lineRule="auto"/>
        <w:rPr>
          <w:sz w:val="22"/>
        </w:rPr>
      </w:pPr>
      <w:r w:rsidRPr="00614458">
        <w:rPr>
          <w:sz w:val="22"/>
        </w:rPr>
        <w:t xml:space="preserve">This </w:t>
      </w:r>
      <w:r>
        <w:rPr>
          <w:sz w:val="22"/>
        </w:rPr>
        <w:t>Determination</w:t>
      </w:r>
      <w:r w:rsidRPr="00614458">
        <w:rPr>
          <w:sz w:val="22"/>
        </w:rPr>
        <w:t xml:space="preserve"> is compatible with the human rights and freedoms </w:t>
      </w:r>
      <w:proofErr w:type="spellStart"/>
      <w:r w:rsidRPr="00614458">
        <w:rPr>
          <w:sz w:val="22"/>
        </w:rPr>
        <w:t>recognised</w:t>
      </w:r>
      <w:proofErr w:type="spellEnd"/>
      <w:r w:rsidRPr="00614458">
        <w:rPr>
          <w:sz w:val="22"/>
        </w:rPr>
        <w:t xml:space="preserve"> or declared in the international instruments listed in section 3 of the </w:t>
      </w:r>
      <w:r w:rsidRPr="00614458">
        <w:rPr>
          <w:i/>
          <w:sz w:val="22"/>
        </w:rPr>
        <w:t>Human Rights (Parliamentary Scrutiny) Act 2011</w:t>
      </w:r>
      <w:r w:rsidRPr="00614458">
        <w:rPr>
          <w:sz w:val="22"/>
        </w:rPr>
        <w:t>.</w:t>
      </w:r>
    </w:p>
    <w:p w14:paraId="53990373" w14:textId="77777777" w:rsidR="001F26AE" w:rsidRPr="00614458" w:rsidRDefault="001F26AE" w:rsidP="001F26AE">
      <w:pPr>
        <w:spacing w:before="120" w:after="120" w:line="276" w:lineRule="auto"/>
        <w:jc w:val="center"/>
        <w:rPr>
          <w:sz w:val="22"/>
        </w:rPr>
      </w:pPr>
    </w:p>
    <w:p w14:paraId="30263FF3" w14:textId="77777777" w:rsidR="001F26AE" w:rsidRPr="00614458" w:rsidRDefault="001F26AE" w:rsidP="001F26AE">
      <w:pPr>
        <w:spacing w:before="120" w:after="120" w:line="276" w:lineRule="auto"/>
        <w:jc w:val="both"/>
        <w:rPr>
          <w:b/>
          <w:sz w:val="22"/>
        </w:rPr>
      </w:pPr>
      <w:r w:rsidRPr="00614458">
        <w:rPr>
          <w:b/>
          <w:sz w:val="22"/>
        </w:rPr>
        <w:t>Overview of the Legislative Instrument</w:t>
      </w:r>
    </w:p>
    <w:p w14:paraId="467019B4" w14:textId="77777777" w:rsidR="001F26AE" w:rsidRPr="007F733A" w:rsidRDefault="001F26AE" w:rsidP="001F26AE">
      <w:pPr>
        <w:autoSpaceDE w:val="0"/>
        <w:autoSpaceDN w:val="0"/>
        <w:adjustRightInd w:val="0"/>
        <w:spacing w:line="276" w:lineRule="auto"/>
        <w:jc w:val="both"/>
        <w:rPr>
          <w:color w:val="000000"/>
          <w:sz w:val="22"/>
        </w:rPr>
      </w:pPr>
      <w:r w:rsidRPr="00614458">
        <w:rPr>
          <w:color w:val="000000"/>
          <w:sz w:val="22"/>
        </w:rPr>
        <w:t>The Determination determines the actual live weight value of a statutory fishing right for the</w:t>
      </w:r>
      <w:r>
        <w:rPr>
          <w:color w:val="000000"/>
          <w:sz w:val="22"/>
        </w:rPr>
        <w:t xml:space="preserve"> fishing season commencing on 1 December 2023. The value has</w:t>
      </w:r>
      <w:r w:rsidRPr="00614458">
        <w:rPr>
          <w:color w:val="000000"/>
          <w:sz w:val="22"/>
        </w:rPr>
        <w:t xml:space="preserve"> been determined in accordance with the formulas for calculation provided in sub</w:t>
      </w:r>
      <w:r>
        <w:rPr>
          <w:color w:val="000000"/>
          <w:sz w:val="22"/>
        </w:rPr>
        <w:t>clause</w:t>
      </w:r>
      <w:r w:rsidRPr="00614458">
        <w:rPr>
          <w:color w:val="000000"/>
          <w:sz w:val="22"/>
        </w:rPr>
        <w:t xml:space="preserve"> 18.2 of the </w:t>
      </w:r>
      <w:r w:rsidRPr="00614458">
        <w:rPr>
          <w:i/>
          <w:sz w:val="22"/>
        </w:rPr>
        <w:t xml:space="preserve">Southern Bluefin Tuna Fishery Management Plan 1995. </w:t>
      </w:r>
    </w:p>
    <w:p w14:paraId="5596F2B8" w14:textId="77777777" w:rsidR="001F26AE" w:rsidRPr="00614458" w:rsidRDefault="001F26AE" w:rsidP="001F26AE">
      <w:pPr>
        <w:spacing w:before="120" w:after="120" w:line="276" w:lineRule="auto"/>
        <w:rPr>
          <w:b/>
          <w:sz w:val="22"/>
        </w:rPr>
      </w:pPr>
      <w:r w:rsidRPr="00614458">
        <w:rPr>
          <w:b/>
          <w:sz w:val="22"/>
        </w:rPr>
        <w:t>Assessment of human rights implications</w:t>
      </w:r>
    </w:p>
    <w:p w14:paraId="1AEA5F01" w14:textId="77777777" w:rsidR="001F26AE" w:rsidRPr="00614458" w:rsidRDefault="001F26AE" w:rsidP="001F26AE">
      <w:pPr>
        <w:spacing w:before="120" w:after="120" w:line="276" w:lineRule="auto"/>
        <w:rPr>
          <w:sz w:val="22"/>
        </w:rPr>
      </w:pPr>
      <w:r w:rsidRPr="00614458">
        <w:rPr>
          <w:sz w:val="22"/>
        </w:rPr>
        <w:t xml:space="preserve">As </w:t>
      </w:r>
      <w:r>
        <w:rPr>
          <w:sz w:val="22"/>
        </w:rPr>
        <w:t>the Determination</w:t>
      </w:r>
      <w:r w:rsidRPr="00614458">
        <w:rPr>
          <w:sz w:val="22"/>
        </w:rPr>
        <w:t xml:space="preserve"> is of a mechanical nature, it does not engage any of the applicable rights or freedoms.</w:t>
      </w:r>
    </w:p>
    <w:p w14:paraId="2C4B5AE4" w14:textId="77777777" w:rsidR="001F26AE" w:rsidRPr="00614458" w:rsidRDefault="001F26AE" w:rsidP="001F26AE">
      <w:pPr>
        <w:spacing w:before="120" w:after="120" w:line="276" w:lineRule="auto"/>
        <w:rPr>
          <w:b/>
          <w:sz w:val="22"/>
        </w:rPr>
      </w:pPr>
      <w:r w:rsidRPr="00614458">
        <w:rPr>
          <w:b/>
          <w:sz w:val="22"/>
        </w:rPr>
        <w:t>Conclusion</w:t>
      </w:r>
    </w:p>
    <w:p w14:paraId="61EAB923" w14:textId="77777777" w:rsidR="001F26AE" w:rsidRPr="00614458" w:rsidRDefault="001F26AE" w:rsidP="001F26AE">
      <w:pPr>
        <w:spacing w:before="120" w:after="120" w:line="276" w:lineRule="auto"/>
        <w:rPr>
          <w:sz w:val="22"/>
        </w:rPr>
      </w:pPr>
      <w:r w:rsidRPr="00614458">
        <w:rPr>
          <w:sz w:val="22"/>
        </w:rPr>
        <w:t xml:space="preserve">This </w:t>
      </w:r>
      <w:r>
        <w:rPr>
          <w:sz w:val="22"/>
        </w:rPr>
        <w:t>Determination</w:t>
      </w:r>
      <w:r w:rsidRPr="00614458">
        <w:rPr>
          <w:sz w:val="22"/>
        </w:rPr>
        <w:t xml:space="preserve"> is compatible with human rights as it does not raise any human rights issues. The AFMA Commission is satisfied that the instrument is consistent with AFMA’s obligation to pursue its statutory objectives.</w:t>
      </w:r>
    </w:p>
    <w:p w14:paraId="04CD6B87" w14:textId="77777777" w:rsidR="001F26AE" w:rsidRPr="00EF1D1E" w:rsidRDefault="001F26AE" w:rsidP="001F26AE">
      <w:pPr>
        <w:spacing w:before="120" w:after="120" w:line="276" w:lineRule="auto"/>
        <w:jc w:val="center"/>
      </w:pPr>
    </w:p>
    <w:p w14:paraId="57A2DE87" w14:textId="77777777" w:rsidR="001F26AE" w:rsidRDefault="001F26AE" w:rsidP="001F26AE">
      <w:pPr>
        <w:spacing w:before="120" w:after="120" w:line="276" w:lineRule="auto"/>
        <w:jc w:val="center"/>
      </w:pPr>
    </w:p>
    <w:p w14:paraId="0230ABA1" w14:textId="77777777" w:rsidR="003F7CEF" w:rsidRPr="00AA3F5B" w:rsidRDefault="003F7CEF" w:rsidP="00400470">
      <w:pPr>
        <w:pStyle w:val="AFMANormal"/>
        <w:spacing w:before="0" w:after="240"/>
        <w:ind w:left="1276" w:hanging="1276"/>
      </w:pPr>
    </w:p>
    <w:p w14:paraId="203503C0" w14:textId="37CBEB96" w:rsidR="00344494" w:rsidRDefault="00344494" w:rsidP="00400470">
      <w:pPr>
        <w:pStyle w:val="AFMANormal"/>
        <w:spacing w:before="0" w:after="240"/>
        <w:ind w:left="1276" w:hanging="1276"/>
      </w:pPr>
    </w:p>
    <w:sectPr w:rsidR="00344494" w:rsidSect="00614458">
      <w:footerReference w:type="default" r:id="rId11"/>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4F0A6B" w14:textId="77777777" w:rsidR="00D67C5D" w:rsidRDefault="00D67C5D">
      <w:r>
        <w:separator/>
      </w:r>
    </w:p>
  </w:endnote>
  <w:endnote w:type="continuationSeparator" w:id="0">
    <w:p w14:paraId="7D559ACA" w14:textId="77777777" w:rsidR="00D67C5D" w:rsidRDefault="00D67C5D">
      <w:r>
        <w:continuationSeparator/>
      </w:r>
    </w:p>
  </w:endnote>
  <w:endnote w:type="continuationNotice" w:id="1">
    <w:p w14:paraId="63D6ABB5" w14:textId="77777777" w:rsidR="00D67C5D" w:rsidRDefault="00D67C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F546A" w14:textId="77777777" w:rsidR="00E534BC" w:rsidRDefault="00E534BC">
    <w:pPr>
      <w:pStyle w:val="Footer"/>
      <w:jc w:val="right"/>
    </w:pPr>
  </w:p>
  <w:p w14:paraId="2CF654F4" w14:textId="77777777" w:rsidR="00E534BC" w:rsidRDefault="00E534BC" w:rsidP="00E534B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1A12BA" w14:textId="77777777" w:rsidR="00D67C5D" w:rsidRDefault="00D67C5D">
      <w:r>
        <w:separator/>
      </w:r>
    </w:p>
  </w:footnote>
  <w:footnote w:type="continuationSeparator" w:id="0">
    <w:p w14:paraId="602E18A8" w14:textId="77777777" w:rsidR="00D67C5D" w:rsidRDefault="00D67C5D">
      <w:r>
        <w:continuationSeparator/>
      </w:r>
    </w:p>
  </w:footnote>
  <w:footnote w:type="continuationNotice" w:id="1">
    <w:p w14:paraId="15EA07B7" w14:textId="77777777" w:rsidR="00D67C5D" w:rsidRDefault="00D67C5D"/>
  </w:footnote>
</w:footnotes>
</file>

<file path=word/intelligence2.xml><?xml version="1.0" encoding="utf-8"?>
<int2:intelligence xmlns:int2="http://schemas.microsoft.com/office/intelligence/2020/intelligence" xmlns:oel="http://schemas.microsoft.com/office/2019/extlst">
  <int2:observations>
    <int2:bookmark int2:bookmarkName="_Int_j5EgE6lj" int2:invalidationBookmarkName="" int2:hashCode="7kSreOlfWACrcM" int2:id="vQnkDEhx">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743E34"/>
    <w:multiLevelType w:val="hybridMultilevel"/>
    <w:tmpl w:val="7A78E92E"/>
    <w:lvl w:ilvl="0" w:tplc="0C090001">
      <w:start w:val="1"/>
      <w:numFmt w:val="bullet"/>
      <w:lvlText w:val=""/>
      <w:lvlJc w:val="left"/>
      <w:pPr>
        <w:ind w:left="1636" w:hanging="360"/>
      </w:pPr>
      <w:rPr>
        <w:rFonts w:ascii="Symbol" w:hAnsi="Symbol" w:hint="default"/>
      </w:rPr>
    </w:lvl>
    <w:lvl w:ilvl="1" w:tplc="0C090003" w:tentative="1">
      <w:start w:val="1"/>
      <w:numFmt w:val="bullet"/>
      <w:lvlText w:val="o"/>
      <w:lvlJc w:val="left"/>
      <w:pPr>
        <w:ind w:left="2356" w:hanging="360"/>
      </w:pPr>
      <w:rPr>
        <w:rFonts w:ascii="Courier New" w:hAnsi="Courier New" w:cs="Courier New" w:hint="default"/>
      </w:rPr>
    </w:lvl>
    <w:lvl w:ilvl="2" w:tplc="0C090005" w:tentative="1">
      <w:start w:val="1"/>
      <w:numFmt w:val="bullet"/>
      <w:lvlText w:val=""/>
      <w:lvlJc w:val="left"/>
      <w:pPr>
        <w:ind w:left="3076" w:hanging="360"/>
      </w:pPr>
      <w:rPr>
        <w:rFonts w:ascii="Wingdings" w:hAnsi="Wingdings" w:hint="default"/>
      </w:rPr>
    </w:lvl>
    <w:lvl w:ilvl="3" w:tplc="0C090001" w:tentative="1">
      <w:start w:val="1"/>
      <w:numFmt w:val="bullet"/>
      <w:lvlText w:val=""/>
      <w:lvlJc w:val="left"/>
      <w:pPr>
        <w:ind w:left="3796" w:hanging="360"/>
      </w:pPr>
      <w:rPr>
        <w:rFonts w:ascii="Symbol" w:hAnsi="Symbol" w:hint="default"/>
      </w:rPr>
    </w:lvl>
    <w:lvl w:ilvl="4" w:tplc="0C090003" w:tentative="1">
      <w:start w:val="1"/>
      <w:numFmt w:val="bullet"/>
      <w:lvlText w:val="o"/>
      <w:lvlJc w:val="left"/>
      <w:pPr>
        <w:ind w:left="4516" w:hanging="360"/>
      </w:pPr>
      <w:rPr>
        <w:rFonts w:ascii="Courier New" w:hAnsi="Courier New" w:cs="Courier New" w:hint="default"/>
      </w:rPr>
    </w:lvl>
    <w:lvl w:ilvl="5" w:tplc="0C090005" w:tentative="1">
      <w:start w:val="1"/>
      <w:numFmt w:val="bullet"/>
      <w:lvlText w:val=""/>
      <w:lvlJc w:val="left"/>
      <w:pPr>
        <w:ind w:left="5236" w:hanging="360"/>
      </w:pPr>
      <w:rPr>
        <w:rFonts w:ascii="Wingdings" w:hAnsi="Wingdings" w:hint="default"/>
      </w:rPr>
    </w:lvl>
    <w:lvl w:ilvl="6" w:tplc="0C090001" w:tentative="1">
      <w:start w:val="1"/>
      <w:numFmt w:val="bullet"/>
      <w:lvlText w:val=""/>
      <w:lvlJc w:val="left"/>
      <w:pPr>
        <w:ind w:left="5956" w:hanging="360"/>
      </w:pPr>
      <w:rPr>
        <w:rFonts w:ascii="Symbol" w:hAnsi="Symbol" w:hint="default"/>
      </w:rPr>
    </w:lvl>
    <w:lvl w:ilvl="7" w:tplc="0C090003" w:tentative="1">
      <w:start w:val="1"/>
      <w:numFmt w:val="bullet"/>
      <w:lvlText w:val="o"/>
      <w:lvlJc w:val="left"/>
      <w:pPr>
        <w:ind w:left="6676" w:hanging="360"/>
      </w:pPr>
      <w:rPr>
        <w:rFonts w:ascii="Courier New" w:hAnsi="Courier New" w:cs="Courier New" w:hint="default"/>
      </w:rPr>
    </w:lvl>
    <w:lvl w:ilvl="8" w:tplc="0C090005" w:tentative="1">
      <w:start w:val="1"/>
      <w:numFmt w:val="bullet"/>
      <w:lvlText w:val=""/>
      <w:lvlJc w:val="left"/>
      <w:pPr>
        <w:ind w:left="7396" w:hanging="360"/>
      </w:pPr>
      <w:rPr>
        <w:rFonts w:ascii="Wingdings" w:hAnsi="Wingdings" w:hint="default"/>
      </w:rPr>
    </w:lvl>
  </w:abstractNum>
  <w:abstractNum w:abstractNumId="1" w15:restartNumberingAfterBreak="0">
    <w:nsid w:val="4CE521CD"/>
    <w:multiLevelType w:val="hybridMultilevel"/>
    <w:tmpl w:val="D98E980E"/>
    <w:lvl w:ilvl="0" w:tplc="0C090001">
      <w:start w:val="1"/>
      <w:numFmt w:val="bullet"/>
      <w:lvlText w:val=""/>
      <w:lvlJc w:val="left"/>
      <w:pPr>
        <w:ind w:left="1999" w:hanging="360"/>
      </w:pPr>
      <w:rPr>
        <w:rFonts w:ascii="Symbol" w:hAnsi="Symbol" w:hint="default"/>
      </w:rPr>
    </w:lvl>
    <w:lvl w:ilvl="1" w:tplc="0C090003" w:tentative="1">
      <w:start w:val="1"/>
      <w:numFmt w:val="bullet"/>
      <w:lvlText w:val="o"/>
      <w:lvlJc w:val="left"/>
      <w:pPr>
        <w:ind w:left="2719" w:hanging="360"/>
      </w:pPr>
      <w:rPr>
        <w:rFonts w:ascii="Courier New" w:hAnsi="Courier New" w:cs="Courier New" w:hint="default"/>
      </w:rPr>
    </w:lvl>
    <w:lvl w:ilvl="2" w:tplc="0C090005" w:tentative="1">
      <w:start w:val="1"/>
      <w:numFmt w:val="bullet"/>
      <w:lvlText w:val=""/>
      <w:lvlJc w:val="left"/>
      <w:pPr>
        <w:ind w:left="3439" w:hanging="360"/>
      </w:pPr>
      <w:rPr>
        <w:rFonts w:ascii="Wingdings" w:hAnsi="Wingdings" w:hint="default"/>
      </w:rPr>
    </w:lvl>
    <w:lvl w:ilvl="3" w:tplc="0C090001" w:tentative="1">
      <w:start w:val="1"/>
      <w:numFmt w:val="bullet"/>
      <w:lvlText w:val=""/>
      <w:lvlJc w:val="left"/>
      <w:pPr>
        <w:ind w:left="4159" w:hanging="360"/>
      </w:pPr>
      <w:rPr>
        <w:rFonts w:ascii="Symbol" w:hAnsi="Symbol" w:hint="default"/>
      </w:rPr>
    </w:lvl>
    <w:lvl w:ilvl="4" w:tplc="0C090003" w:tentative="1">
      <w:start w:val="1"/>
      <w:numFmt w:val="bullet"/>
      <w:lvlText w:val="o"/>
      <w:lvlJc w:val="left"/>
      <w:pPr>
        <w:ind w:left="4879" w:hanging="360"/>
      </w:pPr>
      <w:rPr>
        <w:rFonts w:ascii="Courier New" w:hAnsi="Courier New" w:cs="Courier New" w:hint="default"/>
      </w:rPr>
    </w:lvl>
    <w:lvl w:ilvl="5" w:tplc="0C090005" w:tentative="1">
      <w:start w:val="1"/>
      <w:numFmt w:val="bullet"/>
      <w:lvlText w:val=""/>
      <w:lvlJc w:val="left"/>
      <w:pPr>
        <w:ind w:left="5599" w:hanging="360"/>
      </w:pPr>
      <w:rPr>
        <w:rFonts w:ascii="Wingdings" w:hAnsi="Wingdings" w:hint="default"/>
      </w:rPr>
    </w:lvl>
    <w:lvl w:ilvl="6" w:tplc="0C090001" w:tentative="1">
      <w:start w:val="1"/>
      <w:numFmt w:val="bullet"/>
      <w:lvlText w:val=""/>
      <w:lvlJc w:val="left"/>
      <w:pPr>
        <w:ind w:left="6319" w:hanging="360"/>
      </w:pPr>
      <w:rPr>
        <w:rFonts w:ascii="Symbol" w:hAnsi="Symbol" w:hint="default"/>
      </w:rPr>
    </w:lvl>
    <w:lvl w:ilvl="7" w:tplc="0C090003" w:tentative="1">
      <w:start w:val="1"/>
      <w:numFmt w:val="bullet"/>
      <w:lvlText w:val="o"/>
      <w:lvlJc w:val="left"/>
      <w:pPr>
        <w:ind w:left="7039" w:hanging="360"/>
      </w:pPr>
      <w:rPr>
        <w:rFonts w:ascii="Courier New" w:hAnsi="Courier New" w:cs="Courier New" w:hint="default"/>
      </w:rPr>
    </w:lvl>
    <w:lvl w:ilvl="8" w:tplc="0C090005" w:tentative="1">
      <w:start w:val="1"/>
      <w:numFmt w:val="bullet"/>
      <w:lvlText w:val=""/>
      <w:lvlJc w:val="left"/>
      <w:pPr>
        <w:ind w:left="7759" w:hanging="360"/>
      </w:pPr>
      <w:rPr>
        <w:rFonts w:ascii="Wingdings" w:hAnsi="Wingdings" w:hint="default"/>
      </w:rPr>
    </w:lvl>
  </w:abstractNum>
  <w:abstractNum w:abstractNumId="2" w15:restartNumberingAfterBreak="0">
    <w:nsid w:val="717F74D7"/>
    <w:multiLevelType w:val="hybridMultilevel"/>
    <w:tmpl w:val="31086B80"/>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470"/>
    <w:rsid w:val="00001000"/>
    <w:rsid w:val="0002051F"/>
    <w:rsid w:val="00044DC2"/>
    <w:rsid w:val="0006220F"/>
    <w:rsid w:val="00064AFF"/>
    <w:rsid w:val="000818DD"/>
    <w:rsid w:val="00092253"/>
    <w:rsid w:val="000A27FD"/>
    <w:rsid w:val="000B59CA"/>
    <w:rsid w:val="000D2F82"/>
    <w:rsid w:val="000E1DC7"/>
    <w:rsid w:val="00106EB8"/>
    <w:rsid w:val="001124DF"/>
    <w:rsid w:val="00127145"/>
    <w:rsid w:val="001531D5"/>
    <w:rsid w:val="00161AC6"/>
    <w:rsid w:val="00167A0F"/>
    <w:rsid w:val="00186F86"/>
    <w:rsid w:val="001919DD"/>
    <w:rsid w:val="00192A34"/>
    <w:rsid w:val="001A7593"/>
    <w:rsid w:val="001B0297"/>
    <w:rsid w:val="001C0DE7"/>
    <w:rsid w:val="001D5716"/>
    <w:rsid w:val="001F26AE"/>
    <w:rsid w:val="001F682F"/>
    <w:rsid w:val="0023052E"/>
    <w:rsid w:val="00234682"/>
    <w:rsid w:val="00263D70"/>
    <w:rsid w:val="00283974"/>
    <w:rsid w:val="002A6648"/>
    <w:rsid w:val="002D3969"/>
    <w:rsid w:val="002E17F3"/>
    <w:rsid w:val="00330351"/>
    <w:rsid w:val="00344494"/>
    <w:rsid w:val="00362A1A"/>
    <w:rsid w:val="00382778"/>
    <w:rsid w:val="003854A4"/>
    <w:rsid w:val="003913A9"/>
    <w:rsid w:val="0039367E"/>
    <w:rsid w:val="003A630F"/>
    <w:rsid w:val="003A6E85"/>
    <w:rsid w:val="003F3FCB"/>
    <w:rsid w:val="003F7CEF"/>
    <w:rsid w:val="00400470"/>
    <w:rsid w:val="00417E6A"/>
    <w:rsid w:val="004332E2"/>
    <w:rsid w:val="00470D5B"/>
    <w:rsid w:val="00487778"/>
    <w:rsid w:val="004B2886"/>
    <w:rsid w:val="004B7E30"/>
    <w:rsid w:val="004E45E6"/>
    <w:rsid w:val="004F3992"/>
    <w:rsid w:val="004F3DBB"/>
    <w:rsid w:val="004F6DB2"/>
    <w:rsid w:val="0051087B"/>
    <w:rsid w:val="00513449"/>
    <w:rsid w:val="00515F23"/>
    <w:rsid w:val="0057516A"/>
    <w:rsid w:val="005851C2"/>
    <w:rsid w:val="005B705B"/>
    <w:rsid w:val="005D4BEF"/>
    <w:rsid w:val="005E51D7"/>
    <w:rsid w:val="0060267A"/>
    <w:rsid w:val="00611DC4"/>
    <w:rsid w:val="00614458"/>
    <w:rsid w:val="00617F85"/>
    <w:rsid w:val="0062464D"/>
    <w:rsid w:val="006673D6"/>
    <w:rsid w:val="006717DA"/>
    <w:rsid w:val="006A19B5"/>
    <w:rsid w:val="006F0E5A"/>
    <w:rsid w:val="006F26DB"/>
    <w:rsid w:val="006F6902"/>
    <w:rsid w:val="00710F94"/>
    <w:rsid w:val="00720B9A"/>
    <w:rsid w:val="00757CB0"/>
    <w:rsid w:val="00763336"/>
    <w:rsid w:val="00792501"/>
    <w:rsid w:val="007935C6"/>
    <w:rsid w:val="007A75D0"/>
    <w:rsid w:val="007C1A94"/>
    <w:rsid w:val="007D1C16"/>
    <w:rsid w:val="007F733A"/>
    <w:rsid w:val="00814805"/>
    <w:rsid w:val="00834D17"/>
    <w:rsid w:val="00841B9F"/>
    <w:rsid w:val="00894F3E"/>
    <w:rsid w:val="008A2B84"/>
    <w:rsid w:val="008B102E"/>
    <w:rsid w:val="008B308E"/>
    <w:rsid w:val="008D2EB1"/>
    <w:rsid w:val="00904B92"/>
    <w:rsid w:val="00904C4C"/>
    <w:rsid w:val="0093586D"/>
    <w:rsid w:val="00967CB1"/>
    <w:rsid w:val="00971090"/>
    <w:rsid w:val="00991578"/>
    <w:rsid w:val="009C2DBD"/>
    <w:rsid w:val="009F6EE1"/>
    <w:rsid w:val="00A02401"/>
    <w:rsid w:val="00A11F6A"/>
    <w:rsid w:val="00A231A1"/>
    <w:rsid w:val="00A24C14"/>
    <w:rsid w:val="00A45D56"/>
    <w:rsid w:val="00A8198E"/>
    <w:rsid w:val="00A86D55"/>
    <w:rsid w:val="00AA3F5B"/>
    <w:rsid w:val="00AE6FEC"/>
    <w:rsid w:val="00B00F8F"/>
    <w:rsid w:val="00B01481"/>
    <w:rsid w:val="00B35C21"/>
    <w:rsid w:val="00B56E12"/>
    <w:rsid w:val="00B70522"/>
    <w:rsid w:val="00B73396"/>
    <w:rsid w:val="00B91CDE"/>
    <w:rsid w:val="00B95314"/>
    <w:rsid w:val="00B95596"/>
    <w:rsid w:val="00BA3985"/>
    <w:rsid w:val="00BB6C9A"/>
    <w:rsid w:val="00C022F8"/>
    <w:rsid w:val="00C23832"/>
    <w:rsid w:val="00C51CD3"/>
    <w:rsid w:val="00C67BC9"/>
    <w:rsid w:val="00CA7BF3"/>
    <w:rsid w:val="00CC7A87"/>
    <w:rsid w:val="00CD28E2"/>
    <w:rsid w:val="00D34398"/>
    <w:rsid w:val="00D50409"/>
    <w:rsid w:val="00D5506F"/>
    <w:rsid w:val="00D56C97"/>
    <w:rsid w:val="00D67C5D"/>
    <w:rsid w:val="00DA232F"/>
    <w:rsid w:val="00DE393A"/>
    <w:rsid w:val="00DF38C3"/>
    <w:rsid w:val="00E2782E"/>
    <w:rsid w:val="00E3714D"/>
    <w:rsid w:val="00E534BC"/>
    <w:rsid w:val="00E54C89"/>
    <w:rsid w:val="00E57A07"/>
    <w:rsid w:val="00E6287B"/>
    <w:rsid w:val="00E90BF9"/>
    <w:rsid w:val="00EA112E"/>
    <w:rsid w:val="00ED1EA9"/>
    <w:rsid w:val="00EF1D1E"/>
    <w:rsid w:val="00F02A2D"/>
    <w:rsid w:val="00F14F33"/>
    <w:rsid w:val="00F34813"/>
    <w:rsid w:val="00F512D4"/>
    <w:rsid w:val="00F67170"/>
    <w:rsid w:val="00F84EEE"/>
    <w:rsid w:val="00FB4404"/>
    <w:rsid w:val="00FC7B5A"/>
    <w:rsid w:val="00FD5C1E"/>
    <w:rsid w:val="00FE07CE"/>
    <w:rsid w:val="00FE4B80"/>
    <w:rsid w:val="00FF61DF"/>
    <w:rsid w:val="02909117"/>
    <w:rsid w:val="0A9E7B95"/>
    <w:rsid w:val="1CA6B2B8"/>
    <w:rsid w:val="20CEDE0D"/>
    <w:rsid w:val="2A12A94E"/>
    <w:rsid w:val="30127554"/>
    <w:rsid w:val="36EFFDEC"/>
    <w:rsid w:val="3BC8DC1A"/>
    <w:rsid w:val="424A8EC8"/>
    <w:rsid w:val="513DB8E1"/>
    <w:rsid w:val="57FFC9BB"/>
    <w:rsid w:val="58598D64"/>
    <w:rsid w:val="6216423B"/>
    <w:rsid w:val="6A33957D"/>
    <w:rsid w:val="7284FB15"/>
  </w:rsids>
  <m:mathPr>
    <m:mathFont m:val="Cambria Math"/>
    <m:brkBin m:val="before"/>
    <m:brkBinSub m:val="--"/>
    <m:smallFrac m:val="0"/>
    <m:dispDef/>
    <m:lMargin m:val="0"/>
    <m:rMargin m:val="0"/>
    <m:defJc m:val="centerGroup"/>
    <m:wrapIndent m:val="1440"/>
    <m:intLim m:val="subSup"/>
    <m:naryLim m:val="undOvr"/>
  </m:mathPr>
  <w:themeFontLang w:val="af-Z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17E85"/>
  <w15:docId w15:val="{3A08548E-AA81-44D5-A24E-F4812DDDB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af-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47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MANormal">
    <w:name w:val="AFMA Normal"/>
    <w:rsid w:val="00400470"/>
    <w:pPr>
      <w:spacing w:before="240" w:after="0" w:line="240" w:lineRule="auto"/>
      <w:jc w:val="both"/>
    </w:pPr>
    <w:rPr>
      <w:rFonts w:ascii="Times New Roman" w:eastAsia="Times New Roman" w:hAnsi="Times New Roman" w:cs="Times New Roman"/>
      <w:snapToGrid w:val="0"/>
      <w:kern w:val="20"/>
      <w:sz w:val="24"/>
      <w:szCs w:val="20"/>
      <w:lang w:val="en-AU"/>
    </w:rPr>
  </w:style>
  <w:style w:type="paragraph" w:styleId="Footer">
    <w:name w:val="footer"/>
    <w:basedOn w:val="Normal"/>
    <w:link w:val="FooterChar"/>
    <w:uiPriority w:val="99"/>
    <w:rsid w:val="00400470"/>
    <w:pPr>
      <w:tabs>
        <w:tab w:val="center" w:pos="4153"/>
        <w:tab w:val="right" w:pos="8306"/>
      </w:tabs>
    </w:pPr>
  </w:style>
  <w:style w:type="character" w:customStyle="1" w:styleId="FooterChar">
    <w:name w:val="Footer Char"/>
    <w:basedOn w:val="DefaultParagraphFont"/>
    <w:link w:val="Footer"/>
    <w:uiPriority w:val="99"/>
    <w:rsid w:val="00400470"/>
    <w:rPr>
      <w:rFonts w:ascii="Times New Roman" w:eastAsia="Times New Roman" w:hAnsi="Times New Roman" w:cs="Times New Roman"/>
      <w:sz w:val="24"/>
      <w:szCs w:val="24"/>
      <w:lang w:val="en-US"/>
    </w:rPr>
  </w:style>
  <w:style w:type="paragraph" w:customStyle="1" w:styleId="AFMA123Normal">
    <w:name w:val="AFMA 123 Normal"/>
    <w:basedOn w:val="Normal"/>
    <w:rsid w:val="00400470"/>
    <w:pPr>
      <w:keepLines/>
      <w:spacing w:before="240"/>
      <w:jc w:val="both"/>
    </w:pPr>
    <w:rPr>
      <w:kern w:val="20"/>
      <w:szCs w:val="20"/>
      <w:lang w:val="en-AU"/>
    </w:rPr>
  </w:style>
  <w:style w:type="paragraph" w:customStyle="1" w:styleId="Default">
    <w:name w:val="Default"/>
    <w:rsid w:val="005851C2"/>
    <w:pPr>
      <w:autoSpaceDE w:val="0"/>
      <w:autoSpaceDN w:val="0"/>
      <w:adjustRightInd w:val="0"/>
      <w:spacing w:after="0" w:line="240" w:lineRule="auto"/>
    </w:pPr>
    <w:rPr>
      <w:rFonts w:ascii="Arial" w:hAnsi="Arial" w:cs="Arial"/>
      <w:color w:val="000000"/>
      <w:sz w:val="24"/>
      <w:szCs w:val="24"/>
      <w:lang w:val="en-AU"/>
    </w:rPr>
  </w:style>
  <w:style w:type="paragraph" w:styleId="ListParagraph">
    <w:name w:val="List Paragraph"/>
    <w:basedOn w:val="Normal"/>
    <w:uiPriority w:val="34"/>
    <w:qFormat/>
    <w:rsid w:val="003F7CEF"/>
    <w:pPr>
      <w:ind w:left="720"/>
      <w:contextualSpacing/>
    </w:pPr>
  </w:style>
  <w:style w:type="paragraph" w:styleId="BalloonText">
    <w:name w:val="Balloon Text"/>
    <w:basedOn w:val="Normal"/>
    <w:link w:val="BalloonTextChar"/>
    <w:uiPriority w:val="99"/>
    <w:semiHidden/>
    <w:unhideWhenUsed/>
    <w:rsid w:val="00841B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B9F"/>
    <w:rPr>
      <w:rFonts w:ascii="Segoe UI" w:eastAsia="Times New Roman" w:hAnsi="Segoe UI" w:cs="Segoe UI"/>
      <w:sz w:val="18"/>
      <w:szCs w:val="18"/>
      <w:lang w:val="en-US"/>
    </w:rPr>
  </w:style>
  <w:style w:type="paragraph" w:styleId="Header">
    <w:name w:val="header"/>
    <w:basedOn w:val="Normal"/>
    <w:link w:val="HeaderChar"/>
    <w:uiPriority w:val="99"/>
    <w:semiHidden/>
    <w:unhideWhenUsed/>
    <w:rsid w:val="00814805"/>
    <w:pPr>
      <w:tabs>
        <w:tab w:val="center" w:pos="4513"/>
        <w:tab w:val="right" w:pos="9026"/>
      </w:tabs>
    </w:pPr>
  </w:style>
  <w:style w:type="character" w:customStyle="1" w:styleId="HeaderChar">
    <w:name w:val="Header Char"/>
    <w:basedOn w:val="DefaultParagraphFont"/>
    <w:link w:val="Header"/>
    <w:uiPriority w:val="99"/>
    <w:semiHidden/>
    <w:rsid w:val="00814805"/>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818DD"/>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81F3D2151792640B5C90D8A0A14BE40" ma:contentTypeVersion="28" ma:contentTypeDescription="Create a new document." ma:contentTypeScope="" ma:versionID="b4a7a2300418b7bb4fda19c9edf342c2">
  <xsd:schema xmlns:xsd="http://www.w3.org/2001/XMLSchema" xmlns:xs="http://www.w3.org/2001/XMLSchema" xmlns:p="http://schemas.microsoft.com/office/2006/metadata/properties" xmlns:ns2="25c56c87-200f-42b8-bfaa-f628246074ac" xmlns:ns3="99314b40-14d6-47ed-8780-63ae4b3d5dbc" targetNamespace="http://schemas.microsoft.com/office/2006/metadata/properties" ma:root="true" ma:fieldsID="7a3bf8b7201832962876113bf0aa0ee7" ns2:_="" ns3:_="">
    <xsd:import namespace="25c56c87-200f-42b8-bfaa-f628246074ac"/>
    <xsd:import namespace="99314b40-14d6-47ed-8780-63ae4b3d5dbc"/>
    <xsd:element name="properties">
      <xsd:complexType>
        <xsd:sequence>
          <xsd:element name="documentManagement">
            <xsd:complexType>
              <xsd:all>
                <xsd:element ref="ns2:Year" minOccurs="0"/>
                <xsd:element ref="ns3:DocumentType" minOccurs="0"/>
                <xsd:element ref="ns2:_dlc_DocId" minOccurs="0"/>
                <xsd:element ref="ns2:_dlc_DocIdUrl" minOccurs="0"/>
                <xsd:element ref="ns2:_dlc_DocIdPersistId" minOccurs="0"/>
                <xsd:element ref="ns2:DocumentStatus" minOccurs="0"/>
                <xsd:element ref="ns2:ConcessionType" minOccurs="0"/>
                <xsd:element ref="ns2:MACRAG" minOccurs="0"/>
                <xsd:element ref="ns2:MeetingNo" minOccurs="0"/>
                <xsd:element ref="ns2:GearType" minOccurs="0"/>
                <xsd:element ref="ns2:RFMO"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Trip_x0020_name" minOccurs="0"/>
                <xsd:element ref="ns3:MediaLengthInSeconds"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c56c87-200f-42b8-bfaa-f628246074ac" elementFormDefault="qualified">
    <xsd:import namespace="http://schemas.microsoft.com/office/2006/documentManagement/types"/>
    <xsd:import namespace="http://schemas.microsoft.com/office/infopath/2007/PartnerControls"/>
    <xsd:element name="Year" ma:index="2" nillable="true" ma:displayName="Year" ma:format="Dropdown" ma:internalName="Year" ma:readOnly="false">
      <xsd:simpleType>
        <xsd:union memberTypes="dms:Text">
          <xsd:simpleType>
            <xsd:restriction base="dms:Choice">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union>
      </xsd:simpleType>
    </xsd:element>
    <xsd:element name="_dlc_DocId" ma:index="8" nillable="true" ma:displayName="Document ID Value" ma:description="The value of the document ID assigned to this item." ma:hidden="true"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DocumentStatus" ma:index="11" nillable="true" ma:displayName="DocumentStatus" ma:default="Draft" ma:format="Dropdown" ma:hidden="true" ma:internalName="DocumentStatus" ma:readOnly="false">
      <xsd:simpleType>
        <xsd:restriction base="dms:Choice">
          <xsd:enumeration value="Draft"/>
          <xsd:enumeration value="Draft-Revised"/>
          <xsd:enumeration value="Final"/>
          <xsd:enumeration value="Final-Cleared"/>
          <xsd:enumeration value="Final-For signature"/>
          <xsd:enumeration value="Approved"/>
          <xsd:enumeration value="For Clearance"/>
        </xsd:restriction>
      </xsd:simpleType>
    </xsd:element>
    <xsd:element name="ConcessionType" ma:index="12" nillable="true" ma:displayName="Gear Type" ma:format="Dropdown" ma:hidden="true" ma:internalName="ConcessionType" ma:readOnly="false">
      <xsd:simpleType>
        <xsd:restriction base="dms:Choice">
          <xsd:enumeration value="Boat SFR"/>
          <xsd:enumeration value="Gear SFR"/>
          <xsd:enumeration value="Quota SFR"/>
          <xsd:enumeration value="Scientific Permit"/>
          <xsd:enumeration value="Foreign Fishing License"/>
          <xsd:enumeration value="Permit"/>
          <xsd:enumeration value="Torres Strait license"/>
        </xsd:restriction>
      </xsd:simpleType>
    </xsd:element>
    <xsd:element name="MACRAG" ma:index="13" nillable="true" ma:displayName="MACRAG" ma:format="Dropdown" ma:hidden="true" ma:internalName="MACRAG" ma:readOnly="false">
      <xsd:simpleType>
        <xsd:restriction base="dms:Choice">
          <xsd:enumeration value="NORMAC"/>
          <xsd:enumeration value="NPRAG"/>
          <xsd:enumeration value="SEMAC"/>
          <xsd:enumeration value="Scallop MAC"/>
          <xsd:enumeration value="SESSFRAG"/>
          <xsd:enumeration value="SERAG"/>
          <xsd:enumeration value="SharkRAG"/>
          <xsd:enumeration value="SPF Scientific Panel"/>
          <xsd:enumeration value="Scallop RAG"/>
          <xsd:enumeration value="GABMAC"/>
          <xsd:enumeration value="GABRAG"/>
          <xsd:enumeration value="SquidRAG"/>
          <xsd:enumeration value="SPF Stakeholder Forum"/>
          <xsd:enumeration value="TTRAG"/>
          <xsd:enumeration value="TTMAC"/>
          <xsd:enumeration value="SARAG"/>
          <xsd:enumeration value="SouthMAC"/>
          <xsd:enumeration value="SBTMAC"/>
        </xsd:restriction>
      </xsd:simpleType>
    </xsd:element>
    <xsd:element name="MeetingNo" ma:index="14" nillable="true" ma:displayName="Meeting No" ma:hidden="true" ma:internalName="MeetingNo" ma:readOnly="false">
      <xsd:simpleType>
        <xsd:restriction base="dms:Text">
          <xsd:maxLength value="255"/>
        </xsd:restriction>
      </xsd:simpleType>
    </xsd:element>
    <xsd:element name="GearType" ma:index="15" nillable="true" ma:displayName="Sector" ma:format="Dropdown" ma:hidden="true" ma:internalName="GearType" ma:readOnly="false">
      <xsd:simpleType>
        <xsd:restriction base="dms:Choice">
          <xsd:enumeration value="Midwater Trawl"/>
          <xsd:enumeration value="Minor Line"/>
          <xsd:enumeration value="Purse Seine"/>
          <xsd:enumeration value="Demersal Longline"/>
          <xsd:enumeration value="Pelagic Longline"/>
          <xsd:enumeration value="Otter Trawl"/>
          <xsd:enumeration value="Danish Seine"/>
          <xsd:enumeration value="Gillnet"/>
          <xsd:enumeration value="Hook"/>
          <xsd:enumeration value="Pair Trawl"/>
          <xsd:enumeration value="Trap"/>
          <xsd:enumeration value="Pot"/>
          <xsd:enumeration value="Scallop Dredge"/>
          <xsd:enumeration value="Squid Jig"/>
          <xsd:enumeration value="Line"/>
          <xsd:enumeration value="Trawl"/>
          <xsd:enumeration value="Hand Collection"/>
        </xsd:restriction>
      </xsd:simpleType>
    </xsd:element>
    <xsd:element name="RFMO" ma:index="16" nillable="true" ma:displayName="SpeciesName" ma:format="Dropdown" ma:hidden="true" ma:internalName="RFMO" ma:readOnly="false">
      <xsd:simpleType>
        <xsd:restriction base="dms:Choice">
          <xsd:enumeration value="WCPFC"/>
          <xsd:enumeration value="IOTC"/>
          <xsd:enumeration value="CCAMLR"/>
          <xsd:enumeration value="CCSBT"/>
        </xsd:restriction>
      </xsd:simpleType>
    </xsd:element>
    <xsd:element name="SharedWithUsers" ma:index="2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hidden="true" ma:internalName="SharedWithDetails" ma:readOnly="true">
      <xsd:simpleType>
        <xsd:restriction base="dms:Note"/>
      </xsd:simpleType>
    </xsd:element>
    <xsd:element name="TaxCatchAll" ma:index="35" nillable="true" ma:displayName="Taxonomy Catch All Column" ma:hidden="true" ma:list="{f9428cb5-0139-42c2-977e-2c073812af59}" ma:internalName="TaxCatchAll" ma:showField="CatchAllData" ma:web="25c56c87-200f-42b8-bfaa-f628246074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314b40-14d6-47ed-8780-63ae4b3d5dbc" elementFormDefault="qualified">
    <xsd:import namespace="http://schemas.microsoft.com/office/2006/documentManagement/types"/>
    <xsd:import namespace="http://schemas.microsoft.com/office/infopath/2007/PartnerControls"/>
    <xsd:element name="DocumentType" ma:index="3" nillable="true" ma:displayName="Document Type" ma:format="Dropdown" ma:internalName="DocumentType" ma:readOnly="false">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hidden="true" ma:internalName="MediaServiceKeyPoints" ma:readOnly="true">
      <xsd:simpleType>
        <xsd:restriction base="dms:Note"/>
      </xsd:simpleType>
    </xsd:element>
    <xsd:element name="MediaServiceAutoTags" ma:index="25" nillable="true" ma:displayName="Tags" ma:hidden="true" ma:internalName="MediaServiceAutoTags"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OCR" ma:index="28" nillable="true" ma:displayName="Extracted Text" ma:hidden="true" ma:internalName="MediaServiceOCR" ma:readOnly="true">
      <xsd:simpleType>
        <xsd:restriction base="dms:Note"/>
      </xsd:simpleType>
    </xsd:element>
    <xsd:element name="MediaServiceDateTaken" ma:index="29" nillable="true" ma:displayName="MediaServiceDateTaken" ma:hidden="true" ma:internalName="MediaServiceDateTaken" ma:readOnly="true">
      <xsd:simpleType>
        <xsd:restriction base="dms:Text"/>
      </xsd:simpleType>
    </xsd:element>
    <xsd:element name="Trip_x0020_name" ma:index="30" nillable="true" ma:displayName="Trip name" ma:internalName="Trip_x0020_name">
      <xsd:simpleType>
        <xsd:restriction base="dms:Text">
          <xsd:maxLength value="255"/>
        </xsd:restriction>
      </xsd:simpleType>
    </xsd:element>
    <xsd:element name="MediaLengthInSeconds" ma:index="31" nillable="true" ma:displayName="Length (seconds)" ma:internalName="MediaLengthInSeconds" ma:readOnly="true">
      <xsd:simpleType>
        <xsd:restriction base="dms:Unknown"/>
      </xsd:simpleType>
    </xsd:element>
    <xsd:element name="MediaServiceLocation" ma:index="32" nillable="true" ma:displayName="Location" ma:internalName="MediaServiceLocation" ma:readOnly="true">
      <xsd:simpleType>
        <xsd:restriction base="dms:Text"/>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20ffd662-4a1a-4b48-8c9d-d73ee6b85f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5c56c87-200f-42b8-bfaa-f628246074ac">AFMATIN-648395522-43362</_dlc_DocId>
    <_dlc_DocIdUrl xmlns="25c56c87-200f-42b8-bfaa-f628246074ac">
      <Url>https://afmagovau.sharepoint.com/sites/TIN-PROD/_layouts/15/DocIdRedir.aspx?ID=AFMATIN-648395522-43362</Url>
      <Description>AFMATIN-648395522-43362</Description>
    </_dlc_DocIdUrl>
    <DocumentStatus xmlns="25c56c87-200f-42b8-bfaa-f628246074ac">CEO Cleared</DocumentStatus>
    <_dlc_DocIdPersistId xmlns="25c56c87-200f-42b8-bfaa-f628246074ac" xsi:nil="true"/>
    <SharedWithUsers xmlns="25c56c87-200f-42b8-bfaa-f628246074ac">
      <UserInfo>
        <DisplayName>POWELL, Andrew</DisplayName>
        <AccountId>52</AccountId>
        <AccountType/>
      </UserInfo>
    </SharedWithUsers>
    <TaxCatchAll xmlns="25c56c87-200f-42b8-bfaa-f628246074ac" xsi:nil="true"/>
    <lcf76f155ced4ddcb4097134ff3c332f xmlns="99314b40-14d6-47ed-8780-63ae4b3d5dbc">
      <Terms xmlns="http://schemas.microsoft.com/office/infopath/2007/PartnerControls"/>
    </lcf76f155ced4ddcb4097134ff3c332f>
    <Trip_x0020_name xmlns="99314b40-14d6-47ed-8780-63ae4b3d5dbc" xsi:nil="true"/>
    <MACRAG xmlns="25c56c87-200f-42b8-bfaa-f628246074ac" xsi:nil="true"/>
    <DocumentType xmlns="99314b40-14d6-47ed-8780-63ae4b3d5dbc" xsi:nil="true"/>
    <RFMO xmlns="25c56c87-200f-42b8-bfaa-f628246074ac" xsi:nil="true"/>
    <ConcessionType xmlns="25c56c87-200f-42b8-bfaa-f628246074ac" xsi:nil="true"/>
    <MeetingNo xmlns="25c56c87-200f-42b8-bfaa-f628246074ac" xsi:nil="true"/>
    <GearType xmlns="25c56c87-200f-42b8-bfaa-f628246074ac" xsi:nil="true"/>
    <Year xmlns="25c56c87-200f-42b8-bfaa-f628246074ac" xsi:nil="true"/>
    <MediaLengthInSeconds xmlns="99314b40-14d6-47ed-8780-63ae4b3d5dbc" xsi:nil="true"/>
  </documentManagement>
</p:properties>
</file>

<file path=customXml/itemProps1.xml><?xml version="1.0" encoding="utf-8"?>
<ds:datastoreItem xmlns:ds="http://schemas.openxmlformats.org/officeDocument/2006/customXml" ds:itemID="{8CD85B28-FCDF-43D4-80FD-E1C5325C1C1A}">
  <ds:schemaRefs>
    <ds:schemaRef ds:uri="http://schemas.microsoft.com/sharepoint/v3/contenttype/forms"/>
  </ds:schemaRefs>
</ds:datastoreItem>
</file>

<file path=customXml/itemProps2.xml><?xml version="1.0" encoding="utf-8"?>
<ds:datastoreItem xmlns:ds="http://schemas.openxmlformats.org/officeDocument/2006/customXml" ds:itemID="{40165664-8716-45F1-941A-70D4FCB3C716}">
  <ds:schemaRefs>
    <ds:schemaRef ds:uri="http://schemas.microsoft.com/sharepoint/events"/>
  </ds:schemaRefs>
</ds:datastoreItem>
</file>

<file path=customXml/itemProps3.xml><?xml version="1.0" encoding="utf-8"?>
<ds:datastoreItem xmlns:ds="http://schemas.openxmlformats.org/officeDocument/2006/customXml" ds:itemID="{B7057392-D6C5-4657-9361-B8D90BDE1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c56c87-200f-42b8-bfaa-f628246074ac"/>
    <ds:schemaRef ds:uri="99314b40-14d6-47ed-8780-63ae4b3d5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3B4430-22C4-40D2-8315-0BB79D1B2E48}">
  <ds:schemaRefs>
    <ds:schemaRef ds:uri="http://schemas.microsoft.com/office/2006/metadata/properties"/>
    <ds:schemaRef ds:uri="http://schemas.microsoft.com/office/infopath/2007/PartnerControls"/>
    <ds:schemaRef ds:uri="25c56c87-200f-42b8-bfaa-f628246074ac"/>
    <ds:schemaRef ds:uri="99314b40-14d6-47ed-8780-63ae4b3d5dbc"/>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1056</Words>
  <Characters>6024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KEARNEY Brendan</dc:creator>
  <cp:keywords/>
  <cp:lastModifiedBy>SMITH, Jeremy</cp:lastModifiedBy>
  <cp:revision>37</cp:revision>
  <cp:lastPrinted>2023-11-10T05:43:00Z</cp:lastPrinted>
  <dcterms:created xsi:type="dcterms:W3CDTF">2023-10-10T04:36:00Z</dcterms:created>
  <dcterms:modified xsi:type="dcterms:W3CDTF">2023-11-10T05:43:00Z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1fcdfee1-be0b-4b7a-b067-f0e3cd9047d3</vt:lpwstr>
  </property>
  <property fmtid="{D5CDD505-2E9C-101B-9397-08002B2CF9AE}" pid="3" name="ContentTypeId">
    <vt:lpwstr>0x010100381F3D2151792640B5C90D8A0A14BE40</vt:lpwstr>
  </property>
  <property fmtid="{D5CDD505-2E9C-101B-9397-08002B2CF9AE}" pid="4" name="_dlc_DocIdItemGuid">
    <vt:lpwstr>dee97cca-9d0e-4b03-87c2-fdddee20dedd</vt:lpwstr>
  </property>
  <property fmtid="{D5CDD505-2E9C-101B-9397-08002B2CF9AE}" pid="5" name="MediaServiceImageTags">
    <vt:lpwstr/>
  </property>
  <property fmtid="{D5CDD505-2E9C-101B-9397-08002B2CF9AE}" pid="6" name="Order">
    <vt:r8>3203000</vt:r8>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SEC">
    <vt:lpwstr>OFFICIAL</vt:lpwstr>
  </property>
  <property fmtid="{D5CDD505-2E9C-101B-9397-08002B2CF9AE}" pid="14" name="ApplyMark">
    <vt:lpwstr>false</vt:lpwstr>
  </property>
</Properties>
</file>