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1AE5F" w14:textId="77777777" w:rsidR="002265E9" w:rsidRPr="002265E9" w:rsidRDefault="002265E9" w:rsidP="00795FD7"/>
    <w:p w14:paraId="2C4B2504" w14:textId="19124A4C" w:rsidR="002265E9" w:rsidRPr="00AD7F51" w:rsidRDefault="00090A61" w:rsidP="002265E9">
      <w:pPr>
        <w:jc w:val="center"/>
        <w:rPr>
          <w:rFonts w:cs="Arial"/>
          <w:b/>
          <w:szCs w:val="24"/>
          <w:u w:val="single"/>
        </w:rPr>
      </w:pPr>
      <w:r w:rsidRPr="00AD7F51">
        <w:rPr>
          <w:rFonts w:cs="Arial"/>
          <w:b/>
          <w:szCs w:val="24"/>
          <w:u w:val="single"/>
        </w:rPr>
        <w:t>Explanatory Statement</w:t>
      </w:r>
    </w:p>
    <w:p w14:paraId="59D7CE43" w14:textId="605999EE" w:rsidR="002265E9" w:rsidRPr="00AD7F51" w:rsidRDefault="00090A61" w:rsidP="002265E9">
      <w:pPr>
        <w:jc w:val="center"/>
        <w:rPr>
          <w:rFonts w:cs="Arial"/>
          <w:b/>
          <w:szCs w:val="24"/>
          <w:u w:val="single"/>
        </w:rPr>
      </w:pPr>
      <w:r w:rsidRPr="00AD7F51">
        <w:rPr>
          <w:rFonts w:cs="Arial"/>
          <w:b/>
          <w:szCs w:val="24"/>
          <w:u w:val="single"/>
        </w:rPr>
        <w:t>High Court Amendment (Fees) Rules 202</w:t>
      </w:r>
      <w:r w:rsidR="002F37AA">
        <w:rPr>
          <w:rFonts w:cs="Arial"/>
          <w:b/>
          <w:szCs w:val="24"/>
          <w:u w:val="single"/>
        </w:rPr>
        <w:t>3</w:t>
      </w:r>
    </w:p>
    <w:p w14:paraId="24556F97" w14:textId="7E0F0E40" w:rsidR="00795FD7" w:rsidRPr="00AD7F51" w:rsidRDefault="002F37AA" w:rsidP="00D76B75">
      <w:pPr>
        <w:jc w:val="center"/>
        <w:rPr>
          <w:rFonts w:cs="Arial"/>
          <w:b/>
          <w:szCs w:val="24"/>
          <w:u w:val="single"/>
        </w:rPr>
      </w:pPr>
      <w:r>
        <w:rPr>
          <w:rFonts w:cs="Arial"/>
          <w:b/>
          <w:szCs w:val="24"/>
          <w:u w:val="single"/>
        </w:rPr>
        <w:t>13 November 2023</w:t>
      </w:r>
    </w:p>
    <w:p w14:paraId="4710C8F1" w14:textId="7CA6B604" w:rsidR="00CF4044" w:rsidRPr="00AD7F51" w:rsidRDefault="00CF4044" w:rsidP="00795FD7"/>
    <w:p w14:paraId="69F98EE7" w14:textId="1163B7B1" w:rsidR="00D76B75" w:rsidRPr="00AD7F51" w:rsidRDefault="00D76B75" w:rsidP="001368D9">
      <w:pPr>
        <w:jc w:val="both"/>
        <w:rPr>
          <w:rFonts w:cs="Arial"/>
          <w:szCs w:val="24"/>
        </w:rPr>
      </w:pPr>
      <w:r w:rsidRPr="00AD7F51">
        <w:rPr>
          <w:rFonts w:cs="Arial"/>
          <w:szCs w:val="24"/>
        </w:rPr>
        <w:t xml:space="preserve">These Amendment Rules of Court, signed by the Justices </w:t>
      </w:r>
      <w:r w:rsidR="00BE12BC" w:rsidRPr="00AD7F51">
        <w:rPr>
          <w:rFonts w:cs="Arial"/>
          <w:szCs w:val="24"/>
        </w:rPr>
        <w:t xml:space="preserve">of the High Court of Australia </w:t>
      </w:r>
      <w:r w:rsidRPr="00AD7F51">
        <w:rPr>
          <w:rFonts w:cs="Arial"/>
          <w:szCs w:val="24"/>
        </w:rPr>
        <w:t>on</w:t>
      </w:r>
      <w:r w:rsidR="00AF6A3E" w:rsidRPr="00AD7F51">
        <w:rPr>
          <w:rFonts w:cs="Arial"/>
          <w:szCs w:val="24"/>
        </w:rPr>
        <w:t xml:space="preserve"> </w:t>
      </w:r>
      <w:r w:rsidR="002F37AA">
        <w:rPr>
          <w:rFonts w:cs="Arial"/>
          <w:szCs w:val="24"/>
        </w:rPr>
        <w:t>13 November 2023</w:t>
      </w:r>
      <w:r w:rsidRPr="00AD7F51">
        <w:rPr>
          <w:rFonts w:cs="Arial"/>
          <w:szCs w:val="24"/>
        </w:rPr>
        <w:t xml:space="preserve">, are made by the Justices under the </w:t>
      </w:r>
      <w:r w:rsidRPr="00AD7F51">
        <w:rPr>
          <w:rFonts w:cs="Arial"/>
          <w:i/>
          <w:szCs w:val="24"/>
        </w:rPr>
        <w:t>Judiciary Act 1903</w:t>
      </w:r>
      <w:r w:rsidRPr="00AD7F51">
        <w:rPr>
          <w:rFonts w:cs="Arial"/>
          <w:szCs w:val="24"/>
        </w:rPr>
        <w:t xml:space="preserve">, the </w:t>
      </w:r>
      <w:r w:rsidRPr="00AD7F51">
        <w:rPr>
          <w:rFonts w:cs="Arial"/>
          <w:i/>
          <w:szCs w:val="24"/>
        </w:rPr>
        <w:t>Commonwealth Electoral Act 1918</w:t>
      </w:r>
      <w:r w:rsidR="00090A61" w:rsidRPr="00AD7F51">
        <w:rPr>
          <w:rFonts w:cs="Arial"/>
          <w:i/>
          <w:szCs w:val="24"/>
        </w:rPr>
        <w:t xml:space="preserve"> </w:t>
      </w:r>
      <w:r w:rsidRPr="00AD7F51">
        <w:rPr>
          <w:rFonts w:cs="Arial"/>
          <w:szCs w:val="24"/>
        </w:rPr>
        <w:t>and the</w:t>
      </w:r>
      <w:r w:rsidRPr="00AD7F51">
        <w:rPr>
          <w:rFonts w:cs="Arial"/>
          <w:i/>
          <w:szCs w:val="24"/>
        </w:rPr>
        <w:t xml:space="preserve"> High Court of Australia Act 1979</w:t>
      </w:r>
      <w:r w:rsidRPr="00AD7F51">
        <w:rPr>
          <w:rFonts w:cs="Arial"/>
          <w:szCs w:val="24"/>
        </w:rPr>
        <w:t>.</w:t>
      </w:r>
    </w:p>
    <w:p w14:paraId="25EC2D74" w14:textId="77777777" w:rsidR="00090A61" w:rsidRPr="00AD7F51" w:rsidRDefault="00090A61" w:rsidP="00795FD7"/>
    <w:p w14:paraId="60879628" w14:textId="15570316" w:rsidR="003B03F9" w:rsidRPr="00AD7F51" w:rsidRDefault="003B03F9" w:rsidP="001368D9">
      <w:pPr>
        <w:ind w:right="-51"/>
        <w:jc w:val="both"/>
        <w:rPr>
          <w:rFonts w:cs="Arial"/>
          <w:szCs w:val="24"/>
        </w:rPr>
      </w:pPr>
      <w:r w:rsidRPr="00AD7F51">
        <w:rPr>
          <w:rFonts w:cs="Arial"/>
          <w:szCs w:val="24"/>
        </w:rPr>
        <w:t>Schedule 2 of the High Court Rules 2004 specifies the amount which solicitors, who are entitled to practise in the High Court, may charge and be allowed on taxation of costs by the Taxing Officer of the Court in respect of proceedings in the Court.</w:t>
      </w:r>
      <w:r w:rsidR="00BE12BC" w:rsidRPr="00AD7F51">
        <w:rPr>
          <w:rFonts w:cs="Arial"/>
          <w:szCs w:val="24"/>
        </w:rPr>
        <w:t xml:space="preserve">  </w:t>
      </w:r>
      <w:r w:rsidRPr="00AD7F51">
        <w:rPr>
          <w:rFonts w:cs="Arial"/>
          <w:szCs w:val="24"/>
        </w:rPr>
        <w:t>The amounts in the Schedule were las</w:t>
      </w:r>
      <w:r w:rsidR="0006128E" w:rsidRPr="00AD7F51">
        <w:rPr>
          <w:rFonts w:cs="Arial"/>
          <w:szCs w:val="24"/>
        </w:rPr>
        <w:t xml:space="preserve">t varied by </w:t>
      </w:r>
      <w:r w:rsidR="002711C2">
        <w:rPr>
          <w:rFonts w:cs="Arial"/>
          <w:szCs w:val="24"/>
        </w:rPr>
        <w:t xml:space="preserve">the </w:t>
      </w:r>
      <w:r w:rsidR="002711C2" w:rsidRPr="002711C2">
        <w:rPr>
          <w:rFonts w:cs="Arial"/>
          <w:i/>
          <w:iCs/>
          <w:szCs w:val="24"/>
        </w:rPr>
        <w:t>High Court Amendment (Forms and Other Matters) Rules 2022</w:t>
      </w:r>
      <w:r w:rsidR="002711C2" w:rsidRPr="002711C2">
        <w:rPr>
          <w:rFonts w:cs="Arial"/>
          <w:szCs w:val="24"/>
        </w:rPr>
        <w:t xml:space="preserve"> </w:t>
      </w:r>
      <w:r w:rsidR="002711C2">
        <w:rPr>
          <w:rFonts w:cs="Arial"/>
          <w:szCs w:val="24"/>
        </w:rPr>
        <w:t>(</w:t>
      </w:r>
      <w:r w:rsidR="002711C2" w:rsidRPr="002711C2">
        <w:rPr>
          <w:rFonts w:cs="Arial"/>
          <w:szCs w:val="24"/>
        </w:rPr>
        <w:t>F2022L0</w:t>
      </w:r>
      <w:r w:rsidR="002711C2">
        <w:rPr>
          <w:rFonts w:cs="Arial"/>
          <w:szCs w:val="24"/>
        </w:rPr>
        <w:t>1483)</w:t>
      </w:r>
      <w:r w:rsidR="005162B3" w:rsidRPr="002711C2">
        <w:rPr>
          <w:rFonts w:cs="Arial"/>
          <w:szCs w:val="24"/>
        </w:rPr>
        <w:t xml:space="preserve"> </w:t>
      </w:r>
      <w:r w:rsidR="007A0732" w:rsidRPr="002711C2">
        <w:rPr>
          <w:rFonts w:cs="Arial"/>
          <w:szCs w:val="24"/>
        </w:rPr>
        <w:t xml:space="preserve">made on </w:t>
      </w:r>
      <w:r w:rsidR="002711C2">
        <w:rPr>
          <w:rFonts w:cs="Arial"/>
          <w:szCs w:val="24"/>
        </w:rPr>
        <w:t>18 November 2022</w:t>
      </w:r>
      <w:r w:rsidR="002E7813" w:rsidRPr="00AD7F51">
        <w:rPr>
          <w:rFonts w:cs="Arial"/>
          <w:szCs w:val="24"/>
        </w:rPr>
        <w:t xml:space="preserve"> and apply to work done and services performed by solicitors after </w:t>
      </w:r>
      <w:r w:rsidR="002711C2">
        <w:rPr>
          <w:rFonts w:cs="Arial"/>
          <w:szCs w:val="24"/>
        </w:rPr>
        <w:t>1 January 2023</w:t>
      </w:r>
      <w:r w:rsidR="00B17FFC" w:rsidRPr="00AD7F51">
        <w:rPr>
          <w:rFonts w:cs="Arial"/>
          <w:szCs w:val="24"/>
        </w:rPr>
        <w:t>.</w:t>
      </w:r>
    </w:p>
    <w:p w14:paraId="4C98752A" w14:textId="77777777" w:rsidR="003B03F9" w:rsidRPr="00AD7F51" w:rsidRDefault="003B03F9" w:rsidP="00795FD7"/>
    <w:p w14:paraId="0FD3B709" w14:textId="77777777" w:rsidR="003A1D9F" w:rsidRPr="00AD7F51" w:rsidRDefault="003A1D9F" w:rsidP="00E3337E">
      <w:pPr>
        <w:ind w:right="-51"/>
        <w:jc w:val="both"/>
        <w:rPr>
          <w:rFonts w:cs="Arial"/>
          <w:szCs w:val="24"/>
        </w:rPr>
      </w:pPr>
      <w:r w:rsidRPr="00AD7F51">
        <w:rPr>
          <w:rFonts w:cs="Arial"/>
          <w:szCs w:val="24"/>
        </w:rPr>
        <w:t>The</w:t>
      </w:r>
      <w:r w:rsidR="00840B34" w:rsidRPr="00AD7F51">
        <w:rPr>
          <w:rFonts w:cs="Arial"/>
          <w:szCs w:val="24"/>
        </w:rPr>
        <w:t xml:space="preserve"> Joint Costs Advisory Committee (JCAC</w:t>
      </w:r>
      <w:r w:rsidRPr="00AD7F51">
        <w:rPr>
          <w:rFonts w:cs="Arial"/>
          <w:szCs w:val="24"/>
        </w:rPr>
        <w:t>)</w:t>
      </w:r>
      <w:r w:rsidR="00BE12BC" w:rsidRPr="00AD7F51">
        <w:rPr>
          <w:rFonts w:cs="Arial"/>
          <w:szCs w:val="24"/>
        </w:rPr>
        <w:t xml:space="preserve"> was established in 2007 to review annually and recommend variations in the quantum of costs contained in the Rules made by the High Court of Australia, the Federal Court of Australia, the Family Court of Australia and the Federal Circuit Court of Australia</w:t>
      </w:r>
      <w:r w:rsidR="00840B34" w:rsidRPr="00AD7F51">
        <w:rPr>
          <w:rFonts w:cs="Arial"/>
          <w:szCs w:val="24"/>
        </w:rPr>
        <w:t xml:space="preserve">.  </w:t>
      </w:r>
      <w:r w:rsidR="00BF49B5" w:rsidRPr="00AD7F51">
        <w:rPr>
          <w:rFonts w:cs="Arial"/>
          <w:szCs w:val="24"/>
        </w:rPr>
        <w:t xml:space="preserve">It comprises representatives of those courts.  In conducting its reviews, the JCAC applies a formula </w:t>
      </w:r>
      <w:r w:rsidR="00CB4267" w:rsidRPr="00AD7F51">
        <w:rPr>
          <w:rFonts w:cs="Arial"/>
          <w:szCs w:val="24"/>
        </w:rPr>
        <w:t>which has regard to movements in wages and salaries and other costs of solicitors’ practices.</w:t>
      </w:r>
    </w:p>
    <w:p w14:paraId="48218187" w14:textId="77777777" w:rsidR="003A1D9F" w:rsidRPr="00AD7F51" w:rsidRDefault="003A1D9F" w:rsidP="00795FD7"/>
    <w:p w14:paraId="35911981" w14:textId="3F5D6F30" w:rsidR="0081388B" w:rsidRPr="00AD7F51" w:rsidRDefault="00C12B4D" w:rsidP="00DB7F36">
      <w:pPr>
        <w:ind w:right="-51"/>
        <w:jc w:val="both"/>
        <w:rPr>
          <w:rFonts w:cs="Arial"/>
          <w:szCs w:val="24"/>
        </w:rPr>
      </w:pPr>
      <w:r w:rsidRPr="00AD7F51">
        <w:rPr>
          <w:rFonts w:cs="Arial"/>
          <w:szCs w:val="24"/>
        </w:rPr>
        <w:t>The JCAC conducted its annual review in 202</w:t>
      </w:r>
      <w:r w:rsidR="002F37AA">
        <w:rPr>
          <w:rFonts w:cs="Arial"/>
          <w:szCs w:val="24"/>
        </w:rPr>
        <w:t>3</w:t>
      </w:r>
      <w:r w:rsidRPr="00AD7F51">
        <w:rPr>
          <w:rFonts w:cs="Arial"/>
          <w:szCs w:val="24"/>
        </w:rPr>
        <w:t xml:space="preserve">, </w:t>
      </w:r>
      <w:r w:rsidRPr="006D2ED6">
        <w:rPr>
          <w:rFonts w:cs="Arial"/>
          <w:szCs w:val="24"/>
        </w:rPr>
        <w:t>writing to the Commonwealth Attorney-General’s Department, the Law Council of Australia, the National Association of Community Legal Centres and National Legal Aid inviting them</w:t>
      </w:r>
      <w:r w:rsidR="006D2ED6">
        <w:rPr>
          <w:rFonts w:cs="Arial"/>
          <w:szCs w:val="24"/>
        </w:rPr>
        <w:t>,</w:t>
      </w:r>
      <w:r w:rsidRPr="006D2ED6">
        <w:rPr>
          <w:rFonts w:cs="Arial"/>
          <w:szCs w:val="24"/>
        </w:rPr>
        <w:t xml:space="preserve"> and their respective constituent bodies or State and Territory counterparts</w:t>
      </w:r>
      <w:r w:rsidR="006D2ED6">
        <w:rPr>
          <w:rFonts w:cs="Arial"/>
          <w:szCs w:val="24"/>
        </w:rPr>
        <w:t>,</w:t>
      </w:r>
      <w:r w:rsidRPr="006D2ED6">
        <w:rPr>
          <w:rFonts w:cs="Arial"/>
          <w:szCs w:val="24"/>
        </w:rPr>
        <w:t xml:space="preserve"> to make submissions to the review.  A notice of the review was also placed on the website of each court.  </w:t>
      </w:r>
      <w:r w:rsidR="003222AC" w:rsidRPr="006D2ED6">
        <w:rPr>
          <w:rFonts w:cs="Arial"/>
          <w:szCs w:val="24"/>
        </w:rPr>
        <w:t xml:space="preserve">The </w:t>
      </w:r>
      <w:r w:rsidR="006D2ED6">
        <w:rPr>
          <w:rFonts w:cs="Arial"/>
          <w:szCs w:val="24"/>
        </w:rPr>
        <w:t xml:space="preserve">JCAC </w:t>
      </w:r>
      <w:r w:rsidR="003222AC" w:rsidRPr="006D2ED6">
        <w:rPr>
          <w:rFonts w:cs="Arial"/>
          <w:szCs w:val="24"/>
        </w:rPr>
        <w:t xml:space="preserve">received submissions from the Law Council of Australia, </w:t>
      </w:r>
      <w:r w:rsidR="002711C2" w:rsidRPr="006D2ED6">
        <w:rPr>
          <w:rFonts w:cs="Arial"/>
          <w:szCs w:val="24"/>
        </w:rPr>
        <w:t xml:space="preserve">the Tasmanian Department of Justice, </w:t>
      </w:r>
      <w:r w:rsidR="006D2ED6" w:rsidRPr="006D2ED6">
        <w:rPr>
          <w:rFonts w:cs="Arial"/>
          <w:szCs w:val="24"/>
        </w:rPr>
        <w:t>and the Commonwealth Attorney-General’s Department</w:t>
      </w:r>
      <w:r w:rsidR="003222AC" w:rsidRPr="006D2ED6">
        <w:rPr>
          <w:rFonts w:cs="Arial"/>
          <w:szCs w:val="24"/>
        </w:rPr>
        <w:t>.</w:t>
      </w:r>
      <w:r w:rsidR="003222AC" w:rsidRPr="00AD7F51">
        <w:rPr>
          <w:rFonts w:cs="Arial"/>
          <w:szCs w:val="24"/>
        </w:rPr>
        <w:t xml:space="preserve">  </w:t>
      </w:r>
      <w:r w:rsidRPr="00AD7F51">
        <w:rPr>
          <w:rFonts w:cs="Arial"/>
          <w:szCs w:val="24"/>
        </w:rPr>
        <w:t xml:space="preserve">Following its review, the JCAC </w:t>
      </w:r>
      <w:r w:rsidR="003222AC" w:rsidRPr="00AD7F51">
        <w:rPr>
          <w:rFonts w:cs="Arial"/>
          <w:szCs w:val="24"/>
        </w:rPr>
        <w:t xml:space="preserve">published </w:t>
      </w:r>
      <w:r w:rsidRPr="00AD7F51">
        <w:rPr>
          <w:rFonts w:cs="Arial"/>
          <w:szCs w:val="24"/>
        </w:rPr>
        <w:t xml:space="preserve">its </w:t>
      </w:r>
      <w:r w:rsidR="002F37AA">
        <w:rPr>
          <w:rFonts w:cs="Arial"/>
          <w:szCs w:val="24"/>
        </w:rPr>
        <w:t>Sixteenth</w:t>
      </w:r>
      <w:r w:rsidR="003222AC" w:rsidRPr="00AD7F51">
        <w:rPr>
          <w:rFonts w:cs="Arial"/>
          <w:szCs w:val="24"/>
        </w:rPr>
        <w:t xml:space="preserve"> </w:t>
      </w:r>
      <w:r w:rsidR="0081388B" w:rsidRPr="00AD7F51">
        <w:rPr>
          <w:rFonts w:cs="Arial"/>
          <w:szCs w:val="24"/>
        </w:rPr>
        <w:t>R</w:t>
      </w:r>
      <w:r w:rsidRPr="00AD7F51">
        <w:rPr>
          <w:rFonts w:cs="Arial"/>
          <w:szCs w:val="24"/>
        </w:rPr>
        <w:t xml:space="preserve">eport </w:t>
      </w:r>
      <w:r w:rsidR="0081388B" w:rsidRPr="00AD7F51">
        <w:rPr>
          <w:rFonts w:cs="Arial"/>
          <w:szCs w:val="24"/>
        </w:rPr>
        <w:t xml:space="preserve">on Legal Practitioners’ Costs </w:t>
      </w:r>
      <w:r w:rsidRPr="00AD7F51">
        <w:rPr>
          <w:rFonts w:cs="Arial"/>
          <w:szCs w:val="24"/>
        </w:rPr>
        <w:t xml:space="preserve">in </w:t>
      </w:r>
      <w:r w:rsidRPr="006D2ED6">
        <w:rPr>
          <w:rFonts w:cs="Arial"/>
          <w:szCs w:val="24"/>
        </w:rPr>
        <w:t>September 202</w:t>
      </w:r>
      <w:r w:rsidR="002F37AA" w:rsidRPr="006D2ED6">
        <w:rPr>
          <w:rFonts w:cs="Arial"/>
          <w:szCs w:val="24"/>
        </w:rPr>
        <w:t>3</w:t>
      </w:r>
      <w:r w:rsidR="003222AC" w:rsidRPr="00AD7F51">
        <w:rPr>
          <w:rFonts w:cs="Arial"/>
          <w:szCs w:val="24"/>
        </w:rPr>
        <w:t xml:space="preserve">.  Issues raised in </w:t>
      </w:r>
      <w:r w:rsidR="002E7813" w:rsidRPr="00AD7F51">
        <w:rPr>
          <w:rFonts w:cs="Arial"/>
          <w:szCs w:val="24"/>
        </w:rPr>
        <w:t xml:space="preserve">submissions received by the Committee </w:t>
      </w:r>
      <w:r w:rsidR="003222AC" w:rsidRPr="00AD7F51">
        <w:rPr>
          <w:rFonts w:cs="Arial"/>
          <w:szCs w:val="24"/>
        </w:rPr>
        <w:t>were addressed in the report.</w:t>
      </w:r>
    </w:p>
    <w:p w14:paraId="0DC41378" w14:textId="2E74D218" w:rsidR="0081388B" w:rsidRPr="00AD7F51" w:rsidRDefault="0081388B" w:rsidP="00795FD7"/>
    <w:p w14:paraId="362B96F8" w14:textId="7268CE4F" w:rsidR="003B03F9" w:rsidRPr="00AD7F51" w:rsidRDefault="003222AC" w:rsidP="00DB7F36">
      <w:pPr>
        <w:ind w:right="-51"/>
        <w:jc w:val="both"/>
        <w:rPr>
          <w:rFonts w:cs="Arial"/>
          <w:szCs w:val="24"/>
        </w:rPr>
      </w:pPr>
      <w:r w:rsidRPr="00AD7F51">
        <w:rPr>
          <w:rFonts w:cs="Arial"/>
          <w:szCs w:val="24"/>
        </w:rPr>
        <w:t xml:space="preserve">In its report the </w:t>
      </w:r>
      <w:r w:rsidR="006D2ED6">
        <w:rPr>
          <w:rFonts w:cs="Arial"/>
          <w:szCs w:val="24"/>
        </w:rPr>
        <w:t xml:space="preserve">JCAC </w:t>
      </w:r>
      <w:r w:rsidRPr="00AD7F51">
        <w:rPr>
          <w:rFonts w:cs="Arial"/>
          <w:szCs w:val="24"/>
        </w:rPr>
        <w:t xml:space="preserve">recommended an increase of </w:t>
      </w:r>
      <w:r w:rsidR="006D2ED6" w:rsidRPr="006D2ED6">
        <w:rPr>
          <w:rFonts w:cs="Arial"/>
          <w:szCs w:val="24"/>
        </w:rPr>
        <w:t>4</w:t>
      </w:r>
      <w:r w:rsidRPr="006D2ED6">
        <w:rPr>
          <w:rFonts w:cs="Arial"/>
          <w:szCs w:val="24"/>
        </w:rPr>
        <w:t>.5% to the solicitors’ costs provided for in the Rules of each Court</w:t>
      </w:r>
      <w:r w:rsidR="002F37AA">
        <w:rPr>
          <w:rFonts w:cs="Arial"/>
          <w:szCs w:val="24"/>
        </w:rPr>
        <w:t xml:space="preserve">.  </w:t>
      </w:r>
      <w:r w:rsidR="003B03F9" w:rsidRPr="00AD7F51">
        <w:rPr>
          <w:rFonts w:cs="Arial"/>
          <w:szCs w:val="24"/>
        </w:rPr>
        <w:t xml:space="preserve">The </w:t>
      </w:r>
      <w:r w:rsidR="0081388B" w:rsidRPr="00AD7F51">
        <w:rPr>
          <w:rFonts w:cs="Arial"/>
          <w:szCs w:val="24"/>
        </w:rPr>
        <w:t xml:space="preserve">High </w:t>
      </w:r>
      <w:r w:rsidR="003B03F9" w:rsidRPr="00AD7F51">
        <w:rPr>
          <w:rFonts w:cs="Arial"/>
          <w:szCs w:val="24"/>
        </w:rPr>
        <w:t xml:space="preserve">Court has </w:t>
      </w:r>
      <w:r w:rsidR="0081388B" w:rsidRPr="00AD7F51">
        <w:rPr>
          <w:rFonts w:cs="Arial"/>
          <w:szCs w:val="24"/>
        </w:rPr>
        <w:t xml:space="preserve">accepted </w:t>
      </w:r>
      <w:r w:rsidR="002F37AA">
        <w:rPr>
          <w:rFonts w:cs="Arial"/>
          <w:szCs w:val="24"/>
        </w:rPr>
        <w:t>the r</w:t>
      </w:r>
      <w:r w:rsidR="003B03F9" w:rsidRPr="00AD7F51">
        <w:rPr>
          <w:rFonts w:cs="Arial"/>
          <w:szCs w:val="24"/>
        </w:rPr>
        <w:t>ecommendatio</w:t>
      </w:r>
      <w:r w:rsidR="002F37AA">
        <w:rPr>
          <w:rFonts w:cs="Arial"/>
          <w:szCs w:val="24"/>
        </w:rPr>
        <w:t xml:space="preserve">n of the </w:t>
      </w:r>
      <w:r w:rsidR="006D2ED6">
        <w:rPr>
          <w:rFonts w:cs="Arial"/>
          <w:szCs w:val="24"/>
        </w:rPr>
        <w:t>Committee</w:t>
      </w:r>
      <w:r w:rsidR="0081388B" w:rsidRPr="00AD7F51">
        <w:rPr>
          <w:rFonts w:cs="Arial"/>
          <w:szCs w:val="24"/>
        </w:rPr>
        <w:t xml:space="preserve">.  </w:t>
      </w:r>
      <w:r w:rsidR="00DB7F36" w:rsidRPr="00AD7F51">
        <w:rPr>
          <w:rFonts w:cs="Arial"/>
          <w:szCs w:val="24"/>
        </w:rPr>
        <w:t>The increases</w:t>
      </w:r>
      <w:r w:rsidR="0081388B" w:rsidRPr="00AD7F51">
        <w:rPr>
          <w:rFonts w:cs="Arial"/>
          <w:szCs w:val="24"/>
        </w:rPr>
        <w:t xml:space="preserve"> to the solicitors’ costs provided in Schedule 2 </w:t>
      </w:r>
      <w:r w:rsidR="00DB7F36" w:rsidRPr="00AD7F51">
        <w:rPr>
          <w:rFonts w:cs="Arial"/>
          <w:szCs w:val="24"/>
        </w:rPr>
        <w:t xml:space="preserve">will take effect </w:t>
      </w:r>
      <w:r w:rsidR="003B03F9" w:rsidRPr="00AD7F51">
        <w:rPr>
          <w:rFonts w:cs="Arial"/>
          <w:szCs w:val="24"/>
        </w:rPr>
        <w:t xml:space="preserve">on </w:t>
      </w:r>
      <w:r w:rsidR="007A0732" w:rsidRPr="006D2ED6">
        <w:rPr>
          <w:rFonts w:cs="Arial"/>
          <w:szCs w:val="24"/>
        </w:rPr>
        <w:t xml:space="preserve">1 </w:t>
      </w:r>
      <w:r w:rsidR="002F37AA" w:rsidRPr="006D2ED6">
        <w:rPr>
          <w:rFonts w:cs="Arial"/>
          <w:szCs w:val="24"/>
        </w:rPr>
        <w:t>January 2024</w:t>
      </w:r>
      <w:r w:rsidR="002F37AA">
        <w:rPr>
          <w:rFonts w:cs="Arial"/>
          <w:szCs w:val="24"/>
        </w:rPr>
        <w:t xml:space="preserve"> </w:t>
      </w:r>
      <w:r w:rsidR="0081388B" w:rsidRPr="00AD7F51">
        <w:rPr>
          <w:rFonts w:cs="Arial"/>
          <w:szCs w:val="24"/>
        </w:rPr>
        <w:t xml:space="preserve">and </w:t>
      </w:r>
      <w:r w:rsidR="00840B34" w:rsidRPr="00AD7F51">
        <w:rPr>
          <w:rFonts w:cs="Arial"/>
          <w:szCs w:val="24"/>
        </w:rPr>
        <w:t>will</w:t>
      </w:r>
      <w:r w:rsidR="003B03F9" w:rsidRPr="00AD7F51">
        <w:rPr>
          <w:rFonts w:cs="Arial"/>
          <w:szCs w:val="24"/>
        </w:rPr>
        <w:t xml:space="preserve"> apply in respect of all work done and services perf</w:t>
      </w:r>
      <w:r w:rsidR="00905877" w:rsidRPr="00AD7F51">
        <w:rPr>
          <w:rFonts w:cs="Arial"/>
          <w:szCs w:val="24"/>
        </w:rPr>
        <w:t xml:space="preserve">ormed by solicitors after </w:t>
      </w:r>
      <w:r w:rsidR="002F37AA">
        <w:rPr>
          <w:rFonts w:cs="Arial"/>
          <w:szCs w:val="24"/>
        </w:rPr>
        <w:t>1 January 2024</w:t>
      </w:r>
      <w:r w:rsidR="003B03F9" w:rsidRPr="00AD7F51">
        <w:rPr>
          <w:rFonts w:cs="Arial"/>
          <w:szCs w:val="24"/>
        </w:rPr>
        <w:t>.</w:t>
      </w:r>
    </w:p>
    <w:p w14:paraId="414B80A9" w14:textId="77777777" w:rsidR="00D76B75" w:rsidRPr="00AD7F51" w:rsidRDefault="00D76B75" w:rsidP="00795FD7"/>
    <w:p w14:paraId="44B2FB44" w14:textId="39BFA183" w:rsidR="009A3176" w:rsidRPr="00AD7F51" w:rsidRDefault="006D2ED6" w:rsidP="00DB7F36">
      <w:pPr>
        <w:ind w:right="-51"/>
        <w:jc w:val="both"/>
        <w:rPr>
          <w:rFonts w:cs="Arial"/>
          <w:i/>
          <w:szCs w:val="24"/>
        </w:rPr>
      </w:pPr>
      <w:r>
        <w:rPr>
          <w:rFonts w:cs="Arial"/>
          <w:i/>
          <w:szCs w:val="24"/>
        </w:rPr>
        <w:br w:type="column"/>
      </w:r>
      <w:r w:rsidR="009A3176" w:rsidRPr="00AD7F51">
        <w:rPr>
          <w:rFonts w:cs="Arial"/>
          <w:i/>
          <w:szCs w:val="24"/>
        </w:rPr>
        <w:lastRenderedPageBreak/>
        <w:t>Statement of compat</w:t>
      </w:r>
      <w:r w:rsidR="00E5227C" w:rsidRPr="00AD7F51">
        <w:rPr>
          <w:rFonts w:cs="Arial"/>
          <w:i/>
          <w:szCs w:val="24"/>
        </w:rPr>
        <w:t>i</w:t>
      </w:r>
      <w:r w:rsidR="009A3176" w:rsidRPr="00AD7F51">
        <w:rPr>
          <w:rFonts w:cs="Arial"/>
          <w:i/>
          <w:szCs w:val="24"/>
        </w:rPr>
        <w:t>bility</w:t>
      </w:r>
    </w:p>
    <w:p w14:paraId="215E2AEF" w14:textId="77777777" w:rsidR="00450072" w:rsidRPr="00AD7F51" w:rsidRDefault="00450072" w:rsidP="00795FD7"/>
    <w:p w14:paraId="34A1D463" w14:textId="5C28CCF1" w:rsidR="00D76B75" w:rsidRPr="00CF4044" w:rsidRDefault="00D76B75" w:rsidP="00DB7F36">
      <w:pPr>
        <w:ind w:right="-51"/>
        <w:jc w:val="both"/>
        <w:rPr>
          <w:rFonts w:cs="Arial"/>
          <w:sz w:val="22"/>
          <w:szCs w:val="22"/>
        </w:rPr>
      </w:pPr>
      <w:r w:rsidRPr="00AD7F51">
        <w:rPr>
          <w:rFonts w:cs="Arial"/>
          <w:szCs w:val="24"/>
        </w:rPr>
        <w:t xml:space="preserve">Section 9 of the </w:t>
      </w:r>
      <w:r w:rsidRPr="00AD7F51">
        <w:rPr>
          <w:rFonts w:cs="Arial"/>
          <w:i/>
          <w:szCs w:val="24"/>
        </w:rPr>
        <w:t>Legislative Instruments Act</w:t>
      </w:r>
      <w:r w:rsidRPr="00AD7F51">
        <w:rPr>
          <w:rFonts w:cs="Arial"/>
          <w:szCs w:val="24"/>
        </w:rPr>
        <w:t xml:space="preserve"> 2003 provides that Rules of</w:t>
      </w:r>
      <w:r w:rsidR="0041738C">
        <w:rPr>
          <w:rFonts w:cs="Arial"/>
          <w:szCs w:val="24"/>
        </w:rPr>
        <w:t xml:space="preserve"> </w:t>
      </w:r>
      <w:r w:rsidRPr="00AD7F51">
        <w:rPr>
          <w:rFonts w:cs="Arial"/>
          <w:szCs w:val="24"/>
        </w:rPr>
        <w:t xml:space="preserve">Court made for the High Court </w:t>
      </w:r>
      <w:r w:rsidR="00BE12BC" w:rsidRPr="00AD7F51">
        <w:rPr>
          <w:rFonts w:cs="Arial"/>
          <w:szCs w:val="24"/>
        </w:rPr>
        <w:t xml:space="preserve">of Australia </w:t>
      </w:r>
      <w:r w:rsidRPr="00AD7F51">
        <w:rPr>
          <w:rFonts w:cs="Arial"/>
          <w:szCs w:val="24"/>
        </w:rPr>
        <w:t xml:space="preserve">are not legislative instruments for the purposes of that Act. The </w:t>
      </w:r>
      <w:r w:rsidRPr="00AD7F51">
        <w:rPr>
          <w:rFonts w:cs="Arial"/>
          <w:i/>
          <w:szCs w:val="24"/>
        </w:rPr>
        <w:t>Human Rights (Parliamentary Scrutiny) Act</w:t>
      </w:r>
      <w:r w:rsidRPr="00AD7F51">
        <w:rPr>
          <w:rFonts w:cs="Arial"/>
          <w:szCs w:val="24"/>
        </w:rPr>
        <w:t xml:space="preserve"> 2011 does not apply to any such Rules of Court and no statement of compatibility for the purposes of that latter Act is included in the Explanatory Statement.</w:t>
      </w:r>
    </w:p>
    <w:sectPr w:rsidR="00D76B75" w:rsidRPr="00CF4044" w:rsidSect="00C96DBD">
      <w:headerReference w:type="first" r:id="rId7"/>
      <w:pgSz w:w="11907" w:h="16840" w:code="9"/>
      <w:pgMar w:top="851" w:right="1797" w:bottom="567" w:left="1797" w:header="850" w:footer="400" w:gutter="0"/>
      <w:paperSrc w:first="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038B3" w14:textId="77777777" w:rsidR="00A11E7B" w:rsidRDefault="00A11E7B" w:rsidP="00AA6CC2">
      <w:r>
        <w:separator/>
      </w:r>
    </w:p>
  </w:endnote>
  <w:endnote w:type="continuationSeparator" w:id="0">
    <w:p w14:paraId="326A3244" w14:textId="77777777" w:rsidR="00A11E7B" w:rsidRDefault="00A11E7B" w:rsidP="00AA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DB155" w14:textId="77777777" w:rsidR="00A11E7B" w:rsidRDefault="00A11E7B" w:rsidP="00AA6CC2">
      <w:r>
        <w:separator/>
      </w:r>
    </w:p>
  </w:footnote>
  <w:footnote w:type="continuationSeparator" w:id="0">
    <w:p w14:paraId="39C4293A" w14:textId="77777777" w:rsidR="00A11E7B" w:rsidRDefault="00A11E7B" w:rsidP="00AA6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B673" w14:textId="32871893" w:rsidR="00A11E7B" w:rsidRDefault="00795162" w:rsidP="00405570">
    <w:pPr>
      <w:jc w:val="center"/>
    </w:pPr>
    <w:r>
      <w:object w:dxaOrig="7469" w:dyaOrig="5279" w14:anchorId="3343A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76.5pt;height:54pt">
          <v:imagedata r:id="rId1" o:title=""/>
        </v:shape>
        <o:OLEObject Type="Embed" ProgID="PBrush" ShapeID="_x0000_i1025" DrawAspect="Content" ObjectID="_1761571948" r:id="rId2"/>
      </w:object>
    </w:r>
  </w:p>
  <w:p w14:paraId="605D2CDF" w14:textId="77777777" w:rsidR="00A11E7B" w:rsidRDefault="00A11E7B" w:rsidP="00CF4044">
    <w:pPr>
      <w:spacing w:before="200" w:after="200"/>
      <w:jc w:val="center"/>
    </w:pPr>
    <w:r>
      <w:rPr>
        <w:spacing w:val="40"/>
        <w:sz w:val="28"/>
      </w:rPr>
      <w:t>HIGH COURT OF AUSTRALIA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8E"/>
    <w:rsid w:val="00042535"/>
    <w:rsid w:val="00050552"/>
    <w:rsid w:val="00050702"/>
    <w:rsid w:val="0006128E"/>
    <w:rsid w:val="00090A61"/>
    <w:rsid w:val="000B40EF"/>
    <w:rsid w:val="001368D9"/>
    <w:rsid w:val="00163FA8"/>
    <w:rsid w:val="00186E9E"/>
    <w:rsid w:val="001A4EBC"/>
    <w:rsid w:val="001B70BA"/>
    <w:rsid w:val="001D62E2"/>
    <w:rsid w:val="00202D2F"/>
    <w:rsid w:val="002265E9"/>
    <w:rsid w:val="00227DAF"/>
    <w:rsid w:val="002711C2"/>
    <w:rsid w:val="002B0101"/>
    <w:rsid w:val="002E58D6"/>
    <w:rsid w:val="002E7813"/>
    <w:rsid w:val="002F37AA"/>
    <w:rsid w:val="00314193"/>
    <w:rsid w:val="003222AC"/>
    <w:rsid w:val="00325C7C"/>
    <w:rsid w:val="00334B9F"/>
    <w:rsid w:val="00353DE8"/>
    <w:rsid w:val="003A1D9F"/>
    <w:rsid w:val="003B03F9"/>
    <w:rsid w:val="00405570"/>
    <w:rsid w:val="0041738C"/>
    <w:rsid w:val="00450072"/>
    <w:rsid w:val="00465E61"/>
    <w:rsid w:val="00466F25"/>
    <w:rsid w:val="00477BB9"/>
    <w:rsid w:val="004840CC"/>
    <w:rsid w:val="00501CD2"/>
    <w:rsid w:val="0051237A"/>
    <w:rsid w:val="005162B3"/>
    <w:rsid w:val="00517B22"/>
    <w:rsid w:val="0059092B"/>
    <w:rsid w:val="005B7F52"/>
    <w:rsid w:val="005C14D3"/>
    <w:rsid w:val="005C2634"/>
    <w:rsid w:val="006213F8"/>
    <w:rsid w:val="00641251"/>
    <w:rsid w:val="00646B30"/>
    <w:rsid w:val="006B6C2D"/>
    <w:rsid w:val="006D02E9"/>
    <w:rsid w:val="006D2ED6"/>
    <w:rsid w:val="006E6BA3"/>
    <w:rsid w:val="006F3521"/>
    <w:rsid w:val="00716BD3"/>
    <w:rsid w:val="00721469"/>
    <w:rsid w:val="00784C12"/>
    <w:rsid w:val="007928B3"/>
    <w:rsid w:val="00795162"/>
    <w:rsid w:val="00795FD7"/>
    <w:rsid w:val="007A0732"/>
    <w:rsid w:val="0081388B"/>
    <w:rsid w:val="00821D94"/>
    <w:rsid w:val="00840B34"/>
    <w:rsid w:val="00905877"/>
    <w:rsid w:val="0093136D"/>
    <w:rsid w:val="009539B1"/>
    <w:rsid w:val="009613A7"/>
    <w:rsid w:val="00961AE4"/>
    <w:rsid w:val="00962136"/>
    <w:rsid w:val="009A3176"/>
    <w:rsid w:val="009A4218"/>
    <w:rsid w:val="009D04E0"/>
    <w:rsid w:val="009D388A"/>
    <w:rsid w:val="00A11E7B"/>
    <w:rsid w:val="00A97014"/>
    <w:rsid w:val="00AA6CC2"/>
    <w:rsid w:val="00AD7F51"/>
    <w:rsid w:val="00AF6A3E"/>
    <w:rsid w:val="00B07058"/>
    <w:rsid w:val="00B1061A"/>
    <w:rsid w:val="00B17FFC"/>
    <w:rsid w:val="00B214D1"/>
    <w:rsid w:val="00B74FD7"/>
    <w:rsid w:val="00B92C8E"/>
    <w:rsid w:val="00BD06AE"/>
    <w:rsid w:val="00BE12BC"/>
    <w:rsid w:val="00BF49B5"/>
    <w:rsid w:val="00C12B4D"/>
    <w:rsid w:val="00C54611"/>
    <w:rsid w:val="00C92B13"/>
    <w:rsid w:val="00C96DBD"/>
    <w:rsid w:val="00CA229E"/>
    <w:rsid w:val="00CB4267"/>
    <w:rsid w:val="00CD61F5"/>
    <w:rsid w:val="00CE0A23"/>
    <w:rsid w:val="00CF4044"/>
    <w:rsid w:val="00D21A5D"/>
    <w:rsid w:val="00D64CB7"/>
    <w:rsid w:val="00D76B75"/>
    <w:rsid w:val="00DA4388"/>
    <w:rsid w:val="00DB1D29"/>
    <w:rsid w:val="00DB7F36"/>
    <w:rsid w:val="00DC153F"/>
    <w:rsid w:val="00DD0FFE"/>
    <w:rsid w:val="00DD36C0"/>
    <w:rsid w:val="00DF2F41"/>
    <w:rsid w:val="00E3337E"/>
    <w:rsid w:val="00E40382"/>
    <w:rsid w:val="00E5227C"/>
    <w:rsid w:val="00E556CB"/>
    <w:rsid w:val="00E861CA"/>
    <w:rsid w:val="00E97DEC"/>
    <w:rsid w:val="00EA771D"/>
    <w:rsid w:val="00EE16D7"/>
    <w:rsid w:val="00F44524"/>
    <w:rsid w:val="00FD7E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14:docId w14:val="44A1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FD7"/>
    <w:rPr>
      <w:rFonts w:ascii="Arial" w:hAnsi="Arial"/>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nselnames">
    <w:name w:val="Counsel names"/>
    <w:basedOn w:val="Normal"/>
    <w:pPr>
      <w:tabs>
        <w:tab w:val="left" w:pos="284"/>
        <w:tab w:val="left" w:pos="4253"/>
      </w:tabs>
    </w:pPr>
    <w:rPr>
      <w:b/>
      <w:vanish/>
    </w:rPr>
  </w:style>
  <w:style w:type="paragraph" w:styleId="BalloonText">
    <w:name w:val="Balloon Text"/>
    <w:basedOn w:val="Normal"/>
    <w:link w:val="BalloonTextChar"/>
    <w:uiPriority w:val="99"/>
    <w:semiHidden/>
    <w:unhideWhenUsed/>
    <w:rsid w:val="00D76B75"/>
    <w:rPr>
      <w:rFonts w:ascii="Tahoma" w:hAnsi="Tahoma" w:cs="Tahoma"/>
      <w:sz w:val="16"/>
      <w:szCs w:val="16"/>
    </w:rPr>
  </w:style>
  <w:style w:type="character" w:customStyle="1" w:styleId="BalloonTextChar">
    <w:name w:val="Balloon Text Char"/>
    <w:basedOn w:val="DefaultParagraphFont"/>
    <w:link w:val="BalloonText"/>
    <w:uiPriority w:val="99"/>
    <w:semiHidden/>
    <w:rsid w:val="00D76B75"/>
    <w:rPr>
      <w:rFonts w:ascii="Tahoma" w:hAnsi="Tahoma" w:cs="Tahoma"/>
      <w:sz w:val="16"/>
      <w:szCs w:val="16"/>
      <w:lang w:val="en-GB"/>
    </w:rPr>
  </w:style>
  <w:style w:type="paragraph" w:styleId="Header">
    <w:name w:val="header"/>
    <w:basedOn w:val="Normal"/>
    <w:link w:val="HeaderChar"/>
    <w:uiPriority w:val="99"/>
    <w:unhideWhenUsed/>
    <w:rsid w:val="00AA6CC2"/>
    <w:pPr>
      <w:tabs>
        <w:tab w:val="center" w:pos="4513"/>
        <w:tab w:val="right" w:pos="9026"/>
      </w:tabs>
    </w:pPr>
  </w:style>
  <w:style w:type="character" w:customStyle="1" w:styleId="HeaderChar">
    <w:name w:val="Header Char"/>
    <w:basedOn w:val="DefaultParagraphFont"/>
    <w:link w:val="Header"/>
    <w:uiPriority w:val="99"/>
    <w:rsid w:val="00AA6CC2"/>
    <w:rPr>
      <w:sz w:val="24"/>
      <w:lang w:val="en-GB"/>
    </w:rPr>
  </w:style>
  <w:style w:type="paragraph" w:styleId="Footer">
    <w:name w:val="footer"/>
    <w:basedOn w:val="Normal"/>
    <w:link w:val="FooterChar"/>
    <w:uiPriority w:val="99"/>
    <w:unhideWhenUsed/>
    <w:rsid w:val="00AA6CC2"/>
    <w:pPr>
      <w:tabs>
        <w:tab w:val="center" w:pos="4513"/>
        <w:tab w:val="right" w:pos="9026"/>
      </w:tabs>
    </w:pPr>
  </w:style>
  <w:style w:type="character" w:customStyle="1" w:styleId="FooterChar">
    <w:name w:val="Footer Char"/>
    <w:basedOn w:val="DefaultParagraphFont"/>
    <w:link w:val="Footer"/>
    <w:uiPriority w:val="99"/>
    <w:rsid w:val="00AA6CC2"/>
    <w:rPr>
      <w:sz w:val="24"/>
      <w:lang w:val="en-GB"/>
    </w:rPr>
  </w:style>
  <w:style w:type="character" w:customStyle="1" w:styleId="legsubtitle1">
    <w:name w:val="legsubtitle1"/>
    <w:basedOn w:val="DefaultParagraphFont"/>
    <w:rsid w:val="00A97014"/>
    <w:rPr>
      <w:b/>
      <w:bCs/>
    </w:rPr>
  </w:style>
  <w:style w:type="character" w:customStyle="1" w:styleId="legsubtitle">
    <w:name w:val="legsubtitle"/>
    <w:basedOn w:val="DefaultParagraphFont"/>
    <w:rsid w:val="00B17FFC"/>
  </w:style>
  <w:style w:type="paragraph" w:customStyle="1" w:styleId="Default">
    <w:name w:val="Default"/>
    <w:rsid w:val="00DB7F3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916FB-6065-4D07-A2E5-97CE055E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2023-11-15T05:45:00Z</dcterms:created>
  <dcterms:modified xsi:type="dcterms:W3CDTF">2023-11-15T05:46:00Z</dcterms:modified>
</cp:coreProperties>
</file>