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AE5F" w14:textId="77777777" w:rsidR="002265E9" w:rsidRPr="002265E9" w:rsidRDefault="002265E9" w:rsidP="00795FD7"/>
    <w:p w14:paraId="2C4B2504" w14:textId="77777777" w:rsidR="002265E9" w:rsidRPr="00AD7F51" w:rsidRDefault="00090A61" w:rsidP="002265E9">
      <w:pPr>
        <w:jc w:val="center"/>
        <w:rPr>
          <w:rFonts w:cs="Arial"/>
          <w:b/>
          <w:szCs w:val="24"/>
          <w:u w:val="single"/>
        </w:rPr>
      </w:pPr>
      <w:r w:rsidRPr="00AD7F51">
        <w:rPr>
          <w:rFonts w:cs="Arial"/>
          <w:b/>
          <w:szCs w:val="24"/>
          <w:u w:val="single"/>
        </w:rPr>
        <w:t>Explanatory Statement</w:t>
      </w:r>
    </w:p>
    <w:p w14:paraId="59D7CE43" w14:textId="3243E45E" w:rsidR="002265E9" w:rsidRPr="00AD7F51" w:rsidRDefault="00090A61" w:rsidP="002265E9">
      <w:pPr>
        <w:jc w:val="center"/>
        <w:rPr>
          <w:rFonts w:cs="Arial"/>
          <w:b/>
          <w:szCs w:val="24"/>
          <w:u w:val="single"/>
        </w:rPr>
      </w:pPr>
      <w:r w:rsidRPr="00AD7F51">
        <w:rPr>
          <w:rFonts w:cs="Arial"/>
          <w:b/>
          <w:szCs w:val="24"/>
          <w:u w:val="single"/>
        </w:rPr>
        <w:t>High Court Amendment (</w:t>
      </w:r>
      <w:r w:rsidR="00206B7D">
        <w:rPr>
          <w:rFonts w:cs="Arial"/>
          <w:b/>
          <w:szCs w:val="24"/>
          <w:u w:val="single"/>
        </w:rPr>
        <w:t>2023 Measures</w:t>
      </w:r>
      <w:r w:rsidRPr="00AD7F51">
        <w:rPr>
          <w:rFonts w:cs="Arial"/>
          <w:b/>
          <w:szCs w:val="24"/>
          <w:u w:val="single"/>
        </w:rPr>
        <w:t>) Rules 202</w:t>
      </w:r>
      <w:r w:rsidR="00206B7D">
        <w:rPr>
          <w:rFonts w:cs="Arial"/>
          <w:b/>
          <w:szCs w:val="24"/>
          <w:u w:val="single"/>
        </w:rPr>
        <w:t>3</w:t>
      </w:r>
    </w:p>
    <w:p w14:paraId="24556F97" w14:textId="7E2AB920" w:rsidR="00795FD7" w:rsidRPr="00AD7F51" w:rsidRDefault="00130F7F" w:rsidP="00D76B75">
      <w:pPr>
        <w:jc w:val="center"/>
        <w:rPr>
          <w:rFonts w:cs="Arial"/>
          <w:b/>
          <w:szCs w:val="24"/>
          <w:u w:val="single"/>
        </w:rPr>
      </w:pPr>
      <w:r w:rsidRPr="00130F7F">
        <w:rPr>
          <w:rFonts w:cs="Arial"/>
          <w:b/>
          <w:szCs w:val="24"/>
          <w:u w:val="single"/>
        </w:rPr>
        <w:t>1</w:t>
      </w:r>
      <w:r w:rsidR="00206B7D">
        <w:rPr>
          <w:rFonts w:cs="Arial"/>
          <w:b/>
          <w:szCs w:val="24"/>
          <w:u w:val="single"/>
        </w:rPr>
        <w:t>3</w:t>
      </w:r>
      <w:r w:rsidR="001064F4">
        <w:rPr>
          <w:rFonts w:cs="Arial"/>
          <w:b/>
          <w:szCs w:val="24"/>
          <w:u w:val="single"/>
        </w:rPr>
        <w:t xml:space="preserve"> November</w:t>
      </w:r>
      <w:r w:rsidR="00565EA1">
        <w:rPr>
          <w:rFonts w:cs="Arial"/>
          <w:b/>
          <w:szCs w:val="24"/>
          <w:u w:val="single"/>
        </w:rPr>
        <w:t xml:space="preserve"> </w:t>
      </w:r>
      <w:r w:rsidR="00090A61" w:rsidRPr="00AD7F51">
        <w:rPr>
          <w:rFonts w:cs="Arial"/>
          <w:b/>
          <w:szCs w:val="24"/>
          <w:u w:val="single"/>
        </w:rPr>
        <w:t>202</w:t>
      </w:r>
      <w:r w:rsidR="00206B7D">
        <w:rPr>
          <w:rFonts w:cs="Arial"/>
          <w:b/>
          <w:szCs w:val="24"/>
          <w:u w:val="single"/>
        </w:rPr>
        <w:t>3</w:t>
      </w:r>
    </w:p>
    <w:p w14:paraId="4710C8F1" w14:textId="7CA6B604" w:rsidR="00CF4044" w:rsidRPr="00AD7F51" w:rsidRDefault="00CF4044" w:rsidP="00795FD7"/>
    <w:p w14:paraId="69F98EE7" w14:textId="02DE6B97" w:rsidR="00D76B75" w:rsidRPr="00AD7F51" w:rsidRDefault="00D76B75" w:rsidP="001368D9">
      <w:pPr>
        <w:jc w:val="both"/>
        <w:rPr>
          <w:rFonts w:cs="Arial"/>
          <w:szCs w:val="24"/>
        </w:rPr>
      </w:pPr>
      <w:r w:rsidRPr="00AD7F51">
        <w:rPr>
          <w:rFonts w:cs="Arial"/>
          <w:szCs w:val="24"/>
        </w:rPr>
        <w:t xml:space="preserve">These Amendment Rules of Court, signed by the Justices </w:t>
      </w:r>
      <w:r w:rsidR="00BE12BC" w:rsidRPr="00AD7F51">
        <w:rPr>
          <w:rFonts w:cs="Arial"/>
          <w:szCs w:val="24"/>
        </w:rPr>
        <w:t xml:space="preserve">of the High Court of Australia </w:t>
      </w:r>
      <w:r w:rsidRPr="00AD7F51">
        <w:rPr>
          <w:rFonts w:cs="Arial"/>
          <w:szCs w:val="24"/>
        </w:rPr>
        <w:t>on</w:t>
      </w:r>
      <w:r w:rsidR="00AF6A3E" w:rsidRPr="00AD7F51">
        <w:rPr>
          <w:rFonts w:cs="Arial"/>
          <w:szCs w:val="24"/>
        </w:rPr>
        <w:t xml:space="preserve"> </w:t>
      </w:r>
      <w:r w:rsidR="00130F7F" w:rsidRPr="00130F7F">
        <w:rPr>
          <w:rFonts w:cs="Arial"/>
          <w:szCs w:val="24"/>
        </w:rPr>
        <w:t>1</w:t>
      </w:r>
      <w:r w:rsidR="00206B7D">
        <w:rPr>
          <w:rFonts w:cs="Arial"/>
          <w:szCs w:val="24"/>
        </w:rPr>
        <w:t>3</w:t>
      </w:r>
      <w:r w:rsidR="00130F7F" w:rsidRPr="00130F7F">
        <w:rPr>
          <w:rFonts w:cs="Arial"/>
          <w:szCs w:val="24"/>
        </w:rPr>
        <w:t xml:space="preserve"> </w:t>
      </w:r>
      <w:r w:rsidR="00130F7F">
        <w:rPr>
          <w:rFonts w:cs="Arial"/>
          <w:szCs w:val="24"/>
        </w:rPr>
        <w:t xml:space="preserve">November </w:t>
      </w:r>
      <w:r w:rsidR="00130F7F" w:rsidRPr="00130F7F">
        <w:rPr>
          <w:rFonts w:cs="Arial"/>
          <w:szCs w:val="24"/>
        </w:rPr>
        <w:t>202</w:t>
      </w:r>
      <w:r w:rsidR="00206B7D">
        <w:rPr>
          <w:rFonts w:cs="Arial"/>
          <w:szCs w:val="24"/>
        </w:rPr>
        <w:t>3</w:t>
      </w:r>
      <w:r w:rsidRPr="00AD7F51">
        <w:rPr>
          <w:rFonts w:cs="Arial"/>
          <w:szCs w:val="24"/>
        </w:rPr>
        <w:t xml:space="preserve">, are made by the Justices under the </w:t>
      </w:r>
      <w:r w:rsidRPr="00AD7F51">
        <w:rPr>
          <w:rFonts w:cs="Arial"/>
          <w:i/>
          <w:szCs w:val="24"/>
        </w:rPr>
        <w:t>Judiciary Act 1903</w:t>
      </w:r>
      <w:r w:rsidRPr="00AD7F51">
        <w:rPr>
          <w:rFonts w:cs="Arial"/>
          <w:szCs w:val="24"/>
        </w:rPr>
        <w:t xml:space="preserve">, the </w:t>
      </w:r>
      <w:r w:rsidRPr="00AD7F51">
        <w:rPr>
          <w:rFonts w:cs="Arial"/>
          <w:i/>
          <w:szCs w:val="24"/>
        </w:rPr>
        <w:t>Commonwealth Electoral Act 1918</w:t>
      </w:r>
      <w:r w:rsidR="00090A61" w:rsidRPr="00AD7F51">
        <w:rPr>
          <w:rFonts w:cs="Arial"/>
          <w:i/>
          <w:szCs w:val="24"/>
        </w:rPr>
        <w:t xml:space="preserve"> </w:t>
      </w:r>
      <w:r w:rsidRPr="00AD7F51">
        <w:rPr>
          <w:rFonts w:cs="Arial"/>
          <w:szCs w:val="24"/>
        </w:rPr>
        <w:t>and the</w:t>
      </w:r>
      <w:r w:rsidRPr="00AD7F51">
        <w:rPr>
          <w:rFonts w:cs="Arial"/>
          <w:i/>
          <w:szCs w:val="24"/>
        </w:rPr>
        <w:t xml:space="preserve"> High Court of Australia Act 1979</w:t>
      </w:r>
      <w:r w:rsidRPr="00AD7F51">
        <w:rPr>
          <w:rFonts w:cs="Arial"/>
          <w:szCs w:val="24"/>
        </w:rPr>
        <w:t>.</w:t>
      </w:r>
    </w:p>
    <w:p w14:paraId="25EC2D74" w14:textId="6BC07E3D" w:rsidR="00090A61" w:rsidRDefault="00090A61" w:rsidP="00795FD7"/>
    <w:p w14:paraId="7376113D" w14:textId="4F3DD9A8" w:rsidR="00565EA1" w:rsidRDefault="00206B7D" w:rsidP="00565EA1">
      <w:pPr>
        <w:jc w:val="both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Part </w:t>
      </w:r>
      <w:r w:rsidR="00565EA1">
        <w:rPr>
          <w:rFonts w:cs="Arial"/>
          <w:i/>
          <w:szCs w:val="24"/>
        </w:rPr>
        <w:t>1</w:t>
      </w:r>
      <w:r w:rsidR="00565EA1" w:rsidRPr="00AD7F51">
        <w:rPr>
          <w:rFonts w:cs="Arial"/>
          <w:i/>
          <w:szCs w:val="24"/>
        </w:rPr>
        <w:t xml:space="preserve"> – </w:t>
      </w:r>
      <w:r>
        <w:rPr>
          <w:rFonts w:cs="Arial"/>
          <w:i/>
          <w:szCs w:val="24"/>
        </w:rPr>
        <w:t>Publication of reasons for decision</w:t>
      </w:r>
    </w:p>
    <w:p w14:paraId="4A381F21" w14:textId="77777777" w:rsidR="00851890" w:rsidRDefault="004054B6" w:rsidP="00C66959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 xml:space="preserve">The decisions of the Court in </w:t>
      </w:r>
      <w:r w:rsidR="00F01464">
        <w:rPr>
          <w:rFonts w:cs="Arial"/>
          <w:iCs/>
          <w:szCs w:val="24"/>
        </w:rPr>
        <w:t>applications for special leave</w:t>
      </w:r>
      <w:r w:rsidR="0034292B">
        <w:rPr>
          <w:rFonts w:cs="Arial"/>
          <w:iCs/>
          <w:szCs w:val="24"/>
        </w:rPr>
        <w:t xml:space="preserve"> to appeal</w:t>
      </w:r>
      <w:r w:rsidR="00F01464">
        <w:rPr>
          <w:rFonts w:cs="Arial"/>
          <w:iCs/>
          <w:szCs w:val="24"/>
        </w:rPr>
        <w:t xml:space="preserve">, </w:t>
      </w:r>
      <w:r w:rsidR="0034292B">
        <w:rPr>
          <w:rFonts w:cs="Arial"/>
          <w:iCs/>
          <w:szCs w:val="24"/>
        </w:rPr>
        <w:t xml:space="preserve">applications for </w:t>
      </w:r>
      <w:r w:rsidR="00F01464">
        <w:rPr>
          <w:rFonts w:cs="Arial"/>
          <w:iCs/>
          <w:szCs w:val="24"/>
        </w:rPr>
        <w:t xml:space="preserve">leave </w:t>
      </w:r>
      <w:r w:rsidR="0034292B">
        <w:rPr>
          <w:rFonts w:cs="Arial"/>
          <w:iCs/>
          <w:szCs w:val="24"/>
        </w:rPr>
        <w:t xml:space="preserve">to appeal </w:t>
      </w:r>
      <w:r w:rsidR="00F01464">
        <w:rPr>
          <w:rFonts w:cs="Arial"/>
          <w:iCs/>
          <w:szCs w:val="24"/>
        </w:rPr>
        <w:t xml:space="preserve">and </w:t>
      </w:r>
      <w:r w:rsidR="0034292B">
        <w:rPr>
          <w:rFonts w:cs="Arial"/>
          <w:iCs/>
          <w:szCs w:val="24"/>
        </w:rPr>
        <w:t xml:space="preserve">applications for </w:t>
      </w:r>
      <w:r w:rsidR="00F01464">
        <w:rPr>
          <w:rFonts w:cs="Arial"/>
          <w:iCs/>
          <w:szCs w:val="24"/>
        </w:rPr>
        <w:t>removal have previously</w:t>
      </w:r>
      <w:r w:rsidR="00F01464" w:rsidRPr="00FF4818">
        <w:rPr>
          <w:rFonts w:cs="Arial"/>
          <w:iCs/>
          <w:szCs w:val="24"/>
        </w:rPr>
        <w:t xml:space="preserve"> </w:t>
      </w:r>
      <w:r w:rsidR="00FF4818" w:rsidRPr="00FF4818">
        <w:rPr>
          <w:rFonts w:cs="Arial"/>
          <w:iCs/>
          <w:szCs w:val="24"/>
        </w:rPr>
        <w:t>been published by the Justices sitting in</w:t>
      </w:r>
      <w:r w:rsidR="00FF4818">
        <w:rPr>
          <w:rFonts w:cs="Arial"/>
          <w:i/>
          <w:szCs w:val="24"/>
        </w:rPr>
        <w:t xml:space="preserve"> </w:t>
      </w:r>
      <w:r w:rsidR="00FF4818">
        <w:rPr>
          <w:rFonts w:cs="Arial"/>
          <w:iCs/>
          <w:szCs w:val="24"/>
        </w:rPr>
        <w:t xml:space="preserve">Court, in the absence of the parties, to </w:t>
      </w:r>
      <w:r w:rsidR="00F93F47">
        <w:rPr>
          <w:rFonts w:cs="Arial"/>
          <w:iCs/>
          <w:szCs w:val="24"/>
        </w:rPr>
        <w:t xml:space="preserve">pronounce orders and </w:t>
      </w:r>
      <w:r w:rsidR="000920C5">
        <w:rPr>
          <w:rFonts w:cs="Arial"/>
          <w:iCs/>
          <w:szCs w:val="24"/>
        </w:rPr>
        <w:t xml:space="preserve">publish </w:t>
      </w:r>
      <w:r w:rsidR="00FF4818">
        <w:rPr>
          <w:rFonts w:cs="Arial"/>
          <w:iCs/>
          <w:szCs w:val="24"/>
        </w:rPr>
        <w:t>their written reasons for the decision</w:t>
      </w:r>
      <w:r w:rsidR="00092108">
        <w:rPr>
          <w:rFonts w:cs="Arial"/>
          <w:iCs/>
          <w:szCs w:val="24"/>
        </w:rPr>
        <w:t xml:space="preserve"> in each application</w:t>
      </w:r>
      <w:r w:rsidR="00FF4818">
        <w:rPr>
          <w:rFonts w:cs="Arial"/>
          <w:iCs/>
          <w:szCs w:val="24"/>
        </w:rPr>
        <w:t xml:space="preserve">.  The Justices have decided to publish their decisions on the </w:t>
      </w:r>
      <w:r w:rsidR="00277D3E">
        <w:rPr>
          <w:rFonts w:cs="Arial"/>
          <w:iCs/>
          <w:szCs w:val="24"/>
        </w:rPr>
        <w:t xml:space="preserve">Court's </w:t>
      </w:r>
      <w:r w:rsidR="00FF4818">
        <w:rPr>
          <w:rFonts w:cs="Arial"/>
          <w:iCs/>
          <w:szCs w:val="24"/>
        </w:rPr>
        <w:t xml:space="preserve">website rather than in open court. This will streamline the publication process and will </w:t>
      </w:r>
      <w:r>
        <w:rPr>
          <w:rFonts w:cs="Arial"/>
          <w:iCs/>
          <w:szCs w:val="24"/>
        </w:rPr>
        <w:t xml:space="preserve">ensure the publication of the Court's decisions is immediate and </w:t>
      </w:r>
      <w:r w:rsidR="00E73D5F">
        <w:rPr>
          <w:rFonts w:cs="Arial"/>
          <w:iCs/>
          <w:szCs w:val="24"/>
        </w:rPr>
        <w:t xml:space="preserve">that the decisions are </w:t>
      </w:r>
      <w:r>
        <w:rPr>
          <w:rFonts w:cs="Arial"/>
          <w:iCs/>
          <w:szCs w:val="24"/>
        </w:rPr>
        <w:t xml:space="preserve">publicly </w:t>
      </w:r>
      <w:r w:rsidR="00FF4818">
        <w:rPr>
          <w:rFonts w:cs="Arial"/>
          <w:iCs/>
          <w:szCs w:val="24"/>
        </w:rPr>
        <w:t>accessible</w:t>
      </w:r>
      <w:r w:rsidR="00277D3E">
        <w:rPr>
          <w:rFonts w:cs="Arial"/>
          <w:iCs/>
          <w:szCs w:val="24"/>
        </w:rPr>
        <w:t xml:space="preserve"> on the Court's website</w:t>
      </w:r>
      <w:r w:rsidR="00FF4818">
        <w:rPr>
          <w:rFonts w:cs="Arial"/>
          <w:iCs/>
          <w:szCs w:val="24"/>
        </w:rPr>
        <w:t>.</w:t>
      </w:r>
    </w:p>
    <w:p w14:paraId="6CC0F547" w14:textId="77777777" w:rsidR="00851890" w:rsidRDefault="00851890" w:rsidP="00C66959">
      <w:pPr>
        <w:jc w:val="both"/>
        <w:rPr>
          <w:rFonts w:cs="Arial"/>
          <w:iCs/>
          <w:szCs w:val="24"/>
        </w:rPr>
      </w:pPr>
    </w:p>
    <w:p w14:paraId="1D8B246A" w14:textId="664167BA" w:rsidR="00FF4818" w:rsidRDefault="00FF4818" w:rsidP="00C66959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The amendments to rules 6.03, 26.07.1 and 41.08.1 enabl</w:t>
      </w:r>
      <w:r w:rsidR="000D1F52">
        <w:rPr>
          <w:rFonts w:cs="Arial"/>
          <w:iCs/>
          <w:szCs w:val="24"/>
        </w:rPr>
        <w:t>ing</w:t>
      </w:r>
      <w:r>
        <w:rPr>
          <w:rFonts w:cs="Arial"/>
          <w:iCs/>
          <w:szCs w:val="24"/>
        </w:rPr>
        <w:t xml:space="preserve"> this new arrangement</w:t>
      </w:r>
      <w:r w:rsidR="00585334">
        <w:rPr>
          <w:rFonts w:cs="Arial"/>
          <w:iCs/>
          <w:szCs w:val="24"/>
        </w:rPr>
        <w:t xml:space="preserve"> will apply </w:t>
      </w:r>
      <w:r w:rsidR="00CD4B88">
        <w:rPr>
          <w:rFonts w:cs="Arial"/>
          <w:iCs/>
          <w:szCs w:val="24"/>
        </w:rPr>
        <w:t>in relation to applications decided on or after 1</w:t>
      </w:r>
      <w:r w:rsidR="004B0E83">
        <w:rPr>
          <w:rFonts w:cs="Arial"/>
          <w:iCs/>
          <w:szCs w:val="24"/>
        </w:rPr>
        <w:t> </w:t>
      </w:r>
      <w:r w:rsidR="00CD4B88">
        <w:rPr>
          <w:rFonts w:cs="Arial"/>
          <w:iCs/>
          <w:szCs w:val="24"/>
        </w:rPr>
        <w:t>December 2023.</w:t>
      </w:r>
    </w:p>
    <w:p w14:paraId="7A57FC49" w14:textId="77777777" w:rsidR="00FF4818" w:rsidRDefault="00FF4818" w:rsidP="00C66959">
      <w:pPr>
        <w:jc w:val="both"/>
        <w:rPr>
          <w:i/>
          <w:iCs/>
        </w:rPr>
      </w:pPr>
    </w:p>
    <w:p w14:paraId="0A0BFCC0" w14:textId="7E00A8C8" w:rsidR="00206B7D" w:rsidRDefault="00206B7D" w:rsidP="00C66959">
      <w:pPr>
        <w:jc w:val="both"/>
        <w:rPr>
          <w:i/>
          <w:iCs/>
        </w:rPr>
      </w:pPr>
      <w:r>
        <w:rPr>
          <w:i/>
          <w:iCs/>
        </w:rPr>
        <w:t>Part 2</w:t>
      </w:r>
      <w:r>
        <w:rPr>
          <w:rFonts w:cs="Arial"/>
          <w:i/>
          <w:szCs w:val="24"/>
        </w:rPr>
        <w:t xml:space="preserve"> </w:t>
      </w:r>
      <w:r w:rsidRPr="00AD7F51">
        <w:rPr>
          <w:rFonts w:cs="Arial"/>
          <w:i/>
          <w:szCs w:val="24"/>
        </w:rPr>
        <w:t>–</w:t>
      </w:r>
      <w:r>
        <w:rPr>
          <w:rFonts w:cs="Arial"/>
          <w:i/>
          <w:szCs w:val="24"/>
        </w:rPr>
        <w:t xml:space="preserve"> A</w:t>
      </w:r>
      <w:r>
        <w:rPr>
          <w:i/>
          <w:iCs/>
        </w:rPr>
        <w:t>pplication books</w:t>
      </w:r>
    </w:p>
    <w:p w14:paraId="687FF3F2" w14:textId="25B1AB4B" w:rsidR="00DA62FF" w:rsidRDefault="003844D1" w:rsidP="00C66959">
      <w:pPr>
        <w:jc w:val="both"/>
      </w:pPr>
      <w:r>
        <w:t xml:space="preserve">The Court has dispensed with the requirement to file application books in </w:t>
      </w:r>
      <w:r w:rsidR="00282554">
        <w:t xml:space="preserve">represented </w:t>
      </w:r>
      <w:r>
        <w:t xml:space="preserve">applications for </w:t>
      </w:r>
      <w:r w:rsidR="009E6426">
        <w:t>s</w:t>
      </w:r>
      <w:r>
        <w:t>pecial leave to appeal</w:t>
      </w:r>
      <w:r w:rsidR="009E6426">
        <w:t xml:space="preserve"> and applications for leave to appeal</w:t>
      </w:r>
      <w:r w:rsidR="00766C8C">
        <w:t xml:space="preserve"> and in applications for removal</w:t>
      </w:r>
      <w:r>
        <w:t>.</w:t>
      </w:r>
      <w:r w:rsidR="00282554">
        <w:t xml:space="preserve">  </w:t>
      </w:r>
      <w:r w:rsidR="006A7AC0">
        <w:t xml:space="preserve">This will reduce </w:t>
      </w:r>
      <w:r w:rsidR="0066341D">
        <w:t xml:space="preserve">by at least one month </w:t>
      </w:r>
      <w:r w:rsidR="006A7AC0">
        <w:t xml:space="preserve">the time taken to prepare </w:t>
      </w:r>
      <w:r w:rsidR="0066341D">
        <w:t xml:space="preserve">an application </w:t>
      </w:r>
      <w:r w:rsidR="001F558A">
        <w:t xml:space="preserve">for referral to the Court </w:t>
      </w:r>
      <w:r w:rsidR="006A7AC0">
        <w:t>for consideration</w:t>
      </w:r>
      <w:r w:rsidR="00DB725E">
        <w:t>.  This will also reduce the</w:t>
      </w:r>
      <w:r w:rsidR="00040E4A">
        <w:t xml:space="preserve"> work of</w:t>
      </w:r>
      <w:r w:rsidR="00781C29">
        <w:t xml:space="preserve"> and</w:t>
      </w:r>
      <w:r w:rsidR="00DB725E">
        <w:t xml:space="preserve"> cost to the parties associated </w:t>
      </w:r>
      <w:r w:rsidR="004C31D7">
        <w:t>with the preparation and filing of the</w:t>
      </w:r>
      <w:r w:rsidR="00DA62FF">
        <w:t xml:space="preserve"> application book</w:t>
      </w:r>
      <w:r w:rsidR="00D91BEE">
        <w:t>.</w:t>
      </w:r>
    </w:p>
    <w:p w14:paraId="779E5786" w14:textId="10909775" w:rsidR="00FF4818" w:rsidRDefault="00FF4818" w:rsidP="00C66959">
      <w:pPr>
        <w:jc w:val="both"/>
      </w:pPr>
    </w:p>
    <w:p w14:paraId="483ED6D8" w14:textId="06A7067C" w:rsidR="008D5E9B" w:rsidRDefault="009879BE" w:rsidP="00C66959">
      <w:pPr>
        <w:jc w:val="both"/>
      </w:pPr>
      <w:r>
        <w:t xml:space="preserve">Where </w:t>
      </w:r>
      <w:r w:rsidR="00975436">
        <w:t xml:space="preserve">a </w:t>
      </w:r>
      <w:r w:rsidR="0035776F">
        <w:t>represented part</w:t>
      </w:r>
      <w:r w:rsidR="00975436">
        <w:t xml:space="preserve">y considers that a document </w:t>
      </w:r>
      <w:r w:rsidR="006B4F03">
        <w:t xml:space="preserve">not prescribed by the Rules </w:t>
      </w:r>
      <w:r w:rsidR="00975436">
        <w:t>is necessary for the Court's consideration of the application</w:t>
      </w:r>
      <w:r w:rsidR="00CE5D43">
        <w:t xml:space="preserve"> t</w:t>
      </w:r>
      <w:r w:rsidR="002C0D05">
        <w:t>he part</w:t>
      </w:r>
      <w:r w:rsidR="00CE5D43">
        <w:t>y</w:t>
      </w:r>
      <w:r w:rsidR="002C0D05">
        <w:t xml:space="preserve"> </w:t>
      </w:r>
      <w:r w:rsidR="00CE5D43">
        <w:t xml:space="preserve">has </w:t>
      </w:r>
      <w:r w:rsidR="002C0D05">
        <w:t xml:space="preserve">previously </w:t>
      </w:r>
      <w:r w:rsidR="00844A20">
        <w:t xml:space="preserve">sought a direction </w:t>
      </w:r>
      <w:r w:rsidR="003C4DB0">
        <w:t xml:space="preserve">of </w:t>
      </w:r>
      <w:r w:rsidR="002C0D05">
        <w:t xml:space="preserve">the Registrar to include </w:t>
      </w:r>
      <w:r w:rsidR="00CE5D43">
        <w:t xml:space="preserve">the document </w:t>
      </w:r>
      <w:r w:rsidR="002C0D05">
        <w:t>in the application book</w:t>
      </w:r>
      <w:r w:rsidR="00467A62">
        <w:t>.</w:t>
      </w:r>
      <w:r w:rsidR="00F340F4">
        <w:t xml:space="preserve">  </w:t>
      </w:r>
      <w:r w:rsidR="00D37218">
        <w:t>To ensure the parties are still able to put this material before the Court</w:t>
      </w:r>
      <w:r w:rsidR="006A0084">
        <w:t xml:space="preserve"> in the absence of an application book</w:t>
      </w:r>
      <w:r w:rsidR="001407A8">
        <w:t xml:space="preserve"> </w:t>
      </w:r>
      <w:r w:rsidR="00C66959">
        <w:t xml:space="preserve">rule 41.07 </w:t>
      </w:r>
      <w:r w:rsidR="004B0E83">
        <w:t xml:space="preserve">will be amended to </w:t>
      </w:r>
      <w:r w:rsidR="00C66959">
        <w:t xml:space="preserve">provide a mechanism for filing </w:t>
      </w:r>
      <w:r w:rsidR="000E53E1">
        <w:t>an additional document</w:t>
      </w:r>
      <w:r w:rsidR="001407A8">
        <w:t xml:space="preserve"> </w:t>
      </w:r>
      <w:r w:rsidR="000E53E1">
        <w:t xml:space="preserve">as an exhibit to </w:t>
      </w:r>
      <w:r w:rsidR="00C66959">
        <w:t>an affidavit</w:t>
      </w:r>
      <w:r w:rsidR="000E53E1">
        <w:t>.</w:t>
      </w:r>
      <w:r w:rsidR="001407A8">
        <w:t xml:space="preserve">  </w:t>
      </w:r>
      <w:r w:rsidR="008D5E9B" w:rsidRPr="00CD6B16">
        <w:t xml:space="preserve">The affidavit </w:t>
      </w:r>
      <w:r w:rsidR="005536EB">
        <w:t xml:space="preserve">must </w:t>
      </w:r>
      <w:r w:rsidR="008D5E9B" w:rsidRPr="00CD6B16">
        <w:t>set out the reason or reasons for filing a document in addition to the documents required by the rules</w:t>
      </w:r>
      <w:r w:rsidR="00C66959">
        <w:t xml:space="preserve">.  The Court </w:t>
      </w:r>
      <w:r w:rsidR="000E3069">
        <w:t xml:space="preserve">notes </w:t>
      </w:r>
      <w:r w:rsidR="00C66959">
        <w:t xml:space="preserve">that the need to </w:t>
      </w:r>
      <w:r w:rsidR="009F1F0E">
        <w:t xml:space="preserve">file additional documents </w:t>
      </w:r>
      <w:r w:rsidR="00C66959">
        <w:t>will be limited to exceptional cases.</w:t>
      </w:r>
    </w:p>
    <w:p w14:paraId="2BA41F82" w14:textId="77777777" w:rsidR="00D91BEE" w:rsidRDefault="00D91BEE" w:rsidP="00C66959">
      <w:pPr>
        <w:jc w:val="both"/>
      </w:pPr>
    </w:p>
    <w:p w14:paraId="5295F110" w14:textId="6D254D13" w:rsidR="00D91BEE" w:rsidRPr="00D91BEE" w:rsidRDefault="00D91BEE" w:rsidP="00C66959">
      <w:pPr>
        <w:jc w:val="both"/>
      </w:pPr>
      <w:r>
        <w:t xml:space="preserve">The </w:t>
      </w:r>
      <w:r w:rsidR="00115252">
        <w:t xml:space="preserve">amendments </w:t>
      </w:r>
      <w:r>
        <w:t xml:space="preserve">provided in </w:t>
      </w:r>
      <w:r w:rsidR="00F858B2" w:rsidRPr="00F858B2">
        <w:t xml:space="preserve">this </w:t>
      </w:r>
      <w:r w:rsidR="00F858B2">
        <w:t>part</w:t>
      </w:r>
      <w:r w:rsidR="00F858B2">
        <w:rPr>
          <w:i/>
          <w:iCs/>
        </w:rPr>
        <w:t xml:space="preserve"> </w:t>
      </w:r>
      <w:r>
        <w:t>of the Amendment Rule</w:t>
      </w:r>
      <w:r w:rsidR="00F858B2">
        <w:t>s</w:t>
      </w:r>
      <w:r>
        <w:t xml:space="preserve"> </w:t>
      </w:r>
      <w:r w:rsidR="00115252">
        <w:t>will apply in rel</w:t>
      </w:r>
      <w:r w:rsidR="00B307D7">
        <w:t>a</w:t>
      </w:r>
      <w:r w:rsidR="00115252">
        <w:t>tion to application</w:t>
      </w:r>
      <w:r w:rsidR="004E631A">
        <w:t>s</w:t>
      </w:r>
      <w:r w:rsidR="00115252">
        <w:t xml:space="preserve"> filed on or after 1 December 2023.</w:t>
      </w:r>
    </w:p>
    <w:p w14:paraId="160F2D03" w14:textId="2DC4F3FD" w:rsidR="00FF4818" w:rsidRDefault="00FF4818" w:rsidP="00C66959">
      <w:pPr>
        <w:jc w:val="both"/>
      </w:pPr>
    </w:p>
    <w:p w14:paraId="70988671" w14:textId="29B74A49" w:rsidR="00090A61" w:rsidRDefault="00206B7D" w:rsidP="00C66959">
      <w:pPr>
        <w:jc w:val="both"/>
        <w:rPr>
          <w:rFonts w:cs="Arial"/>
          <w:iCs/>
          <w:szCs w:val="24"/>
        </w:rPr>
      </w:pPr>
      <w:r>
        <w:rPr>
          <w:rFonts w:cs="Arial"/>
          <w:i/>
          <w:szCs w:val="24"/>
        </w:rPr>
        <w:t xml:space="preserve">Part 3 </w:t>
      </w:r>
      <w:r w:rsidR="00090A61" w:rsidRPr="00AD7F51">
        <w:rPr>
          <w:rFonts w:cs="Arial"/>
          <w:i/>
          <w:szCs w:val="24"/>
        </w:rPr>
        <w:t xml:space="preserve">– </w:t>
      </w:r>
      <w:r>
        <w:rPr>
          <w:rFonts w:cs="Arial"/>
          <w:i/>
          <w:szCs w:val="24"/>
        </w:rPr>
        <w:t>Notices of Appeal</w:t>
      </w:r>
    </w:p>
    <w:p w14:paraId="1A6FFBD2" w14:textId="18260560" w:rsidR="003844D1" w:rsidRDefault="003844D1" w:rsidP="001368D9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lastRenderedPageBreak/>
        <w:t xml:space="preserve">Rule 42.02.2 is amended to remove </w:t>
      </w:r>
      <w:r w:rsidR="004054B6">
        <w:rPr>
          <w:rFonts w:cs="Arial"/>
          <w:iCs/>
          <w:szCs w:val="24"/>
        </w:rPr>
        <w:t xml:space="preserve">a </w:t>
      </w:r>
      <w:r>
        <w:rPr>
          <w:rFonts w:cs="Arial"/>
          <w:iCs/>
          <w:szCs w:val="24"/>
        </w:rPr>
        <w:t xml:space="preserve">reference to the draft notice of appeal </w:t>
      </w:r>
      <w:r w:rsidRPr="004054B6">
        <w:rPr>
          <w:rFonts w:cs="Arial"/>
          <w:iCs/>
          <w:szCs w:val="24"/>
        </w:rPr>
        <w:t xml:space="preserve">furnished to the Court on the hearing of the application.  This reference was made obsolete by </w:t>
      </w:r>
      <w:r w:rsidR="00D1503E">
        <w:rPr>
          <w:rFonts w:cs="Arial"/>
          <w:iCs/>
          <w:szCs w:val="24"/>
        </w:rPr>
        <w:t xml:space="preserve">a previous </w:t>
      </w:r>
      <w:r w:rsidRPr="004054B6">
        <w:rPr>
          <w:rFonts w:cs="Arial"/>
          <w:iCs/>
          <w:szCs w:val="24"/>
        </w:rPr>
        <w:t>amendment</w:t>
      </w:r>
      <w:r w:rsidR="00282554" w:rsidRPr="004054B6">
        <w:rPr>
          <w:rFonts w:cs="Arial"/>
          <w:iCs/>
          <w:szCs w:val="24"/>
        </w:rPr>
        <w:t xml:space="preserve"> </w:t>
      </w:r>
      <w:r w:rsidRPr="004054B6">
        <w:rPr>
          <w:rFonts w:cs="Arial"/>
          <w:iCs/>
          <w:szCs w:val="24"/>
        </w:rPr>
        <w:t xml:space="preserve">to Part 41 of the </w:t>
      </w:r>
      <w:r w:rsidRPr="004054B6">
        <w:rPr>
          <w:rFonts w:cs="Arial"/>
          <w:i/>
          <w:szCs w:val="24"/>
        </w:rPr>
        <w:t>High Court Rules 2004</w:t>
      </w:r>
      <w:r w:rsidR="00282554" w:rsidRPr="004054B6">
        <w:rPr>
          <w:rFonts w:cs="Arial"/>
          <w:iCs/>
          <w:szCs w:val="24"/>
        </w:rPr>
        <w:t xml:space="preserve"> in which the </w:t>
      </w:r>
      <w:r w:rsidR="007757A2">
        <w:rPr>
          <w:rFonts w:cs="Arial"/>
          <w:iCs/>
          <w:szCs w:val="24"/>
        </w:rPr>
        <w:t xml:space="preserve">application, </w:t>
      </w:r>
      <w:r w:rsidR="00386CA6">
        <w:rPr>
          <w:rFonts w:cs="Arial"/>
          <w:iCs/>
          <w:szCs w:val="24"/>
        </w:rPr>
        <w:t xml:space="preserve">draft notice of appeal </w:t>
      </w:r>
      <w:r w:rsidR="007757A2">
        <w:rPr>
          <w:rFonts w:cs="Arial"/>
          <w:iCs/>
          <w:szCs w:val="24"/>
        </w:rPr>
        <w:t xml:space="preserve">and summary of argument were </w:t>
      </w:r>
      <w:r w:rsidR="00DE0F06">
        <w:rPr>
          <w:rFonts w:cs="Arial"/>
          <w:iCs/>
          <w:szCs w:val="24"/>
        </w:rPr>
        <w:t>consolidated</w:t>
      </w:r>
      <w:r w:rsidR="003C05E6">
        <w:rPr>
          <w:rFonts w:cs="Arial"/>
          <w:iCs/>
          <w:szCs w:val="24"/>
        </w:rPr>
        <w:t xml:space="preserve"> </w:t>
      </w:r>
      <w:r w:rsidR="007757A2">
        <w:rPr>
          <w:rFonts w:cs="Arial"/>
          <w:iCs/>
          <w:szCs w:val="24"/>
        </w:rPr>
        <w:t xml:space="preserve">into </w:t>
      </w:r>
      <w:r w:rsidR="002643BF">
        <w:rPr>
          <w:rFonts w:cs="Arial"/>
          <w:iCs/>
          <w:szCs w:val="24"/>
        </w:rPr>
        <w:t>one</w:t>
      </w:r>
      <w:r w:rsidR="00D9409A">
        <w:rPr>
          <w:rFonts w:cs="Arial"/>
          <w:iCs/>
          <w:szCs w:val="24"/>
        </w:rPr>
        <w:t xml:space="preserve"> single</w:t>
      </w:r>
      <w:r w:rsidR="00CF6C48">
        <w:rPr>
          <w:rFonts w:cs="Arial"/>
          <w:iCs/>
          <w:szCs w:val="24"/>
        </w:rPr>
        <w:t xml:space="preserve"> </w:t>
      </w:r>
      <w:r w:rsidR="002643BF">
        <w:rPr>
          <w:rFonts w:cs="Arial"/>
          <w:iCs/>
          <w:szCs w:val="24"/>
        </w:rPr>
        <w:t xml:space="preserve">form </w:t>
      </w:r>
      <w:r w:rsidR="00CF6C48">
        <w:rPr>
          <w:rFonts w:cs="Arial"/>
          <w:iCs/>
          <w:szCs w:val="24"/>
        </w:rPr>
        <w:t>called an applicatio</w:t>
      </w:r>
      <w:r w:rsidR="00241873">
        <w:rPr>
          <w:rFonts w:cs="Arial"/>
          <w:iCs/>
          <w:szCs w:val="24"/>
        </w:rPr>
        <w:t>n</w:t>
      </w:r>
      <w:r w:rsidR="00655266">
        <w:rPr>
          <w:rFonts w:cs="Arial"/>
          <w:iCs/>
          <w:szCs w:val="24"/>
        </w:rPr>
        <w:t xml:space="preserve"> for leave or special  leave to appeal</w:t>
      </w:r>
      <w:r>
        <w:rPr>
          <w:rFonts w:cs="Arial"/>
          <w:iCs/>
          <w:szCs w:val="24"/>
        </w:rPr>
        <w:t>.</w:t>
      </w:r>
    </w:p>
    <w:p w14:paraId="4FB81422" w14:textId="77777777" w:rsidR="00655266" w:rsidRDefault="00655266" w:rsidP="00655266">
      <w:pPr>
        <w:jc w:val="both"/>
      </w:pPr>
    </w:p>
    <w:p w14:paraId="3CF25D8A" w14:textId="44B01807" w:rsidR="00B307D7" w:rsidRPr="003844D1" w:rsidRDefault="00B307D7" w:rsidP="001368D9">
      <w:pPr>
        <w:jc w:val="both"/>
        <w:rPr>
          <w:rFonts w:cs="Arial"/>
          <w:iCs/>
          <w:szCs w:val="24"/>
        </w:rPr>
      </w:pPr>
      <w:r>
        <w:t xml:space="preserve">This amendment will apply in relation to </w:t>
      </w:r>
      <w:r w:rsidR="00B35ADD">
        <w:t xml:space="preserve">notices of appeal </w:t>
      </w:r>
      <w:r>
        <w:t>filed on or after 1</w:t>
      </w:r>
      <w:r w:rsidR="00386257">
        <w:t> </w:t>
      </w:r>
      <w:r>
        <w:t>December 2023.</w:t>
      </w:r>
    </w:p>
    <w:p w14:paraId="414B80A9" w14:textId="4042E839" w:rsidR="00D76B75" w:rsidRDefault="00D76B75" w:rsidP="00795FD7"/>
    <w:p w14:paraId="4B9F7B76" w14:textId="7E93CFDB" w:rsidR="00206B7D" w:rsidRDefault="00206B7D" w:rsidP="00795FD7">
      <w:pPr>
        <w:rPr>
          <w:i/>
          <w:iCs/>
        </w:rPr>
      </w:pPr>
      <w:r>
        <w:rPr>
          <w:i/>
          <w:iCs/>
        </w:rPr>
        <w:t>Consultation</w:t>
      </w:r>
    </w:p>
    <w:p w14:paraId="77F6C158" w14:textId="71E3387A" w:rsidR="003844D1" w:rsidRDefault="00DE7C1A" w:rsidP="00282554">
      <w:pPr>
        <w:jc w:val="both"/>
        <w:rPr>
          <w:rFonts w:cs="Arial"/>
        </w:rPr>
      </w:pPr>
      <w:r>
        <w:rPr>
          <w:rFonts w:cs="Arial"/>
        </w:rPr>
        <w:t xml:space="preserve">The </w:t>
      </w:r>
      <w:r w:rsidR="00F05084">
        <w:rPr>
          <w:rFonts w:cs="Arial"/>
        </w:rPr>
        <w:t xml:space="preserve">Amendment Rules will </w:t>
      </w:r>
      <w:r w:rsidR="00A259E3">
        <w:rPr>
          <w:rFonts w:cs="Arial"/>
        </w:rPr>
        <w:t xml:space="preserve">have no impact on the parties or their </w:t>
      </w:r>
      <w:r w:rsidR="006B74AD">
        <w:rPr>
          <w:rFonts w:cs="Arial"/>
        </w:rPr>
        <w:t xml:space="preserve">legal representatives </w:t>
      </w:r>
      <w:r w:rsidR="00A259E3">
        <w:rPr>
          <w:rFonts w:cs="Arial"/>
        </w:rPr>
        <w:t xml:space="preserve">other than </w:t>
      </w:r>
      <w:r w:rsidR="006B74AD">
        <w:rPr>
          <w:rFonts w:cs="Arial"/>
        </w:rPr>
        <w:t xml:space="preserve">to reduce </w:t>
      </w:r>
      <w:r w:rsidR="007C111E">
        <w:rPr>
          <w:rFonts w:cs="Arial"/>
        </w:rPr>
        <w:t xml:space="preserve">the work and costs </w:t>
      </w:r>
      <w:r w:rsidR="00F20A14">
        <w:rPr>
          <w:rFonts w:cs="Arial"/>
        </w:rPr>
        <w:t xml:space="preserve">previously </w:t>
      </w:r>
      <w:r w:rsidR="007C111E">
        <w:rPr>
          <w:rFonts w:cs="Arial"/>
        </w:rPr>
        <w:t xml:space="preserve">associated with </w:t>
      </w:r>
      <w:r w:rsidR="00BE0E49">
        <w:rPr>
          <w:rFonts w:cs="Arial"/>
        </w:rPr>
        <w:t xml:space="preserve">the preparation of </w:t>
      </w:r>
      <w:r w:rsidR="007D5E3A">
        <w:rPr>
          <w:rFonts w:cs="Arial"/>
        </w:rPr>
        <w:t xml:space="preserve">application </w:t>
      </w:r>
      <w:r w:rsidR="006B74AD">
        <w:rPr>
          <w:rFonts w:cs="Arial"/>
        </w:rPr>
        <w:t xml:space="preserve">books.  </w:t>
      </w:r>
      <w:r w:rsidR="000C6643">
        <w:rPr>
          <w:rFonts w:cs="Arial"/>
        </w:rPr>
        <w:t xml:space="preserve">In these circumstances </w:t>
      </w:r>
      <w:r w:rsidR="003844D1">
        <w:rPr>
          <w:rFonts w:cs="Arial"/>
        </w:rPr>
        <w:t xml:space="preserve">no consultation in relation to the </w:t>
      </w:r>
      <w:r w:rsidR="00282554">
        <w:rPr>
          <w:rFonts w:cs="Arial"/>
        </w:rPr>
        <w:t>amendments</w:t>
      </w:r>
      <w:r w:rsidR="000C6643">
        <w:rPr>
          <w:rFonts w:cs="Arial"/>
        </w:rPr>
        <w:t xml:space="preserve"> was necessary</w:t>
      </w:r>
      <w:r w:rsidR="00282554">
        <w:rPr>
          <w:rFonts w:cs="Arial"/>
        </w:rPr>
        <w:t>.</w:t>
      </w:r>
    </w:p>
    <w:p w14:paraId="5A3AC6F7" w14:textId="77777777" w:rsidR="00894DD6" w:rsidRDefault="00894DD6" w:rsidP="00DB7F36">
      <w:pPr>
        <w:ind w:right="-51"/>
        <w:jc w:val="both"/>
        <w:rPr>
          <w:rFonts w:cs="Arial"/>
          <w:iCs/>
          <w:szCs w:val="24"/>
        </w:rPr>
      </w:pPr>
    </w:p>
    <w:p w14:paraId="44B2FB44" w14:textId="370BC96A" w:rsidR="009A3176" w:rsidRPr="00AD7F51" w:rsidRDefault="009A3176" w:rsidP="00DB7F36">
      <w:pPr>
        <w:ind w:right="-51"/>
        <w:jc w:val="both"/>
        <w:rPr>
          <w:rFonts w:cs="Arial"/>
          <w:i/>
          <w:szCs w:val="24"/>
        </w:rPr>
      </w:pPr>
      <w:r w:rsidRPr="00AD7F51">
        <w:rPr>
          <w:rFonts w:cs="Arial"/>
          <w:i/>
          <w:szCs w:val="24"/>
        </w:rPr>
        <w:t>Statement of compat</w:t>
      </w:r>
      <w:r w:rsidR="00E5227C" w:rsidRPr="00AD7F51">
        <w:rPr>
          <w:rFonts w:cs="Arial"/>
          <w:i/>
          <w:szCs w:val="24"/>
        </w:rPr>
        <w:t>i</w:t>
      </w:r>
      <w:r w:rsidRPr="00AD7F51">
        <w:rPr>
          <w:rFonts w:cs="Arial"/>
          <w:i/>
          <w:szCs w:val="24"/>
        </w:rPr>
        <w:t>bility</w:t>
      </w:r>
    </w:p>
    <w:p w14:paraId="5B165A85" w14:textId="7AC34FC3" w:rsidR="004E32E9" w:rsidRDefault="00D76B75" w:rsidP="00DB7F36">
      <w:pPr>
        <w:ind w:right="-51"/>
        <w:jc w:val="both"/>
        <w:rPr>
          <w:rFonts w:cs="Arial"/>
          <w:szCs w:val="24"/>
        </w:rPr>
      </w:pPr>
      <w:r w:rsidRPr="00AD7F51">
        <w:rPr>
          <w:rFonts w:cs="Arial"/>
          <w:szCs w:val="24"/>
        </w:rPr>
        <w:t xml:space="preserve">Section 9 of the </w:t>
      </w:r>
      <w:r w:rsidRPr="00AD7F51">
        <w:rPr>
          <w:rFonts w:cs="Arial"/>
          <w:i/>
          <w:szCs w:val="24"/>
        </w:rPr>
        <w:t xml:space="preserve">Legislative Instruments </w:t>
      </w:r>
      <w:r w:rsidRPr="001E00AE">
        <w:rPr>
          <w:rFonts w:cs="Arial"/>
          <w:i/>
          <w:szCs w:val="24"/>
        </w:rPr>
        <w:t>Act 2003</w:t>
      </w:r>
      <w:r w:rsidRPr="00AD7F51">
        <w:rPr>
          <w:rFonts w:cs="Arial"/>
          <w:szCs w:val="24"/>
        </w:rPr>
        <w:t xml:space="preserve"> provides that Rules of</w:t>
      </w:r>
      <w:r w:rsidR="0041738C">
        <w:rPr>
          <w:rFonts w:cs="Arial"/>
          <w:szCs w:val="24"/>
        </w:rPr>
        <w:t xml:space="preserve"> </w:t>
      </w:r>
      <w:r w:rsidRPr="00AD7F51">
        <w:rPr>
          <w:rFonts w:cs="Arial"/>
          <w:szCs w:val="24"/>
        </w:rPr>
        <w:t xml:space="preserve">Court made for the High Court </w:t>
      </w:r>
      <w:r w:rsidR="00BE12BC" w:rsidRPr="00AD7F51">
        <w:rPr>
          <w:rFonts w:cs="Arial"/>
          <w:szCs w:val="24"/>
        </w:rPr>
        <w:t xml:space="preserve">of Australia </w:t>
      </w:r>
      <w:r w:rsidRPr="00AD7F51">
        <w:rPr>
          <w:rFonts w:cs="Arial"/>
          <w:szCs w:val="24"/>
        </w:rPr>
        <w:t xml:space="preserve">are not legislative instruments for the purposes of that Act. </w:t>
      </w:r>
      <w:r w:rsidR="00C14327">
        <w:rPr>
          <w:rFonts w:cs="Arial"/>
          <w:szCs w:val="24"/>
        </w:rPr>
        <w:t xml:space="preserve"> </w:t>
      </w:r>
      <w:r w:rsidRPr="00AD7F51">
        <w:rPr>
          <w:rFonts w:cs="Arial"/>
          <w:szCs w:val="24"/>
        </w:rPr>
        <w:t xml:space="preserve">The </w:t>
      </w:r>
      <w:r w:rsidRPr="00AD7F51">
        <w:rPr>
          <w:rFonts w:cs="Arial"/>
          <w:i/>
          <w:szCs w:val="24"/>
        </w:rPr>
        <w:t xml:space="preserve">Human Rights (Parliamentary Scrutiny) </w:t>
      </w:r>
      <w:r w:rsidRPr="001E00AE">
        <w:rPr>
          <w:rFonts w:cs="Arial"/>
          <w:i/>
          <w:szCs w:val="24"/>
        </w:rPr>
        <w:t>Act</w:t>
      </w:r>
      <w:r w:rsidR="001E00AE">
        <w:rPr>
          <w:rFonts w:cs="Arial"/>
          <w:i/>
          <w:szCs w:val="24"/>
        </w:rPr>
        <w:t xml:space="preserve"> </w:t>
      </w:r>
      <w:r w:rsidRPr="001E00AE">
        <w:rPr>
          <w:rFonts w:cs="Arial"/>
          <w:i/>
          <w:szCs w:val="24"/>
        </w:rPr>
        <w:t>2011</w:t>
      </w:r>
      <w:r w:rsidRPr="00AD7F51">
        <w:rPr>
          <w:rFonts w:cs="Arial"/>
          <w:szCs w:val="24"/>
        </w:rPr>
        <w:t xml:space="preserve"> does not apply to any such Rules of Court and no statement of compatibility for the purposes of that latter Act is included in the Explanatory Statement.</w:t>
      </w:r>
    </w:p>
    <w:sectPr w:rsidR="004E32E9" w:rsidSect="00FB0AD2">
      <w:headerReference w:type="default" r:id="rId8"/>
      <w:headerReference w:type="first" r:id="rId9"/>
      <w:pgSz w:w="11907" w:h="16840" w:code="9"/>
      <w:pgMar w:top="851" w:right="1797" w:bottom="1843" w:left="1797" w:header="851" w:footer="400" w:gutter="0"/>
      <w:paperSrc w:first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B2637" w14:textId="77777777" w:rsidR="006225BD" w:rsidRDefault="006225BD" w:rsidP="00AA6CC2">
      <w:r>
        <w:separator/>
      </w:r>
    </w:p>
  </w:endnote>
  <w:endnote w:type="continuationSeparator" w:id="0">
    <w:p w14:paraId="4BA6CE08" w14:textId="77777777" w:rsidR="006225BD" w:rsidRDefault="006225BD" w:rsidP="00AA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F85B1" w14:textId="77777777" w:rsidR="006225BD" w:rsidRDefault="006225BD" w:rsidP="00AA6CC2">
      <w:r>
        <w:separator/>
      </w:r>
    </w:p>
  </w:footnote>
  <w:footnote w:type="continuationSeparator" w:id="0">
    <w:p w14:paraId="57E813F9" w14:textId="77777777" w:rsidR="006225BD" w:rsidRDefault="006225BD" w:rsidP="00AA6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39A2" w14:textId="2F5E4630" w:rsidR="004F4CD0" w:rsidRDefault="004F4CD0">
    <w:pPr>
      <w:pStyle w:val="Header"/>
      <w:jc w:val="center"/>
    </w:pPr>
  </w:p>
  <w:sdt>
    <w:sdtPr>
      <w:id w:val="-16624592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F15D58" w14:textId="4FCB0896" w:rsidR="004F4CD0" w:rsidRDefault="004F4CD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4E414" w14:textId="77777777" w:rsidR="00565EA1" w:rsidRDefault="00565E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B673" w14:textId="10E4EFAA" w:rsidR="00A11E7B" w:rsidRDefault="006E23C0" w:rsidP="00405570">
    <w:pPr>
      <w:jc w:val="center"/>
    </w:pPr>
    <w:r>
      <w:object w:dxaOrig="7469" w:dyaOrig="5279" w14:anchorId="3343A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ommonwealth Coat of Arms of Australia" style="width:76.5pt;height:54pt">
          <v:imagedata r:id="rId1" o:title=""/>
        </v:shape>
        <o:OLEObject Type="Embed" ProgID="PBrush" ShapeID="_x0000_i1025" DrawAspect="Content" ObjectID="_1761650938" r:id="rId2"/>
      </w:object>
    </w:r>
  </w:p>
  <w:p w14:paraId="605D2CDF" w14:textId="77777777" w:rsidR="00A11E7B" w:rsidRDefault="00A11E7B" w:rsidP="00CF4044">
    <w:pPr>
      <w:spacing w:before="200" w:after="200"/>
      <w:jc w:val="center"/>
    </w:pPr>
    <w:r>
      <w:rPr>
        <w:spacing w:val="40"/>
        <w:sz w:val="28"/>
      </w:rPr>
      <w:t>HIGH COURT OF AUSTRALIA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62741"/>
    <w:multiLevelType w:val="hybridMultilevel"/>
    <w:tmpl w:val="37C842EC"/>
    <w:lvl w:ilvl="0" w:tplc="C7F0CA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B20AE"/>
    <w:multiLevelType w:val="hybridMultilevel"/>
    <w:tmpl w:val="95EC11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444A1"/>
    <w:multiLevelType w:val="hybridMultilevel"/>
    <w:tmpl w:val="19BA7E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38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0471021">
    <w:abstractNumId w:val="1"/>
  </w:num>
  <w:num w:numId="3" w16cid:durableId="691952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8E"/>
    <w:rsid w:val="00040E4A"/>
    <w:rsid w:val="00042535"/>
    <w:rsid w:val="00050552"/>
    <w:rsid w:val="00050702"/>
    <w:rsid w:val="0006128E"/>
    <w:rsid w:val="0006242F"/>
    <w:rsid w:val="00090A61"/>
    <w:rsid w:val="000920C5"/>
    <w:rsid w:val="00092108"/>
    <w:rsid w:val="000B40EF"/>
    <w:rsid w:val="000B5BB5"/>
    <w:rsid w:val="000C6643"/>
    <w:rsid w:val="000D1F52"/>
    <w:rsid w:val="000E3069"/>
    <w:rsid w:val="000E53E1"/>
    <w:rsid w:val="001064F4"/>
    <w:rsid w:val="00115252"/>
    <w:rsid w:val="00130F7F"/>
    <w:rsid w:val="001368D9"/>
    <w:rsid w:val="001407A8"/>
    <w:rsid w:val="00163FA8"/>
    <w:rsid w:val="00175E28"/>
    <w:rsid w:val="001A1267"/>
    <w:rsid w:val="001A1440"/>
    <w:rsid w:val="001A4EBC"/>
    <w:rsid w:val="001B70BA"/>
    <w:rsid w:val="001D62E2"/>
    <w:rsid w:val="001E00AE"/>
    <w:rsid w:val="001F558A"/>
    <w:rsid w:val="00202D2F"/>
    <w:rsid w:val="00206B7D"/>
    <w:rsid w:val="002265E9"/>
    <w:rsid w:val="00227DAF"/>
    <w:rsid w:val="00241873"/>
    <w:rsid w:val="002643BF"/>
    <w:rsid w:val="00277D3E"/>
    <w:rsid w:val="00282554"/>
    <w:rsid w:val="002B0101"/>
    <w:rsid w:val="002C0D05"/>
    <w:rsid w:val="002E58D6"/>
    <w:rsid w:val="002E7813"/>
    <w:rsid w:val="00314193"/>
    <w:rsid w:val="003154FE"/>
    <w:rsid w:val="00321FBB"/>
    <w:rsid w:val="003222AC"/>
    <w:rsid w:val="00325C7C"/>
    <w:rsid w:val="00332562"/>
    <w:rsid w:val="00334B9F"/>
    <w:rsid w:val="0034292B"/>
    <w:rsid w:val="00353DE8"/>
    <w:rsid w:val="0035776F"/>
    <w:rsid w:val="003721EE"/>
    <w:rsid w:val="00376969"/>
    <w:rsid w:val="0038222A"/>
    <w:rsid w:val="003844D1"/>
    <w:rsid w:val="00386257"/>
    <w:rsid w:val="00386CA6"/>
    <w:rsid w:val="003A1D9F"/>
    <w:rsid w:val="003B03F9"/>
    <w:rsid w:val="003C05E6"/>
    <w:rsid w:val="003C4DB0"/>
    <w:rsid w:val="004054B6"/>
    <w:rsid w:val="00405570"/>
    <w:rsid w:val="0041738C"/>
    <w:rsid w:val="00450072"/>
    <w:rsid w:val="00465E61"/>
    <w:rsid w:val="00466F25"/>
    <w:rsid w:val="00467A62"/>
    <w:rsid w:val="00477BB9"/>
    <w:rsid w:val="004840CC"/>
    <w:rsid w:val="004B0E83"/>
    <w:rsid w:val="004C31D7"/>
    <w:rsid w:val="004E176E"/>
    <w:rsid w:val="004E32E9"/>
    <w:rsid w:val="004E631A"/>
    <w:rsid w:val="004F4CD0"/>
    <w:rsid w:val="00501CD2"/>
    <w:rsid w:val="0051237A"/>
    <w:rsid w:val="005162B3"/>
    <w:rsid w:val="00517B22"/>
    <w:rsid w:val="005536EB"/>
    <w:rsid w:val="00565EA1"/>
    <w:rsid w:val="00585334"/>
    <w:rsid w:val="005A3DF5"/>
    <w:rsid w:val="005B7F52"/>
    <w:rsid w:val="005C14D3"/>
    <w:rsid w:val="005C2634"/>
    <w:rsid w:val="00611B01"/>
    <w:rsid w:val="006213F8"/>
    <w:rsid w:val="006225BD"/>
    <w:rsid w:val="00641251"/>
    <w:rsid w:val="00646B30"/>
    <w:rsid w:val="00655266"/>
    <w:rsid w:val="0066341D"/>
    <w:rsid w:val="006A0084"/>
    <w:rsid w:val="006A5B29"/>
    <w:rsid w:val="006A7AC0"/>
    <w:rsid w:val="006B4F03"/>
    <w:rsid w:val="006B6C2D"/>
    <w:rsid w:val="006B74AD"/>
    <w:rsid w:val="006D02E9"/>
    <w:rsid w:val="006D2D62"/>
    <w:rsid w:val="006E23C0"/>
    <w:rsid w:val="006E6BA3"/>
    <w:rsid w:val="006F3521"/>
    <w:rsid w:val="00716BD3"/>
    <w:rsid w:val="00721469"/>
    <w:rsid w:val="007440F4"/>
    <w:rsid w:val="00766C8C"/>
    <w:rsid w:val="007757A2"/>
    <w:rsid w:val="00781C29"/>
    <w:rsid w:val="00784C12"/>
    <w:rsid w:val="007928B3"/>
    <w:rsid w:val="00795FD7"/>
    <w:rsid w:val="007A0732"/>
    <w:rsid w:val="007C111E"/>
    <w:rsid w:val="007D5E3A"/>
    <w:rsid w:val="007D6FCB"/>
    <w:rsid w:val="0081388B"/>
    <w:rsid w:val="00821D94"/>
    <w:rsid w:val="00840B34"/>
    <w:rsid w:val="00844A20"/>
    <w:rsid w:val="00851890"/>
    <w:rsid w:val="008608FB"/>
    <w:rsid w:val="00887FFA"/>
    <w:rsid w:val="00894DD6"/>
    <w:rsid w:val="008B5248"/>
    <w:rsid w:val="008D5E9B"/>
    <w:rsid w:val="00905877"/>
    <w:rsid w:val="00922992"/>
    <w:rsid w:val="0093136D"/>
    <w:rsid w:val="009539B1"/>
    <w:rsid w:val="009613A7"/>
    <w:rsid w:val="00961AE4"/>
    <w:rsid w:val="00962136"/>
    <w:rsid w:val="00975436"/>
    <w:rsid w:val="009879BE"/>
    <w:rsid w:val="009A3176"/>
    <w:rsid w:val="009A4218"/>
    <w:rsid w:val="009D01B5"/>
    <w:rsid w:val="009D04E0"/>
    <w:rsid w:val="009D388A"/>
    <w:rsid w:val="009E6426"/>
    <w:rsid w:val="009E7F11"/>
    <w:rsid w:val="009F132E"/>
    <w:rsid w:val="009F1F0E"/>
    <w:rsid w:val="00A11E7B"/>
    <w:rsid w:val="00A259E3"/>
    <w:rsid w:val="00A31728"/>
    <w:rsid w:val="00A97014"/>
    <w:rsid w:val="00AA6CC2"/>
    <w:rsid w:val="00AD7F51"/>
    <w:rsid w:val="00AF25FE"/>
    <w:rsid w:val="00AF6A3E"/>
    <w:rsid w:val="00B07058"/>
    <w:rsid w:val="00B1061A"/>
    <w:rsid w:val="00B17FFC"/>
    <w:rsid w:val="00B214D1"/>
    <w:rsid w:val="00B25922"/>
    <w:rsid w:val="00B307D7"/>
    <w:rsid w:val="00B35ADD"/>
    <w:rsid w:val="00B50DEB"/>
    <w:rsid w:val="00B74FD7"/>
    <w:rsid w:val="00B92C8E"/>
    <w:rsid w:val="00BC2F0F"/>
    <w:rsid w:val="00BD06AE"/>
    <w:rsid w:val="00BE0E49"/>
    <w:rsid w:val="00BE12BC"/>
    <w:rsid w:val="00BF49B5"/>
    <w:rsid w:val="00C07D07"/>
    <w:rsid w:val="00C12B4D"/>
    <w:rsid w:val="00C14327"/>
    <w:rsid w:val="00C2333B"/>
    <w:rsid w:val="00C54611"/>
    <w:rsid w:val="00C66959"/>
    <w:rsid w:val="00C92B13"/>
    <w:rsid w:val="00CA229E"/>
    <w:rsid w:val="00CA4783"/>
    <w:rsid w:val="00CB4267"/>
    <w:rsid w:val="00CD4B88"/>
    <w:rsid w:val="00CD61F5"/>
    <w:rsid w:val="00CD6B16"/>
    <w:rsid w:val="00CE0A23"/>
    <w:rsid w:val="00CE5D43"/>
    <w:rsid w:val="00CF4044"/>
    <w:rsid w:val="00CF6C48"/>
    <w:rsid w:val="00D110A5"/>
    <w:rsid w:val="00D1503E"/>
    <w:rsid w:val="00D22C9B"/>
    <w:rsid w:val="00D37218"/>
    <w:rsid w:val="00D46847"/>
    <w:rsid w:val="00D64CB7"/>
    <w:rsid w:val="00D76B75"/>
    <w:rsid w:val="00D91BEE"/>
    <w:rsid w:val="00D9409A"/>
    <w:rsid w:val="00DA4388"/>
    <w:rsid w:val="00DA62FF"/>
    <w:rsid w:val="00DB1D29"/>
    <w:rsid w:val="00DB725E"/>
    <w:rsid w:val="00DB7F36"/>
    <w:rsid w:val="00DC153F"/>
    <w:rsid w:val="00DD0FFE"/>
    <w:rsid w:val="00DD36C0"/>
    <w:rsid w:val="00DE0F06"/>
    <w:rsid w:val="00DE7C1A"/>
    <w:rsid w:val="00E06D49"/>
    <w:rsid w:val="00E202CC"/>
    <w:rsid w:val="00E3337E"/>
    <w:rsid w:val="00E40382"/>
    <w:rsid w:val="00E5227C"/>
    <w:rsid w:val="00E52725"/>
    <w:rsid w:val="00E556CB"/>
    <w:rsid w:val="00E73D5F"/>
    <w:rsid w:val="00E861CA"/>
    <w:rsid w:val="00E97DEC"/>
    <w:rsid w:val="00EA771D"/>
    <w:rsid w:val="00EE16D7"/>
    <w:rsid w:val="00EE2D64"/>
    <w:rsid w:val="00F01464"/>
    <w:rsid w:val="00F05084"/>
    <w:rsid w:val="00F20A14"/>
    <w:rsid w:val="00F340F4"/>
    <w:rsid w:val="00F44524"/>
    <w:rsid w:val="00F46242"/>
    <w:rsid w:val="00F81325"/>
    <w:rsid w:val="00F858B2"/>
    <w:rsid w:val="00F93F47"/>
    <w:rsid w:val="00F96F33"/>
    <w:rsid w:val="00FB0AD2"/>
    <w:rsid w:val="00FD7E9C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A13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FD7"/>
    <w:rPr>
      <w:rFonts w:ascii="Arial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nselnames">
    <w:name w:val="Counsel names"/>
    <w:basedOn w:val="Normal"/>
    <w:pPr>
      <w:tabs>
        <w:tab w:val="left" w:pos="284"/>
        <w:tab w:val="left" w:pos="4253"/>
      </w:tabs>
    </w:pPr>
    <w:rPr>
      <w:b/>
      <w:vanish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B75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A6C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CC2"/>
    <w:rPr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A6C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CC2"/>
    <w:rPr>
      <w:sz w:val="24"/>
      <w:lang w:val="en-GB"/>
    </w:rPr>
  </w:style>
  <w:style w:type="character" w:customStyle="1" w:styleId="legsubtitle1">
    <w:name w:val="legsubtitle1"/>
    <w:basedOn w:val="DefaultParagraphFont"/>
    <w:rsid w:val="00A97014"/>
    <w:rPr>
      <w:b/>
      <w:bCs/>
    </w:rPr>
  </w:style>
  <w:style w:type="character" w:customStyle="1" w:styleId="legsubtitle">
    <w:name w:val="legsubtitle"/>
    <w:basedOn w:val="DefaultParagraphFont"/>
    <w:rsid w:val="00B17FFC"/>
  </w:style>
  <w:style w:type="paragraph" w:customStyle="1" w:styleId="Default">
    <w:name w:val="Default"/>
    <w:rsid w:val="00DB7F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5E9B"/>
    <w:pPr>
      <w:ind w:left="720"/>
    </w:pPr>
    <w:rPr>
      <w:rFonts w:asciiTheme="minorHAnsi" w:eastAsiaTheme="minorHAnsi" w:hAnsiTheme="minorHAnsi" w:cstheme="minorBidi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B79F-E2C3-42CA-80C8-81F5ACCB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2023-11-16T03:42:00Z</dcterms:created>
  <dcterms:modified xsi:type="dcterms:W3CDTF">2023-11-16T03:42:00Z</dcterms:modified>
</cp:coreProperties>
</file>