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1D04" w14:textId="1B2EDE69" w:rsidR="003C6251" w:rsidRPr="0003440B" w:rsidRDefault="003C6251" w:rsidP="003C6251">
      <w:pPr>
        <w:pStyle w:val="Heading"/>
        <w:tabs>
          <w:tab w:val="left" w:pos="360"/>
        </w:tabs>
        <w:spacing w:after="240"/>
        <w:jc w:val="center"/>
        <w:rPr>
          <w:rFonts w:ascii="Times New Roman" w:hAnsi="Times New Roman"/>
          <w:i/>
          <w:sz w:val="24"/>
          <w:szCs w:val="24"/>
        </w:rPr>
      </w:pPr>
      <w:r w:rsidRPr="0003440B">
        <w:rPr>
          <w:rFonts w:ascii="Times New Roman" w:hAnsi="Times New Roman"/>
          <w:i/>
          <w:sz w:val="24"/>
          <w:szCs w:val="24"/>
        </w:rPr>
        <w:t>Superannuation (prudential standard) determination No</w:t>
      </w:r>
      <w:r w:rsidRPr="008F6D6E">
        <w:rPr>
          <w:rFonts w:ascii="Times New Roman" w:hAnsi="Times New Roman"/>
          <w:i/>
          <w:sz w:val="24"/>
          <w:szCs w:val="24"/>
        </w:rPr>
        <w:t xml:space="preserve">. </w:t>
      </w:r>
      <w:r w:rsidR="00424C8C" w:rsidRPr="008F6D6E">
        <w:rPr>
          <w:rFonts w:ascii="Times New Roman" w:hAnsi="Times New Roman"/>
          <w:i/>
          <w:sz w:val="24"/>
          <w:szCs w:val="24"/>
        </w:rPr>
        <w:t>2</w:t>
      </w:r>
      <w:r w:rsidR="00592EC5" w:rsidRPr="008F6D6E">
        <w:rPr>
          <w:rFonts w:ascii="Times New Roman" w:hAnsi="Times New Roman"/>
          <w:i/>
          <w:sz w:val="24"/>
          <w:szCs w:val="24"/>
        </w:rPr>
        <w:t xml:space="preserve"> </w:t>
      </w:r>
      <w:r w:rsidRPr="008F6D6E">
        <w:rPr>
          <w:rFonts w:ascii="Times New Roman" w:hAnsi="Times New Roman"/>
          <w:i/>
          <w:sz w:val="24"/>
          <w:szCs w:val="24"/>
        </w:rPr>
        <w:t>of</w:t>
      </w:r>
      <w:r w:rsidRPr="0003440B">
        <w:rPr>
          <w:rFonts w:ascii="Times New Roman" w:hAnsi="Times New Roman"/>
          <w:i/>
          <w:sz w:val="24"/>
          <w:szCs w:val="24"/>
        </w:rPr>
        <w:t xml:space="preserve"> 202</w:t>
      </w:r>
      <w:r w:rsidR="00592EC5" w:rsidRPr="0003440B">
        <w:rPr>
          <w:rFonts w:ascii="Times New Roman" w:hAnsi="Times New Roman"/>
          <w:i/>
          <w:sz w:val="24"/>
          <w:szCs w:val="24"/>
        </w:rPr>
        <w:t>3</w:t>
      </w:r>
    </w:p>
    <w:p w14:paraId="070AD857" w14:textId="58EAC951" w:rsidR="002436BD" w:rsidRPr="002C6D26" w:rsidRDefault="002436BD" w:rsidP="003C6251">
      <w:pPr>
        <w:pStyle w:val="Heading"/>
        <w:tabs>
          <w:tab w:val="left" w:pos="360"/>
        </w:tabs>
        <w:spacing w:after="240"/>
        <w:jc w:val="center"/>
        <w:rPr>
          <w:rFonts w:ascii="Times New Roman" w:hAnsi="Times New Roman"/>
          <w:sz w:val="24"/>
          <w:szCs w:val="24"/>
          <w:u w:val="single"/>
        </w:rPr>
      </w:pPr>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1A8C3F52" w14:textId="2326F9A5" w:rsidR="003C6251" w:rsidRPr="00E04428" w:rsidRDefault="003C6251" w:rsidP="00DF7DA0">
      <w:pPr>
        <w:pStyle w:val="Heading"/>
        <w:tabs>
          <w:tab w:val="left" w:pos="360"/>
        </w:tabs>
        <w:spacing w:after="240"/>
        <w:jc w:val="center"/>
        <w:rPr>
          <w:rFonts w:ascii="Times New Roman" w:hAnsi="Times New Roman"/>
          <w:b w:val="0"/>
          <w:sz w:val="24"/>
          <w:szCs w:val="24"/>
        </w:rPr>
      </w:pPr>
      <w:r w:rsidRPr="003C6251">
        <w:rPr>
          <w:rFonts w:ascii="Times New Roman" w:hAnsi="Times New Roman"/>
          <w:b w:val="0"/>
          <w:i/>
          <w:sz w:val="24"/>
          <w:szCs w:val="24"/>
        </w:rPr>
        <w:t>Superannuation Industry (Supervision) Act 1993,</w:t>
      </w:r>
      <w:r w:rsidRPr="003C6251">
        <w:rPr>
          <w:rFonts w:ascii="Times New Roman" w:hAnsi="Times New Roman"/>
          <w:b w:val="0"/>
          <w:sz w:val="24"/>
          <w:szCs w:val="24"/>
        </w:rPr>
        <w:t xml:space="preserve"> section 34C</w:t>
      </w:r>
    </w:p>
    <w:p w14:paraId="6D6FAC54" w14:textId="6EC42610" w:rsidR="0002119C" w:rsidRPr="003E4D3A" w:rsidRDefault="00C30E88" w:rsidP="005E0B5F">
      <w:pPr>
        <w:widowControl w:val="0"/>
        <w:spacing w:after="240"/>
        <w:jc w:val="both"/>
        <w:rPr>
          <w:rFonts w:ascii="Times New Roman" w:hAnsi="Times New Roman"/>
          <w:sz w:val="24"/>
          <w:szCs w:val="24"/>
        </w:rPr>
      </w:pPr>
      <w:bookmarkStart w:id="0" w:name="bkAct"/>
      <w:bookmarkStart w:id="1" w:name="bkExplanatory"/>
      <w:bookmarkEnd w:id="0"/>
      <w:bookmarkEnd w:id="1"/>
      <w:r>
        <w:rPr>
          <w:rFonts w:ascii="Times New Roman" w:hAnsi="Times New Roman"/>
          <w:sz w:val="24"/>
          <w:szCs w:val="24"/>
        </w:rPr>
        <w:t xml:space="preserve">APRA may, in writing, </w:t>
      </w:r>
      <w:r w:rsidR="00AD4286">
        <w:rPr>
          <w:rFonts w:ascii="Times New Roman" w:hAnsi="Times New Roman"/>
          <w:sz w:val="24"/>
          <w:szCs w:val="24"/>
        </w:rPr>
        <w:t xml:space="preserve">determine, </w:t>
      </w:r>
      <w:r>
        <w:rPr>
          <w:rFonts w:ascii="Times New Roman" w:hAnsi="Times New Roman"/>
          <w:sz w:val="24"/>
          <w:szCs w:val="24"/>
        </w:rPr>
        <w:t xml:space="preserve">vary or revoke a prudential standard that applies to an APRA-regulated </w:t>
      </w:r>
      <w:r w:rsidR="00412C79">
        <w:rPr>
          <w:rFonts w:ascii="Times New Roman" w:hAnsi="Times New Roman"/>
          <w:sz w:val="24"/>
          <w:szCs w:val="24"/>
        </w:rPr>
        <w:t xml:space="preserve">entity </w:t>
      </w:r>
      <w:r>
        <w:rPr>
          <w:rFonts w:ascii="Times New Roman" w:hAnsi="Times New Roman"/>
          <w:sz w:val="24"/>
          <w:szCs w:val="24"/>
        </w:rPr>
        <w:t>under</w:t>
      </w:r>
      <w:r w:rsidR="005E0B5F">
        <w:rPr>
          <w:rFonts w:ascii="Times New Roman" w:hAnsi="Times New Roman"/>
          <w:sz w:val="24"/>
          <w:szCs w:val="24"/>
        </w:rPr>
        <w:t xml:space="preserve"> </w:t>
      </w:r>
      <w:r w:rsidR="0002119C" w:rsidRPr="0002119C">
        <w:rPr>
          <w:rFonts w:ascii="Times New Roman" w:hAnsi="Times New Roman"/>
          <w:sz w:val="24"/>
          <w:szCs w:val="24"/>
        </w:rPr>
        <w:t>subsection 34</w:t>
      </w:r>
      <w:proofErr w:type="gramStart"/>
      <w:r w:rsidR="0002119C" w:rsidRPr="0002119C">
        <w:rPr>
          <w:rFonts w:ascii="Times New Roman" w:hAnsi="Times New Roman"/>
          <w:sz w:val="24"/>
          <w:szCs w:val="24"/>
        </w:rPr>
        <w:t>C(</w:t>
      </w:r>
      <w:proofErr w:type="gramEnd"/>
      <w:r w:rsidR="0002119C" w:rsidRPr="0002119C">
        <w:rPr>
          <w:rFonts w:ascii="Times New Roman" w:hAnsi="Times New Roman"/>
          <w:sz w:val="24"/>
          <w:szCs w:val="24"/>
        </w:rPr>
        <w:t xml:space="preserve">1) </w:t>
      </w:r>
      <w:r w:rsidR="0002119C">
        <w:rPr>
          <w:rFonts w:ascii="Times New Roman" w:hAnsi="Times New Roman"/>
          <w:sz w:val="24"/>
          <w:szCs w:val="24"/>
        </w:rPr>
        <w:t>and (6)</w:t>
      </w:r>
      <w:r w:rsidR="005E0B5F">
        <w:rPr>
          <w:rFonts w:ascii="Times New Roman" w:hAnsi="Times New Roman"/>
          <w:sz w:val="24"/>
          <w:szCs w:val="24"/>
        </w:rPr>
        <w:t xml:space="preserve"> </w:t>
      </w:r>
      <w:r w:rsidR="0002119C" w:rsidRPr="0002119C">
        <w:rPr>
          <w:rFonts w:ascii="Times New Roman" w:hAnsi="Times New Roman"/>
          <w:sz w:val="24"/>
          <w:szCs w:val="24"/>
        </w:rPr>
        <w:t xml:space="preserve">of the </w:t>
      </w:r>
      <w:r w:rsidR="0002119C" w:rsidRPr="00FE228B">
        <w:rPr>
          <w:rFonts w:ascii="Times New Roman" w:hAnsi="Times New Roman"/>
          <w:i/>
          <w:sz w:val="24"/>
          <w:szCs w:val="24"/>
        </w:rPr>
        <w:t xml:space="preserve">Superannuation Industry (Supervision) Act 1993 </w:t>
      </w:r>
      <w:r w:rsidR="0002119C" w:rsidRPr="0002119C">
        <w:rPr>
          <w:rFonts w:ascii="Times New Roman" w:hAnsi="Times New Roman"/>
          <w:sz w:val="24"/>
          <w:szCs w:val="24"/>
        </w:rPr>
        <w:t>(</w:t>
      </w:r>
      <w:r w:rsidR="00B117DF">
        <w:rPr>
          <w:rFonts w:ascii="Times New Roman" w:hAnsi="Times New Roman"/>
          <w:sz w:val="24"/>
          <w:szCs w:val="24"/>
        </w:rPr>
        <w:t>Act</w:t>
      </w:r>
      <w:r w:rsidR="0002119C" w:rsidRPr="0002119C">
        <w:rPr>
          <w:rFonts w:ascii="Times New Roman" w:hAnsi="Times New Roman"/>
          <w:sz w:val="24"/>
          <w:szCs w:val="24"/>
        </w:rPr>
        <w:t xml:space="preserve">), </w:t>
      </w:r>
      <w:r w:rsidR="00A93428">
        <w:rPr>
          <w:rFonts w:ascii="Times New Roman" w:hAnsi="Times New Roman"/>
          <w:sz w:val="24"/>
          <w:szCs w:val="24"/>
        </w:rPr>
        <w:t xml:space="preserve">in relation </w:t>
      </w:r>
      <w:r w:rsidR="0002119C" w:rsidRPr="0002119C">
        <w:rPr>
          <w:rFonts w:ascii="Times New Roman" w:hAnsi="Times New Roman"/>
          <w:sz w:val="24"/>
          <w:szCs w:val="24"/>
        </w:rPr>
        <w:t>to Registered Superannuation Entity Licensees (RSE</w:t>
      </w:r>
      <w:r w:rsidR="009E4125">
        <w:rPr>
          <w:rFonts w:ascii="Times New Roman" w:hAnsi="Times New Roman"/>
          <w:sz w:val="24"/>
          <w:szCs w:val="24"/>
        </w:rPr>
        <w:t xml:space="preserve"> licensee</w:t>
      </w:r>
      <w:r w:rsidR="0002119C" w:rsidRPr="0002119C">
        <w:rPr>
          <w:rFonts w:ascii="Times New Roman" w:hAnsi="Times New Roman"/>
          <w:sz w:val="24"/>
          <w:szCs w:val="24"/>
        </w:rPr>
        <w:t>s)</w:t>
      </w:r>
      <w:r w:rsidR="00B117DF">
        <w:rPr>
          <w:rFonts w:ascii="Times New Roman" w:hAnsi="Times New Roman"/>
          <w:sz w:val="24"/>
          <w:szCs w:val="24"/>
        </w:rPr>
        <w:t>.</w:t>
      </w:r>
    </w:p>
    <w:p w14:paraId="32CFECD7" w14:textId="495B1492" w:rsidR="00041FAF" w:rsidRPr="00FE228B" w:rsidRDefault="002436BD" w:rsidP="005E0B5F">
      <w:pPr>
        <w:spacing w:after="240"/>
        <w:jc w:val="both"/>
        <w:rPr>
          <w:rFonts w:ascii="Times New Roman" w:hAnsi="Times New Roman"/>
          <w:i/>
          <w:sz w:val="24"/>
          <w:szCs w:val="24"/>
        </w:rPr>
      </w:pPr>
      <w:r w:rsidRPr="00EE2C47">
        <w:rPr>
          <w:rFonts w:ascii="Times New Roman" w:hAnsi="Times New Roman"/>
          <w:sz w:val="24"/>
          <w:szCs w:val="24"/>
        </w:rPr>
        <w:t xml:space="preserve">On </w:t>
      </w:r>
      <w:r w:rsidR="00AE0C0C">
        <w:rPr>
          <w:rFonts w:ascii="Times New Roman" w:hAnsi="Times New Roman"/>
          <w:sz w:val="24"/>
          <w:szCs w:val="24"/>
        </w:rPr>
        <w:t>20</w:t>
      </w:r>
      <w:r w:rsidR="00D2173C">
        <w:rPr>
          <w:rFonts w:ascii="Times New Roman" w:hAnsi="Times New Roman"/>
          <w:sz w:val="24"/>
          <w:szCs w:val="24"/>
        </w:rPr>
        <w:t xml:space="preserve"> </w:t>
      </w:r>
      <w:r w:rsidR="00F62B3F">
        <w:rPr>
          <w:rFonts w:ascii="Times New Roman" w:hAnsi="Times New Roman"/>
          <w:sz w:val="24"/>
          <w:szCs w:val="24"/>
        </w:rPr>
        <w:t>November</w:t>
      </w:r>
      <w:r w:rsidR="00D1513F" w:rsidRPr="00EE2C47">
        <w:rPr>
          <w:rFonts w:ascii="Times New Roman" w:hAnsi="Times New Roman"/>
          <w:sz w:val="24"/>
          <w:szCs w:val="24"/>
        </w:rPr>
        <w:t xml:space="preserve"> </w:t>
      </w:r>
      <w:r w:rsidR="00556C43" w:rsidRPr="00EE2C47">
        <w:rPr>
          <w:rFonts w:ascii="Times New Roman" w:hAnsi="Times New Roman"/>
          <w:sz w:val="24"/>
          <w:szCs w:val="24"/>
        </w:rPr>
        <w:t>202</w:t>
      </w:r>
      <w:r w:rsidR="00D2173C">
        <w:rPr>
          <w:rFonts w:ascii="Times New Roman" w:hAnsi="Times New Roman"/>
          <w:sz w:val="24"/>
          <w:szCs w:val="24"/>
        </w:rPr>
        <w:t>3</w:t>
      </w:r>
      <w:r w:rsidRPr="00EE2C47">
        <w:rPr>
          <w:rFonts w:ascii="Times New Roman" w:hAnsi="Times New Roman"/>
          <w:sz w:val="24"/>
          <w:szCs w:val="24"/>
        </w:rPr>
        <w:t>, APRA made</w:t>
      </w:r>
      <w:r w:rsidR="00F0754C">
        <w:rPr>
          <w:rFonts w:ascii="Times New Roman" w:hAnsi="Times New Roman"/>
          <w:sz w:val="24"/>
          <w:szCs w:val="24"/>
        </w:rPr>
        <w:t xml:space="preserve"> </w:t>
      </w:r>
      <w:r w:rsidR="00041FAF" w:rsidRPr="0003440B">
        <w:rPr>
          <w:rFonts w:ascii="Times New Roman" w:hAnsi="Times New Roman"/>
          <w:i/>
          <w:sz w:val="24"/>
          <w:szCs w:val="24"/>
        </w:rPr>
        <w:t xml:space="preserve">Superannuation (prudential standard) determination </w:t>
      </w:r>
      <w:r w:rsidR="00041FAF" w:rsidRPr="008F6D6E">
        <w:rPr>
          <w:rFonts w:ascii="Times New Roman" w:hAnsi="Times New Roman"/>
          <w:i/>
          <w:sz w:val="24"/>
          <w:szCs w:val="24"/>
        </w:rPr>
        <w:t xml:space="preserve">No. </w:t>
      </w:r>
      <w:r w:rsidR="00424C8C" w:rsidRPr="008F6D6E">
        <w:rPr>
          <w:rFonts w:ascii="Times New Roman" w:hAnsi="Times New Roman"/>
          <w:i/>
          <w:sz w:val="24"/>
          <w:szCs w:val="24"/>
        </w:rPr>
        <w:t>2</w:t>
      </w:r>
      <w:r w:rsidR="00592EC5" w:rsidRPr="0003440B">
        <w:rPr>
          <w:rFonts w:ascii="Times New Roman" w:hAnsi="Times New Roman"/>
          <w:i/>
          <w:sz w:val="24"/>
          <w:szCs w:val="24"/>
        </w:rPr>
        <w:t xml:space="preserve"> </w:t>
      </w:r>
      <w:r w:rsidR="00041FAF" w:rsidRPr="0003440B">
        <w:rPr>
          <w:rFonts w:ascii="Times New Roman" w:hAnsi="Times New Roman"/>
          <w:i/>
          <w:sz w:val="24"/>
          <w:szCs w:val="24"/>
        </w:rPr>
        <w:t>of 202</w:t>
      </w:r>
      <w:r w:rsidR="00592EC5" w:rsidRPr="0003440B">
        <w:rPr>
          <w:rFonts w:ascii="Times New Roman" w:hAnsi="Times New Roman"/>
          <w:i/>
          <w:sz w:val="24"/>
          <w:szCs w:val="24"/>
        </w:rPr>
        <w:t>3</w:t>
      </w:r>
      <w:r w:rsidR="009113C8">
        <w:rPr>
          <w:rFonts w:ascii="Times New Roman" w:hAnsi="Times New Roman"/>
          <w:sz w:val="24"/>
          <w:szCs w:val="24"/>
        </w:rPr>
        <w:t xml:space="preserve"> (the instrument)</w:t>
      </w:r>
      <w:r w:rsidR="00F679B3">
        <w:rPr>
          <w:rFonts w:ascii="Times New Roman" w:hAnsi="Times New Roman"/>
          <w:sz w:val="24"/>
          <w:szCs w:val="24"/>
        </w:rPr>
        <w:t xml:space="preserve">, which revokes </w:t>
      </w:r>
      <w:r w:rsidR="00F679B3" w:rsidRPr="00FE228B">
        <w:rPr>
          <w:rFonts w:ascii="Times New Roman" w:hAnsi="Times New Roman"/>
          <w:i/>
          <w:sz w:val="24"/>
          <w:szCs w:val="24"/>
        </w:rPr>
        <w:t>Prudential Standard SPS 510 Governance</w:t>
      </w:r>
      <w:r w:rsidR="00F679B3" w:rsidRPr="007F034C">
        <w:rPr>
          <w:rFonts w:ascii="Times New Roman" w:hAnsi="Times New Roman"/>
          <w:sz w:val="24"/>
          <w:szCs w:val="24"/>
        </w:rPr>
        <w:t xml:space="preserve"> made under</w:t>
      </w:r>
      <w:r w:rsidR="00F679B3" w:rsidRPr="00F679B3">
        <w:rPr>
          <w:rFonts w:ascii="Times New Roman" w:hAnsi="Times New Roman"/>
          <w:sz w:val="24"/>
          <w:szCs w:val="24"/>
        </w:rPr>
        <w:t xml:space="preserve"> </w:t>
      </w:r>
      <w:r w:rsidR="00041FAF" w:rsidRPr="0003440B">
        <w:rPr>
          <w:rFonts w:ascii="Times New Roman" w:hAnsi="Times New Roman"/>
          <w:i/>
          <w:sz w:val="24"/>
          <w:szCs w:val="24"/>
        </w:rPr>
        <w:t xml:space="preserve">Superannuation (prudential standard) determination No. </w:t>
      </w:r>
      <w:r w:rsidR="00002120" w:rsidRPr="0003440B">
        <w:rPr>
          <w:rFonts w:ascii="Times New Roman" w:hAnsi="Times New Roman"/>
          <w:i/>
          <w:sz w:val="24"/>
          <w:szCs w:val="24"/>
        </w:rPr>
        <w:t>3</w:t>
      </w:r>
      <w:r w:rsidR="00041FAF" w:rsidRPr="0003440B">
        <w:rPr>
          <w:rFonts w:ascii="Times New Roman" w:hAnsi="Times New Roman"/>
          <w:i/>
          <w:sz w:val="24"/>
          <w:szCs w:val="24"/>
        </w:rPr>
        <w:t xml:space="preserve"> of 20</w:t>
      </w:r>
      <w:r w:rsidR="00002120" w:rsidRPr="0003440B">
        <w:rPr>
          <w:rFonts w:ascii="Times New Roman" w:hAnsi="Times New Roman"/>
          <w:i/>
          <w:sz w:val="24"/>
          <w:szCs w:val="24"/>
        </w:rPr>
        <w:t>22</w:t>
      </w:r>
      <w:r w:rsidR="00F679B3">
        <w:rPr>
          <w:rFonts w:ascii="Times New Roman" w:hAnsi="Times New Roman"/>
          <w:sz w:val="24"/>
          <w:szCs w:val="24"/>
        </w:rPr>
        <w:t xml:space="preserve"> and determines a new </w:t>
      </w:r>
      <w:r w:rsidR="00F679B3" w:rsidRPr="007F034C">
        <w:rPr>
          <w:rFonts w:ascii="Times New Roman" w:hAnsi="Times New Roman"/>
          <w:i/>
          <w:sz w:val="24"/>
          <w:szCs w:val="24"/>
        </w:rPr>
        <w:t>Prudential Standard SPS 510 Governance</w:t>
      </w:r>
      <w:r w:rsidR="00F679B3">
        <w:rPr>
          <w:rFonts w:ascii="Times New Roman" w:hAnsi="Times New Roman"/>
          <w:i/>
          <w:sz w:val="24"/>
          <w:szCs w:val="24"/>
        </w:rPr>
        <w:t xml:space="preserve"> </w:t>
      </w:r>
      <w:r w:rsidR="00F679B3">
        <w:rPr>
          <w:rFonts w:ascii="Times New Roman" w:hAnsi="Times New Roman"/>
          <w:sz w:val="24"/>
          <w:szCs w:val="24"/>
        </w:rPr>
        <w:t>(SPS 510)</w:t>
      </w:r>
      <w:r w:rsidR="007815EA">
        <w:rPr>
          <w:rFonts w:ascii="Times New Roman" w:hAnsi="Times New Roman"/>
          <w:sz w:val="24"/>
          <w:szCs w:val="24"/>
        </w:rPr>
        <w:t>.</w:t>
      </w:r>
    </w:p>
    <w:p w14:paraId="11344BD8" w14:textId="6B1AAB92" w:rsidR="00340D2E" w:rsidRPr="005D57D5" w:rsidRDefault="00340D2E" w:rsidP="00155C7D">
      <w:pPr>
        <w:widowControl w:val="0"/>
        <w:spacing w:after="240"/>
        <w:jc w:val="both"/>
        <w:rPr>
          <w:rFonts w:ascii="Times New Roman" w:hAnsi="Times New Roman"/>
          <w:sz w:val="24"/>
          <w:szCs w:val="24"/>
        </w:rPr>
      </w:pPr>
      <w:r w:rsidRPr="00EE2C47">
        <w:rPr>
          <w:rFonts w:ascii="Times New Roman" w:hAnsi="Times New Roman"/>
          <w:sz w:val="24"/>
          <w:szCs w:val="24"/>
        </w:rPr>
        <w:t>The instrument commence</w:t>
      </w:r>
      <w:r w:rsidR="005D07DC">
        <w:rPr>
          <w:rFonts w:ascii="Times New Roman" w:hAnsi="Times New Roman"/>
          <w:sz w:val="24"/>
          <w:szCs w:val="24"/>
        </w:rPr>
        <w:t>s</w:t>
      </w:r>
      <w:r w:rsidRPr="00EE2C47">
        <w:rPr>
          <w:rFonts w:ascii="Times New Roman" w:hAnsi="Times New Roman"/>
          <w:sz w:val="24"/>
          <w:szCs w:val="24"/>
        </w:rPr>
        <w:t xml:space="preserve"> </w:t>
      </w:r>
      <w:r w:rsidR="00686360">
        <w:rPr>
          <w:rFonts w:ascii="Times New Roman" w:hAnsi="Times New Roman"/>
          <w:sz w:val="24"/>
          <w:szCs w:val="24"/>
        </w:rPr>
        <w:t xml:space="preserve">on </w:t>
      </w:r>
      <w:r w:rsidR="000F67B0">
        <w:rPr>
          <w:rFonts w:ascii="Times New Roman" w:hAnsi="Times New Roman"/>
          <w:sz w:val="24"/>
          <w:szCs w:val="24"/>
        </w:rPr>
        <w:t>1 January 202</w:t>
      </w:r>
      <w:r w:rsidR="00D2173C">
        <w:rPr>
          <w:rFonts w:ascii="Times New Roman" w:hAnsi="Times New Roman"/>
          <w:sz w:val="24"/>
          <w:szCs w:val="24"/>
        </w:rPr>
        <w:t>4</w:t>
      </w:r>
      <w:r w:rsidRPr="007177EC">
        <w:rPr>
          <w:rFonts w:ascii="Times New Roman" w:hAnsi="Times New Roman"/>
          <w:sz w:val="24"/>
          <w:szCs w:val="24"/>
        </w:rPr>
        <w:t>.</w:t>
      </w:r>
      <w:r>
        <w:rPr>
          <w:rFonts w:ascii="Times New Roman" w:hAnsi="Times New Roman"/>
          <w:sz w:val="24"/>
          <w:szCs w:val="24"/>
        </w:rPr>
        <w:t xml:space="preserve"> </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184FDC75" w14:textId="50A9EBD6" w:rsidR="001F355D" w:rsidRDefault="001F355D" w:rsidP="009566F2">
      <w:pPr>
        <w:pStyle w:val="Heading"/>
        <w:spacing w:after="240"/>
        <w:rPr>
          <w:rFonts w:ascii="Times New Roman" w:hAnsi="Times New Roman"/>
          <w:b w:val="0"/>
          <w:sz w:val="24"/>
          <w:szCs w:val="24"/>
        </w:rPr>
      </w:pPr>
      <w:r>
        <w:rPr>
          <w:rFonts w:ascii="Times New Roman" w:hAnsi="Times New Roman"/>
          <w:b w:val="0"/>
          <w:sz w:val="24"/>
          <w:szCs w:val="24"/>
        </w:rPr>
        <w:t xml:space="preserve">APRA’s mandate is to ensure the safety and soundness of prudentially regulated financial institutions so that they can meet their financial promises to depositors, </w:t>
      </w:r>
      <w:proofErr w:type="gramStart"/>
      <w:r>
        <w:rPr>
          <w:rFonts w:ascii="Times New Roman" w:hAnsi="Times New Roman"/>
          <w:b w:val="0"/>
          <w:sz w:val="24"/>
          <w:szCs w:val="24"/>
        </w:rPr>
        <w:t>policyholders</w:t>
      </w:r>
      <w:proofErr w:type="gramEnd"/>
      <w:r>
        <w:rPr>
          <w:rFonts w:ascii="Times New Roman" w:hAnsi="Times New Roman"/>
          <w:b w:val="0"/>
          <w:sz w:val="24"/>
          <w:szCs w:val="24"/>
        </w:rPr>
        <w:t xml:space="preserve"> and fund members within a stable, efficient and competitive financial system</w:t>
      </w:r>
      <w:r w:rsidR="002260E9">
        <w:rPr>
          <w:rFonts w:ascii="Times New Roman" w:hAnsi="Times New Roman"/>
          <w:b w:val="0"/>
          <w:sz w:val="24"/>
          <w:szCs w:val="24"/>
        </w:rPr>
        <w:t>.</w:t>
      </w:r>
    </w:p>
    <w:p w14:paraId="65655956" w14:textId="21C94830" w:rsidR="00274A69" w:rsidRDefault="001F355D" w:rsidP="009566F2">
      <w:pPr>
        <w:pStyle w:val="Heading"/>
        <w:spacing w:after="240"/>
        <w:rPr>
          <w:rFonts w:ascii="Times New Roman" w:hAnsi="Times New Roman"/>
          <w:b w:val="0"/>
          <w:sz w:val="24"/>
          <w:szCs w:val="24"/>
        </w:rPr>
      </w:pPr>
      <w:r>
        <w:rPr>
          <w:rFonts w:ascii="Times New Roman" w:hAnsi="Times New Roman"/>
          <w:b w:val="0"/>
          <w:sz w:val="24"/>
          <w:szCs w:val="24"/>
        </w:rPr>
        <w:t xml:space="preserve">APRA carries out this mandate through a multi-layered prudential framework that encompasses licensing and supervision of entities. The </w:t>
      </w:r>
      <w:r w:rsidR="00B117DF">
        <w:rPr>
          <w:rFonts w:ascii="Times New Roman" w:hAnsi="Times New Roman"/>
          <w:b w:val="0"/>
          <w:sz w:val="24"/>
          <w:szCs w:val="24"/>
        </w:rPr>
        <w:t>Act</w:t>
      </w:r>
      <w:r w:rsidR="00DA2E72">
        <w:rPr>
          <w:rFonts w:ascii="Times New Roman" w:hAnsi="Times New Roman"/>
          <w:b w:val="0"/>
          <w:sz w:val="24"/>
          <w:szCs w:val="24"/>
        </w:rPr>
        <w:t xml:space="preserve"> </w:t>
      </w:r>
      <w:r w:rsidR="00274A69">
        <w:rPr>
          <w:rFonts w:ascii="Times New Roman" w:hAnsi="Times New Roman"/>
          <w:b w:val="0"/>
          <w:sz w:val="24"/>
          <w:szCs w:val="24"/>
        </w:rPr>
        <w:t>allow</w:t>
      </w:r>
      <w:r w:rsidR="00002120">
        <w:rPr>
          <w:rFonts w:ascii="Times New Roman" w:hAnsi="Times New Roman"/>
          <w:b w:val="0"/>
          <w:sz w:val="24"/>
          <w:szCs w:val="24"/>
        </w:rPr>
        <w:t>s</w:t>
      </w:r>
      <w:r w:rsidR="00274A69">
        <w:rPr>
          <w:rFonts w:ascii="Times New Roman" w:hAnsi="Times New Roman"/>
          <w:b w:val="0"/>
          <w:sz w:val="24"/>
          <w:szCs w:val="24"/>
        </w:rPr>
        <w:t xml:space="preserve"> APRA to issue legally binding prudential standards that set out specific prudential requirements with which APRA-regulated entities must comply.</w:t>
      </w:r>
    </w:p>
    <w:p w14:paraId="241D9B3E" w14:textId="41E30BF0" w:rsidR="006739DC" w:rsidRDefault="00224F04" w:rsidP="009566F2">
      <w:pPr>
        <w:pStyle w:val="Heading"/>
        <w:spacing w:after="240"/>
        <w:rPr>
          <w:rFonts w:ascii="Times New Roman" w:hAnsi="Times New Roman"/>
          <w:b w:val="0"/>
          <w:sz w:val="24"/>
          <w:szCs w:val="24"/>
        </w:rPr>
      </w:pPr>
      <w:r>
        <w:rPr>
          <w:rFonts w:ascii="Times New Roman" w:hAnsi="Times New Roman"/>
          <w:b w:val="0"/>
          <w:sz w:val="24"/>
          <w:szCs w:val="24"/>
        </w:rPr>
        <w:t xml:space="preserve">In 2021, APRA determined a new </w:t>
      </w:r>
      <w:r>
        <w:rPr>
          <w:rFonts w:ascii="Times New Roman" w:hAnsi="Times New Roman"/>
          <w:b w:val="0"/>
          <w:i/>
          <w:sz w:val="24"/>
          <w:szCs w:val="24"/>
        </w:rPr>
        <w:t>Prudential Standard CPS 511</w:t>
      </w:r>
      <w:r w:rsidR="002F1D23">
        <w:rPr>
          <w:rFonts w:ascii="Times New Roman" w:hAnsi="Times New Roman"/>
          <w:b w:val="0"/>
          <w:i/>
          <w:sz w:val="24"/>
          <w:szCs w:val="24"/>
        </w:rPr>
        <w:t xml:space="preserve"> </w:t>
      </w:r>
      <w:r>
        <w:rPr>
          <w:rFonts w:ascii="Times New Roman" w:hAnsi="Times New Roman"/>
          <w:b w:val="0"/>
          <w:i/>
          <w:sz w:val="24"/>
          <w:szCs w:val="24"/>
        </w:rPr>
        <w:t xml:space="preserve">Remuneration </w:t>
      </w:r>
      <w:r>
        <w:rPr>
          <w:rFonts w:ascii="Times New Roman" w:hAnsi="Times New Roman"/>
          <w:b w:val="0"/>
          <w:sz w:val="24"/>
          <w:szCs w:val="24"/>
        </w:rPr>
        <w:t>(CPS</w:t>
      </w:r>
      <w:r w:rsidR="00A93428">
        <w:rPr>
          <w:rFonts w:ascii="Times New Roman" w:hAnsi="Times New Roman"/>
          <w:b w:val="0"/>
          <w:sz w:val="24"/>
          <w:szCs w:val="24"/>
        </w:rPr>
        <w:t xml:space="preserve"> </w:t>
      </w:r>
      <w:r>
        <w:rPr>
          <w:rFonts w:ascii="Times New Roman" w:hAnsi="Times New Roman"/>
          <w:b w:val="0"/>
          <w:sz w:val="24"/>
          <w:szCs w:val="24"/>
        </w:rPr>
        <w:t xml:space="preserve">511) which </w:t>
      </w:r>
      <w:r w:rsidR="006739DC">
        <w:rPr>
          <w:rFonts w:ascii="Times New Roman" w:hAnsi="Times New Roman"/>
          <w:b w:val="0"/>
          <w:sz w:val="24"/>
          <w:szCs w:val="24"/>
        </w:rPr>
        <w:t xml:space="preserve">sets out </w:t>
      </w:r>
      <w:r>
        <w:rPr>
          <w:rFonts w:ascii="Times New Roman" w:hAnsi="Times New Roman"/>
          <w:b w:val="0"/>
          <w:sz w:val="24"/>
          <w:szCs w:val="24"/>
        </w:rPr>
        <w:t>require</w:t>
      </w:r>
      <w:r w:rsidR="006739DC">
        <w:rPr>
          <w:rFonts w:ascii="Times New Roman" w:hAnsi="Times New Roman"/>
          <w:b w:val="0"/>
          <w:sz w:val="24"/>
          <w:szCs w:val="24"/>
        </w:rPr>
        <w:t>ment</w:t>
      </w:r>
      <w:r>
        <w:rPr>
          <w:rFonts w:ascii="Times New Roman" w:hAnsi="Times New Roman"/>
          <w:b w:val="0"/>
          <w:sz w:val="24"/>
          <w:szCs w:val="24"/>
        </w:rPr>
        <w:t xml:space="preserve">s </w:t>
      </w:r>
      <w:r w:rsidR="006739DC">
        <w:rPr>
          <w:rFonts w:ascii="Times New Roman" w:hAnsi="Times New Roman"/>
          <w:b w:val="0"/>
          <w:sz w:val="24"/>
          <w:szCs w:val="24"/>
        </w:rPr>
        <w:t xml:space="preserve">to ensure that </w:t>
      </w:r>
      <w:r>
        <w:rPr>
          <w:rFonts w:ascii="Times New Roman" w:hAnsi="Times New Roman"/>
          <w:b w:val="0"/>
          <w:sz w:val="24"/>
          <w:szCs w:val="24"/>
        </w:rPr>
        <w:t>APRA-regulated entities</w:t>
      </w:r>
      <w:r w:rsidR="006739DC">
        <w:rPr>
          <w:rFonts w:ascii="Times New Roman" w:hAnsi="Times New Roman"/>
          <w:b w:val="0"/>
          <w:sz w:val="24"/>
          <w:szCs w:val="24"/>
        </w:rPr>
        <w:t xml:space="preserve"> maintain remuneration arrangements that provide appropriate incentives to individuals to prudently manage the risks they are responsible for, and that there are appropriate consequences for poor risk outcomes. CPS 511 commence</w:t>
      </w:r>
      <w:r w:rsidR="006E7B0D">
        <w:rPr>
          <w:rFonts w:ascii="Times New Roman" w:hAnsi="Times New Roman"/>
          <w:b w:val="0"/>
          <w:sz w:val="24"/>
          <w:szCs w:val="24"/>
        </w:rPr>
        <w:t>d</w:t>
      </w:r>
      <w:r w:rsidR="006739DC">
        <w:rPr>
          <w:rFonts w:ascii="Times New Roman" w:hAnsi="Times New Roman"/>
          <w:b w:val="0"/>
          <w:sz w:val="24"/>
          <w:szCs w:val="24"/>
        </w:rPr>
        <w:t xml:space="preserve"> on 1 January 2023.</w:t>
      </w:r>
    </w:p>
    <w:p w14:paraId="5009AF26" w14:textId="3F43D201" w:rsidR="00D5666F" w:rsidRDefault="008C63CA" w:rsidP="009566F2">
      <w:pPr>
        <w:pStyle w:val="Heading"/>
        <w:spacing w:after="240"/>
        <w:rPr>
          <w:rFonts w:ascii="Times New Roman" w:hAnsi="Times New Roman"/>
          <w:b w:val="0"/>
          <w:sz w:val="24"/>
          <w:szCs w:val="24"/>
        </w:rPr>
      </w:pPr>
      <w:r>
        <w:rPr>
          <w:rFonts w:ascii="Times New Roman" w:hAnsi="Times New Roman"/>
          <w:b w:val="0"/>
          <w:sz w:val="24"/>
          <w:szCs w:val="24"/>
        </w:rPr>
        <w:t>With</w:t>
      </w:r>
      <w:r w:rsidR="006739DC">
        <w:rPr>
          <w:rFonts w:ascii="Times New Roman" w:hAnsi="Times New Roman"/>
          <w:b w:val="0"/>
          <w:sz w:val="24"/>
          <w:szCs w:val="24"/>
        </w:rPr>
        <w:t xml:space="preserve"> the commencement of CPS 511</w:t>
      </w:r>
      <w:r>
        <w:rPr>
          <w:rFonts w:ascii="Times New Roman" w:hAnsi="Times New Roman"/>
          <w:b w:val="0"/>
          <w:sz w:val="24"/>
          <w:szCs w:val="24"/>
        </w:rPr>
        <w:t xml:space="preserve"> on 1 January 2023</w:t>
      </w:r>
      <w:r w:rsidR="006739DC">
        <w:rPr>
          <w:rFonts w:ascii="Times New Roman" w:hAnsi="Times New Roman"/>
          <w:b w:val="0"/>
          <w:sz w:val="24"/>
          <w:szCs w:val="24"/>
        </w:rPr>
        <w:t xml:space="preserve">, </w:t>
      </w:r>
      <w:proofErr w:type="gramStart"/>
      <w:r w:rsidR="006739DC">
        <w:rPr>
          <w:rFonts w:ascii="Times New Roman" w:hAnsi="Times New Roman"/>
          <w:b w:val="0"/>
          <w:sz w:val="24"/>
          <w:szCs w:val="24"/>
        </w:rPr>
        <w:t>a number of</w:t>
      </w:r>
      <w:proofErr w:type="gramEnd"/>
      <w:r w:rsidR="006739DC">
        <w:rPr>
          <w:rFonts w:ascii="Times New Roman" w:hAnsi="Times New Roman"/>
          <w:b w:val="0"/>
          <w:sz w:val="24"/>
          <w:szCs w:val="24"/>
        </w:rPr>
        <w:t xml:space="preserve"> existing requirements relating to remuneration, including those detailing requirements in relation to Board Remuneration Committees and Remuneration policies, currently set out in </w:t>
      </w:r>
      <w:r w:rsidR="00950E48" w:rsidRPr="009E4125">
        <w:rPr>
          <w:rFonts w:ascii="Times New Roman" w:hAnsi="Times New Roman"/>
          <w:b w:val="0"/>
          <w:sz w:val="24"/>
          <w:szCs w:val="24"/>
        </w:rPr>
        <w:t>SPS 510</w:t>
      </w:r>
      <w:r w:rsidR="00BF11CA">
        <w:rPr>
          <w:rFonts w:ascii="Times New Roman" w:hAnsi="Times New Roman"/>
          <w:b w:val="0"/>
          <w:sz w:val="24"/>
          <w:szCs w:val="24"/>
        </w:rPr>
        <w:t>,</w:t>
      </w:r>
      <w:r w:rsidR="00950E48">
        <w:rPr>
          <w:rFonts w:ascii="Times New Roman" w:hAnsi="Times New Roman"/>
          <w:b w:val="0"/>
          <w:sz w:val="24"/>
          <w:szCs w:val="24"/>
        </w:rPr>
        <w:t xml:space="preserve"> </w:t>
      </w:r>
      <w:r w:rsidR="00355A9B">
        <w:rPr>
          <w:rFonts w:ascii="Times New Roman" w:hAnsi="Times New Roman"/>
          <w:b w:val="0"/>
          <w:sz w:val="24"/>
          <w:szCs w:val="24"/>
        </w:rPr>
        <w:t xml:space="preserve">have </w:t>
      </w:r>
      <w:r w:rsidR="00D04798">
        <w:rPr>
          <w:rFonts w:ascii="Times New Roman" w:hAnsi="Times New Roman"/>
          <w:b w:val="0"/>
          <w:sz w:val="24"/>
          <w:szCs w:val="24"/>
        </w:rPr>
        <w:t>become</w:t>
      </w:r>
      <w:r w:rsidR="006739DC">
        <w:rPr>
          <w:rFonts w:ascii="Times New Roman" w:hAnsi="Times New Roman"/>
          <w:b w:val="0"/>
          <w:sz w:val="24"/>
          <w:szCs w:val="24"/>
        </w:rPr>
        <w:t xml:space="preserve"> </w:t>
      </w:r>
      <w:r w:rsidR="009320B7">
        <w:rPr>
          <w:rFonts w:ascii="Times New Roman" w:hAnsi="Times New Roman"/>
          <w:b w:val="0"/>
          <w:sz w:val="24"/>
          <w:szCs w:val="24"/>
        </w:rPr>
        <w:t xml:space="preserve">progressively </w:t>
      </w:r>
      <w:r w:rsidR="006739DC">
        <w:rPr>
          <w:rFonts w:ascii="Times New Roman" w:hAnsi="Times New Roman"/>
          <w:b w:val="0"/>
          <w:sz w:val="24"/>
          <w:szCs w:val="24"/>
        </w:rPr>
        <w:t xml:space="preserve">redundant as these matters </w:t>
      </w:r>
      <w:r w:rsidR="00AC4ECD">
        <w:rPr>
          <w:rFonts w:ascii="Times New Roman" w:hAnsi="Times New Roman"/>
          <w:b w:val="0"/>
          <w:sz w:val="24"/>
          <w:szCs w:val="24"/>
        </w:rPr>
        <w:t>are</w:t>
      </w:r>
      <w:r w:rsidR="006739DC">
        <w:rPr>
          <w:rFonts w:ascii="Times New Roman" w:hAnsi="Times New Roman"/>
          <w:b w:val="0"/>
          <w:sz w:val="24"/>
          <w:szCs w:val="24"/>
        </w:rPr>
        <w:t xml:space="preserve"> covered by new requirements in CPS</w:t>
      </w:r>
      <w:r w:rsidR="000C132A">
        <w:rPr>
          <w:rFonts w:ascii="Times New Roman" w:hAnsi="Times New Roman"/>
          <w:b w:val="0"/>
          <w:sz w:val="24"/>
          <w:szCs w:val="24"/>
        </w:rPr>
        <w:t> </w:t>
      </w:r>
      <w:r w:rsidR="006739DC">
        <w:rPr>
          <w:rFonts w:ascii="Times New Roman" w:hAnsi="Times New Roman"/>
          <w:b w:val="0"/>
          <w:sz w:val="24"/>
          <w:szCs w:val="24"/>
        </w:rPr>
        <w:t>511.</w:t>
      </w:r>
      <w:r>
        <w:rPr>
          <w:rFonts w:ascii="Times New Roman" w:hAnsi="Times New Roman"/>
          <w:b w:val="0"/>
          <w:sz w:val="24"/>
          <w:szCs w:val="24"/>
        </w:rPr>
        <w:t xml:space="preserve"> </w:t>
      </w:r>
      <w:r w:rsidR="00A13D3C">
        <w:rPr>
          <w:rFonts w:ascii="Times New Roman" w:hAnsi="Times New Roman"/>
          <w:b w:val="0"/>
          <w:sz w:val="24"/>
          <w:szCs w:val="24"/>
        </w:rPr>
        <w:t xml:space="preserve">The application </w:t>
      </w:r>
      <w:r w:rsidR="000305EC">
        <w:rPr>
          <w:rFonts w:ascii="Times New Roman" w:hAnsi="Times New Roman"/>
          <w:b w:val="0"/>
          <w:sz w:val="24"/>
          <w:szCs w:val="24"/>
        </w:rPr>
        <w:t xml:space="preserve">of CPS 511 </w:t>
      </w:r>
      <w:r w:rsidR="008F1200">
        <w:rPr>
          <w:rFonts w:ascii="Times New Roman" w:hAnsi="Times New Roman"/>
          <w:b w:val="0"/>
          <w:sz w:val="24"/>
          <w:szCs w:val="24"/>
        </w:rPr>
        <w:t>is</w:t>
      </w:r>
      <w:r w:rsidR="000305EC">
        <w:rPr>
          <w:rFonts w:ascii="Times New Roman" w:hAnsi="Times New Roman"/>
          <w:b w:val="0"/>
          <w:sz w:val="24"/>
          <w:szCs w:val="24"/>
        </w:rPr>
        <w:t xml:space="preserve"> on a staggered basis commencing from 1 January 2023 and will be complete </w:t>
      </w:r>
      <w:r w:rsidR="00625C6F">
        <w:rPr>
          <w:rFonts w:ascii="Times New Roman" w:hAnsi="Times New Roman"/>
          <w:b w:val="0"/>
          <w:sz w:val="24"/>
          <w:szCs w:val="24"/>
        </w:rPr>
        <w:t xml:space="preserve">from 1 January 2024, at which time the Board Remuneration Committee requirements and Remuneration policy requirements set out in </w:t>
      </w:r>
      <w:r w:rsidR="00F90CF4">
        <w:rPr>
          <w:rFonts w:ascii="Times New Roman" w:hAnsi="Times New Roman"/>
          <w:b w:val="0"/>
          <w:sz w:val="24"/>
          <w:szCs w:val="24"/>
        </w:rPr>
        <w:t>S</w:t>
      </w:r>
      <w:r w:rsidR="00625C6F">
        <w:rPr>
          <w:rFonts w:ascii="Times New Roman" w:hAnsi="Times New Roman"/>
          <w:b w:val="0"/>
          <w:sz w:val="24"/>
          <w:szCs w:val="24"/>
        </w:rPr>
        <w:t xml:space="preserve">PS 510 will no longer </w:t>
      </w:r>
      <w:r w:rsidR="00DF2627">
        <w:rPr>
          <w:rFonts w:ascii="Times New Roman" w:hAnsi="Times New Roman"/>
          <w:b w:val="0"/>
          <w:sz w:val="24"/>
          <w:szCs w:val="24"/>
        </w:rPr>
        <w:t>be applicable.</w:t>
      </w:r>
    </w:p>
    <w:p w14:paraId="6E9E2C8E" w14:textId="4B33E2BB"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bookmarkStart w:id="2" w:name="bkBackground"/>
      <w:bookmarkEnd w:id="2"/>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A71EDF">
        <w:rPr>
          <w:rFonts w:ascii="Times New Roman" w:hAnsi="Times New Roman"/>
          <w:sz w:val="24"/>
          <w:szCs w:val="24"/>
        </w:rPr>
        <w:t>s</w:t>
      </w:r>
    </w:p>
    <w:p w14:paraId="70C756BC" w14:textId="04D83757" w:rsidR="009E4125" w:rsidRPr="00FE228B" w:rsidRDefault="009E4125" w:rsidP="00FE228B">
      <w:pPr>
        <w:spacing w:after="240"/>
        <w:jc w:val="both"/>
        <w:rPr>
          <w:rFonts w:ascii="Times New Roman" w:hAnsi="Times New Roman"/>
          <w:sz w:val="24"/>
          <w:szCs w:val="24"/>
        </w:rPr>
      </w:pPr>
      <w:bookmarkStart w:id="3" w:name="_Hlk112080807"/>
      <w:r>
        <w:rPr>
          <w:rFonts w:ascii="Times New Roman" w:hAnsi="Times New Roman"/>
          <w:sz w:val="24"/>
          <w:szCs w:val="24"/>
        </w:rPr>
        <w:t xml:space="preserve">The purpose of </w:t>
      </w:r>
      <w:r w:rsidR="009113C8">
        <w:rPr>
          <w:rFonts w:ascii="Times New Roman" w:hAnsi="Times New Roman"/>
          <w:sz w:val="24"/>
          <w:szCs w:val="24"/>
        </w:rPr>
        <w:t>the instrument</w:t>
      </w:r>
      <w:r>
        <w:rPr>
          <w:rFonts w:ascii="Times New Roman" w:hAnsi="Times New Roman"/>
          <w:sz w:val="24"/>
          <w:szCs w:val="24"/>
        </w:rPr>
        <w:t xml:space="preserve"> is to revoke the existing requirements under SPS 510 for superannuation and replace it with the new SPS 510 which incorporates necessary consequential amendments resulting from the commencement of CPS 511. The </w:t>
      </w:r>
      <w:r>
        <w:rPr>
          <w:rFonts w:ascii="Times New Roman" w:hAnsi="Times New Roman"/>
          <w:sz w:val="24"/>
          <w:szCs w:val="24"/>
        </w:rPr>
        <w:lastRenderedPageBreak/>
        <w:t xml:space="preserve">amendments apply to RSE licensees </w:t>
      </w:r>
      <w:r w:rsidR="00617C81">
        <w:rPr>
          <w:rFonts w:ascii="Times New Roman" w:hAnsi="Times New Roman"/>
          <w:sz w:val="24"/>
          <w:szCs w:val="24"/>
        </w:rPr>
        <w:t xml:space="preserve">that are not significant financial institutions </w:t>
      </w:r>
      <w:r w:rsidR="00B04F8D">
        <w:rPr>
          <w:rFonts w:ascii="Times New Roman" w:hAnsi="Times New Roman"/>
          <w:sz w:val="24"/>
          <w:szCs w:val="24"/>
        </w:rPr>
        <w:t>from 1 January 2024</w:t>
      </w:r>
      <w:r w:rsidRPr="009E4125">
        <w:rPr>
          <w:rFonts w:ascii="Times New Roman" w:hAnsi="Times New Roman"/>
          <w:sz w:val="24"/>
          <w:szCs w:val="24"/>
        </w:rPr>
        <w:t>.</w:t>
      </w:r>
      <w:r w:rsidR="00617C81">
        <w:rPr>
          <w:rFonts w:ascii="Times New Roman" w:hAnsi="Times New Roman"/>
          <w:sz w:val="24"/>
          <w:szCs w:val="24"/>
        </w:rPr>
        <w:t xml:space="preserve"> RSE licensees that are significant financial institutions were previously </w:t>
      </w:r>
      <w:r w:rsidR="003E1985">
        <w:rPr>
          <w:rFonts w:ascii="Times New Roman" w:hAnsi="Times New Roman"/>
          <w:sz w:val="24"/>
          <w:szCs w:val="24"/>
        </w:rPr>
        <w:t xml:space="preserve">carved out from applying these requirements </w:t>
      </w:r>
      <w:r w:rsidR="00A36248">
        <w:rPr>
          <w:rFonts w:ascii="Times New Roman" w:hAnsi="Times New Roman"/>
          <w:sz w:val="24"/>
          <w:szCs w:val="24"/>
        </w:rPr>
        <w:t>under SPS 510.</w:t>
      </w:r>
    </w:p>
    <w:p w14:paraId="52748D24" w14:textId="7519C93A" w:rsidR="002F41A8" w:rsidRPr="00AB677C" w:rsidRDefault="002F41A8" w:rsidP="00422B75">
      <w:pPr>
        <w:pStyle w:val="Heading"/>
        <w:spacing w:after="240"/>
        <w:rPr>
          <w:rFonts w:ascii="Times New Roman" w:hAnsi="Times New Roman"/>
          <w:i/>
          <w:sz w:val="24"/>
          <w:szCs w:val="24"/>
        </w:rPr>
      </w:pPr>
      <w:bookmarkStart w:id="4" w:name="_Hlk149908804"/>
      <w:bookmarkEnd w:id="3"/>
      <w:r w:rsidRPr="00AB677C">
        <w:rPr>
          <w:rFonts w:ascii="Times New Roman" w:hAnsi="Times New Roman"/>
          <w:i/>
          <w:sz w:val="24"/>
          <w:szCs w:val="24"/>
        </w:rPr>
        <w:t>Exercise of discretion by APRA</w:t>
      </w:r>
    </w:p>
    <w:bookmarkEnd w:id="4"/>
    <w:p w14:paraId="752CFDF8" w14:textId="57A65336" w:rsidR="00A71EDF" w:rsidRDefault="00A60F6D" w:rsidP="00A71EDF">
      <w:pPr>
        <w:spacing w:after="240"/>
        <w:jc w:val="both"/>
        <w:rPr>
          <w:rFonts w:ascii="Times New Roman" w:hAnsi="Times New Roman"/>
          <w:sz w:val="24"/>
          <w:szCs w:val="24"/>
        </w:rPr>
      </w:pPr>
      <w:r>
        <w:rPr>
          <w:rFonts w:ascii="Times New Roman" w:hAnsi="Times New Roman"/>
          <w:sz w:val="24"/>
          <w:szCs w:val="24"/>
        </w:rPr>
        <w:t>S</w:t>
      </w:r>
      <w:r w:rsidR="005A7F3E">
        <w:rPr>
          <w:rFonts w:ascii="Times New Roman" w:hAnsi="Times New Roman"/>
          <w:sz w:val="24"/>
          <w:szCs w:val="24"/>
        </w:rPr>
        <w:t>PS 510</w:t>
      </w:r>
      <w:r w:rsidR="0016033A">
        <w:rPr>
          <w:rFonts w:ascii="Times New Roman" w:hAnsi="Times New Roman"/>
          <w:sz w:val="24"/>
          <w:szCs w:val="24"/>
        </w:rPr>
        <w:t xml:space="preserve"> </w:t>
      </w:r>
      <w:r w:rsidR="004A0949">
        <w:rPr>
          <w:rFonts w:ascii="Times New Roman" w:hAnsi="Times New Roman"/>
          <w:sz w:val="24"/>
          <w:szCs w:val="24"/>
        </w:rPr>
        <w:t>provide</w:t>
      </w:r>
      <w:r w:rsidR="005A7F3E">
        <w:rPr>
          <w:rFonts w:ascii="Times New Roman" w:hAnsi="Times New Roman"/>
          <w:sz w:val="24"/>
          <w:szCs w:val="24"/>
        </w:rPr>
        <w:t>s</w:t>
      </w:r>
      <w:r w:rsidR="004A0949">
        <w:rPr>
          <w:rFonts w:ascii="Times New Roman" w:hAnsi="Times New Roman"/>
          <w:sz w:val="24"/>
          <w:szCs w:val="24"/>
        </w:rPr>
        <w:t xml:space="preserve"> for APRA to exercise various discretions. </w:t>
      </w:r>
      <w:r w:rsidR="004A0949" w:rsidRPr="004A0949">
        <w:rPr>
          <w:rFonts w:ascii="Times New Roman" w:hAnsi="Times New Roman"/>
          <w:sz w:val="24"/>
          <w:szCs w:val="24"/>
        </w:rPr>
        <w:t xml:space="preserve">Decisions made by APRA </w:t>
      </w:r>
      <w:r w:rsidR="009113C8">
        <w:rPr>
          <w:rFonts w:ascii="Times New Roman" w:hAnsi="Times New Roman"/>
          <w:sz w:val="24"/>
          <w:szCs w:val="24"/>
        </w:rPr>
        <w:t xml:space="preserve">in </w:t>
      </w:r>
      <w:r w:rsidR="004A0949" w:rsidRPr="004A0949">
        <w:rPr>
          <w:rFonts w:ascii="Times New Roman" w:hAnsi="Times New Roman"/>
          <w:sz w:val="24"/>
          <w:szCs w:val="24"/>
        </w:rPr>
        <w:t>exercising those discretions are not subject to merits review. This is because these decisions are preliminary decisions that may facilitate or lead to substantive decisions which are subject to merits review.</w:t>
      </w:r>
    </w:p>
    <w:p w14:paraId="008D8EC3" w14:textId="763A0549" w:rsidR="00D14060" w:rsidRDefault="00EC70FD" w:rsidP="00D14060">
      <w:pPr>
        <w:spacing w:after="240"/>
        <w:jc w:val="both"/>
        <w:rPr>
          <w:rFonts w:ascii="Times New Roman" w:hAnsi="Times New Roman"/>
          <w:sz w:val="24"/>
          <w:szCs w:val="24"/>
        </w:rPr>
      </w:pPr>
      <w:r w:rsidRPr="00EC70FD">
        <w:rPr>
          <w:rFonts w:ascii="Times New Roman" w:hAnsi="Times New Roman"/>
          <w:sz w:val="24"/>
          <w:szCs w:val="24"/>
        </w:rPr>
        <w:t xml:space="preserve">Under the </w:t>
      </w:r>
      <w:r w:rsidR="00B117DF">
        <w:rPr>
          <w:rFonts w:ascii="Times New Roman" w:hAnsi="Times New Roman"/>
          <w:sz w:val="24"/>
          <w:szCs w:val="24"/>
        </w:rPr>
        <w:t>Act</w:t>
      </w:r>
      <w:r w:rsidRPr="00EC70FD">
        <w:rPr>
          <w:rFonts w:ascii="Times New Roman" w:hAnsi="Times New Roman"/>
          <w:sz w:val="24"/>
          <w:szCs w:val="24"/>
        </w:rPr>
        <w:t xml:space="preserve">, it is a condition on all RSE licences that the RSE licensee must comply with the RSE licensee law, which includes prudential standards. </w:t>
      </w:r>
      <w:r w:rsidR="00D14060" w:rsidRPr="00D14060">
        <w:rPr>
          <w:rFonts w:ascii="Times New Roman" w:hAnsi="Times New Roman"/>
          <w:sz w:val="24"/>
          <w:szCs w:val="24"/>
        </w:rPr>
        <w:t>However</w:t>
      </w:r>
      <w:r w:rsidR="001B6449">
        <w:rPr>
          <w:rFonts w:ascii="Times New Roman" w:hAnsi="Times New Roman"/>
          <w:sz w:val="24"/>
          <w:szCs w:val="24"/>
        </w:rPr>
        <w:t>,</w:t>
      </w:r>
      <w:r w:rsidR="00D14060" w:rsidRPr="00D14060">
        <w:rPr>
          <w:rFonts w:ascii="Times New Roman" w:hAnsi="Times New Roman"/>
          <w:sz w:val="24"/>
          <w:szCs w:val="24"/>
        </w:rPr>
        <w:t xml:space="preserve"> there are no penalties prescribed for breach of the prudential standards under any of these Acts. Instead</w:t>
      </w:r>
      <w:r w:rsidR="001B6449">
        <w:rPr>
          <w:rFonts w:ascii="Times New Roman" w:hAnsi="Times New Roman"/>
          <w:sz w:val="24"/>
          <w:szCs w:val="24"/>
        </w:rPr>
        <w:t>,</w:t>
      </w:r>
      <w:r w:rsidR="00D14060" w:rsidRPr="00D14060">
        <w:rPr>
          <w:rFonts w:ascii="Times New Roman" w:hAnsi="Times New Roman"/>
          <w:sz w:val="24"/>
          <w:szCs w:val="24"/>
        </w:rPr>
        <w:t xml:space="preserve"> an entity’s breach of the enabling legislation is grounds for APRA to make further, substantive decisions under the relevant enabling legislation in relation to the entity. Those decisions </w:t>
      </w:r>
      <w:r w:rsidR="00C04468" w:rsidRPr="00C04468">
        <w:rPr>
          <w:rFonts w:ascii="Times New Roman" w:hAnsi="Times New Roman"/>
          <w:sz w:val="24"/>
          <w:szCs w:val="24"/>
        </w:rPr>
        <w:t>may include the decision</w:t>
      </w:r>
      <w:r w:rsidR="00D14060" w:rsidRPr="00D14060">
        <w:rPr>
          <w:rFonts w:ascii="Times New Roman" w:hAnsi="Times New Roman"/>
          <w:sz w:val="24"/>
          <w:szCs w:val="24"/>
        </w:rPr>
        <w:t>:</w:t>
      </w:r>
    </w:p>
    <w:p w14:paraId="635C7B61" w14:textId="1728DF94" w:rsidR="005505E5" w:rsidRDefault="001B6449" w:rsidP="001B6449">
      <w:pPr>
        <w:pStyle w:val="Heading"/>
        <w:numPr>
          <w:ilvl w:val="0"/>
          <w:numId w:val="8"/>
        </w:numPr>
        <w:spacing w:after="240"/>
        <w:ind w:left="360"/>
        <w:rPr>
          <w:rFonts w:ascii="Times New Roman" w:hAnsi="Times New Roman"/>
          <w:b w:val="0"/>
          <w:sz w:val="24"/>
          <w:szCs w:val="24"/>
        </w:rPr>
      </w:pPr>
      <w:r>
        <w:rPr>
          <w:rFonts w:ascii="Times New Roman" w:hAnsi="Times New Roman"/>
          <w:b w:val="0"/>
          <w:sz w:val="24"/>
          <w:szCs w:val="24"/>
        </w:rPr>
        <w:t xml:space="preserve">to issue a direction to the </w:t>
      </w:r>
      <w:r w:rsidR="00B117DF">
        <w:rPr>
          <w:rFonts w:ascii="Times New Roman" w:hAnsi="Times New Roman"/>
          <w:b w:val="0"/>
          <w:sz w:val="24"/>
          <w:szCs w:val="24"/>
        </w:rPr>
        <w:t>RSE licensee</w:t>
      </w:r>
      <w:r>
        <w:rPr>
          <w:rFonts w:ascii="Times New Roman" w:hAnsi="Times New Roman"/>
          <w:b w:val="0"/>
          <w:sz w:val="24"/>
          <w:szCs w:val="24"/>
        </w:rPr>
        <w:t>, including a direction to comply with the whole or part of a prudential standard (</w:t>
      </w:r>
      <w:r w:rsidR="00EC70FD" w:rsidRPr="00EC70FD">
        <w:rPr>
          <w:rFonts w:ascii="Times New Roman" w:hAnsi="Times New Roman"/>
          <w:b w:val="0"/>
          <w:sz w:val="24"/>
          <w:szCs w:val="24"/>
        </w:rPr>
        <w:t xml:space="preserve">section 131D of the </w:t>
      </w:r>
      <w:r w:rsidR="00B117DF">
        <w:rPr>
          <w:rFonts w:ascii="Times New Roman" w:hAnsi="Times New Roman"/>
          <w:b w:val="0"/>
          <w:sz w:val="24"/>
          <w:szCs w:val="24"/>
        </w:rPr>
        <w:t>Act</w:t>
      </w:r>
      <w:r w:rsidR="009113C8">
        <w:rPr>
          <w:rFonts w:ascii="Times New Roman" w:hAnsi="Times New Roman"/>
          <w:b w:val="0"/>
          <w:sz w:val="24"/>
          <w:szCs w:val="24"/>
        </w:rPr>
        <w:t>)</w:t>
      </w:r>
      <w:r>
        <w:rPr>
          <w:rFonts w:ascii="Times New Roman" w:hAnsi="Times New Roman"/>
          <w:b w:val="0"/>
          <w:sz w:val="24"/>
          <w:szCs w:val="24"/>
        </w:rPr>
        <w:t xml:space="preserve">; </w:t>
      </w:r>
      <w:r w:rsidR="009113C8">
        <w:rPr>
          <w:rFonts w:ascii="Times New Roman" w:hAnsi="Times New Roman"/>
          <w:b w:val="0"/>
          <w:sz w:val="24"/>
          <w:szCs w:val="24"/>
        </w:rPr>
        <w:t>or</w:t>
      </w:r>
    </w:p>
    <w:p w14:paraId="0CCC4D55" w14:textId="615961B3" w:rsidR="005505E5" w:rsidRPr="0003440B" w:rsidRDefault="005505E5" w:rsidP="0003440B">
      <w:pPr>
        <w:pStyle w:val="Heading"/>
        <w:numPr>
          <w:ilvl w:val="0"/>
          <w:numId w:val="8"/>
        </w:numPr>
        <w:spacing w:after="240"/>
        <w:ind w:left="360"/>
        <w:rPr>
          <w:rFonts w:ascii="Times New Roman" w:hAnsi="Times New Roman"/>
          <w:sz w:val="24"/>
          <w:szCs w:val="24"/>
        </w:rPr>
      </w:pPr>
      <w:r w:rsidRPr="0003440B">
        <w:rPr>
          <w:rFonts w:ascii="Times New Roman" w:hAnsi="Times New Roman"/>
          <w:b w:val="0"/>
          <w:sz w:val="24"/>
          <w:szCs w:val="24"/>
        </w:rPr>
        <w:t>cancel a licen</w:t>
      </w:r>
      <w:r w:rsidR="000D4137">
        <w:rPr>
          <w:rFonts w:ascii="Times New Roman" w:hAnsi="Times New Roman"/>
          <w:b w:val="0"/>
          <w:sz w:val="24"/>
          <w:szCs w:val="24"/>
        </w:rPr>
        <w:t>s</w:t>
      </w:r>
      <w:r w:rsidRPr="0003440B">
        <w:rPr>
          <w:rFonts w:ascii="Times New Roman" w:hAnsi="Times New Roman"/>
          <w:b w:val="0"/>
          <w:sz w:val="24"/>
          <w:szCs w:val="24"/>
        </w:rPr>
        <w:t xml:space="preserve">e to operate an APRA-regulated superannuation fund (section 29G of the </w:t>
      </w:r>
      <w:r w:rsidR="00B117DF">
        <w:rPr>
          <w:rFonts w:ascii="Times New Roman" w:hAnsi="Times New Roman"/>
          <w:b w:val="0"/>
          <w:sz w:val="24"/>
          <w:szCs w:val="24"/>
        </w:rPr>
        <w:t>Act</w:t>
      </w:r>
      <w:r w:rsidRPr="0003440B">
        <w:rPr>
          <w:rFonts w:ascii="Times New Roman" w:hAnsi="Times New Roman"/>
          <w:b w:val="0"/>
          <w:sz w:val="24"/>
          <w:szCs w:val="24"/>
        </w:rPr>
        <w:t>)</w:t>
      </w:r>
      <w:r w:rsidR="00B117DF">
        <w:rPr>
          <w:rFonts w:ascii="Times New Roman" w:hAnsi="Times New Roman"/>
          <w:b w:val="0"/>
          <w:sz w:val="24"/>
          <w:szCs w:val="24"/>
        </w:rPr>
        <w:t>.</w:t>
      </w:r>
    </w:p>
    <w:p w14:paraId="5E2C4E5D" w14:textId="6D8B9721" w:rsidR="00D14060" w:rsidRPr="001545C5" w:rsidRDefault="00D14060" w:rsidP="00D14060">
      <w:pPr>
        <w:spacing w:after="240"/>
        <w:jc w:val="both"/>
        <w:rPr>
          <w:rFonts w:ascii="Times New Roman" w:hAnsi="Times New Roman"/>
          <w:sz w:val="24"/>
          <w:szCs w:val="24"/>
        </w:rPr>
      </w:pPr>
      <w:r w:rsidRPr="00D14060">
        <w:rPr>
          <w:rFonts w:ascii="Times New Roman" w:hAnsi="Times New Roman"/>
          <w:sz w:val="24"/>
          <w:szCs w:val="24"/>
        </w:rPr>
        <w:t xml:space="preserve">It is only at this stage that an </w:t>
      </w:r>
      <w:r w:rsidR="00B117DF">
        <w:rPr>
          <w:rFonts w:ascii="Times New Roman" w:hAnsi="Times New Roman"/>
          <w:sz w:val="24"/>
          <w:szCs w:val="24"/>
        </w:rPr>
        <w:t>RSE licensee</w:t>
      </w:r>
      <w:r w:rsidR="00B117DF" w:rsidRPr="00D14060">
        <w:rPr>
          <w:rFonts w:ascii="Times New Roman" w:hAnsi="Times New Roman"/>
          <w:sz w:val="24"/>
          <w:szCs w:val="24"/>
        </w:rPr>
        <w:t xml:space="preserve"> </w:t>
      </w:r>
      <w:r w:rsidRPr="00D14060">
        <w:rPr>
          <w:rFonts w:ascii="Times New Roman" w:hAnsi="Times New Roman"/>
          <w:sz w:val="24"/>
          <w:szCs w:val="24"/>
        </w:rPr>
        <w:t xml:space="preserve">is exposed to a penalty: loss of licence or imposition of a penalty if it breaches the </w:t>
      </w:r>
      <w:r w:rsidRPr="001B6449">
        <w:rPr>
          <w:rFonts w:ascii="Times New Roman" w:hAnsi="Times New Roman"/>
          <w:sz w:val="24"/>
          <w:szCs w:val="24"/>
        </w:rPr>
        <w:t>direction (</w:t>
      </w:r>
      <w:r w:rsidR="00EC70FD" w:rsidRPr="00EC70FD">
        <w:rPr>
          <w:rFonts w:ascii="Times New Roman" w:hAnsi="Times New Roman"/>
          <w:sz w:val="24"/>
          <w:szCs w:val="24"/>
        </w:rPr>
        <w:t xml:space="preserve">100 penalty units each day under section 131DD of the </w:t>
      </w:r>
      <w:r w:rsidR="00B117DF">
        <w:rPr>
          <w:rFonts w:ascii="Times New Roman" w:hAnsi="Times New Roman"/>
          <w:sz w:val="24"/>
          <w:szCs w:val="24"/>
        </w:rPr>
        <w:t>Act</w:t>
      </w:r>
      <w:r w:rsidR="00550E24" w:rsidRPr="001B6449">
        <w:rPr>
          <w:rFonts w:ascii="Times New Roman" w:hAnsi="Times New Roman"/>
          <w:sz w:val="24"/>
          <w:szCs w:val="24"/>
        </w:rPr>
        <w:t>)</w:t>
      </w:r>
      <w:r w:rsidRPr="001B6449">
        <w:rPr>
          <w:rFonts w:ascii="Times New Roman" w:hAnsi="Times New Roman"/>
          <w:sz w:val="24"/>
          <w:szCs w:val="24"/>
        </w:rPr>
        <w:t>.</w:t>
      </w:r>
      <w:r w:rsidR="00EC70FD">
        <w:rPr>
          <w:rStyle w:val="FootnoteReference"/>
          <w:rFonts w:ascii="Times New Roman" w:hAnsi="Times New Roman"/>
          <w:sz w:val="24"/>
          <w:szCs w:val="24"/>
        </w:rPr>
        <w:footnoteReference w:id="2"/>
      </w:r>
      <w:r w:rsidRPr="00D14060">
        <w:rPr>
          <w:rFonts w:ascii="Times New Roman" w:hAnsi="Times New Roman"/>
          <w:sz w:val="24"/>
          <w:szCs w:val="24"/>
        </w:rPr>
        <w:t xml:space="preserve"> </w:t>
      </w:r>
      <w:r w:rsidRPr="001545C5">
        <w:rPr>
          <w:rFonts w:ascii="Times New Roman" w:hAnsi="Times New Roman"/>
          <w:sz w:val="24"/>
          <w:szCs w:val="24"/>
        </w:rPr>
        <w:t>In nearly all cases</w:t>
      </w:r>
      <w:r w:rsidR="00550E24" w:rsidRPr="001545C5">
        <w:rPr>
          <w:rFonts w:ascii="Times New Roman" w:hAnsi="Times New Roman"/>
          <w:sz w:val="24"/>
          <w:szCs w:val="24"/>
        </w:rPr>
        <w:t>,</w:t>
      </w:r>
      <w:r w:rsidRPr="001545C5">
        <w:rPr>
          <w:rFonts w:ascii="Times New Roman" w:hAnsi="Times New Roman"/>
          <w:sz w:val="24"/>
          <w:szCs w:val="24"/>
        </w:rPr>
        <w:t xml:space="preserve"> the decisions are preceded by a consultation with the regulated entity to raise any concerns </w:t>
      </w:r>
      <w:r w:rsidR="006822BE" w:rsidRPr="001545C5">
        <w:rPr>
          <w:rFonts w:ascii="Times New Roman" w:hAnsi="Times New Roman"/>
          <w:sz w:val="24"/>
          <w:szCs w:val="24"/>
        </w:rPr>
        <w:t xml:space="preserve">it </w:t>
      </w:r>
      <w:r w:rsidRPr="001545C5">
        <w:rPr>
          <w:rFonts w:ascii="Times New Roman" w:hAnsi="Times New Roman"/>
          <w:sz w:val="24"/>
          <w:szCs w:val="24"/>
        </w:rPr>
        <w:t>may have in relation to the decision.</w:t>
      </w:r>
    </w:p>
    <w:p w14:paraId="077ACC56" w14:textId="185E2B72" w:rsidR="00A1470D" w:rsidRPr="001545C5" w:rsidRDefault="00A1470D" w:rsidP="00561AA4">
      <w:pPr>
        <w:spacing w:after="240"/>
        <w:jc w:val="both"/>
        <w:rPr>
          <w:rFonts w:ascii="Times New Roman" w:hAnsi="Times New Roman"/>
          <w:sz w:val="24"/>
          <w:szCs w:val="24"/>
        </w:rPr>
      </w:pPr>
      <w:r w:rsidRPr="001545C5">
        <w:rPr>
          <w:rFonts w:ascii="Times New Roman" w:hAnsi="Times New Roman"/>
          <w:sz w:val="24"/>
          <w:szCs w:val="24"/>
        </w:rPr>
        <w:t>The decisions of APRA to impose a direction are subject to merits review (</w:t>
      </w:r>
      <w:r w:rsidR="005925D1" w:rsidRPr="001545C5">
        <w:rPr>
          <w:rFonts w:ascii="Times New Roman" w:hAnsi="Times New Roman"/>
          <w:sz w:val="24"/>
          <w:szCs w:val="24"/>
        </w:rPr>
        <w:t>sub</w:t>
      </w:r>
      <w:r w:rsidR="002C6653" w:rsidRPr="001545C5">
        <w:rPr>
          <w:rFonts w:ascii="Times New Roman" w:hAnsi="Times New Roman"/>
          <w:sz w:val="24"/>
          <w:szCs w:val="24"/>
        </w:rPr>
        <w:t xml:space="preserve">section 10(1) </w:t>
      </w:r>
      <w:r w:rsidR="00AD5CD0">
        <w:rPr>
          <w:rFonts w:ascii="Times New Roman" w:hAnsi="Times New Roman"/>
          <w:sz w:val="24"/>
          <w:szCs w:val="24"/>
        </w:rPr>
        <w:t>and 344(</w:t>
      </w:r>
      <w:proofErr w:type="gramStart"/>
      <w:r w:rsidR="00AD5CD0">
        <w:rPr>
          <w:rFonts w:ascii="Times New Roman" w:hAnsi="Times New Roman"/>
          <w:sz w:val="24"/>
          <w:szCs w:val="24"/>
        </w:rPr>
        <w:t>1)</w:t>
      </w:r>
      <w:r w:rsidR="002C6653" w:rsidRPr="001545C5">
        <w:rPr>
          <w:rFonts w:ascii="Times New Roman" w:hAnsi="Times New Roman"/>
          <w:sz w:val="24"/>
          <w:szCs w:val="24"/>
        </w:rPr>
        <w:t>of</w:t>
      </w:r>
      <w:proofErr w:type="gramEnd"/>
      <w:r w:rsidR="002C6653" w:rsidRPr="001545C5">
        <w:rPr>
          <w:rFonts w:ascii="Times New Roman" w:hAnsi="Times New Roman"/>
          <w:sz w:val="24"/>
          <w:szCs w:val="24"/>
        </w:rPr>
        <w:t xml:space="preserve"> the </w:t>
      </w:r>
      <w:r w:rsidR="00B117DF" w:rsidRPr="001545C5">
        <w:rPr>
          <w:rFonts w:ascii="Times New Roman" w:hAnsi="Times New Roman"/>
          <w:sz w:val="24"/>
          <w:szCs w:val="24"/>
        </w:rPr>
        <w:t>Act</w:t>
      </w:r>
      <w:r w:rsidR="002C6653" w:rsidRPr="001545C5">
        <w:rPr>
          <w:rFonts w:ascii="Times New Roman" w:hAnsi="Times New Roman"/>
          <w:sz w:val="24"/>
          <w:szCs w:val="24"/>
        </w:rPr>
        <w:t xml:space="preserve">, </w:t>
      </w:r>
      <w:r w:rsidRPr="001545C5">
        <w:rPr>
          <w:rFonts w:ascii="Times New Roman" w:hAnsi="Times New Roman"/>
          <w:sz w:val="24"/>
          <w:szCs w:val="24"/>
        </w:rPr>
        <w:t>which is appropriately available at the point where an entity could be exposed to a penalty.</w:t>
      </w:r>
    </w:p>
    <w:p w14:paraId="0CFDB964" w14:textId="3E3E6262" w:rsidR="00A1470D" w:rsidRDefault="00A1470D" w:rsidP="00561AA4">
      <w:pPr>
        <w:spacing w:after="240"/>
        <w:jc w:val="both"/>
        <w:rPr>
          <w:rFonts w:ascii="Times New Roman" w:hAnsi="Times New Roman"/>
          <w:sz w:val="24"/>
          <w:szCs w:val="24"/>
        </w:rPr>
      </w:pPr>
      <w:r w:rsidRPr="001545C5">
        <w:rPr>
          <w:rFonts w:ascii="Times New Roman" w:hAnsi="Times New Roman"/>
          <w:sz w:val="24"/>
          <w:szCs w:val="24"/>
        </w:rPr>
        <w:t xml:space="preserve">All decisions to revoke authorisations/registrations under the </w:t>
      </w:r>
      <w:r w:rsidR="00B117DF" w:rsidRPr="001545C5">
        <w:rPr>
          <w:rFonts w:ascii="Times New Roman" w:hAnsi="Times New Roman"/>
          <w:sz w:val="24"/>
          <w:szCs w:val="24"/>
        </w:rPr>
        <w:t>Act</w:t>
      </w:r>
      <w:r w:rsidR="002C6653" w:rsidRPr="001545C5">
        <w:rPr>
          <w:rFonts w:ascii="Times New Roman" w:hAnsi="Times New Roman"/>
          <w:sz w:val="24"/>
          <w:szCs w:val="24"/>
        </w:rPr>
        <w:t xml:space="preserve">, </w:t>
      </w:r>
      <w:r w:rsidRPr="001545C5">
        <w:rPr>
          <w:rFonts w:ascii="Times New Roman" w:hAnsi="Times New Roman"/>
          <w:sz w:val="24"/>
          <w:szCs w:val="24"/>
        </w:rPr>
        <w:t>are subject to merits review, unless specifically excluded by the enabling legislation.</w:t>
      </w:r>
    </w:p>
    <w:p w14:paraId="6BAE5A0B" w14:textId="77777777" w:rsidR="00A838D7" w:rsidRDefault="00A838D7" w:rsidP="00A838D7">
      <w:pPr>
        <w:pStyle w:val="NormalWeb"/>
        <w:rPr>
          <w:b/>
          <w:i/>
        </w:rPr>
      </w:pPr>
      <w:r>
        <w:rPr>
          <w:b/>
          <w:i/>
        </w:rPr>
        <w:t xml:space="preserve">Adjust and exclude </w:t>
      </w:r>
      <w:proofErr w:type="gramStart"/>
      <w:r>
        <w:rPr>
          <w:b/>
          <w:i/>
        </w:rPr>
        <w:t>powers</w:t>
      </w:r>
      <w:proofErr w:type="gramEnd"/>
    </w:p>
    <w:p w14:paraId="470720CF" w14:textId="13C6EEE0" w:rsidR="00A838D7" w:rsidRDefault="00077010" w:rsidP="00251BB6">
      <w:pPr>
        <w:numPr>
          <w:ilvl w:val="0"/>
          <w:numId w:val="27"/>
        </w:numPr>
        <w:spacing w:after="200" w:line="276" w:lineRule="auto"/>
        <w:contextualSpacing/>
        <w:jc w:val="both"/>
        <w:rPr>
          <w:rFonts w:ascii="Times New Roman" w:hAnsi="Times New Roman"/>
          <w:sz w:val="24"/>
          <w:szCs w:val="24"/>
        </w:rPr>
      </w:pPr>
      <w:r w:rsidRPr="000077C9">
        <w:rPr>
          <w:rFonts w:ascii="Times New Roman" w:hAnsi="Times New Roman"/>
          <w:sz w:val="24"/>
          <w:szCs w:val="24"/>
        </w:rPr>
        <w:t>S</w:t>
      </w:r>
      <w:r w:rsidR="00A838D7" w:rsidRPr="000077C9">
        <w:rPr>
          <w:rFonts w:ascii="Times New Roman" w:hAnsi="Times New Roman"/>
          <w:sz w:val="24"/>
          <w:szCs w:val="24"/>
        </w:rPr>
        <w:t xml:space="preserve">PS </w:t>
      </w:r>
      <w:r w:rsidR="00173875" w:rsidRPr="000077C9">
        <w:rPr>
          <w:rFonts w:ascii="Times New Roman" w:hAnsi="Times New Roman"/>
          <w:sz w:val="24"/>
          <w:szCs w:val="24"/>
        </w:rPr>
        <w:t>510</w:t>
      </w:r>
      <w:r w:rsidR="00A838D7" w:rsidRPr="000077C9">
        <w:rPr>
          <w:rFonts w:ascii="Times New Roman" w:hAnsi="Times New Roman"/>
          <w:sz w:val="24"/>
          <w:szCs w:val="24"/>
        </w:rPr>
        <w:t xml:space="preserve"> gives APRA the discretion to adjust or exclude a provision of the prudential standard (paragraph </w:t>
      </w:r>
      <w:r w:rsidR="008604B2" w:rsidRPr="000077C9">
        <w:rPr>
          <w:rFonts w:ascii="Times New Roman" w:hAnsi="Times New Roman"/>
          <w:sz w:val="24"/>
          <w:szCs w:val="24"/>
        </w:rPr>
        <w:t>49</w:t>
      </w:r>
      <w:r w:rsidR="00A838D7" w:rsidRPr="000077C9">
        <w:rPr>
          <w:rFonts w:ascii="Times New Roman" w:hAnsi="Times New Roman"/>
          <w:sz w:val="24"/>
          <w:szCs w:val="24"/>
        </w:rPr>
        <w:t>). The power to create such a discretion is provided for under subsection</w:t>
      </w:r>
      <w:r w:rsidR="000077C9">
        <w:rPr>
          <w:rFonts w:ascii="Times New Roman" w:hAnsi="Times New Roman"/>
          <w:sz w:val="24"/>
          <w:szCs w:val="24"/>
        </w:rPr>
        <w:t xml:space="preserve"> 34</w:t>
      </w:r>
      <w:proofErr w:type="gramStart"/>
      <w:r w:rsidR="000077C9">
        <w:rPr>
          <w:rFonts w:ascii="Times New Roman" w:hAnsi="Times New Roman"/>
          <w:sz w:val="24"/>
          <w:szCs w:val="24"/>
        </w:rPr>
        <w:t>C(</w:t>
      </w:r>
      <w:proofErr w:type="gramEnd"/>
      <w:r w:rsidR="000077C9">
        <w:rPr>
          <w:rFonts w:ascii="Times New Roman" w:hAnsi="Times New Roman"/>
          <w:sz w:val="24"/>
          <w:szCs w:val="24"/>
        </w:rPr>
        <w:t xml:space="preserve">5) of the </w:t>
      </w:r>
      <w:r w:rsidR="00B117DF">
        <w:rPr>
          <w:rFonts w:ascii="Times New Roman" w:hAnsi="Times New Roman"/>
          <w:sz w:val="24"/>
          <w:szCs w:val="24"/>
        </w:rPr>
        <w:t>Act</w:t>
      </w:r>
      <w:r w:rsidR="000077C9">
        <w:rPr>
          <w:rFonts w:ascii="Times New Roman" w:hAnsi="Times New Roman"/>
          <w:sz w:val="24"/>
          <w:szCs w:val="24"/>
        </w:rPr>
        <w:t>.</w:t>
      </w:r>
    </w:p>
    <w:p w14:paraId="2C3FFD4E" w14:textId="77777777" w:rsidR="000077C9" w:rsidRPr="000077C9" w:rsidRDefault="000077C9" w:rsidP="005E0B5F">
      <w:pPr>
        <w:numPr>
          <w:ilvl w:val="0"/>
          <w:numId w:val="27"/>
        </w:numPr>
        <w:spacing w:after="200" w:line="276" w:lineRule="auto"/>
        <w:contextualSpacing/>
        <w:jc w:val="both"/>
        <w:rPr>
          <w:rFonts w:ascii="Times New Roman" w:hAnsi="Times New Roman"/>
          <w:sz w:val="24"/>
          <w:szCs w:val="24"/>
        </w:rPr>
      </w:pPr>
    </w:p>
    <w:p w14:paraId="637BBDDF" w14:textId="4CB50FF8" w:rsidR="00A838D7" w:rsidRDefault="00A838D7" w:rsidP="00A838D7">
      <w:pPr>
        <w:numPr>
          <w:ilvl w:val="0"/>
          <w:numId w:val="27"/>
        </w:numPr>
        <w:spacing w:after="240"/>
        <w:jc w:val="both"/>
        <w:rPr>
          <w:rFonts w:ascii="Times New Roman" w:hAnsi="Times New Roman"/>
          <w:sz w:val="24"/>
          <w:szCs w:val="24"/>
        </w:rPr>
      </w:pPr>
      <w:r>
        <w:rPr>
          <w:rFonts w:ascii="Times New Roman" w:hAnsi="Times New Roman"/>
          <w:sz w:val="24"/>
          <w:szCs w:val="24"/>
        </w:rP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w:t>
      </w:r>
      <w:r>
        <w:rPr>
          <w:rFonts w:ascii="Times New Roman" w:hAnsi="Times New Roman"/>
          <w:sz w:val="24"/>
          <w:szCs w:val="24"/>
        </w:rPr>
        <w:lastRenderedPageBreak/>
        <w:t xml:space="preserve">requirement were applied unaltered to a particular regulated entity. A tailored approach would give APRA comfort that the prudential requirements apply appropriately to protect the interests of fund members. APRA will also </w:t>
      </w:r>
      <w:proofErr w:type="gramStart"/>
      <w:r>
        <w:rPr>
          <w:rFonts w:ascii="Times New Roman" w:hAnsi="Times New Roman"/>
          <w:sz w:val="24"/>
          <w:szCs w:val="24"/>
        </w:rPr>
        <w:t>take into account</w:t>
      </w:r>
      <w:proofErr w:type="gramEnd"/>
      <w:r>
        <w:rPr>
          <w:rFonts w:ascii="Times New Roman" w:hAnsi="Times New Roman"/>
          <w:sz w:val="24"/>
          <w:szCs w:val="24"/>
        </w:rPr>
        <w:t xml:space="preserve"> other considerations, such as efficiency, competition, contestability, competitive neutrality and regulatory burden, including comparisons with an entity’s peer group.</w:t>
      </w:r>
    </w:p>
    <w:p w14:paraId="5E187B6C" w14:textId="1D3011D2" w:rsidR="00A838D7" w:rsidRDefault="00A838D7" w:rsidP="00A838D7">
      <w:pPr>
        <w:spacing w:after="240"/>
        <w:jc w:val="both"/>
        <w:rPr>
          <w:rFonts w:ascii="Times New Roman" w:hAnsi="Times New Roman"/>
          <w:sz w:val="24"/>
          <w:szCs w:val="24"/>
        </w:rPr>
      </w:pPr>
      <w:r w:rsidRPr="00A838D7">
        <w:rPr>
          <w:rFonts w:ascii="Times New Roman" w:hAnsi="Times New Roman"/>
          <w:sz w:val="24"/>
          <w:szCs w:val="24"/>
        </w:rP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10B9319F" w14:textId="3B345AB9" w:rsidR="00851AAA" w:rsidRPr="00244FDE" w:rsidRDefault="00851AAA" w:rsidP="00851AAA">
      <w:pPr>
        <w:pStyle w:val="Heading"/>
        <w:spacing w:after="240"/>
        <w:rPr>
          <w:rFonts w:ascii="Times New Roman" w:hAnsi="Times New Roman"/>
          <w:i/>
          <w:sz w:val="24"/>
          <w:szCs w:val="24"/>
        </w:rPr>
      </w:pPr>
      <w:r>
        <w:rPr>
          <w:rFonts w:ascii="Times New Roman" w:hAnsi="Times New Roman"/>
          <w:i/>
          <w:sz w:val="24"/>
          <w:szCs w:val="24"/>
        </w:rPr>
        <w:t>Documents incorporated</w:t>
      </w:r>
      <w:r w:rsidRPr="00244FDE">
        <w:rPr>
          <w:rFonts w:ascii="Times New Roman" w:hAnsi="Times New Roman"/>
          <w:i/>
          <w:sz w:val="24"/>
          <w:szCs w:val="24"/>
        </w:rPr>
        <w:t xml:space="preserve"> by </w:t>
      </w:r>
      <w:proofErr w:type="gramStart"/>
      <w:r w:rsidRPr="00244FDE">
        <w:rPr>
          <w:rFonts w:ascii="Times New Roman" w:hAnsi="Times New Roman"/>
          <w:i/>
          <w:sz w:val="24"/>
          <w:szCs w:val="24"/>
        </w:rPr>
        <w:t>reference</w:t>
      </w:r>
      <w:proofErr w:type="gramEnd"/>
    </w:p>
    <w:p w14:paraId="2BAA8FEE" w14:textId="7FC5C6CE" w:rsidR="002A26F0" w:rsidRDefault="002A26F0" w:rsidP="002A26F0">
      <w:pPr>
        <w:rPr>
          <w:rFonts w:ascii="Times New Roman" w:hAnsi="Times New Roman"/>
          <w:sz w:val="24"/>
          <w:szCs w:val="24"/>
        </w:rPr>
      </w:pPr>
      <w:r w:rsidRPr="00E30C24">
        <w:rPr>
          <w:rFonts w:ascii="Times New Roman" w:hAnsi="Times New Roman"/>
          <w:sz w:val="24"/>
          <w:szCs w:val="24"/>
        </w:rPr>
        <w:t xml:space="preserve">Under </w:t>
      </w:r>
      <w:r>
        <w:rPr>
          <w:rFonts w:ascii="Times New Roman" w:hAnsi="Times New Roman"/>
          <w:sz w:val="24"/>
          <w:szCs w:val="24"/>
        </w:rPr>
        <w:t>paragraph</w:t>
      </w:r>
      <w:r w:rsidRPr="00E30C24">
        <w:rPr>
          <w:rFonts w:ascii="Times New Roman" w:hAnsi="Times New Roman"/>
          <w:sz w:val="24"/>
          <w:szCs w:val="24"/>
        </w:rPr>
        <w:t xml:space="preserve"> 14(1)(a) of the </w:t>
      </w:r>
      <w:r w:rsidRPr="00E30C24">
        <w:rPr>
          <w:rFonts w:ascii="Times New Roman" w:hAnsi="Times New Roman"/>
          <w:i/>
          <w:sz w:val="24"/>
          <w:szCs w:val="24"/>
        </w:rPr>
        <w:t>Legislation Act 2003</w:t>
      </w:r>
      <w:r w:rsidRPr="00E30C24">
        <w:rPr>
          <w:rFonts w:ascii="Times New Roman" w:hAnsi="Times New Roman"/>
          <w:sz w:val="24"/>
          <w:szCs w:val="24"/>
        </w:rPr>
        <w:t xml:space="preserve"> (Legislation Act), </w:t>
      </w:r>
      <w:r>
        <w:rPr>
          <w:rFonts w:ascii="Times New Roman" w:hAnsi="Times New Roman"/>
          <w:sz w:val="24"/>
          <w:szCs w:val="24"/>
        </w:rPr>
        <w:t>w</w:t>
      </w:r>
      <w:r w:rsidRPr="002A26F0">
        <w:rPr>
          <w:rFonts w:ascii="Times New Roman" w:hAnsi="Times New Roman"/>
          <w:sz w:val="24"/>
          <w:szCs w:val="24"/>
        </w:rPr>
        <w:t xml:space="preserve">here SPS </w:t>
      </w:r>
      <w:r>
        <w:rPr>
          <w:rFonts w:ascii="Times New Roman" w:hAnsi="Times New Roman"/>
          <w:sz w:val="24"/>
          <w:szCs w:val="24"/>
        </w:rPr>
        <w:t>5</w:t>
      </w:r>
      <w:r w:rsidRPr="002A26F0">
        <w:rPr>
          <w:rFonts w:ascii="Times New Roman" w:hAnsi="Times New Roman"/>
          <w:sz w:val="24"/>
          <w:szCs w:val="24"/>
        </w:rPr>
        <w:t xml:space="preserve">10 refers to </w:t>
      </w:r>
      <w:r w:rsidRPr="00E30C24">
        <w:rPr>
          <w:rFonts w:ascii="Times New Roman" w:hAnsi="Times New Roman"/>
          <w:sz w:val="24"/>
          <w:szCs w:val="24"/>
        </w:rPr>
        <w:t>Acts of Parliament and associated delegated laws</w:t>
      </w:r>
      <w:r w:rsidRPr="002A26F0">
        <w:rPr>
          <w:rFonts w:ascii="Times New Roman" w:hAnsi="Times New Roman"/>
          <w:sz w:val="24"/>
          <w:szCs w:val="24"/>
        </w:rPr>
        <w:t xml:space="preserve">, this is a reference to an Act as it exists from time to time, and which is available on the Federal Register of Legislation at www.legislation.gov.au. </w:t>
      </w:r>
    </w:p>
    <w:p w14:paraId="6168C53E" w14:textId="77777777" w:rsidR="002A26F0" w:rsidRDefault="002A26F0" w:rsidP="0003440B">
      <w:pPr>
        <w:rPr>
          <w:rFonts w:ascii="Times New Roman" w:hAnsi="Times New Roman"/>
          <w:sz w:val="24"/>
          <w:szCs w:val="24"/>
        </w:rPr>
      </w:pPr>
    </w:p>
    <w:p w14:paraId="1E805126" w14:textId="250097D1" w:rsidR="00DF42BC" w:rsidRDefault="00DF42BC" w:rsidP="00DF42BC">
      <w:pPr>
        <w:spacing w:after="240"/>
        <w:jc w:val="both"/>
        <w:rPr>
          <w:rFonts w:ascii="Times New Roman" w:hAnsi="Times New Roman"/>
          <w:sz w:val="24"/>
          <w:szCs w:val="24"/>
        </w:rPr>
      </w:pPr>
      <w:r w:rsidRPr="00E30C24">
        <w:rPr>
          <w:rFonts w:ascii="Times New Roman" w:hAnsi="Times New Roman"/>
          <w:sz w:val="24"/>
          <w:szCs w:val="24"/>
        </w:rPr>
        <w:t xml:space="preserve">Under </w:t>
      </w:r>
      <w:r>
        <w:rPr>
          <w:rFonts w:ascii="Times New Roman" w:hAnsi="Times New Roman"/>
          <w:sz w:val="24"/>
          <w:szCs w:val="24"/>
        </w:rPr>
        <w:t>paragraph</w:t>
      </w:r>
      <w:r w:rsidRPr="00E30C24">
        <w:rPr>
          <w:rFonts w:ascii="Times New Roman" w:hAnsi="Times New Roman"/>
          <w:sz w:val="24"/>
          <w:szCs w:val="24"/>
        </w:rPr>
        <w:t xml:space="preserve"> 14(1)(b) of the </w:t>
      </w:r>
      <w:r w:rsidR="00AA58BE" w:rsidRPr="001D0BC8">
        <w:rPr>
          <w:rFonts w:ascii="Times New Roman" w:hAnsi="Times New Roman"/>
          <w:i/>
          <w:sz w:val="24"/>
          <w:szCs w:val="24"/>
        </w:rPr>
        <w:t>Legi</w:t>
      </w:r>
      <w:r w:rsidR="00AA58BE" w:rsidRPr="00831858">
        <w:rPr>
          <w:rFonts w:ascii="Times New Roman" w:hAnsi="Times New Roman"/>
          <w:i/>
          <w:sz w:val="24"/>
          <w:szCs w:val="24"/>
        </w:rPr>
        <w:t>slation Act 2003</w:t>
      </w:r>
      <w:r w:rsidR="00AA58BE" w:rsidRPr="00D356CE">
        <w:rPr>
          <w:rFonts w:ascii="Times New Roman" w:hAnsi="Times New Roman"/>
          <w:sz w:val="24"/>
          <w:szCs w:val="24"/>
        </w:rPr>
        <w:t xml:space="preserve"> (Legi</w:t>
      </w:r>
      <w:r w:rsidR="00AA58BE" w:rsidRPr="00C42AEB">
        <w:rPr>
          <w:rFonts w:ascii="Times New Roman" w:hAnsi="Times New Roman"/>
          <w:sz w:val="24"/>
          <w:szCs w:val="24"/>
        </w:rPr>
        <w:t>slation Act)</w:t>
      </w:r>
      <w:r w:rsidRPr="00E30C24">
        <w:rPr>
          <w:rFonts w:ascii="Times New Roman" w:hAnsi="Times New Roman"/>
          <w:sz w:val="24"/>
          <w:szCs w:val="24"/>
        </w:rPr>
        <w:t xml:space="preserve">, </w:t>
      </w:r>
      <w:r>
        <w:rPr>
          <w:rFonts w:ascii="Times New Roman" w:hAnsi="Times New Roman"/>
          <w:sz w:val="24"/>
          <w:szCs w:val="24"/>
        </w:rPr>
        <w:t>SPS 510</w:t>
      </w:r>
      <w:r w:rsidRPr="00E30C24">
        <w:rPr>
          <w:rFonts w:ascii="Times New Roman" w:hAnsi="Times New Roman"/>
          <w:sz w:val="24"/>
          <w:szCs w:val="24"/>
        </w:rPr>
        <w:t xml:space="preserve"> incorporates by reference</w:t>
      </w:r>
      <w:r>
        <w:rPr>
          <w:rFonts w:ascii="Times New Roman" w:hAnsi="Times New Roman"/>
          <w:sz w:val="24"/>
          <w:szCs w:val="24"/>
        </w:rPr>
        <w:t xml:space="preserve"> the version of the following documents that </w:t>
      </w:r>
      <w:r w:rsidRPr="00E30C24">
        <w:rPr>
          <w:rFonts w:ascii="Times New Roman" w:hAnsi="Times New Roman"/>
          <w:sz w:val="24"/>
          <w:szCs w:val="24"/>
        </w:rPr>
        <w:t>exist at the time the Instrument was determined</w:t>
      </w:r>
      <w:r>
        <w:rPr>
          <w:rFonts w:ascii="Times New Roman" w:hAnsi="Times New Roman"/>
          <w:sz w:val="24"/>
          <w:szCs w:val="24"/>
        </w:rPr>
        <w:t>:</w:t>
      </w:r>
    </w:p>
    <w:p w14:paraId="481D677B" w14:textId="23ECAC8B" w:rsidR="00DF42BC" w:rsidRDefault="00DF42BC" w:rsidP="00851AAA">
      <w:pPr>
        <w:pStyle w:val="ListParagraph"/>
        <w:numPr>
          <w:ilvl w:val="0"/>
          <w:numId w:val="29"/>
        </w:numPr>
        <w:spacing w:after="240"/>
        <w:ind w:left="426" w:hanging="426"/>
        <w:contextualSpacing/>
        <w:jc w:val="both"/>
        <w:rPr>
          <w:rFonts w:ascii="Times New Roman" w:hAnsi="Times New Roman"/>
          <w:sz w:val="24"/>
          <w:szCs w:val="24"/>
        </w:rPr>
      </w:pPr>
      <w:r w:rsidRPr="0003440B">
        <w:rPr>
          <w:rFonts w:ascii="Times New Roman" w:hAnsi="Times New Roman"/>
          <w:sz w:val="24"/>
          <w:szCs w:val="24"/>
        </w:rPr>
        <w:t xml:space="preserve">Superannuation Prudential Standard determined by APRA under section 34C of the </w:t>
      </w:r>
      <w:r w:rsidR="00B117DF">
        <w:rPr>
          <w:rFonts w:ascii="Times New Roman" w:hAnsi="Times New Roman"/>
          <w:sz w:val="24"/>
          <w:szCs w:val="24"/>
        </w:rPr>
        <w:t>Act</w:t>
      </w:r>
      <w:r>
        <w:rPr>
          <w:rFonts w:ascii="Times New Roman" w:hAnsi="Times New Roman"/>
          <w:sz w:val="24"/>
          <w:szCs w:val="24"/>
        </w:rPr>
        <w:t xml:space="preserve">, </w:t>
      </w:r>
      <w:r w:rsidRPr="00422B75">
        <w:rPr>
          <w:rFonts w:ascii="Times New Roman" w:hAnsi="Times New Roman"/>
          <w:sz w:val="24"/>
          <w:szCs w:val="24"/>
        </w:rPr>
        <w:t xml:space="preserve">which is available on the Federal Register of Legislation at </w:t>
      </w:r>
      <w:hyperlink r:id="rId11" w:history="1">
        <w:r w:rsidRPr="001968EC">
          <w:rPr>
            <w:rStyle w:val="Hyperlink"/>
            <w:rFonts w:ascii="Times New Roman" w:hAnsi="Times New Roman"/>
            <w:sz w:val="24"/>
            <w:szCs w:val="24"/>
          </w:rPr>
          <w:t>www.legislation.gov.au</w:t>
        </w:r>
      </w:hyperlink>
      <w:r>
        <w:rPr>
          <w:rFonts w:ascii="Times New Roman" w:hAnsi="Times New Roman"/>
          <w:sz w:val="24"/>
          <w:szCs w:val="24"/>
        </w:rPr>
        <w:t>;</w:t>
      </w:r>
      <w:r w:rsidR="001545C5">
        <w:rPr>
          <w:rFonts w:ascii="Times New Roman" w:hAnsi="Times New Roman"/>
          <w:sz w:val="24"/>
          <w:szCs w:val="24"/>
        </w:rPr>
        <w:t xml:space="preserve"> and</w:t>
      </w:r>
    </w:p>
    <w:p w14:paraId="64247249" w14:textId="6A1933B8" w:rsidR="00AA58BE" w:rsidRDefault="00851AAA" w:rsidP="00851AAA">
      <w:pPr>
        <w:pStyle w:val="ListParagraph"/>
        <w:numPr>
          <w:ilvl w:val="0"/>
          <w:numId w:val="29"/>
        </w:numPr>
        <w:spacing w:after="240"/>
        <w:ind w:left="426" w:hanging="426"/>
        <w:contextualSpacing/>
        <w:jc w:val="both"/>
        <w:rPr>
          <w:rFonts w:ascii="Times New Roman" w:hAnsi="Times New Roman"/>
          <w:sz w:val="24"/>
          <w:szCs w:val="24"/>
        </w:rPr>
      </w:pPr>
      <w:r w:rsidRPr="0003440B">
        <w:rPr>
          <w:rFonts w:ascii="Times New Roman" w:hAnsi="Times New Roman"/>
          <w:i/>
          <w:sz w:val="24"/>
          <w:szCs w:val="24"/>
        </w:rPr>
        <w:t>APES 110 Code of Ethics for Professional Accountants</w:t>
      </w:r>
      <w:r w:rsidRPr="0003440B">
        <w:rPr>
          <w:rFonts w:ascii="Times New Roman" w:hAnsi="Times New Roman"/>
          <w:sz w:val="24"/>
          <w:szCs w:val="24"/>
        </w:rPr>
        <w:t>, which may be freely used (available from the Accounting Professional &amp; Ethical Standards Board (APESB) at https://apesb.org.au). The APESB is an independent, national body that sets the code of ethics and professional standards with which accounting professionals who are members of CPA Australia, CA ANZ or IPA must comply</w:t>
      </w:r>
      <w:r w:rsidR="001545C5">
        <w:rPr>
          <w:rFonts w:ascii="Times New Roman" w:hAnsi="Times New Roman"/>
          <w:sz w:val="24"/>
          <w:szCs w:val="24"/>
        </w:rPr>
        <w:t>.</w:t>
      </w:r>
    </w:p>
    <w:p w14:paraId="5E9B4420" w14:textId="0A64DEF6" w:rsidR="0003134B" w:rsidRDefault="0003134B" w:rsidP="000B632C">
      <w:pPr>
        <w:pStyle w:val="Heading"/>
        <w:keepNext/>
        <w:spacing w:after="240"/>
        <w:rPr>
          <w:rFonts w:ascii="Times New Roman" w:hAnsi="Times New Roman"/>
          <w:b w:val="0"/>
          <w:i/>
          <w:sz w:val="24"/>
          <w:szCs w:val="24"/>
        </w:rPr>
      </w:pPr>
      <w:r w:rsidRPr="00787FB9">
        <w:rPr>
          <w:rFonts w:ascii="Times New Roman" w:hAnsi="Times New Roman"/>
          <w:b w:val="0"/>
          <w:i/>
          <w:sz w:val="24"/>
          <w:szCs w:val="24"/>
        </w:rPr>
        <w:t xml:space="preserve">Exemption from sunsetting </w:t>
      </w:r>
      <w:r>
        <w:rPr>
          <w:rFonts w:ascii="Times New Roman" w:hAnsi="Times New Roman"/>
          <w:b w:val="0"/>
          <w:i/>
          <w:sz w:val="24"/>
          <w:szCs w:val="24"/>
        </w:rPr>
        <w:t xml:space="preserve">and disallowance </w:t>
      </w:r>
    </w:p>
    <w:p w14:paraId="39354173" w14:textId="02976087" w:rsidR="0003134B" w:rsidRDefault="0003134B" w:rsidP="000B632C">
      <w:pPr>
        <w:pStyle w:val="Heading"/>
        <w:keepNext/>
        <w:spacing w:after="240"/>
        <w:rPr>
          <w:rFonts w:ascii="Times New Roman" w:hAnsi="Times New Roman"/>
          <w:b w:val="0"/>
          <w:sz w:val="24"/>
          <w:szCs w:val="24"/>
        </w:rPr>
      </w:pPr>
      <w:r>
        <w:rPr>
          <w:rFonts w:ascii="Times New Roman" w:hAnsi="Times New Roman"/>
          <w:b w:val="0"/>
          <w:sz w:val="24"/>
          <w:szCs w:val="24"/>
        </w:rPr>
        <w:t>SPS 510</w:t>
      </w:r>
      <w:r w:rsidRPr="00D356CE">
        <w:rPr>
          <w:rFonts w:ascii="Times New Roman" w:hAnsi="Times New Roman"/>
          <w:b w:val="0"/>
          <w:sz w:val="24"/>
          <w:szCs w:val="24"/>
        </w:rPr>
        <w:t xml:space="preserve"> is exempt from disallowance in accordance with section 44(2)(b) of the Legi</w:t>
      </w:r>
      <w:r w:rsidRPr="00C42AEB">
        <w:rPr>
          <w:rFonts w:ascii="Times New Roman" w:hAnsi="Times New Roman"/>
          <w:b w:val="0"/>
          <w:sz w:val="24"/>
          <w:szCs w:val="24"/>
        </w:rPr>
        <w:t xml:space="preserve">slation Act </w:t>
      </w:r>
      <w:r w:rsidRPr="00096AC5">
        <w:rPr>
          <w:rFonts w:ascii="Times New Roman" w:hAnsi="Times New Roman"/>
          <w:b w:val="0"/>
          <w:sz w:val="24"/>
          <w:szCs w:val="24"/>
        </w:rPr>
        <w:t xml:space="preserve">and regulation 9 </w:t>
      </w:r>
      <w:r w:rsidRPr="00962548">
        <w:rPr>
          <w:rFonts w:ascii="Times New Roman" w:hAnsi="Times New Roman"/>
          <w:b w:val="0"/>
          <w:sz w:val="24"/>
          <w:szCs w:val="24"/>
        </w:rPr>
        <w:t xml:space="preserve">of the </w:t>
      </w:r>
      <w:r w:rsidRPr="00787FB9">
        <w:rPr>
          <w:rFonts w:ascii="Times New Roman" w:hAnsi="Times New Roman"/>
          <w:b w:val="0"/>
          <w:i/>
          <w:sz w:val="24"/>
          <w:szCs w:val="24"/>
        </w:rPr>
        <w:t>Legislation (Exemptions and Other Matters) Regulations 2015</w:t>
      </w:r>
      <w:r w:rsidRPr="00962548">
        <w:rPr>
          <w:rFonts w:ascii="Times New Roman" w:hAnsi="Times New Roman"/>
          <w:b w:val="0"/>
          <w:sz w:val="24"/>
          <w:szCs w:val="24"/>
        </w:rPr>
        <w:t xml:space="preserve"> (Legislation Reg</w:t>
      </w:r>
      <w:r w:rsidRPr="000F79BD">
        <w:rPr>
          <w:rFonts w:ascii="Times New Roman" w:hAnsi="Times New Roman"/>
          <w:b w:val="0"/>
          <w:sz w:val="24"/>
          <w:szCs w:val="24"/>
        </w:rPr>
        <w:t>ulations)</w:t>
      </w:r>
      <w:r w:rsidRPr="000F79BD">
        <w:rPr>
          <w:rStyle w:val="FootnoteReference"/>
          <w:rFonts w:ascii="Times New Roman" w:hAnsi="Times New Roman"/>
          <w:b w:val="0"/>
          <w:sz w:val="24"/>
          <w:szCs w:val="24"/>
        </w:rPr>
        <w:t xml:space="preserve"> </w:t>
      </w:r>
      <w:r w:rsidRPr="000F79BD">
        <w:rPr>
          <w:rFonts w:ascii="Times New Roman" w:hAnsi="Times New Roman"/>
          <w:b w:val="0"/>
          <w:sz w:val="24"/>
          <w:szCs w:val="24"/>
        </w:rPr>
        <w:t>a</w:t>
      </w:r>
      <w:r w:rsidRPr="00DB32F2">
        <w:rPr>
          <w:rFonts w:ascii="Times New Roman" w:hAnsi="Times New Roman"/>
          <w:b w:val="0"/>
          <w:sz w:val="24"/>
          <w:szCs w:val="24"/>
        </w:rPr>
        <w:t xml:space="preserve">s </w:t>
      </w:r>
      <w:r>
        <w:rPr>
          <w:rFonts w:ascii="Times New Roman" w:hAnsi="Times New Roman"/>
          <w:b w:val="0"/>
          <w:sz w:val="24"/>
          <w:szCs w:val="24"/>
        </w:rPr>
        <w:t>SPS 510</w:t>
      </w:r>
      <w:r w:rsidRPr="00DB32F2">
        <w:rPr>
          <w:rFonts w:ascii="Times New Roman" w:hAnsi="Times New Roman"/>
          <w:b w:val="0"/>
          <w:sz w:val="24"/>
          <w:szCs w:val="24"/>
        </w:rPr>
        <w:t xml:space="preserve"> is an</w:t>
      </w:r>
      <w:r w:rsidRPr="00122D99">
        <w:rPr>
          <w:rFonts w:ascii="Times New Roman" w:hAnsi="Times New Roman"/>
          <w:b w:val="0"/>
          <w:sz w:val="24"/>
          <w:szCs w:val="24"/>
        </w:rPr>
        <w:t xml:space="preserve"> </w:t>
      </w:r>
      <w:r w:rsidRPr="001D0BC8">
        <w:rPr>
          <w:rFonts w:ascii="Times New Roman" w:hAnsi="Times New Roman"/>
          <w:b w:val="0"/>
          <w:sz w:val="24"/>
          <w:szCs w:val="24"/>
        </w:rPr>
        <w:t>‘instrument (other than a regulation) relating to superannuation</w:t>
      </w:r>
      <w:r w:rsidRPr="00831858">
        <w:rPr>
          <w:rFonts w:ascii="Times New Roman" w:hAnsi="Times New Roman"/>
          <w:b w:val="0"/>
          <w:sz w:val="24"/>
          <w:szCs w:val="24"/>
        </w:rPr>
        <w:t>’.</w:t>
      </w:r>
      <w:r w:rsidRPr="00D356CE">
        <w:rPr>
          <w:rStyle w:val="FootnoteReference"/>
          <w:rFonts w:ascii="Times New Roman" w:hAnsi="Times New Roman"/>
          <w:b w:val="0"/>
          <w:sz w:val="24"/>
          <w:szCs w:val="24"/>
        </w:rPr>
        <w:footnoteReference w:id="3"/>
      </w:r>
      <w:r>
        <w:rPr>
          <w:rFonts w:ascii="Times New Roman" w:hAnsi="Times New Roman"/>
          <w:b w:val="0"/>
          <w:sz w:val="24"/>
          <w:szCs w:val="24"/>
        </w:rPr>
        <w:t xml:space="preserve"> SPS 510 is exempt from sunsetting in accordance with section 54(2)(b) of the Legislation Act and regulation 11 of the </w:t>
      </w:r>
      <w:r>
        <w:rPr>
          <w:rFonts w:ascii="Times New Roman" w:hAnsi="Times New Roman"/>
          <w:b w:val="0"/>
          <w:sz w:val="24"/>
          <w:szCs w:val="24"/>
        </w:rPr>
        <w:lastRenderedPageBreak/>
        <w:t>Legislation Regulations as this Legislative Instrument is ‘an instrument (other than a regulation) relating to superannuation’.</w:t>
      </w:r>
      <w:r>
        <w:rPr>
          <w:rStyle w:val="FootnoteReference"/>
          <w:rFonts w:ascii="Times New Roman" w:hAnsi="Times New Roman"/>
          <w:b w:val="0"/>
          <w:sz w:val="24"/>
          <w:szCs w:val="24"/>
        </w:rPr>
        <w:footnoteReference w:id="4"/>
      </w:r>
    </w:p>
    <w:p w14:paraId="03BE545C" w14:textId="77777777" w:rsidR="002436BD" w:rsidRDefault="002436BD" w:rsidP="00CB348B">
      <w:pPr>
        <w:pStyle w:val="Heading"/>
        <w:keepNext/>
        <w:numPr>
          <w:ilvl w:val="0"/>
          <w:numId w:val="2"/>
        </w:numPr>
        <w:spacing w:after="240"/>
        <w:rPr>
          <w:rFonts w:ascii="Times New Roman" w:hAnsi="Times New Roman"/>
          <w:sz w:val="24"/>
          <w:szCs w:val="24"/>
        </w:rPr>
      </w:pPr>
      <w:bookmarkStart w:id="5" w:name="bkPurpose"/>
      <w:bookmarkStart w:id="6" w:name="bkoperation"/>
      <w:bookmarkStart w:id="7" w:name="bkConsultationNo"/>
      <w:bookmarkEnd w:id="5"/>
      <w:bookmarkEnd w:id="6"/>
      <w:bookmarkEnd w:id="7"/>
      <w:r w:rsidRPr="002C6D26">
        <w:rPr>
          <w:rFonts w:ascii="Times New Roman" w:hAnsi="Times New Roman"/>
          <w:sz w:val="24"/>
          <w:szCs w:val="24"/>
        </w:rPr>
        <w:t>Consultation</w:t>
      </w:r>
    </w:p>
    <w:p w14:paraId="376B3BAF" w14:textId="2701AA4B" w:rsidR="00343AE9" w:rsidRDefault="00343AE9" w:rsidP="00CB348B">
      <w:pPr>
        <w:pStyle w:val="Heading"/>
        <w:keepNext/>
        <w:tabs>
          <w:tab w:val="left" w:pos="360"/>
        </w:tabs>
        <w:spacing w:after="240"/>
        <w:rPr>
          <w:rFonts w:ascii="Times New Roman" w:hAnsi="Times New Roman"/>
          <w:b w:val="0"/>
          <w:sz w:val="24"/>
          <w:szCs w:val="24"/>
        </w:rPr>
      </w:pPr>
      <w:r>
        <w:rPr>
          <w:rFonts w:ascii="Times New Roman" w:hAnsi="Times New Roman"/>
          <w:b w:val="0"/>
          <w:sz w:val="24"/>
          <w:szCs w:val="24"/>
        </w:rPr>
        <w:t xml:space="preserve">These </w:t>
      </w:r>
      <w:r w:rsidR="00FD0B33">
        <w:rPr>
          <w:rFonts w:ascii="Times New Roman" w:hAnsi="Times New Roman"/>
          <w:b w:val="0"/>
          <w:sz w:val="24"/>
          <w:szCs w:val="24"/>
        </w:rPr>
        <w:t xml:space="preserve">consequential </w:t>
      </w:r>
      <w:r>
        <w:rPr>
          <w:rFonts w:ascii="Times New Roman" w:hAnsi="Times New Roman"/>
          <w:b w:val="0"/>
          <w:sz w:val="24"/>
          <w:szCs w:val="24"/>
        </w:rPr>
        <w:t>changes were set out in various public consultation papers APRA issued as part of its consultation on new remuneration requirements. These included:</w:t>
      </w:r>
    </w:p>
    <w:p w14:paraId="013CFFD9" w14:textId="0B14CD6D" w:rsidR="00A4704C" w:rsidRDefault="00343AE9" w:rsidP="00343AE9">
      <w:pPr>
        <w:pStyle w:val="Heading"/>
        <w:numPr>
          <w:ilvl w:val="0"/>
          <w:numId w:val="23"/>
        </w:numPr>
        <w:tabs>
          <w:tab w:val="left" w:pos="360"/>
        </w:tabs>
        <w:spacing w:after="240"/>
        <w:rPr>
          <w:rFonts w:ascii="Times New Roman" w:hAnsi="Times New Roman"/>
          <w:b w:val="0"/>
          <w:sz w:val="24"/>
          <w:szCs w:val="24"/>
        </w:rPr>
      </w:pPr>
      <w:r>
        <w:rPr>
          <w:rFonts w:ascii="Times New Roman" w:hAnsi="Times New Roman"/>
          <w:b w:val="0"/>
          <w:sz w:val="24"/>
          <w:szCs w:val="24"/>
        </w:rPr>
        <w:t xml:space="preserve">Discussion paper - Strengthening prudential requirements for remuneration, APRA, July </w:t>
      </w:r>
      <w:proofErr w:type="gramStart"/>
      <w:r>
        <w:rPr>
          <w:rFonts w:ascii="Times New Roman" w:hAnsi="Times New Roman"/>
          <w:b w:val="0"/>
          <w:sz w:val="24"/>
          <w:szCs w:val="24"/>
        </w:rPr>
        <w:t>2019;</w:t>
      </w:r>
      <w:proofErr w:type="gramEnd"/>
    </w:p>
    <w:p w14:paraId="4958135C" w14:textId="2967B3AE" w:rsidR="00343AE9" w:rsidRDefault="00343AE9" w:rsidP="00343AE9">
      <w:pPr>
        <w:pStyle w:val="Heading"/>
        <w:numPr>
          <w:ilvl w:val="0"/>
          <w:numId w:val="23"/>
        </w:numPr>
        <w:tabs>
          <w:tab w:val="left" w:pos="360"/>
        </w:tabs>
        <w:spacing w:after="240"/>
        <w:rPr>
          <w:rFonts w:ascii="Times New Roman" w:hAnsi="Times New Roman"/>
          <w:b w:val="0"/>
          <w:sz w:val="24"/>
          <w:szCs w:val="24"/>
        </w:rPr>
      </w:pPr>
      <w:r>
        <w:rPr>
          <w:rFonts w:ascii="Times New Roman" w:hAnsi="Times New Roman"/>
          <w:b w:val="0"/>
          <w:sz w:val="24"/>
          <w:szCs w:val="24"/>
        </w:rPr>
        <w:t xml:space="preserve">Response paper – Strengthening prudential requirements for remuneration, APRA, 12 November </w:t>
      </w:r>
      <w:proofErr w:type="gramStart"/>
      <w:r>
        <w:rPr>
          <w:rFonts w:ascii="Times New Roman" w:hAnsi="Times New Roman"/>
          <w:b w:val="0"/>
          <w:sz w:val="24"/>
          <w:szCs w:val="24"/>
        </w:rPr>
        <w:t>2020;</w:t>
      </w:r>
      <w:proofErr w:type="gramEnd"/>
    </w:p>
    <w:p w14:paraId="0A64D196" w14:textId="05EEB92B" w:rsidR="00343AE9" w:rsidRDefault="00343AE9" w:rsidP="00343AE9">
      <w:pPr>
        <w:pStyle w:val="Heading"/>
        <w:numPr>
          <w:ilvl w:val="0"/>
          <w:numId w:val="23"/>
        </w:numPr>
        <w:tabs>
          <w:tab w:val="left" w:pos="360"/>
        </w:tabs>
        <w:spacing w:after="240"/>
        <w:rPr>
          <w:rFonts w:ascii="Times New Roman" w:hAnsi="Times New Roman"/>
          <w:b w:val="0"/>
          <w:sz w:val="24"/>
          <w:szCs w:val="24"/>
        </w:rPr>
      </w:pPr>
      <w:r>
        <w:rPr>
          <w:rFonts w:ascii="Times New Roman" w:hAnsi="Times New Roman"/>
          <w:b w:val="0"/>
          <w:sz w:val="24"/>
          <w:szCs w:val="24"/>
        </w:rPr>
        <w:t>Response paper – Strengthening prudential requirements for remuneration, APRA, August 2021</w:t>
      </w:r>
    </w:p>
    <w:p w14:paraId="2E461CC2" w14:textId="52CA0129" w:rsidR="00487EFF" w:rsidRDefault="00FD0B33" w:rsidP="00DF7DA0">
      <w:pPr>
        <w:pStyle w:val="Heading"/>
        <w:tabs>
          <w:tab w:val="left" w:pos="360"/>
        </w:tabs>
        <w:spacing w:after="240"/>
        <w:rPr>
          <w:rFonts w:ascii="Times New Roman" w:hAnsi="Times New Roman"/>
          <w:b w:val="0"/>
          <w:sz w:val="24"/>
          <w:szCs w:val="24"/>
        </w:rPr>
      </w:pPr>
      <w:r w:rsidRPr="00FD0B33">
        <w:rPr>
          <w:rFonts w:ascii="Times New Roman" w:hAnsi="Times New Roman"/>
          <w:b w:val="0"/>
          <w:sz w:val="24"/>
          <w:szCs w:val="24"/>
        </w:rPr>
        <w:t xml:space="preserve">No comments were received </w:t>
      </w:r>
      <w:r>
        <w:rPr>
          <w:rFonts w:ascii="Times New Roman" w:hAnsi="Times New Roman"/>
          <w:b w:val="0"/>
          <w:sz w:val="24"/>
          <w:szCs w:val="24"/>
        </w:rPr>
        <w:t xml:space="preserve">in submissions to the consultation </w:t>
      </w:r>
      <w:r w:rsidRPr="00FD0B33">
        <w:rPr>
          <w:rFonts w:ascii="Times New Roman" w:hAnsi="Times New Roman"/>
          <w:b w:val="0"/>
          <w:sz w:val="24"/>
          <w:szCs w:val="24"/>
        </w:rPr>
        <w:t xml:space="preserve">on </w:t>
      </w:r>
      <w:r>
        <w:rPr>
          <w:rFonts w:ascii="Times New Roman" w:hAnsi="Times New Roman"/>
          <w:b w:val="0"/>
          <w:sz w:val="24"/>
          <w:szCs w:val="24"/>
        </w:rPr>
        <w:t xml:space="preserve">these </w:t>
      </w:r>
      <w:r w:rsidRPr="00FD0B33">
        <w:rPr>
          <w:rFonts w:ascii="Times New Roman" w:hAnsi="Times New Roman"/>
          <w:b w:val="0"/>
          <w:sz w:val="24"/>
          <w:szCs w:val="24"/>
        </w:rPr>
        <w:t>consequential amendments.</w:t>
      </w:r>
      <w:bookmarkStart w:id="8" w:name="bkConsultation"/>
      <w:bookmarkStart w:id="9" w:name="bkRISNO"/>
      <w:bookmarkStart w:id="10" w:name="bkRIS"/>
      <w:bookmarkEnd w:id="8"/>
      <w:bookmarkEnd w:id="9"/>
    </w:p>
    <w:p w14:paraId="7214CE46" w14:textId="5D58AF33" w:rsidR="002436BD"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233A3A3C" w14:textId="4350DF90" w:rsidR="002436BD" w:rsidRDefault="00AA58BE" w:rsidP="00DF7DA0">
      <w:pPr>
        <w:pStyle w:val="Heading"/>
        <w:spacing w:after="240"/>
        <w:rPr>
          <w:rFonts w:ascii="Times New Roman" w:hAnsi="Times New Roman"/>
          <w:b w:val="0"/>
          <w:sz w:val="24"/>
          <w:szCs w:val="24"/>
        </w:rPr>
      </w:pPr>
      <w:r w:rsidRPr="009D6252">
        <w:rPr>
          <w:rFonts w:ascii="Times New Roman" w:hAnsi="Times New Roman"/>
          <w:b w:val="0"/>
          <w:sz w:val="24"/>
          <w:szCs w:val="24"/>
        </w:rPr>
        <w:t xml:space="preserve">The Office of Impact Analysis (formerly the Office of Best Practice Regulation) </w:t>
      </w:r>
      <w:r w:rsidR="00334DD1" w:rsidRPr="0026634D">
        <w:rPr>
          <w:rFonts w:ascii="Times New Roman" w:hAnsi="Times New Roman"/>
          <w:b w:val="0"/>
          <w:sz w:val="24"/>
          <w:szCs w:val="24"/>
        </w:rPr>
        <w:t>advised that no Regulat</w:t>
      </w:r>
      <w:r w:rsidR="009918FF">
        <w:rPr>
          <w:rFonts w:ascii="Times New Roman" w:hAnsi="Times New Roman"/>
          <w:b w:val="0"/>
          <w:sz w:val="24"/>
          <w:szCs w:val="24"/>
        </w:rPr>
        <w:t>ion</w:t>
      </w:r>
      <w:r w:rsidR="00334DD1" w:rsidRPr="0026634D">
        <w:rPr>
          <w:rFonts w:ascii="Times New Roman" w:hAnsi="Times New Roman"/>
          <w:b w:val="0"/>
          <w:sz w:val="24"/>
          <w:szCs w:val="24"/>
        </w:rPr>
        <w:t xml:space="preserve"> Impact </w:t>
      </w:r>
      <w:r w:rsidR="00700FA0">
        <w:rPr>
          <w:rFonts w:ascii="Times New Roman" w:hAnsi="Times New Roman"/>
          <w:b w:val="0"/>
          <w:sz w:val="24"/>
          <w:szCs w:val="24"/>
        </w:rPr>
        <w:t>S</w:t>
      </w:r>
      <w:r w:rsidR="00334DD1" w:rsidRPr="0026634D">
        <w:rPr>
          <w:rFonts w:ascii="Times New Roman" w:hAnsi="Times New Roman"/>
          <w:b w:val="0"/>
          <w:sz w:val="24"/>
          <w:szCs w:val="24"/>
        </w:rPr>
        <w:t xml:space="preserve">tatement </w:t>
      </w:r>
      <w:r w:rsidR="0062665C">
        <w:rPr>
          <w:rFonts w:ascii="Times New Roman" w:hAnsi="Times New Roman"/>
          <w:b w:val="0"/>
          <w:sz w:val="24"/>
          <w:szCs w:val="24"/>
        </w:rPr>
        <w:t>was</w:t>
      </w:r>
      <w:r w:rsidR="00334DD1" w:rsidRPr="0026634D">
        <w:rPr>
          <w:rFonts w:ascii="Times New Roman" w:hAnsi="Times New Roman"/>
          <w:b w:val="0"/>
          <w:sz w:val="24"/>
          <w:szCs w:val="24"/>
        </w:rPr>
        <w:t xml:space="preserve"> required as the changes</w:t>
      </w:r>
      <w:r w:rsidR="00340D2E">
        <w:rPr>
          <w:rFonts w:ascii="Times New Roman" w:hAnsi="Times New Roman"/>
          <w:b w:val="0"/>
          <w:sz w:val="24"/>
          <w:szCs w:val="24"/>
        </w:rPr>
        <w:t xml:space="preserve"> to </w:t>
      </w:r>
      <w:r w:rsidR="0062665C">
        <w:rPr>
          <w:rFonts w:ascii="Times New Roman" w:hAnsi="Times New Roman"/>
          <w:b w:val="0"/>
          <w:sz w:val="24"/>
          <w:szCs w:val="24"/>
        </w:rPr>
        <w:t xml:space="preserve">the standards </w:t>
      </w:r>
      <w:r w:rsidR="00334DD1" w:rsidRPr="0026634D">
        <w:rPr>
          <w:rFonts w:ascii="Times New Roman" w:hAnsi="Times New Roman"/>
          <w:b w:val="0"/>
          <w:sz w:val="24"/>
          <w:szCs w:val="24"/>
        </w:rPr>
        <w:t>are minor and machinery.</w:t>
      </w:r>
    </w:p>
    <w:p w14:paraId="401F3907" w14:textId="77777777" w:rsidR="002436BD" w:rsidRPr="0003440B" w:rsidRDefault="00DF524E" w:rsidP="00163FA0">
      <w:pPr>
        <w:pStyle w:val="Heading"/>
        <w:keepNext/>
        <w:tabs>
          <w:tab w:val="left" w:pos="360"/>
        </w:tabs>
        <w:spacing w:after="240"/>
        <w:rPr>
          <w:rFonts w:ascii="Times New Roman" w:hAnsi="Times New Roman"/>
          <w:i/>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w:t>
      </w:r>
      <w:r w:rsidR="002436BD" w:rsidRPr="0003440B">
        <w:rPr>
          <w:rFonts w:ascii="Times New Roman" w:hAnsi="Times New Roman"/>
          <w:i/>
          <w:sz w:val="24"/>
          <w:szCs w:val="24"/>
        </w:rPr>
        <w:t>the Human Rights (Parliamentary Scrutiny) Act 2011</w:t>
      </w:r>
    </w:p>
    <w:p w14:paraId="08DB91DF" w14:textId="0387E923" w:rsidR="001D2931"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00791F3" w14:textId="77777777" w:rsidR="001D2931" w:rsidRDefault="001D2931">
      <w:pPr>
        <w:rPr>
          <w:rFonts w:ascii="Times New Roman" w:hAnsi="Times New Roman"/>
          <w:sz w:val="24"/>
          <w:szCs w:val="24"/>
        </w:rPr>
      </w:pPr>
      <w:r>
        <w:rPr>
          <w:rFonts w:ascii="Times New Roman" w:hAnsi="Times New Roman"/>
          <w:b/>
          <w:sz w:val="24"/>
          <w:szCs w:val="24"/>
        </w:rPr>
        <w:br w:type="page"/>
      </w:r>
    </w:p>
    <w:p w14:paraId="0CB42133" w14:textId="77777777" w:rsidR="00C96F89" w:rsidRDefault="00C96F89" w:rsidP="00C96F89">
      <w:pPr>
        <w:spacing w:after="360"/>
        <w:outlineLvl w:val="0"/>
        <w:rPr>
          <w:rFonts w:ascii="Times New Roman" w:hAnsi="Times New Roman"/>
          <w:sz w:val="24"/>
          <w:szCs w:val="24"/>
          <w:u w:val="single"/>
        </w:rPr>
      </w:pPr>
      <w:r>
        <w:rPr>
          <w:rFonts w:ascii="Times New Roman" w:hAnsi="Times New Roman"/>
          <w:sz w:val="24"/>
          <w:szCs w:val="24"/>
          <w:u w:val="single"/>
        </w:rPr>
        <w:lastRenderedPageBreak/>
        <w:t>ATTACHMENT A</w:t>
      </w:r>
    </w:p>
    <w:p w14:paraId="756A5753" w14:textId="77777777"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Statement of Compatibility with Human Rights</w:t>
      </w:r>
    </w:p>
    <w:p w14:paraId="0BA4F508" w14:textId="4ECC930D" w:rsidR="00C96F89" w:rsidRDefault="00C96F89" w:rsidP="00C96F89">
      <w:pPr>
        <w:shd w:val="clear" w:color="auto" w:fill="FFFFFF"/>
        <w:spacing w:before="100" w:beforeAutospacing="1" w:after="240"/>
        <w:jc w:val="center"/>
        <w:rPr>
          <w:rFonts w:ascii="Times New Roman" w:hAnsi="Times New Roman"/>
          <w:sz w:val="24"/>
          <w:szCs w:val="24"/>
          <w:lang w:val="en-US"/>
        </w:rPr>
      </w:pPr>
      <w:r>
        <w:rPr>
          <w:rFonts w:ascii="Times New Roman" w:hAnsi="Times New Roman"/>
          <w:sz w:val="24"/>
          <w:szCs w:val="24"/>
        </w:rPr>
        <w:t xml:space="preserve">Prepared in accordance with Part 3 of the </w:t>
      </w:r>
      <w:r>
        <w:rPr>
          <w:rFonts w:ascii="Times New Roman" w:hAnsi="Times New Roman"/>
          <w:i/>
          <w:iCs/>
          <w:sz w:val="24"/>
          <w:szCs w:val="24"/>
        </w:rPr>
        <w:t>Human Rights (Parliamentary Scrutiny) Act 2011</w:t>
      </w:r>
    </w:p>
    <w:p w14:paraId="33D30B27" w14:textId="15FD54CF" w:rsidR="002353DD" w:rsidRPr="0003440B" w:rsidRDefault="00CD58F6" w:rsidP="002353DD">
      <w:pPr>
        <w:pStyle w:val="Heading"/>
        <w:spacing w:after="240"/>
        <w:jc w:val="center"/>
        <w:rPr>
          <w:rFonts w:ascii="Times New Roman" w:hAnsi="Times New Roman"/>
          <w:i/>
          <w:sz w:val="24"/>
          <w:szCs w:val="24"/>
        </w:rPr>
      </w:pPr>
      <w:r w:rsidRPr="0003440B">
        <w:rPr>
          <w:rFonts w:ascii="Times New Roman" w:hAnsi="Times New Roman"/>
          <w:i/>
          <w:sz w:val="24"/>
          <w:szCs w:val="24"/>
        </w:rPr>
        <w:t>Superannuation</w:t>
      </w:r>
      <w:r w:rsidR="002353DD" w:rsidRPr="0003440B">
        <w:rPr>
          <w:rFonts w:ascii="Times New Roman" w:hAnsi="Times New Roman"/>
          <w:i/>
          <w:sz w:val="24"/>
          <w:szCs w:val="24"/>
        </w:rPr>
        <w:t xml:space="preserve"> (prudential standard) determination No. </w:t>
      </w:r>
      <w:r w:rsidRPr="0003440B">
        <w:rPr>
          <w:rFonts w:ascii="Times New Roman" w:hAnsi="Times New Roman"/>
          <w:i/>
          <w:sz w:val="24"/>
          <w:szCs w:val="24"/>
        </w:rPr>
        <w:t>2</w:t>
      </w:r>
      <w:r w:rsidR="002353DD" w:rsidRPr="0003440B">
        <w:rPr>
          <w:rFonts w:ascii="Times New Roman" w:hAnsi="Times New Roman"/>
          <w:i/>
          <w:sz w:val="24"/>
          <w:szCs w:val="24"/>
        </w:rPr>
        <w:t xml:space="preserve"> of 202</w:t>
      </w:r>
      <w:r w:rsidR="00D23130" w:rsidRPr="0003440B">
        <w:rPr>
          <w:rFonts w:ascii="Times New Roman" w:hAnsi="Times New Roman"/>
          <w:i/>
          <w:sz w:val="24"/>
          <w:szCs w:val="24"/>
        </w:rPr>
        <w:t>3</w:t>
      </w:r>
    </w:p>
    <w:p w14:paraId="35BD42C7" w14:textId="39156F99"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sz w:val="24"/>
          <w:szCs w:val="24"/>
        </w:rPr>
        <w:t xml:space="preserve">The </w:t>
      </w:r>
      <w:r w:rsidR="00AA58BE">
        <w:rPr>
          <w:rFonts w:ascii="Times New Roman" w:hAnsi="Times New Roman"/>
          <w:sz w:val="24"/>
          <w:szCs w:val="24"/>
        </w:rPr>
        <w:t>l</w:t>
      </w:r>
      <w:r>
        <w:rPr>
          <w:rFonts w:ascii="Times New Roman" w:hAnsi="Times New Roman"/>
          <w:sz w:val="24"/>
          <w:szCs w:val="24"/>
        </w:rPr>
        <w:t xml:space="preserve">egislative </w:t>
      </w:r>
      <w:r w:rsidR="00AA58BE">
        <w:rPr>
          <w:rFonts w:ascii="Times New Roman" w:hAnsi="Times New Roman"/>
          <w:sz w:val="24"/>
          <w:szCs w:val="24"/>
        </w:rPr>
        <w:t>i</w:t>
      </w:r>
      <w:r>
        <w:rPr>
          <w:rFonts w:ascii="Times New Roman" w:hAnsi="Times New Roman"/>
          <w:sz w:val="24"/>
          <w:szCs w:val="24"/>
        </w:rPr>
        <w:t>nstrument</w:t>
      </w:r>
      <w:r w:rsidR="0062665C">
        <w:rPr>
          <w:rFonts w:ascii="Times New Roman" w:hAnsi="Times New Roman"/>
          <w:sz w:val="24"/>
          <w:szCs w:val="24"/>
        </w:rPr>
        <w:t xml:space="preserve"> </w:t>
      </w:r>
      <w:r w:rsidR="00AA58BE">
        <w:rPr>
          <w:rFonts w:ascii="Times New Roman" w:hAnsi="Times New Roman"/>
          <w:sz w:val="24"/>
          <w:szCs w:val="24"/>
        </w:rPr>
        <w:t>is</w:t>
      </w:r>
      <w:r w:rsidR="002353DD">
        <w:rPr>
          <w:rFonts w:ascii="Times New Roman" w:hAnsi="Times New Roman"/>
          <w:sz w:val="24"/>
          <w:szCs w:val="24"/>
        </w:rPr>
        <w:t xml:space="preserve"> </w:t>
      </w:r>
      <w:r>
        <w:rPr>
          <w:rFonts w:ascii="Times New Roman" w:hAnsi="Times New Roman"/>
          <w:sz w:val="24"/>
          <w:szCs w:val="24"/>
        </w:rPr>
        <w:t xml:space="preserve">compatible with the human rights and freedoms recognised or declared in the international instruments listed in section 3 of the </w:t>
      </w:r>
      <w:r>
        <w:rPr>
          <w:rFonts w:ascii="Times New Roman" w:hAnsi="Times New Roman"/>
          <w:i/>
          <w:iCs/>
          <w:sz w:val="24"/>
          <w:szCs w:val="24"/>
        </w:rPr>
        <w:t>Human Rights (Parliamentary Scrutiny) Act 2011</w:t>
      </w:r>
      <w:r>
        <w:rPr>
          <w:rFonts w:ascii="Times New Roman" w:hAnsi="Times New Roman"/>
          <w:sz w:val="24"/>
          <w:szCs w:val="24"/>
        </w:rPr>
        <w:t xml:space="preserve"> (HRPS Act).</w:t>
      </w:r>
    </w:p>
    <w:p w14:paraId="38B799D8" w14:textId="72D1E2FE" w:rsidR="00C96F89" w:rsidRDefault="00C96F89" w:rsidP="00C96F89">
      <w:pPr>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Overview of the Legislative Instrument</w:t>
      </w:r>
    </w:p>
    <w:p w14:paraId="1BC720B3" w14:textId="06671B79" w:rsidR="00891B09" w:rsidRDefault="00891B09" w:rsidP="00891B09">
      <w:pPr>
        <w:keepNext/>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 xml:space="preserve">The purpose of </w:t>
      </w:r>
      <w:r w:rsidRPr="0003440B">
        <w:rPr>
          <w:rFonts w:ascii="Times New Roman" w:hAnsi="Times New Roman"/>
          <w:i/>
          <w:sz w:val="24"/>
          <w:szCs w:val="24"/>
        </w:rPr>
        <w:t xml:space="preserve">Superannuation (prudential standard) determination No. </w:t>
      </w:r>
      <w:r w:rsidR="003B7B3F" w:rsidRPr="0003440B">
        <w:rPr>
          <w:rFonts w:ascii="Times New Roman" w:hAnsi="Times New Roman"/>
          <w:i/>
          <w:sz w:val="24"/>
          <w:szCs w:val="24"/>
        </w:rPr>
        <w:t>2</w:t>
      </w:r>
      <w:r w:rsidRPr="0003440B">
        <w:rPr>
          <w:rFonts w:ascii="Times New Roman" w:hAnsi="Times New Roman"/>
          <w:i/>
          <w:sz w:val="24"/>
          <w:szCs w:val="24"/>
        </w:rPr>
        <w:t xml:space="preserve"> of 202</w:t>
      </w:r>
      <w:r w:rsidR="003B7B3F" w:rsidRPr="0003440B">
        <w:rPr>
          <w:rFonts w:ascii="Times New Roman" w:hAnsi="Times New Roman"/>
          <w:i/>
          <w:sz w:val="24"/>
          <w:szCs w:val="24"/>
        </w:rPr>
        <w:t>3</w:t>
      </w:r>
      <w:r>
        <w:rPr>
          <w:rFonts w:ascii="Times New Roman" w:hAnsi="Times New Roman"/>
          <w:sz w:val="24"/>
          <w:szCs w:val="24"/>
        </w:rPr>
        <w:t xml:space="preserve"> is to revoke the existing requirements under </w:t>
      </w:r>
      <w:r w:rsidR="00AA58BE" w:rsidRPr="001A0522">
        <w:rPr>
          <w:rFonts w:ascii="Times New Roman" w:hAnsi="Times New Roman"/>
          <w:i/>
          <w:sz w:val="24"/>
          <w:szCs w:val="24"/>
        </w:rPr>
        <w:t xml:space="preserve">Prudential Standard </w:t>
      </w:r>
      <w:r w:rsidR="00AA58BE">
        <w:rPr>
          <w:rFonts w:ascii="Times New Roman" w:hAnsi="Times New Roman"/>
          <w:i/>
          <w:sz w:val="24"/>
          <w:szCs w:val="24"/>
        </w:rPr>
        <w:t>SPS 510</w:t>
      </w:r>
      <w:r w:rsidR="00AA58BE" w:rsidRPr="001A0522">
        <w:rPr>
          <w:rFonts w:ascii="Times New Roman" w:hAnsi="Times New Roman"/>
          <w:i/>
          <w:sz w:val="24"/>
          <w:szCs w:val="24"/>
        </w:rPr>
        <w:t xml:space="preserve"> </w:t>
      </w:r>
      <w:r w:rsidR="00AA58BE">
        <w:rPr>
          <w:rFonts w:ascii="Times New Roman" w:hAnsi="Times New Roman"/>
          <w:i/>
          <w:sz w:val="24"/>
          <w:szCs w:val="24"/>
        </w:rPr>
        <w:t xml:space="preserve">Governance </w:t>
      </w:r>
      <w:r w:rsidR="00AA58BE">
        <w:rPr>
          <w:rFonts w:ascii="Times New Roman" w:hAnsi="Times New Roman"/>
          <w:sz w:val="24"/>
          <w:szCs w:val="24"/>
        </w:rPr>
        <w:t>(</w:t>
      </w:r>
      <w:r>
        <w:rPr>
          <w:rFonts w:ascii="Times New Roman" w:hAnsi="Times New Roman"/>
          <w:sz w:val="24"/>
          <w:szCs w:val="24"/>
        </w:rPr>
        <w:t>SPS 510</w:t>
      </w:r>
      <w:r w:rsidR="00AA58BE">
        <w:rPr>
          <w:rFonts w:ascii="Times New Roman" w:hAnsi="Times New Roman"/>
          <w:sz w:val="24"/>
          <w:szCs w:val="24"/>
        </w:rPr>
        <w:t>)</w:t>
      </w:r>
      <w:r>
        <w:rPr>
          <w:rFonts w:ascii="Times New Roman" w:hAnsi="Times New Roman"/>
          <w:sz w:val="24"/>
          <w:szCs w:val="24"/>
        </w:rPr>
        <w:t xml:space="preserve"> for superannuation and replace it with the new SPS 510 which incorporates necessary consequential amendments resulting from the commencement of </w:t>
      </w:r>
      <w:r w:rsidR="00AA58BE">
        <w:rPr>
          <w:rFonts w:ascii="Times New Roman" w:hAnsi="Times New Roman"/>
          <w:i/>
          <w:sz w:val="24"/>
          <w:szCs w:val="24"/>
        </w:rPr>
        <w:t>Prudential Standard CPS 511 Remuneration</w:t>
      </w:r>
      <w:r>
        <w:rPr>
          <w:rFonts w:ascii="Times New Roman" w:hAnsi="Times New Roman"/>
          <w:sz w:val="24"/>
          <w:szCs w:val="24"/>
        </w:rPr>
        <w:t xml:space="preserve">. The amendments apply to RSE licensees that are SFIs from </w:t>
      </w:r>
      <w:r w:rsidRPr="009E4125">
        <w:rPr>
          <w:rFonts w:ascii="Times New Roman" w:hAnsi="Times New Roman"/>
          <w:sz w:val="24"/>
          <w:szCs w:val="24"/>
        </w:rPr>
        <w:t>1 July 2023</w:t>
      </w:r>
      <w:r w:rsidR="003B7B3F">
        <w:rPr>
          <w:rFonts w:ascii="Times New Roman" w:hAnsi="Times New Roman"/>
          <w:sz w:val="24"/>
          <w:szCs w:val="24"/>
        </w:rPr>
        <w:t xml:space="preserve"> and all other RSE licensees from 1 January 2024</w:t>
      </w:r>
      <w:r w:rsidRPr="009E4125">
        <w:rPr>
          <w:rFonts w:ascii="Times New Roman" w:hAnsi="Times New Roman"/>
          <w:sz w:val="24"/>
          <w:szCs w:val="24"/>
        </w:rPr>
        <w:t>.</w:t>
      </w:r>
    </w:p>
    <w:p w14:paraId="185385E4" w14:textId="268EB830" w:rsidR="00C96F89" w:rsidRDefault="00C96F89" w:rsidP="004262B9">
      <w:pPr>
        <w:keepNext/>
        <w:shd w:val="clear" w:color="auto" w:fill="FFFFFF"/>
        <w:spacing w:before="100" w:beforeAutospacing="1" w:after="240"/>
        <w:jc w:val="both"/>
        <w:rPr>
          <w:rFonts w:ascii="Times New Roman" w:hAnsi="Times New Roman"/>
          <w:sz w:val="24"/>
          <w:szCs w:val="24"/>
          <w:lang w:val="en-US"/>
        </w:rPr>
      </w:pPr>
      <w:r>
        <w:rPr>
          <w:rFonts w:ascii="Times New Roman" w:hAnsi="Times New Roman"/>
          <w:b/>
          <w:bCs/>
          <w:sz w:val="24"/>
          <w:szCs w:val="24"/>
        </w:rPr>
        <w:t>Human rights implications</w:t>
      </w:r>
    </w:p>
    <w:p w14:paraId="15EF2C39" w14:textId="4E682130" w:rsidR="00EA739F" w:rsidRDefault="00C96F89" w:rsidP="00EA739F">
      <w:pPr>
        <w:shd w:val="clear" w:color="auto" w:fill="FFFFFF"/>
        <w:spacing w:before="100" w:beforeAutospacing="1" w:after="240"/>
        <w:jc w:val="both"/>
        <w:rPr>
          <w:rFonts w:ascii="Times New Roman" w:hAnsi="Times New Roman"/>
          <w:sz w:val="24"/>
          <w:szCs w:val="24"/>
        </w:rPr>
      </w:pPr>
      <w:r>
        <w:rPr>
          <w:rFonts w:ascii="Times New Roman" w:hAnsi="Times New Roman"/>
          <w:sz w:val="24"/>
          <w:szCs w:val="24"/>
        </w:rPr>
        <w:t xml:space="preserve">APRA has assessed </w:t>
      </w:r>
      <w:r w:rsidR="00AA58BE">
        <w:rPr>
          <w:rFonts w:ascii="Times New Roman" w:hAnsi="Times New Roman"/>
          <w:sz w:val="24"/>
          <w:szCs w:val="24"/>
        </w:rPr>
        <w:t xml:space="preserve">the legislative </w:t>
      </w:r>
      <w:r w:rsidR="0006703F">
        <w:rPr>
          <w:rFonts w:ascii="Times New Roman" w:hAnsi="Times New Roman"/>
          <w:sz w:val="24"/>
          <w:szCs w:val="24"/>
        </w:rPr>
        <w:t>i</w:t>
      </w:r>
      <w:r>
        <w:rPr>
          <w:rFonts w:ascii="Times New Roman" w:hAnsi="Times New Roman"/>
          <w:sz w:val="24"/>
          <w:szCs w:val="24"/>
        </w:rPr>
        <w:t xml:space="preserve">nstrument and is of the view that </w:t>
      </w:r>
      <w:r w:rsidR="00AA58BE">
        <w:rPr>
          <w:rFonts w:ascii="Times New Roman" w:hAnsi="Times New Roman"/>
          <w:sz w:val="24"/>
          <w:szCs w:val="24"/>
        </w:rPr>
        <w:t xml:space="preserve">it </w:t>
      </w:r>
      <w:r w:rsidR="0006703F">
        <w:rPr>
          <w:rFonts w:ascii="Times New Roman" w:hAnsi="Times New Roman"/>
          <w:sz w:val="24"/>
          <w:szCs w:val="24"/>
        </w:rPr>
        <w:t>do</w:t>
      </w:r>
      <w:r w:rsidR="00AA58BE">
        <w:rPr>
          <w:rFonts w:ascii="Times New Roman" w:hAnsi="Times New Roman"/>
          <w:sz w:val="24"/>
          <w:szCs w:val="24"/>
        </w:rPr>
        <w:t>es</w:t>
      </w:r>
      <w:r w:rsidR="005C087B">
        <w:rPr>
          <w:rFonts w:ascii="Times New Roman" w:hAnsi="Times New Roman"/>
          <w:sz w:val="24"/>
          <w:szCs w:val="24"/>
        </w:rPr>
        <w:t xml:space="preserve"> </w:t>
      </w:r>
      <w:r>
        <w:rPr>
          <w:rFonts w:ascii="Times New Roman" w:hAnsi="Times New Roman"/>
          <w:sz w:val="24"/>
          <w:szCs w:val="24"/>
        </w:rPr>
        <w:t xml:space="preserve">not engage any of the applicable rights or freedoms recognised or declared in the international instruments listed in section 3 of the HRPS Act. Accordingly, in APRA’s assessment, the </w:t>
      </w:r>
      <w:r w:rsidR="00AA58BE">
        <w:rPr>
          <w:rFonts w:ascii="Times New Roman" w:hAnsi="Times New Roman"/>
          <w:sz w:val="24"/>
          <w:szCs w:val="24"/>
        </w:rPr>
        <w:t xml:space="preserve">legislative </w:t>
      </w:r>
      <w:r>
        <w:rPr>
          <w:rFonts w:ascii="Times New Roman" w:hAnsi="Times New Roman"/>
          <w:sz w:val="24"/>
          <w:szCs w:val="24"/>
        </w:rPr>
        <w:t>instrument</w:t>
      </w:r>
      <w:r w:rsidR="009E4125">
        <w:rPr>
          <w:rFonts w:ascii="Times New Roman" w:hAnsi="Times New Roman"/>
          <w:sz w:val="24"/>
          <w:szCs w:val="24"/>
        </w:rPr>
        <w:t xml:space="preserve"> </w:t>
      </w:r>
      <w:r w:rsidR="00AA58BE">
        <w:rPr>
          <w:rFonts w:ascii="Times New Roman" w:hAnsi="Times New Roman"/>
          <w:sz w:val="24"/>
          <w:szCs w:val="24"/>
        </w:rPr>
        <w:t>is</w:t>
      </w:r>
      <w:r>
        <w:rPr>
          <w:rFonts w:ascii="Times New Roman" w:hAnsi="Times New Roman"/>
          <w:sz w:val="24"/>
          <w:szCs w:val="24"/>
        </w:rPr>
        <w:t xml:space="preserve"> compatible with human rights.</w:t>
      </w:r>
    </w:p>
    <w:p w14:paraId="6CAF8253" w14:textId="4938750C" w:rsidR="00C96F89" w:rsidRPr="00EA739F" w:rsidRDefault="00EA739F" w:rsidP="00EA739F">
      <w:pPr>
        <w:keepNext/>
        <w:shd w:val="clear" w:color="auto" w:fill="FFFFFF"/>
        <w:spacing w:before="100" w:beforeAutospacing="1" w:after="240"/>
        <w:jc w:val="both"/>
        <w:rPr>
          <w:rFonts w:ascii="Times New Roman" w:hAnsi="Times New Roman"/>
          <w:sz w:val="24"/>
          <w:szCs w:val="24"/>
        </w:rPr>
      </w:pPr>
      <w:r>
        <w:rPr>
          <w:rFonts w:ascii="Times New Roman" w:hAnsi="Times New Roman"/>
          <w:b/>
          <w:bCs/>
          <w:sz w:val="24"/>
          <w:szCs w:val="24"/>
        </w:rPr>
        <w:t>C</w:t>
      </w:r>
      <w:r w:rsidR="00C96F89">
        <w:rPr>
          <w:rFonts w:ascii="Times New Roman" w:hAnsi="Times New Roman"/>
          <w:b/>
          <w:bCs/>
          <w:sz w:val="24"/>
          <w:szCs w:val="24"/>
        </w:rPr>
        <w:t>onclusion</w:t>
      </w:r>
    </w:p>
    <w:p w14:paraId="2427AC61" w14:textId="63F08338" w:rsidR="00C96F89" w:rsidRDefault="005C087B" w:rsidP="00C96F89">
      <w:pPr>
        <w:spacing w:after="240"/>
        <w:jc w:val="both"/>
        <w:rPr>
          <w:rFonts w:ascii="Times New Roman" w:hAnsi="Times New Roman"/>
          <w:sz w:val="24"/>
          <w:szCs w:val="24"/>
        </w:rPr>
      </w:pPr>
      <w:r>
        <w:rPr>
          <w:rFonts w:ascii="Times New Roman" w:hAnsi="Times New Roman"/>
          <w:sz w:val="24"/>
          <w:szCs w:val="24"/>
        </w:rPr>
        <w:t>Th</w:t>
      </w:r>
      <w:r w:rsidR="00AA58BE">
        <w:rPr>
          <w:rFonts w:ascii="Times New Roman" w:hAnsi="Times New Roman"/>
          <w:sz w:val="24"/>
          <w:szCs w:val="24"/>
        </w:rPr>
        <w:t>is legislative</w:t>
      </w:r>
      <w:r w:rsidR="00C96F89">
        <w:rPr>
          <w:rFonts w:ascii="Times New Roman" w:hAnsi="Times New Roman"/>
          <w:sz w:val="24"/>
          <w:szCs w:val="24"/>
        </w:rPr>
        <w:t xml:space="preserve"> </w:t>
      </w:r>
      <w:r w:rsidR="0006703F">
        <w:rPr>
          <w:rFonts w:ascii="Times New Roman" w:hAnsi="Times New Roman"/>
          <w:sz w:val="24"/>
          <w:szCs w:val="24"/>
        </w:rPr>
        <w:t>i</w:t>
      </w:r>
      <w:r w:rsidR="00C96F89">
        <w:rPr>
          <w:rFonts w:ascii="Times New Roman" w:hAnsi="Times New Roman"/>
          <w:sz w:val="24"/>
          <w:szCs w:val="24"/>
        </w:rPr>
        <w:t>nstrument</w:t>
      </w:r>
      <w:r w:rsidR="00AA58BE">
        <w:rPr>
          <w:rFonts w:ascii="Times New Roman" w:hAnsi="Times New Roman"/>
          <w:sz w:val="24"/>
          <w:szCs w:val="24"/>
        </w:rPr>
        <w:t xml:space="preserve"> is</w:t>
      </w:r>
      <w:r w:rsidR="00C96F89">
        <w:rPr>
          <w:rFonts w:ascii="Times New Roman" w:hAnsi="Times New Roman"/>
          <w:sz w:val="24"/>
          <w:szCs w:val="24"/>
        </w:rPr>
        <w:t xml:space="preserve"> compatible with human rights as </w:t>
      </w:r>
      <w:r w:rsidR="00AA58BE">
        <w:rPr>
          <w:rFonts w:ascii="Times New Roman" w:hAnsi="Times New Roman"/>
          <w:sz w:val="24"/>
          <w:szCs w:val="24"/>
        </w:rPr>
        <w:t xml:space="preserve">it </w:t>
      </w:r>
      <w:r w:rsidR="0006703F">
        <w:rPr>
          <w:rFonts w:ascii="Times New Roman" w:hAnsi="Times New Roman"/>
          <w:sz w:val="24"/>
          <w:szCs w:val="24"/>
        </w:rPr>
        <w:t>do</w:t>
      </w:r>
      <w:r w:rsidR="00AA58BE">
        <w:rPr>
          <w:rFonts w:ascii="Times New Roman" w:hAnsi="Times New Roman"/>
          <w:sz w:val="24"/>
          <w:szCs w:val="24"/>
        </w:rPr>
        <w:t>es</w:t>
      </w:r>
      <w:r w:rsidR="00B3708F">
        <w:rPr>
          <w:rFonts w:ascii="Times New Roman" w:hAnsi="Times New Roman"/>
          <w:sz w:val="24"/>
          <w:szCs w:val="24"/>
        </w:rPr>
        <w:t xml:space="preserve"> </w:t>
      </w:r>
      <w:r w:rsidR="00C96F89">
        <w:rPr>
          <w:rFonts w:ascii="Times New Roman" w:hAnsi="Times New Roman"/>
          <w:sz w:val="24"/>
          <w:szCs w:val="24"/>
        </w:rPr>
        <w:t>not raise any human rights issues.</w:t>
      </w:r>
    </w:p>
    <w:sectPr w:rsidR="00C96F89" w:rsidSect="003D5032">
      <w:footerReference w:type="default" r:id="rId12"/>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23C1" w14:textId="77777777" w:rsidR="00F4443F" w:rsidRDefault="00F4443F" w:rsidP="00DF7DA0">
      <w:r>
        <w:separator/>
      </w:r>
    </w:p>
  </w:endnote>
  <w:endnote w:type="continuationSeparator" w:id="0">
    <w:p w14:paraId="65A5D5F1" w14:textId="77777777" w:rsidR="00F4443F" w:rsidRDefault="00F4443F" w:rsidP="00DF7DA0">
      <w:r>
        <w:continuationSeparator/>
      </w:r>
    </w:p>
  </w:endnote>
  <w:endnote w:type="continuationNotice" w:id="1">
    <w:p w14:paraId="6AE4D066" w14:textId="77777777" w:rsidR="00F4443F" w:rsidRDefault="00F44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E93631">
          <w:rPr>
            <w:rFonts w:ascii="Times New Roman" w:hAnsi="Times New Roman"/>
            <w:bCs/>
            <w:noProof/>
            <w:sz w:val="24"/>
            <w:szCs w:val="24"/>
          </w:rPr>
          <w:t>5</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2325" w14:textId="77777777" w:rsidR="00F4443F" w:rsidRDefault="00F4443F" w:rsidP="00DF7DA0">
      <w:r>
        <w:separator/>
      </w:r>
    </w:p>
  </w:footnote>
  <w:footnote w:type="continuationSeparator" w:id="0">
    <w:p w14:paraId="21B1E5C7" w14:textId="77777777" w:rsidR="00F4443F" w:rsidRDefault="00F4443F" w:rsidP="00DF7DA0">
      <w:r>
        <w:continuationSeparator/>
      </w:r>
    </w:p>
  </w:footnote>
  <w:footnote w:type="continuationNotice" w:id="1">
    <w:p w14:paraId="71A7D7C0" w14:textId="77777777" w:rsidR="00F4443F" w:rsidRDefault="00F4443F"/>
  </w:footnote>
  <w:footnote w:id="2">
    <w:p w14:paraId="4FB6D56F" w14:textId="1CE6DB7B" w:rsidR="00EC70FD" w:rsidRPr="00FE228B" w:rsidRDefault="00EC70FD">
      <w:pPr>
        <w:pStyle w:val="FootnoteText"/>
        <w:rPr>
          <w:rFonts w:ascii="Times New Roman" w:hAnsi="Times New Roman"/>
        </w:rPr>
      </w:pPr>
      <w:r w:rsidRPr="00FE228B">
        <w:rPr>
          <w:rStyle w:val="FootnoteReference"/>
          <w:rFonts w:ascii="Times New Roman" w:hAnsi="Times New Roman"/>
        </w:rPr>
        <w:footnoteRef/>
      </w:r>
      <w:r w:rsidRPr="00FE228B">
        <w:rPr>
          <w:rFonts w:ascii="Times New Roman" w:hAnsi="Times New Roman"/>
        </w:rPr>
        <w:t xml:space="preserve"> </w:t>
      </w:r>
      <w:r w:rsidR="00236AB6">
        <w:rPr>
          <w:rFonts w:ascii="Times New Roman" w:hAnsi="Times New Roman"/>
        </w:rPr>
        <w:t>S</w:t>
      </w:r>
      <w:r w:rsidRPr="00FE228B">
        <w:rPr>
          <w:rFonts w:ascii="Times New Roman" w:hAnsi="Times New Roman"/>
        </w:rPr>
        <w:t xml:space="preserve">ection 54B of the </w:t>
      </w:r>
      <w:r w:rsidR="00B117DF">
        <w:rPr>
          <w:rFonts w:ascii="Times New Roman" w:hAnsi="Times New Roman"/>
        </w:rPr>
        <w:t>Act</w:t>
      </w:r>
      <w:r w:rsidRPr="00FE228B">
        <w:rPr>
          <w:rFonts w:ascii="Times New Roman" w:hAnsi="Times New Roman"/>
        </w:rPr>
        <w:t xml:space="preserve"> </w:t>
      </w:r>
      <w:r w:rsidR="005424D0">
        <w:rPr>
          <w:rFonts w:ascii="Times New Roman" w:hAnsi="Times New Roman"/>
        </w:rPr>
        <w:t xml:space="preserve">also </w:t>
      </w:r>
      <w:r w:rsidRPr="00FE228B">
        <w:rPr>
          <w:rFonts w:ascii="Times New Roman" w:hAnsi="Times New Roman"/>
        </w:rPr>
        <w:t xml:space="preserve">provides that breach of a covenant under sections 52 or 52A is a civil penalty provision. The covenants include a requirement to comply with prudential standards in relation to specified topics (conflicts, capital requirements for operational risk, MySuper and choice products). </w:t>
      </w:r>
    </w:p>
  </w:footnote>
  <w:footnote w:id="3">
    <w:p w14:paraId="1D0F4DE3" w14:textId="77777777" w:rsidR="0003134B" w:rsidRPr="0076259B" w:rsidRDefault="0003134B" w:rsidP="0003134B">
      <w:pPr>
        <w:pStyle w:val="FootnoteText"/>
        <w:rPr>
          <w:rFonts w:ascii="Times New Roman" w:hAnsi="Times New Roman"/>
          <w:sz w:val="18"/>
          <w:szCs w:val="18"/>
        </w:rPr>
      </w:pPr>
      <w:r w:rsidRPr="00787FB9">
        <w:rPr>
          <w:rStyle w:val="FootnoteReference"/>
          <w:rFonts w:ascii="Times New Roman" w:hAnsi="Times New Roman"/>
          <w:sz w:val="18"/>
          <w:szCs w:val="18"/>
        </w:rPr>
        <w:footnoteRef/>
      </w:r>
      <w:r w:rsidRPr="0076259B">
        <w:rPr>
          <w:rFonts w:ascii="Times New Roman" w:hAnsi="Times New Roman"/>
          <w:sz w:val="18"/>
          <w:szCs w:val="18"/>
        </w:rPr>
        <w:t xml:space="preserve"> For paragraph 44(2)(b) of the Legislation Act, section 42 of the </w:t>
      </w:r>
      <w:r>
        <w:rPr>
          <w:rFonts w:ascii="Times New Roman" w:hAnsi="Times New Roman"/>
          <w:sz w:val="18"/>
          <w:szCs w:val="18"/>
        </w:rPr>
        <w:t xml:space="preserve">Legislation </w:t>
      </w:r>
      <w:r w:rsidRPr="0076259B">
        <w:rPr>
          <w:rFonts w:ascii="Times New Roman" w:hAnsi="Times New Roman"/>
          <w:sz w:val="18"/>
          <w:szCs w:val="18"/>
        </w:rPr>
        <w:t xml:space="preserve">Act (disallowance of legislative instruments) does not apply to a legislative instrument in a class of legislative instrument referred to in an item of the table contained in regulation 9 of the Legislation Regulations. Item 3 of the table contained in regulation 9 of the Legislation Regulations provides that ‘an instrument (other than a regulation) relating to superannuation’ is a class of legislative instrument not subject to disallowance.   </w:t>
      </w:r>
    </w:p>
  </w:footnote>
  <w:footnote w:id="4">
    <w:p w14:paraId="56BC5054" w14:textId="77777777" w:rsidR="0003134B" w:rsidRPr="0076259B" w:rsidRDefault="0003134B" w:rsidP="0003134B">
      <w:pPr>
        <w:pStyle w:val="FootnoteText"/>
        <w:rPr>
          <w:rFonts w:ascii="Times New Roman" w:hAnsi="Times New Roman"/>
          <w:sz w:val="18"/>
          <w:szCs w:val="18"/>
        </w:rPr>
      </w:pPr>
      <w:r w:rsidRPr="0076259B">
        <w:rPr>
          <w:rStyle w:val="FootnoteReference"/>
          <w:rFonts w:ascii="Times New Roman" w:hAnsi="Times New Roman"/>
          <w:sz w:val="18"/>
          <w:szCs w:val="18"/>
        </w:rPr>
        <w:footnoteRef/>
      </w:r>
      <w:r w:rsidRPr="0076259B">
        <w:rPr>
          <w:rFonts w:ascii="Times New Roman" w:hAnsi="Times New Roman"/>
          <w:sz w:val="18"/>
          <w:szCs w:val="18"/>
        </w:rPr>
        <w:t xml:space="preserve"> For paragraph 54(2)(b) of the Legislation Act, Part 4 of Chapter 3 of the Legislation Act (sunsetting of legislative instruments) does not apply to a legislative instrument in a class of legislative instruments referred to in an item of the table contained in regulation 11 of the Legislation Regulations. Item 6 of the table contained in regulation 11 of the Legislation Regulations provides that ‘an instrument (other than a regulation) relating to superannuation’ is a class of legislative instrument not subject to sunsetting.   </w:t>
      </w:r>
    </w:p>
    <w:p w14:paraId="11629B08" w14:textId="77777777" w:rsidR="0003134B" w:rsidRPr="0076259B" w:rsidRDefault="0003134B" w:rsidP="0003134B">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6A0"/>
    <w:multiLevelType w:val="hybridMultilevel"/>
    <w:tmpl w:val="5C583790"/>
    <w:lvl w:ilvl="0" w:tplc="6FFEE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70CEC"/>
    <w:multiLevelType w:val="hybridMultilevel"/>
    <w:tmpl w:val="34225274"/>
    <w:lvl w:ilvl="0" w:tplc="87AAF206">
      <w:start w:val="1"/>
      <w:numFmt w:val="lowerLetter"/>
      <w:lvlText w:val="(%1)"/>
      <w:lvlJc w:val="left"/>
      <w:pPr>
        <w:ind w:left="72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176AE5"/>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AB0C95"/>
    <w:multiLevelType w:val="hybridMultilevel"/>
    <w:tmpl w:val="A97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2609B"/>
    <w:multiLevelType w:val="hybridMultilevel"/>
    <w:tmpl w:val="45845CE0"/>
    <w:lvl w:ilvl="0" w:tplc="340E6F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910625"/>
    <w:multiLevelType w:val="hybridMultilevel"/>
    <w:tmpl w:val="DF7E9F00"/>
    <w:lvl w:ilvl="0" w:tplc="B1300152">
      <w:start w:val="3"/>
      <w:numFmt w:val="bullet"/>
      <w:lvlText w:val="-"/>
      <w:lvlJc w:val="left"/>
      <w:pPr>
        <w:ind w:left="360" w:hanging="360"/>
      </w:pPr>
      <w:rPr>
        <w:rFonts w:ascii="Arial" w:eastAsia="Calibr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A655C01"/>
    <w:multiLevelType w:val="hybridMultilevel"/>
    <w:tmpl w:val="6D782998"/>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AB6A33"/>
    <w:multiLevelType w:val="hybridMultilevel"/>
    <w:tmpl w:val="58B80BDA"/>
    <w:lvl w:ilvl="0" w:tplc="7A30FE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8D46C0"/>
    <w:multiLevelType w:val="hybridMultilevel"/>
    <w:tmpl w:val="E996CF6E"/>
    <w:lvl w:ilvl="0" w:tplc="AAC61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C92DB8"/>
    <w:multiLevelType w:val="hybridMultilevel"/>
    <w:tmpl w:val="2352760C"/>
    <w:lvl w:ilvl="0" w:tplc="3E78FECC">
      <w:start w:val="1"/>
      <w:numFmt w:val="lowerLetter"/>
      <w:lvlText w:val="(%1)"/>
      <w:lvlJc w:val="left"/>
      <w:pPr>
        <w:ind w:left="502"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EC3F2B"/>
    <w:multiLevelType w:val="hybridMultilevel"/>
    <w:tmpl w:val="3E663EDE"/>
    <w:lvl w:ilvl="0" w:tplc="2E54C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21138C"/>
    <w:multiLevelType w:val="hybridMultilevel"/>
    <w:tmpl w:val="1BB0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DC3A91"/>
    <w:multiLevelType w:val="hybridMultilevel"/>
    <w:tmpl w:val="B02C0E6A"/>
    <w:lvl w:ilvl="0" w:tplc="66DC67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0A5C6E"/>
    <w:multiLevelType w:val="hybridMultilevel"/>
    <w:tmpl w:val="C1BAA2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1853C0"/>
    <w:multiLevelType w:val="hybridMultilevel"/>
    <w:tmpl w:val="0A6C49D2"/>
    <w:lvl w:ilvl="0" w:tplc="65A8491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0612134"/>
    <w:multiLevelType w:val="hybridMultilevel"/>
    <w:tmpl w:val="CC64B0AC"/>
    <w:lvl w:ilvl="0" w:tplc="D79CFE5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A3D61"/>
    <w:multiLevelType w:val="hybridMultilevel"/>
    <w:tmpl w:val="EE8C0C78"/>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5B1B25"/>
    <w:multiLevelType w:val="hybridMultilevel"/>
    <w:tmpl w:val="6AAE1FFE"/>
    <w:lvl w:ilvl="0" w:tplc="0C14B1EE">
      <w:start w:val="1"/>
      <w:numFmt w:val="lowerLetter"/>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2" w15:restartNumberingAfterBreak="0">
    <w:nsid w:val="67306DA1"/>
    <w:multiLevelType w:val="hybridMultilevel"/>
    <w:tmpl w:val="1D44F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9B17A3F"/>
    <w:multiLevelType w:val="multilevel"/>
    <w:tmpl w:val="8EA00C60"/>
    <w:styleLink w:val="1ai"/>
    <w:lvl w:ilvl="0">
      <w:start w:val="1"/>
      <w:numFmt w:val="none"/>
      <w:suff w:val="nothing"/>
      <w:lvlText w:val=""/>
      <w:lvlJc w:val="left"/>
      <w:pPr>
        <w:ind w:left="0" w:firstLine="0"/>
      </w:pPr>
    </w:lvl>
    <w:lvl w:ilvl="1">
      <w:start w:val="1"/>
      <w:numFmt w:val="decimal"/>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DBA4E99"/>
    <w:multiLevelType w:val="hybridMultilevel"/>
    <w:tmpl w:val="67B4EBF0"/>
    <w:lvl w:ilvl="0" w:tplc="44642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7410246">
    <w:abstractNumId w:val="14"/>
  </w:num>
  <w:num w:numId="2" w16cid:durableId="1005789565">
    <w:abstractNumId w:val="6"/>
  </w:num>
  <w:num w:numId="3" w16cid:durableId="608851994">
    <w:abstractNumId w:val="20"/>
  </w:num>
  <w:num w:numId="4" w16cid:durableId="326400737">
    <w:abstractNumId w:val="10"/>
  </w:num>
  <w:num w:numId="5" w16cid:durableId="324551089">
    <w:abstractNumId w:val="13"/>
  </w:num>
  <w:num w:numId="6" w16cid:durableId="520750693">
    <w:abstractNumId w:val="8"/>
  </w:num>
  <w:num w:numId="7" w16cid:durableId="707874633">
    <w:abstractNumId w:val="3"/>
  </w:num>
  <w:num w:numId="8" w16cid:durableId="1366757526">
    <w:abstractNumId w:val="11"/>
  </w:num>
  <w:num w:numId="9" w16cid:durableId="131216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8959565">
    <w:abstractNumId w:val="11"/>
  </w:num>
  <w:num w:numId="11" w16cid:durableId="262303726">
    <w:abstractNumId w:val="1"/>
  </w:num>
  <w:num w:numId="12" w16cid:durableId="1428161697">
    <w:abstractNumId w:val="15"/>
  </w:num>
  <w:num w:numId="13" w16cid:durableId="1120417939">
    <w:abstractNumId w:val="2"/>
  </w:num>
  <w:num w:numId="14" w16cid:durableId="762727929">
    <w:abstractNumId w:val="16"/>
  </w:num>
  <w:num w:numId="15" w16cid:durableId="1802337950">
    <w:abstractNumId w:val="9"/>
  </w:num>
  <w:num w:numId="16" w16cid:durableId="1421486901">
    <w:abstractNumId w:val="0"/>
  </w:num>
  <w:num w:numId="17" w16cid:durableId="1319925004">
    <w:abstractNumId w:val="12"/>
  </w:num>
  <w:num w:numId="18" w16cid:durableId="991180594">
    <w:abstractNumId w:val="7"/>
  </w:num>
  <w:num w:numId="19" w16cid:durableId="425882389">
    <w:abstractNumId w:val="24"/>
  </w:num>
  <w:num w:numId="20" w16cid:durableId="490408991">
    <w:abstractNumId w:val="21"/>
  </w:num>
  <w:num w:numId="21" w16cid:durableId="1399866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1533089">
    <w:abstractNumId w:val="4"/>
  </w:num>
  <w:num w:numId="23" w16cid:durableId="1431508762">
    <w:abstractNumId w:val="17"/>
  </w:num>
  <w:num w:numId="24" w16cid:durableId="1449660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580624">
    <w:abstractNumId w:val="5"/>
  </w:num>
  <w:num w:numId="26" w16cid:durableId="1219590104">
    <w:abstractNumId w:val="23"/>
  </w:num>
  <w:num w:numId="27" w16cid:durableId="1325161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1585135">
    <w:abstractNumId w:val="22"/>
  </w:num>
  <w:num w:numId="29" w16cid:durableId="6449709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0D68"/>
    <w:rsid w:val="00002120"/>
    <w:rsid w:val="00003D3A"/>
    <w:rsid w:val="000070BB"/>
    <w:rsid w:val="000077C9"/>
    <w:rsid w:val="0000781C"/>
    <w:rsid w:val="000163DA"/>
    <w:rsid w:val="00017E50"/>
    <w:rsid w:val="00020923"/>
    <w:rsid w:val="0002119C"/>
    <w:rsid w:val="00021289"/>
    <w:rsid w:val="000215DC"/>
    <w:rsid w:val="00024376"/>
    <w:rsid w:val="000243FF"/>
    <w:rsid w:val="000253FE"/>
    <w:rsid w:val="00026FE6"/>
    <w:rsid w:val="000305EC"/>
    <w:rsid w:val="00030D8E"/>
    <w:rsid w:val="0003134B"/>
    <w:rsid w:val="00032D2F"/>
    <w:rsid w:val="00033472"/>
    <w:rsid w:val="0003440B"/>
    <w:rsid w:val="000401FC"/>
    <w:rsid w:val="000419DF"/>
    <w:rsid w:val="00041D79"/>
    <w:rsid w:val="00041FAF"/>
    <w:rsid w:val="00045FC1"/>
    <w:rsid w:val="00046A6F"/>
    <w:rsid w:val="00052CB8"/>
    <w:rsid w:val="000603CD"/>
    <w:rsid w:val="00060C42"/>
    <w:rsid w:val="0006703F"/>
    <w:rsid w:val="00077010"/>
    <w:rsid w:val="00082F34"/>
    <w:rsid w:val="00084A3E"/>
    <w:rsid w:val="00087331"/>
    <w:rsid w:val="000948D5"/>
    <w:rsid w:val="000951D7"/>
    <w:rsid w:val="000A1056"/>
    <w:rsid w:val="000B1530"/>
    <w:rsid w:val="000B4113"/>
    <w:rsid w:val="000B632C"/>
    <w:rsid w:val="000B6A84"/>
    <w:rsid w:val="000B7C60"/>
    <w:rsid w:val="000C132A"/>
    <w:rsid w:val="000C463A"/>
    <w:rsid w:val="000C5577"/>
    <w:rsid w:val="000C6F1E"/>
    <w:rsid w:val="000D2BE7"/>
    <w:rsid w:val="000D4137"/>
    <w:rsid w:val="000D5651"/>
    <w:rsid w:val="000D5862"/>
    <w:rsid w:val="000D67F2"/>
    <w:rsid w:val="000D6E3B"/>
    <w:rsid w:val="000D7201"/>
    <w:rsid w:val="000E0D8E"/>
    <w:rsid w:val="000E20E2"/>
    <w:rsid w:val="000E369C"/>
    <w:rsid w:val="000E3FB9"/>
    <w:rsid w:val="000E6CBC"/>
    <w:rsid w:val="000F67B0"/>
    <w:rsid w:val="00100E9E"/>
    <w:rsid w:val="001012A1"/>
    <w:rsid w:val="00101685"/>
    <w:rsid w:val="00103911"/>
    <w:rsid w:val="001070A6"/>
    <w:rsid w:val="001125C1"/>
    <w:rsid w:val="00115D8F"/>
    <w:rsid w:val="001204F5"/>
    <w:rsid w:val="001214C9"/>
    <w:rsid w:val="00121936"/>
    <w:rsid w:val="00122351"/>
    <w:rsid w:val="00123B5A"/>
    <w:rsid w:val="00124EEC"/>
    <w:rsid w:val="001316D4"/>
    <w:rsid w:val="00140EC3"/>
    <w:rsid w:val="001439B6"/>
    <w:rsid w:val="001474AE"/>
    <w:rsid w:val="00151572"/>
    <w:rsid w:val="00151FF1"/>
    <w:rsid w:val="00153D98"/>
    <w:rsid w:val="0015432B"/>
    <w:rsid w:val="001545C5"/>
    <w:rsid w:val="00155C61"/>
    <w:rsid w:val="00155C7D"/>
    <w:rsid w:val="0016033A"/>
    <w:rsid w:val="0016121B"/>
    <w:rsid w:val="00161F97"/>
    <w:rsid w:val="0016350D"/>
    <w:rsid w:val="00163FA0"/>
    <w:rsid w:val="00167353"/>
    <w:rsid w:val="001729A8"/>
    <w:rsid w:val="00173010"/>
    <w:rsid w:val="00173875"/>
    <w:rsid w:val="00176C66"/>
    <w:rsid w:val="00176CAA"/>
    <w:rsid w:val="00181947"/>
    <w:rsid w:val="00181B0B"/>
    <w:rsid w:val="00182FA1"/>
    <w:rsid w:val="00184824"/>
    <w:rsid w:val="00184C5D"/>
    <w:rsid w:val="0019411E"/>
    <w:rsid w:val="00194368"/>
    <w:rsid w:val="00195547"/>
    <w:rsid w:val="001A0522"/>
    <w:rsid w:val="001A34FC"/>
    <w:rsid w:val="001A3669"/>
    <w:rsid w:val="001A4AE0"/>
    <w:rsid w:val="001A5C6E"/>
    <w:rsid w:val="001A65F3"/>
    <w:rsid w:val="001B2B36"/>
    <w:rsid w:val="001B6449"/>
    <w:rsid w:val="001C1476"/>
    <w:rsid w:val="001C4686"/>
    <w:rsid w:val="001C652F"/>
    <w:rsid w:val="001C6EBD"/>
    <w:rsid w:val="001C768E"/>
    <w:rsid w:val="001C7AB3"/>
    <w:rsid w:val="001C7ED5"/>
    <w:rsid w:val="001D2931"/>
    <w:rsid w:val="001D450C"/>
    <w:rsid w:val="001E0E90"/>
    <w:rsid w:val="001E2027"/>
    <w:rsid w:val="001F1893"/>
    <w:rsid w:val="001F28D6"/>
    <w:rsid w:val="001F355D"/>
    <w:rsid w:val="001F5C68"/>
    <w:rsid w:val="00200775"/>
    <w:rsid w:val="00203971"/>
    <w:rsid w:val="002065D8"/>
    <w:rsid w:val="002074F6"/>
    <w:rsid w:val="00210223"/>
    <w:rsid w:val="002164B1"/>
    <w:rsid w:val="00223ADB"/>
    <w:rsid w:val="0022492A"/>
    <w:rsid w:val="00224F04"/>
    <w:rsid w:val="00225B2B"/>
    <w:rsid w:val="00225DA1"/>
    <w:rsid w:val="002260E9"/>
    <w:rsid w:val="00230508"/>
    <w:rsid w:val="00230E0F"/>
    <w:rsid w:val="002346E2"/>
    <w:rsid w:val="002353DD"/>
    <w:rsid w:val="00236383"/>
    <w:rsid w:val="0023677A"/>
    <w:rsid w:val="00236AB6"/>
    <w:rsid w:val="00242DB4"/>
    <w:rsid w:val="002436BD"/>
    <w:rsid w:val="00244101"/>
    <w:rsid w:val="00244FDE"/>
    <w:rsid w:val="00246234"/>
    <w:rsid w:val="00246723"/>
    <w:rsid w:val="00246D8E"/>
    <w:rsid w:val="002472E4"/>
    <w:rsid w:val="002510AD"/>
    <w:rsid w:val="00251253"/>
    <w:rsid w:val="0025217D"/>
    <w:rsid w:val="0025526F"/>
    <w:rsid w:val="00257D9F"/>
    <w:rsid w:val="00260347"/>
    <w:rsid w:val="00264496"/>
    <w:rsid w:val="0026634D"/>
    <w:rsid w:val="002717A9"/>
    <w:rsid w:val="002718E3"/>
    <w:rsid w:val="00272ED9"/>
    <w:rsid w:val="00274A69"/>
    <w:rsid w:val="00277866"/>
    <w:rsid w:val="00281CAE"/>
    <w:rsid w:val="00287FDE"/>
    <w:rsid w:val="00293739"/>
    <w:rsid w:val="00297A92"/>
    <w:rsid w:val="002A26F0"/>
    <w:rsid w:val="002A3603"/>
    <w:rsid w:val="002A66B3"/>
    <w:rsid w:val="002A7346"/>
    <w:rsid w:val="002A73BD"/>
    <w:rsid w:val="002B14C3"/>
    <w:rsid w:val="002B19D6"/>
    <w:rsid w:val="002B22B2"/>
    <w:rsid w:val="002B2EBD"/>
    <w:rsid w:val="002B4366"/>
    <w:rsid w:val="002B4F91"/>
    <w:rsid w:val="002B6263"/>
    <w:rsid w:val="002B7363"/>
    <w:rsid w:val="002C2503"/>
    <w:rsid w:val="002C322D"/>
    <w:rsid w:val="002C6653"/>
    <w:rsid w:val="002D2F9E"/>
    <w:rsid w:val="002D5FDB"/>
    <w:rsid w:val="002E0198"/>
    <w:rsid w:val="002F1D23"/>
    <w:rsid w:val="002F41A8"/>
    <w:rsid w:val="00302E64"/>
    <w:rsid w:val="0030324A"/>
    <w:rsid w:val="0030341C"/>
    <w:rsid w:val="0030506B"/>
    <w:rsid w:val="00306B75"/>
    <w:rsid w:val="00306C0F"/>
    <w:rsid w:val="0031077C"/>
    <w:rsid w:val="003116CA"/>
    <w:rsid w:val="003136B2"/>
    <w:rsid w:val="00317EFB"/>
    <w:rsid w:val="00322996"/>
    <w:rsid w:val="00331B77"/>
    <w:rsid w:val="00334602"/>
    <w:rsid w:val="00334842"/>
    <w:rsid w:val="00334DD1"/>
    <w:rsid w:val="003370CF"/>
    <w:rsid w:val="00340D2E"/>
    <w:rsid w:val="00341986"/>
    <w:rsid w:val="00343AE9"/>
    <w:rsid w:val="00344933"/>
    <w:rsid w:val="003449C6"/>
    <w:rsid w:val="0034639B"/>
    <w:rsid w:val="003476CB"/>
    <w:rsid w:val="00354CB8"/>
    <w:rsid w:val="003555F5"/>
    <w:rsid w:val="00355A9B"/>
    <w:rsid w:val="00360F60"/>
    <w:rsid w:val="0037326B"/>
    <w:rsid w:val="003747D3"/>
    <w:rsid w:val="00374FCE"/>
    <w:rsid w:val="003811BB"/>
    <w:rsid w:val="00381AC2"/>
    <w:rsid w:val="0038380C"/>
    <w:rsid w:val="00385C47"/>
    <w:rsid w:val="003863A2"/>
    <w:rsid w:val="003866AD"/>
    <w:rsid w:val="003B12B6"/>
    <w:rsid w:val="003B385B"/>
    <w:rsid w:val="003B3CF0"/>
    <w:rsid w:val="003B4D6D"/>
    <w:rsid w:val="003B7B3F"/>
    <w:rsid w:val="003C600C"/>
    <w:rsid w:val="003C6251"/>
    <w:rsid w:val="003D5032"/>
    <w:rsid w:val="003D67ED"/>
    <w:rsid w:val="003D77F1"/>
    <w:rsid w:val="003E1985"/>
    <w:rsid w:val="003E22BA"/>
    <w:rsid w:val="003E4D3A"/>
    <w:rsid w:val="003E6EDD"/>
    <w:rsid w:val="003F0930"/>
    <w:rsid w:val="003F19BA"/>
    <w:rsid w:val="003F5A8B"/>
    <w:rsid w:val="003F6A95"/>
    <w:rsid w:val="003F6F5E"/>
    <w:rsid w:val="0040175E"/>
    <w:rsid w:val="00406A52"/>
    <w:rsid w:val="00406E3D"/>
    <w:rsid w:val="004110B6"/>
    <w:rsid w:val="00412C79"/>
    <w:rsid w:val="00415E6F"/>
    <w:rsid w:val="00422164"/>
    <w:rsid w:val="00422B75"/>
    <w:rsid w:val="00424C8C"/>
    <w:rsid w:val="004262B9"/>
    <w:rsid w:val="00430342"/>
    <w:rsid w:val="00432F20"/>
    <w:rsid w:val="00443A02"/>
    <w:rsid w:val="00444980"/>
    <w:rsid w:val="004458EB"/>
    <w:rsid w:val="004474D7"/>
    <w:rsid w:val="00450F39"/>
    <w:rsid w:val="00452784"/>
    <w:rsid w:val="00454AB4"/>
    <w:rsid w:val="0045565C"/>
    <w:rsid w:val="00457C57"/>
    <w:rsid w:val="004612EE"/>
    <w:rsid w:val="00462C7E"/>
    <w:rsid w:val="004630F3"/>
    <w:rsid w:val="00464220"/>
    <w:rsid w:val="004670AB"/>
    <w:rsid w:val="00470375"/>
    <w:rsid w:val="00475042"/>
    <w:rsid w:val="00481543"/>
    <w:rsid w:val="00487A61"/>
    <w:rsid w:val="00487EFF"/>
    <w:rsid w:val="00492A3F"/>
    <w:rsid w:val="004A0256"/>
    <w:rsid w:val="004A0949"/>
    <w:rsid w:val="004A27A2"/>
    <w:rsid w:val="004B762D"/>
    <w:rsid w:val="004C0AA9"/>
    <w:rsid w:val="004C2DF7"/>
    <w:rsid w:val="004C3512"/>
    <w:rsid w:val="004C3D07"/>
    <w:rsid w:val="004C48D5"/>
    <w:rsid w:val="004C6CCA"/>
    <w:rsid w:val="004D4579"/>
    <w:rsid w:val="004D51FA"/>
    <w:rsid w:val="004D55F9"/>
    <w:rsid w:val="004E0023"/>
    <w:rsid w:val="004E167B"/>
    <w:rsid w:val="004E2008"/>
    <w:rsid w:val="004E7E37"/>
    <w:rsid w:val="004F461B"/>
    <w:rsid w:val="00506F04"/>
    <w:rsid w:val="005231EC"/>
    <w:rsid w:val="00527BF9"/>
    <w:rsid w:val="00530C96"/>
    <w:rsid w:val="0054202F"/>
    <w:rsid w:val="005424D0"/>
    <w:rsid w:val="005505E5"/>
    <w:rsid w:val="00550E24"/>
    <w:rsid w:val="00554071"/>
    <w:rsid w:val="00556C43"/>
    <w:rsid w:val="0056141D"/>
    <w:rsid w:val="00561AA4"/>
    <w:rsid w:val="00563DEC"/>
    <w:rsid w:val="005646CC"/>
    <w:rsid w:val="00564B46"/>
    <w:rsid w:val="00566026"/>
    <w:rsid w:val="0056779E"/>
    <w:rsid w:val="00571FE0"/>
    <w:rsid w:val="005739A3"/>
    <w:rsid w:val="005774C2"/>
    <w:rsid w:val="00577BE2"/>
    <w:rsid w:val="0058163B"/>
    <w:rsid w:val="0058338D"/>
    <w:rsid w:val="005837F8"/>
    <w:rsid w:val="00585AAA"/>
    <w:rsid w:val="005865C9"/>
    <w:rsid w:val="00590D84"/>
    <w:rsid w:val="005925D1"/>
    <w:rsid w:val="00592EC5"/>
    <w:rsid w:val="00593611"/>
    <w:rsid w:val="00596D2F"/>
    <w:rsid w:val="005A7F3E"/>
    <w:rsid w:val="005B2AA2"/>
    <w:rsid w:val="005B616F"/>
    <w:rsid w:val="005B6265"/>
    <w:rsid w:val="005B6FFA"/>
    <w:rsid w:val="005C087B"/>
    <w:rsid w:val="005C31E5"/>
    <w:rsid w:val="005D07DC"/>
    <w:rsid w:val="005D57D5"/>
    <w:rsid w:val="005D6A67"/>
    <w:rsid w:val="005E0B5F"/>
    <w:rsid w:val="005E1A05"/>
    <w:rsid w:val="005E3EC1"/>
    <w:rsid w:val="005E4984"/>
    <w:rsid w:val="005E4F25"/>
    <w:rsid w:val="005E5000"/>
    <w:rsid w:val="005E5910"/>
    <w:rsid w:val="005E594E"/>
    <w:rsid w:val="005E5C3B"/>
    <w:rsid w:val="005F13AB"/>
    <w:rsid w:val="005F1EA0"/>
    <w:rsid w:val="005F1FCB"/>
    <w:rsid w:val="005F5F48"/>
    <w:rsid w:val="00607931"/>
    <w:rsid w:val="00611BE6"/>
    <w:rsid w:val="00613CBF"/>
    <w:rsid w:val="006147E5"/>
    <w:rsid w:val="00616A26"/>
    <w:rsid w:val="00617C81"/>
    <w:rsid w:val="00622480"/>
    <w:rsid w:val="00623DEC"/>
    <w:rsid w:val="00625C6F"/>
    <w:rsid w:val="0062665C"/>
    <w:rsid w:val="006315F1"/>
    <w:rsid w:val="00631A18"/>
    <w:rsid w:val="00637E3B"/>
    <w:rsid w:val="00642E13"/>
    <w:rsid w:val="00647D58"/>
    <w:rsid w:val="006510B4"/>
    <w:rsid w:val="006511D9"/>
    <w:rsid w:val="00653754"/>
    <w:rsid w:val="006540A3"/>
    <w:rsid w:val="00657678"/>
    <w:rsid w:val="00657991"/>
    <w:rsid w:val="00660970"/>
    <w:rsid w:val="00663606"/>
    <w:rsid w:val="00664EB8"/>
    <w:rsid w:val="00665036"/>
    <w:rsid w:val="00666C87"/>
    <w:rsid w:val="0066734B"/>
    <w:rsid w:val="006739DC"/>
    <w:rsid w:val="006822BE"/>
    <w:rsid w:val="00682504"/>
    <w:rsid w:val="00682865"/>
    <w:rsid w:val="0068499E"/>
    <w:rsid w:val="00684F73"/>
    <w:rsid w:val="006858A7"/>
    <w:rsid w:val="00686360"/>
    <w:rsid w:val="00691752"/>
    <w:rsid w:val="00692825"/>
    <w:rsid w:val="00694691"/>
    <w:rsid w:val="0069643C"/>
    <w:rsid w:val="00697007"/>
    <w:rsid w:val="00697DCA"/>
    <w:rsid w:val="006A204D"/>
    <w:rsid w:val="006A2052"/>
    <w:rsid w:val="006A2D46"/>
    <w:rsid w:val="006A307C"/>
    <w:rsid w:val="006A31B7"/>
    <w:rsid w:val="006A3972"/>
    <w:rsid w:val="006A6497"/>
    <w:rsid w:val="006B093F"/>
    <w:rsid w:val="006B1C10"/>
    <w:rsid w:val="006B1CCB"/>
    <w:rsid w:val="006B2C74"/>
    <w:rsid w:val="006B7141"/>
    <w:rsid w:val="006C051B"/>
    <w:rsid w:val="006D0EF5"/>
    <w:rsid w:val="006D3918"/>
    <w:rsid w:val="006D6E8D"/>
    <w:rsid w:val="006E1027"/>
    <w:rsid w:val="006E3CEA"/>
    <w:rsid w:val="006E6EDA"/>
    <w:rsid w:val="006E7B0D"/>
    <w:rsid w:val="006F74E9"/>
    <w:rsid w:val="00700FA0"/>
    <w:rsid w:val="00701649"/>
    <w:rsid w:val="00701BB7"/>
    <w:rsid w:val="007031F4"/>
    <w:rsid w:val="007049CF"/>
    <w:rsid w:val="00707E47"/>
    <w:rsid w:val="00711543"/>
    <w:rsid w:val="00712117"/>
    <w:rsid w:val="007136CC"/>
    <w:rsid w:val="007177EC"/>
    <w:rsid w:val="00720E0B"/>
    <w:rsid w:val="00720FEF"/>
    <w:rsid w:val="00722EBF"/>
    <w:rsid w:val="00724522"/>
    <w:rsid w:val="00725FBD"/>
    <w:rsid w:val="00727749"/>
    <w:rsid w:val="00734AD9"/>
    <w:rsid w:val="0073684B"/>
    <w:rsid w:val="007368AD"/>
    <w:rsid w:val="00736FE2"/>
    <w:rsid w:val="00740770"/>
    <w:rsid w:val="00741999"/>
    <w:rsid w:val="007428D4"/>
    <w:rsid w:val="007470AC"/>
    <w:rsid w:val="00747A74"/>
    <w:rsid w:val="00747AFF"/>
    <w:rsid w:val="00750069"/>
    <w:rsid w:val="007518EF"/>
    <w:rsid w:val="0075455C"/>
    <w:rsid w:val="007548D7"/>
    <w:rsid w:val="00756692"/>
    <w:rsid w:val="007624D6"/>
    <w:rsid w:val="00774569"/>
    <w:rsid w:val="00774922"/>
    <w:rsid w:val="00781001"/>
    <w:rsid w:val="007815EA"/>
    <w:rsid w:val="007854D5"/>
    <w:rsid w:val="00785CDC"/>
    <w:rsid w:val="0079048A"/>
    <w:rsid w:val="007923AC"/>
    <w:rsid w:val="00793288"/>
    <w:rsid w:val="00795B00"/>
    <w:rsid w:val="00796561"/>
    <w:rsid w:val="00797A43"/>
    <w:rsid w:val="007A12E3"/>
    <w:rsid w:val="007A16FA"/>
    <w:rsid w:val="007A7EC2"/>
    <w:rsid w:val="007B1386"/>
    <w:rsid w:val="007C0929"/>
    <w:rsid w:val="007C1467"/>
    <w:rsid w:val="007C65E9"/>
    <w:rsid w:val="007D0D50"/>
    <w:rsid w:val="007D0DC1"/>
    <w:rsid w:val="007D436D"/>
    <w:rsid w:val="007D54D3"/>
    <w:rsid w:val="007D73AA"/>
    <w:rsid w:val="007E260A"/>
    <w:rsid w:val="007E2E21"/>
    <w:rsid w:val="007E3847"/>
    <w:rsid w:val="007E4B2A"/>
    <w:rsid w:val="007E6B0E"/>
    <w:rsid w:val="007F1087"/>
    <w:rsid w:val="007F1549"/>
    <w:rsid w:val="007F2437"/>
    <w:rsid w:val="007F352B"/>
    <w:rsid w:val="007F3864"/>
    <w:rsid w:val="00801182"/>
    <w:rsid w:val="008013BB"/>
    <w:rsid w:val="00802CE3"/>
    <w:rsid w:val="00810661"/>
    <w:rsid w:val="00812229"/>
    <w:rsid w:val="00814176"/>
    <w:rsid w:val="00815A3A"/>
    <w:rsid w:val="00824626"/>
    <w:rsid w:val="00827579"/>
    <w:rsid w:val="00827AD2"/>
    <w:rsid w:val="00830F66"/>
    <w:rsid w:val="008317DC"/>
    <w:rsid w:val="008346CE"/>
    <w:rsid w:val="00836187"/>
    <w:rsid w:val="00841A6F"/>
    <w:rsid w:val="00841ACD"/>
    <w:rsid w:val="00843A5A"/>
    <w:rsid w:val="00846C8F"/>
    <w:rsid w:val="00851AAA"/>
    <w:rsid w:val="0085295B"/>
    <w:rsid w:val="00853BA6"/>
    <w:rsid w:val="008604B2"/>
    <w:rsid w:val="00863F15"/>
    <w:rsid w:val="00867F26"/>
    <w:rsid w:val="008744AE"/>
    <w:rsid w:val="00876BA0"/>
    <w:rsid w:val="00881873"/>
    <w:rsid w:val="00885F41"/>
    <w:rsid w:val="00891B09"/>
    <w:rsid w:val="00892F2E"/>
    <w:rsid w:val="008958DE"/>
    <w:rsid w:val="00896F90"/>
    <w:rsid w:val="00897D62"/>
    <w:rsid w:val="008A16E2"/>
    <w:rsid w:val="008A3C0F"/>
    <w:rsid w:val="008A3FAD"/>
    <w:rsid w:val="008A6BD9"/>
    <w:rsid w:val="008B5649"/>
    <w:rsid w:val="008C02E3"/>
    <w:rsid w:val="008C0C2E"/>
    <w:rsid w:val="008C3AE5"/>
    <w:rsid w:val="008C63CA"/>
    <w:rsid w:val="008C7C30"/>
    <w:rsid w:val="008C7C92"/>
    <w:rsid w:val="008D367D"/>
    <w:rsid w:val="008D41FF"/>
    <w:rsid w:val="008D553D"/>
    <w:rsid w:val="008D6619"/>
    <w:rsid w:val="008E033E"/>
    <w:rsid w:val="008E767D"/>
    <w:rsid w:val="008E7D3E"/>
    <w:rsid w:val="008F1200"/>
    <w:rsid w:val="008F6D6E"/>
    <w:rsid w:val="008F6F15"/>
    <w:rsid w:val="008F738B"/>
    <w:rsid w:val="008F78A6"/>
    <w:rsid w:val="00905954"/>
    <w:rsid w:val="009113C8"/>
    <w:rsid w:val="00914714"/>
    <w:rsid w:val="00922E88"/>
    <w:rsid w:val="00923B91"/>
    <w:rsid w:val="009265F8"/>
    <w:rsid w:val="00927091"/>
    <w:rsid w:val="00927539"/>
    <w:rsid w:val="009278BD"/>
    <w:rsid w:val="00930D02"/>
    <w:rsid w:val="009320B7"/>
    <w:rsid w:val="00932A8E"/>
    <w:rsid w:val="00932EFA"/>
    <w:rsid w:val="00935C58"/>
    <w:rsid w:val="00946D2A"/>
    <w:rsid w:val="00950E48"/>
    <w:rsid w:val="009566F2"/>
    <w:rsid w:val="00957291"/>
    <w:rsid w:val="009669EA"/>
    <w:rsid w:val="00967D16"/>
    <w:rsid w:val="00970F2F"/>
    <w:rsid w:val="0097352F"/>
    <w:rsid w:val="00981D84"/>
    <w:rsid w:val="00985082"/>
    <w:rsid w:val="009918FF"/>
    <w:rsid w:val="009927BF"/>
    <w:rsid w:val="00995B88"/>
    <w:rsid w:val="0099752A"/>
    <w:rsid w:val="009A1B0F"/>
    <w:rsid w:val="009A1F01"/>
    <w:rsid w:val="009A2C39"/>
    <w:rsid w:val="009B35A0"/>
    <w:rsid w:val="009C0CF5"/>
    <w:rsid w:val="009C158E"/>
    <w:rsid w:val="009C1DC7"/>
    <w:rsid w:val="009C20F3"/>
    <w:rsid w:val="009C455A"/>
    <w:rsid w:val="009C5368"/>
    <w:rsid w:val="009C5A29"/>
    <w:rsid w:val="009C60CE"/>
    <w:rsid w:val="009D0B2C"/>
    <w:rsid w:val="009D2E63"/>
    <w:rsid w:val="009D55CC"/>
    <w:rsid w:val="009D7882"/>
    <w:rsid w:val="009E0B92"/>
    <w:rsid w:val="009E4125"/>
    <w:rsid w:val="009E5FC9"/>
    <w:rsid w:val="009F3590"/>
    <w:rsid w:val="00A00614"/>
    <w:rsid w:val="00A0675B"/>
    <w:rsid w:val="00A13D3C"/>
    <w:rsid w:val="00A1470D"/>
    <w:rsid w:val="00A14B46"/>
    <w:rsid w:val="00A16420"/>
    <w:rsid w:val="00A21711"/>
    <w:rsid w:val="00A22864"/>
    <w:rsid w:val="00A23CAE"/>
    <w:rsid w:val="00A25ED5"/>
    <w:rsid w:val="00A2653D"/>
    <w:rsid w:val="00A279AF"/>
    <w:rsid w:val="00A32010"/>
    <w:rsid w:val="00A334AA"/>
    <w:rsid w:val="00A338DC"/>
    <w:rsid w:val="00A341AD"/>
    <w:rsid w:val="00A36248"/>
    <w:rsid w:val="00A40BF6"/>
    <w:rsid w:val="00A40DBF"/>
    <w:rsid w:val="00A4133B"/>
    <w:rsid w:val="00A4426E"/>
    <w:rsid w:val="00A44733"/>
    <w:rsid w:val="00A46ADB"/>
    <w:rsid w:val="00A4704C"/>
    <w:rsid w:val="00A52337"/>
    <w:rsid w:val="00A573C7"/>
    <w:rsid w:val="00A60F2A"/>
    <w:rsid w:val="00A60F6D"/>
    <w:rsid w:val="00A6296B"/>
    <w:rsid w:val="00A6325C"/>
    <w:rsid w:val="00A63A2B"/>
    <w:rsid w:val="00A65309"/>
    <w:rsid w:val="00A707FD"/>
    <w:rsid w:val="00A713FA"/>
    <w:rsid w:val="00A71EDF"/>
    <w:rsid w:val="00A816E2"/>
    <w:rsid w:val="00A824C6"/>
    <w:rsid w:val="00A838D7"/>
    <w:rsid w:val="00A83F47"/>
    <w:rsid w:val="00A84101"/>
    <w:rsid w:val="00A84C3C"/>
    <w:rsid w:val="00A871FD"/>
    <w:rsid w:val="00A9040D"/>
    <w:rsid w:val="00A91DB5"/>
    <w:rsid w:val="00A93428"/>
    <w:rsid w:val="00A94110"/>
    <w:rsid w:val="00A97698"/>
    <w:rsid w:val="00AA0B3F"/>
    <w:rsid w:val="00AA1C32"/>
    <w:rsid w:val="00AA27D4"/>
    <w:rsid w:val="00AA530F"/>
    <w:rsid w:val="00AA5824"/>
    <w:rsid w:val="00AA58BE"/>
    <w:rsid w:val="00AA6ED5"/>
    <w:rsid w:val="00AB3496"/>
    <w:rsid w:val="00AB5E30"/>
    <w:rsid w:val="00AB677C"/>
    <w:rsid w:val="00AC07DF"/>
    <w:rsid w:val="00AC2517"/>
    <w:rsid w:val="00AC4DF1"/>
    <w:rsid w:val="00AC4ECD"/>
    <w:rsid w:val="00AC61D6"/>
    <w:rsid w:val="00AC7A56"/>
    <w:rsid w:val="00AD4286"/>
    <w:rsid w:val="00AD5CD0"/>
    <w:rsid w:val="00AD6C1E"/>
    <w:rsid w:val="00AE0C0C"/>
    <w:rsid w:val="00AE1840"/>
    <w:rsid w:val="00AE4B9E"/>
    <w:rsid w:val="00AF5FB2"/>
    <w:rsid w:val="00B04B20"/>
    <w:rsid w:val="00B04F8D"/>
    <w:rsid w:val="00B117DF"/>
    <w:rsid w:val="00B132E1"/>
    <w:rsid w:val="00B14899"/>
    <w:rsid w:val="00B16685"/>
    <w:rsid w:val="00B166D9"/>
    <w:rsid w:val="00B16B16"/>
    <w:rsid w:val="00B16DB2"/>
    <w:rsid w:val="00B20206"/>
    <w:rsid w:val="00B219DF"/>
    <w:rsid w:val="00B23BC0"/>
    <w:rsid w:val="00B2458C"/>
    <w:rsid w:val="00B25148"/>
    <w:rsid w:val="00B3289E"/>
    <w:rsid w:val="00B3708F"/>
    <w:rsid w:val="00B40821"/>
    <w:rsid w:val="00B40AD8"/>
    <w:rsid w:val="00B46CAC"/>
    <w:rsid w:val="00B50C2A"/>
    <w:rsid w:val="00B50C35"/>
    <w:rsid w:val="00B50DEF"/>
    <w:rsid w:val="00B52ACD"/>
    <w:rsid w:val="00B53143"/>
    <w:rsid w:val="00B53BF2"/>
    <w:rsid w:val="00B62417"/>
    <w:rsid w:val="00B64B2E"/>
    <w:rsid w:val="00B66C55"/>
    <w:rsid w:val="00B7057F"/>
    <w:rsid w:val="00B70F11"/>
    <w:rsid w:val="00B72D6A"/>
    <w:rsid w:val="00B72FF0"/>
    <w:rsid w:val="00B76505"/>
    <w:rsid w:val="00B841F1"/>
    <w:rsid w:val="00B85B6E"/>
    <w:rsid w:val="00B86354"/>
    <w:rsid w:val="00B902CA"/>
    <w:rsid w:val="00B93FA3"/>
    <w:rsid w:val="00B942D7"/>
    <w:rsid w:val="00BA067F"/>
    <w:rsid w:val="00BA6260"/>
    <w:rsid w:val="00BB0754"/>
    <w:rsid w:val="00BB1678"/>
    <w:rsid w:val="00BB37AD"/>
    <w:rsid w:val="00BB50E7"/>
    <w:rsid w:val="00BC0CE7"/>
    <w:rsid w:val="00BC2F49"/>
    <w:rsid w:val="00BC396B"/>
    <w:rsid w:val="00BC57D9"/>
    <w:rsid w:val="00BD2728"/>
    <w:rsid w:val="00BE0C47"/>
    <w:rsid w:val="00BE25E6"/>
    <w:rsid w:val="00BF107A"/>
    <w:rsid w:val="00BF11CA"/>
    <w:rsid w:val="00BF1B43"/>
    <w:rsid w:val="00BF2953"/>
    <w:rsid w:val="00BF2F59"/>
    <w:rsid w:val="00BF35B8"/>
    <w:rsid w:val="00C021D8"/>
    <w:rsid w:val="00C04468"/>
    <w:rsid w:val="00C109AD"/>
    <w:rsid w:val="00C1226A"/>
    <w:rsid w:val="00C148E1"/>
    <w:rsid w:val="00C16C41"/>
    <w:rsid w:val="00C20BCA"/>
    <w:rsid w:val="00C302FA"/>
    <w:rsid w:val="00C30E88"/>
    <w:rsid w:val="00C40731"/>
    <w:rsid w:val="00C47238"/>
    <w:rsid w:val="00C53E79"/>
    <w:rsid w:val="00C61AFD"/>
    <w:rsid w:val="00C63563"/>
    <w:rsid w:val="00C6386B"/>
    <w:rsid w:val="00C66FA7"/>
    <w:rsid w:val="00C70D68"/>
    <w:rsid w:val="00C70E5C"/>
    <w:rsid w:val="00C75E72"/>
    <w:rsid w:val="00C8253A"/>
    <w:rsid w:val="00C91041"/>
    <w:rsid w:val="00C91252"/>
    <w:rsid w:val="00C94088"/>
    <w:rsid w:val="00C948AA"/>
    <w:rsid w:val="00C96F89"/>
    <w:rsid w:val="00C97AB3"/>
    <w:rsid w:val="00CA3C1F"/>
    <w:rsid w:val="00CA59B5"/>
    <w:rsid w:val="00CA6CB3"/>
    <w:rsid w:val="00CA7EF1"/>
    <w:rsid w:val="00CB03B5"/>
    <w:rsid w:val="00CB348B"/>
    <w:rsid w:val="00CB384A"/>
    <w:rsid w:val="00CB7B07"/>
    <w:rsid w:val="00CC40A3"/>
    <w:rsid w:val="00CC45B3"/>
    <w:rsid w:val="00CC4A3B"/>
    <w:rsid w:val="00CD1947"/>
    <w:rsid w:val="00CD432A"/>
    <w:rsid w:val="00CD4E83"/>
    <w:rsid w:val="00CD58F6"/>
    <w:rsid w:val="00CE1BB4"/>
    <w:rsid w:val="00CF1D43"/>
    <w:rsid w:val="00CF7D89"/>
    <w:rsid w:val="00D03A8A"/>
    <w:rsid w:val="00D03AE0"/>
    <w:rsid w:val="00D04798"/>
    <w:rsid w:val="00D055B0"/>
    <w:rsid w:val="00D05FA9"/>
    <w:rsid w:val="00D1077E"/>
    <w:rsid w:val="00D10961"/>
    <w:rsid w:val="00D14060"/>
    <w:rsid w:val="00D1513F"/>
    <w:rsid w:val="00D17ABC"/>
    <w:rsid w:val="00D2173C"/>
    <w:rsid w:val="00D22671"/>
    <w:rsid w:val="00D23130"/>
    <w:rsid w:val="00D249EB"/>
    <w:rsid w:val="00D2697A"/>
    <w:rsid w:val="00D30F96"/>
    <w:rsid w:val="00D34AB4"/>
    <w:rsid w:val="00D40662"/>
    <w:rsid w:val="00D4126D"/>
    <w:rsid w:val="00D413ED"/>
    <w:rsid w:val="00D41B99"/>
    <w:rsid w:val="00D4263D"/>
    <w:rsid w:val="00D42935"/>
    <w:rsid w:val="00D463AB"/>
    <w:rsid w:val="00D464A6"/>
    <w:rsid w:val="00D473DB"/>
    <w:rsid w:val="00D47FF7"/>
    <w:rsid w:val="00D53471"/>
    <w:rsid w:val="00D5666F"/>
    <w:rsid w:val="00D57590"/>
    <w:rsid w:val="00D60A88"/>
    <w:rsid w:val="00D64906"/>
    <w:rsid w:val="00D66255"/>
    <w:rsid w:val="00D670CB"/>
    <w:rsid w:val="00D7709A"/>
    <w:rsid w:val="00D81430"/>
    <w:rsid w:val="00D81CC2"/>
    <w:rsid w:val="00D82FB2"/>
    <w:rsid w:val="00D84478"/>
    <w:rsid w:val="00D84C81"/>
    <w:rsid w:val="00D86E31"/>
    <w:rsid w:val="00D87E36"/>
    <w:rsid w:val="00D918F4"/>
    <w:rsid w:val="00D93654"/>
    <w:rsid w:val="00D95276"/>
    <w:rsid w:val="00D968EE"/>
    <w:rsid w:val="00D9707F"/>
    <w:rsid w:val="00DA2BFD"/>
    <w:rsid w:val="00DA2E72"/>
    <w:rsid w:val="00DA3888"/>
    <w:rsid w:val="00DA4743"/>
    <w:rsid w:val="00DA5474"/>
    <w:rsid w:val="00DA54B4"/>
    <w:rsid w:val="00DB3D3B"/>
    <w:rsid w:val="00DC60BB"/>
    <w:rsid w:val="00DD520D"/>
    <w:rsid w:val="00DE1130"/>
    <w:rsid w:val="00DE6ED3"/>
    <w:rsid w:val="00DF2627"/>
    <w:rsid w:val="00DF2DBF"/>
    <w:rsid w:val="00DF3453"/>
    <w:rsid w:val="00DF3FD2"/>
    <w:rsid w:val="00DF42BC"/>
    <w:rsid w:val="00DF524E"/>
    <w:rsid w:val="00DF6815"/>
    <w:rsid w:val="00DF7339"/>
    <w:rsid w:val="00DF7DA0"/>
    <w:rsid w:val="00E014C5"/>
    <w:rsid w:val="00E0245E"/>
    <w:rsid w:val="00E04428"/>
    <w:rsid w:val="00E051C6"/>
    <w:rsid w:val="00E0553E"/>
    <w:rsid w:val="00E1150C"/>
    <w:rsid w:val="00E15497"/>
    <w:rsid w:val="00E16789"/>
    <w:rsid w:val="00E179FF"/>
    <w:rsid w:val="00E201A8"/>
    <w:rsid w:val="00E22458"/>
    <w:rsid w:val="00E26280"/>
    <w:rsid w:val="00E3026E"/>
    <w:rsid w:val="00E31670"/>
    <w:rsid w:val="00E333F0"/>
    <w:rsid w:val="00E36930"/>
    <w:rsid w:val="00E378A0"/>
    <w:rsid w:val="00E50299"/>
    <w:rsid w:val="00E517C8"/>
    <w:rsid w:val="00E5191A"/>
    <w:rsid w:val="00E52DFE"/>
    <w:rsid w:val="00E532CF"/>
    <w:rsid w:val="00E54D30"/>
    <w:rsid w:val="00E55E04"/>
    <w:rsid w:val="00E56405"/>
    <w:rsid w:val="00E74E53"/>
    <w:rsid w:val="00E754E3"/>
    <w:rsid w:val="00E758B5"/>
    <w:rsid w:val="00E813C2"/>
    <w:rsid w:val="00E81CB3"/>
    <w:rsid w:val="00E83E80"/>
    <w:rsid w:val="00E9017F"/>
    <w:rsid w:val="00E90C89"/>
    <w:rsid w:val="00E90FDD"/>
    <w:rsid w:val="00E91CB2"/>
    <w:rsid w:val="00E93631"/>
    <w:rsid w:val="00E95192"/>
    <w:rsid w:val="00E978ED"/>
    <w:rsid w:val="00EA7309"/>
    <w:rsid w:val="00EA739F"/>
    <w:rsid w:val="00EA770D"/>
    <w:rsid w:val="00EB0038"/>
    <w:rsid w:val="00EB4963"/>
    <w:rsid w:val="00EB4AD8"/>
    <w:rsid w:val="00EC3F82"/>
    <w:rsid w:val="00EC5653"/>
    <w:rsid w:val="00EC5C25"/>
    <w:rsid w:val="00EC70FD"/>
    <w:rsid w:val="00ED234A"/>
    <w:rsid w:val="00ED59AE"/>
    <w:rsid w:val="00ED5DAD"/>
    <w:rsid w:val="00ED6121"/>
    <w:rsid w:val="00ED626A"/>
    <w:rsid w:val="00EE2730"/>
    <w:rsid w:val="00EE2C47"/>
    <w:rsid w:val="00EF1CBC"/>
    <w:rsid w:val="00EF5E30"/>
    <w:rsid w:val="00EF6154"/>
    <w:rsid w:val="00EF64CA"/>
    <w:rsid w:val="00EF6B50"/>
    <w:rsid w:val="00F03722"/>
    <w:rsid w:val="00F04E07"/>
    <w:rsid w:val="00F05681"/>
    <w:rsid w:val="00F0754C"/>
    <w:rsid w:val="00F07CD4"/>
    <w:rsid w:val="00F1133B"/>
    <w:rsid w:val="00F178D5"/>
    <w:rsid w:val="00F20595"/>
    <w:rsid w:val="00F30C81"/>
    <w:rsid w:val="00F3728F"/>
    <w:rsid w:val="00F4183A"/>
    <w:rsid w:val="00F436BC"/>
    <w:rsid w:val="00F4443F"/>
    <w:rsid w:val="00F44A09"/>
    <w:rsid w:val="00F5571A"/>
    <w:rsid w:val="00F5607A"/>
    <w:rsid w:val="00F570B3"/>
    <w:rsid w:val="00F57182"/>
    <w:rsid w:val="00F57F8B"/>
    <w:rsid w:val="00F62B3F"/>
    <w:rsid w:val="00F635D3"/>
    <w:rsid w:val="00F679B3"/>
    <w:rsid w:val="00F71E2F"/>
    <w:rsid w:val="00F73CEF"/>
    <w:rsid w:val="00F763C8"/>
    <w:rsid w:val="00F7706D"/>
    <w:rsid w:val="00F7760A"/>
    <w:rsid w:val="00F814F5"/>
    <w:rsid w:val="00F87C4C"/>
    <w:rsid w:val="00F90CF4"/>
    <w:rsid w:val="00FA0B81"/>
    <w:rsid w:val="00FA37B6"/>
    <w:rsid w:val="00FA5345"/>
    <w:rsid w:val="00FA73DD"/>
    <w:rsid w:val="00FB0521"/>
    <w:rsid w:val="00FC76F2"/>
    <w:rsid w:val="00FD0025"/>
    <w:rsid w:val="00FD0B33"/>
    <w:rsid w:val="00FD5004"/>
    <w:rsid w:val="00FD566F"/>
    <w:rsid w:val="00FD728F"/>
    <w:rsid w:val="00FE0AD2"/>
    <w:rsid w:val="00FE228B"/>
    <w:rsid w:val="00FE2589"/>
    <w:rsid w:val="00FE3E27"/>
    <w:rsid w:val="00FE4001"/>
    <w:rsid w:val="00FE4235"/>
    <w:rsid w:val="00FE6E9D"/>
    <w:rsid w:val="00FF26EF"/>
    <w:rsid w:val="00FF321F"/>
    <w:rsid w:val="00FF4990"/>
    <w:rsid w:val="2923E884"/>
    <w:rsid w:val="381CE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17"/>
    <w:qFormat/>
    <w:rsid w:val="002436BD"/>
    <w:pPr>
      <w:ind w:left="720"/>
    </w:pPr>
  </w:style>
  <w:style w:type="character" w:styleId="CommentReference">
    <w:name w:val="annotation reference"/>
    <w:uiPriority w:val="4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aliases w:val="Char"/>
    <w:basedOn w:val="Normal"/>
    <w:link w:val="FootnoteTextChar"/>
    <w:uiPriority w:val="99"/>
    <w:semiHidden/>
    <w:unhideWhenUsed/>
    <w:rsid w:val="000B6A84"/>
    <w:rPr>
      <w:sz w:val="20"/>
    </w:rPr>
  </w:style>
  <w:style w:type="character" w:customStyle="1" w:styleId="FootnoteTextChar">
    <w:name w:val="Footnote Text Char"/>
    <w:aliases w:val="Char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8C02E3"/>
    <w:rPr>
      <w:color w:val="800080" w:themeColor="followedHyperlink"/>
      <w:u w:val="single"/>
    </w:rPr>
  </w:style>
  <w:style w:type="character" w:styleId="UnresolvedMention">
    <w:name w:val="Unresolved Mention"/>
    <w:basedOn w:val="DefaultParagraphFont"/>
    <w:uiPriority w:val="99"/>
    <w:semiHidden/>
    <w:unhideWhenUsed/>
    <w:rsid w:val="006540A3"/>
    <w:rPr>
      <w:color w:val="605E5C"/>
      <w:shd w:val="clear" w:color="auto" w:fill="E1DFDD"/>
    </w:rPr>
  </w:style>
  <w:style w:type="paragraph" w:styleId="Revision">
    <w:name w:val="Revision"/>
    <w:hidden/>
    <w:uiPriority w:val="99"/>
    <w:semiHidden/>
    <w:rsid w:val="00B132E1"/>
    <w:rPr>
      <w:rFonts w:ascii="Trebuchet MS" w:eastAsia="Times New Roman" w:hAnsi="Trebuchet MS"/>
      <w:sz w:val="22"/>
    </w:rPr>
  </w:style>
  <w:style w:type="paragraph" w:styleId="NormalWeb">
    <w:name w:val="Normal (Web)"/>
    <w:basedOn w:val="Normal"/>
    <w:uiPriority w:val="99"/>
    <w:semiHidden/>
    <w:unhideWhenUsed/>
    <w:rsid w:val="00A838D7"/>
    <w:pPr>
      <w:spacing w:before="100" w:beforeAutospacing="1" w:after="100" w:afterAutospacing="1"/>
    </w:pPr>
    <w:rPr>
      <w:rFonts w:ascii="Times New Roman" w:hAnsi="Times New Roman"/>
      <w:sz w:val="24"/>
      <w:szCs w:val="24"/>
    </w:rPr>
  </w:style>
  <w:style w:type="numbering" w:styleId="1ai">
    <w:name w:val="Outline List 1"/>
    <w:basedOn w:val="NoList"/>
    <w:uiPriority w:val="99"/>
    <w:semiHidden/>
    <w:unhideWhenUsed/>
    <w:rsid w:val="00A838D7"/>
    <w:pPr>
      <w:numPr>
        <w:numId w:val="26"/>
      </w:numPr>
    </w:pPr>
  </w:style>
  <w:style w:type="character" w:styleId="Mention">
    <w:name w:val="Mention"/>
    <w:basedOn w:val="DefaultParagraphFont"/>
    <w:uiPriority w:val="99"/>
    <w:unhideWhenUsed/>
    <w:rsid w:val="00C75E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2718">
      <w:bodyDiv w:val="1"/>
      <w:marLeft w:val="0"/>
      <w:marRight w:val="0"/>
      <w:marTop w:val="0"/>
      <w:marBottom w:val="0"/>
      <w:divBdr>
        <w:top w:val="none" w:sz="0" w:space="0" w:color="auto"/>
        <w:left w:val="none" w:sz="0" w:space="0" w:color="auto"/>
        <w:bottom w:val="none" w:sz="0" w:space="0" w:color="auto"/>
        <w:right w:val="none" w:sz="0" w:space="0" w:color="auto"/>
      </w:divBdr>
    </w:div>
    <w:div w:id="283922957">
      <w:bodyDiv w:val="1"/>
      <w:marLeft w:val="0"/>
      <w:marRight w:val="0"/>
      <w:marTop w:val="0"/>
      <w:marBottom w:val="0"/>
      <w:divBdr>
        <w:top w:val="none" w:sz="0" w:space="0" w:color="auto"/>
        <w:left w:val="none" w:sz="0" w:space="0" w:color="auto"/>
        <w:bottom w:val="none" w:sz="0" w:space="0" w:color="auto"/>
        <w:right w:val="none" w:sz="0" w:space="0" w:color="auto"/>
      </w:divBdr>
    </w:div>
    <w:div w:id="780609569">
      <w:bodyDiv w:val="1"/>
      <w:marLeft w:val="0"/>
      <w:marRight w:val="0"/>
      <w:marTop w:val="0"/>
      <w:marBottom w:val="0"/>
      <w:divBdr>
        <w:top w:val="none" w:sz="0" w:space="0" w:color="auto"/>
        <w:left w:val="none" w:sz="0" w:space="0" w:color="auto"/>
        <w:bottom w:val="none" w:sz="0" w:space="0" w:color="auto"/>
        <w:right w:val="none" w:sz="0" w:space="0" w:color="auto"/>
      </w:divBdr>
    </w:div>
    <w:div w:id="781997571">
      <w:bodyDiv w:val="1"/>
      <w:marLeft w:val="0"/>
      <w:marRight w:val="0"/>
      <w:marTop w:val="0"/>
      <w:marBottom w:val="0"/>
      <w:divBdr>
        <w:top w:val="none" w:sz="0" w:space="0" w:color="auto"/>
        <w:left w:val="none" w:sz="0" w:space="0" w:color="auto"/>
        <w:bottom w:val="none" w:sz="0" w:space="0" w:color="auto"/>
        <w:right w:val="none" w:sz="0" w:space="0" w:color="auto"/>
      </w:divBdr>
    </w:div>
    <w:div w:id="868253092">
      <w:bodyDiv w:val="1"/>
      <w:marLeft w:val="0"/>
      <w:marRight w:val="0"/>
      <w:marTop w:val="0"/>
      <w:marBottom w:val="0"/>
      <w:divBdr>
        <w:top w:val="none" w:sz="0" w:space="0" w:color="auto"/>
        <w:left w:val="none" w:sz="0" w:space="0" w:color="auto"/>
        <w:bottom w:val="none" w:sz="0" w:space="0" w:color="auto"/>
        <w:right w:val="none" w:sz="0" w:space="0" w:color="auto"/>
      </w:divBdr>
    </w:div>
    <w:div w:id="1404178510">
      <w:bodyDiv w:val="1"/>
      <w:marLeft w:val="0"/>
      <w:marRight w:val="0"/>
      <w:marTop w:val="0"/>
      <w:marBottom w:val="0"/>
      <w:divBdr>
        <w:top w:val="none" w:sz="0" w:space="0" w:color="auto"/>
        <w:left w:val="none" w:sz="0" w:space="0" w:color="auto"/>
        <w:bottom w:val="none" w:sz="0" w:space="0" w:color="auto"/>
        <w:right w:val="none" w:sz="0" w:space="0" w:color="auto"/>
      </w:divBdr>
    </w:div>
    <w:div w:id="1519077713">
      <w:bodyDiv w:val="1"/>
      <w:marLeft w:val="0"/>
      <w:marRight w:val="0"/>
      <w:marTop w:val="0"/>
      <w:marBottom w:val="0"/>
      <w:divBdr>
        <w:top w:val="none" w:sz="0" w:space="0" w:color="auto"/>
        <w:left w:val="none" w:sz="0" w:space="0" w:color="auto"/>
        <w:bottom w:val="none" w:sz="0" w:space="0" w:color="auto"/>
        <w:right w:val="none" w:sz="0" w:space="0" w:color="auto"/>
      </w:divBdr>
    </w:div>
    <w:div w:id="1826361969">
      <w:bodyDiv w:val="1"/>
      <w:marLeft w:val="0"/>
      <w:marRight w:val="0"/>
      <w:marTop w:val="0"/>
      <w:marBottom w:val="0"/>
      <w:divBdr>
        <w:top w:val="none" w:sz="0" w:space="0" w:color="auto"/>
        <w:left w:val="none" w:sz="0" w:space="0" w:color="auto"/>
        <w:bottom w:val="none" w:sz="0" w:space="0" w:color="auto"/>
        <w:right w:val="none" w:sz="0" w:space="0" w:color="auto"/>
      </w:divBdr>
    </w:div>
    <w:div w:id="1908418891">
      <w:bodyDiv w:val="1"/>
      <w:marLeft w:val="0"/>
      <w:marRight w:val="0"/>
      <w:marTop w:val="0"/>
      <w:marBottom w:val="0"/>
      <w:divBdr>
        <w:top w:val="none" w:sz="0" w:space="0" w:color="auto"/>
        <w:left w:val="none" w:sz="0" w:space="0" w:color="auto"/>
        <w:bottom w:val="none" w:sz="0" w:space="0" w:color="auto"/>
        <w:right w:val="none" w:sz="0" w:space="0" w:color="auto"/>
      </w:divBdr>
    </w:div>
    <w:div w:id="1976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Chester Lee</DisplayName>
        <AccountId>154</AccountId>
        <AccountType/>
      </UserInfo>
      <UserInfo>
        <DisplayName>Sashikala Prasad</DisplayName>
        <AccountId>19</AccountId>
        <AccountType/>
      </UserInfo>
      <UserInfo>
        <DisplayName>Eisha Farrukh</DisplayName>
        <AccountId>144</AccountId>
        <AccountType/>
      </UserInfo>
      <UserInfo>
        <DisplayName>Jared Rapaport</DisplayName>
        <AccountId>164</AccountId>
        <AccountType/>
      </UserInfo>
      <UserInfo>
        <DisplayName>Rebecca Trajkovski</DisplayName>
        <AccountId>438</AccountId>
        <AccountType/>
      </UserInfo>
      <UserInfo>
        <DisplayName>Gavin Maunder</DisplayName>
        <AccountId>20</AccountId>
        <AccountType/>
      </UserInfo>
      <UserInfo>
        <DisplayName>Clare Gibney</DisplayName>
        <AccountId>266</AccountId>
        <AccountType/>
      </UserInfo>
      <UserInfo>
        <DisplayName>Gideon Holland</DisplayName>
        <AccountId>23</AccountId>
        <AccountType/>
      </UserInfo>
      <UserInfo>
        <DisplayName>Robert Armstrong</DisplayName>
        <AccountId>31</AccountId>
        <AccountType/>
      </UserInfo>
      <UserInfo>
        <DisplayName>Jessica Chung</DisplayName>
        <AccountId>291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6" ma:contentTypeDescription="Create a new document." ma:contentTypeScope="" ma:versionID="b459cff694b6e48f43ce596885955411">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af7d1e1e0ae66791b8b46845a97f5ff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B70D-A6A8-4556-B7C1-F94206C4A61B}">
  <ds:schemaRefs>
    <ds:schemaRef ds:uri="79530295-9eea-494d-b82a-9ff74409eafc"/>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5664482d-1961-4d38-bfc2-b109b3418834"/>
    <ds:schemaRef ds:uri="http://purl.org/dc/terms/"/>
  </ds:schemaRefs>
</ds:datastoreItem>
</file>

<file path=customXml/itemProps2.xml><?xml version="1.0" encoding="utf-8"?>
<ds:datastoreItem xmlns:ds="http://schemas.openxmlformats.org/officeDocument/2006/customXml" ds:itemID="{47DC92A6-4C77-4EF4-9FE4-373B0E80E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4.xml><?xml version="1.0" encoding="utf-8"?>
<ds:datastoreItem xmlns:ds="http://schemas.openxmlformats.org/officeDocument/2006/customXml" ds:itemID="{4BF2C506-14AA-45AC-A1C5-47570604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3</TotalTime>
  <Pages>5</Pages>
  <Words>1527</Words>
  <Characters>8743</Characters>
  <Application>Microsoft Office Word</Application>
  <DocSecurity>0</DocSecurity>
  <Lines>155</Lines>
  <Paragraphs>54</Paragraphs>
  <ScaleCrop>false</ScaleCrop>
  <HeadingPairs>
    <vt:vector size="2" baseType="variant">
      <vt:variant>
        <vt:lpstr>Title</vt:lpstr>
      </vt:variant>
      <vt:variant>
        <vt:i4>1</vt:i4>
      </vt:variant>
    </vt:vector>
  </HeadingPairs>
  <TitlesOfParts>
    <vt:vector size="1" baseType="lpstr">
      <vt:lpstr>ES CPS 511 consequential amendments</vt:lpstr>
    </vt:vector>
  </TitlesOfParts>
  <Company>APRA</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CPS 511 consequential amendments</dc:title>
  <dc:creator>Sullivan, David</dc:creator>
  <cp:keywords>[SEC=OFFICIAL]</cp:keywords>
  <cp:lastModifiedBy>Toni Michalis</cp:lastModifiedBy>
  <cp:revision>3</cp:revision>
  <cp:lastPrinted>2020-01-09T02:14:00Z</cp:lastPrinted>
  <dcterms:created xsi:type="dcterms:W3CDTF">2023-11-20T04:08:00Z</dcterms:created>
  <dcterms:modified xsi:type="dcterms:W3CDTF">2023-11-20T04:11:00Z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2018.4</vt:lpwstr>
  </property>
  <property fmtid="{D5CDD505-2E9C-101B-9397-08002B2CF9AE}" pid="13" name="PM_Originating_FileId">
    <vt:lpwstr>21ED1FDBCD7D4344A20D6AFD8053454A</vt:lpwstr>
  </property>
  <property fmtid="{D5CDD505-2E9C-101B-9397-08002B2CF9AE}" pid="14" name="PM_Hash_Version">
    <vt:lpwstr>2022.1</vt:lpwstr>
  </property>
  <property fmtid="{D5CDD505-2E9C-101B-9397-08002B2CF9AE}" pid="15" name="ContentTypeId">
    <vt:lpwstr>0x010100E5E831F15EEA47429C4A0837D916ED91</vt:lpwstr>
  </property>
  <property fmtid="{D5CDD505-2E9C-101B-9397-08002B2CF9AE}" pid="16" name="APRAPeriod">
    <vt:lpwstr/>
  </property>
  <property fmtid="{D5CDD505-2E9C-101B-9397-08002B2CF9AE}" pid="17" name="APRACostCentre">
    <vt:lpwstr/>
  </property>
  <property fmtid="{D5CDD505-2E9C-101B-9397-08002B2CF9AE}" pid="18" name="APRAYear">
    <vt:lpwstr/>
  </property>
  <property fmtid="{D5CDD505-2E9C-101B-9397-08002B2CF9AE}" pid="19" name="APRAIndustry">
    <vt:lpwstr/>
  </property>
  <property fmtid="{D5CDD505-2E9C-101B-9397-08002B2CF9AE}" pid="20" name="APRAPRSG">
    <vt:lpwstr/>
  </property>
  <property fmtid="{D5CDD505-2E9C-101B-9397-08002B2CF9AE}" pid="21" name="_dlc_DocIdItemGuid">
    <vt:lpwstr>c850d801-5e1c-473e-aa2c-6fe873ccda78</vt:lpwstr>
  </property>
  <property fmtid="{D5CDD505-2E9C-101B-9397-08002B2CF9AE}" pid="22" name="IsLocked">
    <vt:lpwstr>Yes</vt:lpwstr>
  </property>
  <property fmtid="{D5CDD505-2E9C-101B-9397-08002B2CF9AE}" pid="23" name="IT system type">
    <vt:lpwstr/>
  </property>
  <property fmtid="{D5CDD505-2E9C-101B-9397-08002B2CF9AE}" pid="24" name="APRACategory">
    <vt:lpwstr/>
  </property>
  <property fmtid="{D5CDD505-2E9C-101B-9397-08002B2CF9AE}" pid="25" name="APRADocumentType">
    <vt:lpwstr>Explanatory statement</vt:lpwstr>
  </property>
  <property fmtid="{D5CDD505-2E9C-101B-9397-08002B2CF9AE}" pid="26" name="APRAStatus">
    <vt:lpwstr>Final</vt:lpwstr>
  </property>
  <property fmtid="{D5CDD505-2E9C-101B-9397-08002B2CF9AE}" pid="27" name="APRAActivity">
    <vt:lpwstr>Prudential policy development</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WorkflowType">
    <vt:lpwstr>ActiveSubmitStub</vt:lpwstr>
  </property>
  <property fmtid="{D5CDD505-2E9C-101B-9397-08002B2CF9AE}" pid="33" name="RecordPoint_ActiveItemWebId">
    <vt:lpwstr>{8519a14e-5c73-4f9a-a3a9-27c320967c41}</vt:lpwstr>
  </property>
  <property fmtid="{D5CDD505-2E9C-101B-9397-08002B2CF9AE}" pid="34" name="RecordPoint_ActiveItemSiteId">
    <vt:lpwstr>{2cada49c-ae30-40b5-bba4-93d447100c6c}</vt:lpwstr>
  </property>
  <property fmtid="{D5CDD505-2E9C-101B-9397-08002B2CF9AE}" pid="35" name="RecordPoint_ActiveItemListId">
    <vt:lpwstr>{697db2ba-7734-4e83-9523-7ac0d89b7c37}</vt:lpwstr>
  </property>
  <property fmtid="{D5CDD505-2E9C-101B-9397-08002B2CF9AE}" pid="36" name="RecordPoint_ActiveItemUniqueId">
    <vt:lpwstr>{c850d801-5e1c-473e-aa2c-6fe873ccda78}</vt:lpwstr>
  </property>
  <property fmtid="{D5CDD505-2E9C-101B-9397-08002B2CF9AE}" pid="37" name="RecordPoint_RecordNumberSubmitted">
    <vt:lpwstr>R0001674089</vt:lpwstr>
  </property>
  <property fmtid="{D5CDD505-2E9C-101B-9397-08002B2CF9AE}" pid="38" name="RecordPoint_SubmissionCompleted">
    <vt:lpwstr>2022-11-16T22:20:56.9311235+11:00</vt:lpwstr>
  </property>
  <property fmtid="{D5CDD505-2E9C-101B-9397-08002B2CF9AE}" pid="39" name="RecordPoint_SubmissionDate">
    <vt:lpwstr/>
  </property>
  <property fmtid="{D5CDD505-2E9C-101B-9397-08002B2CF9AE}" pid="40" name="RecordPoint_ActiveItemMoved">
    <vt:lpwstr/>
  </property>
  <property fmtid="{D5CDD505-2E9C-101B-9397-08002B2CF9AE}" pid="41" name="RecordPoint_RecordFormat">
    <vt:lpwstr/>
  </property>
  <property fmtid="{D5CDD505-2E9C-101B-9397-08002B2CF9AE}" pid="42" name="PM_SecurityClassification_Prev">
    <vt:lpwstr>OFFICIAL</vt:lpwstr>
  </property>
  <property fmtid="{D5CDD505-2E9C-101B-9397-08002B2CF9AE}" pid="43" name="PM_Qualifier_Prev">
    <vt:lpwstr/>
  </property>
  <property fmtid="{D5CDD505-2E9C-101B-9397-08002B2CF9AE}" pid="44" name="PM_Note">
    <vt:lpwstr/>
  </property>
  <property fmtid="{D5CDD505-2E9C-101B-9397-08002B2CF9AE}" pid="45" name="PM_Markers">
    <vt:lpwstr/>
  </property>
  <property fmtid="{D5CDD505-2E9C-101B-9397-08002B2CF9AE}" pid="46" name="PM_Display">
    <vt:lpwstr>OFFICIAL</vt:lpwstr>
  </property>
  <property fmtid="{D5CDD505-2E9C-101B-9397-08002B2CF9AE}" pid="47" name="PMUuid">
    <vt:lpwstr>v=2022.2;d=gov.au;g=46DD6D7C-8107-577B-BC6E-F348953B2E44</vt:lpwstr>
  </property>
  <property fmtid="{D5CDD505-2E9C-101B-9397-08002B2CF9AE}" pid="48" name="PM_OriginatorDomainName_SHA256">
    <vt:lpwstr>ECBDE2B44A971754412B3FB70606937A119CC0D4B6C1B658A40FBD41C30BE3EC</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Hash_SHA1">
    <vt:lpwstr>61FFFB502284D0CA34A84B5968DC5F6D3D8FDC24</vt:lpwstr>
  </property>
  <property fmtid="{D5CDD505-2E9C-101B-9397-08002B2CF9AE}" pid="53" name="PM_OriginationTimeStamp">
    <vt:lpwstr>2022-11-16T05:04:22Z</vt:lpwstr>
  </property>
  <property fmtid="{D5CDD505-2E9C-101B-9397-08002B2CF9AE}" pid="54" name="PM_Hash_Salt_Prev">
    <vt:lpwstr>AB351D7D7B03B275B132D160D3BB0006</vt:lpwstr>
  </property>
  <property fmtid="{D5CDD505-2E9C-101B-9397-08002B2CF9AE}" pid="55" name="PM_Hash_Salt">
    <vt:lpwstr>3167F4C41E0C99A345DD73DE980F9B5A</vt:lpwstr>
  </property>
  <property fmtid="{D5CDD505-2E9C-101B-9397-08002B2CF9AE}" pid="56" name="MSIP_Label_c0129afb-6481-4f92-bc9f-5a4a6346364d_SetDate">
    <vt:lpwstr>2022-11-16T05:04:22Z</vt:lpwstr>
  </property>
  <property fmtid="{D5CDD505-2E9C-101B-9397-08002B2CF9AE}" pid="57" name="PM_Originator_Hash_SHA1">
    <vt:lpwstr>C3AD57350F36D8E1BD75F8F67CB06D435C9C43CA</vt:lpwstr>
  </property>
  <property fmtid="{D5CDD505-2E9C-101B-9397-08002B2CF9AE}" pid="58" name="PM_OriginatorUserAccountName_SHA256">
    <vt:lpwstr>6E3018F28A186D2E5FF5207C041E7A82E907C3008E071057026A53705873B72E</vt:lpwstr>
  </property>
  <property fmtid="{D5CDD505-2E9C-101B-9397-08002B2CF9AE}" pid="59" name="APRASecurityClassification">
    <vt:lpwstr>OFFICIAL</vt:lpwstr>
  </property>
  <property fmtid="{D5CDD505-2E9C-101B-9397-08002B2CF9AE}" pid="60" name="DocumentSetDescription">
    <vt:lpwstr/>
  </property>
  <property fmtid="{D5CDD505-2E9C-101B-9397-08002B2CF9AE}" pid="61" name="_ExtendedDescription">
    <vt:lpwstr/>
  </property>
  <property fmtid="{D5CDD505-2E9C-101B-9397-08002B2CF9AE}" pid="62" name="URL">
    <vt:lpwstr/>
  </property>
  <property fmtid="{D5CDD505-2E9C-101B-9397-08002B2CF9AE}" pid="63" name="PMHMAC">
    <vt:lpwstr>v=2022.1;a=SHA256;h=5DA82A6CC38A49880755D976AB0E2238E5CED12CDC3E0ECF8C4B2D03E3A97E56</vt:lpwstr>
  </property>
  <property fmtid="{D5CDD505-2E9C-101B-9397-08002B2CF9AE}" pid="64" name="MSIP_Label_c0129afb-6481-4f92-bc9f-5a4a6346364d_Method">
    <vt:lpwstr>Privileged</vt:lpwstr>
  </property>
  <property fmtid="{D5CDD505-2E9C-101B-9397-08002B2CF9AE}" pid="65" name="MSIP_Label_c0129afb-6481-4f92-bc9f-5a4a6346364d_ContentBits">
    <vt:lpwstr>0</vt:lpwstr>
  </property>
  <property fmtid="{D5CDD505-2E9C-101B-9397-08002B2CF9AE}" pid="66" name="MSIP_Label_c0129afb-6481-4f92-bc9f-5a4a6346364d_ActionId">
    <vt:lpwstr>2641b612f8ac4e62bb124b6dc61a640b</vt:lpwstr>
  </property>
</Properties>
</file>