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Caption w:val="Preliminary assessment form"/>
        <w:tblDescription w:val="Template for the preliminary assessment form."/>
      </w:tblPr>
      <w:tblGrid>
        <w:gridCol w:w="1904"/>
        <w:gridCol w:w="8552"/>
      </w:tblGrid>
      <w:tr w:rsidR="00F5426F" w:rsidRPr="002C48C0" w14:paraId="7D6BC36F" w14:textId="77777777" w:rsidTr="00F5426F">
        <w:trPr>
          <w:tblHeader/>
        </w:trPr>
        <w:tc>
          <w:tcPr>
            <w:tcW w:w="10456" w:type="dxa"/>
            <w:gridSpan w:val="2"/>
            <w:shd w:val="clear" w:color="auto" w:fill="B8B8B8" w:themeFill="accent2" w:themeFillTint="66"/>
          </w:tcPr>
          <w:p w14:paraId="42ACE220" w14:textId="77777777" w:rsidR="00F5426F" w:rsidRPr="00AA0D44" w:rsidRDefault="00F5426F" w:rsidP="00B9364E">
            <w:pPr>
              <w:pStyle w:val="TableText"/>
              <w:rPr>
                <w:b/>
                <w:sz w:val="24"/>
                <w:szCs w:val="24"/>
              </w:rPr>
            </w:pPr>
            <w:bookmarkStart w:id="0" w:name="_GoBack"/>
            <w:bookmarkEnd w:id="0"/>
            <w:r w:rsidRPr="00AA0D44">
              <w:rPr>
                <w:b/>
                <w:sz w:val="24"/>
                <w:szCs w:val="24"/>
              </w:rPr>
              <w:t>Preliminary Assessment Form</w:t>
            </w:r>
          </w:p>
        </w:tc>
      </w:tr>
      <w:tr w:rsidR="00F5426F" w14:paraId="5D25A896" w14:textId="77777777" w:rsidTr="00E84FFD">
        <w:tc>
          <w:tcPr>
            <w:tcW w:w="10456" w:type="dxa"/>
            <w:gridSpan w:val="2"/>
            <w:shd w:val="clear" w:color="auto" w:fill="B8B8B8" w:themeFill="accent2" w:themeFillTint="66"/>
          </w:tcPr>
          <w:p w14:paraId="2A35630D" w14:textId="77777777" w:rsidR="00F5426F" w:rsidRDefault="00F5426F" w:rsidP="000222F2">
            <w:pPr>
              <w:pStyle w:val="TableText"/>
            </w:pPr>
            <w:r w:rsidRPr="00AA0D44">
              <w:rPr>
                <w:b/>
              </w:rPr>
              <w:t>Overview</w:t>
            </w:r>
          </w:p>
        </w:tc>
      </w:tr>
      <w:tr w:rsidR="00F5426F" w14:paraId="7511C46A" w14:textId="77777777" w:rsidTr="00E84FFD">
        <w:tc>
          <w:tcPr>
            <w:tcW w:w="10456" w:type="dxa"/>
            <w:gridSpan w:val="2"/>
          </w:tcPr>
          <w:p w14:paraId="08C16B8C" w14:textId="77777777" w:rsidR="009B4DB3" w:rsidRDefault="00F5426F" w:rsidP="00F5426F">
            <w:pPr>
              <w:pStyle w:val="TableText"/>
              <w:spacing w:before="60" w:after="60"/>
            </w:pPr>
            <w:r w:rsidRPr="009B4DB3">
              <w:rPr>
                <w:b/>
              </w:rPr>
              <w:t>Name of department/agency</w:t>
            </w:r>
          </w:p>
          <w:p w14:paraId="7F47804B" w14:textId="77777777" w:rsidR="00F5426F" w:rsidRDefault="0083541A" w:rsidP="00F5426F">
            <w:pPr>
              <w:pStyle w:val="TableText"/>
              <w:spacing w:before="60" w:after="60"/>
            </w:pPr>
            <w:r>
              <w:t>Department of Infrastructure, Transport, Regional Development, Communications and the Arts</w:t>
            </w:r>
            <w:r w:rsidR="00FA648E">
              <w:t xml:space="preserve"> (the Department)</w:t>
            </w:r>
          </w:p>
        </w:tc>
      </w:tr>
      <w:tr w:rsidR="00F5426F" w14:paraId="5D9DE5CB" w14:textId="77777777" w:rsidTr="00E84FFD">
        <w:tc>
          <w:tcPr>
            <w:tcW w:w="10456" w:type="dxa"/>
            <w:gridSpan w:val="2"/>
          </w:tcPr>
          <w:p w14:paraId="45A90A6C" w14:textId="77777777" w:rsidR="005966F4" w:rsidRDefault="00F5426F" w:rsidP="00F5426F">
            <w:pPr>
              <w:pStyle w:val="TableText"/>
              <w:spacing w:before="60" w:after="60"/>
            </w:pPr>
            <w:r w:rsidRPr="009B4DB3">
              <w:rPr>
                <w:b/>
              </w:rPr>
              <w:t>Name of proposal</w:t>
            </w:r>
          </w:p>
          <w:p w14:paraId="0101AB14" w14:textId="77777777" w:rsidR="00F5426F" w:rsidRDefault="005966F4" w:rsidP="00F5426F">
            <w:pPr>
              <w:pStyle w:val="TableText"/>
              <w:spacing w:before="60" w:after="60"/>
            </w:pPr>
            <w:r>
              <w:t>Australian Design Rule 109/00 - Electric Power Train Safety</w:t>
            </w:r>
            <w:r w:rsidR="00CF365B">
              <w:t xml:space="preserve"> Requirements</w:t>
            </w:r>
          </w:p>
          <w:p w14:paraId="380CC993" w14:textId="77777777" w:rsidR="005966F4" w:rsidRPr="00F5426F" w:rsidRDefault="005966F4" w:rsidP="00F5426F">
            <w:pPr>
              <w:pStyle w:val="TableText"/>
              <w:spacing w:before="60" w:after="60"/>
            </w:pPr>
            <w:r>
              <w:t xml:space="preserve">Australian Design Rule 110/00 - </w:t>
            </w:r>
            <w:r w:rsidR="00CF365B">
              <w:t>Hydrogen-Fuelled Vehicle</w:t>
            </w:r>
            <w:r w:rsidR="00CF365B" w:rsidRPr="00CF365B">
              <w:t xml:space="preserve"> Safety Related Performance</w:t>
            </w:r>
          </w:p>
        </w:tc>
      </w:tr>
      <w:tr w:rsidR="00F5426F" w14:paraId="0E0B7CC1" w14:textId="77777777" w:rsidTr="00E84FFD">
        <w:tc>
          <w:tcPr>
            <w:tcW w:w="10456" w:type="dxa"/>
            <w:gridSpan w:val="2"/>
          </w:tcPr>
          <w:p w14:paraId="0D857670" w14:textId="77777777" w:rsidR="00F5426F" w:rsidRDefault="00F5426F" w:rsidP="00F5426F">
            <w:pPr>
              <w:pStyle w:val="TableText"/>
              <w:spacing w:before="60" w:after="60"/>
              <w:rPr>
                <w:b/>
              </w:rPr>
            </w:pPr>
            <w:r w:rsidRPr="009B4DB3">
              <w:rPr>
                <w:b/>
              </w:rPr>
              <w:t>Description of the problem</w:t>
            </w:r>
          </w:p>
          <w:p w14:paraId="541D6A6C" w14:textId="77777777" w:rsidR="0088079C" w:rsidRDefault="00C74780" w:rsidP="009E565C">
            <w:pPr>
              <w:pStyle w:val="TableText"/>
              <w:spacing w:before="60" w:after="60"/>
              <w:rPr>
                <w:rFonts w:eastAsia="Times New Roman"/>
              </w:rPr>
            </w:pPr>
            <w:r>
              <w:rPr>
                <w:rFonts w:eastAsia="Times New Roman"/>
              </w:rPr>
              <w:t xml:space="preserve">The Australian government is implementing a range of policies designed to </w:t>
            </w:r>
            <w:r w:rsidR="00B9364E">
              <w:rPr>
                <w:rFonts w:eastAsia="Times New Roman"/>
              </w:rPr>
              <w:t xml:space="preserve">increase </w:t>
            </w:r>
            <w:r>
              <w:rPr>
                <w:rFonts w:eastAsia="Times New Roman"/>
              </w:rPr>
              <w:t xml:space="preserve">the uptake of zero emission vehicles (ZEVs). </w:t>
            </w:r>
            <w:r w:rsidR="0088079C">
              <w:rPr>
                <w:rFonts w:eastAsia="Times New Roman"/>
              </w:rPr>
              <w:t xml:space="preserve">ZEVs provide a range of benefits, including reducing air and noise pollution in urban air areas. They also help reduce air pollution and climate change causing greenhouse gases which are resulting in existential threats to humanity. </w:t>
            </w:r>
          </w:p>
          <w:p w14:paraId="1D771C20" w14:textId="5FCA6836" w:rsidR="00C74780" w:rsidRPr="009B4DB3" w:rsidRDefault="00C74780" w:rsidP="00C74780">
            <w:pPr>
              <w:pStyle w:val="TableText"/>
              <w:spacing w:before="60" w:after="60"/>
              <w:rPr>
                <w:b/>
              </w:rPr>
            </w:pPr>
            <w:r>
              <w:rPr>
                <w:rFonts w:eastAsia="Times New Roman"/>
              </w:rPr>
              <w:t xml:space="preserve">Based on international experience, and direct requests from the vehicle industry and State and Territory in-service vehicle regulators it is expected that ZEVs will create a range of safety problems, such as battery fires, exploding hydrogen tanks, chemical spills and the potential for electrocution. </w:t>
            </w:r>
            <w:r w:rsidR="005F4E58">
              <w:rPr>
                <w:rFonts w:eastAsia="Times New Roman"/>
              </w:rPr>
              <w:t>While i</w:t>
            </w:r>
            <w:r>
              <w:rPr>
                <w:rFonts w:eastAsia="Times New Roman"/>
              </w:rPr>
              <w:t xml:space="preserve">t is not expected that these </w:t>
            </w:r>
            <w:r w:rsidR="005F4E58">
              <w:rPr>
                <w:rFonts w:eastAsia="Times New Roman"/>
              </w:rPr>
              <w:t xml:space="preserve">occurrences </w:t>
            </w:r>
            <w:r>
              <w:rPr>
                <w:rFonts w:eastAsia="Times New Roman"/>
              </w:rPr>
              <w:t xml:space="preserve">will be </w:t>
            </w:r>
            <w:r w:rsidR="005F4E58">
              <w:rPr>
                <w:rFonts w:eastAsia="Times New Roman"/>
              </w:rPr>
              <w:t>frequent</w:t>
            </w:r>
            <w:r>
              <w:rPr>
                <w:rFonts w:eastAsia="Times New Roman"/>
              </w:rPr>
              <w:t xml:space="preserve">, </w:t>
            </w:r>
            <w:r w:rsidR="00DA3067">
              <w:rPr>
                <w:rFonts w:eastAsia="Times New Roman"/>
              </w:rPr>
              <w:t xml:space="preserve">they </w:t>
            </w:r>
            <w:r w:rsidR="00420326">
              <w:rPr>
                <w:rFonts w:eastAsia="Times New Roman"/>
              </w:rPr>
              <w:t xml:space="preserve">are often serious and may impact </w:t>
            </w:r>
            <w:r>
              <w:rPr>
                <w:rFonts w:eastAsia="Times New Roman"/>
              </w:rPr>
              <w:t xml:space="preserve">the public perception </w:t>
            </w:r>
            <w:r w:rsidR="00420326">
              <w:rPr>
                <w:rFonts w:eastAsia="Times New Roman"/>
              </w:rPr>
              <w:t>and therefore</w:t>
            </w:r>
            <w:r>
              <w:rPr>
                <w:rFonts w:eastAsia="Times New Roman"/>
              </w:rPr>
              <w:t xml:space="preserve"> limit the uptake of </w:t>
            </w:r>
            <w:r w:rsidR="002F5251">
              <w:rPr>
                <w:rFonts w:eastAsia="Times New Roman"/>
              </w:rPr>
              <w:t>Z</w:t>
            </w:r>
            <w:r>
              <w:rPr>
                <w:rFonts w:eastAsia="Times New Roman"/>
              </w:rPr>
              <w:t xml:space="preserve">EVs in Australia.  </w:t>
            </w:r>
          </w:p>
          <w:p w14:paraId="7D7ECA6B" w14:textId="047E8A3F" w:rsidR="00977CE6" w:rsidRDefault="008977E1" w:rsidP="004674CC">
            <w:pPr>
              <w:rPr>
                <w:rFonts w:eastAsia="Times New Roman"/>
              </w:rPr>
            </w:pPr>
            <w:r>
              <w:rPr>
                <w:rFonts w:eastAsia="Times New Roman"/>
              </w:rPr>
              <w:t xml:space="preserve">These problems will become more common as the proportion of ZEVs in the Australian fleet grows. </w:t>
            </w:r>
            <w:r w:rsidR="00977CE6">
              <w:rPr>
                <w:rFonts w:eastAsia="Times New Roman"/>
              </w:rPr>
              <w:t>Data provided by industry</w:t>
            </w:r>
            <w:r w:rsidR="00977CE6">
              <w:rPr>
                <w:rStyle w:val="FootnoteReference"/>
                <w:rFonts w:eastAsia="Times New Roman"/>
              </w:rPr>
              <w:footnoteReference w:id="1"/>
            </w:r>
            <w:r w:rsidR="00977CE6">
              <w:rPr>
                <w:rFonts w:eastAsia="Times New Roman"/>
              </w:rPr>
              <w:t xml:space="preserve"> and accumulated</w:t>
            </w:r>
            <w:r w:rsidR="00977CE6">
              <w:rPr>
                <w:rStyle w:val="FootnoteReference"/>
                <w:rFonts w:eastAsia="Times New Roman"/>
              </w:rPr>
              <w:footnoteReference w:id="2"/>
            </w:r>
            <w:r w:rsidR="00977CE6">
              <w:rPr>
                <w:rFonts w:eastAsia="Times New Roman"/>
              </w:rPr>
              <w:t xml:space="preserve"> by the Department show a steadily i</w:t>
            </w:r>
            <w:r w:rsidR="00977CE6" w:rsidRPr="00977CE6">
              <w:rPr>
                <w:rFonts w:eastAsia="Times New Roman"/>
              </w:rPr>
              <w:t>ncreasing number of ZEVs</w:t>
            </w:r>
            <w:r w:rsidR="00977CE6">
              <w:rPr>
                <w:rFonts w:eastAsia="Times New Roman"/>
              </w:rPr>
              <w:t xml:space="preserve"> being supplied to t</w:t>
            </w:r>
            <w:r w:rsidR="00977CE6" w:rsidRPr="00977CE6">
              <w:rPr>
                <w:rFonts w:eastAsia="Times New Roman"/>
              </w:rPr>
              <w:t xml:space="preserve">he </w:t>
            </w:r>
            <w:r w:rsidR="00977CE6">
              <w:rPr>
                <w:rFonts w:eastAsia="Times New Roman"/>
              </w:rPr>
              <w:t xml:space="preserve">Australian </w:t>
            </w:r>
            <w:r w:rsidR="00977CE6" w:rsidRPr="00977CE6">
              <w:rPr>
                <w:rFonts w:eastAsia="Times New Roman"/>
              </w:rPr>
              <w:t>market</w:t>
            </w:r>
            <w:r w:rsidR="00977CE6">
              <w:rPr>
                <w:rFonts w:eastAsia="Times New Roman"/>
              </w:rPr>
              <w:t xml:space="preserve">. </w:t>
            </w:r>
          </w:p>
          <w:p w14:paraId="605BD7DD" w14:textId="1B7BBB21" w:rsidR="00D63193" w:rsidRDefault="0097680A" w:rsidP="004674CC">
            <w:pPr>
              <w:rPr>
                <w:rFonts w:eastAsia="Times New Roman"/>
              </w:rPr>
            </w:pPr>
            <w:r>
              <w:rPr>
                <w:rFonts w:eastAsia="Times New Roman"/>
              </w:rPr>
              <w:t>T</w:t>
            </w:r>
            <w:r w:rsidR="00DB7424">
              <w:rPr>
                <w:rFonts w:eastAsia="Times New Roman"/>
              </w:rPr>
              <w:t xml:space="preserve">he </w:t>
            </w:r>
            <w:r w:rsidR="00214BAC">
              <w:rPr>
                <w:rFonts w:eastAsia="Times New Roman"/>
              </w:rPr>
              <w:t>Australian Design Rules (</w:t>
            </w:r>
            <w:r w:rsidR="00DB7424">
              <w:rPr>
                <w:rFonts w:eastAsia="Times New Roman"/>
              </w:rPr>
              <w:t>ADRs</w:t>
            </w:r>
            <w:r w:rsidR="00214BAC">
              <w:rPr>
                <w:rFonts w:eastAsia="Times New Roman"/>
              </w:rPr>
              <w:t>)</w:t>
            </w:r>
            <w:r w:rsidR="00DB7424">
              <w:rPr>
                <w:rFonts w:eastAsia="Times New Roman"/>
              </w:rPr>
              <w:t xml:space="preserve"> and</w:t>
            </w:r>
            <w:r w:rsidR="004674CC">
              <w:rPr>
                <w:rFonts w:eastAsia="Times New Roman"/>
              </w:rPr>
              <w:t xml:space="preserve"> the current Australian Standards (AS) framework </w:t>
            </w:r>
            <w:r w:rsidR="00DB7424">
              <w:rPr>
                <w:rFonts w:eastAsia="Times New Roman"/>
              </w:rPr>
              <w:t>are</w:t>
            </w:r>
            <w:r w:rsidR="004674CC">
              <w:rPr>
                <w:rFonts w:eastAsia="Times New Roman"/>
              </w:rPr>
              <w:t xml:space="preserve"> </w:t>
            </w:r>
            <w:r w:rsidR="00D63193">
              <w:rPr>
                <w:rFonts w:eastAsia="Times New Roman"/>
              </w:rPr>
              <w:t xml:space="preserve">yet to address safety issues </w:t>
            </w:r>
            <w:r w:rsidR="004674CC">
              <w:rPr>
                <w:rFonts w:eastAsia="Times New Roman"/>
              </w:rPr>
              <w:t xml:space="preserve">in these areas, particularly in regard to both the high voltage areas applicable to all ZEVs, as well as the </w:t>
            </w:r>
            <w:r w:rsidR="00ED7E2E">
              <w:rPr>
                <w:rFonts w:eastAsia="Times New Roman"/>
              </w:rPr>
              <w:t>high-pressure</w:t>
            </w:r>
            <w:r w:rsidR="004674CC">
              <w:rPr>
                <w:rFonts w:eastAsia="Times New Roman"/>
              </w:rPr>
              <w:t xml:space="preserve"> storage systems associated with hydrogen fuel systems.</w:t>
            </w:r>
            <w:r w:rsidR="00D63193">
              <w:rPr>
                <w:rFonts w:eastAsia="Times New Roman"/>
              </w:rPr>
              <w:t xml:space="preserve"> The primary reason for this being that the road safety benefits</w:t>
            </w:r>
            <w:r w:rsidR="003D1A75">
              <w:rPr>
                <w:rFonts w:eastAsia="Times New Roman"/>
              </w:rPr>
              <w:t xml:space="preserve"> derived through a </w:t>
            </w:r>
            <w:r w:rsidR="00010947">
              <w:rPr>
                <w:rFonts w:eastAsia="Times New Roman"/>
              </w:rPr>
              <w:t xml:space="preserve">Cost </w:t>
            </w:r>
            <w:r w:rsidR="003D1A75">
              <w:rPr>
                <w:rFonts w:eastAsia="Times New Roman"/>
              </w:rPr>
              <w:t>Benefit Analysis</w:t>
            </w:r>
            <w:r w:rsidR="00D63193">
              <w:rPr>
                <w:rFonts w:eastAsia="Times New Roman"/>
              </w:rPr>
              <w:t xml:space="preserve"> have not been sufficiently high due to the low number of ZEVs in the fleet. </w:t>
            </w:r>
            <w:r w:rsidR="00D63193" w:rsidRPr="00D63193">
              <w:rPr>
                <w:rFonts w:eastAsia="Times New Roman"/>
              </w:rPr>
              <w:t xml:space="preserve">However, since industry is supportive of introducing regulation for </w:t>
            </w:r>
            <w:r w:rsidR="00D63193">
              <w:rPr>
                <w:rFonts w:eastAsia="Times New Roman"/>
              </w:rPr>
              <w:t>ZEVs</w:t>
            </w:r>
            <w:r w:rsidR="00D63193" w:rsidRPr="00D63193">
              <w:rPr>
                <w:rFonts w:eastAsia="Times New Roman"/>
              </w:rPr>
              <w:t xml:space="preserve">, the </w:t>
            </w:r>
            <w:r w:rsidR="003D1A75">
              <w:rPr>
                <w:rFonts w:eastAsia="Times New Roman"/>
              </w:rPr>
              <w:t>D</w:t>
            </w:r>
            <w:r w:rsidR="00D63193" w:rsidRPr="00D63193">
              <w:rPr>
                <w:rFonts w:eastAsia="Times New Roman"/>
              </w:rPr>
              <w:t>epartment is proposing to examine the case.</w:t>
            </w:r>
            <w:r w:rsidR="00D63193">
              <w:rPr>
                <w:rFonts w:eastAsia="Times New Roman"/>
              </w:rPr>
              <w:t xml:space="preserve"> Furthermore, the</w:t>
            </w:r>
            <w:r w:rsidR="003225AE">
              <w:rPr>
                <w:rFonts w:eastAsia="Times New Roman"/>
              </w:rPr>
              <w:t xml:space="preserve"> need for</w:t>
            </w:r>
            <w:r w:rsidR="00D63193">
              <w:rPr>
                <w:rFonts w:eastAsia="Times New Roman"/>
              </w:rPr>
              <w:t xml:space="preserve"> regulation </w:t>
            </w:r>
            <w:r w:rsidR="003225AE">
              <w:rPr>
                <w:rFonts w:eastAsia="Times New Roman"/>
              </w:rPr>
              <w:t xml:space="preserve">in </w:t>
            </w:r>
            <w:r w:rsidR="00D63193">
              <w:rPr>
                <w:rFonts w:eastAsia="Times New Roman"/>
              </w:rPr>
              <w:t>vehicle safety in the past has most often been driven by the need to solve problems that are already evident in the community</w:t>
            </w:r>
            <w:r w:rsidR="00D63193">
              <w:rPr>
                <w:rStyle w:val="FootnoteReference"/>
                <w:rFonts w:eastAsia="Times New Roman"/>
              </w:rPr>
              <w:footnoteReference w:id="3"/>
            </w:r>
            <w:r w:rsidR="00D63193">
              <w:rPr>
                <w:rFonts w:eastAsia="Times New Roman"/>
              </w:rPr>
              <w:t xml:space="preserve"> rath</w:t>
            </w:r>
            <w:r w:rsidR="00B16150">
              <w:rPr>
                <w:rFonts w:eastAsia="Times New Roman"/>
              </w:rPr>
              <w:t xml:space="preserve">er than being proactive and preventing potential problems due to </w:t>
            </w:r>
            <w:r w:rsidR="003225AE">
              <w:rPr>
                <w:rFonts w:eastAsia="Times New Roman"/>
              </w:rPr>
              <w:t>the</w:t>
            </w:r>
            <w:r w:rsidR="00B16150">
              <w:rPr>
                <w:rFonts w:eastAsia="Times New Roman"/>
              </w:rPr>
              <w:t xml:space="preserve"> </w:t>
            </w:r>
            <w:r w:rsidR="003225AE">
              <w:rPr>
                <w:rFonts w:eastAsia="Times New Roman"/>
              </w:rPr>
              <w:t>global shift</w:t>
            </w:r>
            <w:r w:rsidR="00B16150">
              <w:rPr>
                <w:rFonts w:eastAsia="Times New Roman"/>
              </w:rPr>
              <w:t xml:space="preserve"> in the way vehicles are powered.</w:t>
            </w:r>
          </w:p>
          <w:p w14:paraId="2DECB2F8" w14:textId="77777777" w:rsidR="00F7467F" w:rsidRDefault="004674CC" w:rsidP="00FE6E9F">
            <w:pPr>
              <w:pStyle w:val="TableText"/>
              <w:spacing w:before="60" w:after="60"/>
            </w:pPr>
            <w:r>
              <w:t xml:space="preserve">The </w:t>
            </w:r>
            <w:r w:rsidRPr="004674CC">
              <w:t xml:space="preserve">current </w:t>
            </w:r>
            <w:r>
              <w:t>gap</w:t>
            </w:r>
            <w:r w:rsidRPr="004674CC">
              <w:t xml:space="preserve"> </w:t>
            </w:r>
            <w:r>
              <w:t>in</w:t>
            </w:r>
            <w:r w:rsidRPr="004674CC">
              <w:t xml:space="preserve"> vehicle </w:t>
            </w:r>
            <w:r>
              <w:t xml:space="preserve">regulation </w:t>
            </w:r>
            <w:r w:rsidR="003574BA">
              <w:t>for ZEVs</w:t>
            </w:r>
            <w:r w:rsidRPr="004674CC">
              <w:t xml:space="preserve"> is creating increasing concern not only for manufacturers and suppliers of these types of vehicles, but it is also creating uncertainty for purchase</w:t>
            </w:r>
            <w:r>
              <w:t>r</w:t>
            </w:r>
            <w:r w:rsidRPr="004674CC">
              <w:t xml:space="preserve">s, and is potentially creating safety issues for operators, </w:t>
            </w:r>
            <w:r w:rsidR="003D1A75">
              <w:t>technicians</w:t>
            </w:r>
            <w:r w:rsidRPr="004674CC">
              <w:t>, first responders</w:t>
            </w:r>
            <w:r w:rsidR="00FE6E9F">
              <w:t xml:space="preserve"> </w:t>
            </w:r>
            <w:r w:rsidRPr="004674CC">
              <w:t xml:space="preserve">and </w:t>
            </w:r>
            <w:r w:rsidR="00FE6E9F">
              <w:t>consumers</w:t>
            </w:r>
            <w:r>
              <w:t>.</w:t>
            </w:r>
            <w:r w:rsidR="007F7DAF">
              <w:t xml:space="preserve"> In addition to the </w:t>
            </w:r>
            <w:r w:rsidR="00D434FD">
              <w:t>concerns raised by manufacturers and first responders</w:t>
            </w:r>
            <w:r w:rsidR="009B03D8">
              <w:rPr>
                <w:rStyle w:val="FootnoteReference"/>
              </w:rPr>
              <w:footnoteReference w:id="4"/>
            </w:r>
            <w:r w:rsidR="00D434FD">
              <w:t xml:space="preserve">, the Department has been informed </w:t>
            </w:r>
            <w:r w:rsidR="00184C58">
              <w:t xml:space="preserve">by </w:t>
            </w:r>
            <w:r w:rsidR="003574BA">
              <w:t xml:space="preserve">the peak vehicle </w:t>
            </w:r>
            <w:r w:rsidR="00184C58">
              <w:t>industry</w:t>
            </w:r>
            <w:r w:rsidR="003574BA">
              <w:t xml:space="preserve"> body</w:t>
            </w:r>
            <w:r w:rsidR="003D1A75">
              <w:t xml:space="preserve"> (FCAI)</w:t>
            </w:r>
            <w:r w:rsidR="00184C58">
              <w:t xml:space="preserve"> </w:t>
            </w:r>
            <w:r w:rsidR="00D434FD">
              <w:t xml:space="preserve">of </w:t>
            </w:r>
            <w:r w:rsidR="003574BA">
              <w:t xml:space="preserve">activity at the </w:t>
            </w:r>
            <w:r w:rsidR="00D434FD">
              <w:t xml:space="preserve">state and jurisdictional </w:t>
            </w:r>
            <w:r w:rsidR="003574BA">
              <w:t>level</w:t>
            </w:r>
            <w:r w:rsidR="003574BA" w:rsidRPr="00521508">
              <w:t xml:space="preserve"> in</w:t>
            </w:r>
            <w:r w:rsidR="00184C58" w:rsidRPr="00521508">
              <w:t xml:space="preserve"> regulating in the electrical and/or liquid and gas fuel space</w:t>
            </w:r>
            <w:r w:rsidR="00D434FD">
              <w:t xml:space="preserve"> that may deviate from a national approach to ensuring the safety of ZEVs.</w:t>
            </w:r>
            <w:r w:rsidR="00FE6E9F">
              <w:t xml:space="preserve"> Industry has raised concerns that through this jurisdictional approach there is a high likelihood there would be no </w:t>
            </w:r>
            <w:r w:rsidR="00FE6E9F" w:rsidRPr="00FE6E9F">
              <w:t xml:space="preserve">guarantee </w:t>
            </w:r>
            <w:r w:rsidR="00FE6E9F">
              <w:t xml:space="preserve">of </w:t>
            </w:r>
            <w:r w:rsidR="00FE6E9F" w:rsidRPr="00FE6E9F">
              <w:t>mutual recognition when moving vehicle</w:t>
            </w:r>
            <w:r w:rsidR="00FE6E9F">
              <w:t>s</w:t>
            </w:r>
            <w:r w:rsidR="00FE6E9F" w:rsidRPr="00FE6E9F">
              <w:t xml:space="preserve"> across borders</w:t>
            </w:r>
            <w:r w:rsidR="00FE6E9F">
              <w:t xml:space="preserve"> (heavy vehicles)</w:t>
            </w:r>
            <w:r w:rsidR="00FE6E9F" w:rsidRPr="00FE6E9F">
              <w:t xml:space="preserve"> and/or registering them</w:t>
            </w:r>
            <w:r w:rsidR="00FE6E9F">
              <w:t xml:space="preserve"> (heavy or light vehicles)</w:t>
            </w:r>
            <w:r w:rsidR="00FE6E9F" w:rsidRPr="00FE6E9F">
              <w:t>.</w:t>
            </w:r>
            <w:r w:rsidR="00FE6E9F">
              <w:t xml:space="preserve"> </w:t>
            </w:r>
          </w:p>
          <w:p w14:paraId="02B99666" w14:textId="77777777" w:rsidR="00214BAC" w:rsidRDefault="00214BAC" w:rsidP="00FE6E9F">
            <w:pPr>
              <w:pStyle w:val="TableText"/>
              <w:spacing w:before="60" w:after="60"/>
            </w:pPr>
            <w:r>
              <w:t>It is becoming more likely that global vehicle manufacturers will no longer design and manufacture ICE vehicles beyond a certain year. Public announcements on cessation dates largely lie in years between 2030 through to 2040.</w:t>
            </w:r>
            <w:r w:rsidRPr="00DF7931">
              <w:t xml:space="preserve"> Setting up standards for </w:t>
            </w:r>
            <w:r>
              <w:t>ZEVs</w:t>
            </w:r>
            <w:r w:rsidRPr="00DF7931">
              <w:t xml:space="preserve"> in advance of this change ensures that consumer confidence in </w:t>
            </w:r>
            <w:r>
              <w:t>ZEVs</w:t>
            </w:r>
            <w:r w:rsidRPr="00DF7931">
              <w:t xml:space="preserve"> is not undermined.</w:t>
            </w:r>
          </w:p>
          <w:p w14:paraId="24CB876C" w14:textId="77777777" w:rsidR="004674CC" w:rsidRDefault="004674CC" w:rsidP="005966F4">
            <w:pPr>
              <w:pStyle w:val="TableText"/>
              <w:spacing w:before="60" w:after="60"/>
            </w:pPr>
            <w:r>
              <w:t xml:space="preserve"> </w:t>
            </w:r>
          </w:p>
          <w:p w14:paraId="2F16EED6" w14:textId="77777777" w:rsidR="00557F92" w:rsidRPr="007F4400" w:rsidRDefault="00557F92" w:rsidP="005966F4">
            <w:pPr>
              <w:pStyle w:val="TableText"/>
              <w:spacing w:before="60" w:after="60"/>
              <w:rPr>
                <w:u w:val="single"/>
              </w:rPr>
            </w:pPr>
            <w:r w:rsidRPr="007F4400">
              <w:rPr>
                <w:u w:val="single"/>
              </w:rPr>
              <w:lastRenderedPageBreak/>
              <w:t>Background:</w:t>
            </w:r>
          </w:p>
          <w:p w14:paraId="1DD565DB" w14:textId="1C476345" w:rsidR="00AA1826" w:rsidRDefault="00F7467F" w:rsidP="00AA1826">
            <w:pPr>
              <w:pStyle w:val="TableText"/>
              <w:spacing w:before="60" w:after="60"/>
            </w:pPr>
            <w:r>
              <w:t xml:space="preserve">The Australian Government has announced plans aimed at increasing the prevalence of </w:t>
            </w:r>
            <w:r w:rsidR="001E2959">
              <w:t>ZEVs</w:t>
            </w:r>
            <w:r>
              <w:t xml:space="preserve"> in the Australian fleet and some states and territor</w:t>
            </w:r>
            <w:r w:rsidR="001E2959">
              <w:t>y regulators</w:t>
            </w:r>
            <w:r>
              <w:t xml:space="preserve"> have indicated intentions to mandate </w:t>
            </w:r>
            <w:r w:rsidR="001E2959">
              <w:t>ZEVs</w:t>
            </w:r>
            <w:r w:rsidR="001E2959">
              <w:rPr>
                <w:rStyle w:val="FootnoteReference"/>
              </w:rPr>
              <w:footnoteReference w:id="5"/>
            </w:r>
            <w:r>
              <w:t xml:space="preserve"> in the future. </w:t>
            </w:r>
            <w:r w:rsidR="00AA1826">
              <w:t>A report</w:t>
            </w:r>
            <w:r w:rsidR="00AA1826">
              <w:rPr>
                <w:rStyle w:val="FootnoteReference"/>
              </w:rPr>
              <w:footnoteReference w:id="6"/>
            </w:r>
            <w:r w:rsidR="00AA1826">
              <w:t xml:space="preserve"> by the</w:t>
            </w:r>
            <w:r w:rsidR="00AA1826" w:rsidRPr="00AA1826">
              <w:t xml:space="preserve"> Commonwealth Scientific and Industrial Research Organisation</w:t>
            </w:r>
            <w:r w:rsidR="00AA1826">
              <w:t>’s (CSIRO) notes that in their Current Trajectory scenario short-range electric vehicle (SREV) costs are assumed to reach upfront cost parity with ICE light vehicles in 2030 and remain at that level thereafter. Heavy SREVs are assumed to reach up front cost parity in 2040 due to their delayed development relative to light vehicles and higher duty requirements (both load and distance). Up front cost parity may be reached earlier in other countries where vehicle emissions standards are expected to increase the cost of internal combustion vehicles over time. The modelling considers SREV adoption across five vehicle classes: light, medium and large cars, rigid trucks and buses.</w:t>
            </w:r>
          </w:p>
          <w:p w14:paraId="1EB13B6E" w14:textId="38404385" w:rsidR="006E14BA" w:rsidRDefault="006E14BA" w:rsidP="00DF75F9">
            <w:pPr>
              <w:pStyle w:val="TableText"/>
              <w:spacing w:before="60" w:after="60"/>
            </w:pPr>
          </w:p>
          <w:p w14:paraId="44BBE060" w14:textId="77777777" w:rsidR="00797928" w:rsidRPr="007403C7" w:rsidRDefault="00797928" w:rsidP="005966F4">
            <w:pPr>
              <w:pStyle w:val="TableText"/>
              <w:spacing w:before="60" w:after="60"/>
              <w:rPr>
                <w:u w:val="single"/>
              </w:rPr>
            </w:pPr>
            <w:r w:rsidRPr="007403C7">
              <w:rPr>
                <w:u w:val="single"/>
              </w:rPr>
              <w:t>Industry views:</w:t>
            </w:r>
          </w:p>
          <w:p w14:paraId="769B9D9C" w14:textId="1DD6DE59" w:rsidR="00E62BF5" w:rsidRDefault="00FA648E" w:rsidP="005966F4">
            <w:pPr>
              <w:pStyle w:val="TableText"/>
              <w:spacing w:before="60" w:after="60"/>
            </w:pPr>
            <w:r>
              <w:t>T</w:t>
            </w:r>
            <w:r w:rsidR="00810F55">
              <w:t>he main organisations in Australia representing vehicle manufacturers</w:t>
            </w:r>
            <w:r w:rsidR="00E62BF5">
              <w:t xml:space="preserve"> have made representations to the Department requesting that a national approach to ZEV safety be implemented through </w:t>
            </w:r>
            <w:r w:rsidR="004F4B2C">
              <w:t xml:space="preserve">the </w:t>
            </w:r>
            <w:r w:rsidR="00E62BF5">
              <w:t>ADR</w:t>
            </w:r>
            <w:r w:rsidR="007403C7">
              <w:t>s</w:t>
            </w:r>
            <w:r w:rsidR="00E62BF5">
              <w:t xml:space="preserve"> as soon as possible.</w:t>
            </w:r>
            <w:r>
              <w:t xml:space="preserve"> </w:t>
            </w:r>
            <w:r w:rsidR="00E62BF5">
              <w:t xml:space="preserve">They consider </w:t>
            </w:r>
            <w:r w:rsidR="00E62BF5" w:rsidRPr="00CE12A1">
              <w:t xml:space="preserve">it </w:t>
            </w:r>
            <w:r w:rsidR="00E62BF5">
              <w:t>to be</w:t>
            </w:r>
            <w:r w:rsidR="00E62BF5" w:rsidRPr="00CE12A1">
              <w:t xml:space="preserve"> very important to provide for internationally harmonised certification pathways for E</w:t>
            </w:r>
            <w:r w:rsidR="007C1659">
              <w:t xml:space="preserve">lectric </w:t>
            </w:r>
            <w:r w:rsidR="00E62BF5" w:rsidRPr="00CE12A1">
              <w:t>V</w:t>
            </w:r>
            <w:r w:rsidR="007C1659">
              <w:t>ehicle</w:t>
            </w:r>
            <w:r w:rsidR="00E62BF5" w:rsidRPr="00CE12A1">
              <w:t>s</w:t>
            </w:r>
            <w:r w:rsidR="007C1659">
              <w:t xml:space="preserve"> (EVs)</w:t>
            </w:r>
            <w:r w:rsidR="00E62BF5" w:rsidRPr="00CE12A1">
              <w:t xml:space="preserve"> and </w:t>
            </w:r>
            <w:r w:rsidR="00E62BF5">
              <w:t>H</w:t>
            </w:r>
            <w:r w:rsidR="007C1659">
              <w:t>ydrogen-fuelled Fuel Cell Vehicles (H</w:t>
            </w:r>
            <w:r w:rsidR="00E62BF5">
              <w:t>FCV</w:t>
            </w:r>
            <w:r w:rsidR="00E62BF5" w:rsidRPr="00CE12A1">
              <w:t>s</w:t>
            </w:r>
            <w:r w:rsidR="007C1659">
              <w:t>)</w:t>
            </w:r>
            <w:r w:rsidR="00E62BF5" w:rsidRPr="00CE12A1">
              <w:t xml:space="preserve"> through UN Regulations</w:t>
            </w:r>
            <w:r w:rsidR="00E62BF5">
              <w:t xml:space="preserve"> No.</w:t>
            </w:r>
            <w:r w:rsidR="00E62BF5" w:rsidRPr="00CE12A1">
              <w:t xml:space="preserve"> 100 and </w:t>
            </w:r>
            <w:r w:rsidR="00E62BF5">
              <w:t xml:space="preserve">No. </w:t>
            </w:r>
            <w:r w:rsidR="00E62BF5" w:rsidRPr="00CE12A1">
              <w:t>134.</w:t>
            </w:r>
            <w:r w:rsidR="00E62BF5">
              <w:t xml:space="preserve">  The </w:t>
            </w:r>
            <w:r w:rsidR="00E62BF5" w:rsidRPr="00CE12A1">
              <w:t xml:space="preserve">FCAI </w:t>
            </w:r>
            <w:r w:rsidR="00E62BF5">
              <w:t>has expressed s</w:t>
            </w:r>
            <w:r w:rsidR="00E62BF5" w:rsidRPr="00CE12A1">
              <w:t>upport</w:t>
            </w:r>
            <w:r w:rsidR="00E62BF5">
              <w:t xml:space="preserve"> for</w:t>
            </w:r>
            <w:r w:rsidR="00E62BF5" w:rsidRPr="00CE12A1">
              <w:t xml:space="preserve"> fast tracking of these UN Regulations as ADRs on a “must comply, if fitted” basis</w:t>
            </w:r>
            <w:r w:rsidR="00E62BF5">
              <w:t xml:space="preserve">. </w:t>
            </w:r>
          </w:p>
          <w:p w14:paraId="4AFA689A" w14:textId="77777777" w:rsidR="00797928" w:rsidRDefault="00E62BF5" w:rsidP="00CE12A1">
            <w:pPr>
              <w:pStyle w:val="TableText"/>
              <w:spacing w:before="60" w:after="60"/>
            </w:pPr>
            <w:r>
              <w:t>T</w:t>
            </w:r>
            <w:r w:rsidR="00CD32D4">
              <w:t>he FCAI is</w:t>
            </w:r>
            <w:r>
              <w:t xml:space="preserve"> the</w:t>
            </w:r>
            <w:r w:rsidR="00CD32D4">
              <w:t xml:space="preserve"> </w:t>
            </w:r>
            <w:r w:rsidR="00CD32D4" w:rsidRPr="00CD32D4">
              <w:t>peak body representing suppliers of over 99</w:t>
            </w:r>
            <w:r w:rsidR="00CD32D4">
              <w:t xml:space="preserve"> per cent</w:t>
            </w:r>
            <w:r w:rsidR="00CD32D4" w:rsidRPr="00CD32D4">
              <w:t xml:space="preserve"> of </w:t>
            </w:r>
            <w:r w:rsidR="00CD32D4">
              <w:t xml:space="preserve">new </w:t>
            </w:r>
            <w:r w:rsidR="00CD32D4" w:rsidRPr="00CD32D4">
              <w:t>light duty vehicles to the Australian market</w:t>
            </w:r>
            <w:r w:rsidR="00CD32D4">
              <w:t xml:space="preserve">. </w:t>
            </w:r>
            <w:r>
              <w:t xml:space="preserve">The urgency for a national approach is based on </w:t>
            </w:r>
            <w:r w:rsidR="004F4B2C">
              <w:t>work progressed</w:t>
            </w:r>
            <w:r>
              <w:t xml:space="preserve"> by </w:t>
            </w:r>
            <w:r w:rsidR="00797928">
              <w:t>the</w:t>
            </w:r>
            <w:r w:rsidR="00CD32D4">
              <w:t xml:space="preserve"> </w:t>
            </w:r>
            <w:r w:rsidR="00CD32D4" w:rsidRPr="00CD32D4">
              <w:t>Resources Safety &amp; Health Queensland (RSHQ)</w:t>
            </w:r>
            <w:r w:rsidR="007403C7">
              <w:rPr>
                <w:rStyle w:val="FootnoteReference"/>
              </w:rPr>
              <w:footnoteReference w:id="7"/>
            </w:r>
            <w:r w:rsidR="00CD32D4">
              <w:t xml:space="preserve"> which</w:t>
            </w:r>
            <w:r w:rsidR="00CD32D4" w:rsidRPr="00CD32D4">
              <w:t xml:space="preserve"> is the independent regulator of worker safety and health in Queensland's mining, quarrying, petroleum</w:t>
            </w:r>
            <w:r w:rsidR="00CD32D4">
              <w:t>, gas and explosives industries</w:t>
            </w:r>
            <w:r w:rsidR="00A8316E">
              <w:t xml:space="preserve"> to implement safety measures for ZEVs</w:t>
            </w:r>
            <w:r w:rsidR="00CD32D4">
              <w:t xml:space="preserve">. </w:t>
            </w:r>
            <w:r w:rsidR="00797928">
              <w:t xml:space="preserve">The FCAI has indicated </w:t>
            </w:r>
            <w:r w:rsidR="00A8316E">
              <w:t>that there is a risk of different approaches by various jurisdictions if this becomes the common way to address safety concerns</w:t>
            </w:r>
            <w:r w:rsidR="004F4B2C">
              <w:t xml:space="preserve"> for alternatively powered vehicles</w:t>
            </w:r>
            <w:r w:rsidR="00A8316E">
              <w:t>.</w:t>
            </w:r>
          </w:p>
          <w:p w14:paraId="038BAA66" w14:textId="0FF126DA" w:rsidR="00FE6E9F" w:rsidRDefault="003D10B3" w:rsidP="000F2D2A">
            <w:pPr>
              <w:pStyle w:val="TableText"/>
              <w:spacing w:before="60" w:after="60"/>
            </w:pPr>
            <w:r>
              <w:t xml:space="preserve">The Bus Industry Confederation (BIC) is the lead organisation representing bus and coach manufacturers and suppliers on </w:t>
            </w:r>
            <w:r w:rsidRPr="003D10B3">
              <w:t>national policy and regulation issues</w:t>
            </w:r>
            <w:r>
              <w:t xml:space="preserve">. The Truck Industry Council (TIC) is the peak body </w:t>
            </w:r>
            <w:r w:rsidRPr="00CD32D4">
              <w:t>representing suppliers of over 9</w:t>
            </w:r>
            <w:r>
              <w:t>8 per cent</w:t>
            </w:r>
            <w:r w:rsidRPr="00CD32D4">
              <w:t xml:space="preserve"> of </w:t>
            </w:r>
            <w:r>
              <w:t>new heavy</w:t>
            </w:r>
            <w:r w:rsidRPr="00CD32D4">
              <w:t xml:space="preserve"> vehicles to the Australian market</w:t>
            </w:r>
            <w:r>
              <w:t xml:space="preserve">. </w:t>
            </w:r>
            <w:r w:rsidR="000F2D2A">
              <w:t>BIC and TIC are</w:t>
            </w:r>
            <w:r w:rsidR="007C1659">
              <w:t xml:space="preserve"> collectively</w:t>
            </w:r>
            <w:r w:rsidR="000F2D2A">
              <w:t xml:space="preserve"> developing industry advisories to initially help mitigate risks due to regulation gaps, </w:t>
            </w:r>
            <w:r w:rsidR="00F75537">
              <w:t xml:space="preserve">however, they both consider </w:t>
            </w:r>
            <w:r w:rsidR="000F2D2A">
              <w:t>it appropriate</w:t>
            </w:r>
            <w:r w:rsidR="00F75537">
              <w:t xml:space="preserve"> to adopt </w:t>
            </w:r>
            <w:r w:rsidR="007403C7">
              <w:t>ADRs</w:t>
            </w:r>
            <w:r w:rsidR="000F2D2A">
              <w:t xml:space="preserve"> </w:t>
            </w:r>
            <w:r w:rsidR="00937E96">
              <w:t xml:space="preserve">to </w:t>
            </w:r>
            <w:r w:rsidR="000F2D2A">
              <w:t>ensure that the appropriate safety and environmental outcomes are achieved with the ongoing introduction of heavy ZEV’s.</w:t>
            </w:r>
            <w:r w:rsidR="00FE6E9F">
              <w:t xml:space="preserve"> BIC and TIC have also raised a similar issue to the FCAI relating to </w:t>
            </w:r>
            <w:r w:rsidR="00FE6E9F" w:rsidRPr="00FE6E9F">
              <w:t xml:space="preserve">hydrogen fuel storage and distribution systems found </w:t>
            </w:r>
            <w:r w:rsidR="00FE6E9F">
              <w:t>on HFCVs</w:t>
            </w:r>
            <w:r w:rsidR="00FE6E9F" w:rsidRPr="00FE6E9F">
              <w:t>. The state and territor</w:t>
            </w:r>
            <w:r w:rsidR="00FE6E9F">
              <w:t>y regulators intend to</w:t>
            </w:r>
            <w:r w:rsidR="00FE6E9F" w:rsidRPr="00FE6E9F">
              <w:t xml:space="preserve"> treat the hydrogen high pressure gas requirements as a “gas appliance” under “WorkSafe” type legislation</w:t>
            </w:r>
            <w:r w:rsidR="00D80568">
              <w:t>. While the particular treatment may be appropriate</w:t>
            </w:r>
            <w:r w:rsidR="00FE6E9F" w:rsidRPr="00FE6E9F">
              <w:t>,</w:t>
            </w:r>
            <w:r w:rsidR="00D80568">
              <w:t xml:space="preserve"> these regulations are not national,</w:t>
            </w:r>
            <w:r w:rsidR="00FE6E9F" w:rsidRPr="00FE6E9F">
              <w:t xml:space="preserve"> which</w:t>
            </w:r>
            <w:r w:rsidR="00D80568">
              <w:t xml:space="preserve"> therefore</w:t>
            </w:r>
            <w:r w:rsidR="00FE6E9F" w:rsidRPr="00FE6E9F">
              <w:t xml:space="preserve"> does not guarantee mutual recognition when moving vehicle</w:t>
            </w:r>
            <w:r w:rsidR="00D80568">
              <w:t>s</w:t>
            </w:r>
            <w:r w:rsidR="00FE6E9F" w:rsidRPr="00FE6E9F">
              <w:t xml:space="preserve"> across borders and/or registering them.</w:t>
            </w:r>
            <w:r w:rsidR="00FE6E9F">
              <w:t xml:space="preserve"> </w:t>
            </w:r>
          </w:p>
          <w:p w14:paraId="2014C55A" w14:textId="77777777" w:rsidR="00134FE7" w:rsidRDefault="00134FE7" w:rsidP="005966F4">
            <w:pPr>
              <w:pStyle w:val="TableText"/>
              <w:spacing w:before="60" w:after="60"/>
            </w:pPr>
          </w:p>
          <w:p w14:paraId="57E3CD4F" w14:textId="77777777" w:rsidR="005966F4" w:rsidRPr="007403C7" w:rsidRDefault="00134FE7" w:rsidP="005966F4">
            <w:pPr>
              <w:pStyle w:val="TableText"/>
              <w:spacing w:before="60" w:after="60"/>
              <w:rPr>
                <w:u w:val="single"/>
              </w:rPr>
            </w:pPr>
            <w:r w:rsidRPr="007403C7">
              <w:rPr>
                <w:u w:val="single"/>
              </w:rPr>
              <w:t>Electric Vehicles</w:t>
            </w:r>
            <w:r w:rsidR="00E42EA1">
              <w:rPr>
                <w:u w:val="single"/>
              </w:rPr>
              <w:t xml:space="preserve"> (EVs)</w:t>
            </w:r>
            <w:r w:rsidRPr="007403C7">
              <w:rPr>
                <w:u w:val="single"/>
              </w:rPr>
              <w:t>:</w:t>
            </w:r>
          </w:p>
          <w:p w14:paraId="594831B4" w14:textId="68CB5916" w:rsidR="005966F4" w:rsidRDefault="005966F4" w:rsidP="00F5426F">
            <w:pPr>
              <w:pStyle w:val="TableText"/>
              <w:spacing w:before="60" w:after="60"/>
            </w:pPr>
            <w:r>
              <w:t xml:space="preserve">Electric propulsion technology is </w:t>
            </w:r>
            <w:r w:rsidR="00D00A96">
              <w:t>quite</w:t>
            </w:r>
            <w:r>
              <w:t xml:space="preserve"> mature, but recent advances in energy storage (batteries, capacitors, flywheels) have la</w:t>
            </w:r>
            <w:r w:rsidR="00D00A96">
              <w:t xml:space="preserve">rgely improved </w:t>
            </w:r>
            <w:r w:rsidR="003B31EF">
              <w:t>EV</w:t>
            </w:r>
            <w:r>
              <w:t xml:space="preserve"> performance and made them a valid choice for consumers</w:t>
            </w:r>
            <w:r w:rsidR="00D00A96">
              <w:t xml:space="preserve"> today</w:t>
            </w:r>
            <w:r>
              <w:t xml:space="preserve">. There is considerable potential for further developments in automotive energy storage. </w:t>
            </w:r>
            <w:r w:rsidR="00F75537">
              <w:t>Many governments, including the Australian Government</w:t>
            </w:r>
            <w:r w:rsidR="00AA284C">
              <w:rPr>
                <w:rStyle w:val="FootnoteReference"/>
              </w:rPr>
              <w:footnoteReference w:id="8"/>
            </w:r>
            <w:r w:rsidR="00F75537">
              <w:t xml:space="preserve">, considers </w:t>
            </w:r>
            <w:r w:rsidR="00D00A96">
              <w:t>EVs</w:t>
            </w:r>
            <w:r>
              <w:t xml:space="preserve">, like hydrogen and fuel cell vehicles, represent a promising technology </w:t>
            </w:r>
            <w:r w:rsidR="00F75537">
              <w:t>to</w:t>
            </w:r>
            <w:r>
              <w:t xml:space="preserve"> address climate change, improving air quality and cutting oil dependency. The current regulatory pressure to lower CO</w:t>
            </w:r>
            <w:r w:rsidRPr="00D00A96">
              <w:rPr>
                <w:vertAlign w:val="subscript"/>
              </w:rPr>
              <w:t>2</w:t>
            </w:r>
            <w:r>
              <w:t xml:space="preserve"> and pollutant emissions is helping to drive an increasing market penetration of </w:t>
            </w:r>
            <w:r w:rsidR="00D00A96">
              <w:t>EVs</w:t>
            </w:r>
            <w:r>
              <w:t xml:space="preserve">. Furthermore, many governments support the development and deployment of </w:t>
            </w:r>
            <w:r w:rsidR="00D00A96">
              <w:t>EVs</w:t>
            </w:r>
            <w:r>
              <w:t xml:space="preserve"> by financing research or offering incentives for consumers</w:t>
            </w:r>
            <w:r w:rsidR="007403C7">
              <w:rPr>
                <w:rStyle w:val="FootnoteReference"/>
              </w:rPr>
              <w:footnoteReference w:id="9"/>
            </w:r>
            <w:r>
              <w:t xml:space="preserve">. Consequently, the </w:t>
            </w:r>
            <w:r>
              <w:lastRenderedPageBreak/>
              <w:t xml:space="preserve">automotive industry is investing in research and development, as well as the production capacity for </w:t>
            </w:r>
            <w:r w:rsidR="00D00A96">
              <w:t>EVs</w:t>
            </w:r>
            <w:r>
              <w:t>, at a scale not seen in the past.</w:t>
            </w:r>
          </w:p>
          <w:p w14:paraId="41A7B6B5" w14:textId="77777777" w:rsidR="005966F4" w:rsidRDefault="005966F4" w:rsidP="00F5426F">
            <w:pPr>
              <w:pStyle w:val="TableText"/>
              <w:spacing w:before="60" w:after="60"/>
            </w:pPr>
            <w:r>
              <w:t xml:space="preserve">Together with support measures for industry development, many governments have already started to define their regulatory framework for </w:t>
            </w:r>
            <w:r w:rsidR="00D00A96">
              <w:t>EVs</w:t>
            </w:r>
            <w:r>
              <w:t>, mostly in order to ensure their safety and thus gain consumer confidence, but also in consideration of environmental performance measures.</w:t>
            </w:r>
          </w:p>
          <w:p w14:paraId="5A19224E" w14:textId="77777777" w:rsidR="005966F4" w:rsidRDefault="005966F4" w:rsidP="00F5426F">
            <w:pPr>
              <w:pStyle w:val="TableText"/>
              <w:spacing w:before="60" w:after="60"/>
            </w:pPr>
            <w:r>
              <w:t xml:space="preserve">Because of the relatively small volume of </w:t>
            </w:r>
            <w:r w:rsidR="00906EA5">
              <w:t>EVs</w:t>
            </w:r>
            <w:r>
              <w:t xml:space="preserve"> and their components currently produced, any degree of convergence between regulatory obligations can result in economies of scale and cost reductions for automotive manufacturers </w:t>
            </w:r>
            <w:r w:rsidR="00906EA5">
              <w:t>and therefore the consumer</w:t>
            </w:r>
            <w:r>
              <w:t>– critical in the context of economic recovery and the general cost</w:t>
            </w:r>
            <w:r w:rsidR="00906EA5">
              <w:t>-sensitiveness of the industry.</w:t>
            </w:r>
          </w:p>
          <w:p w14:paraId="11460166" w14:textId="77777777" w:rsidR="00025CDC" w:rsidRDefault="00025CDC" w:rsidP="00F5426F">
            <w:pPr>
              <w:pStyle w:val="TableText"/>
              <w:spacing w:before="60" w:after="60"/>
            </w:pPr>
          </w:p>
          <w:p w14:paraId="45B07195" w14:textId="77777777" w:rsidR="00134FE7" w:rsidRPr="00025CDC" w:rsidRDefault="00906EA5" w:rsidP="00F5426F">
            <w:pPr>
              <w:pStyle w:val="TableText"/>
              <w:spacing w:before="60" w:after="60"/>
              <w:rPr>
                <w:u w:val="single"/>
              </w:rPr>
            </w:pPr>
            <w:r w:rsidRPr="00025CDC">
              <w:rPr>
                <w:u w:val="single"/>
              </w:rPr>
              <w:t>Hydrogen-</w:t>
            </w:r>
            <w:r w:rsidR="00134FE7" w:rsidRPr="00025CDC">
              <w:rPr>
                <w:u w:val="single"/>
              </w:rPr>
              <w:t>Fuel</w:t>
            </w:r>
            <w:r w:rsidRPr="00025CDC">
              <w:rPr>
                <w:u w:val="single"/>
              </w:rPr>
              <w:t>led</w:t>
            </w:r>
            <w:r w:rsidR="00F708B8" w:rsidRPr="00025CDC">
              <w:rPr>
                <w:u w:val="single"/>
              </w:rPr>
              <w:t xml:space="preserve"> Fuel Cell</w:t>
            </w:r>
            <w:r w:rsidR="00134FE7" w:rsidRPr="00025CDC">
              <w:rPr>
                <w:u w:val="single"/>
              </w:rPr>
              <w:t xml:space="preserve"> Vehicles</w:t>
            </w:r>
            <w:r w:rsidR="00E42EA1">
              <w:rPr>
                <w:u w:val="single"/>
              </w:rPr>
              <w:t xml:space="preserve"> (HFCVs)</w:t>
            </w:r>
            <w:r w:rsidR="00134FE7" w:rsidRPr="00025CDC">
              <w:rPr>
                <w:u w:val="single"/>
              </w:rPr>
              <w:t>:</w:t>
            </w:r>
          </w:p>
          <w:p w14:paraId="1D023E91" w14:textId="77777777" w:rsidR="00906EA5" w:rsidRDefault="00D00A96" w:rsidP="00D00A96">
            <w:pPr>
              <w:pStyle w:val="TableText"/>
              <w:spacing w:before="60" w:after="60"/>
            </w:pPr>
            <w:r>
              <w:t xml:space="preserve">Hydrogen has emerged as one of the most promising alternatives due to its vehicle </w:t>
            </w:r>
            <w:r w:rsidR="00906EA5">
              <w:t>emissions being virtually zero. Scientists, researchers and economists have pointed to hydrogen, in both compressed gaseous and liquid forms, as a possible alternative to petroleum and diesel as a vehicle fuel. Ensuring the safe use of hydrogen as a fuel is a critical element in successful transitioning to a global</w:t>
            </w:r>
            <w:r w:rsidR="00F708B8">
              <w:t xml:space="preserve"> and local </w:t>
            </w:r>
            <w:r w:rsidR="00906EA5">
              <w:t>hydrogen economy. By their nature, all fuels present an inherent degree of danger due to their energy content. The safe use of hydrogen, particularly in the compressed gaseous form, lies in preventing catastrophic failures involving a combination of fuel, air and ignition sources as well as pressure and electrical hazards.</w:t>
            </w:r>
          </w:p>
          <w:p w14:paraId="7A27078E" w14:textId="77777777" w:rsidR="00906EA5" w:rsidRDefault="00906EA5" w:rsidP="00D00A96">
            <w:pPr>
              <w:pStyle w:val="TableText"/>
              <w:spacing w:before="60" w:after="60"/>
            </w:pPr>
            <w:r>
              <w:t>Internationally, governments have identified the development of regulations and standards as one of the key requirements for commerciali</w:t>
            </w:r>
            <w:r w:rsidR="00E42EA1">
              <w:t>s</w:t>
            </w:r>
            <w:r>
              <w:t xml:space="preserve">ation of hydrogen-fuelled vehicles. It is </w:t>
            </w:r>
            <w:r w:rsidR="00F7467F">
              <w:t xml:space="preserve">expected </w:t>
            </w:r>
            <w:r>
              <w:t xml:space="preserve">that </w:t>
            </w:r>
            <w:r w:rsidR="00604905">
              <w:t>internationally agreed</w:t>
            </w:r>
            <w:r>
              <w:t xml:space="preserve"> standards will help overcome technological barriers to commerciali</w:t>
            </w:r>
            <w:r w:rsidR="00E42EA1">
              <w:t>s</w:t>
            </w:r>
            <w:r>
              <w:t>ation, facilitate manufacturers’ investment in building hydrogen-fuelled vehicles and facilitate public acceptance by providing a systematic and accurate means of assessing and communicating the risk associated with the use of hydrogen vehicles, be it to the general public, consumer, emergency response personnel or the insurance industry.</w:t>
            </w:r>
          </w:p>
          <w:p w14:paraId="7E012C40" w14:textId="1DE677F8" w:rsidR="00997873" w:rsidRDefault="00604905" w:rsidP="00F708B8">
            <w:pPr>
              <w:pStyle w:val="TableText"/>
              <w:spacing w:before="60" w:after="60"/>
            </w:pPr>
            <w:r>
              <w:t xml:space="preserve">Hydrogen fuelled vehicles can use either internal combustion engine (ICEs) or fuel cells to provide power; however, hydrogen-fuelled vehicles are typically powered by fuel cell power systems. </w:t>
            </w:r>
            <w:r w:rsidR="007C1659">
              <w:t>HFCVs</w:t>
            </w:r>
            <w:r>
              <w:t xml:space="preserve"> have an electric drivetrain powered by a fuel cell that generates electric power electrochemically using hydrogen.</w:t>
            </w:r>
          </w:p>
        </w:tc>
      </w:tr>
      <w:tr w:rsidR="00F5426F" w14:paraId="06317CB9" w14:textId="77777777" w:rsidTr="00E84FFD">
        <w:tc>
          <w:tcPr>
            <w:tcW w:w="10456" w:type="dxa"/>
            <w:gridSpan w:val="2"/>
          </w:tcPr>
          <w:p w14:paraId="69BDA1FF" w14:textId="77777777" w:rsidR="00F5426F" w:rsidRDefault="00F5426F" w:rsidP="00F5426F">
            <w:pPr>
              <w:pStyle w:val="TableText"/>
              <w:spacing w:before="60" w:after="60"/>
              <w:rPr>
                <w:b/>
              </w:rPr>
            </w:pPr>
            <w:r w:rsidRPr="00BB6E8B">
              <w:rPr>
                <w:b/>
              </w:rPr>
              <w:lastRenderedPageBreak/>
              <w:t>Outline of the objectives of government action</w:t>
            </w:r>
          </w:p>
          <w:p w14:paraId="2AFCA215" w14:textId="77777777" w:rsidR="00997873" w:rsidRDefault="00997873" w:rsidP="00997873">
            <w:pPr>
              <w:pStyle w:val="TableText"/>
              <w:spacing w:before="60" w:after="60"/>
            </w:pPr>
            <w:r>
              <w:t xml:space="preserve">The ADRs are national standards for vehicle safety, anti-theft and emissions. The ADRs apply to vehicles supplied to the Australian market for use in transport (i.e. road vehicles), including vehicles newly manufactured in Australia, imported as new or second-hand vehicles. </w:t>
            </w:r>
          </w:p>
          <w:p w14:paraId="38E2CF6E" w14:textId="77777777" w:rsidR="00997873" w:rsidRDefault="00997873" w:rsidP="00997873">
            <w:pPr>
              <w:pStyle w:val="TableText"/>
              <w:spacing w:before="60" w:after="60"/>
            </w:pPr>
            <w:r w:rsidRPr="007403C7">
              <w:t>The general objective of the Australian Government is to ensure that the most appropriate measures for delivering safer vehicles to the Aust</w:t>
            </w:r>
            <w:r>
              <w:t xml:space="preserve">ralian community are in place. </w:t>
            </w:r>
            <w:r w:rsidRPr="007403C7">
              <w:t>The most appropriate measures will be those which provide the greatest net benefit to society and are in accordance with Australia’s international obligations.</w:t>
            </w:r>
            <w:r>
              <w:t xml:space="preserve"> </w:t>
            </w:r>
          </w:p>
          <w:p w14:paraId="431A6CCB" w14:textId="77777777" w:rsidR="00AD700A" w:rsidRDefault="00997873" w:rsidP="00997873">
            <w:pPr>
              <w:pStyle w:val="TableText"/>
              <w:spacing w:before="60" w:after="60"/>
            </w:pPr>
            <w:r>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2927451A" w14:textId="77777777" w:rsidR="00AD700A" w:rsidRDefault="00AD700A" w:rsidP="00997873">
            <w:pPr>
              <w:pStyle w:val="TableText"/>
              <w:spacing w:before="60" w:after="60"/>
            </w:pPr>
          </w:p>
          <w:p w14:paraId="30A747BC" w14:textId="77777777" w:rsidR="00AD700A" w:rsidRDefault="00AD700A" w:rsidP="00997873">
            <w:pPr>
              <w:pStyle w:val="TableText"/>
              <w:spacing w:before="60" w:after="60"/>
            </w:pPr>
          </w:p>
          <w:p w14:paraId="3885A115" w14:textId="77777777" w:rsidR="00AD700A" w:rsidRDefault="00AD700A" w:rsidP="00997873">
            <w:pPr>
              <w:pStyle w:val="TableText"/>
              <w:spacing w:before="60" w:after="60"/>
            </w:pPr>
          </w:p>
          <w:p w14:paraId="757A3151" w14:textId="77777777" w:rsidR="00AD700A" w:rsidRDefault="00AD700A" w:rsidP="00997873">
            <w:pPr>
              <w:pStyle w:val="TableText"/>
              <w:spacing w:before="60" w:after="60"/>
            </w:pPr>
          </w:p>
          <w:p w14:paraId="3068244E" w14:textId="77777777" w:rsidR="00AD700A" w:rsidRDefault="00AD700A" w:rsidP="00997873">
            <w:pPr>
              <w:pStyle w:val="TableText"/>
              <w:spacing w:before="60" w:after="60"/>
            </w:pPr>
          </w:p>
          <w:p w14:paraId="5A2B76BE" w14:textId="264599FB" w:rsidR="00997873" w:rsidRDefault="00997873" w:rsidP="00997873">
            <w:pPr>
              <w:pStyle w:val="TableText"/>
              <w:spacing w:before="60" w:after="60"/>
            </w:pPr>
          </w:p>
          <w:p w14:paraId="50773FD9" w14:textId="2A9A63CB" w:rsidR="00997873" w:rsidRPr="007403C7" w:rsidRDefault="005749F2" w:rsidP="00997873">
            <w:pPr>
              <w:pStyle w:val="TableText"/>
              <w:spacing w:before="60" w:after="60"/>
              <w:rPr>
                <w:u w:val="single"/>
              </w:rPr>
            </w:pPr>
            <w:r>
              <w:rPr>
                <w:u w:val="single"/>
              </w:rPr>
              <w:lastRenderedPageBreak/>
              <w:t>J</w:t>
            </w:r>
            <w:r w:rsidR="00997873" w:rsidRPr="007403C7">
              <w:rPr>
                <w:u w:val="single"/>
              </w:rPr>
              <w:t>ustification for introducing national vehicle standards for ZEVs:</w:t>
            </w:r>
          </w:p>
          <w:p w14:paraId="09D94618" w14:textId="288BDC8D" w:rsidR="00997873" w:rsidRDefault="00997873" w:rsidP="00997873">
            <w:pPr>
              <w:pStyle w:val="TableText"/>
              <w:spacing w:before="60" w:after="60"/>
            </w:pPr>
            <w:r w:rsidRPr="006E14BA">
              <w:t>The justifications for introducing ADR</w:t>
            </w:r>
            <w:r>
              <w:t>s for ZEVs</w:t>
            </w:r>
            <w:r w:rsidRPr="006E14BA">
              <w:t xml:space="preserve"> </w:t>
            </w:r>
            <w:r w:rsidR="00CA468D">
              <w:t xml:space="preserve">are </w:t>
            </w:r>
            <w:r w:rsidRPr="006E14BA">
              <w:t xml:space="preserve">that </w:t>
            </w:r>
            <w:r w:rsidR="00CA468D">
              <w:t>they</w:t>
            </w:r>
            <w:r w:rsidRPr="006E14BA">
              <w:t xml:space="preserve"> provide</w:t>
            </w:r>
            <w:r>
              <w:t xml:space="preserve"> a</w:t>
            </w:r>
            <w:r w:rsidRPr="006E14BA">
              <w:t xml:space="preserve"> national </w:t>
            </w:r>
            <w:r>
              <w:t>certification pathway</w:t>
            </w:r>
            <w:r w:rsidRPr="006E14BA">
              <w:t xml:space="preserve">; as </w:t>
            </w:r>
            <w:r>
              <w:t xml:space="preserve">the ADRs </w:t>
            </w:r>
            <w:r w:rsidRPr="006E14BA">
              <w:t xml:space="preserve">will be incorporating UN </w:t>
            </w:r>
            <w:r>
              <w:t>regulations</w:t>
            </w:r>
            <w:r w:rsidRPr="006E14BA">
              <w:t xml:space="preserve">, align with international standards and most importantly because industry has </w:t>
            </w:r>
            <w:r>
              <w:t>requested the Department to consider them as a matter of urgency</w:t>
            </w:r>
            <w:r w:rsidRPr="006E14BA">
              <w:t>.</w:t>
            </w:r>
            <w:r>
              <w:rPr>
                <w:rStyle w:val="FootnoteReference"/>
              </w:rPr>
              <w:footnoteReference w:id="10"/>
            </w:r>
          </w:p>
          <w:p w14:paraId="6F62CD86" w14:textId="37985F87" w:rsidR="00997873" w:rsidRDefault="00CA468D" w:rsidP="00997873">
            <w:pPr>
              <w:pStyle w:val="TableText"/>
              <w:spacing w:before="60" w:after="60"/>
            </w:pPr>
            <w:r>
              <w:t>I</w:t>
            </w:r>
            <w:r w:rsidR="00997873">
              <w:t>ndustry, first responders and safety experts agree that standards for ZEVs are necessary to ensure the transition to a higher proportion of ZEVs in the fleet should not compromise on safety of the fleet.</w:t>
            </w:r>
          </w:p>
          <w:p w14:paraId="3C738078" w14:textId="77777777" w:rsidR="007116C4" w:rsidRDefault="00997873" w:rsidP="00521508">
            <w:pPr>
              <w:pStyle w:val="TableText"/>
              <w:spacing w:before="60" w:after="60"/>
            </w:pPr>
            <w:r>
              <w:t>The Australian Government’s objective is to m</w:t>
            </w:r>
            <w:r w:rsidR="00BB6E8B">
              <w:t>andate two new ADRs</w:t>
            </w:r>
            <w:r w:rsidR="00521508">
              <w:t xml:space="preserve"> on a “if fitted, must comply” basis</w:t>
            </w:r>
            <w:r w:rsidR="00BB6E8B">
              <w:t xml:space="preserve"> to ensure </w:t>
            </w:r>
            <w:r w:rsidR="00521508">
              <w:t xml:space="preserve">new </w:t>
            </w:r>
            <w:r w:rsidR="00BB6E8B">
              <w:t xml:space="preserve">vehicles equipped with these emerging technologies are as safe as conventional Internal Combustion Engine (ICE) vehicles </w:t>
            </w:r>
            <w:r w:rsidR="00B62229">
              <w:t xml:space="preserve">in use as well as </w:t>
            </w:r>
            <w:r w:rsidR="00BB6E8B">
              <w:t xml:space="preserve">before, during and after a </w:t>
            </w:r>
            <w:r w:rsidR="00B62229">
              <w:t>collision</w:t>
            </w:r>
            <w:r w:rsidR="00521508">
              <w:t xml:space="preserve">. </w:t>
            </w:r>
          </w:p>
          <w:p w14:paraId="36145FEC" w14:textId="42A24AA2" w:rsidR="00521508" w:rsidRDefault="00521508" w:rsidP="00521508">
            <w:pPr>
              <w:pStyle w:val="TableText"/>
              <w:spacing w:before="60" w:after="60"/>
            </w:pPr>
            <w:r>
              <w:t>This proposal also provides certainty for vehicle manufacturers</w:t>
            </w:r>
            <w:r w:rsidR="00AA284C">
              <w:t>, technicians</w:t>
            </w:r>
            <w:r w:rsidR="007116C4">
              <w:t xml:space="preserve"> and emergency services workers</w:t>
            </w:r>
            <w:r>
              <w:t xml:space="preserve"> by </w:t>
            </w:r>
            <w:r w:rsidR="007116C4">
              <w:t>setting nationally consistent</w:t>
            </w:r>
            <w:r>
              <w:t xml:space="preserve"> </w:t>
            </w:r>
            <w:r w:rsidRPr="00521508">
              <w:t xml:space="preserve">regulatory requirements to support the introduction of </w:t>
            </w:r>
            <w:r>
              <w:t>alternatively powered</w:t>
            </w:r>
            <w:r w:rsidRPr="00521508">
              <w:t xml:space="preserve"> vehicles in Australia</w:t>
            </w:r>
            <w:r w:rsidR="005E116F">
              <w:t>.</w:t>
            </w:r>
            <w:r w:rsidR="008D26CD">
              <w:t xml:space="preserve"> Furthermore, this </w:t>
            </w:r>
            <w:r w:rsidR="008D26CD" w:rsidRPr="008D26CD">
              <w:t xml:space="preserve">proposal aligns with </w:t>
            </w:r>
            <w:r w:rsidR="008D26CD">
              <w:t>the</w:t>
            </w:r>
            <w:r w:rsidR="008D26CD" w:rsidRPr="008D26CD">
              <w:t xml:space="preserve"> Department’s role in supporting the Australian Government to reach its emissions reductions targets and achieve net zero.</w:t>
            </w:r>
          </w:p>
          <w:p w14:paraId="46B0C2E4" w14:textId="77777777" w:rsidR="002E41A0" w:rsidRPr="00BB6E8B" w:rsidRDefault="002E41A0" w:rsidP="00521508">
            <w:pPr>
              <w:pStyle w:val="TableText"/>
              <w:spacing w:before="60" w:after="60"/>
            </w:pPr>
          </w:p>
        </w:tc>
      </w:tr>
      <w:tr w:rsidR="00F5426F" w14:paraId="29968753" w14:textId="77777777" w:rsidTr="00E84FFD">
        <w:tc>
          <w:tcPr>
            <w:tcW w:w="10456" w:type="dxa"/>
            <w:gridSpan w:val="2"/>
          </w:tcPr>
          <w:p w14:paraId="338A7B28" w14:textId="77777777" w:rsidR="00F5426F" w:rsidRPr="00BB6E8B" w:rsidRDefault="00F5426F" w:rsidP="00F5426F">
            <w:pPr>
              <w:pStyle w:val="TableText"/>
              <w:spacing w:before="60" w:after="60"/>
              <w:rPr>
                <w:b/>
              </w:rPr>
            </w:pPr>
            <w:r w:rsidRPr="00BB6E8B">
              <w:rPr>
                <w:b/>
              </w:rPr>
              <w:lastRenderedPageBreak/>
              <w:t>Outline of the options available</w:t>
            </w:r>
          </w:p>
          <w:p w14:paraId="62A37EFA" w14:textId="77777777" w:rsidR="002E41A0" w:rsidRDefault="002E41A0" w:rsidP="002E41A0">
            <w:pPr>
              <w:pStyle w:val="TableText"/>
              <w:spacing w:before="60" w:after="60"/>
              <w:rPr>
                <w:u w:val="single"/>
              </w:rPr>
            </w:pPr>
            <w:r>
              <w:rPr>
                <w:u w:val="single"/>
              </w:rPr>
              <w:t xml:space="preserve">Option 1: </w:t>
            </w:r>
            <w:r w:rsidR="00AC60EE">
              <w:rPr>
                <w:u w:val="single"/>
              </w:rPr>
              <w:t>Create</w:t>
            </w:r>
            <w:r w:rsidR="00CC6D09">
              <w:rPr>
                <w:u w:val="single"/>
              </w:rPr>
              <w:t xml:space="preserve"> two</w:t>
            </w:r>
            <w:r w:rsidR="00AC60EE">
              <w:rPr>
                <w:u w:val="single"/>
              </w:rPr>
              <w:t xml:space="preserve"> new ADRs for EVs and HFCVs</w:t>
            </w:r>
            <w:r>
              <w:rPr>
                <w:u w:val="single"/>
              </w:rPr>
              <w:t xml:space="preserve"> (</w:t>
            </w:r>
            <w:r w:rsidRPr="00A8468B">
              <w:rPr>
                <w:b/>
                <w:u w:val="single"/>
              </w:rPr>
              <w:t>preferred option</w:t>
            </w:r>
            <w:r>
              <w:rPr>
                <w:u w:val="single"/>
              </w:rPr>
              <w:t>)</w:t>
            </w:r>
          </w:p>
          <w:p w14:paraId="354B27AB" w14:textId="77777777" w:rsidR="00037BE1" w:rsidRDefault="002E41A0" w:rsidP="002E41A0">
            <w:pPr>
              <w:pStyle w:val="TableText"/>
              <w:spacing w:before="60" w:after="60"/>
            </w:pPr>
            <w:r>
              <w:t xml:space="preserve">Under this option, </w:t>
            </w:r>
            <w:r w:rsidR="00165A97">
              <w:t>two new ADRs would be made requiring all</w:t>
            </w:r>
            <w:r w:rsidR="005C6BB6">
              <w:t xml:space="preserve"> new</w:t>
            </w:r>
            <w:r w:rsidR="00165A97">
              <w:t xml:space="preserve"> light and heavy EVs and HFCVs </w:t>
            </w:r>
            <w:r w:rsidR="001E2959">
              <w:t xml:space="preserve">to meet a range of requirements aimed at reducing risks associated with these </w:t>
            </w:r>
            <w:r w:rsidR="00AE30AB">
              <w:t>vehicles</w:t>
            </w:r>
            <w:r w:rsidR="001E2959">
              <w:t>.</w:t>
            </w:r>
            <w:r w:rsidR="006A44F1">
              <w:t xml:space="preserve"> </w:t>
            </w:r>
          </w:p>
          <w:p w14:paraId="1F3DA5B6" w14:textId="77777777" w:rsidR="006A44F1" w:rsidRDefault="006A44F1" w:rsidP="002E41A0">
            <w:pPr>
              <w:pStyle w:val="TableText"/>
              <w:spacing w:before="60" w:after="60"/>
            </w:pPr>
            <w:r>
              <w:t xml:space="preserve">The key </w:t>
            </w:r>
            <w:r w:rsidR="00037BE1">
              <w:t xml:space="preserve">safety </w:t>
            </w:r>
            <w:r>
              <w:t xml:space="preserve">features </w:t>
            </w:r>
            <w:r w:rsidR="00037BE1">
              <w:t>introduced by</w:t>
            </w:r>
            <w:r>
              <w:t xml:space="preserve"> </w:t>
            </w:r>
            <w:r w:rsidR="00037BE1">
              <w:t>A</w:t>
            </w:r>
            <w:r w:rsidR="00C756CC">
              <w:t>DR 109</w:t>
            </w:r>
            <w:r w:rsidR="00037BE1">
              <w:t>/00</w:t>
            </w:r>
            <w:r>
              <w:t xml:space="preserve"> would cover:</w:t>
            </w:r>
          </w:p>
          <w:p w14:paraId="1B0B01C0" w14:textId="77777777" w:rsidR="00CA0CF5" w:rsidRDefault="00CA0CF5" w:rsidP="00331073">
            <w:pPr>
              <w:pStyle w:val="TableText"/>
              <w:numPr>
                <w:ilvl w:val="0"/>
                <w:numId w:val="13"/>
              </w:numPr>
              <w:spacing w:before="60" w:after="60"/>
            </w:pPr>
            <w:r>
              <w:t>Protection against electric shock and direct contact</w:t>
            </w:r>
          </w:p>
          <w:p w14:paraId="104ED2EF" w14:textId="77777777" w:rsidR="00CA0CF5" w:rsidRDefault="00CA0CF5" w:rsidP="00331073">
            <w:pPr>
              <w:pStyle w:val="TableText"/>
              <w:numPr>
                <w:ilvl w:val="0"/>
                <w:numId w:val="13"/>
              </w:numPr>
              <w:spacing w:before="60" w:after="60"/>
            </w:pPr>
            <w:r>
              <w:t>Determination of hydrogen emissions during normal charge procedures</w:t>
            </w:r>
          </w:p>
          <w:p w14:paraId="3AFEC66F" w14:textId="77777777" w:rsidR="00CA0CF5" w:rsidRDefault="00CA0CF5" w:rsidP="00331073">
            <w:pPr>
              <w:pStyle w:val="TableText"/>
              <w:numPr>
                <w:ilvl w:val="0"/>
                <w:numId w:val="13"/>
              </w:numPr>
              <w:spacing w:before="60" w:after="60"/>
            </w:pPr>
            <w:r>
              <w:t>Vibration, mechanical impact (crash), thermal shock and cycling tests to ensure none of the below occurs:</w:t>
            </w:r>
          </w:p>
          <w:p w14:paraId="5B0F5F39" w14:textId="77777777" w:rsidR="00CA0CF5" w:rsidRDefault="00CA0CF5" w:rsidP="00331073">
            <w:pPr>
              <w:pStyle w:val="TableText"/>
              <w:numPr>
                <w:ilvl w:val="1"/>
                <w:numId w:val="13"/>
              </w:numPr>
              <w:spacing w:before="60" w:after="60"/>
            </w:pPr>
            <w:r>
              <w:t>Electrolyte leakage</w:t>
            </w:r>
          </w:p>
          <w:p w14:paraId="77C4F1CF" w14:textId="77777777" w:rsidR="00CA0CF5" w:rsidRDefault="00CA0CF5" w:rsidP="00331073">
            <w:pPr>
              <w:pStyle w:val="TableText"/>
              <w:numPr>
                <w:ilvl w:val="1"/>
                <w:numId w:val="13"/>
              </w:numPr>
              <w:spacing w:before="60" w:after="60"/>
            </w:pPr>
            <w:r>
              <w:t>Rupture of battery</w:t>
            </w:r>
          </w:p>
          <w:p w14:paraId="597D85D0" w14:textId="77777777" w:rsidR="00CA0CF5" w:rsidRDefault="00CA0CF5" w:rsidP="00331073">
            <w:pPr>
              <w:pStyle w:val="TableText"/>
              <w:numPr>
                <w:ilvl w:val="1"/>
                <w:numId w:val="13"/>
              </w:numPr>
              <w:spacing w:before="60" w:after="60"/>
            </w:pPr>
            <w:r>
              <w:t xml:space="preserve">Venting </w:t>
            </w:r>
          </w:p>
          <w:p w14:paraId="3F8360E4" w14:textId="77777777" w:rsidR="00CA0CF5" w:rsidRDefault="00CA0CF5" w:rsidP="00331073">
            <w:pPr>
              <w:pStyle w:val="TableText"/>
              <w:numPr>
                <w:ilvl w:val="1"/>
                <w:numId w:val="13"/>
              </w:numPr>
              <w:spacing w:before="60" w:after="60"/>
            </w:pPr>
            <w:r>
              <w:t>Fire</w:t>
            </w:r>
          </w:p>
          <w:p w14:paraId="2E28ECFC" w14:textId="77777777" w:rsidR="00CA0CF5" w:rsidRDefault="00CA0CF5" w:rsidP="00331073">
            <w:pPr>
              <w:pStyle w:val="TableText"/>
              <w:numPr>
                <w:ilvl w:val="1"/>
                <w:numId w:val="13"/>
              </w:numPr>
              <w:spacing w:before="60" w:after="60"/>
            </w:pPr>
            <w:r>
              <w:t>Explosion</w:t>
            </w:r>
          </w:p>
          <w:p w14:paraId="7318576F" w14:textId="77777777" w:rsidR="00CA0CF5" w:rsidRDefault="00CA0CF5" w:rsidP="00331073">
            <w:pPr>
              <w:pStyle w:val="TableText"/>
              <w:numPr>
                <w:ilvl w:val="0"/>
                <w:numId w:val="13"/>
              </w:numPr>
              <w:spacing w:before="60" w:after="60"/>
            </w:pPr>
            <w:r>
              <w:t>Fire resistance</w:t>
            </w:r>
            <w:r w:rsidR="00037BE1">
              <w:t xml:space="preserve"> and protection against water effects</w:t>
            </w:r>
          </w:p>
          <w:p w14:paraId="07DF4001" w14:textId="77777777" w:rsidR="00CA0CF5" w:rsidRDefault="00CA0CF5" w:rsidP="00331073">
            <w:pPr>
              <w:pStyle w:val="TableText"/>
              <w:numPr>
                <w:ilvl w:val="0"/>
                <w:numId w:val="13"/>
              </w:numPr>
              <w:spacing w:before="60" w:after="60"/>
            </w:pPr>
            <w:r>
              <w:t>Overcharge, over-discharge, over-temperature, low-temperature, over-current protection</w:t>
            </w:r>
          </w:p>
          <w:p w14:paraId="1AA71173" w14:textId="77777777" w:rsidR="00CA0CF5" w:rsidRDefault="00CA0CF5" w:rsidP="00331073">
            <w:pPr>
              <w:pStyle w:val="TableText"/>
              <w:numPr>
                <w:ilvl w:val="0"/>
                <w:numId w:val="13"/>
              </w:numPr>
              <w:spacing w:before="60" w:after="60"/>
            </w:pPr>
            <w:r>
              <w:t>Thermal event within battery management</w:t>
            </w:r>
          </w:p>
          <w:p w14:paraId="16552D44" w14:textId="77777777" w:rsidR="00331073" w:rsidRDefault="00331073" w:rsidP="00331073">
            <w:pPr>
              <w:pStyle w:val="TableText"/>
              <w:numPr>
                <w:ilvl w:val="0"/>
                <w:numId w:val="13"/>
              </w:numPr>
              <w:spacing w:before="60" w:after="60"/>
            </w:pPr>
            <w:r>
              <w:t>Post-crash battery system integrity</w:t>
            </w:r>
          </w:p>
          <w:p w14:paraId="5CB63DED" w14:textId="77777777" w:rsidR="00037BE1" w:rsidRDefault="00037BE1" w:rsidP="00037BE1">
            <w:pPr>
              <w:pStyle w:val="TableText"/>
              <w:spacing w:before="60" w:after="60"/>
            </w:pPr>
            <w:r>
              <w:t>The key safet</w:t>
            </w:r>
            <w:r w:rsidR="00C756CC">
              <w:t>y features introduced by ADR 110</w:t>
            </w:r>
            <w:r>
              <w:t>/00 would cover:</w:t>
            </w:r>
          </w:p>
          <w:p w14:paraId="56729E17" w14:textId="77777777" w:rsidR="00E20372" w:rsidRDefault="00E20372" w:rsidP="00E20372">
            <w:pPr>
              <w:pStyle w:val="TableText"/>
              <w:numPr>
                <w:ilvl w:val="0"/>
                <w:numId w:val="14"/>
              </w:numPr>
              <w:spacing w:before="60" w:after="60"/>
            </w:pPr>
            <w:r w:rsidRPr="00E20372">
              <w:t>Vibration, mechanical impact (crash), thermal shock and cycling tests</w:t>
            </w:r>
          </w:p>
          <w:p w14:paraId="0627AEE7" w14:textId="77777777" w:rsidR="00037BE1" w:rsidRDefault="00C756CC" w:rsidP="00331073">
            <w:pPr>
              <w:pStyle w:val="TableText"/>
              <w:numPr>
                <w:ilvl w:val="0"/>
                <w:numId w:val="14"/>
              </w:numPr>
              <w:spacing w:before="60" w:after="60"/>
            </w:pPr>
            <w:r>
              <w:t>Pressure tests on hydrogen storage systems</w:t>
            </w:r>
          </w:p>
          <w:p w14:paraId="3B6D7F87" w14:textId="77777777" w:rsidR="00C756CC" w:rsidRDefault="00C756CC" w:rsidP="00331073">
            <w:pPr>
              <w:pStyle w:val="TableText"/>
              <w:numPr>
                <w:ilvl w:val="0"/>
                <w:numId w:val="14"/>
              </w:numPr>
              <w:spacing w:before="60" w:after="60"/>
            </w:pPr>
            <w:r>
              <w:t>Surface damage, chemical exposure, high and extreme temperature tests on hydrogen storage systems</w:t>
            </w:r>
          </w:p>
          <w:p w14:paraId="72C22CF1" w14:textId="77777777" w:rsidR="00C756CC" w:rsidRDefault="002C25BB" w:rsidP="00331073">
            <w:pPr>
              <w:pStyle w:val="TableText"/>
              <w:numPr>
                <w:ilvl w:val="0"/>
                <w:numId w:val="14"/>
              </w:numPr>
              <w:spacing w:before="60" w:after="60"/>
            </w:pPr>
            <w:r>
              <w:t>Fire resistance</w:t>
            </w:r>
          </w:p>
          <w:p w14:paraId="1E42FDA8" w14:textId="77777777" w:rsidR="00C756CC" w:rsidRDefault="00C756CC" w:rsidP="00331073">
            <w:pPr>
              <w:pStyle w:val="TableText"/>
              <w:numPr>
                <w:ilvl w:val="0"/>
                <w:numId w:val="14"/>
              </w:numPr>
              <w:spacing w:before="60" w:after="60"/>
            </w:pPr>
            <w:r>
              <w:t>Labelling of storage systems</w:t>
            </w:r>
          </w:p>
          <w:p w14:paraId="0B09E349" w14:textId="77777777" w:rsidR="00C756CC" w:rsidRDefault="00331073" w:rsidP="00331073">
            <w:pPr>
              <w:pStyle w:val="TableText"/>
              <w:numPr>
                <w:ilvl w:val="0"/>
                <w:numId w:val="14"/>
              </w:numPr>
              <w:spacing w:before="60" w:after="60"/>
            </w:pPr>
            <w:r>
              <w:t>Salt corrosion resistance, stress corrosion cracking, drop and vibration tests</w:t>
            </w:r>
          </w:p>
          <w:p w14:paraId="1561256A" w14:textId="77777777" w:rsidR="00331073" w:rsidRDefault="00331073" w:rsidP="00331073">
            <w:pPr>
              <w:pStyle w:val="TableText"/>
              <w:numPr>
                <w:ilvl w:val="0"/>
                <w:numId w:val="14"/>
              </w:numPr>
              <w:spacing w:before="60" w:after="60"/>
            </w:pPr>
            <w:r>
              <w:t>Hydrogen leakage tests</w:t>
            </w:r>
          </w:p>
          <w:p w14:paraId="4AE50855" w14:textId="77777777" w:rsidR="002C25BB" w:rsidRDefault="002C25BB" w:rsidP="00331073">
            <w:pPr>
              <w:pStyle w:val="TableText"/>
              <w:numPr>
                <w:ilvl w:val="0"/>
                <w:numId w:val="14"/>
              </w:numPr>
              <w:spacing w:before="60" w:after="60"/>
            </w:pPr>
            <w:r>
              <w:t>Overcharge, over-discharge, over-temperature, low-temperature, over-current protection</w:t>
            </w:r>
          </w:p>
          <w:p w14:paraId="4F7D80E4" w14:textId="77777777" w:rsidR="002C25BB" w:rsidRDefault="002C25BB" w:rsidP="00331073">
            <w:pPr>
              <w:pStyle w:val="TableText"/>
              <w:numPr>
                <w:ilvl w:val="0"/>
                <w:numId w:val="14"/>
              </w:numPr>
              <w:spacing w:before="60" w:after="60"/>
            </w:pPr>
            <w:r>
              <w:t>External short circuit protection</w:t>
            </w:r>
          </w:p>
          <w:p w14:paraId="1CC686C5" w14:textId="77777777" w:rsidR="00331073" w:rsidRDefault="00331073" w:rsidP="00331073">
            <w:pPr>
              <w:pStyle w:val="TableText"/>
              <w:numPr>
                <w:ilvl w:val="0"/>
                <w:numId w:val="14"/>
              </w:numPr>
              <w:spacing w:before="60" w:after="60"/>
            </w:pPr>
            <w:r>
              <w:t>Post-crash fuel system integrity</w:t>
            </w:r>
          </w:p>
          <w:p w14:paraId="072CE22D" w14:textId="77777777" w:rsidR="00AE30AB" w:rsidRDefault="00AE30AB" w:rsidP="002E41A0">
            <w:pPr>
              <w:pStyle w:val="TableText"/>
              <w:spacing w:before="60" w:after="60"/>
            </w:pPr>
            <w:r w:rsidRPr="0049467A">
              <w:rPr>
                <w:rFonts w:eastAsia="Times New Roman" w:cstheme="minorHAnsi"/>
                <w:lang w:eastAsia="en-GB"/>
              </w:rPr>
              <w:lastRenderedPageBreak/>
              <w:t xml:space="preserve">This is the preferred option, it </w:t>
            </w:r>
            <w:r>
              <w:rPr>
                <w:rFonts w:eastAsia="Times New Roman" w:cstheme="minorHAnsi"/>
                <w:lang w:eastAsia="en-GB"/>
              </w:rPr>
              <w:t xml:space="preserve">provides manufacturers with a </w:t>
            </w:r>
            <w:r w:rsidRPr="005C6BB6">
              <w:rPr>
                <w:rFonts w:eastAsia="Times New Roman" w:cstheme="minorHAnsi"/>
                <w:lang w:eastAsia="en-GB"/>
              </w:rPr>
              <w:t xml:space="preserve">nationally consistent, </w:t>
            </w:r>
            <w:r>
              <w:rPr>
                <w:rFonts w:eastAsia="Times New Roman" w:cstheme="minorHAnsi"/>
                <w:lang w:eastAsia="en-GB"/>
              </w:rPr>
              <w:t>f</w:t>
            </w:r>
            <w:r w:rsidRPr="005C6BB6">
              <w:rPr>
                <w:rFonts w:eastAsia="Times New Roman" w:cstheme="minorHAnsi"/>
                <w:lang w:eastAsia="en-GB"/>
              </w:rPr>
              <w:t xml:space="preserve">ederally led approach to </w:t>
            </w:r>
            <w:r>
              <w:rPr>
                <w:rFonts w:eastAsia="Times New Roman" w:cstheme="minorHAnsi"/>
                <w:lang w:eastAsia="en-GB"/>
              </w:rPr>
              <w:t xml:space="preserve">ensuring the safety of these vehicles for consumers, technicians and first responders through </w:t>
            </w:r>
            <w:r>
              <w:rPr>
                <w:lang w:eastAsia="zh-CN"/>
              </w:rPr>
              <w:t>internationally harmonised certification pathways for EVs and HFCVs through UN Regulations</w:t>
            </w:r>
            <w:r>
              <w:rPr>
                <w:rFonts w:eastAsia="Times New Roman" w:cstheme="minorHAnsi"/>
                <w:lang w:eastAsia="en-GB"/>
              </w:rPr>
              <w:t>.</w:t>
            </w:r>
          </w:p>
          <w:p w14:paraId="5FED8B13" w14:textId="5730FD43" w:rsidR="002E41A0" w:rsidRDefault="000028AD" w:rsidP="002E41A0">
            <w:pPr>
              <w:pStyle w:val="TableText"/>
              <w:spacing w:before="60" w:after="60"/>
              <w:rPr>
                <w:rFonts w:eastAsia="Times New Roman" w:cstheme="minorHAnsi"/>
                <w:lang w:eastAsia="en-GB"/>
              </w:rPr>
            </w:pPr>
            <w:r>
              <w:rPr>
                <w:rFonts w:eastAsia="Times New Roman" w:cstheme="minorHAnsi"/>
                <w:lang w:eastAsia="en-GB"/>
              </w:rPr>
              <w:t>The proposed ADRs will be aligning with international vehicle regulations developed through</w:t>
            </w:r>
            <w:r w:rsidR="00333366">
              <w:rPr>
                <w:rFonts w:eastAsia="Times New Roman" w:cstheme="minorHAnsi"/>
                <w:lang w:eastAsia="en-GB"/>
              </w:rPr>
              <w:t xml:space="preserve"> the</w:t>
            </w:r>
            <w:r>
              <w:rPr>
                <w:rFonts w:eastAsia="Times New Roman" w:cstheme="minorHAnsi"/>
                <w:lang w:eastAsia="en-GB"/>
              </w:rPr>
              <w:t xml:space="preserve"> </w:t>
            </w:r>
            <w:r w:rsidR="00333366" w:rsidRPr="00333366">
              <w:rPr>
                <w:rFonts w:eastAsia="Times New Roman" w:cstheme="minorHAnsi"/>
                <w:lang w:eastAsia="en-GB"/>
              </w:rPr>
              <w:t>World Forum for Harmonization of Vehicle Regulations</w:t>
            </w:r>
            <w:r w:rsidR="00333366">
              <w:rPr>
                <w:rFonts w:eastAsia="Times New Roman" w:cstheme="minorHAnsi"/>
                <w:lang w:eastAsia="en-GB"/>
              </w:rPr>
              <w:t xml:space="preserve"> (</w:t>
            </w:r>
            <w:r>
              <w:rPr>
                <w:rFonts w:eastAsia="Times New Roman" w:cstheme="minorHAnsi"/>
                <w:lang w:eastAsia="en-GB"/>
              </w:rPr>
              <w:t>WP.29</w:t>
            </w:r>
            <w:r w:rsidR="00333366">
              <w:rPr>
                <w:rFonts w:eastAsia="Times New Roman" w:cstheme="minorHAnsi"/>
                <w:lang w:eastAsia="en-GB"/>
              </w:rPr>
              <w:t>)</w:t>
            </w:r>
            <w:r>
              <w:rPr>
                <w:rFonts w:eastAsia="Times New Roman" w:cstheme="minorHAnsi"/>
                <w:lang w:eastAsia="en-GB"/>
              </w:rPr>
              <w:t>.</w:t>
            </w:r>
            <w:r w:rsidR="00B9364E">
              <w:rPr>
                <w:rFonts w:eastAsia="Times New Roman" w:cstheme="minorHAnsi"/>
                <w:lang w:eastAsia="en-GB"/>
              </w:rPr>
              <w:t xml:space="preserve"> </w:t>
            </w:r>
            <w:r>
              <w:rPr>
                <w:rFonts w:eastAsia="Times New Roman" w:cstheme="minorHAnsi"/>
                <w:lang w:eastAsia="en-GB"/>
              </w:rPr>
              <w:t>Thereby fulfilling a long standing policy objective by the Australian Government.</w:t>
            </w:r>
            <w:r w:rsidR="00B9364E">
              <w:rPr>
                <w:rFonts w:eastAsia="Times New Roman" w:cstheme="minorHAnsi"/>
                <w:lang w:eastAsia="en-GB"/>
              </w:rPr>
              <w:t xml:space="preserve"> </w:t>
            </w:r>
            <w:r w:rsidR="005C6BB6">
              <w:rPr>
                <w:rFonts w:eastAsia="Times New Roman" w:cstheme="minorHAnsi"/>
                <w:lang w:eastAsia="en-GB"/>
              </w:rPr>
              <w:t>This option</w:t>
            </w:r>
            <w:r w:rsidR="002E41A0" w:rsidRPr="0049467A">
              <w:rPr>
                <w:rFonts w:eastAsia="Times New Roman" w:cstheme="minorHAnsi"/>
                <w:lang w:eastAsia="en-GB"/>
              </w:rPr>
              <w:t xml:space="preserve"> is </w:t>
            </w:r>
            <w:r w:rsidR="005C6BB6">
              <w:rPr>
                <w:rFonts w:eastAsia="Times New Roman" w:cstheme="minorHAnsi"/>
                <w:lang w:eastAsia="en-GB"/>
              </w:rPr>
              <w:t xml:space="preserve">fully </w:t>
            </w:r>
            <w:r w:rsidR="002E41A0" w:rsidRPr="0049467A">
              <w:rPr>
                <w:rFonts w:eastAsia="Times New Roman" w:cstheme="minorHAnsi"/>
                <w:lang w:eastAsia="en-GB"/>
              </w:rPr>
              <w:t>sup</w:t>
            </w:r>
            <w:r w:rsidR="002E41A0">
              <w:rPr>
                <w:rFonts w:eastAsia="Times New Roman" w:cstheme="minorHAnsi"/>
                <w:lang w:eastAsia="en-GB"/>
              </w:rPr>
              <w:t xml:space="preserve">ported by </w:t>
            </w:r>
            <w:r w:rsidR="005C6BB6">
              <w:rPr>
                <w:rFonts w:eastAsia="Times New Roman" w:cstheme="minorHAnsi"/>
                <w:lang w:eastAsia="en-GB"/>
              </w:rPr>
              <w:t>the FCAI</w:t>
            </w:r>
            <w:r w:rsidR="001E2959">
              <w:rPr>
                <w:rFonts w:eastAsia="Times New Roman" w:cstheme="minorHAnsi"/>
                <w:lang w:eastAsia="en-GB"/>
              </w:rPr>
              <w:t>, BIC</w:t>
            </w:r>
            <w:r w:rsidR="005C6BB6">
              <w:rPr>
                <w:rFonts w:eastAsia="Times New Roman" w:cstheme="minorHAnsi"/>
                <w:lang w:eastAsia="en-GB"/>
              </w:rPr>
              <w:t xml:space="preserve"> and the TIC</w:t>
            </w:r>
            <w:r w:rsidR="002E41A0">
              <w:rPr>
                <w:rFonts w:eastAsia="Times New Roman" w:cstheme="minorHAnsi"/>
                <w:lang w:eastAsia="en-GB"/>
              </w:rPr>
              <w:t>,</w:t>
            </w:r>
            <w:r w:rsidR="002E41A0" w:rsidRPr="0049467A">
              <w:rPr>
                <w:rFonts w:eastAsia="Times New Roman" w:cstheme="minorHAnsi"/>
                <w:lang w:eastAsia="en-GB"/>
              </w:rPr>
              <w:t xml:space="preserve"> </w:t>
            </w:r>
            <w:r w:rsidR="002E41A0">
              <w:rPr>
                <w:rFonts w:eastAsia="Times New Roman" w:cstheme="minorHAnsi"/>
                <w:lang w:eastAsia="en-GB"/>
              </w:rPr>
              <w:t xml:space="preserve">is </w:t>
            </w:r>
            <w:r w:rsidR="002E41A0" w:rsidRPr="0049467A">
              <w:rPr>
                <w:rFonts w:eastAsia="Times New Roman" w:cstheme="minorHAnsi"/>
                <w:lang w:eastAsia="en-GB"/>
              </w:rPr>
              <w:t>cost effective</w:t>
            </w:r>
            <w:r w:rsidR="005C6BB6">
              <w:rPr>
                <w:rFonts w:eastAsia="Times New Roman" w:cstheme="minorHAnsi"/>
                <w:lang w:eastAsia="en-GB"/>
              </w:rPr>
              <w:t>, future focused</w:t>
            </w:r>
            <w:r w:rsidR="002E41A0">
              <w:rPr>
                <w:rFonts w:eastAsia="Times New Roman" w:cstheme="minorHAnsi"/>
                <w:lang w:eastAsia="en-GB"/>
              </w:rPr>
              <w:t xml:space="preserve"> and achieves the objective of government action</w:t>
            </w:r>
            <w:r w:rsidR="002E41A0" w:rsidRPr="0049467A">
              <w:rPr>
                <w:rFonts w:eastAsia="Times New Roman" w:cstheme="minorHAnsi"/>
                <w:lang w:eastAsia="en-GB"/>
              </w:rPr>
              <w:t>.</w:t>
            </w:r>
          </w:p>
          <w:p w14:paraId="0D70CD55" w14:textId="77777777" w:rsidR="00AD700A" w:rsidRDefault="00AD700A" w:rsidP="002E41A0">
            <w:pPr>
              <w:pStyle w:val="TableText"/>
              <w:spacing w:before="60" w:after="60"/>
            </w:pPr>
          </w:p>
          <w:p w14:paraId="2A3EF9A3" w14:textId="2CDDD3F4" w:rsidR="00F7467F" w:rsidRDefault="00F7467F" w:rsidP="00F7467F">
            <w:pPr>
              <w:pStyle w:val="TableText"/>
              <w:spacing w:before="60" w:after="60" w:line="360" w:lineRule="auto"/>
              <w:rPr>
                <w:u w:val="single"/>
              </w:rPr>
            </w:pPr>
            <w:r>
              <w:rPr>
                <w:u w:val="single"/>
              </w:rPr>
              <w:t xml:space="preserve">Option 2: </w:t>
            </w:r>
            <w:r w:rsidR="00D90757">
              <w:rPr>
                <w:u w:val="single"/>
              </w:rPr>
              <w:t>Create two new ADRs for EVs and HFCVs including alternative United States standards</w:t>
            </w:r>
            <w:r>
              <w:rPr>
                <w:u w:val="single"/>
              </w:rPr>
              <w:t>:</w:t>
            </w:r>
          </w:p>
          <w:p w14:paraId="4CFBACB1" w14:textId="77777777" w:rsidR="00F7467F" w:rsidRDefault="00AE30AB" w:rsidP="00EE2C63">
            <w:pPr>
              <w:pStyle w:val="TableText"/>
              <w:spacing w:before="60" w:after="60"/>
              <w:rPr>
                <w:rFonts w:eastAsia="Times New Roman" w:cstheme="minorHAnsi"/>
                <w:lang w:eastAsia="en-GB"/>
              </w:rPr>
            </w:pPr>
            <w:r>
              <w:rPr>
                <w:rFonts w:eastAsia="Times New Roman" w:cstheme="minorHAnsi"/>
                <w:lang w:eastAsia="en-GB"/>
              </w:rPr>
              <w:t xml:space="preserve">Under this option, two new ADRs </w:t>
            </w:r>
            <w:r w:rsidR="00B64BDD">
              <w:rPr>
                <w:rFonts w:eastAsia="Times New Roman" w:cstheme="minorHAnsi"/>
                <w:lang w:eastAsia="en-GB"/>
              </w:rPr>
              <w:t xml:space="preserve">including US standards as alternative certification pathways </w:t>
            </w:r>
            <w:r>
              <w:rPr>
                <w:rFonts w:eastAsia="Times New Roman" w:cstheme="minorHAnsi"/>
                <w:lang w:eastAsia="en-GB"/>
              </w:rPr>
              <w:t>would be made requiring all new light and heavy EVs to meet a range of requirements aimed</w:t>
            </w:r>
            <w:r w:rsidR="00B64BDD">
              <w:rPr>
                <w:rFonts w:eastAsia="Times New Roman" w:cstheme="minorHAnsi"/>
                <w:lang w:eastAsia="en-GB"/>
              </w:rPr>
              <w:t xml:space="preserve"> at reducing risks associated with these vehicles</w:t>
            </w:r>
            <w:r w:rsidR="00F7467F">
              <w:rPr>
                <w:rFonts w:eastAsia="Times New Roman" w:cstheme="minorHAnsi"/>
                <w:lang w:eastAsia="en-GB"/>
              </w:rPr>
              <w:t>.</w:t>
            </w:r>
          </w:p>
          <w:p w14:paraId="6E1CF144" w14:textId="77777777" w:rsidR="00F7467F" w:rsidRPr="00331073" w:rsidRDefault="00B64BDD" w:rsidP="002E41A0">
            <w:pPr>
              <w:pStyle w:val="TableText"/>
              <w:spacing w:before="60" w:after="60"/>
            </w:pPr>
            <w:r w:rsidRPr="00331073">
              <w:t xml:space="preserve">This option is similar to the </w:t>
            </w:r>
            <w:r w:rsidR="00B9364E" w:rsidRPr="00331073">
              <w:t xml:space="preserve">new </w:t>
            </w:r>
            <w:r w:rsidRPr="00331073">
              <w:t>ADRs proposed in option 1 except that the ADRs would</w:t>
            </w:r>
            <w:r w:rsidR="00B9364E" w:rsidRPr="00331073">
              <w:t xml:space="preserve"> also</w:t>
            </w:r>
            <w:r w:rsidRPr="00331073">
              <w:t xml:space="preserve"> include US Federal Motor Vehicle Safety Standards as alternative standards manufacturers may certify vehicles to.</w:t>
            </w:r>
          </w:p>
          <w:p w14:paraId="6760BE47" w14:textId="77777777" w:rsidR="00B9364E" w:rsidRDefault="00B9364E" w:rsidP="002E41A0">
            <w:pPr>
              <w:pStyle w:val="TableText"/>
              <w:spacing w:before="60" w:after="60"/>
              <w:rPr>
                <w:u w:val="single"/>
              </w:rPr>
            </w:pPr>
          </w:p>
          <w:p w14:paraId="05709E4F" w14:textId="77777777" w:rsidR="002E41A0" w:rsidRDefault="002E41A0" w:rsidP="002E41A0">
            <w:pPr>
              <w:pStyle w:val="TableText"/>
              <w:spacing w:before="60" w:after="60"/>
              <w:rPr>
                <w:u w:val="single"/>
              </w:rPr>
            </w:pPr>
            <w:r w:rsidRPr="00637A5E">
              <w:rPr>
                <w:u w:val="single"/>
              </w:rPr>
              <w:t xml:space="preserve">Option </w:t>
            </w:r>
            <w:r>
              <w:rPr>
                <w:u w:val="single"/>
              </w:rPr>
              <w:t>3</w:t>
            </w:r>
            <w:r w:rsidRPr="00637A5E">
              <w:rPr>
                <w:u w:val="single"/>
              </w:rPr>
              <w:t>: No intervention (Business as Usual)</w:t>
            </w:r>
          </w:p>
          <w:p w14:paraId="4C76017C" w14:textId="77777777" w:rsidR="00050DF7" w:rsidRDefault="00050DF7" w:rsidP="00B64BDD">
            <w:pPr>
              <w:pStyle w:val="TableText"/>
              <w:spacing w:before="60" w:after="60"/>
              <w:rPr>
                <w:rFonts w:eastAsia="Times New Roman" w:cstheme="minorHAnsi"/>
                <w:lang w:eastAsia="en-GB"/>
              </w:rPr>
            </w:pPr>
            <w:r>
              <w:rPr>
                <w:rFonts w:eastAsia="Times New Roman" w:cstheme="minorHAnsi"/>
                <w:lang w:eastAsia="en-GB"/>
              </w:rPr>
              <w:t xml:space="preserve">Under this option, manufacturers could choose to manufacture vehicles in accordance with internationally harmonised standards (related to </w:t>
            </w:r>
            <w:r w:rsidR="00B64BDD">
              <w:rPr>
                <w:rFonts w:eastAsia="Times New Roman" w:cstheme="minorHAnsi"/>
                <w:lang w:eastAsia="en-GB"/>
              </w:rPr>
              <w:t>EVs and HFCVs</w:t>
            </w:r>
            <w:r>
              <w:rPr>
                <w:rFonts w:eastAsia="Times New Roman" w:cstheme="minorHAnsi"/>
                <w:lang w:eastAsia="en-GB"/>
              </w:rPr>
              <w:t>) or to manufacture these vehicles in a different way.</w:t>
            </w:r>
          </w:p>
          <w:p w14:paraId="6623C225" w14:textId="3B81EF20" w:rsidR="00050DF7" w:rsidRDefault="00050DF7" w:rsidP="00B64BDD">
            <w:pPr>
              <w:pStyle w:val="TableText"/>
              <w:spacing w:before="60" w:after="60"/>
              <w:rPr>
                <w:rFonts w:eastAsia="Times New Roman" w:cstheme="minorHAnsi"/>
                <w:lang w:eastAsia="en-GB"/>
              </w:rPr>
            </w:pPr>
            <w:r>
              <w:rPr>
                <w:rFonts w:eastAsia="Times New Roman" w:cstheme="minorHAnsi"/>
                <w:lang w:eastAsia="en-GB"/>
              </w:rPr>
              <w:t>It is expected that in the absence of an ADR, various other regulators will seek to control the risks that these vehicles create</w:t>
            </w:r>
            <w:r w:rsidR="00B64BDD">
              <w:rPr>
                <w:rFonts w:eastAsia="Times New Roman" w:cstheme="minorHAnsi"/>
                <w:lang w:eastAsia="en-GB"/>
              </w:rPr>
              <w:t xml:space="preserve"> as has been raised earlier in this Pre-RIS Assessment</w:t>
            </w:r>
            <w:r>
              <w:rPr>
                <w:rFonts w:eastAsia="Times New Roman" w:cstheme="minorHAnsi"/>
                <w:lang w:eastAsia="en-GB"/>
              </w:rPr>
              <w:t xml:space="preserve">.  Under section 78 of the </w:t>
            </w:r>
            <w:r w:rsidRPr="00B9364E">
              <w:rPr>
                <w:rFonts w:eastAsia="Times New Roman" w:cstheme="minorHAnsi"/>
                <w:i/>
                <w:lang w:eastAsia="en-GB"/>
              </w:rPr>
              <w:t xml:space="preserve">Road Vehicle Standards Act 2018 </w:t>
            </w:r>
            <w:r>
              <w:rPr>
                <w:rFonts w:eastAsia="Times New Roman" w:cstheme="minorHAnsi"/>
                <w:lang w:eastAsia="en-GB"/>
              </w:rPr>
              <w:t>vehicle manufacturers may not be obliged to comply with such standards.  Manufacturers would need to enforce these provisions themselves.</w:t>
            </w:r>
          </w:p>
          <w:p w14:paraId="02BF6FC7" w14:textId="77777777" w:rsidR="00AD700A" w:rsidRPr="00EF56E3" w:rsidRDefault="00AD700A" w:rsidP="00B64BDD">
            <w:pPr>
              <w:pStyle w:val="TableText"/>
              <w:spacing w:before="60" w:after="60"/>
              <w:rPr>
                <w:rFonts w:eastAsia="Times New Roman" w:cstheme="minorHAnsi"/>
                <w:lang w:eastAsia="en-GB"/>
              </w:rPr>
            </w:pPr>
          </w:p>
          <w:p w14:paraId="04DBE5F4" w14:textId="77777777" w:rsidR="005C6BB6" w:rsidRDefault="002E41A0" w:rsidP="002E41A0">
            <w:pPr>
              <w:pStyle w:val="TableText"/>
              <w:spacing w:before="60" w:after="60"/>
            </w:pPr>
            <w:r>
              <w:rPr>
                <w:rFonts w:eastAsia="Times New Roman" w:cstheme="minorHAnsi"/>
                <w:lang w:eastAsia="en-GB"/>
              </w:rPr>
              <w:t xml:space="preserve">As discussed above, the </w:t>
            </w:r>
            <w:r w:rsidR="005C6BB6">
              <w:rPr>
                <w:rFonts w:eastAsia="Times New Roman" w:cstheme="minorHAnsi"/>
                <w:lang w:eastAsia="en-GB"/>
              </w:rPr>
              <w:t xml:space="preserve">impact of the </w:t>
            </w:r>
            <w:r>
              <w:rPr>
                <w:rFonts w:eastAsia="Times New Roman" w:cstheme="minorHAnsi"/>
                <w:lang w:eastAsia="en-GB"/>
              </w:rPr>
              <w:t>proposed</w:t>
            </w:r>
            <w:r w:rsidR="005C6BB6">
              <w:rPr>
                <w:rFonts w:eastAsia="Times New Roman" w:cstheme="minorHAnsi"/>
                <w:lang w:eastAsia="en-GB"/>
              </w:rPr>
              <w:t xml:space="preserve"> new</w:t>
            </w:r>
            <w:r>
              <w:rPr>
                <w:rFonts w:eastAsia="Times New Roman" w:cstheme="minorHAnsi"/>
                <w:lang w:eastAsia="en-GB"/>
              </w:rPr>
              <w:t xml:space="preserve"> </w:t>
            </w:r>
            <w:r w:rsidR="005C6BB6">
              <w:rPr>
                <w:rFonts w:eastAsia="Times New Roman" w:cstheme="minorHAnsi"/>
                <w:lang w:eastAsia="en-GB"/>
              </w:rPr>
              <w:t>ADRs</w:t>
            </w:r>
            <w:r>
              <w:rPr>
                <w:rFonts w:eastAsia="Times New Roman" w:cstheme="minorHAnsi"/>
                <w:lang w:eastAsia="en-GB"/>
              </w:rPr>
              <w:t xml:space="preserve"> are minor in nature and it is feasible that the regulatory framework could continue to function without the </w:t>
            </w:r>
            <w:r w:rsidR="005C6BB6">
              <w:rPr>
                <w:rFonts w:eastAsia="Times New Roman" w:cstheme="minorHAnsi"/>
                <w:lang w:eastAsia="en-GB"/>
              </w:rPr>
              <w:t>new ADRs</w:t>
            </w:r>
            <w:r>
              <w:rPr>
                <w:rFonts w:eastAsia="Times New Roman" w:cstheme="minorHAnsi"/>
                <w:lang w:eastAsia="en-GB"/>
              </w:rPr>
              <w:t xml:space="preserve"> being made. However, as a better practise regulator, the Department seeks to ensure its legislation is appropriately maintained and </w:t>
            </w:r>
            <w:r w:rsidR="005C6BB6">
              <w:rPr>
                <w:rFonts w:eastAsia="Times New Roman" w:cstheme="minorHAnsi"/>
                <w:lang w:eastAsia="en-GB"/>
              </w:rPr>
              <w:t>aligned with government policy and</w:t>
            </w:r>
            <w:r w:rsidR="00610F29">
              <w:rPr>
                <w:rFonts w:eastAsia="Times New Roman" w:cstheme="minorHAnsi"/>
                <w:lang w:eastAsia="en-GB"/>
              </w:rPr>
              <w:t xml:space="preserve"> up to date with</w:t>
            </w:r>
            <w:r w:rsidR="005C6BB6">
              <w:rPr>
                <w:rFonts w:eastAsia="Times New Roman" w:cstheme="minorHAnsi"/>
                <w:lang w:eastAsia="en-GB"/>
              </w:rPr>
              <w:t xml:space="preserve"> internationally agreed standards</w:t>
            </w:r>
            <w:r>
              <w:rPr>
                <w:rFonts w:eastAsia="Times New Roman" w:cstheme="minorHAnsi"/>
                <w:lang w:eastAsia="en-GB"/>
              </w:rPr>
              <w:t>.</w:t>
            </w:r>
            <w:r>
              <w:t xml:space="preserve"> </w:t>
            </w:r>
          </w:p>
          <w:p w14:paraId="03117352" w14:textId="77777777" w:rsidR="002E41A0" w:rsidRDefault="005C6BB6" w:rsidP="002E41A0">
            <w:pPr>
              <w:pStyle w:val="TableText"/>
              <w:spacing w:before="60" w:after="60"/>
            </w:pPr>
            <w:r>
              <w:t xml:space="preserve">Without these new ADRs vehicle manufacturers would still be able to supply EVs and HFCVs to the Australian market however ongoing </w:t>
            </w:r>
            <w:r w:rsidRPr="005C6BB6">
              <w:t>activity in the State and Territor</w:t>
            </w:r>
            <w:r>
              <w:t>y governments</w:t>
            </w:r>
            <w:r w:rsidRPr="005C6BB6">
              <w:t xml:space="preserve"> in regulating in the electrical and/or liquid and gas fuel space</w:t>
            </w:r>
            <w:r>
              <w:t xml:space="preserve"> would </w:t>
            </w:r>
            <w:r w:rsidR="000028AD">
              <w:t xml:space="preserve">most likely </w:t>
            </w:r>
            <w:r>
              <w:t xml:space="preserve">result in an inconsistent national approach to certification of emerging vehicle propulsion technologies. This </w:t>
            </w:r>
            <w:r w:rsidR="00806E3A">
              <w:t>option may increase the cost to manufacturers and eventually the consumer if a national certification pathway is not established.</w:t>
            </w:r>
          </w:p>
          <w:p w14:paraId="42C8BA0E" w14:textId="7F4A193E" w:rsidR="00BB6E8B" w:rsidRDefault="00806E3A" w:rsidP="00F5426F">
            <w:pPr>
              <w:pStyle w:val="TableText"/>
              <w:spacing w:before="60" w:after="60"/>
            </w:pPr>
            <w:r>
              <w:t>This option may</w:t>
            </w:r>
            <w:r w:rsidR="002E41A0">
              <w:t xml:space="preserve"> increase the </w:t>
            </w:r>
            <w:r>
              <w:t>burden</w:t>
            </w:r>
            <w:r w:rsidR="002E41A0">
              <w:t xml:space="preserve"> to manufacturers in administration and monitoring of </w:t>
            </w:r>
            <w:r>
              <w:t>certification pathways in the absence of a national approach therefore</w:t>
            </w:r>
            <w:r w:rsidR="002E41A0">
              <w:t xml:space="preserve"> negatively impact</w:t>
            </w:r>
            <w:r>
              <w:t>ing</w:t>
            </w:r>
            <w:r w:rsidR="002E41A0">
              <w:t xml:space="preserve"> operational efficiency and costs.</w:t>
            </w:r>
          </w:p>
        </w:tc>
      </w:tr>
      <w:tr w:rsidR="00F5426F" w14:paraId="53E655FC" w14:textId="77777777" w:rsidTr="00E84FFD">
        <w:tc>
          <w:tcPr>
            <w:tcW w:w="10456" w:type="dxa"/>
            <w:gridSpan w:val="2"/>
          </w:tcPr>
          <w:p w14:paraId="0ED245A2" w14:textId="77777777" w:rsidR="00F5426F" w:rsidRPr="00BB6E8B" w:rsidRDefault="00F5426F" w:rsidP="00385AE0">
            <w:pPr>
              <w:pStyle w:val="TableText"/>
              <w:spacing w:before="60" w:after="60"/>
              <w:rPr>
                <w:b/>
              </w:rPr>
            </w:pPr>
            <w:r w:rsidRPr="00BB6E8B">
              <w:rPr>
                <w:b/>
              </w:rPr>
              <w:lastRenderedPageBreak/>
              <w:t>Other elements of your proposal (including consultation undertaken or proposed)</w:t>
            </w:r>
          </w:p>
          <w:p w14:paraId="33C62075" w14:textId="77777777" w:rsidR="00050DF7" w:rsidRPr="00D26321" w:rsidRDefault="00050DF7" w:rsidP="00385AE0">
            <w:pPr>
              <w:pStyle w:val="TableText"/>
              <w:spacing w:before="60" w:after="60"/>
            </w:pPr>
            <w:r w:rsidRPr="00D26321">
              <w:t xml:space="preserve">The Australian Design Rules form part of vehicle type approval arrangements established under the RVSA. Vehicle manufacturers are familiar with the vehicle type approval arrangements and the new ADRs would work effectively within the existing framework. </w:t>
            </w:r>
            <w:r w:rsidR="00D26321" w:rsidRPr="00D26321">
              <w:t>The</w:t>
            </w:r>
            <w:r w:rsidRPr="00D26321">
              <w:t xml:space="preserve"> two new ADRs in option 1 </w:t>
            </w:r>
            <w:r w:rsidR="00D26321">
              <w:t xml:space="preserve">and 2 </w:t>
            </w:r>
            <w:r w:rsidRPr="00D26321">
              <w:t xml:space="preserve">will </w:t>
            </w:r>
            <w:r w:rsidR="00D26321" w:rsidRPr="00D26321">
              <w:t>incorporate United</w:t>
            </w:r>
            <w:r w:rsidRPr="00D26321">
              <w:t xml:space="preserve"> Nations Regulations No. 100 and 134.</w:t>
            </w:r>
          </w:p>
          <w:p w14:paraId="52D802B7" w14:textId="77777777" w:rsidR="00050DF7" w:rsidRDefault="00050DF7" w:rsidP="00385AE0">
            <w:pPr>
              <w:pStyle w:val="TableText"/>
              <w:spacing w:before="60" w:after="60"/>
            </w:pPr>
            <w:r>
              <w:t>UN Regulation No. 100 would be incorporated into ADR 109/00 - Electric Power Train Safety Requirements and UN Regulation No. 134 would be incorporated into ADR 110/00 - Hydrogen-Fuelled Vehicle</w:t>
            </w:r>
            <w:r w:rsidRPr="00CF365B">
              <w:t xml:space="preserve"> Safety</w:t>
            </w:r>
            <w:r>
              <w:t xml:space="preserve">.  These regulations are made by the United Nations World Forum for the Harmonisation of Vehicle Regulations </w:t>
            </w:r>
            <w:r w:rsidR="0012279A">
              <w:t xml:space="preserve">(WP.29) </w:t>
            </w:r>
            <w:r>
              <w:t xml:space="preserve">and represent the views of a significant number of nations.  </w:t>
            </w:r>
          </w:p>
          <w:p w14:paraId="43ED1AFE" w14:textId="77777777" w:rsidR="00050DF7" w:rsidRDefault="00050DF7" w:rsidP="00385AE0">
            <w:pPr>
              <w:pStyle w:val="TableText"/>
              <w:spacing w:before="60" w:after="60"/>
            </w:pPr>
            <w:r>
              <w:t>Introducing these new ADRs in this proposal will clarity the requirements for vehicle manufacturers intending to supply alternatively powered vehicles to the Australian market and provide a national certification pathway to ensure the safety of these vehicle propulsion systems.</w:t>
            </w:r>
          </w:p>
          <w:p w14:paraId="553F9855" w14:textId="77777777" w:rsidR="00050DF7" w:rsidRDefault="00050DF7" w:rsidP="00385AE0">
            <w:pPr>
              <w:pStyle w:val="TableText"/>
              <w:spacing w:before="60" w:after="60"/>
            </w:pPr>
          </w:p>
          <w:p w14:paraId="03C3D577" w14:textId="77777777" w:rsidR="00C36DA0" w:rsidRPr="00AB57CF" w:rsidRDefault="00C36DA0" w:rsidP="00385AE0">
            <w:pPr>
              <w:pStyle w:val="TableText"/>
              <w:pageBreakBefore/>
              <w:spacing w:before="60" w:after="60"/>
              <w:rPr>
                <w:u w:val="single"/>
              </w:rPr>
            </w:pPr>
            <w:r w:rsidRPr="00AB57CF">
              <w:rPr>
                <w:u w:val="single"/>
              </w:rPr>
              <w:lastRenderedPageBreak/>
              <w:t>Consultation:</w:t>
            </w:r>
          </w:p>
          <w:p w14:paraId="0AE0EEE1" w14:textId="77777777" w:rsidR="005E116F" w:rsidRDefault="005E116F" w:rsidP="00385AE0">
            <w:pPr>
              <w:pStyle w:val="TableText"/>
              <w:pageBreakBefore/>
              <w:spacing w:before="60" w:after="60"/>
            </w:pPr>
            <w:r>
              <w:t>Option 1</w:t>
            </w:r>
            <w:r w:rsidR="00C36DA0">
              <w:t xml:space="preserve"> was presented through a </w:t>
            </w:r>
            <w:r w:rsidR="002E1BC3">
              <w:t xml:space="preserve">Department </w:t>
            </w:r>
            <w:r>
              <w:t>consultation paper</w:t>
            </w:r>
            <w:r w:rsidR="002E1BC3">
              <w:rPr>
                <w:rStyle w:val="FootnoteReference"/>
              </w:rPr>
              <w:footnoteReference w:id="11"/>
            </w:r>
            <w:r w:rsidR="009A3859">
              <w:t xml:space="preserve"> on EVs and HFCVs </w:t>
            </w:r>
            <w:r w:rsidR="00C36DA0">
              <w:t>by</w:t>
            </w:r>
            <w:r>
              <w:t xml:space="preserve"> the Department</w:t>
            </w:r>
            <w:r w:rsidR="00C36DA0">
              <w:t xml:space="preserve"> to the</w:t>
            </w:r>
            <w:r>
              <w:t xml:space="preserve"> key consultative forum for vehicle standards the </w:t>
            </w:r>
            <w:r w:rsidR="009A3859">
              <w:t xml:space="preserve">Strategic Vehicle Safety and Environment Group (SVSEG) </w:t>
            </w:r>
            <w:r>
              <w:t xml:space="preserve">on </w:t>
            </w:r>
            <w:r w:rsidR="009A3859">
              <w:t>27</w:t>
            </w:r>
            <w:r>
              <w:t xml:space="preserve"> </w:t>
            </w:r>
            <w:r w:rsidR="009A3859">
              <w:t>July</w:t>
            </w:r>
            <w:r>
              <w:t xml:space="preserve"> 2022, at meeting </w:t>
            </w:r>
            <w:r w:rsidR="009A3859">
              <w:t>24</w:t>
            </w:r>
            <w:r>
              <w:t xml:space="preserve">. The </w:t>
            </w:r>
            <w:r w:rsidR="009A3859">
              <w:t>proposal</w:t>
            </w:r>
            <w:r>
              <w:t xml:space="preserve"> </w:t>
            </w:r>
            <w:r w:rsidR="004674CC">
              <w:t xml:space="preserve">to adopt the UN regulations through new ADRs </w:t>
            </w:r>
            <w:r>
              <w:t xml:space="preserve">was endorsed by </w:t>
            </w:r>
            <w:r w:rsidR="009A3859">
              <w:t>SVSEG</w:t>
            </w:r>
            <w:r>
              <w:t xml:space="preserve"> members. </w:t>
            </w:r>
          </w:p>
          <w:p w14:paraId="7238ED80" w14:textId="2BB5D2BF" w:rsidR="00241B75" w:rsidRDefault="00512735" w:rsidP="00385AE0">
            <w:pPr>
              <w:pStyle w:val="TableText"/>
              <w:pageBreakBefore/>
              <w:spacing w:before="60" w:after="60"/>
            </w:pPr>
            <w:r>
              <w:t xml:space="preserve">The Department has consulted with industry on the compliance status of their products already being supplied to the market. </w:t>
            </w:r>
            <w:r w:rsidR="00994F89">
              <w:t xml:space="preserve">This was to ascertain if there would be any additional cost to manufacturers seeking to comply with the new ADRs. </w:t>
            </w:r>
            <w:r>
              <w:t>The light vehicle industry (FCAI) claim 100 per cent of their ZEVs already comply with the requirements in the UN regulations or are built to comply with the UN Regulations.</w:t>
            </w:r>
            <w:r w:rsidR="000516A1">
              <w:t xml:space="preserve"> This means that there will be no additional cost for this </w:t>
            </w:r>
            <w:r w:rsidR="00994F89">
              <w:t xml:space="preserve">(light vehicle) </w:t>
            </w:r>
            <w:r w:rsidR="000516A1">
              <w:t>segment in introducing new ADRs.</w:t>
            </w:r>
          </w:p>
          <w:p w14:paraId="0CFC3772" w14:textId="6620B677" w:rsidR="00512735" w:rsidRDefault="00512735" w:rsidP="00385AE0">
            <w:pPr>
              <w:pStyle w:val="TableText"/>
              <w:pageBreakBefore/>
              <w:spacing w:before="60" w:after="60"/>
            </w:pPr>
            <w:r>
              <w:t xml:space="preserve">The heavy truck and bus industry (TIC and BIC) </w:t>
            </w:r>
            <w:r w:rsidR="00A74DB1">
              <w:t xml:space="preserve">made it clear </w:t>
            </w:r>
            <w:r w:rsidR="002E1BC3">
              <w:t>to the Department through their paper</w:t>
            </w:r>
            <w:r w:rsidR="002E1BC3">
              <w:rPr>
                <w:rStyle w:val="FootnoteReference"/>
              </w:rPr>
              <w:footnoteReference w:id="12"/>
            </w:r>
            <w:r w:rsidR="002E1BC3">
              <w:t xml:space="preserve"> that the current lack of vehicle regulatory control is creating increasing concern not only for manufacturers and suppliers of these types of vehicles, but it is also creating uncertainty for purchasers, and is potentially creating safety issues for operators, maintainers, first responders, and ultimately the users of these vehicle types.</w:t>
            </w:r>
            <w:r w:rsidR="003D6359">
              <w:t xml:space="preserve"> One of the recommendations in their paper was to address the gap in regulatory oversight as a matter of urgency.</w:t>
            </w:r>
            <w:r w:rsidR="007B54E9">
              <w:t xml:space="preserve"> TIC notes that operators will only embrace Low and ZEV heavy vehicles if they are commercially viable, which requires setting of standards early to ensure their supply to the Australian market.</w:t>
            </w:r>
            <w:r w:rsidR="007B54E9">
              <w:rPr>
                <w:rStyle w:val="FootnoteReference"/>
              </w:rPr>
              <w:footnoteReference w:id="13"/>
            </w:r>
            <w:r w:rsidR="000516A1">
              <w:t xml:space="preserve"> The heavy vehicle industry notes European and Japanese sourced vehicles would comply or already be certified to these UN Regulations however their United States sourced vehicles may need to be locally certified to these UN Regulations. For locally manufactured vehicles, the TIC and BIC are reviewing test requirements in the UN regulations prior to engaging with </w:t>
            </w:r>
            <w:r w:rsidR="000516A1" w:rsidRPr="008A5A91">
              <w:t>industrial electrical/environmental/pressure system test facilities in Australia to determine if R100 and R134 testing could be undertaken here</w:t>
            </w:r>
            <w:r w:rsidR="000516A1">
              <w:t>. TIC and BIC have advised the Department that w</w:t>
            </w:r>
            <w:r w:rsidR="000516A1" w:rsidRPr="008A5A91">
              <w:t xml:space="preserve">hether the ADR </w:t>
            </w:r>
            <w:r w:rsidR="000516A1">
              <w:t>requirements are “if fitted”, or “</w:t>
            </w:r>
            <w:r w:rsidR="000516A1" w:rsidRPr="008A5A91">
              <w:t>mandated”, the end result is the same, the testing and certification must be done to ensure the sa</w:t>
            </w:r>
            <w:r w:rsidR="00F13FD5">
              <w:t>f</w:t>
            </w:r>
            <w:r w:rsidR="000516A1" w:rsidRPr="008A5A91">
              <w:t>e design and operation of</w:t>
            </w:r>
            <w:r w:rsidR="000516A1">
              <w:t xml:space="preserve"> heavy ZEVs</w:t>
            </w:r>
            <w:r w:rsidR="000516A1" w:rsidRPr="008A5A91">
              <w:t>.</w:t>
            </w:r>
          </w:p>
          <w:p w14:paraId="42E7D247" w14:textId="77777777" w:rsidR="00BB6E8B" w:rsidRDefault="005E116F" w:rsidP="00385AE0">
            <w:pPr>
              <w:pStyle w:val="TableText"/>
              <w:spacing w:before="60" w:after="60"/>
            </w:pPr>
            <w:r>
              <w:t xml:space="preserve">Members of the </w:t>
            </w:r>
            <w:r w:rsidR="009A3859">
              <w:t>SVSEG</w:t>
            </w:r>
            <w:r>
              <w:t xml:space="preserve"> include the National Heavy Vehicle Regulator, state and territory vehicle registration authorities, </w:t>
            </w:r>
            <w:r w:rsidR="009A3859">
              <w:t xml:space="preserve">the Federal Chamber of Automotive Industries, </w:t>
            </w:r>
            <w:r>
              <w:t>the Truck Industry Council, the Australian Trucking Association, the Bus Industry Confederation, Heavy Vehicle Industry Australia and the Caravan Industry Association of Australia.</w:t>
            </w:r>
          </w:p>
          <w:p w14:paraId="527ABAAB" w14:textId="77777777" w:rsidR="00C36DA0" w:rsidRDefault="00C36DA0" w:rsidP="00385AE0">
            <w:pPr>
              <w:pStyle w:val="TableText"/>
              <w:spacing w:before="60" w:after="60"/>
            </w:pPr>
            <w:r>
              <w:t xml:space="preserve">The Department </w:t>
            </w:r>
            <w:r w:rsidR="004674CC">
              <w:t>intends publishing drafts of the new ADRs and Explanatory Statements to seek feedback from industry on implementation and applicability based on vehicle types.</w:t>
            </w:r>
          </w:p>
          <w:p w14:paraId="495819E6" w14:textId="77777777" w:rsidR="009A3859" w:rsidRDefault="009A3859" w:rsidP="005E116F">
            <w:pPr>
              <w:pStyle w:val="TableText"/>
              <w:spacing w:before="60" w:after="60"/>
            </w:pPr>
          </w:p>
        </w:tc>
      </w:tr>
      <w:tr w:rsidR="00F5426F" w14:paraId="48A2872B" w14:textId="77777777" w:rsidTr="00E84FFD">
        <w:tc>
          <w:tcPr>
            <w:tcW w:w="10456" w:type="dxa"/>
            <w:gridSpan w:val="2"/>
          </w:tcPr>
          <w:p w14:paraId="467D7EAF" w14:textId="77777777" w:rsidR="00F5426F" w:rsidRPr="00BB6E8B" w:rsidRDefault="00F5426F" w:rsidP="000222F2">
            <w:pPr>
              <w:pStyle w:val="TableText"/>
              <w:spacing w:before="60" w:after="60"/>
              <w:rPr>
                <w:b/>
              </w:rPr>
            </w:pPr>
            <w:r w:rsidRPr="00BB6E8B">
              <w:rPr>
                <w:b/>
              </w:rPr>
              <w:lastRenderedPageBreak/>
              <w:t>Who will the decision maker be?</w:t>
            </w:r>
          </w:p>
          <w:p w14:paraId="5771ED1E" w14:textId="77777777" w:rsidR="00BB6E8B" w:rsidRDefault="001619ED" w:rsidP="000222F2">
            <w:pPr>
              <w:pStyle w:val="TableText"/>
              <w:spacing w:before="60" w:after="60"/>
            </w:pPr>
            <w:r>
              <w:t>Senator the Hon Carol Brown, Assistant Minister for Infrastructure and Transport</w:t>
            </w:r>
          </w:p>
        </w:tc>
      </w:tr>
      <w:tr w:rsidR="00F5426F" w:rsidRPr="002C48C0" w14:paraId="0B05B000" w14:textId="77777777" w:rsidTr="00E84FFD">
        <w:tc>
          <w:tcPr>
            <w:tcW w:w="10456" w:type="dxa"/>
            <w:gridSpan w:val="2"/>
            <w:shd w:val="clear" w:color="auto" w:fill="B8B8B8" w:themeFill="accent2" w:themeFillTint="66"/>
          </w:tcPr>
          <w:p w14:paraId="1E284C59" w14:textId="77777777" w:rsidR="00F5426F" w:rsidRPr="002C48C0" w:rsidRDefault="00F5426F" w:rsidP="000222F2">
            <w:pPr>
              <w:pStyle w:val="TableText"/>
              <w:rPr>
                <w:b/>
              </w:rPr>
            </w:pPr>
            <w:r w:rsidRPr="002C48C0">
              <w:rPr>
                <w:b/>
              </w:rPr>
              <w:t>Likely impact on businesses, community organisations</w:t>
            </w:r>
            <w:r>
              <w:rPr>
                <w:b/>
              </w:rPr>
              <w:t xml:space="preserve"> and individuals</w:t>
            </w:r>
          </w:p>
        </w:tc>
      </w:tr>
      <w:tr w:rsidR="00F5426F" w14:paraId="14FACC4C" w14:textId="77777777" w:rsidTr="00E84FFD">
        <w:tc>
          <w:tcPr>
            <w:tcW w:w="10456" w:type="dxa"/>
            <w:gridSpan w:val="2"/>
            <w:vAlign w:val="center"/>
          </w:tcPr>
          <w:p w14:paraId="743DB648" w14:textId="77777777" w:rsidR="00F5426F" w:rsidRDefault="00F5426F" w:rsidP="00905079">
            <w:pPr>
              <w:pStyle w:val="TableText"/>
              <w:spacing w:before="60" w:after="60"/>
              <w:rPr>
                <w:b/>
              </w:rPr>
            </w:pPr>
            <w:r w:rsidRPr="00BB6E8B">
              <w:rPr>
                <w:b/>
              </w:rPr>
              <w:t>Is your proposal likely to have any regulatory impacts? If so, please specify.</w:t>
            </w:r>
            <w:r w:rsidR="00905079" w:rsidRPr="00BB6E8B">
              <w:rPr>
                <w:b/>
              </w:rPr>
              <w:t xml:space="preserve"> (Further advice on regulatory impacts, can be found at the end of this </w:t>
            </w:r>
            <w:hyperlink w:anchor="Regulatoryimpacts" w:history="1">
              <w:r w:rsidR="00905079" w:rsidRPr="00BB6E8B">
                <w:rPr>
                  <w:rStyle w:val="Hyperlink"/>
                  <w:b/>
                </w:rPr>
                <w:t>document</w:t>
              </w:r>
            </w:hyperlink>
            <w:r w:rsidR="00905079" w:rsidRPr="00BB6E8B">
              <w:rPr>
                <w:b/>
              </w:rPr>
              <w:t>.)</w:t>
            </w:r>
          </w:p>
          <w:p w14:paraId="28286C51" w14:textId="77777777" w:rsidR="0082707B" w:rsidRDefault="001619ED" w:rsidP="00905079">
            <w:pPr>
              <w:pStyle w:val="TableText"/>
              <w:spacing w:before="60" w:after="60"/>
              <w:rPr>
                <w:rFonts w:eastAsia="Times New Roman" w:cstheme="minorHAnsi"/>
                <w:lang w:eastAsia="en-GB"/>
              </w:rPr>
            </w:pPr>
            <w:r w:rsidRPr="000E56BD">
              <w:t>Th</w:t>
            </w:r>
            <w:r>
              <w:t xml:space="preserve">is proposal </w:t>
            </w:r>
            <w:r w:rsidR="009C3478">
              <w:t>is expected to</w:t>
            </w:r>
            <w:r>
              <w:t xml:space="preserve"> generate trauma savings, regulatory savings and</w:t>
            </w:r>
            <w:r w:rsidR="00DC69C4">
              <w:t xml:space="preserve"> enhance</w:t>
            </w:r>
            <w:r>
              <w:t xml:space="preserve"> productivity gains by ensuring a nationally led certification pathway for EVs and HFCVs. While market penetration of these emerging technologies is still low </w:t>
            </w:r>
            <w:r w:rsidR="004D5739">
              <w:t xml:space="preserve">industry considers </w:t>
            </w:r>
            <w:r>
              <w:t>t</w:t>
            </w:r>
            <w:r w:rsidRPr="007B5DB9">
              <w:rPr>
                <w:rFonts w:eastAsia="Times New Roman" w:cstheme="minorHAnsi"/>
                <w:lang w:eastAsia="en-GB"/>
              </w:rPr>
              <w:t xml:space="preserve">he </w:t>
            </w:r>
            <w:r w:rsidR="00D01D59">
              <w:rPr>
                <w:rFonts w:eastAsia="Times New Roman" w:cstheme="minorHAnsi"/>
                <w:lang w:eastAsia="en-GB"/>
              </w:rPr>
              <w:t xml:space="preserve">impact of the </w:t>
            </w:r>
            <w:r>
              <w:rPr>
                <w:rFonts w:eastAsia="Times New Roman" w:cstheme="minorHAnsi"/>
                <w:lang w:eastAsia="en-GB"/>
              </w:rPr>
              <w:t xml:space="preserve">new ADRs </w:t>
            </w:r>
            <w:r w:rsidR="004D5739">
              <w:rPr>
                <w:rFonts w:eastAsia="Times New Roman" w:cstheme="minorHAnsi"/>
                <w:lang w:eastAsia="en-GB"/>
              </w:rPr>
              <w:t>as</w:t>
            </w:r>
            <w:r w:rsidRPr="007B5DB9">
              <w:rPr>
                <w:rFonts w:eastAsia="Times New Roman" w:cstheme="minorHAnsi"/>
                <w:lang w:eastAsia="en-GB"/>
              </w:rPr>
              <w:t xml:space="preserve"> minor </w:t>
            </w:r>
            <w:r>
              <w:rPr>
                <w:rFonts w:eastAsia="Times New Roman" w:cstheme="minorHAnsi"/>
                <w:lang w:eastAsia="en-GB"/>
              </w:rPr>
              <w:t xml:space="preserve">and administrative in nature as discussed above for the light and heavy vehicle industry. </w:t>
            </w:r>
            <w:r w:rsidRPr="007B5DB9">
              <w:rPr>
                <w:rFonts w:eastAsia="Times New Roman" w:cstheme="minorHAnsi"/>
                <w:lang w:eastAsia="en-GB"/>
              </w:rPr>
              <w:t>Th</w:t>
            </w:r>
            <w:r w:rsidR="00D01D59">
              <w:rPr>
                <w:rFonts w:eastAsia="Times New Roman" w:cstheme="minorHAnsi"/>
                <w:lang w:eastAsia="en-GB"/>
              </w:rPr>
              <w:t>e new ADRs will remove uncertainty</w:t>
            </w:r>
            <w:r w:rsidRPr="007B5DB9">
              <w:rPr>
                <w:rFonts w:eastAsia="Times New Roman" w:cstheme="minorHAnsi"/>
                <w:lang w:eastAsia="en-GB"/>
              </w:rPr>
              <w:t xml:space="preserve"> </w:t>
            </w:r>
            <w:r w:rsidR="00D01D59">
              <w:rPr>
                <w:rFonts w:eastAsia="Times New Roman" w:cstheme="minorHAnsi"/>
                <w:lang w:eastAsia="en-GB"/>
              </w:rPr>
              <w:t xml:space="preserve">and ambiguity for </w:t>
            </w:r>
            <w:r>
              <w:rPr>
                <w:rFonts w:eastAsia="Times New Roman" w:cstheme="minorHAnsi"/>
                <w:lang w:eastAsia="en-GB"/>
              </w:rPr>
              <w:t>a</w:t>
            </w:r>
            <w:r w:rsidRPr="007B5DB9">
              <w:rPr>
                <w:rFonts w:eastAsia="Times New Roman" w:cstheme="minorHAnsi"/>
                <w:lang w:eastAsia="en-GB"/>
              </w:rPr>
              <w:t>ffect</w:t>
            </w:r>
            <w:r w:rsidR="00D01D59">
              <w:rPr>
                <w:rFonts w:eastAsia="Times New Roman" w:cstheme="minorHAnsi"/>
                <w:lang w:eastAsia="en-GB"/>
              </w:rPr>
              <w:t>ed</w:t>
            </w:r>
            <w:r w:rsidRPr="007B5DB9">
              <w:rPr>
                <w:rFonts w:eastAsia="Times New Roman" w:cstheme="minorHAnsi"/>
                <w:lang w:eastAsia="en-GB"/>
              </w:rPr>
              <w:t xml:space="preserve"> manufacturers</w:t>
            </w:r>
            <w:r w:rsidR="00D01D59">
              <w:rPr>
                <w:rFonts w:eastAsia="Times New Roman" w:cstheme="minorHAnsi"/>
                <w:lang w:eastAsia="en-GB"/>
              </w:rPr>
              <w:t xml:space="preserve"> providing or intending to supply </w:t>
            </w:r>
            <w:r w:rsidR="00875D0D">
              <w:rPr>
                <w:rFonts w:eastAsia="Times New Roman" w:cstheme="minorHAnsi"/>
                <w:lang w:eastAsia="en-GB"/>
              </w:rPr>
              <w:t>ZEVs (</w:t>
            </w:r>
            <w:r w:rsidR="00D01D59">
              <w:rPr>
                <w:rFonts w:eastAsia="Times New Roman" w:cstheme="minorHAnsi"/>
                <w:lang w:eastAsia="en-GB"/>
              </w:rPr>
              <w:t>EVs and HFCVs</w:t>
            </w:r>
            <w:r w:rsidR="00875D0D">
              <w:rPr>
                <w:rFonts w:eastAsia="Times New Roman" w:cstheme="minorHAnsi"/>
                <w:lang w:eastAsia="en-GB"/>
              </w:rPr>
              <w:t>)</w:t>
            </w:r>
            <w:r w:rsidR="00D01D59">
              <w:rPr>
                <w:rFonts w:eastAsia="Times New Roman" w:cstheme="minorHAnsi"/>
                <w:lang w:eastAsia="en-GB"/>
              </w:rPr>
              <w:t xml:space="preserve"> to the Australian market.</w:t>
            </w:r>
          </w:p>
          <w:p w14:paraId="7E86D087" w14:textId="18F272BD" w:rsidR="00875D0D" w:rsidRPr="0082707B" w:rsidRDefault="00875D0D" w:rsidP="00905079">
            <w:pPr>
              <w:pStyle w:val="TableText"/>
              <w:spacing w:before="60" w:after="60"/>
              <w:rPr>
                <w:rFonts w:eastAsia="Times New Roman" w:cstheme="minorHAnsi"/>
                <w:lang w:eastAsia="en-GB"/>
              </w:rPr>
            </w:pPr>
          </w:p>
        </w:tc>
      </w:tr>
      <w:tr w:rsidR="00394E55" w14:paraId="18E45F19" w14:textId="77777777" w:rsidTr="00E84FFD">
        <w:tc>
          <w:tcPr>
            <w:tcW w:w="10456" w:type="dxa"/>
            <w:gridSpan w:val="2"/>
            <w:vAlign w:val="center"/>
          </w:tcPr>
          <w:p w14:paraId="747C3FD2" w14:textId="77777777" w:rsidR="00394E55" w:rsidRPr="00BB6E8B" w:rsidRDefault="00394E55" w:rsidP="00394E55">
            <w:pPr>
              <w:pStyle w:val="TableText"/>
              <w:spacing w:before="60" w:after="60"/>
              <w:rPr>
                <w:b/>
              </w:rPr>
            </w:pPr>
            <w:r w:rsidRPr="00BB6E8B">
              <w:rPr>
                <w:b/>
              </w:rPr>
              <w:lastRenderedPageBreak/>
              <w:t>What is your assessment of the significance of the likely impacts of the proposed regulation? Why?</w:t>
            </w:r>
          </w:p>
          <w:p w14:paraId="5DA94EAD" w14:textId="77777777" w:rsidR="0082707B" w:rsidRDefault="0082707B" w:rsidP="0082707B">
            <w:pPr>
              <w:pStyle w:val="TableText"/>
              <w:spacing w:before="60" w:after="60"/>
            </w:pPr>
            <w:r>
              <w:t>The Department undertook consultation through the Strategic Vehicle Safety and Environment Group (SVSEG) in order to establish cost impacts</w:t>
            </w:r>
            <w:r w:rsidR="005A151D">
              <w:t xml:space="preserve"> for EVs and HFCVs</w:t>
            </w:r>
            <w:r>
              <w:t xml:space="preserve"> associated with the proposed new ADRs.</w:t>
            </w:r>
          </w:p>
          <w:p w14:paraId="433C388F" w14:textId="77777777" w:rsidR="002F0C26" w:rsidRDefault="0082707B" w:rsidP="0082707B">
            <w:pPr>
              <w:pStyle w:val="TableText"/>
              <w:spacing w:before="60" w:after="60"/>
            </w:pPr>
            <w:r>
              <w:t xml:space="preserve">Feedback through consultation revealed the </w:t>
            </w:r>
            <w:r w:rsidR="002F0C26">
              <w:t>impacts</w:t>
            </w:r>
            <w:r>
              <w:t xml:space="preserve"> are minor and administrative in nature; they are not expected to increase the regulatory burden but may have a minor reduction in regulatory burden.</w:t>
            </w:r>
            <w:r w:rsidR="002F0C26">
              <w:t xml:space="preserve"> </w:t>
            </w:r>
          </w:p>
          <w:p w14:paraId="7852AD7F" w14:textId="77777777" w:rsidR="00BB6E8B" w:rsidRDefault="002F0C26" w:rsidP="0082707B">
            <w:pPr>
              <w:pStyle w:val="TableText"/>
              <w:spacing w:before="60" w:after="60"/>
            </w:pPr>
            <w:r>
              <w:t xml:space="preserve">The light </w:t>
            </w:r>
            <w:r w:rsidR="009C3478">
              <w:t xml:space="preserve">and heavy </w:t>
            </w:r>
            <w:r>
              <w:t>vehicle industry preference is for the Department to</w:t>
            </w:r>
            <w:r w:rsidR="00801372">
              <w:t xml:space="preserve"> nationally</w:t>
            </w:r>
            <w:r>
              <w:t xml:space="preserve"> regulate EVs and HFCVs as soon as possible to avoid increases in </w:t>
            </w:r>
            <w:r w:rsidR="000B4ABE">
              <w:t xml:space="preserve">certification </w:t>
            </w:r>
            <w:r>
              <w:t>costs in the event that a jurisdictional approach is developed.</w:t>
            </w:r>
          </w:p>
          <w:p w14:paraId="16D6E264" w14:textId="77777777" w:rsidR="00050DF7" w:rsidRDefault="00F05241" w:rsidP="00F05241">
            <w:pPr>
              <w:pStyle w:val="TableText"/>
              <w:spacing w:before="60" w:after="60"/>
            </w:pPr>
            <w:r>
              <w:t>The heavy vehicle industry is supportive of the proposal to mandate UN regulations for EVs and HFCVs.</w:t>
            </w:r>
            <w:r w:rsidR="00F57E45">
              <w:t xml:space="preserve"> </w:t>
            </w:r>
            <w:r w:rsidR="00050DF7">
              <w:t>Feedback through consultation revealed the impacts are minor; for example, the Federal Chamber of Automotive Industries has indicated that close to 100</w:t>
            </w:r>
            <w:r w:rsidR="00F57E45">
              <w:t xml:space="preserve"> per cent</w:t>
            </w:r>
            <w:r w:rsidR="00050DF7">
              <w:t xml:space="preserve"> of new light </w:t>
            </w:r>
            <w:r w:rsidR="00F57E45">
              <w:t>EVs</w:t>
            </w:r>
            <w:r w:rsidR="00050DF7">
              <w:t xml:space="preserve"> will already comply with the proposed ADR and 100</w:t>
            </w:r>
            <w:r w:rsidR="00F57E45">
              <w:t xml:space="preserve"> per cent</w:t>
            </w:r>
            <w:r w:rsidR="00050DF7">
              <w:t xml:space="preserve"> of the new </w:t>
            </w:r>
            <w:r w:rsidR="00F57E45">
              <w:t>HFCVs</w:t>
            </w:r>
            <w:r w:rsidR="00050DF7">
              <w:t xml:space="preserve"> being supplied comply.  This means that the change will not require additional testing or modification of these vehicles.  There may be costs for future models not yet being sold in Australia, but it is not possible to anticipate which models will be sold here and manufacturers considering supply can choose to supply vehicles that have been designed for the global market and already comply with the proposed ADRs.</w:t>
            </w:r>
          </w:p>
          <w:p w14:paraId="4CB7D68B" w14:textId="77777777" w:rsidR="00050DF7" w:rsidRDefault="00F57E45" w:rsidP="00F05241">
            <w:pPr>
              <w:pStyle w:val="TableText"/>
              <w:spacing w:before="60" w:after="60"/>
            </w:pPr>
            <w:r>
              <w:t>TIC</w:t>
            </w:r>
            <w:r w:rsidR="00050DF7">
              <w:t xml:space="preserve"> has</w:t>
            </w:r>
            <w:r>
              <w:t xml:space="preserve"> advised</w:t>
            </w:r>
            <w:r w:rsidR="00050DF7">
              <w:t xml:space="preserve"> that most </w:t>
            </w:r>
            <w:r>
              <w:t xml:space="preserve">European and Japanese sourced heavy vehicles </w:t>
            </w:r>
            <w:r w:rsidR="00050DF7">
              <w:t xml:space="preserve">will already comply with the proposed standards, but have sought consideration of a US standard as an acceptable alternative for vehicles originally designed for that market. </w:t>
            </w:r>
            <w:r>
              <w:t xml:space="preserve">TIC raised concerns </w:t>
            </w:r>
            <w:r w:rsidR="00050DF7">
              <w:t xml:space="preserve">about </w:t>
            </w:r>
            <w:r>
              <w:t xml:space="preserve">certification </w:t>
            </w:r>
            <w:r w:rsidR="00050DF7">
              <w:t>costs associated with locally manufactured trucks</w:t>
            </w:r>
            <w:r>
              <w:t xml:space="preserve"> with the lack of testing facilities available in Australia to cater to the local heavy vehicle manufacturing industry</w:t>
            </w:r>
            <w:r w:rsidR="00050DF7">
              <w:t xml:space="preserve">. </w:t>
            </w:r>
            <w:r>
              <w:t>TIC and BIC are progressing work in this regard to accommodate the locally manufactured heavy vehicles.</w:t>
            </w:r>
          </w:p>
          <w:p w14:paraId="13936708" w14:textId="52A055C8" w:rsidR="00F57E45" w:rsidRDefault="00050DF7" w:rsidP="0082707B">
            <w:pPr>
              <w:pStyle w:val="TableText"/>
              <w:spacing w:before="60" w:after="60"/>
            </w:pPr>
            <w:r>
              <w:t>The light and heavy vehicle industry preference is for the Department to nationally regulate EVs and HFCVs as soon as possible to avoid increases in certification costs in the event that a jurisdictional approach is developed.</w:t>
            </w:r>
            <w:r w:rsidR="002543FA">
              <w:t xml:space="preserve"> An important </w:t>
            </w:r>
            <w:r w:rsidR="002543FA" w:rsidRPr="002543FA">
              <w:t xml:space="preserve">point </w:t>
            </w:r>
            <w:r w:rsidR="002543FA">
              <w:t xml:space="preserve">on the introduction of these new ADRs is </w:t>
            </w:r>
            <w:r w:rsidR="002543FA" w:rsidRPr="002543FA">
              <w:t>that the drivetrain and features in these ADRs are fundamental to the design of the vehicle</w:t>
            </w:r>
            <w:r w:rsidR="002543FA">
              <w:t>’s propulsion system</w:t>
            </w:r>
            <w:r w:rsidR="002543FA" w:rsidRPr="002543FA">
              <w:t xml:space="preserve">, </w:t>
            </w:r>
            <w:r w:rsidR="002543FA">
              <w:t xml:space="preserve">therefore </w:t>
            </w:r>
            <w:r w:rsidR="002543FA" w:rsidRPr="002543FA">
              <w:t>it</w:t>
            </w:r>
            <w:r w:rsidR="002543FA">
              <w:t xml:space="preserve"> i</w:t>
            </w:r>
            <w:r w:rsidR="002543FA" w:rsidRPr="002543FA">
              <w:t>s not a cost to fit the feature</w:t>
            </w:r>
            <w:r w:rsidR="002543FA">
              <w:t xml:space="preserve"> and rather </w:t>
            </w:r>
            <w:r w:rsidR="002543FA" w:rsidRPr="002543FA">
              <w:t>it</w:t>
            </w:r>
            <w:r w:rsidR="002543FA">
              <w:t xml:space="preserve"> i</w:t>
            </w:r>
            <w:r w:rsidR="002543FA" w:rsidRPr="002543FA">
              <w:t xml:space="preserve">s a choice of </w:t>
            </w:r>
            <w:r w:rsidR="002543FA">
              <w:t xml:space="preserve">the manufacturer </w:t>
            </w:r>
            <w:r w:rsidR="002543FA" w:rsidRPr="002543FA">
              <w:t>whether to supply the vehicle or n</w:t>
            </w:r>
            <w:r w:rsidR="002543FA">
              <w:t>ot.</w:t>
            </w:r>
          </w:p>
        </w:tc>
      </w:tr>
      <w:tr w:rsidR="00F5426F" w:rsidRPr="008B7D03" w14:paraId="64FCB55F" w14:textId="77777777" w:rsidTr="00E84FFD">
        <w:tc>
          <w:tcPr>
            <w:tcW w:w="10456" w:type="dxa"/>
            <w:gridSpan w:val="2"/>
            <w:vAlign w:val="center"/>
          </w:tcPr>
          <w:p w14:paraId="0C20F69C" w14:textId="77777777" w:rsidR="00F5426F" w:rsidRPr="008B7D03" w:rsidRDefault="00F5426F" w:rsidP="000222F2">
            <w:pPr>
              <w:pStyle w:val="TableText"/>
            </w:pPr>
            <w:r w:rsidRPr="00801372">
              <w:rPr>
                <w:b/>
              </w:rPr>
              <w:t>Have you considered whether small businesses should have different obligations from larger businesses in relation to the operation of the possible regulation?</w:t>
            </w:r>
            <w:r w:rsidRPr="008B7D03">
              <w:t xml:space="preserve">  </w:t>
            </w:r>
            <w:r w:rsidRPr="008B7D03">
              <w:sym w:font="Wingdings" w:char="F06F"/>
            </w:r>
            <w:r w:rsidRPr="008B7D03">
              <w:t xml:space="preserve"> Yes  </w:t>
            </w:r>
            <w:r w:rsidR="00801372">
              <w:rPr>
                <w:rFonts w:ascii="Wingdings" w:eastAsia="Wingdings" w:hAnsi="Wingdings" w:cs="Wingdings"/>
                <w:color w:val="000000" w:themeColor="text1"/>
              </w:rPr>
              <w:t></w:t>
            </w:r>
            <w:r w:rsidR="00801372" w:rsidRPr="008B7D03">
              <w:rPr>
                <w:color w:val="000000" w:themeColor="text1"/>
              </w:rPr>
              <w:t xml:space="preserve"> </w:t>
            </w:r>
            <w:r w:rsidRPr="008B7D03">
              <w:t xml:space="preserve"> No</w:t>
            </w:r>
          </w:p>
          <w:p w14:paraId="67A17ECF" w14:textId="77777777" w:rsidR="00801372" w:rsidRDefault="00801372" w:rsidP="000222F2">
            <w:pPr>
              <w:pStyle w:val="TableText"/>
              <w:rPr>
                <w:color w:val="000000" w:themeColor="text1"/>
              </w:rPr>
            </w:pPr>
            <w:r>
              <w:rPr>
                <w:rFonts w:eastAsia="Times New Roman" w:cstheme="minorHAnsi"/>
                <w:color w:val="000000" w:themeColor="text1"/>
                <w:lang w:eastAsia="en-GB"/>
              </w:rPr>
              <w:t>T</w:t>
            </w:r>
            <w:r w:rsidRPr="007B5DB9">
              <w:rPr>
                <w:rFonts w:eastAsia="Times New Roman" w:cstheme="minorHAnsi"/>
                <w:color w:val="000000" w:themeColor="text1"/>
                <w:lang w:eastAsia="en-GB"/>
              </w:rPr>
              <w:t>he</w:t>
            </w:r>
            <w:r>
              <w:rPr>
                <w:rFonts w:eastAsia="Times New Roman" w:cstheme="minorHAnsi"/>
                <w:color w:val="000000" w:themeColor="text1"/>
                <w:lang w:eastAsia="en-GB"/>
              </w:rPr>
              <w:t xml:space="preserve"> national</w:t>
            </w:r>
            <w:r w:rsidRPr="007B5DB9">
              <w:rPr>
                <w:rFonts w:eastAsia="Times New Roman" w:cstheme="minorHAnsi"/>
                <w:color w:val="000000" w:themeColor="text1"/>
                <w:lang w:eastAsia="en-GB"/>
              </w:rPr>
              <w:t xml:space="preserve"> vehicle standards form part of a larger regulatory framework that includes various pathways through which vehicles can be supplied to the market.  </w:t>
            </w:r>
          </w:p>
          <w:p w14:paraId="398AB79F" w14:textId="77777777" w:rsidR="00F5426F" w:rsidRPr="00801372" w:rsidRDefault="00F5426F" w:rsidP="000222F2">
            <w:pPr>
              <w:pStyle w:val="TableText"/>
              <w:rPr>
                <w:b/>
                <w:color w:val="000000" w:themeColor="text1"/>
              </w:rPr>
            </w:pPr>
            <w:r w:rsidRPr="00801372">
              <w:rPr>
                <w:b/>
                <w:color w:val="000000" w:themeColor="text1"/>
              </w:rPr>
              <w:t>Have you designed the operation of the possible regulation taking into account the impact on small business</w:t>
            </w:r>
            <w:r w:rsidR="00C92874" w:rsidRPr="00801372">
              <w:rPr>
                <w:b/>
                <w:color w:val="000000" w:themeColor="text1"/>
              </w:rPr>
              <w:t>es</w:t>
            </w:r>
            <w:r w:rsidRPr="00801372">
              <w:rPr>
                <w:b/>
                <w:color w:val="000000" w:themeColor="text1"/>
              </w:rPr>
              <w:t xml:space="preserve">? </w:t>
            </w:r>
          </w:p>
          <w:p w14:paraId="19B3223C" w14:textId="77777777" w:rsidR="00F5426F" w:rsidRPr="008B7D03" w:rsidRDefault="00F5426F" w:rsidP="000222F2">
            <w:pPr>
              <w:pStyle w:val="TableText"/>
              <w:rPr>
                <w:color w:val="000000" w:themeColor="text1"/>
              </w:rPr>
            </w:pPr>
            <w:r w:rsidRPr="008B7D03">
              <w:rPr>
                <w:color w:val="000000" w:themeColor="text1"/>
              </w:rPr>
              <w:sym w:font="Wingdings" w:char="F06F"/>
            </w:r>
            <w:r w:rsidRPr="008B7D03">
              <w:rPr>
                <w:color w:val="000000" w:themeColor="text1"/>
              </w:rPr>
              <w:t xml:space="preserve"> Yes  </w:t>
            </w:r>
            <w:r w:rsidR="00801372">
              <w:rPr>
                <w:rFonts w:ascii="Wingdings" w:eastAsia="Wingdings" w:hAnsi="Wingdings" w:cs="Wingdings"/>
                <w:color w:val="000000" w:themeColor="text1"/>
              </w:rPr>
              <w:t></w:t>
            </w:r>
            <w:r w:rsidR="00801372" w:rsidRPr="008B7D03">
              <w:rPr>
                <w:color w:val="000000" w:themeColor="text1"/>
              </w:rPr>
              <w:t xml:space="preserve"> </w:t>
            </w:r>
            <w:r w:rsidRPr="008B7D03">
              <w:rPr>
                <w:color w:val="000000" w:themeColor="text1"/>
              </w:rPr>
              <w:t>No</w:t>
            </w:r>
          </w:p>
          <w:p w14:paraId="0835189D" w14:textId="77777777" w:rsidR="00F5426F" w:rsidRDefault="00F5426F" w:rsidP="000222F2">
            <w:pPr>
              <w:pStyle w:val="TableText"/>
              <w:rPr>
                <w:color w:val="000000" w:themeColor="text1"/>
              </w:rPr>
            </w:pPr>
            <w:r w:rsidRPr="008B7D03">
              <w:rPr>
                <w:color w:val="000000" w:themeColor="text1"/>
              </w:rPr>
              <w:t xml:space="preserve">The </w:t>
            </w:r>
            <w:hyperlink r:id="rId7" w:history="1">
              <w:r w:rsidRPr="008B7D03">
                <w:rPr>
                  <w:rStyle w:val="Hyperlink"/>
                  <w:color w:val="000000" w:themeColor="text1"/>
                </w:rPr>
                <w:t>Australian Small Business and Family Enterprise Ombudsman’s</w:t>
              </w:r>
            </w:hyperlink>
            <w:r w:rsidRPr="008B7D03">
              <w:rPr>
                <w:color w:val="000000" w:themeColor="text1"/>
              </w:rPr>
              <w:t xml:space="preserve"> (ASBFEO) office should be contacted to help assess this (contact: </w:t>
            </w:r>
            <w:hyperlink r:id="rId8" w:history="1">
              <w:r w:rsidRPr="0093576F">
                <w:rPr>
                  <w:rStyle w:val="Hyperlink"/>
                </w:rPr>
                <w:t>regulation@asbfeo.gov.au</w:t>
              </w:r>
            </w:hyperlink>
            <w:r w:rsidRPr="008B7D03">
              <w:rPr>
                <w:color w:val="000000" w:themeColor="text1"/>
              </w:rPr>
              <w:t>)</w:t>
            </w:r>
          </w:p>
          <w:p w14:paraId="77FDF714" w14:textId="77777777" w:rsidR="00801372" w:rsidRPr="008B7D03" w:rsidRDefault="00801372" w:rsidP="000222F2">
            <w:pPr>
              <w:pStyle w:val="TableText"/>
            </w:pPr>
            <w:r w:rsidRPr="007B5DB9">
              <w:rPr>
                <w:rFonts w:eastAsia="Times New Roman" w:cstheme="minorHAnsi"/>
                <w:color w:val="000000" w:themeColor="text1"/>
                <w:lang w:eastAsia="en-GB"/>
              </w:rPr>
              <w:t>Th</w:t>
            </w:r>
            <w:r>
              <w:rPr>
                <w:rFonts w:eastAsia="Times New Roman" w:cstheme="minorHAnsi"/>
                <w:color w:val="000000" w:themeColor="text1"/>
                <w:lang w:eastAsia="en-GB"/>
              </w:rPr>
              <w:t xml:space="preserve">rough the implementation of the RVSA the </w:t>
            </w:r>
            <w:r w:rsidRPr="007B5DB9">
              <w:rPr>
                <w:rFonts w:eastAsia="Times New Roman" w:cstheme="minorHAnsi"/>
                <w:color w:val="000000" w:themeColor="text1"/>
                <w:lang w:eastAsia="en-GB"/>
              </w:rPr>
              <w:t>pathways</w:t>
            </w:r>
            <w:r>
              <w:rPr>
                <w:rFonts w:eastAsia="Times New Roman" w:cstheme="minorHAnsi"/>
                <w:color w:val="000000" w:themeColor="text1"/>
                <w:lang w:eastAsia="en-GB"/>
              </w:rPr>
              <w:t xml:space="preserve"> discussed above</w:t>
            </w:r>
            <w:r w:rsidRPr="007B5DB9">
              <w:rPr>
                <w:rFonts w:eastAsia="Times New Roman" w:cstheme="minorHAnsi"/>
                <w:color w:val="000000" w:themeColor="text1"/>
                <w:lang w:eastAsia="en-GB"/>
              </w:rPr>
              <w:t xml:space="preserve"> consider the impact on small business.</w:t>
            </w:r>
          </w:p>
        </w:tc>
      </w:tr>
      <w:tr w:rsidR="00F5426F" w:rsidRPr="008B7D03" w14:paraId="4D41EDC7" w14:textId="77777777" w:rsidTr="00E84FFD">
        <w:trPr>
          <w:trHeight w:val="432"/>
        </w:trPr>
        <w:tc>
          <w:tcPr>
            <w:tcW w:w="1904" w:type="dxa"/>
            <w:vMerge w:val="restart"/>
          </w:tcPr>
          <w:p w14:paraId="4DC6E822" w14:textId="77777777" w:rsidR="00F5426F" w:rsidRPr="00F5426F" w:rsidRDefault="00F5426F" w:rsidP="000222F2">
            <w:pPr>
              <w:pStyle w:val="TableTextform"/>
              <w:spacing w:after="0"/>
              <w:rPr>
                <w:rFonts w:ascii="Century Gothic" w:hAnsi="Century Gothic"/>
              </w:rPr>
            </w:pPr>
          </w:p>
          <w:p w14:paraId="62C44C65" w14:textId="77777777" w:rsidR="00F5426F" w:rsidRPr="00F5426F" w:rsidRDefault="00F5426F" w:rsidP="000222F2">
            <w:pPr>
              <w:pStyle w:val="TableTextform"/>
              <w:spacing w:before="0" w:after="0"/>
              <w:rPr>
                <w:rFonts w:ascii="Century Gothic" w:hAnsi="Century Gothic"/>
              </w:rPr>
            </w:pPr>
            <w:r w:rsidRPr="00F5426F">
              <w:rPr>
                <w:rFonts w:ascii="Century Gothic" w:hAnsi="Century Gothic"/>
              </w:rPr>
              <w:t>If you answered yes above:</w:t>
            </w:r>
          </w:p>
        </w:tc>
        <w:tc>
          <w:tcPr>
            <w:tcW w:w="8552" w:type="dxa"/>
            <w:vAlign w:val="center"/>
          </w:tcPr>
          <w:p w14:paraId="1FB3BC0C" w14:textId="77777777" w:rsidR="00F5426F" w:rsidRPr="00F5426F" w:rsidRDefault="00F5426F" w:rsidP="00F5426F">
            <w:pPr>
              <w:pStyle w:val="TableTextform"/>
              <w:numPr>
                <w:ilvl w:val="0"/>
                <w:numId w:val="7"/>
              </w:numPr>
              <w:spacing w:before="120" w:after="120"/>
              <w:rPr>
                <w:rFonts w:ascii="Century Gothic" w:hAnsi="Century Gothic"/>
              </w:rPr>
            </w:pPr>
            <w:r w:rsidRPr="00F5426F">
              <w:rPr>
                <w:rFonts w:ascii="Century Gothic" w:hAnsi="Century Gothic"/>
              </w:rPr>
              <w:t xml:space="preserve">Have you contacted the ASBFEO’s office? </w:t>
            </w:r>
            <w:r w:rsidRPr="00F5426F">
              <w:rPr>
                <w:rFonts w:ascii="Century Gothic" w:hAnsi="Century Gothic"/>
              </w:rPr>
              <w:sym w:font="Wingdings" w:char="F06F"/>
            </w:r>
            <w:r w:rsidRPr="00F5426F">
              <w:rPr>
                <w:rFonts w:ascii="Century Gothic" w:hAnsi="Century Gothic"/>
              </w:rPr>
              <w:t xml:space="preserve"> Yes  </w:t>
            </w:r>
            <w:r w:rsidR="00801372">
              <w:rPr>
                <w:rFonts w:ascii="Wingdings" w:eastAsia="Wingdings" w:hAnsi="Wingdings" w:cs="Wingdings"/>
                <w:color w:val="000000" w:themeColor="text1"/>
              </w:rPr>
              <w:t></w:t>
            </w:r>
            <w:r w:rsidR="00801372" w:rsidRPr="008B7D03">
              <w:rPr>
                <w:color w:val="000000" w:themeColor="text1"/>
              </w:rPr>
              <w:t xml:space="preserve"> </w:t>
            </w:r>
            <w:r w:rsidRPr="00F5426F">
              <w:rPr>
                <w:rFonts w:ascii="Century Gothic" w:hAnsi="Century Gothic"/>
              </w:rPr>
              <w:t>No</w:t>
            </w:r>
          </w:p>
        </w:tc>
      </w:tr>
      <w:tr w:rsidR="00F5426F" w:rsidRPr="008B7D03" w14:paraId="1F2152C9" w14:textId="77777777" w:rsidTr="00E84FFD">
        <w:trPr>
          <w:trHeight w:val="425"/>
        </w:trPr>
        <w:tc>
          <w:tcPr>
            <w:tcW w:w="1904" w:type="dxa"/>
            <w:vMerge/>
          </w:tcPr>
          <w:p w14:paraId="754BC7D4" w14:textId="77777777" w:rsidR="00F5426F" w:rsidRPr="00F5426F" w:rsidRDefault="00F5426F" w:rsidP="000222F2">
            <w:pPr>
              <w:pStyle w:val="TableTextform"/>
              <w:rPr>
                <w:rFonts w:ascii="Century Gothic" w:hAnsi="Century Gothic"/>
              </w:rPr>
            </w:pPr>
          </w:p>
        </w:tc>
        <w:tc>
          <w:tcPr>
            <w:tcW w:w="8552" w:type="dxa"/>
            <w:vAlign w:val="center"/>
          </w:tcPr>
          <w:p w14:paraId="773DF65D" w14:textId="77777777" w:rsidR="00F5426F" w:rsidRPr="00F5426F" w:rsidRDefault="00F5426F" w:rsidP="00F5426F">
            <w:pPr>
              <w:pStyle w:val="TableTextform"/>
              <w:numPr>
                <w:ilvl w:val="0"/>
                <w:numId w:val="7"/>
              </w:numPr>
              <w:spacing w:before="120" w:after="120"/>
              <w:rPr>
                <w:rFonts w:ascii="Century Gothic" w:hAnsi="Century Gothic"/>
              </w:rPr>
            </w:pPr>
            <w:r w:rsidRPr="00F5426F">
              <w:rPr>
                <w:rFonts w:ascii="Century Gothic" w:hAnsi="Century Gothic"/>
              </w:rPr>
              <w:t>How does the design of the proposed regulation take into account the impact on small business</w:t>
            </w:r>
            <w:r w:rsidR="00C92874">
              <w:rPr>
                <w:rFonts w:ascii="Century Gothic" w:hAnsi="Century Gothic"/>
              </w:rPr>
              <w:t>es</w:t>
            </w:r>
            <w:r w:rsidRPr="00F5426F">
              <w:rPr>
                <w:rFonts w:ascii="Century Gothic" w:hAnsi="Century Gothic"/>
              </w:rPr>
              <w:t>?</w:t>
            </w:r>
          </w:p>
        </w:tc>
      </w:tr>
      <w:tr w:rsidR="00F5426F" w:rsidRPr="008B7D03" w14:paraId="5BA2E068" w14:textId="77777777" w:rsidTr="00F5426F">
        <w:tc>
          <w:tcPr>
            <w:tcW w:w="10456" w:type="dxa"/>
            <w:gridSpan w:val="2"/>
            <w:vAlign w:val="center"/>
          </w:tcPr>
          <w:p w14:paraId="5C71AC61" w14:textId="77777777" w:rsidR="00F5426F" w:rsidRPr="00F5426F" w:rsidRDefault="00F5426F" w:rsidP="000222F2">
            <w:pPr>
              <w:pStyle w:val="TableText"/>
            </w:pPr>
            <w:r w:rsidRPr="00F5426F">
              <w:t xml:space="preserve">Is your proposal likely to have any international trade and investment law impacts?  </w:t>
            </w:r>
            <w:r w:rsidRPr="00F5426F">
              <w:sym w:font="Wingdings" w:char="F06F"/>
            </w:r>
            <w:r w:rsidRPr="00F5426F">
              <w:t xml:space="preserve"> Yes  </w:t>
            </w:r>
            <w:r w:rsidR="00801372">
              <w:rPr>
                <w:rFonts w:ascii="Wingdings" w:eastAsia="Wingdings" w:hAnsi="Wingdings" w:cs="Wingdings"/>
                <w:color w:val="000000" w:themeColor="text1"/>
              </w:rPr>
              <w:t></w:t>
            </w:r>
            <w:r w:rsidR="00801372" w:rsidRPr="008B7D03">
              <w:rPr>
                <w:color w:val="000000" w:themeColor="text1"/>
              </w:rPr>
              <w:t xml:space="preserve"> </w:t>
            </w:r>
            <w:r w:rsidRPr="00F5426F">
              <w:t>No</w:t>
            </w:r>
          </w:p>
          <w:p w14:paraId="0FEEEA65" w14:textId="77777777" w:rsidR="00F5426F" w:rsidRPr="00F5426F" w:rsidRDefault="00F5426F" w:rsidP="000222F2">
            <w:pPr>
              <w:pStyle w:val="TableTextform"/>
              <w:spacing w:before="120" w:after="120"/>
              <w:rPr>
                <w:rFonts w:ascii="Century Gothic" w:hAnsi="Century Gothic"/>
              </w:rPr>
            </w:pPr>
            <w:r w:rsidRPr="00F5426F">
              <w:rPr>
                <w:rFonts w:ascii="Century Gothic" w:hAnsi="Century Gothic"/>
              </w:rPr>
              <w:t>The Trade and Investment Law Branch at the Department of Foreign Affairs &amp; Trade (</w:t>
            </w:r>
            <w:hyperlink r:id="rId9" w:history="1">
              <w:r w:rsidRPr="00F5426F">
                <w:rPr>
                  <w:rStyle w:val="Hyperlink"/>
                  <w:rFonts w:ascii="Century Gothic" w:hAnsi="Century Gothic"/>
                </w:rPr>
                <w:t>trade.law@dfat.gov.au</w:t>
              </w:r>
            </w:hyperlink>
            <w:r w:rsidRPr="00F5426F">
              <w:rPr>
                <w:rFonts w:ascii="Century Gothic" w:hAnsi="Century Gothic"/>
              </w:rPr>
              <w:t>) can help you assess these impacts.</w:t>
            </w:r>
          </w:p>
        </w:tc>
      </w:tr>
      <w:tr w:rsidR="00F5426F" w:rsidRPr="002C48C0" w14:paraId="039E859D" w14:textId="77777777" w:rsidTr="00F5426F">
        <w:tc>
          <w:tcPr>
            <w:tcW w:w="10456" w:type="dxa"/>
            <w:gridSpan w:val="2"/>
            <w:shd w:val="clear" w:color="auto" w:fill="B8B8B8" w:themeFill="accent2" w:themeFillTint="66"/>
          </w:tcPr>
          <w:p w14:paraId="1287ED12" w14:textId="77777777" w:rsidR="00F5426F" w:rsidRPr="00F5426F" w:rsidRDefault="00F5426F" w:rsidP="000222F2">
            <w:pPr>
              <w:pStyle w:val="TableText"/>
              <w:rPr>
                <w:b/>
              </w:rPr>
            </w:pPr>
            <w:r w:rsidRPr="00F5426F">
              <w:rPr>
                <w:b/>
              </w:rPr>
              <w:lastRenderedPageBreak/>
              <w:t>Timing</w:t>
            </w:r>
          </w:p>
        </w:tc>
      </w:tr>
      <w:tr w:rsidR="00F5426F" w14:paraId="41220687" w14:textId="77777777" w:rsidTr="00F5426F">
        <w:tc>
          <w:tcPr>
            <w:tcW w:w="10456" w:type="dxa"/>
            <w:gridSpan w:val="2"/>
          </w:tcPr>
          <w:p w14:paraId="737882BE" w14:textId="77777777" w:rsidR="00F5426F" w:rsidRDefault="00F5426F" w:rsidP="000222F2">
            <w:pPr>
              <w:pStyle w:val="TableTextform"/>
              <w:spacing w:before="80" w:after="80"/>
              <w:rPr>
                <w:rFonts w:ascii="Century Gothic" w:hAnsi="Century Gothic"/>
                <w:b/>
              </w:rPr>
            </w:pPr>
            <w:r w:rsidRPr="00BB6E8B">
              <w:rPr>
                <w:rFonts w:ascii="Century Gothic" w:hAnsi="Century Gothic"/>
                <w:b/>
              </w:rPr>
              <w:t>Key dates and timeline</w:t>
            </w:r>
            <w:r w:rsidR="00836D78" w:rsidRPr="00BB6E8B">
              <w:rPr>
                <w:rFonts w:ascii="Century Gothic" w:hAnsi="Century Gothic"/>
                <w:b/>
              </w:rPr>
              <w:t>:</w:t>
            </w:r>
          </w:p>
          <w:p w14:paraId="713CA164" w14:textId="25355960" w:rsidR="00801372" w:rsidRDefault="00801372" w:rsidP="00801372">
            <w:pPr>
              <w:pStyle w:val="TableTextform"/>
              <w:spacing w:before="80" w:after="80"/>
              <w:rPr>
                <w:rFonts w:ascii="Century Gothic" w:hAnsi="Century Gothic"/>
              </w:rPr>
            </w:pPr>
            <w:r>
              <w:rPr>
                <w:rFonts w:ascii="Century Gothic" w:hAnsi="Century Gothic"/>
              </w:rPr>
              <w:t>The peak bodies representing the heavy and light vehicle I</w:t>
            </w:r>
            <w:r w:rsidRPr="00B61175">
              <w:rPr>
                <w:rFonts w:ascii="Century Gothic" w:hAnsi="Century Gothic"/>
              </w:rPr>
              <w:t>ndustry</w:t>
            </w:r>
            <w:r>
              <w:rPr>
                <w:rFonts w:ascii="Century Gothic" w:hAnsi="Century Gothic"/>
              </w:rPr>
              <w:t xml:space="preserve"> </w:t>
            </w:r>
            <w:r w:rsidRPr="00B61175">
              <w:rPr>
                <w:rFonts w:ascii="Century Gothic" w:hAnsi="Century Gothic"/>
              </w:rPr>
              <w:t xml:space="preserve">fully support </w:t>
            </w:r>
            <w:r>
              <w:rPr>
                <w:rFonts w:ascii="Century Gothic" w:hAnsi="Century Gothic"/>
              </w:rPr>
              <w:t xml:space="preserve">mandating </w:t>
            </w:r>
            <w:r w:rsidRPr="00B61175">
              <w:rPr>
                <w:rFonts w:ascii="Century Gothic" w:hAnsi="Century Gothic"/>
              </w:rPr>
              <w:t xml:space="preserve">the proposed </w:t>
            </w:r>
            <w:r>
              <w:rPr>
                <w:rFonts w:ascii="Century Gothic" w:hAnsi="Century Gothic"/>
              </w:rPr>
              <w:t>new ADRs</w:t>
            </w:r>
            <w:r w:rsidRPr="00B61175">
              <w:rPr>
                <w:rFonts w:ascii="Century Gothic" w:hAnsi="Century Gothic"/>
              </w:rPr>
              <w:t xml:space="preserve"> </w:t>
            </w:r>
            <w:r w:rsidR="00050DF7">
              <w:rPr>
                <w:rFonts w:ascii="Century Gothic" w:hAnsi="Century Gothic"/>
              </w:rPr>
              <w:t xml:space="preserve">for </w:t>
            </w:r>
            <w:r w:rsidR="00875D0D">
              <w:rPr>
                <w:rFonts w:ascii="Century Gothic" w:hAnsi="Century Gothic"/>
              </w:rPr>
              <w:t xml:space="preserve">EVs </w:t>
            </w:r>
            <w:r w:rsidR="00050DF7">
              <w:rPr>
                <w:rFonts w:ascii="Century Gothic" w:hAnsi="Century Gothic"/>
              </w:rPr>
              <w:t xml:space="preserve">and </w:t>
            </w:r>
            <w:r w:rsidR="00875D0D">
              <w:rPr>
                <w:rFonts w:ascii="Century Gothic" w:hAnsi="Century Gothic"/>
              </w:rPr>
              <w:t>HFCVs</w:t>
            </w:r>
            <w:r w:rsidR="00050DF7">
              <w:rPr>
                <w:rFonts w:ascii="Century Gothic" w:hAnsi="Century Gothic"/>
              </w:rPr>
              <w:t xml:space="preserve"> </w:t>
            </w:r>
            <w:r>
              <w:rPr>
                <w:rFonts w:ascii="Century Gothic" w:hAnsi="Century Gothic"/>
              </w:rPr>
              <w:t xml:space="preserve">(Option 1) </w:t>
            </w:r>
            <w:r w:rsidRPr="00B61175">
              <w:rPr>
                <w:rFonts w:ascii="Century Gothic" w:hAnsi="Century Gothic"/>
              </w:rPr>
              <w:t xml:space="preserve">and would prefer </w:t>
            </w:r>
            <w:r>
              <w:rPr>
                <w:rFonts w:ascii="Century Gothic" w:hAnsi="Century Gothic"/>
              </w:rPr>
              <w:t>these to be made as soon as possible, including to reduce regulatory costs, ensure continuity in market supply and increase safety.</w:t>
            </w:r>
          </w:p>
          <w:p w14:paraId="433E1E6D" w14:textId="1FC0097B" w:rsidR="00BB6E8B" w:rsidRPr="00281E79" w:rsidRDefault="00801372" w:rsidP="00281E79">
            <w:pPr>
              <w:pStyle w:val="TableTextform"/>
              <w:spacing w:before="80" w:after="80"/>
              <w:rPr>
                <w:rFonts w:eastAsiaTheme="minorEastAsia"/>
              </w:rPr>
            </w:pPr>
            <w:r>
              <w:rPr>
                <w:rFonts w:ascii="Century Gothic" w:hAnsi="Century Gothic"/>
              </w:rPr>
              <w:t xml:space="preserve">The Department would therefore prefer to progress the proposed </w:t>
            </w:r>
            <w:r w:rsidR="009C3478">
              <w:rPr>
                <w:rFonts w:ascii="Century Gothic" w:hAnsi="Century Gothic"/>
              </w:rPr>
              <w:t>new ADRs</w:t>
            </w:r>
            <w:r>
              <w:rPr>
                <w:rFonts w:ascii="Century Gothic" w:hAnsi="Century Gothic"/>
              </w:rPr>
              <w:t xml:space="preserve"> to the responsible Minister in </w:t>
            </w:r>
            <w:r w:rsidR="009C3478">
              <w:rPr>
                <w:rFonts w:ascii="Century Gothic" w:hAnsi="Century Gothic"/>
              </w:rPr>
              <w:t>in</w:t>
            </w:r>
            <w:r w:rsidR="00281E79">
              <w:rPr>
                <w:rFonts w:ascii="Century Gothic" w:hAnsi="Century Gothic"/>
              </w:rPr>
              <w:t xml:space="preserve"> early</w:t>
            </w:r>
            <w:r>
              <w:rPr>
                <w:rFonts w:ascii="Century Gothic" w:hAnsi="Century Gothic"/>
              </w:rPr>
              <w:t xml:space="preserve"> 202</w:t>
            </w:r>
            <w:r w:rsidR="00281E79">
              <w:rPr>
                <w:rFonts w:ascii="Century Gothic" w:hAnsi="Century Gothic"/>
              </w:rPr>
              <w:t>3</w:t>
            </w:r>
            <w:r w:rsidR="009C3478">
              <w:rPr>
                <w:rFonts w:ascii="Century Gothic" w:hAnsi="Century Gothic"/>
              </w:rPr>
              <w:t xml:space="preserve"> following consultation with industry on timing</w:t>
            </w:r>
            <w:r w:rsidR="00281E79">
              <w:rPr>
                <w:rFonts w:ascii="Century Gothic" w:hAnsi="Century Gothic"/>
              </w:rPr>
              <w:t xml:space="preserve"> of the new ADRs</w:t>
            </w:r>
            <w:r>
              <w:rPr>
                <w:rFonts w:ascii="Century Gothic" w:hAnsi="Century Gothic"/>
              </w:rPr>
              <w:t xml:space="preserve">, without the </w:t>
            </w:r>
            <w:r w:rsidRPr="00522967">
              <w:rPr>
                <w:rFonts w:ascii="Century Gothic" w:hAnsi="Century Gothic"/>
              </w:rPr>
              <w:t>need for a Regulation Impact Statement (RIS), as this would (if required) significantly delay the realisation.</w:t>
            </w:r>
          </w:p>
        </w:tc>
      </w:tr>
      <w:tr w:rsidR="00F5426F" w:rsidRPr="002C48C0" w14:paraId="193EC192" w14:textId="77777777" w:rsidTr="00F5426F">
        <w:tc>
          <w:tcPr>
            <w:tcW w:w="10456" w:type="dxa"/>
            <w:gridSpan w:val="2"/>
            <w:shd w:val="clear" w:color="auto" w:fill="B8B8B8" w:themeFill="accent2" w:themeFillTint="66"/>
          </w:tcPr>
          <w:p w14:paraId="51613518" w14:textId="77777777" w:rsidR="00F5426F" w:rsidRPr="00F5426F" w:rsidRDefault="00F5426F" w:rsidP="000222F2">
            <w:pPr>
              <w:pStyle w:val="TableText"/>
              <w:rPr>
                <w:b/>
              </w:rPr>
            </w:pPr>
            <w:r w:rsidRPr="00F5426F">
              <w:rPr>
                <w:b/>
              </w:rPr>
              <w:t>Contact information (Please enter your contact information below)</w:t>
            </w:r>
          </w:p>
        </w:tc>
      </w:tr>
      <w:tr w:rsidR="00F5426F" w14:paraId="42C074B5" w14:textId="77777777" w:rsidTr="00F5426F">
        <w:tc>
          <w:tcPr>
            <w:tcW w:w="10456" w:type="dxa"/>
            <w:gridSpan w:val="2"/>
          </w:tcPr>
          <w:p w14:paraId="1794CE71" w14:textId="21947E84" w:rsidR="00F5426F" w:rsidRPr="00F5426F" w:rsidRDefault="00F5426F" w:rsidP="000222F2">
            <w:pPr>
              <w:pStyle w:val="TableTextform"/>
              <w:spacing w:before="60" w:after="60"/>
              <w:rPr>
                <w:rFonts w:ascii="Century Gothic" w:hAnsi="Century Gothic"/>
              </w:rPr>
            </w:pPr>
            <w:r w:rsidRPr="00F5426F">
              <w:rPr>
                <w:rFonts w:ascii="Century Gothic" w:hAnsi="Century Gothic"/>
              </w:rPr>
              <w:t>Name:</w:t>
            </w:r>
          </w:p>
        </w:tc>
      </w:tr>
      <w:tr w:rsidR="00F5426F" w14:paraId="6FA0C172" w14:textId="77777777" w:rsidTr="00F5426F">
        <w:tc>
          <w:tcPr>
            <w:tcW w:w="10456" w:type="dxa"/>
            <w:gridSpan w:val="2"/>
          </w:tcPr>
          <w:p w14:paraId="6C4A0B4F" w14:textId="498981F8" w:rsidR="00F5426F" w:rsidRPr="00F5426F" w:rsidRDefault="00F5426F" w:rsidP="000222F2">
            <w:pPr>
              <w:pStyle w:val="TableTextform"/>
              <w:spacing w:before="60" w:after="60"/>
              <w:rPr>
                <w:rFonts w:ascii="Century Gothic" w:hAnsi="Century Gothic"/>
              </w:rPr>
            </w:pPr>
            <w:r w:rsidRPr="00F5426F">
              <w:rPr>
                <w:rFonts w:ascii="Century Gothic" w:hAnsi="Century Gothic"/>
              </w:rPr>
              <w:t>Email and Phone:</w:t>
            </w:r>
          </w:p>
        </w:tc>
      </w:tr>
      <w:tr w:rsidR="00F5426F" w14:paraId="3A4FDDE9" w14:textId="77777777" w:rsidTr="00F5426F">
        <w:tc>
          <w:tcPr>
            <w:tcW w:w="10456" w:type="dxa"/>
            <w:gridSpan w:val="2"/>
          </w:tcPr>
          <w:p w14:paraId="052A140D" w14:textId="0C044C28" w:rsidR="00F5426F" w:rsidRPr="00F5426F" w:rsidRDefault="00F5426F" w:rsidP="000222F2">
            <w:pPr>
              <w:pStyle w:val="TableTextform"/>
              <w:spacing w:before="60" w:after="60"/>
              <w:rPr>
                <w:rFonts w:ascii="Century Gothic" w:hAnsi="Century Gothic"/>
              </w:rPr>
            </w:pPr>
            <w:r w:rsidRPr="00F5426F">
              <w:rPr>
                <w:rFonts w:ascii="Century Gothic" w:hAnsi="Century Gothic"/>
              </w:rPr>
              <w:t>Date:</w:t>
            </w:r>
            <w:r w:rsidR="00365C31">
              <w:rPr>
                <w:rFonts w:ascii="Century Gothic" w:hAnsi="Century Gothic"/>
              </w:rPr>
              <w:t xml:space="preserve"> </w:t>
            </w:r>
            <w:r w:rsidR="0037026B">
              <w:rPr>
                <w:rFonts w:ascii="Century Gothic" w:hAnsi="Century Gothic"/>
              </w:rPr>
              <w:t>24</w:t>
            </w:r>
            <w:r w:rsidR="00365C31">
              <w:rPr>
                <w:rFonts w:ascii="Century Gothic" w:hAnsi="Century Gothic"/>
              </w:rPr>
              <w:t xml:space="preserve"> </w:t>
            </w:r>
            <w:r w:rsidR="0042451A">
              <w:rPr>
                <w:rFonts w:ascii="Century Gothic" w:hAnsi="Century Gothic"/>
              </w:rPr>
              <w:t>November</w:t>
            </w:r>
            <w:r w:rsidR="00365C31">
              <w:rPr>
                <w:rFonts w:ascii="Century Gothic" w:hAnsi="Century Gothic"/>
              </w:rPr>
              <w:t xml:space="preserve"> 2022</w:t>
            </w:r>
          </w:p>
        </w:tc>
      </w:tr>
      <w:tr w:rsidR="00F5426F" w14:paraId="346C3FD9" w14:textId="77777777" w:rsidTr="00F5426F">
        <w:tc>
          <w:tcPr>
            <w:tcW w:w="10456" w:type="dxa"/>
            <w:gridSpan w:val="2"/>
          </w:tcPr>
          <w:p w14:paraId="25010D69" w14:textId="77777777" w:rsidR="00F5426F" w:rsidRPr="00F5426F" w:rsidRDefault="00F5426F" w:rsidP="000222F2">
            <w:pPr>
              <w:pStyle w:val="TableText"/>
              <w:spacing w:before="60" w:after="60"/>
            </w:pPr>
            <w:r w:rsidRPr="00F5426F">
              <w:t xml:space="preserve">Please forward the completed form to OBPR at </w:t>
            </w:r>
            <w:hyperlink r:id="rId10" w:history="1">
              <w:r w:rsidRPr="00F5426F">
                <w:rPr>
                  <w:rStyle w:val="Hyperlink"/>
                </w:rPr>
                <w:t>Helpdesk-OBPR@pmc.gov.au</w:t>
              </w:r>
            </w:hyperlink>
            <w:r w:rsidRPr="00F5426F">
              <w:t xml:space="preserve"> or call (02) 6271 6270 to discuss your proposal with an OBPR officer.</w:t>
            </w:r>
          </w:p>
        </w:tc>
      </w:tr>
    </w:tbl>
    <w:p w14:paraId="37DA4558" w14:textId="77777777" w:rsidR="00F5426F" w:rsidRDefault="00F5426F" w:rsidP="00F5426F"/>
    <w:p w14:paraId="4BA30ED2" w14:textId="77777777" w:rsidR="00F5426F" w:rsidRPr="00A82052" w:rsidRDefault="00F5426F" w:rsidP="00F5426F">
      <w:pPr>
        <w:pStyle w:val="Heading2"/>
      </w:pPr>
      <w:r>
        <w:t>Overview</w:t>
      </w:r>
    </w:p>
    <w:p w14:paraId="497C5D90" w14:textId="77777777" w:rsidR="00F5426F" w:rsidRPr="00A82052" w:rsidRDefault="00F5426F" w:rsidP="00836D78">
      <w:pPr>
        <w:pStyle w:val="Heading3"/>
        <w:spacing w:before="0"/>
      </w:pPr>
      <w:r w:rsidRPr="00A82052">
        <w:t xml:space="preserve">Description of the </w:t>
      </w:r>
      <w:r>
        <w:t>p</w:t>
      </w:r>
      <w:r w:rsidRPr="00A82052">
        <w:t>roblem</w:t>
      </w:r>
    </w:p>
    <w:p w14:paraId="431E3DE5" w14:textId="77777777" w:rsidR="00F5426F" w:rsidRPr="00A82052" w:rsidRDefault="00F5426F" w:rsidP="00F5426F">
      <w:pPr>
        <w:rPr>
          <w:i/>
        </w:rPr>
      </w:pPr>
      <w:r>
        <w:t>Describe</w:t>
      </w:r>
      <w:r w:rsidRPr="00A82052">
        <w:t xml:space="preserve"> the problem that </w:t>
      </w:r>
      <w:r>
        <w:t>the proposed regulation is intended to solve:</w:t>
      </w:r>
    </w:p>
    <w:p w14:paraId="7A395932" w14:textId="77777777" w:rsidR="00F5426F" w:rsidRPr="00A82052" w:rsidRDefault="00F5426F" w:rsidP="00F5426F">
      <w:pPr>
        <w:pStyle w:val="Bullet1"/>
      </w:pPr>
      <w:r>
        <w:t>Do</w:t>
      </w:r>
      <w:r w:rsidRPr="00A82052">
        <w:t xml:space="preserve"> not confuse the problem with </w:t>
      </w:r>
      <w:r>
        <w:t>a</w:t>
      </w:r>
      <w:r w:rsidRPr="00A82052">
        <w:t xml:space="preserve"> ‘symptom’ of </w:t>
      </w:r>
      <w:r>
        <w:t>the</w:t>
      </w:r>
      <w:r w:rsidRPr="00A82052">
        <w:t xml:space="preserve"> problem. Identify the underlying cause of the problem. Is the problem the consequence or the cause? </w:t>
      </w:r>
    </w:p>
    <w:p w14:paraId="051FDFA9" w14:textId="77777777" w:rsidR="00F5426F" w:rsidRPr="00A82052" w:rsidRDefault="00F5426F" w:rsidP="00F5426F">
      <w:pPr>
        <w:pStyle w:val="Bullet1"/>
      </w:pPr>
      <w:r w:rsidRPr="00A82052">
        <w:t>What is the nature of the problem</w:t>
      </w:r>
      <w:r>
        <w:t>? W</w:t>
      </w:r>
      <w:r w:rsidRPr="00A82052">
        <w:t>hat</w:t>
      </w:r>
      <w:r>
        <w:t xml:space="preserve"> </w:t>
      </w:r>
      <w:r w:rsidRPr="00A82052">
        <w:t>loss, harm or other adverse consequences are being experienced, and by whom?</w:t>
      </w:r>
    </w:p>
    <w:p w14:paraId="32D3F9B0" w14:textId="77777777" w:rsidR="00F5426F" w:rsidRDefault="00F5426F" w:rsidP="00F5426F">
      <w:pPr>
        <w:pStyle w:val="Bullet1"/>
      </w:pPr>
      <w:r w:rsidRPr="00A82052">
        <w:t xml:space="preserve">How significant is the problem? What is its magnitude? </w:t>
      </w:r>
      <w:r>
        <w:t xml:space="preserve">If your proposal is intended to mitigate risk of an adverse event, </w:t>
      </w:r>
      <w:r w:rsidRPr="00A82052">
        <w:t>what is the likelihood of th</w:t>
      </w:r>
      <w:r>
        <w:t>at</w:t>
      </w:r>
      <w:r w:rsidRPr="00A82052">
        <w:t xml:space="preserve"> event occurring? What evidence do you have to support th</w:t>
      </w:r>
      <w:r>
        <w:t>at</w:t>
      </w:r>
      <w:r w:rsidRPr="00A82052">
        <w:t xml:space="preserve"> assessment?</w:t>
      </w:r>
    </w:p>
    <w:p w14:paraId="091E9D9F" w14:textId="77777777" w:rsidR="00F5426F" w:rsidRPr="00A82052" w:rsidRDefault="00F5426F" w:rsidP="00F5426F">
      <w:pPr>
        <w:pStyle w:val="Bullet1"/>
      </w:pPr>
      <w:r w:rsidRPr="00A82052">
        <w:t>How is the problem currently regulated by Australian Government, state, territory or local government regulations, or by governments overseas? Are there deficiencies in the existing regulatory system?</w:t>
      </w:r>
    </w:p>
    <w:p w14:paraId="76919794" w14:textId="77777777" w:rsidR="00F5426F" w:rsidRPr="00A82052" w:rsidRDefault="00F5426F" w:rsidP="00F5426F">
      <w:pPr>
        <w:pStyle w:val="Bullet1"/>
      </w:pPr>
      <w:r w:rsidRPr="00A82052">
        <w:t>Is there a case for government intervention or is the problem of purely private interest?</w:t>
      </w:r>
    </w:p>
    <w:p w14:paraId="4A70F928" w14:textId="77777777" w:rsidR="00F5426F" w:rsidRPr="00A82052" w:rsidRDefault="00F5426F" w:rsidP="00F5426F">
      <w:pPr>
        <w:pStyle w:val="Bullet1"/>
      </w:pPr>
      <w:r w:rsidRPr="00A82052">
        <w:t>Why does current regulation not properly address the problem?</w:t>
      </w:r>
    </w:p>
    <w:p w14:paraId="6B135F0D" w14:textId="77777777" w:rsidR="00F5426F" w:rsidRPr="00A82052" w:rsidRDefault="00F5426F" w:rsidP="00F5426F">
      <w:pPr>
        <w:pStyle w:val="Bullet1"/>
      </w:pPr>
      <w:r w:rsidRPr="00A82052">
        <w:t xml:space="preserve">If the problem relates to existing legislation or regulation, </w:t>
      </w:r>
      <w:r>
        <w:t>is it caused by faulty design, implementation, or both?</w:t>
      </w:r>
    </w:p>
    <w:p w14:paraId="613268A9" w14:textId="77777777" w:rsidR="00F5426F" w:rsidRPr="00A82052" w:rsidRDefault="00F5426F" w:rsidP="00F5426F">
      <w:pPr>
        <w:pStyle w:val="Bullet1"/>
      </w:pPr>
      <w:r w:rsidRPr="00A82052">
        <w:t xml:space="preserve">What are </w:t>
      </w:r>
      <w:r>
        <w:t xml:space="preserve">the </w:t>
      </w:r>
      <w:r w:rsidRPr="00A82052">
        <w:t>consequences of not taking any action?</w:t>
      </w:r>
    </w:p>
    <w:p w14:paraId="65E60DCF" w14:textId="77777777" w:rsidR="00F5426F" w:rsidRPr="00A82052" w:rsidRDefault="00F5426F" w:rsidP="00F5426F">
      <w:pPr>
        <w:pStyle w:val="Bullet1"/>
      </w:pPr>
      <w:r w:rsidRPr="00A82052">
        <w:t xml:space="preserve">Could relying on the market in conjunction with the general application of existing laws and regulations solve the problem? If not, why not? </w:t>
      </w:r>
    </w:p>
    <w:p w14:paraId="45ACA60D" w14:textId="77777777" w:rsidR="00F5426F" w:rsidRPr="00A82052" w:rsidRDefault="00F5426F" w:rsidP="00F5426F">
      <w:pPr>
        <w:pStyle w:val="Bullet1"/>
      </w:pPr>
      <w:r w:rsidRPr="00A82052">
        <w:t>Will the problem self-correct within a reasonable timeframe?</w:t>
      </w:r>
    </w:p>
    <w:p w14:paraId="0B6B1120" w14:textId="77777777" w:rsidR="00F5426F" w:rsidRPr="00A82052" w:rsidRDefault="00F5426F" w:rsidP="00836D78">
      <w:pPr>
        <w:pStyle w:val="Heading3"/>
        <w:spacing w:before="0"/>
      </w:pPr>
      <w:r w:rsidRPr="00A82052">
        <w:lastRenderedPageBreak/>
        <w:t>Outline of the policy objectives</w:t>
      </w:r>
    </w:p>
    <w:p w14:paraId="257CA848" w14:textId="77777777" w:rsidR="00F5426F" w:rsidRPr="00A82052" w:rsidRDefault="00F5426F" w:rsidP="00F5426F">
      <w:r>
        <w:t>C</w:t>
      </w:r>
      <w:r w:rsidRPr="00A82052">
        <w:t>learly identify why there is a legitimate reason for the Government to intervene</w:t>
      </w:r>
      <w:r>
        <w:t>. D</w:t>
      </w:r>
      <w:r w:rsidRPr="00A82052">
        <w:t xml:space="preserve">emonstrate that the Government has the capacity to intervene successfully, and identify alternatives to </w:t>
      </w:r>
      <w:r>
        <w:t>g</w:t>
      </w:r>
      <w:r w:rsidRPr="00A82052">
        <w:t xml:space="preserve">overnment action. </w:t>
      </w:r>
      <w:r>
        <w:t>List</w:t>
      </w:r>
      <w:r w:rsidRPr="00A82052">
        <w:t xml:space="preserve"> objectives, outcomes, goals or targets </w:t>
      </w:r>
      <w:r>
        <w:t xml:space="preserve">that </w:t>
      </w:r>
      <w:r w:rsidRPr="00A82052">
        <w:t>are sought in relation to the problem, and constraints o</w:t>
      </w:r>
      <w:r>
        <w:t>r</w:t>
      </w:r>
      <w:r w:rsidRPr="00A82052">
        <w:t xml:space="preserve"> barriers to achieving </w:t>
      </w:r>
      <w:r>
        <w:t>them</w:t>
      </w:r>
      <w:r w:rsidRPr="00A82052">
        <w:t xml:space="preserve">. </w:t>
      </w:r>
    </w:p>
    <w:p w14:paraId="3A5099B7" w14:textId="77777777" w:rsidR="00F5426F" w:rsidRPr="00A82052" w:rsidRDefault="00F5426F" w:rsidP="00F5426F">
      <w:r w:rsidRPr="00A82052">
        <w:t>A common error is to confuse the desired final outcome of a proposal with the outputs, or means of obtaining it. The aim is not to pre-justify a preferred solution, but to specify the objective broadly enough so that all relevant alternative solutions can be considered.</w:t>
      </w:r>
    </w:p>
    <w:p w14:paraId="4125C6DD" w14:textId="77777777" w:rsidR="00F5426F" w:rsidRPr="00A82052" w:rsidRDefault="00F5426F" w:rsidP="00836D78">
      <w:pPr>
        <w:pStyle w:val="Heading3"/>
        <w:spacing w:before="0"/>
      </w:pPr>
      <w:r w:rsidRPr="00A82052">
        <w:t>Outline of the options</w:t>
      </w:r>
    </w:p>
    <w:p w14:paraId="614AEDC4" w14:textId="77777777" w:rsidR="00F5426F" w:rsidRPr="00A82052" w:rsidRDefault="00F5426F" w:rsidP="00F5426F">
      <w:r>
        <w:t>O</w:t>
      </w:r>
      <w:r w:rsidRPr="00A82052">
        <w:t xml:space="preserve">utline a range of genuine and viable alternative policy options available to address the problem and achieve the policy objectives. </w:t>
      </w:r>
      <w:r>
        <w:t>Identify a</w:t>
      </w:r>
      <w:r w:rsidRPr="00A82052">
        <w:t xml:space="preserve"> minimum of three options</w:t>
      </w:r>
      <w:r>
        <w:rPr>
          <w:rStyle w:val="FootnoteReference"/>
        </w:rPr>
        <w:footnoteReference w:id="14"/>
      </w:r>
      <w:r w:rsidRPr="00A82052">
        <w:t>, of which at least one option must always be non</w:t>
      </w:r>
      <w:r>
        <w:noBreakHyphen/>
      </w:r>
      <w:r w:rsidRPr="00A82052">
        <w:t>regulatory.</w:t>
      </w:r>
    </w:p>
    <w:p w14:paraId="12905E1C" w14:textId="77777777" w:rsidR="00F5426F" w:rsidRPr="00A82052" w:rsidRDefault="00F5426F" w:rsidP="00836D78">
      <w:pPr>
        <w:pStyle w:val="Heading3"/>
        <w:spacing w:before="0"/>
      </w:pPr>
      <w:r w:rsidRPr="00A82052">
        <w:t>Other elements</w:t>
      </w:r>
      <w:r>
        <w:t xml:space="preserve"> of your proposal</w:t>
      </w:r>
    </w:p>
    <w:p w14:paraId="47770CD9" w14:textId="77777777" w:rsidR="00F5426F" w:rsidRPr="007278F1" w:rsidRDefault="00F5426F" w:rsidP="00F5426F">
      <w:r>
        <w:t>Include a</w:t>
      </w:r>
      <w:r w:rsidRPr="00A82052">
        <w:t>ny additional information that is relevant to the proposal.</w:t>
      </w:r>
      <w:r>
        <w:t xml:space="preserve"> </w:t>
      </w:r>
      <w:r w:rsidRPr="00A82052">
        <w:t>For example</w:t>
      </w:r>
      <w:r>
        <w:t>: h</w:t>
      </w:r>
      <w:r w:rsidRPr="00A82052">
        <w:t>ave there been recent propos</w:t>
      </w:r>
      <w:r>
        <w:t>ed regulation</w:t>
      </w:r>
      <w:r w:rsidRPr="00A82052">
        <w:t xml:space="preserve">s </w:t>
      </w:r>
      <w:r>
        <w:t>similar or related to this proposal</w:t>
      </w:r>
      <w:r w:rsidRPr="00A82052">
        <w:t xml:space="preserve">, or is </w:t>
      </w:r>
      <w:r>
        <w:t>it</w:t>
      </w:r>
      <w:r w:rsidRPr="00A82052">
        <w:t xml:space="preserve"> a new regulation</w:t>
      </w:r>
      <w:r>
        <w:t>,</w:t>
      </w:r>
      <w:r w:rsidRPr="00A82052">
        <w:t xml:space="preserve"> an amendment to an existing regulation</w:t>
      </w:r>
      <w:r>
        <w:t>,</w:t>
      </w:r>
      <w:r w:rsidRPr="00A82052">
        <w:t xml:space="preserve"> or a replacement for sunsetting regulation.</w:t>
      </w:r>
    </w:p>
    <w:p w14:paraId="3D34AEE8" w14:textId="77777777" w:rsidR="00F5426F" w:rsidRDefault="00F5426F" w:rsidP="00F5426F">
      <w:r>
        <w:t>State</w:t>
      </w:r>
      <w:r w:rsidRPr="00A82052">
        <w:t xml:space="preserve"> whether any consultation has already been undertaken, and what consultation is proposed.</w:t>
      </w:r>
    </w:p>
    <w:p w14:paraId="2926DE76" w14:textId="77777777" w:rsidR="00F5426F" w:rsidRPr="00A82052" w:rsidRDefault="00F5426F" w:rsidP="00F5426F">
      <w:pPr>
        <w:pStyle w:val="Heading2"/>
      </w:pPr>
      <w:r w:rsidRPr="00A82052">
        <w:t>Likely impact on businesses, community organisations and individuals</w:t>
      </w:r>
    </w:p>
    <w:p w14:paraId="53312916" w14:textId="77777777" w:rsidR="00F5426F" w:rsidRPr="003429AF" w:rsidRDefault="007B2899" w:rsidP="00F5426F">
      <w:pPr>
        <w:rPr>
          <w:color w:val="000000" w:themeColor="text1"/>
        </w:rPr>
      </w:pPr>
      <w:bookmarkStart w:id="1" w:name="Regulatoryimpacts"/>
      <w:bookmarkEnd w:id="1"/>
      <w:r>
        <w:rPr>
          <w:color w:val="000000" w:themeColor="text1"/>
        </w:rPr>
        <w:t>I</w:t>
      </w:r>
      <w:r w:rsidR="00F5426F" w:rsidRPr="003429AF">
        <w:rPr>
          <w:color w:val="000000" w:themeColor="text1"/>
        </w:rPr>
        <w:t>mpacts may include:</w:t>
      </w:r>
    </w:p>
    <w:p w14:paraId="20021121" w14:textId="77777777" w:rsidR="00F5426F" w:rsidRPr="00F5426F" w:rsidRDefault="00F5426F" w:rsidP="00F5426F">
      <w:pPr>
        <w:pStyle w:val="Bullet1"/>
        <w:rPr>
          <w:szCs w:val="20"/>
        </w:rPr>
      </w:pPr>
      <w:r w:rsidRPr="00F5426F">
        <w:rPr>
          <w:szCs w:val="20"/>
        </w:rPr>
        <w:t>changes to the number or type of products that businesses can offer, such as:</w:t>
      </w:r>
    </w:p>
    <w:p w14:paraId="0A57D431" w14:textId="77777777" w:rsidR="00F5426F" w:rsidRPr="00F5426F" w:rsidRDefault="00F5426F" w:rsidP="00F5426F">
      <w:pPr>
        <w:pStyle w:val="Bullet2"/>
        <w:rPr>
          <w:rFonts w:ascii="Century Gothic" w:hAnsi="Century Gothic"/>
          <w:sz w:val="20"/>
          <w:szCs w:val="20"/>
        </w:rPr>
      </w:pPr>
      <w:r w:rsidRPr="00F5426F">
        <w:rPr>
          <w:rFonts w:ascii="Century Gothic" w:hAnsi="Century Gothic"/>
          <w:sz w:val="20"/>
          <w:szCs w:val="20"/>
        </w:rPr>
        <w:t>banning products or industry practices</w:t>
      </w:r>
    </w:p>
    <w:p w14:paraId="66740DED" w14:textId="77777777" w:rsidR="00F5426F" w:rsidRPr="00F5426F" w:rsidRDefault="00F5426F" w:rsidP="00F5426F">
      <w:pPr>
        <w:pStyle w:val="Bullet2"/>
        <w:rPr>
          <w:rFonts w:ascii="Century Gothic" w:hAnsi="Century Gothic"/>
          <w:sz w:val="20"/>
          <w:szCs w:val="20"/>
        </w:rPr>
      </w:pPr>
      <w:r w:rsidRPr="00F5426F">
        <w:rPr>
          <w:rFonts w:ascii="Century Gothic" w:hAnsi="Century Gothic"/>
          <w:sz w:val="20"/>
          <w:szCs w:val="20"/>
        </w:rPr>
        <w:t>changing the way products can be offered</w:t>
      </w:r>
    </w:p>
    <w:p w14:paraId="0D472ACC" w14:textId="77777777" w:rsidR="00F5426F" w:rsidRPr="00F5426F" w:rsidRDefault="00F5426F" w:rsidP="00F5426F">
      <w:pPr>
        <w:pStyle w:val="Bullet1"/>
        <w:rPr>
          <w:szCs w:val="20"/>
        </w:rPr>
      </w:pPr>
      <w:r w:rsidRPr="00F5426F">
        <w:rPr>
          <w:szCs w:val="20"/>
        </w:rPr>
        <w:t>impacts on consumer demand for certain products, such as:</w:t>
      </w:r>
    </w:p>
    <w:p w14:paraId="7E418496" w14:textId="77777777" w:rsidR="00F5426F" w:rsidRPr="00F5426F" w:rsidRDefault="00F5426F" w:rsidP="00F5426F">
      <w:pPr>
        <w:pStyle w:val="Bullet2"/>
        <w:rPr>
          <w:rFonts w:ascii="Century Gothic" w:hAnsi="Century Gothic"/>
          <w:sz w:val="20"/>
          <w:szCs w:val="20"/>
        </w:rPr>
      </w:pPr>
      <w:r w:rsidRPr="00F5426F">
        <w:rPr>
          <w:rFonts w:ascii="Century Gothic" w:hAnsi="Century Gothic"/>
          <w:sz w:val="20"/>
          <w:szCs w:val="20"/>
        </w:rPr>
        <w:t xml:space="preserve">increasing prices through the regulation’s requirements </w:t>
      </w:r>
    </w:p>
    <w:p w14:paraId="32885C57" w14:textId="77777777" w:rsidR="00F5426F" w:rsidRPr="00F5426F" w:rsidRDefault="00F5426F" w:rsidP="00F5426F">
      <w:pPr>
        <w:pStyle w:val="Bullet2"/>
        <w:rPr>
          <w:rFonts w:ascii="Century Gothic" w:hAnsi="Century Gothic"/>
          <w:sz w:val="20"/>
          <w:szCs w:val="20"/>
        </w:rPr>
      </w:pPr>
      <w:r w:rsidRPr="00F5426F">
        <w:rPr>
          <w:rFonts w:ascii="Century Gothic" w:hAnsi="Century Gothic"/>
          <w:sz w:val="20"/>
          <w:szCs w:val="20"/>
        </w:rPr>
        <w:t>changing the information available to consumers</w:t>
      </w:r>
    </w:p>
    <w:p w14:paraId="344B342C" w14:textId="77777777" w:rsidR="00F5426F" w:rsidRPr="00F5426F" w:rsidRDefault="00F5426F" w:rsidP="00F5426F">
      <w:pPr>
        <w:pStyle w:val="Bullet1"/>
        <w:rPr>
          <w:szCs w:val="20"/>
        </w:rPr>
      </w:pPr>
      <w:r w:rsidRPr="00F5426F">
        <w:rPr>
          <w:szCs w:val="20"/>
        </w:rPr>
        <w:t>impacts on the ability of businesses to compete in the market or on their incentives to compete, such as:</w:t>
      </w:r>
    </w:p>
    <w:p w14:paraId="441D4929" w14:textId="77777777" w:rsidR="00F5426F" w:rsidRPr="00F5426F" w:rsidRDefault="00F5426F" w:rsidP="00F5426F">
      <w:pPr>
        <w:pStyle w:val="Bullet2"/>
        <w:rPr>
          <w:rFonts w:ascii="Century Gothic" w:hAnsi="Century Gothic"/>
          <w:sz w:val="20"/>
          <w:szCs w:val="20"/>
        </w:rPr>
      </w:pPr>
      <w:r w:rsidRPr="00F5426F">
        <w:rPr>
          <w:rFonts w:ascii="Century Gothic" w:hAnsi="Century Gothic"/>
          <w:sz w:val="20"/>
          <w:szCs w:val="20"/>
        </w:rPr>
        <w:t>creating a self-regulatory or co-regulatory regime</w:t>
      </w:r>
    </w:p>
    <w:p w14:paraId="328C872E" w14:textId="77777777" w:rsidR="00F5426F" w:rsidRPr="00F5426F" w:rsidRDefault="00F5426F" w:rsidP="00F5426F">
      <w:pPr>
        <w:pStyle w:val="Bullet2"/>
        <w:rPr>
          <w:rFonts w:ascii="Century Gothic" w:hAnsi="Century Gothic"/>
          <w:sz w:val="20"/>
          <w:szCs w:val="20"/>
        </w:rPr>
      </w:pPr>
      <w:r w:rsidRPr="00F5426F">
        <w:rPr>
          <w:rFonts w:ascii="Century Gothic" w:hAnsi="Century Gothic"/>
          <w:sz w:val="20"/>
          <w:szCs w:val="20"/>
        </w:rPr>
        <w:t>changing the requirements for a licence, permit or other authorisation</w:t>
      </w:r>
    </w:p>
    <w:p w14:paraId="542ACF05" w14:textId="77777777" w:rsidR="00F5426F" w:rsidRPr="00F5426F" w:rsidRDefault="00F5426F" w:rsidP="00F5426F">
      <w:pPr>
        <w:pStyle w:val="Bullet2"/>
        <w:rPr>
          <w:rFonts w:ascii="Century Gothic" w:hAnsi="Century Gothic"/>
          <w:sz w:val="20"/>
          <w:szCs w:val="20"/>
        </w:rPr>
      </w:pPr>
      <w:r w:rsidRPr="00F5426F">
        <w:rPr>
          <w:rFonts w:ascii="Century Gothic" w:hAnsi="Century Gothic"/>
          <w:sz w:val="20"/>
          <w:szCs w:val="20"/>
        </w:rPr>
        <w:t>influencing the price or quantity of goods that are sold</w:t>
      </w:r>
    </w:p>
    <w:p w14:paraId="0954CE75" w14:textId="77777777" w:rsidR="00F5426F" w:rsidRPr="00F5426F" w:rsidRDefault="00F5426F" w:rsidP="00F5426F">
      <w:pPr>
        <w:pStyle w:val="Bullet2"/>
        <w:rPr>
          <w:rFonts w:ascii="Century Gothic" w:hAnsi="Century Gothic"/>
          <w:sz w:val="20"/>
          <w:szCs w:val="20"/>
        </w:rPr>
      </w:pPr>
      <w:r w:rsidRPr="00F5426F">
        <w:rPr>
          <w:rFonts w:ascii="Century Gothic" w:hAnsi="Century Gothic"/>
          <w:sz w:val="20"/>
          <w:szCs w:val="20"/>
        </w:rPr>
        <w:t>setting standards for product or service quality</w:t>
      </w:r>
    </w:p>
    <w:p w14:paraId="1581179A" w14:textId="77777777" w:rsidR="00F5426F" w:rsidRPr="00F5426F" w:rsidRDefault="00F5426F" w:rsidP="00F5426F">
      <w:pPr>
        <w:pStyle w:val="Bullet2"/>
        <w:rPr>
          <w:rFonts w:ascii="Century Gothic" w:hAnsi="Century Gothic"/>
          <w:sz w:val="20"/>
          <w:szCs w:val="20"/>
        </w:rPr>
      </w:pPr>
      <w:r w:rsidRPr="00F5426F">
        <w:rPr>
          <w:rFonts w:ascii="Century Gothic" w:hAnsi="Century Gothic"/>
          <w:sz w:val="20"/>
          <w:szCs w:val="20"/>
        </w:rPr>
        <w:t>changing the prices or types of inputs available to businesses.</w:t>
      </w:r>
    </w:p>
    <w:p w14:paraId="14733229" w14:textId="77777777" w:rsidR="00F5426F" w:rsidRPr="00F5426F" w:rsidRDefault="00F5426F" w:rsidP="00F5426F">
      <w:pPr>
        <w:rPr>
          <w:szCs w:val="20"/>
        </w:rPr>
      </w:pPr>
      <w:r w:rsidRPr="00F5426F">
        <w:rPr>
          <w:szCs w:val="20"/>
        </w:rPr>
        <w:t>Regulatory costs are a subset of broader impacts, and include:</w:t>
      </w:r>
    </w:p>
    <w:p w14:paraId="2257FFC0" w14:textId="77777777" w:rsidR="00F5426F" w:rsidRPr="00F5426F" w:rsidRDefault="00F5426F" w:rsidP="00F5426F">
      <w:pPr>
        <w:pStyle w:val="Bullet1"/>
        <w:rPr>
          <w:szCs w:val="20"/>
        </w:rPr>
      </w:pPr>
      <w:r w:rsidRPr="00F5426F">
        <w:rPr>
          <w:szCs w:val="20"/>
        </w:rPr>
        <w:t>compliance costs:</w:t>
      </w:r>
    </w:p>
    <w:p w14:paraId="24FB2CB6" w14:textId="77777777" w:rsidR="00F5426F" w:rsidRPr="00F5426F" w:rsidRDefault="00F5426F" w:rsidP="00F5426F">
      <w:pPr>
        <w:pStyle w:val="Bullet2"/>
        <w:rPr>
          <w:rFonts w:ascii="Century Gothic" w:hAnsi="Century Gothic"/>
          <w:sz w:val="20"/>
          <w:szCs w:val="20"/>
        </w:rPr>
      </w:pPr>
      <w:r w:rsidRPr="00F5426F">
        <w:rPr>
          <w:rFonts w:ascii="Century Gothic" w:hAnsi="Century Gothic"/>
          <w:sz w:val="20"/>
          <w:szCs w:val="20"/>
        </w:rPr>
        <w:lastRenderedPageBreak/>
        <w:t>administrative costs</w:t>
      </w:r>
    </w:p>
    <w:p w14:paraId="52EF124A" w14:textId="77777777" w:rsidR="00F5426F" w:rsidRPr="00F5426F" w:rsidRDefault="00F5426F" w:rsidP="00F5426F">
      <w:pPr>
        <w:pStyle w:val="Bullet3"/>
        <w:rPr>
          <w:rFonts w:ascii="Century Gothic" w:hAnsi="Century Gothic"/>
          <w:sz w:val="20"/>
          <w:szCs w:val="20"/>
        </w:rPr>
      </w:pPr>
      <w:r w:rsidRPr="00F5426F">
        <w:rPr>
          <w:rFonts w:ascii="Century Gothic" w:hAnsi="Century Gothic"/>
          <w:sz w:val="20"/>
          <w:szCs w:val="20"/>
        </w:rPr>
        <w:t>costs incurred by regulated entities mainly to demonstrate compliance with the regulation (usually record keeping and reporting costs)</w:t>
      </w:r>
    </w:p>
    <w:p w14:paraId="389D885C" w14:textId="77777777" w:rsidR="00F5426F" w:rsidRPr="00F5426F" w:rsidRDefault="00F5426F" w:rsidP="00F5426F">
      <w:pPr>
        <w:pStyle w:val="Bullet3"/>
        <w:rPr>
          <w:rFonts w:ascii="Century Gothic" w:hAnsi="Century Gothic"/>
          <w:sz w:val="20"/>
          <w:szCs w:val="20"/>
        </w:rPr>
      </w:pPr>
      <w:r w:rsidRPr="00F5426F">
        <w:rPr>
          <w:rFonts w:ascii="Century Gothic" w:hAnsi="Century Gothic"/>
          <w:sz w:val="20"/>
          <w:szCs w:val="20"/>
        </w:rPr>
        <w:t>costs incurred through complying with government taxes, fees, charges and levies, beyond the amount paid (for example, the time taken to pay a licence fee).</w:t>
      </w:r>
    </w:p>
    <w:p w14:paraId="0E850558" w14:textId="77777777" w:rsidR="00F5426F" w:rsidRPr="00F5426F" w:rsidRDefault="00F5426F" w:rsidP="00F5426F">
      <w:pPr>
        <w:pStyle w:val="Bullet2"/>
        <w:rPr>
          <w:rFonts w:ascii="Century Gothic" w:hAnsi="Century Gothic"/>
          <w:sz w:val="20"/>
          <w:szCs w:val="20"/>
        </w:rPr>
      </w:pPr>
      <w:r w:rsidRPr="00F5426F">
        <w:rPr>
          <w:rFonts w:ascii="Century Gothic" w:hAnsi="Century Gothic"/>
          <w:sz w:val="20"/>
          <w:szCs w:val="20"/>
        </w:rPr>
        <w:t>substantive compliance costs</w:t>
      </w:r>
    </w:p>
    <w:p w14:paraId="202AC53B" w14:textId="77777777" w:rsidR="00F5426F" w:rsidRPr="00F5426F" w:rsidRDefault="00F5426F" w:rsidP="00F5426F">
      <w:pPr>
        <w:pStyle w:val="Bullet3"/>
        <w:rPr>
          <w:rFonts w:ascii="Century Gothic" w:hAnsi="Century Gothic"/>
          <w:sz w:val="20"/>
          <w:szCs w:val="20"/>
        </w:rPr>
      </w:pPr>
      <w:r w:rsidRPr="00F5426F">
        <w:rPr>
          <w:rFonts w:ascii="Century Gothic" w:hAnsi="Century Gothic"/>
          <w:sz w:val="20"/>
          <w:szCs w:val="20"/>
        </w:rPr>
        <w:t>costs that lead directly to the regulated outcomes being sought (usually purchase and maintenance costs for plant and equipment to meet regulatory requirements, fees paid to training providers, costs of providing information to third parties, and costs of operation—for example, energy costs).</w:t>
      </w:r>
    </w:p>
    <w:p w14:paraId="23DD2E1E" w14:textId="77777777" w:rsidR="00F5426F" w:rsidRPr="00F5426F" w:rsidRDefault="00F5426F" w:rsidP="00F5426F">
      <w:pPr>
        <w:pStyle w:val="Bullet1"/>
        <w:rPr>
          <w:szCs w:val="20"/>
        </w:rPr>
      </w:pPr>
      <w:r w:rsidRPr="00F5426F">
        <w:rPr>
          <w:szCs w:val="20"/>
        </w:rPr>
        <w:t>delay costs:</w:t>
      </w:r>
    </w:p>
    <w:p w14:paraId="773F0BE3" w14:textId="77777777" w:rsidR="00F5426F" w:rsidRPr="00F5426F" w:rsidRDefault="00F5426F" w:rsidP="00F5426F">
      <w:pPr>
        <w:pStyle w:val="Bullet2"/>
        <w:rPr>
          <w:rFonts w:ascii="Century Gothic" w:hAnsi="Century Gothic"/>
          <w:sz w:val="20"/>
          <w:szCs w:val="20"/>
        </w:rPr>
      </w:pPr>
      <w:r w:rsidRPr="00F5426F">
        <w:rPr>
          <w:rFonts w:ascii="Century Gothic" w:hAnsi="Century Gothic"/>
          <w:sz w:val="20"/>
          <w:szCs w:val="20"/>
        </w:rPr>
        <w:t>expenses and loss of income incurred by a regulated entity through one or both of:</w:t>
      </w:r>
    </w:p>
    <w:p w14:paraId="48B7FF3F" w14:textId="77777777" w:rsidR="00F5426F" w:rsidRPr="00F5426F" w:rsidRDefault="00F5426F" w:rsidP="00F5426F">
      <w:pPr>
        <w:pStyle w:val="Bullet3"/>
        <w:rPr>
          <w:rFonts w:ascii="Century Gothic" w:hAnsi="Century Gothic"/>
          <w:sz w:val="20"/>
          <w:szCs w:val="20"/>
        </w:rPr>
      </w:pPr>
      <w:r w:rsidRPr="00F5426F">
        <w:rPr>
          <w:rFonts w:ascii="Century Gothic" w:hAnsi="Century Gothic"/>
          <w:sz w:val="20"/>
          <w:szCs w:val="20"/>
        </w:rPr>
        <w:t>an application delay—the time taken to complete an administrative application requirement that prevents the party from beginning its intended operations</w:t>
      </w:r>
    </w:p>
    <w:p w14:paraId="55C7F06C" w14:textId="77777777" w:rsidR="00F5426F" w:rsidRPr="00F5426F" w:rsidRDefault="00F5426F" w:rsidP="00F5426F">
      <w:pPr>
        <w:pStyle w:val="Bullet3"/>
        <w:rPr>
          <w:rFonts w:ascii="Century Gothic" w:hAnsi="Century Gothic"/>
          <w:sz w:val="20"/>
          <w:szCs w:val="20"/>
        </w:rPr>
      </w:pPr>
      <w:r w:rsidRPr="00F5426F">
        <w:rPr>
          <w:rFonts w:ascii="Century Gothic" w:hAnsi="Century Gothic"/>
          <w:sz w:val="20"/>
          <w:szCs w:val="20"/>
        </w:rPr>
        <w:t xml:space="preserve">an approval delay—the time taken by the regulator to communicate a decision on the administrative application that prevents the party from beginning its intended operations (this includes the time taken to asses and consider an application). </w:t>
      </w:r>
    </w:p>
    <w:p w14:paraId="725F4595" w14:textId="77777777" w:rsidR="00F5426F" w:rsidRDefault="00F5426F" w:rsidP="00F5426F">
      <w:pPr>
        <w:pStyle w:val="Heading3"/>
      </w:pPr>
      <w:r>
        <w:t>Small Business Impacts</w:t>
      </w:r>
    </w:p>
    <w:p w14:paraId="4BFD69FA" w14:textId="77777777" w:rsidR="00F5426F" w:rsidRDefault="00F5426F" w:rsidP="00F5426F">
      <w:r>
        <w:t>Small businesses make up over 98% of businesses in Australia and often operate in a fundamentally different way to large or medium businesses.  When a policy proposal is judged to have an impact on small business</w:t>
      </w:r>
      <w:r w:rsidR="00C92874">
        <w:t>es</w:t>
      </w:r>
      <w:r>
        <w:t xml:space="preserve">, this should be described in the preliminary assessment. The Small Business Guidance Note will assist with the identification and understanding of impacts affecting small businesses: </w:t>
      </w:r>
      <w:hyperlink r:id="rId11" w:history="1">
        <w:r>
          <w:rPr>
            <w:rStyle w:val="Hyperlink"/>
          </w:rPr>
          <w:t>https://www.pmc.gov.au/resource-centre/regulation/small-business-guidance-note</w:t>
        </w:r>
      </w:hyperlink>
      <w:r>
        <w:t>.</w:t>
      </w:r>
    </w:p>
    <w:p w14:paraId="53D7779B" w14:textId="77777777" w:rsidR="00F5426F" w:rsidRDefault="00F5426F" w:rsidP="00F5426F">
      <w:r>
        <w:t xml:space="preserve">The Office of the Australian Small Business and Family Enterprise Ombudsman (ASBFEO) was established under the </w:t>
      </w:r>
      <w:r>
        <w:rPr>
          <w:i/>
        </w:rPr>
        <w:t xml:space="preserve">Australian Small Business and Family Enterprise Ombudsman Act </w:t>
      </w:r>
      <w:r w:rsidRPr="00F97641">
        <w:t>2015</w:t>
      </w:r>
      <w:r>
        <w:t xml:space="preserve"> to undertake advocacy and assistance functions. This includes the review of proposals in relation to relevant legislation to ensure that policies and regulation do not have unintended consequences that adversely impact the small business sector. </w:t>
      </w:r>
    </w:p>
    <w:p w14:paraId="0C1462B5" w14:textId="77777777" w:rsidR="00F5426F" w:rsidRDefault="00F5426F" w:rsidP="00F5426F">
      <w:r>
        <w:t>The ASBFEO’s office should be contacted to help determine whether there are likely to be impacts on small business</w:t>
      </w:r>
      <w:r w:rsidR="00C92874">
        <w:t>es</w:t>
      </w:r>
      <w:r>
        <w:t xml:space="preserve"> and whether they should have different obligations from larger businesses in relation to the operation of the possible regulation. The ASBFEO’s office can provide assistance with effective consultation with the small business sector and key stakeholders.</w:t>
      </w:r>
    </w:p>
    <w:p w14:paraId="051B74BA" w14:textId="77777777" w:rsidR="00F5426F" w:rsidRDefault="00F5426F" w:rsidP="00F5426F">
      <w:r>
        <w:t xml:space="preserve">The ASBFEO’s office can be contacted on 1300 650 460 or </w:t>
      </w:r>
      <w:hyperlink r:id="rId12" w:history="1">
        <w:r w:rsidRPr="00DB3BD2">
          <w:rPr>
            <w:rStyle w:val="Hyperlink"/>
          </w:rPr>
          <w:t>advocacy@asbfeo.gov.au</w:t>
        </w:r>
      </w:hyperlink>
      <w:r>
        <w:t>.</w:t>
      </w:r>
    </w:p>
    <w:p w14:paraId="0959B52D" w14:textId="77777777" w:rsidR="00F5426F" w:rsidRDefault="00F5426F" w:rsidP="00836D78">
      <w:pPr>
        <w:pStyle w:val="Heading3"/>
        <w:spacing w:before="0"/>
      </w:pPr>
      <w:r>
        <w:t>International Trade and Investment Law Impacts</w:t>
      </w:r>
    </w:p>
    <w:p w14:paraId="51883C43" w14:textId="77777777" w:rsidR="00F5426F" w:rsidRPr="00836D78" w:rsidRDefault="00F5426F" w:rsidP="00836D78">
      <w:r w:rsidRPr="00836D78">
        <w:t>Reducing the risk of implementing measures inconsistent with international trade and investment law requires that government agencies:</w:t>
      </w:r>
    </w:p>
    <w:p w14:paraId="727CCA07" w14:textId="77777777" w:rsidR="00F5426F" w:rsidRPr="00836D78" w:rsidRDefault="00F5426F" w:rsidP="00836D78">
      <w:pPr>
        <w:pStyle w:val="Bullet1"/>
        <w:rPr>
          <w:szCs w:val="20"/>
        </w:rPr>
      </w:pPr>
      <w:r w:rsidRPr="00836D78">
        <w:rPr>
          <w:szCs w:val="20"/>
        </w:rPr>
        <w:t>develop a basic understanding of Australia’s trade and investment law obligations; and</w:t>
      </w:r>
    </w:p>
    <w:p w14:paraId="385F59C4" w14:textId="77777777" w:rsidR="00F5426F" w:rsidRPr="00836D78" w:rsidRDefault="00F5426F" w:rsidP="00836D78">
      <w:pPr>
        <w:pStyle w:val="Bullet1"/>
        <w:rPr>
          <w:szCs w:val="20"/>
        </w:rPr>
      </w:pPr>
      <w:r w:rsidRPr="00836D78">
        <w:rPr>
          <w:szCs w:val="20"/>
        </w:rPr>
        <w:t>seek advice as early as possible in the policy cycle.</w:t>
      </w:r>
    </w:p>
    <w:p w14:paraId="3D038B58" w14:textId="77777777" w:rsidR="00F5426F" w:rsidRPr="00836D78" w:rsidRDefault="00F5426F" w:rsidP="00836D78">
      <w:r w:rsidRPr="00836D78">
        <w:t xml:space="preserve">Australia’s international trade and investment law obligations are contained in the multilateral World Trade Organization Agreements, Australia’s bilateral and plurilateral Free Trade Agreements, and Australia’s </w:t>
      </w:r>
      <w:r w:rsidRPr="00836D78">
        <w:lastRenderedPageBreak/>
        <w:t>bilateral investment Agreements. Our obligations exist in relation to trade in goods, services, investment and intellectual property.</w:t>
      </w:r>
    </w:p>
    <w:p w14:paraId="4C059253" w14:textId="77777777" w:rsidR="00F5426F" w:rsidRPr="00836D78" w:rsidRDefault="00F5426F" w:rsidP="00836D78">
      <w:r w:rsidRPr="00836D78">
        <w:t>Ensuring consistency with Australia’s trade and investment law obligations is an important consideration when developing policy proposals in order to mitigate the risk of a dispute being brought against Australia for allegedly breaching these obligations. In this context, it is worth noting that the cost of defending Investor-State Dispute Settlement (ISDS) proceedings is generally borne by the agency with the relevant policy interest at stake.</w:t>
      </w:r>
    </w:p>
    <w:p w14:paraId="0CCB4E73" w14:textId="77777777" w:rsidR="00F5426F" w:rsidRPr="00836D78" w:rsidRDefault="00F5426F" w:rsidP="00836D78">
      <w:r w:rsidRPr="00836D78">
        <w:t>The Trade and Investment Law Branch at the Department of Foreign Affairs &amp; Trade</w:t>
      </w:r>
      <w:r w:rsidRPr="00836D78">
        <w:rPr>
          <w:szCs w:val="20"/>
        </w:rPr>
        <w:t xml:space="preserve"> (</w:t>
      </w:r>
      <w:hyperlink r:id="rId13" w:history="1">
        <w:r w:rsidRPr="00836D78">
          <w:rPr>
            <w:rStyle w:val="Hyperlink"/>
            <w:szCs w:val="20"/>
          </w:rPr>
          <w:t>trade.law@dfat.gov.au</w:t>
        </w:r>
      </w:hyperlink>
      <w:r w:rsidRPr="00836D78">
        <w:rPr>
          <w:szCs w:val="20"/>
        </w:rPr>
        <w:t xml:space="preserve">) </w:t>
      </w:r>
      <w:r w:rsidRPr="00836D78">
        <w:t>or the Office of International Law within the Attorney-General’s Department</w:t>
      </w:r>
      <w:r w:rsidRPr="00836D78">
        <w:rPr>
          <w:szCs w:val="20"/>
        </w:rPr>
        <w:t xml:space="preserve"> (</w:t>
      </w:r>
      <w:hyperlink r:id="rId14" w:history="1">
        <w:r w:rsidRPr="00836D78">
          <w:rPr>
            <w:rStyle w:val="Hyperlink"/>
            <w:szCs w:val="20"/>
          </w:rPr>
          <w:t>oil.coordinator@ag.gov.au</w:t>
        </w:r>
      </w:hyperlink>
      <w:r w:rsidRPr="00836D78">
        <w:rPr>
          <w:szCs w:val="20"/>
        </w:rPr>
        <w:t xml:space="preserve">) </w:t>
      </w:r>
      <w:r w:rsidRPr="00836D78">
        <w:t>can help you understand how your proposed policy may interact with Australia’s trade and investment law obligations.</w:t>
      </w:r>
    </w:p>
    <w:p w14:paraId="6E8D5283" w14:textId="77777777" w:rsidR="00F5426F" w:rsidRPr="00A82052" w:rsidRDefault="00F5426F" w:rsidP="00F5426F">
      <w:pPr>
        <w:pStyle w:val="Heading2"/>
      </w:pPr>
      <w:r>
        <w:t>Timing</w:t>
      </w:r>
    </w:p>
    <w:p w14:paraId="3EA36965" w14:textId="77777777" w:rsidR="00F5426F" w:rsidRDefault="00F5426F" w:rsidP="00F5426F">
      <w:r>
        <w:t>Outline k</w:t>
      </w:r>
      <w:r w:rsidRPr="00A82052">
        <w:t>ey dates</w:t>
      </w:r>
      <w:r>
        <w:t xml:space="preserve"> and give an</w:t>
      </w:r>
      <w:r w:rsidRPr="00A82052">
        <w:t xml:space="preserve"> indicative timeline.</w:t>
      </w:r>
    </w:p>
    <w:p w14:paraId="1E0F20A2" w14:textId="77777777" w:rsidR="00F5426F" w:rsidRPr="00A82052" w:rsidRDefault="00F5426F" w:rsidP="00F5426F">
      <w:pPr>
        <w:pStyle w:val="Heading2"/>
      </w:pPr>
      <w:r>
        <w:t>More information on the RIS process</w:t>
      </w:r>
    </w:p>
    <w:p w14:paraId="4563B1A1" w14:textId="77777777" w:rsidR="00D52A25" w:rsidRPr="00D52A25" w:rsidRDefault="00F5426F" w:rsidP="00D52A25">
      <w:r w:rsidRPr="00A82052">
        <w:t xml:space="preserve">More information on the RIS process </w:t>
      </w:r>
      <w:r>
        <w:t>is</w:t>
      </w:r>
      <w:r w:rsidRPr="00A82052">
        <w:t xml:space="preserve"> in the </w:t>
      </w:r>
      <w:hyperlink r:id="rId15" w:history="1">
        <w:r w:rsidRPr="0036621F">
          <w:rPr>
            <w:rStyle w:val="Hyperlink"/>
            <w:i/>
          </w:rPr>
          <w:t xml:space="preserve">Australian Government </w:t>
        </w:r>
        <w:r>
          <w:rPr>
            <w:rStyle w:val="Hyperlink"/>
            <w:i/>
          </w:rPr>
          <w:t>Guide to Regulatory Impact Analysis</w:t>
        </w:r>
      </w:hyperlink>
      <w:r w:rsidRPr="00A82052">
        <w:t>.</w:t>
      </w:r>
    </w:p>
    <w:sectPr w:rsidR="00D52A25" w:rsidRPr="00D52A25" w:rsidSect="00E84FFD">
      <w:footerReference w:type="default" r:id="rId16"/>
      <w:headerReference w:type="first" r:id="rId17"/>
      <w:footerReference w:type="first" r:id="rId18"/>
      <w:pgSz w:w="11906" w:h="16838"/>
      <w:pgMar w:top="1418" w:right="720" w:bottom="720" w:left="720" w:header="567"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D051A" w14:textId="77777777" w:rsidR="00276897" w:rsidRDefault="00276897" w:rsidP="00B43545">
      <w:pPr>
        <w:spacing w:after="0" w:line="240" w:lineRule="auto"/>
      </w:pPr>
      <w:r>
        <w:separator/>
      </w:r>
    </w:p>
  </w:endnote>
  <w:endnote w:type="continuationSeparator" w:id="0">
    <w:p w14:paraId="4D1C7CDE" w14:textId="77777777" w:rsidR="00276897" w:rsidRDefault="00276897" w:rsidP="00B4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1B21C" w14:textId="77777777" w:rsidR="008E11F7" w:rsidRDefault="008E11F7">
    <w:pPr>
      <w:pStyle w:val="Footer"/>
      <w:jc w:val="right"/>
    </w:pPr>
    <w:r>
      <w:rPr>
        <w:noProof/>
        <w:lang w:eastAsia="en-AU"/>
      </w:rPr>
      <mc:AlternateContent>
        <mc:Choice Requires="wps">
          <w:drawing>
            <wp:anchor distT="0" distB="0" distL="114300" distR="114300" simplePos="0" relativeHeight="251689984" behindDoc="0" locked="0" layoutInCell="1" allowOverlap="1" wp14:anchorId="56817496" wp14:editId="3F6290FC">
              <wp:simplePos x="0" y="0"/>
              <wp:positionH relativeFrom="column">
                <wp:posOffset>0</wp:posOffset>
              </wp:positionH>
              <wp:positionV relativeFrom="paragraph">
                <wp:posOffset>85725</wp:posOffset>
              </wp:positionV>
              <wp:extent cx="6705600" cy="0"/>
              <wp:effectExtent l="0" t="0" r="19050" b="19050"/>
              <wp:wrapNone/>
              <wp:docPr id="505" name="Straight Connector 505" descr="footer bar" title="footer bar"/>
              <wp:cNvGraphicFramePr/>
              <a:graphic xmlns:a="http://schemas.openxmlformats.org/drawingml/2006/main">
                <a:graphicData uri="http://schemas.microsoft.com/office/word/2010/wordprocessingShape">
                  <wps:wsp>
                    <wps:cNvCnPr/>
                    <wps:spPr>
                      <a:xfrm>
                        <a:off x="0" y="0"/>
                        <a:ext cx="67056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47143" id="Straight Connector 505" o:spid="_x0000_s1026" alt="Title: footer bar - Description: footer bar"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6.75pt" to="5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" strokecolor="#c00000 [3204]" strokeweight="1.5pt">
              <v:stroke joinstyle="miter"/>
            </v:line>
          </w:pict>
        </mc:Fallback>
      </mc:AlternateContent>
    </w:r>
  </w:p>
  <w:p w14:paraId="5DDAD987" w14:textId="4533F963" w:rsidR="008E11F7" w:rsidRDefault="00FE66DE">
    <w:pPr>
      <w:pStyle w:val="Footer"/>
      <w:jc w:val="right"/>
    </w:pPr>
    <w:sdt>
      <w:sdtPr>
        <w:id w:val="-504980176"/>
        <w:docPartObj>
          <w:docPartGallery w:val="Page Numbers (Bottom of Page)"/>
          <w:docPartUnique/>
        </w:docPartObj>
      </w:sdtPr>
      <w:sdtEndPr>
        <w:rPr>
          <w:noProof/>
        </w:rPr>
      </w:sdtEndPr>
      <w:sdtContent>
        <w:r w:rsidR="008E11F7">
          <w:fldChar w:fldCharType="begin"/>
        </w:r>
        <w:r w:rsidR="008E11F7">
          <w:instrText xml:space="preserve"> PAGE   \* MERGEFORMAT </w:instrText>
        </w:r>
        <w:r w:rsidR="008E11F7">
          <w:fldChar w:fldCharType="separate"/>
        </w:r>
        <w:r w:rsidR="0037026B">
          <w:rPr>
            <w:noProof/>
          </w:rPr>
          <w:t>11</w:t>
        </w:r>
        <w:r w:rsidR="008E11F7">
          <w:rPr>
            <w:noProof/>
          </w:rPr>
          <w:fldChar w:fldCharType="end"/>
        </w:r>
      </w:sdtContent>
    </w:sdt>
  </w:p>
  <w:p w14:paraId="2FD7E58A" w14:textId="77777777" w:rsidR="008E11F7" w:rsidRDefault="008E1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92431" w14:textId="77777777" w:rsidR="008E11F7" w:rsidRDefault="008E11F7">
    <w:pPr>
      <w:pStyle w:val="Footer"/>
      <w:jc w:val="right"/>
    </w:pPr>
    <w:r>
      <w:rPr>
        <w:noProof/>
        <w:lang w:eastAsia="en-AU"/>
      </w:rPr>
      <mc:AlternateContent>
        <mc:Choice Requires="wps">
          <w:drawing>
            <wp:anchor distT="0" distB="0" distL="114300" distR="114300" simplePos="0" relativeHeight="251687936" behindDoc="0" locked="0" layoutInCell="1" allowOverlap="1" wp14:anchorId="4360DC01" wp14:editId="75E4DEA3">
              <wp:simplePos x="0" y="0"/>
              <wp:positionH relativeFrom="column">
                <wp:posOffset>9525</wp:posOffset>
              </wp:positionH>
              <wp:positionV relativeFrom="paragraph">
                <wp:posOffset>102235</wp:posOffset>
              </wp:positionV>
              <wp:extent cx="6705600" cy="0"/>
              <wp:effectExtent l="0" t="0" r="19050" b="19050"/>
              <wp:wrapNone/>
              <wp:docPr id="504" name="Straight Connector 504" descr="footer bar" title="footer bar"/>
              <wp:cNvGraphicFramePr/>
              <a:graphic xmlns:a="http://schemas.openxmlformats.org/drawingml/2006/main">
                <a:graphicData uri="http://schemas.microsoft.com/office/word/2010/wordprocessingShape">
                  <wps:wsp>
                    <wps:cNvCnPr/>
                    <wps:spPr>
                      <a:xfrm>
                        <a:off x="0" y="0"/>
                        <a:ext cx="67056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257FAC" id="Straight Connector 504" o:spid="_x0000_s1026" alt="Title: footer bar - Description: footer bar"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75pt,8.05pt" to="52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" strokecolor="#c00000 [3204]" strokeweight="1.5pt">
              <v:stroke joinstyle="miter"/>
            </v:line>
          </w:pict>
        </mc:Fallback>
      </mc:AlternateContent>
    </w:r>
  </w:p>
  <w:p w14:paraId="564E67F5" w14:textId="77777777" w:rsidR="008E11F7" w:rsidRDefault="00FE66DE">
    <w:pPr>
      <w:pStyle w:val="Footer"/>
      <w:jc w:val="right"/>
    </w:pPr>
    <w:sdt>
      <w:sdtPr>
        <w:id w:val="727344903"/>
        <w:docPartObj>
          <w:docPartGallery w:val="Page Numbers (Bottom of Page)"/>
          <w:docPartUnique/>
        </w:docPartObj>
      </w:sdtPr>
      <w:sdtEndPr>
        <w:rPr>
          <w:noProof/>
        </w:rPr>
      </w:sdtEndPr>
      <w:sdtContent>
        <w:r w:rsidR="008E11F7">
          <w:fldChar w:fldCharType="begin"/>
        </w:r>
        <w:r w:rsidR="008E11F7">
          <w:instrText xml:space="preserve"> PAGE   \* MERGEFORMAT </w:instrText>
        </w:r>
        <w:r w:rsidR="008E11F7">
          <w:fldChar w:fldCharType="separate"/>
        </w:r>
        <w:r w:rsidR="001655E1">
          <w:rPr>
            <w:noProof/>
          </w:rPr>
          <w:t>11</w:t>
        </w:r>
        <w:r w:rsidR="008E11F7">
          <w:rPr>
            <w:noProof/>
          </w:rPr>
          <w:fldChar w:fldCharType="end"/>
        </w:r>
      </w:sdtContent>
    </w:sdt>
  </w:p>
  <w:p w14:paraId="18F6FB05" w14:textId="77777777" w:rsidR="008E11F7" w:rsidRDefault="008E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C8E90" w14:textId="77777777" w:rsidR="00276897" w:rsidRDefault="00276897" w:rsidP="00B43545">
      <w:pPr>
        <w:spacing w:after="0" w:line="240" w:lineRule="auto"/>
      </w:pPr>
      <w:r>
        <w:separator/>
      </w:r>
    </w:p>
  </w:footnote>
  <w:footnote w:type="continuationSeparator" w:id="0">
    <w:p w14:paraId="5F590A20" w14:textId="77777777" w:rsidR="00276897" w:rsidRDefault="00276897" w:rsidP="00B43545">
      <w:pPr>
        <w:spacing w:after="0" w:line="240" w:lineRule="auto"/>
      </w:pPr>
      <w:r>
        <w:continuationSeparator/>
      </w:r>
    </w:p>
  </w:footnote>
  <w:footnote w:id="1">
    <w:p w14:paraId="683E0FF8" w14:textId="77777777" w:rsidR="00977CE6" w:rsidRPr="00B16150" w:rsidRDefault="00977CE6">
      <w:pPr>
        <w:pStyle w:val="FootnoteText"/>
        <w:rPr>
          <w:lang w:val="en-US"/>
        </w:rPr>
      </w:pPr>
      <w:r>
        <w:rPr>
          <w:rStyle w:val="FootnoteReference"/>
        </w:rPr>
        <w:footnoteRef/>
      </w:r>
      <w:r>
        <w:t xml:space="preserve"> </w:t>
      </w:r>
      <w:r>
        <w:rPr>
          <w:lang w:val="en-US"/>
        </w:rPr>
        <w:t>F</w:t>
      </w:r>
      <w:r w:rsidR="003D1A75">
        <w:rPr>
          <w:lang w:val="en-US"/>
        </w:rPr>
        <w:t>ederal Chamber of Automotive Industries (FCAI)</w:t>
      </w:r>
      <w:r>
        <w:rPr>
          <w:lang w:val="en-US"/>
        </w:rPr>
        <w:t>, T</w:t>
      </w:r>
      <w:r w:rsidR="003D1A75">
        <w:rPr>
          <w:lang w:val="en-US"/>
        </w:rPr>
        <w:t xml:space="preserve">ruck </w:t>
      </w:r>
      <w:r>
        <w:rPr>
          <w:lang w:val="en-US"/>
        </w:rPr>
        <w:t>I</w:t>
      </w:r>
      <w:r w:rsidR="003D1A75">
        <w:rPr>
          <w:lang w:val="en-US"/>
        </w:rPr>
        <w:t xml:space="preserve">ndustry </w:t>
      </w:r>
      <w:r>
        <w:rPr>
          <w:lang w:val="en-US"/>
        </w:rPr>
        <w:t>C</w:t>
      </w:r>
      <w:r w:rsidR="003D1A75">
        <w:rPr>
          <w:lang w:val="en-US"/>
        </w:rPr>
        <w:t>ouncil (TIC)</w:t>
      </w:r>
      <w:r>
        <w:rPr>
          <w:lang w:val="en-US"/>
        </w:rPr>
        <w:t xml:space="preserve"> and B</w:t>
      </w:r>
      <w:r w:rsidR="003D1A75">
        <w:rPr>
          <w:lang w:val="en-US"/>
        </w:rPr>
        <w:t xml:space="preserve">us </w:t>
      </w:r>
      <w:r>
        <w:rPr>
          <w:lang w:val="en-US"/>
        </w:rPr>
        <w:t>I</w:t>
      </w:r>
      <w:r w:rsidR="003D1A75">
        <w:rPr>
          <w:lang w:val="en-US"/>
        </w:rPr>
        <w:t xml:space="preserve">ndustry </w:t>
      </w:r>
      <w:r>
        <w:rPr>
          <w:lang w:val="en-US"/>
        </w:rPr>
        <w:t>C</w:t>
      </w:r>
      <w:r w:rsidR="003D1A75">
        <w:rPr>
          <w:lang w:val="en-US"/>
        </w:rPr>
        <w:t>onfederation (BIC)</w:t>
      </w:r>
      <w:r>
        <w:rPr>
          <w:lang w:val="en-US"/>
        </w:rPr>
        <w:t xml:space="preserve"> </w:t>
      </w:r>
      <w:r w:rsidR="003D1A75">
        <w:rPr>
          <w:lang w:val="en-US"/>
        </w:rPr>
        <w:t xml:space="preserve">supplied </w:t>
      </w:r>
      <w:r>
        <w:rPr>
          <w:lang w:val="en-US"/>
        </w:rPr>
        <w:t>data</w:t>
      </w:r>
    </w:p>
  </w:footnote>
  <w:footnote w:id="2">
    <w:p w14:paraId="2FF78791" w14:textId="77777777" w:rsidR="00977CE6" w:rsidRPr="00B16150" w:rsidRDefault="00977CE6">
      <w:pPr>
        <w:pStyle w:val="FootnoteText"/>
        <w:rPr>
          <w:lang w:val="en-US"/>
        </w:rPr>
      </w:pPr>
      <w:r>
        <w:rPr>
          <w:rStyle w:val="FootnoteReference"/>
        </w:rPr>
        <w:footnoteRef/>
      </w:r>
      <w:r>
        <w:t xml:space="preserve"> </w:t>
      </w:r>
      <w:r>
        <w:rPr>
          <w:lang w:val="en-US"/>
        </w:rPr>
        <w:t>A</w:t>
      </w:r>
      <w:r w:rsidR="003D1A75">
        <w:rPr>
          <w:lang w:val="en-US"/>
        </w:rPr>
        <w:t xml:space="preserve">ustralian </w:t>
      </w:r>
      <w:r>
        <w:rPr>
          <w:lang w:val="en-US"/>
        </w:rPr>
        <w:t>B</w:t>
      </w:r>
      <w:r w:rsidR="003D1A75">
        <w:rPr>
          <w:lang w:val="en-US"/>
        </w:rPr>
        <w:t xml:space="preserve">ureau of </w:t>
      </w:r>
      <w:r>
        <w:rPr>
          <w:lang w:val="en-US"/>
        </w:rPr>
        <w:t>S</w:t>
      </w:r>
      <w:r w:rsidR="003D1A75">
        <w:rPr>
          <w:lang w:val="en-US"/>
        </w:rPr>
        <w:t>tatistics (ABS) Motor Vehicle Census data</w:t>
      </w:r>
    </w:p>
  </w:footnote>
  <w:footnote w:id="3">
    <w:p w14:paraId="3A503541" w14:textId="77777777" w:rsidR="00D63193" w:rsidRPr="00B16150" w:rsidRDefault="00D63193">
      <w:pPr>
        <w:pStyle w:val="FootnoteText"/>
        <w:rPr>
          <w:lang w:val="en-US"/>
        </w:rPr>
      </w:pPr>
      <w:r>
        <w:rPr>
          <w:rStyle w:val="FootnoteReference"/>
        </w:rPr>
        <w:footnoteRef/>
      </w:r>
      <w:r>
        <w:t xml:space="preserve"> </w:t>
      </w:r>
      <w:r>
        <w:rPr>
          <w:lang w:val="en-US"/>
        </w:rPr>
        <w:t>Road trauma for a specific crash type, vehicle type, etc.</w:t>
      </w:r>
    </w:p>
  </w:footnote>
  <w:footnote w:id="4">
    <w:p w14:paraId="3217D349" w14:textId="29365D1B" w:rsidR="009B03D8" w:rsidRPr="00B9364E" w:rsidRDefault="009B03D8">
      <w:pPr>
        <w:pStyle w:val="FootnoteText"/>
        <w:rPr>
          <w:lang w:val="en-US"/>
        </w:rPr>
      </w:pPr>
      <w:r>
        <w:rPr>
          <w:rStyle w:val="FootnoteReference"/>
        </w:rPr>
        <w:footnoteRef/>
      </w:r>
      <w:r>
        <w:t xml:space="preserve"> </w:t>
      </w:r>
      <w:r>
        <w:rPr>
          <w:lang w:val="en-US"/>
        </w:rPr>
        <w:t>EV Firesafe / A</w:t>
      </w:r>
      <w:r w:rsidR="00A73189">
        <w:rPr>
          <w:lang w:val="en-US"/>
        </w:rPr>
        <w:t xml:space="preserve">ustralian </w:t>
      </w:r>
      <w:r>
        <w:rPr>
          <w:lang w:val="en-US"/>
        </w:rPr>
        <w:t>B</w:t>
      </w:r>
      <w:r w:rsidR="00A73189">
        <w:rPr>
          <w:lang w:val="en-US"/>
        </w:rPr>
        <w:t xml:space="preserve">uilding </w:t>
      </w:r>
      <w:r>
        <w:rPr>
          <w:lang w:val="en-US"/>
        </w:rPr>
        <w:t>C</w:t>
      </w:r>
      <w:r w:rsidR="00A73189">
        <w:rPr>
          <w:lang w:val="en-US"/>
        </w:rPr>
        <w:t xml:space="preserve">ode </w:t>
      </w:r>
      <w:r>
        <w:rPr>
          <w:lang w:val="en-US"/>
        </w:rPr>
        <w:t>B</w:t>
      </w:r>
      <w:r w:rsidR="00A73189">
        <w:rPr>
          <w:lang w:val="en-US"/>
        </w:rPr>
        <w:t>oard (ABCB)</w:t>
      </w:r>
    </w:p>
  </w:footnote>
  <w:footnote w:id="5">
    <w:p w14:paraId="571154BC" w14:textId="77777777" w:rsidR="001E2959" w:rsidRPr="00B9364E" w:rsidRDefault="001E2959">
      <w:pPr>
        <w:pStyle w:val="FootnoteText"/>
        <w:rPr>
          <w:lang w:val="en-US"/>
        </w:rPr>
      </w:pPr>
      <w:r>
        <w:rPr>
          <w:rStyle w:val="FootnoteReference"/>
        </w:rPr>
        <w:footnoteRef/>
      </w:r>
      <w:r>
        <w:t xml:space="preserve"> </w:t>
      </w:r>
      <w:r w:rsidR="007F4400" w:rsidRPr="007F4400">
        <w:rPr>
          <w:lang w:val="en-US"/>
        </w:rPr>
        <w:t>ACT Zero Emissions Vehicles Strategy 2022-2030</w:t>
      </w:r>
    </w:p>
  </w:footnote>
  <w:footnote w:id="6">
    <w:p w14:paraId="4EEC997F" w14:textId="77777777" w:rsidR="00AA1826" w:rsidRPr="00AA1826" w:rsidRDefault="00AA1826">
      <w:pPr>
        <w:pStyle w:val="FootnoteText"/>
        <w:rPr>
          <w:lang w:val="en-US"/>
        </w:rPr>
      </w:pPr>
      <w:r>
        <w:rPr>
          <w:rStyle w:val="FootnoteReference"/>
        </w:rPr>
        <w:footnoteRef/>
      </w:r>
      <w:r>
        <w:t xml:space="preserve"> </w:t>
      </w:r>
      <w:r w:rsidRPr="00AA1826">
        <w:t>Electric vehicle pr</w:t>
      </w:r>
      <w:r>
        <w:t>ojections 2021, CSIRO</w:t>
      </w:r>
    </w:p>
  </w:footnote>
  <w:footnote w:id="7">
    <w:p w14:paraId="65C977DF" w14:textId="77777777" w:rsidR="007403C7" w:rsidRPr="007403C7" w:rsidRDefault="007403C7">
      <w:pPr>
        <w:pStyle w:val="FootnoteText"/>
        <w:rPr>
          <w:lang w:val="en-US"/>
        </w:rPr>
      </w:pPr>
      <w:r>
        <w:rPr>
          <w:rStyle w:val="FootnoteReference"/>
        </w:rPr>
        <w:footnoteRef/>
      </w:r>
      <w:r>
        <w:t xml:space="preserve"> </w:t>
      </w:r>
      <w:r w:rsidRPr="007403C7">
        <w:t>Hydrogen safety regulation in Queensland</w:t>
      </w:r>
      <w:r>
        <w:t xml:space="preserve"> </w:t>
      </w:r>
    </w:p>
  </w:footnote>
  <w:footnote w:id="8">
    <w:p w14:paraId="7D08A4F0" w14:textId="77777777" w:rsidR="00AA284C" w:rsidRPr="00AA284C" w:rsidRDefault="00AA284C">
      <w:pPr>
        <w:pStyle w:val="FootnoteText"/>
        <w:rPr>
          <w:lang w:val="en-US"/>
        </w:rPr>
      </w:pPr>
      <w:r>
        <w:rPr>
          <w:rStyle w:val="FootnoteReference"/>
        </w:rPr>
        <w:footnoteRef/>
      </w:r>
      <w:r>
        <w:t xml:space="preserve"> </w:t>
      </w:r>
      <w:r w:rsidR="007403C7" w:rsidRPr="007403C7">
        <w:rPr>
          <w:lang w:val="en-US"/>
        </w:rPr>
        <w:t>National Electric Vehicle Strategy: consultation paper</w:t>
      </w:r>
    </w:p>
  </w:footnote>
  <w:footnote w:id="9">
    <w:p w14:paraId="4FAC7FDA" w14:textId="77777777" w:rsidR="007403C7" w:rsidRPr="006A44F1" w:rsidRDefault="007403C7">
      <w:pPr>
        <w:pStyle w:val="FootnoteText"/>
        <w:rPr>
          <w:lang w:val="en-US"/>
        </w:rPr>
      </w:pPr>
      <w:r>
        <w:rPr>
          <w:rStyle w:val="FootnoteReference"/>
        </w:rPr>
        <w:footnoteRef/>
      </w:r>
      <w:r>
        <w:t xml:space="preserve"> </w:t>
      </w:r>
      <w:r w:rsidR="00025CDC">
        <w:rPr>
          <w:lang w:val="en-US"/>
        </w:rPr>
        <w:t>Powering Australian Plan</w:t>
      </w:r>
    </w:p>
  </w:footnote>
  <w:footnote w:id="10">
    <w:p w14:paraId="27B1A0FE" w14:textId="77777777" w:rsidR="00997873" w:rsidRPr="007403C7" w:rsidRDefault="00997873" w:rsidP="00997873">
      <w:pPr>
        <w:pStyle w:val="FootnoteText"/>
        <w:rPr>
          <w:lang w:val="en-US"/>
        </w:rPr>
      </w:pPr>
      <w:r>
        <w:rPr>
          <w:rStyle w:val="FootnoteReference"/>
        </w:rPr>
        <w:footnoteRef/>
      </w:r>
      <w:r>
        <w:t xml:space="preserve"> </w:t>
      </w:r>
      <w:r>
        <w:rPr>
          <w:lang w:val="en-US"/>
        </w:rPr>
        <w:t>BIC/TIC SVSEG paper SVSEG 24-8a</w:t>
      </w:r>
    </w:p>
  </w:footnote>
  <w:footnote w:id="11">
    <w:p w14:paraId="6479FF19" w14:textId="77777777" w:rsidR="002E1BC3" w:rsidRPr="007C04A1" w:rsidRDefault="002E1BC3">
      <w:pPr>
        <w:pStyle w:val="FootnoteText"/>
        <w:rPr>
          <w:lang w:val="en-US"/>
        </w:rPr>
      </w:pPr>
      <w:r>
        <w:rPr>
          <w:rStyle w:val="FootnoteReference"/>
        </w:rPr>
        <w:footnoteRef/>
      </w:r>
      <w:r>
        <w:t xml:space="preserve"> </w:t>
      </w:r>
      <w:r>
        <w:rPr>
          <w:lang w:val="en-US"/>
        </w:rPr>
        <w:t>Paper SVSEG 24-8b at SVSEG 24 held on 27 July 2022</w:t>
      </w:r>
    </w:p>
  </w:footnote>
  <w:footnote w:id="12">
    <w:p w14:paraId="373C3F38" w14:textId="77777777" w:rsidR="002E1BC3" w:rsidRPr="008A5A91" w:rsidRDefault="002E1BC3">
      <w:pPr>
        <w:pStyle w:val="FootnoteText"/>
        <w:rPr>
          <w:lang w:val="en-US"/>
        </w:rPr>
      </w:pPr>
      <w:r>
        <w:rPr>
          <w:rStyle w:val="FootnoteReference"/>
        </w:rPr>
        <w:footnoteRef/>
      </w:r>
      <w:r>
        <w:t xml:space="preserve"> </w:t>
      </w:r>
      <w:r>
        <w:rPr>
          <w:lang w:val="en-US"/>
        </w:rPr>
        <w:t>Paper SVSEG 24-8a at SVSEG 24 held on 27 July 2022</w:t>
      </w:r>
    </w:p>
  </w:footnote>
  <w:footnote w:id="13">
    <w:p w14:paraId="1D5218B8" w14:textId="77777777" w:rsidR="007B54E9" w:rsidRPr="007B54E9" w:rsidRDefault="007B54E9">
      <w:pPr>
        <w:pStyle w:val="FootnoteText"/>
        <w:rPr>
          <w:lang w:val="en-US"/>
        </w:rPr>
      </w:pPr>
      <w:r>
        <w:rPr>
          <w:rStyle w:val="FootnoteReference"/>
        </w:rPr>
        <w:footnoteRef/>
      </w:r>
      <w:r>
        <w:t xml:space="preserve"> </w:t>
      </w:r>
      <w:r>
        <w:rPr>
          <w:lang w:val="en-US"/>
        </w:rPr>
        <w:t>TIC Presentation Developments in Truck Technologies to 2030 and Beyond, Asia Pacific Fuel Industry Forum 5-7 September 2022.</w:t>
      </w:r>
    </w:p>
  </w:footnote>
  <w:footnote w:id="14">
    <w:p w14:paraId="718B085B" w14:textId="77777777" w:rsidR="00F5426F" w:rsidRDefault="00F5426F" w:rsidP="00F5426F">
      <w:pPr>
        <w:pStyle w:val="FootnoteText"/>
      </w:pPr>
      <w:r>
        <w:rPr>
          <w:rStyle w:val="FootnoteReference"/>
        </w:rPr>
        <w:footnoteRef/>
      </w:r>
      <w:r>
        <w:t xml:space="preserve"> In certain circumstances, fewer than three options can be considered in a RIS. See the </w:t>
      </w:r>
      <w:hyperlink r:id="rId1" w:history="1">
        <w:r w:rsidRPr="002C3CEE">
          <w:rPr>
            <w:rStyle w:val="Hyperlink"/>
          </w:rPr>
          <w:t>Regulation Impact Statement Policy Options</w:t>
        </w:r>
      </w:hyperlink>
      <w:r>
        <w:t xml:space="preserve"> guidance note 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10BA9" w14:textId="77777777" w:rsidR="008E11F7" w:rsidRDefault="008E11F7">
    <w:pPr>
      <w:pStyle w:val="Header"/>
    </w:pPr>
  </w:p>
  <w:p w14:paraId="12193142" w14:textId="77777777" w:rsidR="008E11F7" w:rsidRDefault="008E11F7">
    <w:pPr>
      <w:pStyle w:val="Header"/>
    </w:pPr>
  </w:p>
  <w:p w14:paraId="6B8362CD" w14:textId="77777777" w:rsidR="008E11F7" w:rsidRDefault="008E11F7">
    <w:pPr>
      <w:pStyle w:val="Header"/>
    </w:pPr>
  </w:p>
  <w:p w14:paraId="2A724AA9" w14:textId="77777777" w:rsidR="008E11F7" w:rsidRDefault="008E11F7">
    <w:pPr>
      <w:pStyle w:val="Header"/>
    </w:pPr>
  </w:p>
  <w:p w14:paraId="7DA6F65B" w14:textId="77777777" w:rsidR="008E11F7" w:rsidRDefault="008E11F7">
    <w:pPr>
      <w:pStyle w:val="Header"/>
    </w:pPr>
  </w:p>
  <w:p w14:paraId="0945ED69" w14:textId="77777777" w:rsidR="002348B2" w:rsidRDefault="00234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37E6"/>
    <w:multiLevelType w:val="hybridMultilevel"/>
    <w:tmpl w:val="80E453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F952B5"/>
    <w:multiLevelType w:val="hybridMultilevel"/>
    <w:tmpl w:val="877632D6"/>
    <w:lvl w:ilvl="0" w:tplc="945C09E8">
      <w:start w:val="1"/>
      <w:numFmt w:val="bullet"/>
      <w:pStyle w:val="BulletList"/>
      <w:lvlText w:val=""/>
      <w:lvlJc w:val="left"/>
      <w:pPr>
        <w:ind w:left="170" w:hanging="170"/>
      </w:pPr>
      <w:rPr>
        <w:rFonts w:ascii="Symbol" w:hAnsi="Symbol" w:hint="default"/>
        <w:color w:val="CD09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576DD"/>
    <w:multiLevelType w:val="hybridMultilevel"/>
    <w:tmpl w:val="BEA0A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7372D7"/>
    <w:multiLevelType w:val="hybridMultilevel"/>
    <w:tmpl w:val="072803DC"/>
    <w:lvl w:ilvl="0" w:tplc="8B70C3BA">
      <w:start w:val="1"/>
      <w:numFmt w:val="bullet"/>
      <w:pStyle w:val="Bullet2"/>
      <w:lvlText w:val="–"/>
      <w:lvlJc w:val="left"/>
      <w:pPr>
        <w:ind w:left="644"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921D0D"/>
    <w:multiLevelType w:val="hybridMultilevel"/>
    <w:tmpl w:val="68E0CE4E"/>
    <w:lvl w:ilvl="0" w:tplc="FF342CAA">
      <w:start w:val="1"/>
      <w:numFmt w:val="bullet"/>
      <w:pStyle w:val="Bullet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B509CA"/>
    <w:multiLevelType w:val="hybridMultilevel"/>
    <w:tmpl w:val="6A1414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C2850BE"/>
    <w:multiLevelType w:val="hybridMultilevel"/>
    <w:tmpl w:val="B40833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20691A"/>
    <w:multiLevelType w:val="hybridMultilevel"/>
    <w:tmpl w:val="C096D4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B6607"/>
    <w:multiLevelType w:val="hybridMultilevel"/>
    <w:tmpl w:val="EE92E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6968AB"/>
    <w:multiLevelType w:val="multilevel"/>
    <w:tmpl w:val="5D46C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03668F"/>
    <w:multiLevelType w:val="hybridMultilevel"/>
    <w:tmpl w:val="B1CED986"/>
    <w:lvl w:ilvl="0" w:tplc="7CA2F93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3D079B"/>
    <w:multiLevelType w:val="hybridMultilevel"/>
    <w:tmpl w:val="C8BA05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F906DD"/>
    <w:multiLevelType w:val="hybridMultilevel"/>
    <w:tmpl w:val="BBCC3A60"/>
    <w:lvl w:ilvl="0" w:tplc="8208F782">
      <w:start w:val="1"/>
      <w:numFmt w:val="bullet"/>
      <w:pStyle w:val="Bulletshape"/>
      <w:lvlText w:val=""/>
      <w:lvlJc w:val="left"/>
      <w:pPr>
        <w:ind w:left="360" w:hanging="360"/>
      </w:pPr>
      <w:rPr>
        <w:rFonts w:ascii="Wingdings 3" w:hAnsi="Wingdings 3" w:hint="default"/>
        <w:color w:val="C0000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0"/>
  </w:num>
  <w:num w:numId="5">
    <w:abstractNumId w:val="3"/>
  </w:num>
  <w:num w:numId="6">
    <w:abstractNumId w:val="4"/>
  </w:num>
  <w:num w:numId="7">
    <w:abstractNumId w:val="5"/>
  </w:num>
  <w:num w:numId="8">
    <w:abstractNumId w:val="8"/>
  </w:num>
  <w:num w:numId="9">
    <w:abstractNumId w:val="1"/>
  </w:num>
  <w:num w:numId="10">
    <w:abstractNumId w:val="9"/>
  </w:num>
  <w:num w:numId="11">
    <w:abstractNumId w:val="7"/>
  </w:num>
  <w:num w:numId="12">
    <w:abstractNumId w:val="1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6F"/>
    <w:rsid w:val="000028AD"/>
    <w:rsid w:val="000056C9"/>
    <w:rsid w:val="00010947"/>
    <w:rsid w:val="00025CDC"/>
    <w:rsid w:val="00037BE1"/>
    <w:rsid w:val="00050DF7"/>
    <w:rsid w:val="000512BA"/>
    <w:rsid w:val="000516A1"/>
    <w:rsid w:val="00064FFC"/>
    <w:rsid w:val="00080F9A"/>
    <w:rsid w:val="000A0567"/>
    <w:rsid w:val="000B4ABE"/>
    <w:rsid w:val="000B614C"/>
    <w:rsid w:val="000C0C2D"/>
    <w:rsid w:val="000C24A7"/>
    <w:rsid w:val="000D67B8"/>
    <w:rsid w:val="000E14F3"/>
    <w:rsid w:val="000F2D2A"/>
    <w:rsid w:val="00106198"/>
    <w:rsid w:val="00107AB7"/>
    <w:rsid w:val="001120EC"/>
    <w:rsid w:val="00115333"/>
    <w:rsid w:val="0012279A"/>
    <w:rsid w:val="00134FE7"/>
    <w:rsid w:val="001520A1"/>
    <w:rsid w:val="00154216"/>
    <w:rsid w:val="001619ED"/>
    <w:rsid w:val="001655E1"/>
    <w:rsid w:val="00165A97"/>
    <w:rsid w:val="00184C58"/>
    <w:rsid w:val="001B4085"/>
    <w:rsid w:val="001E2959"/>
    <w:rsid w:val="001E3B81"/>
    <w:rsid w:val="001F15D7"/>
    <w:rsid w:val="00200B96"/>
    <w:rsid w:val="00201E41"/>
    <w:rsid w:val="00214BAC"/>
    <w:rsid w:val="00231140"/>
    <w:rsid w:val="002348B2"/>
    <w:rsid w:val="00241B75"/>
    <w:rsid w:val="00242064"/>
    <w:rsid w:val="00253817"/>
    <w:rsid w:val="002543FA"/>
    <w:rsid w:val="00276897"/>
    <w:rsid w:val="00281E79"/>
    <w:rsid w:val="002C25BB"/>
    <w:rsid w:val="002D4DF1"/>
    <w:rsid w:val="002D5B63"/>
    <w:rsid w:val="002E1BC3"/>
    <w:rsid w:val="002E41A0"/>
    <w:rsid w:val="002F0C26"/>
    <w:rsid w:val="002F5251"/>
    <w:rsid w:val="002F69B4"/>
    <w:rsid w:val="003225AE"/>
    <w:rsid w:val="00331073"/>
    <w:rsid w:val="00333366"/>
    <w:rsid w:val="003429AF"/>
    <w:rsid w:val="003574BA"/>
    <w:rsid w:val="003625BE"/>
    <w:rsid w:val="00365C31"/>
    <w:rsid w:val="0037026B"/>
    <w:rsid w:val="003756D9"/>
    <w:rsid w:val="00385AE0"/>
    <w:rsid w:val="00394E55"/>
    <w:rsid w:val="003956D7"/>
    <w:rsid w:val="003A4701"/>
    <w:rsid w:val="003B038F"/>
    <w:rsid w:val="003B31EF"/>
    <w:rsid w:val="003C33FF"/>
    <w:rsid w:val="003C683F"/>
    <w:rsid w:val="003D10B3"/>
    <w:rsid w:val="003D1A75"/>
    <w:rsid w:val="003D6359"/>
    <w:rsid w:val="00420326"/>
    <w:rsid w:val="0042451A"/>
    <w:rsid w:val="004253C8"/>
    <w:rsid w:val="004327F6"/>
    <w:rsid w:val="004674CC"/>
    <w:rsid w:val="00481225"/>
    <w:rsid w:val="004961BA"/>
    <w:rsid w:val="004C571D"/>
    <w:rsid w:val="004D5739"/>
    <w:rsid w:val="004F4B2C"/>
    <w:rsid w:val="004F7A87"/>
    <w:rsid w:val="00512735"/>
    <w:rsid w:val="00521508"/>
    <w:rsid w:val="00525D35"/>
    <w:rsid w:val="00556F8B"/>
    <w:rsid w:val="00557F92"/>
    <w:rsid w:val="005647C1"/>
    <w:rsid w:val="005749F2"/>
    <w:rsid w:val="005966F4"/>
    <w:rsid w:val="005A151D"/>
    <w:rsid w:val="005A7E79"/>
    <w:rsid w:val="005C6BB6"/>
    <w:rsid w:val="005D0C76"/>
    <w:rsid w:val="005E116F"/>
    <w:rsid w:val="005E37A3"/>
    <w:rsid w:val="005F4E58"/>
    <w:rsid w:val="00604905"/>
    <w:rsid w:val="00610F29"/>
    <w:rsid w:val="00617195"/>
    <w:rsid w:val="00621832"/>
    <w:rsid w:val="00645522"/>
    <w:rsid w:val="00646817"/>
    <w:rsid w:val="00650821"/>
    <w:rsid w:val="006732EE"/>
    <w:rsid w:val="006A44F1"/>
    <w:rsid w:val="006A463B"/>
    <w:rsid w:val="006C26A2"/>
    <w:rsid w:val="006E14BA"/>
    <w:rsid w:val="006F6093"/>
    <w:rsid w:val="007116C4"/>
    <w:rsid w:val="00720B61"/>
    <w:rsid w:val="00737C06"/>
    <w:rsid w:val="007403C7"/>
    <w:rsid w:val="0074051D"/>
    <w:rsid w:val="00761C75"/>
    <w:rsid w:val="00774B25"/>
    <w:rsid w:val="00797928"/>
    <w:rsid w:val="007A33C2"/>
    <w:rsid w:val="007B2899"/>
    <w:rsid w:val="007B54E9"/>
    <w:rsid w:val="007C04A1"/>
    <w:rsid w:val="007C1659"/>
    <w:rsid w:val="007C6F5F"/>
    <w:rsid w:val="007E2495"/>
    <w:rsid w:val="007E77E9"/>
    <w:rsid w:val="007F078A"/>
    <w:rsid w:val="007F4400"/>
    <w:rsid w:val="007F7DAF"/>
    <w:rsid w:val="00801372"/>
    <w:rsid w:val="00806E3A"/>
    <w:rsid w:val="00810F55"/>
    <w:rsid w:val="0082707B"/>
    <w:rsid w:val="008274D8"/>
    <w:rsid w:val="0083541A"/>
    <w:rsid w:val="00836D78"/>
    <w:rsid w:val="00865BCC"/>
    <w:rsid w:val="00866676"/>
    <w:rsid w:val="00875D0D"/>
    <w:rsid w:val="0088079C"/>
    <w:rsid w:val="00887D67"/>
    <w:rsid w:val="00893AD1"/>
    <w:rsid w:val="008977E1"/>
    <w:rsid w:val="008A2F69"/>
    <w:rsid w:val="008A5A91"/>
    <w:rsid w:val="008B4DBB"/>
    <w:rsid w:val="008C353E"/>
    <w:rsid w:val="008D26CD"/>
    <w:rsid w:val="008E11F7"/>
    <w:rsid w:val="00902226"/>
    <w:rsid w:val="0090427F"/>
    <w:rsid w:val="00904970"/>
    <w:rsid w:val="00905079"/>
    <w:rsid w:val="00906EA5"/>
    <w:rsid w:val="00927A34"/>
    <w:rsid w:val="009368C6"/>
    <w:rsid w:val="00937E96"/>
    <w:rsid w:val="009408E4"/>
    <w:rsid w:val="0097680A"/>
    <w:rsid w:val="00977CE6"/>
    <w:rsid w:val="00994F89"/>
    <w:rsid w:val="00997873"/>
    <w:rsid w:val="009A3859"/>
    <w:rsid w:val="009B03D8"/>
    <w:rsid w:val="009B4DB3"/>
    <w:rsid w:val="009C3478"/>
    <w:rsid w:val="009E565C"/>
    <w:rsid w:val="009F3B76"/>
    <w:rsid w:val="009F73C5"/>
    <w:rsid w:val="00A445AC"/>
    <w:rsid w:val="00A46746"/>
    <w:rsid w:val="00A66151"/>
    <w:rsid w:val="00A73189"/>
    <w:rsid w:val="00A74DB1"/>
    <w:rsid w:val="00A800B4"/>
    <w:rsid w:val="00A8316E"/>
    <w:rsid w:val="00AA1826"/>
    <w:rsid w:val="00AA284C"/>
    <w:rsid w:val="00AB57CF"/>
    <w:rsid w:val="00AB5876"/>
    <w:rsid w:val="00AC60EE"/>
    <w:rsid w:val="00AD700A"/>
    <w:rsid w:val="00AE30AB"/>
    <w:rsid w:val="00AF2906"/>
    <w:rsid w:val="00AF3684"/>
    <w:rsid w:val="00AF4C01"/>
    <w:rsid w:val="00B13545"/>
    <w:rsid w:val="00B16150"/>
    <w:rsid w:val="00B31CF1"/>
    <w:rsid w:val="00B3593D"/>
    <w:rsid w:val="00B43545"/>
    <w:rsid w:val="00B460E4"/>
    <w:rsid w:val="00B62229"/>
    <w:rsid w:val="00B64BDD"/>
    <w:rsid w:val="00B65F69"/>
    <w:rsid w:val="00B9364E"/>
    <w:rsid w:val="00BB6E8B"/>
    <w:rsid w:val="00BC46AE"/>
    <w:rsid w:val="00BF267F"/>
    <w:rsid w:val="00C17DE0"/>
    <w:rsid w:val="00C36DA0"/>
    <w:rsid w:val="00C56FBE"/>
    <w:rsid w:val="00C74780"/>
    <w:rsid w:val="00C756CC"/>
    <w:rsid w:val="00C92874"/>
    <w:rsid w:val="00CA0CF5"/>
    <w:rsid w:val="00CA3FCD"/>
    <w:rsid w:val="00CA468D"/>
    <w:rsid w:val="00CC6D09"/>
    <w:rsid w:val="00CD32D4"/>
    <w:rsid w:val="00CE12A1"/>
    <w:rsid w:val="00CF131B"/>
    <w:rsid w:val="00CF365B"/>
    <w:rsid w:val="00D00A96"/>
    <w:rsid w:val="00D01D59"/>
    <w:rsid w:val="00D26321"/>
    <w:rsid w:val="00D3735B"/>
    <w:rsid w:val="00D434FD"/>
    <w:rsid w:val="00D52A25"/>
    <w:rsid w:val="00D62733"/>
    <w:rsid w:val="00D63193"/>
    <w:rsid w:val="00D63FF4"/>
    <w:rsid w:val="00D72BE9"/>
    <w:rsid w:val="00D80568"/>
    <w:rsid w:val="00D816B0"/>
    <w:rsid w:val="00D81F8C"/>
    <w:rsid w:val="00D83838"/>
    <w:rsid w:val="00D85B26"/>
    <w:rsid w:val="00D90757"/>
    <w:rsid w:val="00D90AD0"/>
    <w:rsid w:val="00D92165"/>
    <w:rsid w:val="00D9450A"/>
    <w:rsid w:val="00DA3067"/>
    <w:rsid w:val="00DA3226"/>
    <w:rsid w:val="00DA5FF0"/>
    <w:rsid w:val="00DB7424"/>
    <w:rsid w:val="00DC69C4"/>
    <w:rsid w:val="00DF75F9"/>
    <w:rsid w:val="00DF7931"/>
    <w:rsid w:val="00E20372"/>
    <w:rsid w:val="00E42EA1"/>
    <w:rsid w:val="00E5660E"/>
    <w:rsid w:val="00E62BF5"/>
    <w:rsid w:val="00E84FFD"/>
    <w:rsid w:val="00E94FFC"/>
    <w:rsid w:val="00E96267"/>
    <w:rsid w:val="00EB119D"/>
    <w:rsid w:val="00ED7E2E"/>
    <w:rsid w:val="00EE2C63"/>
    <w:rsid w:val="00EF2D8D"/>
    <w:rsid w:val="00F05241"/>
    <w:rsid w:val="00F13FD5"/>
    <w:rsid w:val="00F33091"/>
    <w:rsid w:val="00F50FFC"/>
    <w:rsid w:val="00F51597"/>
    <w:rsid w:val="00F5426F"/>
    <w:rsid w:val="00F57E45"/>
    <w:rsid w:val="00F708B8"/>
    <w:rsid w:val="00F7467F"/>
    <w:rsid w:val="00F75537"/>
    <w:rsid w:val="00F90C1E"/>
    <w:rsid w:val="00FA648E"/>
    <w:rsid w:val="00FC5605"/>
    <w:rsid w:val="00FD243F"/>
    <w:rsid w:val="00FE43E1"/>
    <w:rsid w:val="00FE66DE"/>
    <w:rsid w:val="00FE6E9F"/>
    <w:rsid w:val="00FE75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2041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83F"/>
    <w:pPr>
      <w:spacing w:line="264" w:lineRule="auto"/>
    </w:pPr>
    <w:rPr>
      <w:rFonts w:ascii="Century Gothic" w:hAnsi="Century Gothic"/>
      <w:sz w:val="20"/>
    </w:rPr>
  </w:style>
  <w:style w:type="paragraph" w:styleId="Heading1">
    <w:name w:val="heading 1"/>
    <w:basedOn w:val="Normal"/>
    <w:next w:val="Normal"/>
    <w:link w:val="Heading1Char"/>
    <w:uiPriority w:val="9"/>
    <w:qFormat/>
    <w:rsid w:val="00525D35"/>
    <w:pPr>
      <w:keepNext/>
      <w:keepLines/>
      <w:spacing w:before="240" w:after="240"/>
      <w:outlineLvl w:val="0"/>
    </w:pPr>
    <w:rPr>
      <w:rFonts w:eastAsiaTheme="majorEastAsia" w:cstheme="majorBidi"/>
      <w:b/>
      <w:color w:val="C00000"/>
      <w:sz w:val="52"/>
      <w:szCs w:val="32"/>
    </w:rPr>
  </w:style>
  <w:style w:type="paragraph" w:styleId="Heading2">
    <w:name w:val="heading 2"/>
    <w:basedOn w:val="Normal"/>
    <w:next w:val="Normal"/>
    <w:link w:val="Heading2Char"/>
    <w:uiPriority w:val="9"/>
    <w:unhideWhenUsed/>
    <w:qFormat/>
    <w:rsid w:val="00C56FBE"/>
    <w:pPr>
      <w:keepNext/>
      <w:keepLines/>
      <w:spacing w:before="480" w:after="180"/>
      <w:outlineLvl w:val="1"/>
    </w:pPr>
    <w:rPr>
      <w:rFonts w:eastAsiaTheme="majorEastAsia" w:cstheme="majorBidi"/>
      <w:b/>
      <w:color w:val="C00000" w:themeColor="accent1"/>
      <w:sz w:val="28"/>
      <w:szCs w:val="26"/>
    </w:rPr>
  </w:style>
  <w:style w:type="paragraph" w:styleId="Heading3">
    <w:name w:val="heading 3"/>
    <w:basedOn w:val="Normal"/>
    <w:next w:val="Normal"/>
    <w:link w:val="Heading3Char"/>
    <w:uiPriority w:val="9"/>
    <w:unhideWhenUsed/>
    <w:qFormat/>
    <w:rsid w:val="00C56FBE"/>
    <w:pPr>
      <w:keepNext/>
      <w:keepLines/>
      <w:spacing w:before="480" w:after="0"/>
      <w:outlineLvl w:val="2"/>
    </w:pPr>
    <w:rPr>
      <w:rFonts w:asciiTheme="majorHAnsi" w:eastAsiaTheme="majorEastAsia" w:hAnsiTheme="majorHAnsi" w:cstheme="majorBidi"/>
      <w:b/>
      <w:color w:val="4E4E4E" w:themeColor="accen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6FBE"/>
    <w:rPr>
      <w:rFonts w:ascii="Century Gothic" w:eastAsiaTheme="majorEastAsia" w:hAnsi="Century Gothic" w:cstheme="majorBidi"/>
      <w:b/>
      <w:color w:val="C00000" w:themeColor="accent1"/>
      <w:sz w:val="28"/>
      <w:szCs w:val="26"/>
    </w:rPr>
  </w:style>
  <w:style w:type="character" w:customStyle="1" w:styleId="Hyperlink1">
    <w:name w:val="Hyperlink1"/>
    <w:basedOn w:val="DefaultParagraphFont"/>
    <w:uiPriority w:val="99"/>
    <w:unhideWhenUsed/>
    <w:rsid w:val="00B43545"/>
    <w:rPr>
      <w:color w:val="0563C1"/>
      <w:u w:val="single"/>
    </w:rPr>
  </w:style>
  <w:style w:type="paragraph" w:customStyle="1" w:styleId="Default">
    <w:name w:val="Default"/>
    <w:rsid w:val="00B43545"/>
    <w:pPr>
      <w:autoSpaceDE w:val="0"/>
      <w:autoSpaceDN w:val="0"/>
      <w:adjustRightInd w:val="0"/>
      <w:spacing w:after="0" w:line="240" w:lineRule="auto"/>
    </w:pPr>
    <w:rPr>
      <w:rFonts w:ascii="Century Gothic" w:hAnsi="Century Gothic" w:cs="Calibri"/>
      <w:color w:val="000000"/>
      <w:sz w:val="24"/>
      <w:szCs w:val="24"/>
    </w:rPr>
  </w:style>
  <w:style w:type="character" w:styleId="Hyperlink">
    <w:name w:val="Hyperlink"/>
    <w:basedOn w:val="DefaultParagraphFont"/>
    <w:uiPriority w:val="99"/>
    <w:unhideWhenUsed/>
    <w:rsid w:val="00B43545"/>
    <w:rPr>
      <w:color w:val="0563C1" w:themeColor="hyperlink"/>
      <w:u w:val="single"/>
    </w:rPr>
  </w:style>
  <w:style w:type="paragraph" w:styleId="Header">
    <w:name w:val="header"/>
    <w:basedOn w:val="Normal"/>
    <w:link w:val="HeaderChar"/>
    <w:uiPriority w:val="99"/>
    <w:unhideWhenUsed/>
    <w:rsid w:val="00B43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545"/>
  </w:style>
  <w:style w:type="paragraph" w:styleId="Footer">
    <w:name w:val="footer"/>
    <w:basedOn w:val="Normal"/>
    <w:link w:val="FooterChar"/>
    <w:uiPriority w:val="99"/>
    <w:unhideWhenUsed/>
    <w:rsid w:val="00B43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545"/>
  </w:style>
  <w:style w:type="paragraph" w:customStyle="1" w:styleId="Bulletshape">
    <w:name w:val="Bullet shape"/>
    <w:basedOn w:val="Normal"/>
    <w:qFormat/>
    <w:rsid w:val="00E5660E"/>
    <w:pPr>
      <w:numPr>
        <w:numId w:val="1"/>
      </w:numPr>
      <w:autoSpaceDE w:val="0"/>
      <w:autoSpaceDN w:val="0"/>
      <w:adjustRightInd w:val="0"/>
      <w:spacing w:after="120"/>
    </w:pPr>
    <w:rPr>
      <w:rFonts w:eastAsia="Century Gothic" w:cs="Times New Roman"/>
      <w:color w:val="000000"/>
      <w:sz w:val="18"/>
    </w:rPr>
  </w:style>
  <w:style w:type="character" w:customStyle="1" w:styleId="Heading3Char">
    <w:name w:val="Heading 3 Char"/>
    <w:basedOn w:val="DefaultParagraphFont"/>
    <w:link w:val="Heading3"/>
    <w:uiPriority w:val="9"/>
    <w:rsid w:val="00C56FBE"/>
    <w:rPr>
      <w:rFonts w:asciiTheme="majorHAnsi" w:eastAsiaTheme="majorEastAsia" w:hAnsiTheme="majorHAnsi" w:cstheme="majorBidi"/>
      <w:b/>
      <w:color w:val="4E4E4E" w:themeColor="accent2"/>
      <w:sz w:val="24"/>
      <w:szCs w:val="24"/>
    </w:rPr>
  </w:style>
  <w:style w:type="character" w:customStyle="1" w:styleId="Heading1Char">
    <w:name w:val="Heading 1 Char"/>
    <w:basedOn w:val="DefaultParagraphFont"/>
    <w:link w:val="Heading1"/>
    <w:uiPriority w:val="9"/>
    <w:rsid w:val="00525D35"/>
    <w:rPr>
      <w:rFonts w:ascii="Century Gothic" w:eastAsiaTheme="majorEastAsia" w:hAnsi="Century Gothic" w:cstheme="majorBidi"/>
      <w:b/>
      <w:color w:val="C00000"/>
      <w:sz w:val="52"/>
      <w:szCs w:val="32"/>
    </w:rPr>
  </w:style>
  <w:style w:type="paragraph" w:customStyle="1" w:styleId="IntroPara">
    <w:name w:val="Intro Para"/>
    <w:basedOn w:val="Normal"/>
    <w:qFormat/>
    <w:rsid w:val="00525D35"/>
    <w:rPr>
      <w:rFonts w:eastAsia="Century Gothic" w:cs="Times New Roman"/>
      <w:b/>
      <w:color w:val="C00000"/>
      <w:sz w:val="22"/>
    </w:rPr>
  </w:style>
  <w:style w:type="paragraph" w:styleId="BalloonText">
    <w:name w:val="Balloon Text"/>
    <w:basedOn w:val="Normal"/>
    <w:link w:val="BalloonTextChar"/>
    <w:uiPriority w:val="99"/>
    <w:semiHidden/>
    <w:unhideWhenUsed/>
    <w:rsid w:val="00FD2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3F"/>
    <w:rPr>
      <w:rFonts w:ascii="Segoe UI" w:hAnsi="Segoe UI" w:cs="Segoe UI"/>
      <w:sz w:val="18"/>
      <w:szCs w:val="18"/>
    </w:rPr>
  </w:style>
  <w:style w:type="paragraph" w:customStyle="1" w:styleId="BoxTitle">
    <w:name w:val="Box Title"/>
    <w:basedOn w:val="Normal"/>
    <w:qFormat/>
    <w:rsid w:val="003C683F"/>
    <w:pPr>
      <w:shd w:val="clear" w:color="auto" w:fill="EDEDED" w:themeFill="background2"/>
    </w:pPr>
    <w:rPr>
      <w:b/>
      <w:color w:val="4E4E4E" w:themeColor="accent2"/>
      <w:sz w:val="24"/>
    </w:rPr>
  </w:style>
  <w:style w:type="paragraph" w:styleId="ListParagraph">
    <w:name w:val="List Paragraph"/>
    <w:basedOn w:val="Normal"/>
    <w:uiPriority w:val="34"/>
    <w:qFormat/>
    <w:rsid w:val="00B13545"/>
    <w:pPr>
      <w:ind w:left="284" w:firstLine="284"/>
    </w:pPr>
  </w:style>
  <w:style w:type="paragraph" w:customStyle="1" w:styleId="BulletList">
    <w:name w:val="Bullet List"/>
    <w:qFormat/>
    <w:rsid w:val="004F7A87"/>
    <w:pPr>
      <w:numPr>
        <w:numId w:val="2"/>
      </w:numPr>
      <w:spacing w:after="0" w:line="240" w:lineRule="auto"/>
    </w:pPr>
    <w:rPr>
      <w:rFonts w:ascii="Century Gothic" w:eastAsia="TimesNewRomanPSMT" w:hAnsi="Century Gothic" w:cs="TimesNewRomanPSMT"/>
      <w:color w:val="000000"/>
      <w:sz w:val="20"/>
      <w:szCs w:val="19"/>
      <w:lang w:val="en-GB"/>
    </w:rPr>
  </w:style>
  <w:style w:type="table" w:styleId="TableGrid">
    <w:name w:val="Table Grid"/>
    <w:basedOn w:val="TableNormal"/>
    <w:uiPriority w:val="59"/>
    <w:rsid w:val="00C56FBE"/>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ulletList"/>
    <w:qFormat/>
    <w:rsid w:val="00C56FBE"/>
    <w:pPr>
      <w:spacing w:after="200"/>
    </w:pPr>
    <w:rPr>
      <w:lang w:val="en-AU"/>
    </w:rPr>
  </w:style>
  <w:style w:type="paragraph" w:customStyle="1" w:styleId="TableText">
    <w:name w:val="TableText"/>
    <w:basedOn w:val="Normal"/>
    <w:qFormat/>
    <w:rsid w:val="00C56FBE"/>
    <w:pPr>
      <w:spacing w:before="120" w:after="120" w:line="240" w:lineRule="auto"/>
    </w:pPr>
    <w:rPr>
      <w:rFonts w:eastAsiaTheme="majorEastAsia" w:cs="Arial"/>
      <w:bCs/>
      <w:szCs w:val="20"/>
    </w:rPr>
  </w:style>
  <w:style w:type="paragraph" w:customStyle="1" w:styleId="TableName">
    <w:name w:val="TableName"/>
    <w:basedOn w:val="Normal"/>
    <w:qFormat/>
    <w:rsid w:val="00C56FBE"/>
    <w:pPr>
      <w:keepNext/>
      <w:spacing w:after="120" w:line="240" w:lineRule="auto"/>
    </w:pPr>
    <w:rPr>
      <w:rFonts w:ascii="Arial" w:eastAsiaTheme="minorEastAsia" w:hAnsi="Arial" w:cs="Arial"/>
      <w:sz w:val="22"/>
    </w:rPr>
  </w:style>
  <w:style w:type="paragraph" w:customStyle="1" w:styleId="Indent1">
    <w:name w:val="Indent 1"/>
    <w:basedOn w:val="Normal"/>
    <w:qFormat/>
    <w:rsid w:val="00C56FBE"/>
    <w:pPr>
      <w:spacing w:after="200" w:line="240" w:lineRule="auto"/>
      <w:ind w:left="567" w:hanging="567"/>
    </w:pPr>
    <w:rPr>
      <w:rFonts w:eastAsiaTheme="minorEastAsia"/>
      <w:color w:val="C00000" w:themeColor="accent1"/>
      <w:sz w:val="24"/>
      <w:szCs w:val="24"/>
    </w:rPr>
  </w:style>
  <w:style w:type="paragraph" w:customStyle="1" w:styleId="TableBullet">
    <w:name w:val="TableBullet"/>
    <w:basedOn w:val="TableText"/>
    <w:qFormat/>
    <w:rsid w:val="00C56FBE"/>
    <w:pPr>
      <w:numPr>
        <w:numId w:val="3"/>
      </w:numPr>
      <w:ind w:left="317" w:hanging="317"/>
    </w:pPr>
  </w:style>
  <w:style w:type="table" w:styleId="ListTable3-Accent4">
    <w:name w:val="List Table 3 Accent 4"/>
    <w:basedOn w:val="TableNormal"/>
    <w:uiPriority w:val="48"/>
    <w:rsid w:val="00C56FBE"/>
    <w:pPr>
      <w:spacing w:after="0" w:line="240" w:lineRule="auto"/>
    </w:pPr>
    <w:tblPr>
      <w:tblStyleRowBandSize w:val="1"/>
      <w:tblStyleColBandSize w:val="1"/>
      <w:tblBorders>
        <w:top w:val="single" w:sz="4" w:space="0" w:color="DCDCDC" w:themeColor="accent4"/>
        <w:left w:val="single" w:sz="4" w:space="0" w:color="DCDCDC" w:themeColor="accent4"/>
        <w:bottom w:val="single" w:sz="4" w:space="0" w:color="DCDCDC" w:themeColor="accent4"/>
        <w:right w:val="single" w:sz="4" w:space="0" w:color="DCDCDC" w:themeColor="accent4"/>
      </w:tblBorders>
    </w:tblPr>
    <w:tblStylePr w:type="firstRow">
      <w:rPr>
        <w:b/>
        <w:bCs/>
        <w:color w:val="FFFFFF" w:themeColor="background1"/>
      </w:rPr>
      <w:tblPr/>
      <w:tcPr>
        <w:shd w:val="clear" w:color="auto" w:fill="DCDCDC" w:themeFill="accent4"/>
      </w:tcPr>
    </w:tblStylePr>
    <w:tblStylePr w:type="lastRow">
      <w:rPr>
        <w:b/>
        <w:bCs/>
      </w:rPr>
      <w:tblPr/>
      <w:tcPr>
        <w:tcBorders>
          <w:top w:val="double" w:sz="4" w:space="0" w:color="DCDCD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DCDC" w:themeColor="accent4"/>
          <w:right w:val="single" w:sz="4" w:space="0" w:color="DCDCDC" w:themeColor="accent4"/>
        </w:tcBorders>
      </w:tcPr>
    </w:tblStylePr>
    <w:tblStylePr w:type="band1Horz">
      <w:tblPr/>
      <w:tcPr>
        <w:tcBorders>
          <w:top w:val="single" w:sz="4" w:space="0" w:color="DCDCDC" w:themeColor="accent4"/>
          <w:bottom w:val="single" w:sz="4" w:space="0" w:color="DCDCD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DCDC" w:themeColor="accent4"/>
          <w:left w:val="nil"/>
        </w:tcBorders>
      </w:tcPr>
    </w:tblStylePr>
    <w:tblStylePr w:type="swCell">
      <w:tblPr/>
      <w:tcPr>
        <w:tcBorders>
          <w:top w:val="double" w:sz="4" w:space="0" w:color="DCDCDC" w:themeColor="accent4"/>
          <w:right w:val="nil"/>
        </w:tcBorders>
      </w:tcPr>
    </w:tblStylePr>
  </w:style>
  <w:style w:type="paragraph" w:customStyle="1" w:styleId="BodyText1">
    <w:name w:val="Body Text1"/>
    <w:basedOn w:val="Normal"/>
    <w:qFormat/>
    <w:rsid w:val="00F5426F"/>
    <w:pPr>
      <w:spacing w:after="200" w:line="260" w:lineRule="exact"/>
    </w:pPr>
    <w:rPr>
      <w:rFonts w:ascii="Arial" w:eastAsia="Times New Roman" w:hAnsi="Arial" w:cs="Times New Roman"/>
      <w:sz w:val="22"/>
      <w:szCs w:val="24"/>
    </w:rPr>
  </w:style>
  <w:style w:type="paragraph" w:styleId="FootnoteText">
    <w:name w:val="footnote text"/>
    <w:link w:val="FootnoteTextChar"/>
    <w:uiPriority w:val="99"/>
    <w:qFormat/>
    <w:rsid w:val="00F5426F"/>
    <w:pPr>
      <w:tabs>
        <w:tab w:val="left" w:pos="284"/>
      </w:tabs>
      <w:spacing w:after="20" w:line="260" w:lineRule="atLeast"/>
    </w:pPr>
    <w:rPr>
      <w:rFonts w:ascii="Arial" w:eastAsia="Times New Roman" w:hAnsi="Arial" w:cs="Times New Roman"/>
      <w:color w:val="4B5869"/>
      <w:sz w:val="15"/>
      <w:szCs w:val="20"/>
    </w:rPr>
  </w:style>
  <w:style w:type="character" w:customStyle="1" w:styleId="FootnoteTextChar">
    <w:name w:val="Footnote Text Char"/>
    <w:basedOn w:val="DefaultParagraphFont"/>
    <w:link w:val="FootnoteText"/>
    <w:uiPriority w:val="99"/>
    <w:rsid w:val="00F5426F"/>
    <w:rPr>
      <w:rFonts w:ascii="Arial" w:eastAsia="Times New Roman" w:hAnsi="Arial" w:cs="Times New Roman"/>
      <w:color w:val="4B5869"/>
      <w:sz w:val="15"/>
      <w:szCs w:val="20"/>
    </w:rPr>
  </w:style>
  <w:style w:type="character" w:styleId="FootnoteReference">
    <w:name w:val="footnote reference"/>
    <w:uiPriority w:val="99"/>
    <w:rsid w:val="00F5426F"/>
    <w:rPr>
      <w:vertAlign w:val="superscript"/>
    </w:rPr>
  </w:style>
  <w:style w:type="paragraph" w:customStyle="1" w:styleId="Bullet2">
    <w:name w:val="Bullet 2"/>
    <w:basedOn w:val="Normal"/>
    <w:qFormat/>
    <w:rsid w:val="00F5426F"/>
    <w:pPr>
      <w:numPr>
        <w:numId w:val="5"/>
      </w:numPr>
      <w:spacing w:after="200" w:line="240" w:lineRule="auto"/>
      <w:ind w:left="567" w:hanging="283"/>
    </w:pPr>
    <w:rPr>
      <w:rFonts w:ascii="Times New Roman" w:eastAsiaTheme="minorEastAsia" w:hAnsi="Times New Roman"/>
      <w:sz w:val="24"/>
      <w:szCs w:val="24"/>
    </w:rPr>
  </w:style>
  <w:style w:type="paragraph" w:customStyle="1" w:styleId="Bullet3">
    <w:name w:val="Bullet 3"/>
    <w:basedOn w:val="Normal"/>
    <w:qFormat/>
    <w:rsid w:val="00F5426F"/>
    <w:pPr>
      <w:numPr>
        <w:numId w:val="6"/>
      </w:numPr>
      <w:spacing w:after="200" w:line="240" w:lineRule="auto"/>
    </w:pPr>
    <w:rPr>
      <w:rFonts w:ascii="Times New Roman" w:eastAsiaTheme="minorEastAsia" w:hAnsi="Times New Roman"/>
      <w:sz w:val="24"/>
      <w:szCs w:val="24"/>
    </w:rPr>
  </w:style>
  <w:style w:type="paragraph" w:customStyle="1" w:styleId="TableTextform">
    <w:name w:val="TableText form"/>
    <w:basedOn w:val="TableText"/>
    <w:qFormat/>
    <w:rsid w:val="00F5426F"/>
    <w:pPr>
      <w:spacing w:before="40" w:after="240"/>
    </w:pPr>
    <w:rPr>
      <w:rFonts w:ascii="Arial" w:hAnsi="Arial"/>
    </w:rPr>
  </w:style>
  <w:style w:type="paragraph" w:customStyle="1" w:styleId="Body">
    <w:name w:val="Body"/>
    <w:rsid w:val="00F5426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AU"/>
    </w:rPr>
  </w:style>
  <w:style w:type="character" w:styleId="FollowedHyperlink">
    <w:name w:val="FollowedHyperlink"/>
    <w:basedOn w:val="DefaultParagraphFont"/>
    <w:uiPriority w:val="99"/>
    <w:semiHidden/>
    <w:unhideWhenUsed/>
    <w:rsid w:val="00905079"/>
    <w:rPr>
      <w:color w:val="954F72" w:themeColor="followedHyperlink"/>
      <w:u w:val="single"/>
    </w:rPr>
  </w:style>
  <w:style w:type="character" w:styleId="CommentReference">
    <w:name w:val="annotation reference"/>
    <w:basedOn w:val="DefaultParagraphFont"/>
    <w:uiPriority w:val="99"/>
    <w:semiHidden/>
    <w:unhideWhenUsed/>
    <w:rsid w:val="00064FFC"/>
    <w:rPr>
      <w:sz w:val="16"/>
      <w:szCs w:val="16"/>
    </w:rPr>
  </w:style>
  <w:style w:type="paragraph" w:styleId="CommentText">
    <w:name w:val="annotation text"/>
    <w:basedOn w:val="Normal"/>
    <w:link w:val="CommentTextChar"/>
    <w:uiPriority w:val="99"/>
    <w:semiHidden/>
    <w:unhideWhenUsed/>
    <w:rsid w:val="00064FFC"/>
    <w:pPr>
      <w:spacing w:line="240" w:lineRule="auto"/>
    </w:pPr>
    <w:rPr>
      <w:szCs w:val="20"/>
    </w:rPr>
  </w:style>
  <w:style w:type="character" w:customStyle="1" w:styleId="CommentTextChar">
    <w:name w:val="Comment Text Char"/>
    <w:basedOn w:val="DefaultParagraphFont"/>
    <w:link w:val="CommentText"/>
    <w:uiPriority w:val="99"/>
    <w:semiHidden/>
    <w:rsid w:val="00064F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064FFC"/>
    <w:rPr>
      <w:b/>
      <w:bCs/>
    </w:rPr>
  </w:style>
  <w:style w:type="character" w:customStyle="1" w:styleId="CommentSubjectChar">
    <w:name w:val="Comment Subject Char"/>
    <w:basedOn w:val="CommentTextChar"/>
    <w:link w:val="CommentSubject"/>
    <w:uiPriority w:val="99"/>
    <w:semiHidden/>
    <w:rsid w:val="00064FFC"/>
    <w:rPr>
      <w:rFonts w:ascii="Century Gothic" w:hAnsi="Century Gothic"/>
      <w:b/>
      <w:bCs/>
      <w:sz w:val="20"/>
      <w:szCs w:val="20"/>
    </w:rPr>
  </w:style>
  <w:style w:type="paragraph" w:styleId="Revision">
    <w:name w:val="Revision"/>
    <w:hidden/>
    <w:uiPriority w:val="99"/>
    <w:semiHidden/>
    <w:rsid w:val="00DB7424"/>
    <w:pPr>
      <w:spacing w:after="0" w:line="240" w:lineRule="auto"/>
    </w:pPr>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57854">
      <w:bodyDiv w:val="1"/>
      <w:marLeft w:val="0"/>
      <w:marRight w:val="0"/>
      <w:marTop w:val="0"/>
      <w:marBottom w:val="0"/>
      <w:divBdr>
        <w:top w:val="none" w:sz="0" w:space="0" w:color="auto"/>
        <w:left w:val="none" w:sz="0" w:space="0" w:color="auto"/>
        <w:bottom w:val="none" w:sz="0" w:space="0" w:color="auto"/>
        <w:right w:val="none" w:sz="0" w:space="0" w:color="auto"/>
      </w:divBdr>
    </w:div>
    <w:div w:id="12632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ulation@asbfeo.gov.au" TargetMode="External"/><Relationship Id="rId13" Type="http://schemas.openxmlformats.org/officeDocument/2006/relationships/hyperlink" Target="mailto:trade.law@dfat.gov.a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sbfeo.gov.au/contact-us" TargetMode="External"/><Relationship Id="rId12" Type="http://schemas.openxmlformats.org/officeDocument/2006/relationships/hyperlink" Target="mailto:advocacy@asbfeo.gov.a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mc.gov.au/resource-centre/regulation/small-business-guidance-note" TargetMode="External"/><Relationship Id="rId5" Type="http://schemas.openxmlformats.org/officeDocument/2006/relationships/footnotes" Target="footnotes.xml"/><Relationship Id="rId15" Type="http://schemas.openxmlformats.org/officeDocument/2006/relationships/hyperlink" Target="https://obpr.pmc.gov.au/resources/guidance-impact-analysis/australian-government-guide-regulatory-impact-analysis" TargetMode="External"/><Relationship Id="rId10" Type="http://schemas.openxmlformats.org/officeDocument/2006/relationships/hyperlink" Target="mailto:Helpdesk-OBPR@pmc.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ade.law@dfat.gov.au" TargetMode="External"/><Relationship Id="rId14" Type="http://schemas.openxmlformats.org/officeDocument/2006/relationships/hyperlink" Target="mailto:oil.coordinator@ag.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mc.gov.au/resource-centre/regulation/regulation-impact-statement-policy-options-guidance-note" TargetMode="Externa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4E4E4E"/>
      </a:dk2>
      <a:lt2>
        <a:srgbClr val="EDEDED"/>
      </a:lt2>
      <a:accent1>
        <a:srgbClr val="C00000"/>
      </a:accent1>
      <a:accent2>
        <a:srgbClr val="4E4E4E"/>
      </a:accent2>
      <a:accent3>
        <a:srgbClr val="7F7F7F"/>
      </a:accent3>
      <a:accent4>
        <a:srgbClr val="DCDCDC"/>
      </a:accent4>
      <a:accent5>
        <a:srgbClr val="E77875"/>
      </a:accent5>
      <a:accent6>
        <a:srgbClr val="F9C3B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5189</Words>
  <Characters>29580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2023-11-19T23:51:00Z</dcterms:created>
  <dcterms:modified xsi:type="dcterms:W3CDTF">2023-11-19T23:51:00Z</dcterms:modified>
</cp:coreProperties>
</file>