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tyle33"/>
        <w:tblW w:w="5000" w:type="pct"/>
        <w:tblInd w:w="0" w:type="dxa"/>
        <w:tblLook w:val="04A0" w:firstRow="1" w:lastRow="0" w:firstColumn="1" w:lastColumn="0" w:noHBand="0" w:noVBand="1"/>
      </w:tblPr>
      <w:tblGrid>
        <w:gridCol w:w="1833"/>
        <w:gridCol w:w="1419"/>
        <w:gridCol w:w="4392"/>
        <w:gridCol w:w="6299"/>
      </w:tblGrid>
      <w:tr w:rsidR="00CD11C9" w:rsidRPr="007D4593" w14:paraId="450F8DFA" w14:textId="77777777" w:rsidTr="00CD11C9">
        <w:trPr>
          <w:cnfStyle w:val="100000000000" w:firstRow="1" w:lastRow="0" w:firstColumn="0" w:lastColumn="0" w:oddVBand="0" w:evenVBand="0" w:oddHBand="0" w:evenHBand="0" w:firstRowFirstColumn="0" w:firstRowLastColumn="0" w:lastRowFirstColumn="0" w:lastRowLastColumn="0"/>
        </w:trPr>
        <w:tc>
          <w:tcPr>
            <w:tcW w:w="657" w:type="pct"/>
            <w:tcBorders>
              <w:top w:val="single" w:sz="8" w:space="0" w:color="FFFFFF"/>
              <w:left w:val="single" w:sz="8" w:space="0" w:color="FFFFFF"/>
              <w:bottom w:val="single" w:sz="8" w:space="0" w:color="FFFFFF"/>
            </w:tcBorders>
          </w:tcPr>
          <w:p w14:paraId="761E90E9" w14:textId="77777777" w:rsidR="000D5288" w:rsidRPr="007D4593" w:rsidRDefault="000D5288">
            <w:pPr>
              <w:spacing w:before="60" w:beforeAutospacing="0" w:afterAutospacing="0"/>
              <w:jc w:val="center"/>
              <w:rPr>
                <w:rFonts w:ascii="Times New Roman" w:hAnsi="Times New Roman" w:cs="Times New Roman"/>
                <w:color w:val="FFFFFF" w:themeColor="background1"/>
                <w:lang w:val="en-US" w:eastAsia="en-AU"/>
              </w:rPr>
            </w:pPr>
            <w:bookmarkStart w:id="0" w:name="_GoBack"/>
            <w:bookmarkEnd w:id="0"/>
            <w:r w:rsidRPr="007D4593">
              <w:rPr>
                <w:rFonts w:ascii="Times New Roman" w:hAnsi="Times New Roman" w:cs="Times New Roman"/>
                <w:color w:val="FFFFFF" w:themeColor="background1"/>
                <w:lang w:val="en-US" w:eastAsia="en-AU"/>
              </w:rPr>
              <w:t>Correspondent</w:t>
            </w:r>
          </w:p>
        </w:tc>
        <w:tc>
          <w:tcPr>
            <w:tcW w:w="509" w:type="pct"/>
            <w:tcBorders>
              <w:top w:val="single" w:sz="8" w:space="0" w:color="FFFFFF"/>
              <w:bottom w:val="single" w:sz="8" w:space="0" w:color="FFFFFF"/>
            </w:tcBorders>
          </w:tcPr>
          <w:p w14:paraId="0DAA2113" w14:textId="77777777" w:rsidR="000D5288" w:rsidRPr="007F63A0" w:rsidRDefault="000D5288">
            <w:pPr>
              <w:spacing w:before="60" w:beforeAutospacing="0" w:afterAutospacing="0"/>
              <w:jc w:val="center"/>
              <w:rPr>
                <w:rFonts w:ascii="Times New Roman" w:hAnsi="Times New Roman" w:cs="Times New Roman"/>
                <w:color w:val="FFFFFF" w:themeColor="background1"/>
                <w:lang w:val="en-US" w:eastAsia="en-AU"/>
              </w:rPr>
            </w:pPr>
            <w:r w:rsidRPr="007F63A0">
              <w:rPr>
                <w:rFonts w:ascii="Times New Roman" w:hAnsi="Times New Roman" w:cs="Times New Roman"/>
                <w:color w:val="FFFFFF" w:themeColor="background1"/>
                <w:lang w:val="en-US" w:eastAsia="en-AU"/>
              </w:rPr>
              <w:t>Support ADR 110/00</w:t>
            </w:r>
          </w:p>
        </w:tc>
        <w:tc>
          <w:tcPr>
            <w:tcW w:w="1575" w:type="pct"/>
            <w:tcBorders>
              <w:top w:val="single" w:sz="8" w:space="0" w:color="FFFFFF"/>
              <w:bottom w:val="single" w:sz="8" w:space="0" w:color="FFFFFF"/>
            </w:tcBorders>
          </w:tcPr>
          <w:p w14:paraId="52C39511" w14:textId="77777777" w:rsidR="000D5288" w:rsidRPr="007D4593" w:rsidRDefault="000D5288">
            <w:pPr>
              <w:spacing w:before="60" w:beforeAutospacing="0" w:afterAutospacing="0"/>
              <w:jc w:val="center"/>
              <w:rPr>
                <w:rFonts w:ascii="Times New Roman" w:hAnsi="Times New Roman" w:cs="Times New Roman"/>
                <w:color w:val="FFFFFF" w:themeColor="background1"/>
                <w:lang w:val="en-US" w:eastAsia="en-AU"/>
              </w:rPr>
            </w:pPr>
            <w:r w:rsidRPr="007D4593">
              <w:rPr>
                <w:rFonts w:ascii="Times New Roman" w:hAnsi="Times New Roman" w:cs="Times New Roman"/>
                <w:color w:val="FFFFFF" w:themeColor="background1"/>
                <w:lang w:val="en-US" w:eastAsia="en-AU"/>
              </w:rPr>
              <w:t>Comments</w:t>
            </w:r>
          </w:p>
        </w:tc>
        <w:tc>
          <w:tcPr>
            <w:tcW w:w="2258" w:type="pct"/>
            <w:tcBorders>
              <w:top w:val="single" w:sz="8" w:space="0" w:color="FFFFFF"/>
              <w:bottom w:val="single" w:sz="8" w:space="0" w:color="FFFFFF"/>
              <w:right w:val="single" w:sz="4" w:space="0" w:color="auto"/>
            </w:tcBorders>
          </w:tcPr>
          <w:p w14:paraId="6C2036C6" w14:textId="1CAA3852" w:rsidR="000D5288" w:rsidRPr="007D4593" w:rsidRDefault="000D5288">
            <w:pPr>
              <w:spacing w:before="60"/>
              <w:jc w:val="center"/>
              <w:rPr>
                <w:rFonts w:ascii="Times New Roman" w:hAnsi="Times New Roman" w:cs="Times New Roman"/>
                <w:color w:val="FFFFFF" w:themeColor="background1"/>
                <w:lang w:val="en-US" w:eastAsia="en-AU"/>
              </w:rPr>
            </w:pPr>
            <w:r>
              <w:rPr>
                <w:rFonts w:ascii="Times New Roman" w:hAnsi="Times New Roman" w:cs="Times New Roman"/>
                <w:color w:val="FFFFFF" w:themeColor="background1"/>
                <w:lang w:val="en-US" w:eastAsia="en-AU"/>
              </w:rPr>
              <w:t>Official Departmental Response</w:t>
            </w:r>
          </w:p>
        </w:tc>
      </w:tr>
      <w:tr w:rsidR="000D5288" w:rsidRPr="007D4593" w14:paraId="50DB7793" w14:textId="7EDCAB9D" w:rsidTr="00CD11C9">
        <w:tc>
          <w:tcPr>
            <w:tcW w:w="5000" w:type="pct"/>
            <w:gridSpan w:val="4"/>
            <w:tcBorders>
              <w:top w:val="single" w:sz="8" w:space="0" w:color="FFFFFF"/>
              <w:left w:val="single" w:sz="8" w:space="0" w:color="FFFFFF"/>
              <w:bottom w:val="single" w:sz="8" w:space="0" w:color="FFFFFF"/>
              <w:right w:val="single" w:sz="4" w:space="0" w:color="auto"/>
            </w:tcBorders>
            <w:shd w:val="clear" w:color="auto" w:fill="9CC2E5" w:themeFill="accent1" w:themeFillTint="99"/>
          </w:tcPr>
          <w:p w14:paraId="30B2A7C8" w14:textId="2057235C" w:rsidR="000D5288" w:rsidRPr="007565D6" w:rsidRDefault="000D5288" w:rsidP="000D5288">
            <w:pPr>
              <w:spacing w:before="60"/>
              <w:jc w:val="center"/>
              <w:rPr>
                <w:rFonts w:ascii="Times New Roman" w:hAnsi="Times New Roman" w:cs="Times New Roman"/>
                <w:b/>
                <w:color w:val="auto"/>
                <w:lang w:val="en-US" w:eastAsia="en-AU"/>
              </w:rPr>
            </w:pPr>
            <w:bookmarkStart w:id="1" w:name="_Hlk136602281"/>
            <w:r>
              <w:rPr>
                <w:rFonts w:ascii="Times New Roman" w:hAnsi="Times New Roman" w:cs="Times New Roman"/>
                <w:b/>
                <w:color w:val="auto"/>
                <w:lang w:val="en-US" w:eastAsia="en-AU"/>
              </w:rPr>
              <w:t>Public Comment Summary on ADR 110/00 Hydrogen-Fuelled Vehicles Safety Related Performance</w:t>
            </w:r>
            <w:bookmarkEnd w:id="1"/>
          </w:p>
        </w:tc>
      </w:tr>
      <w:tr w:rsidR="00CD11C9" w:rsidRPr="007D4593" w14:paraId="0CA18A3B" w14:textId="77777777" w:rsidTr="00CD11C9">
        <w:tc>
          <w:tcPr>
            <w:tcW w:w="657" w:type="pct"/>
            <w:tcBorders>
              <w:top w:val="single" w:sz="8" w:space="0" w:color="FFFFFF"/>
              <w:left w:val="single" w:sz="8" w:space="0" w:color="FFFFFF"/>
              <w:bottom w:val="single" w:sz="8" w:space="0" w:color="FFFFFF"/>
              <w:right w:val="single" w:sz="8" w:space="0" w:color="FFFFFF"/>
            </w:tcBorders>
          </w:tcPr>
          <w:p w14:paraId="00C69221" w14:textId="77777777" w:rsidR="000D5288" w:rsidRPr="007D4593" w:rsidRDefault="000D5288" w:rsidP="00217CED">
            <w:pPr>
              <w:rPr>
                <w:rFonts w:ascii="Times New Roman" w:hAnsi="Times New Roman" w:cs="Times New Roman"/>
              </w:rPr>
            </w:pPr>
            <w:r w:rsidRPr="00B96218">
              <w:rPr>
                <w:rFonts w:ascii="Times New Roman" w:hAnsi="Times New Roman" w:cs="Times New Roman"/>
              </w:rPr>
              <w:t>Amy R</w:t>
            </w:r>
          </w:p>
        </w:tc>
        <w:tc>
          <w:tcPr>
            <w:tcW w:w="509" w:type="pct"/>
            <w:tcBorders>
              <w:top w:val="single" w:sz="8" w:space="0" w:color="FFFFFF"/>
              <w:left w:val="single" w:sz="8" w:space="0" w:color="FFFFFF"/>
              <w:bottom w:val="single" w:sz="8" w:space="0" w:color="FFFFFF"/>
              <w:right w:val="single" w:sz="8" w:space="0" w:color="FFFFFF"/>
            </w:tcBorders>
          </w:tcPr>
          <w:p w14:paraId="5CE0BB73" w14:textId="2A65C9FE" w:rsidR="000D5288" w:rsidRPr="007D4593" w:rsidRDefault="000D5288" w:rsidP="00217CED">
            <w:pPr>
              <w:jc w:val="center"/>
              <w:rPr>
                <w:rFonts w:ascii="Times New Roman" w:hAnsi="Times New Roman" w:cs="Times New Roman"/>
                <w:lang w:val="en-US" w:eastAsia="en-AU"/>
              </w:rPr>
            </w:pPr>
          </w:p>
        </w:tc>
        <w:tc>
          <w:tcPr>
            <w:tcW w:w="1575" w:type="pct"/>
            <w:tcBorders>
              <w:top w:val="single" w:sz="8" w:space="0" w:color="FFFFFF"/>
              <w:left w:val="single" w:sz="8" w:space="0" w:color="FFFFFF"/>
              <w:bottom w:val="single" w:sz="8" w:space="0" w:color="FFFFFF"/>
              <w:right w:val="single" w:sz="8" w:space="0" w:color="FFFFFF"/>
            </w:tcBorders>
          </w:tcPr>
          <w:p w14:paraId="34842536" w14:textId="77777777" w:rsidR="000D5288" w:rsidRPr="007D4593" w:rsidRDefault="000D5288" w:rsidP="003F3532">
            <w:pPr>
              <w:pStyle w:val="ListParagraph"/>
              <w:numPr>
                <w:ilvl w:val="0"/>
                <w:numId w:val="1"/>
              </w:numPr>
              <w:rPr>
                <w:rFonts w:ascii="Times New Roman" w:hAnsi="Times New Roman" w:cs="Times New Roman"/>
                <w:lang w:val="en-US" w:eastAsia="en-AU"/>
              </w:rPr>
            </w:pPr>
            <w:r w:rsidRPr="00F21C17">
              <w:rPr>
                <w:rFonts w:ascii="Times New Roman" w:hAnsi="Times New Roman" w:cs="Times New Roman"/>
                <w:lang w:val="en-US" w:eastAsia="en-AU"/>
              </w:rPr>
              <w:t>Raised the question of how these standards are better for climate change and the environment than petrol or diesel cars?</w:t>
            </w:r>
          </w:p>
        </w:tc>
        <w:tc>
          <w:tcPr>
            <w:tcW w:w="2258" w:type="pct"/>
            <w:tcBorders>
              <w:top w:val="single" w:sz="8" w:space="0" w:color="FFFFFF"/>
              <w:left w:val="single" w:sz="8" w:space="0" w:color="FFFFFF"/>
              <w:bottom w:val="single" w:sz="8" w:space="0" w:color="FFFFFF"/>
              <w:right w:val="single" w:sz="8" w:space="0" w:color="FFFFFF"/>
            </w:tcBorders>
          </w:tcPr>
          <w:p w14:paraId="5BF85409" w14:textId="1F569516" w:rsidR="000D5288" w:rsidRPr="001742D7" w:rsidRDefault="000D5288" w:rsidP="00D51357">
            <w:pPr>
              <w:pStyle w:val="ListParagraph"/>
              <w:numPr>
                <w:ilvl w:val="0"/>
                <w:numId w:val="48"/>
              </w:numPr>
              <w:rPr>
                <w:rFonts w:ascii="Times New Roman" w:hAnsi="Times New Roman" w:cs="Times New Roman"/>
                <w:lang w:val="en-US" w:eastAsia="en-AU"/>
              </w:rPr>
            </w:pPr>
            <w:r w:rsidRPr="001742D7">
              <w:rPr>
                <w:rFonts w:ascii="Times New Roman" w:hAnsi="Times New Roman" w:cs="Times New Roman"/>
                <w:lang w:val="en-US" w:eastAsia="en-AU"/>
              </w:rPr>
              <w:t xml:space="preserve">National road vehicle standards for safety, anti-theft and emissions. Introduction of these ADRs is not based on environmental change policy but they are expected to help achieve Net Zero with regard to tail pipe emissions. </w:t>
            </w:r>
          </w:p>
          <w:p w14:paraId="6F32001B" w14:textId="1B6A279B" w:rsidR="000D5288" w:rsidRPr="001742D7" w:rsidRDefault="000D5288" w:rsidP="001742D7">
            <w:pPr>
              <w:pStyle w:val="ListParagraph"/>
              <w:ind w:left="360"/>
              <w:rPr>
                <w:rFonts w:ascii="Times New Roman" w:hAnsi="Times New Roman" w:cs="Times New Roman"/>
                <w:lang w:val="en-US" w:eastAsia="en-AU"/>
              </w:rPr>
            </w:pPr>
            <w:r w:rsidRPr="001742D7">
              <w:rPr>
                <w:rFonts w:ascii="Times New Roman" w:hAnsi="Times New Roman" w:cs="Times New Roman"/>
                <w:lang w:val="en-US" w:eastAsia="en-AU"/>
              </w:rPr>
              <w:t xml:space="preserve">Additionally, recent studies have demonstrated benefits to the environment with the introduction of </w:t>
            </w:r>
            <w:r>
              <w:rPr>
                <w:rFonts w:ascii="Times New Roman" w:hAnsi="Times New Roman" w:cs="Times New Roman"/>
                <w:lang w:val="en-US" w:eastAsia="en-AU"/>
              </w:rPr>
              <w:t>hydrogen</w:t>
            </w:r>
            <w:r w:rsidRPr="001742D7">
              <w:rPr>
                <w:rFonts w:ascii="Times New Roman" w:hAnsi="Times New Roman" w:cs="Times New Roman"/>
                <w:lang w:val="en-US" w:eastAsia="en-AU"/>
              </w:rPr>
              <w:t xml:space="preserve"> vehicles.</w:t>
            </w:r>
            <w:r w:rsidRPr="001D0E98">
              <w:rPr>
                <w:rFonts w:ascii="Times New Roman" w:hAnsi="Times New Roman" w:cs="Times New Roman"/>
                <w:sz w:val="16"/>
                <w:szCs w:val="16"/>
                <w:lang w:val="en-US" w:eastAsia="en-AU"/>
              </w:rPr>
              <w:t xml:space="preserve"> </w:t>
            </w:r>
          </w:p>
          <w:p w14:paraId="15854B5B" w14:textId="77777777" w:rsidR="000D5288" w:rsidRDefault="00A072D2" w:rsidP="001742D7">
            <w:pPr>
              <w:pStyle w:val="ListParagraph"/>
              <w:ind w:left="360"/>
              <w:rPr>
                <w:rFonts w:ascii="Times New Roman" w:hAnsi="Times New Roman" w:cs="Times New Roman"/>
                <w:color w:val="0000FF"/>
                <w:sz w:val="16"/>
                <w:szCs w:val="16"/>
                <w:u w:val="single"/>
              </w:rPr>
            </w:pPr>
            <w:hyperlink r:id="rId7" w:history="1">
              <w:r w:rsidR="000D5288" w:rsidRPr="00803784">
                <w:rPr>
                  <w:rFonts w:ascii="Times New Roman" w:eastAsiaTheme="minorHAnsi" w:hAnsi="Times New Roman" w:cs="Times New Roman"/>
                  <w:color w:val="0000FF"/>
                  <w:sz w:val="16"/>
                  <w:szCs w:val="16"/>
                  <w:u w:val="single"/>
                </w:rPr>
                <w:t>Hydrogen vehicle information | Green Vehicle Guide</w:t>
              </w:r>
            </w:hyperlink>
          </w:p>
          <w:p w14:paraId="1E32E951" w14:textId="77777777" w:rsidR="000D5288" w:rsidRDefault="000D5288" w:rsidP="001742D7">
            <w:pPr>
              <w:pStyle w:val="ListParagraph"/>
              <w:ind w:left="360"/>
            </w:pPr>
          </w:p>
          <w:p w14:paraId="446B94AD" w14:textId="35A88CEB" w:rsidR="000D5288" w:rsidRPr="001D0E98" w:rsidRDefault="00A072D2" w:rsidP="001742D7">
            <w:pPr>
              <w:pStyle w:val="ListParagraph"/>
              <w:ind w:left="360"/>
              <w:rPr>
                <w:rFonts w:ascii="Times New Roman" w:hAnsi="Times New Roman" w:cs="Times New Roman"/>
                <w:lang w:val="en-US" w:eastAsia="en-AU"/>
              </w:rPr>
            </w:pPr>
            <w:hyperlink r:id="rId8" w:history="1">
              <w:r w:rsidR="000D5288" w:rsidRPr="001D0E98">
                <w:rPr>
                  <w:rFonts w:ascii="Times New Roman" w:eastAsiaTheme="minorHAnsi" w:hAnsi="Times New Roman" w:cs="Times New Roman"/>
                  <w:color w:val="0000FF"/>
                  <w:sz w:val="16"/>
                  <w:szCs w:val="16"/>
                  <w:u w:val="single"/>
                </w:rPr>
                <w:t>California's early transition to electric vehicles: Observed health and air quality co-benefits - ScienceDirect</w:t>
              </w:r>
            </w:hyperlink>
          </w:p>
          <w:p w14:paraId="6E338750" w14:textId="77777777" w:rsidR="000D5288" w:rsidRDefault="000D5288" w:rsidP="001D0E98">
            <w:pPr>
              <w:pStyle w:val="ListParagraph"/>
              <w:ind w:left="488"/>
              <w:rPr>
                <w:rFonts w:ascii="Times New Roman" w:eastAsiaTheme="minorHAnsi" w:hAnsi="Times New Roman" w:cs="Times New Roman"/>
                <w:sz w:val="16"/>
                <w:szCs w:val="16"/>
              </w:rPr>
            </w:pPr>
          </w:p>
          <w:p w14:paraId="4614CE2B" w14:textId="445F0A7D" w:rsidR="000D5288" w:rsidRPr="001742D7" w:rsidRDefault="00A072D2" w:rsidP="001742D7">
            <w:pPr>
              <w:pStyle w:val="ListParagraph"/>
              <w:ind w:left="360"/>
              <w:rPr>
                <w:rFonts w:ascii="Times New Roman" w:hAnsi="Times New Roman" w:cs="Times New Roman"/>
                <w:color w:val="0000FF"/>
                <w:sz w:val="16"/>
                <w:szCs w:val="16"/>
                <w:u w:val="single"/>
              </w:rPr>
            </w:pPr>
            <w:hyperlink r:id="rId9" w:history="1">
              <w:r w:rsidR="000D5288" w:rsidRPr="005C34C2">
                <w:rPr>
                  <w:rFonts w:ascii="Times New Roman" w:eastAsiaTheme="minorHAnsi" w:hAnsi="Times New Roman" w:cs="Times New Roman"/>
                  <w:color w:val="0000FF"/>
                  <w:sz w:val="16"/>
                  <w:szCs w:val="16"/>
                  <w:u w:val="single"/>
                </w:rPr>
                <w:t>How climate-friendly is an electric car? | University of Technology Sydney (uts.edu.au)</w:t>
              </w:r>
            </w:hyperlink>
          </w:p>
        </w:tc>
      </w:tr>
      <w:tr w:rsidR="00CD11C9" w:rsidRPr="007D4593" w14:paraId="478AAA03" w14:textId="77777777" w:rsidTr="00CD11C9">
        <w:tc>
          <w:tcPr>
            <w:tcW w:w="657" w:type="pct"/>
            <w:tcBorders>
              <w:top w:val="single" w:sz="8" w:space="0" w:color="FFFFFF"/>
              <w:left w:val="single" w:sz="8" w:space="0" w:color="FFFFFF"/>
              <w:bottom w:val="single" w:sz="8" w:space="0" w:color="FFFFFF"/>
              <w:right w:val="single" w:sz="8" w:space="0" w:color="FFFFFF"/>
            </w:tcBorders>
          </w:tcPr>
          <w:p w14:paraId="2C40AB0A" w14:textId="77777777" w:rsidR="000D5288" w:rsidRPr="00D1414C" w:rsidRDefault="000D5288" w:rsidP="007E5388">
            <w:pPr>
              <w:rPr>
                <w:rFonts w:ascii="Times New Roman" w:eastAsiaTheme="minorHAnsi" w:hAnsi="Times New Roman" w:cs="Times New Roman"/>
                <w:sz w:val="22"/>
                <w:szCs w:val="22"/>
              </w:rPr>
            </w:pPr>
            <w:r w:rsidRPr="00B96218">
              <w:rPr>
                <w:rFonts w:ascii="Times New Roman" w:eastAsiaTheme="minorHAnsi" w:hAnsi="Times New Roman" w:cs="Times New Roman"/>
                <w:sz w:val="22"/>
                <w:szCs w:val="22"/>
              </w:rPr>
              <w:t xml:space="preserve">Scott </w:t>
            </w:r>
            <w:proofErr w:type="spellStart"/>
            <w:r w:rsidRPr="00B96218">
              <w:rPr>
                <w:rFonts w:ascii="Times New Roman" w:eastAsiaTheme="minorHAnsi" w:hAnsi="Times New Roman" w:cs="Times New Roman"/>
                <w:sz w:val="22"/>
                <w:szCs w:val="22"/>
              </w:rPr>
              <w:t>Nargar</w:t>
            </w:r>
            <w:proofErr w:type="spellEnd"/>
          </w:p>
          <w:p w14:paraId="47EE5B8D" w14:textId="247A5FDF" w:rsidR="000D5288" w:rsidRPr="00BA591A" w:rsidRDefault="000D5288" w:rsidP="007E5388">
            <w:pPr>
              <w:rPr>
                <w:rFonts w:ascii="Times New Roman" w:hAnsi="Times New Roman" w:cs="Times New Roman"/>
              </w:rPr>
            </w:pPr>
            <w:r w:rsidRPr="00D1414C">
              <w:rPr>
                <w:rFonts w:ascii="Times New Roman" w:eastAsiaTheme="minorHAnsi" w:hAnsi="Times New Roman" w:cs="Times New Roman"/>
                <w:sz w:val="22"/>
                <w:szCs w:val="22"/>
              </w:rPr>
              <w:t>Hyundai Motor Company Australia (HMCA)</w:t>
            </w:r>
          </w:p>
        </w:tc>
        <w:tc>
          <w:tcPr>
            <w:tcW w:w="509" w:type="pct"/>
            <w:tcBorders>
              <w:top w:val="single" w:sz="8" w:space="0" w:color="FFFFFF"/>
              <w:left w:val="single" w:sz="8" w:space="0" w:color="FFFFFF"/>
              <w:bottom w:val="single" w:sz="8" w:space="0" w:color="FFFFFF"/>
              <w:right w:val="single" w:sz="8" w:space="0" w:color="FFFFFF"/>
            </w:tcBorders>
          </w:tcPr>
          <w:p w14:paraId="581DCF15" w14:textId="46D65D44" w:rsidR="000D5288" w:rsidRPr="00BA591A" w:rsidRDefault="000D5288" w:rsidP="00A84545">
            <w:pPr>
              <w:jc w:val="center"/>
              <w:rPr>
                <w:rFonts w:ascii="Times New Roman" w:hAnsi="Times New Roman" w:cs="Times New Roman"/>
                <w:lang w:val="en-US" w:eastAsia="en-AU"/>
              </w:rPr>
            </w:pPr>
            <w:r>
              <w:rPr>
                <w:rFonts w:ascii="Times New Roman" w:hAnsi="Times New Roman" w:cs="Times New Roman"/>
                <w:lang w:val="en-US" w:eastAsia="en-AU"/>
              </w:rPr>
              <w:t>Support if amended</w:t>
            </w:r>
          </w:p>
        </w:tc>
        <w:tc>
          <w:tcPr>
            <w:tcW w:w="1575" w:type="pct"/>
            <w:tcBorders>
              <w:top w:val="single" w:sz="8" w:space="0" w:color="FFFFFF"/>
              <w:left w:val="single" w:sz="8" w:space="0" w:color="FFFFFF"/>
              <w:bottom w:val="single" w:sz="8" w:space="0" w:color="FFFFFF"/>
              <w:right w:val="single" w:sz="8" w:space="0" w:color="FFFFFF"/>
            </w:tcBorders>
          </w:tcPr>
          <w:p w14:paraId="0A9E2FB3" w14:textId="77777777" w:rsidR="000D5288" w:rsidRPr="00A84545" w:rsidRDefault="000D5288" w:rsidP="00D51357">
            <w:pPr>
              <w:pStyle w:val="ListParagraph"/>
              <w:numPr>
                <w:ilvl w:val="0"/>
                <w:numId w:val="28"/>
              </w:numPr>
              <w:rPr>
                <w:rFonts w:ascii="Times New Roman" w:hAnsi="Times New Roman" w:cs="Times New Roman"/>
                <w:lang w:val="en-US" w:eastAsia="en-AU"/>
              </w:rPr>
            </w:pPr>
            <w:r w:rsidRPr="00A84545">
              <w:rPr>
                <w:rFonts w:ascii="Times New Roman" w:hAnsi="Times New Roman" w:cs="Times New Roman"/>
                <w:lang w:val="en-US" w:eastAsia="en-AU"/>
              </w:rPr>
              <w:t>Notes that Hyundai’s current NEXO model is certified to the UN Regulation No. 134/00 adopted in the ADR and EU Regulation 79/2009.</w:t>
            </w:r>
          </w:p>
          <w:p w14:paraId="71989C0C" w14:textId="7321B5C4" w:rsidR="000D5288" w:rsidRPr="00A84545" w:rsidRDefault="000D5288" w:rsidP="00D51357">
            <w:pPr>
              <w:pStyle w:val="ListParagraph"/>
              <w:numPr>
                <w:ilvl w:val="0"/>
                <w:numId w:val="28"/>
              </w:numPr>
              <w:rPr>
                <w:rFonts w:ascii="Times New Roman" w:hAnsi="Times New Roman" w:cs="Times New Roman"/>
                <w:lang w:val="en-US" w:eastAsia="en-AU"/>
              </w:rPr>
            </w:pPr>
            <w:r w:rsidRPr="00A84545">
              <w:rPr>
                <w:rFonts w:ascii="Times New Roman" w:hAnsi="Times New Roman" w:cs="Times New Roman"/>
                <w:lang w:val="en-US" w:eastAsia="en-AU"/>
              </w:rPr>
              <w:t>Requested that ADR 110/00 accept both UN R134/00 and UN R134/01 to minimize the administrative burden on manufacturers</w:t>
            </w:r>
            <w:r>
              <w:rPr>
                <w:rFonts w:ascii="Times New Roman" w:hAnsi="Times New Roman" w:cs="Times New Roman"/>
                <w:lang w:val="en-US" w:eastAsia="en-AU"/>
              </w:rPr>
              <w:t>,</w:t>
            </w:r>
            <w:r w:rsidRPr="00A84545">
              <w:rPr>
                <w:rFonts w:ascii="Times New Roman" w:hAnsi="Times New Roman" w:cs="Times New Roman"/>
                <w:lang w:val="en-US" w:eastAsia="en-AU"/>
              </w:rPr>
              <w:t xml:space="preserve"> noting that the difference between the series is only additional label requirements for </w:t>
            </w:r>
            <w:r>
              <w:rPr>
                <w:rFonts w:ascii="Times New Roman" w:hAnsi="Times New Roman" w:cs="Times New Roman"/>
                <w:lang w:val="en-US" w:eastAsia="en-AU"/>
              </w:rPr>
              <w:t>light and heavy omnibus, light and heavy goods</w:t>
            </w:r>
            <w:r w:rsidRPr="00A84545">
              <w:rPr>
                <w:rFonts w:ascii="Times New Roman" w:hAnsi="Times New Roman" w:cs="Times New Roman"/>
                <w:lang w:val="en-US" w:eastAsia="en-AU"/>
              </w:rPr>
              <w:t xml:space="preserve"> vehicles.</w:t>
            </w:r>
          </w:p>
        </w:tc>
        <w:tc>
          <w:tcPr>
            <w:tcW w:w="2258" w:type="pct"/>
            <w:tcBorders>
              <w:top w:val="single" w:sz="8" w:space="0" w:color="FFFFFF"/>
              <w:left w:val="single" w:sz="8" w:space="0" w:color="FFFFFF"/>
              <w:bottom w:val="single" w:sz="8" w:space="0" w:color="FFFFFF"/>
              <w:right w:val="single" w:sz="8" w:space="0" w:color="FFFFFF"/>
            </w:tcBorders>
          </w:tcPr>
          <w:p w14:paraId="115ACF88" w14:textId="77777777" w:rsidR="000D5288" w:rsidRDefault="000D5288" w:rsidP="00D51357">
            <w:pPr>
              <w:pStyle w:val="ListParagraph"/>
              <w:numPr>
                <w:ilvl w:val="0"/>
                <w:numId w:val="15"/>
              </w:numPr>
              <w:rPr>
                <w:rFonts w:ascii="Times New Roman" w:hAnsi="Times New Roman" w:cs="Times New Roman"/>
                <w:lang w:val="en-US" w:eastAsia="en-AU"/>
              </w:rPr>
            </w:pPr>
            <w:r>
              <w:rPr>
                <w:rFonts w:ascii="Times New Roman" w:hAnsi="Times New Roman" w:cs="Times New Roman"/>
                <w:lang w:val="en-US" w:eastAsia="en-AU"/>
              </w:rPr>
              <w:t>Noted.</w:t>
            </w:r>
          </w:p>
          <w:p w14:paraId="620AA4E9" w14:textId="7206FAE9" w:rsidR="000D5288" w:rsidRDefault="000D5288" w:rsidP="00D51357">
            <w:pPr>
              <w:pStyle w:val="ListParagraph"/>
              <w:numPr>
                <w:ilvl w:val="0"/>
                <w:numId w:val="15"/>
              </w:numPr>
              <w:rPr>
                <w:rFonts w:ascii="Times New Roman" w:hAnsi="Times New Roman" w:cs="Times New Roman"/>
                <w:lang w:val="en-US" w:eastAsia="en-AU"/>
              </w:rPr>
            </w:pPr>
            <w:r>
              <w:rPr>
                <w:rFonts w:ascii="Times New Roman" w:hAnsi="Times New Roman" w:cs="Times New Roman"/>
                <w:lang w:val="en-US" w:eastAsia="en-AU"/>
              </w:rPr>
              <w:t>Noted, m</w:t>
            </w:r>
            <w:r w:rsidRPr="00264257">
              <w:rPr>
                <w:rFonts w:ascii="Times New Roman" w:hAnsi="Times New Roman" w:cs="Times New Roman"/>
                <w:lang w:val="en-US" w:eastAsia="en-AU"/>
              </w:rPr>
              <w:t>ajority of consultation feedback is for current series of amendments to be in place. This includes UN R134/01</w:t>
            </w:r>
            <w:r>
              <w:rPr>
                <w:rFonts w:ascii="Times New Roman" w:hAnsi="Times New Roman" w:cs="Times New Roman"/>
                <w:lang w:val="en-US" w:eastAsia="en-AU"/>
              </w:rPr>
              <w:t>.</w:t>
            </w:r>
          </w:p>
        </w:tc>
      </w:tr>
      <w:tr w:rsidR="00CD11C9" w:rsidRPr="007D4593" w14:paraId="76D91C0F" w14:textId="77777777" w:rsidTr="00CD11C9">
        <w:tc>
          <w:tcPr>
            <w:tcW w:w="657" w:type="pct"/>
            <w:tcBorders>
              <w:top w:val="single" w:sz="8" w:space="0" w:color="FFFFFF"/>
              <w:left w:val="single" w:sz="8" w:space="0" w:color="FFFFFF"/>
              <w:bottom w:val="single" w:sz="8" w:space="0" w:color="FFFFFF"/>
              <w:right w:val="single" w:sz="8" w:space="0" w:color="FFFFFF"/>
            </w:tcBorders>
          </w:tcPr>
          <w:p w14:paraId="2DA92290" w14:textId="77777777" w:rsidR="000D5288" w:rsidRPr="003B77FE" w:rsidRDefault="000D5288" w:rsidP="003B77FE">
            <w:pPr>
              <w:rPr>
                <w:rFonts w:ascii="Times New Roman" w:eastAsiaTheme="minorHAnsi" w:hAnsi="Times New Roman" w:cs="Times New Roman"/>
                <w:sz w:val="22"/>
                <w:szCs w:val="22"/>
              </w:rPr>
            </w:pPr>
            <w:r w:rsidRPr="003B77FE">
              <w:rPr>
                <w:rFonts w:ascii="Times New Roman" w:eastAsiaTheme="minorHAnsi" w:hAnsi="Times New Roman" w:cs="Times New Roman"/>
                <w:sz w:val="22"/>
                <w:szCs w:val="22"/>
              </w:rPr>
              <w:t>Rob Sharp</w:t>
            </w:r>
          </w:p>
          <w:p w14:paraId="4C9FB040" w14:textId="284B71BB" w:rsidR="000D5288" w:rsidRPr="00E1330F" w:rsidRDefault="000D5288" w:rsidP="003B77FE">
            <w:pPr>
              <w:rPr>
                <w:rFonts w:ascii="Times New Roman" w:hAnsi="Times New Roman" w:cs="Times New Roman"/>
                <w:highlight w:val="yellow"/>
              </w:rPr>
            </w:pPr>
            <w:r w:rsidRPr="003B77FE">
              <w:rPr>
                <w:rFonts w:ascii="Times New Roman" w:eastAsiaTheme="minorHAnsi" w:hAnsi="Times New Roman" w:cs="Times New Roman"/>
                <w:sz w:val="22"/>
                <w:szCs w:val="22"/>
              </w:rPr>
              <w:t>Transport for NSW</w:t>
            </w:r>
            <w:r>
              <w:rPr>
                <w:rFonts w:ascii="Times New Roman" w:eastAsiaTheme="minorHAnsi" w:hAnsi="Times New Roman" w:cs="Times New Roman"/>
                <w:sz w:val="22"/>
                <w:szCs w:val="22"/>
              </w:rPr>
              <w:t xml:space="preserve"> </w:t>
            </w:r>
            <w:r>
              <w:rPr>
                <w:rFonts w:ascii="Times New Roman" w:hAnsi="Times New Roman" w:cs="Times New Roman"/>
              </w:rPr>
              <w:t>(TfNSW)</w:t>
            </w:r>
          </w:p>
        </w:tc>
        <w:tc>
          <w:tcPr>
            <w:tcW w:w="509" w:type="pct"/>
            <w:tcBorders>
              <w:top w:val="single" w:sz="8" w:space="0" w:color="FFFFFF"/>
              <w:left w:val="single" w:sz="8" w:space="0" w:color="FFFFFF"/>
              <w:bottom w:val="single" w:sz="8" w:space="0" w:color="FFFFFF"/>
              <w:right w:val="single" w:sz="8" w:space="0" w:color="FFFFFF"/>
            </w:tcBorders>
          </w:tcPr>
          <w:p w14:paraId="25395B19" w14:textId="77777777" w:rsidR="000D5288" w:rsidRPr="00E1330F" w:rsidRDefault="000D5288" w:rsidP="00B84F6A">
            <w:pPr>
              <w:jc w:val="center"/>
              <w:rPr>
                <w:rFonts w:ascii="Times New Roman" w:hAnsi="Times New Roman" w:cs="Times New Roman"/>
                <w:highlight w:val="yellow"/>
                <w:lang w:val="en-US" w:eastAsia="en-AU"/>
              </w:rPr>
            </w:pPr>
            <w:r w:rsidRPr="003B77FE">
              <w:rPr>
                <w:rFonts w:ascii="Times New Roman" w:hAnsi="Times New Roman" w:cs="Times New Roman"/>
                <w:lang w:val="en-US" w:eastAsia="en-AU"/>
              </w:rPr>
              <w:t>Support</w:t>
            </w:r>
          </w:p>
        </w:tc>
        <w:tc>
          <w:tcPr>
            <w:tcW w:w="1575" w:type="pct"/>
            <w:tcBorders>
              <w:top w:val="single" w:sz="8" w:space="0" w:color="FFFFFF"/>
              <w:left w:val="single" w:sz="8" w:space="0" w:color="FFFFFF"/>
              <w:bottom w:val="single" w:sz="8" w:space="0" w:color="FFFFFF"/>
              <w:right w:val="single" w:sz="8" w:space="0" w:color="FFFFFF"/>
            </w:tcBorders>
          </w:tcPr>
          <w:p w14:paraId="24688B60" w14:textId="77777777" w:rsidR="000D5288" w:rsidRPr="00052365" w:rsidRDefault="000D5288" w:rsidP="003F3532">
            <w:pPr>
              <w:pStyle w:val="ListParagraph"/>
              <w:numPr>
                <w:ilvl w:val="0"/>
                <w:numId w:val="2"/>
              </w:numPr>
              <w:rPr>
                <w:rFonts w:ascii="Times New Roman" w:hAnsi="Times New Roman" w:cs="Times New Roman"/>
                <w:lang w:val="en-US" w:eastAsia="en-AU"/>
              </w:rPr>
            </w:pPr>
            <w:r w:rsidRPr="00052365">
              <w:rPr>
                <w:rFonts w:ascii="Times New Roman" w:hAnsi="Times New Roman" w:cs="Times New Roman"/>
                <w:lang w:val="en-US" w:eastAsia="en-AU"/>
              </w:rPr>
              <w:t>Suggested it is preferable to use a more general term which applies to all types of vehicles which may be powered by hydrogen, such as “hydrogen vehicle”.</w:t>
            </w:r>
          </w:p>
          <w:p w14:paraId="59B7ABAE" w14:textId="77777777" w:rsidR="000D5288" w:rsidRPr="00052365" w:rsidRDefault="000D5288" w:rsidP="003F3532">
            <w:pPr>
              <w:pStyle w:val="ListParagraph"/>
              <w:numPr>
                <w:ilvl w:val="0"/>
                <w:numId w:val="2"/>
              </w:numPr>
              <w:rPr>
                <w:rFonts w:ascii="Times New Roman" w:hAnsi="Times New Roman" w:cs="Times New Roman"/>
                <w:lang w:val="en-US" w:eastAsia="en-AU"/>
              </w:rPr>
            </w:pPr>
            <w:r w:rsidRPr="00052365">
              <w:rPr>
                <w:rFonts w:ascii="Times New Roman" w:hAnsi="Times New Roman" w:cs="Times New Roman"/>
                <w:lang w:val="en-US" w:eastAsia="en-AU"/>
              </w:rPr>
              <w:lastRenderedPageBreak/>
              <w:t>Suggested a diagram to avoid confusion and to clarify the requirements in clause 7.2.4.1 which specifies hydrogen storage system requirements.</w:t>
            </w:r>
          </w:p>
          <w:p w14:paraId="764208D3" w14:textId="77777777" w:rsidR="000D5288" w:rsidRPr="00052365" w:rsidRDefault="000D5288" w:rsidP="003F3532">
            <w:pPr>
              <w:pStyle w:val="ListParagraph"/>
              <w:numPr>
                <w:ilvl w:val="0"/>
                <w:numId w:val="2"/>
              </w:numPr>
              <w:rPr>
                <w:rFonts w:ascii="Times New Roman" w:hAnsi="Times New Roman" w:cs="Times New Roman"/>
                <w:lang w:val="en-US" w:eastAsia="en-AU"/>
              </w:rPr>
            </w:pPr>
            <w:r w:rsidRPr="00052365">
              <w:rPr>
                <w:rFonts w:ascii="Times New Roman" w:hAnsi="Times New Roman" w:cs="Times New Roman"/>
                <w:lang w:val="en-US" w:eastAsia="en-AU"/>
              </w:rPr>
              <w:t>Suggested that guidance on suitable materials for construction of hydrogen containers be referenced in the ADR. Example, external guidelines in Vehicle Standards Bulletins or Australian Standards.</w:t>
            </w:r>
          </w:p>
          <w:p w14:paraId="5E5985F4" w14:textId="77777777" w:rsidR="000D5288" w:rsidRPr="00052365" w:rsidRDefault="000D5288" w:rsidP="003F3532">
            <w:pPr>
              <w:pStyle w:val="ListParagraph"/>
              <w:numPr>
                <w:ilvl w:val="0"/>
                <w:numId w:val="2"/>
              </w:numPr>
              <w:rPr>
                <w:rFonts w:ascii="Times New Roman" w:hAnsi="Times New Roman" w:cs="Times New Roman"/>
                <w:lang w:val="en-US" w:eastAsia="en-AU"/>
              </w:rPr>
            </w:pPr>
            <w:r w:rsidRPr="00052365">
              <w:rPr>
                <w:rFonts w:ascii="Times New Roman" w:hAnsi="Times New Roman" w:cs="Times New Roman"/>
                <w:lang w:val="en-US" w:eastAsia="en-AU"/>
              </w:rPr>
              <w:t>Raised that the Australian market does not have comprehensive testing facilities for locally manufactured vehicles including modified and Individual Constructed Vehicles (ICVs) to meet technical requirements in the ADR.</w:t>
            </w:r>
          </w:p>
          <w:p w14:paraId="2B74D2DC" w14:textId="44C821A3" w:rsidR="000D5288" w:rsidRPr="00052365" w:rsidRDefault="000D5288" w:rsidP="003F3532">
            <w:pPr>
              <w:pStyle w:val="ListParagraph"/>
              <w:numPr>
                <w:ilvl w:val="0"/>
                <w:numId w:val="2"/>
              </w:numPr>
              <w:rPr>
                <w:rFonts w:ascii="Times New Roman" w:hAnsi="Times New Roman" w:cs="Times New Roman"/>
                <w:lang w:val="en-US" w:eastAsia="en-AU"/>
              </w:rPr>
            </w:pPr>
            <w:r w:rsidRPr="00052365">
              <w:rPr>
                <w:rFonts w:ascii="Times New Roman" w:hAnsi="Times New Roman" w:cs="Times New Roman"/>
                <w:lang w:val="en-US" w:eastAsia="en-AU"/>
              </w:rPr>
              <w:t xml:space="preserve">Proposes that the Commonwealth review </w:t>
            </w:r>
            <w:r>
              <w:rPr>
                <w:rFonts w:ascii="Times New Roman" w:hAnsi="Times New Roman" w:cs="Times New Roman"/>
                <w:lang w:val="en-US" w:eastAsia="en-AU"/>
              </w:rPr>
              <w:t>(Vehicle Standards Bulletin (</w:t>
            </w:r>
            <w:r w:rsidRPr="00052365">
              <w:rPr>
                <w:rFonts w:ascii="Times New Roman" w:hAnsi="Times New Roman" w:cs="Times New Roman"/>
                <w:lang w:val="en-US" w:eastAsia="en-AU"/>
              </w:rPr>
              <w:t>VSB</w:t>
            </w:r>
            <w:r>
              <w:rPr>
                <w:rFonts w:ascii="Times New Roman" w:hAnsi="Times New Roman" w:cs="Times New Roman"/>
                <w:lang w:val="en-US" w:eastAsia="en-AU"/>
              </w:rPr>
              <w:t>)</w:t>
            </w:r>
            <w:r w:rsidRPr="00052365">
              <w:rPr>
                <w:rFonts w:ascii="Times New Roman" w:hAnsi="Times New Roman" w:cs="Times New Roman"/>
                <w:lang w:val="en-US" w:eastAsia="en-AU"/>
              </w:rPr>
              <w:t xml:space="preserve"> 14 to ensure it reflects contemporary developments in hydrogen vehicle manufacturing to accommodate light vehicle modifications and ICVs.</w:t>
            </w:r>
          </w:p>
          <w:p w14:paraId="3BCA0702" w14:textId="5102AF29" w:rsidR="000D5288" w:rsidRPr="00052365" w:rsidRDefault="000D5288" w:rsidP="003F3532">
            <w:pPr>
              <w:pStyle w:val="ListParagraph"/>
              <w:numPr>
                <w:ilvl w:val="0"/>
                <w:numId w:val="2"/>
              </w:numPr>
              <w:rPr>
                <w:rFonts w:ascii="Times New Roman" w:hAnsi="Times New Roman" w:cs="Times New Roman"/>
                <w:lang w:val="en-US" w:eastAsia="en-AU"/>
              </w:rPr>
            </w:pPr>
            <w:r w:rsidRPr="00052365">
              <w:rPr>
                <w:rFonts w:ascii="Times New Roman" w:hAnsi="Times New Roman" w:cs="Times New Roman"/>
                <w:lang w:val="en-US" w:eastAsia="en-AU"/>
              </w:rPr>
              <w:t xml:space="preserve">Raised that ADR 110/00 impacts </w:t>
            </w:r>
            <w:r w:rsidRPr="003954FA">
              <w:rPr>
                <w:rFonts w:ascii="Times New Roman" w:hAnsi="Times New Roman" w:cs="Times New Roman"/>
                <w:lang w:val="en-US" w:eastAsia="en-AU"/>
              </w:rPr>
              <w:t>on NSW Authorized Inspection Scheme (AIS). Requested that the Commonwealth assist in increasing skills and training, including funding and support. This will enable third-party AIS providers to capably assess ongoing ADR compliance.</w:t>
            </w:r>
          </w:p>
        </w:tc>
        <w:tc>
          <w:tcPr>
            <w:tcW w:w="2258" w:type="pct"/>
            <w:tcBorders>
              <w:top w:val="single" w:sz="8" w:space="0" w:color="FFFFFF"/>
              <w:left w:val="single" w:sz="8" w:space="0" w:color="FFFFFF"/>
              <w:bottom w:val="single" w:sz="8" w:space="0" w:color="FFFFFF"/>
              <w:right w:val="single" w:sz="8" w:space="0" w:color="FFFFFF"/>
            </w:tcBorders>
          </w:tcPr>
          <w:p w14:paraId="601EA4CF" w14:textId="159F13F2" w:rsidR="000D5288" w:rsidRDefault="000D5288" w:rsidP="00D51357">
            <w:pPr>
              <w:pStyle w:val="ListParagraph"/>
              <w:numPr>
                <w:ilvl w:val="0"/>
                <w:numId w:val="17"/>
              </w:numPr>
              <w:ind w:left="364" w:hanging="284"/>
              <w:rPr>
                <w:rFonts w:ascii="Times New Roman" w:eastAsiaTheme="minorEastAsia" w:hAnsi="Times New Roman" w:cs="Times New Roman"/>
                <w:bCs/>
              </w:rPr>
            </w:pPr>
            <w:r w:rsidRPr="00052365">
              <w:rPr>
                <w:rFonts w:ascii="Times New Roman" w:eastAsiaTheme="minorEastAsia" w:hAnsi="Times New Roman" w:cs="Times New Roman"/>
                <w:bCs/>
              </w:rPr>
              <w:lastRenderedPageBreak/>
              <w:t xml:space="preserve">Noted. The terms and definitions in the ADR will align with that defined in the UN </w:t>
            </w:r>
            <w:r>
              <w:rPr>
                <w:rFonts w:ascii="Times New Roman" w:eastAsiaTheme="minorEastAsia" w:hAnsi="Times New Roman" w:cs="Times New Roman"/>
                <w:bCs/>
              </w:rPr>
              <w:t>r</w:t>
            </w:r>
            <w:r w:rsidRPr="00052365">
              <w:rPr>
                <w:rFonts w:ascii="Times New Roman" w:eastAsiaTheme="minorEastAsia" w:hAnsi="Times New Roman" w:cs="Times New Roman"/>
                <w:bCs/>
              </w:rPr>
              <w:t>egulation</w:t>
            </w:r>
            <w:r>
              <w:rPr>
                <w:rFonts w:ascii="Times New Roman" w:eastAsiaTheme="minorEastAsia" w:hAnsi="Times New Roman" w:cs="Times New Roman"/>
                <w:bCs/>
              </w:rPr>
              <w:t>.</w:t>
            </w:r>
          </w:p>
          <w:p w14:paraId="3B65C4A3" w14:textId="7A8664BB" w:rsidR="000D5288" w:rsidRPr="00052365" w:rsidRDefault="000D5288" w:rsidP="00D51357">
            <w:pPr>
              <w:pStyle w:val="ListParagraph"/>
              <w:numPr>
                <w:ilvl w:val="0"/>
                <w:numId w:val="17"/>
              </w:numPr>
              <w:ind w:left="364" w:hanging="284"/>
              <w:rPr>
                <w:rFonts w:ascii="Times New Roman" w:eastAsiaTheme="minorEastAsia" w:hAnsi="Times New Roman" w:cs="Times New Roman"/>
                <w:bCs/>
              </w:rPr>
            </w:pPr>
            <w:r w:rsidRPr="00052365">
              <w:rPr>
                <w:rFonts w:ascii="Times New Roman" w:hAnsi="Times New Roman" w:cs="Times New Roman"/>
                <w:lang w:val="en-US" w:eastAsia="en-AU"/>
              </w:rPr>
              <w:t xml:space="preserve">Noted. Additional diagrams in the ADR or UN </w:t>
            </w:r>
            <w:r>
              <w:rPr>
                <w:rFonts w:ascii="Times New Roman" w:hAnsi="Times New Roman" w:cs="Times New Roman"/>
                <w:lang w:val="en-US" w:eastAsia="en-AU"/>
              </w:rPr>
              <w:t>r</w:t>
            </w:r>
            <w:r w:rsidRPr="00052365">
              <w:rPr>
                <w:rFonts w:ascii="Times New Roman" w:hAnsi="Times New Roman" w:cs="Times New Roman"/>
                <w:lang w:val="en-US" w:eastAsia="en-AU"/>
              </w:rPr>
              <w:t xml:space="preserve">egulation compilation would deviate from agreed international standards development. </w:t>
            </w:r>
            <w:r w:rsidRPr="00052365">
              <w:rPr>
                <w:rFonts w:ascii="Times New Roman" w:hAnsi="Times New Roman" w:cs="Times New Roman"/>
                <w:lang w:val="en-US" w:eastAsia="en-AU"/>
              </w:rPr>
              <w:lastRenderedPageBreak/>
              <w:t>Clause 7.2.4.1 specifies “</w:t>
            </w:r>
            <w:r w:rsidRPr="00052365">
              <w:rPr>
                <w:rFonts w:ascii="Times New Roman" w:hAnsi="Times New Roman" w:cs="Times New Roman"/>
                <w:i/>
                <w:lang w:val="en-US" w:eastAsia="en-AU"/>
              </w:rPr>
              <w:t>The container shall be mounted in a position which is rearward of a vertical plane perpendicular to the center line of the vehicle and located 420 mm rearward from the front edge of the vehicle.</w:t>
            </w:r>
            <w:r w:rsidRPr="00052365">
              <w:rPr>
                <w:rFonts w:ascii="Times New Roman" w:hAnsi="Times New Roman" w:cs="Times New Roman"/>
                <w:lang w:val="en-US" w:eastAsia="en-AU"/>
              </w:rPr>
              <w:t xml:space="preserve">” This clause has been agreed on at the UN Working Groups in </w:t>
            </w:r>
            <w:r>
              <w:rPr>
                <w:rFonts w:ascii="Times New Roman" w:hAnsi="Times New Roman" w:cs="Times New Roman"/>
                <w:lang w:val="en-US" w:eastAsia="en-AU"/>
              </w:rPr>
              <w:t>agreement</w:t>
            </w:r>
            <w:r w:rsidRPr="00052365">
              <w:rPr>
                <w:rFonts w:ascii="Times New Roman" w:hAnsi="Times New Roman" w:cs="Times New Roman"/>
                <w:lang w:val="en-US" w:eastAsia="en-AU"/>
              </w:rPr>
              <w:t xml:space="preserve"> with manufacturers and other Contracting Parties. The Department’s view is that this clause is clear for technical staff reading the standard</w:t>
            </w:r>
            <w:r>
              <w:rPr>
                <w:rFonts w:ascii="Times New Roman" w:hAnsi="Times New Roman" w:cs="Times New Roman"/>
                <w:lang w:val="en-US" w:eastAsia="en-AU"/>
              </w:rPr>
              <w:t>.</w:t>
            </w:r>
          </w:p>
          <w:p w14:paraId="03B30C95" w14:textId="77777777" w:rsidR="000D5288" w:rsidRPr="00B66222" w:rsidRDefault="000D5288" w:rsidP="00D51357">
            <w:pPr>
              <w:pStyle w:val="ListParagraph"/>
              <w:numPr>
                <w:ilvl w:val="0"/>
                <w:numId w:val="17"/>
              </w:numPr>
              <w:ind w:left="364"/>
              <w:rPr>
                <w:rFonts w:ascii="Times New Roman" w:eastAsiaTheme="minorEastAsia" w:hAnsi="Times New Roman" w:cs="Times New Roman"/>
                <w:bCs/>
              </w:rPr>
            </w:pPr>
            <w:r w:rsidRPr="00052365">
              <w:rPr>
                <w:rFonts w:ascii="Times New Roman" w:hAnsi="Times New Roman" w:cs="Times New Roman"/>
                <w:lang w:val="en-US" w:eastAsia="en-AU"/>
              </w:rPr>
              <w:t xml:space="preserve">The ADRs are performance based and so are the UN Regulations. Material selection for the compressed hydrogen storage system is for the manufacturer to determine based on the testing </w:t>
            </w:r>
            <w:r>
              <w:rPr>
                <w:rFonts w:ascii="Times New Roman" w:hAnsi="Times New Roman" w:cs="Times New Roman"/>
                <w:lang w:val="en-US" w:eastAsia="en-AU"/>
              </w:rPr>
              <w:t xml:space="preserve">and durability </w:t>
            </w:r>
            <w:r w:rsidRPr="00052365">
              <w:rPr>
                <w:rFonts w:ascii="Times New Roman" w:hAnsi="Times New Roman" w:cs="Times New Roman"/>
                <w:lang w:val="en-US" w:eastAsia="en-AU"/>
              </w:rPr>
              <w:t>requirements</w:t>
            </w:r>
            <w:r>
              <w:rPr>
                <w:rFonts w:ascii="Times New Roman" w:hAnsi="Times New Roman" w:cs="Times New Roman"/>
                <w:lang w:val="en-US" w:eastAsia="en-AU"/>
              </w:rPr>
              <w:t>.</w:t>
            </w:r>
          </w:p>
          <w:p w14:paraId="1A30196C" w14:textId="2CC1535F" w:rsidR="000D5288" w:rsidRPr="00B66222" w:rsidRDefault="000D5288" w:rsidP="00D51357">
            <w:pPr>
              <w:pStyle w:val="ListParagraph"/>
              <w:numPr>
                <w:ilvl w:val="0"/>
                <w:numId w:val="17"/>
              </w:numPr>
              <w:ind w:left="364"/>
              <w:rPr>
                <w:rFonts w:ascii="Times New Roman" w:eastAsiaTheme="minorEastAsia" w:hAnsi="Times New Roman" w:cs="Times New Roman"/>
                <w:bCs/>
              </w:rPr>
            </w:pPr>
            <w:r w:rsidRPr="00B66222">
              <w:rPr>
                <w:rFonts w:ascii="Times New Roman" w:hAnsi="Times New Roman" w:cs="Times New Roman"/>
                <w:lang w:val="en-US" w:eastAsia="en-AU"/>
              </w:rPr>
              <w:t>Noted. The ADR allows for exemptions which are clearly set out and in line with any exemptions in the UN regulations. These have been consulted on separately with stakeholders to implement the recommended option.</w:t>
            </w:r>
            <w:r>
              <w:rPr>
                <w:rFonts w:ascii="Times New Roman" w:hAnsi="Times New Roman" w:cs="Times New Roman"/>
                <w:lang w:val="en-US" w:eastAsia="en-AU"/>
              </w:rPr>
              <w:t xml:space="preserve"> </w:t>
            </w:r>
            <w:r w:rsidRPr="00B66222">
              <w:rPr>
                <w:rFonts w:ascii="Times New Roman" w:hAnsi="Times New Roman" w:cs="Times New Roman"/>
                <w:lang w:val="en-US" w:eastAsia="en-AU"/>
              </w:rPr>
              <w:t xml:space="preserve">Further exemptions may be given according to section 19(3) of the </w:t>
            </w:r>
            <w:r w:rsidRPr="00B66222">
              <w:rPr>
                <w:rFonts w:ascii="Times New Roman" w:hAnsi="Times New Roman" w:cs="Times New Roman"/>
                <w:i/>
                <w:lang w:val="en-US" w:eastAsia="en-AU"/>
              </w:rPr>
              <w:t xml:space="preserve">RVS Rules </w:t>
            </w:r>
            <w:r w:rsidRPr="00B66222">
              <w:rPr>
                <w:rFonts w:ascii="Times New Roman" w:hAnsi="Times New Roman" w:cs="Times New Roman"/>
                <w:lang w:val="en-US" w:eastAsia="en-AU"/>
              </w:rPr>
              <w:t>2019</w:t>
            </w:r>
            <w:r w:rsidRPr="00B66222">
              <w:rPr>
                <w:rFonts w:ascii="Times New Roman" w:hAnsi="Times New Roman" w:cs="Times New Roman"/>
                <w:i/>
                <w:lang w:val="en-US" w:eastAsia="en-AU"/>
              </w:rPr>
              <w:t xml:space="preserve"> </w:t>
            </w:r>
            <w:r w:rsidRPr="00B66222">
              <w:rPr>
                <w:rFonts w:ascii="Times New Roman" w:hAnsi="Times New Roman" w:cs="Times New Roman"/>
                <w:lang w:val="en-US" w:eastAsia="en-AU"/>
              </w:rPr>
              <w:t>for ICVs that comply with the ADRs to an extent that makes them suitable for use on a public road in Australia</w:t>
            </w:r>
            <w:r w:rsidRPr="00B66222">
              <w:rPr>
                <w:rFonts w:ascii="Times New Roman" w:eastAsiaTheme="minorHAnsi" w:hAnsi="Times New Roman" w:cs="Times New Roman"/>
                <w:lang w:val="en-US" w:eastAsia="en-AU"/>
              </w:rPr>
              <w:t>.</w:t>
            </w:r>
          </w:p>
          <w:p w14:paraId="5F5329FB" w14:textId="1A6D5BB2" w:rsidR="000D5288" w:rsidRPr="00052365" w:rsidRDefault="000D5288" w:rsidP="00D51357">
            <w:pPr>
              <w:pStyle w:val="ListParagraph"/>
              <w:numPr>
                <w:ilvl w:val="0"/>
                <w:numId w:val="17"/>
              </w:numPr>
              <w:ind w:left="364"/>
              <w:rPr>
                <w:rFonts w:ascii="Times New Roman" w:eastAsiaTheme="minorEastAsia" w:hAnsi="Times New Roman" w:cs="Times New Roman"/>
                <w:bCs/>
              </w:rPr>
            </w:pPr>
            <w:r w:rsidRPr="00256791">
              <w:rPr>
                <w:rFonts w:ascii="Times New Roman" w:hAnsi="Times New Roman" w:cs="Times New Roman"/>
                <w:lang w:val="en-US" w:eastAsia="en-AU"/>
              </w:rPr>
              <w:t xml:space="preserve">The ADRs apply to new vehicles when first supplied to market. Modification of vehicles in-service and their compliance is a matter for the state and territory road authorities. Furthermore, there may be a role for members of the Australian Motor Vehicle Certification Board (AMVCB) in consultation with industry, user groups, government agencies and individuals with an interest in modifying light vehicles and/or building ICVs to consider. The </w:t>
            </w:r>
            <w:r w:rsidRPr="00256791">
              <w:rPr>
                <w:rFonts w:ascii="Times New Roman" w:hAnsi="Times New Roman" w:cs="Times New Roman"/>
                <w:i/>
                <w:lang w:val="en-US" w:eastAsia="en-AU"/>
              </w:rPr>
              <w:t>National Code of Practice for Light Vehicle Construction and Modification</w:t>
            </w:r>
            <w:r w:rsidRPr="00256791">
              <w:rPr>
                <w:rFonts w:ascii="Times New Roman" w:hAnsi="Times New Roman" w:cs="Times New Roman"/>
                <w:lang w:val="en-US" w:eastAsia="en-AU"/>
              </w:rPr>
              <w:t xml:space="preserve"> (VSB 14) has been prepared by members of the AMVCB in consultation with industry. The Department provides the website as a service only</w:t>
            </w:r>
            <w:r>
              <w:rPr>
                <w:rFonts w:ascii="Times New Roman" w:hAnsi="Times New Roman" w:cs="Times New Roman"/>
                <w:lang w:val="en-US" w:eastAsia="en-AU"/>
              </w:rPr>
              <w:t>.</w:t>
            </w:r>
          </w:p>
          <w:p w14:paraId="4EB04055" w14:textId="17E58F30" w:rsidR="000D5288" w:rsidRPr="00256791" w:rsidRDefault="000D5288" w:rsidP="00D51357">
            <w:pPr>
              <w:pStyle w:val="ListParagraph"/>
              <w:numPr>
                <w:ilvl w:val="0"/>
                <w:numId w:val="17"/>
              </w:numPr>
              <w:ind w:left="364"/>
              <w:rPr>
                <w:rFonts w:ascii="Times New Roman" w:hAnsi="Times New Roman" w:cs="Times New Roman"/>
              </w:rPr>
            </w:pPr>
            <w:r w:rsidRPr="00256791">
              <w:rPr>
                <w:rFonts w:ascii="Times New Roman" w:hAnsi="Times New Roman" w:cs="Times New Roman"/>
              </w:rPr>
              <w:t>As hydrogen and electric vehicles are a transitional alternative drive system, it will allow industry, state and territory governments sufficient time to implement resources, training and public education during this uptake phase. The Australian Government “</w:t>
            </w:r>
            <w:r>
              <w:rPr>
                <w:rFonts w:ascii="Times New Roman" w:hAnsi="Times New Roman" w:cs="Times New Roman"/>
              </w:rPr>
              <w:t xml:space="preserve">Australia’s </w:t>
            </w:r>
            <w:r>
              <w:rPr>
                <w:rFonts w:ascii="Times New Roman" w:hAnsi="Times New Roman" w:cs="Times New Roman"/>
              </w:rPr>
              <w:lastRenderedPageBreak/>
              <w:t>National Hydrogen Strategy</w:t>
            </w:r>
            <w:r w:rsidRPr="00256791">
              <w:rPr>
                <w:rFonts w:ascii="Times New Roman" w:hAnsi="Times New Roman" w:cs="Times New Roman"/>
              </w:rPr>
              <w:t xml:space="preserve">” identifies a significant opportunity to develop new jobs and skills in Australia with regard to </w:t>
            </w:r>
            <w:r>
              <w:rPr>
                <w:rFonts w:ascii="Times New Roman" w:hAnsi="Times New Roman" w:cs="Times New Roman"/>
              </w:rPr>
              <w:t>hydrogen</w:t>
            </w:r>
            <w:r w:rsidRPr="00256791">
              <w:rPr>
                <w:rFonts w:ascii="Times New Roman" w:hAnsi="Times New Roman" w:cs="Times New Roman"/>
              </w:rPr>
              <w:t xml:space="preserve"> education and awareness.</w:t>
            </w:r>
          </w:p>
          <w:p w14:paraId="64600358" w14:textId="6D9F5BB5" w:rsidR="000D5288" w:rsidRPr="00052365" w:rsidRDefault="00A072D2" w:rsidP="000B2151">
            <w:pPr>
              <w:pStyle w:val="ListParagraph"/>
              <w:ind w:left="364"/>
              <w:rPr>
                <w:rFonts w:ascii="Times New Roman" w:eastAsiaTheme="minorEastAsia" w:hAnsi="Times New Roman" w:cs="Times New Roman"/>
                <w:bCs/>
              </w:rPr>
            </w:pPr>
            <w:hyperlink r:id="rId10" w:history="1">
              <w:r w:rsidR="000D5288" w:rsidRPr="00AD1863">
                <w:rPr>
                  <w:rFonts w:ascii="Times New Roman" w:eastAsiaTheme="minorHAnsi" w:hAnsi="Times New Roman" w:cs="Times New Roman"/>
                  <w:color w:val="0000FF"/>
                  <w:sz w:val="16"/>
                  <w:szCs w:val="16"/>
                  <w:u w:val="single"/>
                </w:rPr>
                <w:t>Australia’s National Hydrogen Strategy - DCCEEW</w:t>
              </w:r>
            </w:hyperlink>
            <w:r w:rsidR="000D5288">
              <w:rPr>
                <w:rFonts w:ascii="Times New Roman" w:hAnsi="Times New Roman" w:cs="Times New Roman"/>
              </w:rPr>
              <w:t xml:space="preserve"> or </w:t>
            </w:r>
            <w:hyperlink r:id="rId11" w:history="1">
              <w:r w:rsidR="000D5288" w:rsidRPr="00052365">
                <w:rPr>
                  <w:rFonts w:ascii="Times New Roman" w:eastAsiaTheme="minorHAnsi" w:hAnsi="Times New Roman" w:cs="Times New Roman"/>
                  <w:color w:val="0000FF"/>
                  <w:sz w:val="16"/>
                  <w:szCs w:val="16"/>
                  <w:u w:val="single"/>
                </w:rPr>
                <w:t>Australia's National Hydrogen Strategy (dcceew.gov.au)</w:t>
              </w:r>
            </w:hyperlink>
          </w:p>
          <w:p w14:paraId="44A43759" w14:textId="56764222" w:rsidR="000D5288" w:rsidRPr="00052365" w:rsidRDefault="000D5288" w:rsidP="00DF7F8F">
            <w:pPr>
              <w:pStyle w:val="ListParagraph"/>
              <w:ind w:left="365"/>
              <w:rPr>
                <w:rFonts w:ascii="Times New Roman" w:eastAsiaTheme="minorEastAsia" w:hAnsi="Times New Roman" w:cs="Times New Roman"/>
                <w:bCs/>
              </w:rPr>
            </w:pPr>
          </w:p>
        </w:tc>
      </w:tr>
      <w:tr w:rsidR="00CD11C9" w:rsidRPr="007D4593" w14:paraId="5A8CE703" w14:textId="77777777" w:rsidTr="00CD11C9">
        <w:tc>
          <w:tcPr>
            <w:tcW w:w="657" w:type="pct"/>
            <w:tcBorders>
              <w:top w:val="single" w:sz="8" w:space="0" w:color="FFFFFF"/>
              <w:left w:val="single" w:sz="8" w:space="0" w:color="FFFFFF"/>
              <w:bottom w:val="single" w:sz="8" w:space="0" w:color="FFFFFF"/>
              <w:right w:val="single" w:sz="8" w:space="0" w:color="FFFFFF"/>
            </w:tcBorders>
          </w:tcPr>
          <w:p w14:paraId="02166B35" w14:textId="77777777" w:rsidR="000D5288" w:rsidRPr="004C677C" w:rsidRDefault="000D5288" w:rsidP="004C677C">
            <w:pPr>
              <w:rPr>
                <w:rFonts w:ascii="Times New Roman" w:eastAsiaTheme="minorHAnsi" w:hAnsi="Times New Roman" w:cs="Times New Roman"/>
                <w:sz w:val="22"/>
                <w:szCs w:val="22"/>
              </w:rPr>
            </w:pPr>
            <w:r w:rsidRPr="00B96218">
              <w:rPr>
                <w:rFonts w:ascii="Times New Roman" w:eastAsiaTheme="minorHAnsi" w:hAnsi="Times New Roman" w:cs="Times New Roman"/>
                <w:sz w:val="22"/>
                <w:szCs w:val="22"/>
              </w:rPr>
              <w:lastRenderedPageBreak/>
              <w:t>Michael Ross</w:t>
            </w:r>
          </w:p>
          <w:p w14:paraId="311B7831" w14:textId="3530A49B" w:rsidR="000D5288" w:rsidRPr="00E1330F" w:rsidRDefault="000D5288" w:rsidP="004C677C">
            <w:pPr>
              <w:rPr>
                <w:rFonts w:ascii="Times New Roman" w:hAnsi="Times New Roman" w:cs="Times New Roman"/>
              </w:rPr>
            </w:pPr>
            <w:r w:rsidRPr="004C677C">
              <w:rPr>
                <w:rFonts w:ascii="Times New Roman" w:eastAsiaTheme="minorHAnsi" w:hAnsi="Times New Roman" w:cs="Times New Roman"/>
                <w:sz w:val="22"/>
                <w:szCs w:val="22"/>
              </w:rPr>
              <w:t>National Heavy Vehicle Regulator (NHVR)</w:t>
            </w:r>
          </w:p>
        </w:tc>
        <w:tc>
          <w:tcPr>
            <w:tcW w:w="509" w:type="pct"/>
            <w:tcBorders>
              <w:top w:val="single" w:sz="8" w:space="0" w:color="FFFFFF"/>
              <w:left w:val="single" w:sz="8" w:space="0" w:color="FFFFFF"/>
              <w:bottom w:val="single" w:sz="8" w:space="0" w:color="FFFFFF"/>
              <w:right w:val="single" w:sz="8" w:space="0" w:color="FFFFFF"/>
            </w:tcBorders>
          </w:tcPr>
          <w:p w14:paraId="05DEC287" w14:textId="77777777" w:rsidR="000D5288" w:rsidRPr="00E1330F"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4DD96D8A" w14:textId="77777777" w:rsidR="000D5288" w:rsidRPr="00E54AF5" w:rsidRDefault="000D5288" w:rsidP="003F3532">
            <w:pPr>
              <w:pStyle w:val="ListParagraph"/>
              <w:numPr>
                <w:ilvl w:val="0"/>
                <w:numId w:val="3"/>
              </w:numPr>
              <w:ind w:left="447" w:hanging="425"/>
              <w:rPr>
                <w:rFonts w:ascii="Times New Roman" w:hAnsi="Times New Roman" w:cs="Times New Roman"/>
                <w:lang w:val="en-US" w:eastAsia="en-AU"/>
              </w:rPr>
            </w:pPr>
            <w:r w:rsidRPr="00E54AF5">
              <w:rPr>
                <w:rFonts w:ascii="Times New Roman" w:hAnsi="Times New Roman" w:cs="Times New Roman"/>
                <w:lang w:val="en-US" w:eastAsia="en-AU"/>
              </w:rPr>
              <w:t>Supportive of the proposed draft of ADR 110/00.</w:t>
            </w:r>
          </w:p>
          <w:p w14:paraId="294C1F53" w14:textId="77777777" w:rsidR="000D5288" w:rsidRPr="00C7768E" w:rsidRDefault="000D5288" w:rsidP="003F3532">
            <w:pPr>
              <w:pStyle w:val="ListParagraph"/>
              <w:numPr>
                <w:ilvl w:val="0"/>
                <w:numId w:val="3"/>
              </w:numPr>
              <w:ind w:left="447" w:hanging="425"/>
              <w:rPr>
                <w:rFonts w:ascii="Times New Roman" w:hAnsi="Times New Roman" w:cs="Times New Roman"/>
                <w:lang w:val="en-US" w:eastAsia="en-AU"/>
              </w:rPr>
            </w:pPr>
            <w:r w:rsidRPr="00245B58">
              <w:rPr>
                <w:rFonts w:ascii="Times New Roman" w:hAnsi="Times New Roman" w:cs="Times New Roman"/>
                <w:lang w:val="en-US" w:eastAsia="en-AU"/>
              </w:rPr>
              <w:t>Asked if the conformity of production requirements that will be applied in Australia be as stringent as those in UN R134? If not are there any notable risks that should be considered?</w:t>
            </w:r>
          </w:p>
        </w:tc>
        <w:tc>
          <w:tcPr>
            <w:tcW w:w="2258" w:type="pct"/>
            <w:tcBorders>
              <w:top w:val="single" w:sz="8" w:space="0" w:color="FFFFFF"/>
              <w:left w:val="single" w:sz="8" w:space="0" w:color="FFFFFF"/>
              <w:bottom w:val="single" w:sz="8" w:space="0" w:color="FFFFFF"/>
              <w:right w:val="single" w:sz="8" w:space="0" w:color="FFFFFF"/>
            </w:tcBorders>
          </w:tcPr>
          <w:p w14:paraId="22352091" w14:textId="77777777" w:rsidR="000D5288" w:rsidRDefault="000D5288" w:rsidP="00D51357">
            <w:pPr>
              <w:pStyle w:val="ListParagraph"/>
              <w:numPr>
                <w:ilvl w:val="0"/>
                <w:numId w:val="18"/>
              </w:numPr>
              <w:ind w:left="488"/>
              <w:rPr>
                <w:rFonts w:ascii="Times New Roman" w:hAnsi="Times New Roman" w:cs="Times New Roman"/>
                <w:lang w:val="en-US" w:eastAsia="en-AU"/>
              </w:rPr>
            </w:pPr>
            <w:r>
              <w:rPr>
                <w:rFonts w:ascii="Times New Roman" w:hAnsi="Times New Roman" w:cs="Times New Roman"/>
                <w:lang w:val="en-US" w:eastAsia="en-AU"/>
              </w:rPr>
              <w:t>Noted.</w:t>
            </w:r>
          </w:p>
          <w:p w14:paraId="007AB195" w14:textId="2AAFC627" w:rsidR="000D5288" w:rsidRDefault="000D5288" w:rsidP="00D51357">
            <w:pPr>
              <w:pStyle w:val="ListParagraph"/>
              <w:numPr>
                <w:ilvl w:val="0"/>
                <w:numId w:val="18"/>
              </w:numPr>
              <w:ind w:left="488"/>
              <w:rPr>
                <w:rFonts w:ascii="Times New Roman" w:hAnsi="Times New Roman" w:cs="Times New Roman"/>
                <w:lang w:val="en-US" w:eastAsia="en-AU"/>
              </w:rPr>
            </w:pPr>
            <w:r w:rsidRPr="00245B58">
              <w:rPr>
                <w:rFonts w:ascii="Times New Roman" w:hAnsi="Times New Roman" w:cs="Times New Roman"/>
                <w:lang w:val="en-US" w:eastAsia="en-AU"/>
              </w:rPr>
              <w:t>Noted.</w:t>
            </w:r>
            <w:r>
              <w:rPr>
                <w:rFonts w:ascii="Times New Roman" w:hAnsi="Times New Roman" w:cs="Times New Roman"/>
                <w:lang w:val="en-US" w:eastAsia="en-AU"/>
              </w:rPr>
              <w:t xml:space="preserve"> For applicants that comply with ADR 110/00 by way of an approval to UN Regulation No. 134, conformity of production will be managed through the UN 1958 Agreement processes. For applicants that comply with the technical requirements set out in the ADR, conformity of production will be managed in accordance with RVSA arrangements. We do not expect significant risks associated with either option.</w:t>
            </w:r>
          </w:p>
        </w:tc>
      </w:tr>
      <w:tr w:rsidR="00CD11C9" w:rsidRPr="007D4593" w14:paraId="40F23CB6" w14:textId="77777777" w:rsidTr="00CD11C9">
        <w:tc>
          <w:tcPr>
            <w:tcW w:w="657" w:type="pct"/>
            <w:tcBorders>
              <w:top w:val="single" w:sz="8" w:space="0" w:color="FFFFFF"/>
              <w:left w:val="single" w:sz="8" w:space="0" w:color="FFFFFF"/>
              <w:bottom w:val="single" w:sz="8" w:space="0" w:color="FFFFFF"/>
              <w:right w:val="single" w:sz="8" w:space="0" w:color="FFFFFF"/>
            </w:tcBorders>
          </w:tcPr>
          <w:p w14:paraId="6A875752" w14:textId="77777777" w:rsidR="000D5288" w:rsidRDefault="000D5288" w:rsidP="00D62530">
            <w:pPr>
              <w:rPr>
                <w:rFonts w:ascii="Times New Roman" w:hAnsi="Times New Roman" w:cs="Times New Roman"/>
              </w:rPr>
            </w:pPr>
            <w:r w:rsidRPr="00B96218">
              <w:rPr>
                <w:rFonts w:ascii="Times New Roman" w:hAnsi="Times New Roman" w:cs="Times New Roman"/>
              </w:rPr>
              <w:t>Murray Newton</w:t>
            </w:r>
          </w:p>
          <w:p w14:paraId="652DE0F1" w14:textId="2627AACF" w:rsidR="000D5288" w:rsidRPr="00786C8F" w:rsidRDefault="000D5288" w:rsidP="00D62530">
            <w:pPr>
              <w:rPr>
                <w:rFonts w:ascii="Times New Roman" w:hAnsi="Times New Roman" w:cs="Times New Roman"/>
              </w:rPr>
            </w:pPr>
            <w:r>
              <w:rPr>
                <w:rFonts w:ascii="Times New Roman" w:hAnsi="Times New Roman" w:cs="Times New Roman"/>
              </w:rPr>
              <w:t>Hyzon Motors</w:t>
            </w:r>
          </w:p>
        </w:tc>
        <w:tc>
          <w:tcPr>
            <w:tcW w:w="509" w:type="pct"/>
            <w:tcBorders>
              <w:top w:val="single" w:sz="8" w:space="0" w:color="FFFFFF"/>
              <w:left w:val="single" w:sz="8" w:space="0" w:color="FFFFFF"/>
              <w:bottom w:val="single" w:sz="8" w:space="0" w:color="FFFFFF"/>
              <w:right w:val="single" w:sz="8" w:space="0" w:color="FFFFFF"/>
            </w:tcBorders>
          </w:tcPr>
          <w:p w14:paraId="2C1B7CEE" w14:textId="77777777" w:rsidR="000D5288" w:rsidRPr="00786C8F"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7E5D9F86" w14:textId="6C001022" w:rsidR="000D5288" w:rsidRPr="00F75C3C" w:rsidRDefault="000D5288" w:rsidP="00D51357">
            <w:pPr>
              <w:pStyle w:val="ListParagraph"/>
              <w:numPr>
                <w:ilvl w:val="0"/>
                <w:numId w:val="4"/>
              </w:numPr>
              <w:ind w:left="444" w:hanging="425"/>
              <w:rPr>
                <w:rFonts w:ascii="Times New Roman" w:hAnsi="Times New Roman" w:cs="Times New Roman"/>
                <w:lang w:val="en-US" w:eastAsia="en-AU"/>
              </w:rPr>
            </w:pPr>
            <w:r w:rsidRPr="00F75C3C">
              <w:rPr>
                <w:rFonts w:ascii="Times New Roman" w:hAnsi="Times New Roman" w:cs="Times New Roman"/>
                <w:lang w:val="en-US" w:eastAsia="en-AU"/>
              </w:rPr>
              <w:t xml:space="preserve">Supported </w:t>
            </w:r>
            <w:r>
              <w:rPr>
                <w:rFonts w:ascii="Times New Roman" w:hAnsi="Times New Roman" w:cs="Times New Roman"/>
                <w:lang w:val="en-US" w:eastAsia="en-AU"/>
              </w:rPr>
              <w:t>ADR 110/00</w:t>
            </w:r>
            <w:r w:rsidRPr="00F75C3C">
              <w:rPr>
                <w:rFonts w:ascii="Times New Roman" w:hAnsi="Times New Roman" w:cs="Times New Roman"/>
                <w:lang w:val="en-US" w:eastAsia="en-AU"/>
              </w:rPr>
              <w:t>.</w:t>
            </w:r>
          </w:p>
          <w:p w14:paraId="6BF825F0" w14:textId="0320049D" w:rsidR="000D5288" w:rsidRPr="00F75C3C" w:rsidRDefault="000D5288" w:rsidP="00D51357">
            <w:pPr>
              <w:pStyle w:val="ListParagraph"/>
              <w:numPr>
                <w:ilvl w:val="0"/>
                <w:numId w:val="4"/>
              </w:numPr>
              <w:ind w:left="444" w:hanging="425"/>
              <w:rPr>
                <w:rFonts w:ascii="Times New Roman" w:hAnsi="Times New Roman" w:cs="Times New Roman"/>
                <w:lang w:val="en-US" w:eastAsia="en-AU"/>
              </w:rPr>
            </w:pPr>
            <w:r w:rsidRPr="00F75C3C">
              <w:rPr>
                <w:rFonts w:ascii="Times New Roman" w:hAnsi="Times New Roman" w:cs="Times New Roman"/>
                <w:lang w:val="en-US" w:eastAsia="en-AU"/>
              </w:rPr>
              <w:t>Requested that provisions be made for alternatives to destructive testing in Appendix A clause 7.2. Suggested the Department consider the following recommendations as alternative provisions to mandating destructive testing:</w:t>
            </w:r>
          </w:p>
          <w:p w14:paraId="2D5A6330" w14:textId="61D79A32" w:rsidR="000D5288" w:rsidRPr="00F75C3C" w:rsidRDefault="000D5288" w:rsidP="00D51357">
            <w:pPr>
              <w:pStyle w:val="ListParagraph"/>
              <w:numPr>
                <w:ilvl w:val="0"/>
                <w:numId w:val="29"/>
              </w:numPr>
              <w:rPr>
                <w:rFonts w:ascii="Times New Roman" w:hAnsi="Times New Roman" w:cs="Times New Roman"/>
                <w:lang w:val="en-US" w:eastAsia="en-AU"/>
              </w:rPr>
            </w:pPr>
            <w:r w:rsidRPr="00F75C3C">
              <w:rPr>
                <w:rFonts w:ascii="Times New Roman" w:hAnsi="Times New Roman" w:cs="Times New Roman"/>
                <w:lang w:val="en-US" w:eastAsia="en-AU"/>
              </w:rPr>
              <w:t>The allowance of component-based approval to satisfy tests 7.2, 7.2.1 and 7.2.2. This would allow for major fuel system components (Compressed Hydrogen Storage System (CHSS), Thermally-activated Pressure Relief Device (TPRD), Check Valve, Automatic Shut-Off Valve, and associated leakage sensors) that already carry a component type approval.</w:t>
            </w:r>
          </w:p>
          <w:p w14:paraId="35948835" w14:textId="100BBCFB" w:rsidR="000D5288" w:rsidRPr="00F75C3C" w:rsidRDefault="000D5288" w:rsidP="00D51357">
            <w:pPr>
              <w:pStyle w:val="ListParagraph"/>
              <w:numPr>
                <w:ilvl w:val="0"/>
                <w:numId w:val="29"/>
              </w:numPr>
              <w:rPr>
                <w:rFonts w:ascii="Times New Roman" w:hAnsi="Times New Roman" w:cs="Times New Roman"/>
                <w:lang w:val="en-US" w:eastAsia="en-AU"/>
              </w:rPr>
            </w:pPr>
            <w:r w:rsidRPr="00F75C3C">
              <w:rPr>
                <w:rFonts w:ascii="Times New Roman" w:hAnsi="Times New Roman" w:cs="Times New Roman"/>
                <w:lang w:val="en-US" w:eastAsia="en-AU"/>
              </w:rPr>
              <w:lastRenderedPageBreak/>
              <w:t>Simulation based alternative to testing in clause 7.2 and 7.2.3. This would include a computer simulation-based alternative to post-crash container displacement.</w:t>
            </w:r>
          </w:p>
        </w:tc>
        <w:tc>
          <w:tcPr>
            <w:tcW w:w="2258" w:type="pct"/>
            <w:tcBorders>
              <w:top w:val="single" w:sz="8" w:space="0" w:color="FFFFFF"/>
              <w:left w:val="single" w:sz="8" w:space="0" w:color="FFFFFF"/>
              <w:bottom w:val="single" w:sz="8" w:space="0" w:color="FFFFFF"/>
              <w:right w:val="single" w:sz="8" w:space="0" w:color="FFFFFF"/>
            </w:tcBorders>
          </w:tcPr>
          <w:p w14:paraId="343691F3" w14:textId="77777777" w:rsidR="000D5288" w:rsidRDefault="000D5288" w:rsidP="00D51357">
            <w:pPr>
              <w:pStyle w:val="ListParagraph"/>
              <w:numPr>
                <w:ilvl w:val="0"/>
                <w:numId w:val="19"/>
              </w:numPr>
              <w:ind w:left="480"/>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3039B557" w14:textId="1C5A31B8" w:rsidR="000D5288" w:rsidRDefault="000D5288" w:rsidP="00D51357">
            <w:pPr>
              <w:pStyle w:val="ListParagraph"/>
              <w:numPr>
                <w:ilvl w:val="0"/>
                <w:numId w:val="19"/>
              </w:numPr>
              <w:ind w:left="480"/>
              <w:rPr>
                <w:rFonts w:ascii="Times New Roman" w:hAnsi="Times New Roman" w:cs="Times New Roman"/>
                <w:lang w:val="en-US" w:eastAsia="en-AU"/>
              </w:rPr>
            </w:pPr>
            <w:r w:rsidRPr="00F75C3C">
              <w:rPr>
                <w:rFonts w:ascii="Times New Roman" w:hAnsi="Times New Roman" w:cs="Times New Roman"/>
                <w:lang w:val="en-US" w:eastAsia="en-AU"/>
              </w:rPr>
              <w:t>Noted.</w:t>
            </w:r>
            <w:r>
              <w:rPr>
                <w:rFonts w:ascii="Times New Roman" w:hAnsi="Times New Roman" w:cs="Times New Roman"/>
                <w:lang w:val="en-US" w:eastAsia="en-AU"/>
              </w:rPr>
              <w:t xml:space="preserve"> Crash testing requirements do not apply to heavy vehicles. For heavy vehicles the fuel system shall instead be subject to the relevant alternative accelerations outlined in clause 7.2. Discussions on simulation-based testing and their validation methods for passive safety related UN regulations are in progress at the relevant UN working group. The Department will continue to monitor these developments.</w:t>
            </w:r>
          </w:p>
        </w:tc>
      </w:tr>
      <w:tr w:rsidR="00CD11C9" w:rsidRPr="007D4593" w14:paraId="47AA10FC" w14:textId="77777777" w:rsidTr="00CD11C9">
        <w:tc>
          <w:tcPr>
            <w:tcW w:w="657" w:type="pct"/>
            <w:tcBorders>
              <w:top w:val="single" w:sz="8" w:space="0" w:color="FFFFFF"/>
              <w:left w:val="single" w:sz="8" w:space="0" w:color="FFFFFF"/>
              <w:bottom w:val="single" w:sz="8" w:space="0" w:color="FFFFFF"/>
              <w:right w:val="single" w:sz="8" w:space="0" w:color="FFFFFF"/>
            </w:tcBorders>
          </w:tcPr>
          <w:p w14:paraId="280FDE65" w14:textId="77777777" w:rsidR="000D5288" w:rsidRDefault="000D5288" w:rsidP="00050B9D">
            <w:pPr>
              <w:rPr>
                <w:rFonts w:ascii="Times New Roman" w:hAnsi="Times New Roman" w:cs="Times New Roman"/>
              </w:rPr>
            </w:pPr>
            <w:r w:rsidRPr="00B96218">
              <w:rPr>
                <w:rFonts w:ascii="Times New Roman" w:hAnsi="Times New Roman" w:cs="Times New Roman"/>
              </w:rPr>
              <w:t>Rickman Smith</w:t>
            </w:r>
          </w:p>
          <w:p w14:paraId="03D39F16" w14:textId="5AD096E2" w:rsidR="000D5288" w:rsidRPr="007D4593" w:rsidRDefault="000D5288" w:rsidP="00050B9D">
            <w:pPr>
              <w:rPr>
                <w:rFonts w:ascii="Times New Roman" w:hAnsi="Times New Roman" w:cs="Times New Roman"/>
              </w:rPr>
            </w:pPr>
            <w:r>
              <w:rPr>
                <w:rFonts w:ascii="Times New Roman" w:hAnsi="Times New Roman" w:cs="Times New Roman"/>
              </w:rPr>
              <w:t>Government of South Australia. Department of Infrastructure and Transport</w:t>
            </w:r>
          </w:p>
        </w:tc>
        <w:tc>
          <w:tcPr>
            <w:tcW w:w="509" w:type="pct"/>
            <w:tcBorders>
              <w:top w:val="single" w:sz="8" w:space="0" w:color="FFFFFF"/>
              <w:left w:val="single" w:sz="8" w:space="0" w:color="FFFFFF"/>
              <w:bottom w:val="single" w:sz="8" w:space="0" w:color="FFFFFF"/>
              <w:right w:val="single" w:sz="8" w:space="0" w:color="FFFFFF"/>
            </w:tcBorders>
          </w:tcPr>
          <w:p w14:paraId="688AD306" w14:textId="4A96687F" w:rsidR="000D5288" w:rsidRPr="007D4593"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507F05E4" w14:textId="6F6601C8" w:rsidR="000D5288" w:rsidRPr="00AD395E" w:rsidRDefault="000D5288" w:rsidP="00D51357">
            <w:pPr>
              <w:pStyle w:val="ListParagraph"/>
              <w:numPr>
                <w:ilvl w:val="0"/>
                <w:numId w:val="5"/>
              </w:numPr>
              <w:ind w:left="444"/>
              <w:rPr>
                <w:rFonts w:ascii="Times New Roman" w:hAnsi="Times New Roman" w:cs="Times New Roman"/>
                <w:lang w:val="en-US" w:eastAsia="en-AU"/>
              </w:rPr>
            </w:pPr>
            <w:r>
              <w:rPr>
                <w:rFonts w:ascii="Times New Roman" w:hAnsi="Times New Roman" w:cs="Times New Roman"/>
                <w:lang w:val="en-US" w:eastAsia="en-AU"/>
              </w:rPr>
              <w:t>Supported the draft ADR.</w:t>
            </w:r>
          </w:p>
          <w:p w14:paraId="30CE8AB0" w14:textId="0C888079" w:rsidR="000D5288" w:rsidRPr="0003524E" w:rsidRDefault="000D5288" w:rsidP="00D51357">
            <w:pPr>
              <w:pStyle w:val="ListParagraph"/>
              <w:numPr>
                <w:ilvl w:val="0"/>
                <w:numId w:val="5"/>
              </w:numPr>
              <w:ind w:left="444"/>
              <w:rPr>
                <w:rFonts w:ascii="Times New Roman" w:hAnsi="Times New Roman" w:cs="Times New Roman"/>
                <w:lang w:val="en-US" w:eastAsia="en-AU"/>
              </w:rPr>
            </w:pPr>
            <w:r w:rsidRPr="00E53EAB">
              <w:rPr>
                <w:rFonts w:ascii="Times New Roman" w:hAnsi="Times New Roman" w:cs="Times New Roman"/>
                <w:lang w:val="en-US" w:eastAsia="en-AU"/>
              </w:rPr>
              <w:t xml:space="preserve">Provided a detailed submission relating to Nominal Working Pressure (NWP), including temperature related tests, system pressures and component dependability. In addition, requested the Department engage with stakeholders on creating an Australian Standard (AS) to address issues with </w:t>
            </w:r>
            <w:r>
              <w:rPr>
                <w:rFonts w:ascii="Times New Roman" w:hAnsi="Times New Roman" w:cs="Times New Roman"/>
                <w:lang w:val="en-US" w:eastAsia="en-AU"/>
              </w:rPr>
              <w:t>Hydrogen Fuel Cell Vehicle (</w:t>
            </w:r>
            <w:r w:rsidRPr="00E53EAB">
              <w:rPr>
                <w:rFonts w:ascii="Times New Roman" w:hAnsi="Times New Roman" w:cs="Times New Roman"/>
                <w:lang w:val="en-US" w:eastAsia="en-AU"/>
              </w:rPr>
              <w:t>HFCV</w:t>
            </w:r>
            <w:r>
              <w:rPr>
                <w:rFonts w:ascii="Times New Roman" w:hAnsi="Times New Roman" w:cs="Times New Roman"/>
                <w:lang w:val="en-US" w:eastAsia="en-AU"/>
              </w:rPr>
              <w:t>)</w:t>
            </w:r>
            <w:r w:rsidRPr="00E53EAB">
              <w:rPr>
                <w:rFonts w:ascii="Times New Roman" w:hAnsi="Times New Roman" w:cs="Times New Roman"/>
                <w:lang w:val="en-US" w:eastAsia="en-AU"/>
              </w:rPr>
              <w:t xml:space="preserve"> components for the local market.</w:t>
            </w:r>
          </w:p>
        </w:tc>
        <w:tc>
          <w:tcPr>
            <w:tcW w:w="2258" w:type="pct"/>
            <w:tcBorders>
              <w:top w:val="single" w:sz="8" w:space="0" w:color="FFFFFF"/>
              <w:left w:val="single" w:sz="8" w:space="0" w:color="FFFFFF"/>
              <w:bottom w:val="single" w:sz="8" w:space="0" w:color="FFFFFF"/>
              <w:right w:val="single" w:sz="8" w:space="0" w:color="FFFFFF"/>
            </w:tcBorders>
          </w:tcPr>
          <w:p w14:paraId="12B45484" w14:textId="4E9E1F8A" w:rsidR="000D5288" w:rsidRPr="00AD395E" w:rsidRDefault="000D5288" w:rsidP="00D51357">
            <w:pPr>
              <w:pStyle w:val="ListParagraph"/>
              <w:numPr>
                <w:ilvl w:val="0"/>
                <w:numId w:val="20"/>
              </w:numPr>
              <w:ind w:left="372"/>
              <w:rPr>
                <w:rFonts w:ascii="Times New Roman" w:hAnsi="Times New Roman" w:cs="Times New Roman"/>
                <w:lang w:val="en-US" w:eastAsia="en-AU"/>
              </w:rPr>
            </w:pPr>
            <w:r w:rsidRPr="00AD395E">
              <w:rPr>
                <w:rFonts w:ascii="Times New Roman" w:hAnsi="Times New Roman" w:cs="Times New Roman"/>
                <w:lang w:val="en-US" w:eastAsia="en-AU"/>
              </w:rPr>
              <w:t>Noted.</w:t>
            </w:r>
          </w:p>
          <w:p w14:paraId="52DEC77F" w14:textId="77777777" w:rsidR="000D5288" w:rsidRPr="00E53EAB" w:rsidRDefault="000D5288" w:rsidP="00D51357">
            <w:pPr>
              <w:pStyle w:val="ListParagraph"/>
              <w:numPr>
                <w:ilvl w:val="0"/>
                <w:numId w:val="20"/>
              </w:numPr>
              <w:ind w:left="372" w:hanging="372"/>
              <w:rPr>
                <w:rFonts w:ascii="Times New Roman" w:hAnsi="Times New Roman" w:cs="Times New Roman"/>
                <w:lang w:val="en-US" w:eastAsia="en-AU"/>
              </w:rPr>
            </w:pPr>
            <w:r w:rsidRPr="00E53EAB">
              <w:rPr>
                <w:rFonts w:ascii="Times New Roman" w:eastAsiaTheme="minorEastAsia" w:hAnsi="Times New Roman" w:cs="Times New Roman"/>
                <w:bCs/>
              </w:rPr>
              <w:t>All new compressed hydrogen storage systems produced for on-road vehicle service shall have an NWP of 70 MPa or less and a service life of 15 years or less.</w:t>
            </w:r>
          </w:p>
          <w:p w14:paraId="28B6B70B" w14:textId="65539743" w:rsidR="000D5288" w:rsidRPr="00E53EAB" w:rsidRDefault="000D5288" w:rsidP="00E53EAB">
            <w:pPr>
              <w:pStyle w:val="ListParagraph"/>
              <w:ind w:left="372"/>
              <w:rPr>
                <w:rFonts w:ascii="Times New Roman" w:hAnsi="Times New Roman" w:cs="Times New Roman"/>
                <w:lang w:val="en-US" w:eastAsia="en-AU"/>
              </w:rPr>
            </w:pPr>
            <w:r w:rsidRPr="00E53EAB">
              <w:rPr>
                <w:rFonts w:ascii="Times New Roman" w:eastAsiaTheme="minorEastAsia" w:hAnsi="Times New Roman" w:cs="Times New Roman"/>
                <w:bCs/>
              </w:rPr>
              <w:t xml:space="preserve">The UN regulation requires all containers tested shall have a burst pressure within </w:t>
            </w:r>
            <w:r w:rsidRPr="00E53EAB">
              <w:rPr>
                <w:rFonts w:ascii="Times New Roman" w:eastAsiaTheme="minorEastAsia" w:hAnsi="Times New Roman" w:cs="Times New Roman"/>
                <w:bCs/>
                <w:u w:val="single"/>
              </w:rPr>
              <w:t>+</w:t>
            </w:r>
            <w:r w:rsidRPr="00E53EAB">
              <w:rPr>
                <w:rFonts w:ascii="Times New Roman" w:eastAsiaTheme="minorEastAsia" w:hAnsi="Times New Roman" w:cs="Times New Roman"/>
                <w:bCs/>
              </w:rPr>
              <w:t xml:space="preserve">10 per cent of burst pressure of new storage containers (BPO) and greater than or equal to a minimum BP of 225 per cent NWP. </w:t>
            </w:r>
          </w:p>
          <w:p w14:paraId="4F13307B" w14:textId="1771A7D0" w:rsidR="000D5288" w:rsidRPr="00E53EAB" w:rsidRDefault="000D5288" w:rsidP="00E53EAB">
            <w:pPr>
              <w:pStyle w:val="ListParagraph"/>
              <w:ind w:left="372"/>
              <w:rPr>
                <w:rFonts w:ascii="Times New Roman" w:eastAsiaTheme="minorEastAsia" w:hAnsi="Times New Roman" w:cs="Times New Roman"/>
                <w:bCs/>
              </w:rPr>
            </w:pPr>
            <w:r w:rsidRPr="00E53EAB">
              <w:rPr>
                <w:rFonts w:ascii="Times New Roman" w:hAnsi="Times New Roman" w:cs="Times New Roman"/>
                <w:lang w:val="en-US" w:eastAsia="en-AU"/>
              </w:rPr>
              <w:t>Performance requirements of CHSS and components are extensive in the UN regulation. The Department will continue to monitor the situation and will engage further with industry groups regarding any need for an Australian Standard</w:t>
            </w:r>
            <w:r>
              <w:rPr>
                <w:rFonts w:ascii="Times New Roman" w:hAnsi="Times New Roman" w:cs="Times New Roman"/>
                <w:lang w:val="en-US" w:eastAsia="en-AU"/>
              </w:rPr>
              <w:t>.</w:t>
            </w:r>
          </w:p>
        </w:tc>
      </w:tr>
      <w:tr w:rsidR="00CD11C9" w:rsidRPr="007D4593" w14:paraId="7CB3B54A" w14:textId="77777777" w:rsidTr="00CD11C9">
        <w:tc>
          <w:tcPr>
            <w:tcW w:w="657" w:type="pct"/>
            <w:tcBorders>
              <w:top w:val="single" w:sz="8" w:space="0" w:color="FFFFFF"/>
              <w:left w:val="single" w:sz="8" w:space="0" w:color="FFFFFF"/>
              <w:bottom w:val="single" w:sz="8" w:space="0" w:color="FFFFFF"/>
              <w:right w:val="single" w:sz="8" w:space="0" w:color="FFFFFF"/>
            </w:tcBorders>
          </w:tcPr>
          <w:p w14:paraId="625A776D" w14:textId="77777777" w:rsidR="000D5288" w:rsidRDefault="000D5288" w:rsidP="00C379FB">
            <w:pPr>
              <w:rPr>
                <w:rFonts w:ascii="Times New Roman" w:hAnsi="Times New Roman" w:cs="Times New Roman"/>
              </w:rPr>
            </w:pPr>
            <w:r w:rsidRPr="00B96218">
              <w:rPr>
                <w:rFonts w:ascii="Times New Roman" w:hAnsi="Times New Roman" w:cs="Times New Roman"/>
              </w:rPr>
              <w:t>Kate Jo</w:t>
            </w:r>
            <w:r>
              <w:rPr>
                <w:rFonts w:ascii="Times New Roman" w:hAnsi="Times New Roman" w:cs="Times New Roman"/>
              </w:rPr>
              <w:t>h</w:t>
            </w:r>
            <w:r w:rsidRPr="00B96218">
              <w:rPr>
                <w:rFonts w:ascii="Times New Roman" w:hAnsi="Times New Roman" w:cs="Times New Roman"/>
              </w:rPr>
              <w:t>nson</w:t>
            </w:r>
          </w:p>
          <w:p w14:paraId="43A46F4F" w14:textId="0F394FD5" w:rsidR="000D5288" w:rsidRPr="007D4593" w:rsidRDefault="000D5288" w:rsidP="00C379FB">
            <w:pPr>
              <w:rPr>
                <w:rFonts w:ascii="Times New Roman" w:hAnsi="Times New Roman" w:cs="Times New Roman"/>
              </w:rPr>
            </w:pPr>
            <w:r>
              <w:rPr>
                <w:rFonts w:ascii="Times New Roman" w:hAnsi="Times New Roman" w:cs="Times New Roman"/>
              </w:rPr>
              <w:t>Australian Automobile Association (AAA)</w:t>
            </w:r>
          </w:p>
        </w:tc>
        <w:tc>
          <w:tcPr>
            <w:tcW w:w="509" w:type="pct"/>
            <w:tcBorders>
              <w:top w:val="single" w:sz="8" w:space="0" w:color="FFFFFF"/>
              <w:left w:val="single" w:sz="8" w:space="0" w:color="FFFFFF"/>
              <w:bottom w:val="single" w:sz="8" w:space="0" w:color="FFFFFF"/>
              <w:right w:val="single" w:sz="8" w:space="0" w:color="FFFFFF"/>
            </w:tcBorders>
          </w:tcPr>
          <w:p w14:paraId="164EF3F5" w14:textId="77777777" w:rsidR="000D5288" w:rsidRPr="007D4593"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039EEDA5" w14:textId="4A2CA6E8" w:rsidR="000D5288" w:rsidRPr="00CE6400" w:rsidRDefault="000D5288" w:rsidP="00D51357">
            <w:pPr>
              <w:pStyle w:val="ListParagraph"/>
              <w:numPr>
                <w:ilvl w:val="0"/>
                <w:numId w:val="6"/>
              </w:numPr>
              <w:ind w:left="495" w:hanging="425"/>
              <w:rPr>
                <w:rFonts w:ascii="Times New Roman" w:hAnsi="Times New Roman" w:cs="Times New Roman"/>
                <w:lang w:val="en-US" w:eastAsia="en-AU"/>
              </w:rPr>
            </w:pPr>
            <w:r w:rsidRPr="00CE6400">
              <w:rPr>
                <w:rFonts w:ascii="Times New Roman" w:hAnsi="Times New Roman" w:cs="Times New Roman"/>
                <w:lang w:val="en-US" w:eastAsia="en-AU"/>
              </w:rPr>
              <w:t xml:space="preserve">Supports the Commonwealth’s efforts and encourages continued participation in UN forums and harmonization of UN Regulations. </w:t>
            </w:r>
          </w:p>
          <w:p w14:paraId="030F8F7D" w14:textId="77777777" w:rsidR="000D5288" w:rsidRPr="00CE6400" w:rsidRDefault="000D5288" w:rsidP="00D51357">
            <w:pPr>
              <w:pStyle w:val="ListParagraph"/>
              <w:numPr>
                <w:ilvl w:val="0"/>
                <w:numId w:val="6"/>
              </w:numPr>
              <w:ind w:left="495" w:hanging="425"/>
              <w:rPr>
                <w:rFonts w:ascii="Times New Roman" w:hAnsi="Times New Roman" w:cs="Times New Roman"/>
                <w:lang w:val="en-US" w:eastAsia="en-AU"/>
              </w:rPr>
            </w:pPr>
            <w:r w:rsidRPr="00CE6400">
              <w:rPr>
                <w:rFonts w:ascii="Times New Roman" w:hAnsi="Times New Roman" w:cs="Times New Roman"/>
                <w:lang w:val="en-US" w:eastAsia="en-AU"/>
              </w:rPr>
              <w:t>Supports the implementation dates.</w:t>
            </w:r>
          </w:p>
          <w:p w14:paraId="3538F332" w14:textId="070058E6" w:rsidR="000D5288" w:rsidRPr="00CE6400" w:rsidRDefault="000D5288" w:rsidP="00D51357">
            <w:pPr>
              <w:pStyle w:val="ListParagraph"/>
              <w:numPr>
                <w:ilvl w:val="0"/>
                <w:numId w:val="6"/>
              </w:numPr>
              <w:ind w:left="495" w:hanging="425"/>
              <w:rPr>
                <w:rFonts w:ascii="Times New Roman" w:hAnsi="Times New Roman" w:cs="Times New Roman"/>
                <w:lang w:val="en-US" w:eastAsia="en-AU"/>
              </w:rPr>
            </w:pPr>
            <w:r w:rsidRPr="00CE6400">
              <w:rPr>
                <w:rFonts w:ascii="Times New Roman" w:hAnsi="Times New Roman" w:cs="Times New Roman"/>
                <w:lang w:val="en-US" w:eastAsia="en-AU"/>
              </w:rPr>
              <w:t>Believes that if there are any costs associated with these ADRs which would be passed onto consumers then they should be quantified by the Department and details released for consideration.</w:t>
            </w:r>
          </w:p>
        </w:tc>
        <w:tc>
          <w:tcPr>
            <w:tcW w:w="2258" w:type="pct"/>
            <w:tcBorders>
              <w:top w:val="single" w:sz="8" w:space="0" w:color="FFFFFF"/>
              <w:left w:val="single" w:sz="8" w:space="0" w:color="FFFFFF"/>
              <w:bottom w:val="single" w:sz="8" w:space="0" w:color="FFFFFF"/>
              <w:right w:val="single" w:sz="8" w:space="0" w:color="FFFFFF"/>
            </w:tcBorders>
          </w:tcPr>
          <w:p w14:paraId="138B83EE" w14:textId="16FC2A99" w:rsidR="000D5288" w:rsidRDefault="000D5288" w:rsidP="00D51357">
            <w:pPr>
              <w:pStyle w:val="ListParagraph"/>
              <w:numPr>
                <w:ilvl w:val="0"/>
                <w:numId w:val="21"/>
              </w:numPr>
              <w:ind w:left="490"/>
              <w:rPr>
                <w:rFonts w:ascii="Times New Roman" w:hAnsi="Times New Roman" w:cs="Times New Roman"/>
                <w:lang w:val="en-US" w:eastAsia="en-AU"/>
              </w:rPr>
            </w:pPr>
            <w:r>
              <w:rPr>
                <w:rFonts w:ascii="Times New Roman" w:hAnsi="Times New Roman" w:cs="Times New Roman"/>
                <w:lang w:val="en-US" w:eastAsia="en-AU"/>
              </w:rPr>
              <w:t>Noted.</w:t>
            </w:r>
          </w:p>
          <w:p w14:paraId="0BBA1460" w14:textId="77777777" w:rsidR="000D5288" w:rsidRDefault="000D5288" w:rsidP="00D51357">
            <w:pPr>
              <w:pStyle w:val="ListParagraph"/>
              <w:numPr>
                <w:ilvl w:val="0"/>
                <w:numId w:val="21"/>
              </w:numPr>
              <w:ind w:left="490"/>
              <w:rPr>
                <w:rFonts w:ascii="Times New Roman" w:hAnsi="Times New Roman" w:cs="Times New Roman"/>
                <w:lang w:val="en-US" w:eastAsia="en-AU"/>
              </w:rPr>
            </w:pPr>
            <w:r w:rsidRPr="00CE6400">
              <w:rPr>
                <w:rFonts w:ascii="Times New Roman" w:hAnsi="Times New Roman" w:cs="Times New Roman"/>
                <w:lang w:val="en-US" w:eastAsia="en-AU"/>
              </w:rPr>
              <w:t>Final implementation dates will be determined as part of the ADR, following consultation by the Department with industry and decision by the Minister</w:t>
            </w:r>
            <w:r>
              <w:rPr>
                <w:rFonts w:ascii="Times New Roman" w:hAnsi="Times New Roman" w:cs="Times New Roman"/>
                <w:lang w:val="en-US" w:eastAsia="en-AU"/>
              </w:rPr>
              <w:t>.</w:t>
            </w:r>
          </w:p>
          <w:p w14:paraId="2BB73275" w14:textId="44DD10AE" w:rsidR="000D5288" w:rsidRPr="00CE6400" w:rsidRDefault="000D5288" w:rsidP="00D51357">
            <w:pPr>
              <w:pStyle w:val="ListParagraph"/>
              <w:numPr>
                <w:ilvl w:val="0"/>
                <w:numId w:val="21"/>
              </w:numPr>
              <w:ind w:left="490"/>
              <w:rPr>
                <w:rFonts w:ascii="Times New Roman" w:hAnsi="Times New Roman" w:cs="Times New Roman"/>
                <w:lang w:val="en-US" w:eastAsia="en-AU"/>
              </w:rPr>
            </w:pPr>
            <w:r>
              <w:rPr>
                <w:rFonts w:ascii="Times New Roman" w:hAnsi="Times New Roman" w:cs="Times New Roman"/>
                <w:lang w:val="en-US" w:eastAsia="en-AU"/>
              </w:rPr>
              <w:t>Noted, the Department consulted with industry on the compliance status of their products already being supplied to the Australian market. The light vehicle industry claimed almost 100 per cent of their hydrogen vehicles already comply with the requirements in the UN Regulation or are built to comply with the UN Regulations. The compliance burden associated with these ADRs is minimal to none as vehicles already comply with these UN regulations, therefore this means that there will be no additional cost in the light vehicle segment.</w:t>
            </w:r>
          </w:p>
        </w:tc>
      </w:tr>
      <w:tr w:rsidR="00CD11C9" w:rsidRPr="007D4593" w14:paraId="771D9665" w14:textId="77777777" w:rsidTr="00CD11C9">
        <w:tc>
          <w:tcPr>
            <w:tcW w:w="657" w:type="pct"/>
            <w:tcBorders>
              <w:top w:val="single" w:sz="8" w:space="0" w:color="FFFFFF"/>
              <w:left w:val="single" w:sz="8" w:space="0" w:color="FFFFFF"/>
              <w:bottom w:val="single" w:sz="8" w:space="0" w:color="FFFFFF"/>
              <w:right w:val="single" w:sz="8" w:space="0" w:color="FFFFFF"/>
            </w:tcBorders>
          </w:tcPr>
          <w:p w14:paraId="153ED28B" w14:textId="77777777" w:rsidR="000D5288" w:rsidRDefault="000D5288" w:rsidP="00843729">
            <w:pPr>
              <w:rPr>
                <w:rFonts w:ascii="Times New Roman" w:hAnsi="Times New Roman" w:cs="Times New Roman"/>
              </w:rPr>
            </w:pPr>
            <w:r w:rsidRPr="00B96218">
              <w:rPr>
                <w:rFonts w:ascii="Times New Roman" w:hAnsi="Times New Roman" w:cs="Times New Roman"/>
              </w:rPr>
              <w:lastRenderedPageBreak/>
              <w:t>Peter Wright</w:t>
            </w:r>
          </w:p>
          <w:p w14:paraId="261FDF50" w14:textId="24B85394" w:rsidR="000D5288" w:rsidRPr="007D4593" w:rsidRDefault="000D5288" w:rsidP="00843729">
            <w:pPr>
              <w:rPr>
                <w:rFonts w:ascii="Times New Roman" w:hAnsi="Times New Roman" w:cs="Times New Roman"/>
              </w:rPr>
            </w:pPr>
            <w:r>
              <w:rPr>
                <w:rFonts w:ascii="Times New Roman" w:hAnsi="Times New Roman" w:cs="Times New Roman"/>
              </w:rPr>
              <w:t>Council of Heritage Motor Clubs NSW Inc (CHMC)</w:t>
            </w:r>
          </w:p>
        </w:tc>
        <w:tc>
          <w:tcPr>
            <w:tcW w:w="509" w:type="pct"/>
            <w:tcBorders>
              <w:top w:val="single" w:sz="8" w:space="0" w:color="FFFFFF"/>
              <w:left w:val="single" w:sz="8" w:space="0" w:color="FFFFFF"/>
              <w:bottom w:val="single" w:sz="8" w:space="0" w:color="FFFFFF"/>
              <w:right w:val="single" w:sz="8" w:space="0" w:color="FFFFFF"/>
            </w:tcBorders>
          </w:tcPr>
          <w:p w14:paraId="2FC6B81C" w14:textId="77777777" w:rsidR="000D5288" w:rsidRPr="00860D15" w:rsidRDefault="000D5288" w:rsidP="00986FD6">
            <w:pPr>
              <w:jc w:val="center"/>
              <w:rPr>
                <w:rFonts w:ascii="Times New Roman" w:hAnsi="Times New Roman" w:cs="Times New Roman"/>
              </w:rPr>
            </w:pPr>
          </w:p>
        </w:tc>
        <w:tc>
          <w:tcPr>
            <w:tcW w:w="1575" w:type="pct"/>
            <w:tcBorders>
              <w:top w:val="single" w:sz="8" w:space="0" w:color="FFFFFF"/>
              <w:left w:val="single" w:sz="8" w:space="0" w:color="FFFFFF"/>
              <w:bottom w:val="single" w:sz="8" w:space="0" w:color="FFFFFF"/>
              <w:right w:val="single" w:sz="8" w:space="0" w:color="FFFFFF"/>
            </w:tcBorders>
          </w:tcPr>
          <w:p w14:paraId="255A7FF2" w14:textId="3B1DCD1B"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 xml:space="preserve">Supports the position that it </w:t>
            </w:r>
            <w:r>
              <w:rPr>
                <w:rFonts w:ascii="Times New Roman" w:hAnsi="Times New Roman" w:cs="Times New Roman"/>
                <w:lang w:val="en-US" w:eastAsia="en-AU"/>
              </w:rPr>
              <w:t>is</w:t>
            </w:r>
            <w:r w:rsidRPr="00860D15">
              <w:rPr>
                <w:rFonts w:ascii="Times New Roman" w:hAnsi="Times New Roman" w:cs="Times New Roman"/>
                <w:lang w:val="en-US" w:eastAsia="en-AU"/>
              </w:rPr>
              <w:t xml:space="preserve"> mandatory for all HFCVs to comply with a new ADR on a “must comply, if fitted” basis.</w:t>
            </w:r>
          </w:p>
          <w:p w14:paraId="1BEB3AE9" w14:textId="014A8B8F"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Proposed that not only ADR 110/00 be applicable to new and future vehicles, but acknowledge and reference road vehicle components are fitted to historic ICE vehicles with conversions to hydrogen power.</w:t>
            </w:r>
          </w:p>
          <w:p w14:paraId="2A3FC7E0" w14:textId="77777777"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Notes that VSB 14 is eight years old.</w:t>
            </w:r>
          </w:p>
          <w:p w14:paraId="6BE39DEF" w14:textId="66E598FA"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Raised that ADR 110/00 does not appear to be addressing what is a developing sector in Australia which is converting older vehicles with hydrogen drive components.</w:t>
            </w:r>
          </w:p>
          <w:p w14:paraId="162ED78F" w14:textId="77777777"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Raised that there is a need for the ADR’s to also ensure that the standards for components used for conversions are suitable for, and applicable in conversions in older vehicles. This would unduly disadvantage the operation and registration of those vehicles.</w:t>
            </w:r>
          </w:p>
          <w:p w14:paraId="1E1034A3" w14:textId="637BCC2B"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Recommends that ADR 110/00 not be limited in its coverage. This is to ensure the use of components for conversions are safely and appropriately fitted to historic ICE vehicles, should the owners so desire.</w:t>
            </w:r>
          </w:p>
          <w:p w14:paraId="6EC000B8" w14:textId="5DB211C7"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Raised that the National Road Vehicle Standards administers “road vehicle components” and interpreted that this applies to components that would be used in converting historic ICE vehicles to hydrogen power.</w:t>
            </w:r>
          </w:p>
          <w:p w14:paraId="56E872D3" w14:textId="77777777"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t>Strongly supports the Purpose and Operation stated in the Explanatory Statement.</w:t>
            </w:r>
          </w:p>
          <w:p w14:paraId="28083D11" w14:textId="3D75E5A7" w:rsidR="000D5288" w:rsidRPr="00860D15" w:rsidRDefault="000D5288" w:rsidP="00D51357">
            <w:pPr>
              <w:pStyle w:val="ListParagraph"/>
              <w:numPr>
                <w:ilvl w:val="0"/>
                <w:numId w:val="7"/>
              </w:numPr>
              <w:ind w:left="495" w:hanging="425"/>
              <w:rPr>
                <w:rFonts w:ascii="Times New Roman" w:hAnsi="Times New Roman" w:cs="Times New Roman"/>
                <w:lang w:val="en-US" w:eastAsia="en-AU"/>
              </w:rPr>
            </w:pPr>
            <w:r w:rsidRPr="00860D15">
              <w:rPr>
                <w:rFonts w:ascii="Times New Roman" w:hAnsi="Times New Roman" w:cs="Times New Roman"/>
                <w:lang w:val="en-US" w:eastAsia="en-AU"/>
              </w:rPr>
              <w:lastRenderedPageBreak/>
              <w:t>Raised that they were unaware of any direct consultation on ADR 110/00 with the relevant historic vehicle industry peak bodies, stakeholders or consumers to date. Asked if such consultation has taken place, please advise with whom and when.</w:t>
            </w:r>
          </w:p>
        </w:tc>
        <w:tc>
          <w:tcPr>
            <w:tcW w:w="2258" w:type="pct"/>
            <w:tcBorders>
              <w:top w:val="single" w:sz="8" w:space="0" w:color="FFFFFF"/>
              <w:left w:val="single" w:sz="8" w:space="0" w:color="FFFFFF"/>
              <w:bottom w:val="single" w:sz="8" w:space="0" w:color="FFFFFF"/>
              <w:right w:val="single" w:sz="8" w:space="0" w:color="FFFFFF"/>
            </w:tcBorders>
          </w:tcPr>
          <w:p w14:paraId="653A94B8" w14:textId="1B78F806" w:rsidR="000D5288" w:rsidRPr="009B6849" w:rsidRDefault="000D5288" w:rsidP="00D51357">
            <w:pPr>
              <w:pStyle w:val="ListParagraph"/>
              <w:numPr>
                <w:ilvl w:val="0"/>
                <w:numId w:val="39"/>
              </w:numPr>
              <w:ind w:left="367" w:hanging="284"/>
              <w:rPr>
                <w:rFonts w:ascii="Times New Roman" w:hAnsi="Times New Roman" w:cs="Times New Roman"/>
              </w:rPr>
            </w:pPr>
            <w:r w:rsidRPr="009B6849">
              <w:rPr>
                <w:rFonts w:ascii="Times New Roman" w:hAnsi="Times New Roman" w:cs="Times New Roman"/>
                <w:lang w:val="en-US" w:eastAsia="en-AU"/>
              </w:rPr>
              <w:lastRenderedPageBreak/>
              <w:t>Noted. ADRs apply to new vehicles when first supplied to market and in-service or aftermarket regulation is a jurisdiction matter.</w:t>
            </w:r>
          </w:p>
          <w:p w14:paraId="53A71371" w14:textId="77777777" w:rsidR="000D5288" w:rsidRPr="009B6849" w:rsidRDefault="000D5288" w:rsidP="00D51357">
            <w:pPr>
              <w:pStyle w:val="ListParagraph"/>
              <w:numPr>
                <w:ilvl w:val="0"/>
                <w:numId w:val="39"/>
              </w:numPr>
              <w:ind w:left="367" w:hanging="284"/>
              <w:rPr>
                <w:rFonts w:ascii="Times New Roman" w:hAnsi="Times New Roman" w:cs="Times New Roman"/>
              </w:rPr>
            </w:pPr>
            <w:r w:rsidRPr="009B6849">
              <w:rPr>
                <w:rFonts w:ascii="Times New Roman" w:hAnsi="Times New Roman" w:cs="Times New Roman"/>
                <w:lang w:val="en-US" w:eastAsia="en-AU"/>
              </w:rPr>
              <w:t>For older type vehicles, alternative pathways are available via State and Territory government policies, VSBs and certification procedures.</w:t>
            </w:r>
          </w:p>
          <w:p w14:paraId="36FA769B" w14:textId="77777777" w:rsidR="000D5288" w:rsidRPr="00D51357" w:rsidRDefault="000D5288" w:rsidP="00D51357">
            <w:pPr>
              <w:pStyle w:val="ListParagraph"/>
              <w:numPr>
                <w:ilvl w:val="0"/>
                <w:numId w:val="39"/>
              </w:numPr>
              <w:ind w:left="367" w:hanging="284"/>
              <w:rPr>
                <w:rFonts w:ascii="Times New Roman" w:hAnsi="Times New Roman" w:cs="Times New Roman"/>
              </w:rPr>
            </w:pPr>
            <w:r w:rsidRPr="009B6849">
              <w:rPr>
                <w:rFonts w:ascii="Times New Roman" w:hAnsi="Times New Roman" w:cs="Times New Roman"/>
                <w:lang w:val="en-US" w:eastAsia="en-AU"/>
              </w:rPr>
              <w:t xml:space="preserve">Noted. The </w:t>
            </w:r>
            <w:r w:rsidRPr="00991CD2">
              <w:rPr>
                <w:rFonts w:ascii="Times New Roman" w:hAnsi="Times New Roman" w:cs="Times New Roman"/>
                <w:i/>
                <w:lang w:val="en-US" w:eastAsia="en-AU"/>
              </w:rPr>
              <w:t>National Code of Practice for Light Vehicle Construction and Modification</w:t>
            </w:r>
            <w:r w:rsidRPr="009B6849">
              <w:rPr>
                <w:rFonts w:ascii="Times New Roman" w:hAnsi="Times New Roman" w:cs="Times New Roman"/>
                <w:lang w:val="en-US" w:eastAsia="en-AU"/>
              </w:rPr>
              <w:t xml:space="preserve"> (VSB 14)</w:t>
            </w:r>
            <w:r w:rsidRPr="009B6849">
              <w:rPr>
                <w:rFonts w:ascii="Times New Roman" w:hAnsi="Times New Roman" w:cs="Times New Roman"/>
                <w:i/>
                <w:lang w:val="en-US" w:eastAsia="en-AU"/>
              </w:rPr>
              <w:t xml:space="preserve"> </w:t>
            </w:r>
            <w:r w:rsidRPr="009B6849">
              <w:rPr>
                <w:rFonts w:ascii="Times New Roman" w:hAnsi="Times New Roman" w:cs="Times New Roman"/>
                <w:lang w:val="en-US" w:eastAsia="en-AU"/>
              </w:rPr>
              <w:t>has been prepared by members of the Australian Motor Vehicle Certification Board</w:t>
            </w:r>
            <w:r>
              <w:rPr>
                <w:rFonts w:ascii="Times New Roman" w:hAnsi="Times New Roman" w:cs="Times New Roman"/>
                <w:lang w:val="en-US" w:eastAsia="en-AU"/>
              </w:rPr>
              <w:t>.</w:t>
            </w:r>
          </w:p>
          <w:p w14:paraId="690235EF" w14:textId="51F1773A" w:rsidR="000D5288" w:rsidRPr="00D51357" w:rsidRDefault="000D5288" w:rsidP="00D51357">
            <w:pPr>
              <w:pStyle w:val="ListParagraph"/>
              <w:numPr>
                <w:ilvl w:val="0"/>
                <w:numId w:val="39"/>
              </w:numPr>
              <w:ind w:left="367" w:hanging="284"/>
              <w:rPr>
                <w:rFonts w:ascii="Times New Roman" w:hAnsi="Times New Roman" w:cs="Times New Roman"/>
              </w:rPr>
            </w:pPr>
            <w:r w:rsidRPr="00D51357">
              <w:rPr>
                <w:rFonts w:ascii="Times New Roman" w:hAnsi="Times New Roman" w:cs="Times New Roman"/>
                <w:lang w:val="en-US" w:eastAsia="en-AU"/>
              </w:rPr>
              <w:t>ADRs apply to new vehicle when first supplied to the Australian market. Older vehicles are considered a safety issue in ANCAP testing results. State and Territory governments are reviewing the safety aspect of older type vehicles on the road. Older type vehicles being converted are normally show vehicles, club cars and driven on club registration. See point 1 above.</w:t>
            </w:r>
          </w:p>
          <w:p w14:paraId="3676C5FF" w14:textId="638D554A" w:rsidR="000D5288" w:rsidRDefault="000D5288" w:rsidP="00D51357">
            <w:pPr>
              <w:pStyle w:val="ListParagraph"/>
              <w:numPr>
                <w:ilvl w:val="0"/>
                <w:numId w:val="39"/>
              </w:numPr>
              <w:ind w:left="367" w:hanging="284"/>
              <w:rPr>
                <w:rStyle w:val="CommentReference"/>
                <w:rFonts w:ascii="Times New Roman" w:hAnsi="Times New Roman" w:cs="Times New Roman"/>
                <w:sz w:val="20"/>
                <w:szCs w:val="20"/>
              </w:rPr>
            </w:pPr>
            <w:r w:rsidRPr="00D51357">
              <w:rPr>
                <w:rStyle w:val="CommentReference"/>
                <w:rFonts w:ascii="Times New Roman" w:hAnsi="Times New Roman" w:cs="Times New Roman"/>
                <w:sz w:val="20"/>
                <w:szCs w:val="20"/>
              </w:rPr>
              <w:t xml:space="preserve">Noted, see point </w:t>
            </w:r>
            <w:r>
              <w:rPr>
                <w:rStyle w:val="CommentReference"/>
                <w:rFonts w:ascii="Times New Roman" w:hAnsi="Times New Roman" w:cs="Times New Roman"/>
                <w:sz w:val="20"/>
                <w:szCs w:val="20"/>
              </w:rPr>
              <w:t>3 and 4</w:t>
            </w:r>
            <w:r w:rsidRPr="00D51357">
              <w:rPr>
                <w:rStyle w:val="CommentReference"/>
                <w:rFonts w:ascii="Times New Roman" w:hAnsi="Times New Roman" w:cs="Times New Roman"/>
                <w:sz w:val="20"/>
                <w:szCs w:val="20"/>
              </w:rPr>
              <w:t xml:space="preserve"> above.</w:t>
            </w:r>
          </w:p>
          <w:p w14:paraId="4AD7AA9E" w14:textId="7104CBE8" w:rsidR="000D5288" w:rsidRDefault="000D5288" w:rsidP="00D51357">
            <w:pPr>
              <w:pStyle w:val="ListParagraph"/>
              <w:numPr>
                <w:ilvl w:val="0"/>
                <w:numId w:val="39"/>
              </w:numPr>
              <w:ind w:left="367" w:hanging="284"/>
              <w:rPr>
                <w:rStyle w:val="CommentReference"/>
                <w:rFonts w:ascii="Times New Roman" w:hAnsi="Times New Roman" w:cs="Times New Roman"/>
                <w:sz w:val="20"/>
                <w:szCs w:val="20"/>
              </w:rPr>
            </w:pPr>
            <w:r w:rsidRPr="00D51357">
              <w:rPr>
                <w:rStyle w:val="CommentReference"/>
                <w:rFonts w:ascii="Times New Roman" w:hAnsi="Times New Roman" w:cs="Times New Roman"/>
                <w:sz w:val="20"/>
                <w:szCs w:val="20"/>
              </w:rPr>
              <w:t xml:space="preserve">Noted, see point </w:t>
            </w:r>
            <w:r>
              <w:rPr>
                <w:rStyle w:val="CommentReference"/>
                <w:rFonts w:ascii="Times New Roman" w:hAnsi="Times New Roman" w:cs="Times New Roman"/>
                <w:sz w:val="20"/>
                <w:szCs w:val="20"/>
              </w:rPr>
              <w:t>5</w:t>
            </w:r>
            <w:r w:rsidRPr="00D51357">
              <w:rPr>
                <w:rStyle w:val="CommentReference"/>
                <w:rFonts w:ascii="Times New Roman" w:hAnsi="Times New Roman" w:cs="Times New Roman"/>
                <w:sz w:val="20"/>
                <w:szCs w:val="20"/>
              </w:rPr>
              <w:t xml:space="preserve"> above.</w:t>
            </w:r>
          </w:p>
          <w:p w14:paraId="43A1594F" w14:textId="77777777" w:rsidR="000D5288" w:rsidRPr="00D51357" w:rsidRDefault="000D5288" w:rsidP="00D51357">
            <w:pPr>
              <w:pStyle w:val="ListParagraph"/>
              <w:numPr>
                <w:ilvl w:val="0"/>
                <w:numId w:val="39"/>
              </w:numPr>
              <w:ind w:left="367" w:hanging="284"/>
              <w:rPr>
                <w:rFonts w:ascii="Times New Roman" w:hAnsi="Times New Roman" w:cs="Times New Roman"/>
              </w:rPr>
            </w:pPr>
            <w:r w:rsidRPr="00D51357">
              <w:rPr>
                <w:rFonts w:ascii="Times New Roman" w:hAnsi="Times New Roman" w:cs="Times New Roman"/>
                <w:lang w:val="en-US" w:eastAsia="en-AU"/>
              </w:rPr>
              <w:t>A component type approval is one option applicants for a vehicle type approval or approval of a Model Report may use to demonstrate compliance with applicable national road vehicle standards. Please refer to the Department website for more information to gain an understanding on how the CHMC may use this pathway. These components in the UN Regulation apply to components fitted to new vehicles supplied to the market.</w:t>
            </w:r>
          </w:p>
          <w:p w14:paraId="6ED1B45D" w14:textId="77777777" w:rsidR="000D5288" w:rsidRDefault="000D5288" w:rsidP="00D51357">
            <w:pPr>
              <w:pStyle w:val="ListParagraph"/>
              <w:numPr>
                <w:ilvl w:val="0"/>
                <w:numId w:val="39"/>
              </w:numPr>
              <w:ind w:left="367" w:hanging="284"/>
              <w:rPr>
                <w:rStyle w:val="CommentReference"/>
                <w:rFonts w:ascii="Times New Roman" w:hAnsi="Times New Roman" w:cs="Times New Roman"/>
                <w:sz w:val="20"/>
                <w:szCs w:val="20"/>
              </w:rPr>
            </w:pPr>
            <w:r w:rsidRPr="00D51357">
              <w:rPr>
                <w:rStyle w:val="CommentReference"/>
                <w:rFonts w:ascii="Times New Roman" w:hAnsi="Times New Roman" w:cs="Times New Roman"/>
                <w:sz w:val="20"/>
                <w:szCs w:val="20"/>
              </w:rPr>
              <w:t>Noted.</w:t>
            </w:r>
          </w:p>
          <w:p w14:paraId="534B58DF" w14:textId="644DC7C3" w:rsidR="000D5288" w:rsidRPr="00D51357" w:rsidRDefault="000D5288" w:rsidP="00D51357">
            <w:pPr>
              <w:pStyle w:val="ListParagraph"/>
              <w:numPr>
                <w:ilvl w:val="0"/>
                <w:numId w:val="39"/>
              </w:numPr>
              <w:ind w:left="367" w:hanging="284"/>
              <w:rPr>
                <w:rStyle w:val="CommentReference"/>
                <w:rFonts w:ascii="Times New Roman" w:hAnsi="Times New Roman" w:cs="Times New Roman"/>
                <w:sz w:val="20"/>
                <w:szCs w:val="20"/>
              </w:rPr>
            </w:pPr>
            <w:r>
              <w:rPr>
                <w:rFonts w:ascii="Times New Roman" w:hAnsi="Times New Roman" w:cs="Times New Roman"/>
                <w:lang w:val="en-US" w:eastAsia="en-AU"/>
              </w:rPr>
              <w:t>The Department proposed the introduction of these new ZEV ADRs through the standard consultative forums SVSEG, TLG and AMVCB in early 2022. Additionally, the Department consulted with the public by posting on the Department’s website for an eight-week public comment period which ended on the 27 March 2023.</w:t>
            </w:r>
          </w:p>
        </w:tc>
      </w:tr>
      <w:tr w:rsidR="00CD11C9" w:rsidRPr="007D4593" w14:paraId="7801FC1C" w14:textId="77777777" w:rsidTr="00CD11C9">
        <w:tc>
          <w:tcPr>
            <w:tcW w:w="657" w:type="pct"/>
            <w:tcBorders>
              <w:top w:val="single" w:sz="8" w:space="0" w:color="FFFFFF"/>
              <w:left w:val="single" w:sz="8" w:space="0" w:color="FFFFFF"/>
              <w:bottom w:val="single" w:sz="8" w:space="0" w:color="FFFFFF"/>
              <w:right w:val="single" w:sz="8" w:space="0" w:color="FFFFFF"/>
            </w:tcBorders>
          </w:tcPr>
          <w:p w14:paraId="451F93A2" w14:textId="77777777" w:rsidR="000D5288" w:rsidRDefault="000D5288" w:rsidP="00B23405">
            <w:pPr>
              <w:rPr>
                <w:rFonts w:ascii="Times New Roman" w:hAnsi="Times New Roman" w:cs="Times New Roman"/>
              </w:rPr>
            </w:pPr>
            <w:r w:rsidRPr="00B96218">
              <w:rPr>
                <w:rFonts w:ascii="Times New Roman" w:hAnsi="Times New Roman" w:cs="Times New Roman"/>
              </w:rPr>
              <w:t>John Ryan</w:t>
            </w:r>
          </w:p>
          <w:p w14:paraId="676F79E7" w14:textId="4E6B2D41" w:rsidR="000D5288" w:rsidRPr="007D4593" w:rsidRDefault="000D5288" w:rsidP="00B23405">
            <w:pPr>
              <w:rPr>
                <w:rFonts w:ascii="Times New Roman" w:hAnsi="Times New Roman" w:cs="Times New Roman"/>
              </w:rPr>
            </w:pPr>
            <w:r>
              <w:rPr>
                <w:rFonts w:ascii="Times New Roman" w:hAnsi="Times New Roman" w:cs="Times New Roman"/>
              </w:rPr>
              <w:t>ANCAP</w:t>
            </w:r>
          </w:p>
        </w:tc>
        <w:tc>
          <w:tcPr>
            <w:tcW w:w="509" w:type="pct"/>
            <w:tcBorders>
              <w:top w:val="single" w:sz="8" w:space="0" w:color="FFFFFF"/>
              <w:left w:val="single" w:sz="8" w:space="0" w:color="FFFFFF"/>
              <w:bottom w:val="single" w:sz="8" w:space="0" w:color="FFFFFF"/>
              <w:right w:val="single" w:sz="8" w:space="0" w:color="FFFFFF"/>
            </w:tcBorders>
          </w:tcPr>
          <w:p w14:paraId="3AA47AC5" w14:textId="77777777" w:rsidR="000D5288" w:rsidRPr="00FC48E5" w:rsidRDefault="000D5288" w:rsidP="00986FD6">
            <w:pPr>
              <w:jc w:val="center"/>
              <w:rPr>
                <w:rFonts w:ascii="Times New Roman" w:hAnsi="Times New Roman" w:cs="Times New Roman"/>
              </w:rPr>
            </w:pPr>
            <w:r w:rsidRPr="00FC48E5">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5306A7F7" w14:textId="5B41ACED" w:rsidR="000D5288" w:rsidRPr="00FC48E5" w:rsidRDefault="000D5288" w:rsidP="00D51357">
            <w:pPr>
              <w:pStyle w:val="ListParagraph"/>
              <w:numPr>
                <w:ilvl w:val="0"/>
                <w:numId w:val="8"/>
              </w:numPr>
              <w:ind w:left="444"/>
              <w:rPr>
                <w:rFonts w:ascii="Times New Roman" w:hAnsi="Times New Roman" w:cs="Times New Roman"/>
                <w:lang w:val="en-US" w:eastAsia="en-AU"/>
              </w:rPr>
            </w:pPr>
            <w:r w:rsidRPr="00FC48E5">
              <w:rPr>
                <w:rFonts w:ascii="Times New Roman" w:hAnsi="Times New Roman" w:cs="Times New Roman"/>
                <w:lang w:val="en-US" w:eastAsia="en-AU"/>
              </w:rPr>
              <w:t>Strongly supports the implementation of ADR 110/00.</w:t>
            </w:r>
          </w:p>
          <w:p w14:paraId="416684C0" w14:textId="4FF2F24D" w:rsidR="000D5288" w:rsidRPr="00FC48E5" w:rsidRDefault="000D5288" w:rsidP="00D51357">
            <w:pPr>
              <w:pStyle w:val="ListParagraph"/>
              <w:numPr>
                <w:ilvl w:val="0"/>
                <w:numId w:val="8"/>
              </w:numPr>
              <w:ind w:left="444"/>
              <w:rPr>
                <w:rFonts w:ascii="Times New Roman" w:hAnsi="Times New Roman" w:cs="Times New Roman"/>
                <w:lang w:val="en-US" w:eastAsia="en-AU"/>
              </w:rPr>
            </w:pPr>
            <w:r w:rsidRPr="00FC48E5">
              <w:rPr>
                <w:rFonts w:ascii="Times New Roman" w:hAnsi="Times New Roman" w:cs="Times New Roman"/>
                <w:lang w:val="en-US" w:eastAsia="en-AU"/>
              </w:rPr>
              <w:t>Supports the proposed timeframes for implementation of ADR 110/00.</w:t>
            </w:r>
          </w:p>
        </w:tc>
        <w:tc>
          <w:tcPr>
            <w:tcW w:w="2258" w:type="pct"/>
            <w:tcBorders>
              <w:top w:val="single" w:sz="8" w:space="0" w:color="FFFFFF"/>
              <w:left w:val="single" w:sz="8" w:space="0" w:color="FFFFFF"/>
              <w:bottom w:val="single" w:sz="8" w:space="0" w:color="FFFFFF"/>
              <w:right w:val="single" w:sz="8" w:space="0" w:color="FFFFFF"/>
            </w:tcBorders>
          </w:tcPr>
          <w:p w14:paraId="3C47B9C3" w14:textId="77777777" w:rsidR="000D5288" w:rsidRDefault="000D5288" w:rsidP="00D51357">
            <w:pPr>
              <w:pStyle w:val="ListParagraph"/>
              <w:numPr>
                <w:ilvl w:val="0"/>
                <w:numId w:val="23"/>
              </w:numPr>
              <w:ind w:left="372" w:hanging="372"/>
              <w:rPr>
                <w:rFonts w:ascii="Times New Roman" w:hAnsi="Times New Roman" w:cs="Times New Roman"/>
                <w:lang w:val="en-US" w:eastAsia="en-AU"/>
              </w:rPr>
            </w:pPr>
            <w:r>
              <w:rPr>
                <w:rFonts w:ascii="Times New Roman" w:hAnsi="Times New Roman" w:cs="Times New Roman"/>
                <w:lang w:val="en-US" w:eastAsia="en-AU"/>
              </w:rPr>
              <w:t>Noted.</w:t>
            </w:r>
          </w:p>
          <w:p w14:paraId="08483C75" w14:textId="0F283B50" w:rsidR="000D5288" w:rsidRDefault="000D5288" w:rsidP="00D51357">
            <w:pPr>
              <w:pStyle w:val="ListParagraph"/>
              <w:numPr>
                <w:ilvl w:val="0"/>
                <w:numId w:val="23"/>
              </w:numPr>
              <w:ind w:left="372" w:hanging="372"/>
              <w:rPr>
                <w:rFonts w:ascii="Times New Roman" w:hAnsi="Times New Roman" w:cs="Times New Roman"/>
                <w:lang w:val="en-US" w:eastAsia="en-AU"/>
              </w:rPr>
            </w:pPr>
            <w:r w:rsidRPr="00DA25EF">
              <w:rPr>
                <w:rStyle w:val="ui-provider"/>
                <w:rFonts w:ascii="Times New Roman" w:hAnsi="Times New Roman" w:cs="Times New Roman"/>
              </w:rPr>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tc>
      </w:tr>
      <w:tr w:rsidR="00CD11C9" w:rsidRPr="007D4593" w14:paraId="49439B9B" w14:textId="77777777" w:rsidTr="00CD11C9">
        <w:tc>
          <w:tcPr>
            <w:tcW w:w="657" w:type="pct"/>
            <w:tcBorders>
              <w:top w:val="single" w:sz="8" w:space="0" w:color="FFFFFF"/>
              <w:left w:val="single" w:sz="8" w:space="0" w:color="FFFFFF"/>
              <w:bottom w:val="single" w:sz="8" w:space="0" w:color="FFFFFF"/>
              <w:right w:val="single" w:sz="8" w:space="0" w:color="FFFFFF"/>
            </w:tcBorders>
          </w:tcPr>
          <w:p w14:paraId="7F31A412" w14:textId="77777777" w:rsidR="000D5288" w:rsidRDefault="000D5288" w:rsidP="00294FBE">
            <w:pPr>
              <w:rPr>
                <w:rFonts w:ascii="Times New Roman" w:hAnsi="Times New Roman" w:cs="Times New Roman"/>
              </w:rPr>
            </w:pPr>
            <w:r w:rsidRPr="00B96218">
              <w:rPr>
                <w:rFonts w:ascii="Times New Roman" w:hAnsi="Times New Roman" w:cs="Times New Roman"/>
              </w:rPr>
              <w:t xml:space="preserve">Natasha </w:t>
            </w:r>
            <w:proofErr w:type="spellStart"/>
            <w:r w:rsidRPr="00B96218">
              <w:rPr>
                <w:rFonts w:ascii="Times New Roman" w:hAnsi="Times New Roman" w:cs="Times New Roman"/>
              </w:rPr>
              <w:t>Cerexhe</w:t>
            </w:r>
            <w:proofErr w:type="spellEnd"/>
            <w:r w:rsidRPr="00B96218">
              <w:rPr>
                <w:rFonts w:ascii="Times New Roman" w:hAnsi="Times New Roman" w:cs="Times New Roman"/>
              </w:rPr>
              <w:t xml:space="preserve"> and Joe </w:t>
            </w:r>
            <w:proofErr w:type="spellStart"/>
            <w:r w:rsidRPr="00B96218">
              <w:rPr>
                <w:rFonts w:ascii="Times New Roman" w:hAnsi="Times New Roman" w:cs="Times New Roman"/>
              </w:rPr>
              <w:t>Kremzer</w:t>
            </w:r>
            <w:proofErr w:type="spellEnd"/>
          </w:p>
          <w:p w14:paraId="2E7047F1" w14:textId="00B40450" w:rsidR="000D5288" w:rsidRPr="007D4593" w:rsidRDefault="000D5288" w:rsidP="00294FBE">
            <w:pPr>
              <w:rPr>
                <w:rFonts w:ascii="Times New Roman" w:hAnsi="Times New Roman" w:cs="Times New Roman"/>
              </w:rPr>
            </w:pPr>
            <w:r>
              <w:rPr>
                <w:rFonts w:ascii="Times New Roman" w:hAnsi="Times New Roman" w:cs="Times New Roman"/>
              </w:rPr>
              <w:t>Australian Hydrogen Council</w:t>
            </w:r>
          </w:p>
        </w:tc>
        <w:tc>
          <w:tcPr>
            <w:tcW w:w="509" w:type="pct"/>
            <w:tcBorders>
              <w:top w:val="single" w:sz="8" w:space="0" w:color="FFFFFF"/>
              <w:left w:val="single" w:sz="8" w:space="0" w:color="FFFFFF"/>
              <w:bottom w:val="single" w:sz="8" w:space="0" w:color="FFFFFF"/>
              <w:right w:val="single" w:sz="8" w:space="0" w:color="FFFFFF"/>
            </w:tcBorders>
          </w:tcPr>
          <w:p w14:paraId="2484B6B4" w14:textId="77777777" w:rsidR="000D5288" w:rsidRPr="007D4593"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37F94571" w14:textId="3B88F75F" w:rsidR="000D5288" w:rsidRPr="00E0079C" w:rsidRDefault="000D5288" w:rsidP="00D51357">
            <w:pPr>
              <w:pStyle w:val="ListParagraph"/>
              <w:numPr>
                <w:ilvl w:val="0"/>
                <w:numId w:val="9"/>
              </w:numPr>
              <w:ind w:left="354"/>
              <w:rPr>
                <w:rFonts w:ascii="Times New Roman" w:hAnsi="Times New Roman" w:cs="Times New Roman"/>
                <w:lang w:val="en-US" w:eastAsia="en-AU"/>
              </w:rPr>
            </w:pPr>
            <w:r w:rsidRPr="00E0079C">
              <w:rPr>
                <w:rFonts w:ascii="Times New Roman" w:hAnsi="Times New Roman" w:cs="Times New Roman"/>
                <w:lang w:val="en-US" w:eastAsia="en-AU"/>
              </w:rPr>
              <w:t>Supports the Australian Government’s approach to the ensuring the safety of Australian road vehicles.</w:t>
            </w:r>
          </w:p>
          <w:p w14:paraId="1261DC2E" w14:textId="11A63F1D" w:rsidR="000D5288" w:rsidRPr="00E0079C" w:rsidRDefault="000D5288" w:rsidP="00D51357">
            <w:pPr>
              <w:pStyle w:val="ListParagraph"/>
              <w:numPr>
                <w:ilvl w:val="0"/>
                <w:numId w:val="9"/>
              </w:numPr>
              <w:ind w:left="354"/>
              <w:rPr>
                <w:rFonts w:ascii="Times New Roman" w:hAnsi="Times New Roman" w:cs="Times New Roman"/>
                <w:lang w:val="en-US" w:eastAsia="en-AU"/>
              </w:rPr>
            </w:pPr>
            <w:r w:rsidRPr="00E0079C">
              <w:rPr>
                <w:rFonts w:ascii="Times New Roman" w:hAnsi="Times New Roman" w:cs="Times New Roman"/>
                <w:lang w:val="en-US" w:eastAsia="en-AU"/>
              </w:rPr>
              <w:t>Raised that the new ADRs do not address issues with heavy transport vehicles. Noted that a significant barrier in the current ADRs relating to width and steer axle load weight exists. They support calls for the ADRs to reviewed more broadly to allow greater uptake of Zero Emission Vehicles (ZEVs).</w:t>
            </w:r>
          </w:p>
          <w:p w14:paraId="4F487A72" w14:textId="04922E10" w:rsidR="000D5288" w:rsidRPr="00E0079C" w:rsidRDefault="000D5288" w:rsidP="00D51357">
            <w:pPr>
              <w:pStyle w:val="ListParagraph"/>
              <w:numPr>
                <w:ilvl w:val="0"/>
                <w:numId w:val="9"/>
              </w:numPr>
              <w:ind w:left="354"/>
              <w:rPr>
                <w:rFonts w:ascii="Times New Roman" w:hAnsi="Times New Roman" w:cs="Times New Roman"/>
                <w:lang w:val="en-US" w:eastAsia="en-AU"/>
              </w:rPr>
            </w:pPr>
            <w:r w:rsidRPr="00E0079C">
              <w:rPr>
                <w:rFonts w:ascii="Times New Roman" w:hAnsi="Times New Roman" w:cs="Times New Roman"/>
                <w:lang w:val="en-US" w:eastAsia="en-AU"/>
              </w:rPr>
              <w:t>Recommended that the development of ADR 110/00 be undertaken as part of a broader review of the ADRs based on feedback provided by industry in the development of the National Electric Vehicle Strategy.</w:t>
            </w:r>
          </w:p>
          <w:p w14:paraId="2A8E47EC" w14:textId="35880CD4" w:rsidR="000D5288" w:rsidRPr="00E0079C" w:rsidRDefault="000D5288" w:rsidP="00D51357">
            <w:pPr>
              <w:pStyle w:val="ListParagraph"/>
              <w:numPr>
                <w:ilvl w:val="0"/>
                <w:numId w:val="9"/>
              </w:numPr>
              <w:ind w:left="354" w:hanging="354"/>
              <w:rPr>
                <w:rFonts w:ascii="Times New Roman" w:hAnsi="Times New Roman" w:cs="Times New Roman"/>
                <w:lang w:val="en-US" w:eastAsia="en-AU"/>
              </w:rPr>
            </w:pPr>
            <w:r>
              <w:rPr>
                <w:rFonts w:ascii="Times New Roman" w:hAnsi="Times New Roman" w:cs="Times New Roman"/>
                <w:lang w:val="en-US" w:eastAsia="en-AU"/>
              </w:rPr>
              <w:t>With</w:t>
            </w:r>
            <w:r w:rsidRPr="00E0079C">
              <w:rPr>
                <w:rFonts w:ascii="Times New Roman" w:hAnsi="Times New Roman" w:cs="Times New Roman"/>
                <w:lang w:val="en-US" w:eastAsia="en-AU"/>
              </w:rPr>
              <w:t xml:space="preserve"> regard to ADR 110/00, AHC considers the proposed rules to be generally fit for purpose. However, we note that the requirements for destructive testing may restrict the ability for participants in Australia’s </w:t>
            </w:r>
            <w:r w:rsidRPr="00E0079C">
              <w:rPr>
                <w:rFonts w:ascii="Times New Roman" w:hAnsi="Times New Roman" w:cs="Times New Roman"/>
                <w:lang w:val="en-US" w:eastAsia="en-AU"/>
              </w:rPr>
              <w:lastRenderedPageBreak/>
              <w:t>developing electric vehicle industry to compete with established OEM.</w:t>
            </w:r>
          </w:p>
        </w:tc>
        <w:tc>
          <w:tcPr>
            <w:tcW w:w="2258" w:type="pct"/>
            <w:tcBorders>
              <w:top w:val="single" w:sz="8" w:space="0" w:color="FFFFFF"/>
              <w:left w:val="single" w:sz="8" w:space="0" w:color="FFFFFF"/>
              <w:bottom w:val="single" w:sz="8" w:space="0" w:color="FFFFFF"/>
              <w:right w:val="single" w:sz="8" w:space="0" w:color="FFFFFF"/>
            </w:tcBorders>
          </w:tcPr>
          <w:p w14:paraId="53EE7E08" w14:textId="77777777" w:rsidR="000D5288" w:rsidRDefault="000D5288" w:rsidP="00D51357">
            <w:pPr>
              <w:pStyle w:val="ListParagraph"/>
              <w:numPr>
                <w:ilvl w:val="0"/>
                <w:numId w:val="24"/>
              </w:numPr>
              <w:ind w:left="483"/>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33D4C222" w14:textId="60AEEA7F" w:rsidR="000D5288" w:rsidRDefault="000D5288" w:rsidP="00D51357">
            <w:pPr>
              <w:pStyle w:val="ListParagraph"/>
              <w:numPr>
                <w:ilvl w:val="0"/>
                <w:numId w:val="24"/>
              </w:numPr>
              <w:ind w:left="483"/>
              <w:rPr>
                <w:rFonts w:ascii="Times New Roman" w:hAnsi="Times New Roman" w:cs="Times New Roman"/>
                <w:lang w:val="en-US" w:eastAsia="en-AU"/>
              </w:rPr>
            </w:pPr>
            <w:r w:rsidRPr="00E0079C">
              <w:rPr>
                <w:rFonts w:ascii="Times New Roman" w:hAnsi="Times New Roman" w:cs="Times New Roman"/>
                <w:lang w:val="en-US" w:eastAsia="en-AU"/>
              </w:rPr>
              <w:t>Noted</w:t>
            </w:r>
            <w:r>
              <w:rPr>
                <w:rFonts w:ascii="Times New Roman" w:hAnsi="Times New Roman" w:cs="Times New Roman"/>
                <w:lang w:val="en-US" w:eastAsia="en-AU"/>
              </w:rPr>
              <w:t>. Refer to the Australian Government safer freight vehicle work for vehicle width. Weight limits are set through state and territory governments.</w:t>
            </w:r>
          </w:p>
          <w:p w14:paraId="52D87009" w14:textId="0DD58ABA" w:rsidR="000D5288" w:rsidRDefault="000D5288" w:rsidP="00D51357">
            <w:pPr>
              <w:pStyle w:val="ListParagraph"/>
              <w:numPr>
                <w:ilvl w:val="0"/>
                <w:numId w:val="24"/>
              </w:numPr>
              <w:ind w:left="483"/>
              <w:rPr>
                <w:rFonts w:ascii="Times New Roman" w:hAnsi="Times New Roman" w:cs="Times New Roman"/>
                <w:lang w:val="en-US" w:eastAsia="en-AU"/>
              </w:rPr>
            </w:pPr>
            <w:r>
              <w:rPr>
                <w:rFonts w:ascii="Times New Roman" w:hAnsi="Times New Roman" w:cs="Times New Roman"/>
                <w:lang w:val="en-US" w:eastAsia="en-AU"/>
              </w:rPr>
              <w:t>ADR 110/00 has been circulated with peak industry bodies through the Department’s established consultation forums. Further development of ADR 110/00 (UN R134) occurs through the UN Working Groups which the Department participates in. Developing unique requirements for local manufacturers in the ADR would deviate from the Government’s policy to harmonize with international standards. Regulations based on internationally agreed standards provide consumers with access to the safest vehicles from the global market at the lowest cost.</w:t>
            </w:r>
          </w:p>
          <w:p w14:paraId="0915CF54" w14:textId="05059A1D" w:rsidR="000D5288" w:rsidRPr="00FC48E5" w:rsidRDefault="000D5288" w:rsidP="00D51357">
            <w:pPr>
              <w:pStyle w:val="ListParagraph"/>
              <w:numPr>
                <w:ilvl w:val="0"/>
                <w:numId w:val="24"/>
              </w:numPr>
              <w:ind w:left="483"/>
              <w:rPr>
                <w:rFonts w:ascii="Times New Roman" w:hAnsi="Times New Roman" w:cs="Times New Roman"/>
                <w:lang w:val="en-US" w:eastAsia="en-AU"/>
              </w:rPr>
            </w:pPr>
            <w:r>
              <w:rPr>
                <w:rFonts w:ascii="Times New Roman" w:hAnsi="Times New Roman" w:cs="Times New Roman"/>
                <w:lang w:val="en-US" w:eastAsia="en-AU"/>
              </w:rPr>
              <w:t>Imported vehicles for the Australian market must meet other ADR requirements. Also, depending on vehicle category for example, heavy vehicles are exempt from certain test requirements.</w:t>
            </w:r>
          </w:p>
        </w:tc>
      </w:tr>
      <w:tr w:rsidR="00CD11C9" w:rsidRPr="007D4593" w14:paraId="6080C84E" w14:textId="77777777" w:rsidTr="00CD11C9">
        <w:tc>
          <w:tcPr>
            <w:tcW w:w="657" w:type="pct"/>
            <w:tcBorders>
              <w:top w:val="single" w:sz="8" w:space="0" w:color="FFFFFF"/>
              <w:left w:val="single" w:sz="8" w:space="0" w:color="FFFFFF"/>
              <w:bottom w:val="single" w:sz="8" w:space="0" w:color="FFFFFF"/>
              <w:right w:val="single" w:sz="8" w:space="0" w:color="FFFFFF"/>
            </w:tcBorders>
          </w:tcPr>
          <w:p w14:paraId="41B55CDB" w14:textId="77777777" w:rsidR="000D5288" w:rsidRDefault="000D5288" w:rsidP="00986FD6">
            <w:pPr>
              <w:rPr>
                <w:rFonts w:ascii="Times New Roman" w:hAnsi="Times New Roman" w:cs="Times New Roman"/>
              </w:rPr>
            </w:pPr>
            <w:r w:rsidRPr="00B96218">
              <w:rPr>
                <w:rFonts w:ascii="Times New Roman" w:hAnsi="Times New Roman" w:cs="Times New Roman"/>
              </w:rPr>
              <w:t xml:space="preserve">Jamie </w:t>
            </w:r>
            <w:proofErr w:type="spellStart"/>
            <w:r w:rsidRPr="00B96218">
              <w:rPr>
                <w:rFonts w:ascii="Times New Roman" w:hAnsi="Times New Roman" w:cs="Times New Roman"/>
              </w:rPr>
              <w:t>Vistnes</w:t>
            </w:r>
            <w:proofErr w:type="spellEnd"/>
          </w:p>
          <w:p w14:paraId="65B80557" w14:textId="1516218B" w:rsidR="000D5288" w:rsidRPr="007D4593" w:rsidRDefault="000D5288" w:rsidP="00986FD6">
            <w:pPr>
              <w:rPr>
                <w:rFonts w:ascii="Times New Roman" w:hAnsi="Times New Roman" w:cs="Times New Roman"/>
              </w:rPr>
            </w:pPr>
            <w:r>
              <w:rPr>
                <w:rFonts w:ascii="Times New Roman" w:hAnsi="Times New Roman" w:cs="Times New Roman"/>
              </w:rPr>
              <w:t>Fire and Rescue NSW</w:t>
            </w:r>
          </w:p>
        </w:tc>
        <w:tc>
          <w:tcPr>
            <w:tcW w:w="509" w:type="pct"/>
            <w:tcBorders>
              <w:top w:val="single" w:sz="8" w:space="0" w:color="FFFFFF"/>
              <w:left w:val="single" w:sz="8" w:space="0" w:color="FFFFFF"/>
              <w:bottom w:val="single" w:sz="8" w:space="0" w:color="FFFFFF"/>
              <w:right w:val="single" w:sz="8" w:space="0" w:color="FFFFFF"/>
            </w:tcBorders>
          </w:tcPr>
          <w:p w14:paraId="5FB1B4E4" w14:textId="77777777" w:rsidR="000D5288" w:rsidRPr="007D4593" w:rsidRDefault="000D5288" w:rsidP="00986FD6">
            <w:pPr>
              <w:jc w:val="center"/>
              <w:rPr>
                <w:rFonts w:ascii="Times New Roman" w:hAnsi="Times New Roman" w:cs="Times New Roman"/>
              </w:rPr>
            </w:pPr>
          </w:p>
        </w:tc>
        <w:tc>
          <w:tcPr>
            <w:tcW w:w="1575" w:type="pct"/>
            <w:tcBorders>
              <w:top w:val="single" w:sz="8" w:space="0" w:color="FFFFFF"/>
              <w:left w:val="single" w:sz="8" w:space="0" w:color="FFFFFF"/>
              <w:bottom w:val="single" w:sz="8" w:space="0" w:color="FFFFFF"/>
              <w:right w:val="single" w:sz="8" w:space="0" w:color="FFFFFF"/>
            </w:tcBorders>
          </w:tcPr>
          <w:p w14:paraId="3F758A4F" w14:textId="03E703AC" w:rsidR="000D5288" w:rsidRPr="00D21FC4" w:rsidRDefault="000D5288" w:rsidP="00D51357">
            <w:pPr>
              <w:pStyle w:val="ListParagraph"/>
              <w:numPr>
                <w:ilvl w:val="0"/>
                <w:numId w:val="10"/>
              </w:numPr>
              <w:ind w:left="495" w:hanging="425"/>
              <w:rPr>
                <w:rFonts w:ascii="Times New Roman" w:hAnsi="Times New Roman" w:cs="Times New Roman"/>
                <w:lang w:val="en-US" w:eastAsia="en-AU"/>
              </w:rPr>
            </w:pPr>
            <w:r w:rsidRPr="00D21FC4">
              <w:rPr>
                <w:rFonts w:ascii="Times New Roman" w:hAnsi="Times New Roman" w:cs="Times New Roman"/>
                <w:lang w:val="en-US" w:eastAsia="en-AU"/>
              </w:rPr>
              <w:t>Considers that the standards should include the requirements for an emergency rescue sheet and an emergency response guide that is publicly available for all vehicles.</w:t>
            </w:r>
          </w:p>
          <w:p w14:paraId="1B47DFBA" w14:textId="1A7C2104" w:rsidR="000D5288" w:rsidRPr="00CD354E" w:rsidRDefault="000D5288" w:rsidP="00D51357">
            <w:pPr>
              <w:pStyle w:val="ListParagraph"/>
              <w:numPr>
                <w:ilvl w:val="0"/>
                <w:numId w:val="10"/>
              </w:numPr>
              <w:ind w:left="495" w:hanging="425"/>
              <w:rPr>
                <w:rFonts w:ascii="Times New Roman" w:hAnsi="Times New Roman" w:cs="Times New Roman"/>
                <w:lang w:val="en-US" w:eastAsia="en-AU"/>
              </w:rPr>
            </w:pPr>
            <w:r w:rsidRPr="00D21FC4">
              <w:rPr>
                <w:rFonts w:ascii="Times New Roman" w:hAnsi="Times New Roman" w:cs="Times New Roman"/>
                <w:lang w:val="en-US" w:eastAsia="en-AU"/>
              </w:rPr>
              <w:t xml:space="preserve">Noted that in clause 7.1.7 of Appendix A there is no requirement for light passenger vehicles for labelling as per Annex 6 </w:t>
            </w:r>
            <w:r>
              <w:rPr>
                <w:rFonts w:ascii="Times New Roman" w:hAnsi="Times New Roman" w:cs="Times New Roman"/>
                <w:lang w:val="en-US" w:eastAsia="en-AU"/>
              </w:rPr>
              <w:t xml:space="preserve">which is </w:t>
            </w:r>
            <w:r w:rsidRPr="00D21FC4">
              <w:rPr>
                <w:rFonts w:ascii="Times New Roman" w:hAnsi="Times New Roman" w:cs="Times New Roman"/>
                <w:lang w:val="en-US" w:eastAsia="en-AU"/>
              </w:rPr>
              <w:t>for light and heavy omnibuses and medium and heavy goods vehicles. Requested a clarification why this is the case.</w:t>
            </w:r>
          </w:p>
        </w:tc>
        <w:tc>
          <w:tcPr>
            <w:tcW w:w="2258" w:type="pct"/>
            <w:tcBorders>
              <w:top w:val="single" w:sz="8" w:space="0" w:color="FFFFFF"/>
              <w:left w:val="single" w:sz="8" w:space="0" w:color="FFFFFF"/>
              <w:bottom w:val="single" w:sz="8" w:space="0" w:color="FFFFFF"/>
              <w:right w:val="single" w:sz="8" w:space="0" w:color="FFFFFF"/>
            </w:tcBorders>
          </w:tcPr>
          <w:p w14:paraId="4A156817" w14:textId="77777777" w:rsidR="000D5288" w:rsidRDefault="000D5288" w:rsidP="00D51357">
            <w:pPr>
              <w:pStyle w:val="ListParagraph"/>
              <w:numPr>
                <w:ilvl w:val="0"/>
                <w:numId w:val="49"/>
              </w:numPr>
              <w:ind w:left="513" w:hanging="425"/>
              <w:rPr>
                <w:rFonts w:ascii="Times New Roman" w:hAnsi="Times New Roman" w:cs="Times New Roman"/>
                <w:lang w:val="en-US" w:eastAsia="en-AU"/>
              </w:rPr>
            </w:pPr>
            <w:r w:rsidRPr="00367D78">
              <w:rPr>
                <w:rFonts w:ascii="Times New Roman" w:hAnsi="Times New Roman" w:cs="Times New Roman"/>
                <w:lang w:val="en-US" w:eastAsia="en-AU"/>
              </w:rPr>
              <w:t>Noted. An ANCAP RESCUE app has been designed to assist first responders in Australia stay safe on our roads when attending crash events.</w:t>
            </w:r>
          </w:p>
          <w:p w14:paraId="73D137EE" w14:textId="77777777" w:rsidR="000D5288" w:rsidRPr="00367D78" w:rsidRDefault="00A072D2" w:rsidP="00367D78">
            <w:pPr>
              <w:pStyle w:val="ListParagraph"/>
              <w:ind w:left="513"/>
              <w:rPr>
                <w:rFonts w:ascii="Times New Roman" w:hAnsi="Times New Roman" w:cs="Times New Roman"/>
                <w:lang w:val="en-US" w:eastAsia="en-AU"/>
              </w:rPr>
            </w:pPr>
            <w:hyperlink r:id="rId12" w:history="1">
              <w:r w:rsidR="000D5288" w:rsidRPr="00D7219D">
                <w:rPr>
                  <w:rFonts w:ascii="Times New Roman" w:eastAsiaTheme="minorHAnsi" w:hAnsi="Times New Roman" w:cs="Times New Roman"/>
                  <w:color w:val="0000FF"/>
                  <w:sz w:val="16"/>
                  <w:szCs w:val="16"/>
                  <w:u w:val="single"/>
                </w:rPr>
                <w:t>ANCAP RESCUE App | Vehicle Rescue App for First Responders</w:t>
              </w:r>
            </w:hyperlink>
            <w:r w:rsidR="000D5288">
              <w:rPr>
                <w:rFonts w:ascii="Times New Roman" w:hAnsi="Times New Roman" w:cs="Times New Roman"/>
                <w:lang w:val="en-US" w:eastAsia="en-AU"/>
              </w:rPr>
              <w:t xml:space="preserve"> </w:t>
            </w:r>
            <w:r w:rsidR="000D5288" w:rsidRPr="00367D78">
              <w:rPr>
                <w:rFonts w:ascii="Times New Roman" w:hAnsi="Times New Roman" w:cs="Times New Roman"/>
                <w:lang w:val="en-US" w:eastAsia="en-AU"/>
              </w:rPr>
              <w:t xml:space="preserve">Furthermore, ANCAP will seek Rescue Cards from vehicle manufacturers each time ANCAP rates a vehicle. These Rescue Cards are designed to assist first responders in quickly identifying in-vehicle hazards, such as High Voltage (HV) batteries to minimize risks and safely free occupants from vehicles post crash. </w:t>
            </w:r>
          </w:p>
          <w:p w14:paraId="1803CA45" w14:textId="2BA7A859" w:rsidR="000D5288" w:rsidRDefault="000D5288" w:rsidP="00367D78">
            <w:pPr>
              <w:pStyle w:val="ListParagraph"/>
              <w:ind w:left="513"/>
              <w:rPr>
                <w:rFonts w:ascii="Times New Roman" w:hAnsi="Times New Roman" w:cs="Times New Roman"/>
                <w:lang w:val="en-US" w:eastAsia="en-AU"/>
              </w:rPr>
            </w:pPr>
            <w:r w:rsidRPr="00367D78">
              <w:rPr>
                <w:rFonts w:ascii="Times New Roman" w:hAnsi="Times New Roman" w:cs="Times New Roman"/>
                <w:lang w:val="en-US" w:eastAsia="en-AU"/>
              </w:rPr>
              <w:t>Adding a unique requirement to the ADR would go against the Australian government’s policy to harmonize with international regulations and therefore not allow for the safest and cheapest vehicles supplied to the Australian market.</w:t>
            </w:r>
          </w:p>
          <w:p w14:paraId="47D4DFA8" w14:textId="01A7792B" w:rsidR="000D5288" w:rsidRDefault="000D5288" w:rsidP="00D51357">
            <w:pPr>
              <w:pStyle w:val="ListParagraph"/>
              <w:numPr>
                <w:ilvl w:val="0"/>
                <w:numId w:val="49"/>
              </w:numPr>
              <w:ind w:left="513"/>
              <w:rPr>
                <w:rFonts w:ascii="Times New Roman" w:hAnsi="Times New Roman" w:cs="Times New Roman"/>
                <w:lang w:val="en-US" w:eastAsia="en-AU"/>
              </w:rPr>
            </w:pPr>
            <w:r w:rsidRPr="00D21FC4">
              <w:rPr>
                <w:rFonts w:ascii="Times New Roman" w:hAnsi="Times New Roman" w:cs="Times New Roman"/>
                <w:lang w:val="en-US" w:eastAsia="en-AU"/>
              </w:rPr>
              <w:t>Light and heavy omnibuses and medium and heavy goods vehicles which are vehicle categories M2/N2 and M3/N3 are commercial vehicles carrying large quantities of hydrogen fuel</w:t>
            </w:r>
            <w:r>
              <w:rPr>
                <w:rFonts w:ascii="Times New Roman" w:hAnsi="Times New Roman" w:cs="Times New Roman"/>
                <w:lang w:val="en-US" w:eastAsia="en-AU"/>
              </w:rPr>
              <w:t xml:space="preserve"> and therefore carry a bigger risk</w:t>
            </w:r>
            <w:r w:rsidRPr="00D21FC4">
              <w:rPr>
                <w:rFonts w:ascii="Times New Roman" w:hAnsi="Times New Roman" w:cs="Times New Roman"/>
                <w:lang w:val="en-US" w:eastAsia="en-AU"/>
              </w:rPr>
              <w:t>. The label in Annex 6 is large in size.</w:t>
            </w:r>
            <w:r>
              <w:rPr>
                <w:rFonts w:ascii="Times New Roman" w:hAnsi="Times New Roman" w:cs="Times New Roman"/>
                <w:lang w:val="en-US" w:eastAsia="en-AU"/>
              </w:rPr>
              <w:t xml:space="preserve"> In Australia the requirements for number plate labelling for hydrogen vehicles is so they can be identified as an alternative fuel source vehicle.</w:t>
            </w:r>
          </w:p>
          <w:p w14:paraId="602279D7" w14:textId="27D1DDDF" w:rsidR="000D5288" w:rsidRPr="00BB3F0F" w:rsidRDefault="000D5288" w:rsidP="005A62C3">
            <w:pPr>
              <w:pStyle w:val="ListParagraph"/>
              <w:ind w:left="513"/>
              <w:rPr>
                <w:rFonts w:ascii="Times New Roman" w:hAnsi="Times New Roman" w:cs="Times New Roman"/>
                <w:lang w:val="en-US" w:eastAsia="en-AU"/>
              </w:rPr>
            </w:pPr>
            <w:r>
              <w:rPr>
                <w:rFonts w:ascii="Times New Roman" w:hAnsi="Times New Roman" w:cs="Times New Roman"/>
                <w:lang w:val="en-US" w:eastAsia="en-AU"/>
              </w:rPr>
              <w:t>Excluding WA all other state and territories in Australia require this label to be displayed on the number plate for light vehicles.</w:t>
            </w:r>
          </w:p>
        </w:tc>
      </w:tr>
      <w:tr w:rsidR="00CD11C9" w:rsidRPr="007D4593" w14:paraId="5CFA3EBA" w14:textId="77777777" w:rsidTr="00CD11C9">
        <w:tc>
          <w:tcPr>
            <w:tcW w:w="657" w:type="pct"/>
            <w:tcBorders>
              <w:top w:val="single" w:sz="8" w:space="0" w:color="FFFFFF"/>
              <w:left w:val="single" w:sz="8" w:space="0" w:color="FFFFFF"/>
              <w:bottom w:val="single" w:sz="8" w:space="0" w:color="FFFFFF"/>
              <w:right w:val="single" w:sz="8" w:space="0" w:color="FFFFFF"/>
            </w:tcBorders>
          </w:tcPr>
          <w:p w14:paraId="4791364C" w14:textId="77777777" w:rsidR="000D5288" w:rsidRDefault="000D5288" w:rsidP="0055602A">
            <w:pPr>
              <w:rPr>
                <w:rFonts w:ascii="Times New Roman" w:hAnsi="Times New Roman" w:cs="Times New Roman"/>
              </w:rPr>
            </w:pPr>
            <w:r w:rsidRPr="00B96218">
              <w:rPr>
                <w:rFonts w:ascii="Times New Roman" w:hAnsi="Times New Roman" w:cs="Times New Roman"/>
              </w:rPr>
              <w:t>Mark Hammond</w:t>
            </w:r>
          </w:p>
          <w:p w14:paraId="28DCD2E9" w14:textId="0D1198FB" w:rsidR="000D5288" w:rsidRPr="007D4593" w:rsidRDefault="000D5288" w:rsidP="0055602A">
            <w:pPr>
              <w:rPr>
                <w:rFonts w:ascii="Times New Roman" w:hAnsi="Times New Roman" w:cs="Times New Roman"/>
              </w:rPr>
            </w:pPr>
            <w:r>
              <w:rPr>
                <w:rFonts w:ascii="Times New Roman" w:hAnsi="Times New Roman" w:cs="Times New Roman"/>
              </w:rPr>
              <w:t>Truck Industry Council (TIC)</w:t>
            </w:r>
          </w:p>
        </w:tc>
        <w:tc>
          <w:tcPr>
            <w:tcW w:w="509" w:type="pct"/>
            <w:tcBorders>
              <w:top w:val="single" w:sz="8" w:space="0" w:color="FFFFFF"/>
              <w:left w:val="single" w:sz="8" w:space="0" w:color="FFFFFF"/>
              <w:bottom w:val="single" w:sz="8" w:space="0" w:color="FFFFFF"/>
              <w:right w:val="single" w:sz="8" w:space="0" w:color="FFFFFF"/>
            </w:tcBorders>
          </w:tcPr>
          <w:p w14:paraId="3A93EB31" w14:textId="77777777" w:rsidR="000D5288" w:rsidRPr="007D4593"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58CE1F2B" w14:textId="1F714884" w:rsidR="000D5288" w:rsidRPr="00C23E50" w:rsidRDefault="000D5288" w:rsidP="00D51357">
            <w:pPr>
              <w:pStyle w:val="ListParagraph"/>
              <w:numPr>
                <w:ilvl w:val="0"/>
                <w:numId w:val="11"/>
              </w:numPr>
              <w:ind w:left="495" w:hanging="425"/>
              <w:rPr>
                <w:rFonts w:ascii="Times New Roman" w:hAnsi="Times New Roman" w:cs="Times New Roman"/>
                <w:lang w:val="en-US" w:eastAsia="en-AU"/>
              </w:rPr>
            </w:pPr>
            <w:r w:rsidRPr="00C23E50">
              <w:rPr>
                <w:rFonts w:ascii="Times New Roman" w:hAnsi="Times New Roman" w:cs="Times New Roman"/>
                <w:lang w:val="en-US" w:eastAsia="en-AU"/>
              </w:rPr>
              <w:t>Fully supports ADR 110/00 subject to implementation timing.</w:t>
            </w:r>
          </w:p>
          <w:p w14:paraId="12E3AF15" w14:textId="75CBEE42" w:rsidR="000D5288" w:rsidRPr="00C23E50" w:rsidRDefault="000D5288" w:rsidP="00D51357">
            <w:pPr>
              <w:pStyle w:val="ListParagraph"/>
              <w:numPr>
                <w:ilvl w:val="0"/>
                <w:numId w:val="11"/>
              </w:numPr>
              <w:ind w:left="495" w:hanging="425"/>
              <w:rPr>
                <w:rFonts w:ascii="Times New Roman" w:hAnsi="Times New Roman" w:cs="Times New Roman"/>
                <w:lang w:val="en-US" w:eastAsia="en-AU"/>
              </w:rPr>
            </w:pPr>
            <w:r w:rsidRPr="00C23E50">
              <w:rPr>
                <w:rFonts w:ascii="Times New Roman" w:hAnsi="Times New Roman" w:cs="Times New Roman"/>
                <w:lang w:val="en-US" w:eastAsia="en-AU"/>
              </w:rPr>
              <w:t>Supports the alternative standards in the draft ADRs and requested that the Department acknowledge, that if future alternative regulations are developed, particularly from Japan or USA, that these will be considered for adoption as alternatives.</w:t>
            </w:r>
          </w:p>
          <w:p w14:paraId="57B299A1" w14:textId="07DD4D4B" w:rsidR="000D5288" w:rsidRPr="00C23E50" w:rsidRDefault="000D5288" w:rsidP="00D51357">
            <w:pPr>
              <w:pStyle w:val="ListParagraph"/>
              <w:numPr>
                <w:ilvl w:val="0"/>
                <w:numId w:val="11"/>
              </w:numPr>
              <w:ind w:left="495" w:hanging="425"/>
              <w:rPr>
                <w:rFonts w:ascii="Times New Roman" w:hAnsi="Times New Roman" w:cs="Times New Roman"/>
                <w:lang w:val="en-US" w:eastAsia="en-AU"/>
              </w:rPr>
            </w:pPr>
            <w:r w:rsidRPr="00C23E50">
              <w:rPr>
                <w:rFonts w:ascii="Times New Roman" w:hAnsi="Times New Roman" w:cs="Times New Roman"/>
                <w:lang w:val="en-US" w:eastAsia="en-AU"/>
              </w:rPr>
              <w:lastRenderedPageBreak/>
              <w:t xml:space="preserve">Noted that clauses 6.3 and 6.4 refer to light vehicle test procedures for vehicles with a </w:t>
            </w:r>
            <w:r>
              <w:rPr>
                <w:rFonts w:ascii="Times New Roman" w:hAnsi="Times New Roman" w:cs="Times New Roman"/>
                <w:lang w:val="en-US" w:eastAsia="en-AU"/>
              </w:rPr>
              <w:t>Gross Vehicle Mass (</w:t>
            </w:r>
            <w:r w:rsidRPr="00C23E50">
              <w:rPr>
                <w:rFonts w:ascii="Times New Roman" w:hAnsi="Times New Roman" w:cs="Times New Roman"/>
                <w:lang w:val="en-US" w:eastAsia="en-AU"/>
              </w:rPr>
              <w:t>GVM</w:t>
            </w:r>
            <w:r>
              <w:rPr>
                <w:rFonts w:ascii="Times New Roman" w:hAnsi="Times New Roman" w:cs="Times New Roman"/>
                <w:lang w:val="en-US" w:eastAsia="en-AU"/>
              </w:rPr>
              <w:t>)</w:t>
            </w:r>
            <w:r w:rsidRPr="00C23E50">
              <w:rPr>
                <w:rFonts w:ascii="Times New Roman" w:hAnsi="Times New Roman" w:cs="Times New Roman"/>
                <w:lang w:val="en-US" w:eastAsia="en-AU"/>
              </w:rPr>
              <w:t xml:space="preserve"> of 3.5t or less. TIC do not believe that these test procedures are suitable for vehicles above 3.5t GVM. TIC recommended vehicle categories above 3.5t GVM should be removed from these clauses in the ADR.</w:t>
            </w:r>
          </w:p>
          <w:p w14:paraId="3AD7ABED" w14:textId="77777777" w:rsidR="000D5288" w:rsidRPr="00ED4053" w:rsidRDefault="000D5288" w:rsidP="00D51357">
            <w:pPr>
              <w:pStyle w:val="ListParagraph"/>
              <w:numPr>
                <w:ilvl w:val="0"/>
                <w:numId w:val="11"/>
              </w:numPr>
              <w:ind w:left="495" w:hanging="425"/>
              <w:rPr>
                <w:rFonts w:ascii="Times New Roman" w:hAnsi="Times New Roman" w:cs="Times New Roman"/>
                <w:lang w:val="en-US" w:eastAsia="en-AU"/>
              </w:rPr>
            </w:pPr>
            <w:r w:rsidRPr="00ED4053">
              <w:rPr>
                <w:rFonts w:ascii="Times New Roman" w:hAnsi="Times New Roman" w:cs="Times New Roman"/>
                <w:lang w:val="en-US" w:eastAsia="en-AU"/>
              </w:rPr>
              <w:t xml:space="preserve">TIC and TIC members do not support the implementation dates for ADR 110/00. Given the minimum 60 working day regulatory timeline for Vehicle Type Approvals (VTAs) under the </w:t>
            </w:r>
            <w:r w:rsidRPr="00ED4053">
              <w:rPr>
                <w:rFonts w:ascii="Times New Roman" w:hAnsi="Times New Roman" w:cs="Times New Roman"/>
                <w:i/>
                <w:lang w:val="en-US" w:eastAsia="en-AU"/>
              </w:rPr>
              <w:t>Road Vehicle Standards Act 2018</w:t>
            </w:r>
            <w:r w:rsidRPr="00ED4053">
              <w:rPr>
                <w:rFonts w:ascii="Times New Roman" w:hAnsi="Times New Roman" w:cs="Times New Roman"/>
                <w:lang w:val="en-US" w:eastAsia="en-AU"/>
              </w:rPr>
              <w:t xml:space="preserve"> (RVSA) if the applicability date is set for November 2023. TIC proposes the following introduction dates: </w:t>
            </w:r>
          </w:p>
          <w:p w14:paraId="4A501510" w14:textId="77777777" w:rsidR="000D5288" w:rsidRPr="00ED4053" w:rsidRDefault="000D5288" w:rsidP="00ED4053">
            <w:pPr>
              <w:pStyle w:val="ListParagraph"/>
              <w:numPr>
                <w:ilvl w:val="0"/>
                <w:numId w:val="51"/>
              </w:numPr>
              <w:rPr>
                <w:rFonts w:ascii="Times New Roman" w:hAnsi="Times New Roman" w:cs="Times New Roman"/>
                <w:lang w:val="en-US" w:eastAsia="en-AU"/>
              </w:rPr>
            </w:pPr>
            <w:r w:rsidRPr="00ED4053">
              <w:rPr>
                <w:rFonts w:ascii="Times New Roman" w:hAnsi="Times New Roman" w:cs="Times New Roman"/>
                <w:lang w:val="en-US" w:eastAsia="en-AU"/>
              </w:rPr>
              <w:t xml:space="preserve">New models 1 November 2024, </w:t>
            </w:r>
          </w:p>
          <w:p w14:paraId="79BCA5BA" w14:textId="7BF03C8E" w:rsidR="000D5288" w:rsidRPr="00ED4053" w:rsidRDefault="000D5288" w:rsidP="00ED4053">
            <w:pPr>
              <w:pStyle w:val="ListParagraph"/>
              <w:numPr>
                <w:ilvl w:val="0"/>
                <w:numId w:val="51"/>
              </w:numPr>
              <w:rPr>
                <w:rFonts w:ascii="Times New Roman" w:hAnsi="Times New Roman" w:cs="Times New Roman"/>
                <w:lang w:val="en-US" w:eastAsia="en-AU"/>
              </w:rPr>
            </w:pPr>
            <w:r w:rsidRPr="00ED4053">
              <w:rPr>
                <w:rFonts w:ascii="Times New Roman" w:hAnsi="Times New Roman" w:cs="Times New Roman"/>
                <w:lang w:val="en-US" w:eastAsia="en-AU"/>
              </w:rPr>
              <w:t xml:space="preserve">All models 1 November 2025. </w:t>
            </w:r>
          </w:p>
          <w:p w14:paraId="552ED485" w14:textId="77777777" w:rsidR="000D5288" w:rsidRPr="004D3B95" w:rsidRDefault="000D5288" w:rsidP="00D51357">
            <w:pPr>
              <w:pStyle w:val="ListParagraph"/>
              <w:numPr>
                <w:ilvl w:val="0"/>
                <w:numId w:val="11"/>
              </w:numPr>
              <w:ind w:left="495" w:hanging="495"/>
              <w:rPr>
                <w:rFonts w:ascii="Times New Roman" w:hAnsi="Times New Roman" w:cs="Times New Roman"/>
                <w:lang w:val="en-US" w:eastAsia="en-AU"/>
              </w:rPr>
            </w:pPr>
            <w:r w:rsidRPr="00ED4053">
              <w:rPr>
                <w:rFonts w:ascii="Times New Roman" w:hAnsi="Times New Roman" w:cs="Times New Roman"/>
                <w:lang w:val="en-US" w:eastAsia="en-AU"/>
              </w:rPr>
              <w:t>Further, TIC and TIC members believe that any future amendments to UN R134 should be mandated in ADR 110/XX with an appropriate introduction date plus 2 years for NEW Australian models and 1 November after the European introduction NEW model introduction date plus 3 years for ALL Australian models. Alternatively, TIC would also accept 1 November after the European ALL model introduction date plus 2 years.</w:t>
            </w:r>
          </w:p>
        </w:tc>
        <w:tc>
          <w:tcPr>
            <w:tcW w:w="2258" w:type="pct"/>
            <w:tcBorders>
              <w:top w:val="single" w:sz="8" w:space="0" w:color="FFFFFF"/>
              <w:left w:val="single" w:sz="8" w:space="0" w:color="FFFFFF"/>
              <w:bottom w:val="single" w:sz="8" w:space="0" w:color="FFFFFF"/>
              <w:right w:val="single" w:sz="8" w:space="0" w:color="FFFFFF"/>
            </w:tcBorders>
          </w:tcPr>
          <w:p w14:paraId="41274B82" w14:textId="77777777" w:rsidR="000D5288" w:rsidRDefault="000D5288" w:rsidP="00D51357">
            <w:pPr>
              <w:pStyle w:val="ListParagraph"/>
              <w:numPr>
                <w:ilvl w:val="0"/>
                <w:numId w:val="30"/>
              </w:numPr>
              <w:ind w:left="485" w:hanging="425"/>
              <w:rPr>
                <w:rFonts w:ascii="Times New Roman" w:hAnsi="Times New Roman" w:cs="Times New Roman"/>
                <w:lang w:val="en-US" w:eastAsia="en-AU"/>
              </w:rPr>
            </w:pPr>
            <w:r>
              <w:rPr>
                <w:rFonts w:ascii="Times New Roman" w:hAnsi="Times New Roman" w:cs="Times New Roman"/>
                <w:lang w:val="en-US" w:eastAsia="en-AU"/>
              </w:rPr>
              <w:lastRenderedPageBreak/>
              <w:t>Noted.</w:t>
            </w:r>
          </w:p>
          <w:p w14:paraId="7DB43D0F" w14:textId="77777777" w:rsidR="000D5288" w:rsidRDefault="000D5288" w:rsidP="00DE42E8">
            <w:pPr>
              <w:pStyle w:val="ListParagraph"/>
              <w:numPr>
                <w:ilvl w:val="0"/>
                <w:numId w:val="30"/>
              </w:numPr>
              <w:ind w:left="485" w:hanging="425"/>
              <w:rPr>
                <w:rFonts w:ascii="Times New Roman" w:hAnsi="Times New Roman" w:cs="Times New Roman"/>
                <w:lang w:val="en-US" w:eastAsia="en-AU"/>
              </w:rPr>
            </w:pPr>
            <w:r w:rsidRPr="00C23E50">
              <w:rPr>
                <w:rFonts w:ascii="Times New Roman" w:hAnsi="Times New Roman" w:cs="Times New Roman"/>
                <w:lang w:val="en-US" w:eastAsia="en-AU"/>
              </w:rPr>
              <w:t>Noted. The Department will consider alternative standards from other markets based on their availability and suitability to the Australian conditions</w:t>
            </w:r>
            <w:r>
              <w:rPr>
                <w:rFonts w:ascii="Times New Roman" w:hAnsi="Times New Roman" w:cs="Times New Roman"/>
                <w:lang w:val="en-US" w:eastAsia="en-AU"/>
              </w:rPr>
              <w:t>.</w:t>
            </w:r>
          </w:p>
          <w:p w14:paraId="39BF832A" w14:textId="01B96E2D" w:rsidR="000D5288" w:rsidRDefault="000D5288" w:rsidP="00DE42E8">
            <w:pPr>
              <w:pStyle w:val="ListParagraph"/>
              <w:numPr>
                <w:ilvl w:val="0"/>
                <w:numId w:val="30"/>
              </w:numPr>
              <w:ind w:left="485" w:hanging="425"/>
              <w:rPr>
                <w:rFonts w:ascii="Times New Roman" w:hAnsi="Times New Roman" w:cs="Times New Roman"/>
                <w:lang w:val="en-US" w:eastAsia="en-AU"/>
              </w:rPr>
            </w:pPr>
            <w:r w:rsidRPr="00DE42E8">
              <w:rPr>
                <w:rFonts w:ascii="Times New Roman" w:hAnsi="Times New Roman" w:cs="Times New Roman"/>
                <w:lang w:val="en-US" w:eastAsia="en-AU"/>
              </w:rPr>
              <w:t>Noted. ADR 1</w:t>
            </w:r>
            <w:r>
              <w:rPr>
                <w:rFonts w:ascii="Times New Roman" w:hAnsi="Times New Roman" w:cs="Times New Roman"/>
                <w:lang w:val="en-US" w:eastAsia="en-AU"/>
              </w:rPr>
              <w:t>10</w:t>
            </w:r>
            <w:r w:rsidRPr="00DE42E8">
              <w:rPr>
                <w:rFonts w:ascii="Times New Roman" w:hAnsi="Times New Roman" w:cs="Times New Roman"/>
                <w:lang w:val="en-US" w:eastAsia="en-AU"/>
              </w:rPr>
              <w:t>/00 has been updated to remove heavy vehicles (vehicles with a GVM above 3.5t) from being subject to crash tests.</w:t>
            </w:r>
          </w:p>
          <w:p w14:paraId="3196FB5D" w14:textId="70A47A00" w:rsidR="000D5288" w:rsidRPr="00DE42E8" w:rsidRDefault="000D5288" w:rsidP="00DE42E8">
            <w:pPr>
              <w:pStyle w:val="ListParagraph"/>
              <w:numPr>
                <w:ilvl w:val="0"/>
                <w:numId w:val="30"/>
              </w:numPr>
              <w:ind w:left="485" w:hanging="425"/>
              <w:rPr>
                <w:rFonts w:ascii="Times New Roman" w:hAnsi="Times New Roman" w:cs="Times New Roman"/>
                <w:lang w:val="en-US" w:eastAsia="en-AU"/>
              </w:rPr>
            </w:pPr>
            <w:r w:rsidRPr="00DA25EF">
              <w:rPr>
                <w:rStyle w:val="ui-provider"/>
                <w:rFonts w:ascii="Times New Roman" w:hAnsi="Times New Roman" w:cs="Times New Roman"/>
              </w:rPr>
              <w:lastRenderedPageBreak/>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p w14:paraId="65524F53" w14:textId="08958C1B" w:rsidR="000D5288" w:rsidRPr="00ED4053" w:rsidRDefault="000D5288" w:rsidP="00DE42E8">
            <w:pPr>
              <w:pStyle w:val="ListParagraph"/>
              <w:numPr>
                <w:ilvl w:val="0"/>
                <w:numId w:val="30"/>
              </w:numPr>
              <w:ind w:left="485" w:hanging="425"/>
              <w:rPr>
                <w:rFonts w:ascii="Times New Roman" w:hAnsi="Times New Roman" w:cs="Times New Roman"/>
                <w:lang w:val="en-US" w:eastAsia="en-AU"/>
              </w:rPr>
            </w:pPr>
            <w:r w:rsidRPr="00ED4053">
              <w:rPr>
                <w:rFonts w:ascii="Times New Roman" w:hAnsi="Times New Roman" w:cs="Times New Roman"/>
                <w:lang w:val="en-US" w:eastAsia="en-AU"/>
              </w:rPr>
              <w:t>Noted.</w:t>
            </w:r>
          </w:p>
          <w:p w14:paraId="657E49E8" w14:textId="1B65436A" w:rsidR="000D5288" w:rsidRPr="00C23E50" w:rsidRDefault="000D5288" w:rsidP="00C23E50">
            <w:pPr>
              <w:ind w:left="60"/>
              <w:rPr>
                <w:rFonts w:ascii="Times New Roman" w:hAnsi="Times New Roman" w:cs="Times New Roman"/>
                <w:lang w:val="en-US" w:eastAsia="en-AU"/>
              </w:rPr>
            </w:pPr>
          </w:p>
        </w:tc>
      </w:tr>
      <w:tr w:rsidR="00CD11C9" w:rsidRPr="007D4593" w14:paraId="3709654E" w14:textId="77777777" w:rsidTr="00CD11C9">
        <w:tc>
          <w:tcPr>
            <w:tcW w:w="657" w:type="pct"/>
            <w:tcBorders>
              <w:top w:val="single" w:sz="8" w:space="0" w:color="FFFFFF"/>
              <w:left w:val="single" w:sz="8" w:space="0" w:color="FFFFFF"/>
              <w:bottom w:val="single" w:sz="8" w:space="0" w:color="FFFFFF"/>
              <w:right w:val="single" w:sz="8" w:space="0" w:color="FFFFFF"/>
            </w:tcBorders>
          </w:tcPr>
          <w:p w14:paraId="0745499A" w14:textId="77777777" w:rsidR="000D5288" w:rsidRDefault="000D5288" w:rsidP="00530034">
            <w:pPr>
              <w:rPr>
                <w:rFonts w:ascii="Times New Roman" w:hAnsi="Times New Roman" w:cs="Times New Roman"/>
              </w:rPr>
            </w:pPr>
            <w:r w:rsidRPr="00B96218">
              <w:rPr>
                <w:rFonts w:ascii="Times New Roman" w:hAnsi="Times New Roman" w:cs="Times New Roman"/>
              </w:rPr>
              <w:lastRenderedPageBreak/>
              <w:t>Luke Hardy</w:t>
            </w:r>
          </w:p>
          <w:p w14:paraId="08255F3B" w14:textId="77269F19" w:rsidR="000D5288" w:rsidRPr="007D4593" w:rsidRDefault="000D5288" w:rsidP="00530034">
            <w:pPr>
              <w:rPr>
                <w:rFonts w:ascii="Times New Roman" w:hAnsi="Times New Roman" w:cs="Times New Roman"/>
              </w:rPr>
            </w:pPr>
            <w:r>
              <w:rPr>
                <w:rFonts w:ascii="Times New Roman" w:hAnsi="Times New Roman" w:cs="Times New Roman"/>
              </w:rPr>
              <w:lastRenderedPageBreak/>
              <w:t>Bus Industry Confederation (BIC)</w:t>
            </w:r>
          </w:p>
        </w:tc>
        <w:tc>
          <w:tcPr>
            <w:tcW w:w="509" w:type="pct"/>
            <w:tcBorders>
              <w:top w:val="single" w:sz="8" w:space="0" w:color="FFFFFF"/>
              <w:left w:val="single" w:sz="8" w:space="0" w:color="FFFFFF"/>
              <w:bottom w:val="single" w:sz="8" w:space="0" w:color="FFFFFF"/>
              <w:right w:val="single" w:sz="8" w:space="0" w:color="FFFFFF"/>
            </w:tcBorders>
          </w:tcPr>
          <w:p w14:paraId="1CC31C73" w14:textId="77777777" w:rsidR="000D5288" w:rsidRPr="007D4593" w:rsidRDefault="000D5288" w:rsidP="00986FD6">
            <w:pPr>
              <w:jc w:val="center"/>
              <w:rPr>
                <w:rFonts w:ascii="Times New Roman" w:hAnsi="Times New Roman" w:cs="Times New Roman"/>
              </w:rPr>
            </w:pPr>
            <w:r>
              <w:rPr>
                <w:rFonts w:ascii="Times New Roman" w:hAnsi="Times New Roman" w:cs="Times New Roman"/>
              </w:rPr>
              <w:lastRenderedPageBreak/>
              <w:t>Support</w:t>
            </w:r>
          </w:p>
        </w:tc>
        <w:tc>
          <w:tcPr>
            <w:tcW w:w="1575" w:type="pct"/>
            <w:tcBorders>
              <w:top w:val="single" w:sz="8" w:space="0" w:color="FFFFFF"/>
              <w:left w:val="single" w:sz="8" w:space="0" w:color="FFFFFF"/>
              <w:bottom w:val="single" w:sz="8" w:space="0" w:color="FFFFFF"/>
              <w:right w:val="single" w:sz="8" w:space="0" w:color="FFFFFF"/>
            </w:tcBorders>
          </w:tcPr>
          <w:p w14:paraId="112BD613" w14:textId="77777777" w:rsidR="000D5288" w:rsidRDefault="000D5288" w:rsidP="00D51357">
            <w:pPr>
              <w:pStyle w:val="ListParagraph"/>
              <w:numPr>
                <w:ilvl w:val="0"/>
                <w:numId w:val="12"/>
              </w:numPr>
              <w:ind w:left="444" w:hanging="426"/>
              <w:rPr>
                <w:rFonts w:ascii="Times New Roman" w:hAnsi="Times New Roman" w:cs="Times New Roman"/>
                <w:lang w:val="en-US" w:eastAsia="en-AU"/>
              </w:rPr>
            </w:pPr>
            <w:r w:rsidRPr="003F24F9">
              <w:rPr>
                <w:rFonts w:ascii="Times New Roman" w:hAnsi="Times New Roman" w:cs="Times New Roman"/>
                <w:lang w:val="en-US" w:eastAsia="en-AU"/>
              </w:rPr>
              <w:t xml:space="preserve">Noted that applicability dates are not acceptable and recommend the following dates: </w:t>
            </w:r>
          </w:p>
          <w:p w14:paraId="7414AC5B" w14:textId="77777777" w:rsidR="000D5288" w:rsidRDefault="000D5288" w:rsidP="00DC57DC">
            <w:pPr>
              <w:pStyle w:val="ListParagraph"/>
              <w:numPr>
                <w:ilvl w:val="0"/>
                <w:numId w:val="52"/>
              </w:numPr>
              <w:rPr>
                <w:rFonts w:ascii="Times New Roman" w:hAnsi="Times New Roman" w:cs="Times New Roman"/>
                <w:lang w:val="en-US" w:eastAsia="en-AU"/>
              </w:rPr>
            </w:pPr>
            <w:r w:rsidRPr="003F24F9">
              <w:rPr>
                <w:rFonts w:ascii="Times New Roman" w:hAnsi="Times New Roman" w:cs="Times New Roman"/>
                <w:lang w:val="en-US" w:eastAsia="en-AU"/>
              </w:rPr>
              <w:t>New Models</w:t>
            </w:r>
            <w:r>
              <w:rPr>
                <w:rFonts w:ascii="Times New Roman" w:hAnsi="Times New Roman" w:cs="Times New Roman"/>
                <w:lang w:val="en-US" w:eastAsia="en-AU"/>
              </w:rPr>
              <w:t xml:space="preserve"> </w:t>
            </w:r>
            <w:r w:rsidRPr="003F24F9">
              <w:rPr>
                <w:rFonts w:ascii="Times New Roman" w:hAnsi="Times New Roman" w:cs="Times New Roman"/>
                <w:lang w:val="en-US" w:eastAsia="en-AU"/>
              </w:rPr>
              <w:t xml:space="preserve">1 November 2024 </w:t>
            </w:r>
          </w:p>
          <w:p w14:paraId="6B72BC9A" w14:textId="5FE87671" w:rsidR="000D5288" w:rsidRPr="003F24F9" w:rsidRDefault="000D5288" w:rsidP="00DC57DC">
            <w:pPr>
              <w:pStyle w:val="ListParagraph"/>
              <w:numPr>
                <w:ilvl w:val="0"/>
                <w:numId w:val="52"/>
              </w:numPr>
              <w:rPr>
                <w:rFonts w:ascii="Times New Roman" w:hAnsi="Times New Roman" w:cs="Times New Roman"/>
                <w:lang w:val="en-US" w:eastAsia="en-AU"/>
              </w:rPr>
            </w:pPr>
            <w:r w:rsidRPr="003F24F9">
              <w:rPr>
                <w:rFonts w:ascii="Times New Roman" w:hAnsi="Times New Roman" w:cs="Times New Roman"/>
                <w:lang w:val="en-US" w:eastAsia="en-AU"/>
              </w:rPr>
              <w:lastRenderedPageBreak/>
              <w:t>All Vehicles 1 November 2025.</w:t>
            </w:r>
          </w:p>
        </w:tc>
        <w:tc>
          <w:tcPr>
            <w:tcW w:w="2258" w:type="pct"/>
            <w:tcBorders>
              <w:top w:val="single" w:sz="8" w:space="0" w:color="FFFFFF"/>
              <w:left w:val="single" w:sz="8" w:space="0" w:color="FFFFFF"/>
              <w:bottom w:val="single" w:sz="8" w:space="0" w:color="FFFFFF"/>
              <w:right w:val="single" w:sz="8" w:space="0" w:color="FFFFFF"/>
            </w:tcBorders>
          </w:tcPr>
          <w:p w14:paraId="705128C2" w14:textId="5C5E7D52" w:rsidR="000D5288" w:rsidRDefault="000D5288" w:rsidP="00D51357">
            <w:pPr>
              <w:pStyle w:val="ListParagraph"/>
              <w:numPr>
                <w:ilvl w:val="0"/>
                <w:numId w:val="25"/>
              </w:numPr>
              <w:ind w:left="485"/>
              <w:rPr>
                <w:rFonts w:ascii="Times New Roman" w:hAnsi="Times New Roman" w:cs="Times New Roman"/>
                <w:lang w:val="en-US" w:eastAsia="en-AU"/>
              </w:rPr>
            </w:pPr>
            <w:r w:rsidRPr="00DA25EF">
              <w:rPr>
                <w:rStyle w:val="ui-provider"/>
                <w:rFonts w:ascii="Times New Roman" w:hAnsi="Times New Roman" w:cs="Times New Roman"/>
              </w:rPr>
              <w:lastRenderedPageBreak/>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tc>
      </w:tr>
      <w:tr w:rsidR="00CD11C9" w:rsidRPr="007D4593" w14:paraId="4F9FB377" w14:textId="77777777" w:rsidTr="00CD11C9">
        <w:tc>
          <w:tcPr>
            <w:tcW w:w="657" w:type="pct"/>
            <w:tcBorders>
              <w:top w:val="single" w:sz="8" w:space="0" w:color="FFFFFF"/>
              <w:left w:val="single" w:sz="8" w:space="0" w:color="FFFFFF"/>
              <w:bottom w:val="single" w:sz="8" w:space="0" w:color="FFFFFF"/>
              <w:right w:val="single" w:sz="8" w:space="0" w:color="FFFFFF"/>
            </w:tcBorders>
          </w:tcPr>
          <w:p w14:paraId="1534E402" w14:textId="13EDC009" w:rsidR="000D5288" w:rsidRPr="000D5288" w:rsidRDefault="000D5288" w:rsidP="00466389">
            <w:pPr>
              <w:rPr>
                <w:rFonts w:ascii="Times New Roman" w:hAnsi="Times New Roman" w:cs="Times New Roman"/>
              </w:rPr>
            </w:pPr>
            <w:r w:rsidRPr="000D5288">
              <w:rPr>
                <w:rFonts w:ascii="Times New Roman" w:hAnsi="Times New Roman" w:cs="Times New Roman"/>
              </w:rPr>
              <w:t>C</w:t>
            </w:r>
            <w:r>
              <w:rPr>
                <w:rFonts w:ascii="Times New Roman" w:hAnsi="Times New Roman" w:cs="Times New Roman"/>
              </w:rPr>
              <w:t>onfidential submission</w:t>
            </w:r>
          </w:p>
        </w:tc>
        <w:tc>
          <w:tcPr>
            <w:tcW w:w="509" w:type="pct"/>
            <w:tcBorders>
              <w:top w:val="single" w:sz="8" w:space="0" w:color="FFFFFF"/>
              <w:left w:val="single" w:sz="8" w:space="0" w:color="FFFFFF"/>
              <w:bottom w:val="single" w:sz="8" w:space="0" w:color="FFFFFF"/>
              <w:right w:val="single" w:sz="8" w:space="0" w:color="FFFFFF"/>
            </w:tcBorders>
          </w:tcPr>
          <w:p w14:paraId="291BEF7A" w14:textId="77777777" w:rsidR="000D5288" w:rsidRPr="007D4593"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2FBEF17D" w14:textId="4EFD6429" w:rsidR="000D5288" w:rsidRPr="00930C18" w:rsidRDefault="000D5288" w:rsidP="00D51357">
            <w:pPr>
              <w:pStyle w:val="ListParagraph"/>
              <w:numPr>
                <w:ilvl w:val="0"/>
                <w:numId w:val="13"/>
              </w:numPr>
              <w:ind w:left="444" w:hanging="284"/>
              <w:rPr>
                <w:rFonts w:ascii="Times New Roman" w:hAnsi="Times New Roman" w:cs="Times New Roman"/>
                <w:lang w:val="en-US" w:eastAsia="en-AU"/>
              </w:rPr>
            </w:pPr>
            <w:r w:rsidRPr="00C3655E">
              <w:rPr>
                <w:rFonts w:ascii="Times New Roman" w:hAnsi="Times New Roman" w:cs="Times New Roman"/>
                <w:lang w:val="en-US" w:eastAsia="en-AU"/>
              </w:rPr>
              <w:t>Supports the introduction of ADR 110/00 at the earliest possible timeframe.</w:t>
            </w:r>
          </w:p>
        </w:tc>
        <w:tc>
          <w:tcPr>
            <w:tcW w:w="2258" w:type="pct"/>
            <w:tcBorders>
              <w:top w:val="single" w:sz="8" w:space="0" w:color="FFFFFF"/>
              <w:left w:val="single" w:sz="8" w:space="0" w:color="FFFFFF"/>
              <w:bottom w:val="single" w:sz="8" w:space="0" w:color="FFFFFF"/>
              <w:right w:val="single" w:sz="8" w:space="0" w:color="FFFFFF"/>
            </w:tcBorders>
          </w:tcPr>
          <w:p w14:paraId="2895AB65" w14:textId="7EBAFC99" w:rsidR="000D5288" w:rsidRDefault="000D5288" w:rsidP="00D51357">
            <w:pPr>
              <w:pStyle w:val="ListParagraph"/>
              <w:numPr>
                <w:ilvl w:val="0"/>
                <w:numId w:val="45"/>
              </w:numPr>
              <w:ind w:left="508" w:hanging="420"/>
              <w:rPr>
                <w:rFonts w:ascii="Times New Roman" w:hAnsi="Times New Roman" w:cs="Times New Roman"/>
                <w:lang w:val="en-US" w:eastAsia="en-AU"/>
              </w:rPr>
            </w:pPr>
            <w:r>
              <w:rPr>
                <w:rFonts w:ascii="Times New Roman" w:hAnsi="Times New Roman" w:cs="Times New Roman"/>
                <w:lang w:val="en-US" w:eastAsia="en-AU"/>
              </w:rPr>
              <w:t>Noted.</w:t>
            </w:r>
          </w:p>
        </w:tc>
      </w:tr>
      <w:tr w:rsidR="00CD11C9" w:rsidRPr="008E0F40" w14:paraId="54FD1CC0" w14:textId="77777777" w:rsidTr="00CD11C9">
        <w:tc>
          <w:tcPr>
            <w:tcW w:w="657" w:type="pct"/>
            <w:tcBorders>
              <w:top w:val="single" w:sz="8" w:space="0" w:color="FFFFFF"/>
              <w:left w:val="single" w:sz="8" w:space="0" w:color="FFFFFF"/>
              <w:bottom w:val="single" w:sz="8" w:space="0" w:color="FFFFFF"/>
              <w:right w:val="single" w:sz="8" w:space="0" w:color="FFFFFF"/>
            </w:tcBorders>
          </w:tcPr>
          <w:p w14:paraId="3CB4BB17" w14:textId="77777777" w:rsidR="000D5288" w:rsidRDefault="000D5288" w:rsidP="008015B2">
            <w:pPr>
              <w:rPr>
                <w:rFonts w:ascii="Times New Roman" w:hAnsi="Times New Roman" w:cs="Times New Roman"/>
              </w:rPr>
            </w:pPr>
            <w:r w:rsidRPr="00B96218">
              <w:rPr>
                <w:rFonts w:ascii="Times New Roman" w:hAnsi="Times New Roman" w:cs="Times New Roman"/>
              </w:rPr>
              <w:t>Greg Forbes</w:t>
            </w:r>
          </w:p>
          <w:p w14:paraId="7C7A398B" w14:textId="1C7280DC" w:rsidR="000D5288" w:rsidRPr="007D4593" w:rsidRDefault="000D5288" w:rsidP="008015B2">
            <w:pPr>
              <w:rPr>
                <w:rFonts w:ascii="Times New Roman" w:hAnsi="Times New Roman" w:cs="Times New Roman"/>
              </w:rPr>
            </w:pPr>
            <w:r>
              <w:rPr>
                <w:rFonts w:ascii="Times New Roman" w:hAnsi="Times New Roman" w:cs="Times New Roman"/>
              </w:rPr>
              <w:t>Heavy Vehicle Industry Australia (HVIA)</w:t>
            </w:r>
          </w:p>
        </w:tc>
        <w:tc>
          <w:tcPr>
            <w:tcW w:w="509" w:type="pct"/>
            <w:tcBorders>
              <w:top w:val="single" w:sz="8" w:space="0" w:color="FFFFFF"/>
              <w:left w:val="single" w:sz="8" w:space="0" w:color="FFFFFF"/>
              <w:bottom w:val="single" w:sz="8" w:space="0" w:color="FFFFFF"/>
              <w:right w:val="single" w:sz="8" w:space="0" w:color="FFFFFF"/>
            </w:tcBorders>
          </w:tcPr>
          <w:p w14:paraId="77FE81AE" w14:textId="77777777" w:rsidR="000D5288" w:rsidRPr="007D4593" w:rsidRDefault="000D5288" w:rsidP="00986FD6">
            <w:pPr>
              <w:jc w:val="center"/>
              <w:rPr>
                <w:rFonts w:ascii="Times New Roman" w:hAnsi="Times New Roman" w:cs="Times New Roman"/>
              </w:rPr>
            </w:pPr>
          </w:p>
        </w:tc>
        <w:tc>
          <w:tcPr>
            <w:tcW w:w="1575" w:type="pct"/>
            <w:tcBorders>
              <w:top w:val="single" w:sz="8" w:space="0" w:color="FFFFFF"/>
              <w:left w:val="single" w:sz="8" w:space="0" w:color="FFFFFF"/>
              <w:bottom w:val="single" w:sz="8" w:space="0" w:color="FFFFFF"/>
              <w:right w:val="single" w:sz="8" w:space="0" w:color="FFFFFF"/>
            </w:tcBorders>
          </w:tcPr>
          <w:p w14:paraId="2A86B864" w14:textId="67766726" w:rsidR="000D5288" w:rsidRPr="00C81128" w:rsidRDefault="000D5288" w:rsidP="00D51357">
            <w:pPr>
              <w:pStyle w:val="ListParagraph"/>
              <w:numPr>
                <w:ilvl w:val="0"/>
                <w:numId w:val="14"/>
              </w:numPr>
              <w:ind w:left="495" w:hanging="425"/>
              <w:rPr>
                <w:rFonts w:ascii="Times New Roman" w:hAnsi="Times New Roman" w:cs="Times New Roman"/>
                <w:lang w:val="en-US" w:eastAsia="en-AU"/>
              </w:rPr>
            </w:pPr>
            <w:r w:rsidRPr="00C81128">
              <w:rPr>
                <w:rFonts w:ascii="Times New Roman" w:hAnsi="Times New Roman" w:cs="Times New Roman"/>
                <w:lang w:val="en-US" w:eastAsia="en-AU"/>
              </w:rPr>
              <w:t>Noted their satisfaction that the proposed ADRs represent best practice requirements for vehicle safety. However, raised concerns on the availability of local testing facilities for local manufacturers. Noted that for this reason the HVIA does not agree with the Office of Impact Analysis (OIA) assessment.</w:t>
            </w:r>
          </w:p>
          <w:p w14:paraId="0D5CAB79" w14:textId="77777777" w:rsidR="000D5288" w:rsidRPr="008E0F40" w:rsidRDefault="000D5288" w:rsidP="00D51357">
            <w:pPr>
              <w:pStyle w:val="ListParagraph"/>
              <w:numPr>
                <w:ilvl w:val="0"/>
                <w:numId w:val="14"/>
              </w:numPr>
              <w:ind w:left="495" w:hanging="425"/>
              <w:rPr>
                <w:rFonts w:ascii="Times New Roman" w:hAnsi="Times New Roman" w:cs="Times New Roman"/>
                <w:lang w:val="en-US" w:eastAsia="en-AU"/>
              </w:rPr>
            </w:pPr>
            <w:r w:rsidRPr="00C81128">
              <w:rPr>
                <w:rFonts w:ascii="Times New Roman" w:hAnsi="Times New Roman" w:cs="Times New Roman"/>
                <w:lang w:val="en-US" w:eastAsia="en-AU"/>
              </w:rPr>
              <w:t>Raised that any testing requirements related to complete vehicles or vehicle subsystems must be able to be completed wholly with Australia. Tests included in the ADRs as mandatory must not necessitate the international transport of complete vehicles, nor vehicle subsystems, for certification tests. Doing so would impose prohibitive costs on local manufacturers</w:t>
            </w:r>
            <w:r w:rsidRPr="008E0F40">
              <w:rPr>
                <w:rFonts w:ascii="Times New Roman" w:hAnsi="Times New Roman" w:cs="Times New Roman"/>
                <w:lang w:val="en-US" w:eastAsia="en-AU"/>
              </w:rPr>
              <w:t xml:space="preserve">. </w:t>
            </w:r>
          </w:p>
          <w:p w14:paraId="47538385" w14:textId="29CB6165" w:rsidR="000D5288" w:rsidRPr="008E0F40" w:rsidRDefault="000D5288" w:rsidP="00D51357">
            <w:pPr>
              <w:pStyle w:val="ListParagraph"/>
              <w:numPr>
                <w:ilvl w:val="0"/>
                <w:numId w:val="14"/>
              </w:numPr>
              <w:ind w:left="495"/>
              <w:rPr>
                <w:rFonts w:ascii="Times New Roman" w:hAnsi="Times New Roman" w:cs="Times New Roman"/>
                <w:lang w:val="en-US" w:eastAsia="en-AU"/>
              </w:rPr>
            </w:pPr>
            <w:r w:rsidRPr="008E0F40">
              <w:rPr>
                <w:rFonts w:ascii="Times New Roman" w:hAnsi="Times New Roman" w:cs="Times New Roman"/>
                <w:lang w:val="en-US" w:eastAsia="en-AU"/>
              </w:rPr>
              <w:t xml:space="preserve">Furthermore; if compliance by component-level testing is allowed, HVIA seeks greater clarity on any specific requirements the Department would have to avoid whole of vehicle testing, and on the evidence that the Department will require to satisfy itself that vehicles are compliant when tested on a component by component basis. If compliance by component-level testing is not </w:t>
            </w:r>
            <w:r w:rsidRPr="008E0F40">
              <w:rPr>
                <w:rFonts w:ascii="Times New Roman" w:hAnsi="Times New Roman" w:cs="Times New Roman"/>
                <w:lang w:val="en-US" w:eastAsia="en-AU"/>
              </w:rPr>
              <w:lastRenderedPageBreak/>
              <w:t>allowed, HVIA strongly advocates for the revision of the testing requirements.</w:t>
            </w:r>
          </w:p>
          <w:p w14:paraId="69E95E2E" w14:textId="77777777" w:rsidR="000D5288" w:rsidRPr="007D0402" w:rsidRDefault="000D5288" w:rsidP="00D51357">
            <w:pPr>
              <w:pStyle w:val="ListParagraph"/>
              <w:numPr>
                <w:ilvl w:val="0"/>
                <w:numId w:val="14"/>
              </w:numPr>
              <w:ind w:left="495" w:hanging="425"/>
              <w:rPr>
                <w:rFonts w:ascii="Times New Roman" w:hAnsi="Times New Roman" w:cs="Times New Roman"/>
                <w:lang w:val="en-US" w:eastAsia="en-AU"/>
              </w:rPr>
            </w:pPr>
            <w:r w:rsidRPr="007D0402">
              <w:rPr>
                <w:rFonts w:ascii="Times New Roman" w:hAnsi="Times New Roman" w:cs="Times New Roman"/>
                <w:lang w:val="en-US" w:eastAsia="en-AU"/>
              </w:rPr>
              <w:t>Raised that the timelines may be too ambitious in view of the testing requirements.</w:t>
            </w:r>
          </w:p>
          <w:p w14:paraId="6411F905" w14:textId="36E8AAF4" w:rsidR="000D5288" w:rsidRPr="007D0402" w:rsidRDefault="000D5288" w:rsidP="00D51357">
            <w:pPr>
              <w:pStyle w:val="ListParagraph"/>
              <w:numPr>
                <w:ilvl w:val="0"/>
                <w:numId w:val="14"/>
              </w:numPr>
              <w:ind w:left="495" w:hanging="425"/>
              <w:rPr>
                <w:rFonts w:ascii="Times New Roman" w:hAnsi="Times New Roman" w:cs="Times New Roman"/>
                <w:lang w:val="en-US" w:eastAsia="en-AU"/>
              </w:rPr>
            </w:pPr>
            <w:r>
              <w:rPr>
                <w:rFonts w:ascii="Times New Roman" w:hAnsi="Times New Roman" w:cs="Times New Roman"/>
                <w:lang w:val="en-US" w:eastAsia="en-AU"/>
              </w:rPr>
              <w:t>Raised the</w:t>
            </w:r>
            <w:r w:rsidRPr="007D0402">
              <w:rPr>
                <w:rFonts w:ascii="Times New Roman" w:hAnsi="Times New Roman" w:cs="Times New Roman"/>
                <w:lang w:val="en-US" w:eastAsia="en-AU"/>
              </w:rPr>
              <w:t xml:space="preserve"> request that the Department investigate whether there are inconsistencies between the proposed ADRs and dangerous goods and worksafe legislation across the country.</w:t>
            </w:r>
          </w:p>
          <w:p w14:paraId="48A8C347" w14:textId="01311476" w:rsidR="000D5288" w:rsidRPr="008B3768" w:rsidRDefault="000D5288" w:rsidP="00D51357">
            <w:pPr>
              <w:pStyle w:val="ListParagraph"/>
              <w:numPr>
                <w:ilvl w:val="0"/>
                <w:numId w:val="14"/>
              </w:numPr>
              <w:ind w:left="495" w:hanging="425"/>
              <w:rPr>
                <w:rFonts w:ascii="Times New Roman" w:hAnsi="Times New Roman" w:cs="Times New Roman"/>
                <w:lang w:val="en-US" w:eastAsia="en-AU"/>
              </w:rPr>
            </w:pPr>
            <w:r w:rsidRPr="007D0402">
              <w:rPr>
                <w:rFonts w:ascii="Times New Roman" w:hAnsi="Times New Roman" w:cs="Times New Roman"/>
                <w:lang w:val="en-US" w:eastAsia="en-AU"/>
              </w:rPr>
              <w:t>Highlighted that in clause 7.1.3.2 for vehicle exhaust systems, the position of exhaust outlets is also covered separately in ADR 42/05. Exhaust outlets should not be subjected to the restrictions as outlined in ADR 42/05 and other compliance issues with the introduction of new ADRs.</w:t>
            </w:r>
          </w:p>
        </w:tc>
        <w:tc>
          <w:tcPr>
            <w:tcW w:w="2258" w:type="pct"/>
            <w:tcBorders>
              <w:top w:val="single" w:sz="8" w:space="0" w:color="FFFFFF"/>
              <w:left w:val="single" w:sz="8" w:space="0" w:color="FFFFFF"/>
              <w:bottom w:val="single" w:sz="8" w:space="0" w:color="FFFFFF"/>
              <w:right w:val="single" w:sz="8" w:space="0" w:color="FFFFFF"/>
            </w:tcBorders>
          </w:tcPr>
          <w:p w14:paraId="2908CCA5" w14:textId="77777777" w:rsidR="000D5288" w:rsidRPr="008E0F40" w:rsidRDefault="000D5288" w:rsidP="00D51357">
            <w:pPr>
              <w:pStyle w:val="ListParagraph"/>
              <w:numPr>
                <w:ilvl w:val="0"/>
                <w:numId w:val="27"/>
              </w:numPr>
              <w:ind w:left="480" w:hanging="284"/>
              <w:rPr>
                <w:rFonts w:ascii="Times New Roman" w:hAnsi="Times New Roman" w:cs="Times New Roman"/>
                <w:lang w:val="en-US" w:eastAsia="en-AU"/>
              </w:rPr>
            </w:pPr>
            <w:r w:rsidRPr="008E0F40">
              <w:rPr>
                <w:rFonts w:ascii="Times New Roman" w:hAnsi="Times New Roman" w:cs="Times New Roman"/>
                <w:lang w:val="en-US" w:eastAsia="en-AU"/>
              </w:rPr>
              <w:lastRenderedPageBreak/>
              <w:t>Noted.</w:t>
            </w:r>
          </w:p>
          <w:p w14:paraId="7B1E40A3" w14:textId="77777777" w:rsidR="000D5288" w:rsidRPr="008E0F40" w:rsidRDefault="000D5288" w:rsidP="00DC57DC">
            <w:pPr>
              <w:pStyle w:val="ListParagraph"/>
              <w:numPr>
                <w:ilvl w:val="0"/>
                <w:numId w:val="27"/>
              </w:numPr>
              <w:ind w:left="480" w:hanging="284"/>
              <w:rPr>
                <w:rFonts w:ascii="Times New Roman" w:hAnsi="Times New Roman" w:cs="Times New Roman"/>
                <w:lang w:val="en-US" w:eastAsia="en-AU"/>
              </w:rPr>
            </w:pPr>
            <w:r w:rsidRPr="008E0F40">
              <w:rPr>
                <w:rFonts w:ascii="Times New Roman" w:hAnsi="Times New Roman" w:cs="Times New Roman"/>
                <w:lang w:val="en-US" w:eastAsia="en-AU"/>
              </w:rPr>
              <w:t>Manufacturers are not required to gain a UN approval to certify their products to the ADR, they may also submit documentation showing test results to the technical requirements of the ADR. Manufacturers are also importing components for assembly in the local market. Depending on components, they are able to be accessed with a UN approval prior to importation and assembly.</w:t>
            </w:r>
          </w:p>
          <w:p w14:paraId="5569A968" w14:textId="0EE3C565" w:rsidR="000D5288" w:rsidRPr="008E0F40" w:rsidRDefault="008E0F40" w:rsidP="008E0F40">
            <w:pPr>
              <w:pStyle w:val="ListParagraph"/>
              <w:numPr>
                <w:ilvl w:val="0"/>
                <w:numId w:val="27"/>
              </w:numPr>
              <w:ind w:left="480" w:hanging="284"/>
              <w:rPr>
                <w:rFonts w:ascii="Times New Roman" w:hAnsi="Times New Roman" w:cs="Times New Roman"/>
                <w:lang w:val="en-US" w:eastAsia="en-AU"/>
              </w:rPr>
            </w:pPr>
            <w:r w:rsidRPr="008E0F40">
              <w:rPr>
                <w:rFonts w:ascii="Times New Roman" w:hAnsi="Times New Roman" w:cs="Times New Roman"/>
                <w:lang w:val="en-US" w:eastAsia="en-AU"/>
              </w:rPr>
              <w:t>Manufacturers are importing components for assembly in the local market. Depending on components, they are able to be accessed with UN approval prior to importation. The ADR allows for the certification of components for ZEVs built locally by accepting test reports to the technical requirements of the UN regulation.</w:t>
            </w:r>
          </w:p>
          <w:p w14:paraId="28B08202" w14:textId="77777777" w:rsidR="000D5288" w:rsidRPr="008E0F40" w:rsidRDefault="000D5288" w:rsidP="00326526">
            <w:pPr>
              <w:pStyle w:val="ListParagraph"/>
              <w:numPr>
                <w:ilvl w:val="0"/>
                <w:numId w:val="27"/>
              </w:numPr>
              <w:ind w:left="480" w:hanging="284"/>
              <w:rPr>
                <w:rStyle w:val="ui-provider"/>
                <w:rFonts w:ascii="Times New Roman" w:hAnsi="Times New Roman" w:cs="Times New Roman"/>
                <w:lang w:val="en-US" w:eastAsia="en-AU"/>
              </w:rPr>
            </w:pPr>
            <w:r w:rsidRPr="008E0F40">
              <w:rPr>
                <w:rStyle w:val="ui-provider"/>
                <w:rFonts w:ascii="Times New Roman" w:hAnsi="Times New Roman" w:cs="Times New Roman"/>
              </w:rPr>
              <w:t>Final implementation dates will be determined as part of the ADR, following further consultation by the Department with industry and decision by the Minister.</w:t>
            </w:r>
          </w:p>
          <w:p w14:paraId="3415E345" w14:textId="77777777" w:rsidR="000D5288" w:rsidRPr="008E0F40" w:rsidRDefault="000D5288" w:rsidP="00326526">
            <w:pPr>
              <w:pStyle w:val="ListParagraph"/>
              <w:numPr>
                <w:ilvl w:val="0"/>
                <w:numId w:val="27"/>
              </w:numPr>
              <w:ind w:left="480" w:hanging="284"/>
              <w:rPr>
                <w:rFonts w:ascii="Times New Roman" w:hAnsi="Times New Roman" w:cs="Times New Roman"/>
                <w:lang w:val="en-US" w:eastAsia="en-AU"/>
              </w:rPr>
            </w:pPr>
            <w:r w:rsidRPr="008E0F40">
              <w:rPr>
                <w:rFonts w:ascii="Times New Roman" w:hAnsi="Times New Roman" w:cs="Times New Roman"/>
                <w:lang w:val="en-US" w:eastAsia="en-AU"/>
              </w:rPr>
              <w:t>The ADRs do not regulate dangerous goods and work safe legislation.</w:t>
            </w:r>
          </w:p>
          <w:p w14:paraId="088AFABA" w14:textId="22FC050B" w:rsidR="000D5288" w:rsidRPr="008E0F40" w:rsidRDefault="000D5288" w:rsidP="00326526">
            <w:pPr>
              <w:pStyle w:val="ListParagraph"/>
              <w:numPr>
                <w:ilvl w:val="0"/>
                <w:numId w:val="27"/>
              </w:numPr>
              <w:ind w:left="480" w:hanging="284"/>
              <w:rPr>
                <w:rFonts w:ascii="Times New Roman" w:hAnsi="Times New Roman" w:cs="Times New Roman"/>
                <w:lang w:val="en-US" w:eastAsia="en-AU"/>
              </w:rPr>
            </w:pPr>
            <w:r w:rsidRPr="008E0F40">
              <w:rPr>
                <w:rFonts w:ascii="Times New Roman" w:hAnsi="Times New Roman" w:cs="Times New Roman"/>
                <w:lang w:val="en-US" w:eastAsia="en-AU"/>
              </w:rPr>
              <w:t>The Department can confirm that ADR 110/00 sets out procedures for the exhaust system regarding hydrogen concentration levels leaving the exhaust discharge whereas ADR 42/05 specifies exhaust system positioning with regard to the vehicle. There is no apparent inconsistency here.</w:t>
            </w:r>
          </w:p>
        </w:tc>
      </w:tr>
      <w:tr w:rsidR="00CD11C9" w:rsidRPr="007D4593" w14:paraId="6D45525C" w14:textId="77777777" w:rsidTr="00CD11C9">
        <w:tc>
          <w:tcPr>
            <w:tcW w:w="657" w:type="pct"/>
            <w:tcBorders>
              <w:top w:val="single" w:sz="8" w:space="0" w:color="FFFFFF"/>
              <w:left w:val="single" w:sz="8" w:space="0" w:color="FFFFFF"/>
              <w:bottom w:val="single" w:sz="8" w:space="0" w:color="FFFFFF"/>
              <w:right w:val="single" w:sz="8" w:space="0" w:color="FFFFFF"/>
            </w:tcBorders>
          </w:tcPr>
          <w:p w14:paraId="0D44E571" w14:textId="77777777" w:rsidR="000D5288" w:rsidRDefault="000D5288" w:rsidP="004D3BA5">
            <w:pPr>
              <w:rPr>
                <w:rFonts w:ascii="Times New Roman" w:hAnsi="Times New Roman" w:cs="Times New Roman"/>
              </w:rPr>
            </w:pPr>
            <w:r>
              <w:rPr>
                <w:rFonts w:ascii="Times New Roman" w:hAnsi="Times New Roman" w:cs="Times New Roman"/>
              </w:rPr>
              <w:t>Ashely Sanders</w:t>
            </w:r>
          </w:p>
          <w:p w14:paraId="2722E4E9" w14:textId="6FC63390" w:rsidR="000D5288" w:rsidRPr="007D4593" w:rsidRDefault="000D5288" w:rsidP="004D3BA5">
            <w:pPr>
              <w:rPr>
                <w:rFonts w:ascii="Times New Roman" w:hAnsi="Times New Roman" w:cs="Times New Roman"/>
              </w:rPr>
            </w:pPr>
            <w:r>
              <w:rPr>
                <w:rFonts w:ascii="Times New Roman" w:hAnsi="Times New Roman" w:cs="Times New Roman"/>
              </w:rPr>
              <w:t>Federal Chamber of Automotive Industries (FCAI)</w:t>
            </w:r>
          </w:p>
        </w:tc>
        <w:tc>
          <w:tcPr>
            <w:tcW w:w="509" w:type="pct"/>
            <w:tcBorders>
              <w:top w:val="single" w:sz="8" w:space="0" w:color="FFFFFF"/>
              <w:left w:val="single" w:sz="8" w:space="0" w:color="FFFFFF"/>
              <w:bottom w:val="single" w:sz="8" w:space="0" w:color="FFFFFF"/>
              <w:right w:val="single" w:sz="8" w:space="0" w:color="FFFFFF"/>
            </w:tcBorders>
          </w:tcPr>
          <w:p w14:paraId="00B495B7" w14:textId="77777777" w:rsidR="000D5288" w:rsidRPr="007D4593" w:rsidRDefault="000D5288" w:rsidP="00986FD6">
            <w:pPr>
              <w:jc w:val="center"/>
              <w:rPr>
                <w:rFonts w:ascii="Times New Roman" w:hAnsi="Times New Roman" w:cs="Times New Roman"/>
              </w:rPr>
            </w:pPr>
            <w:r>
              <w:rPr>
                <w:rFonts w:ascii="Times New Roman" w:hAnsi="Times New Roman" w:cs="Times New Roman"/>
              </w:rPr>
              <w:t>Support</w:t>
            </w:r>
          </w:p>
        </w:tc>
        <w:tc>
          <w:tcPr>
            <w:tcW w:w="1575" w:type="pct"/>
            <w:tcBorders>
              <w:top w:val="single" w:sz="8" w:space="0" w:color="FFFFFF"/>
              <w:left w:val="single" w:sz="8" w:space="0" w:color="FFFFFF"/>
              <w:bottom w:val="single" w:sz="8" w:space="0" w:color="FFFFFF"/>
              <w:right w:val="single" w:sz="8" w:space="0" w:color="FFFFFF"/>
            </w:tcBorders>
          </w:tcPr>
          <w:p w14:paraId="1AAAEE23" w14:textId="77777777" w:rsidR="000D5288" w:rsidRDefault="000D5288" w:rsidP="00D51357">
            <w:pPr>
              <w:pStyle w:val="ListParagraph"/>
              <w:numPr>
                <w:ilvl w:val="0"/>
                <w:numId w:val="16"/>
              </w:numPr>
              <w:ind w:left="446" w:hanging="425"/>
              <w:rPr>
                <w:rFonts w:ascii="Times New Roman" w:hAnsi="Times New Roman" w:cs="Times New Roman"/>
                <w:lang w:val="en-US" w:eastAsia="en-AU"/>
              </w:rPr>
            </w:pPr>
            <w:r w:rsidRPr="00E9284F">
              <w:rPr>
                <w:rFonts w:ascii="Times New Roman" w:hAnsi="Times New Roman" w:cs="Times New Roman"/>
                <w:lang w:val="en-US" w:eastAsia="en-AU"/>
              </w:rPr>
              <w:t xml:space="preserve">Supported the ADRs implementation timing of </w:t>
            </w:r>
          </w:p>
          <w:p w14:paraId="797AEEC9" w14:textId="7C277D64" w:rsidR="000D5288" w:rsidRDefault="000D5288" w:rsidP="009C07E8">
            <w:pPr>
              <w:pStyle w:val="ListParagraph"/>
              <w:numPr>
                <w:ilvl w:val="0"/>
                <w:numId w:val="54"/>
              </w:numPr>
              <w:rPr>
                <w:rFonts w:ascii="Times New Roman" w:hAnsi="Times New Roman" w:cs="Times New Roman"/>
                <w:lang w:val="en-US" w:eastAsia="en-AU"/>
              </w:rPr>
            </w:pPr>
            <w:r w:rsidRPr="00E9284F">
              <w:rPr>
                <w:rFonts w:ascii="Times New Roman" w:hAnsi="Times New Roman" w:cs="Times New Roman"/>
                <w:lang w:val="en-US" w:eastAsia="en-AU"/>
              </w:rPr>
              <w:t xml:space="preserve">1 November 2024 New Models </w:t>
            </w:r>
          </w:p>
          <w:p w14:paraId="690FEE21" w14:textId="64C52074" w:rsidR="000D5288" w:rsidRPr="00E9284F" w:rsidRDefault="000D5288" w:rsidP="009C07E8">
            <w:pPr>
              <w:pStyle w:val="ListParagraph"/>
              <w:numPr>
                <w:ilvl w:val="0"/>
                <w:numId w:val="54"/>
              </w:numPr>
              <w:rPr>
                <w:rFonts w:ascii="Times New Roman" w:hAnsi="Times New Roman" w:cs="Times New Roman"/>
                <w:lang w:val="en-US" w:eastAsia="en-AU"/>
              </w:rPr>
            </w:pPr>
            <w:r w:rsidRPr="00E9284F">
              <w:rPr>
                <w:rFonts w:ascii="Times New Roman" w:hAnsi="Times New Roman" w:cs="Times New Roman"/>
                <w:lang w:val="en-US" w:eastAsia="en-AU"/>
              </w:rPr>
              <w:t>1 November 2026 All Models.</w:t>
            </w:r>
          </w:p>
          <w:p w14:paraId="232F632C" w14:textId="3BEFC5D3" w:rsidR="000D5288" w:rsidRPr="00E9284F" w:rsidRDefault="000D5288" w:rsidP="00D51357">
            <w:pPr>
              <w:pStyle w:val="ListParagraph"/>
              <w:numPr>
                <w:ilvl w:val="0"/>
                <w:numId w:val="16"/>
              </w:numPr>
              <w:ind w:left="446" w:hanging="425"/>
              <w:rPr>
                <w:rFonts w:ascii="Times New Roman" w:hAnsi="Times New Roman" w:cs="Times New Roman"/>
                <w:lang w:val="en-US" w:eastAsia="en-AU"/>
              </w:rPr>
            </w:pPr>
            <w:r w:rsidRPr="00E9284F">
              <w:rPr>
                <w:rFonts w:ascii="Times New Roman" w:hAnsi="Times New Roman" w:cs="Times New Roman"/>
                <w:lang w:val="en-US" w:eastAsia="en-AU"/>
              </w:rPr>
              <w:t>Recommended the Department ensures the requirements are not in advance of international timing and to ensure sufficient lead time for attaining</w:t>
            </w:r>
            <w:r>
              <w:rPr>
                <w:rFonts w:ascii="Times New Roman" w:hAnsi="Times New Roman" w:cs="Times New Roman"/>
                <w:lang w:val="en-US" w:eastAsia="en-AU"/>
              </w:rPr>
              <w:t xml:space="preserve"> </w:t>
            </w:r>
            <w:r w:rsidRPr="00D51BC8">
              <w:rPr>
                <w:rFonts w:ascii="Times New Roman" w:hAnsi="Times New Roman" w:cs="Times New Roman"/>
                <w:lang w:val="en-US" w:eastAsia="en-AU"/>
              </w:rPr>
              <w:t xml:space="preserve">UN approvals and updating Australian </w:t>
            </w:r>
            <w:r>
              <w:rPr>
                <w:rFonts w:ascii="Times New Roman" w:hAnsi="Times New Roman" w:cs="Times New Roman"/>
                <w:lang w:val="en-US" w:eastAsia="en-AU"/>
              </w:rPr>
              <w:t>Vehicle Type Approval (</w:t>
            </w:r>
            <w:r w:rsidRPr="00D51BC8">
              <w:rPr>
                <w:rFonts w:ascii="Times New Roman" w:hAnsi="Times New Roman" w:cs="Times New Roman"/>
                <w:lang w:val="en-US" w:eastAsia="en-AU"/>
              </w:rPr>
              <w:t>VTA</w:t>
            </w:r>
            <w:r>
              <w:rPr>
                <w:rFonts w:ascii="Times New Roman" w:hAnsi="Times New Roman" w:cs="Times New Roman"/>
                <w:lang w:val="en-US" w:eastAsia="en-AU"/>
              </w:rPr>
              <w:t>)</w:t>
            </w:r>
            <w:r w:rsidRPr="00D51BC8">
              <w:rPr>
                <w:rFonts w:ascii="Times New Roman" w:hAnsi="Times New Roman" w:cs="Times New Roman"/>
                <w:lang w:val="en-US" w:eastAsia="en-AU"/>
              </w:rPr>
              <w:t xml:space="preserve"> through the </w:t>
            </w:r>
            <w:r>
              <w:rPr>
                <w:rFonts w:ascii="Times New Roman" w:hAnsi="Times New Roman" w:cs="Times New Roman"/>
                <w:lang w:val="en-US" w:eastAsia="en-AU"/>
              </w:rPr>
              <w:t>Road Vehicle Regulator (</w:t>
            </w:r>
            <w:r w:rsidRPr="00D51BC8">
              <w:rPr>
                <w:rFonts w:ascii="Times New Roman" w:hAnsi="Times New Roman" w:cs="Times New Roman"/>
                <w:lang w:val="en-US" w:eastAsia="en-AU"/>
              </w:rPr>
              <w:t>ROVER</w:t>
            </w:r>
            <w:r>
              <w:rPr>
                <w:rFonts w:ascii="Times New Roman" w:hAnsi="Times New Roman" w:cs="Times New Roman"/>
                <w:lang w:val="en-US" w:eastAsia="en-AU"/>
              </w:rPr>
              <w:t>)</w:t>
            </w:r>
            <w:r w:rsidRPr="00D51BC8">
              <w:rPr>
                <w:rFonts w:ascii="Times New Roman" w:hAnsi="Times New Roman" w:cs="Times New Roman"/>
                <w:lang w:val="en-US" w:eastAsia="en-AU"/>
              </w:rPr>
              <w:t xml:space="preserve"> system.</w:t>
            </w:r>
          </w:p>
          <w:p w14:paraId="788A8447" w14:textId="7884F901" w:rsidR="000D5288" w:rsidRPr="00BA2153" w:rsidRDefault="000D5288" w:rsidP="00D51357">
            <w:pPr>
              <w:pStyle w:val="ListParagraph"/>
              <w:numPr>
                <w:ilvl w:val="0"/>
                <w:numId w:val="16"/>
              </w:numPr>
              <w:ind w:left="444" w:hanging="425"/>
              <w:rPr>
                <w:rFonts w:ascii="Times New Roman" w:hAnsi="Times New Roman" w:cs="Times New Roman"/>
                <w:lang w:val="en-US" w:eastAsia="en-AU"/>
              </w:rPr>
            </w:pPr>
            <w:r w:rsidRPr="00245B58">
              <w:rPr>
                <w:rFonts w:ascii="Times New Roman" w:hAnsi="Times New Roman" w:cs="Times New Roman"/>
                <w:lang w:val="en-US" w:eastAsia="en-AU"/>
              </w:rPr>
              <w:t>Raised that ROVER and timing to achieve VTA</w:t>
            </w:r>
            <w:r>
              <w:rPr>
                <w:rFonts w:ascii="Times New Roman" w:hAnsi="Times New Roman" w:cs="Times New Roman"/>
                <w:lang w:val="en-US" w:eastAsia="en-AU"/>
              </w:rPr>
              <w:t xml:space="preserve"> </w:t>
            </w:r>
            <w:r w:rsidRPr="00245B58">
              <w:rPr>
                <w:rFonts w:ascii="Times New Roman" w:hAnsi="Times New Roman" w:cs="Times New Roman"/>
                <w:lang w:val="en-US" w:eastAsia="en-AU"/>
              </w:rPr>
              <w:t>assessments is a major concern, not just for these proposed ADRs, but for VTAs in general.</w:t>
            </w:r>
          </w:p>
        </w:tc>
        <w:tc>
          <w:tcPr>
            <w:tcW w:w="2258" w:type="pct"/>
            <w:tcBorders>
              <w:top w:val="single" w:sz="8" w:space="0" w:color="FFFFFF"/>
              <w:left w:val="single" w:sz="8" w:space="0" w:color="FFFFFF"/>
              <w:bottom w:val="single" w:sz="8" w:space="0" w:color="FFFFFF"/>
              <w:right w:val="single" w:sz="8" w:space="0" w:color="FFFFFF"/>
            </w:tcBorders>
          </w:tcPr>
          <w:p w14:paraId="2F3F8973" w14:textId="77777777" w:rsidR="000D5288" w:rsidRPr="00E9284F" w:rsidRDefault="000D5288" w:rsidP="00D51357">
            <w:pPr>
              <w:pStyle w:val="ListParagraph"/>
              <w:numPr>
                <w:ilvl w:val="0"/>
                <w:numId w:val="31"/>
              </w:numPr>
              <w:ind w:left="372"/>
              <w:rPr>
                <w:rStyle w:val="ui-provider"/>
                <w:rFonts w:ascii="Times New Roman" w:hAnsi="Times New Roman" w:cs="Times New Roman"/>
                <w:lang w:val="en-US" w:eastAsia="en-AU"/>
              </w:rPr>
            </w:pPr>
            <w:r w:rsidRPr="00DA25EF">
              <w:rPr>
                <w:rStyle w:val="ui-provider"/>
                <w:rFonts w:ascii="Times New Roman" w:hAnsi="Times New Roman" w:cs="Times New Roman"/>
              </w:rPr>
              <w:t>Final implementation dates will be determined as part of the ADR, following further consultation by the Department with industry and decision by the Minister</w:t>
            </w:r>
            <w:r>
              <w:rPr>
                <w:rStyle w:val="ui-provider"/>
                <w:rFonts w:ascii="Times New Roman" w:hAnsi="Times New Roman" w:cs="Times New Roman"/>
              </w:rPr>
              <w:t>.</w:t>
            </w:r>
          </w:p>
          <w:p w14:paraId="3F25F91F" w14:textId="77777777" w:rsidR="000D5288" w:rsidRDefault="000D5288" w:rsidP="00D51357">
            <w:pPr>
              <w:pStyle w:val="ListParagraph"/>
              <w:numPr>
                <w:ilvl w:val="0"/>
                <w:numId w:val="31"/>
              </w:numPr>
              <w:ind w:left="372"/>
              <w:rPr>
                <w:rFonts w:ascii="Times New Roman" w:hAnsi="Times New Roman" w:cs="Times New Roman"/>
                <w:lang w:val="en-US" w:eastAsia="en-AU"/>
              </w:rPr>
            </w:pPr>
            <w:r>
              <w:rPr>
                <w:rFonts w:ascii="Times New Roman" w:hAnsi="Times New Roman" w:cs="Times New Roman"/>
                <w:lang w:val="en-US" w:eastAsia="en-AU"/>
              </w:rPr>
              <w:t>Noted, see point 1 above.</w:t>
            </w:r>
          </w:p>
          <w:p w14:paraId="5487CC72" w14:textId="56EEE2F0" w:rsidR="000D5288" w:rsidRPr="00E9284F" w:rsidRDefault="000D5288" w:rsidP="00D51357">
            <w:pPr>
              <w:pStyle w:val="ListParagraph"/>
              <w:numPr>
                <w:ilvl w:val="0"/>
                <w:numId w:val="31"/>
              </w:numPr>
              <w:ind w:left="372"/>
              <w:rPr>
                <w:rFonts w:ascii="Times New Roman" w:hAnsi="Times New Roman" w:cs="Times New Roman"/>
                <w:lang w:val="en-US" w:eastAsia="en-AU"/>
              </w:rPr>
            </w:pPr>
            <w:r w:rsidRPr="00245B58">
              <w:rPr>
                <w:rFonts w:ascii="Times New Roman" w:hAnsi="Times New Roman" w:cs="Times New Roman"/>
                <w:lang w:val="en-US" w:eastAsia="en-AU"/>
              </w:rPr>
              <w:t>Noted.</w:t>
            </w:r>
            <w:r>
              <w:rPr>
                <w:rFonts w:ascii="Times New Roman" w:hAnsi="Times New Roman" w:cs="Times New Roman"/>
                <w:lang w:val="en-US" w:eastAsia="en-AU"/>
              </w:rPr>
              <w:t xml:space="preserve"> This to be raised with the ROVER team for consideration. Currently process time is under the 60 days.</w:t>
            </w:r>
          </w:p>
        </w:tc>
      </w:tr>
    </w:tbl>
    <w:p w14:paraId="14BAE184" w14:textId="77777777" w:rsidR="00051419" w:rsidRDefault="00051419"/>
    <w:sectPr w:rsidR="00051419" w:rsidSect="00A47F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BAE1" w14:textId="77777777" w:rsidR="00DC7D09" w:rsidRDefault="00DC7D09" w:rsidP="00DC7D09">
      <w:pPr>
        <w:spacing w:after="0" w:line="240" w:lineRule="auto"/>
      </w:pPr>
      <w:r>
        <w:separator/>
      </w:r>
    </w:p>
  </w:endnote>
  <w:endnote w:type="continuationSeparator" w:id="0">
    <w:p w14:paraId="7550A4E1" w14:textId="77777777" w:rsidR="00DC7D09" w:rsidRDefault="00DC7D09" w:rsidP="00DC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5E75A" w14:textId="77777777" w:rsidR="00DC7D09" w:rsidRDefault="00DC7D09" w:rsidP="00DC7D09">
      <w:pPr>
        <w:spacing w:after="0" w:line="240" w:lineRule="auto"/>
      </w:pPr>
      <w:r>
        <w:separator/>
      </w:r>
    </w:p>
  </w:footnote>
  <w:footnote w:type="continuationSeparator" w:id="0">
    <w:p w14:paraId="22717FF6" w14:textId="77777777" w:rsidR="00DC7D09" w:rsidRDefault="00DC7D09" w:rsidP="00DC7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5FF"/>
    <w:multiLevelType w:val="hybridMultilevel"/>
    <w:tmpl w:val="F9F03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50EAD"/>
    <w:multiLevelType w:val="hybridMultilevel"/>
    <w:tmpl w:val="05364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37DC9"/>
    <w:multiLevelType w:val="hybridMultilevel"/>
    <w:tmpl w:val="E6FAA4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E139B7"/>
    <w:multiLevelType w:val="hybridMultilevel"/>
    <w:tmpl w:val="1D603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EF493B"/>
    <w:multiLevelType w:val="hybridMultilevel"/>
    <w:tmpl w:val="E48C6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352F40"/>
    <w:multiLevelType w:val="hybridMultilevel"/>
    <w:tmpl w:val="A73C4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46E28"/>
    <w:multiLevelType w:val="hybridMultilevel"/>
    <w:tmpl w:val="4372D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9457F5"/>
    <w:multiLevelType w:val="hybridMultilevel"/>
    <w:tmpl w:val="289426AE"/>
    <w:lvl w:ilvl="0" w:tplc="AA760CCC">
      <w:start w:val="1"/>
      <w:numFmt w:val="decimal"/>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8" w15:restartNumberingAfterBreak="0">
    <w:nsid w:val="0E7721DD"/>
    <w:multiLevelType w:val="hybridMultilevel"/>
    <w:tmpl w:val="1D140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3303DA"/>
    <w:multiLevelType w:val="hybridMultilevel"/>
    <w:tmpl w:val="80B64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2C5DE1"/>
    <w:multiLevelType w:val="hybridMultilevel"/>
    <w:tmpl w:val="47862C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794A89"/>
    <w:multiLevelType w:val="hybridMultilevel"/>
    <w:tmpl w:val="FAD8E0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A7482E"/>
    <w:multiLevelType w:val="hybridMultilevel"/>
    <w:tmpl w:val="70002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2A4900"/>
    <w:multiLevelType w:val="hybridMultilevel"/>
    <w:tmpl w:val="289426AE"/>
    <w:lvl w:ilvl="0" w:tplc="AA760CCC">
      <w:start w:val="1"/>
      <w:numFmt w:val="decimal"/>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14" w15:restartNumberingAfterBreak="0">
    <w:nsid w:val="189B3AC9"/>
    <w:multiLevelType w:val="hybridMultilevel"/>
    <w:tmpl w:val="8BF6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504DA7"/>
    <w:multiLevelType w:val="hybridMultilevel"/>
    <w:tmpl w:val="2A02E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781D95"/>
    <w:multiLevelType w:val="hybridMultilevel"/>
    <w:tmpl w:val="13F27610"/>
    <w:lvl w:ilvl="0" w:tplc="AA760CCC">
      <w:start w:val="1"/>
      <w:numFmt w:val="decimal"/>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17" w15:restartNumberingAfterBreak="0">
    <w:nsid w:val="205B74AB"/>
    <w:multiLevelType w:val="hybridMultilevel"/>
    <w:tmpl w:val="4A447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457509"/>
    <w:multiLevelType w:val="hybridMultilevel"/>
    <w:tmpl w:val="6804B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AE6407"/>
    <w:multiLevelType w:val="hybridMultilevel"/>
    <w:tmpl w:val="1174E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7E4F27"/>
    <w:multiLevelType w:val="hybridMultilevel"/>
    <w:tmpl w:val="9252D702"/>
    <w:lvl w:ilvl="0" w:tplc="0C090001">
      <w:start w:val="1"/>
      <w:numFmt w:val="bullet"/>
      <w:lvlText w:val=""/>
      <w:lvlJc w:val="left"/>
      <w:pPr>
        <w:ind w:left="1166" w:hanging="360"/>
      </w:pPr>
      <w:rPr>
        <w:rFonts w:ascii="Symbol" w:hAnsi="Symbol" w:hint="default"/>
      </w:rPr>
    </w:lvl>
    <w:lvl w:ilvl="1" w:tplc="0C090003" w:tentative="1">
      <w:start w:val="1"/>
      <w:numFmt w:val="bullet"/>
      <w:lvlText w:val="o"/>
      <w:lvlJc w:val="left"/>
      <w:pPr>
        <w:ind w:left="1886" w:hanging="360"/>
      </w:pPr>
      <w:rPr>
        <w:rFonts w:ascii="Courier New" w:hAnsi="Courier New" w:cs="Courier New" w:hint="default"/>
      </w:rPr>
    </w:lvl>
    <w:lvl w:ilvl="2" w:tplc="0C090005" w:tentative="1">
      <w:start w:val="1"/>
      <w:numFmt w:val="bullet"/>
      <w:lvlText w:val=""/>
      <w:lvlJc w:val="left"/>
      <w:pPr>
        <w:ind w:left="2606" w:hanging="360"/>
      </w:pPr>
      <w:rPr>
        <w:rFonts w:ascii="Wingdings" w:hAnsi="Wingdings" w:hint="default"/>
      </w:rPr>
    </w:lvl>
    <w:lvl w:ilvl="3" w:tplc="0C090001" w:tentative="1">
      <w:start w:val="1"/>
      <w:numFmt w:val="bullet"/>
      <w:lvlText w:val=""/>
      <w:lvlJc w:val="left"/>
      <w:pPr>
        <w:ind w:left="3326" w:hanging="360"/>
      </w:pPr>
      <w:rPr>
        <w:rFonts w:ascii="Symbol" w:hAnsi="Symbol" w:hint="default"/>
      </w:rPr>
    </w:lvl>
    <w:lvl w:ilvl="4" w:tplc="0C090003" w:tentative="1">
      <w:start w:val="1"/>
      <w:numFmt w:val="bullet"/>
      <w:lvlText w:val="o"/>
      <w:lvlJc w:val="left"/>
      <w:pPr>
        <w:ind w:left="4046" w:hanging="360"/>
      </w:pPr>
      <w:rPr>
        <w:rFonts w:ascii="Courier New" w:hAnsi="Courier New" w:cs="Courier New" w:hint="default"/>
      </w:rPr>
    </w:lvl>
    <w:lvl w:ilvl="5" w:tplc="0C090005" w:tentative="1">
      <w:start w:val="1"/>
      <w:numFmt w:val="bullet"/>
      <w:lvlText w:val=""/>
      <w:lvlJc w:val="left"/>
      <w:pPr>
        <w:ind w:left="4766" w:hanging="360"/>
      </w:pPr>
      <w:rPr>
        <w:rFonts w:ascii="Wingdings" w:hAnsi="Wingdings" w:hint="default"/>
      </w:rPr>
    </w:lvl>
    <w:lvl w:ilvl="6" w:tplc="0C090001" w:tentative="1">
      <w:start w:val="1"/>
      <w:numFmt w:val="bullet"/>
      <w:lvlText w:val=""/>
      <w:lvlJc w:val="left"/>
      <w:pPr>
        <w:ind w:left="5486" w:hanging="360"/>
      </w:pPr>
      <w:rPr>
        <w:rFonts w:ascii="Symbol" w:hAnsi="Symbol" w:hint="default"/>
      </w:rPr>
    </w:lvl>
    <w:lvl w:ilvl="7" w:tplc="0C090003" w:tentative="1">
      <w:start w:val="1"/>
      <w:numFmt w:val="bullet"/>
      <w:lvlText w:val="o"/>
      <w:lvlJc w:val="left"/>
      <w:pPr>
        <w:ind w:left="6206" w:hanging="360"/>
      </w:pPr>
      <w:rPr>
        <w:rFonts w:ascii="Courier New" w:hAnsi="Courier New" w:cs="Courier New" w:hint="default"/>
      </w:rPr>
    </w:lvl>
    <w:lvl w:ilvl="8" w:tplc="0C090005" w:tentative="1">
      <w:start w:val="1"/>
      <w:numFmt w:val="bullet"/>
      <w:lvlText w:val=""/>
      <w:lvlJc w:val="left"/>
      <w:pPr>
        <w:ind w:left="6926" w:hanging="360"/>
      </w:pPr>
      <w:rPr>
        <w:rFonts w:ascii="Wingdings" w:hAnsi="Wingdings" w:hint="default"/>
      </w:rPr>
    </w:lvl>
  </w:abstractNum>
  <w:abstractNum w:abstractNumId="21" w15:restartNumberingAfterBreak="0">
    <w:nsid w:val="2E5C3B74"/>
    <w:multiLevelType w:val="hybridMultilevel"/>
    <w:tmpl w:val="EDDA6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CF2291"/>
    <w:multiLevelType w:val="hybridMultilevel"/>
    <w:tmpl w:val="8496E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BE05DA"/>
    <w:multiLevelType w:val="hybridMultilevel"/>
    <w:tmpl w:val="1D603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6A1C81"/>
    <w:multiLevelType w:val="hybridMultilevel"/>
    <w:tmpl w:val="8BF6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B67B3E"/>
    <w:multiLevelType w:val="hybridMultilevel"/>
    <w:tmpl w:val="1D603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A118CC"/>
    <w:multiLevelType w:val="hybridMultilevel"/>
    <w:tmpl w:val="28A2473E"/>
    <w:lvl w:ilvl="0" w:tplc="280A646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7" w15:restartNumberingAfterBreak="0">
    <w:nsid w:val="3EB84999"/>
    <w:multiLevelType w:val="hybridMultilevel"/>
    <w:tmpl w:val="E228A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4E5F15"/>
    <w:multiLevelType w:val="hybridMultilevel"/>
    <w:tmpl w:val="A4664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361BAE"/>
    <w:multiLevelType w:val="hybridMultilevel"/>
    <w:tmpl w:val="468E1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CF503D"/>
    <w:multiLevelType w:val="hybridMultilevel"/>
    <w:tmpl w:val="D2B03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0E2CB3"/>
    <w:multiLevelType w:val="hybridMultilevel"/>
    <w:tmpl w:val="C8E47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1E1173"/>
    <w:multiLevelType w:val="hybridMultilevel"/>
    <w:tmpl w:val="70002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904158"/>
    <w:multiLevelType w:val="hybridMultilevel"/>
    <w:tmpl w:val="28A2473E"/>
    <w:lvl w:ilvl="0" w:tplc="280A646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34" w15:restartNumberingAfterBreak="0">
    <w:nsid w:val="4E4B58B6"/>
    <w:multiLevelType w:val="hybridMultilevel"/>
    <w:tmpl w:val="AF887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BD7F3F"/>
    <w:multiLevelType w:val="hybridMultilevel"/>
    <w:tmpl w:val="F026A5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5902AE"/>
    <w:multiLevelType w:val="hybridMultilevel"/>
    <w:tmpl w:val="AF887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B33CE7"/>
    <w:multiLevelType w:val="hybridMultilevel"/>
    <w:tmpl w:val="F9F03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78570D"/>
    <w:multiLevelType w:val="hybridMultilevel"/>
    <w:tmpl w:val="BB2CF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905270"/>
    <w:multiLevelType w:val="hybridMultilevel"/>
    <w:tmpl w:val="CB0C2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BF4090"/>
    <w:multiLevelType w:val="hybridMultilevel"/>
    <w:tmpl w:val="057A75B4"/>
    <w:lvl w:ilvl="0" w:tplc="0C090001">
      <w:start w:val="1"/>
      <w:numFmt w:val="bullet"/>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41" w15:restartNumberingAfterBreak="0">
    <w:nsid w:val="5A1404FA"/>
    <w:multiLevelType w:val="hybridMultilevel"/>
    <w:tmpl w:val="8BF6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58333E"/>
    <w:multiLevelType w:val="hybridMultilevel"/>
    <w:tmpl w:val="93103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D6C4D02"/>
    <w:multiLevelType w:val="hybridMultilevel"/>
    <w:tmpl w:val="289426AE"/>
    <w:lvl w:ilvl="0" w:tplc="AA760CCC">
      <w:start w:val="1"/>
      <w:numFmt w:val="decimal"/>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44" w15:restartNumberingAfterBreak="0">
    <w:nsid w:val="5D9C7CD1"/>
    <w:multiLevelType w:val="hybridMultilevel"/>
    <w:tmpl w:val="79449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466747"/>
    <w:multiLevelType w:val="hybridMultilevel"/>
    <w:tmpl w:val="084C90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11D64BB"/>
    <w:multiLevelType w:val="hybridMultilevel"/>
    <w:tmpl w:val="976C798E"/>
    <w:lvl w:ilvl="0" w:tplc="782246AC">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47" w15:restartNumberingAfterBreak="0">
    <w:nsid w:val="642A5DF5"/>
    <w:multiLevelType w:val="hybridMultilevel"/>
    <w:tmpl w:val="E48C6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067663"/>
    <w:multiLevelType w:val="hybridMultilevel"/>
    <w:tmpl w:val="1D140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A7A1F9F"/>
    <w:multiLevelType w:val="hybridMultilevel"/>
    <w:tmpl w:val="920A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5C51A5"/>
    <w:multiLevelType w:val="hybridMultilevel"/>
    <w:tmpl w:val="920A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8E60FD"/>
    <w:multiLevelType w:val="hybridMultilevel"/>
    <w:tmpl w:val="80B64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BB5B9C"/>
    <w:multiLevelType w:val="hybridMultilevel"/>
    <w:tmpl w:val="2D905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EA2BC8"/>
    <w:multiLevelType w:val="hybridMultilevel"/>
    <w:tmpl w:val="99668064"/>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num w:numId="1">
    <w:abstractNumId w:val="23"/>
  </w:num>
  <w:num w:numId="2">
    <w:abstractNumId w:val="46"/>
  </w:num>
  <w:num w:numId="3">
    <w:abstractNumId w:val="27"/>
  </w:num>
  <w:num w:numId="4">
    <w:abstractNumId w:val="15"/>
  </w:num>
  <w:num w:numId="5">
    <w:abstractNumId w:val="5"/>
  </w:num>
  <w:num w:numId="6">
    <w:abstractNumId w:val="30"/>
  </w:num>
  <w:num w:numId="7">
    <w:abstractNumId w:val="1"/>
  </w:num>
  <w:num w:numId="8">
    <w:abstractNumId w:val="39"/>
  </w:num>
  <w:num w:numId="9">
    <w:abstractNumId w:val="21"/>
  </w:num>
  <w:num w:numId="10">
    <w:abstractNumId w:val="18"/>
  </w:num>
  <w:num w:numId="11">
    <w:abstractNumId w:val="52"/>
  </w:num>
  <w:num w:numId="12">
    <w:abstractNumId w:val="19"/>
  </w:num>
  <w:num w:numId="13">
    <w:abstractNumId w:val="28"/>
  </w:num>
  <w:num w:numId="14">
    <w:abstractNumId w:val="42"/>
  </w:num>
  <w:num w:numId="15">
    <w:abstractNumId w:val="26"/>
  </w:num>
  <w:num w:numId="16">
    <w:abstractNumId w:val="14"/>
  </w:num>
  <w:num w:numId="17">
    <w:abstractNumId w:val="22"/>
  </w:num>
  <w:num w:numId="18">
    <w:abstractNumId w:val="9"/>
  </w:num>
  <w:num w:numId="19">
    <w:abstractNumId w:val="4"/>
  </w:num>
  <w:num w:numId="20">
    <w:abstractNumId w:val="32"/>
  </w:num>
  <w:num w:numId="21">
    <w:abstractNumId w:val="29"/>
  </w:num>
  <w:num w:numId="22">
    <w:abstractNumId w:val="44"/>
  </w:num>
  <w:num w:numId="23">
    <w:abstractNumId w:val="48"/>
  </w:num>
  <w:num w:numId="24">
    <w:abstractNumId w:val="34"/>
  </w:num>
  <w:num w:numId="25">
    <w:abstractNumId w:val="50"/>
  </w:num>
  <w:num w:numId="26">
    <w:abstractNumId w:val="35"/>
  </w:num>
  <w:num w:numId="27">
    <w:abstractNumId w:val="37"/>
  </w:num>
  <w:num w:numId="28">
    <w:abstractNumId w:val="25"/>
  </w:num>
  <w:num w:numId="29">
    <w:abstractNumId w:val="10"/>
  </w:num>
  <w:num w:numId="30">
    <w:abstractNumId w:val="43"/>
  </w:num>
  <w:num w:numId="31">
    <w:abstractNumId w:val="41"/>
  </w:num>
  <w:num w:numId="32">
    <w:abstractNumId w:val="11"/>
  </w:num>
  <w:num w:numId="33">
    <w:abstractNumId w:val="33"/>
  </w:num>
  <w:num w:numId="34">
    <w:abstractNumId w:val="17"/>
  </w:num>
  <w:num w:numId="35">
    <w:abstractNumId w:val="51"/>
  </w:num>
  <w:num w:numId="36">
    <w:abstractNumId w:val="47"/>
  </w:num>
  <w:num w:numId="37">
    <w:abstractNumId w:val="12"/>
  </w:num>
  <w:num w:numId="38">
    <w:abstractNumId w:val="38"/>
  </w:num>
  <w:num w:numId="39">
    <w:abstractNumId w:val="45"/>
  </w:num>
  <w:num w:numId="40">
    <w:abstractNumId w:val="8"/>
  </w:num>
  <w:num w:numId="41">
    <w:abstractNumId w:val="36"/>
  </w:num>
  <w:num w:numId="42">
    <w:abstractNumId w:val="2"/>
  </w:num>
  <w:num w:numId="43">
    <w:abstractNumId w:val="13"/>
  </w:num>
  <w:num w:numId="44">
    <w:abstractNumId w:val="49"/>
  </w:num>
  <w:num w:numId="45">
    <w:abstractNumId w:val="16"/>
  </w:num>
  <w:num w:numId="46">
    <w:abstractNumId w:val="0"/>
  </w:num>
  <w:num w:numId="47">
    <w:abstractNumId w:val="24"/>
  </w:num>
  <w:num w:numId="48">
    <w:abstractNumId w:val="3"/>
  </w:num>
  <w:num w:numId="49">
    <w:abstractNumId w:val="31"/>
  </w:num>
  <w:num w:numId="50">
    <w:abstractNumId w:val="7"/>
  </w:num>
  <w:num w:numId="51">
    <w:abstractNumId w:val="53"/>
  </w:num>
  <w:num w:numId="52">
    <w:abstractNumId w:val="40"/>
  </w:num>
  <w:num w:numId="53">
    <w:abstractNumId w:val="6"/>
  </w:num>
  <w:num w:numId="54">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FA"/>
    <w:rsid w:val="00000462"/>
    <w:rsid w:val="000055D1"/>
    <w:rsid w:val="00011375"/>
    <w:rsid w:val="0001341F"/>
    <w:rsid w:val="00024F1A"/>
    <w:rsid w:val="0003110C"/>
    <w:rsid w:val="0003276D"/>
    <w:rsid w:val="00034B5F"/>
    <w:rsid w:val="0003524E"/>
    <w:rsid w:val="00037D49"/>
    <w:rsid w:val="00040ECB"/>
    <w:rsid w:val="00050B9D"/>
    <w:rsid w:val="00051419"/>
    <w:rsid w:val="00052365"/>
    <w:rsid w:val="0006388A"/>
    <w:rsid w:val="00066460"/>
    <w:rsid w:val="000736CA"/>
    <w:rsid w:val="00076C62"/>
    <w:rsid w:val="00077129"/>
    <w:rsid w:val="00085459"/>
    <w:rsid w:val="0009688B"/>
    <w:rsid w:val="000A2D2E"/>
    <w:rsid w:val="000B2151"/>
    <w:rsid w:val="000B72B5"/>
    <w:rsid w:val="000C16E0"/>
    <w:rsid w:val="000C5D6C"/>
    <w:rsid w:val="000D5288"/>
    <w:rsid w:val="000D6155"/>
    <w:rsid w:val="000E12ED"/>
    <w:rsid w:val="000F0FF2"/>
    <w:rsid w:val="0010032D"/>
    <w:rsid w:val="00101E8C"/>
    <w:rsid w:val="00107D83"/>
    <w:rsid w:val="001103DA"/>
    <w:rsid w:val="00112589"/>
    <w:rsid w:val="0011419E"/>
    <w:rsid w:val="00121094"/>
    <w:rsid w:val="00126D6D"/>
    <w:rsid w:val="00126FF3"/>
    <w:rsid w:val="001428D5"/>
    <w:rsid w:val="0014406E"/>
    <w:rsid w:val="00145A34"/>
    <w:rsid w:val="0014632B"/>
    <w:rsid w:val="00146D41"/>
    <w:rsid w:val="001536E1"/>
    <w:rsid w:val="00165819"/>
    <w:rsid w:val="001742D7"/>
    <w:rsid w:val="0018699F"/>
    <w:rsid w:val="0019100E"/>
    <w:rsid w:val="0019608A"/>
    <w:rsid w:val="001A30C6"/>
    <w:rsid w:val="001C4F88"/>
    <w:rsid w:val="001D0E98"/>
    <w:rsid w:val="001F2764"/>
    <w:rsid w:val="00203F36"/>
    <w:rsid w:val="002041E4"/>
    <w:rsid w:val="00206E2F"/>
    <w:rsid w:val="00217CED"/>
    <w:rsid w:val="0022593A"/>
    <w:rsid w:val="00231F5A"/>
    <w:rsid w:val="002372FE"/>
    <w:rsid w:val="00243523"/>
    <w:rsid w:val="00245B58"/>
    <w:rsid w:val="00256791"/>
    <w:rsid w:val="00264257"/>
    <w:rsid w:val="00282C31"/>
    <w:rsid w:val="00286C03"/>
    <w:rsid w:val="00293712"/>
    <w:rsid w:val="00294FBE"/>
    <w:rsid w:val="0029648E"/>
    <w:rsid w:val="002A0DD5"/>
    <w:rsid w:val="002A6A24"/>
    <w:rsid w:val="002B235B"/>
    <w:rsid w:val="002C2738"/>
    <w:rsid w:val="002C375D"/>
    <w:rsid w:val="002D022B"/>
    <w:rsid w:val="002D4094"/>
    <w:rsid w:val="002D769F"/>
    <w:rsid w:val="002E486F"/>
    <w:rsid w:val="002E4CC7"/>
    <w:rsid w:val="002F3A94"/>
    <w:rsid w:val="002F6424"/>
    <w:rsid w:val="00310712"/>
    <w:rsid w:val="0031127D"/>
    <w:rsid w:val="00312C41"/>
    <w:rsid w:val="00324DE3"/>
    <w:rsid w:val="00326526"/>
    <w:rsid w:val="003271DF"/>
    <w:rsid w:val="003279BC"/>
    <w:rsid w:val="0033520C"/>
    <w:rsid w:val="003368FC"/>
    <w:rsid w:val="00342633"/>
    <w:rsid w:val="0036149E"/>
    <w:rsid w:val="00361E63"/>
    <w:rsid w:val="00367D78"/>
    <w:rsid w:val="00370235"/>
    <w:rsid w:val="003850BF"/>
    <w:rsid w:val="00391D84"/>
    <w:rsid w:val="003A1219"/>
    <w:rsid w:val="003B77FE"/>
    <w:rsid w:val="003C113C"/>
    <w:rsid w:val="003D3E1A"/>
    <w:rsid w:val="003D6A07"/>
    <w:rsid w:val="003F24F9"/>
    <w:rsid w:val="003F3532"/>
    <w:rsid w:val="0040344B"/>
    <w:rsid w:val="00410A48"/>
    <w:rsid w:val="00410FAB"/>
    <w:rsid w:val="00413F35"/>
    <w:rsid w:val="00435C0F"/>
    <w:rsid w:val="00442146"/>
    <w:rsid w:val="0045614A"/>
    <w:rsid w:val="00460579"/>
    <w:rsid w:val="00466389"/>
    <w:rsid w:val="00470452"/>
    <w:rsid w:val="00474ABE"/>
    <w:rsid w:val="00486973"/>
    <w:rsid w:val="00497C62"/>
    <w:rsid w:val="004B2474"/>
    <w:rsid w:val="004C1BD1"/>
    <w:rsid w:val="004C5556"/>
    <w:rsid w:val="004C677C"/>
    <w:rsid w:val="004D3B95"/>
    <w:rsid w:val="004D3BA5"/>
    <w:rsid w:val="004E0B14"/>
    <w:rsid w:val="004F3CB9"/>
    <w:rsid w:val="00517ECA"/>
    <w:rsid w:val="00522ACE"/>
    <w:rsid w:val="00530034"/>
    <w:rsid w:val="0053019D"/>
    <w:rsid w:val="005324F2"/>
    <w:rsid w:val="00537F0F"/>
    <w:rsid w:val="00544ED5"/>
    <w:rsid w:val="005475BF"/>
    <w:rsid w:val="0055423E"/>
    <w:rsid w:val="0055602A"/>
    <w:rsid w:val="00556ABE"/>
    <w:rsid w:val="0055718F"/>
    <w:rsid w:val="0056093B"/>
    <w:rsid w:val="00575654"/>
    <w:rsid w:val="005A0884"/>
    <w:rsid w:val="005A4F61"/>
    <w:rsid w:val="005A62C3"/>
    <w:rsid w:val="005C1584"/>
    <w:rsid w:val="005D1A23"/>
    <w:rsid w:val="005D7DC0"/>
    <w:rsid w:val="005E3CE0"/>
    <w:rsid w:val="006131BB"/>
    <w:rsid w:val="00613DB8"/>
    <w:rsid w:val="0063358D"/>
    <w:rsid w:val="00653181"/>
    <w:rsid w:val="006713E4"/>
    <w:rsid w:val="00671B63"/>
    <w:rsid w:val="006728CC"/>
    <w:rsid w:val="00697B8C"/>
    <w:rsid w:val="006A1498"/>
    <w:rsid w:val="006A7195"/>
    <w:rsid w:val="006B64E9"/>
    <w:rsid w:val="006E587E"/>
    <w:rsid w:val="00703AD1"/>
    <w:rsid w:val="007115BF"/>
    <w:rsid w:val="007204E6"/>
    <w:rsid w:val="007565D6"/>
    <w:rsid w:val="007577A1"/>
    <w:rsid w:val="00765A69"/>
    <w:rsid w:val="00773813"/>
    <w:rsid w:val="00783A29"/>
    <w:rsid w:val="00786C8F"/>
    <w:rsid w:val="007A6AC7"/>
    <w:rsid w:val="007B74D5"/>
    <w:rsid w:val="007D0402"/>
    <w:rsid w:val="007D4593"/>
    <w:rsid w:val="007E04C2"/>
    <w:rsid w:val="007E186B"/>
    <w:rsid w:val="007E5388"/>
    <w:rsid w:val="007F0F42"/>
    <w:rsid w:val="007F63A0"/>
    <w:rsid w:val="008015B2"/>
    <w:rsid w:val="00803784"/>
    <w:rsid w:val="008206FD"/>
    <w:rsid w:val="00827BF4"/>
    <w:rsid w:val="00831134"/>
    <w:rsid w:val="008340FF"/>
    <w:rsid w:val="008422F4"/>
    <w:rsid w:val="00842A50"/>
    <w:rsid w:val="00843729"/>
    <w:rsid w:val="00860D15"/>
    <w:rsid w:val="00865B80"/>
    <w:rsid w:val="00896D5A"/>
    <w:rsid w:val="008B0E17"/>
    <w:rsid w:val="008B3768"/>
    <w:rsid w:val="008C1158"/>
    <w:rsid w:val="008C6606"/>
    <w:rsid w:val="008C6FD6"/>
    <w:rsid w:val="008E0F40"/>
    <w:rsid w:val="008F1950"/>
    <w:rsid w:val="00906E5C"/>
    <w:rsid w:val="00914D25"/>
    <w:rsid w:val="00920878"/>
    <w:rsid w:val="00924667"/>
    <w:rsid w:val="009259B4"/>
    <w:rsid w:val="00930C18"/>
    <w:rsid w:val="00935D1D"/>
    <w:rsid w:val="0093636A"/>
    <w:rsid w:val="00944247"/>
    <w:rsid w:val="0094579A"/>
    <w:rsid w:val="00986FD6"/>
    <w:rsid w:val="00991CD2"/>
    <w:rsid w:val="009932FE"/>
    <w:rsid w:val="0099512F"/>
    <w:rsid w:val="009959A3"/>
    <w:rsid w:val="00997787"/>
    <w:rsid w:val="009A5E00"/>
    <w:rsid w:val="009A6836"/>
    <w:rsid w:val="009B6849"/>
    <w:rsid w:val="009C07E8"/>
    <w:rsid w:val="009C225F"/>
    <w:rsid w:val="009D1C7E"/>
    <w:rsid w:val="009D6E61"/>
    <w:rsid w:val="009E0F87"/>
    <w:rsid w:val="009E4980"/>
    <w:rsid w:val="009F0117"/>
    <w:rsid w:val="009F344C"/>
    <w:rsid w:val="009F7C28"/>
    <w:rsid w:val="00A072D2"/>
    <w:rsid w:val="00A22B04"/>
    <w:rsid w:val="00A34866"/>
    <w:rsid w:val="00A45FAD"/>
    <w:rsid w:val="00A47FFA"/>
    <w:rsid w:val="00A52FCE"/>
    <w:rsid w:val="00A54747"/>
    <w:rsid w:val="00A55E4A"/>
    <w:rsid w:val="00A674DA"/>
    <w:rsid w:val="00A724BE"/>
    <w:rsid w:val="00A73525"/>
    <w:rsid w:val="00A7799D"/>
    <w:rsid w:val="00A84545"/>
    <w:rsid w:val="00A93422"/>
    <w:rsid w:val="00AA2F40"/>
    <w:rsid w:val="00AC484B"/>
    <w:rsid w:val="00AC7C20"/>
    <w:rsid w:val="00AD1863"/>
    <w:rsid w:val="00AD395E"/>
    <w:rsid w:val="00AE1C98"/>
    <w:rsid w:val="00AE2493"/>
    <w:rsid w:val="00AF1180"/>
    <w:rsid w:val="00AF2B5B"/>
    <w:rsid w:val="00B05CBF"/>
    <w:rsid w:val="00B0754F"/>
    <w:rsid w:val="00B23405"/>
    <w:rsid w:val="00B36605"/>
    <w:rsid w:val="00B412C8"/>
    <w:rsid w:val="00B66222"/>
    <w:rsid w:val="00B6682B"/>
    <w:rsid w:val="00B727CD"/>
    <w:rsid w:val="00B738F2"/>
    <w:rsid w:val="00B82CCF"/>
    <w:rsid w:val="00B84F6A"/>
    <w:rsid w:val="00B91C02"/>
    <w:rsid w:val="00B96218"/>
    <w:rsid w:val="00BA2153"/>
    <w:rsid w:val="00BA5363"/>
    <w:rsid w:val="00BA550D"/>
    <w:rsid w:val="00BA591A"/>
    <w:rsid w:val="00BB2543"/>
    <w:rsid w:val="00BB3F0F"/>
    <w:rsid w:val="00BC4557"/>
    <w:rsid w:val="00BF2A1E"/>
    <w:rsid w:val="00C01801"/>
    <w:rsid w:val="00C07AC2"/>
    <w:rsid w:val="00C23678"/>
    <w:rsid w:val="00C23E50"/>
    <w:rsid w:val="00C27418"/>
    <w:rsid w:val="00C32D7F"/>
    <w:rsid w:val="00C332DE"/>
    <w:rsid w:val="00C3655E"/>
    <w:rsid w:val="00C379FB"/>
    <w:rsid w:val="00C4478C"/>
    <w:rsid w:val="00C5184B"/>
    <w:rsid w:val="00C578E7"/>
    <w:rsid w:val="00C604CE"/>
    <w:rsid w:val="00C60C6C"/>
    <w:rsid w:val="00C76613"/>
    <w:rsid w:val="00C7768E"/>
    <w:rsid w:val="00C80C29"/>
    <w:rsid w:val="00C81128"/>
    <w:rsid w:val="00C87942"/>
    <w:rsid w:val="00CD11C9"/>
    <w:rsid w:val="00CD354E"/>
    <w:rsid w:val="00CE6400"/>
    <w:rsid w:val="00D060DD"/>
    <w:rsid w:val="00D1414C"/>
    <w:rsid w:val="00D21FC4"/>
    <w:rsid w:val="00D27355"/>
    <w:rsid w:val="00D279F6"/>
    <w:rsid w:val="00D33110"/>
    <w:rsid w:val="00D34582"/>
    <w:rsid w:val="00D45244"/>
    <w:rsid w:val="00D51357"/>
    <w:rsid w:val="00D53340"/>
    <w:rsid w:val="00D62530"/>
    <w:rsid w:val="00D65B88"/>
    <w:rsid w:val="00D9008D"/>
    <w:rsid w:val="00D95D50"/>
    <w:rsid w:val="00D97BAA"/>
    <w:rsid w:val="00DB737F"/>
    <w:rsid w:val="00DC57DC"/>
    <w:rsid w:val="00DC7D09"/>
    <w:rsid w:val="00DE3343"/>
    <w:rsid w:val="00DE42E8"/>
    <w:rsid w:val="00DE43DB"/>
    <w:rsid w:val="00DF6504"/>
    <w:rsid w:val="00DF7F8F"/>
    <w:rsid w:val="00E0079C"/>
    <w:rsid w:val="00E1330F"/>
    <w:rsid w:val="00E133C3"/>
    <w:rsid w:val="00E32A6C"/>
    <w:rsid w:val="00E355C3"/>
    <w:rsid w:val="00E41597"/>
    <w:rsid w:val="00E45A48"/>
    <w:rsid w:val="00E52502"/>
    <w:rsid w:val="00E53EAB"/>
    <w:rsid w:val="00E547CA"/>
    <w:rsid w:val="00E54AF5"/>
    <w:rsid w:val="00E62355"/>
    <w:rsid w:val="00E62AD6"/>
    <w:rsid w:val="00E716B2"/>
    <w:rsid w:val="00E736E0"/>
    <w:rsid w:val="00E73CBD"/>
    <w:rsid w:val="00E845A8"/>
    <w:rsid w:val="00E87EAB"/>
    <w:rsid w:val="00E9284F"/>
    <w:rsid w:val="00E951AE"/>
    <w:rsid w:val="00EB2289"/>
    <w:rsid w:val="00ED4053"/>
    <w:rsid w:val="00ED571D"/>
    <w:rsid w:val="00ED5C07"/>
    <w:rsid w:val="00EE2F9D"/>
    <w:rsid w:val="00EE5331"/>
    <w:rsid w:val="00EF2BB6"/>
    <w:rsid w:val="00F063C6"/>
    <w:rsid w:val="00F21C17"/>
    <w:rsid w:val="00F237DC"/>
    <w:rsid w:val="00F23D14"/>
    <w:rsid w:val="00F26B1E"/>
    <w:rsid w:val="00F372AC"/>
    <w:rsid w:val="00F5306A"/>
    <w:rsid w:val="00F5576B"/>
    <w:rsid w:val="00F638C6"/>
    <w:rsid w:val="00F7279C"/>
    <w:rsid w:val="00F72B6A"/>
    <w:rsid w:val="00F75C3C"/>
    <w:rsid w:val="00F77C80"/>
    <w:rsid w:val="00F858DA"/>
    <w:rsid w:val="00FA0A9B"/>
    <w:rsid w:val="00FB1B27"/>
    <w:rsid w:val="00FB1E13"/>
    <w:rsid w:val="00FB5F73"/>
    <w:rsid w:val="00FC48E5"/>
    <w:rsid w:val="00FE1B7D"/>
    <w:rsid w:val="00FE3CA5"/>
    <w:rsid w:val="00FE4710"/>
    <w:rsid w:val="00FF0616"/>
    <w:rsid w:val="00FF2FC5"/>
    <w:rsid w:val="00FF3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4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FA"/>
    <w:pPr>
      <w:suppressAutoHyphens/>
      <w:autoSpaceDE w:val="0"/>
      <w:autoSpaceDN w:val="0"/>
      <w:adjustRightInd w:val="0"/>
      <w:spacing w:after="113" w:line="280" w:lineRule="atLeast"/>
    </w:pPr>
    <w:rPr>
      <w:rFonts w:ascii="Arial" w:hAnsi="Arial" w:cs="FranklinGothic-Book"/>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47FFA"/>
    <w:rPr>
      <w:rFonts w:ascii="Arial" w:hAnsi="Arial" w:cs="FranklinGothic-Book"/>
      <w:color w:val="000000"/>
    </w:rPr>
  </w:style>
  <w:style w:type="paragraph" w:styleId="ListParagraph">
    <w:name w:val="List Paragraph"/>
    <w:basedOn w:val="Normal"/>
    <w:link w:val="ListParagraphChar"/>
    <w:uiPriority w:val="34"/>
    <w:qFormat/>
    <w:rsid w:val="00A47FFA"/>
    <w:pPr>
      <w:ind w:left="720"/>
      <w:contextualSpacing/>
    </w:pPr>
  </w:style>
  <w:style w:type="table" w:customStyle="1" w:styleId="Table-Style33">
    <w:name w:val="Table-Style33"/>
    <w:basedOn w:val="TableNormal"/>
    <w:rsid w:val="00A47FFA"/>
    <w:pPr>
      <w:spacing w:after="0" w:line="240" w:lineRule="auto"/>
    </w:pPr>
    <w:rPr>
      <w:rFonts w:ascii="Arial" w:eastAsia="Times New Roman" w:hAnsi="Arial" w:cs="Times New Roman"/>
      <w:sz w:val="20"/>
      <w:szCs w:val="20"/>
    </w:rPr>
    <w:tblPr>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100" w:beforeAutospacing="1" w:afterLines="0" w:after="100" w:afterAutospacing="1" w:line="240" w:lineRule="auto"/>
      </w:pPr>
      <w:rPr>
        <w:rFonts w:ascii="Arial" w:hAnsi="Arial" w:cs="Arial" w:hint="default"/>
        <w:b w:val="0"/>
        <w:color w:val="FFFFFF"/>
        <w:sz w:val="20"/>
        <w:szCs w:val="20"/>
      </w:rPr>
      <w:tblPr/>
      <w:tcPr>
        <w:tcBorders>
          <w:insideV w:val="single" w:sz="6" w:space="0" w:color="FFFFFF"/>
        </w:tcBorders>
        <w:shd w:val="clear" w:color="auto" w:fill="00599C"/>
      </w:tcPr>
    </w:tblStylePr>
  </w:style>
  <w:style w:type="character" w:styleId="Hyperlink">
    <w:name w:val="Hyperlink"/>
    <w:basedOn w:val="DefaultParagraphFont"/>
    <w:uiPriority w:val="99"/>
    <w:semiHidden/>
    <w:unhideWhenUsed/>
    <w:rsid w:val="00B727CD"/>
    <w:rPr>
      <w:color w:val="0000FF"/>
      <w:u w:val="single"/>
    </w:rPr>
  </w:style>
  <w:style w:type="character" w:styleId="CommentReference">
    <w:name w:val="annotation reference"/>
    <w:basedOn w:val="DefaultParagraphFont"/>
    <w:uiPriority w:val="99"/>
    <w:semiHidden/>
    <w:unhideWhenUsed/>
    <w:rsid w:val="00C7768E"/>
    <w:rPr>
      <w:sz w:val="16"/>
      <w:szCs w:val="16"/>
    </w:rPr>
  </w:style>
  <w:style w:type="paragraph" w:styleId="CommentText">
    <w:name w:val="annotation text"/>
    <w:basedOn w:val="Normal"/>
    <w:link w:val="CommentTextChar"/>
    <w:uiPriority w:val="99"/>
    <w:semiHidden/>
    <w:unhideWhenUsed/>
    <w:rsid w:val="00C7768E"/>
    <w:pPr>
      <w:spacing w:line="240" w:lineRule="auto"/>
    </w:pPr>
    <w:rPr>
      <w:sz w:val="20"/>
      <w:szCs w:val="20"/>
    </w:rPr>
  </w:style>
  <w:style w:type="character" w:customStyle="1" w:styleId="CommentTextChar">
    <w:name w:val="Comment Text Char"/>
    <w:basedOn w:val="DefaultParagraphFont"/>
    <w:link w:val="CommentText"/>
    <w:uiPriority w:val="99"/>
    <w:semiHidden/>
    <w:rsid w:val="00C7768E"/>
    <w:rPr>
      <w:rFonts w:ascii="Arial" w:hAnsi="Arial" w:cs="FranklinGothic-Book"/>
      <w:color w:val="000000"/>
      <w:sz w:val="20"/>
      <w:szCs w:val="20"/>
    </w:rPr>
  </w:style>
  <w:style w:type="paragraph" w:styleId="CommentSubject">
    <w:name w:val="annotation subject"/>
    <w:basedOn w:val="CommentText"/>
    <w:next w:val="CommentText"/>
    <w:link w:val="CommentSubjectChar"/>
    <w:uiPriority w:val="99"/>
    <w:semiHidden/>
    <w:unhideWhenUsed/>
    <w:rsid w:val="00C7768E"/>
    <w:rPr>
      <w:b/>
      <w:bCs/>
    </w:rPr>
  </w:style>
  <w:style w:type="character" w:customStyle="1" w:styleId="CommentSubjectChar">
    <w:name w:val="Comment Subject Char"/>
    <w:basedOn w:val="CommentTextChar"/>
    <w:link w:val="CommentSubject"/>
    <w:uiPriority w:val="99"/>
    <w:semiHidden/>
    <w:rsid w:val="00C7768E"/>
    <w:rPr>
      <w:rFonts w:ascii="Arial" w:hAnsi="Arial" w:cs="FranklinGothic-Book"/>
      <w:b/>
      <w:bCs/>
      <w:color w:val="000000"/>
      <w:sz w:val="20"/>
      <w:szCs w:val="20"/>
    </w:rPr>
  </w:style>
  <w:style w:type="paragraph" w:styleId="BalloonText">
    <w:name w:val="Balloon Text"/>
    <w:basedOn w:val="Normal"/>
    <w:link w:val="BalloonTextChar"/>
    <w:uiPriority w:val="99"/>
    <w:semiHidden/>
    <w:unhideWhenUsed/>
    <w:rsid w:val="00C7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8E"/>
    <w:rPr>
      <w:rFonts w:ascii="Segoe UI" w:hAnsi="Segoe UI" w:cs="Segoe UI"/>
      <w:color w:val="000000"/>
      <w:sz w:val="18"/>
      <w:szCs w:val="18"/>
    </w:rPr>
  </w:style>
  <w:style w:type="character" w:customStyle="1" w:styleId="ui-provider">
    <w:name w:val="ui-provider"/>
    <w:basedOn w:val="DefaultParagraphFont"/>
    <w:rsid w:val="00FC48E5"/>
  </w:style>
  <w:style w:type="paragraph" w:styleId="Header">
    <w:name w:val="header"/>
    <w:basedOn w:val="Normal"/>
    <w:link w:val="HeaderChar"/>
    <w:uiPriority w:val="99"/>
    <w:unhideWhenUsed/>
    <w:rsid w:val="00DC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09"/>
    <w:rPr>
      <w:rFonts w:ascii="Arial" w:hAnsi="Arial" w:cs="FranklinGothic-Book"/>
      <w:color w:val="000000"/>
    </w:rPr>
  </w:style>
  <w:style w:type="paragraph" w:styleId="Footer">
    <w:name w:val="footer"/>
    <w:basedOn w:val="Normal"/>
    <w:link w:val="FooterChar"/>
    <w:uiPriority w:val="99"/>
    <w:unhideWhenUsed/>
    <w:rsid w:val="00DC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09"/>
    <w:rPr>
      <w:rFonts w:ascii="Arial" w:hAnsi="Arial" w:cs="FranklinGothic-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048969723003765?via%3Dihu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envehicleguide.gov.au/pages/LowAndZeroEmissionVehicles/HydrogenVehicleInformation" TargetMode="External"/><Relationship Id="rId12" Type="http://schemas.openxmlformats.org/officeDocument/2006/relationships/hyperlink" Target="https://www.ancap.com.au/ancap-rescue-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ceew.gov.au/sites/default/files/documents/australias-national-hydrogen-strategy.pdf" TargetMode="External"/><Relationship Id="rId5" Type="http://schemas.openxmlformats.org/officeDocument/2006/relationships/footnotes" Target="footnotes.xml"/><Relationship Id="rId10" Type="http://schemas.openxmlformats.org/officeDocument/2006/relationships/hyperlink" Target="https://www.dcceew.gov.au/energy/publications/australias-national-hydrogen-strategy" TargetMode="External"/><Relationship Id="rId4" Type="http://schemas.openxmlformats.org/officeDocument/2006/relationships/webSettings" Target="webSettings.xml"/><Relationship Id="rId9" Type="http://schemas.openxmlformats.org/officeDocument/2006/relationships/hyperlink" Target="https://www.uts.edu.au/news/social-justice-sustainability/how-climate-friendly-electric-c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2023-11-20T01:06:00Z</dcterms:created>
  <dcterms:modified xsi:type="dcterms:W3CDTF">2023-11-20T01:06:00Z</dcterms:modified>
</cp:coreProperties>
</file>