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9510" w14:textId="2D72FF13" w:rsidR="00583D4F" w:rsidRPr="00B84D06" w:rsidRDefault="00DA6585" w:rsidP="00204736">
      <w:pPr>
        <w:jc w:val="center"/>
        <w:rPr>
          <w:bCs/>
        </w:rPr>
      </w:pPr>
      <w:r w:rsidRPr="00DA6585">
        <w:rPr>
          <w:b/>
          <w:u w:val="single"/>
        </w:rPr>
        <w:t xml:space="preserve">EXPLANATORY </w:t>
      </w:r>
      <w:r w:rsidR="00C608F6">
        <w:rPr>
          <w:b/>
          <w:u w:val="single"/>
        </w:rPr>
        <w:t>STATEMENT</w:t>
      </w:r>
    </w:p>
    <w:p w14:paraId="2FB04DE0" w14:textId="77777777" w:rsidR="00204736" w:rsidRPr="00B84D06" w:rsidRDefault="00204736" w:rsidP="00204736">
      <w:pPr>
        <w:jc w:val="center"/>
        <w:rPr>
          <w:bCs/>
        </w:rPr>
      </w:pPr>
    </w:p>
    <w:p w14:paraId="649EA58C" w14:textId="6A75B688" w:rsidR="00DA6585" w:rsidRPr="00B84D06" w:rsidRDefault="00DA6585" w:rsidP="00204736">
      <w:pPr>
        <w:jc w:val="center"/>
      </w:pPr>
      <w:r>
        <w:rPr>
          <w:u w:val="single"/>
        </w:rPr>
        <w:t xml:space="preserve">Issued by the </w:t>
      </w:r>
      <w:r w:rsidR="00465AF8">
        <w:rPr>
          <w:u w:val="single"/>
        </w:rPr>
        <w:t xml:space="preserve">authority of the </w:t>
      </w:r>
      <w:r w:rsidR="0048255B">
        <w:rPr>
          <w:u w:val="single"/>
        </w:rPr>
        <w:t>Chief Metrologist</w:t>
      </w:r>
    </w:p>
    <w:p w14:paraId="40E87305" w14:textId="77777777" w:rsidR="00204736" w:rsidRPr="00B84D06" w:rsidRDefault="00204736" w:rsidP="00204736">
      <w:pPr>
        <w:jc w:val="center"/>
      </w:pPr>
    </w:p>
    <w:p w14:paraId="7BC228BE" w14:textId="77777777" w:rsidR="00DA6585" w:rsidRDefault="00DA6585" w:rsidP="00DA6585">
      <w:pPr>
        <w:jc w:val="center"/>
        <w:rPr>
          <w:i/>
        </w:rPr>
      </w:pPr>
      <w:r>
        <w:rPr>
          <w:i/>
        </w:rPr>
        <w:t xml:space="preserve">National Measurement </w:t>
      </w:r>
      <w:r w:rsidR="00B36E5F">
        <w:rPr>
          <w:i/>
        </w:rPr>
        <w:t>Regulations</w:t>
      </w:r>
      <w:r w:rsidR="008B1C50">
        <w:rPr>
          <w:i/>
        </w:rPr>
        <w:t xml:space="preserve"> 1999</w:t>
      </w:r>
    </w:p>
    <w:p w14:paraId="62A20C77" w14:textId="77777777" w:rsidR="008B1C50" w:rsidRPr="00B84D06" w:rsidRDefault="008B1C50" w:rsidP="00DA6585">
      <w:pPr>
        <w:jc w:val="center"/>
        <w:rPr>
          <w:iCs/>
        </w:rPr>
      </w:pPr>
    </w:p>
    <w:p w14:paraId="7DC50C6A" w14:textId="6DE9BFB2" w:rsidR="008B1C50" w:rsidRPr="00343E31" w:rsidRDefault="008B1C50" w:rsidP="00DA6585">
      <w:pPr>
        <w:jc w:val="center"/>
        <w:rPr>
          <w:i/>
        </w:rPr>
      </w:pPr>
      <w:r w:rsidRPr="00343E31">
        <w:rPr>
          <w:i/>
        </w:rPr>
        <w:t xml:space="preserve">National Measurement </w:t>
      </w:r>
      <w:r w:rsidR="00EA6802" w:rsidRPr="00343E31">
        <w:rPr>
          <w:i/>
        </w:rPr>
        <w:t>(</w:t>
      </w:r>
      <w:r w:rsidRPr="00343E31">
        <w:rPr>
          <w:i/>
        </w:rPr>
        <w:t>Accuracy</w:t>
      </w:r>
      <w:r w:rsidR="00EA6802" w:rsidRPr="00343E31">
        <w:rPr>
          <w:i/>
        </w:rPr>
        <w:t>)</w:t>
      </w:r>
      <w:r w:rsidRPr="00343E31">
        <w:rPr>
          <w:i/>
        </w:rPr>
        <w:t xml:space="preserve"> Determination 202</w:t>
      </w:r>
      <w:r w:rsidR="00C4659E">
        <w:rPr>
          <w:i/>
        </w:rPr>
        <w:t>3</w:t>
      </w:r>
    </w:p>
    <w:p w14:paraId="278E79BE" w14:textId="7B6C8105" w:rsidR="00465AF8" w:rsidRDefault="00465AF8" w:rsidP="00465AF8">
      <w:pPr>
        <w:spacing w:before="240" w:after="120"/>
        <w:rPr>
          <w:b/>
        </w:rPr>
      </w:pPr>
      <w:r>
        <w:rPr>
          <w:b/>
        </w:rPr>
        <w:t xml:space="preserve">Purpose and </w:t>
      </w:r>
      <w:r w:rsidR="00343E31">
        <w:rPr>
          <w:b/>
        </w:rPr>
        <w:t>O</w:t>
      </w:r>
      <w:r>
        <w:rPr>
          <w:b/>
        </w:rPr>
        <w:t>peration</w:t>
      </w:r>
    </w:p>
    <w:p w14:paraId="297A3D2C" w14:textId="399E60EF" w:rsidR="009129AA" w:rsidRPr="00343E31" w:rsidRDefault="009971C3" w:rsidP="00465AF8">
      <w:pPr>
        <w:spacing w:before="120" w:after="120"/>
      </w:pPr>
      <w:r>
        <w:t xml:space="preserve">The purpose of the </w:t>
      </w:r>
      <w:r w:rsidR="009129AA" w:rsidRPr="009129AA">
        <w:rPr>
          <w:i/>
        </w:rPr>
        <w:t>National Measurement (Accuracy) Determination 202</w:t>
      </w:r>
      <w:r w:rsidR="00C4659E">
        <w:rPr>
          <w:i/>
        </w:rPr>
        <w:t>3</w:t>
      </w:r>
      <w:r w:rsidR="009129AA">
        <w:rPr>
          <w:i/>
        </w:rPr>
        <w:t xml:space="preserve"> </w:t>
      </w:r>
      <w:r w:rsidR="009129AA" w:rsidRPr="00343E31">
        <w:t>(the</w:t>
      </w:r>
      <w:r w:rsidR="009129AA">
        <w:rPr>
          <w:i/>
        </w:rPr>
        <w:t xml:space="preserve"> </w:t>
      </w:r>
      <w:r>
        <w:t>Determination</w:t>
      </w:r>
      <w:r w:rsidR="009129AA">
        <w:t>)</w:t>
      </w:r>
      <w:r>
        <w:t xml:space="preserve"> is to provide consistency in </w:t>
      </w:r>
      <w:r w:rsidR="00A374B4">
        <w:t xml:space="preserve">how </w:t>
      </w:r>
      <w:r>
        <w:t xml:space="preserve">measurement </w:t>
      </w:r>
      <w:r w:rsidR="00B8644A">
        <w:t>accuracy</w:t>
      </w:r>
      <w:r w:rsidR="005870A6">
        <w:t xml:space="preserve">, </w:t>
      </w:r>
      <w:r w:rsidR="000F5E21">
        <w:t xml:space="preserve">is to be ascertained and expressed as an uncertainty </w:t>
      </w:r>
      <w:r>
        <w:t xml:space="preserve">for the verification and certification of </w:t>
      </w:r>
      <w:r w:rsidRPr="009971C3">
        <w:t xml:space="preserve">standards of measurement, </w:t>
      </w:r>
      <w:proofErr w:type="gramStart"/>
      <w:r w:rsidRPr="009971C3">
        <w:t>artefacts</w:t>
      </w:r>
      <w:proofErr w:type="gramEnd"/>
      <w:r w:rsidRPr="009971C3">
        <w:t xml:space="preserve"> and certified measuring </w:t>
      </w:r>
      <w:r w:rsidR="009129AA">
        <w:t xml:space="preserve">instruments </w:t>
      </w:r>
      <w:r>
        <w:t xml:space="preserve">under the </w:t>
      </w:r>
      <w:r w:rsidRPr="00343E31">
        <w:rPr>
          <w:i/>
        </w:rPr>
        <w:t>National Measurement Regulations 1999</w:t>
      </w:r>
      <w:r w:rsidRPr="00343E31">
        <w:t xml:space="preserve">. </w:t>
      </w:r>
    </w:p>
    <w:p w14:paraId="25CF45E0" w14:textId="5495B78D" w:rsidR="009971C3" w:rsidRDefault="009129AA" w:rsidP="00465AF8">
      <w:pPr>
        <w:spacing w:before="120" w:after="120"/>
      </w:pPr>
      <w:r>
        <w:t xml:space="preserve">Maintaining a consistent approach </w:t>
      </w:r>
      <w:r w:rsidR="00AA3D5D">
        <w:t>to</w:t>
      </w:r>
      <w:r>
        <w:t xml:space="preserve"> </w:t>
      </w:r>
      <w:r w:rsidR="000F5E21">
        <w:t xml:space="preserve">ascertaining </w:t>
      </w:r>
      <w:r>
        <w:t>and expressin</w:t>
      </w:r>
      <w:r w:rsidR="000F5E21">
        <w:t>g</w:t>
      </w:r>
      <w:r>
        <w:t xml:space="preserve"> uncertainty provides</w:t>
      </w:r>
      <w:r w:rsidR="009478B1">
        <w:t xml:space="preserve"> </w:t>
      </w:r>
      <w:r w:rsidR="00343E31">
        <w:t>support for the</w:t>
      </w:r>
      <w:r w:rsidR="009478B1">
        <w:t xml:space="preserve"> </w:t>
      </w:r>
      <w:r w:rsidR="00343E31">
        <w:t>comparison of</w:t>
      </w:r>
      <w:r w:rsidR="009478B1">
        <w:t xml:space="preserve"> different</w:t>
      </w:r>
      <w:r>
        <w:t xml:space="preserve"> </w:t>
      </w:r>
      <w:r w:rsidR="009478B1">
        <w:t xml:space="preserve">measurements </w:t>
      </w:r>
      <w:r w:rsidR="00343E31">
        <w:t xml:space="preserve">and allows for an assessment of the accuracy of measurements </w:t>
      </w:r>
      <w:r>
        <w:t xml:space="preserve">across the national measurement system. </w:t>
      </w:r>
      <w:r w:rsidR="009478B1">
        <w:t>In other words, this approach</w:t>
      </w:r>
      <w:r>
        <w:t xml:space="preserve"> </w:t>
      </w:r>
      <w:r w:rsidR="009971C3">
        <w:t>support</w:t>
      </w:r>
      <w:r>
        <w:t>s</w:t>
      </w:r>
      <w:r w:rsidR="009971C3">
        <w:t xml:space="preserve"> the calibration and propagation of units of measurement throughout the Australian economy; in turn providing confidence in</w:t>
      </w:r>
      <w:r>
        <w:t xml:space="preserve"> the accuracy of</w:t>
      </w:r>
      <w:r w:rsidR="009971C3">
        <w:t xml:space="preserve"> measurement results used for all manner of trade transactions and other legal purposes.</w:t>
      </w:r>
    </w:p>
    <w:p w14:paraId="6E28CF7D" w14:textId="0EAF77CA" w:rsidR="009971C3" w:rsidRDefault="009971C3" w:rsidP="00465AF8">
      <w:pPr>
        <w:spacing w:before="120" w:after="120"/>
      </w:pPr>
      <w:r w:rsidRPr="00343E31">
        <w:rPr>
          <w:i/>
        </w:rPr>
        <w:t>JCGM 100:2008 – Evaluation of measurement data – Guide to the expression of uncertainty in measurement</w:t>
      </w:r>
      <w:r>
        <w:t xml:space="preserve"> (JCGM 100:2008) represents international </w:t>
      </w:r>
      <w:r w:rsidR="00443FCB">
        <w:t>best practice</w:t>
      </w:r>
      <w:r w:rsidR="009478B1">
        <w:t xml:space="preserve"> </w:t>
      </w:r>
      <w:r w:rsidR="00DC55BB">
        <w:t>with respect to</w:t>
      </w:r>
      <w:r w:rsidR="00DC55BB" w:rsidRPr="00DC55BB">
        <w:t xml:space="preserve"> the ascertainment and expression of measurement uncertainty</w:t>
      </w:r>
      <w:r w:rsidR="00443FCB">
        <w:t>. Formal recognition of</w:t>
      </w:r>
      <w:r>
        <w:t xml:space="preserve"> JCGM 100:2008</w:t>
      </w:r>
      <w:r w:rsidR="00443FCB">
        <w:t xml:space="preserve"> reflects current practice within many Verifying Authorities and Certifying Authorities, and</w:t>
      </w:r>
      <w:r>
        <w:t xml:space="preserve"> further harmonises Australia’s measurement system with those of our international trading partners.</w:t>
      </w:r>
      <w:r w:rsidR="00443FCB">
        <w:t xml:space="preserve"> </w:t>
      </w:r>
    </w:p>
    <w:p w14:paraId="2C50AF87" w14:textId="7C933282" w:rsidR="00443FCB" w:rsidRDefault="00443FCB" w:rsidP="00465AF8">
      <w:pPr>
        <w:spacing w:before="120" w:after="120"/>
      </w:pPr>
      <w:r>
        <w:t xml:space="preserve">JCGM 100:2008 is available here: </w:t>
      </w:r>
      <w:hyperlink r:id="rId8" w:history="1">
        <w:r w:rsidRPr="009E667B">
          <w:rPr>
            <w:rStyle w:val="Hyperlink"/>
          </w:rPr>
          <w:t>https://www.bipm.org/en/committees/jc/jcgm/publications</w:t>
        </w:r>
      </w:hyperlink>
      <w:r>
        <w:t xml:space="preserve"> </w:t>
      </w:r>
    </w:p>
    <w:p w14:paraId="41AD53D8" w14:textId="77777777" w:rsidR="00170743" w:rsidRPr="00343E31" w:rsidRDefault="00170743" w:rsidP="00170743">
      <w:pPr>
        <w:spacing w:before="240"/>
        <w:ind w:right="91"/>
        <w:jc w:val="both"/>
      </w:pPr>
      <w:r>
        <w:t>T</w:t>
      </w:r>
      <w:r w:rsidRPr="008B1C50">
        <w:t xml:space="preserve">he </w:t>
      </w:r>
      <w:r w:rsidRPr="00343E31">
        <w:t xml:space="preserve">Determination </w:t>
      </w:r>
      <w:r w:rsidRPr="008B1C50">
        <w:t xml:space="preserve">requires the accuracy of </w:t>
      </w:r>
      <w:r w:rsidRPr="00D63F40">
        <w:t xml:space="preserve">standards of measurement, </w:t>
      </w:r>
      <w:proofErr w:type="gramStart"/>
      <w:r w:rsidRPr="00D63F40">
        <w:t>artefacts</w:t>
      </w:r>
      <w:proofErr w:type="gramEnd"/>
      <w:r w:rsidRPr="00D63F40">
        <w:t xml:space="preserve"> and certified measuring instruments </w:t>
      </w:r>
      <w:r w:rsidRPr="008B1C50">
        <w:t xml:space="preserve">to be ascertained and expressed </w:t>
      </w:r>
      <w:r>
        <w:t xml:space="preserve">as an uncertainty </w:t>
      </w:r>
      <w:r w:rsidRPr="008B1C50">
        <w:t xml:space="preserve">in accordance with the principles of the </w:t>
      </w:r>
      <w:r w:rsidRPr="00343E31">
        <w:t>JCGM 100</w:t>
      </w:r>
      <w:r w:rsidRPr="00BE3563">
        <w:t>:2008.</w:t>
      </w:r>
      <w:r>
        <w:t xml:space="preserve"> </w:t>
      </w:r>
    </w:p>
    <w:p w14:paraId="1B78CDE5" w14:textId="77777777" w:rsidR="00170743" w:rsidRDefault="00170743" w:rsidP="00465AF8">
      <w:pPr>
        <w:spacing w:before="120" w:after="120"/>
      </w:pPr>
    </w:p>
    <w:p w14:paraId="0B7A40E3" w14:textId="1A8092B3" w:rsidR="00986D60" w:rsidRPr="00986D60" w:rsidRDefault="00640451" w:rsidP="00986D60">
      <w:pPr>
        <w:spacing w:before="240" w:after="120"/>
        <w:rPr>
          <w:b/>
        </w:rPr>
      </w:pPr>
      <w:r>
        <w:rPr>
          <w:b/>
        </w:rPr>
        <w:t>Background</w:t>
      </w:r>
    </w:p>
    <w:p w14:paraId="6C17FA09" w14:textId="18877B40" w:rsidR="00583D4F" w:rsidRDefault="00DA6585" w:rsidP="00DA6585">
      <w:pPr>
        <w:ind w:right="91"/>
      </w:pPr>
      <w:r>
        <w:t xml:space="preserve">The </w:t>
      </w:r>
      <w:r w:rsidR="00DB4418" w:rsidRPr="00DB4418">
        <w:t xml:space="preserve">objects of the </w:t>
      </w:r>
      <w:r w:rsidR="00DB4418" w:rsidRPr="00DB4418">
        <w:rPr>
          <w:i/>
        </w:rPr>
        <w:t>National Measurement Act 1960</w:t>
      </w:r>
      <w:r w:rsidR="00DB4418" w:rsidRPr="00DB4418">
        <w:t xml:space="preserve"> include to:</w:t>
      </w:r>
    </w:p>
    <w:p w14:paraId="6EE02699" w14:textId="77777777" w:rsidR="00DA6585" w:rsidRDefault="00DA6585" w:rsidP="00583D4F">
      <w:pPr>
        <w:numPr>
          <w:ilvl w:val="0"/>
          <w:numId w:val="11"/>
        </w:numPr>
        <w:spacing w:before="240"/>
        <w:ind w:right="91"/>
      </w:pPr>
      <w:r>
        <w:t xml:space="preserve">establish a national system of units and standards of measurement of physical </w:t>
      </w:r>
      <w:proofErr w:type="gramStart"/>
      <w:r>
        <w:t>quantities;</w:t>
      </w:r>
      <w:proofErr w:type="gramEnd"/>
    </w:p>
    <w:p w14:paraId="2835BB30" w14:textId="77777777" w:rsidR="00DA6585" w:rsidRDefault="00DA6585" w:rsidP="00DA6585">
      <w:pPr>
        <w:numPr>
          <w:ilvl w:val="0"/>
          <w:numId w:val="11"/>
        </w:numPr>
        <w:ind w:right="91"/>
      </w:pPr>
      <w:r>
        <w:t xml:space="preserve">provide for the uniform use of those uniform units and standards of measurement throughout </w:t>
      </w:r>
      <w:proofErr w:type="gramStart"/>
      <w:r>
        <w:t>Australia;</w:t>
      </w:r>
      <w:proofErr w:type="gramEnd"/>
    </w:p>
    <w:p w14:paraId="305AE0CD" w14:textId="77777777" w:rsidR="00C11CDF" w:rsidRDefault="009743F5" w:rsidP="007453D0">
      <w:pPr>
        <w:numPr>
          <w:ilvl w:val="0"/>
          <w:numId w:val="11"/>
        </w:numPr>
        <w:ind w:right="91"/>
      </w:pPr>
      <w:r>
        <w:t xml:space="preserve">co-ordinate the operation of </w:t>
      </w:r>
      <w:r w:rsidR="00DA6585">
        <w:t>the national system of measurement;</w:t>
      </w:r>
      <w:r w:rsidR="007453D0">
        <w:t xml:space="preserve"> and</w:t>
      </w:r>
    </w:p>
    <w:p w14:paraId="296EF370" w14:textId="77777777" w:rsidR="00DA6585" w:rsidRDefault="00C11CDF" w:rsidP="00DA6585">
      <w:pPr>
        <w:numPr>
          <w:ilvl w:val="0"/>
          <w:numId w:val="11"/>
        </w:numPr>
        <w:ind w:right="91"/>
      </w:pPr>
      <w:r>
        <w:t>provide the legal framework for a national system of trade measurement</w:t>
      </w:r>
      <w:r w:rsidR="00DA6585">
        <w:t>.</w:t>
      </w:r>
    </w:p>
    <w:p w14:paraId="16A6120D" w14:textId="7423C22A" w:rsidR="00D63F40" w:rsidRDefault="008B1C50" w:rsidP="008B1C50">
      <w:pPr>
        <w:spacing w:before="240"/>
        <w:ind w:right="91"/>
        <w:jc w:val="both"/>
      </w:pPr>
      <w:r w:rsidRPr="008B1C50">
        <w:t xml:space="preserve">The Regulations also allow for the Chief Metrologist to determine the </w:t>
      </w:r>
      <w:proofErr w:type="gramStart"/>
      <w:r w:rsidRPr="008B1C50">
        <w:t>manner in which</w:t>
      </w:r>
      <w:proofErr w:type="gramEnd"/>
      <w:r w:rsidRPr="008B1C50">
        <w:t xml:space="preserve"> the accuracy of </w:t>
      </w:r>
      <w:r w:rsidR="00597083" w:rsidRPr="00597083">
        <w:t xml:space="preserve">standards of measurement, artefacts and certified measuring instruments </w:t>
      </w:r>
      <w:r w:rsidR="001E3B07">
        <w:t>are</w:t>
      </w:r>
      <w:r w:rsidRPr="008B1C50">
        <w:t xml:space="preserve"> to be ascertained</w:t>
      </w:r>
      <w:r w:rsidR="009478B1">
        <w:t xml:space="preserve"> </w:t>
      </w:r>
      <w:r w:rsidRPr="008B1C50">
        <w:t>and expressed</w:t>
      </w:r>
      <w:r w:rsidR="00E3412E">
        <w:t>,</w:t>
      </w:r>
      <w:r w:rsidRPr="008B1C50">
        <w:t xml:space="preserve"> when certified under the Regulations.</w:t>
      </w:r>
      <w:r w:rsidR="00D63F40">
        <w:t xml:space="preserve"> </w:t>
      </w:r>
    </w:p>
    <w:p w14:paraId="6CD2F08B" w14:textId="7D5F3CA6" w:rsidR="00583D4F" w:rsidRPr="004F341D" w:rsidRDefault="00583D4F" w:rsidP="004F341D">
      <w:pPr>
        <w:tabs>
          <w:tab w:val="left" w:pos="6521"/>
        </w:tabs>
        <w:spacing w:before="240"/>
        <w:ind w:right="91"/>
        <w:jc w:val="both"/>
      </w:pPr>
    </w:p>
    <w:p w14:paraId="44139D6E" w14:textId="0A2C55F4" w:rsidR="00465AF8" w:rsidRDefault="00346488" w:rsidP="004F341D">
      <w:pPr>
        <w:tabs>
          <w:tab w:val="left" w:pos="6521"/>
        </w:tabs>
        <w:spacing w:before="240"/>
        <w:ind w:right="91"/>
        <w:jc w:val="both"/>
      </w:pPr>
      <w:r>
        <w:t xml:space="preserve">Details of the Determination are set out in </w:t>
      </w:r>
      <w:r w:rsidRPr="00343E31">
        <w:rPr>
          <w:b/>
          <w:u w:val="single"/>
        </w:rPr>
        <w:t>Attachment</w:t>
      </w:r>
      <w:r w:rsidR="005750F2" w:rsidRPr="00343E31">
        <w:rPr>
          <w:b/>
          <w:u w:val="single"/>
        </w:rPr>
        <w:t xml:space="preserve"> A</w:t>
      </w:r>
      <w:r>
        <w:t>.</w:t>
      </w:r>
      <w:r w:rsidR="00E1256E">
        <w:t xml:space="preserve"> </w:t>
      </w:r>
      <w:r w:rsidR="00C575E9">
        <w:t xml:space="preserve">The Determination </w:t>
      </w:r>
      <w:r w:rsidR="00A374B4">
        <w:t xml:space="preserve">is </w:t>
      </w:r>
      <w:r w:rsidR="00C575E9">
        <w:t xml:space="preserve">a legislative instrument for the purposes of the </w:t>
      </w:r>
      <w:r w:rsidR="00C575E9" w:rsidRPr="00B63B3C">
        <w:rPr>
          <w:i/>
        </w:rPr>
        <w:t>Legislative Instruments Act 2003</w:t>
      </w:r>
      <w:r w:rsidR="00C575E9">
        <w:t>.</w:t>
      </w:r>
    </w:p>
    <w:p w14:paraId="25D07BEC" w14:textId="4A2EE06E" w:rsidR="00C575E9" w:rsidRDefault="00C575E9" w:rsidP="004F341D">
      <w:pPr>
        <w:tabs>
          <w:tab w:val="left" w:pos="6521"/>
        </w:tabs>
        <w:spacing w:before="240"/>
        <w:ind w:right="91"/>
        <w:jc w:val="both"/>
        <w:rPr>
          <w:b/>
        </w:rPr>
      </w:pPr>
      <w:r w:rsidRPr="00343E31">
        <w:rPr>
          <w:b/>
        </w:rPr>
        <w:t>Authority</w:t>
      </w:r>
    </w:p>
    <w:p w14:paraId="0D92C229" w14:textId="61EA29D6" w:rsidR="00C575E9" w:rsidRPr="00C575E9" w:rsidRDefault="009478B1" w:rsidP="004F341D">
      <w:pPr>
        <w:tabs>
          <w:tab w:val="left" w:pos="6521"/>
        </w:tabs>
        <w:spacing w:before="240"/>
        <w:ind w:right="91"/>
        <w:jc w:val="both"/>
      </w:pPr>
      <w:r>
        <w:t>Part 3, Part 3A and Part 4</w:t>
      </w:r>
      <w:r w:rsidR="00C575E9" w:rsidRPr="00C575E9">
        <w:t xml:space="preserve"> </w:t>
      </w:r>
      <w:r w:rsidR="00A374B4">
        <w:t xml:space="preserve">of </w:t>
      </w:r>
      <w:r w:rsidR="00C575E9" w:rsidRPr="00C575E9">
        <w:t xml:space="preserve">the Regulations provide the legal framework for the </w:t>
      </w:r>
      <w:r w:rsidR="00C575E9" w:rsidRPr="00DC093E">
        <w:t xml:space="preserve">maintenance, </w:t>
      </w:r>
      <w:proofErr w:type="gramStart"/>
      <w:r w:rsidR="00C575E9" w:rsidRPr="00C575E9">
        <w:t>verification</w:t>
      </w:r>
      <w:proofErr w:type="gramEnd"/>
      <w:r w:rsidR="00C575E9" w:rsidRPr="00C575E9">
        <w:t xml:space="preserve"> and certification of standards of measurement, artefacts and certified measuring instruments.</w:t>
      </w:r>
    </w:p>
    <w:p w14:paraId="374B938B" w14:textId="77777777" w:rsidR="00E246F5" w:rsidRPr="00E246F5" w:rsidRDefault="00E246F5" w:rsidP="004F341D">
      <w:pPr>
        <w:tabs>
          <w:tab w:val="left" w:pos="6521"/>
        </w:tabs>
        <w:spacing w:before="240"/>
        <w:ind w:right="91"/>
        <w:jc w:val="both"/>
        <w:rPr>
          <w:b/>
        </w:rPr>
      </w:pPr>
      <w:r>
        <w:rPr>
          <w:b/>
        </w:rPr>
        <w:t>Consultation</w:t>
      </w:r>
    </w:p>
    <w:p w14:paraId="574F89B3" w14:textId="32D5D2B1" w:rsidR="00346488" w:rsidRDefault="00346488" w:rsidP="004F341D">
      <w:pPr>
        <w:tabs>
          <w:tab w:val="left" w:pos="6521"/>
        </w:tabs>
        <w:spacing w:before="240"/>
        <w:ind w:right="91"/>
        <w:jc w:val="both"/>
        <w:rPr>
          <w:bCs/>
        </w:rPr>
      </w:pPr>
      <w:r>
        <w:rPr>
          <w:bCs/>
        </w:rPr>
        <w:t>The Determination support</w:t>
      </w:r>
      <w:r w:rsidR="00DC55BB">
        <w:rPr>
          <w:bCs/>
        </w:rPr>
        <w:t>s</w:t>
      </w:r>
      <w:r>
        <w:rPr>
          <w:bCs/>
        </w:rPr>
        <w:t xml:space="preserve"> the work of Verifying Authorities and Certifying Authorities that are appointed under the Regulations. The National Measurement Institute consulted with all appointed </w:t>
      </w:r>
      <w:r w:rsidRPr="00346488">
        <w:rPr>
          <w:bCs/>
        </w:rPr>
        <w:t>Verifying Authorities and Certifying Authorities</w:t>
      </w:r>
      <w:r>
        <w:rPr>
          <w:bCs/>
        </w:rPr>
        <w:t xml:space="preserve"> regarding the Determination during the period </w:t>
      </w:r>
      <w:r w:rsidR="00C4659E">
        <w:rPr>
          <w:bCs/>
        </w:rPr>
        <w:t xml:space="preserve">5 July </w:t>
      </w:r>
      <w:r w:rsidR="000A171B">
        <w:rPr>
          <w:bCs/>
        </w:rPr>
        <w:t xml:space="preserve">2022 to </w:t>
      </w:r>
      <w:r w:rsidR="00C4659E">
        <w:rPr>
          <w:bCs/>
        </w:rPr>
        <w:t xml:space="preserve">5 August </w:t>
      </w:r>
      <w:r w:rsidR="000A171B">
        <w:rPr>
          <w:bCs/>
        </w:rPr>
        <w:t>2022</w:t>
      </w:r>
      <w:r>
        <w:rPr>
          <w:bCs/>
        </w:rPr>
        <w:t>.</w:t>
      </w:r>
    </w:p>
    <w:p w14:paraId="50009EAD" w14:textId="08CD9E43" w:rsidR="00C4659E" w:rsidRDefault="00C4659E" w:rsidP="004F341D">
      <w:pPr>
        <w:tabs>
          <w:tab w:val="left" w:pos="6521"/>
        </w:tabs>
        <w:spacing w:before="240"/>
        <w:ind w:right="91"/>
        <w:jc w:val="both"/>
        <w:rPr>
          <w:bCs/>
        </w:rPr>
      </w:pPr>
      <w:r w:rsidRPr="00C4659E">
        <w:rPr>
          <w:bCs/>
        </w:rPr>
        <w:t>All feedback received from Verifying Authorities and Certifying Authorities agreed with the contents of the Determination and supported the alignment with relevant international standards.</w:t>
      </w:r>
    </w:p>
    <w:p w14:paraId="3464E768" w14:textId="77777777" w:rsidR="00C575E9" w:rsidRPr="00C4659E" w:rsidRDefault="00C575E9" w:rsidP="00C575E9">
      <w:pPr>
        <w:spacing w:before="240" w:after="240"/>
        <w:rPr>
          <w:b/>
        </w:rPr>
      </w:pPr>
      <w:r w:rsidRPr="00C4659E">
        <w:rPr>
          <w:b/>
        </w:rPr>
        <w:t>Regulatory Impact</w:t>
      </w:r>
    </w:p>
    <w:p w14:paraId="19275E81" w14:textId="47DF1327" w:rsidR="00FB7673" w:rsidRDefault="00FB7673" w:rsidP="00FB7673">
      <w:pPr>
        <w:tabs>
          <w:tab w:val="left" w:pos="6521"/>
        </w:tabs>
        <w:spacing w:before="240"/>
        <w:ind w:right="91"/>
        <w:jc w:val="both"/>
      </w:pPr>
      <w:r w:rsidRPr="00FB7673">
        <w:t xml:space="preserve">The Office of Impact Analysis (OIA) was consulted concerning the development of the Determination. OIA advised that the Determination was likely to have only a minor regulatory impact.  As such, the preparation of a formal Impact Analysis (IA) was not required. </w:t>
      </w:r>
    </w:p>
    <w:p w14:paraId="53EE8BF8" w14:textId="77777777" w:rsidR="00FB7673" w:rsidRPr="00FB7673" w:rsidRDefault="00FB7673" w:rsidP="00FB7673">
      <w:pPr>
        <w:tabs>
          <w:tab w:val="left" w:pos="6521"/>
        </w:tabs>
        <w:spacing w:before="240"/>
        <w:ind w:right="91"/>
        <w:jc w:val="both"/>
      </w:pPr>
    </w:p>
    <w:p w14:paraId="5C6122FB" w14:textId="08B5F229" w:rsidR="005750F2" w:rsidRPr="005750F2" w:rsidRDefault="005750F2" w:rsidP="00C575E9">
      <w:pPr>
        <w:tabs>
          <w:tab w:val="left" w:pos="6521"/>
        </w:tabs>
        <w:spacing w:before="240"/>
        <w:ind w:right="91"/>
        <w:jc w:val="both"/>
      </w:pPr>
      <w:r>
        <w:t xml:space="preserve">A Statement of Compatibility with Human Rights is at </w:t>
      </w:r>
      <w:r>
        <w:rPr>
          <w:b/>
          <w:u w:val="single"/>
        </w:rPr>
        <w:t>Attachment B</w:t>
      </w:r>
      <w:r>
        <w:t>.</w:t>
      </w:r>
    </w:p>
    <w:p w14:paraId="0664997E" w14:textId="77777777" w:rsidR="005750F2" w:rsidRDefault="005750F2" w:rsidP="00C575E9">
      <w:pPr>
        <w:tabs>
          <w:tab w:val="left" w:pos="6521"/>
        </w:tabs>
        <w:spacing w:before="240"/>
        <w:ind w:right="91"/>
        <w:jc w:val="both"/>
        <w:rPr>
          <w:bCs/>
        </w:rPr>
      </w:pPr>
    </w:p>
    <w:p w14:paraId="7E829C73" w14:textId="77777777" w:rsidR="006445DC" w:rsidRDefault="006445D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1E8F796" w14:textId="77777777" w:rsidR="00204736" w:rsidRPr="00005D70" w:rsidRDefault="003A78DA" w:rsidP="00204736">
      <w:pPr>
        <w:ind w:right="91"/>
        <w:jc w:val="right"/>
        <w:rPr>
          <w:bCs/>
        </w:rPr>
      </w:pPr>
      <w:r w:rsidRPr="009C7A63">
        <w:rPr>
          <w:b/>
          <w:u w:val="single"/>
        </w:rPr>
        <w:lastRenderedPageBreak/>
        <w:t>ATTACHMENT</w:t>
      </w:r>
      <w:r w:rsidR="005750F2">
        <w:rPr>
          <w:b/>
          <w:u w:val="single"/>
        </w:rPr>
        <w:t xml:space="preserve"> A</w:t>
      </w:r>
    </w:p>
    <w:p w14:paraId="073CC026" w14:textId="77777777" w:rsidR="00204736" w:rsidRPr="00005D70" w:rsidRDefault="00204736" w:rsidP="00204736">
      <w:pPr>
        <w:ind w:right="91"/>
        <w:rPr>
          <w:bCs/>
        </w:rPr>
      </w:pPr>
    </w:p>
    <w:p w14:paraId="169A2617" w14:textId="316EEB11" w:rsidR="00DC1F39" w:rsidRPr="00D26862" w:rsidRDefault="003A78DA" w:rsidP="00204736">
      <w:pPr>
        <w:ind w:right="91"/>
        <w:rPr>
          <w:b/>
          <w:u w:val="single"/>
        </w:rPr>
      </w:pPr>
      <w:r w:rsidRPr="009C7A63">
        <w:rPr>
          <w:b/>
          <w:u w:val="single"/>
        </w:rPr>
        <w:t xml:space="preserve">Details of the </w:t>
      </w:r>
      <w:r>
        <w:rPr>
          <w:b/>
          <w:i/>
          <w:u w:val="single"/>
        </w:rPr>
        <w:t xml:space="preserve">National Measurement </w:t>
      </w:r>
      <w:r w:rsidR="00EA6802">
        <w:rPr>
          <w:b/>
          <w:i/>
          <w:u w:val="single"/>
        </w:rPr>
        <w:t>(</w:t>
      </w:r>
      <w:r w:rsidR="00346488">
        <w:rPr>
          <w:b/>
          <w:i/>
          <w:u w:val="single"/>
        </w:rPr>
        <w:t>Accuracy</w:t>
      </w:r>
      <w:r w:rsidR="00EA6802">
        <w:rPr>
          <w:b/>
          <w:i/>
          <w:u w:val="single"/>
        </w:rPr>
        <w:t>)</w:t>
      </w:r>
      <w:r w:rsidR="00346488">
        <w:rPr>
          <w:b/>
          <w:i/>
          <w:u w:val="single"/>
        </w:rPr>
        <w:t xml:space="preserve"> Determination 202</w:t>
      </w:r>
      <w:r w:rsidR="00C4659E">
        <w:rPr>
          <w:b/>
          <w:i/>
          <w:u w:val="single"/>
        </w:rPr>
        <w:t>3</w:t>
      </w:r>
    </w:p>
    <w:p w14:paraId="32B3FE2C" w14:textId="5E928741" w:rsidR="003A78DA" w:rsidRPr="00EE58C5" w:rsidRDefault="00BA18DE" w:rsidP="00D26862">
      <w:pPr>
        <w:spacing w:before="360"/>
        <w:rPr>
          <w:b/>
        </w:rPr>
      </w:pPr>
      <w:r>
        <w:rPr>
          <w:b/>
        </w:rPr>
        <w:t>Clause</w:t>
      </w:r>
      <w:r w:rsidR="003A78DA" w:rsidRPr="00EE58C5">
        <w:rPr>
          <w:b/>
        </w:rPr>
        <w:t xml:space="preserve"> 1 – Name</w:t>
      </w:r>
    </w:p>
    <w:p w14:paraId="3E2AB234" w14:textId="70DEF412" w:rsidR="003A78DA" w:rsidRDefault="003A78DA" w:rsidP="003A78DA">
      <w:pPr>
        <w:spacing w:before="240"/>
      </w:pPr>
      <w:r>
        <w:t xml:space="preserve">This </w:t>
      </w:r>
      <w:r w:rsidR="006445DC">
        <w:t xml:space="preserve">clause </w:t>
      </w:r>
      <w:r>
        <w:t xml:space="preserve">specifies the name of the </w:t>
      </w:r>
      <w:r w:rsidR="00346488">
        <w:t>Determination</w:t>
      </w:r>
      <w:r>
        <w:t xml:space="preserve"> </w:t>
      </w:r>
      <w:r w:rsidR="006537F8">
        <w:t>is</w:t>
      </w:r>
      <w:r>
        <w:t xml:space="preserve"> the </w:t>
      </w:r>
      <w:r w:rsidR="00D63F40" w:rsidRPr="00D63F40">
        <w:rPr>
          <w:i/>
        </w:rPr>
        <w:t xml:space="preserve">National Measurement </w:t>
      </w:r>
      <w:r w:rsidR="00EA6802">
        <w:rPr>
          <w:i/>
        </w:rPr>
        <w:t>(</w:t>
      </w:r>
      <w:r w:rsidR="00D63F40" w:rsidRPr="00D63F40">
        <w:rPr>
          <w:i/>
        </w:rPr>
        <w:t>Accuracy</w:t>
      </w:r>
      <w:r w:rsidR="00EA6802">
        <w:rPr>
          <w:i/>
        </w:rPr>
        <w:t>)</w:t>
      </w:r>
      <w:r w:rsidR="00D63F40" w:rsidRPr="00D63F40">
        <w:rPr>
          <w:i/>
        </w:rPr>
        <w:t xml:space="preserve"> Determination 202</w:t>
      </w:r>
      <w:r w:rsidR="00C4659E">
        <w:rPr>
          <w:i/>
        </w:rPr>
        <w:t>3</w:t>
      </w:r>
      <w:r w:rsidR="00764A4E">
        <w:rPr>
          <w:i/>
        </w:rPr>
        <w:t xml:space="preserve">. </w:t>
      </w:r>
    </w:p>
    <w:p w14:paraId="07035507" w14:textId="77777777" w:rsidR="000106A4" w:rsidRDefault="000106A4" w:rsidP="000106A4">
      <w:pPr>
        <w:spacing w:before="240"/>
        <w:rPr>
          <w:b/>
        </w:rPr>
      </w:pPr>
      <w:r>
        <w:rPr>
          <w:b/>
        </w:rPr>
        <w:t>Clause</w:t>
      </w:r>
      <w:r w:rsidRPr="00EE58C5">
        <w:rPr>
          <w:b/>
        </w:rPr>
        <w:t xml:space="preserve"> </w:t>
      </w:r>
      <w:r>
        <w:rPr>
          <w:b/>
        </w:rPr>
        <w:t>2</w:t>
      </w:r>
      <w:r w:rsidRPr="00EE58C5">
        <w:rPr>
          <w:b/>
        </w:rPr>
        <w:t xml:space="preserve"> – </w:t>
      </w:r>
      <w:r>
        <w:rPr>
          <w:b/>
        </w:rPr>
        <w:t>Commencement</w:t>
      </w:r>
    </w:p>
    <w:p w14:paraId="25E1A2BE" w14:textId="69C0AE82" w:rsidR="000106A4" w:rsidRPr="004F341D" w:rsidRDefault="000106A4" w:rsidP="000106A4">
      <w:pPr>
        <w:spacing w:before="240" w:after="100" w:afterAutospacing="1"/>
      </w:pPr>
      <w:r>
        <w:t xml:space="preserve">This </w:t>
      </w:r>
      <w:r w:rsidR="006445DC">
        <w:t xml:space="preserve">clause </w:t>
      </w:r>
      <w:r>
        <w:t xml:space="preserve">provides that the Determination </w:t>
      </w:r>
      <w:r w:rsidR="00313C22">
        <w:t xml:space="preserve">will </w:t>
      </w:r>
      <w:r>
        <w:t xml:space="preserve">commence the day after </w:t>
      </w:r>
      <w:r w:rsidR="00A374B4">
        <w:t>r</w:t>
      </w:r>
      <w:r w:rsidR="007A0486">
        <w:t>egist</w:t>
      </w:r>
      <w:r w:rsidR="00A374B4">
        <w:t xml:space="preserve">ration </w:t>
      </w:r>
      <w:r>
        <w:t>on the Federal Register of Legislation.</w:t>
      </w:r>
    </w:p>
    <w:p w14:paraId="5C2D2B83" w14:textId="77777777" w:rsidR="00E246F5" w:rsidRDefault="00E246F5" w:rsidP="00F6360E">
      <w:pPr>
        <w:spacing w:before="240"/>
        <w:rPr>
          <w:b/>
        </w:rPr>
      </w:pPr>
      <w:r>
        <w:rPr>
          <w:b/>
        </w:rPr>
        <w:t xml:space="preserve">Clause </w:t>
      </w:r>
      <w:r w:rsidR="000106A4">
        <w:rPr>
          <w:b/>
        </w:rPr>
        <w:t>3</w:t>
      </w:r>
      <w:r>
        <w:rPr>
          <w:b/>
        </w:rPr>
        <w:t xml:space="preserve"> – Authority</w:t>
      </w:r>
    </w:p>
    <w:p w14:paraId="4BEB2E49" w14:textId="62D39BAA" w:rsidR="00E246F5" w:rsidRPr="00E246F5" w:rsidRDefault="00E246F5" w:rsidP="00F6360E">
      <w:pPr>
        <w:spacing w:before="240"/>
      </w:pPr>
      <w:r w:rsidRPr="00E246F5">
        <w:t xml:space="preserve">This </w:t>
      </w:r>
      <w:r w:rsidR="006445DC">
        <w:t xml:space="preserve">clause </w:t>
      </w:r>
      <w:r w:rsidR="00313C22">
        <w:t xml:space="preserve">provides </w:t>
      </w:r>
      <w:r w:rsidR="000106A4">
        <w:t>that the Determination</w:t>
      </w:r>
      <w:r w:rsidR="00313C22">
        <w:t xml:space="preserve"> </w:t>
      </w:r>
      <w:r w:rsidR="00A374B4">
        <w:t xml:space="preserve">is </w:t>
      </w:r>
      <w:r w:rsidR="000106A4">
        <w:t xml:space="preserve">made under the </w:t>
      </w:r>
      <w:r w:rsidR="000106A4" w:rsidRPr="006445DC">
        <w:rPr>
          <w:i/>
        </w:rPr>
        <w:t>National Measurement Regulations 1999</w:t>
      </w:r>
      <w:r w:rsidR="00094994">
        <w:rPr>
          <w:i/>
        </w:rPr>
        <w:t xml:space="preserve"> </w:t>
      </w:r>
      <w:r w:rsidR="00094994" w:rsidRPr="00343E31">
        <w:t>(</w:t>
      </w:r>
      <w:r w:rsidR="00313C22">
        <w:t xml:space="preserve">the </w:t>
      </w:r>
      <w:r w:rsidR="00094994" w:rsidRPr="00343E31">
        <w:t>Regulations)</w:t>
      </w:r>
      <w:r w:rsidRPr="00094994">
        <w:t>.</w:t>
      </w:r>
    </w:p>
    <w:p w14:paraId="7D9B199E" w14:textId="7C6A619A" w:rsidR="00343E31" w:rsidRDefault="000106A4" w:rsidP="000106A4">
      <w:pPr>
        <w:spacing w:before="240"/>
        <w:rPr>
          <w:b/>
        </w:rPr>
      </w:pPr>
      <w:r>
        <w:rPr>
          <w:b/>
        </w:rPr>
        <w:t>Clause</w:t>
      </w:r>
      <w:r w:rsidRPr="00EE58C5">
        <w:rPr>
          <w:b/>
        </w:rPr>
        <w:t xml:space="preserve"> </w:t>
      </w:r>
      <w:r w:rsidR="00986D60">
        <w:rPr>
          <w:b/>
        </w:rPr>
        <w:t>4</w:t>
      </w:r>
      <w:r w:rsidRPr="00EE58C5">
        <w:rPr>
          <w:b/>
        </w:rPr>
        <w:t xml:space="preserve"> – </w:t>
      </w:r>
      <w:r w:rsidR="00343E31">
        <w:rPr>
          <w:b/>
        </w:rPr>
        <w:t>Schedules</w:t>
      </w:r>
    </w:p>
    <w:p w14:paraId="2E58172D" w14:textId="6B07C31D" w:rsidR="00343E31" w:rsidRPr="00343E31" w:rsidRDefault="00343E31" w:rsidP="000106A4">
      <w:pPr>
        <w:spacing w:before="240"/>
      </w:pPr>
      <w:r w:rsidRPr="00343E31">
        <w:t>This clause is a machinery provision that gives effect to the Schedule according to its terms.</w:t>
      </w:r>
    </w:p>
    <w:p w14:paraId="185B7D5D" w14:textId="15EB8F00" w:rsidR="000106A4" w:rsidRPr="00EE58C5" w:rsidRDefault="00343E31" w:rsidP="000106A4">
      <w:pPr>
        <w:spacing w:before="240"/>
        <w:rPr>
          <w:b/>
        </w:rPr>
      </w:pPr>
      <w:r>
        <w:rPr>
          <w:b/>
        </w:rPr>
        <w:t xml:space="preserve">Clause 5 – </w:t>
      </w:r>
      <w:r w:rsidR="000106A4">
        <w:rPr>
          <w:b/>
        </w:rPr>
        <w:t>Definitions</w:t>
      </w:r>
    </w:p>
    <w:p w14:paraId="08E52045" w14:textId="472BEFD8" w:rsidR="000106A4" w:rsidRDefault="000106A4" w:rsidP="000106A4">
      <w:pPr>
        <w:spacing w:before="240"/>
      </w:pPr>
      <w:r>
        <w:t>This clause provides for definitions of terms used in the Determination.</w:t>
      </w:r>
    </w:p>
    <w:p w14:paraId="5913B57B" w14:textId="38FC3789" w:rsidR="000106A4" w:rsidRPr="000106A4" w:rsidRDefault="004F341D" w:rsidP="00986D60">
      <w:pPr>
        <w:spacing w:before="240"/>
        <w:rPr>
          <w:b/>
        </w:rPr>
      </w:pPr>
      <w:r>
        <w:rPr>
          <w:b/>
        </w:rPr>
        <w:t>Clause</w:t>
      </w:r>
      <w:r w:rsidRPr="00EE58C5">
        <w:rPr>
          <w:b/>
        </w:rPr>
        <w:t xml:space="preserve"> </w:t>
      </w:r>
      <w:r w:rsidR="00343E31">
        <w:rPr>
          <w:b/>
        </w:rPr>
        <w:t>6</w:t>
      </w:r>
      <w:r w:rsidR="00343E31" w:rsidRPr="00EE58C5">
        <w:rPr>
          <w:b/>
        </w:rPr>
        <w:t xml:space="preserve"> </w:t>
      </w:r>
      <w:r w:rsidRPr="00EE58C5">
        <w:rPr>
          <w:b/>
        </w:rPr>
        <w:t>–</w:t>
      </w:r>
      <w:r w:rsidR="00986D60">
        <w:rPr>
          <w:b/>
        </w:rPr>
        <w:t xml:space="preserve"> </w:t>
      </w:r>
      <w:r w:rsidR="000106A4" w:rsidRPr="000106A4">
        <w:rPr>
          <w:b/>
        </w:rPr>
        <w:t>Standards of measurement, artefacts</w:t>
      </w:r>
      <w:r w:rsidR="00640451">
        <w:rPr>
          <w:b/>
        </w:rPr>
        <w:t xml:space="preserve"> and</w:t>
      </w:r>
      <w:r w:rsidR="000106A4" w:rsidRPr="000106A4">
        <w:rPr>
          <w:b/>
        </w:rPr>
        <w:t xml:space="preserve"> measuring instruments </w:t>
      </w:r>
    </w:p>
    <w:p w14:paraId="168D3D42" w14:textId="77777777" w:rsidR="00343E31" w:rsidRDefault="00343E31" w:rsidP="00343E31">
      <w:pPr>
        <w:rPr>
          <w:szCs w:val="20"/>
        </w:rPr>
      </w:pPr>
      <w:r w:rsidRPr="001E3B07">
        <w:rPr>
          <w:szCs w:val="20"/>
        </w:rPr>
        <w:t>T</w:t>
      </w:r>
      <w:r>
        <w:rPr>
          <w:szCs w:val="20"/>
        </w:rPr>
        <w:t>his</w:t>
      </w:r>
      <w:r w:rsidRPr="001E3B07">
        <w:rPr>
          <w:szCs w:val="20"/>
        </w:rPr>
        <w:t xml:space="preserve"> clause </w:t>
      </w:r>
      <w:r>
        <w:rPr>
          <w:szCs w:val="20"/>
        </w:rPr>
        <w:t xml:space="preserve">details the determinations of the Chief Metrologist with respect to the </w:t>
      </w:r>
      <w:proofErr w:type="gramStart"/>
      <w:r>
        <w:rPr>
          <w:szCs w:val="20"/>
        </w:rPr>
        <w:t>manner in which</w:t>
      </w:r>
      <w:proofErr w:type="gramEnd"/>
      <w:r>
        <w:rPr>
          <w:szCs w:val="20"/>
        </w:rPr>
        <w:t xml:space="preserve"> the accuracy of the following shall be ascertained, or ascertained and expressed:</w:t>
      </w:r>
    </w:p>
    <w:p w14:paraId="4373DBBA" w14:textId="77777777" w:rsidR="00343E31" w:rsidRDefault="00343E31" w:rsidP="00343E31">
      <w:pPr>
        <w:rPr>
          <w:szCs w:val="20"/>
        </w:rPr>
      </w:pPr>
    </w:p>
    <w:p w14:paraId="4EC144BD" w14:textId="77777777" w:rsidR="00343E31" w:rsidRPr="00BD59B5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 xml:space="preserve">Australian primary standards of </w:t>
      </w:r>
      <w:proofErr w:type="gramStart"/>
      <w:r w:rsidRPr="00BD59B5">
        <w:rPr>
          <w:szCs w:val="20"/>
        </w:rPr>
        <w:t>measurement</w:t>
      </w:r>
      <w:r>
        <w:rPr>
          <w:szCs w:val="20"/>
        </w:rPr>
        <w:t>;</w:t>
      </w:r>
      <w:proofErr w:type="gramEnd"/>
    </w:p>
    <w:p w14:paraId="6776DC27" w14:textId="77777777" w:rsidR="00343E31" w:rsidRPr="00BD59B5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>Australia</w:t>
      </w:r>
      <w:r>
        <w:rPr>
          <w:szCs w:val="20"/>
        </w:rPr>
        <w:t>n</w:t>
      </w:r>
      <w:r w:rsidRPr="00BD59B5">
        <w:rPr>
          <w:szCs w:val="20"/>
        </w:rPr>
        <w:t xml:space="preserve"> secondary standards of </w:t>
      </w:r>
      <w:proofErr w:type="gramStart"/>
      <w:r w:rsidRPr="00BD59B5">
        <w:rPr>
          <w:szCs w:val="20"/>
        </w:rPr>
        <w:t>measurement</w:t>
      </w:r>
      <w:r>
        <w:rPr>
          <w:szCs w:val="20"/>
        </w:rPr>
        <w:t>;</w:t>
      </w:r>
      <w:proofErr w:type="gramEnd"/>
    </w:p>
    <w:p w14:paraId="55E8A7AC" w14:textId="77777777" w:rsidR="00343E31" w:rsidRPr="00BD59B5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 xml:space="preserve">State primary standards of </w:t>
      </w:r>
      <w:proofErr w:type="gramStart"/>
      <w:r w:rsidRPr="00BD59B5">
        <w:rPr>
          <w:szCs w:val="20"/>
        </w:rPr>
        <w:t>measurement</w:t>
      </w:r>
      <w:r>
        <w:rPr>
          <w:szCs w:val="20"/>
        </w:rPr>
        <w:t>;</w:t>
      </w:r>
      <w:proofErr w:type="gramEnd"/>
    </w:p>
    <w:p w14:paraId="597553B7" w14:textId="77777777" w:rsidR="00343E31" w:rsidRPr="00BD59B5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 xml:space="preserve">Reference standards of </w:t>
      </w:r>
      <w:proofErr w:type="gramStart"/>
      <w:r w:rsidRPr="00BD59B5">
        <w:rPr>
          <w:szCs w:val="20"/>
        </w:rPr>
        <w:t>measurement</w:t>
      </w:r>
      <w:r>
        <w:rPr>
          <w:szCs w:val="20"/>
        </w:rPr>
        <w:t>;</w:t>
      </w:r>
      <w:proofErr w:type="gramEnd"/>
    </w:p>
    <w:p w14:paraId="05197258" w14:textId="77777777" w:rsidR="00343E31" w:rsidRPr="00BD59B5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 xml:space="preserve">Artefacts; and </w:t>
      </w:r>
    </w:p>
    <w:p w14:paraId="3C444BCC" w14:textId="77777777" w:rsidR="00343E31" w:rsidRDefault="00343E31" w:rsidP="00343E31">
      <w:pPr>
        <w:pStyle w:val="ListParagraph"/>
        <w:numPr>
          <w:ilvl w:val="0"/>
          <w:numId w:val="20"/>
        </w:numPr>
        <w:rPr>
          <w:szCs w:val="20"/>
        </w:rPr>
      </w:pPr>
      <w:r w:rsidRPr="00BD59B5">
        <w:rPr>
          <w:szCs w:val="20"/>
        </w:rPr>
        <w:t>Certified measuring instruments.</w:t>
      </w:r>
    </w:p>
    <w:p w14:paraId="231CA2EF" w14:textId="77777777" w:rsidR="00343E31" w:rsidRPr="006445DC" w:rsidRDefault="00343E31" w:rsidP="00343E31">
      <w:pPr>
        <w:rPr>
          <w:szCs w:val="20"/>
        </w:rPr>
      </w:pPr>
    </w:p>
    <w:p w14:paraId="1CA36BCA" w14:textId="23D52121" w:rsidR="00343E31" w:rsidRDefault="00343E31" w:rsidP="00343E31">
      <w:pPr>
        <w:rPr>
          <w:i/>
          <w:szCs w:val="20"/>
        </w:rPr>
      </w:pPr>
      <w:r>
        <w:rPr>
          <w:szCs w:val="20"/>
        </w:rPr>
        <w:t xml:space="preserve">In each case, the Determination </w:t>
      </w:r>
      <w:r w:rsidRPr="000A1790">
        <w:rPr>
          <w:szCs w:val="20"/>
        </w:rPr>
        <w:t xml:space="preserve">requires that the accuracy of </w:t>
      </w:r>
      <w:r>
        <w:rPr>
          <w:szCs w:val="20"/>
        </w:rPr>
        <w:t>the above</w:t>
      </w:r>
      <w:r w:rsidRPr="000A1790">
        <w:rPr>
          <w:szCs w:val="20"/>
        </w:rPr>
        <w:t xml:space="preserve"> be </w:t>
      </w:r>
      <w:r>
        <w:rPr>
          <w:szCs w:val="20"/>
        </w:rPr>
        <w:t>ascertained</w:t>
      </w:r>
      <w:r w:rsidRPr="000A1790">
        <w:rPr>
          <w:szCs w:val="20"/>
        </w:rPr>
        <w:t xml:space="preserve"> and expressed</w:t>
      </w:r>
      <w:r w:rsidR="00B8644A">
        <w:rPr>
          <w:szCs w:val="20"/>
        </w:rPr>
        <w:t xml:space="preserve"> as an uncertainty</w:t>
      </w:r>
      <w:r>
        <w:rPr>
          <w:szCs w:val="20"/>
        </w:rPr>
        <w:t xml:space="preserve"> </w:t>
      </w:r>
      <w:r w:rsidRPr="000A1790">
        <w:rPr>
          <w:szCs w:val="20"/>
        </w:rPr>
        <w:t xml:space="preserve">in accordance with the principles of the </w:t>
      </w:r>
      <w:r w:rsidRPr="000A1790">
        <w:rPr>
          <w:i/>
          <w:szCs w:val="20"/>
        </w:rPr>
        <w:t>JCGM 100</w:t>
      </w:r>
      <w:r w:rsidR="00170743">
        <w:rPr>
          <w:i/>
          <w:szCs w:val="20"/>
        </w:rPr>
        <w:t>:2008</w:t>
      </w:r>
      <w:r w:rsidRPr="000A1790">
        <w:rPr>
          <w:i/>
          <w:szCs w:val="20"/>
        </w:rPr>
        <w:t xml:space="preserve"> – Evaluation of measurement data – Guide to the expression of uncertainty in measurement.</w:t>
      </w:r>
      <w:r>
        <w:rPr>
          <w:i/>
          <w:szCs w:val="20"/>
        </w:rPr>
        <w:t xml:space="preserve"> </w:t>
      </w:r>
    </w:p>
    <w:p w14:paraId="446AEA5E" w14:textId="77777777" w:rsidR="00343E31" w:rsidRDefault="00343E31" w:rsidP="00343E31">
      <w:pPr>
        <w:rPr>
          <w:i/>
          <w:szCs w:val="20"/>
        </w:rPr>
      </w:pPr>
    </w:p>
    <w:p w14:paraId="54ADE4A6" w14:textId="4264B08D" w:rsidR="00343E31" w:rsidRDefault="00343E31" w:rsidP="00343E31">
      <w:pPr>
        <w:rPr>
          <w:szCs w:val="20"/>
        </w:rPr>
      </w:pPr>
      <w:r>
        <w:rPr>
          <w:szCs w:val="20"/>
        </w:rPr>
        <w:t>Measurement accuracy is defined as the closeness of agreement between a measured quantity value and a true quantity value of a measurand (</w:t>
      </w:r>
      <w:r w:rsidR="00B8644A">
        <w:rPr>
          <w:szCs w:val="20"/>
        </w:rPr>
        <w:t xml:space="preserve">a.k.a. </w:t>
      </w:r>
      <w:r>
        <w:rPr>
          <w:szCs w:val="20"/>
        </w:rPr>
        <w:t xml:space="preserve">the quantity that is being measured). All measured quantity values have an associated measurement uncertainty, defined as a </w:t>
      </w:r>
      <w:r w:rsidRPr="00A9561D">
        <w:rPr>
          <w:szCs w:val="20"/>
        </w:rPr>
        <w:t>parameter, associated with the result of a measurement</w:t>
      </w:r>
      <w:r>
        <w:rPr>
          <w:szCs w:val="20"/>
        </w:rPr>
        <w:t>,</w:t>
      </w:r>
      <w:r w:rsidRPr="00A9561D">
        <w:rPr>
          <w:szCs w:val="20"/>
        </w:rPr>
        <w:t xml:space="preserve"> that characteri</w:t>
      </w:r>
      <w:r w:rsidR="00A374B4">
        <w:rPr>
          <w:szCs w:val="20"/>
        </w:rPr>
        <w:t>s</w:t>
      </w:r>
      <w:r w:rsidRPr="00A9561D">
        <w:rPr>
          <w:szCs w:val="20"/>
        </w:rPr>
        <w:t>es the</w:t>
      </w:r>
      <w:r>
        <w:rPr>
          <w:szCs w:val="20"/>
        </w:rPr>
        <w:t xml:space="preserve"> dispersion of the values that </w:t>
      </w:r>
      <w:r w:rsidRPr="00A9561D">
        <w:rPr>
          <w:szCs w:val="20"/>
        </w:rPr>
        <w:t>could reasonably be attributed to the measurand</w:t>
      </w:r>
      <w:r>
        <w:rPr>
          <w:szCs w:val="20"/>
        </w:rPr>
        <w:t>.</w:t>
      </w:r>
    </w:p>
    <w:p w14:paraId="2E299F9A" w14:textId="77777777" w:rsidR="00343E31" w:rsidRPr="00A9561D" w:rsidRDefault="00343E31" w:rsidP="00343E31">
      <w:pPr>
        <w:rPr>
          <w:szCs w:val="20"/>
        </w:rPr>
      </w:pPr>
    </w:p>
    <w:p w14:paraId="0DDCB4FC" w14:textId="77777777" w:rsidR="00343E31" w:rsidRDefault="00343E31" w:rsidP="00343E31">
      <w:pPr>
        <w:rPr>
          <w:szCs w:val="20"/>
        </w:rPr>
      </w:pPr>
      <w:r w:rsidRPr="00BD59B5">
        <w:rPr>
          <w:szCs w:val="20"/>
        </w:rPr>
        <w:t xml:space="preserve">The </w:t>
      </w:r>
      <w:r>
        <w:rPr>
          <w:szCs w:val="20"/>
        </w:rPr>
        <w:t xml:space="preserve">use of the </w:t>
      </w:r>
      <w:r w:rsidRPr="00BD59B5">
        <w:rPr>
          <w:i/>
          <w:szCs w:val="20"/>
        </w:rPr>
        <w:t>JCGM 100:2008</w:t>
      </w:r>
      <w:r>
        <w:rPr>
          <w:szCs w:val="20"/>
        </w:rPr>
        <w:t xml:space="preserve"> guide provides for a consistent approach to the quantification and expression of measurement uncertainty of the calibration and verification of standards of measurement, </w:t>
      </w:r>
      <w:proofErr w:type="gramStart"/>
      <w:r>
        <w:rPr>
          <w:szCs w:val="20"/>
        </w:rPr>
        <w:t>artefacts</w:t>
      </w:r>
      <w:proofErr w:type="gramEnd"/>
      <w:r>
        <w:rPr>
          <w:szCs w:val="20"/>
        </w:rPr>
        <w:t xml:space="preserve"> and certification of certified measuring instruments; thereby aligning Australian requirements with internationally accepted best practice.</w:t>
      </w:r>
    </w:p>
    <w:p w14:paraId="6717D972" w14:textId="77777777" w:rsidR="00343E31" w:rsidRPr="000A1790" w:rsidRDefault="00343E31" w:rsidP="00343E31">
      <w:pPr>
        <w:rPr>
          <w:i/>
          <w:szCs w:val="20"/>
        </w:rPr>
      </w:pPr>
    </w:p>
    <w:p w14:paraId="18FDE992" w14:textId="2BD5E897" w:rsidR="00343E31" w:rsidRDefault="00343E31" w:rsidP="00343E31">
      <w:pPr>
        <w:rPr>
          <w:szCs w:val="20"/>
        </w:rPr>
      </w:pPr>
      <w:r>
        <w:rPr>
          <w:szCs w:val="20"/>
        </w:rPr>
        <w:t xml:space="preserve">The appropriate use of </w:t>
      </w:r>
      <w:r w:rsidRPr="00583A8D">
        <w:rPr>
          <w:szCs w:val="20"/>
        </w:rPr>
        <w:t xml:space="preserve">standards of measurement, artefacts and certified measuring instruments </w:t>
      </w:r>
      <w:r>
        <w:rPr>
          <w:szCs w:val="20"/>
        </w:rPr>
        <w:t xml:space="preserve">depends upon the accuracy </w:t>
      </w:r>
      <w:r w:rsidR="00266CCC">
        <w:rPr>
          <w:szCs w:val="20"/>
        </w:rPr>
        <w:t xml:space="preserve">and uncertainty </w:t>
      </w:r>
      <w:r>
        <w:rPr>
          <w:szCs w:val="20"/>
        </w:rPr>
        <w:t xml:space="preserve">with which they are calibrated and verified to be quantified and reported. The </w:t>
      </w:r>
      <w:proofErr w:type="gramStart"/>
      <w:r>
        <w:rPr>
          <w:szCs w:val="20"/>
        </w:rPr>
        <w:t>manner in which</w:t>
      </w:r>
      <w:proofErr w:type="gramEnd"/>
      <w:r>
        <w:rPr>
          <w:szCs w:val="20"/>
        </w:rPr>
        <w:t xml:space="preserve"> the </w:t>
      </w:r>
      <w:r w:rsidR="00266CCC">
        <w:rPr>
          <w:szCs w:val="20"/>
        </w:rPr>
        <w:t xml:space="preserve">uncertainty </w:t>
      </w:r>
      <w:r>
        <w:rPr>
          <w:szCs w:val="20"/>
        </w:rPr>
        <w:t xml:space="preserve">is ascertained and expressed must be consistent to allow for comparability of </w:t>
      </w:r>
      <w:r w:rsidRPr="00592E6D">
        <w:rPr>
          <w:szCs w:val="20"/>
        </w:rPr>
        <w:t xml:space="preserve">standards of measurement, artefacts and certified measuring instruments </w:t>
      </w:r>
      <w:r>
        <w:rPr>
          <w:szCs w:val="20"/>
        </w:rPr>
        <w:t xml:space="preserve">as well as all measurements that are made with them and are traceable to them. </w:t>
      </w:r>
    </w:p>
    <w:p w14:paraId="240B770D" w14:textId="58002DE9" w:rsidR="000106A4" w:rsidRDefault="00343E31" w:rsidP="004F341D">
      <w:pPr>
        <w:spacing w:before="240" w:after="100" w:afterAutospacing="1"/>
        <w:rPr>
          <w:b/>
        </w:rPr>
      </w:pPr>
      <w:r>
        <w:rPr>
          <w:b/>
        </w:rPr>
        <w:t>Schedule 1</w:t>
      </w:r>
      <w:r w:rsidR="00986D60" w:rsidRPr="001E3B07">
        <w:rPr>
          <w:b/>
        </w:rPr>
        <w:t xml:space="preserve"> – </w:t>
      </w:r>
      <w:r w:rsidRPr="001E3B07">
        <w:rPr>
          <w:b/>
        </w:rPr>
        <w:t>Re</w:t>
      </w:r>
      <w:r>
        <w:rPr>
          <w:b/>
        </w:rPr>
        <w:t>peals</w:t>
      </w:r>
    </w:p>
    <w:p w14:paraId="79F8B2F7" w14:textId="0A5CDA03" w:rsidR="00343E31" w:rsidRDefault="001E3B07" w:rsidP="00343E31">
      <w:pPr>
        <w:spacing w:before="240" w:after="100" w:afterAutospacing="1"/>
      </w:pPr>
      <w:r w:rsidRPr="001E3B07">
        <w:t xml:space="preserve">This clause revokes </w:t>
      </w:r>
      <w:r w:rsidR="00343E31">
        <w:t>the following</w:t>
      </w:r>
      <w:r w:rsidR="00343E31" w:rsidRPr="001E3B07">
        <w:t xml:space="preserve"> </w:t>
      </w:r>
      <w:r w:rsidR="006537F8">
        <w:t>d</w:t>
      </w:r>
      <w:r w:rsidRPr="001E3B07">
        <w:t xml:space="preserve">eterminations made with respect to </w:t>
      </w:r>
      <w:r w:rsidR="006A7601">
        <w:t xml:space="preserve">ascertaining and expressing </w:t>
      </w:r>
      <w:r w:rsidRPr="001E3B07">
        <w:t xml:space="preserve">the accuracy of </w:t>
      </w:r>
      <w:r w:rsidR="00DC55BB">
        <w:t xml:space="preserve">reference </w:t>
      </w:r>
      <w:r w:rsidRPr="001E3B07">
        <w:t>standards of measurement</w:t>
      </w:r>
      <w:r w:rsidR="00343E31">
        <w:t>:</w:t>
      </w:r>
    </w:p>
    <w:p w14:paraId="20938DFF" w14:textId="746CBEAB" w:rsidR="00343E31" w:rsidRDefault="00343E31" w:rsidP="00BC2172">
      <w:pPr>
        <w:pStyle w:val="ListParagraph"/>
        <w:numPr>
          <w:ilvl w:val="0"/>
          <w:numId w:val="21"/>
        </w:numPr>
        <w:spacing w:before="240" w:after="100" w:afterAutospacing="1"/>
      </w:pPr>
      <w:r>
        <w:t>Determination by the National Standards Commission - Accuracy of reference standards of measurement - 14 June 2002 (F2008B00669)</w:t>
      </w:r>
    </w:p>
    <w:p w14:paraId="0ADBAEDE" w14:textId="77777777" w:rsidR="00343E31" w:rsidRDefault="00343E31" w:rsidP="00BC2172">
      <w:pPr>
        <w:pStyle w:val="ListParagraph"/>
        <w:spacing w:before="240" w:after="100" w:afterAutospacing="1"/>
        <w:ind w:left="1140"/>
      </w:pPr>
    </w:p>
    <w:p w14:paraId="28D04128" w14:textId="61DB9B21" w:rsidR="00343E31" w:rsidRDefault="00343E31" w:rsidP="00DC55BB">
      <w:pPr>
        <w:pStyle w:val="ListParagraph"/>
        <w:spacing w:before="240" w:after="100" w:afterAutospacing="1"/>
        <w:ind w:left="0"/>
      </w:pPr>
      <w:r>
        <w:t xml:space="preserve">This instrument is repealed and replaced by subsection 6(3) of the Determination. This instrument is outdated as </w:t>
      </w:r>
      <w:r w:rsidR="00BC2172">
        <w:t xml:space="preserve">it relies upon a previous edition of the JCGM:100 and </w:t>
      </w:r>
      <w:r>
        <w:t xml:space="preserve">only covers reference standards of measurement. </w:t>
      </w:r>
    </w:p>
    <w:p w14:paraId="755F0DB1" w14:textId="77777777" w:rsidR="00B36E5F" w:rsidRPr="001E3B07" w:rsidRDefault="00B36E5F">
      <w:pPr>
        <w:rPr>
          <w:szCs w:val="20"/>
        </w:rPr>
      </w:pPr>
      <w:r w:rsidRPr="001E3B07">
        <w:rPr>
          <w:szCs w:val="20"/>
        </w:rPr>
        <w:br w:type="page"/>
      </w:r>
    </w:p>
    <w:p w14:paraId="36433D02" w14:textId="2389A90D" w:rsidR="005750F2" w:rsidRPr="00005D70" w:rsidRDefault="005750F2" w:rsidP="005750F2">
      <w:pPr>
        <w:ind w:right="91"/>
        <w:jc w:val="right"/>
      </w:pPr>
      <w:r w:rsidRPr="009C7A63">
        <w:rPr>
          <w:b/>
          <w:u w:val="single"/>
        </w:rPr>
        <w:lastRenderedPageBreak/>
        <w:t>ATTACHMENT</w:t>
      </w:r>
      <w:r>
        <w:rPr>
          <w:b/>
          <w:u w:val="single"/>
        </w:rPr>
        <w:t xml:space="preserve"> B</w:t>
      </w:r>
    </w:p>
    <w:p w14:paraId="440606E4" w14:textId="77777777" w:rsidR="005750F2" w:rsidRPr="00005D70" w:rsidRDefault="005750F2" w:rsidP="00EC6999">
      <w:pPr>
        <w:jc w:val="center"/>
        <w:rPr>
          <w:bCs/>
          <w:szCs w:val="20"/>
        </w:rPr>
      </w:pPr>
    </w:p>
    <w:p w14:paraId="5A9D2AF9" w14:textId="77777777" w:rsidR="00EC6999" w:rsidRDefault="00EC6999" w:rsidP="00EC6999">
      <w:pPr>
        <w:jc w:val="center"/>
        <w:rPr>
          <w:b/>
          <w:szCs w:val="20"/>
        </w:rPr>
      </w:pPr>
      <w:r w:rsidRPr="0053704F">
        <w:rPr>
          <w:b/>
          <w:szCs w:val="20"/>
        </w:rPr>
        <w:t>STATEMENT OF COMPATIBILITY WITH HUMAN RIGHTS</w:t>
      </w:r>
    </w:p>
    <w:p w14:paraId="5A866D0B" w14:textId="77777777" w:rsidR="00EC6999" w:rsidRPr="0053704F" w:rsidRDefault="00EC6999" w:rsidP="00EC6999">
      <w:pPr>
        <w:jc w:val="center"/>
        <w:rPr>
          <w:rFonts w:ascii="Calibri" w:hAnsi="Calibri"/>
        </w:rPr>
      </w:pPr>
    </w:p>
    <w:p w14:paraId="72122FFC" w14:textId="77777777" w:rsidR="00EC6999" w:rsidRPr="00D84669" w:rsidRDefault="00EC6999" w:rsidP="00EC6999">
      <w:pPr>
        <w:spacing w:before="120" w:after="120"/>
        <w:jc w:val="center"/>
        <w:rPr>
          <w:i/>
        </w:rPr>
      </w:pPr>
      <w:r w:rsidRPr="00D84669">
        <w:rPr>
          <w:i/>
        </w:rPr>
        <w:t>Prepared in accordance with Part 3 of the Hu</w:t>
      </w:r>
      <w:r>
        <w:rPr>
          <w:i/>
        </w:rPr>
        <w:t>m</w:t>
      </w:r>
      <w:r w:rsidRPr="00D84669">
        <w:rPr>
          <w:i/>
        </w:rPr>
        <w:t>an Rights (Parliamentary Scrutiny) Act 2011</w:t>
      </w:r>
    </w:p>
    <w:p w14:paraId="3EC7D374" w14:textId="77777777" w:rsidR="00EC6999" w:rsidRPr="00D84669" w:rsidRDefault="00EC6999" w:rsidP="00EC6999">
      <w:pPr>
        <w:spacing w:before="120" w:after="120"/>
        <w:jc w:val="center"/>
      </w:pPr>
    </w:p>
    <w:p w14:paraId="1307DB31" w14:textId="0A2FA0B4" w:rsidR="00EC6999" w:rsidRPr="00540B1F" w:rsidRDefault="00EC6999" w:rsidP="00EC6999">
      <w:pPr>
        <w:jc w:val="center"/>
      </w:pPr>
      <w:r w:rsidRPr="00540B1F">
        <w:rPr>
          <w:i/>
        </w:rPr>
        <w:t xml:space="preserve">National Measurement </w:t>
      </w:r>
      <w:r w:rsidR="00EA6802" w:rsidRPr="00540B1F">
        <w:rPr>
          <w:i/>
        </w:rPr>
        <w:t>(</w:t>
      </w:r>
      <w:r w:rsidR="001E3B07" w:rsidRPr="00540B1F">
        <w:rPr>
          <w:i/>
        </w:rPr>
        <w:t>Accuracy</w:t>
      </w:r>
      <w:r w:rsidR="00EA6802" w:rsidRPr="00540B1F">
        <w:rPr>
          <w:i/>
        </w:rPr>
        <w:t>)</w:t>
      </w:r>
      <w:r w:rsidR="001E3B07" w:rsidRPr="00540B1F">
        <w:rPr>
          <w:i/>
        </w:rPr>
        <w:t xml:space="preserve"> Determination 202</w:t>
      </w:r>
      <w:r w:rsidR="00C4659E">
        <w:rPr>
          <w:i/>
        </w:rPr>
        <w:t>3</w:t>
      </w:r>
    </w:p>
    <w:p w14:paraId="2F70964F" w14:textId="77777777" w:rsidR="00EC6999" w:rsidRPr="00D84669" w:rsidRDefault="00EC6999" w:rsidP="00EC6999">
      <w:pPr>
        <w:spacing w:before="120" w:after="120"/>
        <w:jc w:val="center"/>
      </w:pPr>
    </w:p>
    <w:p w14:paraId="0D430E53" w14:textId="77777777" w:rsidR="00EC6999" w:rsidRPr="00D84669" w:rsidRDefault="00EC6999" w:rsidP="00EC6999">
      <w:pPr>
        <w:spacing w:before="120" w:after="120"/>
        <w:jc w:val="center"/>
      </w:pPr>
    </w:p>
    <w:p w14:paraId="60892D6A" w14:textId="77777777" w:rsidR="00EC6999" w:rsidRPr="00D84669" w:rsidRDefault="00EC6999" w:rsidP="00EC6999">
      <w:pPr>
        <w:spacing w:before="120" w:after="120"/>
        <w:jc w:val="center"/>
      </w:pPr>
      <w:r w:rsidRPr="00D84669">
        <w:t xml:space="preserve">This Legislative Instrument is compatible with the human rights and freedoms recognised or declared in the international instruments listed in section 3 of the </w:t>
      </w:r>
      <w:r w:rsidRPr="00D84669">
        <w:rPr>
          <w:i/>
        </w:rPr>
        <w:t>Human Rights (Parliamentary Scrutiny) Act 2011</w:t>
      </w:r>
      <w:r w:rsidRPr="00D84669">
        <w:t>.</w:t>
      </w:r>
    </w:p>
    <w:p w14:paraId="09A01C3E" w14:textId="77777777" w:rsidR="00EC6999" w:rsidRPr="00D84669" w:rsidRDefault="00EC6999" w:rsidP="00EC6999">
      <w:pPr>
        <w:spacing w:before="120" w:after="120"/>
        <w:jc w:val="center"/>
      </w:pPr>
    </w:p>
    <w:p w14:paraId="5E683D1B" w14:textId="77777777" w:rsidR="00EC6999" w:rsidRPr="00D84669" w:rsidRDefault="00EC6999" w:rsidP="00EC6999">
      <w:pPr>
        <w:spacing w:before="120" w:after="120"/>
        <w:jc w:val="center"/>
      </w:pPr>
    </w:p>
    <w:p w14:paraId="5FFD12B1" w14:textId="77777777" w:rsidR="00EC6999" w:rsidRPr="00D84669" w:rsidRDefault="00EC6999" w:rsidP="00EC6999">
      <w:pPr>
        <w:spacing w:before="120" w:after="120"/>
        <w:jc w:val="both"/>
        <w:rPr>
          <w:b/>
        </w:rPr>
      </w:pPr>
      <w:r w:rsidRPr="00D84669">
        <w:rPr>
          <w:b/>
        </w:rPr>
        <w:t>Overview of the Legislative Instrument</w:t>
      </w:r>
    </w:p>
    <w:p w14:paraId="0AC300FF" w14:textId="623FEDDD" w:rsidR="00592E6D" w:rsidRDefault="00EC6999" w:rsidP="00910CFA">
      <w:pPr>
        <w:spacing w:before="240"/>
        <w:ind w:right="91"/>
        <w:jc w:val="both"/>
      </w:pPr>
      <w:r w:rsidRPr="00D84669">
        <w:t>The</w:t>
      </w:r>
      <w:r>
        <w:t xml:space="preserve"> </w:t>
      </w:r>
      <w:r>
        <w:rPr>
          <w:i/>
          <w:szCs w:val="22"/>
        </w:rPr>
        <w:t xml:space="preserve">National Measurement </w:t>
      </w:r>
      <w:r w:rsidR="00EA6802">
        <w:rPr>
          <w:i/>
          <w:szCs w:val="22"/>
        </w:rPr>
        <w:t>(</w:t>
      </w:r>
      <w:r w:rsidR="001E3B07" w:rsidRPr="001E3B07">
        <w:rPr>
          <w:i/>
          <w:szCs w:val="22"/>
        </w:rPr>
        <w:t>Accuracy</w:t>
      </w:r>
      <w:r w:rsidR="00EA6802">
        <w:rPr>
          <w:i/>
          <w:szCs w:val="22"/>
        </w:rPr>
        <w:t>)</w:t>
      </w:r>
      <w:r w:rsidR="001E3B07" w:rsidRPr="001E3B07">
        <w:rPr>
          <w:i/>
          <w:szCs w:val="22"/>
        </w:rPr>
        <w:t xml:space="preserve"> Determination 202</w:t>
      </w:r>
      <w:r w:rsidR="00C4659E">
        <w:rPr>
          <w:i/>
          <w:szCs w:val="22"/>
        </w:rPr>
        <w:t>3</w:t>
      </w:r>
      <w:r w:rsidR="001E3B07">
        <w:rPr>
          <w:i/>
          <w:szCs w:val="22"/>
        </w:rPr>
        <w:t xml:space="preserve"> </w:t>
      </w:r>
      <w:r w:rsidR="006F6BC7">
        <w:t>s</w:t>
      </w:r>
      <w:r w:rsidR="00910CFA">
        <w:t>upport</w:t>
      </w:r>
      <w:r w:rsidR="00592E6D">
        <w:t>s</w:t>
      </w:r>
      <w:r w:rsidR="00910CFA">
        <w:t xml:space="preserve"> the national measurement system by </w:t>
      </w:r>
      <w:r w:rsidR="00592E6D">
        <w:t xml:space="preserve">providing consistency in the </w:t>
      </w:r>
      <w:r w:rsidR="00592E6D" w:rsidRPr="00592E6D">
        <w:t xml:space="preserve">manner in which the accuracy of standards of measurement, artefacts and certified measuring instruments are to be ascertained and expressed when certified under the </w:t>
      </w:r>
      <w:r w:rsidR="006445DC" w:rsidRPr="006445DC">
        <w:rPr>
          <w:i/>
        </w:rPr>
        <w:t>National Measurement Regulations 1999</w:t>
      </w:r>
      <w:r w:rsidR="00592E6D" w:rsidRPr="00592E6D">
        <w:t>.</w:t>
      </w:r>
    </w:p>
    <w:p w14:paraId="7609F14D" w14:textId="77777777" w:rsidR="00EC6999" w:rsidRPr="00D84669" w:rsidRDefault="00EC6999" w:rsidP="00EC6999">
      <w:pPr>
        <w:spacing w:before="120" w:after="120"/>
      </w:pPr>
    </w:p>
    <w:p w14:paraId="767B1FCA" w14:textId="77777777" w:rsidR="00EC6999" w:rsidRPr="00D84669" w:rsidRDefault="00EC6999" w:rsidP="00EC6999">
      <w:pPr>
        <w:spacing w:before="120" w:after="120"/>
        <w:rPr>
          <w:b/>
        </w:rPr>
      </w:pPr>
      <w:r w:rsidRPr="00D84669">
        <w:rPr>
          <w:b/>
        </w:rPr>
        <w:t>Human rights implications</w:t>
      </w:r>
    </w:p>
    <w:p w14:paraId="6C7F7C4B" w14:textId="77777777" w:rsidR="00EC6999" w:rsidRPr="00D84669" w:rsidRDefault="00EC6999" w:rsidP="00EC6999">
      <w:pPr>
        <w:spacing w:before="120" w:after="120"/>
      </w:pPr>
      <w:r w:rsidRPr="00D84669">
        <w:t>This Legislative Instrument does not engage any of the applicable rights or freedoms.</w:t>
      </w:r>
    </w:p>
    <w:p w14:paraId="71D04972" w14:textId="77777777" w:rsidR="00EC6999" w:rsidRPr="00D84669" w:rsidRDefault="00EC6999" w:rsidP="00EC6999">
      <w:pPr>
        <w:spacing w:before="120" w:after="120"/>
      </w:pPr>
    </w:p>
    <w:p w14:paraId="5E9E9286" w14:textId="77777777" w:rsidR="00EC6999" w:rsidRPr="00D84669" w:rsidRDefault="00EC6999" w:rsidP="00EC6999">
      <w:pPr>
        <w:spacing w:before="120" w:after="120"/>
        <w:rPr>
          <w:b/>
        </w:rPr>
      </w:pPr>
      <w:r w:rsidRPr="00D84669">
        <w:rPr>
          <w:b/>
        </w:rPr>
        <w:t>Conclusion</w:t>
      </w:r>
      <w:bookmarkStart w:id="0" w:name="CursorPositionBM"/>
      <w:bookmarkEnd w:id="0"/>
    </w:p>
    <w:p w14:paraId="0467FF1E" w14:textId="77777777" w:rsidR="00EC6999" w:rsidRPr="00D84669" w:rsidRDefault="00EC6999" w:rsidP="00EC6999">
      <w:pPr>
        <w:spacing w:before="120" w:after="120"/>
      </w:pPr>
      <w:r w:rsidRPr="00D84669">
        <w:t>This Legislative Instrument is compatible with human rights as it does not raise any human rights issues.</w:t>
      </w:r>
    </w:p>
    <w:p w14:paraId="24B2CC9C" w14:textId="77777777" w:rsidR="00EC6999" w:rsidRPr="00B84D06" w:rsidRDefault="00EC6999" w:rsidP="00EC6999">
      <w:pPr>
        <w:spacing w:before="120" w:after="120"/>
        <w:jc w:val="center"/>
        <w:rPr>
          <w:bCs/>
        </w:rPr>
      </w:pPr>
    </w:p>
    <w:p w14:paraId="20AF428F" w14:textId="6CF25E63" w:rsidR="00465AF8" w:rsidRPr="00B84D06" w:rsidRDefault="00EC6999" w:rsidP="00EC6999">
      <w:pPr>
        <w:spacing w:before="120" w:after="120"/>
        <w:jc w:val="center"/>
        <w:rPr>
          <w:bCs/>
        </w:rPr>
      </w:pPr>
      <w:r w:rsidRPr="00D84669">
        <w:rPr>
          <w:b/>
        </w:rPr>
        <w:t xml:space="preserve">The </w:t>
      </w:r>
      <w:r>
        <w:rPr>
          <w:b/>
        </w:rPr>
        <w:t xml:space="preserve">Chief Metrologist </w:t>
      </w:r>
    </w:p>
    <w:p w14:paraId="7A6044AD" w14:textId="7E99393E" w:rsidR="00EC6999" w:rsidRPr="00D84669" w:rsidRDefault="00107955" w:rsidP="00EC6999">
      <w:pPr>
        <w:spacing w:before="120" w:after="120"/>
        <w:jc w:val="center"/>
      </w:pPr>
      <w:r>
        <w:rPr>
          <w:b/>
        </w:rPr>
        <w:t>Dr Richard</w:t>
      </w:r>
      <w:r w:rsidR="00BF4312" w:rsidRPr="00BF4312">
        <w:rPr>
          <w:b/>
        </w:rPr>
        <w:t xml:space="preserve"> Bruce Warrington</w:t>
      </w:r>
    </w:p>
    <w:p w14:paraId="5A37900A" w14:textId="77777777" w:rsidR="00EC6999" w:rsidRPr="00005D70" w:rsidRDefault="00EC6999" w:rsidP="00EC6999">
      <w:pPr>
        <w:rPr>
          <w:sz w:val="22"/>
          <w:szCs w:val="22"/>
        </w:rPr>
      </w:pPr>
    </w:p>
    <w:p w14:paraId="209DBEC1" w14:textId="77777777" w:rsidR="00EC6999" w:rsidRPr="00005D70" w:rsidRDefault="00EC6999" w:rsidP="00143579">
      <w:pPr>
        <w:spacing w:before="240"/>
        <w:jc w:val="both"/>
        <w:rPr>
          <w:lang w:val="en-US" w:eastAsia="en-US"/>
        </w:rPr>
      </w:pPr>
    </w:p>
    <w:sectPr w:rsidR="00EC6999" w:rsidRPr="00005D70" w:rsidSect="00775103">
      <w:headerReference w:type="even" r:id="rId9"/>
      <w:footerReference w:type="defaul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32DD" w14:textId="77777777" w:rsidR="00742D80" w:rsidRDefault="00742D80">
      <w:r>
        <w:separator/>
      </w:r>
    </w:p>
  </w:endnote>
  <w:endnote w:type="continuationSeparator" w:id="0">
    <w:p w14:paraId="428A5581" w14:textId="77777777" w:rsidR="00742D80" w:rsidRDefault="007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037262"/>
      <w:docPartObj>
        <w:docPartGallery w:val="Page Numbers (Bottom of Page)"/>
        <w:docPartUnique/>
      </w:docPartObj>
    </w:sdtPr>
    <w:sdtEndPr/>
    <w:sdtContent>
      <w:sdt>
        <w:sdtPr>
          <w:id w:val="2058735801"/>
          <w:docPartObj>
            <w:docPartGallery w:val="Page Numbers (Top of Page)"/>
            <w:docPartUnique/>
          </w:docPartObj>
        </w:sdtPr>
        <w:sdtEndPr/>
        <w:sdtContent>
          <w:p w14:paraId="75549D1F" w14:textId="77777777" w:rsidR="00107955" w:rsidRDefault="001079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5E2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5E2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1CAC11" w14:textId="77777777" w:rsidR="00107955" w:rsidRDefault="00107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552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606AD" w14:textId="77777777" w:rsidR="00107955" w:rsidRDefault="001079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F5E2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F5E2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DAFF54" w14:textId="77777777" w:rsidR="00107955" w:rsidRDefault="00107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0B19" w14:textId="77777777" w:rsidR="00742D80" w:rsidRDefault="00742D80">
      <w:r>
        <w:separator/>
      </w:r>
    </w:p>
  </w:footnote>
  <w:footnote w:type="continuationSeparator" w:id="0">
    <w:p w14:paraId="43ED8C04" w14:textId="77777777" w:rsidR="00742D80" w:rsidRDefault="0074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87F" w14:textId="77777777" w:rsidR="00BA18DE" w:rsidRDefault="00BA18DE" w:rsidP="007751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08B22" w14:textId="77777777" w:rsidR="00BA18DE" w:rsidRDefault="00BA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E0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84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86B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986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C6A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E7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4E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AE5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44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07DCB"/>
    <w:multiLevelType w:val="hybridMultilevel"/>
    <w:tmpl w:val="CC7AF8AE"/>
    <w:lvl w:ilvl="0" w:tplc="C16CE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00BB6"/>
    <w:multiLevelType w:val="multilevel"/>
    <w:tmpl w:val="490A588E"/>
    <w:lvl w:ilvl="0">
      <w:start w:val="2"/>
      <w:numFmt w:val="decimal"/>
      <w:pStyle w:val="Heading1"/>
      <w:lvlText w:val="Item %1"/>
      <w:lvlJc w:val="left"/>
      <w:pPr>
        <w:tabs>
          <w:tab w:val="num" w:pos="2984"/>
        </w:tabs>
        <w:ind w:left="2984" w:hanging="432"/>
      </w:pPr>
      <w:rPr>
        <w:rFonts w:ascii="Times New Roman" w:hAnsi="Times New Roman" w:hint="default"/>
        <w:sz w:val="24"/>
        <w:u w:val="singl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128"/>
        </w:tabs>
        <w:ind w:left="312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272"/>
        </w:tabs>
        <w:ind w:left="3272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416"/>
        </w:tabs>
        <w:ind w:left="3416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704"/>
        </w:tabs>
        <w:ind w:left="370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848"/>
        </w:tabs>
        <w:ind w:left="384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992"/>
        </w:tabs>
        <w:ind w:left="399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136"/>
        </w:tabs>
        <w:ind w:left="4136" w:hanging="1584"/>
      </w:pPr>
      <w:rPr>
        <w:rFonts w:hint="default"/>
      </w:rPr>
    </w:lvl>
  </w:abstractNum>
  <w:abstractNum w:abstractNumId="12" w15:restartNumberingAfterBreak="0">
    <w:nsid w:val="0C1D7686"/>
    <w:multiLevelType w:val="hybridMultilevel"/>
    <w:tmpl w:val="7584C1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77F5D"/>
    <w:multiLevelType w:val="hybridMultilevel"/>
    <w:tmpl w:val="3050DBA2"/>
    <w:lvl w:ilvl="0" w:tplc="C85E7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7F89"/>
    <w:multiLevelType w:val="hybridMultilevel"/>
    <w:tmpl w:val="243C991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55437A"/>
    <w:multiLevelType w:val="hybridMultilevel"/>
    <w:tmpl w:val="EE92DE76"/>
    <w:lvl w:ilvl="0" w:tplc="B0CC219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9D9"/>
    <w:multiLevelType w:val="hybridMultilevel"/>
    <w:tmpl w:val="9A54FE3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501B6"/>
    <w:multiLevelType w:val="hybridMultilevel"/>
    <w:tmpl w:val="A3800002"/>
    <w:lvl w:ilvl="0" w:tplc="30464E8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60E6E43"/>
    <w:multiLevelType w:val="hybridMultilevel"/>
    <w:tmpl w:val="C00E6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61787"/>
    <w:multiLevelType w:val="hybridMultilevel"/>
    <w:tmpl w:val="3ADC94F2"/>
    <w:lvl w:ilvl="0" w:tplc="A2BEC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E6E9C"/>
    <w:multiLevelType w:val="hybridMultilevel"/>
    <w:tmpl w:val="63263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13129">
    <w:abstractNumId w:val="9"/>
  </w:num>
  <w:num w:numId="2" w16cid:durableId="746221437">
    <w:abstractNumId w:val="7"/>
  </w:num>
  <w:num w:numId="3" w16cid:durableId="221255908">
    <w:abstractNumId w:val="6"/>
  </w:num>
  <w:num w:numId="4" w16cid:durableId="1330448617">
    <w:abstractNumId w:val="5"/>
  </w:num>
  <w:num w:numId="5" w16cid:durableId="1113405285">
    <w:abstractNumId w:val="4"/>
  </w:num>
  <w:num w:numId="6" w16cid:durableId="1490634505">
    <w:abstractNumId w:val="8"/>
  </w:num>
  <w:num w:numId="7" w16cid:durableId="130445230">
    <w:abstractNumId w:val="3"/>
  </w:num>
  <w:num w:numId="8" w16cid:durableId="306016093">
    <w:abstractNumId w:val="2"/>
  </w:num>
  <w:num w:numId="9" w16cid:durableId="1776636945">
    <w:abstractNumId w:val="1"/>
  </w:num>
  <w:num w:numId="10" w16cid:durableId="1678312244">
    <w:abstractNumId w:val="0"/>
  </w:num>
  <w:num w:numId="11" w16cid:durableId="620457042">
    <w:abstractNumId w:val="12"/>
  </w:num>
  <w:num w:numId="12" w16cid:durableId="1284264129">
    <w:abstractNumId w:val="14"/>
  </w:num>
  <w:num w:numId="13" w16cid:durableId="1282492107">
    <w:abstractNumId w:val="11"/>
  </w:num>
  <w:num w:numId="14" w16cid:durableId="1658683196">
    <w:abstractNumId w:val="17"/>
  </w:num>
  <w:num w:numId="15" w16cid:durableId="1669013183">
    <w:abstractNumId w:val="10"/>
  </w:num>
  <w:num w:numId="16" w16cid:durableId="2111779903">
    <w:abstractNumId w:val="19"/>
  </w:num>
  <w:num w:numId="17" w16cid:durableId="217132578">
    <w:abstractNumId w:val="13"/>
  </w:num>
  <w:num w:numId="18" w16cid:durableId="1035883776">
    <w:abstractNumId w:val="20"/>
  </w:num>
  <w:num w:numId="19" w16cid:durableId="624047170">
    <w:abstractNumId w:val="16"/>
  </w:num>
  <w:num w:numId="20" w16cid:durableId="1680887510">
    <w:abstractNumId w:val="18"/>
  </w:num>
  <w:num w:numId="21" w16cid:durableId="1461220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85"/>
    <w:rsid w:val="00002C28"/>
    <w:rsid w:val="00005D70"/>
    <w:rsid w:val="000106A4"/>
    <w:rsid w:val="00010D62"/>
    <w:rsid w:val="00015B69"/>
    <w:rsid w:val="00021D79"/>
    <w:rsid w:val="0002206B"/>
    <w:rsid w:val="00042D35"/>
    <w:rsid w:val="00060F4B"/>
    <w:rsid w:val="0006319A"/>
    <w:rsid w:val="00063867"/>
    <w:rsid w:val="00072EBA"/>
    <w:rsid w:val="00075AA7"/>
    <w:rsid w:val="00094994"/>
    <w:rsid w:val="000A171B"/>
    <w:rsid w:val="000A1790"/>
    <w:rsid w:val="000A1EB9"/>
    <w:rsid w:val="000B7BE9"/>
    <w:rsid w:val="000C6C41"/>
    <w:rsid w:val="000E29A7"/>
    <w:rsid w:val="000E2CA9"/>
    <w:rsid w:val="000E35FE"/>
    <w:rsid w:val="000E3DE4"/>
    <w:rsid w:val="000F112A"/>
    <w:rsid w:val="000F5E21"/>
    <w:rsid w:val="000F6D32"/>
    <w:rsid w:val="00104B5B"/>
    <w:rsid w:val="00107955"/>
    <w:rsid w:val="00107F44"/>
    <w:rsid w:val="0011564A"/>
    <w:rsid w:val="0013342B"/>
    <w:rsid w:val="001345A3"/>
    <w:rsid w:val="00143579"/>
    <w:rsid w:val="001507F8"/>
    <w:rsid w:val="00156C38"/>
    <w:rsid w:val="00170743"/>
    <w:rsid w:val="001729D8"/>
    <w:rsid w:val="00184FB4"/>
    <w:rsid w:val="00192383"/>
    <w:rsid w:val="001930D6"/>
    <w:rsid w:val="00194BF4"/>
    <w:rsid w:val="001B1D14"/>
    <w:rsid w:val="001B34DB"/>
    <w:rsid w:val="001D4B5A"/>
    <w:rsid w:val="001E3B07"/>
    <w:rsid w:val="001F4674"/>
    <w:rsid w:val="001F69B2"/>
    <w:rsid w:val="00201DDC"/>
    <w:rsid w:val="00204736"/>
    <w:rsid w:val="0024135F"/>
    <w:rsid w:val="0024150E"/>
    <w:rsid w:val="002432C4"/>
    <w:rsid w:val="00243A87"/>
    <w:rsid w:val="00266CCC"/>
    <w:rsid w:val="002742CF"/>
    <w:rsid w:val="002742DF"/>
    <w:rsid w:val="00290765"/>
    <w:rsid w:val="00296382"/>
    <w:rsid w:val="002C0588"/>
    <w:rsid w:val="002C2A3F"/>
    <w:rsid w:val="002C3190"/>
    <w:rsid w:val="002C4F97"/>
    <w:rsid w:val="002C5E4A"/>
    <w:rsid w:val="002D0BD5"/>
    <w:rsid w:val="002D3A82"/>
    <w:rsid w:val="002F0350"/>
    <w:rsid w:val="0030014C"/>
    <w:rsid w:val="003040E0"/>
    <w:rsid w:val="00313C22"/>
    <w:rsid w:val="00322A3F"/>
    <w:rsid w:val="00324B5C"/>
    <w:rsid w:val="003317FE"/>
    <w:rsid w:val="00335343"/>
    <w:rsid w:val="003409DE"/>
    <w:rsid w:val="00343E31"/>
    <w:rsid w:val="00346488"/>
    <w:rsid w:val="00352229"/>
    <w:rsid w:val="00352263"/>
    <w:rsid w:val="0035627B"/>
    <w:rsid w:val="00362234"/>
    <w:rsid w:val="00372C56"/>
    <w:rsid w:val="003A009A"/>
    <w:rsid w:val="003A2EB7"/>
    <w:rsid w:val="003A3677"/>
    <w:rsid w:val="003A78DA"/>
    <w:rsid w:val="003D1EDD"/>
    <w:rsid w:val="00403435"/>
    <w:rsid w:val="00405FCB"/>
    <w:rsid w:val="004218A2"/>
    <w:rsid w:val="00434CB5"/>
    <w:rsid w:val="00443FCB"/>
    <w:rsid w:val="004501BC"/>
    <w:rsid w:val="00453D38"/>
    <w:rsid w:val="00465AF8"/>
    <w:rsid w:val="00467B57"/>
    <w:rsid w:val="00477056"/>
    <w:rsid w:val="00481D94"/>
    <w:rsid w:val="0048255B"/>
    <w:rsid w:val="00492C68"/>
    <w:rsid w:val="004A6917"/>
    <w:rsid w:val="004A6C30"/>
    <w:rsid w:val="004B418D"/>
    <w:rsid w:val="004D0CEA"/>
    <w:rsid w:val="004E0324"/>
    <w:rsid w:val="004E2996"/>
    <w:rsid w:val="004F118D"/>
    <w:rsid w:val="004F341D"/>
    <w:rsid w:val="005012BA"/>
    <w:rsid w:val="0050427E"/>
    <w:rsid w:val="00510847"/>
    <w:rsid w:val="00524986"/>
    <w:rsid w:val="00540B1F"/>
    <w:rsid w:val="00542B6A"/>
    <w:rsid w:val="005443FE"/>
    <w:rsid w:val="0055370E"/>
    <w:rsid w:val="005750F2"/>
    <w:rsid w:val="00580102"/>
    <w:rsid w:val="00583786"/>
    <w:rsid w:val="00583A8D"/>
    <w:rsid w:val="00583D4F"/>
    <w:rsid w:val="00586E43"/>
    <w:rsid w:val="005870A6"/>
    <w:rsid w:val="00590896"/>
    <w:rsid w:val="00592E6D"/>
    <w:rsid w:val="005962A2"/>
    <w:rsid w:val="00597083"/>
    <w:rsid w:val="005B5BCF"/>
    <w:rsid w:val="005C443F"/>
    <w:rsid w:val="005D0686"/>
    <w:rsid w:val="005F5085"/>
    <w:rsid w:val="00600B0F"/>
    <w:rsid w:val="0060351D"/>
    <w:rsid w:val="006171FB"/>
    <w:rsid w:val="00627CFA"/>
    <w:rsid w:val="00632A23"/>
    <w:rsid w:val="00637B83"/>
    <w:rsid w:val="00640451"/>
    <w:rsid w:val="006445DC"/>
    <w:rsid w:val="006537F8"/>
    <w:rsid w:val="00675230"/>
    <w:rsid w:val="006929D5"/>
    <w:rsid w:val="00693170"/>
    <w:rsid w:val="006A7601"/>
    <w:rsid w:val="006B472E"/>
    <w:rsid w:val="006F6BC7"/>
    <w:rsid w:val="006F79D3"/>
    <w:rsid w:val="00713998"/>
    <w:rsid w:val="00727FFA"/>
    <w:rsid w:val="00731883"/>
    <w:rsid w:val="00737DB3"/>
    <w:rsid w:val="00742D80"/>
    <w:rsid w:val="007453D0"/>
    <w:rsid w:val="00764A4E"/>
    <w:rsid w:val="0077368A"/>
    <w:rsid w:val="00775103"/>
    <w:rsid w:val="00787179"/>
    <w:rsid w:val="007A0486"/>
    <w:rsid w:val="007B1670"/>
    <w:rsid w:val="007D53C0"/>
    <w:rsid w:val="008112F0"/>
    <w:rsid w:val="0082725D"/>
    <w:rsid w:val="008434D6"/>
    <w:rsid w:val="008507B2"/>
    <w:rsid w:val="00852187"/>
    <w:rsid w:val="0085522A"/>
    <w:rsid w:val="00872EBC"/>
    <w:rsid w:val="00882404"/>
    <w:rsid w:val="00885A66"/>
    <w:rsid w:val="00887067"/>
    <w:rsid w:val="008A2285"/>
    <w:rsid w:val="008B1C50"/>
    <w:rsid w:val="008B5C9A"/>
    <w:rsid w:val="008E01E3"/>
    <w:rsid w:val="00903757"/>
    <w:rsid w:val="0090635F"/>
    <w:rsid w:val="00910CFA"/>
    <w:rsid w:val="009129AA"/>
    <w:rsid w:val="009132DB"/>
    <w:rsid w:val="009439F9"/>
    <w:rsid w:val="009478B1"/>
    <w:rsid w:val="009570FE"/>
    <w:rsid w:val="009665C8"/>
    <w:rsid w:val="009743F5"/>
    <w:rsid w:val="00983D1A"/>
    <w:rsid w:val="00986D60"/>
    <w:rsid w:val="009971C3"/>
    <w:rsid w:val="009A3BF6"/>
    <w:rsid w:val="009A4596"/>
    <w:rsid w:val="009C0266"/>
    <w:rsid w:val="009E2A0E"/>
    <w:rsid w:val="009E5854"/>
    <w:rsid w:val="009E58F1"/>
    <w:rsid w:val="00A04B8A"/>
    <w:rsid w:val="00A06A77"/>
    <w:rsid w:val="00A374B4"/>
    <w:rsid w:val="00A526A5"/>
    <w:rsid w:val="00A62E75"/>
    <w:rsid w:val="00A630BA"/>
    <w:rsid w:val="00A71376"/>
    <w:rsid w:val="00A8554A"/>
    <w:rsid w:val="00A9561D"/>
    <w:rsid w:val="00AA275F"/>
    <w:rsid w:val="00AA3D5D"/>
    <w:rsid w:val="00AC0DD2"/>
    <w:rsid w:val="00AD34D1"/>
    <w:rsid w:val="00AF4085"/>
    <w:rsid w:val="00AF6813"/>
    <w:rsid w:val="00B21123"/>
    <w:rsid w:val="00B22707"/>
    <w:rsid w:val="00B36E5F"/>
    <w:rsid w:val="00B60C0F"/>
    <w:rsid w:val="00B60E24"/>
    <w:rsid w:val="00B84D06"/>
    <w:rsid w:val="00B8644A"/>
    <w:rsid w:val="00B91753"/>
    <w:rsid w:val="00BA18DE"/>
    <w:rsid w:val="00BB71AB"/>
    <w:rsid w:val="00BC2172"/>
    <w:rsid w:val="00BC4680"/>
    <w:rsid w:val="00BC73B0"/>
    <w:rsid w:val="00BD59B5"/>
    <w:rsid w:val="00BD5A37"/>
    <w:rsid w:val="00BE1F25"/>
    <w:rsid w:val="00BE3563"/>
    <w:rsid w:val="00BF4312"/>
    <w:rsid w:val="00C0375B"/>
    <w:rsid w:val="00C04B59"/>
    <w:rsid w:val="00C11CDF"/>
    <w:rsid w:val="00C17FA0"/>
    <w:rsid w:val="00C459DD"/>
    <w:rsid w:val="00C4659E"/>
    <w:rsid w:val="00C51802"/>
    <w:rsid w:val="00C52EB1"/>
    <w:rsid w:val="00C575E9"/>
    <w:rsid w:val="00C608F6"/>
    <w:rsid w:val="00C66145"/>
    <w:rsid w:val="00C76D7B"/>
    <w:rsid w:val="00C80784"/>
    <w:rsid w:val="00C928B9"/>
    <w:rsid w:val="00CD56E1"/>
    <w:rsid w:val="00CE43C7"/>
    <w:rsid w:val="00CE7182"/>
    <w:rsid w:val="00CF6A4E"/>
    <w:rsid w:val="00CF7C87"/>
    <w:rsid w:val="00D113FC"/>
    <w:rsid w:val="00D166DB"/>
    <w:rsid w:val="00D17066"/>
    <w:rsid w:val="00D24748"/>
    <w:rsid w:val="00D26862"/>
    <w:rsid w:val="00D37011"/>
    <w:rsid w:val="00D43857"/>
    <w:rsid w:val="00D63F40"/>
    <w:rsid w:val="00D7033D"/>
    <w:rsid w:val="00D812F1"/>
    <w:rsid w:val="00DA6585"/>
    <w:rsid w:val="00DB4418"/>
    <w:rsid w:val="00DC093E"/>
    <w:rsid w:val="00DC1F39"/>
    <w:rsid w:val="00DC55BB"/>
    <w:rsid w:val="00DC5DE5"/>
    <w:rsid w:val="00E1256E"/>
    <w:rsid w:val="00E246F5"/>
    <w:rsid w:val="00E3412E"/>
    <w:rsid w:val="00E55F0E"/>
    <w:rsid w:val="00E91E6A"/>
    <w:rsid w:val="00EA3964"/>
    <w:rsid w:val="00EA4DB4"/>
    <w:rsid w:val="00EA6802"/>
    <w:rsid w:val="00EB2C14"/>
    <w:rsid w:val="00EC6999"/>
    <w:rsid w:val="00ED59C9"/>
    <w:rsid w:val="00F05157"/>
    <w:rsid w:val="00F06ACF"/>
    <w:rsid w:val="00F11612"/>
    <w:rsid w:val="00F2115F"/>
    <w:rsid w:val="00F354D0"/>
    <w:rsid w:val="00F41339"/>
    <w:rsid w:val="00F43D5D"/>
    <w:rsid w:val="00F43E36"/>
    <w:rsid w:val="00F536C7"/>
    <w:rsid w:val="00F558A0"/>
    <w:rsid w:val="00F6360E"/>
    <w:rsid w:val="00F675AC"/>
    <w:rsid w:val="00F8403B"/>
    <w:rsid w:val="00FA512B"/>
    <w:rsid w:val="00FB7673"/>
    <w:rsid w:val="00FC70DC"/>
    <w:rsid w:val="00FE1153"/>
    <w:rsid w:val="00FF1152"/>
    <w:rsid w:val="00FF37D9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F68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0427E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427E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427E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427E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427E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0427E"/>
    <w:pPr>
      <w:keepNext/>
      <w:numPr>
        <w:ilvl w:val="5"/>
        <w:numId w:val="13"/>
      </w:numPr>
      <w:spacing w:before="60" w:after="60"/>
      <w:jc w:val="center"/>
      <w:outlineLvl w:val="5"/>
    </w:pPr>
    <w:rPr>
      <w:b/>
      <w:bCs/>
      <w:sz w:val="28"/>
      <w:szCs w:val="28"/>
      <w:lang w:val="en-US" w:eastAsia="en-US"/>
    </w:rPr>
  </w:style>
  <w:style w:type="paragraph" w:styleId="Heading7">
    <w:name w:val="heading 7"/>
    <w:basedOn w:val="Normal"/>
    <w:next w:val="Normal"/>
    <w:qFormat/>
    <w:rsid w:val="0050427E"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427E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50427E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68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4680"/>
    <w:rPr>
      <w:sz w:val="16"/>
      <w:szCs w:val="16"/>
    </w:rPr>
  </w:style>
  <w:style w:type="paragraph" w:styleId="CommentText">
    <w:name w:val="annotation text"/>
    <w:basedOn w:val="Normal"/>
    <w:rsid w:val="00BC46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4680"/>
    <w:rPr>
      <w:b/>
      <w:bCs/>
    </w:rPr>
  </w:style>
  <w:style w:type="paragraph" w:styleId="Header">
    <w:name w:val="header"/>
    <w:basedOn w:val="Normal"/>
    <w:rsid w:val="007751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5103"/>
  </w:style>
  <w:style w:type="table" w:styleId="TableGrid">
    <w:name w:val="Table Grid"/>
    <w:basedOn w:val="TableNormal"/>
    <w:rsid w:val="005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rsid w:val="001930D6"/>
    <w:pPr>
      <w:spacing w:before="120" w:line="220" w:lineRule="exact"/>
      <w:ind w:left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1930D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P1">
    <w:name w:val="P1"/>
    <w:aliases w:val="(a)"/>
    <w:basedOn w:val="Normal"/>
    <w:rsid w:val="000E35FE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">
    <w:name w:val="HE"/>
    <w:aliases w:val="Example heading"/>
    <w:basedOn w:val="Normal"/>
    <w:next w:val="Normal"/>
    <w:rsid w:val="000E35FE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Notepara">
    <w:name w:val="Note para"/>
    <w:basedOn w:val="Normal"/>
    <w:rsid w:val="000E35FE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99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5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FC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7809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2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7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7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9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committees/jc/jcgm/public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401D-9C13-45C6-8098-A219904B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6872</Characters>
  <Application>Microsoft Office Word</Application>
  <DocSecurity>0</DocSecurity>
  <Lines>162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MEASUREMENT REGULATIONS 1999</vt:lpstr>
    </vt:vector>
  </TitlesOfParts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MEASUREMENT REGULATIONS 1999</dc:title>
  <dc:creator/>
  <cp:lastModifiedBy/>
  <cp:revision>1</cp:revision>
  <cp:lastPrinted>2009-06-15T22:58:00Z</cp:lastPrinted>
  <dcterms:created xsi:type="dcterms:W3CDTF">2023-10-20T04:21:00Z</dcterms:created>
  <dcterms:modified xsi:type="dcterms:W3CDTF">2023-11-21T01:03:00Z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_NewReviewCycle">
    <vt:lpwstr/>
  </property>
</Properties>
</file>