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36E8" w14:textId="41275650" w:rsidR="00FF0F1E" w:rsidRPr="006B5A6D" w:rsidRDefault="00DA6585" w:rsidP="00FF0F1E">
      <w:pPr>
        <w:jc w:val="center"/>
        <w:rPr>
          <w:bCs/>
        </w:rPr>
      </w:pPr>
      <w:r w:rsidRPr="00DA6585">
        <w:rPr>
          <w:b/>
          <w:u w:val="single"/>
        </w:rPr>
        <w:t xml:space="preserve">EXPLANATORY </w:t>
      </w:r>
      <w:r w:rsidR="00C608F6">
        <w:rPr>
          <w:b/>
          <w:u w:val="single"/>
        </w:rPr>
        <w:t>STATEMENT</w:t>
      </w:r>
    </w:p>
    <w:p w14:paraId="1D270911" w14:textId="77777777" w:rsidR="00FF0F1E" w:rsidRPr="006B5A6D" w:rsidRDefault="00FF0F1E" w:rsidP="00FF0F1E">
      <w:pPr>
        <w:jc w:val="center"/>
        <w:rPr>
          <w:bCs/>
        </w:rPr>
      </w:pPr>
    </w:p>
    <w:p w14:paraId="18D89646" w14:textId="7D938805" w:rsidR="00FF0F1E" w:rsidRDefault="00DA6585" w:rsidP="00FF0F1E">
      <w:pPr>
        <w:jc w:val="center"/>
        <w:rPr>
          <w:u w:val="single"/>
        </w:rPr>
      </w:pPr>
      <w:r>
        <w:rPr>
          <w:u w:val="single"/>
        </w:rPr>
        <w:t xml:space="preserve">Issued by the </w:t>
      </w:r>
      <w:r w:rsidR="00465AF8">
        <w:rPr>
          <w:u w:val="single"/>
        </w:rPr>
        <w:t xml:space="preserve">authority of the </w:t>
      </w:r>
      <w:r w:rsidR="0048255B">
        <w:rPr>
          <w:u w:val="single"/>
        </w:rPr>
        <w:t>Chief Metrologist</w:t>
      </w:r>
    </w:p>
    <w:p w14:paraId="1FD62686" w14:textId="77777777" w:rsidR="00FF0F1E" w:rsidRDefault="00FF0F1E" w:rsidP="00FF0F1E">
      <w:pPr>
        <w:jc w:val="center"/>
        <w:rPr>
          <w:u w:val="single"/>
        </w:rPr>
      </w:pPr>
    </w:p>
    <w:p w14:paraId="7BC228BE" w14:textId="77777777" w:rsidR="00DA6585" w:rsidRDefault="00DA6585" w:rsidP="00DA6585">
      <w:pPr>
        <w:jc w:val="center"/>
        <w:rPr>
          <w:i/>
        </w:rPr>
      </w:pPr>
      <w:r>
        <w:rPr>
          <w:i/>
        </w:rPr>
        <w:t xml:space="preserve">National Measurement </w:t>
      </w:r>
      <w:r w:rsidR="00B36E5F">
        <w:rPr>
          <w:i/>
        </w:rPr>
        <w:t>Regulations</w:t>
      </w:r>
      <w:r w:rsidR="008B1C50">
        <w:rPr>
          <w:i/>
        </w:rPr>
        <w:t xml:space="preserve"> 1999</w:t>
      </w:r>
    </w:p>
    <w:p w14:paraId="62A20C77" w14:textId="77777777" w:rsidR="008B1C50" w:rsidRDefault="008B1C50" w:rsidP="00DA6585">
      <w:pPr>
        <w:jc w:val="center"/>
        <w:rPr>
          <w:i/>
        </w:rPr>
      </w:pPr>
    </w:p>
    <w:p w14:paraId="7DC50C6A" w14:textId="4B0C27F1" w:rsidR="008B1C50" w:rsidRPr="00343E31" w:rsidRDefault="008B1C50" w:rsidP="00DA6585">
      <w:pPr>
        <w:jc w:val="center"/>
        <w:rPr>
          <w:i/>
        </w:rPr>
      </w:pPr>
      <w:r w:rsidRPr="00343E31">
        <w:rPr>
          <w:i/>
        </w:rPr>
        <w:t xml:space="preserve">National Measurement </w:t>
      </w:r>
      <w:r w:rsidR="00EA6802" w:rsidRPr="00343E31">
        <w:rPr>
          <w:i/>
        </w:rPr>
        <w:t>(</w:t>
      </w:r>
      <w:r w:rsidR="00AF7EAD" w:rsidRPr="00AF7EAD">
        <w:rPr>
          <w:i/>
        </w:rPr>
        <w:t xml:space="preserve">Australian Certified Reference Materials) </w:t>
      </w:r>
      <w:r w:rsidR="00AF7EAD">
        <w:rPr>
          <w:i/>
        </w:rPr>
        <w:br/>
      </w:r>
      <w:r w:rsidR="00AF7EAD" w:rsidRPr="00AF7EAD">
        <w:rPr>
          <w:i/>
        </w:rPr>
        <w:t>Determination 202</w:t>
      </w:r>
      <w:r w:rsidR="005A1ECE">
        <w:rPr>
          <w:i/>
        </w:rPr>
        <w:t>3</w:t>
      </w:r>
    </w:p>
    <w:p w14:paraId="278E79BE" w14:textId="7B6C8105" w:rsidR="00465AF8" w:rsidRDefault="00465AF8" w:rsidP="00465AF8">
      <w:pPr>
        <w:spacing w:before="240" w:after="120"/>
        <w:rPr>
          <w:b/>
        </w:rPr>
      </w:pPr>
      <w:r>
        <w:rPr>
          <w:b/>
        </w:rPr>
        <w:t xml:space="preserve">Purpose and </w:t>
      </w:r>
      <w:r w:rsidR="00343E31">
        <w:rPr>
          <w:b/>
        </w:rPr>
        <w:t>O</w:t>
      </w:r>
      <w:r>
        <w:rPr>
          <w:b/>
        </w:rPr>
        <w:t>peration</w:t>
      </w:r>
    </w:p>
    <w:p w14:paraId="297A3D2C" w14:textId="7385E689" w:rsidR="009129AA" w:rsidRPr="00343E31" w:rsidRDefault="009971C3" w:rsidP="00AF7EAD">
      <w:pPr>
        <w:spacing w:before="120" w:after="120"/>
      </w:pPr>
      <w:r>
        <w:t xml:space="preserve">The </w:t>
      </w:r>
      <w:r w:rsidR="009129AA" w:rsidRPr="009129AA">
        <w:rPr>
          <w:i/>
        </w:rPr>
        <w:t>National Measurement (</w:t>
      </w:r>
      <w:r w:rsidR="00AF7EAD" w:rsidRPr="00AF7EAD">
        <w:rPr>
          <w:i/>
        </w:rPr>
        <w:t>Australian Certified Reference Materials) Determination 202</w:t>
      </w:r>
      <w:r w:rsidR="006C30E1">
        <w:rPr>
          <w:i/>
        </w:rPr>
        <w:t>3</w:t>
      </w:r>
      <w:r w:rsidR="00AF7EAD" w:rsidRPr="00AF7EAD">
        <w:rPr>
          <w:i/>
        </w:rPr>
        <w:t xml:space="preserve"> </w:t>
      </w:r>
      <w:r w:rsidR="009129AA" w:rsidRPr="00343E31">
        <w:t>(the</w:t>
      </w:r>
      <w:r w:rsidR="009129AA">
        <w:rPr>
          <w:i/>
        </w:rPr>
        <w:t xml:space="preserve"> </w:t>
      </w:r>
      <w:r>
        <w:t>Determination</w:t>
      </w:r>
      <w:r w:rsidR="009129AA">
        <w:t>)</w:t>
      </w:r>
      <w:r w:rsidR="00AF7EAD">
        <w:t xml:space="preserve"> </w:t>
      </w:r>
      <w:r w:rsidR="000E0FBD">
        <w:t>sets requirements for determining the properties of reference materials, which are used in</w:t>
      </w:r>
      <w:r w:rsidR="00EC3D4D">
        <w:t xml:space="preserve"> the</w:t>
      </w:r>
      <w:r w:rsidR="000E0FBD">
        <w:t xml:space="preserve"> measurement </w:t>
      </w:r>
      <w:r w:rsidR="00C349B5">
        <w:t xml:space="preserve">of property values </w:t>
      </w:r>
      <w:r w:rsidR="000E0FBD">
        <w:t>of other materials</w:t>
      </w:r>
      <w:r w:rsidR="00EC3D4D">
        <w:t xml:space="preserve"> and the calibration of certain types of measuring instruments</w:t>
      </w:r>
      <w:r w:rsidR="000E0FBD">
        <w:t xml:space="preserve">. Its purpose </w:t>
      </w:r>
      <w:r w:rsidR="00AF7EAD">
        <w:t xml:space="preserve">is to provide consistency in </w:t>
      </w:r>
      <w:r w:rsidR="00AF7EAD" w:rsidRPr="00AF7EAD">
        <w:t>the manner and methods by which the property values of any kind of Australian certified reference material are established</w:t>
      </w:r>
      <w:r w:rsidR="009129AA">
        <w:t xml:space="preserve"> </w:t>
      </w:r>
      <w:r>
        <w:t xml:space="preserve">under the </w:t>
      </w:r>
      <w:r w:rsidRPr="00343E31">
        <w:rPr>
          <w:i/>
        </w:rPr>
        <w:t>National Measurement Regulations 1999</w:t>
      </w:r>
      <w:r w:rsidR="004D138E">
        <w:t xml:space="preserve"> (the Regulations)</w:t>
      </w:r>
      <w:r w:rsidR="006D3A55">
        <w:t xml:space="preserve">, made under the </w:t>
      </w:r>
      <w:r w:rsidR="006D3A55">
        <w:rPr>
          <w:i/>
          <w:iCs/>
        </w:rPr>
        <w:t xml:space="preserve">National Measurement Act 1960 </w:t>
      </w:r>
      <w:r w:rsidR="006D3A55">
        <w:t>(the Act)</w:t>
      </w:r>
      <w:r w:rsidRPr="00343E31">
        <w:t xml:space="preserve">. </w:t>
      </w:r>
    </w:p>
    <w:p w14:paraId="25CF45E0" w14:textId="5C1C45D6" w:rsidR="009971C3" w:rsidRDefault="009129AA" w:rsidP="00465AF8">
      <w:pPr>
        <w:spacing w:before="120" w:after="120"/>
      </w:pPr>
      <w:r>
        <w:t xml:space="preserve">Maintaining a consistent </w:t>
      </w:r>
      <w:r w:rsidR="00F87003">
        <w:t>approach</w:t>
      </w:r>
      <w:r w:rsidR="00DE0BAC">
        <w:t xml:space="preserve"> in</w:t>
      </w:r>
      <w:r>
        <w:t xml:space="preserve"> </w:t>
      </w:r>
      <w:r w:rsidR="00AF7EAD" w:rsidRPr="00AF7EAD">
        <w:t xml:space="preserve">the manner and methods by which the property values of any kind of Australian certified reference material are established </w:t>
      </w:r>
      <w:r>
        <w:t>provides</w:t>
      </w:r>
      <w:r w:rsidR="009478B1">
        <w:t xml:space="preserve"> </w:t>
      </w:r>
      <w:r w:rsidR="00343E31">
        <w:t>support for the</w:t>
      </w:r>
      <w:r w:rsidR="009478B1">
        <w:t xml:space="preserve"> </w:t>
      </w:r>
      <w:r w:rsidR="00343E31">
        <w:t>comparison of</w:t>
      </w:r>
      <w:r w:rsidR="009478B1">
        <w:t xml:space="preserve"> different</w:t>
      </w:r>
      <w:r>
        <w:t xml:space="preserve"> </w:t>
      </w:r>
      <w:r w:rsidR="009478B1">
        <w:t xml:space="preserve">measurements </w:t>
      </w:r>
      <w:r w:rsidR="00AF7EAD">
        <w:t xml:space="preserve">and allows for an assessment of </w:t>
      </w:r>
      <w:r w:rsidR="00343E31">
        <w:t xml:space="preserve">the accuracy of measurements </w:t>
      </w:r>
      <w:r>
        <w:t xml:space="preserve">across the national measurement system. </w:t>
      </w:r>
      <w:r w:rsidR="009478B1">
        <w:t>In other words, this approach</w:t>
      </w:r>
      <w:r>
        <w:t xml:space="preserve"> </w:t>
      </w:r>
      <w:r w:rsidR="009971C3">
        <w:t>support</w:t>
      </w:r>
      <w:r>
        <w:t>s</w:t>
      </w:r>
      <w:r w:rsidR="009971C3">
        <w:t xml:space="preserve"> the </w:t>
      </w:r>
      <w:r w:rsidR="00524135">
        <w:t xml:space="preserve">use of Australian certified reference materials </w:t>
      </w:r>
      <w:r w:rsidR="009971C3">
        <w:t xml:space="preserve">and </w:t>
      </w:r>
      <w:r w:rsidR="00DE0BAC">
        <w:t xml:space="preserve">the </w:t>
      </w:r>
      <w:r w:rsidR="009971C3">
        <w:t>propagation of units of measurement throughout the Australian economy; in turn providing confidence in</w:t>
      </w:r>
      <w:r>
        <w:t xml:space="preserve"> the accuracy of</w:t>
      </w:r>
      <w:r w:rsidR="009971C3">
        <w:t xml:space="preserve"> measurement results used for trade transactions and other legal purposes.</w:t>
      </w:r>
    </w:p>
    <w:p w14:paraId="04BDC255" w14:textId="5059C42D" w:rsidR="006C30E1" w:rsidRDefault="006C30E1" w:rsidP="00477D14">
      <w:pPr>
        <w:spacing w:before="240"/>
        <w:ind w:right="91"/>
        <w:jc w:val="both"/>
      </w:pPr>
      <w:r>
        <w:t>T</w:t>
      </w:r>
      <w:r w:rsidRPr="008B1C50">
        <w:t xml:space="preserve">he </w:t>
      </w:r>
      <w:r w:rsidRPr="00343E31">
        <w:t xml:space="preserve">Determination </w:t>
      </w:r>
      <w:r>
        <w:t>requires</w:t>
      </w:r>
      <w:r w:rsidR="00DE0BAC">
        <w:t xml:space="preserve"> that the </w:t>
      </w:r>
      <w:r w:rsidR="00BE7256">
        <w:t>uncertainty of the</w:t>
      </w:r>
      <w:r w:rsidR="00DE0BAC">
        <w:t xml:space="preserve"> property values of </w:t>
      </w:r>
      <w:r w:rsidR="00BE7256">
        <w:t xml:space="preserve">Australian certified </w:t>
      </w:r>
      <w:r w:rsidR="00DE0BAC">
        <w:t xml:space="preserve">reference materials are established in accordance with international </w:t>
      </w:r>
      <w:r w:rsidR="008660EC">
        <w:t>standards and</w:t>
      </w:r>
      <w:r w:rsidR="00DE0BAC">
        <w:t xml:space="preserve"> are consistent with methods for ascertaining other physical quantities under the </w:t>
      </w:r>
      <w:r w:rsidR="006D3A55" w:rsidRPr="00477D14">
        <w:t>Act</w:t>
      </w:r>
      <w:r w:rsidR="00DE0BAC">
        <w:t xml:space="preserve">. </w:t>
      </w:r>
    </w:p>
    <w:p w14:paraId="0B7A40E3" w14:textId="1A8092B3" w:rsidR="00986D60" w:rsidRPr="00986D60" w:rsidRDefault="00640451" w:rsidP="00986D60">
      <w:pPr>
        <w:spacing w:before="240" w:after="120"/>
        <w:rPr>
          <w:b/>
        </w:rPr>
      </w:pPr>
      <w:r>
        <w:rPr>
          <w:b/>
        </w:rPr>
        <w:t>Background</w:t>
      </w:r>
    </w:p>
    <w:p w14:paraId="6C17FA09" w14:textId="1734C616" w:rsidR="00583D4F" w:rsidRDefault="00DA6585" w:rsidP="00DA6585">
      <w:pPr>
        <w:ind w:right="91"/>
      </w:pPr>
      <w:r>
        <w:t xml:space="preserve">The </w:t>
      </w:r>
      <w:r w:rsidR="00DB4418" w:rsidRPr="00DB4418">
        <w:t xml:space="preserve">objects </w:t>
      </w:r>
      <w:r w:rsidR="00DB4418" w:rsidRPr="00AF7EAD">
        <w:t xml:space="preserve">of </w:t>
      </w:r>
      <w:r w:rsidR="002466DC">
        <w:rPr>
          <w:iCs/>
        </w:rPr>
        <w:t>the Act</w:t>
      </w:r>
      <w:r w:rsidR="008718C0">
        <w:rPr>
          <w:i/>
        </w:rPr>
        <w:t xml:space="preserve"> </w:t>
      </w:r>
      <w:r w:rsidR="00DB4418" w:rsidRPr="00AF7EAD">
        <w:t>include</w:t>
      </w:r>
      <w:r w:rsidR="00DB4418" w:rsidRPr="00DB4418">
        <w:t xml:space="preserve"> to:</w:t>
      </w:r>
    </w:p>
    <w:p w14:paraId="6EE02699" w14:textId="77777777" w:rsidR="00DA6585" w:rsidRDefault="00DA6585" w:rsidP="00583D4F">
      <w:pPr>
        <w:numPr>
          <w:ilvl w:val="0"/>
          <w:numId w:val="11"/>
        </w:numPr>
        <w:spacing w:before="240"/>
        <w:ind w:right="91"/>
      </w:pPr>
      <w:r>
        <w:t xml:space="preserve">establish a national system of units and standards of measurement of physical </w:t>
      </w:r>
      <w:proofErr w:type="gramStart"/>
      <w:r>
        <w:t>quantities;</w:t>
      </w:r>
      <w:proofErr w:type="gramEnd"/>
    </w:p>
    <w:p w14:paraId="2835BB30" w14:textId="77777777" w:rsidR="00DA6585" w:rsidRDefault="00DA6585" w:rsidP="00DA6585">
      <w:pPr>
        <w:numPr>
          <w:ilvl w:val="0"/>
          <w:numId w:val="11"/>
        </w:numPr>
        <w:ind w:right="91"/>
      </w:pPr>
      <w:r>
        <w:t xml:space="preserve">provide for the uniform use of those uniform units and standards of measurement throughout </w:t>
      </w:r>
      <w:proofErr w:type="gramStart"/>
      <w:r>
        <w:t>Australia;</w:t>
      </w:r>
      <w:proofErr w:type="gramEnd"/>
    </w:p>
    <w:p w14:paraId="305AE0CD" w14:textId="77777777" w:rsidR="00C11CDF" w:rsidRDefault="009743F5" w:rsidP="007453D0">
      <w:pPr>
        <w:numPr>
          <w:ilvl w:val="0"/>
          <w:numId w:val="11"/>
        </w:numPr>
        <w:ind w:right="91"/>
      </w:pPr>
      <w:r>
        <w:t xml:space="preserve">co-ordinate the operation of </w:t>
      </w:r>
      <w:r w:rsidR="00DA6585">
        <w:t>the national system of measurement;</w:t>
      </w:r>
      <w:r w:rsidR="007453D0">
        <w:t xml:space="preserve"> and</w:t>
      </w:r>
    </w:p>
    <w:p w14:paraId="296EF370" w14:textId="77777777" w:rsidR="00DA6585" w:rsidRDefault="00C11CDF" w:rsidP="00DA6585">
      <w:pPr>
        <w:numPr>
          <w:ilvl w:val="0"/>
          <w:numId w:val="11"/>
        </w:numPr>
        <w:ind w:right="91"/>
      </w:pPr>
      <w:r>
        <w:t>provide the legal framework for a national system of trade measurement</w:t>
      </w:r>
      <w:r w:rsidR="00DA6585">
        <w:t>.</w:t>
      </w:r>
    </w:p>
    <w:p w14:paraId="6CD2F08B" w14:textId="5EA004D8" w:rsidR="00583D4F" w:rsidRPr="004F341D" w:rsidRDefault="008B1C50" w:rsidP="00AF7EAD">
      <w:pPr>
        <w:spacing w:before="240"/>
        <w:ind w:right="91"/>
        <w:jc w:val="both"/>
      </w:pPr>
      <w:r w:rsidRPr="008B1C50">
        <w:t xml:space="preserve">The Regulations allow for the Chief Metrologist to determine </w:t>
      </w:r>
      <w:r w:rsidR="00AF7EAD">
        <w:t xml:space="preserve">the manner, </w:t>
      </w:r>
      <w:proofErr w:type="gramStart"/>
      <w:r w:rsidR="00AF7EAD">
        <w:t>methods</w:t>
      </w:r>
      <w:proofErr w:type="gramEnd"/>
      <w:r w:rsidR="00AF7EAD">
        <w:t xml:space="preserve"> or characteristics by which the property values of reference materials of a stated </w:t>
      </w:r>
      <w:r w:rsidR="00F87003">
        <w:t>kind must</w:t>
      </w:r>
      <w:r w:rsidR="00AF7EAD">
        <w:t xml:space="preserve"> be established for certification for the Regulations.</w:t>
      </w:r>
      <w:r w:rsidR="00A12007">
        <w:t xml:space="preserve">  </w:t>
      </w:r>
    </w:p>
    <w:p w14:paraId="430D57EB" w14:textId="1B9264D3" w:rsidR="008718C0" w:rsidRPr="00880548" w:rsidRDefault="000E0FBD" w:rsidP="00880548">
      <w:pPr>
        <w:spacing w:before="120" w:after="120"/>
        <w:rPr>
          <w:iCs/>
        </w:rPr>
      </w:pPr>
      <w:r>
        <w:rPr>
          <w:iCs/>
        </w:rPr>
        <w:t xml:space="preserve">The Determination requires </w:t>
      </w:r>
      <w:r w:rsidR="00BE7256">
        <w:rPr>
          <w:iCs/>
        </w:rPr>
        <w:t>compliance with</w:t>
      </w:r>
      <w:r>
        <w:rPr>
          <w:iCs/>
        </w:rPr>
        <w:t xml:space="preserve"> </w:t>
      </w:r>
      <w:r w:rsidR="00880548">
        <w:rPr>
          <w:iCs/>
        </w:rPr>
        <w:t xml:space="preserve">the principles of various </w:t>
      </w:r>
      <w:r>
        <w:rPr>
          <w:iCs/>
        </w:rPr>
        <w:t xml:space="preserve">international standards. </w:t>
      </w:r>
      <w:r w:rsidR="00BE7256">
        <w:rPr>
          <w:iCs/>
        </w:rPr>
        <w:t xml:space="preserve">Some of these standards are only available for a fee. These standards are essential for the international harmonisation of requirements and practice in the </w:t>
      </w:r>
      <w:r w:rsidR="00BE7256">
        <w:rPr>
          <w:iCs/>
        </w:rPr>
        <w:lastRenderedPageBreak/>
        <w:t xml:space="preserve">measurement of </w:t>
      </w:r>
      <w:r w:rsidR="008A5959">
        <w:rPr>
          <w:iCs/>
        </w:rPr>
        <w:t>property values of reference materials. There are no freely available alternatives.</w:t>
      </w:r>
      <w:r w:rsidR="00BE7256">
        <w:rPr>
          <w:iCs/>
        </w:rPr>
        <w:t xml:space="preserve"> </w:t>
      </w:r>
    </w:p>
    <w:p w14:paraId="06A48322" w14:textId="4418BDD1" w:rsidR="00636EEB" w:rsidRDefault="00636EEB" w:rsidP="00636EEB">
      <w:pPr>
        <w:tabs>
          <w:tab w:val="left" w:pos="6521"/>
        </w:tabs>
        <w:spacing w:before="240"/>
        <w:ind w:right="91"/>
        <w:jc w:val="both"/>
      </w:pPr>
      <w:r>
        <w:t xml:space="preserve">Details of the Determination are set out in </w:t>
      </w:r>
      <w:r w:rsidRPr="00636EEB">
        <w:rPr>
          <w:b/>
          <w:u w:val="single"/>
        </w:rPr>
        <w:t>Attachment A</w:t>
      </w:r>
      <w:r>
        <w:t xml:space="preserve">. The Determination is a legislative instrument for the purposes of the </w:t>
      </w:r>
      <w:r w:rsidRPr="00636EEB">
        <w:rPr>
          <w:i/>
        </w:rPr>
        <w:t>Legislative Instruments Act 2003</w:t>
      </w:r>
      <w:r>
        <w:t>.</w:t>
      </w:r>
    </w:p>
    <w:p w14:paraId="25D07BEC" w14:textId="4A2EE06E" w:rsidR="00C575E9" w:rsidRDefault="00C575E9" w:rsidP="004F341D">
      <w:pPr>
        <w:tabs>
          <w:tab w:val="left" w:pos="6521"/>
        </w:tabs>
        <w:spacing w:before="240"/>
        <w:ind w:right="91"/>
        <w:jc w:val="both"/>
        <w:rPr>
          <w:b/>
        </w:rPr>
      </w:pPr>
      <w:r w:rsidRPr="00343E31">
        <w:rPr>
          <w:b/>
        </w:rPr>
        <w:t>Authority</w:t>
      </w:r>
    </w:p>
    <w:p w14:paraId="202EB1F9" w14:textId="6C030B86" w:rsidR="00BE7256" w:rsidRDefault="006D3A55" w:rsidP="00BE7256">
      <w:pPr>
        <w:tabs>
          <w:tab w:val="left" w:pos="6521"/>
        </w:tabs>
        <w:spacing w:before="240"/>
        <w:ind w:right="91"/>
        <w:jc w:val="both"/>
      </w:pPr>
      <w:r>
        <w:t xml:space="preserve">The Determination is made under </w:t>
      </w:r>
      <w:proofErr w:type="spellStart"/>
      <w:r w:rsidR="00BE7256">
        <w:t>subregulation</w:t>
      </w:r>
      <w:proofErr w:type="spellEnd"/>
      <w:r>
        <w:t xml:space="preserve"> 52(1)(a) of the Regulations. </w:t>
      </w:r>
      <w:r w:rsidR="007662D2" w:rsidRPr="00477D14">
        <w:t xml:space="preserve">Under 52(1) of the Regulations, the Chief Metrologist may determine: </w:t>
      </w:r>
    </w:p>
    <w:p w14:paraId="16266490" w14:textId="77777777" w:rsidR="00BE7256" w:rsidRDefault="007662D2" w:rsidP="00477D14">
      <w:pPr>
        <w:pStyle w:val="ListParagraph"/>
        <w:numPr>
          <w:ilvl w:val="0"/>
          <w:numId w:val="30"/>
        </w:numPr>
        <w:tabs>
          <w:tab w:val="left" w:pos="6521"/>
        </w:tabs>
        <w:spacing w:before="240"/>
        <w:ind w:right="91"/>
        <w:jc w:val="both"/>
      </w:pPr>
      <w:r w:rsidRPr="00477D14">
        <w:t xml:space="preserve">the manner, </w:t>
      </w:r>
      <w:proofErr w:type="gramStart"/>
      <w:r w:rsidRPr="00477D14">
        <w:t>methods</w:t>
      </w:r>
      <w:proofErr w:type="gramEnd"/>
      <w:r w:rsidRPr="00477D14">
        <w:t xml:space="preserve"> or characteristics by which the property values of reference materials of a stated kind must be established for certification for the Regulations; and </w:t>
      </w:r>
    </w:p>
    <w:p w14:paraId="6BC08F74" w14:textId="03BE5BA9" w:rsidR="00481DF3" w:rsidRPr="00477D14" w:rsidRDefault="007662D2" w:rsidP="00477D14">
      <w:pPr>
        <w:pStyle w:val="ListParagraph"/>
        <w:numPr>
          <w:ilvl w:val="0"/>
          <w:numId w:val="30"/>
        </w:numPr>
        <w:tabs>
          <w:tab w:val="left" w:pos="6521"/>
        </w:tabs>
        <w:spacing w:before="240"/>
        <w:ind w:right="91"/>
        <w:jc w:val="both"/>
      </w:pPr>
      <w:r w:rsidRPr="00477D14">
        <w:t>a matter about a particular reference material, or reference materials of a particular kind, that is relevant to the proper use of the material or materials that must be stated in a certificate under paragraph 55(j) of the Regulations.</w:t>
      </w:r>
    </w:p>
    <w:p w14:paraId="374B938B" w14:textId="79487515" w:rsidR="00E246F5" w:rsidRPr="00E246F5" w:rsidRDefault="00E246F5" w:rsidP="004F341D">
      <w:pPr>
        <w:tabs>
          <w:tab w:val="left" w:pos="6521"/>
        </w:tabs>
        <w:spacing w:before="240"/>
        <w:ind w:right="91"/>
        <w:jc w:val="both"/>
        <w:rPr>
          <w:b/>
        </w:rPr>
      </w:pPr>
      <w:r>
        <w:rPr>
          <w:b/>
        </w:rPr>
        <w:t>Consultation</w:t>
      </w:r>
    </w:p>
    <w:p w14:paraId="574F89B3" w14:textId="0C94C88E" w:rsidR="00346488" w:rsidRDefault="00346488" w:rsidP="004F341D">
      <w:pPr>
        <w:tabs>
          <w:tab w:val="left" w:pos="6521"/>
        </w:tabs>
        <w:spacing w:before="240"/>
        <w:ind w:right="91"/>
        <w:jc w:val="both"/>
        <w:rPr>
          <w:bCs/>
        </w:rPr>
      </w:pPr>
      <w:r>
        <w:rPr>
          <w:bCs/>
        </w:rPr>
        <w:t>The Determination support</w:t>
      </w:r>
      <w:r w:rsidR="00DC55BB">
        <w:rPr>
          <w:bCs/>
        </w:rPr>
        <w:t>s</w:t>
      </w:r>
      <w:r>
        <w:rPr>
          <w:bCs/>
        </w:rPr>
        <w:t xml:space="preserve"> the work of Certifying Authorities that are appointed under the Regulations. The National Measurement Institute consulted with all appointed </w:t>
      </w:r>
      <w:r w:rsidRPr="00346488">
        <w:rPr>
          <w:bCs/>
        </w:rPr>
        <w:t>Certifying Authorities</w:t>
      </w:r>
      <w:r>
        <w:rPr>
          <w:bCs/>
        </w:rPr>
        <w:t xml:space="preserve"> regarding the Determination during the period </w:t>
      </w:r>
      <w:r w:rsidR="004F44FA">
        <w:rPr>
          <w:bCs/>
        </w:rPr>
        <w:t>5</w:t>
      </w:r>
      <w:r w:rsidR="00B1303D" w:rsidRPr="00B1303D">
        <w:rPr>
          <w:bCs/>
        </w:rPr>
        <w:t xml:space="preserve"> June 2023 to </w:t>
      </w:r>
      <w:r w:rsidR="00465AD4">
        <w:rPr>
          <w:bCs/>
        </w:rPr>
        <w:t>7</w:t>
      </w:r>
      <w:r w:rsidR="00B1303D" w:rsidRPr="00B1303D">
        <w:rPr>
          <w:bCs/>
        </w:rPr>
        <w:t xml:space="preserve"> July 2023</w:t>
      </w:r>
      <w:r w:rsidRPr="00B1303D">
        <w:rPr>
          <w:bCs/>
        </w:rPr>
        <w:t>.</w:t>
      </w:r>
      <w:r w:rsidR="002D4725">
        <w:rPr>
          <w:bCs/>
        </w:rPr>
        <w:t xml:space="preserve"> </w:t>
      </w:r>
    </w:p>
    <w:p w14:paraId="42DEB246" w14:textId="2FCE4744" w:rsidR="002D4725" w:rsidRPr="00B1303D" w:rsidRDefault="002D4725" w:rsidP="004F341D">
      <w:pPr>
        <w:tabs>
          <w:tab w:val="left" w:pos="6521"/>
        </w:tabs>
        <w:spacing w:before="240"/>
        <w:ind w:right="91"/>
        <w:jc w:val="both"/>
        <w:rPr>
          <w:bCs/>
        </w:rPr>
      </w:pPr>
      <w:r>
        <w:rPr>
          <w:bCs/>
        </w:rPr>
        <w:t xml:space="preserve">All feedback received from Certifying Authorities agreed with the contents of the Determination and supported the alignment with relevant international standards. </w:t>
      </w:r>
    </w:p>
    <w:p w14:paraId="3464E768" w14:textId="77777777" w:rsidR="00C575E9" w:rsidRPr="002D4725" w:rsidRDefault="00C575E9" w:rsidP="00C575E9">
      <w:pPr>
        <w:spacing w:before="240" w:after="240"/>
        <w:rPr>
          <w:b/>
        </w:rPr>
      </w:pPr>
      <w:r w:rsidRPr="002D4725">
        <w:rPr>
          <w:b/>
        </w:rPr>
        <w:t>Regulatory Impact</w:t>
      </w:r>
    </w:p>
    <w:p w14:paraId="6C09BEDD" w14:textId="328C4DAD" w:rsidR="00607AA6" w:rsidRDefault="008A5959" w:rsidP="00607AA6">
      <w:pPr>
        <w:spacing w:before="120" w:after="120"/>
      </w:pPr>
      <w:r>
        <w:t>The</w:t>
      </w:r>
      <w:r w:rsidR="002B1B0B">
        <w:t xml:space="preserve"> Office of Impact Analysis (OIA)</w:t>
      </w:r>
      <w:r>
        <w:t xml:space="preserve"> was consulted concerning the development of the Determination. OIA advised that </w:t>
      </w:r>
      <w:r w:rsidR="002D4725">
        <w:t xml:space="preserve">the Determination </w:t>
      </w:r>
      <w:r w:rsidR="00607AA6">
        <w:t>was</w:t>
      </w:r>
      <w:r w:rsidR="002D4725">
        <w:t xml:space="preserve"> </w:t>
      </w:r>
      <w:r w:rsidR="00607AA6" w:rsidRPr="00607AA6">
        <w:t xml:space="preserve">likely to have only a minor regulatory impact.  As such, the preparation of </w:t>
      </w:r>
      <w:r w:rsidR="00607AA6">
        <w:t>a formal</w:t>
      </w:r>
      <w:r w:rsidR="00607AA6" w:rsidRPr="00607AA6">
        <w:t xml:space="preserve"> Impact Analysis (IA) </w:t>
      </w:r>
      <w:r w:rsidR="00607AA6">
        <w:t>was</w:t>
      </w:r>
      <w:r w:rsidR="00607AA6" w:rsidRPr="00607AA6">
        <w:t xml:space="preserve"> not required. </w:t>
      </w:r>
    </w:p>
    <w:p w14:paraId="4254BCE2" w14:textId="77777777" w:rsidR="00D7337C" w:rsidRDefault="00D7337C" w:rsidP="00607AA6">
      <w:pPr>
        <w:spacing w:before="120" w:after="120"/>
      </w:pPr>
    </w:p>
    <w:p w14:paraId="5C6122FB" w14:textId="1F956BC9" w:rsidR="005750F2" w:rsidRPr="005750F2" w:rsidRDefault="005750F2" w:rsidP="00607AA6">
      <w:pPr>
        <w:spacing w:before="120" w:after="120"/>
      </w:pPr>
      <w:r>
        <w:t xml:space="preserve">A Statement of Compatibility with Human Rights is at </w:t>
      </w:r>
      <w:r>
        <w:rPr>
          <w:b/>
          <w:u w:val="single"/>
        </w:rPr>
        <w:t>Attachment B</w:t>
      </w:r>
      <w:r>
        <w:t>.</w:t>
      </w:r>
    </w:p>
    <w:p w14:paraId="0664997E" w14:textId="77777777" w:rsidR="005750F2" w:rsidRDefault="005750F2" w:rsidP="00C575E9">
      <w:pPr>
        <w:tabs>
          <w:tab w:val="left" w:pos="6521"/>
        </w:tabs>
        <w:spacing w:before="240"/>
        <w:ind w:right="91"/>
        <w:jc w:val="both"/>
        <w:rPr>
          <w:bCs/>
        </w:rPr>
      </w:pPr>
    </w:p>
    <w:p w14:paraId="7E829C73" w14:textId="77777777" w:rsidR="006445DC" w:rsidRDefault="006445DC">
      <w:pPr>
        <w:rPr>
          <w:b/>
          <w:u w:val="single"/>
        </w:rPr>
      </w:pPr>
      <w:r>
        <w:rPr>
          <w:b/>
          <w:u w:val="single"/>
        </w:rPr>
        <w:br w:type="page"/>
      </w:r>
    </w:p>
    <w:p w14:paraId="290F11AF" w14:textId="77777777" w:rsidR="00FF0F1E" w:rsidRPr="006B5A6D" w:rsidRDefault="003A78DA" w:rsidP="00FF0F1E">
      <w:pPr>
        <w:ind w:right="91"/>
        <w:jc w:val="right"/>
      </w:pPr>
      <w:r w:rsidRPr="009C7A63">
        <w:rPr>
          <w:b/>
          <w:u w:val="single"/>
        </w:rPr>
        <w:lastRenderedPageBreak/>
        <w:t>ATTACHMENT</w:t>
      </w:r>
      <w:r w:rsidR="005750F2">
        <w:rPr>
          <w:b/>
          <w:u w:val="single"/>
        </w:rPr>
        <w:t xml:space="preserve"> A</w:t>
      </w:r>
    </w:p>
    <w:p w14:paraId="4F991EA8" w14:textId="77777777" w:rsidR="00FF0F1E" w:rsidRPr="006B5A6D" w:rsidRDefault="00FF0F1E" w:rsidP="00FF0F1E">
      <w:pPr>
        <w:ind w:right="91"/>
      </w:pPr>
    </w:p>
    <w:p w14:paraId="169A2617" w14:textId="42263A58" w:rsidR="00DC1F39" w:rsidRPr="00FF0F1E" w:rsidRDefault="003A78DA" w:rsidP="00FF0F1E">
      <w:pPr>
        <w:ind w:right="91"/>
        <w:rPr>
          <w:u w:val="single"/>
        </w:rPr>
      </w:pPr>
      <w:r w:rsidRPr="009C7A63">
        <w:rPr>
          <w:b/>
          <w:u w:val="single"/>
        </w:rPr>
        <w:t xml:space="preserve">Details of the </w:t>
      </w:r>
      <w:r w:rsidR="00524135" w:rsidRPr="00524135">
        <w:rPr>
          <w:b/>
          <w:i/>
          <w:u w:val="single"/>
        </w:rPr>
        <w:t xml:space="preserve">National Measurement (Australian Certified Reference Materials) Determination </w:t>
      </w:r>
      <w:r w:rsidR="00792244" w:rsidRPr="00524135">
        <w:rPr>
          <w:b/>
          <w:i/>
          <w:u w:val="single"/>
        </w:rPr>
        <w:t>202</w:t>
      </w:r>
      <w:r w:rsidR="00792244">
        <w:rPr>
          <w:b/>
          <w:i/>
          <w:u w:val="single"/>
        </w:rPr>
        <w:t>3</w:t>
      </w:r>
    </w:p>
    <w:p w14:paraId="32B3FE2C" w14:textId="5E928741" w:rsidR="003A78DA" w:rsidRPr="00EE58C5" w:rsidRDefault="00BA18DE" w:rsidP="00D26862">
      <w:pPr>
        <w:spacing w:before="360"/>
        <w:rPr>
          <w:b/>
        </w:rPr>
      </w:pPr>
      <w:r>
        <w:rPr>
          <w:b/>
        </w:rPr>
        <w:t>Clause</w:t>
      </w:r>
      <w:r w:rsidR="003A78DA" w:rsidRPr="00EE58C5">
        <w:rPr>
          <w:b/>
        </w:rPr>
        <w:t xml:space="preserve"> 1 – Name</w:t>
      </w:r>
    </w:p>
    <w:p w14:paraId="3E2AB234" w14:textId="63B3634B" w:rsidR="003A78DA" w:rsidRDefault="003A78DA" w:rsidP="003A78DA">
      <w:pPr>
        <w:spacing w:before="240"/>
      </w:pPr>
      <w:r>
        <w:t xml:space="preserve">This </w:t>
      </w:r>
      <w:r w:rsidR="006445DC">
        <w:t xml:space="preserve">clause </w:t>
      </w:r>
      <w:r>
        <w:t xml:space="preserve">specifies the name of the </w:t>
      </w:r>
      <w:r w:rsidR="00346488">
        <w:t>Determination</w:t>
      </w:r>
      <w:r>
        <w:t xml:space="preserve"> </w:t>
      </w:r>
      <w:r w:rsidR="006537F8">
        <w:t>is</w:t>
      </w:r>
      <w:r>
        <w:t xml:space="preserve"> the </w:t>
      </w:r>
      <w:r w:rsidR="00524135" w:rsidRPr="00524135">
        <w:rPr>
          <w:i/>
        </w:rPr>
        <w:t xml:space="preserve">National Measurement (Australian Certified Reference Materials) Determination </w:t>
      </w:r>
      <w:r w:rsidR="00792244" w:rsidRPr="00524135">
        <w:rPr>
          <w:i/>
        </w:rPr>
        <w:t>202</w:t>
      </w:r>
      <w:r w:rsidR="00792244">
        <w:rPr>
          <w:i/>
        </w:rPr>
        <w:t>3</w:t>
      </w:r>
      <w:r w:rsidR="00524135" w:rsidRPr="00524135">
        <w:rPr>
          <w:i/>
        </w:rPr>
        <w:t>.</w:t>
      </w:r>
    </w:p>
    <w:p w14:paraId="07035507" w14:textId="77777777" w:rsidR="000106A4" w:rsidRDefault="000106A4" w:rsidP="000106A4">
      <w:pPr>
        <w:spacing w:before="240"/>
        <w:rPr>
          <w:b/>
        </w:rPr>
      </w:pPr>
      <w:r>
        <w:rPr>
          <w:b/>
        </w:rPr>
        <w:t>Clause</w:t>
      </w:r>
      <w:r w:rsidRPr="00EE58C5">
        <w:rPr>
          <w:b/>
        </w:rPr>
        <w:t xml:space="preserve"> </w:t>
      </w:r>
      <w:r>
        <w:rPr>
          <w:b/>
        </w:rPr>
        <w:t>2</w:t>
      </w:r>
      <w:r w:rsidRPr="00EE58C5">
        <w:rPr>
          <w:b/>
        </w:rPr>
        <w:t xml:space="preserve"> – </w:t>
      </w:r>
      <w:r>
        <w:rPr>
          <w:b/>
        </w:rPr>
        <w:t>Commencement</w:t>
      </w:r>
    </w:p>
    <w:p w14:paraId="25E1A2BE" w14:textId="4DDFE256" w:rsidR="000106A4" w:rsidRPr="004F341D" w:rsidRDefault="000106A4" w:rsidP="000106A4">
      <w:pPr>
        <w:spacing w:before="240" w:after="100" w:afterAutospacing="1"/>
      </w:pPr>
      <w:r>
        <w:t xml:space="preserve">This </w:t>
      </w:r>
      <w:r w:rsidR="006445DC">
        <w:t xml:space="preserve">clause </w:t>
      </w:r>
      <w:r>
        <w:t xml:space="preserve">provides that the Determination </w:t>
      </w:r>
      <w:r w:rsidR="00313C22">
        <w:t xml:space="preserve">will </w:t>
      </w:r>
      <w:r>
        <w:t xml:space="preserve">commence the day after </w:t>
      </w:r>
      <w:r w:rsidR="00A374B4">
        <w:t>r</w:t>
      </w:r>
      <w:r w:rsidR="007A0486">
        <w:t>egist</w:t>
      </w:r>
      <w:r w:rsidR="00A374B4">
        <w:t xml:space="preserve">ration </w:t>
      </w:r>
      <w:r>
        <w:t>on the Federal Register of Legislation.</w:t>
      </w:r>
    </w:p>
    <w:p w14:paraId="5C2D2B83" w14:textId="77777777" w:rsidR="00E246F5" w:rsidRDefault="00E246F5" w:rsidP="00F6360E">
      <w:pPr>
        <w:spacing w:before="240"/>
        <w:rPr>
          <w:b/>
        </w:rPr>
      </w:pPr>
      <w:r>
        <w:rPr>
          <w:b/>
        </w:rPr>
        <w:t xml:space="preserve">Clause </w:t>
      </w:r>
      <w:r w:rsidR="000106A4">
        <w:rPr>
          <w:b/>
        </w:rPr>
        <w:t>3</w:t>
      </w:r>
      <w:r>
        <w:rPr>
          <w:b/>
        </w:rPr>
        <w:t xml:space="preserve"> – Authority</w:t>
      </w:r>
    </w:p>
    <w:p w14:paraId="4BEB2E49" w14:textId="2C3F64AE" w:rsidR="00E246F5" w:rsidRPr="00E246F5" w:rsidRDefault="00E246F5" w:rsidP="00F6360E">
      <w:pPr>
        <w:spacing w:before="240"/>
      </w:pPr>
      <w:r w:rsidRPr="00E246F5">
        <w:t xml:space="preserve">This </w:t>
      </w:r>
      <w:r w:rsidR="006445DC">
        <w:t xml:space="preserve">clause </w:t>
      </w:r>
      <w:r w:rsidR="00313C22">
        <w:t xml:space="preserve">provides </w:t>
      </w:r>
      <w:r w:rsidR="000106A4">
        <w:t>that the Determination</w:t>
      </w:r>
      <w:r w:rsidR="00313C22">
        <w:t xml:space="preserve"> </w:t>
      </w:r>
      <w:r w:rsidR="00A374B4">
        <w:t xml:space="preserve">is </w:t>
      </w:r>
      <w:r w:rsidR="000106A4">
        <w:t xml:space="preserve">made under the </w:t>
      </w:r>
      <w:r w:rsidR="000106A4" w:rsidRPr="006445DC">
        <w:rPr>
          <w:i/>
        </w:rPr>
        <w:t>National Measurement Regulations 1999</w:t>
      </w:r>
      <w:r w:rsidR="00094994">
        <w:rPr>
          <w:i/>
        </w:rPr>
        <w:t xml:space="preserve"> </w:t>
      </w:r>
      <w:r w:rsidR="00094994" w:rsidRPr="00343E31">
        <w:t>(</w:t>
      </w:r>
      <w:r w:rsidR="00313C22">
        <w:t xml:space="preserve">the </w:t>
      </w:r>
      <w:r w:rsidR="00094994" w:rsidRPr="00343E31">
        <w:t>Regulations)</w:t>
      </w:r>
      <w:r w:rsidRPr="00094994">
        <w:t>.</w:t>
      </w:r>
    </w:p>
    <w:p w14:paraId="185B7D5D" w14:textId="42BC4147" w:rsidR="000106A4" w:rsidRPr="00EE58C5" w:rsidRDefault="00343E31" w:rsidP="000106A4">
      <w:pPr>
        <w:spacing w:before="240"/>
        <w:rPr>
          <w:b/>
        </w:rPr>
      </w:pPr>
      <w:r>
        <w:rPr>
          <w:b/>
        </w:rPr>
        <w:t xml:space="preserve">Clause </w:t>
      </w:r>
      <w:r w:rsidR="00524135">
        <w:rPr>
          <w:b/>
        </w:rPr>
        <w:t>4</w:t>
      </w:r>
      <w:r>
        <w:rPr>
          <w:b/>
        </w:rPr>
        <w:t xml:space="preserve"> – </w:t>
      </w:r>
      <w:r w:rsidR="000106A4">
        <w:rPr>
          <w:b/>
        </w:rPr>
        <w:t>Definitions</w:t>
      </w:r>
    </w:p>
    <w:p w14:paraId="08E52045" w14:textId="7B6E5668" w:rsidR="000106A4" w:rsidRDefault="000106A4" w:rsidP="000106A4">
      <w:pPr>
        <w:spacing w:before="240"/>
      </w:pPr>
      <w:r>
        <w:t>This clause provides for definitions of terms used in the Determination.</w:t>
      </w:r>
    </w:p>
    <w:p w14:paraId="5BBF6BC7" w14:textId="546AA3DB" w:rsidR="00C27EF6" w:rsidRDefault="003A3BFB" w:rsidP="00C27EF6">
      <w:pPr>
        <w:keepNext/>
        <w:keepLines/>
        <w:spacing w:before="280"/>
        <w:ind w:left="232" w:hanging="232"/>
        <w:outlineLvl w:val="4"/>
        <w:rPr>
          <w:b/>
          <w:kern w:val="28"/>
          <w:szCs w:val="20"/>
        </w:rPr>
      </w:pPr>
      <w:bookmarkStart w:id="0" w:name="_Toc97293947"/>
      <w:r>
        <w:rPr>
          <w:b/>
          <w:kern w:val="28"/>
          <w:szCs w:val="20"/>
        </w:rPr>
        <w:t xml:space="preserve">Clause </w:t>
      </w:r>
      <w:r w:rsidR="00C27EF6">
        <w:rPr>
          <w:b/>
          <w:kern w:val="28"/>
          <w:szCs w:val="20"/>
        </w:rPr>
        <w:t>6</w:t>
      </w:r>
      <w:r>
        <w:rPr>
          <w:b/>
          <w:kern w:val="28"/>
          <w:szCs w:val="20"/>
        </w:rPr>
        <w:t xml:space="preserve"> – </w:t>
      </w:r>
      <w:r w:rsidR="00524135" w:rsidRPr="00524135">
        <w:rPr>
          <w:b/>
          <w:kern w:val="28"/>
          <w:szCs w:val="20"/>
        </w:rPr>
        <w:t>Determination</w:t>
      </w:r>
      <w:bookmarkEnd w:id="0"/>
    </w:p>
    <w:p w14:paraId="66FB9822" w14:textId="32173057" w:rsidR="007E17E1" w:rsidRDefault="007E17E1" w:rsidP="003A3BFB">
      <w:pPr>
        <w:spacing w:before="240"/>
        <w:rPr>
          <w:szCs w:val="20"/>
        </w:rPr>
      </w:pPr>
      <w:r>
        <w:rPr>
          <w:szCs w:val="20"/>
        </w:rPr>
        <w:t>This clause details the determinations of the Chief Metrologist</w:t>
      </w:r>
      <w:r w:rsidR="006C30E1">
        <w:rPr>
          <w:szCs w:val="20"/>
        </w:rPr>
        <w:t>,</w:t>
      </w:r>
      <w:r w:rsidR="00C44452">
        <w:rPr>
          <w:szCs w:val="20"/>
        </w:rPr>
        <w:t xml:space="preserve"> </w:t>
      </w:r>
      <w:r>
        <w:rPr>
          <w:szCs w:val="20"/>
        </w:rPr>
        <w:t xml:space="preserve">concerning Australian certified reference materials. </w:t>
      </w:r>
    </w:p>
    <w:p w14:paraId="66C2A8A7" w14:textId="76816657" w:rsidR="00C27EF6" w:rsidRPr="00422C38" w:rsidRDefault="00422C38" w:rsidP="00422C38">
      <w:pPr>
        <w:spacing w:before="240"/>
        <w:rPr>
          <w:i/>
          <w:szCs w:val="20"/>
        </w:rPr>
      </w:pPr>
      <w:r>
        <w:rPr>
          <w:szCs w:val="20"/>
        </w:rPr>
        <w:t xml:space="preserve">Subclause 6(1) </w:t>
      </w:r>
      <w:r w:rsidR="00C27EF6" w:rsidRPr="00422C38">
        <w:rPr>
          <w:szCs w:val="20"/>
        </w:rPr>
        <w:t xml:space="preserve">requires that the accuracy of </w:t>
      </w:r>
      <w:r w:rsidR="00CE5C5C">
        <w:rPr>
          <w:szCs w:val="20"/>
        </w:rPr>
        <w:t xml:space="preserve">property values of </w:t>
      </w:r>
      <w:r w:rsidR="00C27EF6" w:rsidRPr="00422C38">
        <w:rPr>
          <w:szCs w:val="20"/>
        </w:rPr>
        <w:t xml:space="preserve">Australian certified reference materials be ascertained and expressed as an uncertainty in accordance with the principles of the </w:t>
      </w:r>
      <w:r w:rsidR="00C27EF6" w:rsidRPr="00422C38">
        <w:rPr>
          <w:i/>
          <w:szCs w:val="20"/>
        </w:rPr>
        <w:t xml:space="preserve">JCGM 100:2008 – Evaluation of measurement data – Guide to the expression of uncertainty in measurement. </w:t>
      </w:r>
      <w:r w:rsidR="00C27EF6" w:rsidRPr="00422C38">
        <w:rPr>
          <w:szCs w:val="20"/>
        </w:rPr>
        <w:t xml:space="preserve">The use of the </w:t>
      </w:r>
      <w:r w:rsidR="00C27EF6" w:rsidRPr="00422C38">
        <w:rPr>
          <w:i/>
          <w:szCs w:val="20"/>
        </w:rPr>
        <w:t>JCGM 100:2008</w:t>
      </w:r>
      <w:r w:rsidR="00C27EF6" w:rsidRPr="00422C38">
        <w:rPr>
          <w:szCs w:val="20"/>
        </w:rPr>
        <w:t xml:space="preserve"> guide provides for a consistent approach to the quantification and expression of </w:t>
      </w:r>
      <w:r w:rsidR="00B45383">
        <w:rPr>
          <w:szCs w:val="20"/>
        </w:rPr>
        <w:t xml:space="preserve">the </w:t>
      </w:r>
      <w:r w:rsidR="00C27EF6" w:rsidRPr="00422C38">
        <w:rPr>
          <w:szCs w:val="20"/>
        </w:rPr>
        <w:t xml:space="preserve">measurement uncertainty </w:t>
      </w:r>
      <w:r w:rsidR="00304744" w:rsidRPr="00422C38">
        <w:rPr>
          <w:szCs w:val="20"/>
        </w:rPr>
        <w:t>of property values of Australian certified reference materials</w:t>
      </w:r>
      <w:r w:rsidR="00C27EF6" w:rsidRPr="00422C38">
        <w:rPr>
          <w:szCs w:val="20"/>
        </w:rPr>
        <w:t xml:space="preserve"> </w:t>
      </w:r>
      <w:r w:rsidR="006F6C77">
        <w:rPr>
          <w:szCs w:val="20"/>
        </w:rPr>
        <w:t>and aligns</w:t>
      </w:r>
      <w:r w:rsidR="00C27EF6" w:rsidRPr="00422C38">
        <w:rPr>
          <w:szCs w:val="20"/>
        </w:rPr>
        <w:t xml:space="preserve"> with internationally accepted best practice.</w:t>
      </w:r>
    </w:p>
    <w:p w14:paraId="54CCEAAE" w14:textId="77777777" w:rsidR="00C27EF6" w:rsidRDefault="00C27EF6" w:rsidP="00C27EF6">
      <w:pPr>
        <w:rPr>
          <w:szCs w:val="20"/>
        </w:rPr>
      </w:pPr>
    </w:p>
    <w:p w14:paraId="3FCC3524" w14:textId="182F6541" w:rsidR="00792244" w:rsidRDefault="00422C38" w:rsidP="00422C38">
      <w:pPr>
        <w:rPr>
          <w:szCs w:val="20"/>
        </w:rPr>
      </w:pPr>
      <w:r>
        <w:rPr>
          <w:szCs w:val="20"/>
        </w:rPr>
        <w:t xml:space="preserve">Subclause 6(2) </w:t>
      </w:r>
      <w:r w:rsidR="00C27EF6" w:rsidRPr="00422C38">
        <w:rPr>
          <w:szCs w:val="20"/>
        </w:rPr>
        <w:t xml:space="preserve">requires that </w:t>
      </w:r>
      <w:r w:rsidR="00B45383">
        <w:rPr>
          <w:szCs w:val="20"/>
        </w:rPr>
        <w:t xml:space="preserve">measurements which establish </w:t>
      </w:r>
      <w:r w:rsidR="00C27EF6" w:rsidRPr="00422C38">
        <w:rPr>
          <w:szCs w:val="20"/>
        </w:rPr>
        <w:t>the property values of any kind of Australian certified reference material comply with section 10 of the Act. Section 10 of the Act provides a framework for demonstrating legal traceability</w:t>
      </w:r>
      <w:r w:rsidR="00EB7438" w:rsidRPr="00422C38">
        <w:rPr>
          <w:szCs w:val="20"/>
        </w:rPr>
        <w:t>,</w:t>
      </w:r>
      <w:r w:rsidR="00C27EF6" w:rsidRPr="00422C38">
        <w:rPr>
          <w:szCs w:val="20"/>
        </w:rPr>
        <w:t xml:space="preserve"> </w:t>
      </w:r>
      <w:r w:rsidR="00EB7438" w:rsidRPr="00422C38">
        <w:rPr>
          <w:szCs w:val="20"/>
        </w:rPr>
        <w:t>to the Australian legal units of measurement</w:t>
      </w:r>
      <w:r w:rsidR="00792244">
        <w:rPr>
          <w:szCs w:val="20"/>
        </w:rPr>
        <w:t xml:space="preserve"> (ALUMs)</w:t>
      </w:r>
      <w:r w:rsidR="00EB7438" w:rsidRPr="00422C38">
        <w:rPr>
          <w:szCs w:val="20"/>
        </w:rPr>
        <w:t>, for</w:t>
      </w:r>
      <w:r w:rsidR="00C27EF6" w:rsidRPr="00422C38">
        <w:rPr>
          <w:szCs w:val="20"/>
        </w:rPr>
        <w:t xml:space="preserve"> measurements </w:t>
      </w:r>
      <w:r w:rsidR="00EB7438" w:rsidRPr="00422C38">
        <w:rPr>
          <w:szCs w:val="20"/>
        </w:rPr>
        <w:t xml:space="preserve">of a quantity </w:t>
      </w:r>
      <w:r w:rsidR="00C27EF6" w:rsidRPr="00422C38">
        <w:rPr>
          <w:szCs w:val="20"/>
        </w:rPr>
        <w:t xml:space="preserve">made for legal purposes. </w:t>
      </w:r>
    </w:p>
    <w:p w14:paraId="01D24703" w14:textId="77777777" w:rsidR="00792244" w:rsidRDefault="00792244" w:rsidP="00792244">
      <w:pPr>
        <w:rPr>
          <w:szCs w:val="20"/>
        </w:rPr>
      </w:pPr>
    </w:p>
    <w:p w14:paraId="7701F95C" w14:textId="382DA4BE" w:rsidR="00EB7438" w:rsidRPr="00422C38" w:rsidRDefault="00792244" w:rsidP="00422C38">
      <w:pPr>
        <w:rPr>
          <w:szCs w:val="20"/>
        </w:rPr>
      </w:pPr>
      <w:r>
        <w:rPr>
          <w:szCs w:val="20"/>
        </w:rPr>
        <w:t xml:space="preserve">The Determination clarifies the application of section 10 of the Act in this case; that the measurement of property values of </w:t>
      </w:r>
      <w:r w:rsidR="00DB38A5" w:rsidRPr="00DB38A5">
        <w:rPr>
          <w:szCs w:val="20"/>
        </w:rPr>
        <w:t xml:space="preserve">Australian certified reference materials </w:t>
      </w:r>
      <w:r>
        <w:rPr>
          <w:szCs w:val="20"/>
        </w:rPr>
        <w:t xml:space="preserve">are measurements made for a legal purpose, and that it is necessary that those measurements are ascertained in terms of ALUMs. </w:t>
      </w:r>
      <w:r w:rsidR="00EB7438" w:rsidRPr="00422C38">
        <w:rPr>
          <w:szCs w:val="20"/>
        </w:rPr>
        <w:t xml:space="preserve">As Australian certified reference materials are listed under section 10 as a means of demonstrating legal traceability, </w:t>
      </w:r>
      <w:r>
        <w:rPr>
          <w:szCs w:val="20"/>
        </w:rPr>
        <w:t>it stands to reason that</w:t>
      </w:r>
      <w:r w:rsidR="00EB7438" w:rsidRPr="00422C38">
        <w:rPr>
          <w:szCs w:val="20"/>
        </w:rPr>
        <w:t xml:space="preserve"> the measurements that establish the property values of Australian certified reference materials must also be legal</w:t>
      </w:r>
      <w:r w:rsidR="00B45383">
        <w:rPr>
          <w:szCs w:val="20"/>
        </w:rPr>
        <w:t>ly</w:t>
      </w:r>
      <w:r w:rsidR="00EB7438" w:rsidRPr="00422C38">
        <w:rPr>
          <w:szCs w:val="20"/>
        </w:rPr>
        <w:t xml:space="preserve"> traceable. </w:t>
      </w:r>
    </w:p>
    <w:p w14:paraId="45A3216C" w14:textId="77777777" w:rsidR="00C27EF6" w:rsidRDefault="00C27EF6" w:rsidP="00C27EF6">
      <w:pPr>
        <w:rPr>
          <w:szCs w:val="20"/>
        </w:rPr>
      </w:pPr>
    </w:p>
    <w:p w14:paraId="213535F1" w14:textId="0626F75B" w:rsidR="00C27EF6" w:rsidRDefault="00422C38" w:rsidP="00422C38">
      <w:pPr>
        <w:rPr>
          <w:szCs w:val="20"/>
        </w:rPr>
      </w:pPr>
      <w:r>
        <w:rPr>
          <w:szCs w:val="20"/>
        </w:rPr>
        <w:lastRenderedPageBreak/>
        <w:t>Subclause 6(3)</w:t>
      </w:r>
      <w:r w:rsidR="00C27EF6" w:rsidRPr="00422C38">
        <w:rPr>
          <w:szCs w:val="20"/>
        </w:rPr>
        <w:t xml:space="preserve"> requires the manner and methods by which the property values of any kind of Australian certified reference material are established shall be in accordance with the principles of ISO/IEC 17025, ISO 17034, and ISO Guide 35.</w:t>
      </w:r>
      <w:r w:rsidR="003A3BFB" w:rsidRPr="00422C38">
        <w:rPr>
          <w:szCs w:val="20"/>
        </w:rPr>
        <w:t xml:space="preserve"> </w:t>
      </w:r>
      <w:r w:rsidR="00C27EF6" w:rsidRPr="00422C38">
        <w:rPr>
          <w:szCs w:val="20"/>
        </w:rPr>
        <w:t>Compliance with the principles of these international standards will support confidence and trust in the production and certification of Australian certified reference materials.</w:t>
      </w:r>
    </w:p>
    <w:p w14:paraId="52A4A693" w14:textId="151E3060" w:rsidR="008A5959" w:rsidRDefault="008A5959" w:rsidP="00422C38">
      <w:pPr>
        <w:rPr>
          <w:szCs w:val="20"/>
        </w:rPr>
      </w:pPr>
    </w:p>
    <w:p w14:paraId="42329051" w14:textId="763A7217" w:rsidR="008A5959" w:rsidRPr="00422C38" w:rsidRDefault="008A5959" w:rsidP="00422C38">
      <w:pPr>
        <w:rPr>
          <w:szCs w:val="20"/>
        </w:rPr>
      </w:pPr>
      <w:r>
        <w:rPr>
          <w:szCs w:val="20"/>
        </w:rPr>
        <w:t xml:space="preserve">Additional information </w:t>
      </w:r>
      <w:r w:rsidR="00477D14">
        <w:rPr>
          <w:szCs w:val="20"/>
        </w:rPr>
        <w:t>as well as</w:t>
      </w:r>
      <w:r>
        <w:rPr>
          <w:szCs w:val="20"/>
        </w:rPr>
        <w:t xml:space="preserve"> the location of the international standards is provided as follows:</w:t>
      </w:r>
    </w:p>
    <w:p w14:paraId="690F72B6" w14:textId="77777777" w:rsidR="008A5959" w:rsidRDefault="008A5959" w:rsidP="008A5959">
      <w:pPr>
        <w:pStyle w:val="ListParagraph"/>
        <w:numPr>
          <w:ilvl w:val="0"/>
          <w:numId w:val="26"/>
        </w:numPr>
        <w:spacing w:before="120" w:after="120"/>
      </w:pPr>
      <w:r w:rsidRPr="000E0FBD">
        <w:rPr>
          <w:i/>
        </w:rPr>
        <w:t>JCGM 100:2008 – Evaluation of measurement data – Guide to the expression of uncertainty in measurement</w:t>
      </w:r>
      <w:r>
        <w:t xml:space="preserve"> (JCGM 100:2008) represents international best practice with respect to</w:t>
      </w:r>
      <w:r w:rsidRPr="00DC55BB">
        <w:t xml:space="preserve"> the ascertainment and expression of measurement uncertainty</w:t>
      </w:r>
      <w:r>
        <w:t xml:space="preserve">. JCGM 100:2008 is available here: </w:t>
      </w:r>
      <w:hyperlink r:id="rId8" w:history="1">
        <w:r w:rsidRPr="009E667B">
          <w:rPr>
            <w:rStyle w:val="Hyperlink"/>
          </w:rPr>
          <w:t>https://www.bipm.org/en/committees/jc/jcgm/publications</w:t>
        </w:r>
      </w:hyperlink>
      <w:r>
        <w:t xml:space="preserve"> </w:t>
      </w:r>
    </w:p>
    <w:p w14:paraId="10B09007" w14:textId="77777777" w:rsidR="008A5959" w:rsidRDefault="008A5959" w:rsidP="008A5959">
      <w:pPr>
        <w:pStyle w:val="ListParagraph"/>
        <w:numPr>
          <w:ilvl w:val="0"/>
          <w:numId w:val="26"/>
        </w:numPr>
        <w:spacing w:before="240"/>
        <w:ind w:right="91"/>
        <w:jc w:val="both"/>
      </w:pPr>
      <w:r w:rsidRPr="000E0FBD">
        <w:rPr>
          <w:i/>
        </w:rPr>
        <w:t>ISO/IEC 17025:2017 General requirements for the competence of testing and calibration laboratories</w:t>
      </w:r>
      <w:r>
        <w:t xml:space="preserve"> (ISO/IEC 17025:2017) </w:t>
      </w:r>
      <w:r w:rsidRPr="00636EEB">
        <w:t xml:space="preserve">specifies the general requirements for the competence, </w:t>
      </w:r>
      <w:proofErr w:type="gramStart"/>
      <w:r w:rsidRPr="00636EEB">
        <w:t>impartiality</w:t>
      </w:r>
      <w:proofErr w:type="gramEnd"/>
      <w:r w:rsidRPr="00636EEB">
        <w:t xml:space="preserve"> and consistent operation of laboratories</w:t>
      </w:r>
      <w:r>
        <w:t>. The international standard provides a means by which the competency of a laboratory may be demonstrated and recognised via third-party accreditation or assessment.</w:t>
      </w:r>
    </w:p>
    <w:p w14:paraId="60922333" w14:textId="77777777" w:rsidR="008A5959" w:rsidRDefault="008A5959" w:rsidP="008A5959">
      <w:pPr>
        <w:pStyle w:val="ListParagraph"/>
        <w:numPr>
          <w:ilvl w:val="0"/>
          <w:numId w:val="26"/>
        </w:numPr>
        <w:spacing w:before="240"/>
        <w:ind w:right="91"/>
        <w:jc w:val="both"/>
      </w:pPr>
      <w:r w:rsidRPr="000E0FBD">
        <w:rPr>
          <w:i/>
        </w:rPr>
        <w:t>ISO 17034:2016 General requirements for the competence of reference material producers</w:t>
      </w:r>
      <w:r>
        <w:t xml:space="preserve"> (ISO 17034:2016) </w:t>
      </w:r>
      <w:r w:rsidRPr="00636EEB">
        <w:t xml:space="preserve">specifies general requirements for the competence and consistent operation of reference material </w:t>
      </w:r>
      <w:r w:rsidRPr="008718C0">
        <w:t>producers. ISO 17034:2016 sets</w:t>
      </w:r>
      <w:r>
        <w:t xml:space="preserve"> out the requirements in accordance with which reference materials are produced. It is intended to be used as part of the general quality assurance procedures of the reference material producer and covers the production of all reference materials, including certified reference materials.</w:t>
      </w:r>
    </w:p>
    <w:p w14:paraId="615D4061" w14:textId="77777777" w:rsidR="008A5959" w:rsidRDefault="008A5959" w:rsidP="008A5959">
      <w:pPr>
        <w:pStyle w:val="ListParagraph"/>
        <w:numPr>
          <w:ilvl w:val="0"/>
          <w:numId w:val="26"/>
        </w:numPr>
        <w:spacing w:before="240"/>
        <w:ind w:right="91"/>
        <w:jc w:val="both"/>
      </w:pPr>
      <w:r w:rsidRPr="000E0FBD">
        <w:rPr>
          <w:i/>
        </w:rPr>
        <w:t>ISO Guide 35:2017 Reference materials — Guidance for characterization and assessment of homogeneity and stability</w:t>
      </w:r>
      <w:r>
        <w:t xml:space="preserve"> (ISO Guide 35:2017)</w:t>
      </w:r>
      <w:r w:rsidRPr="00636EEB">
        <w:t xml:space="preserve"> explains concepts and provides approaches to the following aspects of the production of reference materials</w:t>
      </w:r>
      <w:r>
        <w:t xml:space="preserve"> the assessment of homogeneity:</w:t>
      </w:r>
    </w:p>
    <w:p w14:paraId="517BB5CF" w14:textId="77777777" w:rsidR="008A5959" w:rsidRDefault="008A5959" w:rsidP="008A5959">
      <w:pPr>
        <w:pStyle w:val="ListParagraph"/>
        <w:numPr>
          <w:ilvl w:val="0"/>
          <w:numId w:val="23"/>
        </w:numPr>
        <w:spacing w:before="240"/>
        <w:ind w:right="91"/>
        <w:jc w:val="both"/>
      </w:pPr>
      <w:r>
        <w:t xml:space="preserve">the assessment of stability and the management of the risks associated with possible stability issues related to the properties of </w:t>
      </w:r>
      <w:proofErr w:type="gramStart"/>
      <w:r>
        <w:t>interest;</w:t>
      </w:r>
      <w:proofErr w:type="gramEnd"/>
    </w:p>
    <w:p w14:paraId="11FAA79C" w14:textId="77777777" w:rsidR="008A5959" w:rsidRDefault="008A5959" w:rsidP="008A5959">
      <w:pPr>
        <w:pStyle w:val="ListParagraph"/>
        <w:numPr>
          <w:ilvl w:val="0"/>
          <w:numId w:val="23"/>
        </w:numPr>
        <w:spacing w:before="240"/>
        <w:ind w:right="91"/>
        <w:jc w:val="both"/>
      </w:pPr>
      <w:r>
        <w:t xml:space="preserve">the characterization and value assignment of properties of a reference </w:t>
      </w:r>
      <w:proofErr w:type="gramStart"/>
      <w:r>
        <w:t>material;</w:t>
      </w:r>
      <w:proofErr w:type="gramEnd"/>
    </w:p>
    <w:p w14:paraId="57FCC43E" w14:textId="20CF8A67" w:rsidR="008A5959" w:rsidRDefault="008A5959" w:rsidP="008A5959">
      <w:pPr>
        <w:pStyle w:val="ListParagraph"/>
        <w:numPr>
          <w:ilvl w:val="0"/>
          <w:numId w:val="23"/>
        </w:numPr>
        <w:spacing w:before="240"/>
        <w:ind w:right="91"/>
        <w:jc w:val="both"/>
      </w:pPr>
      <w:r>
        <w:t>the evaluation of uncertainty for certified values;</w:t>
      </w:r>
      <w:r w:rsidR="00B45383">
        <w:t xml:space="preserve"> and</w:t>
      </w:r>
    </w:p>
    <w:p w14:paraId="17015DAF" w14:textId="77777777" w:rsidR="008A5959" w:rsidRDefault="008A5959" w:rsidP="008A5959">
      <w:pPr>
        <w:pStyle w:val="ListParagraph"/>
        <w:numPr>
          <w:ilvl w:val="0"/>
          <w:numId w:val="23"/>
        </w:numPr>
        <w:spacing w:before="240"/>
        <w:ind w:right="91"/>
        <w:jc w:val="both"/>
      </w:pPr>
      <w:r>
        <w:t>the establishment of the metrological traceability of certified property values.</w:t>
      </w:r>
    </w:p>
    <w:p w14:paraId="29C51100" w14:textId="0BCB76C4" w:rsidR="00524135" w:rsidRPr="00477D14" w:rsidRDefault="008A5959" w:rsidP="00477D14">
      <w:pPr>
        <w:spacing w:before="240"/>
        <w:ind w:right="91"/>
        <w:jc w:val="both"/>
      </w:pPr>
      <w:r>
        <w:t xml:space="preserve">The </w:t>
      </w:r>
      <w:r w:rsidRPr="008718C0">
        <w:t>guidance given in ISO Guide 35:2017 supports the implementation of ISO 17034:2016. ISO/IEC 17025:2017, ISO 17034:2016 and ISO Guide 35:2017 are available</w:t>
      </w:r>
      <w:r>
        <w:t xml:space="preserve"> here: </w:t>
      </w:r>
      <w:hyperlink r:id="rId9" w:history="1">
        <w:r w:rsidRPr="005A127E">
          <w:rPr>
            <w:rStyle w:val="Hyperlink"/>
          </w:rPr>
          <w:t>https://www.iso.org/store.html</w:t>
        </w:r>
      </w:hyperlink>
    </w:p>
    <w:p w14:paraId="082A03C5" w14:textId="77777777" w:rsidR="00524135" w:rsidRDefault="00524135" w:rsidP="004F341D">
      <w:pPr>
        <w:spacing w:before="240" w:after="100" w:afterAutospacing="1"/>
        <w:rPr>
          <w:b/>
        </w:rPr>
      </w:pPr>
    </w:p>
    <w:p w14:paraId="755F0DB1" w14:textId="77777777" w:rsidR="00B36E5F" w:rsidRPr="001E3B07" w:rsidRDefault="00B36E5F">
      <w:pPr>
        <w:rPr>
          <w:szCs w:val="20"/>
        </w:rPr>
      </w:pPr>
      <w:r w:rsidRPr="001E3B07">
        <w:rPr>
          <w:szCs w:val="20"/>
        </w:rPr>
        <w:br w:type="page"/>
      </w:r>
    </w:p>
    <w:p w14:paraId="7BC443B6" w14:textId="3366A616" w:rsidR="00FF0F1E" w:rsidRPr="006B5A6D" w:rsidRDefault="005750F2" w:rsidP="00FF0F1E">
      <w:pPr>
        <w:ind w:right="91"/>
        <w:jc w:val="right"/>
        <w:rPr>
          <w:bCs/>
        </w:rPr>
      </w:pPr>
      <w:r w:rsidRPr="009C7A63">
        <w:rPr>
          <w:b/>
          <w:u w:val="single"/>
        </w:rPr>
        <w:lastRenderedPageBreak/>
        <w:t>ATTACHMENT</w:t>
      </w:r>
      <w:r>
        <w:rPr>
          <w:b/>
          <w:u w:val="single"/>
        </w:rPr>
        <w:t xml:space="preserve"> B</w:t>
      </w:r>
    </w:p>
    <w:p w14:paraId="03FE7555" w14:textId="77777777" w:rsidR="00FF0F1E" w:rsidRPr="006B5A6D" w:rsidRDefault="00FF0F1E" w:rsidP="00FF0F1E">
      <w:pPr>
        <w:ind w:right="91"/>
        <w:jc w:val="right"/>
        <w:rPr>
          <w:bCs/>
          <w:szCs w:val="20"/>
        </w:rPr>
      </w:pPr>
    </w:p>
    <w:p w14:paraId="5A9D2AF9" w14:textId="1ED5665A" w:rsidR="00EC6999" w:rsidRPr="006B5A6D" w:rsidRDefault="00EC6999" w:rsidP="00FF0F1E">
      <w:pPr>
        <w:ind w:right="91"/>
        <w:rPr>
          <w:bCs/>
          <w:szCs w:val="20"/>
        </w:rPr>
      </w:pPr>
      <w:r w:rsidRPr="0053704F">
        <w:rPr>
          <w:b/>
          <w:szCs w:val="20"/>
        </w:rPr>
        <w:t>STATEMENT OF COMPATIBILITY WITH HUMAN RIGHTS</w:t>
      </w:r>
    </w:p>
    <w:p w14:paraId="5A866D0B" w14:textId="77777777" w:rsidR="00EC6999" w:rsidRPr="0053704F" w:rsidRDefault="00EC6999" w:rsidP="00EC6999">
      <w:pPr>
        <w:jc w:val="center"/>
        <w:rPr>
          <w:rFonts w:ascii="Calibri" w:hAnsi="Calibri"/>
        </w:rPr>
      </w:pPr>
    </w:p>
    <w:p w14:paraId="72122FFC" w14:textId="77777777" w:rsidR="00EC6999" w:rsidRPr="00D84669" w:rsidRDefault="00EC6999" w:rsidP="00EC6999">
      <w:pPr>
        <w:spacing w:before="120" w:after="120"/>
        <w:jc w:val="center"/>
        <w:rPr>
          <w:i/>
        </w:rPr>
      </w:pPr>
      <w:r w:rsidRPr="00D84669">
        <w:rPr>
          <w:i/>
        </w:rPr>
        <w:t>Prepared in accordance with Part 3 of the Hu</w:t>
      </w:r>
      <w:r>
        <w:rPr>
          <w:i/>
        </w:rPr>
        <w:t>m</w:t>
      </w:r>
      <w:r w:rsidRPr="00D84669">
        <w:rPr>
          <w:i/>
        </w:rPr>
        <w:t>an Rights (Parliamentary Scrutiny) Act 2011</w:t>
      </w:r>
    </w:p>
    <w:p w14:paraId="3EC7D374" w14:textId="77777777" w:rsidR="00EC6999" w:rsidRPr="00D84669" w:rsidRDefault="00EC6999" w:rsidP="00EC6999">
      <w:pPr>
        <w:spacing w:before="120" w:after="120"/>
        <w:jc w:val="center"/>
      </w:pPr>
    </w:p>
    <w:p w14:paraId="2F70964F" w14:textId="1FEC0CBE" w:rsidR="00EC6999" w:rsidRPr="00D84669" w:rsidRDefault="003A3BFB" w:rsidP="00EC6999">
      <w:pPr>
        <w:spacing w:before="120" w:after="120"/>
        <w:jc w:val="center"/>
      </w:pPr>
      <w:r w:rsidRPr="003A3BFB">
        <w:rPr>
          <w:i/>
        </w:rPr>
        <w:t>National Measurement (Australian Certified Reference Materials)</w:t>
      </w:r>
      <w:r>
        <w:rPr>
          <w:i/>
        </w:rPr>
        <w:t xml:space="preserve"> Determination </w:t>
      </w:r>
      <w:r w:rsidR="00792244" w:rsidRPr="003A3BFB">
        <w:rPr>
          <w:i/>
        </w:rPr>
        <w:t>202</w:t>
      </w:r>
      <w:r w:rsidR="00792244">
        <w:rPr>
          <w:i/>
        </w:rPr>
        <w:t>3</w:t>
      </w:r>
    </w:p>
    <w:p w14:paraId="0D430E53" w14:textId="77777777" w:rsidR="00EC6999" w:rsidRPr="00D84669" w:rsidRDefault="00EC6999" w:rsidP="00EC6999">
      <w:pPr>
        <w:spacing w:before="120" w:after="120"/>
        <w:jc w:val="center"/>
      </w:pPr>
    </w:p>
    <w:p w14:paraId="60892D6A" w14:textId="77777777" w:rsidR="00EC6999" w:rsidRPr="00D84669" w:rsidRDefault="00EC6999" w:rsidP="00EC6999">
      <w:pPr>
        <w:spacing w:before="120" w:after="120"/>
        <w:jc w:val="center"/>
      </w:pPr>
      <w:r w:rsidRPr="00D84669">
        <w:t xml:space="preserve">This Legislative Instrument is compatible with the human rights and freedoms recognised or declared in the international instruments listed in section 3 of the </w:t>
      </w:r>
      <w:r w:rsidRPr="00D84669">
        <w:rPr>
          <w:i/>
        </w:rPr>
        <w:t>Human Rights (Parliamentary Scrutiny) Act 2011</w:t>
      </w:r>
      <w:r w:rsidRPr="00D84669">
        <w:t>.</w:t>
      </w:r>
    </w:p>
    <w:p w14:paraId="09A01C3E" w14:textId="77777777" w:rsidR="00EC6999" w:rsidRPr="00D84669" w:rsidRDefault="00EC6999" w:rsidP="00EC6999">
      <w:pPr>
        <w:spacing w:before="120" w:after="120"/>
        <w:jc w:val="center"/>
      </w:pPr>
    </w:p>
    <w:p w14:paraId="5E683D1B" w14:textId="77777777" w:rsidR="00EC6999" w:rsidRPr="00D84669" w:rsidRDefault="00EC6999" w:rsidP="00EC6999">
      <w:pPr>
        <w:spacing w:before="120" w:after="120"/>
        <w:jc w:val="center"/>
      </w:pPr>
    </w:p>
    <w:p w14:paraId="5FFD12B1" w14:textId="77777777" w:rsidR="00EC6999" w:rsidRPr="00D84669" w:rsidRDefault="00EC6999" w:rsidP="00EC6999">
      <w:pPr>
        <w:spacing w:before="120" w:after="120"/>
        <w:jc w:val="both"/>
        <w:rPr>
          <w:b/>
        </w:rPr>
      </w:pPr>
      <w:r w:rsidRPr="00D84669">
        <w:rPr>
          <w:b/>
        </w:rPr>
        <w:t>Overview of the Legislative Instrument</w:t>
      </w:r>
    </w:p>
    <w:p w14:paraId="0AC300FF" w14:textId="3DB18EB8" w:rsidR="00592E6D" w:rsidRDefault="00EC6999" w:rsidP="00910CFA">
      <w:pPr>
        <w:spacing w:before="240"/>
        <w:ind w:right="91"/>
        <w:jc w:val="both"/>
      </w:pPr>
      <w:r w:rsidRPr="00D84669">
        <w:t>The</w:t>
      </w:r>
      <w:r>
        <w:t xml:space="preserve"> </w:t>
      </w:r>
      <w:r w:rsidR="003A3BFB" w:rsidRPr="003A3BFB">
        <w:rPr>
          <w:i/>
          <w:szCs w:val="22"/>
        </w:rPr>
        <w:t>National Measurement (Australian Certified Reference Materials) Determination 202</w:t>
      </w:r>
      <w:r w:rsidR="002340F3">
        <w:rPr>
          <w:i/>
          <w:szCs w:val="22"/>
        </w:rPr>
        <w:t>3</w:t>
      </w:r>
      <w:r w:rsidR="003A3BFB" w:rsidRPr="003A3BFB">
        <w:rPr>
          <w:i/>
          <w:szCs w:val="22"/>
        </w:rPr>
        <w:t xml:space="preserve"> </w:t>
      </w:r>
      <w:r w:rsidR="006F6BC7">
        <w:t>s</w:t>
      </w:r>
      <w:r w:rsidR="00910CFA">
        <w:t>upport</w:t>
      </w:r>
      <w:r w:rsidR="00592E6D">
        <w:t>s</w:t>
      </w:r>
      <w:r w:rsidR="00910CFA">
        <w:t xml:space="preserve"> the national measurement system by </w:t>
      </w:r>
      <w:r w:rsidR="00592E6D">
        <w:t>providing consistency</w:t>
      </w:r>
      <w:r w:rsidR="003A3BFB">
        <w:t xml:space="preserve"> and trust</w:t>
      </w:r>
      <w:r w:rsidR="00592E6D">
        <w:t xml:space="preserve"> in the </w:t>
      </w:r>
      <w:r w:rsidR="003A3BFB">
        <w:t>production and certification of Australian certified reference materials</w:t>
      </w:r>
      <w:r w:rsidR="00592E6D" w:rsidRPr="00592E6D">
        <w:t xml:space="preserve"> under the </w:t>
      </w:r>
      <w:r w:rsidR="006445DC" w:rsidRPr="006445DC">
        <w:rPr>
          <w:i/>
        </w:rPr>
        <w:t>National Measurement Regulations 1999</w:t>
      </w:r>
      <w:r w:rsidR="00592E6D" w:rsidRPr="00592E6D">
        <w:t>.</w:t>
      </w:r>
    </w:p>
    <w:p w14:paraId="7609F14D" w14:textId="77777777" w:rsidR="00EC6999" w:rsidRPr="00D84669" w:rsidRDefault="00EC6999" w:rsidP="00EC6999">
      <w:pPr>
        <w:spacing w:before="120" w:after="120"/>
      </w:pPr>
    </w:p>
    <w:p w14:paraId="767B1FCA" w14:textId="77777777" w:rsidR="00EC6999" w:rsidRPr="00D84669" w:rsidRDefault="00EC6999" w:rsidP="00EC6999">
      <w:pPr>
        <w:spacing w:before="120" w:after="120"/>
        <w:rPr>
          <w:b/>
        </w:rPr>
      </w:pPr>
      <w:r w:rsidRPr="00D84669">
        <w:rPr>
          <w:b/>
        </w:rPr>
        <w:t>Human rights implications</w:t>
      </w:r>
    </w:p>
    <w:p w14:paraId="6C7F7C4B" w14:textId="77777777" w:rsidR="00EC6999" w:rsidRPr="00D84669" w:rsidRDefault="00EC6999" w:rsidP="00EC6999">
      <w:pPr>
        <w:spacing w:before="120" w:after="120"/>
      </w:pPr>
      <w:r w:rsidRPr="00D84669">
        <w:t>This Legislative Instrument does not engage any of the applicable rights or freedoms.</w:t>
      </w:r>
    </w:p>
    <w:p w14:paraId="71D04972" w14:textId="77777777" w:rsidR="00EC6999" w:rsidRPr="00D84669" w:rsidRDefault="00EC6999" w:rsidP="00EC6999">
      <w:pPr>
        <w:spacing w:before="120" w:after="120"/>
      </w:pPr>
    </w:p>
    <w:p w14:paraId="5E9E9286" w14:textId="77777777" w:rsidR="00EC6999" w:rsidRPr="00D84669" w:rsidRDefault="00EC6999" w:rsidP="00EC6999">
      <w:pPr>
        <w:spacing w:before="120" w:after="120"/>
        <w:rPr>
          <w:b/>
        </w:rPr>
      </w:pPr>
      <w:r w:rsidRPr="00D84669">
        <w:rPr>
          <w:b/>
        </w:rPr>
        <w:t>Conclusion</w:t>
      </w:r>
      <w:bookmarkStart w:id="1" w:name="CursorPositionBM"/>
      <w:bookmarkEnd w:id="1"/>
    </w:p>
    <w:p w14:paraId="0467FF1E" w14:textId="77777777" w:rsidR="00EC6999" w:rsidRPr="00D84669" w:rsidRDefault="00EC6999" w:rsidP="00EC6999">
      <w:pPr>
        <w:spacing w:before="120" w:after="120"/>
      </w:pPr>
      <w:r w:rsidRPr="00D84669">
        <w:t>This Legislative Instrument is compatible with human rights as it does not raise any human rights issues.</w:t>
      </w:r>
    </w:p>
    <w:p w14:paraId="24B2CC9C" w14:textId="77777777" w:rsidR="00EC6999" w:rsidRPr="00D84669" w:rsidRDefault="00EC6999" w:rsidP="00EC6999">
      <w:pPr>
        <w:spacing w:before="120" w:after="120"/>
        <w:jc w:val="center"/>
        <w:rPr>
          <w:b/>
        </w:rPr>
      </w:pPr>
    </w:p>
    <w:p w14:paraId="20AF428F" w14:textId="6CF25E63" w:rsidR="00465AF8" w:rsidRDefault="00EC6999" w:rsidP="00EC6999">
      <w:pPr>
        <w:spacing w:before="120" w:after="120"/>
        <w:jc w:val="center"/>
        <w:rPr>
          <w:b/>
        </w:rPr>
      </w:pPr>
      <w:r w:rsidRPr="00D84669">
        <w:rPr>
          <w:b/>
        </w:rPr>
        <w:t xml:space="preserve">The </w:t>
      </w:r>
      <w:r>
        <w:rPr>
          <w:b/>
        </w:rPr>
        <w:t xml:space="preserve">Chief Metrologist </w:t>
      </w:r>
    </w:p>
    <w:p w14:paraId="7A6044AD" w14:textId="7E99393E" w:rsidR="00EC6999" w:rsidRPr="00D84669" w:rsidRDefault="00107955" w:rsidP="00EC6999">
      <w:pPr>
        <w:spacing w:before="120" w:after="120"/>
        <w:jc w:val="center"/>
      </w:pPr>
      <w:r>
        <w:rPr>
          <w:b/>
        </w:rPr>
        <w:t>Dr Richard</w:t>
      </w:r>
      <w:r w:rsidR="00BF4312" w:rsidRPr="00BF4312">
        <w:rPr>
          <w:b/>
        </w:rPr>
        <w:t xml:space="preserve"> Bruce Warrington</w:t>
      </w:r>
    </w:p>
    <w:p w14:paraId="5A37900A" w14:textId="77777777" w:rsidR="00EC6999" w:rsidRPr="006B5A6D" w:rsidRDefault="00EC6999" w:rsidP="00EC6999">
      <w:pPr>
        <w:rPr>
          <w:sz w:val="22"/>
          <w:szCs w:val="22"/>
        </w:rPr>
      </w:pPr>
    </w:p>
    <w:p w14:paraId="209DBEC1" w14:textId="77777777" w:rsidR="00EC6999" w:rsidRPr="006B5A6D" w:rsidRDefault="00EC6999" w:rsidP="00143579">
      <w:pPr>
        <w:spacing w:before="240"/>
        <w:jc w:val="both"/>
        <w:rPr>
          <w:lang w:val="en-US" w:eastAsia="en-US"/>
        </w:rPr>
      </w:pPr>
    </w:p>
    <w:sectPr w:rsidR="00EC6999" w:rsidRPr="006B5A6D" w:rsidSect="00775103">
      <w:headerReference w:type="even" r:id="rId10"/>
      <w:footerReference w:type="defaul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32DD" w14:textId="77777777" w:rsidR="00742D80" w:rsidRDefault="00742D80">
      <w:r>
        <w:separator/>
      </w:r>
    </w:p>
  </w:endnote>
  <w:endnote w:type="continuationSeparator" w:id="0">
    <w:p w14:paraId="428A5581" w14:textId="77777777" w:rsidR="00742D80" w:rsidRDefault="0074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037262"/>
      <w:docPartObj>
        <w:docPartGallery w:val="Page Numbers (Bottom of Page)"/>
        <w:docPartUnique/>
      </w:docPartObj>
    </w:sdtPr>
    <w:sdtEndPr/>
    <w:sdtContent>
      <w:sdt>
        <w:sdtPr>
          <w:id w:val="2058735801"/>
          <w:docPartObj>
            <w:docPartGallery w:val="Page Numbers (Top of Page)"/>
            <w:docPartUnique/>
          </w:docPartObj>
        </w:sdtPr>
        <w:sdtEndPr/>
        <w:sdtContent>
          <w:p w14:paraId="75549D1F" w14:textId="77777777" w:rsidR="00107955" w:rsidRDefault="00107955">
            <w:pPr>
              <w:pStyle w:val="Footer"/>
              <w:jc w:val="right"/>
            </w:pPr>
            <w:r>
              <w:t xml:space="preserve">Page </w:t>
            </w:r>
            <w:r>
              <w:rPr>
                <w:b/>
                <w:bCs/>
              </w:rPr>
              <w:fldChar w:fldCharType="begin"/>
            </w:r>
            <w:r>
              <w:rPr>
                <w:b/>
                <w:bCs/>
              </w:rPr>
              <w:instrText xml:space="preserve"> PAGE </w:instrText>
            </w:r>
            <w:r>
              <w:rPr>
                <w:b/>
                <w:bCs/>
              </w:rPr>
              <w:fldChar w:fldCharType="separate"/>
            </w:r>
            <w:r w:rsidR="003A3BF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A3BFB">
              <w:rPr>
                <w:b/>
                <w:bCs/>
                <w:noProof/>
              </w:rPr>
              <w:t>6</w:t>
            </w:r>
            <w:r>
              <w:rPr>
                <w:b/>
                <w:bCs/>
              </w:rPr>
              <w:fldChar w:fldCharType="end"/>
            </w:r>
          </w:p>
        </w:sdtContent>
      </w:sdt>
    </w:sdtContent>
  </w:sdt>
  <w:p w14:paraId="4A1CAC11" w14:textId="77777777" w:rsidR="00107955" w:rsidRDefault="00107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552235"/>
      <w:docPartObj>
        <w:docPartGallery w:val="Page Numbers (Bottom of Page)"/>
        <w:docPartUnique/>
      </w:docPartObj>
    </w:sdtPr>
    <w:sdtEndPr/>
    <w:sdtContent>
      <w:sdt>
        <w:sdtPr>
          <w:id w:val="-1769616900"/>
          <w:docPartObj>
            <w:docPartGallery w:val="Page Numbers (Top of Page)"/>
            <w:docPartUnique/>
          </w:docPartObj>
        </w:sdtPr>
        <w:sdtEndPr/>
        <w:sdtContent>
          <w:p w14:paraId="682606AD" w14:textId="77777777" w:rsidR="00107955" w:rsidRDefault="00107955">
            <w:pPr>
              <w:pStyle w:val="Footer"/>
              <w:jc w:val="right"/>
            </w:pPr>
            <w:r>
              <w:t xml:space="preserve">Page </w:t>
            </w:r>
            <w:r>
              <w:rPr>
                <w:b/>
                <w:bCs/>
              </w:rPr>
              <w:fldChar w:fldCharType="begin"/>
            </w:r>
            <w:r>
              <w:rPr>
                <w:b/>
                <w:bCs/>
              </w:rPr>
              <w:instrText xml:space="preserve"> PAGE </w:instrText>
            </w:r>
            <w:r>
              <w:rPr>
                <w:b/>
                <w:bCs/>
              </w:rPr>
              <w:fldChar w:fldCharType="separate"/>
            </w:r>
            <w:r w:rsidR="003A3BF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A3BFB">
              <w:rPr>
                <w:b/>
                <w:bCs/>
                <w:noProof/>
              </w:rPr>
              <w:t>6</w:t>
            </w:r>
            <w:r>
              <w:rPr>
                <w:b/>
                <w:bCs/>
              </w:rPr>
              <w:fldChar w:fldCharType="end"/>
            </w:r>
          </w:p>
        </w:sdtContent>
      </w:sdt>
    </w:sdtContent>
  </w:sdt>
  <w:p w14:paraId="15DAFF54" w14:textId="77777777" w:rsidR="00107955" w:rsidRDefault="00107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0B19" w14:textId="77777777" w:rsidR="00742D80" w:rsidRDefault="00742D80">
      <w:r>
        <w:separator/>
      </w:r>
    </w:p>
  </w:footnote>
  <w:footnote w:type="continuationSeparator" w:id="0">
    <w:p w14:paraId="43ED8C04" w14:textId="77777777" w:rsidR="00742D80" w:rsidRDefault="0074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787F" w14:textId="77777777" w:rsidR="00BA18DE" w:rsidRDefault="00BA18DE" w:rsidP="007751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08B22" w14:textId="77777777" w:rsidR="00BA18DE" w:rsidRDefault="00BA1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E0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2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B84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86B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986A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C6A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E7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54E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AE5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844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7DCB"/>
    <w:multiLevelType w:val="hybridMultilevel"/>
    <w:tmpl w:val="CC7AF8AE"/>
    <w:lvl w:ilvl="0" w:tplc="C16CE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B00BB6"/>
    <w:multiLevelType w:val="multilevel"/>
    <w:tmpl w:val="490A588E"/>
    <w:lvl w:ilvl="0">
      <w:start w:val="2"/>
      <w:numFmt w:val="decimal"/>
      <w:pStyle w:val="Heading1"/>
      <w:lvlText w:val="Item %1"/>
      <w:lvlJc w:val="left"/>
      <w:pPr>
        <w:tabs>
          <w:tab w:val="num" w:pos="2984"/>
        </w:tabs>
        <w:ind w:left="2984" w:hanging="432"/>
      </w:pPr>
      <w:rPr>
        <w:rFonts w:ascii="Times New Roman" w:hAnsi="Times New Roman" w:hint="default"/>
        <w:sz w:val="24"/>
        <w:u w:val="single"/>
      </w:rPr>
    </w:lvl>
    <w:lvl w:ilvl="1">
      <w:start w:val="1"/>
      <w:numFmt w:val="decimal"/>
      <w:pStyle w:val="Heading2"/>
      <w:lvlText w:val="%1.%2"/>
      <w:lvlJc w:val="left"/>
      <w:pPr>
        <w:tabs>
          <w:tab w:val="num" w:pos="3128"/>
        </w:tabs>
        <w:ind w:left="3128" w:hanging="576"/>
      </w:pPr>
      <w:rPr>
        <w:rFonts w:hint="default"/>
      </w:rPr>
    </w:lvl>
    <w:lvl w:ilvl="2">
      <w:start w:val="1"/>
      <w:numFmt w:val="decimal"/>
      <w:pStyle w:val="Heading3"/>
      <w:lvlText w:val="%1.%2.%3"/>
      <w:lvlJc w:val="left"/>
      <w:pPr>
        <w:tabs>
          <w:tab w:val="num" w:pos="3272"/>
        </w:tabs>
        <w:ind w:left="3272" w:hanging="720"/>
      </w:pPr>
      <w:rPr>
        <w:rFonts w:hint="default"/>
        <w:lang w:val="en-US"/>
      </w:rPr>
    </w:lvl>
    <w:lvl w:ilvl="3">
      <w:start w:val="1"/>
      <w:numFmt w:val="decimal"/>
      <w:pStyle w:val="Heading4"/>
      <w:lvlText w:val="%1.%2.%3.%4"/>
      <w:lvlJc w:val="left"/>
      <w:pPr>
        <w:tabs>
          <w:tab w:val="num" w:pos="3416"/>
        </w:tabs>
        <w:ind w:left="3416" w:hanging="864"/>
      </w:pPr>
      <w:rPr>
        <w:rFonts w:hint="default"/>
      </w:rPr>
    </w:lvl>
    <w:lvl w:ilvl="4">
      <w:start w:val="1"/>
      <w:numFmt w:val="decimal"/>
      <w:pStyle w:val="Heading5"/>
      <w:lvlText w:val="%1.%2.%3.%4.%5"/>
      <w:lvlJc w:val="left"/>
      <w:pPr>
        <w:tabs>
          <w:tab w:val="num" w:pos="3560"/>
        </w:tabs>
        <w:ind w:left="3560" w:hanging="1008"/>
      </w:pPr>
      <w:rPr>
        <w:rFonts w:hint="default"/>
      </w:rPr>
    </w:lvl>
    <w:lvl w:ilvl="5">
      <w:start w:val="1"/>
      <w:numFmt w:val="decimal"/>
      <w:pStyle w:val="Heading6"/>
      <w:lvlText w:val="%1.%2.%3.%4.%5.%6"/>
      <w:lvlJc w:val="left"/>
      <w:pPr>
        <w:tabs>
          <w:tab w:val="num" w:pos="3704"/>
        </w:tabs>
        <w:ind w:left="3704" w:hanging="1152"/>
      </w:pPr>
      <w:rPr>
        <w:rFonts w:hint="default"/>
      </w:rPr>
    </w:lvl>
    <w:lvl w:ilvl="6">
      <w:start w:val="1"/>
      <w:numFmt w:val="decimal"/>
      <w:pStyle w:val="Heading7"/>
      <w:lvlText w:val="%1.%2.%3.%4.%5.%6.%7"/>
      <w:lvlJc w:val="left"/>
      <w:pPr>
        <w:tabs>
          <w:tab w:val="num" w:pos="3848"/>
        </w:tabs>
        <w:ind w:left="3848" w:hanging="1296"/>
      </w:pPr>
      <w:rPr>
        <w:rFonts w:hint="default"/>
      </w:rPr>
    </w:lvl>
    <w:lvl w:ilvl="7">
      <w:start w:val="1"/>
      <w:numFmt w:val="decimal"/>
      <w:pStyle w:val="Heading8"/>
      <w:lvlText w:val="%1.%2.%3.%4.%5.%6.%7.%8"/>
      <w:lvlJc w:val="left"/>
      <w:pPr>
        <w:tabs>
          <w:tab w:val="num" w:pos="3992"/>
        </w:tabs>
        <w:ind w:left="3992" w:hanging="1440"/>
      </w:pPr>
      <w:rPr>
        <w:rFonts w:hint="default"/>
      </w:rPr>
    </w:lvl>
    <w:lvl w:ilvl="8">
      <w:start w:val="1"/>
      <w:numFmt w:val="decimal"/>
      <w:pStyle w:val="Heading9"/>
      <w:lvlText w:val="%1.%2.%3.%4.%5.%6.%7.%8.%9"/>
      <w:lvlJc w:val="left"/>
      <w:pPr>
        <w:tabs>
          <w:tab w:val="num" w:pos="4136"/>
        </w:tabs>
        <w:ind w:left="4136" w:hanging="1584"/>
      </w:pPr>
      <w:rPr>
        <w:rFonts w:hint="default"/>
      </w:rPr>
    </w:lvl>
  </w:abstractNum>
  <w:abstractNum w:abstractNumId="12" w15:restartNumberingAfterBreak="0">
    <w:nsid w:val="0C1D7686"/>
    <w:multiLevelType w:val="hybridMultilevel"/>
    <w:tmpl w:val="7584C1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577F5D"/>
    <w:multiLevelType w:val="hybridMultilevel"/>
    <w:tmpl w:val="3050DBA2"/>
    <w:lvl w:ilvl="0" w:tplc="C85E77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FC7F89"/>
    <w:multiLevelType w:val="hybridMultilevel"/>
    <w:tmpl w:val="243C99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E44CFC"/>
    <w:multiLevelType w:val="hybridMultilevel"/>
    <w:tmpl w:val="5EAC8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AD20F4"/>
    <w:multiLevelType w:val="hybridMultilevel"/>
    <w:tmpl w:val="E3B2A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20A87"/>
    <w:multiLevelType w:val="hybridMultilevel"/>
    <w:tmpl w:val="0CA229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55437A"/>
    <w:multiLevelType w:val="hybridMultilevel"/>
    <w:tmpl w:val="EE92DE76"/>
    <w:lvl w:ilvl="0" w:tplc="B0CC2190">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9379D9"/>
    <w:multiLevelType w:val="hybridMultilevel"/>
    <w:tmpl w:val="9A54FE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F4186D"/>
    <w:multiLevelType w:val="hybridMultilevel"/>
    <w:tmpl w:val="7632F7AC"/>
    <w:lvl w:ilvl="0" w:tplc="298EB59C">
      <w:start w:val="1"/>
      <w:numFmt w:val="lowerLetter"/>
      <w:lvlText w:val="(%1)"/>
      <w:lvlJc w:val="left"/>
      <w:pPr>
        <w:ind w:left="7240" w:hanging="65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7C61CB2"/>
    <w:multiLevelType w:val="hybridMultilevel"/>
    <w:tmpl w:val="A7027046"/>
    <w:lvl w:ilvl="0" w:tplc="298EB59C">
      <w:start w:val="1"/>
      <w:numFmt w:val="lowerLetter"/>
      <w:lvlText w:val="(%1)"/>
      <w:lvlJc w:val="left"/>
      <w:pPr>
        <w:ind w:left="6880" w:hanging="65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1501B6"/>
    <w:multiLevelType w:val="hybridMultilevel"/>
    <w:tmpl w:val="A3800002"/>
    <w:lvl w:ilvl="0" w:tplc="30464E84">
      <w:start w:val="1"/>
      <w:numFmt w:val="bullet"/>
      <w:lvlText w:val=""/>
      <w:lvlJc w:val="left"/>
      <w:pPr>
        <w:tabs>
          <w:tab w:val="num" w:pos="1980"/>
        </w:tabs>
        <w:ind w:left="1980" w:hanging="360"/>
      </w:pPr>
      <w:rPr>
        <w:rFonts w:ascii="Symbol" w:hAnsi="Symbol" w:hint="default"/>
        <w:color w:val="auto"/>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BE06C51"/>
    <w:multiLevelType w:val="hybridMultilevel"/>
    <w:tmpl w:val="60F61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FAA5888"/>
    <w:multiLevelType w:val="hybridMultilevel"/>
    <w:tmpl w:val="43CE9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BB7436"/>
    <w:multiLevelType w:val="hybridMultilevel"/>
    <w:tmpl w:val="8C6228A6"/>
    <w:lvl w:ilvl="0" w:tplc="626649F4">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0E6E43"/>
    <w:multiLevelType w:val="hybridMultilevel"/>
    <w:tmpl w:val="C00E69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D61787"/>
    <w:multiLevelType w:val="hybridMultilevel"/>
    <w:tmpl w:val="3ADC94F2"/>
    <w:lvl w:ilvl="0" w:tplc="A2BEC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A21533"/>
    <w:multiLevelType w:val="hybridMultilevel"/>
    <w:tmpl w:val="AAA2BD0C"/>
    <w:lvl w:ilvl="0" w:tplc="F4202AC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6C2E6E9C"/>
    <w:multiLevelType w:val="hybridMultilevel"/>
    <w:tmpl w:val="632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5613805">
    <w:abstractNumId w:val="9"/>
  </w:num>
  <w:num w:numId="2" w16cid:durableId="1059397536">
    <w:abstractNumId w:val="7"/>
  </w:num>
  <w:num w:numId="3" w16cid:durableId="887498946">
    <w:abstractNumId w:val="6"/>
  </w:num>
  <w:num w:numId="4" w16cid:durableId="1868172534">
    <w:abstractNumId w:val="5"/>
  </w:num>
  <w:num w:numId="5" w16cid:durableId="1365516066">
    <w:abstractNumId w:val="4"/>
  </w:num>
  <w:num w:numId="6" w16cid:durableId="698817149">
    <w:abstractNumId w:val="8"/>
  </w:num>
  <w:num w:numId="7" w16cid:durableId="959994578">
    <w:abstractNumId w:val="3"/>
  </w:num>
  <w:num w:numId="8" w16cid:durableId="2054696744">
    <w:abstractNumId w:val="2"/>
  </w:num>
  <w:num w:numId="9" w16cid:durableId="975600163">
    <w:abstractNumId w:val="1"/>
  </w:num>
  <w:num w:numId="10" w16cid:durableId="1412391530">
    <w:abstractNumId w:val="0"/>
  </w:num>
  <w:num w:numId="11" w16cid:durableId="1441141260">
    <w:abstractNumId w:val="12"/>
  </w:num>
  <w:num w:numId="12" w16cid:durableId="814493197">
    <w:abstractNumId w:val="14"/>
  </w:num>
  <w:num w:numId="13" w16cid:durableId="1317223668">
    <w:abstractNumId w:val="11"/>
  </w:num>
  <w:num w:numId="14" w16cid:durableId="2019504732">
    <w:abstractNumId w:val="22"/>
  </w:num>
  <w:num w:numId="15" w16cid:durableId="758251689">
    <w:abstractNumId w:val="10"/>
  </w:num>
  <w:num w:numId="16" w16cid:durableId="1521435578">
    <w:abstractNumId w:val="27"/>
  </w:num>
  <w:num w:numId="17" w16cid:durableId="7858">
    <w:abstractNumId w:val="13"/>
  </w:num>
  <w:num w:numId="18" w16cid:durableId="564147857">
    <w:abstractNumId w:val="29"/>
  </w:num>
  <w:num w:numId="19" w16cid:durableId="111094158">
    <w:abstractNumId w:val="19"/>
  </w:num>
  <w:num w:numId="20" w16cid:durableId="416755681">
    <w:abstractNumId w:val="26"/>
  </w:num>
  <w:num w:numId="21" w16cid:durableId="1455638900">
    <w:abstractNumId w:val="18"/>
  </w:num>
  <w:num w:numId="22" w16cid:durableId="71127290">
    <w:abstractNumId w:val="24"/>
  </w:num>
  <w:num w:numId="23" w16cid:durableId="1218198592">
    <w:abstractNumId w:val="23"/>
  </w:num>
  <w:num w:numId="24" w16cid:durableId="244802593">
    <w:abstractNumId w:val="25"/>
  </w:num>
  <w:num w:numId="25" w16cid:durableId="1531914885">
    <w:abstractNumId w:val="28"/>
  </w:num>
  <w:num w:numId="26" w16cid:durableId="307825448">
    <w:abstractNumId w:val="16"/>
  </w:num>
  <w:num w:numId="27" w16cid:durableId="1605334785">
    <w:abstractNumId w:val="15"/>
  </w:num>
  <w:num w:numId="28" w16cid:durableId="1092701095">
    <w:abstractNumId w:val="21"/>
  </w:num>
  <w:num w:numId="29" w16cid:durableId="459541145">
    <w:abstractNumId w:val="20"/>
  </w:num>
  <w:num w:numId="30" w16cid:durableId="4366083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85"/>
    <w:rsid w:val="00002C28"/>
    <w:rsid w:val="000106A4"/>
    <w:rsid w:val="00010D62"/>
    <w:rsid w:val="00015B69"/>
    <w:rsid w:val="00021D79"/>
    <w:rsid w:val="0002206B"/>
    <w:rsid w:val="00042D35"/>
    <w:rsid w:val="00060F4B"/>
    <w:rsid w:val="0006319A"/>
    <w:rsid w:val="00063867"/>
    <w:rsid w:val="00072EBA"/>
    <w:rsid w:val="00075AA7"/>
    <w:rsid w:val="00094994"/>
    <w:rsid w:val="000A171B"/>
    <w:rsid w:val="000A1790"/>
    <w:rsid w:val="000A1EB9"/>
    <w:rsid w:val="000B7BE9"/>
    <w:rsid w:val="000C6C41"/>
    <w:rsid w:val="000E0FBD"/>
    <w:rsid w:val="000E29A7"/>
    <w:rsid w:val="000E2CA9"/>
    <w:rsid w:val="000E35FE"/>
    <w:rsid w:val="000E3DE4"/>
    <w:rsid w:val="000F112A"/>
    <w:rsid w:val="000F5E21"/>
    <w:rsid w:val="000F6D32"/>
    <w:rsid w:val="00104B5B"/>
    <w:rsid w:val="00107955"/>
    <w:rsid w:val="00107F44"/>
    <w:rsid w:val="0011564A"/>
    <w:rsid w:val="0013342B"/>
    <w:rsid w:val="001345A3"/>
    <w:rsid w:val="00143579"/>
    <w:rsid w:val="001507F8"/>
    <w:rsid w:val="00156C38"/>
    <w:rsid w:val="00170743"/>
    <w:rsid w:val="001729D8"/>
    <w:rsid w:val="00174A2A"/>
    <w:rsid w:val="00184FB4"/>
    <w:rsid w:val="00192383"/>
    <w:rsid w:val="001930D6"/>
    <w:rsid w:val="00194BF4"/>
    <w:rsid w:val="00197134"/>
    <w:rsid w:val="001B1D14"/>
    <w:rsid w:val="001B34DB"/>
    <w:rsid w:val="001D4B5A"/>
    <w:rsid w:val="001E3B07"/>
    <w:rsid w:val="001F4674"/>
    <w:rsid w:val="001F69B2"/>
    <w:rsid w:val="00201DDC"/>
    <w:rsid w:val="002340F3"/>
    <w:rsid w:val="0024135F"/>
    <w:rsid w:val="0024150E"/>
    <w:rsid w:val="002432C4"/>
    <w:rsid w:val="00243A87"/>
    <w:rsid w:val="002466DC"/>
    <w:rsid w:val="00266CCC"/>
    <w:rsid w:val="002742CF"/>
    <w:rsid w:val="002742DF"/>
    <w:rsid w:val="00290765"/>
    <w:rsid w:val="00296382"/>
    <w:rsid w:val="002B1B0B"/>
    <w:rsid w:val="002C0588"/>
    <w:rsid w:val="002C2A3F"/>
    <w:rsid w:val="002C3190"/>
    <w:rsid w:val="002C4F97"/>
    <w:rsid w:val="002C5E4A"/>
    <w:rsid w:val="002D0BD5"/>
    <w:rsid w:val="002D3A82"/>
    <w:rsid w:val="002D4725"/>
    <w:rsid w:val="002F0350"/>
    <w:rsid w:val="0030014C"/>
    <w:rsid w:val="003040E0"/>
    <w:rsid w:val="00304744"/>
    <w:rsid w:val="00313C22"/>
    <w:rsid w:val="00322A3F"/>
    <w:rsid w:val="00324B5C"/>
    <w:rsid w:val="003317FE"/>
    <w:rsid w:val="00335343"/>
    <w:rsid w:val="003409DE"/>
    <w:rsid w:val="00343E31"/>
    <w:rsid w:val="00346488"/>
    <w:rsid w:val="00352229"/>
    <w:rsid w:val="00352263"/>
    <w:rsid w:val="00355FFF"/>
    <w:rsid w:val="0035627B"/>
    <w:rsid w:val="00362234"/>
    <w:rsid w:val="00372C56"/>
    <w:rsid w:val="003A009A"/>
    <w:rsid w:val="003A2EB7"/>
    <w:rsid w:val="003A3677"/>
    <w:rsid w:val="003A3BFB"/>
    <w:rsid w:val="003A78DA"/>
    <w:rsid w:val="003D1EDD"/>
    <w:rsid w:val="00403435"/>
    <w:rsid w:val="00405FCB"/>
    <w:rsid w:val="004218A2"/>
    <w:rsid w:val="00422C38"/>
    <w:rsid w:val="004321A1"/>
    <w:rsid w:val="00434CB5"/>
    <w:rsid w:val="00443FCB"/>
    <w:rsid w:val="004501BC"/>
    <w:rsid w:val="00453D38"/>
    <w:rsid w:val="00465AD4"/>
    <w:rsid w:val="00465AF8"/>
    <w:rsid w:val="00467B57"/>
    <w:rsid w:val="00473187"/>
    <w:rsid w:val="00477056"/>
    <w:rsid w:val="00477D14"/>
    <w:rsid w:val="00481D94"/>
    <w:rsid w:val="00481DF3"/>
    <w:rsid w:val="0048255B"/>
    <w:rsid w:val="00492C68"/>
    <w:rsid w:val="004A3E30"/>
    <w:rsid w:val="004A6917"/>
    <w:rsid w:val="004A6C30"/>
    <w:rsid w:val="004B418D"/>
    <w:rsid w:val="004D0CEA"/>
    <w:rsid w:val="004D138E"/>
    <w:rsid w:val="004D58B5"/>
    <w:rsid w:val="004E0324"/>
    <w:rsid w:val="004E2996"/>
    <w:rsid w:val="004F118D"/>
    <w:rsid w:val="004F341D"/>
    <w:rsid w:val="004F44FA"/>
    <w:rsid w:val="005012BA"/>
    <w:rsid w:val="0050427E"/>
    <w:rsid w:val="00510847"/>
    <w:rsid w:val="00524135"/>
    <w:rsid w:val="00524986"/>
    <w:rsid w:val="00540B1F"/>
    <w:rsid w:val="00542B6A"/>
    <w:rsid w:val="005443FE"/>
    <w:rsid w:val="0055370E"/>
    <w:rsid w:val="005750F2"/>
    <w:rsid w:val="00580102"/>
    <w:rsid w:val="00583786"/>
    <w:rsid w:val="00583A8D"/>
    <w:rsid w:val="00583D4F"/>
    <w:rsid w:val="00586E43"/>
    <w:rsid w:val="005870A6"/>
    <w:rsid w:val="00590896"/>
    <w:rsid w:val="00592E6D"/>
    <w:rsid w:val="005962A2"/>
    <w:rsid w:val="00597083"/>
    <w:rsid w:val="005A1ECE"/>
    <w:rsid w:val="005B5BCF"/>
    <w:rsid w:val="005C443F"/>
    <w:rsid w:val="005D0686"/>
    <w:rsid w:val="005F5085"/>
    <w:rsid w:val="00600B0F"/>
    <w:rsid w:val="0060351D"/>
    <w:rsid w:val="00607AA6"/>
    <w:rsid w:val="006171FB"/>
    <w:rsid w:val="00627CFA"/>
    <w:rsid w:val="00632A23"/>
    <w:rsid w:val="00636EEB"/>
    <w:rsid w:val="00637B83"/>
    <w:rsid w:val="00640451"/>
    <w:rsid w:val="006445DC"/>
    <w:rsid w:val="006537F8"/>
    <w:rsid w:val="00675230"/>
    <w:rsid w:val="00687950"/>
    <w:rsid w:val="006929D5"/>
    <w:rsid w:val="00693170"/>
    <w:rsid w:val="006A7601"/>
    <w:rsid w:val="006B472E"/>
    <w:rsid w:val="006B5A6D"/>
    <w:rsid w:val="006C30E1"/>
    <w:rsid w:val="006D3A55"/>
    <w:rsid w:val="006F6BC7"/>
    <w:rsid w:val="006F6C77"/>
    <w:rsid w:val="006F79D3"/>
    <w:rsid w:val="00713998"/>
    <w:rsid w:val="00727FFA"/>
    <w:rsid w:val="00731883"/>
    <w:rsid w:val="00731A83"/>
    <w:rsid w:val="00737DB3"/>
    <w:rsid w:val="00742D80"/>
    <w:rsid w:val="007453D0"/>
    <w:rsid w:val="00747F83"/>
    <w:rsid w:val="00764A4E"/>
    <w:rsid w:val="007662D2"/>
    <w:rsid w:val="0077368A"/>
    <w:rsid w:val="0077439D"/>
    <w:rsid w:val="00775103"/>
    <w:rsid w:val="00787179"/>
    <w:rsid w:val="00792244"/>
    <w:rsid w:val="007A0486"/>
    <w:rsid w:val="007B1670"/>
    <w:rsid w:val="007D53C0"/>
    <w:rsid w:val="007E17E1"/>
    <w:rsid w:val="008112F0"/>
    <w:rsid w:val="00813560"/>
    <w:rsid w:val="0082725D"/>
    <w:rsid w:val="008434D6"/>
    <w:rsid w:val="008507B2"/>
    <w:rsid w:val="00852187"/>
    <w:rsid w:val="0085522A"/>
    <w:rsid w:val="008626E9"/>
    <w:rsid w:val="008660EC"/>
    <w:rsid w:val="008718C0"/>
    <w:rsid w:val="00872EBC"/>
    <w:rsid w:val="00880548"/>
    <w:rsid w:val="00882404"/>
    <w:rsid w:val="00885A66"/>
    <w:rsid w:val="00887067"/>
    <w:rsid w:val="008A2285"/>
    <w:rsid w:val="008A5959"/>
    <w:rsid w:val="008B1C50"/>
    <w:rsid w:val="008B5C9A"/>
    <w:rsid w:val="008E01E3"/>
    <w:rsid w:val="00903757"/>
    <w:rsid w:val="0090635F"/>
    <w:rsid w:val="00910CFA"/>
    <w:rsid w:val="009129AA"/>
    <w:rsid w:val="009132DB"/>
    <w:rsid w:val="00941128"/>
    <w:rsid w:val="009439F9"/>
    <w:rsid w:val="009478B1"/>
    <w:rsid w:val="009570FE"/>
    <w:rsid w:val="009665C8"/>
    <w:rsid w:val="009743F5"/>
    <w:rsid w:val="00977A98"/>
    <w:rsid w:val="00983D1A"/>
    <w:rsid w:val="00986D60"/>
    <w:rsid w:val="009971C3"/>
    <w:rsid w:val="009A3BF6"/>
    <w:rsid w:val="009A4596"/>
    <w:rsid w:val="009C0266"/>
    <w:rsid w:val="009E2A0E"/>
    <w:rsid w:val="009E5854"/>
    <w:rsid w:val="009E58F1"/>
    <w:rsid w:val="00A04B8A"/>
    <w:rsid w:val="00A06A77"/>
    <w:rsid w:val="00A12007"/>
    <w:rsid w:val="00A3207A"/>
    <w:rsid w:val="00A374B4"/>
    <w:rsid w:val="00A526A5"/>
    <w:rsid w:val="00A62E75"/>
    <w:rsid w:val="00A630BA"/>
    <w:rsid w:val="00A6523D"/>
    <w:rsid w:val="00A71376"/>
    <w:rsid w:val="00A8554A"/>
    <w:rsid w:val="00A9561D"/>
    <w:rsid w:val="00AA275F"/>
    <w:rsid w:val="00AA3D5D"/>
    <w:rsid w:val="00AC0DD2"/>
    <w:rsid w:val="00AD34D1"/>
    <w:rsid w:val="00AF4085"/>
    <w:rsid w:val="00AF6813"/>
    <w:rsid w:val="00AF7EAD"/>
    <w:rsid w:val="00B1303D"/>
    <w:rsid w:val="00B21123"/>
    <w:rsid w:val="00B22707"/>
    <w:rsid w:val="00B36E5F"/>
    <w:rsid w:val="00B45383"/>
    <w:rsid w:val="00B60C0F"/>
    <w:rsid w:val="00B60E24"/>
    <w:rsid w:val="00B8644A"/>
    <w:rsid w:val="00B91753"/>
    <w:rsid w:val="00BA18DE"/>
    <w:rsid w:val="00BB71AB"/>
    <w:rsid w:val="00BC2172"/>
    <w:rsid w:val="00BC4680"/>
    <w:rsid w:val="00BC73B0"/>
    <w:rsid w:val="00BD59B5"/>
    <w:rsid w:val="00BD5A37"/>
    <w:rsid w:val="00BE1F25"/>
    <w:rsid w:val="00BE3563"/>
    <w:rsid w:val="00BE7256"/>
    <w:rsid w:val="00BE756E"/>
    <w:rsid w:val="00BF4312"/>
    <w:rsid w:val="00C0375B"/>
    <w:rsid w:val="00C04B59"/>
    <w:rsid w:val="00C11CDF"/>
    <w:rsid w:val="00C17FA0"/>
    <w:rsid w:val="00C27EF6"/>
    <w:rsid w:val="00C349B5"/>
    <w:rsid w:val="00C44452"/>
    <w:rsid w:val="00C459DD"/>
    <w:rsid w:val="00C51802"/>
    <w:rsid w:val="00C52EB1"/>
    <w:rsid w:val="00C575E9"/>
    <w:rsid w:val="00C608F6"/>
    <w:rsid w:val="00C66145"/>
    <w:rsid w:val="00C76D7B"/>
    <w:rsid w:val="00C77E16"/>
    <w:rsid w:val="00C80784"/>
    <w:rsid w:val="00C81BD0"/>
    <w:rsid w:val="00C928B9"/>
    <w:rsid w:val="00CD56E1"/>
    <w:rsid w:val="00CE43C7"/>
    <w:rsid w:val="00CE5C5C"/>
    <w:rsid w:val="00CE7182"/>
    <w:rsid w:val="00CF6A4E"/>
    <w:rsid w:val="00CF7C87"/>
    <w:rsid w:val="00D113FC"/>
    <w:rsid w:val="00D166DB"/>
    <w:rsid w:val="00D17066"/>
    <w:rsid w:val="00D24748"/>
    <w:rsid w:val="00D26862"/>
    <w:rsid w:val="00D2792D"/>
    <w:rsid w:val="00D37011"/>
    <w:rsid w:val="00D43857"/>
    <w:rsid w:val="00D63F40"/>
    <w:rsid w:val="00D7033D"/>
    <w:rsid w:val="00D7337C"/>
    <w:rsid w:val="00D812F1"/>
    <w:rsid w:val="00DA6585"/>
    <w:rsid w:val="00DB38A5"/>
    <w:rsid w:val="00DB4418"/>
    <w:rsid w:val="00DC093E"/>
    <w:rsid w:val="00DC1F39"/>
    <w:rsid w:val="00DC55BB"/>
    <w:rsid w:val="00DC5DE5"/>
    <w:rsid w:val="00DE0BAC"/>
    <w:rsid w:val="00E1256E"/>
    <w:rsid w:val="00E246F5"/>
    <w:rsid w:val="00E3412E"/>
    <w:rsid w:val="00E55F0E"/>
    <w:rsid w:val="00E91E6A"/>
    <w:rsid w:val="00EA3964"/>
    <w:rsid w:val="00EA4DB4"/>
    <w:rsid w:val="00EA6802"/>
    <w:rsid w:val="00EB2C14"/>
    <w:rsid w:val="00EB4F36"/>
    <w:rsid w:val="00EB7438"/>
    <w:rsid w:val="00EC30C9"/>
    <w:rsid w:val="00EC3D4D"/>
    <w:rsid w:val="00EC6999"/>
    <w:rsid w:val="00ED59C9"/>
    <w:rsid w:val="00F05157"/>
    <w:rsid w:val="00F06ACF"/>
    <w:rsid w:val="00F11612"/>
    <w:rsid w:val="00F2115F"/>
    <w:rsid w:val="00F354D0"/>
    <w:rsid w:val="00F41339"/>
    <w:rsid w:val="00F43D5D"/>
    <w:rsid w:val="00F43E36"/>
    <w:rsid w:val="00F536C7"/>
    <w:rsid w:val="00F558A0"/>
    <w:rsid w:val="00F6360E"/>
    <w:rsid w:val="00F675AC"/>
    <w:rsid w:val="00F8403B"/>
    <w:rsid w:val="00F87003"/>
    <w:rsid w:val="00FA512B"/>
    <w:rsid w:val="00FC70DC"/>
    <w:rsid w:val="00FE1153"/>
    <w:rsid w:val="00FF0F1E"/>
    <w:rsid w:val="00FF1152"/>
    <w:rsid w:val="00FF37D9"/>
    <w:rsid w:val="00FF6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F6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50427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0427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50427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50427E"/>
    <w:pPr>
      <w:keepNext/>
      <w:numPr>
        <w:ilvl w:val="3"/>
        <w:numId w:val="13"/>
      </w:numPr>
      <w:spacing w:before="240" w:after="60"/>
      <w:outlineLvl w:val="3"/>
    </w:pPr>
    <w:rPr>
      <w:b/>
      <w:bCs/>
      <w:sz w:val="28"/>
      <w:szCs w:val="28"/>
    </w:rPr>
  </w:style>
  <w:style w:type="paragraph" w:styleId="Heading5">
    <w:name w:val="heading 5"/>
    <w:basedOn w:val="Normal"/>
    <w:next w:val="Normal"/>
    <w:qFormat/>
    <w:rsid w:val="0050427E"/>
    <w:pPr>
      <w:numPr>
        <w:ilvl w:val="4"/>
        <w:numId w:val="13"/>
      </w:numPr>
      <w:spacing w:before="240" w:after="60"/>
      <w:outlineLvl w:val="4"/>
    </w:pPr>
    <w:rPr>
      <w:b/>
      <w:bCs/>
      <w:i/>
      <w:iCs/>
      <w:sz w:val="26"/>
      <w:szCs w:val="26"/>
    </w:rPr>
  </w:style>
  <w:style w:type="paragraph" w:styleId="Heading6">
    <w:name w:val="heading 6"/>
    <w:basedOn w:val="Normal"/>
    <w:next w:val="Normal"/>
    <w:qFormat/>
    <w:rsid w:val="0050427E"/>
    <w:pPr>
      <w:keepNext/>
      <w:numPr>
        <w:ilvl w:val="5"/>
        <w:numId w:val="13"/>
      </w:numPr>
      <w:spacing w:before="60" w:after="60"/>
      <w:jc w:val="center"/>
      <w:outlineLvl w:val="5"/>
    </w:pPr>
    <w:rPr>
      <w:b/>
      <w:bCs/>
      <w:sz w:val="28"/>
      <w:szCs w:val="28"/>
      <w:lang w:val="en-US" w:eastAsia="en-US"/>
    </w:rPr>
  </w:style>
  <w:style w:type="paragraph" w:styleId="Heading7">
    <w:name w:val="heading 7"/>
    <w:basedOn w:val="Normal"/>
    <w:next w:val="Normal"/>
    <w:qFormat/>
    <w:rsid w:val="0050427E"/>
    <w:pPr>
      <w:numPr>
        <w:ilvl w:val="6"/>
        <w:numId w:val="13"/>
      </w:numPr>
      <w:spacing w:before="240" w:after="60"/>
      <w:outlineLvl w:val="6"/>
    </w:pPr>
  </w:style>
  <w:style w:type="paragraph" w:styleId="Heading8">
    <w:name w:val="heading 8"/>
    <w:basedOn w:val="Normal"/>
    <w:next w:val="Normal"/>
    <w:qFormat/>
    <w:rsid w:val="0050427E"/>
    <w:pPr>
      <w:numPr>
        <w:ilvl w:val="7"/>
        <w:numId w:val="13"/>
      </w:numPr>
      <w:spacing w:before="240" w:after="60"/>
      <w:outlineLvl w:val="7"/>
    </w:pPr>
    <w:rPr>
      <w:i/>
      <w:iCs/>
    </w:rPr>
  </w:style>
  <w:style w:type="paragraph" w:styleId="Heading9">
    <w:name w:val="heading 9"/>
    <w:basedOn w:val="Normal"/>
    <w:next w:val="Normal"/>
    <w:qFormat/>
    <w:rsid w:val="0050427E"/>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4680"/>
    <w:rPr>
      <w:rFonts w:ascii="Tahoma" w:hAnsi="Tahoma" w:cs="Tahoma"/>
      <w:sz w:val="16"/>
      <w:szCs w:val="16"/>
    </w:rPr>
  </w:style>
  <w:style w:type="character" w:styleId="CommentReference">
    <w:name w:val="annotation reference"/>
    <w:rsid w:val="00BC4680"/>
    <w:rPr>
      <w:sz w:val="16"/>
      <w:szCs w:val="16"/>
    </w:rPr>
  </w:style>
  <w:style w:type="paragraph" w:styleId="CommentText">
    <w:name w:val="annotation text"/>
    <w:basedOn w:val="Normal"/>
    <w:link w:val="CommentTextChar"/>
    <w:rsid w:val="00BC4680"/>
    <w:rPr>
      <w:sz w:val="20"/>
      <w:szCs w:val="20"/>
    </w:rPr>
  </w:style>
  <w:style w:type="paragraph" w:styleId="CommentSubject">
    <w:name w:val="annotation subject"/>
    <w:basedOn w:val="CommentText"/>
    <w:next w:val="CommentText"/>
    <w:semiHidden/>
    <w:rsid w:val="00BC4680"/>
    <w:rPr>
      <w:b/>
      <w:bCs/>
    </w:rPr>
  </w:style>
  <w:style w:type="paragraph" w:styleId="Header">
    <w:name w:val="header"/>
    <w:basedOn w:val="Normal"/>
    <w:rsid w:val="00775103"/>
    <w:pPr>
      <w:tabs>
        <w:tab w:val="center" w:pos="4153"/>
        <w:tab w:val="right" w:pos="8306"/>
      </w:tabs>
    </w:pPr>
  </w:style>
  <w:style w:type="character" w:styleId="PageNumber">
    <w:name w:val="page number"/>
    <w:basedOn w:val="DefaultParagraphFont"/>
    <w:rsid w:val="00775103"/>
  </w:style>
  <w:style w:type="table" w:styleId="TableGrid">
    <w:name w:val="Table Grid"/>
    <w:basedOn w:val="TableNormal"/>
    <w:rsid w:val="005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1930D6"/>
    <w:pPr>
      <w:spacing w:before="120" w:line="220" w:lineRule="exact"/>
      <w:ind w:left="964"/>
      <w:jc w:val="both"/>
    </w:pPr>
    <w:rPr>
      <w:szCs w:val="24"/>
    </w:rPr>
  </w:style>
  <w:style w:type="paragraph" w:customStyle="1" w:styleId="R2">
    <w:name w:val="R2"/>
    <w:aliases w:val="(2)"/>
    <w:basedOn w:val="Normal"/>
    <w:rsid w:val="001930D6"/>
    <w:pPr>
      <w:keepLines/>
      <w:tabs>
        <w:tab w:val="right" w:pos="794"/>
      </w:tabs>
      <w:spacing w:before="180" w:line="260" w:lineRule="exact"/>
      <w:ind w:left="964" w:hanging="964"/>
      <w:jc w:val="both"/>
    </w:pPr>
    <w:rPr>
      <w:lang w:eastAsia="en-US"/>
    </w:rPr>
  </w:style>
  <w:style w:type="paragraph" w:customStyle="1" w:styleId="P1">
    <w:name w:val="P1"/>
    <w:aliases w:val="(a)"/>
    <w:basedOn w:val="Normal"/>
    <w:rsid w:val="000E35FE"/>
    <w:pPr>
      <w:tabs>
        <w:tab w:val="right" w:pos="1191"/>
      </w:tabs>
      <w:spacing w:before="60" w:line="260" w:lineRule="exact"/>
      <w:ind w:left="1418" w:hanging="1418"/>
      <w:jc w:val="both"/>
    </w:pPr>
    <w:rPr>
      <w:lang w:eastAsia="en-US"/>
    </w:rPr>
  </w:style>
  <w:style w:type="paragraph" w:customStyle="1" w:styleId="HE">
    <w:name w:val="HE"/>
    <w:aliases w:val="Example heading"/>
    <w:basedOn w:val="Normal"/>
    <w:next w:val="Normal"/>
    <w:rsid w:val="000E35FE"/>
    <w:pPr>
      <w:keepNext/>
      <w:spacing w:before="120" w:line="220" w:lineRule="exact"/>
      <w:ind w:left="964"/>
    </w:pPr>
    <w:rPr>
      <w:i/>
      <w:sz w:val="20"/>
      <w:lang w:eastAsia="en-US"/>
    </w:rPr>
  </w:style>
  <w:style w:type="paragraph" w:customStyle="1" w:styleId="Notepara">
    <w:name w:val="Note para"/>
    <w:basedOn w:val="Normal"/>
    <w:rsid w:val="000E35FE"/>
    <w:pPr>
      <w:spacing w:before="60" w:line="220" w:lineRule="exact"/>
      <w:ind w:left="1304" w:hanging="340"/>
      <w:jc w:val="both"/>
    </w:pPr>
    <w:rPr>
      <w:sz w:val="20"/>
      <w:lang w:eastAsia="en-US"/>
    </w:rPr>
  </w:style>
  <w:style w:type="paragraph" w:styleId="Footer">
    <w:name w:val="footer"/>
    <w:basedOn w:val="Normal"/>
    <w:link w:val="FooterChar"/>
    <w:uiPriority w:val="99"/>
    <w:unhideWhenUsed/>
    <w:rsid w:val="00EC6999"/>
    <w:pPr>
      <w:tabs>
        <w:tab w:val="center" w:pos="4513"/>
        <w:tab w:val="right" w:pos="9026"/>
      </w:tabs>
    </w:pPr>
  </w:style>
  <w:style w:type="character" w:customStyle="1" w:styleId="FooterChar">
    <w:name w:val="Footer Char"/>
    <w:basedOn w:val="DefaultParagraphFont"/>
    <w:link w:val="Footer"/>
    <w:uiPriority w:val="99"/>
    <w:rsid w:val="00EC6999"/>
    <w:rPr>
      <w:sz w:val="24"/>
      <w:szCs w:val="24"/>
    </w:rPr>
  </w:style>
  <w:style w:type="paragraph" w:styleId="ListParagraph">
    <w:name w:val="List Paragraph"/>
    <w:basedOn w:val="Normal"/>
    <w:uiPriority w:val="34"/>
    <w:qFormat/>
    <w:rsid w:val="00BD59B5"/>
    <w:pPr>
      <w:ind w:left="720"/>
      <w:contextualSpacing/>
    </w:pPr>
  </w:style>
  <w:style w:type="character" w:styleId="Hyperlink">
    <w:name w:val="Hyperlink"/>
    <w:basedOn w:val="DefaultParagraphFont"/>
    <w:uiPriority w:val="99"/>
    <w:unhideWhenUsed/>
    <w:rsid w:val="00443FCB"/>
    <w:rPr>
      <w:color w:val="0000FF" w:themeColor="hyperlink"/>
      <w:u w:val="single"/>
    </w:rPr>
  </w:style>
  <w:style w:type="paragraph" w:customStyle="1" w:styleId="subsection">
    <w:name w:val="subsection"/>
    <w:aliases w:val="ss"/>
    <w:basedOn w:val="Normal"/>
    <w:link w:val="subsectionChar"/>
    <w:rsid w:val="00687950"/>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687950"/>
    <w:rPr>
      <w:sz w:val="22"/>
    </w:rPr>
  </w:style>
  <w:style w:type="character" w:customStyle="1" w:styleId="CommentTextChar">
    <w:name w:val="Comment Text Char"/>
    <w:basedOn w:val="DefaultParagraphFont"/>
    <w:link w:val="CommentText"/>
    <w:rsid w:val="00687950"/>
  </w:style>
  <w:style w:type="paragraph" w:styleId="Revision">
    <w:name w:val="Revision"/>
    <w:hidden/>
    <w:uiPriority w:val="99"/>
    <w:semiHidden/>
    <w:rsid w:val="006C30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0630">
      <w:bodyDiv w:val="1"/>
      <w:marLeft w:val="0"/>
      <w:marRight w:val="0"/>
      <w:marTop w:val="0"/>
      <w:marBottom w:val="0"/>
      <w:divBdr>
        <w:top w:val="none" w:sz="0" w:space="0" w:color="auto"/>
        <w:left w:val="none" w:sz="0" w:space="0" w:color="auto"/>
        <w:bottom w:val="none" w:sz="0" w:space="0" w:color="auto"/>
        <w:right w:val="none" w:sz="0" w:space="0" w:color="auto"/>
      </w:divBdr>
    </w:div>
    <w:div w:id="485706643">
      <w:bodyDiv w:val="1"/>
      <w:marLeft w:val="0"/>
      <w:marRight w:val="0"/>
      <w:marTop w:val="0"/>
      <w:marBottom w:val="0"/>
      <w:divBdr>
        <w:top w:val="none" w:sz="0" w:space="0" w:color="auto"/>
        <w:left w:val="none" w:sz="0" w:space="0" w:color="auto"/>
        <w:bottom w:val="none" w:sz="0" w:space="0" w:color="auto"/>
        <w:right w:val="none" w:sz="0" w:space="0" w:color="auto"/>
      </w:divBdr>
      <w:divsChild>
        <w:div w:id="1023559489">
          <w:marLeft w:val="0"/>
          <w:marRight w:val="0"/>
          <w:marTop w:val="0"/>
          <w:marBottom w:val="0"/>
          <w:divBdr>
            <w:top w:val="none" w:sz="0" w:space="0" w:color="auto"/>
            <w:left w:val="none" w:sz="0" w:space="0" w:color="auto"/>
            <w:bottom w:val="none" w:sz="0" w:space="0" w:color="auto"/>
            <w:right w:val="none" w:sz="0" w:space="0" w:color="auto"/>
          </w:divBdr>
          <w:divsChild>
            <w:div w:id="588778972">
              <w:marLeft w:val="0"/>
              <w:marRight w:val="0"/>
              <w:marTop w:val="0"/>
              <w:marBottom w:val="0"/>
              <w:divBdr>
                <w:top w:val="none" w:sz="0" w:space="0" w:color="auto"/>
                <w:left w:val="none" w:sz="0" w:space="0" w:color="auto"/>
                <w:bottom w:val="none" w:sz="0" w:space="0" w:color="auto"/>
                <w:right w:val="none" w:sz="0" w:space="0" w:color="auto"/>
              </w:divBdr>
              <w:divsChild>
                <w:div w:id="1700081331">
                  <w:marLeft w:val="0"/>
                  <w:marRight w:val="0"/>
                  <w:marTop w:val="0"/>
                  <w:marBottom w:val="0"/>
                  <w:divBdr>
                    <w:top w:val="none" w:sz="0" w:space="0" w:color="auto"/>
                    <w:left w:val="none" w:sz="0" w:space="0" w:color="auto"/>
                    <w:bottom w:val="none" w:sz="0" w:space="0" w:color="auto"/>
                    <w:right w:val="none" w:sz="0" w:space="0" w:color="auto"/>
                  </w:divBdr>
                  <w:divsChild>
                    <w:div w:id="6101116">
                      <w:marLeft w:val="0"/>
                      <w:marRight w:val="0"/>
                      <w:marTop w:val="0"/>
                      <w:marBottom w:val="0"/>
                      <w:divBdr>
                        <w:top w:val="none" w:sz="0" w:space="0" w:color="auto"/>
                        <w:left w:val="none" w:sz="0" w:space="0" w:color="auto"/>
                        <w:bottom w:val="none" w:sz="0" w:space="0" w:color="auto"/>
                        <w:right w:val="none" w:sz="0" w:space="0" w:color="auto"/>
                      </w:divBdr>
                      <w:divsChild>
                        <w:div w:id="1320309515">
                          <w:marLeft w:val="0"/>
                          <w:marRight w:val="0"/>
                          <w:marTop w:val="0"/>
                          <w:marBottom w:val="0"/>
                          <w:divBdr>
                            <w:top w:val="none" w:sz="0" w:space="0" w:color="auto"/>
                            <w:left w:val="none" w:sz="0" w:space="0" w:color="auto"/>
                            <w:bottom w:val="none" w:sz="0" w:space="0" w:color="auto"/>
                            <w:right w:val="none" w:sz="0" w:space="0" w:color="auto"/>
                          </w:divBdr>
                          <w:divsChild>
                            <w:div w:id="2065717860">
                              <w:marLeft w:val="0"/>
                              <w:marRight w:val="0"/>
                              <w:marTop w:val="0"/>
                              <w:marBottom w:val="0"/>
                              <w:divBdr>
                                <w:top w:val="single" w:sz="6" w:space="0" w:color="828282"/>
                                <w:left w:val="single" w:sz="6" w:space="0" w:color="828282"/>
                                <w:bottom w:val="single" w:sz="6" w:space="0" w:color="828282"/>
                                <w:right w:val="single" w:sz="6" w:space="0" w:color="828282"/>
                              </w:divBdr>
                              <w:divsChild>
                                <w:div w:id="780997847">
                                  <w:marLeft w:val="0"/>
                                  <w:marRight w:val="0"/>
                                  <w:marTop w:val="0"/>
                                  <w:marBottom w:val="0"/>
                                  <w:divBdr>
                                    <w:top w:val="none" w:sz="0" w:space="0" w:color="auto"/>
                                    <w:left w:val="none" w:sz="0" w:space="0" w:color="auto"/>
                                    <w:bottom w:val="none" w:sz="0" w:space="0" w:color="auto"/>
                                    <w:right w:val="none" w:sz="0" w:space="0" w:color="auto"/>
                                  </w:divBdr>
                                  <w:divsChild>
                                    <w:div w:id="443229561">
                                      <w:marLeft w:val="0"/>
                                      <w:marRight w:val="0"/>
                                      <w:marTop w:val="0"/>
                                      <w:marBottom w:val="0"/>
                                      <w:divBdr>
                                        <w:top w:val="none" w:sz="0" w:space="0" w:color="auto"/>
                                        <w:left w:val="none" w:sz="0" w:space="0" w:color="auto"/>
                                        <w:bottom w:val="none" w:sz="0" w:space="0" w:color="auto"/>
                                        <w:right w:val="none" w:sz="0" w:space="0" w:color="auto"/>
                                      </w:divBdr>
                                      <w:divsChild>
                                        <w:div w:id="1220171833">
                                          <w:marLeft w:val="0"/>
                                          <w:marRight w:val="0"/>
                                          <w:marTop w:val="0"/>
                                          <w:marBottom w:val="0"/>
                                          <w:divBdr>
                                            <w:top w:val="none" w:sz="0" w:space="0" w:color="auto"/>
                                            <w:left w:val="none" w:sz="0" w:space="0" w:color="auto"/>
                                            <w:bottom w:val="none" w:sz="0" w:space="0" w:color="auto"/>
                                            <w:right w:val="none" w:sz="0" w:space="0" w:color="auto"/>
                                          </w:divBdr>
                                          <w:divsChild>
                                            <w:div w:id="1132479217">
                                              <w:marLeft w:val="0"/>
                                              <w:marRight w:val="0"/>
                                              <w:marTop w:val="0"/>
                                              <w:marBottom w:val="0"/>
                                              <w:divBdr>
                                                <w:top w:val="none" w:sz="0" w:space="0" w:color="auto"/>
                                                <w:left w:val="none" w:sz="0" w:space="0" w:color="auto"/>
                                                <w:bottom w:val="none" w:sz="0" w:space="0" w:color="auto"/>
                                                <w:right w:val="none" w:sz="0" w:space="0" w:color="auto"/>
                                              </w:divBdr>
                                              <w:divsChild>
                                                <w:div w:id="1211110863">
                                                  <w:marLeft w:val="0"/>
                                                  <w:marRight w:val="0"/>
                                                  <w:marTop w:val="0"/>
                                                  <w:marBottom w:val="0"/>
                                                  <w:divBdr>
                                                    <w:top w:val="none" w:sz="0" w:space="0" w:color="auto"/>
                                                    <w:left w:val="none" w:sz="0" w:space="0" w:color="auto"/>
                                                    <w:bottom w:val="none" w:sz="0" w:space="0" w:color="auto"/>
                                                    <w:right w:val="none" w:sz="0" w:space="0" w:color="auto"/>
                                                  </w:divBdr>
                                                  <w:divsChild>
                                                    <w:div w:id="292954580">
                                                      <w:marLeft w:val="0"/>
                                                      <w:marRight w:val="0"/>
                                                      <w:marTop w:val="0"/>
                                                      <w:marBottom w:val="0"/>
                                                      <w:divBdr>
                                                        <w:top w:val="none" w:sz="0" w:space="0" w:color="auto"/>
                                                        <w:left w:val="none" w:sz="0" w:space="0" w:color="auto"/>
                                                        <w:bottom w:val="none" w:sz="0" w:space="0" w:color="auto"/>
                                                        <w:right w:val="none" w:sz="0" w:space="0" w:color="auto"/>
                                                      </w:divBdr>
                                                      <w:divsChild>
                                                        <w:div w:id="15011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m.org/en/committees/jc/jcgm/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org/stor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D046-A5F0-4623-8BF7-D1E76CC8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8673</Characters>
  <Application>Microsoft Office Word</Application>
  <DocSecurity>0</DocSecurity>
  <Lines>185</Lines>
  <Paragraphs>66</Paragraphs>
  <ScaleCrop>false</ScaleCrop>
  <HeadingPairs>
    <vt:vector size="2" baseType="variant">
      <vt:variant>
        <vt:lpstr>Title</vt:lpstr>
      </vt:variant>
      <vt:variant>
        <vt:i4>1</vt:i4>
      </vt:variant>
    </vt:vector>
  </HeadingPairs>
  <TitlesOfParts>
    <vt:vector size="1" baseType="lpstr">
      <vt:lpstr>NATIONAL MEASUREMENT REGULATIONS 1999</vt:lpstr>
    </vt:vector>
  </TitlesOfParts>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MEASUREMENT REGULATIONS 1999</dc:title>
  <dc:creator/>
  <cp:lastModifiedBy/>
  <cp:revision>1</cp:revision>
  <cp:lastPrinted>2009-06-15T22:58:00Z</cp:lastPrinted>
  <dcterms:created xsi:type="dcterms:W3CDTF">2023-10-20T04:22:00Z</dcterms:created>
  <dcterms:modified xsi:type="dcterms:W3CDTF">2023-11-21T01:12:00Z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ies>
</file>