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FAB5" w14:textId="77777777" w:rsidR="007C4FED" w:rsidRPr="00A93391" w:rsidRDefault="7E23DA1A" w:rsidP="7E23DA1A">
      <w:pPr>
        <w:pStyle w:val="ESTitle"/>
        <w:spacing w:after="240" w:line="276" w:lineRule="auto"/>
        <w:rPr>
          <w:sz w:val="28"/>
          <w:szCs w:val="28"/>
          <w:u w:val="none"/>
        </w:rPr>
      </w:pPr>
      <w:r w:rsidRPr="00A93391">
        <w:rPr>
          <w:sz w:val="28"/>
          <w:szCs w:val="28"/>
          <w:u w:val="none"/>
        </w:rPr>
        <w:t>EXPLANATORY STATEMENT</w:t>
      </w:r>
    </w:p>
    <w:p w14:paraId="1FC0E3F2" w14:textId="77777777" w:rsidR="00D8362F" w:rsidRPr="00A93391" w:rsidRDefault="7E23DA1A" w:rsidP="7E23DA1A">
      <w:pPr>
        <w:spacing w:after="240"/>
        <w:jc w:val="center"/>
        <w:rPr>
          <w:b/>
          <w:bCs/>
          <w:lang w:eastAsia="en-AU"/>
        </w:rPr>
      </w:pPr>
      <w:r w:rsidRPr="00A93391">
        <w:rPr>
          <w:b/>
          <w:bCs/>
          <w:lang w:eastAsia="en-AU"/>
        </w:rPr>
        <w:t>Issued by the authority of the Minister for Finance</w:t>
      </w:r>
    </w:p>
    <w:p w14:paraId="45F58DDC" w14:textId="1AACD6BE" w:rsidR="0066696F" w:rsidRPr="00A93391" w:rsidRDefault="00E2072D" w:rsidP="7E23DA1A">
      <w:pPr>
        <w:pStyle w:val="ESSubtitle"/>
        <w:spacing w:after="120"/>
        <w:rPr>
          <w:b/>
        </w:rPr>
      </w:pPr>
      <w:r>
        <w:rPr>
          <w:b/>
        </w:rPr>
        <w:t xml:space="preserve">Data Availability and Transparency (Consequential Amendments) Transitional Rules (Transitional Entity) Amendment Rule </w:t>
      </w:r>
      <w:r w:rsidR="00E52AA6">
        <w:rPr>
          <w:b/>
        </w:rPr>
        <w:t>2023</w:t>
      </w:r>
    </w:p>
    <w:p w14:paraId="07D618CB" w14:textId="7D1005B1" w:rsidR="00806B54" w:rsidRPr="00A93391" w:rsidRDefault="00806B54" w:rsidP="000C2DCF">
      <w:pPr>
        <w:pStyle w:val="ESHeading"/>
        <w:tabs>
          <w:tab w:val="left" w:pos="6635"/>
        </w:tabs>
        <w:spacing w:before="120" w:line="276" w:lineRule="auto"/>
        <w:ind w:left="7358"/>
        <w:jc w:val="both"/>
        <w:rPr>
          <w:szCs w:val="22"/>
        </w:rPr>
      </w:pPr>
    </w:p>
    <w:p w14:paraId="502CE937" w14:textId="57043318" w:rsidR="00076493" w:rsidRDefault="006F130A" w:rsidP="002570C9">
      <w:pPr>
        <w:spacing w:before="0" w:line="240" w:lineRule="auto"/>
        <w:ind w:right="91"/>
        <w:rPr>
          <w:rFonts w:eastAsia="Times New Roman"/>
          <w:lang w:eastAsia="en-AU"/>
        </w:rPr>
      </w:pPr>
      <w:r>
        <w:rPr>
          <w:rFonts w:eastAsia="Times New Roman"/>
          <w:lang w:eastAsia="en-AU"/>
        </w:rPr>
        <w:t xml:space="preserve">The </w:t>
      </w:r>
      <w:r w:rsidR="00F9661A" w:rsidRPr="00F9661A">
        <w:rPr>
          <w:rFonts w:eastAsia="Times New Roman"/>
          <w:i/>
          <w:iCs/>
          <w:lang w:eastAsia="en-AU"/>
        </w:rPr>
        <w:t>Data Availability and Transparency (Consequential Amendments) Transitional Rules (Transitional Entity) Amendment Rule 2023</w:t>
      </w:r>
      <w:r w:rsidR="00F9661A">
        <w:rPr>
          <w:rFonts w:eastAsia="Times New Roman"/>
          <w:i/>
          <w:iCs/>
          <w:lang w:eastAsia="en-AU"/>
        </w:rPr>
        <w:t xml:space="preserve"> </w:t>
      </w:r>
      <w:r w:rsidR="00C57FFB">
        <w:rPr>
          <w:rFonts w:eastAsia="Times New Roman"/>
          <w:lang w:eastAsia="en-AU"/>
        </w:rPr>
        <w:t>(‘the instrument’)</w:t>
      </w:r>
      <w:r w:rsidR="00B70832">
        <w:rPr>
          <w:rFonts w:eastAsia="Times New Roman"/>
          <w:lang w:eastAsia="en-AU"/>
        </w:rPr>
        <w:t xml:space="preserve"> </w:t>
      </w:r>
      <w:r w:rsidR="00E52AA6">
        <w:rPr>
          <w:rFonts w:eastAsia="Times New Roman"/>
          <w:lang w:eastAsia="en-AU"/>
        </w:rPr>
        <w:t xml:space="preserve">amends the </w:t>
      </w:r>
      <w:r w:rsidR="00E52AA6">
        <w:rPr>
          <w:rFonts w:eastAsia="Times New Roman"/>
          <w:i/>
          <w:iCs/>
          <w:lang w:eastAsia="en-AU"/>
        </w:rPr>
        <w:t xml:space="preserve">Data Availability and Transparency (Consequential Amendments) Transitional Rules 2022 </w:t>
      </w:r>
      <w:r w:rsidR="00E52AA6">
        <w:rPr>
          <w:rFonts w:eastAsia="Times New Roman"/>
          <w:lang w:eastAsia="en-AU"/>
        </w:rPr>
        <w:t>(</w:t>
      </w:r>
      <w:r w:rsidR="00135921">
        <w:rPr>
          <w:rFonts w:eastAsia="Times New Roman"/>
          <w:lang w:eastAsia="en-AU"/>
        </w:rPr>
        <w:t>‘</w:t>
      </w:r>
      <w:r w:rsidR="00E52AA6">
        <w:rPr>
          <w:rFonts w:eastAsia="Times New Roman"/>
          <w:lang w:eastAsia="en-AU"/>
        </w:rPr>
        <w:t xml:space="preserve">the </w:t>
      </w:r>
      <w:r w:rsidR="00BA217B">
        <w:rPr>
          <w:rFonts w:eastAsia="Times New Roman"/>
          <w:lang w:eastAsia="en-AU"/>
        </w:rPr>
        <w:t xml:space="preserve">DATCA </w:t>
      </w:r>
      <w:r w:rsidR="00E52AA6">
        <w:rPr>
          <w:rFonts w:eastAsia="Times New Roman"/>
          <w:lang w:eastAsia="en-AU"/>
        </w:rPr>
        <w:t>Rules</w:t>
      </w:r>
      <w:r w:rsidR="00135921">
        <w:rPr>
          <w:rFonts w:eastAsia="Times New Roman"/>
          <w:lang w:eastAsia="en-AU"/>
        </w:rPr>
        <w:t>’</w:t>
      </w:r>
      <w:r w:rsidR="00E52AA6">
        <w:rPr>
          <w:rFonts w:eastAsia="Times New Roman"/>
          <w:lang w:eastAsia="en-AU"/>
        </w:rPr>
        <w:t xml:space="preserve">). </w:t>
      </w:r>
    </w:p>
    <w:p w14:paraId="20593680" w14:textId="77777777" w:rsidR="00076493" w:rsidRDefault="00076493" w:rsidP="002570C9">
      <w:pPr>
        <w:spacing w:before="0" w:line="240" w:lineRule="auto"/>
        <w:ind w:right="91"/>
        <w:rPr>
          <w:rFonts w:eastAsia="Times New Roman"/>
          <w:lang w:eastAsia="en-AU"/>
        </w:rPr>
      </w:pPr>
    </w:p>
    <w:p w14:paraId="7AECA791" w14:textId="37E568B8" w:rsidR="00591863" w:rsidRDefault="00E52AA6" w:rsidP="002570C9">
      <w:pPr>
        <w:spacing w:before="0" w:line="240" w:lineRule="auto"/>
        <w:ind w:right="91"/>
        <w:rPr>
          <w:rFonts w:eastAsia="Times New Roman"/>
          <w:lang w:eastAsia="en-AU"/>
        </w:rPr>
      </w:pPr>
      <w:r>
        <w:rPr>
          <w:rFonts w:eastAsia="Times New Roman"/>
          <w:lang w:eastAsia="en-AU"/>
        </w:rPr>
        <w:t xml:space="preserve">The instrument </w:t>
      </w:r>
      <w:r w:rsidR="00341569">
        <w:rPr>
          <w:rFonts w:eastAsia="Times New Roman"/>
          <w:lang w:eastAsia="en-AU"/>
        </w:rPr>
        <w:t xml:space="preserve">is made under </w:t>
      </w:r>
      <w:r w:rsidR="00836184">
        <w:rPr>
          <w:rFonts w:eastAsia="Times New Roman"/>
          <w:lang w:eastAsia="en-AU"/>
        </w:rPr>
        <w:t xml:space="preserve">item 4 in Schedule 3 of the </w:t>
      </w:r>
      <w:r w:rsidR="00836184">
        <w:rPr>
          <w:rFonts w:eastAsia="Times New Roman"/>
          <w:i/>
          <w:iCs/>
          <w:lang w:eastAsia="en-AU"/>
        </w:rPr>
        <w:t xml:space="preserve">Data Availability and Transparency (Consequential Amendments) Act 2022 </w:t>
      </w:r>
      <w:r w:rsidR="00836184">
        <w:rPr>
          <w:rFonts w:eastAsia="Times New Roman"/>
          <w:lang w:eastAsia="en-AU"/>
        </w:rPr>
        <w:t>(</w:t>
      </w:r>
      <w:r w:rsidR="00135921">
        <w:rPr>
          <w:rFonts w:eastAsia="Times New Roman"/>
          <w:lang w:eastAsia="en-AU"/>
        </w:rPr>
        <w:t>‘</w:t>
      </w:r>
      <w:r w:rsidR="00836184">
        <w:rPr>
          <w:rFonts w:eastAsia="Times New Roman"/>
          <w:lang w:eastAsia="en-AU"/>
        </w:rPr>
        <w:t>the Act</w:t>
      </w:r>
      <w:r w:rsidR="00135921">
        <w:rPr>
          <w:rFonts w:eastAsia="Times New Roman"/>
          <w:lang w:eastAsia="en-AU"/>
        </w:rPr>
        <w:t>’</w:t>
      </w:r>
      <w:r w:rsidR="00836184">
        <w:rPr>
          <w:rFonts w:eastAsia="Times New Roman"/>
          <w:lang w:eastAsia="en-AU"/>
        </w:rPr>
        <w:t>)</w:t>
      </w:r>
      <w:r w:rsidR="00562D3D">
        <w:rPr>
          <w:rFonts w:eastAsia="Times New Roman"/>
          <w:lang w:eastAsia="en-AU"/>
        </w:rPr>
        <w:t xml:space="preserve">; for the purposes of </w:t>
      </w:r>
      <w:r w:rsidR="00B17BCA">
        <w:rPr>
          <w:rFonts w:eastAsia="Times New Roman"/>
          <w:lang w:eastAsia="en-AU"/>
        </w:rPr>
        <w:t xml:space="preserve">the definition of </w:t>
      </w:r>
      <w:r w:rsidR="00F000F9">
        <w:rPr>
          <w:rFonts w:eastAsia="Times New Roman"/>
          <w:i/>
          <w:iCs/>
          <w:lang w:eastAsia="en-AU"/>
        </w:rPr>
        <w:t xml:space="preserve">transitional entity </w:t>
      </w:r>
      <w:r w:rsidR="00F000F9">
        <w:rPr>
          <w:rFonts w:eastAsia="Times New Roman"/>
          <w:lang w:eastAsia="en-AU"/>
        </w:rPr>
        <w:t>in subitem 1(1) in Schedule 3 of the Act</w:t>
      </w:r>
      <w:r w:rsidR="00372628">
        <w:rPr>
          <w:rFonts w:eastAsia="Times New Roman"/>
          <w:lang w:eastAsia="en-AU"/>
        </w:rPr>
        <w:t xml:space="preserve">, and subitem 2(2) in Schedule 3 of the Act. </w:t>
      </w:r>
      <w:r w:rsidR="00DD5AEC">
        <w:rPr>
          <w:rFonts w:eastAsia="Times New Roman"/>
          <w:lang w:eastAsia="en-AU"/>
        </w:rPr>
        <w:t xml:space="preserve">Subsection </w:t>
      </w:r>
      <w:r w:rsidR="00591863">
        <w:rPr>
          <w:rFonts w:eastAsia="Times New Roman"/>
          <w:lang w:eastAsia="en-AU"/>
        </w:rPr>
        <w:t xml:space="preserve">33(3) of the </w:t>
      </w:r>
      <w:r w:rsidR="00591863" w:rsidRPr="00911A65">
        <w:rPr>
          <w:rFonts w:eastAsia="Times New Roman"/>
          <w:i/>
          <w:iCs/>
          <w:lang w:eastAsia="en-AU"/>
        </w:rPr>
        <w:t>Acts Interpretation Act 1901</w:t>
      </w:r>
      <w:r w:rsidR="00591863">
        <w:rPr>
          <w:rFonts w:eastAsia="Times New Roman"/>
          <w:lang w:eastAsia="en-AU"/>
        </w:rPr>
        <w:t xml:space="preserve"> provides that a power to make a legislative instrument includes a power to amend or repeal that instrument in the same manner, and subject to the same conditions, as the power to make the instrument. </w:t>
      </w:r>
    </w:p>
    <w:p w14:paraId="03DD6690" w14:textId="77777777" w:rsidR="00591863" w:rsidRDefault="00591863" w:rsidP="002570C9">
      <w:pPr>
        <w:spacing w:before="0" w:line="240" w:lineRule="auto"/>
        <w:ind w:right="91"/>
        <w:rPr>
          <w:rFonts w:eastAsia="Times New Roman"/>
          <w:lang w:eastAsia="en-AU"/>
        </w:rPr>
      </w:pPr>
    </w:p>
    <w:p w14:paraId="30815CFD" w14:textId="54590A04" w:rsidR="00591863" w:rsidRDefault="00591863" w:rsidP="002570C9">
      <w:pPr>
        <w:spacing w:before="0" w:line="240" w:lineRule="auto"/>
        <w:ind w:right="91"/>
        <w:rPr>
          <w:rFonts w:eastAsia="Times New Roman"/>
          <w:lang w:eastAsia="en-AU"/>
        </w:rPr>
      </w:pPr>
      <w:r>
        <w:rPr>
          <w:rFonts w:eastAsia="Times New Roman"/>
          <w:lang w:eastAsia="en-AU"/>
        </w:rPr>
        <w:t xml:space="preserve">The instrument commences </w:t>
      </w:r>
      <w:r w:rsidR="00CD1AFB">
        <w:rPr>
          <w:rFonts w:eastAsia="Times New Roman"/>
          <w:lang w:eastAsia="en-AU"/>
        </w:rPr>
        <w:t>on the day after it is registered on the Federal Register of Legislation</w:t>
      </w:r>
      <w:r w:rsidR="00774689">
        <w:rPr>
          <w:rFonts w:eastAsia="Times New Roman"/>
          <w:lang w:eastAsia="en-AU"/>
        </w:rPr>
        <w:t>. The instrument</w:t>
      </w:r>
      <w:r w:rsidR="00CD1AFB">
        <w:rPr>
          <w:rFonts w:eastAsia="Times New Roman"/>
          <w:lang w:eastAsia="en-AU"/>
        </w:rPr>
        <w:t xml:space="preserve"> is a legislative instrument </w:t>
      </w:r>
      <w:r w:rsidR="00911A65">
        <w:rPr>
          <w:rFonts w:eastAsia="Times New Roman"/>
          <w:lang w:eastAsia="en-AU"/>
        </w:rPr>
        <w:t>for the</w:t>
      </w:r>
      <w:r w:rsidR="002570C9">
        <w:rPr>
          <w:rFonts w:eastAsia="Times New Roman"/>
          <w:lang w:eastAsia="en-AU"/>
        </w:rPr>
        <w:t xml:space="preserve"> purposes of the</w:t>
      </w:r>
      <w:r w:rsidR="00911A65">
        <w:rPr>
          <w:rFonts w:eastAsia="Times New Roman"/>
          <w:lang w:eastAsia="en-AU"/>
        </w:rPr>
        <w:t xml:space="preserve"> </w:t>
      </w:r>
      <w:r w:rsidR="00911A65" w:rsidRPr="00911A65">
        <w:rPr>
          <w:rFonts w:eastAsia="Times New Roman"/>
          <w:i/>
          <w:iCs/>
          <w:lang w:eastAsia="en-AU"/>
        </w:rPr>
        <w:t>Legislation Act</w:t>
      </w:r>
      <w:r w:rsidR="004F627C">
        <w:rPr>
          <w:rFonts w:eastAsia="Times New Roman"/>
          <w:i/>
          <w:iCs/>
          <w:lang w:eastAsia="en-AU"/>
        </w:rPr>
        <w:t> </w:t>
      </w:r>
      <w:r w:rsidR="00911A65" w:rsidRPr="00911A65">
        <w:rPr>
          <w:rFonts w:eastAsia="Times New Roman"/>
          <w:i/>
          <w:iCs/>
          <w:lang w:eastAsia="en-AU"/>
        </w:rPr>
        <w:t>2003</w:t>
      </w:r>
      <w:r w:rsidR="00911A65">
        <w:rPr>
          <w:rFonts w:eastAsia="Times New Roman"/>
          <w:i/>
          <w:iCs/>
          <w:lang w:eastAsia="en-AU"/>
        </w:rPr>
        <w:t xml:space="preserve"> </w:t>
      </w:r>
      <w:r w:rsidR="00911A65">
        <w:rPr>
          <w:rFonts w:eastAsia="Times New Roman"/>
          <w:lang w:eastAsia="en-AU"/>
        </w:rPr>
        <w:t>(‘Legislation Act’)</w:t>
      </w:r>
      <w:r w:rsidR="00774689">
        <w:rPr>
          <w:rFonts w:eastAsia="Times New Roman"/>
          <w:lang w:eastAsia="en-AU"/>
        </w:rPr>
        <w:t xml:space="preserve"> and is subject to disallowance under section 42 of the Legislation Act. </w:t>
      </w:r>
      <w:r w:rsidR="00911A65">
        <w:rPr>
          <w:rFonts w:eastAsia="Times New Roman"/>
          <w:lang w:eastAsia="en-AU"/>
        </w:rPr>
        <w:t xml:space="preserve"> </w:t>
      </w:r>
    </w:p>
    <w:p w14:paraId="71BCB2F3" w14:textId="77777777" w:rsidR="00076493" w:rsidRDefault="00076493" w:rsidP="7E23DA1A">
      <w:pPr>
        <w:spacing w:before="0" w:line="240" w:lineRule="auto"/>
        <w:ind w:right="91"/>
        <w:jc w:val="both"/>
        <w:rPr>
          <w:rFonts w:eastAsia="Times New Roman"/>
          <w:lang w:eastAsia="en-AU"/>
        </w:rPr>
      </w:pPr>
    </w:p>
    <w:p w14:paraId="7D9547B8" w14:textId="475B9BDA" w:rsidR="006B0FF2" w:rsidRPr="00A93391" w:rsidRDefault="00825C6E" w:rsidP="00825C6E">
      <w:pPr>
        <w:spacing w:before="0" w:line="240" w:lineRule="auto"/>
        <w:ind w:right="91"/>
        <w:jc w:val="both"/>
        <w:rPr>
          <w:rFonts w:eastAsia="Times New Roman"/>
          <w:b/>
          <w:bCs/>
          <w:lang w:eastAsia="en-AU"/>
        </w:rPr>
      </w:pPr>
      <w:r>
        <w:rPr>
          <w:rFonts w:eastAsia="Times New Roman"/>
          <w:b/>
          <w:bCs/>
          <w:lang w:eastAsia="en-AU"/>
        </w:rPr>
        <w:t xml:space="preserve">Purpose </w:t>
      </w:r>
    </w:p>
    <w:p w14:paraId="7C457B32" w14:textId="77777777" w:rsidR="00825C6E" w:rsidRDefault="00825C6E" w:rsidP="7E23DA1A">
      <w:pPr>
        <w:spacing w:before="0" w:line="240" w:lineRule="auto"/>
        <w:ind w:right="91"/>
        <w:jc w:val="both"/>
        <w:rPr>
          <w:rFonts w:eastAsia="Times New Roman"/>
          <w:lang w:eastAsia="en-AU"/>
        </w:rPr>
      </w:pPr>
    </w:p>
    <w:p w14:paraId="12A12D83" w14:textId="63E0389E" w:rsidR="006B0FF2" w:rsidRDefault="00DC5922" w:rsidP="002570C9">
      <w:pPr>
        <w:spacing w:before="0" w:line="240" w:lineRule="auto"/>
        <w:ind w:right="91"/>
        <w:rPr>
          <w:rFonts w:eastAsia="Times New Roman"/>
          <w:lang w:eastAsia="en-AU"/>
        </w:rPr>
      </w:pPr>
      <w:r>
        <w:rPr>
          <w:rFonts w:eastAsia="Times New Roman"/>
          <w:lang w:eastAsia="en-AU"/>
        </w:rPr>
        <w:t xml:space="preserve">The purpose of the instrument is to amend the </w:t>
      </w:r>
      <w:r w:rsidR="00382B98">
        <w:rPr>
          <w:rFonts w:eastAsia="Times New Roman"/>
          <w:lang w:eastAsia="en-AU"/>
        </w:rPr>
        <w:t xml:space="preserve">DATCA </w:t>
      </w:r>
      <w:r>
        <w:rPr>
          <w:rFonts w:eastAsia="Times New Roman"/>
          <w:lang w:eastAsia="en-AU"/>
        </w:rPr>
        <w:t xml:space="preserve">Rules to add Queensland Health as a prescribed transitional entity. </w:t>
      </w:r>
    </w:p>
    <w:p w14:paraId="19B63AAD" w14:textId="77777777" w:rsidR="00DC5922" w:rsidRDefault="00DC5922" w:rsidP="002570C9">
      <w:pPr>
        <w:spacing w:before="0" w:line="240" w:lineRule="auto"/>
        <w:ind w:right="91"/>
        <w:rPr>
          <w:rFonts w:eastAsia="Times New Roman"/>
          <w:lang w:eastAsia="en-AU"/>
        </w:rPr>
      </w:pPr>
    </w:p>
    <w:p w14:paraId="0D1BFFBC" w14:textId="5879A21F" w:rsidR="005A0123" w:rsidRDefault="7E23DA1A" w:rsidP="002570C9">
      <w:pPr>
        <w:spacing w:before="0" w:line="240" w:lineRule="auto"/>
        <w:ind w:right="91"/>
        <w:rPr>
          <w:rFonts w:eastAsia="Times New Roman"/>
          <w:lang w:eastAsia="en-AU"/>
        </w:rPr>
      </w:pPr>
      <w:r w:rsidRPr="00A93391">
        <w:rPr>
          <w:rFonts w:eastAsia="Times New Roman"/>
          <w:lang w:eastAsia="en-AU"/>
        </w:rPr>
        <w:t>The</w:t>
      </w:r>
      <w:r w:rsidR="007D541D">
        <w:rPr>
          <w:rFonts w:eastAsia="Times New Roman"/>
          <w:lang w:eastAsia="en-AU"/>
        </w:rPr>
        <w:t xml:space="preserve"> Act</w:t>
      </w:r>
      <w:r w:rsidR="00E10E14">
        <w:rPr>
          <w:rFonts w:eastAsia="Times New Roman"/>
          <w:lang w:eastAsia="en-AU"/>
        </w:rPr>
        <w:t xml:space="preserve"> </w:t>
      </w:r>
      <w:r w:rsidR="00090C74">
        <w:rPr>
          <w:rFonts w:eastAsia="Times New Roman"/>
          <w:lang w:eastAsia="en-AU"/>
        </w:rPr>
        <w:t xml:space="preserve">supports </w:t>
      </w:r>
      <w:r w:rsidR="004C64F4">
        <w:rPr>
          <w:rFonts w:eastAsia="Times New Roman"/>
          <w:lang w:eastAsia="en-AU"/>
        </w:rPr>
        <w:t xml:space="preserve">the operation of the </w:t>
      </w:r>
      <w:r w:rsidR="004C64F4">
        <w:rPr>
          <w:rFonts w:eastAsia="Times New Roman"/>
          <w:i/>
          <w:iCs/>
          <w:lang w:eastAsia="en-AU"/>
        </w:rPr>
        <w:t xml:space="preserve">Data Availability and Transparency Act 2022 </w:t>
      </w:r>
      <w:r w:rsidR="004C64F4">
        <w:rPr>
          <w:rFonts w:eastAsia="Times New Roman"/>
          <w:lang w:eastAsia="en-AU"/>
        </w:rPr>
        <w:t>(</w:t>
      </w:r>
      <w:r w:rsidR="000F40F5">
        <w:rPr>
          <w:rFonts w:eastAsia="Times New Roman"/>
          <w:lang w:eastAsia="en-AU"/>
        </w:rPr>
        <w:t>‘</w:t>
      </w:r>
      <w:r w:rsidR="00EB2837">
        <w:rPr>
          <w:rFonts w:eastAsia="Times New Roman"/>
          <w:lang w:eastAsia="en-AU"/>
        </w:rPr>
        <w:t>the DAT Act</w:t>
      </w:r>
      <w:r w:rsidR="000F40F5">
        <w:rPr>
          <w:rFonts w:eastAsia="Times New Roman"/>
          <w:lang w:eastAsia="en-AU"/>
        </w:rPr>
        <w:t>’</w:t>
      </w:r>
      <w:r w:rsidR="00EB2837">
        <w:rPr>
          <w:rFonts w:eastAsia="Times New Roman"/>
          <w:lang w:eastAsia="en-AU"/>
        </w:rPr>
        <w:t>)</w:t>
      </w:r>
      <w:r w:rsidR="00882741">
        <w:rPr>
          <w:rFonts w:eastAsia="Times New Roman"/>
          <w:lang w:eastAsia="en-AU"/>
        </w:rPr>
        <w:t xml:space="preserve"> by </w:t>
      </w:r>
      <w:r w:rsidR="00BC1ABB">
        <w:rPr>
          <w:rFonts w:eastAsia="Times New Roman"/>
          <w:lang w:eastAsia="en-AU"/>
        </w:rPr>
        <w:t>enabling the Minister</w:t>
      </w:r>
      <w:r w:rsidR="00C031A7">
        <w:rPr>
          <w:rFonts w:eastAsia="Times New Roman"/>
          <w:lang w:eastAsia="en-AU"/>
        </w:rPr>
        <w:t xml:space="preserve">, </w:t>
      </w:r>
      <w:r w:rsidR="00BC5CEA">
        <w:rPr>
          <w:rFonts w:eastAsia="Times New Roman"/>
          <w:lang w:eastAsia="en-AU"/>
        </w:rPr>
        <w:t xml:space="preserve">by legislative instrument, </w:t>
      </w:r>
      <w:r w:rsidR="00C031A7">
        <w:rPr>
          <w:rFonts w:eastAsia="Times New Roman"/>
          <w:lang w:eastAsia="en-AU"/>
        </w:rPr>
        <w:t>to make rules to prescribe</w:t>
      </w:r>
      <w:r w:rsidR="00BC1ABB">
        <w:rPr>
          <w:rFonts w:eastAsia="Times New Roman"/>
          <w:lang w:eastAsia="en-AU"/>
        </w:rPr>
        <w:t xml:space="preserve"> </w:t>
      </w:r>
      <w:r w:rsidR="00E5097D">
        <w:rPr>
          <w:rFonts w:eastAsia="Times New Roman"/>
          <w:lang w:eastAsia="en-AU"/>
        </w:rPr>
        <w:t>an entity</w:t>
      </w:r>
      <w:r w:rsidR="00B946FF">
        <w:rPr>
          <w:rFonts w:eastAsia="Times New Roman"/>
          <w:lang w:eastAsia="en-AU"/>
        </w:rPr>
        <w:t xml:space="preserve"> as a </w:t>
      </w:r>
      <w:r w:rsidR="00BC1ABB">
        <w:rPr>
          <w:rFonts w:eastAsia="Times New Roman"/>
          <w:lang w:eastAsia="en-AU"/>
        </w:rPr>
        <w:t xml:space="preserve">transitional </w:t>
      </w:r>
      <w:r w:rsidR="00B946FF">
        <w:rPr>
          <w:rFonts w:eastAsia="Times New Roman"/>
          <w:lang w:eastAsia="en-AU"/>
        </w:rPr>
        <w:t>entity</w:t>
      </w:r>
      <w:r w:rsidR="00875D40">
        <w:rPr>
          <w:rFonts w:eastAsia="Times New Roman"/>
          <w:lang w:eastAsia="en-AU"/>
        </w:rPr>
        <w:t xml:space="preserve"> (see item 4 in Schedule 3 of the Act)</w:t>
      </w:r>
      <w:r w:rsidR="00417C85">
        <w:rPr>
          <w:rFonts w:eastAsia="Times New Roman"/>
          <w:lang w:eastAsia="en-AU"/>
        </w:rPr>
        <w:t xml:space="preserve">. </w:t>
      </w:r>
      <w:r w:rsidR="006D7EF4">
        <w:rPr>
          <w:rFonts w:eastAsia="Times New Roman"/>
          <w:lang w:eastAsia="en-AU"/>
        </w:rPr>
        <w:t xml:space="preserve">Currently, </w:t>
      </w:r>
      <w:r w:rsidR="00440912">
        <w:rPr>
          <w:rFonts w:eastAsia="Times New Roman"/>
          <w:lang w:eastAsia="en-AU"/>
        </w:rPr>
        <w:t xml:space="preserve">the rules made for this purpose are the DATCA Rules. </w:t>
      </w:r>
      <w:proofErr w:type="gramStart"/>
      <w:r w:rsidR="007D3E78">
        <w:rPr>
          <w:rFonts w:eastAsia="Times New Roman"/>
          <w:lang w:eastAsia="en-AU"/>
        </w:rPr>
        <w:t xml:space="preserve">For the </w:t>
      </w:r>
      <w:r w:rsidR="007D3E78" w:rsidRPr="00A93391">
        <w:rPr>
          <w:rFonts w:eastAsia="Times New Roman"/>
          <w:lang w:eastAsia="en-AU"/>
        </w:rPr>
        <w:t>purpose of</w:t>
      </w:r>
      <w:proofErr w:type="gramEnd"/>
      <w:r w:rsidR="007D3E78">
        <w:rPr>
          <w:rFonts w:eastAsia="Times New Roman"/>
          <w:lang w:eastAsia="en-AU"/>
        </w:rPr>
        <w:t xml:space="preserve"> the data sharing scheme, a transitional entity is taken to be accredited as an Accredited Data </w:t>
      </w:r>
      <w:r w:rsidR="002570C9">
        <w:rPr>
          <w:rFonts w:eastAsia="Times New Roman"/>
          <w:lang w:eastAsia="en-AU"/>
        </w:rPr>
        <w:t xml:space="preserve">Service </w:t>
      </w:r>
      <w:r w:rsidR="007D3E78">
        <w:rPr>
          <w:rFonts w:eastAsia="Times New Roman"/>
          <w:lang w:eastAsia="en-AU"/>
        </w:rPr>
        <w:t>Provider (</w:t>
      </w:r>
      <w:r w:rsidR="000F40F5">
        <w:rPr>
          <w:rFonts w:eastAsia="Times New Roman"/>
          <w:lang w:eastAsia="en-AU"/>
        </w:rPr>
        <w:t>‘</w:t>
      </w:r>
      <w:r w:rsidR="007D3E78">
        <w:rPr>
          <w:rFonts w:eastAsia="Times New Roman"/>
          <w:lang w:eastAsia="en-AU"/>
        </w:rPr>
        <w:t>ADSP</w:t>
      </w:r>
      <w:r w:rsidR="000F40F5">
        <w:rPr>
          <w:rFonts w:eastAsia="Times New Roman"/>
          <w:lang w:eastAsia="en-AU"/>
        </w:rPr>
        <w:t>’</w:t>
      </w:r>
      <w:r w:rsidR="007D3E78">
        <w:rPr>
          <w:rFonts w:eastAsia="Times New Roman"/>
          <w:lang w:eastAsia="en-AU"/>
        </w:rPr>
        <w:t>) under the DAT Act for the duration of its transition period</w:t>
      </w:r>
      <w:r w:rsidR="00875D40">
        <w:rPr>
          <w:rFonts w:eastAsia="Times New Roman"/>
          <w:lang w:eastAsia="en-AU"/>
        </w:rPr>
        <w:t xml:space="preserve"> (</w:t>
      </w:r>
      <w:r w:rsidR="00B1724D">
        <w:rPr>
          <w:rFonts w:eastAsia="Times New Roman"/>
          <w:lang w:eastAsia="en-AU"/>
        </w:rPr>
        <w:t xml:space="preserve">see </w:t>
      </w:r>
      <w:r w:rsidR="00875D40">
        <w:rPr>
          <w:rFonts w:eastAsia="Times New Roman"/>
          <w:lang w:eastAsia="en-AU"/>
        </w:rPr>
        <w:t>subitem 2(1) in Schedule 3 of the Act)</w:t>
      </w:r>
      <w:r w:rsidR="007D3E78">
        <w:rPr>
          <w:rFonts w:eastAsia="Times New Roman"/>
          <w:lang w:eastAsia="en-AU"/>
        </w:rPr>
        <w:t xml:space="preserve">. </w:t>
      </w:r>
    </w:p>
    <w:p w14:paraId="2315ADFF" w14:textId="77777777" w:rsidR="005A0123" w:rsidRDefault="005A0123" w:rsidP="002570C9">
      <w:pPr>
        <w:spacing w:before="0" w:line="240" w:lineRule="auto"/>
        <w:ind w:right="91"/>
        <w:rPr>
          <w:rFonts w:eastAsia="Times New Roman"/>
          <w:lang w:eastAsia="en-AU"/>
        </w:rPr>
      </w:pPr>
    </w:p>
    <w:p w14:paraId="00A8C62F" w14:textId="32B72BFB" w:rsidR="00131718" w:rsidRDefault="005A0123" w:rsidP="002570C9">
      <w:pPr>
        <w:spacing w:before="0" w:line="240" w:lineRule="auto"/>
        <w:ind w:right="91"/>
        <w:rPr>
          <w:rFonts w:eastAsia="Times New Roman"/>
          <w:lang w:eastAsia="en-AU"/>
        </w:rPr>
      </w:pPr>
      <w:r>
        <w:rPr>
          <w:rFonts w:eastAsia="Times New Roman"/>
          <w:lang w:eastAsia="en-AU"/>
        </w:rPr>
        <w:t>Under the DAT Act</w:t>
      </w:r>
      <w:r w:rsidRPr="00A93391">
        <w:rPr>
          <w:rFonts w:eastAsia="Times New Roman"/>
          <w:lang w:eastAsia="en-AU"/>
        </w:rPr>
        <w:t xml:space="preserve">, most Australian Government departments and agencies that control Australian Government data are ‘data custodians’, and may share the data they control with ‘accredited users’ under a data sharing agreement, subject to specific limitations and controls in the </w:t>
      </w:r>
      <w:r>
        <w:rPr>
          <w:rFonts w:eastAsia="Times New Roman"/>
          <w:lang w:eastAsia="en-AU"/>
        </w:rPr>
        <w:t>DAT</w:t>
      </w:r>
      <w:r w:rsidRPr="00A93391">
        <w:rPr>
          <w:rFonts w:eastAsia="Times New Roman"/>
          <w:lang w:eastAsia="en-AU"/>
        </w:rPr>
        <w:t xml:space="preserve"> Act. Data may be shared with accredited users directly, or through ADSPs, acting as intermediaries.</w:t>
      </w:r>
      <w:r>
        <w:rPr>
          <w:rFonts w:eastAsia="Times New Roman"/>
          <w:lang w:eastAsia="en-AU"/>
        </w:rPr>
        <w:t xml:space="preserve"> </w:t>
      </w:r>
      <w:r w:rsidR="008A7020" w:rsidRPr="00A93391">
        <w:rPr>
          <w:rFonts w:eastAsia="Times New Roman"/>
          <w:lang w:eastAsia="en-AU"/>
        </w:rPr>
        <w:t>ADSPs are entities that have particular expertise in data sharing and the provision of data services.</w:t>
      </w:r>
    </w:p>
    <w:p w14:paraId="46A2C441" w14:textId="77777777" w:rsidR="00842A0A" w:rsidRDefault="00842A0A" w:rsidP="002570C9">
      <w:pPr>
        <w:spacing w:before="0" w:line="240" w:lineRule="auto"/>
        <w:ind w:right="91"/>
        <w:rPr>
          <w:rFonts w:eastAsia="Times New Roman"/>
          <w:lang w:eastAsia="en-AU"/>
        </w:rPr>
      </w:pPr>
    </w:p>
    <w:p w14:paraId="1C4CEF74" w14:textId="21C5D61B" w:rsidR="00842A0A" w:rsidRPr="00A93391" w:rsidRDefault="004A6FE5" w:rsidP="002570C9">
      <w:pPr>
        <w:spacing w:before="0" w:line="240" w:lineRule="auto"/>
        <w:ind w:right="91"/>
        <w:rPr>
          <w:rFonts w:eastAsia="Times New Roman"/>
          <w:szCs w:val="20"/>
          <w:lang w:eastAsia="en-AU"/>
        </w:rPr>
      </w:pPr>
      <w:r>
        <w:rPr>
          <w:rFonts w:eastAsia="Times New Roman"/>
          <w:lang w:eastAsia="en-AU"/>
        </w:rPr>
        <w:t xml:space="preserve">The term ‘transitional entity’ is defined in subitem </w:t>
      </w:r>
      <w:r w:rsidR="00FC4F25">
        <w:rPr>
          <w:rFonts w:eastAsia="Times New Roman"/>
          <w:lang w:eastAsia="en-AU"/>
        </w:rPr>
        <w:t>1(1) in Schedule 3 of the Act as an</w:t>
      </w:r>
      <w:r>
        <w:rPr>
          <w:rFonts w:eastAsia="Times New Roman"/>
          <w:lang w:eastAsia="en-AU"/>
        </w:rPr>
        <w:t xml:space="preserve"> </w:t>
      </w:r>
      <w:r w:rsidR="00262A39">
        <w:rPr>
          <w:rFonts w:eastAsia="Times New Roman"/>
          <w:lang w:eastAsia="en-AU"/>
        </w:rPr>
        <w:t>Australian entity</w:t>
      </w:r>
      <w:r w:rsidR="00FC4F25">
        <w:rPr>
          <w:rFonts w:eastAsia="Times New Roman"/>
          <w:lang w:eastAsia="en-AU"/>
        </w:rPr>
        <w:t xml:space="preserve"> prescribed by the rules</w:t>
      </w:r>
      <w:r w:rsidR="00262A39">
        <w:rPr>
          <w:rFonts w:eastAsia="Times New Roman"/>
          <w:lang w:eastAsia="en-AU"/>
        </w:rPr>
        <w:t xml:space="preserve">. </w:t>
      </w:r>
      <w:r w:rsidR="002D1213">
        <w:rPr>
          <w:rFonts w:eastAsia="Times New Roman"/>
          <w:lang w:eastAsia="en-AU"/>
        </w:rPr>
        <w:t>‘Australian entity’ i</w:t>
      </w:r>
      <w:r w:rsidR="005A0123">
        <w:rPr>
          <w:rFonts w:eastAsia="Times New Roman"/>
          <w:lang w:eastAsia="en-AU"/>
        </w:rPr>
        <w:t>s defined in</w:t>
      </w:r>
      <w:r w:rsidR="002D1213">
        <w:rPr>
          <w:rFonts w:eastAsia="Times New Roman"/>
          <w:lang w:eastAsia="en-AU"/>
        </w:rPr>
        <w:t xml:space="preserve"> </w:t>
      </w:r>
      <w:r w:rsidR="0052051E">
        <w:rPr>
          <w:rFonts w:eastAsia="Times New Roman"/>
          <w:lang w:eastAsia="en-AU"/>
        </w:rPr>
        <w:t xml:space="preserve">section 9 of </w:t>
      </w:r>
      <w:r w:rsidR="002D1213">
        <w:rPr>
          <w:rFonts w:eastAsia="Times New Roman"/>
          <w:lang w:eastAsia="en-AU"/>
        </w:rPr>
        <w:t xml:space="preserve">the DAT Act </w:t>
      </w:r>
      <w:r w:rsidR="00CD2FE2">
        <w:rPr>
          <w:rFonts w:eastAsia="Times New Roman"/>
          <w:lang w:eastAsia="en-AU"/>
        </w:rPr>
        <w:t xml:space="preserve">as an entity </w:t>
      </w:r>
      <w:r w:rsidR="003A1E40">
        <w:rPr>
          <w:rFonts w:eastAsia="Times New Roman"/>
          <w:lang w:eastAsia="en-AU"/>
        </w:rPr>
        <w:t>tha</w:t>
      </w:r>
      <w:r w:rsidR="00404A6C">
        <w:rPr>
          <w:rFonts w:eastAsia="Times New Roman"/>
          <w:lang w:eastAsia="en-AU"/>
        </w:rPr>
        <w:t>t</w:t>
      </w:r>
      <w:r w:rsidR="003A1E40">
        <w:rPr>
          <w:rFonts w:eastAsia="Times New Roman"/>
          <w:lang w:eastAsia="en-AU"/>
        </w:rPr>
        <w:t xml:space="preserve"> is a Commonwealth body, a State </w:t>
      </w:r>
      <w:r w:rsidR="00404A6C">
        <w:rPr>
          <w:rFonts w:eastAsia="Times New Roman"/>
          <w:lang w:eastAsia="en-AU"/>
        </w:rPr>
        <w:t>b</w:t>
      </w:r>
      <w:r w:rsidR="003A1E40">
        <w:rPr>
          <w:rFonts w:eastAsia="Times New Roman"/>
          <w:lang w:eastAsia="en-AU"/>
        </w:rPr>
        <w:t xml:space="preserve">ody or a Territory body; the </w:t>
      </w:r>
      <w:r w:rsidR="003A1E40">
        <w:rPr>
          <w:rFonts w:eastAsia="Times New Roman"/>
          <w:lang w:eastAsia="en-AU"/>
        </w:rPr>
        <w:lastRenderedPageBreak/>
        <w:t xml:space="preserve">Commonwealth, a State or a Territory; or an Australian University. </w:t>
      </w:r>
      <w:r w:rsidR="00D52D62">
        <w:rPr>
          <w:rFonts w:eastAsia="Times New Roman"/>
          <w:lang w:eastAsia="en-AU"/>
        </w:rPr>
        <w:t>Queensland Health is</w:t>
      </w:r>
      <w:r w:rsidR="00734C51">
        <w:rPr>
          <w:rFonts w:eastAsia="Times New Roman"/>
          <w:lang w:eastAsia="en-AU"/>
        </w:rPr>
        <w:t xml:space="preserve"> a State body </w:t>
      </w:r>
      <w:r w:rsidR="00214396">
        <w:rPr>
          <w:rFonts w:eastAsia="Times New Roman"/>
          <w:lang w:eastAsia="en-AU"/>
        </w:rPr>
        <w:t>(a department of the State of Queensland) and</w:t>
      </w:r>
      <w:r w:rsidR="00734C51">
        <w:rPr>
          <w:rFonts w:eastAsia="Times New Roman"/>
          <w:lang w:eastAsia="en-AU"/>
        </w:rPr>
        <w:t xml:space="preserve"> is</w:t>
      </w:r>
      <w:r w:rsidR="00D52D62">
        <w:rPr>
          <w:rFonts w:eastAsia="Times New Roman"/>
          <w:lang w:eastAsia="en-AU"/>
        </w:rPr>
        <w:t xml:space="preserve"> </w:t>
      </w:r>
      <w:r w:rsidR="00FC4F25">
        <w:rPr>
          <w:rFonts w:eastAsia="Times New Roman"/>
          <w:lang w:eastAsia="en-AU"/>
        </w:rPr>
        <w:t xml:space="preserve">eligible to be </w:t>
      </w:r>
      <w:r w:rsidR="002240F0">
        <w:rPr>
          <w:rFonts w:eastAsia="Times New Roman"/>
          <w:lang w:eastAsia="en-AU"/>
        </w:rPr>
        <w:t>prescribed as a transitional entity</w:t>
      </w:r>
      <w:r w:rsidR="00214396">
        <w:rPr>
          <w:rFonts w:eastAsia="Times New Roman"/>
          <w:lang w:eastAsia="en-AU"/>
        </w:rPr>
        <w:t xml:space="preserve">. </w:t>
      </w:r>
      <w:r w:rsidR="002240F0">
        <w:rPr>
          <w:rFonts w:eastAsia="Times New Roman"/>
          <w:lang w:eastAsia="en-AU"/>
        </w:rPr>
        <w:t xml:space="preserve"> </w:t>
      </w:r>
    </w:p>
    <w:p w14:paraId="1D63182B" w14:textId="77777777" w:rsidR="00B1724D" w:rsidRDefault="00B1724D" w:rsidP="002570C9">
      <w:pPr>
        <w:spacing w:before="0" w:line="240" w:lineRule="auto"/>
        <w:ind w:right="91"/>
        <w:rPr>
          <w:rFonts w:eastAsia="Times New Roman"/>
          <w:lang w:eastAsia="en-AU"/>
        </w:rPr>
      </w:pPr>
    </w:p>
    <w:p w14:paraId="730905BC" w14:textId="20712007" w:rsidR="000D5BCD" w:rsidRPr="001A00BA" w:rsidRDefault="006C6F03" w:rsidP="002570C9">
      <w:pPr>
        <w:spacing w:before="0" w:line="240" w:lineRule="auto"/>
        <w:ind w:right="91"/>
        <w:rPr>
          <w:rFonts w:eastAsia="Times New Roman"/>
          <w:lang w:eastAsia="en-AU"/>
        </w:rPr>
      </w:pPr>
      <w:r w:rsidRPr="00A93391">
        <w:t xml:space="preserve">ADSPs may only collect and use data under the data sharing scheme established by the </w:t>
      </w:r>
      <w:r>
        <w:t xml:space="preserve">DAT </w:t>
      </w:r>
      <w:r w:rsidRPr="00A93391">
        <w:t xml:space="preserve">Act in accordance with conditions of accreditation. Section 30 of the </w:t>
      </w:r>
      <w:r>
        <w:t>DAT</w:t>
      </w:r>
      <w:r w:rsidRPr="00A93391">
        <w:t xml:space="preserve"> Act requires ADSPs </w:t>
      </w:r>
      <w:r w:rsidRPr="001A00BA">
        <w:t xml:space="preserve">to comply with conditions of accreditation. </w:t>
      </w:r>
      <w:r w:rsidR="00706387" w:rsidRPr="001A00BA">
        <w:rPr>
          <w:rFonts w:eastAsia="Times New Roman"/>
          <w:lang w:eastAsia="en-AU"/>
        </w:rPr>
        <w:t>Subitem 2(2) in Schedule 3 of the Act</w:t>
      </w:r>
      <w:r w:rsidR="007A3641" w:rsidRPr="001A00BA">
        <w:rPr>
          <w:rFonts w:eastAsia="Times New Roman"/>
          <w:lang w:eastAsia="en-AU"/>
        </w:rPr>
        <w:t xml:space="preserve"> allows </w:t>
      </w:r>
      <w:r w:rsidRPr="001A00BA">
        <w:rPr>
          <w:rFonts w:eastAsia="Times New Roman"/>
          <w:lang w:eastAsia="en-AU"/>
        </w:rPr>
        <w:t xml:space="preserve">the Minister to prescribe in </w:t>
      </w:r>
      <w:r w:rsidR="007A3641" w:rsidRPr="001A00BA">
        <w:rPr>
          <w:rFonts w:eastAsia="Times New Roman"/>
          <w:lang w:eastAsia="en-AU"/>
        </w:rPr>
        <w:t>rules conditions of accreditation applicable to a transitional entity</w:t>
      </w:r>
      <w:r w:rsidR="00067258" w:rsidRPr="001A00BA">
        <w:rPr>
          <w:rFonts w:eastAsia="Times New Roman"/>
          <w:lang w:eastAsia="en-AU"/>
        </w:rPr>
        <w:t xml:space="preserve">. </w:t>
      </w:r>
      <w:r w:rsidR="00287EDE" w:rsidRPr="001A00BA">
        <w:rPr>
          <w:rFonts w:eastAsia="Times New Roman"/>
          <w:lang w:eastAsia="en-AU"/>
        </w:rPr>
        <w:t xml:space="preserve">The instrument </w:t>
      </w:r>
      <w:r w:rsidR="000D5BCD" w:rsidRPr="001A00BA">
        <w:rPr>
          <w:rFonts w:eastAsia="Times New Roman"/>
          <w:lang w:eastAsia="en-AU"/>
        </w:rPr>
        <w:t>prescribes the following conditions on Queensland Health:</w:t>
      </w:r>
    </w:p>
    <w:p w14:paraId="106F61FE" w14:textId="77777777" w:rsidR="000D5BCD" w:rsidRPr="001A00BA" w:rsidRDefault="000D5BCD" w:rsidP="002570C9">
      <w:pPr>
        <w:spacing w:before="0" w:line="240" w:lineRule="auto"/>
        <w:ind w:right="91"/>
        <w:rPr>
          <w:rFonts w:eastAsia="Times New Roman"/>
          <w:lang w:eastAsia="en-AU"/>
        </w:rPr>
      </w:pPr>
    </w:p>
    <w:p w14:paraId="54E7FE79" w14:textId="42E99F2B" w:rsidR="007F6D1F" w:rsidRPr="001A00BA" w:rsidRDefault="007F6D1F" w:rsidP="00763BF8">
      <w:pPr>
        <w:pStyle w:val="ListParagraph"/>
        <w:numPr>
          <w:ilvl w:val="0"/>
          <w:numId w:val="28"/>
        </w:numPr>
        <w:spacing w:before="0"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763BF8">
        <w:rPr>
          <w:rFonts w:ascii="Times New Roman" w:eastAsia="Times New Roman" w:hAnsi="Times New Roman"/>
          <w:sz w:val="24"/>
          <w:szCs w:val="24"/>
          <w:lang w:eastAsia="en-AU"/>
        </w:rPr>
        <w:t xml:space="preserve">entity must not provide </w:t>
      </w:r>
      <w:r w:rsidR="00763BF8" w:rsidRPr="00763BF8">
        <w:rPr>
          <w:rFonts w:ascii="Times New Roman" w:eastAsia="Times New Roman" w:hAnsi="Times New Roman"/>
          <w:sz w:val="24"/>
          <w:szCs w:val="24"/>
          <w:lang w:eastAsia="en-AU"/>
        </w:rPr>
        <w:t>complex data integration services as part of a project unless those services are provided by the Statistical Services Branch undertaking data linkage activities only</w:t>
      </w:r>
      <w:r w:rsidR="00763BF8">
        <w:rPr>
          <w:rFonts w:ascii="Times New Roman" w:eastAsia="Times New Roman" w:hAnsi="Times New Roman"/>
          <w:sz w:val="24"/>
          <w:szCs w:val="24"/>
          <w:lang w:eastAsia="en-AU"/>
        </w:rPr>
        <w:t>;</w:t>
      </w:r>
      <w:r w:rsidR="00763BF8" w:rsidRPr="00EE113E">
        <w:rPr>
          <w:rFonts w:ascii="Times New Roman" w:hAnsi="Times New Roman"/>
          <w:bCs/>
          <w:sz w:val="22"/>
          <w:szCs w:val="22"/>
        </w:rPr>
        <w:t xml:space="preserve"> </w:t>
      </w:r>
    </w:p>
    <w:p w14:paraId="58D0A878" w14:textId="4F56CE2A" w:rsidR="00256090" w:rsidRPr="00256090" w:rsidRDefault="007F6D1F" w:rsidP="007F6D1F">
      <w:pPr>
        <w:pStyle w:val="ListParagraph"/>
        <w:numPr>
          <w:ilvl w:val="0"/>
          <w:numId w:val="28"/>
        </w:numPr>
        <w:spacing w:before="0" w:line="240" w:lineRule="auto"/>
        <w:ind w:right="91"/>
        <w:rPr>
          <w:rFonts w:eastAsia="Times New Roman"/>
          <w:lang w:eastAsia="en-AU"/>
        </w:rPr>
      </w:pPr>
      <w:r>
        <w:rPr>
          <w:rFonts w:ascii="Times New Roman" w:eastAsia="Times New Roman" w:hAnsi="Times New Roman"/>
          <w:sz w:val="24"/>
          <w:szCs w:val="24"/>
          <w:lang w:eastAsia="en-AU"/>
        </w:rPr>
        <w:t>the entity must not provide secure access data services as part of a project</w:t>
      </w:r>
      <w:r w:rsidR="00256090">
        <w:rPr>
          <w:rFonts w:ascii="Times New Roman" w:eastAsia="Times New Roman" w:hAnsi="Times New Roman"/>
          <w:sz w:val="24"/>
          <w:szCs w:val="24"/>
          <w:lang w:eastAsia="en-AU"/>
        </w:rPr>
        <w:t xml:space="preserve">; and </w:t>
      </w:r>
    </w:p>
    <w:p w14:paraId="631A5BA5" w14:textId="387C59D9" w:rsidR="007F6D1F" w:rsidRPr="001A00BA" w:rsidDel="00825C6E" w:rsidRDefault="00256090" w:rsidP="007F6D1F">
      <w:pPr>
        <w:pStyle w:val="ListParagraph"/>
        <w:numPr>
          <w:ilvl w:val="0"/>
          <w:numId w:val="28"/>
        </w:numPr>
        <w:spacing w:before="0" w:line="240" w:lineRule="auto"/>
        <w:ind w:right="91"/>
        <w:rPr>
          <w:rFonts w:eastAsia="Times New Roman"/>
          <w:lang w:eastAsia="en-AU"/>
        </w:rPr>
      </w:pPr>
      <w:r>
        <w:rPr>
          <w:rFonts w:ascii="Times New Roman" w:eastAsia="Times New Roman" w:hAnsi="Times New Roman"/>
          <w:sz w:val="24"/>
          <w:szCs w:val="24"/>
          <w:lang w:eastAsia="en-AU"/>
        </w:rPr>
        <w:t xml:space="preserve">the entity must not provide de-identification </w:t>
      </w:r>
      <w:r w:rsidR="00763BF8">
        <w:rPr>
          <w:rFonts w:ascii="Times New Roman" w:eastAsia="Times New Roman" w:hAnsi="Times New Roman"/>
          <w:sz w:val="24"/>
          <w:szCs w:val="24"/>
          <w:lang w:eastAsia="en-AU"/>
        </w:rPr>
        <w:t xml:space="preserve">data </w:t>
      </w:r>
      <w:r>
        <w:rPr>
          <w:rFonts w:ascii="Times New Roman" w:eastAsia="Times New Roman" w:hAnsi="Times New Roman"/>
          <w:sz w:val="24"/>
          <w:szCs w:val="24"/>
          <w:lang w:eastAsia="en-AU"/>
        </w:rPr>
        <w:t>services as part of a project</w:t>
      </w:r>
      <w:r w:rsidR="00210C1D">
        <w:rPr>
          <w:rFonts w:ascii="Times New Roman" w:eastAsia="Times New Roman" w:hAnsi="Times New Roman"/>
          <w:sz w:val="24"/>
          <w:szCs w:val="24"/>
          <w:lang w:eastAsia="en-AU"/>
        </w:rPr>
        <w:t>.</w:t>
      </w:r>
      <w:r w:rsidR="007F6D1F">
        <w:rPr>
          <w:rFonts w:ascii="Times New Roman" w:eastAsia="Times New Roman" w:hAnsi="Times New Roman"/>
          <w:sz w:val="24"/>
          <w:szCs w:val="24"/>
          <w:lang w:eastAsia="en-AU"/>
        </w:rPr>
        <w:t xml:space="preserve"> </w:t>
      </w:r>
    </w:p>
    <w:p w14:paraId="367BA2AF" w14:textId="77777777" w:rsidR="00131718" w:rsidRPr="001A00BA" w:rsidRDefault="00131718" w:rsidP="002570C9">
      <w:pPr>
        <w:spacing w:before="0" w:line="240" w:lineRule="auto"/>
        <w:ind w:right="91"/>
        <w:rPr>
          <w:rFonts w:eastAsia="Times New Roman"/>
          <w:szCs w:val="20"/>
          <w:lang w:eastAsia="en-AU"/>
        </w:rPr>
      </w:pPr>
    </w:p>
    <w:p w14:paraId="23F5A580" w14:textId="7EB7E1AC" w:rsidR="00067258" w:rsidRDefault="00067258" w:rsidP="002570C9">
      <w:pPr>
        <w:spacing w:before="0" w:line="240" w:lineRule="auto"/>
        <w:ind w:right="91"/>
        <w:rPr>
          <w:rFonts w:eastAsia="Times New Roman"/>
          <w:szCs w:val="20"/>
          <w:lang w:eastAsia="en-AU"/>
        </w:rPr>
      </w:pPr>
      <w:r w:rsidRPr="001A00BA">
        <w:t xml:space="preserve">Subitem 2(2) in Schedule 3 of the Act </w:t>
      </w:r>
      <w:r w:rsidR="008470DB" w:rsidRPr="001A00BA">
        <w:t xml:space="preserve">also </w:t>
      </w:r>
      <w:r w:rsidRPr="001A00BA">
        <w:t xml:space="preserve">provides that such conditions of accreditation are taken to have been imposed by the </w:t>
      </w:r>
      <w:r w:rsidR="00E84F68" w:rsidRPr="001A00BA">
        <w:t xml:space="preserve">National Data </w:t>
      </w:r>
      <w:r w:rsidRPr="001A00BA">
        <w:t>Commissioner</w:t>
      </w:r>
      <w:r w:rsidR="00E84F68" w:rsidRPr="001A00BA">
        <w:t xml:space="preserve"> (‘Commissioner’)</w:t>
      </w:r>
      <w:r w:rsidRPr="001A00BA">
        <w:t xml:space="preserve"> under section 78 of the </w:t>
      </w:r>
      <w:r w:rsidR="008470DB" w:rsidRPr="001A00BA">
        <w:t>DAT</w:t>
      </w:r>
      <w:r w:rsidRPr="001A00BA">
        <w:t xml:space="preserve"> Act, and the Commissioner may therefore vary or remove such conditions under</w:t>
      </w:r>
      <w:r w:rsidRPr="00A93391">
        <w:t xml:space="preserve"> the </w:t>
      </w:r>
      <w:r w:rsidR="008470DB">
        <w:t>DAT</w:t>
      </w:r>
      <w:r w:rsidRPr="00A93391">
        <w:t xml:space="preserve"> Act, or impose additional conditions of accreditation.</w:t>
      </w:r>
    </w:p>
    <w:p w14:paraId="670EADE2" w14:textId="77777777" w:rsidR="00067258" w:rsidRDefault="00067258" w:rsidP="002570C9">
      <w:pPr>
        <w:spacing w:before="0" w:line="240" w:lineRule="auto"/>
        <w:ind w:right="91"/>
        <w:rPr>
          <w:rFonts w:eastAsia="Times New Roman"/>
          <w:szCs w:val="20"/>
          <w:lang w:eastAsia="en-AU"/>
        </w:rPr>
      </w:pPr>
    </w:p>
    <w:p w14:paraId="2015CF72" w14:textId="68C84BBE" w:rsidR="00B84243" w:rsidRDefault="00C75901" w:rsidP="002570C9">
      <w:pPr>
        <w:spacing w:before="0" w:line="240" w:lineRule="auto"/>
        <w:ind w:right="91"/>
        <w:rPr>
          <w:rFonts w:eastAsia="Times New Roman"/>
          <w:szCs w:val="20"/>
          <w:lang w:eastAsia="en-AU"/>
        </w:rPr>
      </w:pPr>
      <w:r>
        <w:rPr>
          <w:rFonts w:eastAsia="Times New Roman"/>
          <w:szCs w:val="20"/>
          <w:lang w:eastAsia="en-AU"/>
        </w:rPr>
        <w:t>Eligible Australian entities</w:t>
      </w:r>
      <w:r w:rsidR="0062619D">
        <w:rPr>
          <w:rFonts w:eastAsia="Times New Roman"/>
          <w:szCs w:val="20"/>
          <w:lang w:eastAsia="en-AU"/>
        </w:rPr>
        <w:t xml:space="preserve"> are not prescribed </w:t>
      </w:r>
      <w:r>
        <w:rPr>
          <w:rFonts w:eastAsia="Times New Roman"/>
          <w:szCs w:val="20"/>
          <w:lang w:eastAsia="en-AU"/>
        </w:rPr>
        <w:t xml:space="preserve">as transitional entities indefinitely but rather for the duration of </w:t>
      </w:r>
      <w:r w:rsidR="00623C8C">
        <w:rPr>
          <w:rFonts w:eastAsia="Times New Roman"/>
          <w:szCs w:val="20"/>
          <w:lang w:eastAsia="en-AU"/>
        </w:rPr>
        <w:t xml:space="preserve">its transitional period. The instrument provides that the transitional period for Queensland Health </w:t>
      </w:r>
      <w:r w:rsidR="00515CA3">
        <w:rPr>
          <w:rFonts w:eastAsia="Times New Roman"/>
          <w:szCs w:val="20"/>
          <w:lang w:eastAsia="en-AU"/>
        </w:rPr>
        <w:t xml:space="preserve">will commence on the day the instrument commences. </w:t>
      </w:r>
    </w:p>
    <w:p w14:paraId="1F0FDF26" w14:textId="77777777" w:rsidR="00B84243" w:rsidRPr="006B0FF2" w:rsidRDefault="00B84243" w:rsidP="002570C9">
      <w:pPr>
        <w:spacing w:before="0" w:line="240" w:lineRule="auto"/>
        <w:ind w:right="91"/>
        <w:rPr>
          <w:rFonts w:eastAsia="Times New Roman"/>
          <w:lang w:eastAsia="en-AU"/>
        </w:rPr>
      </w:pPr>
    </w:p>
    <w:p w14:paraId="4E0DBA42" w14:textId="0D0CB38D" w:rsidR="0091561A" w:rsidRPr="006B0FF2" w:rsidRDefault="00515CA3" w:rsidP="002570C9">
      <w:pPr>
        <w:spacing w:before="0" w:line="240" w:lineRule="auto"/>
        <w:ind w:right="91"/>
        <w:rPr>
          <w:rFonts w:eastAsia="Times New Roman"/>
          <w:lang w:eastAsia="en-AU"/>
        </w:rPr>
      </w:pPr>
      <w:r w:rsidRPr="006B0FF2">
        <w:rPr>
          <w:rFonts w:eastAsia="Times New Roman"/>
          <w:lang w:eastAsia="en-AU"/>
        </w:rPr>
        <w:t xml:space="preserve">Subitem 2(3) in Schedule 3 of the </w:t>
      </w:r>
      <w:r w:rsidR="00B84243" w:rsidRPr="006B0FF2">
        <w:rPr>
          <w:rFonts w:eastAsia="Times New Roman"/>
          <w:lang w:eastAsia="en-AU"/>
        </w:rPr>
        <w:t xml:space="preserve">Act </w:t>
      </w:r>
      <w:r w:rsidR="00840B82" w:rsidRPr="006B0FF2">
        <w:rPr>
          <w:rFonts w:eastAsia="Times New Roman"/>
          <w:lang w:eastAsia="en-AU"/>
        </w:rPr>
        <w:t>provides for the end of the transitional period</w:t>
      </w:r>
      <w:r w:rsidR="002570C9">
        <w:rPr>
          <w:rFonts w:eastAsia="Times New Roman"/>
          <w:lang w:eastAsia="en-AU"/>
        </w:rPr>
        <w:t xml:space="preserve"> </w:t>
      </w:r>
      <w:r w:rsidR="00840B82" w:rsidRPr="006B0FF2">
        <w:rPr>
          <w:rFonts w:eastAsia="Times New Roman"/>
          <w:lang w:eastAsia="en-AU"/>
        </w:rPr>
        <w:t>as being no later than the earlier of</w:t>
      </w:r>
      <w:r w:rsidR="00CA73EB" w:rsidRPr="006B0FF2">
        <w:rPr>
          <w:rFonts w:eastAsia="Times New Roman"/>
          <w:lang w:eastAsia="en-AU"/>
        </w:rPr>
        <w:t xml:space="preserve"> of the following:</w:t>
      </w:r>
    </w:p>
    <w:p w14:paraId="74E8260E" w14:textId="77777777" w:rsidR="008470DB" w:rsidRPr="006B0FF2" w:rsidRDefault="008470DB" w:rsidP="002570C9">
      <w:pPr>
        <w:spacing w:before="0" w:line="240" w:lineRule="auto"/>
        <w:ind w:right="91"/>
        <w:rPr>
          <w:rFonts w:eastAsia="Times New Roman"/>
          <w:szCs w:val="24"/>
          <w:lang w:eastAsia="en-AU"/>
        </w:rPr>
      </w:pPr>
    </w:p>
    <w:p w14:paraId="119F6F67" w14:textId="6E842DA5" w:rsidR="00CA73EB" w:rsidRPr="006B0FF2" w:rsidRDefault="00CA73EB" w:rsidP="002570C9">
      <w:pPr>
        <w:pStyle w:val="ListParagraph"/>
        <w:numPr>
          <w:ilvl w:val="0"/>
          <w:numId w:val="32"/>
        </w:numPr>
        <w:spacing w:before="0" w:line="240" w:lineRule="auto"/>
        <w:ind w:right="91"/>
        <w:rPr>
          <w:rFonts w:ascii="Times New Roman" w:eastAsia="Times New Roman" w:hAnsi="Times New Roman"/>
          <w:sz w:val="24"/>
          <w:szCs w:val="24"/>
          <w:lang w:eastAsia="en-AU"/>
        </w:rPr>
      </w:pPr>
      <w:r w:rsidRPr="006B0FF2">
        <w:rPr>
          <w:rFonts w:ascii="Times New Roman" w:eastAsia="Times New Roman" w:hAnsi="Times New Roman"/>
          <w:sz w:val="24"/>
          <w:szCs w:val="24"/>
          <w:lang w:eastAsia="en-AU"/>
        </w:rPr>
        <w:t>if the Commissioner cancels the entity’s accreditation as an ADSP under section 81 of the DAT Act</w:t>
      </w:r>
      <w:r w:rsidR="00033FDC" w:rsidRPr="006B0FF2">
        <w:rPr>
          <w:rFonts w:ascii="Times New Roman" w:eastAsia="Times New Roman" w:hAnsi="Times New Roman"/>
          <w:sz w:val="24"/>
          <w:szCs w:val="24"/>
          <w:lang w:eastAsia="en-AU"/>
        </w:rPr>
        <w:t xml:space="preserve"> – the day the cancellation takes effect;</w:t>
      </w:r>
    </w:p>
    <w:p w14:paraId="2A9ADF9B" w14:textId="75CA2C5F" w:rsidR="00033FDC" w:rsidRPr="006B0FF2" w:rsidRDefault="00033FDC" w:rsidP="002570C9">
      <w:pPr>
        <w:pStyle w:val="ListParagraph"/>
        <w:numPr>
          <w:ilvl w:val="0"/>
          <w:numId w:val="32"/>
        </w:numPr>
        <w:spacing w:before="0" w:line="240" w:lineRule="auto"/>
        <w:ind w:right="91"/>
        <w:rPr>
          <w:rFonts w:ascii="Times New Roman" w:eastAsia="Times New Roman" w:hAnsi="Times New Roman"/>
          <w:sz w:val="24"/>
          <w:szCs w:val="24"/>
          <w:lang w:eastAsia="en-AU"/>
        </w:rPr>
      </w:pPr>
      <w:r w:rsidRPr="006B0FF2">
        <w:rPr>
          <w:rFonts w:ascii="Times New Roman" w:eastAsia="Times New Roman" w:hAnsi="Times New Roman"/>
          <w:sz w:val="24"/>
          <w:szCs w:val="24"/>
          <w:lang w:eastAsia="en-AU"/>
        </w:rPr>
        <w:t xml:space="preserve">the end of the period of forty months beginning on the day the Act received </w:t>
      </w:r>
      <w:r w:rsidR="00612CFA">
        <w:rPr>
          <w:rFonts w:ascii="Times New Roman" w:eastAsia="Times New Roman" w:hAnsi="Times New Roman"/>
          <w:sz w:val="24"/>
          <w:szCs w:val="24"/>
          <w:lang w:eastAsia="en-AU"/>
        </w:rPr>
        <w:t>the R</w:t>
      </w:r>
      <w:r w:rsidRPr="006B0FF2">
        <w:rPr>
          <w:rFonts w:ascii="Times New Roman" w:eastAsia="Times New Roman" w:hAnsi="Times New Roman"/>
          <w:sz w:val="24"/>
          <w:szCs w:val="24"/>
          <w:lang w:eastAsia="en-AU"/>
        </w:rPr>
        <w:t xml:space="preserve">oyal </w:t>
      </w:r>
      <w:r w:rsidR="00612CFA">
        <w:rPr>
          <w:rFonts w:ascii="Times New Roman" w:eastAsia="Times New Roman" w:hAnsi="Times New Roman"/>
          <w:sz w:val="24"/>
          <w:szCs w:val="24"/>
          <w:lang w:eastAsia="en-AU"/>
        </w:rPr>
        <w:t>A</w:t>
      </w:r>
      <w:r w:rsidRPr="006B0FF2">
        <w:rPr>
          <w:rFonts w:ascii="Times New Roman" w:eastAsia="Times New Roman" w:hAnsi="Times New Roman"/>
          <w:sz w:val="24"/>
          <w:szCs w:val="24"/>
          <w:lang w:eastAsia="en-AU"/>
        </w:rPr>
        <w:t xml:space="preserve">ssent. </w:t>
      </w:r>
    </w:p>
    <w:p w14:paraId="7248E055" w14:textId="77777777" w:rsidR="00033FDC" w:rsidRDefault="00033FDC" w:rsidP="002570C9">
      <w:pPr>
        <w:spacing w:before="0" w:line="240" w:lineRule="auto"/>
        <w:ind w:right="91"/>
        <w:rPr>
          <w:rFonts w:eastAsia="Times New Roman"/>
          <w:lang w:eastAsia="en-AU"/>
        </w:rPr>
      </w:pPr>
    </w:p>
    <w:p w14:paraId="0861D5DA" w14:textId="2EFFF9CE" w:rsidR="006444C4" w:rsidRDefault="006444C4" w:rsidP="002570C9">
      <w:pPr>
        <w:spacing w:before="0" w:line="240" w:lineRule="auto"/>
        <w:ind w:right="91"/>
        <w:rPr>
          <w:rFonts w:eastAsia="Times New Roman"/>
          <w:lang w:eastAsia="en-AU"/>
        </w:rPr>
      </w:pPr>
      <w:r w:rsidRPr="00A93391">
        <w:rPr>
          <w:rFonts w:eastAsia="Times New Roman"/>
          <w:lang w:eastAsia="en-AU"/>
        </w:rPr>
        <w:t>The Act received the Royal Assent on 31</w:t>
      </w:r>
      <w:r w:rsidR="004F627C">
        <w:rPr>
          <w:rFonts w:eastAsia="Times New Roman"/>
          <w:lang w:eastAsia="en-AU"/>
        </w:rPr>
        <w:t> </w:t>
      </w:r>
      <w:r w:rsidRPr="00A93391">
        <w:rPr>
          <w:rFonts w:eastAsia="Times New Roman"/>
          <w:lang w:eastAsia="en-AU"/>
        </w:rPr>
        <w:t>March</w:t>
      </w:r>
      <w:r w:rsidR="004F627C">
        <w:rPr>
          <w:rFonts w:eastAsia="Times New Roman"/>
          <w:lang w:eastAsia="en-AU"/>
        </w:rPr>
        <w:t> </w:t>
      </w:r>
      <w:r w:rsidRPr="00A93391">
        <w:rPr>
          <w:rFonts w:eastAsia="Times New Roman"/>
          <w:lang w:eastAsia="en-AU"/>
        </w:rPr>
        <w:t>2022, so the transition period for a transitional entity must end no later than the end of 30</w:t>
      </w:r>
      <w:r w:rsidR="004F627C">
        <w:rPr>
          <w:rFonts w:eastAsia="Times New Roman"/>
          <w:lang w:eastAsia="en-AU"/>
        </w:rPr>
        <w:t> </w:t>
      </w:r>
      <w:r w:rsidRPr="00A93391">
        <w:rPr>
          <w:rFonts w:eastAsia="Times New Roman"/>
          <w:lang w:eastAsia="en-AU"/>
        </w:rPr>
        <w:t>July</w:t>
      </w:r>
      <w:r w:rsidR="004F627C">
        <w:rPr>
          <w:rFonts w:eastAsia="Times New Roman"/>
          <w:lang w:eastAsia="en-AU"/>
        </w:rPr>
        <w:t> </w:t>
      </w:r>
      <w:r w:rsidRPr="00A93391">
        <w:rPr>
          <w:rFonts w:eastAsia="Times New Roman"/>
          <w:lang w:eastAsia="en-AU"/>
        </w:rPr>
        <w:t xml:space="preserve">2025. </w:t>
      </w:r>
    </w:p>
    <w:p w14:paraId="4AD5AC1E" w14:textId="77777777" w:rsidR="006444C4" w:rsidRDefault="006444C4" w:rsidP="002570C9">
      <w:pPr>
        <w:spacing w:before="0" w:line="240" w:lineRule="auto"/>
        <w:ind w:right="91"/>
        <w:rPr>
          <w:rFonts w:eastAsia="Times New Roman"/>
          <w:lang w:eastAsia="en-AU"/>
        </w:rPr>
      </w:pPr>
    </w:p>
    <w:p w14:paraId="35F170DD" w14:textId="1A07F22E" w:rsidR="00C87410" w:rsidRDefault="7E23DA1A" w:rsidP="002570C9">
      <w:pPr>
        <w:spacing w:before="0" w:line="240" w:lineRule="auto"/>
        <w:ind w:right="91"/>
        <w:rPr>
          <w:rFonts w:eastAsia="Times New Roman"/>
          <w:b/>
          <w:bCs/>
          <w:lang w:eastAsia="en-AU"/>
        </w:rPr>
      </w:pPr>
      <w:r w:rsidRPr="006B0FF2">
        <w:rPr>
          <w:rFonts w:eastAsia="Times New Roman"/>
          <w:lang w:eastAsia="en-AU"/>
        </w:rPr>
        <w:t xml:space="preserve">During the applicable transition period, a transitional entity has the same obligations under the </w:t>
      </w:r>
      <w:r w:rsidR="008470DB" w:rsidRPr="006B0FF2">
        <w:rPr>
          <w:rFonts w:eastAsia="Times New Roman"/>
          <w:lang w:eastAsia="en-AU"/>
        </w:rPr>
        <w:t xml:space="preserve">DAT </w:t>
      </w:r>
      <w:r w:rsidRPr="006B0FF2">
        <w:rPr>
          <w:rFonts w:eastAsia="Times New Roman"/>
          <w:lang w:eastAsia="en-AU"/>
        </w:rPr>
        <w:t xml:space="preserve">Act as an entity accredited by the Commissioner as an ADSP. The Commissioner has regulatory oversight over transitional entities and, if required, the Commissioner may suspend or cancel the ADSP accreditation of a transitional entity under section 81 of the </w:t>
      </w:r>
      <w:r w:rsidR="008470DB" w:rsidRPr="006B0FF2">
        <w:rPr>
          <w:rFonts w:eastAsia="Times New Roman"/>
          <w:lang w:eastAsia="en-AU"/>
        </w:rPr>
        <w:t xml:space="preserve">DAT </w:t>
      </w:r>
      <w:r w:rsidRPr="006B0FF2">
        <w:rPr>
          <w:rFonts w:eastAsia="Times New Roman"/>
          <w:lang w:eastAsia="en-AU"/>
        </w:rPr>
        <w:t>Act. Subitem 2(3) of Schedule 3 to the Act provides that, if the Commissioner cancels the ADSP accreditation of a transitional entity, the transition period for that transitional entity ends.</w:t>
      </w:r>
    </w:p>
    <w:p w14:paraId="60A73440" w14:textId="77777777" w:rsidR="000F6A36" w:rsidRDefault="000F6A36" w:rsidP="006B0FF2">
      <w:pPr>
        <w:spacing w:before="0" w:line="240" w:lineRule="auto"/>
        <w:ind w:right="91"/>
        <w:jc w:val="both"/>
        <w:rPr>
          <w:rFonts w:eastAsia="Times New Roman"/>
          <w:b/>
          <w:bCs/>
          <w:lang w:eastAsia="en-AU"/>
        </w:rPr>
      </w:pPr>
    </w:p>
    <w:p w14:paraId="492058AC" w14:textId="1FE1D692" w:rsidR="00FE2603" w:rsidRPr="006B0FF2" w:rsidRDefault="00FE2603" w:rsidP="006B0FF2">
      <w:pPr>
        <w:spacing w:before="0" w:line="240" w:lineRule="auto"/>
        <w:ind w:right="91"/>
        <w:jc w:val="both"/>
        <w:rPr>
          <w:rFonts w:eastAsia="Times New Roman"/>
          <w:lang w:eastAsia="en-AU"/>
        </w:rPr>
      </w:pPr>
      <w:r w:rsidRPr="006B0FF2">
        <w:rPr>
          <w:rFonts w:eastAsia="Times New Roman"/>
          <w:b/>
          <w:bCs/>
          <w:lang w:eastAsia="en-AU"/>
        </w:rPr>
        <w:t xml:space="preserve">Consultation </w:t>
      </w:r>
    </w:p>
    <w:p w14:paraId="45484D25" w14:textId="77777777" w:rsidR="006B0FF2" w:rsidRDefault="006B0FF2" w:rsidP="006B0FF2">
      <w:pPr>
        <w:spacing w:before="0" w:line="240" w:lineRule="auto"/>
        <w:ind w:right="91"/>
        <w:jc w:val="both"/>
        <w:rPr>
          <w:rFonts w:eastAsia="Times New Roman"/>
          <w:lang w:eastAsia="en-AU"/>
        </w:rPr>
      </w:pPr>
    </w:p>
    <w:p w14:paraId="519EDFFE" w14:textId="72551660" w:rsidR="006B0FF2" w:rsidRDefault="006B0FF2" w:rsidP="002570C9">
      <w:pPr>
        <w:spacing w:before="0" w:line="240" w:lineRule="auto"/>
        <w:ind w:right="91"/>
        <w:rPr>
          <w:rFonts w:eastAsia="Times New Roman"/>
          <w:lang w:eastAsia="en-AU"/>
        </w:rPr>
      </w:pPr>
      <w:r w:rsidRPr="006B0FF2">
        <w:rPr>
          <w:rFonts w:eastAsia="Times New Roman"/>
          <w:lang w:eastAsia="en-AU"/>
        </w:rPr>
        <w:t xml:space="preserve">Consultation on this instrument was undertaken in accordance with section 17 of the Legislation Act. </w:t>
      </w:r>
    </w:p>
    <w:p w14:paraId="19979A32" w14:textId="77777777" w:rsidR="00F37F2C" w:rsidRPr="00F37F2C" w:rsidRDefault="00F37F2C" w:rsidP="00F37F2C">
      <w:pPr>
        <w:spacing w:before="0" w:line="240" w:lineRule="auto"/>
        <w:ind w:right="91"/>
        <w:jc w:val="both"/>
        <w:rPr>
          <w:rFonts w:eastAsia="Times New Roman"/>
          <w:lang w:eastAsia="en-AU"/>
        </w:rPr>
      </w:pPr>
    </w:p>
    <w:p w14:paraId="09336CCB" w14:textId="28BE140A" w:rsidR="00C05BA9" w:rsidRDefault="00532CAC" w:rsidP="00734A34">
      <w:pPr>
        <w:spacing w:before="0" w:line="240" w:lineRule="auto"/>
        <w:ind w:right="91"/>
        <w:rPr>
          <w:rFonts w:eastAsia="Times New Roman"/>
          <w:lang w:eastAsia="en-AU"/>
        </w:rPr>
      </w:pPr>
      <w:r>
        <w:rPr>
          <w:rFonts w:eastAsia="Times New Roman"/>
          <w:lang w:eastAsia="en-AU"/>
        </w:rPr>
        <w:lastRenderedPageBreak/>
        <w:t xml:space="preserve">External consultation </w:t>
      </w:r>
      <w:r w:rsidR="002B0A50">
        <w:rPr>
          <w:rFonts w:eastAsia="Times New Roman"/>
          <w:lang w:eastAsia="en-AU"/>
        </w:rPr>
        <w:t xml:space="preserve">was undertaken before the instrument was made, via an exposure draft </w:t>
      </w:r>
      <w:r w:rsidR="00754E75">
        <w:rPr>
          <w:rFonts w:eastAsia="Times New Roman"/>
          <w:lang w:eastAsia="en-AU"/>
        </w:rPr>
        <w:t xml:space="preserve">published on the Office of the National Data Commissioner </w:t>
      </w:r>
      <w:r w:rsidR="002F50B6">
        <w:rPr>
          <w:rFonts w:eastAsia="Times New Roman"/>
          <w:lang w:eastAsia="en-AU"/>
        </w:rPr>
        <w:t>(</w:t>
      </w:r>
      <w:r w:rsidR="000F40F5">
        <w:rPr>
          <w:rFonts w:eastAsia="Times New Roman"/>
          <w:lang w:eastAsia="en-AU"/>
        </w:rPr>
        <w:t>‘</w:t>
      </w:r>
      <w:r w:rsidR="002F50B6">
        <w:rPr>
          <w:rFonts w:eastAsia="Times New Roman"/>
          <w:lang w:eastAsia="en-AU"/>
        </w:rPr>
        <w:t>ONDC</w:t>
      </w:r>
      <w:r w:rsidR="000F40F5">
        <w:rPr>
          <w:rFonts w:eastAsia="Times New Roman"/>
          <w:lang w:eastAsia="en-AU"/>
        </w:rPr>
        <w:t>’</w:t>
      </w:r>
      <w:r w:rsidR="002F50B6">
        <w:rPr>
          <w:rFonts w:eastAsia="Times New Roman"/>
          <w:lang w:eastAsia="en-AU"/>
        </w:rPr>
        <w:t xml:space="preserve">) </w:t>
      </w:r>
      <w:r w:rsidR="00754E75">
        <w:rPr>
          <w:rFonts w:eastAsia="Times New Roman"/>
          <w:lang w:eastAsia="en-AU"/>
        </w:rPr>
        <w:t xml:space="preserve">website </w:t>
      </w:r>
      <w:r w:rsidR="008A6A44">
        <w:rPr>
          <w:rFonts w:eastAsia="Times New Roman"/>
          <w:lang w:eastAsia="en-AU"/>
        </w:rPr>
        <w:t xml:space="preserve">from 30 October 2023 to 13 November 2023. </w:t>
      </w:r>
      <w:r w:rsidR="00E110D6">
        <w:rPr>
          <w:rFonts w:eastAsia="Times New Roman"/>
          <w:lang w:eastAsia="en-AU"/>
        </w:rPr>
        <w:t xml:space="preserve">This </w:t>
      </w:r>
      <w:r w:rsidR="00755369">
        <w:rPr>
          <w:rFonts w:eastAsia="Times New Roman"/>
          <w:lang w:eastAsia="en-AU"/>
        </w:rPr>
        <w:t>consultation was open</w:t>
      </w:r>
      <w:r w:rsidR="007921C0">
        <w:rPr>
          <w:rFonts w:eastAsia="Times New Roman"/>
          <w:lang w:eastAsia="en-AU"/>
        </w:rPr>
        <w:t xml:space="preserve"> to the</w:t>
      </w:r>
      <w:r w:rsidR="00755369">
        <w:rPr>
          <w:rFonts w:eastAsia="Times New Roman"/>
          <w:lang w:eastAsia="en-AU"/>
        </w:rPr>
        <w:t xml:space="preserve"> public</w:t>
      </w:r>
      <w:r w:rsidR="00A7353B">
        <w:rPr>
          <w:rFonts w:eastAsia="Times New Roman"/>
          <w:lang w:eastAsia="en-AU"/>
        </w:rPr>
        <w:t xml:space="preserve"> and key stakeholders were informed of the consultation</w:t>
      </w:r>
      <w:r w:rsidR="00C05BA9">
        <w:rPr>
          <w:rFonts w:eastAsia="Times New Roman"/>
          <w:lang w:eastAsia="en-AU"/>
        </w:rPr>
        <w:t xml:space="preserve"> and invited to ma</w:t>
      </w:r>
      <w:r w:rsidR="009F78A9">
        <w:rPr>
          <w:rFonts w:eastAsia="Times New Roman"/>
          <w:lang w:eastAsia="en-AU"/>
        </w:rPr>
        <w:t>k</w:t>
      </w:r>
      <w:r w:rsidR="00C05BA9">
        <w:rPr>
          <w:rFonts w:eastAsia="Times New Roman"/>
          <w:lang w:eastAsia="en-AU"/>
        </w:rPr>
        <w:t xml:space="preserve">e submissions. No </w:t>
      </w:r>
      <w:r w:rsidR="009F78A9">
        <w:rPr>
          <w:rFonts w:eastAsia="Times New Roman"/>
          <w:lang w:eastAsia="en-AU"/>
        </w:rPr>
        <w:t xml:space="preserve">formal </w:t>
      </w:r>
      <w:r w:rsidR="00C05BA9">
        <w:rPr>
          <w:rFonts w:eastAsia="Times New Roman"/>
          <w:lang w:eastAsia="en-AU"/>
        </w:rPr>
        <w:t>submissions</w:t>
      </w:r>
      <w:r w:rsidR="009F78A9">
        <w:rPr>
          <w:rFonts w:eastAsia="Times New Roman"/>
          <w:lang w:eastAsia="en-AU"/>
        </w:rPr>
        <w:t xml:space="preserve"> on the instrument</w:t>
      </w:r>
      <w:r w:rsidR="00C05BA9">
        <w:rPr>
          <w:rFonts w:eastAsia="Times New Roman"/>
          <w:lang w:eastAsia="en-AU"/>
        </w:rPr>
        <w:t xml:space="preserve"> were received </w:t>
      </w:r>
      <w:r w:rsidR="009F78A9">
        <w:rPr>
          <w:rFonts w:eastAsia="Times New Roman"/>
          <w:lang w:eastAsia="en-AU"/>
        </w:rPr>
        <w:t xml:space="preserve">during this consultation. </w:t>
      </w:r>
    </w:p>
    <w:p w14:paraId="633C45FD" w14:textId="77777777" w:rsidR="000968F4" w:rsidRDefault="000968F4" w:rsidP="00734A34">
      <w:pPr>
        <w:spacing w:before="0" w:line="240" w:lineRule="auto"/>
        <w:ind w:right="91"/>
        <w:rPr>
          <w:rFonts w:eastAsia="Times New Roman"/>
          <w:lang w:eastAsia="en-AU"/>
        </w:rPr>
      </w:pPr>
    </w:p>
    <w:p w14:paraId="78197B60" w14:textId="63003921" w:rsidR="004379E4" w:rsidRPr="004379E4" w:rsidRDefault="004379E4" w:rsidP="00734A34">
      <w:pPr>
        <w:spacing w:before="0" w:line="240" w:lineRule="auto"/>
        <w:ind w:right="91"/>
        <w:rPr>
          <w:rFonts w:eastAsia="Times New Roman"/>
          <w:szCs w:val="20"/>
          <w:lang w:eastAsia="en-AU"/>
        </w:rPr>
      </w:pPr>
      <w:r>
        <w:rPr>
          <w:rFonts w:eastAsia="Times New Roman"/>
          <w:lang w:eastAsia="en-AU"/>
        </w:rPr>
        <w:t xml:space="preserve">The </w:t>
      </w:r>
      <w:r w:rsidR="00734A34">
        <w:rPr>
          <w:rFonts w:eastAsia="Times New Roman"/>
          <w:lang w:eastAsia="en-AU"/>
        </w:rPr>
        <w:t>O</w:t>
      </w:r>
      <w:r>
        <w:rPr>
          <w:rFonts w:eastAsia="Times New Roman"/>
          <w:lang w:eastAsia="en-AU"/>
        </w:rPr>
        <w:t>ffice of Impact Analysis (</w:t>
      </w:r>
      <w:r w:rsidR="000F40F5">
        <w:rPr>
          <w:rFonts w:eastAsia="Times New Roman"/>
          <w:lang w:eastAsia="en-AU"/>
        </w:rPr>
        <w:t>‘</w:t>
      </w:r>
      <w:r>
        <w:rPr>
          <w:rFonts w:eastAsia="Times New Roman"/>
          <w:lang w:eastAsia="en-AU"/>
        </w:rPr>
        <w:t>OIA</w:t>
      </w:r>
      <w:r w:rsidR="000F40F5">
        <w:rPr>
          <w:rFonts w:eastAsia="Times New Roman"/>
          <w:lang w:eastAsia="en-AU"/>
        </w:rPr>
        <w:t>’</w:t>
      </w:r>
      <w:r>
        <w:rPr>
          <w:rFonts w:eastAsia="Times New Roman"/>
          <w:lang w:eastAsia="en-AU"/>
        </w:rPr>
        <w:t>) was also consulted and advised that an Impact Analysis is not required (OIA23-05857).</w:t>
      </w:r>
      <w:r>
        <w:rPr>
          <w:rFonts w:eastAsia="Times New Roman"/>
          <w:szCs w:val="20"/>
          <w:lang w:eastAsia="en-AU"/>
        </w:rPr>
        <w:t xml:space="preserve"> </w:t>
      </w:r>
      <w:r w:rsidR="00920F55" w:rsidRPr="00920F55">
        <w:rPr>
          <w:rFonts w:eastAsia="Times New Roman"/>
          <w:szCs w:val="20"/>
          <w:lang w:eastAsia="en-AU"/>
        </w:rPr>
        <w:t>The transitional arrangements continue previous accreditation arrangements for data service providers handling Australian Government data. This instrument is technical and machinery in nature. The instrument will not impact business activity and will have no, or minimal, compliance costs or competition impact.</w:t>
      </w:r>
    </w:p>
    <w:p w14:paraId="587FBE55" w14:textId="77777777" w:rsidR="00131718" w:rsidRPr="00A93391" w:rsidRDefault="00131718" w:rsidP="00CA3979">
      <w:pPr>
        <w:spacing w:before="0" w:line="240" w:lineRule="auto"/>
        <w:ind w:right="91"/>
        <w:jc w:val="both"/>
        <w:rPr>
          <w:rFonts w:eastAsia="Times New Roman"/>
          <w:szCs w:val="20"/>
          <w:lang w:eastAsia="en-AU"/>
        </w:rPr>
      </w:pPr>
    </w:p>
    <w:p w14:paraId="37B5AC61" w14:textId="77777777" w:rsidR="00131718" w:rsidRPr="00A93391" w:rsidRDefault="7E23DA1A" w:rsidP="7E23DA1A">
      <w:pPr>
        <w:spacing w:before="0" w:line="240" w:lineRule="auto"/>
        <w:ind w:right="91"/>
        <w:jc w:val="both"/>
        <w:rPr>
          <w:rFonts w:eastAsia="Times New Roman"/>
          <w:b/>
          <w:bCs/>
          <w:lang w:eastAsia="en-AU"/>
        </w:rPr>
      </w:pPr>
      <w:r w:rsidRPr="00A93391">
        <w:rPr>
          <w:rFonts w:eastAsia="Times New Roman"/>
          <w:b/>
          <w:bCs/>
          <w:lang w:eastAsia="en-AU"/>
        </w:rPr>
        <w:t>Explanation of provisions</w:t>
      </w:r>
    </w:p>
    <w:p w14:paraId="4FA2D57C" w14:textId="77777777" w:rsidR="00131718" w:rsidRPr="00A93391" w:rsidRDefault="00131718" w:rsidP="00CA3979">
      <w:pPr>
        <w:spacing w:before="0" w:line="240" w:lineRule="auto"/>
        <w:ind w:right="91"/>
        <w:jc w:val="both"/>
        <w:rPr>
          <w:rFonts w:eastAsia="Times New Roman"/>
          <w:szCs w:val="20"/>
          <w:lang w:eastAsia="en-AU"/>
        </w:rPr>
      </w:pPr>
    </w:p>
    <w:p w14:paraId="34E4E47E" w14:textId="5017D095" w:rsidR="00131718" w:rsidRPr="00A93391" w:rsidRDefault="7E23DA1A" w:rsidP="002570C9">
      <w:pPr>
        <w:spacing w:before="0" w:line="240" w:lineRule="auto"/>
        <w:ind w:right="91"/>
        <w:rPr>
          <w:rFonts w:eastAsia="Times New Roman"/>
          <w:lang w:eastAsia="en-AU"/>
        </w:rPr>
      </w:pPr>
      <w:r w:rsidRPr="00A93391">
        <w:rPr>
          <w:rFonts w:eastAsia="Times New Roman"/>
          <w:b/>
          <w:bCs/>
          <w:lang w:eastAsia="en-AU"/>
        </w:rPr>
        <w:t xml:space="preserve">Section 1 </w:t>
      </w:r>
      <w:r w:rsidRPr="00A93391">
        <w:rPr>
          <w:rFonts w:eastAsia="Times New Roman"/>
          <w:lang w:eastAsia="en-AU"/>
        </w:rPr>
        <w:t xml:space="preserve">provides that the name of the instrument is the </w:t>
      </w:r>
      <w:r w:rsidRPr="00A93391">
        <w:rPr>
          <w:rFonts w:eastAsia="Times New Roman"/>
          <w:i/>
          <w:iCs/>
          <w:lang w:eastAsia="en-AU"/>
        </w:rPr>
        <w:t>Data Availability and Transparency (Consequential Amendments) Transitional Rules</w:t>
      </w:r>
      <w:r w:rsidR="00785373">
        <w:rPr>
          <w:rFonts w:eastAsia="Times New Roman"/>
          <w:i/>
          <w:iCs/>
          <w:lang w:eastAsia="en-AU"/>
        </w:rPr>
        <w:t xml:space="preserve"> (Transitional Entity) Amendment Rule</w:t>
      </w:r>
      <w:r w:rsidRPr="00A93391">
        <w:rPr>
          <w:rFonts w:eastAsia="Times New Roman"/>
          <w:i/>
          <w:iCs/>
          <w:lang w:eastAsia="en-AU"/>
        </w:rPr>
        <w:t xml:space="preserve"> 202</w:t>
      </w:r>
      <w:r w:rsidR="00785373">
        <w:rPr>
          <w:rFonts w:eastAsia="Times New Roman"/>
          <w:i/>
          <w:iCs/>
          <w:lang w:eastAsia="en-AU"/>
        </w:rPr>
        <w:t>3</w:t>
      </w:r>
      <w:r w:rsidRPr="00A93391">
        <w:rPr>
          <w:rFonts w:eastAsia="Times New Roman"/>
          <w:lang w:eastAsia="en-AU"/>
        </w:rPr>
        <w:t>.</w:t>
      </w:r>
    </w:p>
    <w:p w14:paraId="4C1E8592" w14:textId="77777777" w:rsidR="00131718" w:rsidRPr="00A93391" w:rsidRDefault="00131718" w:rsidP="002570C9">
      <w:pPr>
        <w:spacing w:before="0" w:line="240" w:lineRule="auto"/>
        <w:ind w:right="91"/>
        <w:rPr>
          <w:rFonts w:eastAsia="Times New Roman"/>
          <w:szCs w:val="20"/>
          <w:lang w:eastAsia="en-AU"/>
        </w:rPr>
      </w:pPr>
    </w:p>
    <w:p w14:paraId="49F71D09" w14:textId="77777777" w:rsidR="00131718" w:rsidRPr="00A93391" w:rsidRDefault="7E23DA1A" w:rsidP="002570C9">
      <w:pPr>
        <w:spacing w:before="0" w:line="240" w:lineRule="auto"/>
        <w:ind w:right="91"/>
        <w:rPr>
          <w:rFonts w:eastAsia="Times New Roman"/>
          <w:lang w:eastAsia="en-AU"/>
        </w:rPr>
      </w:pPr>
      <w:r w:rsidRPr="00A93391">
        <w:rPr>
          <w:rFonts w:eastAsia="Times New Roman"/>
          <w:b/>
          <w:bCs/>
          <w:lang w:eastAsia="en-AU"/>
        </w:rPr>
        <w:t>Section 2</w:t>
      </w:r>
      <w:r w:rsidRPr="00A93391">
        <w:rPr>
          <w:rFonts w:eastAsia="Times New Roman"/>
          <w:lang w:eastAsia="en-AU"/>
        </w:rPr>
        <w:t xml:space="preserve"> provides that the instrument commences the day after it is registered on the Federal Register of Legislation.</w:t>
      </w:r>
    </w:p>
    <w:p w14:paraId="2821CACC" w14:textId="77777777" w:rsidR="0006555E" w:rsidRPr="00A93391" w:rsidRDefault="0006555E" w:rsidP="002570C9">
      <w:pPr>
        <w:spacing w:before="0" w:line="240" w:lineRule="auto"/>
        <w:ind w:right="91"/>
        <w:rPr>
          <w:rFonts w:eastAsia="Times New Roman"/>
          <w:szCs w:val="20"/>
          <w:lang w:eastAsia="en-AU"/>
        </w:rPr>
      </w:pPr>
    </w:p>
    <w:p w14:paraId="336DB67F" w14:textId="10442BB6" w:rsidR="0006555E" w:rsidRPr="00A93391" w:rsidRDefault="7E23DA1A" w:rsidP="002570C9">
      <w:pPr>
        <w:spacing w:before="0" w:line="240" w:lineRule="auto"/>
        <w:ind w:right="91"/>
        <w:rPr>
          <w:rFonts w:eastAsia="Times New Roman"/>
          <w:lang w:eastAsia="en-AU"/>
        </w:rPr>
      </w:pPr>
      <w:r w:rsidRPr="00A93391">
        <w:rPr>
          <w:rFonts w:eastAsia="Times New Roman"/>
          <w:b/>
          <w:bCs/>
          <w:lang w:eastAsia="en-AU"/>
        </w:rPr>
        <w:t>Section 3</w:t>
      </w:r>
      <w:r w:rsidRPr="00A93391">
        <w:rPr>
          <w:rFonts w:eastAsia="Times New Roman"/>
          <w:lang w:eastAsia="en-AU"/>
        </w:rPr>
        <w:t xml:space="preserve"> provides that the instrument is made under Schedule 3 </w:t>
      </w:r>
      <w:r w:rsidR="00785373">
        <w:rPr>
          <w:rFonts w:eastAsia="Times New Roman"/>
          <w:lang w:eastAsia="en-AU"/>
        </w:rPr>
        <w:t xml:space="preserve">of the </w:t>
      </w:r>
      <w:r w:rsidRPr="00A93391">
        <w:rPr>
          <w:rFonts w:eastAsia="Times New Roman"/>
          <w:lang w:eastAsia="en-AU"/>
        </w:rPr>
        <w:t xml:space="preserve">Act. Item 4 </w:t>
      </w:r>
      <w:r w:rsidR="00785373">
        <w:rPr>
          <w:rFonts w:eastAsia="Times New Roman"/>
          <w:lang w:eastAsia="en-AU"/>
        </w:rPr>
        <w:t xml:space="preserve">in Schedule 3 </w:t>
      </w:r>
      <w:r w:rsidRPr="00A93391">
        <w:rPr>
          <w:rFonts w:eastAsia="Times New Roman"/>
          <w:lang w:eastAsia="en-AU"/>
        </w:rPr>
        <w:t xml:space="preserve">provides that the Minister may, by legislative instrument, make rules prescribing matters required or permitted to be prescribed by the Schedule. Items 1 and 2 </w:t>
      </w:r>
      <w:r w:rsidR="0099378F">
        <w:rPr>
          <w:rFonts w:eastAsia="Times New Roman"/>
          <w:lang w:eastAsia="en-AU"/>
        </w:rPr>
        <w:t>in</w:t>
      </w:r>
      <w:r w:rsidRPr="00A93391">
        <w:rPr>
          <w:rFonts w:eastAsia="Times New Roman"/>
          <w:lang w:eastAsia="en-AU"/>
        </w:rPr>
        <w:t xml:space="preserve"> Schedule </w:t>
      </w:r>
      <w:r w:rsidR="0099378F">
        <w:rPr>
          <w:rFonts w:eastAsia="Times New Roman"/>
          <w:lang w:eastAsia="en-AU"/>
        </w:rPr>
        <w:t xml:space="preserve">3 </w:t>
      </w:r>
      <w:r w:rsidRPr="00A93391">
        <w:rPr>
          <w:rFonts w:eastAsia="Times New Roman"/>
          <w:lang w:eastAsia="en-AU"/>
        </w:rPr>
        <w:t xml:space="preserve">provide that the Minister may prescribe Australian entities (as defined in the </w:t>
      </w:r>
      <w:r w:rsidR="0099378F">
        <w:rPr>
          <w:rFonts w:eastAsia="Times New Roman"/>
          <w:lang w:eastAsia="en-AU"/>
        </w:rPr>
        <w:t xml:space="preserve">DAT </w:t>
      </w:r>
      <w:r w:rsidRPr="00A93391">
        <w:rPr>
          <w:rFonts w:eastAsia="Times New Roman"/>
          <w:lang w:eastAsia="en-AU"/>
        </w:rPr>
        <w:t>Act) as transitional entities, and prescribe conditions of accreditation and the transition period for such transitional entities.</w:t>
      </w:r>
    </w:p>
    <w:p w14:paraId="12FEFD6E" w14:textId="77777777" w:rsidR="00262D07" w:rsidRPr="00A93391" w:rsidRDefault="00262D07" w:rsidP="002570C9">
      <w:pPr>
        <w:spacing w:before="0" w:line="240" w:lineRule="auto"/>
        <w:ind w:right="91"/>
        <w:rPr>
          <w:rFonts w:eastAsia="Times New Roman"/>
          <w:szCs w:val="20"/>
          <w:lang w:eastAsia="en-AU"/>
        </w:rPr>
      </w:pPr>
    </w:p>
    <w:p w14:paraId="5B4D2FE3" w14:textId="43B052EA" w:rsidR="00262D07" w:rsidRPr="00AA7EEF" w:rsidRDefault="7E23DA1A" w:rsidP="002570C9">
      <w:pPr>
        <w:spacing w:before="0" w:line="240" w:lineRule="auto"/>
        <w:ind w:right="91"/>
        <w:rPr>
          <w:rFonts w:eastAsia="Times New Roman"/>
          <w:i/>
          <w:iCs/>
          <w:lang w:eastAsia="en-AU"/>
        </w:rPr>
      </w:pPr>
      <w:r w:rsidRPr="00A93391">
        <w:rPr>
          <w:rFonts w:eastAsia="Times New Roman"/>
          <w:b/>
          <w:bCs/>
          <w:lang w:eastAsia="en-AU"/>
        </w:rPr>
        <w:t>Section 4</w:t>
      </w:r>
      <w:r w:rsidRPr="00A93391">
        <w:rPr>
          <w:rFonts w:eastAsia="Times New Roman"/>
          <w:lang w:eastAsia="en-AU"/>
        </w:rPr>
        <w:t xml:space="preserve"> provides </w:t>
      </w:r>
      <w:r w:rsidR="00AA7EEF">
        <w:rPr>
          <w:rFonts w:eastAsia="Times New Roman"/>
          <w:lang w:eastAsia="en-AU"/>
        </w:rPr>
        <w:t xml:space="preserve">that Schedule 1 to the instrument amends the </w:t>
      </w:r>
      <w:r w:rsidR="00AA7EEF">
        <w:rPr>
          <w:rFonts w:eastAsia="Times New Roman"/>
          <w:i/>
          <w:iCs/>
          <w:lang w:eastAsia="en-AU"/>
        </w:rPr>
        <w:t>Data Availability and Transparency (Consequential Amendments) Transitional Rules 2022</w:t>
      </w:r>
      <w:r w:rsidR="005C733B">
        <w:rPr>
          <w:rFonts w:eastAsia="Times New Roman"/>
          <w:i/>
          <w:iCs/>
          <w:lang w:eastAsia="en-AU"/>
        </w:rPr>
        <w:t xml:space="preserve"> </w:t>
      </w:r>
      <w:r w:rsidR="005C733B">
        <w:rPr>
          <w:rFonts w:eastAsia="Times New Roman"/>
          <w:lang w:eastAsia="en-AU"/>
        </w:rPr>
        <w:t>(</w:t>
      </w:r>
      <w:r w:rsidR="00857C36">
        <w:rPr>
          <w:rFonts w:eastAsia="Times New Roman"/>
          <w:lang w:eastAsia="en-AU"/>
        </w:rPr>
        <w:t>‘</w:t>
      </w:r>
      <w:r w:rsidR="00976401">
        <w:rPr>
          <w:rFonts w:eastAsia="Times New Roman"/>
          <w:lang w:eastAsia="en-AU"/>
        </w:rPr>
        <w:t>DATCA Rules</w:t>
      </w:r>
      <w:r w:rsidR="00857C36">
        <w:rPr>
          <w:rFonts w:eastAsia="Times New Roman"/>
          <w:lang w:eastAsia="en-AU"/>
        </w:rPr>
        <w:t>’</w:t>
      </w:r>
      <w:r w:rsidR="00976401">
        <w:rPr>
          <w:rFonts w:eastAsia="Times New Roman"/>
          <w:lang w:eastAsia="en-AU"/>
        </w:rPr>
        <w:t>)</w:t>
      </w:r>
      <w:r w:rsidR="00AA7EEF">
        <w:rPr>
          <w:rFonts w:eastAsia="Times New Roman"/>
          <w:i/>
          <w:iCs/>
          <w:lang w:eastAsia="en-AU"/>
        </w:rPr>
        <w:t xml:space="preserve">. </w:t>
      </w:r>
    </w:p>
    <w:p w14:paraId="3B3309E2" w14:textId="77777777" w:rsidR="0021796A" w:rsidRPr="00A93391" w:rsidRDefault="0021796A" w:rsidP="002570C9">
      <w:pPr>
        <w:spacing w:before="0" w:line="240" w:lineRule="auto"/>
        <w:ind w:right="91"/>
        <w:rPr>
          <w:rFonts w:eastAsia="Times New Roman"/>
          <w:szCs w:val="20"/>
          <w:lang w:eastAsia="en-AU"/>
        </w:rPr>
      </w:pPr>
    </w:p>
    <w:p w14:paraId="300EE497" w14:textId="18655A1C" w:rsidR="0021796A" w:rsidRPr="00A93391" w:rsidRDefault="005C733B" w:rsidP="002570C9">
      <w:pPr>
        <w:spacing w:before="0" w:line="240" w:lineRule="auto"/>
        <w:ind w:right="91"/>
        <w:rPr>
          <w:rFonts w:eastAsia="Times New Roman"/>
          <w:lang w:eastAsia="en-AU"/>
        </w:rPr>
      </w:pPr>
      <w:r>
        <w:rPr>
          <w:rFonts w:eastAsia="Times New Roman"/>
          <w:b/>
          <w:bCs/>
          <w:lang w:eastAsia="en-AU"/>
        </w:rPr>
        <w:t>Item 1, Schedule 1</w:t>
      </w:r>
      <w:r w:rsidR="7E23DA1A" w:rsidRPr="00A93391">
        <w:rPr>
          <w:rFonts w:eastAsia="Times New Roman"/>
          <w:lang w:eastAsia="en-AU"/>
        </w:rPr>
        <w:t xml:space="preserve"> </w:t>
      </w:r>
      <w:r w:rsidR="009A2894">
        <w:rPr>
          <w:rFonts w:eastAsia="Times New Roman"/>
          <w:lang w:eastAsia="en-AU"/>
        </w:rPr>
        <w:t>amends</w:t>
      </w:r>
      <w:r w:rsidR="00976401">
        <w:rPr>
          <w:rFonts w:eastAsia="Times New Roman"/>
          <w:lang w:eastAsia="en-AU"/>
        </w:rPr>
        <w:t xml:space="preserve"> section 4 of the DATCA Rules </w:t>
      </w:r>
      <w:r w:rsidR="006A59EB">
        <w:rPr>
          <w:rFonts w:eastAsia="Times New Roman"/>
          <w:lang w:eastAsia="en-AU"/>
        </w:rPr>
        <w:t xml:space="preserve">by adding a definition for ‘Queensland Health’. </w:t>
      </w:r>
      <w:r w:rsidR="00F26994">
        <w:rPr>
          <w:rFonts w:eastAsia="Times New Roman"/>
          <w:lang w:eastAsia="en-AU"/>
        </w:rPr>
        <w:t xml:space="preserve">The definition clarifies that references to Queensland Health in the instrument </w:t>
      </w:r>
      <w:r w:rsidR="002C68E1">
        <w:rPr>
          <w:rFonts w:eastAsia="Times New Roman"/>
          <w:lang w:eastAsia="en-AU"/>
        </w:rPr>
        <w:t xml:space="preserve">are references to the </w:t>
      </w:r>
      <w:r w:rsidR="00A33233">
        <w:rPr>
          <w:rFonts w:eastAsia="Times New Roman"/>
          <w:lang w:eastAsia="en-AU"/>
        </w:rPr>
        <w:t>department of government</w:t>
      </w:r>
      <w:r w:rsidR="00FE16B8">
        <w:rPr>
          <w:rFonts w:eastAsia="Times New Roman"/>
          <w:lang w:eastAsia="en-AU"/>
        </w:rPr>
        <w:t xml:space="preserve"> called Queensland Health, a department </w:t>
      </w:r>
      <w:r w:rsidR="00A33233">
        <w:rPr>
          <w:rFonts w:eastAsia="Times New Roman"/>
          <w:lang w:eastAsia="en-AU"/>
        </w:rPr>
        <w:t>of the State of Queensland</w:t>
      </w:r>
      <w:r w:rsidR="00734A34">
        <w:rPr>
          <w:rFonts w:eastAsia="Times New Roman"/>
          <w:lang w:eastAsia="en-AU"/>
        </w:rPr>
        <w:t xml:space="preserve">. </w:t>
      </w:r>
    </w:p>
    <w:p w14:paraId="46644541" w14:textId="77777777" w:rsidR="00947097" w:rsidRPr="00A93391" w:rsidRDefault="00947097" w:rsidP="002570C9">
      <w:pPr>
        <w:spacing w:before="0" w:line="240" w:lineRule="auto"/>
        <w:ind w:right="91"/>
        <w:rPr>
          <w:rFonts w:eastAsia="Times New Roman"/>
          <w:szCs w:val="20"/>
          <w:lang w:eastAsia="en-AU"/>
        </w:rPr>
      </w:pPr>
    </w:p>
    <w:p w14:paraId="2076D41E" w14:textId="13079015" w:rsidR="00763BF8" w:rsidRPr="00763BF8" w:rsidRDefault="00FE16B8" w:rsidP="00962FB1">
      <w:pPr>
        <w:spacing w:before="0"/>
        <w:rPr>
          <w:rFonts w:eastAsia="Times New Roman"/>
          <w:lang w:eastAsia="en-AU"/>
        </w:rPr>
      </w:pPr>
      <w:r>
        <w:rPr>
          <w:rFonts w:eastAsia="Times New Roman"/>
          <w:b/>
          <w:bCs/>
          <w:lang w:eastAsia="en-AU"/>
        </w:rPr>
        <w:t xml:space="preserve">Item 2, </w:t>
      </w:r>
      <w:r w:rsidR="00876A9A">
        <w:rPr>
          <w:rFonts w:eastAsia="Times New Roman"/>
          <w:b/>
          <w:bCs/>
          <w:lang w:eastAsia="en-AU"/>
        </w:rPr>
        <w:t>Schedule 1</w:t>
      </w:r>
      <w:r w:rsidRPr="00A93391">
        <w:rPr>
          <w:rFonts w:eastAsia="Times New Roman"/>
          <w:b/>
          <w:bCs/>
          <w:lang w:eastAsia="en-AU"/>
        </w:rPr>
        <w:t xml:space="preserve"> </w:t>
      </w:r>
      <w:r w:rsidR="009A2894" w:rsidRPr="009A2894">
        <w:rPr>
          <w:rFonts w:eastAsia="Times New Roman"/>
          <w:lang w:eastAsia="en-AU"/>
        </w:rPr>
        <w:t>amends the table</w:t>
      </w:r>
      <w:r w:rsidR="007C2637">
        <w:rPr>
          <w:rFonts w:eastAsia="Times New Roman"/>
          <w:lang w:eastAsia="en-AU"/>
        </w:rPr>
        <w:t xml:space="preserve"> in section 5 of the DATCA Rules by adding a new item 4A</w:t>
      </w:r>
      <w:r w:rsidR="00714126">
        <w:rPr>
          <w:rFonts w:eastAsia="Times New Roman"/>
          <w:lang w:eastAsia="en-AU"/>
        </w:rPr>
        <w:t xml:space="preserve"> after item 4 in the table. The new item 4A </w:t>
      </w:r>
      <w:r w:rsidR="00557E7F">
        <w:rPr>
          <w:rFonts w:eastAsia="Times New Roman"/>
          <w:lang w:eastAsia="en-AU"/>
        </w:rPr>
        <w:t>adds</w:t>
      </w:r>
      <w:r w:rsidR="00220A22">
        <w:rPr>
          <w:rFonts w:eastAsia="Times New Roman"/>
          <w:lang w:eastAsia="en-AU"/>
        </w:rPr>
        <w:t xml:space="preserve"> Queensland Health </w:t>
      </w:r>
      <w:r w:rsidR="00557E7F">
        <w:rPr>
          <w:rFonts w:eastAsia="Times New Roman"/>
          <w:lang w:eastAsia="en-AU"/>
        </w:rPr>
        <w:t>to the list of transitional entities in the table. The new item prescribes</w:t>
      </w:r>
      <w:r w:rsidR="7E23DA1A" w:rsidRPr="00A93391">
        <w:rPr>
          <w:rFonts w:eastAsia="Times New Roman"/>
          <w:lang w:eastAsia="en-AU"/>
        </w:rPr>
        <w:t xml:space="preserve"> </w:t>
      </w:r>
      <w:r w:rsidR="00124257">
        <w:rPr>
          <w:rFonts w:eastAsia="Times New Roman"/>
          <w:lang w:eastAsia="en-AU"/>
        </w:rPr>
        <w:t xml:space="preserve">the </w:t>
      </w:r>
      <w:r w:rsidR="7E23DA1A" w:rsidRPr="00A93391">
        <w:rPr>
          <w:rFonts w:eastAsia="Times New Roman"/>
          <w:lang w:eastAsia="en-AU"/>
        </w:rPr>
        <w:t xml:space="preserve">conditions </w:t>
      </w:r>
      <w:r w:rsidR="00124257">
        <w:rPr>
          <w:rFonts w:eastAsia="Times New Roman"/>
          <w:lang w:eastAsia="en-AU"/>
        </w:rPr>
        <w:t xml:space="preserve">that apply to Queensland Health as a transitional entity. </w:t>
      </w:r>
      <w:r w:rsidR="7E23DA1A" w:rsidRPr="00A93391">
        <w:rPr>
          <w:rFonts w:eastAsia="Times New Roman"/>
          <w:lang w:eastAsia="en-AU"/>
        </w:rPr>
        <w:t xml:space="preserve">These conditions limit the data services that may be provided by </w:t>
      </w:r>
      <w:r w:rsidR="00124257">
        <w:rPr>
          <w:rFonts w:eastAsia="Times New Roman"/>
          <w:lang w:eastAsia="en-AU"/>
        </w:rPr>
        <w:t>Queensland Health</w:t>
      </w:r>
      <w:r w:rsidR="00763BF8">
        <w:rPr>
          <w:rFonts w:eastAsia="Times New Roman"/>
          <w:lang w:eastAsia="en-AU"/>
        </w:rPr>
        <w:t xml:space="preserve"> as follows</w:t>
      </w:r>
      <w:r w:rsidR="00734A34">
        <w:rPr>
          <w:rFonts w:eastAsia="Times New Roman"/>
          <w:lang w:eastAsia="en-AU"/>
        </w:rPr>
        <w:t>:</w:t>
      </w:r>
      <w:r w:rsidR="00763BF8">
        <w:rPr>
          <w:rFonts w:eastAsia="Times New Roman"/>
          <w:lang w:eastAsia="en-AU"/>
        </w:rPr>
        <w:t xml:space="preserve"> </w:t>
      </w:r>
    </w:p>
    <w:p w14:paraId="4C68FD41" w14:textId="438A73FB" w:rsidR="00210C1D" w:rsidRPr="009E034F" w:rsidRDefault="00763BF8" w:rsidP="009E034F">
      <w:pPr>
        <w:pStyle w:val="ListParagraph"/>
        <w:numPr>
          <w:ilvl w:val="0"/>
          <w:numId w:val="45"/>
        </w:numPr>
        <w:spacing w:before="0" w:line="240" w:lineRule="auto"/>
        <w:ind w:right="91"/>
        <w:rPr>
          <w:rFonts w:ascii="Times New Roman" w:eastAsia="Times New Roman" w:hAnsi="Times New Roman"/>
          <w:sz w:val="24"/>
          <w:szCs w:val="24"/>
          <w:lang w:eastAsia="en-AU"/>
        </w:rPr>
      </w:pPr>
      <w:r w:rsidRPr="009E034F">
        <w:rPr>
          <w:rFonts w:ascii="Times New Roman" w:hAnsi="Times New Roman"/>
          <w:sz w:val="24"/>
          <w:szCs w:val="24"/>
          <w:lang w:eastAsia="en-AU"/>
        </w:rPr>
        <w:t>it must not provide complex data integration services as part of a project unless those services are provided by the Statistical Services Branch undertaking data linkage activities only</w:t>
      </w:r>
      <w:r w:rsidR="00734A34">
        <w:rPr>
          <w:rFonts w:ascii="Times New Roman" w:hAnsi="Times New Roman"/>
          <w:sz w:val="24"/>
          <w:szCs w:val="24"/>
          <w:lang w:eastAsia="en-AU"/>
        </w:rPr>
        <w:t>;</w:t>
      </w:r>
      <w:r w:rsidRPr="009E034F">
        <w:rPr>
          <w:rFonts w:ascii="Times New Roman" w:hAnsi="Times New Roman"/>
          <w:sz w:val="24"/>
          <w:szCs w:val="24"/>
          <w:lang w:eastAsia="en-AU"/>
        </w:rPr>
        <w:t xml:space="preserve"> </w:t>
      </w:r>
    </w:p>
    <w:p w14:paraId="72C87343" w14:textId="4F159CEA" w:rsidR="00210C1D" w:rsidRPr="00763BF8" w:rsidRDefault="00763BF8" w:rsidP="00763BF8">
      <w:pPr>
        <w:pStyle w:val="ListParagraph"/>
        <w:numPr>
          <w:ilvl w:val="0"/>
          <w:numId w:val="45"/>
        </w:numPr>
        <w:spacing w:before="0" w:line="240" w:lineRule="auto"/>
        <w:ind w:right="91"/>
        <w:rPr>
          <w:rFonts w:ascii="Times New Roman" w:eastAsia="Times New Roman" w:hAnsi="Times New Roman"/>
          <w:sz w:val="24"/>
          <w:szCs w:val="24"/>
          <w:lang w:eastAsia="en-AU"/>
        </w:rPr>
      </w:pPr>
      <w:r w:rsidRPr="00763BF8">
        <w:rPr>
          <w:rFonts w:ascii="Times New Roman" w:eastAsia="Times New Roman" w:hAnsi="Times New Roman"/>
          <w:sz w:val="24"/>
          <w:szCs w:val="24"/>
          <w:lang w:eastAsia="en-AU"/>
        </w:rPr>
        <w:t>it</w:t>
      </w:r>
      <w:r w:rsidR="00210C1D" w:rsidRPr="00763BF8">
        <w:rPr>
          <w:rFonts w:ascii="Times New Roman" w:eastAsia="Times New Roman" w:hAnsi="Times New Roman"/>
          <w:sz w:val="24"/>
          <w:szCs w:val="24"/>
          <w:lang w:eastAsia="en-AU"/>
        </w:rPr>
        <w:t xml:space="preserve"> must not provide secure access data services as part of a project; and </w:t>
      </w:r>
    </w:p>
    <w:p w14:paraId="0EFACA94" w14:textId="0B31A4A3" w:rsidR="00210C1D" w:rsidRPr="00763BF8" w:rsidDel="00825C6E" w:rsidRDefault="00763BF8" w:rsidP="00763BF8">
      <w:pPr>
        <w:pStyle w:val="ListParagraph"/>
        <w:numPr>
          <w:ilvl w:val="0"/>
          <w:numId w:val="45"/>
        </w:numPr>
        <w:spacing w:before="0" w:line="240" w:lineRule="auto"/>
        <w:ind w:right="91"/>
        <w:rPr>
          <w:rFonts w:ascii="Times New Roman" w:eastAsia="Times New Roman" w:hAnsi="Times New Roman"/>
          <w:sz w:val="24"/>
          <w:szCs w:val="24"/>
          <w:lang w:eastAsia="en-AU"/>
        </w:rPr>
      </w:pPr>
      <w:r w:rsidRPr="00763BF8">
        <w:rPr>
          <w:rFonts w:ascii="Times New Roman" w:eastAsia="Times New Roman" w:hAnsi="Times New Roman"/>
          <w:sz w:val="24"/>
          <w:szCs w:val="24"/>
          <w:lang w:eastAsia="en-AU"/>
        </w:rPr>
        <w:t>it</w:t>
      </w:r>
      <w:r w:rsidR="00210C1D" w:rsidRPr="00763BF8">
        <w:rPr>
          <w:rFonts w:ascii="Times New Roman" w:eastAsia="Times New Roman" w:hAnsi="Times New Roman"/>
          <w:sz w:val="24"/>
          <w:szCs w:val="24"/>
          <w:lang w:eastAsia="en-AU"/>
        </w:rPr>
        <w:t xml:space="preserve"> must not provide de-identification services as part of a project. </w:t>
      </w:r>
    </w:p>
    <w:p w14:paraId="1AA43B4E" w14:textId="77777777" w:rsidR="00210C1D" w:rsidRDefault="00210C1D" w:rsidP="002570C9">
      <w:pPr>
        <w:spacing w:before="0" w:line="240" w:lineRule="auto"/>
        <w:ind w:right="91"/>
        <w:rPr>
          <w:rFonts w:eastAsia="Times New Roman"/>
          <w:lang w:eastAsia="en-AU"/>
        </w:rPr>
      </w:pPr>
    </w:p>
    <w:p w14:paraId="348C4C83" w14:textId="77777777" w:rsidR="009E034F" w:rsidRDefault="009E034F" w:rsidP="002570C9">
      <w:pPr>
        <w:spacing w:before="0" w:line="240" w:lineRule="auto"/>
        <w:ind w:right="91"/>
        <w:rPr>
          <w:rFonts w:eastAsia="Times New Roman"/>
          <w:szCs w:val="24"/>
          <w:lang w:eastAsia="en-AU"/>
        </w:rPr>
      </w:pPr>
      <w:r w:rsidRPr="009E034F">
        <w:rPr>
          <w:rFonts w:eastAsia="Times New Roman"/>
          <w:szCs w:val="24"/>
          <w:lang w:eastAsia="en-AU"/>
        </w:rPr>
        <w:lastRenderedPageBreak/>
        <w:t xml:space="preserve">Data linkage is a subset of complex data integration involving the initial steps in data integration; namely the matching of identifiable information from data sources so it is linked in order to create anonymised linkage keys. </w:t>
      </w:r>
    </w:p>
    <w:p w14:paraId="0D7E7DE5" w14:textId="77777777" w:rsidR="009E034F" w:rsidRDefault="009E034F" w:rsidP="002570C9">
      <w:pPr>
        <w:spacing w:before="0" w:line="240" w:lineRule="auto"/>
        <w:ind w:right="91"/>
        <w:rPr>
          <w:rFonts w:eastAsia="Times New Roman"/>
          <w:szCs w:val="24"/>
          <w:lang w:eastAsia="en-AU"/>
        </w:rPr>
      </w:pPr>
    </w:p>
    <w:p w14:paraId="0FC1A4A2" w14:textId="417A5793" w:rsidR="0058598A" w:rsidRDefault="00526D26" w:rsidP="002570C9">
      <w:pPr>
        <w:spacing w:before="0" w:line="240" w:lineRule="auto"/>
        <w:ind w:right="91"/>
        <w:rPr>
          <w:rFonts w:eastAsia="Times New Roman"/>
          <w:lang w:eastAsia="en-AU"/>
        </w:rPr>
      </w:pPr>
      <w:r>
        <w:rPr>
          <w:rFonts w:eastAsia="Times New Roman"/>
          <w:lang w:eastAsia="en-AU"/>
        </w:rPr>
        <w:t xml:space="preserve">The new item also prescribes that the transitional period for Queensland Health commences on the day the instrument commences. </w:t>
      </w:r>
    </w:p>
    <w:p w14:paraId="1EE798F2" w14:textId="77777777" w:rsidR="0021796A" w:rsidRPr="00A93391" w:rsidRDefault="0021796A">
      <w:pPr>
        <w:spacing w:before="0" w:line="240" w:lineRule="auto"/>
        <w:rPr>
          <w:rFonts w:eastAsia="Times New Roman"/>
          <w:b/>
          <w:sz w:val="32"/>
          <w:szCs w:val="32"/>
        </w:rPr>
      </w:pPr>
      <w:bookmarkStart w:id="0" w:name="_Toc37244538"/>
      <w:r w:rsidRPr="00A93391">
        <w:rPr>
          <w:rFonts w:eastAsia="Times New Roman"/>
          <w:b/>
          <w:sz w:val="32"/>
          <w:szCs w:val="32"/>
        </w:rPr>
        <w:br w:type="page"/>
      </w:r>
    </w:p>
    <w:p w14:paraId="35E32CFE" w14:textId="77777777" w:rsidR="00477428" w:rsidRPr="00A93391" w:rsidRDefault="7E23DA1A" w:rsidP="7E23DA1A">
      <w:pPr>
        <w:keepNext/>
        <w:keepLines/>
        <w:spacing w:before="240" w:after="120" w:line="240" w:lineRule="auto"/>
        <w:jc w:val="center"/>
        <w:outlineLvl w:val="1"/>
        <w:rPr>
          <w:rFonts w:eastAsia="Times New Roman"/>
          <w:b/>
          <w:bCs/>
          <w:sz w:val="32"/>
          <w:szCs w:val="32"/>
        </w:rPr>
      </w:pPr>
      <w:r w:rsidRPr="00A93391">
        <w:rPr>
          <w:rFonts w:eastAsia="Times New Roman"/>
          <w:b/>
          <w:bCs/>
          <w:sz w:val="32"/>
          <w:szCs w:val="32"/>
        </w:rPr>
        <w:lastRenderedPageBreak/>
        <w:t>Statement of Compatibility with Human Rights</w:t>
      </w:r>
    </w:p>
    <w:bookmarkEnd w:id="0"/>
    <w:p w14:paraId="6741E523" w14:textId="77777777" w:rsidR="008153E6" w:rsidRPr="00A93391" w:rsidRDefault="7E23DA1A" w:rsidP="7E23DA1A">
      <w:pPr>
        <w:spacing w:after="120" w:line="259" w:lineRule="auto"/>
        <w:jc w:val="center"/>
        <w:rPr>
          <w:i/>
          <w:iCs/>
        </w:rPr>
      </w:pPr>
      <w:r w:rsidRPr="00A93391">
        <w:rPr>
          <w:i/>
          <w:iCs/>
        </w:rPr>
        <w:t>Prepared in accordance with Part 3 of the Human Rights (Parliamentary Scrutiny) Act 2011</w:t>
      </w:r>
    </w:p>
    <w:p w14:paraId="660059E3" w14:textId="77777777" w:rsidR="000146DA" w:rsidRPr="00A93391" w:rsidRDefault="000146DA" w:rsidP="008153E6">
      <w:pPr>
        <w:spacing w:after="120" w:line="259" w:lineRule="auto"/>
        <w:jc w:val="center"/>
        <w:rPr>
          <w:i/>
        </w:rPr>
      </w:pPr>
    </w:p>
    <w:p w14:paraId="36854211" w14:textId="1007DF99" w:rsidR="000146DA" w:rsidRPr="00A93391" w:rsidRDefault="7E23DA1A" w:rsidP="7E23DA1A">
      <w:pPr>
        <w:spacing w:after="120" w:line="259" w:lineRule="auto"/>
        <w:jc w:val="center"/>
        <w:rPr>
          <w:b/>
          <w:bCs/>
          <w:i/>
          <w:iCs/>
          <w:sz w:val="28"/>
          <w:szCs w:val="28"/>
        </w:rPr>
      </w:pPr>
      <w:r w:rsidRPr="00A93391">
        <w:rPr>
          <w:b/>
          <w:bCs/>
          <w:i/>
          <w:iCs/>
          <w:sz w:val="28"/>
          <w:szCs w:val="28"/>
        </w:rPr>
        <w:t>Data Availability and Transparency (Consequential Amendments) Transitional Rules</w:t>
      </w:r>
      <w:r w:rsidR="002D4EFF">
        <w:rPr>
          <w:b/>
          <w:bCs/>
          <w:i/>
          <w:iCs/>
          <w:sz w:val="28"/>
          <w:szCs w:val="28"/>
        </w:rPr>
        <w:t xml:space="preserve"> (Transitional Entity) Amendment Rule</w:t>
      </w:r>
      <w:r w:rsidRPr="00A93391">
        <w:rPr>
          <w:b/>
          <w:bCs/>
          <w:i/>
          <w:iCs/>
          <w:sz w:val="28"/>
          <w:szCs w:val="28"/>
        </w:rPr>
        <w:t xml:space="preserve"> 202</w:t>
      </w:r>
      <w:r w:rsidR="002D4EFF">
        <w:rPr>
          <w:b/>
          <w:bCs/>
          <w:i/>
          <w:iCs/>
          <w:sz w:val="28"/>
          <w:szCs w:val="28"/>
        </w:rPr>
        <w:t>3</w:t>
      </w:r>
    </w:p>
    <w:p w14:paraId="31444F88" w14:textId="77777777" w:rsidR="009C4ACE" w:rsidRPr="00A93391" w:rsidRDefault="009C4ACE" w:rsidP="0061510F">
      <w:pPr>
        <w:spacing w:before="0" w:line="240" w:lineRule="auto"/>
        <w:ind w:right="91"/>
        <w:jc w:val="both"/>
        <w:rPr>
          <w:rFonts w:eastAsia="Times New Roman"/>
          <w:szCs w:val="20"/>
          <w:lang w:eastAsia="en-AU"/>
        </w:rPr>
      </w:pPr>
    </w:p>
    <w:p w14:paraId="24ABE794" w14:textId="77777777" w:rsidR="008153E6" w:rsidRPr="00A93391" w:rsidRDefault="7E23DA1A" w:rsidP="7E23DA1A">
      <w:pPr>
        <w:spacing w:before="0" w:line="240" w:lineRule="auto"/>
        <w:ind w:right="91"/>
        <w:jc w:val="center"/>
        <w:rPr>
          <w:rFonts w:eastAsia="Times New Roman"/>
          <w:lang w:eastAsia="en-AU"/>
        </w:rPr>
      </w:pPr>
      <w:r w:rsidRPr="00A93391">
        <w:rPr>
          <w:rFonts w:eastAsia="Times New Roman"/>
          <w:lang w:eastAsia="en-AU"/>
        </w:rPr>
        <w:t xml:space="preserve">This instrument is compatible with the human rights and freedoms recognised or declared in the international instruments listed in section 3 of the </w:t>
      </w:r>
      <w:r w:rsidRPr="00A93391">
        <w:rPr>
          <w:rFonts w:eastAsia="Times New Roman"/>
          <w:i/>
          <w:iCs/>
          <w:lang w:eastAsia="en-AU"/>
        </w:rPr>
        <w:t>Human Rights (Parliamentary Scrutiny) Act 2011</w:t>
      </w:r>
      <w:r w:rsidRPr="00A93391">
        <w:rPr>
          <w:rFonts w:eastAsia="Times New Roman"/>
          <w:lang w:eastAsia="en-AU"/>
        </w:rPr>
        <w:t>.</w:t>
      </w:r>
    </w:p>
    <w:p w14:paraId="71DFE411" w14:textId="77777777" w:rsidR="00EF2BB9" w:rsidRPr="00A93391" w:rsidRDefault="7E23DA1A" w:rsidP="7E23DA1A">
      <w:pPr>
        <w:keepNext/>
        <w:keepLines/>
        <w:spacing w:before="240" w:after="120" w:line="259" w:lineRule="auto"/>
        <w:outlineLvl w:val="1"/>
        <w:rPr>
          <w:rFonts w:eastAsia="Times New Roman"/>
          <w:b/>
          <w:bCs/>
          <w:sz w:val="28"/>
          <w:szCs w:val="28"/>
        </w:rPr>
      </w:pPr>
      <w:r w:rsidRPr="00A93391">
        <w:rPr>
          <w:rFonts w:eastAsia="Times New Roman"/>
          <w:b/>
          <w:bCs/>
          <w:sz w:val="28"/>
          <w:szCs w:val="28"/>
        </w:rPr>
        <w:t>Overview of the legislative instrument</w:t>
      </w:r>
    </w:p>
    <w:p w14:paraId="0F133283" w14:textId="605B98DF" w:rsidR="002D4EFF" w:rsidRDefault="002D4EFF" w:rsidP="002570C9">
      <w:pPr>
        <w:spacing w:before="0" w:line="240" w:lineRule="auto"/>
        <w:ind w:right="91"/>
        <w:rPr>
          <w:rFonts w:eastAsia="Times New Roman"/>
          <w:lang w:eastAsia="en-AU"/>
        </w:rPr>
      </w:pPr>
      <w:r>
        <w:rPr>
          <w:rFonts w:eastAsia="Times New Roman"/>
          <w:lang w:eastAsia="en-AU"/>
        </w:rPr>
        <w:t xml:space="preserve">The </w:t>
      </w:r>
      <w:r w:rsidR="00A14D66">
        <w:rPr>
          <w:rFonts w:eastAsia="Times New Roman"/>
          <w:lang w:eastAsia="en-AU"/>
        </w:rPr>
        <w:t xml:space="preserve">purpose of the </w:t>
      </w:r>
      <w:r w:rsidRPr="00F9661A">
        <w:rPr>
          <w:rFonts w:eastAsia="Times New Roman"/>
          <w:i/>
          <w:iCs/>
          <w:lang w:eastAsia="en-AU"/>
        </w:rPr>
        <w:t>Data Availability and Transparency (Consequential Amendments) Transitional Rules (Transitional Entity) Amendment Rule 2023</w:t>
      </w:r>
      <w:r>
        <w:rPr>
          <w:rFonts w:eastAsia="Times New Roman"/>
          <w:i/>
          <w:iCs/>
          <w:lang w:eastAsia="en-AU"/>
        </w:rPr>
        <w:t xml:space="preserve"> </w:t>
      </w:r>
      <w:r>
        <w:rPr>
          <w:rFonts w:eastAsia="Times New Roman"/>
          <w:lang w:eastAsia="en-AU"/>
        </w:rPr>
        <w:t xml:space="preserve">(‘the instrument’) </w:t>
      </w:r>
      <w:r w:rsidR="00A14D66">
        <w:rPr>
          <w:rFonts w:eastAsia="Times New Roman"/>
          <w:lang w:eastAsia="en-AU"/>
        </w:rPr>
        <w:t xml:space="preserve">is to </w:t>
      </w:r>
      <w:r>
        <w:rPr>
          <w:rFonts w:eastAsia="Times New Roman"/>
          <w:lang w:eastAsia="en-AU"/>
        </w:rPr>
        <w:t xml:space="preserve">amend the </w:t>
      </w:r>
      <w:r>
        <w:rPr>
          <w:rFonts w:eastAsia="Times New Roman"/>
          <w:i/>
          <w:iCs/>
          <w:lang w:eastAsia="en-AU"/>
        </w:rPr>
        <w:t xml:space="preserve">Data Availability and Transparency (Consequential Amendments) Transitional Rules) 2022 </w:t>
      </w:r>
      <w:r>
        <w:rPr>
          <w:rFonts w:eastAsia="Times New Roman"/>
          <w:lang w:eastAsia="en-AU"/>
        </w:rPr>
        <w:t>(the ‘DATCA Rules’)</w:t>
      </w:r>
      <w:r w:rsidR="00A14D66" w:rsidRPr="00A14D66">
        <w:rPr>
          <w:rFonts w:eastAsia="Times New Roman"/>
          <w:lang w:eastAsia="en-AU"/>
        </w:rPr>
        <w:t xml:space="preserve"> </w:t>
      </w:r>
      <w:r w:rsidR="00A14D66">
        <w:rPr>
          <w:rFonts w:eastAsia="Times New Roman"/>
          <w:lang w:eastAsia="en-AU"/>
        </w:rPr>
        <w:t>to add Queensland Health as a prescribed transitional entity.</w:t>
      </w:r>
      <w:r>
        <w:rPr>
          <w:rFonts w:eastAsia="Times New Roman"/>
          <w:lang w:eastAsia="en-AU"/>
        </w:rPr>
        <w:t xml:space="preserve"> </w:t>
      </w:r>
    </w:p>
    <w:p w14:paraId="4ED916CB" w14:textId="77777777" w:rsidR="002D4EFF" w:rsidRDefault="002D4EFF" w:rsidP="002570C9">
      <w:pPr>
        <w:spacing w:before="0" w:line="240" w:lineRule="auto"/>
        <w:ind w:right="91"/>
        <w:rPr>
          <w:rFonts w:eastAsia="Times New Roman"/>
          <w:lang w:eastAsia="en-AU"/>
        </w:rPr>
      </w:pPr>
    </w:p>
    <w:p w14:paraId="0BAB075A" w14:textId="6646FE18" w:rsidR="002D4EFF" w:rsidRDefault="002D4EFF" w:rsidP="002570C9">
      <w:pPr>
        <w:spacing w:before="0" w:line="240" w:lineRule="auto"/>
        <w:ind w:right="91"/>
        <w:rPr>
          <w:rFonts w:eastAsia="Times New Roman"/>
          <w:lang w:eastAsia="en-AU"/>
        </w:rPr>
      </w:pPr>
      <w:r>
        <w:rPr>
          <w:rFonts w:eastAsia="Times New Roman"/>
          <w:lang w:eastAsia="en-AU"/>
        </w:rPr>
        <w:t xml:space="preserve">The instrument is made under item 4 in Schedule 3 of the </w:t>
      </w:r>
      <w:r>
        <w:rPr>
          <w:rFonts w:eastAsia="Times New Roman"/>
          <w:i/>
          <w:iCs/>
          <w:lang w:eastAsia="en-AU"/>
        </w:rPr>
        <w:t xml:space="preserve">Data Availability and Transparency (Consequential Amendments) Act 2022 </w:t>
      </w:r>
      <w:r>
        <w:rPr>
          <w:rFonts w:eastAsia="Times New Roman"/>
          <w:lang w:eastAsia="en-AU"/>
        </w:rPr>
        <w:t>(</w:t>
      </w:r>
      <w:r w:rsidR="00EB7082">
        <w:rPr>
          <w:rFonts w:eastAsia="Times New Roman"/>
          <w:lang w:eastAsia="en-AU"/>
        </w:rPr>
        <w:t>‘</w:t>
      </w:r>
      <w:r>
        <w:rPr>
          <w:rFonts w:eastAsia="Times New Roman"/>
          <w:lang w:eastAsia="en-AU"/>
        </w:rPr>
        <w:t>the Act</w:t>
      </w:r>
      <w:r w:rsidR="00EB7082">
        <w:rPr>
          <w:rFonts w:eastAsia="Times New Roman"/>
          <w:lang w:eastAsia="en-AU"/>
        </w:rPr>
        <w:t>’</w:t>
      </w:r>
      <w:r>
        <w:rPr>
          <w:rFonts w:eastAsia="Times New Roman"/>
          <w:lang w:eastAsia="en-AU"/>
        </w:rPr>
        <w:t xml:space="preserve">); for the purposes of the definition of </w:t>
      </w:r>
      <w:r>
        <w:rPr>
          <w:rFonts w:eastAsia="Times New Roman"/>
          <w:i/>
          <w:iCs/>
          <w:lang w:eastAsia="en-AU"/>
        </w:rPr>
        <w:t xml:space="preserve">transitional entity </w:t>
      </w:r>
      <w:r>
        <w:rPr>
          <w:rFonts w:eastAsia="Times New Roman"/>
          <w:lang w:eastAsia="en-AU"/>
        </w:rPr>
        <w:t xml:space="preserve">in subitem 1(1) in Schedule 3 of the Act, and subitem 2(2) in Schedule 3 of the Act. Subsection 33(3) of the </w:t>
      </w:r>
      <w:r w:rsidRPr="00911A65">
        <w:rPr>
          <w:rFonts w:eastAsia="Times New Roman"/>
          <w:i/>
          <w:iCs/>
          <w:lang w:eastAsia="en-AU"/>
        </w:rPr>
        <w:t>Acts Interpretation Act 1901</w:t>
      </w:r>
      <w:r>
        <w:rPr>
          <w:rFonts w:eastAsia="Times New Roman"/>
          <w:lang w:eastAsia="en-AU"/>
        </w:rPr>
        <w:t xml:space="preserve"> provides that a power to make a legislative instrument includes a power to amend or repeal that instrument in the same manner, and subject to the same conditions, as the power to make the instrument. </w:t>
      </w:r>
    </w:p>
    <w:p w14:paraId="4A1939DE" w14:textId="77777777" w:rsidR="00185BAA" w:rsidRDefault="00185BAA" w:rsidP="002570C9">
      <w:pPr>
        <w:spacing w:before="0" w:line="240" w:lineRule="auto"/>
        <w:ind w:right="91"/>
        <w:rPr>
          <w:rFonts w:eastAsia="Times New Roman"/>
          <w:lang w:eastAsia="en-AU"/>
        </w:rPr>
      </w:pPr>
    </w:p>
    <w:p w14:paraId="44CDDFDA" w14:textId="7DB1A125" w:rsidR="00185BAA" w:rsidRDefault="00185BAA" w:rsidP="002570C9">
      <w:pPr>
        <w:spacing w:before="0" w:line="240" w:lineRule="auto"/>
        <w:ind w:right="91"/>
        <w:rPr>
          <w:rFonts w:eastAsia="Times New Roman"/>
          <w:lang w:eastAsia="en-AU"/>
        </w:rPr>
      </w:pPr>
      <w:r w:rsidRPr="00A93391">
        <w:rPr>
          <w:rFonts w:eastAsia="Times New Roman"/>
          <w:lang w:eastAsia="en-AU"/>
        </w:rPr>
        <w:t>The</w:t>
      </w:r>
      <w:r>
        <w:rPr>
          <w:rFonts w:eastAsia="Times New Roman"/>
          <w:lang w:eastAsia="en-AU"/>
        </w:rPr>
        <w:t xml:space="preserve"> Act supports the operation of the </w:t>
      </w:r>
      <w:r>
        <w:rPr>
          <w:rFonts w:eastAsia="Times New Roman"/>
          <w:i/>
          <w:iCs/>
          <w:lang w:eastAsia="en-AU"/>
        </w:rPr>
        <w:t xml:space="preserve">Data Availability and Transparency Act 2022 </w:t>
      </w:r>
      <w:r>
        <w:rPr>
          <w:rFonts w:eastAsia="Times New Roman"/>
          <w:lang w:eastAsia="en-AU"/>
        </w:rPr>
        <w:t>(</w:t>
      </w:r>
      <w:r w:rsidR="003273BA">
        <w:rPr>
          <w:rFonts w:eastAsia="Times New Roman"/>
          <w:lang w:eastAsia="en-AU"/>
        </w:rPr>
        <w:t>‘</w:t>
      </w:r>
      <w:r>
        <w:rPr>
          <w:rFonts w:eastAsia="Times New Roman"/>
          <w:lang w:eastAsia="en-AU"/>
        </w:rPr>
        <w:t>the DAT Act</w:t>
      </w:r>
      <w:r w:rsidR="003273BA">
        <w:rPr>
          <w:rFonts w:eastAsia="Times New Roman"/>
          <w:lang w:eastAsia="en-AU"/>
        </w:rPr>
        <w:t>’</w:t>
      </w:r>
      <w:r>
        <w:rPr>
          <w:rFonts w:eastAsia="Times New Roman"/>
          <w:lang w:eastAsia="en-AU"/>
        </w:rPr>
        <w:t xml:space="preserve">) by enabling the Minister, by legislative instrument, to make rules to prescribe an entity as a transitional entity (see item 4 in Schedule 3 of the Act). Currently, the rules made for this purpose are the DATCA Rules. For the </w:t>
      </w:r>
      <w:r w:rsidRPr="00A93391">
        <w:rPr>
          <w:rFonts w:eastAsia="Times New Roman"/>
          <w:lang w:eastAsia="en-AU"/>
        </w:rPr>
        <w:t>purpose of</w:t>
      </w:r>
      <w:r>
        <w:rPr>
          <w:rFonts w:eastAsia="Times New Roman"/>
          <w:lang w:eastAsia="en-AU"/>
        </w:rPr>
        <w:t xml:space="preserve"> the data sharing scheme, a transitional entity is taken to be accredited as an Accredited Data </w:t>
      </w:r>
      <w:r w:rsidR="00AE52FB">
        <w:rPr>
          <w:rFonts w:eastAsia="Times New Roman"/>
          <w:lang w:eastAsia="en-AU"/>
        </w:rPr>
        <w:t xml:space="preserve">Service </w:t>
      </w:r>
      <w:r>
        <w:rPr>
          <w:rFonts w:eastAsia="Times New Roman"/>
          <w:lang w:eastAsia="en-AU"/>
        </w:rPr>
        <w:t>Provider (</w:t>
      </w:r>
      <w:r w:rsidR="003273BA">
        <w:rPr>
          <w:rFonts w:eastAsia="Times New Roman"/>
          <w:lang w:eastAsia="en-AU"/>
        </w:rPr>
        <w:t>‘</w:t>
      </w:r>
      <w:r>
        <w:rPr>
          <w:rFonts w:eastAsia="Times New Roman"/>
          <w:lang w:eastAsia="en-AU"/>
        </w:rPr>
        <w:t>ADSP</w:t>
      </w:r>
      <w:r w:rsidR="003273BA">
        <w:rPr>
          <w:rFonts w:eastAsia="Times New Roman"/>
          <w:lang w:eastAsia="en-AU"/>
        </w:rPr>
        <w:t>’</w:t>
      </w:r>
      <w:r>
        <w:rPr>
          <w:rFonts w:eastAsia="Times New Roman"/>
          <w:lang w:eastAsia="en-AU"/>
        </w:rPr>
        <w:t xml:space="preserve">) under the DAT Act for the duration of its transition period (see subitem 2(1) in Schedule 3 of the Act). </w:t>
      </w:r>
    </w:p>
    <w:p w14:paraId="29117EBF" w14:textId="77777777" w:rsidR="00185BAA" w:rsidRDefault="00185BAA" w:rsidP="002570C9">
      <w:pPr>
        <w:spacing w:before="0" w:line="240" w:lineRule="auto"/>
        <w:ind w:right="91"/>
        <w:rPr>
          <w:rFonts w:eastAsia="Times New Roman"/>
          <w:lang w:eastAsia="en-AU"/>
        </w:rPr>
      </w:pPr>
    </w:p>
    <w:p w14:paraId="1F3822FB" w14:textId="77777777" w:rsidR="00185BAA" w:rsidRDefault="00185BAA" w:rsidP="002570C9">
      <w:pPr>
        <w:spacing w:before="0" w:line="240" w:lineRule="auto"/>
        <w:ind w:right="91"/>
        <w:rPr>
          <w:rFonts w:eastAsia="Times New Roman"/>
          <w:lang w:eastAsia="en-AU"/>
        </w:rPr>
      </w:pPr>
      <w:r>
        <w:rPr>
          <w:rFonts w:eastAsia="Times New Roman"/>
          <w:lang w:eastAsia="en-AU"/>
        </w:rPr>
        <w:t>Under the DAT Act</w:t>
      </w:r>
      <w:r w:rsidRPr="00A93391">
        <w:rPr>
          <w:rFonts w:eastAsia="Times New Roman"/>
          <w:lang w:eastAsia="en-AU"/>
        </w:rPr>
        <w:t xml:space="preserve">, most Australian Government departments and agencies that control Australian Government data are ‘data custodians’, and may share the data they control with ‘accredited users’ under a data sharing agreement, subject to specific limitations and controls in the </w:t>
      </w:r>
      <w:r>
        <w:rPr>
          <w:rFonts w:eastAsia="Times New Roman"/>
          <w:lang w:eastAsia="en-AU"/>
        </w:rPr>
        <w:t>DAT</w:t>
      </w:r>
      <w:r w:rsidRPr="00A93391">
        <w:rPr>
          <w:rFonts w:eastAsia="Times New Roman"/>
          <w:lang w:eastAsia="en-AU"/>
        </w:rPr>
        <w:t xml:space="preserve"> Act. Data may be shared with accredited users directly, or through ADSPs, acting as intermediaries.</w:t>
      </w:r>
      <w:r>
        <w:rPr>
          <w:rFonts w:eastAsia="Times New Roman"/>
          <w:lang w:eastAsia="en-AU"/>
        </w:rPr>
        <w:t xml:space="preserve"> </w:t>
      </w:r>
      <w:r w:rsidRPr="00A93391">
        <w:rPr>
          <w:rFonts w:eastAsia="Times New Roman"/>
          <w:lang w:eastAsia="en-AU"/>
        </w:rPr>
        <w:t>ADSPs are entities that have particular expertise in data sharing and the provision of data services.</w:t>
      </w:r>
    </w:p>
    <w:p w14:paraId="47A2B67F" w14:textId="77777777" w:rsidR="00185BAA" w:rsidRDefault="00185BAA" w:rsidP="002570C9">
      <w:pPr>
        <w:spacing w:before="0" w:line="240" w:lineRule="auto"/>
        <w:ind w:right="91"/>
        <w:rPr>
          <w:rFonts w:eastAsia="Times New Roman"/>
          <w:lang w:eastAsia="en-AU"/>
        </w:rPr>
      </w:pPr>
    </w:p>
    <w:p w14:paraId="7AEA4711" w14:textId="77777777" w:rsidR="006D34D3" w:rsidRPr="00A93391" w:rsidRDefault="006D34D3" w:rsidP="002570C9">
      <w:pPr>
        <w:spacing w:before="0" w:line="240" w:lineRule="auto"/>
        <w:ind w:right="91"/>
        <w:rPr>
          <w:rFonts w:eastAsia="Times New Roman"/>
          <w:szCs w:val="20"/>
          <w:lang w:eastAsia="en-AU"/>
        </w:rPr>
      </w:pPr>
      <w:r>
        <w:rPr>
          <w:rFonts w:eastAsia="Times New Roman"/>
          <w:lang w:eastAsia="en-AU"/>
        </w:rPr>
        <w:t xml:space="preserve">The term ‘transitional entity’ is defined in subitem 1(1) in Schedule 3 of the Act as an Australian entity prescribed by the rules. ‘Australian entity’ is defined in section 9 of the DAT Act as an entity that is a Commonwealth body, a State body or a Territory body; the Commonwealth, a State or a Territory; or an Australian University. Queensland Health is a State body (a department of the State of Queensland) and is eligible to be prescribed as a transitional entity.  </w:t>
      </w:r>
    </w:p>
    <w:p w14:paraId="08B551B0" w14:textId="77777777" w:rsidR="006D34D3" w:rsidRDefault="006D34D3" w:rsidP="002570C9">
      <w:pPr>
        <w:spacing w:before="0" w:line="240" w:lineRule="auto"/>
        <w:ind w:right="91"/>
        <w:rPr>
          <w:rFonts w:eastAsia="Times New Roman"/>
          <w:lang w:eastAsia="en-AU"/>
        </w:rPr>
      </w:pPr>
    </w:p>
    <w:p w14:paraId="2F0B7FD1" w14:textId="77777777" w:rsidR="006D34D3" w:rsidRPr="001A00BA" w:rsidRDefault="006D34D3" w:rsidP="002570C9">
      <w:pPr>
        <w:spacing w:before="0" w:line="240" w:lineRule="auto"/>
        <w:ind w:right="91"/>
        <w:rPr>
          <w:rFonts w:eastAsia="Times New Roman"/>
          <w:lang w:eastAsia="en-AU"/>
        </w:rPr>
      </w:pPr>
      <w:r w:rsidRPr="00A93391">
        <w:lastRenderedPageBreak/>
        <w:t xml:space="preserve">ADSPs may only collect and use data under the data sharing scheme established by the </w:t>
      </w:r>
      <w:r>
        <w:t xml:space="preserve">DAT </w:t>
      </w:r>
      <w:r w:rsidRPr="00A93391">
        <w:t xml:space="preserve">Act in accordance with conditions of accreditation. Section 30 of the </w:t>
      </w:r>
      <w:r>
        <w:t>DAT</w:t>
      </w:r>
      <w:r w:rsidRPr="00A93391">
        <w:t xml:space="preserve"> Act requires ADSPs </w:t>
      </w:r>
      <w:r w:rsidRPr="001A00BA">
        <w:t xml:space="preserve">to comply with conditions of accreditation. </w:t>
      </w:r>
      <w:r w:rsidRPr="001A00BA">
        <w:rPr>
          <w:rFonts w:eastAsia="Times New Roman"/>
          <w:lang w:eastAsia="en-AU"/>
        </w:rPr>
        <w:t>Subitem 2(2) in Schedule 3 of the Act allows the Minister to prescribe in rules conditions of accreditation applicable to a transitional entity. The instrument prescribes the following conditions on Queensland Health:</w:t>
      </w:r>
    </w:p>
    <w:p w14:paraId="67333536" w14:textId="77777777" w:rsidR="006D34D3" w:rsidRPr="001A00BA" w:rsidRDefault="006D34D3" w:rsidP="002570C9">
      <w:pPr>
        <w:spacing w:before="0" w:line="240" w:lineRule="auto"/>
        <w:ind w:right="91"/>
        <w:rPr>
          <w:rFonts w:eastAsia="Times New Roman"/>
          <w:lang w:eastAsia="en-AU"/>
        </w:rPr>
      </w:pPr>
    </w:p>
    <w:p w14:paraId="4A62F665" w14:textId="77777777" w:rsidR="00763BF8" w:rsidRPr="001A00BA" w:rsidRDefault="00763BF8" w:rsidP="00763BF8">
      <w:pPr>
        <w:pStyle w:val="ListParagraph"/>
        <w:numPr>
          <w:ilvl w:val="0"/>
          <w:numId w:val="28"/>
        </w:numPr>
        <w:spacing w:before="0" w:line="240" w:lineRule="auto"/>
        <w:ind w:right="9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entity must not provide </w:t>
      </w:r>
      <w:r w:rsidRPr="00763BF8">
        <w:rPr>
          <w:rFonts w:ascii="Times New Roman" w:eastAsia="Times New Roman" w:hAnsi="Times New Roman"/>
          <w:sz w:val="24"/>
          <w:szCs w:val="24"/>
          <w:lang w:eastAsia="en-AU"/>
        </w:rPr>
        <w:t>complex data integration services as part of a project unless those services are provided by the Statistical Services Branch undertaking data linkage activities only</w:t>
      </w:r>
      <w:r>
        <w:rPr>
          <w:rFonts w:ascii="Times New Roman" w:eastAsia="Times New Roman" w:hAnsi="Times New Roman"/>
          <w:sz w:val="24"/>
          <w:szCs w:val="24"/>
          <w:lang w:eastAsia="en-AU"/>
        </w:rPr>
        <w:t>;</w:t>
      </w:r>
      <w:r w:rsidRPr="00EE113E">
        <w:rPr>
          <w:rFonts w:ascii="Times New Roman" w:hAnsi="Times New Roman"/>
          <w:bCs/>
          <w:sz w:val="22"/>
          <w:szCs w:val="22"/>
        </w:rPr>
        <w:t xml:space="preserve"> </w:t>
      </w:r>
    </w:p>
    <w:p w14:paraId="5193531D" w14:textId="77777777" w:rsidR="00763BF8" w:rsidRPr="00256090" w:rsidRDefault="00763BF8" w:rsidP="00763BF8">
      <w:pPr>
        <w:pStyle w:val="ListParagraph"/>
        <w:numPr>
          <w:ilvl w:val="0"/>
          <w:numId w:val="28"/>
        </w:numPr>
        <w:spacing w:before="0" w:line="240" w:lineRule="auto"/>
        <w:ind w:right="91"/>
        <w:rPr>
          <w:rFonts w:eastAsia="Times New Roman"/>
          <w:lang w:eastAsia="en-AU"/>
        </w:rPr>
      </w:pPr>
      <w:r>
        <w:rPr>
          <w:rFonts w:ascii="Times New Roman" w:eastAsia="Times New Roman" w:hAnsi="Times New Roman"/>
          <w:sz w:val="24"/>
          <w:szCs w:val="24"/>
          <w:lang w:eastAsia="en-AU"/>
        </w:rPr>
        <w:t xml:space="preserve">the entity must not provide secure access data services as part of a project; and </w:t>
      </w:r>
    </w:p>
    <w:p w14:paraId="1BE851E2" w14:textId="77777777" w:rsidR="00763BF8" w:rsidRPr="001A00BA" w:rsidDel="00825C6E" w:rsidRDefault="00763BF8" w:rsidP="00763BF8">
      <w:pPr>
        <w:pStyle w:val="ListParagraph"/>
        <w:numPr>
          <w:ilvl w:val="0"/>
          <w:numId w:val="28"/>
        </w:numPr>
        <w:spacing w:before="0" w:line="240" w:lineRule="auto"/>
        <w:ind w:right="91"/>
        <w:rPr>
          <w:rFonts w:eastAsia="Times New Roman"/>
          <w:lang w:eastAsia="en-AU"/>
        </w:rPr>
      </w:pPr>
      <w:r>
        <w:rPr>
          <w:rFonts w:ascii="Times New Roman" w:eastAsia="Times New Roman" w:hAnsi="Times New Roman"/>
          <w:sz w:val="24"/>
          <w:szCs w:val="24"/>
          <w:lang w:eastAsia="en-AU"/>
        </w:rPr>
        <w:t xml:space="preserve">the entity must not provide de-identification data services as part of a project. </w:t>
      </w:r>
    </w:p>
    <w:p w14:paraId="4C2997F6" w14:textId="77777777" w:rsidR="006D34D3" w:rsidRPr="001A00BA" w:rsidRDefault="006D34D3" w:rsidP="002570C9">
      <w:pPr>
        <w:spacing w:before="0" w:line="240" w:lineRule="auto"/>
        <w:ind w:right="91"/>
        <w:rPr>
          <w:rFonts w:eastAsia="Times New Roman"/>
          <w:szCs w:val="20"/>
          <w:lang w:eastAsia="en-AU"/>
        </w:rPr>
      </w:pPr>
    </w:p>
    <w:p w14:paraId="72B7913B" w14:textId="77777777" w:rsidR="006D34D3" w:rsidRDefault="006D34D3" w:rsidP="002570C9">
      <w:pPr>
        <w:spacing w:before="0" w:line="240" w:lineRule="auto"/>
        <w:ind w:right="91"/>
        <w:rPr>
          <w:rFonts w:eastAsia="Times New Roman"/>
          <w:szCs w:val="20"/>
          <w:lang w:eastAsia="en-AU"/>
        </w:rPr>
      </w:pPr>
      <w:r w:rsidRPr="001A00BA">
        <w:t>Subitem 2(2) in Schedule 3 of the Act also provides that such conditions of accreditation are taken to have been imposed by the National Data Commissioner (‘Commissioner’) under section 78 of the DAT Act, and the Commissioner may therefore vary or remove such conditions under</w:t>
      </w:r>
      <w:r w:rsidRPr="00A93391">
        <w:t xml:space="preserve"> the </w:t>
      </w:r>
      <w:r>
        <w:t>DAT</w:t>
      </w:r>
      <w:r w:rsidRPr="00A93391">
        <w:t xml:space="preserve"> Act, or impose additional conditions of accreditation.</w:t>
      </w:r>
    </w:p>
    <w:p w14:paraId="074B6E9C" w14:textId="77777777" w:rsidR="006D34D3" w:rsidRDefault="006D34D3" w:rsidP="002570C9">
      <w:pPr>
        <w:spacing w:before="0" w:line="240" w:lineRule="auto"/>
        <w:ind w:right="91"/>
        <w:rPr>
          <w:rFonts w:eastAsia="Times New Roman"/>
          <w:szCs w:val="20"/>
          <w:lang w:eastAsia="en-AU"/>
        </w:rPr>
      </w:pPr>
    </w:p>
    <w:p w14:paraId="73DF18FB" w14:textId="77777777" w:rsidR="006D34D3" w:rsidRDefault="006D34D3" w:rsidP="002570C9">
      <w:pPr>
        <w:spacing w:before="0" w:line="240" w:lineRule="auto"/>
        <w:ind w:right="91"/>
        <w:rPr>
          <w:rFonts w:eastAsia="Times New Roman"/>
          <w:szCs w:val="20"/>
          <w:lang w:eastAsia="en-AU"/>
        </w:rPr>
      </w:pPr>
      <w:r>
        <w:rPr>
          <w:rFonts w:eastAsia="Times New Roman"/>
          <w:szCs w:val="20"/>
          <w:lang w:eastAsia="en-AU"/>
        </w:rPr>
        <w:t xml:space="preserve">Eligible Australian entities are not prescribed as transitional entities indefinitely but rather for the duration of its transitional period. The instrument provides that the transitional period for Queensland Health will commence on the day the instrument commences. </w:t>
      </w:r>
    </w:p>
    <w:p w14:paraId="50CE4BDF" w14:textId="77777777" w:rsidR="006D34D3" w:rsidRPr="006B0FF2" w:rsidRDefault="006D34D3" w:rsidP="002570C9">
      <w:pPr>
        <w:spacing w:before="0" w:line="240" w:lineRule="auto"/>
        <w:ind w:right="91"/>
        <w:rPr>
          <w:rFonts w:eastAsia="Times New Roman"/>
          <w:lang w:eastAsia="en-AU"/>
        </w:rPr>
      </w:pPr>
    </w:p>
    <w:p w14:paraId="15417910" w14:textId="233B9C87" w:rsidR="006D34D3" w:rsidRPr="006B0FF2" w:rsidRDefault="006D34D3" w:rsidP="002570C9">
      <w:pPr>
        <w:spacing w:before="0" w:line="240" w:lineRule="auto"/>
        <w:ind w:right="91"/>
        <w:rPr>
          <w:rFonts w:eastAsia="Times New Roman"/>
          <w:lang w:eastAsia="en-AU"/>
        </w:rPr>
      </w:pPr>
      <w:r w:rsidRPr="006B0FF2">
        <w:rPr>
          <w:rFonts w:eastAsia="Times New Roman"/>
          <w:lang w:eastAsia="en-AU"/>
        </w:rPr>
        <w:t>Subitem 2(3) in Schedule 3 of the Act provides for the end of the transitional period</w:t>
      </w:r>
      <w:r w:rsidR="00612CFA">
        <w:rPr>
          <w:rFonts w:eastAsia="Times New Roman"/>
          <w:lang w:eastAsia="en-AU"/>
        </w:rPr>
        <w:t xml:space="preserve"> </w:t>
      </w:r>
      <w:r w:rsidRPr="006B0FF2">
        <w:rPr>
          <w:rFonts w:eastAsia="Times New Roman"/>
          <w:lang w:eastAsia="en-AU"/>
        </w:rPr>
        <w:t>as being no later than the earlier of of the following:</w:t>
      </w:r>
    </w:p>
    <w:p w14:paraId="0BCE267E" w14:textId="77777777" w:rsidR="006D34D3" w:rsidRPr="006B0FF2" w:rsidRDefault="006D34D3" w:rsidP="002570C9">
      <w:pPr>
        <w:spacing w:before="0" w:line="240" w:lineRule="auto"/>
        <w:ind w:right="91"/>
        <w:rPr>
          <w:rFonts w:eastAsia="Times New Roman"/>
          <w:szCs w:val="24"/>
          <w:lang w:eastAsia="en-AU"/>
        </w:rPr>
      </w:pPr>
    </w:p>
    <w:p w14:paraId="7EA774C7" w14:textId="77777777" w:rsidR="006D34D3" w:rsidRPr="006B0FF2" w:rsidRDefault="006D34D3" w:rsidP="002570C9">
      <w:pPr>
        <w:pStyle w:val="ListParagraph"/>
        <w:numPr>
          <w:ilvl w:val="0"/>
          <w:numId w:val="32"/>
        </w:numPr>
        <w:spacing w:before="0" w:line="240" w:lineRule="auto"/>
        <w:ind w:right="91"/>
        <w:rPr>
          <w:rFonts w:ascii="Times New Roman" w:eastAsia="Times New Roman" w:hAnsi="Times New Roman"/>
          <w:sz w:val="24"/>
          <w:szCs w:val="24"/>
          <w:lang w:eastAsia="en-AU"/>
        </w:rPr>
      </w:pPr>
      <w:r w:rsidRPr="006B0FF2">
        <w:rPr>
          <w:rFonts w:ascii="Times New Roman" w:eastAsia="Times New Roman" w:hAnsi="Times New Roman"/>
          <w:sz w:val="24"/>
          <w:szCs w:val="24"/>
          <w:lang w:eastAsia="en-AU"/>
        </w:rPr>
        <w:t>if the Commissioner cancels the entity’s accreditation as an ADSP under section 81 of the DAT Act – the day the cancellation takes effect;</w:t>
      </w:r>
    </w:p>
    <w:p w14:paraId="793801A8" w14:textId="67A0AF5E" w:rsidR="006D34D3" w:rsidRPr="006B0FF2" w:rsidRDefault="006D34D3" w:rsidP="002570C9">
      <w:pPr>
        <w:pStyle w:val="ListParagraph"/>
        <w:numPr>
          <w:ilvl w:val="0"/>
          <w:numId w:val="32"/>
        </w:numPr>
        <w:spacing w:before="0" w:line="240" w:lineRule="auto"/>
        <w:ind w:right="91"/>
        <w:rPr>
          <w:rFonts w:ascii="Times New Roman" w:eastAsia="Times New Roman" w:hAnsi="Times New Roman"/>
          <w:sz w:val="24"/>
          <w:szCs w:val="24"/>
          <w:lang w:eastAsia="en-AU"/>
        </w:rPr>
      </w:pPr>
      <w:r w:rsidRPr="006B0FF2">
        <w:rPr>
          <w:rFonts w:ascii="Times New Roman" w:eastAsia="Times New Roman" w:hAnsi="Times New Roman"/>
          <w:sz w:val="24"/>
          <w:szCs w:val="24"/>
          <w:lang w:eastAsia="en-AU"/>
        </w:rPr>
        <w:t xml:space="preserve">the end of the period of forty months beginning on the day the Act received </w:t>
      </w:r>
      <w:r w:rsidR="00612CFA">
        <w:rPr>
          <w:rFonts w:ascii="Times New Roman" w:eastAsia="Times New Roman" w:hAnsi="Times New Roman"/>
          <w:sz w:val="24"/>
          <w:szCs w:val="24"/>
          <w:lang w:eastAsia="en-AU"/>
        </w:rPr>
        <w:t>the R</w:t>
      </w:r>
      <w:r w:rsidRPr="006B0FF2">
        <w:rPr>
          <w:rFonts w:ascii="Times New Roman" w:eastAsia="Times New Roman" w:hAnsi="Times New Roman"/>
          <w:sz w:val="24"/>
          <w:szCs w:val="24"/>
          <w:lang w:eastAsia="en-AU"/>
        </w:rPr>
        <w:t xml:space="preserve">oyal </w:t>
      </w:r>
      <w:r w:rsidR="00612CFA">
        <w:rPr>
          <w:rFonts w:ascii="Times New Roman" w:eastAsia="Times New Roman" w:hAnsi="Times New Roman"/>
          <w:sz w:val="24"/>
          <w:szCs w:val="24"/>
          <w:lang w:eastAsia="en-AU"/>
        </w:rPr>
        <w:t>A</w:t>
      </w:r>
      <w:r w:rsidRPr="006B0FF2">
        <w:rPr>
          <w:rFonts w:ascii="Times New Roman" w:eastAsia="Times New Roman" w:hAnsi="Times New Roman"/>
          <w:sz w:val="24"/>
          <w:szCs w:val="24"/>
          <w:lang w:eastAsia="en-AU"/>
        </w:rPr>
        <w:t xml:space="preserve">ssent. </w:t>
      </w:r>
    </w:p>
    <w:p w14:paraId="74A48489" w14:textId="77777777" w:rsidR="006D34D3" w:rsidRDefault="006D34D3" w:rsidP="002570C9">
      <w:pPr>
        <w:spacing w:before="0" w:line="240" w:lineRule="auto"/>
        <w:ind w:right="91"/>
        <w:rPr>
          <w:rFonts w:eastAsia="Times New Roman"/>
          <w:lang w:eastAsia="en-AU"/>
        </w:rPr>
      </w:pPr>
    </w:p>
    <w:p w14:paraId="667D7B5F" w14:textId="77777777" w:rsidR="006D34D3" w:rsidRDefault="006D34D3" w:rsidP="002570C9">
      <w:pPr>
        <w:spacing w:before="0" w:line="240" w:lineRule="auto"/>
        <w:ind w:right="91"/>
        <w:rPr>
          <w:rFonts w:eastAsia="Times New Roman"/>
          <w:lang w:eastAsia="en-AU"/>
        </w:rPr>
      </w:pPr>
      <w:r w:rsidRPr="00A93391">
        <w:rPr>
          <w:rFonts w:eastAsia="Times New Roman"/>
          <w:lang w:eastAsia="en-AU"/>
        </w:rPr>
        <w:t xml:space="preserve">The Act received the Royal Assent on 31 March 2022, so the transition period for a transitional entity must end no later than the end of 30 July 2025. </w:t>
      </w:r>
    </w:p>
    <w:p w14:paraId="76F2D23C" w14:textId="77777777" w:rsidR="006D34D3" w:rsidRDefault="006D34D3" w:rsidP="002570C9">
      <w:pPr>
        <w:spacing w:before="0" w:line="240" w:lineRule="auto"/>
        <w:ind w:right="91"/>
        <w:rPr>
          <w:rFonts w:eastAsia="Times New Roman"/>
          <w:lang w:eastAsia="en-AU"/>
        </w:rPr>
      </w:pPr>
    </w:p>
    <w:p w14:paraId="5C78491F" w14:textId="77777777" w:rsidR="006D34D3" w:rsidRDefault="006D34D3" w:rsidP="002570C9">
      <w:pPr>
        <w:spacing w:before="0" w:line="240" w:lineRule="auto"/>
        <w:ind w:right="91"/>
        <w:rPr>
          <w:rFonts w:eastAsia="Times New Roman"/>
          <w:b/>
          <w:bCs/>
          <w:lang w:eastAsia="en-AU"/>
        </w:rPr>
      </w:pPr>
      <w:r w:rsidRPr="006B0FF2">
        <w:rPr>
          <w:rFonts w:eastAsia="Times New Roman"/>
          <w:lang w:eastAsia="en-AU"/>
        </w:rPr>
        <w:t>During the applicable transition period, a transitional entity has the same obligations under the DAT Act as an entity accredited by the Commissioner as an ADSP. The Commissioner has regulatory oversight over transitional entities and, if required, the Commissioner may suspend or cancel the ADSP accreditation of a transitional entity under section 81 of the DAT Act. Subitem 2(3) of Schedule 3 to the Consequential Amendments Act provides that, if the Commissioner cancels the ADSP accreditation of a transitional entity, the transition period for that transitional entity ends.</w:t>
      </w:r>
    </w:p>
    <w:p w14:paraId="77DBDE20" w14:textId="77777777" w:rsidR="00FD7BAB" w:rsidRPr="00A93391" w:rsidRDefault="7E23DA1A" w:rsidP="7E23DA1A">
      <w:pPr>
        <w:keepNext/>
        <w:keepLines/>
        <w:spacing w:before="240" w:after="120" w:line="259" w:lineRule="auto"/>
        <w:outlineLvl w:val="1"/>
        <w:rPr>
          <w:rFonts w:eastAsia="Times New Roman"/>
          <w:b/>
          <w:bCs/>
          <w:sz w:val="28"/>
          <w:szCs w:val="28"/>
        </w:rPr>
      </w:pPr>
      <w:r w:rsidRPr="00A93391">
        <w:rPr>
          <w:rFonts w:eastAsia="Times New Roman"/>
          <w:b/>
          <w:bCs/>
          <w:sz w:val="28"/>
          <w:szCs w:val="28"/>
        </w:rPr>
        <w:t>Human rights implications</w:t>
      </w:r>
    </w:p>
    <w:p w14:paraId="48E57A38" w14:textId="77534CAD" w:rsidR="00FD7BAB" w:rsidRPr="00A93391" w:rsidRDefault="7E23DA1A" w:rsidP="002570C9">
      <w:pPr>
        <w:spacing w:before="100" w:beforeAutospacing="1" w:after="100" w:afterAutospacing="1" w:line="240" w:lineRule="auto"/>
        <w:ind w:right="91"/>
        <w:contextualSpacing/>
        <w:rPr>
          <w:rFonts w:eastAsia="Times New Roman"/>
          <w:lang w:eastAsia="en-AU"/>
        </w:rPr>
      </w:pPr>
      <w:r w:rsidRPr="00A93391">
        <w:rPr>
          <w:rFonts w:eastAsia="Times New Roman"/>
          <w:lang w:eastAsia="en-AU"/>
        </w:rPr>
        <w:t xml:space="preserve">This instrument engages the right to protection from arbitrary or unlawful interference with privacy, because the </w:t>
      </w:r>
      <w:r w:rsidR="00B76C02">
        <w:rPr>
          <w:rFonts w:eastAsia="Times New Roman"/>
          <w:lang w:eastAsia="en-AU"/>
        </w:rPr>
        <w:t>DAT</w:t>
      </w:r>
      <w:r w:rsidR="00416BC5">
        <w:rPr>
          <w:rFonts w:eastAsia="Times New Roman"/>
          <w:lang w:eastAsia="en-AU"/>
        </w:rPr>
        <w:t xml:space="preserve"> </w:t>
      </w:r>
      <w:r w:rsidRPr="00A93391">
        <w:rPr>
          <w:rFonts w:eastAsia="Times New Roman"/>
          <w:lang w:eastAsia="en-AU"/>
        </w:rPr>
        <w:t xml:space="preserve">Act authorises ADSPs (including transitional entities) to collect and use personal information (as defined in the </w:t>
      </w:r>
      <w:r w:rsidRPr="00A93391">
        <w:rPr>
          <w:rFonts w:eastAsia="Times New Roman"/>
          <w:i/>
          <w:iCs/>
          <w:lang w:eastAsia="en-AU"/>
        </w:rPr>
        <w:t>Privacy Act 1988</w:t>
      </w:r>
      <w:r w:rsidRPr="00A93391">
        <w:rPr>
          <w:rFonts w:eastAsia="Times New Roman"/>
          <w:lang w:eastAsia="en-AU"/>
        </w:rPr>
        <w:t xml:space="preserve">) in certain limited circumstances. </w:t>
      </w:r>
    </w:p>
    <w:p w14:paraId="268E9548" w14:textId="77777777" w:rsidR="0061510F" w:rsidRPr="00A93391" w:rsidRDefault="0061510F" w:rsidP="002570C9">
      <w:pPr>
        <w:spacing w:before="100" w:beforeAutospacing="1" w:after="100" w:afterAutospacing="1" w:line="240" w:lineRule="auto"/>
        <w:ind w:right="91"/>
        <w:contextualSpacing/>
        <w:rPr>
          <w:rFonts w:eastAsia="Times New Roman"/>
          <w:szCs w:val="24"/>
          <w:lang w:eastAsia="en-AU"/>
        </w:rPr>
      </w:pPr>
    </w:p>
    <w:p w14:paraId="4701A3F4" w14:textId="13432B7E" w:rsidR="0061510F" w:rsidRPr="00A93391" w:rsidRDefault="7E23DA1A" w:rsidP="002570C9">
      <w:pPr>
        <w:spacing w:before="100" w:beforeAutospacing="1" w:after="100" w:afterAutospacing="1" w:line="240" w:lineRule="auto"/>
        <w:ind w:right="91"/>
        <w:rPr>
          <w:rFonts w:eastAsia="Times New Roman"/>
          <w:lang w:eastAsia="en-AU"/>
        </w:rPr>
      </w:pPr>
      <w:r w:rsidRPr="00A93391">
        <w:rPr>
          <w:rFonts w:eastAsia="Times New Roman"/>
          <w:lang w:eastAsia="en-AU"/>
        </w:rPr>
        <w:t xml:space="preserve">The right to protection from arbitrary or unlawful interference with privacy is recognised in Article 17 of the </w:t>
      </w:r>
      <w:r w:rsidRPr="00A93391">
        <w:rPr>
          <w:rFonts w:eastAsia="Times New Roman"/>
          <w:i/>
          <w:iCs/>
          <w:lang w:eastAsia="en-AU"/>
        </w:rPr>
        <w:t>International Covenant on Civil and Political Rights</w:t>
      </w:r>
      <w:r w:rsidRPr="00A93391">
        <w:rPr>
          <w:rFonts w:eastAsia="Times New Roman"/>
          <w:lang w:eastAsia="en-AU"/>
        </w:rPr>
        <w:t xml:space="preserve"> (ICCPR). This right </w:t>
      </w:r>
      <w:r w:rsidRPr="00A93391">
        <w:rPr>
          <w:rFonts w:eastAsia="Times New Roman"/>
          <w:lang w:eastAsia="en-AU"/>
        </w:rPr>
        <w:lastRenderedPageBreak/>
        <w:t xml:space="preserve">encompasses </w:t>
      </w:r>
      <w:r w:rsidR="004B5733">
        <w:rPr>
          <w:rFonts w:eastAsia="Times New Roman"/>
          <w:lang w:eastAsia="en-AU"/>
        </w:rPr>
        <w:t xml:space="preserve">the right to </w:t>
      </w:r>
      <w:r w:rsidRPr="00A93391">
        <w:rPr>
          <w:rFonts w:eastAsia="Times New Roman"/>
          <w:lang w:eastAsia="en-AU"/>
        </w:rPr>
        <w:t xml:space="preserve">respect for informational privacy, including </w:t>
      </w:r>
      <w:r w:rsidR="00763BF8">
        <w:rPr>
          <w:rFonts w:eastAsia="Times New Roman"/>
          <w:lang w:eastAsia="en-AU"/>
        </w:rPr>
        <w:t>with respect to</w:t>
      </w:r>
      <w:r w:rsidRPr="00A93391">
        <w:rPr>
          <w:rFonts w:eastAsia="Times New Roman"/>
          <w:lang w:eastAsia="en-AU"/>
        </w:rPr>
        <w:t xml:space="preserve"> the storing, use and sharing of private and confidential information.</w:t>
      </w:r>
    </w:p>
    <w:p w14:paraId="24FB9558" w14:textId="77777777" w:rsidR="00A1519A" w:rsidRPr="00A93391" w:rsidRDefault="7E23DA1A" w:rsidP="002570C9">
      <w:pPr>
        <w:spacing w:before="100" w:beforeAutospacing="1" w:after="100" w:afterAutospacing="1" w:line="240" w:lineRule="auto"/>
        <w:ind w:right="91"/>
        <w:rPr>
          <w:rFonts w:eastAsia="Times New Roman"/>
          <w:lang w:eastAsia="en-AU"/>
        </w:rPr>
      </w:pPr>
      <w:r w:rsidRPr="00A93391">
        <w:rPr>
          <w:rFonts w:eastAsia="Times New Roman"/>
          <w:lang w:eastAsia="en-AU"/>
        </w:rPr>
        <w:t xml:space="preserve">The right to privacy is also recognised in Article 16 of the </w:t>
      </w:r>
      <w:r w:rsidRPr="00A93391">
        <w:rPr>
          <w:rFonts w:eastAsia="Times New Roman"/>
          <w:i/>
          <w:iCs/>
          <w:lang w:eastAsia="en-AU"/>
        </w:rPr>
        <w:t>Convention on the Rights of the Child</w:t>
      </w:r>
      <w:r w:rsidRPr="00A93391">
        <w:rPr>
          <w:rFonts w:eastAsia="Times New Roman"/>
          <w:lang w:eastAsia="en-AU"/>
        </w:rPr>
        <w:t>,</w:t>
      </w:r>
      <w:r w:rsidRPr="00A93391">
        <w:rPr>
          <w:rFonts w:eastAsia="Times New Roman"/>
          <w:i/>
          <w:iCs/>
          <w:lang w:eastAsia="en-AU"/>
        </w:rPr>
        <w:t xml:space="preserve"> </w:t>
      </w:r>
      <w:r w:rsidRPr="00A93391">
        <w:rPr>
          <w:rFonts w:eastAsia="Times New Roman"/>
          <w:lang w:eastAsia="en-AU"/>
        </w:rPr>
        <w:t xml:space="preserve">which states that no child shall be subjected to arbitrary or unlawful interference with his or her privacy, family, home or correspondence, nor to unlawful attacks on his or her honour and reputation. </w:t>
      </w:r>
    </w:p>
    <w:p w14:paraId="3ED42329" w14:textId="21B8E578" w:rsidR="001325B5" w:rsidRPr="00A93391" w:rsidRDefault="7E23DA1A" w:rsidP="002570C9">
      <w:pPr>
        <w:keepNext/>
        <w:keepLines/>
        <w:spacing w:before="100" w:beforeAutospacing="1" w:after="100" w:afterAutospacing="1" w:line="259" w:lineRule="auto"/>
        <w:outlineLvl w:val="1"/>
        <w:rPr>
          <w:rFonts w:eastAsia="Times New Roman"/>
        </w:rPr>
      </w:pPr>
      <w:bookmarkStart w:id="1" w:name="_Toc37244540"/>
      <w:r w:rsidRPr="00A93391">
        <w:rPr>
          <w:rFonts w:eastAsia="Times New Roman"/>
        </w:rPr>
        <w:t xml:space="preserve">All data sharing under the </w:t>
      </w:r>
      <w:r w:rsidR="00416BC5">
        <w:rPr>
          <w:rFonts w:eastAsia="Times New Roman"/>
        </w:rPr>
        <w:t xml:space="preserve">DAT </w:t>
      </w:r>
      <w:r w:rsidRPr="00A93391">
        <w:rPr>
          <w:rFonts w:eastAsia="Times New Roman"/>
        </w:rPr>
        <w:t xml:space="preserve">Act must be consistent with the </w:t>
      </w:r>
      <w:r w:rsidRPr="00A93391">
        <w:rPr>
          <w:rFonts w:eastAsia="Times New Roman"/>
          <w:i/>
          <w:iCs/>
        </w:rPr>
        <w:t>Privacy Act 1988</w:t>
      </w:r>
      <w:r w:rsidRPr="00A93391">
        <w:rPr>
          <w:rFonts w:eastAsia="Times New Roman"/>
        </w:rPr>
        <w:t xml:space="preserve"> because sharing that is inconsistent with the </w:t>
      </w:r>
      <w:r w:rsidRPr="00A93391">
        <w:rPr>
          <w:rFonts w:eastAsia="Times New Roman"/>
          <w:i/>
          <w:iCs/>
        </w:rPr>
        <w:t>Privacy Act</w:t>
      </w:r>
      <w:r w:rsidRPr="00A93391">
        <w:rPr>
          <w:rFonts w:eastAsia="Times New Roman"/>
        </w:rPr>
        <w:t xml:space="preserve"> </w:t>
      </w:r>
      <w:r w:rsidRPr="00A93391">
        <w:rPr>
          <w:rFonts w:eastAsia="Times New Roman"/>
          <w:i/>
          <w:iCs/>
        </w:rPr>
        <w:t>1988</w:t>
      </w:r>
      <w:r w:rsidRPr="00A93391">
        <w:rPr>
          <w:rFonts w:eastAsia="Times New Roman"/>
        </w:rPr>
        <w:t xml:space="preserve"> is barred by subsection 17(5) of the </w:t>
      </w:r>
      <w:r w:rsidR="00416BC5">
        <w:rPr>
          <w:rFonts w:eastAsia="Times New Roman"/>
        </w:rPr>
        <w:t xml:space="preserve">DAT </w:t>
      </w:r>
      <w:r w:rsidRPr="00A93391">
        <w:rPr>
          <w:rFonts w:eastAsia="Times New Roman"/>
        </w:rPr>
        <w:t>Act.</w:t>
      </w:r>
    </w:p>
    <w:p w14:paraId="6B55BA27" w14:textId="05DCF28A" w:rsidR="00A86B25" w:rsidRPr="00A93391" w:rsidRDefault="7E23DA1A" w:rsidP="002570C9">
      <w:pPr>
        <w:keepNext/>
        <w:keepLines/>
        <w:spacing w:before="100" w:beforeAutospacing="1" w:after="100" w:afterAutospacing="1" w:line="259" w:lineRule="auto"/>
        <w:outlineLvl w:val="1"/>
        <w:rPr>
          <w:rFonts w:eastAsia="Times New Roman"/>
        </w:rPr>
      </w:pPr>
      <w:r w:rsidRPr="00A93391">
        <w:rPr>
          <w:rFonts w:eastAsia="Times New Roman"/>
        </w:rPr>
        <w:t xml:space="preserve">The </w:t>
      </w:r>
      <w:r w:rsidR="00416BC5">
        <w:rPr>
          <w:rFonts w:eastAsia="Times New Roman"/>
        </w:rPr>
        <w:t xml:space="preserve">DAT </w:t>
      </w:r>
      <w:r w:rsidRPr="00A93391">
        <w:rPr>
          <w:rFonts w:eastAsia="Times New Roman"/>
        </w:rPr>
        <w:t xml:space="preserve">Act imposes a range of protections in relation to data shared under the </w:t>
      </w:r>
      <w:r w:rsidR="0012392B">
        <w:rPr>
          <w:rFonts w:eastAsia="Times New Roman"/>
        </w:rPr>
        <w:t xml:space="preserve">DAT </w:t>
      </w:r>
      <w:r w:rsidRPr="00A93391">
        <w:rPr>
          <w:rFonts w:eastAsia="Times New Roman"/>
        </w:rPr>
        <w:t xml:space="preserve">Act, including personal information shared under the </w:t>
      </w:r>
      <w:r w:rsidR="0012392B">
        <w:rPr>
          <w:rFonts w:eastAsia="Times New Roman"/>
        </w:rPr>
        <w:t xml:space="preserve">DAT </w:t>
      </w:r>
      <w:r w:rsidRPr="00A93391">
        <w:rPr>
          <w:rFonts w:eastAsia="Times New Roman"/>
        </w:rPr>
        <w:t xml:space="preserve">Act. A transitional entity taken to be an ADSP may only collect and use shared data as authorised by section 13B of the </w:t>
      </w:r>
      <w:r w:rsidR="0012392B">
        <w:rPr>
          <w:rFonts w:eastAsia="Times New Roman"/>
        </w:rPr>
        <w:t>DAT</w:t>
      </w:r>
      <w:r w:rsidR="0012392B" w:rsidRPr="00A93391">
        <w:rPr>
          <w:rFonts w:eastAsia="Times New Roman"/>
        </w:rPr>
        <w:t xml:space="preserve"> </w:t>
      </w:r>
      <w:r w:rsidRPr="00A93391">
        <w:rPr>
          <w:rFonts w:eastAsia="Times New Roman"/>
        </w:rPr>
        <w:t xml:space="preserve">Act. A transitional entity may only collect and use personal information under the </w:t>
      </w:r>
      <w:r w:rsidR="00611079">
        <w:rPr>
          <w:rFonts w:eastAsia="Times New Roman"/>
        </w:rPr>
        <w:t>DAT</w:t>
      </w:r>
      <w:r w:rsidR="00611079" w:rsidRPr="00A93391">
        <w:rPr>
          <w:rFonts w:eastAsia="Times New Roman"/>
        </w:rPr>
        <w:t xml:space="preserve"> </w:t>
      </w:r>
      <w:r w:rsidRPr="00A93391">
        <w:rPr>
          <w:rFonts w:eastAsia="Times New Roman"/>
        </w:rPr>
        <w:t>Act as an ADSP if it is subject to privacy obligations in relation to the information (paragraph</w:t>
      </w:r>
      <w:r w:rsidR="00CA0E8B">
        <w:rPr>
          <w:rFonts w:eastAsia="Times New Roman"/>
        </w:rPr>
        <w:t> </w:t>
      </w:r>
      <w:r w:rsidRPr="00A93391">
        <w:rPr>
          <w:rFonts w:eastAsia="Times New Roman"/>
        </w:rPr>
        <w:t xml:space="preserve">13B(e) and section 16E of the </w:t>
      </w:r>
      <w:r w:rsidR="00611079">
        <w:rPr>
          <w:rFonts w:eastAsia="Times New Roman"/>
        </w:rPr>
        <w:t>DAT</w:t>
      </w:r>
      <w:r w:rsidR="00611079" w:rsidRPr="00A93391">
        <w:rPr>
          <w:rFonts w:eastAsia="Times New Roman"/>
        </w:rPr>
        <w:t xml:space="preserve"> </w:t>
      </w:r>
      <w:r w:rsidRPr="00A93391">
        <w:rPr>
          <w:rFonts w:eastAsia="Times New Roman"/>
        </w:rPr>
        <w:t xml:space="preserve">Act). Personal information may only be shared under the </w:t>
      </w:r>
      <w:r w:rsidR="00611079">
        <w:rPr>
          <w:rFonts w:eastAsia="Times New Roman"/>
        </w:rPr>
        <w:t>DAT</w:t>
      </w:r>
      <w:r w:rsidR="00F90D4B">
        <w:rPr>
          <w:rFonts w:eastAsia="Times New Roman"/>
        </w:rPr>
        <w:t xml:space="preserve"> </w:t>
      </w:r>
      <w:r w:rsidRPr="00A93391">
        <w:rPr>
          <w:rFonts w:eastAsia="Times New Roman"/>
        </w:rPr>
        <w:t>Act if the sharing is consistent with the privacy protections in s</w:t>
      </w:r>
      <w:r w:rsidR="00CA0E8B">
        <w:rPr>
          <w:rFonts w:eastAsia="Times New Roman"/>
        </w:rPr>
        <w:t>ections 16A and 16B of that Act.</w:t>
      </w:r>
      <w:r w:rsidR="00E37E06">
        <w:rPr>
          <w:rFonts w:eastAsia="Times New Roman"/>
        </w:rPr>
        <w:t xml:space="preserve"> These protections set out the requirements for consent regarding the sharing of personal information, prohibit any personal information from being shared, stored, or accessed outside Australia, and ensure that any de-identified data remains de-identified. </w:t>
      </w:r>
    </w:p>
    <w:p w14:paraId="52D35756" w14:textId="57141F07" w:rsidR="00401D5B" w:rsidRPr="00A93391" w:rsidRDefault="7E23DA1A" w:rsidP="002570C9">
      <w:pPr>
        <w:keepNext/>
        <w:keepLines/>
        <w:spacing w:before="100" w:beforeAutospacing="1" w:after="100" w:afterAutospacing="1" w:line="259" w:lineRule="auto"/>
        <w:outlineLvl w:val="1"/>
        <w:rPr>
          <w:rFonts w:eastAsia="Times New Roman"/>
        </w:rPr>
      </w:pPr>
      <w:r w:rsidRPr="00A93391">
        <w:rPr>
          <w:rFonts w:eastAsia="Times New Roman"/>
        </w:rPr>
        <w:t xml:space="preserve">The effect of this instrument is </w:t>
      </w:r>
      <w:r w:rsidR="00CD63E5">
        <w:rPr>
          <w:rFonts w:eastAsia="Times New Roman"/>
        </w:rPr>
        <w:t>that the department of government, Queensland Health,</w:t>
      </w:r>
      <w:r w:rsidRPr="00A93391">
        <w:rPr>
          <w:rFonts w:eastAsia="Times New Roman"/>
        </w:rPr>
        <w:t xml:space="preserve"> may operate as </w:t>
      </w:r>
      <w:r w:rsidR="00CD63E5">
        <w:rPr>
          <w:rFonts w:eastAsia="Times New Roman"/>
        </w:rPr>
        <w:t xml:space="preserve">an </w:t>
      </w:r>
      <w:r w:rsidRPr="00A93391">
        <w:rPr>
          <w:rFonts w:eastAsia="Times New Roman"/>
        </w:rPr>
        <w:t xml:space="preserve">ADSP under the </w:t>
      </w:r>
      <w:r w:rsidR="00CD63E5">
        <w:rPr>
          <w:rFonts w:eastAsia="Times New Roman"/>
        </w:rPr>
        <w:t>DAT</w:t>
      </w:r>
      <w:r w:rsidR="00CD63E5" w:rsidRPr="00A93391">
        <w:rPr>
          <w:rFonts w:eastAsia="Times New Roman"/>
        </w:rPr>
        <w:t xml:space="preserve"> </w:t>
      </w:r>
      <w:r w:rsidRPr="00A93391">
        <w:rPr>
          <w:rFonts w:eastAsia="Times New Roman"/>
        </w:rPr>
        <w:t>Act without the Commissioner having assessed the</w:t>
      </w:r>
      <w:r w:rsidR="00CD63E5">
        <w:rPr>
          <w:rFonts w:eastAsia="Times New Roman"/>
        </w:rPr>
        <w:t xml:space="preserve"> entity </w:t>
      </w:r>
      <w:r w:rsidRPr="00A93391">
        <w:rPr>
          <w:rFonts w:eastAsia="Times New Roman"/>
        </w:rPr>
        <w:t xml:space="preserve">as meeting the accreditation criteria in section 77 of the </w:t>
      </w:r>
      <w:r w:rsidR="0045362E">
        <w:rPr>
          <w:rFonts w:eastAsia="Times New Roman"/>
        </w:rPr>
        <w:t>DAT</w:t>
      </w:r>
      <w:r w:rsidR="0045362E" w:rsidRPr="00A93391">
        <w:rPr>
          <w:rFonts w:eastAsia="Times New Roman"/>
        </w:rPr>
        <w:t xml:space="preserve"> </w:t>
      </w:r>
      <w:r w:rsidRPr="00A93391">
        <w:rPr>
          <w:rFonts w:eastAsia="Times New Roman"/>
        </w:rPr>
        <w:t xml:space="preserve">Act. There are a number of mitigations for this risk. The transition period for </w:t>
      </w:r>
      <w:r w:rsidR="0045362E">
        <w:rPr>
          <w:rFonts w:eastAsia="Times New Roman"/>
        </w:rPr>
        <w:t>the</w:t>
      </w:r>
      <w:r w:rsidRPr="00A93391">
        <w:rPr>
          <w:rFonts w:eastAsia="Times New Roman"/>
        </w:rPr>
        <w:t xml:space="preserve"> entity cannot extend beyond 30</w:t>
      </w:r>
      <w:r w:rsidR="008D7EA0">
        <w:rPr>
          <w:rFonts w:eastAsia="Times New Roman"/>
        </w:rPr>
        <w:t> </w:t>
      </w:r>
      <w:r w:rsidRPr="00A93391">
        <w:rPr>
          <w:rFonts w:eastAsia="Times New Roman"/>
        </w:rPr>
        <w:t>July</w:t>
      </w:r>
      <w:r w:rsidR="008D7EA0">
        <w:rPr>
          <w:rFonts w:eastAsia="Times New Roman"/>
        </w:rPr>
        <w:t> </w:t>
      </w:r>
      <w:r w:rsidRPr="00A93391">
        <w:rPr>
          <w:rFonts w:eastAsia="Times New Roman"/>
        </w:rPr>
        <w:t xml:space="preserve">2025. </w:t>
      </w:r>
      <w:r w:rsidR="0045362E">
        <w:rPr>
          <w:rFonts w:eastAsia="Times New Roman"/>
        </w:rPr>
        <w:t>The</w:t>
      </w:r>
      <w:r w:rsidRPr="00A93391">
        <w:rPr>
          <w:rFonts w:eastAsia="Times New Roman"/>
        </w:rPr>
        <w:t xml:space="preserve"> entity is a State government department that has been assessed under non</w:t>
      </w:r>
      <w:r w:rsidR="008D7EA0">
        <w:rPr>
          <w:rFonts w:eastAsia="Times New Roman"/>
        </w:rPr>
        <w:noBreakHyphen/>
      </w:r>
      <w:r w:rsidRPr="00A93391">
        <w:rPr>
          <w:rFonts w:eastAsia="Times New Roman"/>
        </w:rPr>
        <w:t>statutory arrangements as being suitable to perform data services in relation to Australian Government data. The Commissioner has regulatory oversight over transitional entities and, if necessary</w:t>
      </w:r>
      <w:r w:rsidR="00E128D2">
        <w:rPr>
          <w:rFonts w:eastAsia="Times New Roman"/>
        </w:rPr>
        <w:t>,</w:t>
      </w:r>
      <w:r w:rsidRPr="00A93391">
        <w:rPr>
          <w:rFonts w:eastAsia="Times New Roman"/>
        </w:rPr>
        <w:t xml:space="preserve"> the Commissioner may suspend or cancel the ADSP accreditation of a transitional </w:t>
      </w:r>
      <w:proofErr w:type="gramStart"/>
      <w:r w:rsidRPr="00A93391">
        <w:rPr>
          <w:rFonts w:eastAsia="Times New Roman"/>
        </w:rPr>
        <w:t>entity, or</w:t>
      </w:r>
      <w:proofErr w:type="gramEnd"/>
      <w:r w:rsidRPr="00A93391">
        <w:rPr>
          <w:rFonts w:eastAsia="Times New Roman"/>
        </w:rPr>
        <w:t xml:space="preserve"> vary or impose additional conditions of accreditation on the ADSP accreditation of a transitional entity.</w:t>
      </w:r>
    </w:p>
    <w:p w14:paraId="10CA711C" w14:textId="0B1638FA" w:rsidR="001325B5" w:rsidRPr="00A93391" w:rsidRDefault="7E23DA1A" w:rsidP="002570C9">
      <w:pPr>
        <w:keepNext/>
        <w:keepLines/>
        <w:spacing w:before="100" w:beforeAutospacing="1" w:after="100" w:afterAutospacing="1" w:line="259" w:lineRule="auto"/>
        <w:outlineLvl w:val="1"/>
        <w:rPr>
          <w:rFonts w:eastAsia="Times New Roman"/>
        </w:rPr>
      </w:pPr>
      <w:r w:rsidRPr="00A93391">
        <w:rPr>
          <w:rFonts w:eastAsia="Times New Roman"/>
        </w:rPr>
        <w:t xml:space="preserve">The transitional arrangements implemented by this instrument reduce risks to privacy because they enable departments and agencies with a high level of expertise in data sharing and the provision of data services to act as intermediaries in the data sharing scheme established by the </w:t>
      </w:r>
      <w:r w:rsidR="00E505B2">
        <w:rPr>
          <w:rFonts w:eastAsia="Times New Roman"/>
        </w:rPr>
        <w:t>DAT</w:t>
      </w:r>
      <w:r w:rsidR="00E505B2" w:rsidRPr="00A93391">
        <w:rPr>
          <w:rFonts w:eastAsia="Times New Roman"/>
        </w:rPr>
        <w:t xml:space="preserve"> </w:t>
      </w:r>
      <w:r w:rsidRPr="00A93391">
        <w:rPr>
          <w:rFonts w:eastAsia="Times New Roman"/>
        </w:rPr>
        <w:t xml:space="preserve">Act. </w:t>
      </w:r>
    </w:p>
    <w:p w14:paraId="4162041B" w14:textId="77777777" w:rsidR="00FD7BAB" w:rsidRPr="00A93391" w:rsidRDefault="7E23DA1A" w:rsidP="7E23DA1A">
      <w:pPr>
        <w:keepNext/>
        <w:keepLines/>
        <w:spacing w:before="240" w:after="120" w:line="259" w:lineRule="auto"/>
        <w:outlineLvl w:val="1"/>
        <w:rPr>
          <w:rFonts w:eastAsia="Times New Roman"/>
          <w:b/>
          <w:bCs/>
          <w:sz w:val="28"/>
          <w:szCs w:val="28"/>
        </w:rPr>
      </w:pPr>
      <w:r w:rsidRPr="00A93391">
        <w:rPr>
          <w:rFonts w:eastAsia="Times New Roman"/>
          <w:b/>
          <w:bCs/>
          <w:sz w:val="28"/>
          <w:szCs w:val="28"/>
        </w:rPr>
        <w:t>Conclusion</w:t>
      </w:r>
      <w:bookmarkEnd w:id="1"/>
    </w:p>
    <w:p w14:paraId="68445DD7" w14:textId="77777777" w:rsidR="00FD7BAB" w:rsidRPr="00A93391" w:rsidRDefault="7E23DA1A" w:rsidP="002570C9">
      <w:pPr>
        <w:spacing w:before="0" w:line="240" w:lineRule="auto"/>
        <w:ind w:right="91"/>
        <w:rPr>
          <w:rFonts w:eastAsia="Times New Roman"/>
          <w:lang w:eastAsia="en-AU"/>
        </w:rPr>
      </w:pPr>
      <w:r w:rsidRPr="00A93391">
        <w:rPr>
          <w:rFonts w:eastAsia="Times New Roman"/>
          <w:lang w:eastAsia="en-AU"/>
        </w:rPr>
        <w:t>This instrument is consistent with human rights because any limitation on the right to protection from arbitrary or unlawful interference with privacy is reasonable, necessary and proportionate.</w:t>
      </w:r>
    </w:p>
    <w:p w14:paraId="21D0FFBD" w14:textId="77777777" w:rsidR="003803A4" w:rsidRPr="00A93391" w:rsidRDefault="003803A4" w:rsidP="003803A4">
      <w:pPr>
        <w:spacing w:before="0" w:line="240" w:lineRule="auto"/>
        <w:ind w:right="91"/>
        <w:jc w:val="both"/>
        <w:rPr>
          <w:rFonts w:eastAsia="Times New Roman"/>
          <w:szCs w:val="20"/>
          <w:lang w:eastAsia="en-AU"/>
        </w:rPr>
      </w:pPr>
    </w:p>
    <w:p w14:paraId="69EFA816" w14:textId="77777777" w:rsidR="00FD7BAB" w:rsidRPr="00A719CD" w:rsidRDefault="7E23DA1A" w:rsidP="00A719CD">
      <w:pPr>
        <w:spacing w:before="240" w:after="120"/>
        <w:jc w:val="center"/>
      </w:pPr>
      <w:r w:rsidRPr="00A93391">
        <w:rPr>
          <w:b/>
          <w:bCs/>
        </w:rPr>
        <w:t>Senator the Hon. Katy Gallagher, Minister for Finance</w:t>
      </w:r>
    </w:p>
    <w:sectPr w:rsidR="00FD7BAB" w:rsidRPr="00A719CD" w:rsidSect="00CB7281">
      <w:footerReference w:type="default" r:id="rId12"/>
      <w:headerReference w:type="first" r:id="rId13"/>
      <w:footerReference w:type="first" r:id="rId14"/>
      <w:pgSz w:w="11906" w:h="16838" w:code="9"/>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84F0" w14:textId="77777777" w:rsidR="003329D2" w:rsidRDefault="003329D2" w:rsidP="00621DDE">
      <w:r>
        <w:separator/>
      </w:r>
    </w:p>
    <w:p w14:paraId="1A1CA4CD" w14:textId="77777777" w:rsidR="003329D2" w:rsidRDefault="003329D2"/>
  </w:endnote>
  <w:endnote w:type="continuationSeparator" w:id="0">
    <w:p w14:paraId="6F0C1C21" w14:textId="77777777" w:rsidR="003329D2" w:rsidRDefault="003329D2" w:rsidP="00621DDE">
      <w:r>
        <w:continuationSeparator/>
      </w:r>
    </w:p>
    <w:p w14:paraId="3EA018B9" w14:textId="77777777" w:rsidR="003329D2" w:rsidRDefault="003329D2"/>
  </w:endnote>
  <w:endnote w:type="continuationNotice" w:id="1">
    <w:p w14:paraId="4156FC12" w14:textId="77777777" w:rsidR="003329D2" w:rsidRDefault="003329D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010241"/>
      <w:docPartObj>
        <w:docPartGallery w:val="Page Numbers (Bottom of Page)"/>
        <w:docPartUnique/>
      </w:docPartObj>
    </w:sdtPr>
    <w:sdtEndPr>
      <w:rPr>
        <w:noProof/>
      </w:rPr>
    </w:sdtEndPr>
    <w:sdtContent>
      <w:p w14:paraId="40E1AA4A" w14:textId="39BC3E7F" w:rsidR="004622B9" w:rsidRDefault="004622B9">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7</w:t>
        </w:r>
      </w:p>
    </w:sdtContent>
  </w:sdt>
  <w:p w14:paraId="1CF45C22" w14:textId="2C973BE6" w:rsidR="00CC2EFC" w:rsidRDefault="00CC2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122516"/>
      <w:docPartObj>
        <w:docPartGallery w:val="Page Numbers (Bottom of Page)"/>
        <w:docPartUnique/>
      </w:docPartObj>
    </w:sdtPr>
    <w:sdtContent>
      <w:sdt>
        <w:sdtPr>
          <w:id w:val="-1769616900"/>
          <w:docPartObj>
            <w:docPartGallery w:val="Page Numbers (Top of Page)"/>
            <w:docPartUnique/>
          </w:docPartObj>
        </w:sdtPr>
        <w:sdtContent>
          <w:p w14:paraId="5B33561C" w14:textId="35061A61" w:rsidR="00661FD9" w:rsidRDefault="00661FD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9E96E26" w14:textId="77777777" w:rsidR="00661FD9" w:rsidRDefault="00661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C822" w14:textId="77777777" w:rsidR="003329D2" w:rsidRDefault="003329D2" w:rsidP="00621DDE">
      <w:r>
        <w:separator/>
      </w:r>
    </w:p>
    <w:p w14:paraId="097A9B8B" w14:textId="77777777" w:rsidR="003329D2" w:rsidRDefault="003329D2"/>
  </w:footnote>
  <w:footnote w:type="continuationSeparator" w:id="0">
    <w:p w14:paraId="0B703C62" w14:textId="77777777" w:rsidR="003329D2" w:rsidRDefault="003329D2" w:rsidP="00621DDE">
      <w:r>
        <w:continuationSeparator/>
      </w:r>
    </w:p>
    <w:p w14:paraId="6BC92A34" w14:textId="77777777" w:rsidR="003329D2" w:rsidRDefault="003329D2"/>
  </w:footnote>
  <w:footnote w:type="continuationNotice" w:id="1">
    <w:p w14:paraId="029764C3" w14:textId="77777777" w:rsidR="003329D2" w:rsidRDefault="003329D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9E06" w14:textId="6D284639" w:rsidR="009B5993" w:rsidRPr="00BC05C8" w:rsidRDefault="00CB7281" w:rsidP="00D045C1">
    <w:pPr>
      <w:jc w:val="right"/>
      <w:rPr>
        <w:u w:val="single"/>
      </w:rPr>
    </w:pPr>
    <w:r w:rsidRPr="00DF3E49">
      <w:rPr>
        <w:rFonts w:ascii="Arial" w:hAnsi="Arial" w:cs="Arial"/>
        <w:b/>
        <w:bCs/>
        <w:noProof/>
        <w:color w:val="000000" w:themeColor="text1"/>
        <w:szCs w:val="24"/>
      </w:rPr>
      <mc:AlternateContent>
        <mc:Choice Requires="wps">
          <w:drawing>
            <wp:anchor distT="0" distB="0" distL="114300" distR="114300" simplePos="0" relativeHeight="251659264" behindDoc="0" locked="0" layoutInCell="1" allowOverlap="1" wp14:anchorId="3D1AE19B" wp14:editId="07E93A86">
              <wp:simplePos x="0" y="0"/>
              <wp:positionH relativeFrom="column">
                <wp:posOffset>461010</wp:posOffset>
              </wp:positionH>
              <wp:positionV relativeFrom="paragraph">
                <wp:posOffset>-133350</wp:posOffset>
              </wp:positionV>
              <wp:extent cx="4449600" cy="352800"/>
              <wp:effectExtent l="0" t="0" r="27305" b="28575"/>
              <wp:wrapNone/>
              <wp:docPr id="1764456405" name="Rectangle 2"/>
              <wp:cNvGraphicFramePr/>
              <a:graphic xmlns:a="http://schemas.openxmlformats.org/drawingml/2006/main">
                <a:graphicData uri="http://schemas.microsoft.com/office/word/2010/wordprocessingShape">
                  <wps:wsp>
                    <wps:cNvSpPr/>
                    <wps:spPr>
                      <a:xfrm>
                        <a:off x="0" y="0"/>
                        <a:ext cx="4449600" cy="3528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BB152D" w14:textId="77777777" w:rsidR="00CB7281" w:rsidRPr="00DF3E49" w:rsidRDefault="00CB7281" w:rsidP="00CB7281">
                          <w:pPr>
                            <w:spacing w:before="0"/>
                            <w:jc w:val="center"/>
                            <w:rPr>
                              <w:rFonts w:ascii="Arial" w:hAnsi="Arial" w:cs="Arial"/>
                              <w:b/>
                              <w:bCs/>
                              <w:color w:val="000000" w:themeColor="text1"/>
                              <w:szCs w:val="24"/>
                            </w:rPr>
                          </w:pPr>
                          <w:bookmarkStart w:id="2" w:name="_Hlk147933158"/>
                          <w:bookmarkStart w:id="3" w:name="_Hlk147933159"/>
                          <w:r>
                            <w:rPr>
                              <w:rFonts w:ascii="Arial" w:hAnsi="Arial" w:cs="Arial"/>
                              <w:b/>
                              <w:bCs/>
                              <w:color w:val="000000" w:themeColor="text1"/>
                              <w:szCs w:val="24"/>
                            </w:rPr>
                            <w:t>EXPOSURE DRAFT – PUBLIC CONSULTATION</w:t>
                          </w:r>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AE19B" id="Rectangle 2" o:spid="_x0000_s1026" style="position:absolute;left:0;text-align:left;margin-left:36.3pt;margin-top:-10.5pt;width:350.3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" fillcolor="white [3212]" strokecolor="black [3213]" strokeweight="2pt">
              <v:textbox>
                <w:txbxContent>
                  <w:p w14:paraId="5DBB152D" w14:textId="77777777" w:rsidR="00CB7281" w:rsidRPr="00DF3E49" w:rsidRDefault="00CB7281" w:rsidP="00CB7281">
                    <w:pPr>
                      <w:spacing w:before="0"/>
                      <w:jc w:val="center"/>
                      <w:rPr>
                        <w:rFonts w:ascii="Arial" w:hAnsi="Arial" w:cs="Arial"/>
                        <w:b/>
                        <w:bCs/>
                        <w:color w:val="000000" w:themeColor="text1"/>
                        <w:szCs w:val="24"/>
                      </w:rPr>
                    </w:pPr>
                    <w:bookmarkStart w:id="4" w:name="_Hlk147933158"/>
                    <w:bookmarkStart w:id="5" w:name="_Hlk147933159"/>
                    <w:r>
                      <w:rPr>
                        <w:rFonts w:ascii="Arial" w:hAnsi="Arial" w:cs="Arial"/>
                        <w:b/>
                        <w:bCs/>
                        <w:color w:val="000000" w:themeColor="text1"/>
                        <w:szCs w:val="24"/>
                      </w:rPr>
                      <w:t>EXPOSURE DRAFT – PUBLIC CONSULTATION</w:t>
                    </w:r>
                    <w:bookmarkEnd w:id="4"/>
                    <w:bookmarkEnd w:id="5"/>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59005CD"/>
    <w:multiLevelType w:val="hybridMultilevel"/>
    <w:tmpl w:val="3AF4F918"/>
    <w:lvl w:ilvl="0" w:tplc="E26ABBCC">
      <w:start w:val="1"/>
      <w:numFmt w:val="lowerLetter"/>
      <w:lvlText w:val="%1)"/>
      <w:lvlJc w:val="left"/>
      <w:pPr>
        <w:ind w:left="1800" w:hanging="360"/>
      </w:pPr>
      <w:rPr>
        <w:rFonts w:eastAsiaTheme="majorEastAsia"/>
        <w:color w:val="auto"/>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08DA4D1B"/>
    <w:multiLevelType w:val="hybridMultilevel"/>
    <w:tmpl w:val="A6442D18"/>
    <w:lvl w:ilvl="0" w:tplc="3A6A4ACE">
      <w:start w:val="1"/>
      <w:numFmt w:val="bullet"/>
      <w:lvlText w:val=""/>
      <w:lvlJc w:val="left"/>
      <w:pPr>
        <w:ind w:left="720" w:hanging="360"/>
      </w:pPr>
      <w:rPr>
        <w:rFonts w:ascii="Symbol" w:hAnsi="Symbol"/>
      </w:rPr>
    </w:lvl>
    <w:lvl w:ilvl="1" w:tplc="1ECE48C0">
      <w:start w:val="1"/>
      <w:numFmt w:val="bullet"/>
      <w:lvlText w:val=""/>
      <w:lvlJc w:val="left"/>
      <w:pPr>
        <w:ind w:left="720" w:hanging="360"/>
      </w:pPr>
      <w:rPr>
        <w:rFonts w:ascii="Symbol" w:hAnsi="Symbol"/>
      </w:rPr>
    </w:lvl>
    <w:lvl w:ilvl="2" w:tplc="3F5645B2">
      <w:start w:val="1"/>
      <w:numFmt w:val="bullet"/>
      <w:lvlText w:val=""/>
      <w:lvlJc w:val="left"/>
      <w:pPr>
        <w:ind w:left="720" w:hanging="360"/>
      </w:pPr>
      <w:rPr>
        <w:rFonts w:ascii="Symbol" w:hAnsi="Symbol"/>
      </w:rPr>
    </w:lvl>
    <w:lvl w:ilvl="3" w:tplc="39ACC83A">
      <w:start w:val="1"/>
      <w:numFmt w:val="bullet"/>
      <w:lvlText w:val=""/>
      <w:lvlJc w:val="left"/>
      <w:pPr>
        <w:ind w:left="720" w:hanging="360"/>
      </w:pPr>
      <w:rPr>
        <w:rFonts w:ascii="Symbol" w:hAnsi="Symbol"/>
      </w:rPr>
    </w:lvl>
    <w:lvl w:ilvl="4" w:tplc="0D8E46D4">
      <w:start w:val="1"/>
      <w:numFmt w:val="bullet"/>
      <w:lvlText w:val=""/>
      <w:lvlJc w:val="left"/>
      <w:pPr>
        <w:ind w:left="720" w:hanging="360"/>
      </w:pPr>
      <w:rPr>
        <w:rFonts w:ascii="Symbol" w:hAnsi="Symbol"/>
      </w:rPr>
    </w:lvl>
    <w:lvl w:ilvl="5" w:tplc="81EE1F3E">
      <w:start w:val="1"/>
      <w:numFmt w:val="bullet"/>
      <w:lvlText w:val=""/>
      <w:lvlJc w:val="left"/>
      <w:pPr>
        <w:ind w:left="720" w:hanging="360"/>
      </w:pPr>
      <w:rPr>
        <w:rFonts w:ascii="Symbol" w:hAnsi="Symbol"/>
      </w:rPr>
    </w:lvl>
    <w:lvl w:ilvl="6" w:tplc="0900B910">
      <w:start w:val="1"/>
      <w:numFmt w:val="bullet"/>
      <w:lvlText w:val=""/>
      <w:lvlJc w:val="left"/>
      <w:pPr>
        <w:ind w:left="720" w:hanging="360"/>
      </w:pPr>
      <w:rPr>
        <w:rFonts w:ascii="Symbol" w:hAnsi="Symbol"/>
      </w:rPr>
    </w:lvl>
    <w:lvl w:ilvl="7" w:tplc="3AD20C14">
      <w:start w:val="1"/>
      <w:numFmt w:val="bullet"/>
      <w:lvlText w:val=""/>
      <w:lvlJc w:val="left"/>
      <w:pPr>
        <w:ind w:left="720" w:hanging="360"/>
      </w:pPr>
      <w:rPr>
        <w:rFonts w:ascii="Symbol" w:hAnsi="Symbol"/>
      </w:rPr>
    </w:lvl>
    <w:lvl w:ilvl="8" w:tplc="968E6946">
      <w:start w:val="1"/>
      <w:numFmt w:val="bullet"/>
      <w:lvlText w:val=""/>
      <w:lvlJc w:val="left"/>
      <w:pPr>
        <w:ind w:left="720" w:hanging="360"/>
      </w:pPr>
      <w:rPr>
        <w:rFonts w:ascii="Symbol" w:hAnsi="Symbol"/>
      </w:rPr>
    </w:lvl>
  </w:abstractNum>
  <w:abstractNum w:abstractNumId="3" w15:restartNumberingAfterBreak="0">
    <w:nsid w:val="0D42566B"/>
    <w:multiLevelType w:val="hybridMultilevel"/>
    <w:tmpl w:val="14C07392"/>
    <w:lvl w:ilvl="0" w:tplc="413E7756">
      <w:start w:val="1"/>
      <w:numFmt w:val="bullet"/>
      <w:lvlText w:val=""/>
      <w:lvlJc w:val="left"/>
      <w:pPr>
        <w:ind w:left="720" w:hanging="360"/>
      </w:pPr>
      <w:rPr>
        <w:rFonts w:ascii="Symbol" w:hAnsi="Symbol"/>
      </w:rPr>
    </w:lvl>
    <w:lvl w:ilvl="1" w:tplc="BB74EC0C">
      <w:start w:val="1"/>
      <w:numFmt w:val="bullet"/>
      <w:lvlText w:val=""/>
      <w:lvlJc w:val="left"/>
      <w:pPr>
        <w:ind w:left="720" w:hanging="360"/>
      </w:pPr>
      <w:rPr>
        <w:rFonts w:ascii="Symbol" w:hAnsi="Symbol"/>
      </w:rPr>
    </w:lvl>
    <w:lvl w:ilvl="2" w:tplc="2A8CC2A6">
      <w:start w:val="1"/>
      <w:numFmt w:val="bullet"/>
      <w:lvlText w:val=""/>
      <w:lvlJc w:val="left"/>
      <w:pPr>
        <w:ind w:left="720" w:hanging="360"/>
      </w:pPr>
      <w:rPr>
        <w:rFonts w:ascii="Symbol" w:hAnsi="Symbol"/>
      </w:rPr>
    </w:lvl>
    <w:lvl w:ilvl="3" w:tplc="EA903A4E">
      <w:start w:val="1"/>
      <w:numFmt w:val="bullet"/>
      <w:lvlText w:val=""/>
      <w:lvlJc w:val="left"/>
      <w:pPr>
        <w:ind w:left="720" w:hanging="360"/>
      </w:pPr>
      <w:rPr>
        <w:rFonts w:ascii="Symbol" w:hAnsi="Symbol"/>
      </w:rPr>
    </w:lvl>
    <w:lvl w:ilvl="4" w:tplc="344257A0">
      <w:start w:val="1"/>
      <w:numFmt w:val="bullet"/>
      <w:lvlText w:val=""/>
      <w:lvlJc w:val="left"/>
      <w:pPr>
        <w:ind w:left="720" w:hanging="360"/>
      </w:pPr>
      <w:rPr>
        <w:rFonts w:ascii="Symbol" w:hAnsi="Symbol"/>
      </w:rPr>
    </w:lvl>
    <w:lvl w:ilvl="5" w:tplc="1072476E">
      <w:start w:val="1"/>
      <w:numFmt w:val="bullet"/>
      <w:lvlText w:val=""/>
      <w:lvlJc w:val="left"/>
      <w:pPr>
        <w:ind w:left="720" w:hanging="360"/>
      </w:pPr>
      <w:rPr>
        <w:rFonts w:ascii="Symbol" w:hAnsi="Symbol"/>
      </w:rPr>
    </w:lvl>
    <w:lvl w:ilvl="6" w:tplc="94921F5E">
      <w:start w:val="1"/>
      <w:numFmt w:val="bullet"/>
      <w:lvlText w:val=""/>
      <w:lvlJc w:val="left"/>
      <w:pPr>
        <w:ind w:left="720" w:hanging="360"/>
      </w:pPr>
      <w:rPr>
        <w:rFonts w:ascii="Symbol" w:hAnsi="Symbol"/>
      </w:rPr>
    </w:lvl>
    <w:lvl w:ilvl="7" w:tplc="A6E2C8EC">
      <w:start w:val="1"/>
      <w:numFmt w:val="bullet"/>
      <w:lvlText w:val=""/>
      <w:lvlJc w:val="left"/>
      <w:pPr>
        <w:ind w:left="720" w:hanging="360"/>
      </w:pPr>
      <w:rPr>
        <w:rFonts w:ascii="Symbol" w:hAnsi="Symbol"/>
      </w:rPr>
    </w:lvl>
    <w:lvl w:ilvl="8" w:tplc="BBA8C35C">
      <w:start w:val="1"/>
      <w:numFmt w:val="bullet"/>
      <w:lvlText w:val=""/>
      <w:lvlJc w:val="left"/>
      <w:pPr>
        <w:ind w:left="720" w:hanging="360"/>
      </w:pPr>
      <w:rPr>
        <w:rFonts w:ascii="Symbol" w:hAnsi="Symbol"/>
      </w:rPr>
    </w:lvl>
  </w:abstractNum>
  <w:abstractNum w:abstractNumId="4" w15:restartNumberingAfterBreak="0">
    <w:nsid w:val="0D826F14"/>
    <w:multiLevelType w:val="hybridMultilevel"/>
    <w:tmpl w:val="F224DC74"/>
    <w:lvl w:ilvl="0" w:tplc="BFA6EBA2">
      <w:start w:val="1"/>
      <w:numFmt w:val="lowerRoman"/>
      <w:lvlText w:val="%1."/>
      <w:lvlJc w:val="left"/>
      <w:pPr>
        <w:ind w:left="1080" w:hanging="360"/>
      </w:pPr>
      <w:rPr>
        <w:rFonts w:ascii="Times New Roman" w:eastAsiaTheme="majorEastAsia" w:hAnsi="Times New Roman" w:cs="Times New Roman"/>
      </w:rPr>
    </w:lvl>
    <w:lvl w:ilvl="1" w:tplc="9982B900">
      <w:start w:val="1"/>
      <w:numFmt w:val="lowerRoman"/>
      <w:lvlText w:val="(%2)"/>
      <w:lvlJc w:val="left"/>
      <w:pPr>
        <w:ind w:left="1800" w:hanging="360"/>
      </w:pPr>
      <w:rPr>
        <w:b w:val="0"/>
      </w:rPr>
    </w:lvl>
    <w:lvl w:ilvl="2" w:tplc="0C090017">
      <w:start w:val="1"/>
      <w:numFmt w:val="lowerLetter"/>
      <w:lvlText w:val="%3)"/>
      <w:lvlJc w:val="left"/>
      <w:pPr>
        <w:ind w:left="1597" w:hanging="180"/>
      </w:pPr>
    </w:lvl>
    <w:lvl w:ilvl="3" w:tplc="9982B900">
      <w:start w:val="1"/>
      <w:numFmt w:val="lowerRoman"/>
      <w:lvlText w:val="(%4)"/>
      <w:lvlJc w:val="left"/>
      <w:pPr>
        <w:ind w:left="2061"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13B11339"/>
    <w:multiLevelType w:val="hybridMultilevel"/>
    <w:tmpl w:val="3DC655FE"/>
    <w:lvl w:ilvl="0" w:tplc="8D94D772">
      <w:start w:val="1"/>
      <w:numFmt w:val="bullet"/>
      <w:lvlText w:val=""/>
      <w:lvlJc w:val="left"/>
      <w:pPr>
        <w:ind w:left="720" w:hanging="360"/>
      </w:pPr>
      <w:rPr>
        <w:rFonts w:ascii="Symbol" w:hAnsi="Symbol"/>
      </w:rPr>
    </w:lvl>
    <w:lvl w:ilvl="1" w:tplc="CC1CCC58">
      <w:start w:val="1"/>
      <w:numFmt w:val="bullet"/>
      <w:lvlText w:val=""/>
      <w:lvlJc w:val="left"/>
      <w:pPr>
        <w:ind w:left="720" w:hanging="360"/>
      </w:pPr>
      <w:rPr>
        <w:rFonts w:ascii="Symbol" w:hAnsi="Symbol"/>
      </w:rPr>
    </w:lvl>
    <w:lvl w:ilvl="2" w:tplc="ED5EE33C">
      <w:start w:val="1"/>
      <w:numFmt w:val="bullet"/>
      <w:lvlText w:val=""/>
      <w:lvlJc w:val="left"/>
      <w:pPr>
        <w:ind w:left="720" w:hanging="360"/>
      </w:pPr>
      <w:rPr>
        <w:rFonts w:ascii="Symbol" w:hAnsi="Symbol"/>
      </w:rPr>
    </w:lvl>
    <w:lvl w:ilvl="3" w:tplc="113ECD1A">
      <w:start w:val="1"/>
      <w:numFmt w:val="bullet"/>
      <w:lvlText w:val=""/>
      <w:lvlJc w:val="left"/>
      <w:pPr>
        <w:ind w:left="720" w:hanging="360"/>
      </w:pPr>
      <w:rPr>
        <w:rFonts w:ascii="Symbol" w:hAnsi="Symbol"/>
      </w:rPr>
    </w:lvl>
    <w:lvl w:ilvl="4" w:tplc="FD5C6C76">
      <w:start w:val="1"/>
      <w:numFmt w:val="bullet"/>
      <w:lvlText w:val=""/>
      <w:lvlJc w:val="left"/>
      <w:pPr>
        <w:ind w:left="720" w:hanging="360"/>
      </w:pPr>
      <w:rPr>
        <w:rFonts w:ascii="Symbol" w:hAnsi="Symbol"/>
      </w:rPr>
    </w:lvl>
    <w:lvl w:ilvl="5" w:tplc="5F9EA750">
      <w:start w:val="1"/>
      <w:numFmt w:val="bullet"/>
      <w:lvlText w:val=""/>
      <w:lvlJc w:val="left"/>
      <w:pPr>
        <w:ind w:left="720" w:hanging="360"/>
      </w:pPr>
      <w:rPr>
        <w:rFonts w:ascii="Symbol" w:hAnsi="Symbol"/>
      </w:rPr>
    </w:lvl>
    <w:lvl w:ilvl="6" w:tplc="36421038">
      <w:start w:val="1"/>
      <w:numFmt w:val="bullet"/>
      <w:lvlText w:val=""/>
      <w:lvlJc w:val="left"/>
      <w:pPr>
        <w:ind w:left="720" w:hanging="360"/>
      </w:pPr>
      <w:rPr>
        <w:rFonts w:ascii="Symbol" w:hAnsi="Symbol"/>
      </w:rPr>
    </w:lvl>
    <w:lvl w:ilvl="7" w:tplc="A858A12E">
      <w:start w:val="1"/>
      <w:numFmt w:val="bullet"/>
      <w:lvlText w:val=""/>
      <w:lvlJc w:val="left"/>
      <w:pPr>
        <w:ind w:left="720" w:hanging="360"/>
      </w:pPr>
      <w:rPr>
        <w:rFonts w:ascii="Symbol" w:hAnsi="Symbol"/>
      </w:rPr>
    </w:lvl>
    <w:lvl w:ilvl="8" w:tplc="C9D8DEAE">
      <w:start w:val="1"/>
      <w:numFmt w:val="bullet"/>
      <w:lvlText w:val=""/>
      <w:lvlJc w:val="left"/>
      <w:pPr>
        <w:ind w:left="720" w:hanging="360"/>
      </w:pPr>
      <w:rPr>
        <w:rFonts w:ascii="Symbol" w:hAnsi="Symbol"/>
      </w:rPr>
    </w:lvl>
  </w:abstractNum>
  <w:abstractNum w:abstractNumId="6" w15:restartNumberingAfterBreak="0">
    <w:nsid w:val="1D993224"/>
    <w:multiLevelType w:val="hybridMultilevel"/>
    <w:tmpl w:val="7A2C5BB0"/>
    <w:lvl w:ilvl="0" w:tplc="0C09000F">
      <w:start w:val="1"/>
      <w:numFmt w:val="decimal"/>
      <w:lvlText w:val="%1."/>
      <w:lvlJc w:val="left"/>
      <w:pPr>
        <w:ind w:left="7358" w:hanging="360"/>
      </w:pPr>
    </w:lvl>
    <w:lvl w:ilvl="1" w:tplc="0C090019" w:tentative="1">
      <w:start w:val="1"/>
      <w:numFmt w:val="lowerLetter"/>
      <w:lvlText w:val="%2."/>
      <w:lvlJc w:val="left"/>
      <w:pPr>
        <w:ind w:left="8078" w:hanging="360"/>
      </w:pPr>
    </w:lvl>
    <w:lvl w:ilvl="2" w:tplc="0C09001B" w:tentative="1">
      <w:start w:val="1"/>
      <w:numFmt w:val="lowerRoman"/>
      <w:lvlText w:val="%3."/>
      <w:lvlJc w:val="right"/>
      <w:pPr>
        <w:ind w:left="8798" w:hanging="180"/>
      </w:pPr>
    </w:lvl>
    <w:lvl w:ilvl="3" w:tplc="0C09000F" w:tentative="1">
      <w:start w:val="1"/>
      <w:numFmt w:val="decimal"/>
      <w:lvlText w:val="%4."/>
      <w:lvlJc w:val="left"/>
      <w:pPr>
        <w:ind w:left="9518" w:hanging="360"/>
      </w:pPr>
    </w:lvl>
    <w:lvl w:ilvl="4" w:tplc="0C090019" w:tentative="1">
      <w:start w:val="1"/>
      <w:numFmt w:val="lowerLetter"/>
      <w:lvlText w:val="%5."/>
      <w:lvlJc w:val="left"/>
      <w:pPr>
        <w:ind w:left="10238" w:hanging="360"/>
      </w:pPr>
    </w:lvl>
    <w:lvl w:ilvl="5" w:tplc="0C09001B" w:tentative="1">
      <w:start w:val="1"/>
      <w:numFmt w:val="lowerRoman"/>
      <w:lvlText w:val="%6."/>
      <w:lvlJc w:val="right"/>
      <w:pPr>
        <w:ind w:left="10958" w:hanging="180"/>
      </w:pPr>
    </w:lvl>
    <w:lvl w:ilvl="6" w:tplc="0C09000F" w:tentative="1">
      <w:start w:val="1"/>
      <w:numFmt w:val="decimal"/>
      <w:lvlText w:val="%7."/>
      <w:lvlJc w:val="left"/>
      <w:pPr>
        <w:ind w:left="11678" w:hanging="360"/>
      </w:pPr>
    </w:lvl>
    <w:lvl w:ilvl="7" w:tplc="0C090019" w:tentative="1">
      <w:start w:val="1"/>
      <w:numFmt w:val="lowerLetter"/>
      <w:lvlText w:val="%8."/>
      <w:lvlJc w:val="left"/>
      <w:pPr>
        <w:ind w:left="12398" w:hanging="360"/>
      </w:pPr>
    </w:lvl>
    <w:lvl w:ilvl="8" w:tplc="0C09001B" w:tentative="1">
      <w:start w:val="1"/>
      <w:numFmt w:val="lowerRoman"/>
      <w:lvlText w:val="%9."/>
      <w:lvlJc w:val="right"/>
      <w:pPr>
        <w:ind w:left="13118" w:hanging="180"/>
      </w:pPr>
    </w:lvl>
  </w:abstractNum>
  <w:abstractNum w:abstractNumId="7" w15:restartNumberingAfterBreak="0">
    <w:nsid w:val="1E2F15D3"/>
    <w:multiLevelType w:val="hybridMultilevel"/>
    <w:tmpl w:val="EF66D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21172"/>
    <w:multiLevelType w:val="hybridMultilevel"/>
    <w:tmpl w:val="DA64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2890B46"/>
    <w:multiLevelType w:val="hybridMultilevel"/>
    <w:tmpl w:val="881AEE92"/>
    <w:lvl w:ilvl="0" w:tplc="AEE054FC">
      <w:start w:val="1"/>
      <w:numFmt w:val="decimal"/>
      <w:lvlText w:val="(%1)"/>
      <w:lvlJc w:val="left"/>
      <w:pPr>
        <w:ind w:left="1080" w:hanging="360"/>
      </w:pPr>
      <w:rPr>
        <w:rFonts w:eastAsiaTheme="majorEastAsia"/>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234B34EC"/>
    <w:multiLevelType w:val="hybridMultilevel"/>
    <w:tmpl w:val="AB208084"/>
    <w:lvl w:ilvl="0" w:tplc="FFFFFFFF">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80C18E2"/>
    <w:multiLevelType w:val="hybridMultilevel"/>
    <w:tmpl w:val="AE381E24"/>
    <w:lvl w:ilvl="0" w:tplc="CD642816">
      <w:start w:val="1"/>
      <w:numFmt w:val="bullet"/>
      <w:lvlText w:val=""/>
      <w:lvlJc w:val="left"/>
      <w:pPr>
        <w:ind w:left="720" w:hanging="360"/>
      </w:pPr>
      <w:rPr>
        <w:rFonts w:ascii="Symbol" w:hAnsi="Symbol"/>
      </w:rPr>
    </w:lvl>
    <w:lvl w:ilvl="1" w:tplc="5E6CEA0A">
      <w:start w:val="1"/>
      <w:numFmt w:val="bullet"/>
      <w:lvlText w:val=""/>
      <w:lvlJc w:val="left"/>
      <w:pPr>
        <w:ind w:left="720" w:hanging="360"/>
      </w:pPr>
      <w:rPr>
        <w:rFonts w:ascii="Symbol" w:hAnsi="Symbol"/>
      </w:rPr>
    </w:lvl>
    <w:lvl w:ilvl="2" w:tplc="14DED21E">
      <w:start w:val="1"/>
      <w:numFmt w:val="bullet"/>
      <w:lvlText w:val=""/>
      <w:lvlJc w:val="left"/>
      <w:pPr>
        <w:ind w:left="720" w:hanging="360"/>
      </w:pPr>
      <w:rPr>
        <w:rFonts w:ascii="Symbol" w:hAnsi="Symbol"/>
      </w:rPr>
    </w:lvl>
    <w:lvl w:ilvl="3" w:tplc="6F26A248">
      <w:start w:val="1"/>
      <w:numFmt w:val="bullet"/>
      <w:lvlText w:val=""/>
      <w:lvlJc w:val="left"/>
      <w:pPr>
        <w:ind w:left="720" w:hanging="360"/>
      </w:pPr>
      <w:rPr>
        <w:rFonts w:ascii="Symbol" w:hAnsi="Symbol"/>
      </w:rPr>
    </w:lvl>
    <w:lvl w:ilvl="4" w:tplc="3A1E072A">
      <w:start w:val="1"/>
      <w:numFmt w:val="bullet"/>
      <w:lvlText w:val=""/>
      <w:lvlJc w:val="left"/>
      <w:pPr>
        <w:ind w:left="720" w:hanging="360"/>
      </w:pPr>
      <w:rPr>
        <w:rFonts w:ascii="Symbol" w:hAnsi="Symbol"/>
      </w:rPr>
    </w:lvl>
    <w:lvl w:ilvl="5" w:tplc="39001228">
      <w:start w:val="1"/>
      <w:numFmt w:val="bullet"/>
      <w:lvlText w:val=""/>
      <w:lvlJc w:val="left"/>
      <w:pPr>
        <w:ind w:left="720" w:hanging="360"/>
      </w:pPr>
      <w:rPr>
        <w:rFonts w:ascii="Symbol" w:hAnsi="Symbol"/>
      </w:rPr>
    </w:lvl>
    <w:lvl w:ilvl="6" w:tplc="E6AC0DE2">
      <w:start w:val="1"/>
      <w:numFmt w:val="bullet"/>
      <w:lvlText w:val=""/>
      <w:lvlJc w:val="left"/>
      <w:pPr>
        <w:ind w:left="720" w:hanging="360"/>
      </w:pPr>
      <w:rPr>
        <w:rFonts w:ascii="Symbol" w:hAnsi="Symbol"/>
      </w:rPr>
    </w:lvl>
    <w:lvl w:ilvl="7" w:tplc="0B365788">
      <w:start w:val="1"/>
      <w:numFmt w:val="bullet"/>
      <w:lvlText w:val=""/>
      <w:lvlJc w:val="left"/>
      <w:pPr>
        <w:ind w:left="720" w:hanging="360"/>
      </w:pPr>
      <w:rPr>
        <w:rFonts w:ascii="Symbol" w:hAnsi="Symbol"/>
      </w:rPr>
    </w:lvl>
    <w:lvl w:ilvl="8" w:tplc="63F89838">
      <w:start w:val="1"/>
      <w:numFmt w:val="bullet"/>
      <w:lvlText w:val=""/>
      <w:lvlJc w:val="left"/>
      <w:pPr>
        <w:ind w:left="720" w:hanging="360"/>
      </w:pPr>
      <w:rPr>
        <w:rFonts w:ascii="Symbol" w:hAnsi="Symbol"/>
      </w:rPr>
    </w:lvl>
  </w:abstractNum>
  <w:abstractNum w:abstractNumId="13" w15:restartNumberingAfterBreak="0">
    <w:nsid w:val="29706950"/>
    <w:multiLevelType w:val="hybridMultilevel"/>
    <w:tmpl w:val="DB701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9E7D96"/>
    <w:multiLevelType w:val="hybridMultilevel"/>
    <w:tmpl w:val="1F4C2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BF780B"/>
    <w:multiLevelType w:val="hybridMultilevel"/>
    <w:tmpl w:val="0EBED636"/>
    <w:lvl w:ilvl="0" w:tplc="50C88FE0">
      <w:start w:val="1"/>
      <w:numFmt w:val="bullet"/>
      <w:lvlText w:val=""/>
      <w:lvlJc w:val="left"/>
      <w:pPr>
        <w:ind w:left="720" w:hanging="360"/>
      </w:pPr>
      <w:rPr>
        <w:rFonts w:ascii="Symbol" w:hAnsi="Symbol"/>
      </w:rPr>
    </w:lvl>
    <w:lvl w:ilvl="1" w:tplc="2326D858">
      <w:start w:val="1"/>
      <w:numFmt w:val="bullet"/>
      <w:lvlText w:val=""/>
      <w:lvlJc w:val="left"/>
      <w:pPr>
        <w:ind w:left="720" w:hanging="360"/>
      </w:pPr>
      <w:rPr>
        <w:rFonts w:ascii="Symbol" w:hAnsi="Symbol"/>
      </w:rPr>
    </w:lvl>
    <w:lvl w:ilvl="2" w:tplc="55C841CC">
      <w:start w:val="1"/>
      <w:numFmt w:val="bullet"/>
      <w:lvlText w:val=""/>
      <w:lvlJc w:val="left"/>
      <w:pPr>
        <w:ind w:left="720" w:hanging="360"/>
      </w:pPr>
      <w:rPr>
        <w:rFonts w:ascii="Symbol" w:hAnsi="Symbol"/>
      </w:rPr>
    </w:lvl>
    <w:lvl w:ilvl="3" w:tplc="AD02A85C">
      <w:start w:val="1"/>
      <w:numFmt w:val="bullet"/>
      <w:lvlText w:val=""/>
      <w:lvlJc w:val="left"/>
      <w:pPr>
        <w:ind w:left="720" w:hanging="360"/>
      </w:pPr>
      <w:rPr>
        <w:rFonts w:ascii="Symbol" w:hAnsi="Symbol"/>
      </w:rPr>
    </w:lvl>
    <w:lvl w:ilvl="4" w:tplc="83BE7D3A">
      <w:start w:val="1"/>
      <w:numFmt w:val="bullet"/>
      <w:lvlText w:val=""/>
      <w:lvlJc w:val="left"/>
      <w:pPr>
        <w:ind w:left="720" w:hanging="360"/>
      </w:pPr>
      <w:rPr>
        <w:rFonts w:ascii="Symbol" w:hAnsi="Symbol"/>
      </w:rPr>
    </w:lvl>
    <w:lvl w:ilvl="5" w:tplc="BD503932">
      <w:start w:val="1"/>
      <w:numFmt w:val="bullet"/>
      <w:lvlText w:val=""/>
      <w:lvlJc w:val="left"/>
      <w:pPr>
        <w:ind w:left="720" w:hanging="360"/>
      </w:pPr>
      <w:rPr>
        <w:rFonts w:ascii="Symbol" w:hAnsi="Symbol"/>
      </w:rPr>
    </w:lvl>
    <w:lvl w:ilvl="6" w:tplc="8EE4393A">
      <w:start w:val="1"/>
      <w:numFmt w:val="bullet"/>
      <w:lvlText w:val=""/>
      <w:lvlJc w:val="left"/>
      <w:pPr>
        <w:ind w:left="720" w:hanging="360"/>
      </w:pPr>
      <w:rPr>
        <w:rFonts w:ascii="Symbol" w:hAnsi="Symbol"/>
      </w:rPr>
    </w:lvl>
    <w:lvl w:ilvl="7" w:tplc="CA6C4F96">
      <w:start w:val="1"/>
      <w:numFmt w:val="bullet"/>
      <w:lvlText w:val=""/>
      <w:lvlJc w:val="left"/>
      <w:pPr>
        <w:ind w:left="720" w:hanging="360"/>
      </w:pPr>
      <w:rPr>
        <w:rFonts w:ascii="Symbol" w:hAnsi="Symbol"/>
      </w:rPr>
    </w:lvl>
    <w:lvl w:ilvl="8" w:tplc="C5D4C914">
      <w:start w:val="1"/>
      <w:numFmt w:val="bullet"/>
      <w:lvlText w:val=""/>
      <w:lvlJc w:val="left"/>
      <w:pPr>
        <w:ind w:left="720" w:hanging="360"/>
      </w:pPr>
      <w:rPr>
        <w:rFonts w:ascii="Symbol" w:hAnsi="Symbol"/>
      </w:rPr>
    </w:lvl>
  </w:abstractNum>
  <w:abstractNum w:abstractNumId="16" w15:restartNumberingAfterBreak="0">
    <w:nsid w:val="30D47F59"/>
    <w:multiLevelType w:val="hybridMultilevel"/>
    <w:tmpl w:val="A702A6B2"/>
    <w:lvl w:ilvl="0" w:tplc="9CF87052">
      <w:start w:val="1"/>
      <w:numFmt w:val="bullet"/>
      <w:lvlText w:val=""/>
      <w:lvlJc w:val="left"/>
      <w:pPr>
        <w:ind w:left="720" w:hanging="360"/>
      </w:pPr>
      <w:rPr>
        <w:rFonts w:ascii="Symbol" w:hAnsi="Symbol"/>
      </w:rPr>
    </w:lvl>
    <w:lvl w:ilvl="1" w:tplc="78CA7C58">
      <w:start w:val="1"/>
      <w:numFmt w:val="bullet"/>
      <w:lvlText w:val=""/>
      <w:lvlJc w:val="left"/>
      <w:pPr>
        <w:ind w:left="720" w:hanging="360"/>
      </w:pPr>
      <w:rPr>
        <w:rFonts w:ascii="Symbol" w:hAnsi="Symbol"/>
      </w:rPr>
    </w:lvl>
    <w:lvl w:ilvl="2" w:tplc="DAE89B42">
      <w:start w:val="1"/>
      <w:numFmt w:val="bullet"/>
      <w:lvlText w:val=""/>
      <w:lvlJc w:val="left"/>
      <w:pPr>
        <w:ind w:left="720" w:hanging="360"/>
      </w:pPr>
      <w:rPr>
        <w:rFonts w:ascii="Symbol" w:hAnsi="Symbol"/>
      </w:rPr>
    </w:lvl>
    <w:lvl w:ilvl="3" w:tplc="BE6A9AB8">
      <w:start w:val="1"/>
      <w:numFmt w:val="bullet"/>
      <w:lvlText w:val=""/>
      <w:lvlJc w:val="left"/>
      <w:pPr>
        <w:ind w:left="720" w:hanging="360"/>
      </w:pPr>
      <w:rPr>
        <w:rFonts w:ascii="Symbol" w:hAnsi="Symbol"/>
      </w:rPr>
    </w:lvl>
    <w:lvl w:ilvl="4" w:tplc="2FDE9CC8">
      <w:start w:val="1"/>
      <w:numFmt w:val="bullet"/>
      <w:lvlText w:val=""/>
      <w:lvlJc w:val="left"/>
      <w:pPr>
        <w:ind w:left="720" w:hanging="360"/>
      </w:pPr>
      <w:rPr>
        <w:rFonts w:ascii="Symbol" w:hAnsi="Symbol"/>
      </w:rPr>
    </w:lvl>
    <w:lvl w:ilvl="5" w:tplc="5008DB8E">
      <w:start w:val="1"/>
      <w:numFmt w:val="bullet"/>
      <w:lvlText w:val=""/>
      <w:lvlJc w:val="left"/>
      <w:pPr>
        <w:ind w:left="720" w:hanging="360"/>
      </w:pPr>
      <w:rPr>
        <w:rFonts w:ascii="Symbol" w:hAnsi="Symbol"/>
      </w:rPr>
    </w:lvl>
    <w:lvl w:ilvl="6" w:tplc="916C4F7A">
      <w:start w:val="1"/>
      <w:numFmt w:val="bullet"/>
      <w:lvlText w:val=""/>
      <w:lvlJc w:val="left"/>
      <w:pPr>
        <w:ind w:left="720" w:hanging="360"/>
      </w:pPr>
      <w:rPr>
        <w:rFonts w:ascii="Symbol" w:hAnsi="Symbol"/>
      </w:rPr>
    </w:lvl>
    <w:lvl w:ilvl="7" w:tplc="5DB669D2">
      <w:start w:val="1"/>
      <w:numFmt w:val="bullet"/>
      <w:lvlText w:val=""/>
      <w:lvlJc w:val="left"/>
      <w:pPr>
        <w:ind w:left="720" w:hanging="360"/>
      </w:pPr>
      <w:rPr>
        <w:rFonts w:ascii="Symbol" w:hAnsi="Symbol"/>
      </w:rPr>
    </w:lvl>
    <w:lvl w:ilvl="8" w:tplc="330EF69C">
      <w:start w:val="1"/>
      <w:numFmt w:val="bullet"/>
      <w:lvlText w:val=""/>
      <w:lvlJc w:val="left"/>
      <w:pPr>
        <w:ind w:left="720" w:hanging="360"/>
      </w:pPr>
      <w:rPr>
        <w:rFonts w:ascii="Symbol" w:hAnsi="Symbol"/>
      </w:rPr>
    </w:lvl>
  </w:abstractNum>
  <w:abstractNum w:abstractNumId="17" w15:restartNumberingAfterBreak="0">
    <w:nsid w:val="328259CF"/>
    <w:multiLevelType w:val="hybridMultilevel"/>
    <w:tmpl w:val="3BDA84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5AD7C24"/>
    <w:multiLevelType w:val="hybridMultilevel"/>
    <w:tmpl w:val="8014E8D2"/>
    <w:lvl w:ilvl="0" w:tplc="5C5C8B44">
      <w:start w:val="1"/>
      <w:numFmt w:val="bullet"/>
      <w:lvlText w:val=""/>
      <w:lvlJc w:val="left"/>
      <w:pPr>
        <w:ind w:left="720" w:hanging="360"/>
      </w:pPr>
      <w:rPr>
        <w:rFonts w:ascii="Symbol" w:hAnsi="Symbol"/>
      </w:rPr>
    </w:lvl>
    <w:lvl w:ilvl="1" w:tplc="4C1AE502">
      <w:start w:val="1"/>
      <w:numFmt w:val="bullet"/>
      <w:lvlText w:val=""/>
      <w:lvlJc w:val="left"/>
      <w:pPr>
        <w:ind w:left="720" w:hanging="360"/>
      </w:pPr>
      <w:rPr>
        <w:rFonts w:ascii="Symbol" w:hAnsi="Symbol"/>
      </w:rPr>
    </w:lvl>
    <w:lvl w:ilvl="2" w:tplc="030ACDD2">
      <w:start w:val="1"/>
      <w:numFmt w:val="bullet"/>
      <w:lvlText w:val=""/>
      <w:lvlJc w:val="left"/>
      <w:pPr>
        <w:ind w:left="720" w:hanging="360"/>
      </w:pPr>
      <w:rPr>
        <w:rFonts w:ascii="Symbol" w:hAnsi="Symbol"/>
      </w:rPr>
    </w:lvl>
    <w:lvl w:ilvl="3" w:tplc="7B88AABE">
      <w:start w:val="1"/>
      <w:numFmt w:val="bullet"/>
      <w:lvlText w:val=""/>
      <w:lvlJc w:val="left"/>
      <w:pPr>
        <w:ind w:left="720" w:hanging="360"/>
      </w:pPr>
      <w:rPr>
        <w:rFonts w:ascii="Symbol" w:hAnsi="Symbol"/>
      </w:rPr>
    </w:lvl>
    <w:lvl w:ilvl="4" w:tplc="E8A8206E">
      <w:start w:val="1"/>
      <w:numFmt w:val="bullet"/>
      <w:lvlText w:val=""/>
      <w:lvlJc w:val="left"/>
      <w:pPr>
        <w:ind w:left="720" w:hanging="360"/>
      </w:pPr>
      <w:rPr>
        <w:rFonts w:ascii="Symbol" w:hAnsi="Symbol"/>
      </w:rPr>
    </w:lvl>
    <w:lvl w:ilvl="5" w:tplc="781ADCD8">
      <w:start w:val="1"/>
      <w:numFmt w:val="bullet"/>
      <w:lvlText w:val=""/>
      <w:lvlJc w:val="left"/>
      <w:pPr>
        <w:ind w:left="720" w:hanging="360"/>
      </w:pPr>
      <w:rPr>
        <w:rFonts w:ascii="Symbol" w:hAnsi="Symbol"/>
      </w:rPr>
    </w:lvl>
    <w:lvl w:ilvl="6" w:tplc="0BA05578">
      <w:start w:val="1"/>
      <w:numFmt w:val="bullet"/>
      <w:lvlText w:val=""/>
      <w:lvlJc w:val="left"/>
      <w:pPr>
        <w:ind w:left="720" w:hanging="360"/>
      </w:pPr>
      <w:rPr>
        <w:rFonts w:ascii="Symbol" w:hAnsi="Symbol"/>
      </w:rPr>
    </w:lvl>
    <w:lvl w:ilvl="7" w:tplc="39FE0D28">
      <w:start w:val="1"/>
      <w:numFmt w:val="bullet"/>
      <w:lvlText w:val=""/>
      <w:lvlJc w:val="left"/>
      <w:pPr>
        <w:ind w:left="720" w:hanging="360"/>
      </w:pPr>
      <w:rPr>
        <w:rFonts w:ascii="Symbol" w:hAnsi="Symbol"/>
      </w:rPr>
    </w:lvl>
    <w:lvl w:ilvl="8" w:tplc="070E0E04">
      <w:start w:val="1"/>
      <w:numFmt w:val="bullet"/>
      <w:lvlText w:val=""/>
      <w:lvlJc w:val="left"/>
      <w:pPr>
        <w:ind w:left="720" w:hanging="360"/>
      </w:pPr>
      <w:rPr>
        <w:rFonts w:ascii="Symbol" w:hAnsi="Symbol"/>
      </w:r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2344C2"/>
    <w:multiLevelType w:val="hybridMultilevel"/>
    <w:tmpl w:val="C7A0CB28"/>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49783D"/>
    <w:multiLevelType w:val="multilevel"/>
    <w:tmpl w:val="398AB4CE"/>
    <w:lvl w:ilvl="0">
      <w:start w:val="1"/>
      <w:numFmt w:val="decimal"/>
      <w:lvlText w:val="Chapter %1."/>
      <w:lvlJc w:val="left"/>
      <w:pPr>
        <w:ind w:left="360" w:hanging="360"/>
      </w:pPr>
      <w:rPr>
        <w:rFonts w:hint="default"/>
      </w:rPr>
    </w:lvl>
    <w:lvl w:ilvl="1">
      <w:start w:val="1"/>
      <w:numFmt w:val="bullet"/>
      <w:lvlText w:val=""/>
      <w:lvlJc w:val="left"/>
      <w:pPr>
        <w:ind w:left="1707" w:hanging="432"/>
      </w:pPr>
      <w:rPr>
        <w:rFonts w:ascii="Symbol" w:hAnsi="Symbol" w:hint="default"/>
        <w:i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6F57C9"/>
    <w:multiLevelType w:val="hybridMultilevel"/>
    <w:tmpl w:val="218ECF26"/>
    <w:lvl w:ilvl="0" w:tplc="B36019F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F156DB"/>
    <w:multiLevelType w:val="hybridMultilevel"/>
    <w:tmpl w:val="990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B6114"/>
    <w:multiLevelType w:val="hybridMultilevel"/>
    <w:tmpl w:val="0BECD900"/>
    <w:lvl w:ilvl="0" w:tplc="9982B900">
      <w:start w:val="1"/>
      <w:numFmt w:val="lowerRoman"/>
      <w:lvlText w:val="(%1)"/>
      <w:lvlJc w:val="left"/>
      <w:pPr>
        <w:ind w:left="206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3211244"/>
    <w:multiLevelType w:val="hybridMultilevel"/>
    <w:tmpl w:val="E77C12FA"/>
    <w:lvl w:ilvl="0" w:tplc="61C6453E">
      <w:start w:val="1"/>
      <w:numFmt w:val="bullet"/>
      <w:lvlText w:val=""/>
      <w:lvlJc w:val="left"/>
      <w:pPr>
        <w:ind w:left="720" w:hanging="360"/>
      </w:pPr>
      <w:rPr>
        <w:rFonts w:ascii="Symbol" w:hAnsi="Symbol"/>
      </w:rPr>
    </w:lvl>
    <w:lvl w:ilvl="1" w:tplc="C4F0C072">
      <w:start w:val="1"/>
      <w:numFmt w:val="bullet"/>
      <w:lvlText w:val=""/>
      <w:lvlJc w:val="left"/>
      <w:pPr>
        <w:ind w:left="720" w:hanging="360"/>
      </w:pPr>
      <w:rPr>
        <w:rFonts w:ascii="Symbol" w:hAnsi="Symbol"/>
      </w:rPr>
    </w:lvl>
    <w:lvl w:ilvl="2" w:tplc="4F68BF24">
      <w:start w:val="1"/>
      <w:numFmt w:val="bullet"/>
      <w:lvlText w:val=""/>
      <w:lvlJc w:val="left"/>
      <w:pPr>
        <w:ind w:left="720" w:hanging="360"/>
      </w:pPr>
      <w:rPr>
        <w:rFonts w:ascii="Symbol" w:hAnsi="Symbol"/>
      </w:rPr>
    </w:lvl>
    <w:lvl w:ilvl="3" w:tplc="3918D848">
      <w:start w:val="1"/>
      <w:numFmt w:val="bullet"/>
      <w:lvlText w:val=""/>
      <w:lvlJc w:val="left"/>
      <w:pPr>
        <w:ind w:left="720" w:hanging="360"/>
      </w:pPr>
      <w:rPr>
        <w:rFonts w:ascii="Symbol" w:hAnsi="Symbol"/>
      </w:rPr>
    </w:lvl>
    <w:lvl w:ilvl="4" w:tplc="D6C61CCA">
      <w:start w:val="1"/>
      <w:numFmt w:val="bullet"/>
      <w:lvlText w:val=""/>
      <w:lvlJc w:val="left"/>
      <w:pPr>
        <w:ind w:left="720" w:hanging="360"/>
      </w:pPr>
      <w:rPr>
        <w:rFonts w:ascii="Symbol" w:hAnsi="Symbol"/>
      </w:rPr>
    </w:lvl>
    <w:lvl w:ilvl="5" w:tplc="DE5AC8C4">
      <w:start w:val="1"/>
      <w:numFmt w:val="bullet"/>
      <w:lvlText w:val=""/>
      <w:lvlJc w:val="left"/>
      <w:pPr>
        <w:ind w:left="720" w:hanging="360"/>
      </w:pPr>
      <w:rPr>
        <w:rFonts w:ascii="Symbol" w:hAnsi="Symbol"/>
      </w:rPr>
    </w:lvl>
    <w:lvl w:ilvl="6" w:tplc="AAEC93CA">
      <w:start w:val="1"/>
      <w:numFmt w:val="bullet"/>
      <w:lvlText w:val=""/>
      <w:lvlJc w:val="left"/>
      <w:pPr>
        <w:ind w:left="720" w:hanging="360"/>
      </w:pPr>
      <w:rPr>
        <w:rFonts w:ascii="Symbol" w:hAnsi="Symbol"/>
      </w:rPr>
    </w:lvl>
    <w:lvl w:ilvl="7" w:tplc="4498CF14">
      <w:start w:val="1"/>
      <w:numFmt w:val="bullet"/>
      <w:lvlText w:val=""/>
      <w:lvlJc w:val="left"/>
      <w:pPr>
        <w:ind w:left="720" w:hanging="360"/>
      </w:pPr>
      <w:rPr>
        <w:rFonts w:ascii="Symbol" w:hAnsi="Symbol"/>
      </w:rPr>
    </w:lvl>
    <w:lvl w:ilvl="8" w:tplc="C024B704">
      <w:start w:val="1"/>
      <w:numFmt w:val="bullet"/>
      <w:lvlText w:val=""/>
      <w:lvlJc w:val="left"/>
      <w:pPr>
        <w:ind w:left="720" w:hanging="360"/>
      </w:pPr>
      <w:rPr>
        <w:rFonts w:ascii="Symbol" w:hAnsi="Symbol"/>
      </w:rPr>
    </w:lvl>
  </w:abstractNum>
  <w:abstractNum w:abstractNumId="26" w15:restartNumberingAfterBreak="0">
    <w:nsid w:val="43803A7F"/>
    <w:multiLevelType w:val="hybridMultilevel"/>
    <w:tmpl w:val="ACB62CBE"/>
    <w:lvl w:ilvl="0" w:tplc="B3729DF0">
      <w:start w:val="1"/>
      <w:numFmt w:val="decimal"/>
      <w:lvlText w:val="%1."/>
      <w:lvlJc w:val="left"/>
      <w:pPr>
        <w:ind w:left="360" w:hanging="360"/>
      </w:pPr>
      <w:rPr>
        <w:rFonts w:hint="default"/>
        <w:b w:val="0"/>
        <w:i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DB30E5A"/>
    <w:multiLevelType w:val="hybridMultilevel"/>
    <w:tmpl w:val="92DE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E74A1"/>
    <w:multiLevelType w:val="hybridMultilevel"/>
    <w:tmpl w:val="1B060F7C"/>
    <w:lvl w:ilvl="0" w:tplc="4C5A7788">
      <w:start w:val="1"/>
      <w:numFmt w:val="bullet"/>
      <w:lvlText w:val=""/>
      <w:lvlJc w:val="left"/>
      <w:pPr>
        <w:ind w:left="720" w:hanging="360"/>
      </w:pPr>
      <w:rPr>
        <w:rFonts w:ascii="Symbol" w:hAnsi="Symbol"/>
      </w:rPr>
    </w:lvl>
    <w:lvl w:ilvl="1" w:tplc="1C4E54A6">
      <w:start w:val="1"/>
      <w:numFmt w:val="bullet"/>
      <w:lvlText w:val=""/>
      <w:lvlJc w:val="left"/>
      <w:pPr>
        <w:ind w:left="720" w:hanging="360"/>
      </w:pPr>
      <w:rPr>
        <w:rFonts w:ascii="Symbol" w:hAnsi="Symbol"/>
      </w:rPr>
    </w:lvl>
    <w:lvl w:ilvl="2" w:tplc="FA08B9B0">
      <w:start w:val="1"/>
      <w:numFmt w:val="bullet"/>
      <w:lvlText w:val=""/>
      <w:lvlJc w:val="left"/>
      <w:pPr>
        <w:ind w:left="720" w:hanging="360"/>
      </w:pPr>
      <w:rPr>
        <w:rFonts w:ascii="Symbol" w:hAnsi="Symbol"/>
      </w:rPr>
    </w:lvl>
    <w:lvl w:ilvl="3" w:tplc="27843DAC">
      <w:start w:val="1"/>
      <w:numFmt w:val="bullet"/>
      <w:lvlText w:val=""/>
      <w:lvlJc w:val="left"/>
      <w:pPr>
        <w:ind w:left="720" w:hanging="360"/>
      </w:pPr>
      <w:rPr>
        <w:rFonts w:ascii="Symbol" w:hAnsi="Symbol"/>
      </w:rPr>
    </w:lvl>
    <w:lvl w:ilvl="4" w:tplc="62609076">
      <w:start w:val="1"/>
      <w:numFmt w:val="bullet"/>
      <w:lvlText w:val=""/>
      <w:lvlJc w:val="left"/>
      <w:pPr>
        <w:ind w:left="720" w:hanging="360"/>
      </w:pPr>
      <w:rPr>
        <w:rFonts w:ascii="Symbol" w:hAnsi="Symbol"/>
      </w:rPr>
    </w:lvl>
    <w:lvl w:ilvl="5" w:tplc="AB2085FA">
      <w:start w:val="1"/>
      <w:numFmt w:val="bullet"/>
      <w:lvlText w:val=""/>
      <w:lvlJc w:val="left"/>
      <w:pPr>
        <w:ind w:left="720" w:hanging="360"/>
      </w:pPr>
      <w:rPr>
        <w:rFonts w:ascii="Symbol" w:hAnsi="Symbol"/>
      </w:rPr>
    </w:lvl>
    <w:lvl w:ilvl="6" w:tplc="54C223A8">
      <w:start w:val="1"/>
      <w:numFmt w:val="bullet"/>
      <w:lvlText w:val=""/>
      <w:lvlJc w:val="left"/>
      <w:pPr>
        <w:ind w:left="720" w:hanging="360"/>
      </w:pPr>
      <w:rPr>
        <w:rFonts w:ascii="Symbol" w:hAnsi="Symbol"/>
      </w:rPr>
    </w:lvl>
    <w:lvl w:ilvl="7" w:tplc="511033C0">
      <w:start w:val="1"/>
      <w:numFmt w:val="bullet"/>
      <w:lvlText w:val=""/>
      <w:lvlJc w:val="left"/>
      <w:pPr>
        <w:ind w:left="720" w:hanging="360"/>
      </w:pPr>
      <w:rPr>
        <w:rFonts w:ascii="Symbol" w:hAnsi="Symbol"/>
      </w:rPr>
    </w:lvl>
    <w:lvl w:ilvl="8" w:tplc="A38A712A">
      <w:start w:val="1"/>
      <w:numFmt w:val="bullet"/>
      <w:lvlText w:val=""/>
      <w:lvlJc w:val="left"/>
      <w:pPr>
        <w:ind w:left="720" w:hanging="360"/>
      </w:pPr>
      <w:rPr>
        <w:rFonts w:ascii="Symbol" w:hAnsi="Symbol"/>
      </w:rPr>
    </w:lvl>
  </w:abstractNum>
  <w:abstractNum w:abstractNumId="29" w15:restartNumberingAfterBreak="0">
    <w:nsid w:val="55B95CED"/>
    <w:multiLevelType w:val="hybridMultilevel"/>
    <w:tmpl w:val="95209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02A25"/>
    <w:multiLevelType w:val="hybridMultilevel"/>
    <w:tmpl w:val="6B6EE138"/>
    <w:lvl w:ilvl="0" w:tplc="0C090017">
      <w:start w:val="1"/>
      <w:numFmt w:val="lowerLetter"/>
      <w:lvlText w:val="%1)"/>
      <w:lvlJc w:val="left"/>
      <w:pPr>
        <w:ind w:left="720" w:hanging="360"/>
      </w:pPr>
    </w:lvl>
    <w:lvl w:ilvl="1" w:tplc="0C090017">
      <w:start w:val="1"/>
      <w:numFmt w:val="lowerLetter"/>
      <w:lvlText w:val="%2)"/>
      <w:lvlJc w:val="left"/>
      <w:pPr>
        <w:ind w:left="1494"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5F767AAA"/>
    <w:multiLevelType w:val="hybridMultilevel"/>
    <w:tmpl w:val="17EC2366"/>
    <w:lvl w:ilvl="0" w:tplc="5BB0E042">
      <w:start w:val="1"/>
      <w:numFmt w:val="bullet"/>
      <w:lvlText w:val=""/>
      <w:lvlJc w:val="left"/>
      <w:pPr>
        <w:ind w:left="720" w:hanging="360"/>
      </w:pPr>
      <w:rPr>
        <w:rFonts w:ascii="Symbol" w:hAnsi="Symbol"/>
      </w:rPr>
    </w:lvl>
    <w:lvl w:ilvl="1" w:tplc="FE56ECBC">
      <w:start w:val="1"/>
      <w:numFmt w:val="bullet"/>
      <w:lvlText w:val=""/>
      <w:lvlJc w:val="left"/>
      <w:pPr>
        <w:ind w:left="720" w:hanging="360"/>
      </w:pPr>
      <w:rPr>
        <w:rFonts w:ascii="Symbol" w:hAnsi="Symbol"/>
      </w:rPr>
    </w:lvl>
    <w:lvl w:ilvl="2" w:tplc="65EED9BA">
      <w:start w:val="1"/>
      <w:numFmt w:val="bullet"/>
      <w:lvlText w:val=""/>
      <w:lvlJc w:val="left"/>
      <w:pPr>
        <w:ind w:left="720" w:hanging="360"/>
      </w:pPr>
      <w:rPr>
        <w:rFonts w:ascii="Symbol" w:hAnsi="Symbol"/>
      </w:rPr>
    </w:lvl>
    <w:lvl w:ilvl="3" w:tplc="4C9C50C4">
      <w:start w:val="1"/>
      <w:numFmt w:val="bullet"/>
      <w:lvlText w:val=""/>
      <w:lvlJc w:val="left"/>
      <w:pPr>
        <w:ind w:left="720" w:hanging="360"/>
      </w:pPr>
      <w:rPr>
        <w:rFonts w:ascii="Symbol" w:hAnsi="Symbol"/>
      </w:rPr>
    </w:lvl>
    <w:lvl w:ilvl="4" w:tplc="CA9E9FD2">
      <w:start w:val="1"/>
      <w:numFmt w:val="bullet"/>
      <w:lvlText w:val=""/>
      <w:lvlJc w:val="left"/>
      <w:pPr>
        <w:ind w:left="720" w:hanging="360"/>
      </w:pPr>
      <w:rPr>
        <w:rFonts w:ascii="Symbol" w:hAnsi="Symbol"/>
      </w:rPr>
    </w:lvl>
    <w:lvl w:ilvl="5" w:tplc="D92286F8">
      <w:start w:val="1"/>
      <w:numFmt w:val="bullet"/>
      <w:lvlText w:val=""/>
      <w:lvlJc w:val="left"/>
      <w:pPr>
        <w:ind w:left="720" w:hanging="360"/>
      </w:pPr>
      <w:rPr>
        <w:rFonts w:ascii="Symbol" w:hAnsi="Symbol"/>
      </w:rPr>
    </w:lvl>
    <w:lvl w:ilvl="6" w:tplc="484CEE06">
      <w:start w:val="1"/>
      <w:numFmt w:val="bullet"/>
      <w:lvlText w:val=""/>
      <w:lvlJc w:val="left"/>
      <w:pPr>
        <w:ind w:left="720" w:hanging="360"/>
      </w:pPr>
      <w:rPr>
        <w:rFonts w:ascii="Symbol" w:hAnsi="Symbol"/>
      </w:rPr>
    </w:lvl>
    <w:lvl w:ilvl="7" w:tplc="232E025C">
      <w:start w:val="1"/>
      <w:numFmt w:val="bullet"/>
      <w:lvlText w:val=""/>
      <w:lvlJc w:val="left"/>
      <w:pPr>
        <w:ind w:left="720" w:hanging="360"/>
      </w:pPr>
      <w:rPr>
        <w:rFonts w:ascii="Symbol" w:hAnsi="Symbol"/>
      </w:rPr>
    </w:lvl>
    <w:lvl w:ilvl="8" w:tplc="F1F87412">
      <w:start w:val="1"/>
      <w:numFmt w:val="bullet"/>
      <w:lvlText w:val=""/>
      <w:lvlJc w:val="left"/>
      <w:pPr>
        <w:ind w:left="720" w:hanging="360"/>
      </w:pPr>
      <w:rPr>
        <w:rFonts w:ascii="Symbol" w:hAnsi="Symbol"/>
      </w:rPr>
    </w:lvl>
  </w:abstractNum>
  <w:abstractNum w:abstractNumId="32" w15:restartNumberingAfterBreak="0">
    <w:nsid w:val="63347AAE"/>
    <w:multiLevelType w:val="multilevel"/>
    <w:tmpl w:val="13308E92"/>
    <w:lvl w:ilvl="0">
      <w:start w:val="1"/>
      <w:numFmt w:val="decimal"/>
      <w:lvlText w:val="Chapter %1."/>
      <w:lvlJc w:val="left"/>
      <w:pPr>
        <w:ind w:left="360" w:hanging="360"/>
      </w:pPr>
      <w:rPr>
        <w:rFonts w:hint="default"/>
      </w:rPr>
    </w:lvl>
    <w:lvl w:ilvl="1">
      <w:start w:val="1"/>
      <w:numFmt w:val="decimal"/>
      <w:lvlText w:val="%2."/>
      <w:lvlJc w:val="left"/>
      <w:pPr>
        <w:ind w:left="432" w:hanging="432"/>
      </w:pPr>
      <w:rPr>
        <w:rFonts w:hint="default"/>
        <w:i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B84FDC"/>
    <w:multiLevelType w:val="hybridMultilevel"/>
    <w:tmpl w:val="C2167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3D947FF"/>
    <w:multiLevelType w:val="hybridMultilevel"/>
    <w:tmpl w:val="849CD60C"/>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35" w15:restartNumberingAfterBreak="0">
    <w:nsid w:val="65456429"/>
    <w:multiLevelType w:val="multilevel"/>
    <w:tmpl w:val="E898CC72"/>
    <w:numStyleLink w:val="KeyPoints"/>
  </w:abstractNum>
  <w:abstractNum w:abstractNumId="36" w15:restartNumberingAfterBreak="0">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37" w15:restartNumberingAfterBreak="0">
    <w:nsid w:val="6A7E2E8A"/>
    <w:multiLevelType w:val="hybridMultilevel"/>
    <w:tmpl w:val="4DCCDC9C"/>
    <w:lvl w:ilvl="0" w:tplc="A2F2D0AE">
      <w:start w:val="2"/>
      <w:numFmt w:val="decimal"/>
      <w:lvlText w:val="%1."/>
      <w:lvlJc w:val="left"/>
      <w:pPr>
        <w:ind w:left="360" w:hanging="360"/>
      </w:pPr>
      <w:rPr>
        <w:b w:val="0"/>
        <w:color w:val="auto"/>
      </w:rPr>
    </w:lvl>
    <w:lvl w:ilvl="1" w:tplc="3AD69070">
      <w:start w:val="1"/>
      <w:numFmt w:val="lowerLetter"/>
      <w:lvlText w:val="(%2)"/>
      <w:lvlJc w:val="left"/>
      <w:pPr>
        <w:ind w:left="1080" w:hanging="360"/>
      </w:pPr>
    </w:lvl>
    <w:lvl w:ilvl="2" w:tplc="BAF625E6">
      <w:start w:val="1"/>
      <w:numFmt w:val="lowerRoman"/>
      <w:lvlText w:val="%3."/>
      <w:lvlJc w:val="right"/>
      <w:pPr>
        <w:ind w:left="1800" w:hanging="180"/>
      </w:pPr>
    </w:lvl>
    <w:lvl w:ilvl="3" w:tplc="68E21A0A">
      <w:start w:val="1"/>
      <w:numFmt w:val="decimal"/>
      <w:lvlText w:val="%4."/>
      <w:lvlJc w:val="left"/>
      <w:pPr>
        <w:ind w:left="2520" w:hanging="360"/>
      </w:pPr>
    </w:lvl>
    <w:lvl w:ilvl="4" w:tplc="5AC6B774">
      <w:start w:val="1"/>
      <w:numFmt w:val="lowerLetter"/>
      <w:lvlText w:val="%5."/>
      <w:lvlJc w:val="left"/>
      <w:pPr>
        <w:ind w:left="3240" w:hanging="360"/>
      </w:pPr>
    </w:lvl>
    <w:lvl w:ilvl="5" w:tplc="4DD2D7E4">
      <w:start w:val="1"/>
      <w:numFmt w:val="lowerRoman"/>
      <w:lvlText w:val="%6."/>
      <w:lvlJc w:val="right"/>
      <w:pPr>
        <w:ind w:left="3960" w:hanging="180"/>
      </w:pPr>
    </w:lvl>
    <w:lvl w:ilvl="6" w:tplc="F94453D0">
      <w:start w:val="1"/>
      <w:numFmt w:val="decimal"/>
      <w:lvlText w:val="%7."/>
      <w:lvlJc w:val="left"/>
      <w:pPr>
        <w:ind w:left="4680" w:hanging="360"/>
      </w:pPr>
    </w:lvl>
    <w:lvl w:ilvl="7" w:tplc="E08600E8">
      <w:start w:val="1"/>
      <w:numFmt w:val="lowerLetter"/>
      <w:lvlText w:val="%8."/>
      <w:lvlJc w:val="left"/>
      <w:pPr>
        <w:ind w:left="5400" w:hanging="360"/>
      </w:pPr>
    </w:lvl>
    <w:lvl w:ilvl="8" w:tplc="0484A300">
      <w:start w:val="1"/>
      <w:numFmt w:val="lowerRoman"/>
      <w:lvlText w:val="%9."/>
      <w:lvlJc w:val="right"/>
      <w:pPr>
        <w:ind w:left="6120" w:hanging="180"/>
      </w:pPr>
    </w:lvl>
  </w:abstractNum>
  <w:abstractNum w:abstractNumId="38" w15:restartNumberingAfterBreak="0">
    <w:nsid w:val="6AEC27F5"/>
    <w:multiLevelType w:val="hybridMultilevel"/>
    <w:tmpl w:val="1FC05A34"/>
    <w:lvl w:ilvl="0" w:tplc="E50445D2">
      <w:start w:val="1"/>
      <w:numFmt w:val="bullet"/>
      <w:lvlText w:val=""/>
      <w:lvlJc w:val="left"/>
      <w:pPr>
        <w:ind w:left="720" w:hanging="360"/>
      </w:pPr>
      <w:rPr>
        <w:rFonts w:ascii="Symbol" w:hAnsi="Symbol"/>
      </w:rPr>
    </w:lvl>
    <w:lvl w:ilvl="1" w:tplc="F96E9AB8">
      <w:start w:val="1"/>
      <w:numFmt w:val="bullet"/>
      <w:lvlText w:val=""/>
      <w:lvlJc w:val="left"/>
      <w:pPr>
        <w:ind w:left="720" w:hanging="360"/>
      </w:pPr>
      <w:rPr>
        <w:rFonts w:ascii="Symbol" w:hAnsi="Symbol"/>
      </w:rPr>
    </w:lvl>
    <w:lvl w:ilvl="2" w:tplc="35101EA2">
      <w:start w:val="1"/>
      <w:numFmt w:val="bullet"/>
      <w:lvlText w:val=""/>
      <w:lvlJc w:val="left"/>
      <w:pPr>
        <w:ind w:left="720" w:hanging="360"/>
      </w:pPr>
      <w:rPr>
        <w:rFonts w:ascii="Symbol" w:hAnsi="Symbol"/>
      </w:rPr>
    </w:lvl>
    <w:lvl w:ilvl="3" w:tplc="911C455E">
      <w:start w:val="1"/>
      <w:numFmt w:val="bullet"/>
      <w:lvlText w:val=""/>
      <w:lvlJc w:val="left"/>
      <w:pPr>
        <w:ind w:left="720" w:hanging="360"/>
      </w:pPr>
      <w:rPr>
        <w:rFonts w:ascii="Symbol" w:hAnsi="Symbol"/>
      </w:rPr>
    </w:lvl>
    <w:lvl w:ilvl="4" w:tplc="8B525CCE">
      <w:start w:val="1"/>
      <w:numFmt w:val="bullet"/>
      <w:lvlText w:val=""/>
      <w:lvlJc w:val="left"/>
      <w:pPr>
        <w:ind w:left="720" w:hanging="360"/>
      </w:pPr>
      <w:rPr>
        <w:rFonts w:ascii="Symbol" w:hAnsi="Symbol"/>
      </w:rPr>
    </w:lvl>
    <w:lvl w:ilvl="5" w:tplc="E51AD63C">
      <w:start w:val="1"/>
      <w:numFmt w:val="bullet"/>
      <w:lvlText w:val=""/>
      <w:lvlJc w:val="left"/>
      <w:pPr>
        <w:ind w:left="720" w:hanging="360"/>
      </w:pPr>
      <w:rPr>
        <w:rFonts w:ascii="Symbol" w:hAnsi="Symbol"/>
      </w:rPr>
    </w:lvl>
    <w:lvl w:ilvl="6" w:tplc="540E1380">
      <w:start w:val="1"/>
      <w:numFmt w:val="bullet"/>
      <w:lvlText w:val=""/>
      <w:lvlJc w:val="left"/>
      <w:pPr>
        <w:ind w:left="720" w:hanging="360"/>
      </w:pPr>
      <w:rPr>
        <w:rFonts w:ascii="Symbol" w:hAnsi="Symbol"/>
      </w:rPr>
    </w:lvl>
    <w:lvl w:ilvl="7" w:tplc="5FA487A4">
      <w:start w:val="1"/>
      <w:numFmt w:val="bullet"/>
      <w:lvlText w:val=""/>
      <w:lvlJc w:val="left"/>
      <w:pPr>
        <w:ind w:left="720" w:hanging="360"/>
      </w:pPr>
      <w:rPr>
        <w:rFonts w:ascii="Symbol" w:hAnsi="Symbol"/>
      </w:rPr>
    </w:lvl>
    <w:lvl w:ilvl="8" w:tplc="0CF22388">
      <w:start w:val="1"/>
      <w:numFmt w:val="bullet"/>
      <w:lvlText w:val=""/>
      <w:lvlJc w:val="left"/>
      <w:pPr>
        <w:ind w:left="720" w:hanging="360"/>
      </w:pPr>
      <w:rPr>
        <w:rFonts w:ascii="Symbol" w:hAnsi="Symbol"/>
      </w:rPr>
    </w:lvl>
  </w:abstractNum>
  <w:abstractNum w:abstractNumId="39" w15:restartNumberingAfterBreak="0">
    <w:nsid w:val="6B4922CF"/>
    <w:multiLevelType w:val="hybridMultilevel"/>
    <w:tmpl w:val="AAC82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080C18"/>
    <w:multiLevelType w:val="hybridMultilevel"/>
    <w:tmpl w:val="8DC2B084"/>
    <w:lvl w:ilvl="0" w:tplc="2EAC093A">
      <w:start w:val="1"/>
      <w:numFmt w:val="decimal"/>
      <w:lvlText w:val="%1."/>
      <w:lvlJc w:val="left"/>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42" w15:restartNumberingAfterBreak="0">
    <w:nsid w:val="7524317C"/>
    <w:multiLevelType w:val="hybridMultilevel"/>
    <w:tmpl w:val="21CE38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4" w15:restartNumberingAfterBreak="0">
    <w:nsid w:val="78953DBF"/>
    <w:multiLevelType w:val="hybridMultilevel"/>
    <w:tmpl w:val="1BAE2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3225434">
    <w:abstractNumId w:val="43"/>
  </w:num>
  <w:num w:numId="2" w16cid:durableId="180511896">
    <w:abstractNumId w:val="0"/>
  </w:num>
  <w:num w:numId="3" w16cid:durableId="1464427854">
    <w:abstractNumId w:val="19"/>
  </w:num>
  <w:num w:numId="4" w16cid:durableId="573246732">
    <w:abstractNumId w:val="35"/>
  </w:num>
  <w:num w:numId="5" w16cid:durableId="233007629">
    <w:abstractNumId w:val="9"/>
  </w:num>
  <w:num w:numId="6" w16cid:durableId="789667227">
    <w:abstractNumId w:val="41"/>
  </w:num>
  <w:num w:numId="7" w16cid:durableId="565452982">
    <w:abstractNumId w:val="22"/>
  </w:num>
  <w:num w:numId="8" w16cid:durableId="1692141218">
    <w:abstractNumId w:val="21"/>
  </w:num>
  <w:num w:numId="9" w16cid:durableId="1548833561">
    <w:abstractNumId w:val="7"/>
  </w:num>
  <w:num w:numId="10" w16cid:durableId="1103110918">
    <w:abstractNumId w:val="33"/>
  </w:num>
  <w:num w:numId="11" w16cid:durableId="256406024">
    <w:abstractNumId w:val="44"/>
  </w:num>
  <w:num w:numId="12" w16cid:durableId="659428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68374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69227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5081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9760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0784988">
    <w:abstractNumId w:val="34"/>
  </w:num>
  <w:num w:numId="18" w16cid:durableId="8988265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0017001">
    <w:abstractNumId w:val="11"/>
  </w:num>
  <w:num w:numId="20" w16cid:durableId="1325549879">
    <w:abstractNumId w:val="42"/>
  </w:num>
  <w:num w:numId="21" w16cid:durableId="345985126">
    <w:abstractNumId w:val="26"/>
  </w:num>
  <w:num w:numId="22" w16cid:durableId="1815483782">
    <w:abstractNumId w:val="8"/>
  </w:num>
  <w:num w:numId="23" w16cid:durableId="1191913308">
    <w:abstractNumId w:val="23"/>
  </w:num>
  <w:num w:numId="24" w16cid:durableId="24451579">
    <w:abstractNumId w:val="27"/>
  </w:num>
  <w:num w:numId="25" w16cid:durableId="744835407">
    <w:abstractNumId w:val="40"/>
  </w:num>
  <w:num w:numId="26" w16cid:durableId="186143750">
    <w:abstractNumId w:val="32"/>
  </w:num>
  <w:num w:numId="27" w16cid:durableId="106197657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9403256">
    <w:abstractNumId w:val="20"/>
  </w:num>
  <w:num w:numId="29" w16cid:durableId="1067193256">
    <w:abstractNumId w:val="1"/>
  </w:num>
  <w:num w:numId="30" w16cid:durableId="1078871280">
    <w:abstractNumId w:val="4"/>
  </w:num>
  <w:num w:numId="31" w16cid:durableId="1389455844">
    <w:abstractNumId w:val="14"/>
  </w:num>
  <w:num w:numId="32" w16cid:durableId="1470828213">
    <w:abstractNumId w:val="39"/>
  </w:num>
  <w:num w:numId="33" w16cid:durableId="1008173037">
    <w:abstractNumId w:val="5"/>
  </w:num>
  <w:num w:numId="34" w16cid:durableId="1262184782">
    <w:abstractNumId w:val="25"/>
  </w:num>
  <w:num w:numId="35" w16cid:durableId="217790449">
    <w:abstractNumId w:val="18"/>
  </w:num>
  <w:num w:numId="36" w16cid:durableId="341014783">
    <w:abstractNumId w:val="12"/>
  </w:num>
  <w:num w:numId="37" w16cid:durableId="46532666">
    <w:abstractNumId w:val="2"/>
  </w:num>
  <w:num w:numId="38" w16cid:durableId="1101871414">
    <w:abstractNumId w:val="15"/>
  </w:num>
  <w:num w:numId="39" w16cid:durableId="1157963926">
    <w:abstractNumId w:val="16"/>
  </w:num>
  <w:num w:numId="40" w16cid:durableId="516384141">
    <w:abstractNumId w:val="31"/>
  </w:num>
  <w:num w:numId="41" w16cid:durableId="1911959360">
    <w:abstractNumId w:val="28"/>
  </w:num>
  <w:num w:numId="42" w16cid:durableId="1061322024">
    <w:abstractNumId w:val="38"/>
  </w:num>
  <w:num w:numId="43" w16cid:durableId="492793667">
    <w:abstractNumId w:val="3"/>
  </w:num>
  <w:num w:numId="44" w16cid:durableId="341396001">
    <w:abstractNumId w:val="13"/>
  </w:num>
  <w:num w:numId="45" w16cid:durableId="785080068">
    <w:abstractNumId w:val="29"/>
  </w:num>
  <w:num w:numId="46" w16cid:durableId="4275242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99"/>
    <w:rsid w:val="0000025A"/>
    <w:rsid w:val="000002EF"/>
    <w:rsid w:val="0000158D"/>
    <w:rsid w:val="00001AFF"/>
    <w:rsid w:val="00001CDD"/>
    <w:rsid w:val="000025E9"/>
    <w:rsid w:val="00002908"/>
    <w:rsid w:val="000035A2"/>
    <w:rsid w:val="00003919"/>
    <w:rsid w:val="00005249"/>
    <w:rsid w:val="00005399"/>
    <w:rsid w:val="000056C0"/>
    <w:rsid w:val="00005701"/>
    <w:rsid w:val="000063D9"/>
    <w:rsid w:val="00007156"/>
    <w:rsid w:val="000072D2"/>
    <w:rsid w:val="00007323"/>
    <w:rsid w:val="00007D1D"/>
    <w:rsid w:val="00007EC3"/>
    <w:rsid w:val="0001095D"/>
    <w:rsid w:val="00010EB4"/>
    <w:rsid w:val="00010FF8"/>
    <w:rsid w:val="000117CD"/>
    <w:rsid w:val="00011B30"/>
    <w:rsid w:val="00011C13"/>
    <w:rsid w:val="000125B2"/>
    <w:rsid w:val="0001274A"/>
    <w:rsid w:val="000138A0"/>
    <w:rsid w:val="000146DA"/>
    <w:rsid w:val="00014F8C"/>
    <w:rsid w:val="00015FB6"/>
    <w:rsid w:val="0001687B"/>
    <w:rsid w:val="00016B16"/>
    <w:rsid w:val="00017CCD"/>
    <w:rsid w:val="00017F38"/>
    <w:rsid w:val="00020055"/>
    <w:rsid w:val="00020250"/>
    <w:rsid w:val="0002096F"/>
    <w:rsid w:val="00020A0C"/>
    <w:rsid w:val="00020CD3"/>
    <w:rsid w:val="000218C0"/>
    <w:rsid w:val="00021E9F"/>
    <w:rsid w:val="000228D3"/>
    <w:rsid w:val="00023162"/>
    <w:rsid w:val="00023365"/>
    <w:rsid w:val="0002377C"/>
    <w:rsid w:val="00023835"/>
    <w:rsid w:val="00023C79"/>
    <w:rsid w:val="00023F52"/>
    <w:rsid w:val="00024BAB"/>
    <w:rsid w:val="00024CE8"/>
    <w:rsid w:val="00025877"/>
    <w:rsid w:val="00025C0F"/>
    <w:rsid w:val="00026105"/>
    <w:rsid w:val="0002619A"/>
    <w:rsid w:val="00026AA6"/>
    <w:rsid w:val="00026D62"/>
    <w:rsid w:val="00026F47"/>
    <w:rsid w:val="00030056"/>
    <w:rsid w:val="000302F7"/>
    <w:rsid w:val="000304C0"/>
    <w:rsid w:val="00030B22"/>
    <w:rsid w:val="00030DC5"/>
    <w:rsid w:val="00032305"/>
    <w:rsid w:val="000326C3"/>
    <w:rsid w:val="00032C01"/>
    <w:rsid w:val="00032E42"/>
    <w:rsid w:val="00032EBE"/>
    <w:rsid w:val="0003333F"/>
    <w:rsid w:val="000338D6"/>
    <w:rsid w:val="00033FDC"/>
    <w:rsid w:val="00034279"/>
    <w:rsid w:val="0003474E"/>
    <w:rsid w:val="00034F23"/>
    <w:rsid w:val="0003511C"/>
    <w:rsid w:val="0003516A"/>
    <w:rsid w:val="00035A0B"/>
    <w:rsid w:val="00036128"/>
    <w:rsid w:val="0003613D"/>
    <w:rsid w:val="0003616F"/>
    <w:rsid w:val="00036D4A"/>
    <w:rsid w:val="00036DDD"/>
    <w:rsid w:val="00036E9F"/>
    <w:rsid w:val="0003786B"/>
    <w:rsid w:val="00037912"/>
    <w:rsid w:val="0004004E"/>
    <w:rsid w:val="00040212"/>
    <w:rsid w:val="000403F4"/>
    <w:rsid w:val="000411C7"/>
    <w:rsid w:val="0004128E"/>
    <w:rsid w:val="000413E2"/>
    <w:rsid w:val="00041538"/>
    <w:rsid w:val="000417C6"/>
    <w:rsid w:val="000418E3"/>
    <w:rsid w:val="00041FFC"/>
    <w:rsid w:val="000420F2"/>
    <w:rsid w:val="00042435"/>
    <w:rsid w:val="00042633"/>
    <w:rsid w:val="0004268A"/>
    <w:rsid w:val="000427C1"/>
    <w:rsid w:val="00042C4B"/>
    <w:rsid w:val="00042F5F"/>
    <w:rsid w:val="000431A9"/>
    <w:rsid w:val="00043236"/>
    <w:rsid w:val="000435CA"/>
    <w:rsid w:val="000439C8"/>
    <w:rsid w:val="00043AF6"/>
    <w:rsid w:val="00044385"/>
    <w:rsid w:val="000443E5"/>
    <w:rsid w:val="00044431"/>
    <w:rsid w:val="0004477A"/>
    <w:rsid w:val="0004490C"/>
    <w:rsid w:val="00044C6F"/>
    <w:rsid w:val="00044D22"/>
    <w:rsid w:val="00045E28"/>
    <w:rsid w:val="000460D7"/>
    <w:rsid w:val="000465D0"/>
    <w:rsid w:val="00046770"/>
    <w:rsid w:val="000472B4"/>
    <w:rsid w:val="00047C06"/>
    <w:rsid w:val="000500EC"/>
    <w:rsid w:val="0005046E"/>
    <w:rsid w:val="000507D9"/>
    <w:rsid w:val="000511A1"/>
    <w:rsid w:val="00051CDC"/>
    <w:rsid w:val="00051D53"/>
    <w:rsid w:val="00051FE6"/>
    <w:rsid w:val="0005212E"/>
    <w:rsid w:val="000528DD"/>
    <w:rsid w:val="00052FAD"/>
    <w:rsid w:val="00053937"/>
    <w:rsid w:val="0005483D"/>
    <w:rsid w:val="00055542"/>
    <w:rsid w:val="00055621"/>
    <w:rsid w:val="0005569F"/>
    <w:rsid w:val="0005585F"/>
    <w:rsid w:val="00055B07"/>
    <w:rsid w:val="00057551"/>
    <w:rsid w:val="00057663"/>
    <w:rsid w:val="0006021A"/>
    <w:rsid w:val="00060718"/>
    <w:rsid w:val="000618CD"/>
    <w:rsid w:val="00061A30"/>
    <w:rsid w:val="00062053"/>
    <w:rsid w:val="00062A29"/>
    <w:rsid w:val="00062A3C"/>
    <w:rsid w:val="00062BBF"/>
    <w:rsid w:val="00062CE3"/>
    <w:rsid w:val="0006308A"/>
    <w:rsid w:val="000632DC"/>
    <w:rsid w:val="00063614"/>
    <w:rsid w:val="00063DBB"/>
    <w:rsid w:val="000645BE"/>
    <w:rsid w:val="00064B6A"/>
    <w:rsid w:val="00064D23"/>
    <w:rsid w:val="00064E18"/>
    <w:rsid w:val="0006526E"/>
    <w:rsid w:val="0006555E"/>
    <w:rsid w:val="00065A89"/>
    <w:rsid w:val="00065C07"/>
    <w:rsid w:val="00065CB4"/>
    <w:rsid w:val="00065FC6"/>
    <w:rsid w:val="00065FF7"/>
    <w:rsid w:val="000667DB"/>
    <w:rsid w:val="00066896"/>
    <w:rsid w:val="00066BFC"/>
    <w:rsid w:val="00067258"/>
    <w:rsid w:val="0006751E"/>
    <w:rsid w:val="000677D8"/>
    <w:rsid w:val="000702AB"/>
    <w:rsid w:val="0007058F"/>
    <w:rsid w:val="00070626"/>
    <w:rsid w:val="00070BEE"/>
    <w:rsid w:val="00071634"/>
    <w:rsid w:val="000716AB"/>
    <w:rsid w:val="0007283B"/>
    <w:rsid w:val="00073371"/>
    <w:rsid w:val="000736EF"/>
    <w:rsid w:val="0007375A"/>
    <w:rsid w:val="0007385A"/>
    <w:rsid w:val="00073BF5"/>
    <w:rsid w:val="00074182"/>
    <w:rsid w:val="00074500"/>
    <w:rsid w:val="000751CD"/>
    <w:rsid w:val="00075358"/>
    <w:rsid w:val="000756E4"/>
    <w:rsid w:val="00076493"/>
    <w:rsid w:val="000764CD"/>
    <w:rsid w:val="000767E8"/>
    <w:rsid w:val="000769F2"/>
    <w:rsid w:val="00076B50"/>
    <w:rsid w:val="00076BF8"/>
    <w:rsid w:val="00077095"/>
    <w:rsid w:val="000774C1"/>
    <w:rsid w:val="0008048E"/>
    <w:rsid w:val="00080A25"/>
    <w:rsid w:val="00080C79"/>
    <w:rsid w:val="00080CE0"/>
    <w:rsid w:val="00080D9A"/>
    <w:rsid w:val="00080FE9"/>
    <w:rsid w:val="0008121E"/>
    <w:rsid w:val="000819BE"/>
    <w:rsid w:val="00081B55"/>
    <w:rsid w:val="00081D92"/>
    <w:rsid w:val="00082292"/>
    <w:rsid w:val="000822CF"/>
    <w:rsid w:val="000822E2"/>
    <w:rsid w:val="00082697"/>
    <w:rsid w:val="000833FF"/>
    <w:rsid w:val="000855F0"/>
    <w:rsid w:val="00085855"/>
    <w:rsid w:val="000860FB"/>
    <w:rsid w:val="00086355"/>
    <w:rsid w:val="00086515"/>
    <w:rsid w:val="00086826"/>
    <w:rsid w:val="00086E06"/>
    <w:rsid w:val="000870E8"/>
    <w:rsid w:val="0008730F"/>
    <w:rsid w:val="000875D5"/>
    <w:rsid w:val="00087B83"/>
    <w:rsid w:val="00087BD5"/>
    <w:rsid w:val="000903E8"/>
    <w:rsid w:val="0009062C"/>
    <w:rsid w:val="00090931"/>
    <w:rsid w:val="00090C74"/>
    <w:rsid w:val="000917D6"/>
    <w:rsid w:val="00091AA9"/>
    <w:rsid w:val="00091DF6"/>
    <w:rsid w:val="0009205E"/>
    <w:rsid w:val="0009261C"/>
    <w:rsid w:val="00092852"/>
    <w:rsid w:val="00093293"/>
    <w:rsid w:val="0009336C"/>
    <w:rsid w:val="000933E6"/>
    <w:rsid w:val="00094661"/>
    <w:rsid w:val="00094ACE"/>
    <w:rsid w:val="00094C2F"/>
    <w:rsid w:val="00095BF5"/>
    <w:rsid w:val="00095FE2"/>
    <w:rsid w:val="00096064"/>
    <w:rsid w:val="00096619"/>
    <w:rsid w:val="000968F4"/>
    <w:rsid w:val="00096C07"/>
    <w:rsid w:val="000971F1"/>
    <w:rsid w:val="0009737B"/>
    <w:rsid w:val="0009799F"/>
    <w:rsid w:val="00097DD5"/>
    <w:rsid w:val="000A00A9"/>
    <w:rsid w:val="000A1221"/>
    <w:rsid w:val="000A1673"/>
    <w:rsid w:val="000A1F23"/>
    <w:rsid w:val="000A259B"/>
    <w:rsid w:val="000A2966"/>
    <w:rsid w:val="000A29B4"/>
    <w:rsid w:val="000A2EFA"/>
    <w:rsid w:val="000A2F29"/>
    <w:rsid w:val="000A40E0"/>
    <w:rsid w:val="000A41B0"/>
    <w:rsid w:val="000A4748"/>
    <w:rsid w:val="000A64BF"/>
    <w:rsid w:val="000A6C66"/>
    <w:rsid w:val="000A6F1A"/>
    <w:rsid w:val="000A7112"/>
    <w:rsid w:val="000A79E3"/>
    <w:rsid w:val="000A7B9D"/>
    <w:rsid w:val="000B0108"/>
    <w:rsid w:val="000B0324"/>
    <w:rsid w:val="000B03F4"/>
    <w:rsid w:val="000B0A8D"/>
    <w:rsid w:val="000B0D6E"/>
    <w:rsid w:val="000B18AB"/>
    <w:rsid w:val="000B1A2F"/>
    <w:rsid w:val="000B1ECA"/>
    <w:rsid w:val="000B217A"/>
    <w:rsid w:val="000B220D"/>
    <w:rsid w:val="000B2B98"/>
    <w:rsid w:val="000B365E"/>
    <w:rsid w:val="000B37F2"/>
    <w:rsid w:val="000B3A3D"/>
    <w:rsid w:val="000B4307"/>
    <w:rsid w:val="000B4376"/>
    <w:rsid w:val="000B44B5"/>
    <w:rsid w:val="000B456D"/>
    <w:rsid w:val="000B4A03"/>
    <w:rsid w:val="000B5356"/>
    <w:rsid w:val="000B55F8"/>
    <w:rsid w:val="000B6684"/>
    <w:rsid w:val="000B66BD"/>
    <w:rsid w:val="000B6A3F"/>
    <w:rsid w:val="000B72BA"/>
    <w:rsid w:val="000B7333"/>
    <w:rsid w:val="000B74F9"/>
    <w:rsid w:val="000B7C94"/>
    <w:rsid w:val="000B7F6A"/>
    <w:rsid w:val="000C10DE"/>
    <w:rsid w:val="000C1D1B"/>
    <w:rsid w:val="000C1FCC"/>
    <w:rsid w:val="000C2365"/>
    <w:rsid w:val="000C24B5"/>
    <w:rsid w:val="000C2977"/>
    <w:rsid w:val="000C2A65"/>
    <w:rsid w:val="000C2C58"/>
    <w:rsid w:val="000C2DCF"/>
    <w:rsid w:val="000C319A"/>
    <w:rsid w:val="000C332B"/>
    <w:rsid w:val="000C3DCA"/>
    <w:rsid w:val="000C403B"/>
    <w:rsid w:val="000C407B"/>
    <w:rsid w:val="000C415C"/>
    <w:rsid w:val="000C42ED"/>
    <w:rsid w:val="000C42F0"/>
    <w:rsid w:val="000C449B"/>
    <w:rsid w:val="000C4EFB"/>
    <w:rsid w:val="000C52E6"/>
    <w:rsid w:val="000C5E44"/>
    <w:rsid w:val="000C6007"/>
    <w:rsid w:val="000C6377"/>
    <w:rsid w:val="000C6E0A"/>
    <w:rsid w:val="000C6F93"/>
    <w:rsid w:val="000C7103"/>
    <w:rsid w:val="000C73D9"/>
    <w:rsid w:val="000D06FE"/>
    <w:rsid w:val="000D0A80"/>
    <w:rsid w:val="000D151F"/>
    <w:rsid w:val="000D1A62"/>
    <w:rsid w:val="000D1CAD"/>
    <w:rsid w:val="000D2607"/>
    <w:rsid w:val="000D313B"/>
    <w:rsid w:val="000D344E"/>
    <w:rsid w:val="000D3815"/>
    <w:rsid w:val="000D40C6"/>
    <w:rsid w:val="000D40DE"/>
    <w:rsid w:val="000D428A"/>
    <w:rsid w:val="000D4835"/>
    <w:rsid w:val="000D5160"/>
    <w:rsid w:val="000D5647"/>
    <w:rsid w:val="000D5B81"/>
    <w:rsid w:val="000D5BCD"/>
    <w:rsid w:val="000D5E67"/>
    <w:rsid w:val="000D6A49"/>
    <w:rsid w:val="000D6F9D"/>
    <w:rsid w:val="000D7ABC"/>
    <w:rsid w:val="000E094A"/>
    <w:rsid w:val="000E0A6A"/>
    <w:rsid w:val="000E0B2B"/>
    <w:rsid w:val="000E1326"/>
    <w:rsid w:val="000E1CEF"/>
    <w:rsid w:val="000E2124"/>
    <w:rsid w:val="000E2636"/>
    <w:rsid w:val="000E2688"/>
    <w:rsid w:val="000E2C4A"/>
    <w:rsid w:val="000E2D80"/>
    <w:rsid w:val="000E2F16"/>
    <w:rsid w:val="000E32D2"/>
    <w:rsid w:val="000E3331"/>
    <w:rsid w:val="000E47CC"/>
    <w:rsid w:val="000E4C9E"/>
    <w:rsid w:val="000E4D80"/>
    <w:rsid w:val="000E59B9"/>
    <w:rsid w:val="000E6B60"/>
    <w:rsid w:val="000E6B98"/>
    <w:rsid w:val="000E6FE1"/>
    <w:rsid w:val="000E752F"/>
    <w:rsid w:val="000E7B70"/>
    <w:rsid w:val="000F0066"/>
    <w:rsid w:val="000F029F"/>
    <w:rsid w:val="000F037B"/>
    <w:rsid w:val="000F0469"/>
    <w:rsid w:val="000F0A08"/>
    <w:rsid w:val="000F0F7A"/>
    <w:rsid w:val="000F10E0"/>
    <w:rsid w:val="000F1A51"/>
    <w:rsid w:val="000F2188"/>
    <w:rsid w:val="000F2BC7"/>
    <w:rsid w:val="000F2F4A"/>
    <w:rsid w:val="000F316F"/>
    <w:rsid w:val="000F340F"/>
    <w:rsid w:val="000F3FCD"/>
    <w:rsid w:val="000F40C5"/>
    <w:rsid w:val="000F40F5"/>
    <w:rsid w:val="000F4AA2"/>
    <w:rsid w:val="000F4F39"/>
    <w:rsid w:val="000F5C9D"/>
    <w:rsid w:val="000F5CE1"/>
    <w:rsid w:val="000F5E04"/>
    <w:rsid w:val="000F5FD7"/>
    <w:rsid w:val="000F6000"/>
    <w:rsid w:val="000F6397"/>
    <w:rsid w:val="000F6A36"/>
    <w:rsid w:val="000F6AB7"/>
    <w:rsid w:val="000F6E5B"/>
    <w:rsid w:val="000F724F"/>
    <w:rsid w:val="000F737D"/>
    <w:rsid w:val="000F77CF"/>
    <w:rsid w:val="000F79CB"/>
    <w:rsid w:val="0010050A"/>
    <w:rsid w:val="00101431"/>
    <w:rsid w:val="0010160B"/>
    <w:rsid w:val="00101D54"/>
    <w:rsid w:val="001023CD"/>
    <w:rsid w:val="001028AC"/>
    <w:rsid w:val="00102940"/>
    <w:rsid w:val="00102BE6"/>
    <w:rsid w:val="00103224"/>
    <w:rsid w:val="00103C61"/>
    <w:rsid w:val="00103F20"/>
    <w:rsid w:val="00104196"/>
    <w:rsid w:val="00104583"/>
    <w:rsid w:val="00105E33"/>
    <w:rsid w:val="00106067"/>
    <w:rsid w:val="00106090"/>
    <w:rsid w:val="00106521"/>
    <w:rsid w:val="00106F0E"/>
    <w:rsid w:val="00107139"/>
    <w:rsid w:val="00107785"/>
    <w:rsid w:val="0010783B"/>
    <w:rsid w:val="001101CA"/>
    <w:rsid w:val="0011111E"/>
    <w:rsid w:val="001115FA"/>
    <w:rsid w:val="00111C7B"/>
    <w:rsid w:val="00111E99"/>
    <w:rsid w:val="0011264E"/>
    <w:rsid w:val="00112830"/>
    <w:rsid w:val="00112A0A"/>
    <w:rsid w:val="00112A2A"/>
    <w:rsid w:val="00112AD1"/>
    <w:rsid w:val="00113027"/>
    <w:rsid w:val="001131B9"/>
    <w:rsid w:val="00113A00"/>
    <w:rsid w:val="0011410F"/>
    <w:rsid w:val="00114597"/>
    <w:rsid w:val="00114722"/>
    <w:rsid w:val="00114949"/>
    <w:rsid w:val="0011502C"/>
    <w:rsid w:val="00115283"/>
    <w:rsid w:val="001157E7"/>
    <w:rsid w:val="001160EB"/>
    <w:rsid w:val="00116876"/>
    <w:rsid w:val="001168A1"/>
    <w:rsid w:val="00116A3E"/>
    <w:rsid w:val="00116D3C"/>
    <w:rsid w:val="00116FC2"/>
    <w:rsid w:val="00117783"/>
    <w:rsid w:val="00117D39"/>
    <w:rsid w:val="00117EAD"/>
    <w:rsid w:val="00120047"/>
    <w:rsid w:val="0012034F"/>
    <w:rsid w:val="0012081F"/>
    <w:rsid w:val="00120B31"/>
    <w:rsid w:val="00121184"/>
    <w:rsid w:val="0012174D"/>
    <w:rsid w:val="00121D29"/>
    <w:rsid w:val="00121FEF"/>
    <w:rsid w:val="00122288"/>
    <w:rsid w:val="001222B0"/>
    <w:rsid w:val="00122554"/>
    <w:rsid w:val="0012292D"/>
    <w:rsid w:val="0012392B"/>
    <w:rsid w:val="00124257"/>
    <w:rsid w:val="0012429A"/>
    <w:rsid w:val="00125031"/>
    <w:rsid w:val="0012503B"/>
    <w:rsid w:val="001250A6"/>
    <w:rsid w:val="0012531E"/>
    <w:rsid w:val="0012624E"/>
    <w:rsid w:val="00127496"/>
    <w:rsid w:val="00127555"/>
    <w:rsid w:val="001279C8"/>
    <w:rsid w:val="00127D59"/>
    <w:rsid w:val="00130448"/>
    <w:rsid w:val="001309AA"/>
    <w:rsid w:val="00130E38"/>
    <w:rsid w:val="0013107F"/>
    <w:rsid w:val="001312B5"/>
    <w:rsid w:val="001316DA"/>
    <w:rsid w:val="00131718"/>
    <w:rsid w:val="00132367"/>
    <w:rsid w:val="001325B5"/>
    <w:rsid w:val="0013263E"/>
    <w:rsid w:val="001326CF"/>
    <w:rsid w:val="00133478"/>
    <w:rsid w:val="001336AE"/>
    <w:rsid w:val="0013391A"/>
    <w:rsid w:val="00133E53"/>
    <w:rsid w:val="00133F4A"/>
    <w:rsid w:val="0013436E"/>
    <w:rsid w:val="001346EE"/>
    <w:rsid w:val="00134EA0"/>
    <w:rsid w:val="00135304"/>
    <w:rsid w:val="00135748"/>
    <w:rsid w:val="00135884"/>
    <w:rsid w:val="00135921"/>
    <w:rsid w:val="00135CB6"/>
    <w:rsid w:val="00135FFD"/>
    <w:rsid w:val="00136240"/>
    <w:rsid w:val="00136C4D"/>
    <w:rsid w:val="00136F33"/>
    <w:rsid w:val="00137328"/>
    <w:rsid w:val="001375DF"/>
    <w:rsid w:val="001376D4"/>
    <w:rsid w:val="00137923"/>
    <w:rsid w:val="00137968"/>
    <w:rsid w:val="001403F3"/>
    <w:rsid w:val="0014075D"/>
    <w:rsid w:val="00140EA0"/>
    <w:rsid w:val="0014141F"/>
    <w:rsid w:val="001414B9"/>
    <w:rsid w:val="00141745"/>
    <w:rsid w:val="00141AE1"/>
    <w:rsid w:val="001422C9"/>
    <w:rsid w:val="0014261B"/>
    <w:rsid w:val="00142819"/>
    <w:rsid w:val="0014399C"/>
    <w:rsid w:val="00143F47"/>
    <w:rsid w:val="00143FE6"/>
    <w:rsid w:val="001443B6"/>
    <w:rsid w:val="001445B4"/>
    <w:rsid w:val="001446C9"/>
    <w:rsid w:val="001446CE"/>
    <w:rsid w:val="00144891"/>
    <w:rsid w:val="00144D47"/>
    <w:rsid w:val="0014543F"/>
    <w:rsid w:val="00145961"/>
    <w:rsid w:val="00145EFB"/>
    <w:rsid w:val="001462F7"/>
    <w:rsid w:val="00146B4D"/>
    <w:rsid w:val="00146DCD"/>
    <w:rsid w:val="00146FA7"/>
    <w:rsid w:val="00147090"/>
    <w:rsid w:val="001473C6"/>
    <w:rsid w:val="00147AFF"/>
    <w:rsid w:val="00147DAD"/>
    <w:rsid w:val="00150170"/>
    <w:rsid w:val="001503E0"/>
    <w:rsid w:val="001504A6"/>
    <w:rsid w:val="001518DE"/>
    <w:rsid w:val="00152043"/>
    <w:rsid w:val="001534B5"/>
    <w:rsid w:val="00154010"/>
    <w:rsid w:val="0015425B"/>
    <w:rsid w:val="0015482E"/>
    <w:rsid w:val="0015492E"/>
    <w:rsid w:val="00154E19"/>
    <w:rsid w:val="00154FF9"/>
    <w:rsid w:val="001552BF"/>
    <w:rsid w:val="0015534B"/>
    <w:rsid w:val="00155354"/>
    <w:rsid w:val="001554EA"/>
    <w:rsid w:val="00155752"/>
    <w:rsid w:val="00155BC8"/>
    <w:rsid w:val="0015641A"/>
    <w:rsid w:val="00156555"/>
    <w:rsid w:val="00156605"/>
    <w:rsid w:val="00156E43"/>
    <w:rsid w:val="0015706C"/>
    <w:rsid w:val="001570F0"/>
    <w:rsid w:val="001573D7"/>
    <w:rsid w:val="001600DB"/>
    <w:rsid w:val="00160264"/>
    <w:rsid w:val="00160DF9"/>
    <w:rsid w:val="00161103"/>
    <w:rsid w:val="001613F8"/>
    <w:rsid w:val="00161AAD"/>
    <w:rsid w:val="00161E72"/>
    <w:rsid w:val="00161E91"/>
    <w:rsid w:val="00162136"/>
    <w:rsid w:val="00162535"/>
    <w:rsid w:val="001628ED"/>
    <w:rsid w:val="0016339A"/>
    <w:rsid w:val="00163594"/>
    <w:rsid w:val="00163BC1"/>
    <w:rsid w:val="00163D7F"/>
    <w:rsid w:val="001642E7"/>
    <w:rsid w:val="001645EF"/>
    <w:rsid w:val="00164843"/>
    <w:rsid w:val="0016484F"/>
    <w:rsid w:val="00164A10"/>
    <w:rsid w:val="00164C12"/>
    <w:rsid w:val="00164CA5"/>
    <w:rsid w:val="00164E25"/>
    <w:rsid w:val="001660E3"/>
    <w:rsid w:val="0016677B"/>
    <w:rsid w:val="001669A3"/>
    <w:rsid w:val="00166C3A"/>
    <w:rsid w:val="00166FBE"/>
    <w:rsid w:val="0016703E"/>
    <w:rsid w:val="00167688"/>
    <w:rsid w:val="001678BF"/>
    <w:rsid w:val="0016792D"/>
    <w:rsid w:val="00167998"/>
    <w:rsid w:val="00167A3E"/>
    <w:rsid w:val="00167A4C"/>
    <w:rsid w:val="00167F69"/>
    <w:rsid w:val="001700B5"/>
    <w:rsid w:val="001701E7"/>
    <w:rsid w:val="001707AE"/>
    <w:rsid w:val="001707E8"/>
    <w:rsid w:val="00170DF0"/>
    <w:rsid w:val="001713BD"/>
    <w:rsid w:val="001721AF"/>
    <w:rsid w:val="001723F8"/>
    <w:rsid w:val="00172AAB"/>
    <w:rsid w:val="00173107"/>
    <w:rsid w:val="00173258"/>
    <w:rsid w:val="0017339F"/>
    <w:rsid w:val="001735EC"/>
    <w:rsid w:val="00173648"/>
    <w:rsid w:val="001737B1"/>
    <w:rsid w:val="00173B0A"/>
    <w:rsid w:val="00173DCB"/>
    <w:rsid w:val="001744ED"/>
    <w:rsid w:val="00175155"/>
    <w:rsid w:val="00175443"/>
    <w:rsid w:val="00175A80"/>
    <w:rsid w:val="00175BCE"/>
    <w:rsid w:val="00176018"/>
    <w:rsid w:val="00176212"/>
    <w:rsid w:val="001763B1"/>
    <w:rsid w:val="00176B65"/>
    <w:rsid w:val="00177011"/>
    <w:rsid w:val="0017756B"/>
    <w:rsid w:val="001775B7"/>
    <w:rsid w:val="00177CA8"/>
    <w:rsid w:val="001807B0"/>
    <w:rsid w:val="00180C2D"/>
    <w:rsid w:val="00180E10"/>
    <w:rsid w:val="001810B6"/>
    <w:rsid w:val="0018168F"/>
    <w:rsid w:val="00181B12"/>
    <w:rsid w:val="00183197"/>
    <w:rsid w:val="0018344C"/>
    <w:rsid w:val="00183A0A"/>
    <w:rsid w:val="00183E93"/>
    <w:rsid w:val="001843CA"/>
    <w:rsid w:val="001849F1"/>
    <w:rsid w:val="00184A83"/>
    <w:rsid w:val="0018533F"/>
    <w:rsid w:val="0018535B"/>
    <w:rsid w:val="0018599C"/>
    <w:rsid w:val="00185BAA"/>
    <w:rsid w:val="00185F6C"/>
    <w:rsid w:val="001863DD"/>
    <w:rsid w:val="00186B1B"/>
    <w:rsid w:val="00186E01"/>
    <w:rsid w:val="00186ECE"/>
    <w:rsid w:val="00186ED7"/>
    <w:rsid w:val="00186EE0"/>
    <w:rsid w:val="00187651"/>
    <w:rsid w:val="00187D6C"/>
    <w:rsid w:val="001907D8"/>
    <w:rsid w:val="00190830"/>
    <w:rsid w:val="0019095C"/>
    <w:rsid w:val="00191321"/>
    <w:rsid w:val="00192062"/>
    <w:rsid w:val="001929A8"/>
    <w:rsid w:val="00192BCE"/>
    <w:rsid w:val="001930A2"/>
    <w:rsid w:val="0019355A"/>
    <w:rsid w:val="0019392E"/>
    <w:rsid w:val="00193B71"/>
    <w:rsid w:val="00194971"/>
    <w:rsid w:val="0019533B"/>
    <w:rsid w:val="001955B5"/>
    <w:rsid w:val="00195EDD"/>
    <w:rsid w:val="00196164"/>
    <w:rsid w:val="001961B4"/>
    <w:rsid w:val="001966E7"/>
    <w:rsid w:val="001969F7"/>
    <w:rsid w:val="001974CC"/>
    <w:rsid w:val="0019770A"/>
    <w:rsid w:val="001977E5"/>
    <w:rsid w:val="001978ED"/>
    <w:rsid w:val="00197D9A"/>
    <w:rsid w:val="001A00BA"/>
    <w:rsid w:val="001A0110"/>
    <w:rsid w:val="001A075F"/>
    <w:rsid w:val="001A0B36"/>
    <w:rsid w:val="001A1DDF"/>
    <w:rsid w:val="001A2C1F"/>
    <w:rsid w:val="001A31BA"/>
    <w:rsid w:val="001A3A64"/>
    <w:rsid w:val="001A3B3E"/>
    <w:rsid w:val="001A3FAD"/>
    <w:rsid w:val="001A4543"/>
    <w:rsid w:val="001A4661"/>
    <w:rsid w:val="001A46E2"/>
    <w:rsid w:val="001A49CF"/>
    <w:rsid w:val="001A4FB4"/>
    <w:rsid w:val="001A55EF"/>
    <w:rsid w:val="001A5DD9"/>
    <w:rsid w:val="001A5F3A"/>
    <w:rsid w:val="001A636C"/>
    <w:rsid w:val="001A7597"/>
    <w:rsid w:val="001A7A9C"/>
    <w:rsid w:val="001A7BBA"/>
    <w:rsid w:val="001B0BE6"/>
    <w:rsid w:val="001B0C2C"/>
    <w:rsid w:val="001B0E1A"/>
    <w:rsid w:val="001B1008"/>
    <w:rsid w:val="001B11F0"/>
    <w:rsid w:val="001B13EE"/>
    <w:rsid w:val="001B1471"/>
    <w:rsid w:val="001B16B5"/>
    <w:rsid w:val="001B1E7C"/>
    <w:rsid w:val="001B1E8D"/>
    <w:rsid w:val="001B1FF8"/>
    <w:rsid w:val="001B24A4"/>
    <w:rsid w:val="001B2696"/>
    <w:rsid w:val="001B2B87"/>
    <w:rsid w:val="001B2CE1"/>
    <w:rsid w:val="001B2FBE"/>
    <w:rsid w:val="001B3DA1"/>
    <w:rsid w:val="001B457F"/>
    <w:rsid w:val="001B4B92"/>
    <w:rsid w:val="001B5572"/>
    <w:rsid w:val="001B55E1"/>
    <w:rsid w:val="001B569F"/>
    <w:rsid w:val="001B5F1F"/>
    <w:rsid w:val="001B671C"/>
    <w:rsid w:val="001B69E8"/>
    <w:rsid w:val="001B6C15"/>
    <w:rsid w:val="001B6C80"/>
    <w:rsid w:val="001C0A13"/>
    <w:rsid w:val="001C131C"/>
    <w:rsid w:val="001C19AC"/>
    <w:rsid w:val="001C1E04"/>
    <w:rsid w:val="001C1EEE"/>
    <w:rsid w:val="001C1F90"/>
    <w:rsid w:val="001C1FE0"/>
    <w:rsid w:val="001C2039"/>
    <w:rsid w:val="001C298B"/>
    <w:rsid w:val="001C2D61"/>
    <w:rsid w:val="001C31A4"/>
    <w:rsid w:val="001C3396"/>
    <w:rsid w:val="001C33B1"/>
    <w:rsid w:val="001C35BA"/>
    <w:rsid w:val="001C3857"/>
    <w:rsid w:val="001C3C2B"/>
    <w:rsid w:val="001C3DFF"/>
    <w:rsid w:val="001C3F79"/>
    <w:rsid w:val="001C401C"/>
    <w:rsid w:val="001C426A"/>
    <w:rsid w:val="001C4CC4"/>
    <w:rsid w:val="001C4F4D"/>
    <w:rsid w:val="001C5314"/>
    <w:rsid w:val="001C5D6C"/>
    <w:rsid w:val="001C656E"/>
    <w:rsid w:val="001C695E"/>
    <w:rsid w:val="001C6E48"/>
    <w:rsid w:val="001C72C2"/>
    <w:rsid w:val="001C77A2"/>
    <w:rsid w:val="001D0102"/>
    <w:rsid w:val="001D0384"/>
    <w:rsid w:val="001D1214"/>
    <w:rsid w:val="001D18F4"/>
    <w:rsid w:val="001D1969"/>
    <w:rsid w:val="001D1AD8"/>
    <w:rsid w:val="001D1D96"/>
    <w:rsid w:val="001D3C0D"/>
    <w:rsid w:val="001D3C5D"/>
    <w:rsid w:val="001D3E6E"/>
    <w:rsid w:val="001D4F87"/>
    <w:rsid w:val="001D5463"/>
    <w:rsid w:val="001D56FC"/>
    <w:rsid w:val="001D5BA8"/>
    <w:rsid w:val="001D5F82"/>
    <w:rsid w:val="001D65D9"/>
    <w:rsid w:val="001D6878"/>
    <w:rsid w:val="001D6F3D"/>
    <w:rsid w:val="001D7000"/>
    <w:rsid w:val="001D72AE"/>
    <w:rsid w:val="001D77AA"/>
    <w:rsid w:val="001D7900"/>
    <w:rsid w:val="001E0058"/>
    <w:rsid w:val="001E0114"/>
    <w:rsid w:val="001E03AD"/>
    <w:rsid w:val="001E0579"/>
    <w:rsid w:val="001E0DAF"/>
    <w:rsid w:val="001E107B"/>
    <w:rsid w:val="001E195D"/>
    <w:rsid w:val="001E20A5"/>
    <w:rsid w:val="001E2DA6"/>
    <w:rsid w:val="001E3771"/>
    <w:rsid w:val="001E4674"/>
    <w:rsid w:val="001E4A1D"/>
    <w:rsid w:val="001E55A6"/>
    <w:rsid w:val="001E617E"/>
    <w:rsid w:val="001E629C"/>
    <w:rsid w:val="001E6A08"/>
    <w:rsid w:val="001E77A3"/>
    <w:rsid w:val="001E7987"/>
    <w:rsid w:val="001F0044"/>
    <w:rsid w:val="001F0150"/>
    <w:rsid w:val="001F0792"/>
    <w:rsid w:val="001F082E"/>
    <w:rsid w:val="001F0962"/>
    <w:rsid w:val="001F1263"/>
    <w:rsid w:val="001F1699"/>
    <w:rsid w:val="001F1939"/>
    <w:rsid w:val="001F2B92"/>
    <w:rsid w:val="001F2D71"/>
    <w:rsid w:val="001F39F2"/>
    <w:rsid w:val="001F4C09"/>
    <w:rsid w:val="001F6667"/>
    <w:rsid w:val="001F6803"/>
    <w:rsid w:val="001F6E16"/>
    <w:rsid w:val="001F7286"/>
    <w:rsid w:val="001F748C"/>
    <w:rsid w:val="001F74E2"/>
    <w:rsid w:val="001F75BA"/>
    <w:rsid w:val="00200551"/>
    <w:rsid w:val="002006AD"/>
    <w:rsid w:val="0020112E"/>
    <w:rsid w:val="002012AB"/>
    <w:rsid w:val="00201D81"/>
    <w:rsid w:val="002022A3"/>
    <w:rsid w:val="00203069"/>
    <w:rsid w:val="00203E0E"/>
    <w:rsid w:val="00204232"/>
    <w:rsid w:val="00204E07"/>
    <w:rsid w:val="00205C9F"/>
    <w:rsid w:val="002061BE"/>
    <w:rsid w:val="00206876"/>
    <w:rsid w:val="00206980"/>
    <w:rsid w:val="00206A22"/>
    <w:rsid w:val="00206AA5"/>
    <w:rsid w:val="00206D0E"/>
    <w:rsid w:val="00207251"/>
    <w:rsid w:val="00207E53"/>
    <w:rsid w:val="00207E61"/>
    <w:rsid w:val="002105F1"/>
    <w:rsid w:val="002106F5"/>
    <w:rsid w:val="00210C1D"/>
    <w:rsid w:val="002119E0"/>
    <w:rsid w:val="00211AA5"/>
    <w:rsid w:val="00212792"/>
    <w:rsid w:val="00212B5F"/>
    <w:rsid w:val="00213182"/>
    <w:rsid w:val="00213490"/>
    <w:rsid w:val="00214038"/>
    <w:rsid w:val="00214079"/>
    <w:rsid w:val="002142CA"/>
    <w:rsid w:val="00214396"/>
    <w:rsid w:val="00215230"/>
    <w:rsid w:val="0021603A"/>
    <w:rsid w:val="002161AE"/>
    <w:rsid w:val="002166C0"/>
    <w:rsid w:val="00216746"/>
    <w:rsid w:val="0021677C"/>
    <w:rsid w:val="00217082"/>
    <w:rsid w:val="002175C6"/>
    <w:rsid w:val="0021796A"/>
    <w:rsid w:val="00217A16"/>
    <w:rsid w:val="002200F3"/>
    <w:rsid w:val="002204C0"/>
    <w:rsid w:val="002204ED"/>
    <w:rsid w:val="00220A22"/>
    <w:rsid w:val="00220E98"/>
    <w:rsid w:val="00221059"/>
    <w:rsid w:val="00221322"/>
    <w:rsid w:val="00221778"/>
    <w:rsid w:val="00221995"/>
    <w:rsid w:val="002219D1"/>
    <w:rsid w:val="00221A1D"/>
    <w:rsid w:val="00222092"/>
    <w:rsid w:val="0022259F"/>
    <w:rsid w:val="00223982"/>
    <w:rsid w:val="00223AB4"/>
    <w:rsid w:val="002240F0"/>
    <w:rsid w:val="00224912"/>
    <w:rsid w:val="00224FCE"/>
    <w:rsid w:val="002250C9"/>
    <w:rsid w:val="00225113"/>
    <w:rsid w:val="00225B63"/>
    <w:rsid w:val="002260B2"/>
    <w:rsid w:val="002262B8"/>
    <w:rsid w:val="00226591"/>
    <w:rsid w:val="002267CA"/>
    <w:rsid w:val="00226A96"/>
    <w:rsid w:val="00226B69"/>
    <w:rsid w:val="002274F4"/>
    <w:rsid w:val="00227545"/>
    <w:rsid w:val="002307E7"/>
    <w:rsid w:val="00230DEA"/>
    <w:rsid w:val="00232CB0"/>
    <w:rsid w:val="00232D5B"/>
    <w:rsid w:val="00232DD5"/>
    <w:rsid w:val="0023402E"/>
    <w:rsid w:val="0023407C"/>
    <w:rsid w:val="0023446C"/>
    <w:rsid w:val="00234963"/>
    <w:rsid w:val="002349BA"/>
    <w:rsid w:val="00234ADE"/>
    <w:rsid w:val="00237140"/>
    <w:rsid w:val="00240094"/>
    <w:rsid w:val="002400BD"/>
    <w:rsid w:val="00240104"/>
    <w:rsid w:val="002406B7"/>
    <w:rsid w:val="00240927"/>
    <w:rsid w:val="0024096C"/>
    <w:rsid w:val="00241632"/>
    <w:rsid w:val="002417AA"/>
    <w:rsid w:val="00241904"/>
    <w:rsid w:val="002419B8"/>
    <w:rsid w:val="00241F1D"/>
    <w:rsid w:val="0024216C"/>
    <w:rsid w:val="002426B7"/>
    <w:rsid w:val="0024283B"/>
    <w:rsid w:val="00243131"/>
    <w:rsid w:val="00243A93"/>
    <w:rsid w:val="00243B0F"/>
    <w:rsid w:val="00243D8E"/>
    <w:rsid w:val="00243EE6"/>
    <w:rsid w:val="0024417D"/>
    <w:rsid w:val="0024431E"/>
    <w:rsid w:val="0024500C"/>
    <w:rsid w:val="0024563A"/>
    <w:rsid w:val="002459C4"/>
    <w:rsid w:val="00245C29"/>
    <w:rsid w:val="0024607B"/>
    <w:rsid w:val="00246B92"/>
    <w:rsid w:val="00246BFB"/>
    <w:rsid w:val="00246F14"/>
    <w:rsid w:val="00246F90"/>
    <w:rsid w:val="00247076"/>
    <w:rsid w:val="002473F7"/>
    <w:rsid w:val="00247789"/>
    <w:rsid w:val="0025005E"/>
    <w:rsid w:val="00250FB0"/>
    <w:rsid w:val="00251253"/>
    <w:rsid w:val="002522D6"/>
    <w:rsid w:val="0025266E"/>
    <w:rsid w:val="00252775"/>
    <w:rsid w:val="00252868"/>
    <w:rsid w:val="00252B99"/>
    <w:rsid w:val="00252F9A"/>
    <w:rsid w:val="00253A1B"/>
    <w:rsid w:val="00253A41"/>
    <w:rsid w:val="00253E2D"/>
    <w:rsid w:val="002544BE"/>
    <w:rsid w:val="00254583"/>
    <w:rsid w:val="00254B4F"/>
    <w:rsid w:val="00254C83"/>
    <w:rsid w:val="00254FAB"/>
    <w:rsid w:val="00255692"/>
    <w:rsid w:val="00255758"/>
    <w:rsid w:val="0025575C"/>
    <w:rsid w:val="0025583B"/>
    <w:rsid w:val="00256090"/>
    <w:rsid w:val="002561F9"/>
    <w:rsid w:val="00256474"/>
    <w:rsid w:val="002565DF"/>
    <w:rsid w:val="0025688A"/>
    <w:rsid w:val="002570C9"/>
    <w:rsid w:val="00260571"/>
    <w:rsid w:val="00260FBF"/>
    <w:rsid w:val="00261676"/>
    <w:rsid w:val="00261CB1"/>
    <w:rsid w:val="00261F81"/>
    <w:rsid w:val="0026240F"/>
    <w:rsid w:val="0026250B"/>
    <w:rsid w:val="00262547"/>
    <w:rsid w:val="00262729"/>
    <w:rsid w:val="00262A39"/>
    <w:rsid w:val="00262D07"/>
    <w:rsid w:val="00263157"/>
    <w:rsid w:val="0026394B"/>
    <w:rsid w:val="00263995"/>
    <w:rsid w:val="00264125"/>
    <w:rsid w:val="00264957"/>
    <w:rsid w:val="00264D3C"/>
    <w:rsid w:val="002652CC"/>
    <w:rsid w:val="0026595D"/>
    <w:rsid w:val="0026619D"/>
    <w:rsid w:val="00266D6B"/>
    <w:rsid w:val="00266E6E"/>
    <w:rsid w:val="0026770C"/>
    <w:rsid w:val="00267AED"/>
    <w:rsid w:val="002701E3"/>
    <w:rsid w:val="00270506"/>
    <w:rsid w:val="002708B6"/>
    <w:rsid w:val="002709DF"/>
    <w:rsid w:val="00270B63"/>
    <w:rsid w:val="00270D8A"/>
    <w:rsid w:val="00270DD3"/>
    <w:rsid w:val="0027103A"/>
    <w:rsid w:val="00271163"/>
    <w:rsid w:val="00271B4F"/>
    <w:rsid w:val="00272349"/>
    <w:rsid w:val="00272564"/>
    <w:rsid w:val="00272C27"/>
    <w:rsid w:val="00273480"/>
    <w:rsid w:val="002735EE"/>
    <w:rsid w:val="0027431D"/>
    <w:rsid w:val="00274503"/>
    <w:rsid w:val="00274BBD"/>
    <w:rsid w:val="002750CB"/>
    <w:rsid w:val="0027580C"/>
    <w:rsid w:val="002765B6"/>
    <w:rsid w:val="002765F3"/>
    <w:rsid w:val="002766A5"/>
    <w:rsid w:val="0027733D"/>
    <w:rsid w:val="00277C5B"/>
    <w:rsid w:val="00277C91"/>
    <w:rsid w:val="00277EDC"/>
    <w:rsid w:val="002804C9"/>
    <w:rsid w:val="00280669"/>
    <w:rsid w:val="00281084"/>
    <w:rsid w:val="00281183"/>
    <w:rsid w:val="002815B3"/>
    <w:rsid w:val="00281737"/>
    <w:rsid w:val="00281814"/>
    <w:rsid w:val="002818ED"/>
    <w:rsid w:val="00281A57"/>
    <w:rsid w:val="00281D92"/>
    <w:rsid w:val="00281E82"/>
    <w:rsid w:val="00281FB5"/>
    <w:rsid w:val="00282547"/>
    <w:rsid w:val="00282CA4"/>
    <w:rsid w:val="00282D81"/>
    <w:rsid w:val="00282F52"/>
    <w:rsid w:val="0028363D"/>
    <w:rsid w:val="0028385A"/>
    <w:rsid w:val="0028398F"/>
    <w:rsid w:val="00284294"/>
    <w:rsid w:val="0028495C"/>
    <w:rsid w:val="00284D7F"/>
    <w:rsid w:val="00284FDA"/>
    <w:rsid w:val="0028560F"/>
    <w:rsid w:val="00285883"/>
    <w:rsid w:val="00285899"/>
    <w:rsid w:val="00285944"/>
    <w:rsid w:val="00286545"/>
    <w:rsid w:val="0028705A"/>
    <w:rsid w:val="00287EDE"/>
    <w:rsid w:val="00290327"/>
    <w:rsid w:val="002903F1"/>
    <w:rsid w:val="002904F7"/>
    <w:rsid w:val="0029055C"/>
    <w:rsid w:val="002917BD"/>
    <w:rsid w:val="002919F4"/>
    <w:rsid w:val="0029213E"/>
    <w:rsid w:val="002923BC"/>
    <w:rsid w:val="00292AF2"/>
    <w:rsid w:val="00292DFC"/>
    <w:rsid w:val="002939A1"/>
    <w:rsid w:val="00293A01"/>
    <w:rsid w:val="00293ABF"/>
    <w:rsid w:val="00293C29"/>
    <w:rsid w:val="00293CA4"/>
    <w:rsid w:val="00294CFF"/>
    <w:rsid w:val="00295302"/>
    <w:rsid w:val="0029550F"/>
    <w:rsid w:val="00295DB0"/>
    <w:rsid w:val="00295E4E"/>
    <w:rsid w:val="002962B1"/>
    <w:rsid w:val="002971F0"/>
    <w:rsid w:val="00297CD4"/>
    <w:rsid w:val="00297FA1"/>
    <w:rsid w:val="002A0454"/>
    <w:rsid w:val="002A04C8"/>
    <w:rsid w:val="002A0A13"/>
    <w:rsid w:val="002A1044"/>
    <w:rsid w:val="002A188F"/>
    <w:rsid w:val="002A1BC8"/>
    <w:rsid w:val="002A1F0E"/>
    <w:rsid w:val="002A2303"/>
    <w:rsid w:val="002A3461"/>
    <w:rsid w:val="002A3B81"/>
    <w:rsid w:val="002A3F50"/>
    <w:rsid w:val="002A4140"/>
    <w:rsid w:val="002A46BA"/>
    <w:rsid w:val="002A4BC2"/>
    <w:rsid w:val="002A5397"/>
    <w:rsid w:val="002A5470"/>
    <w:rsid w:val="002A550A"/>
    <w:rsid w:val="002A5940"/>
    <w:rsid w:val="002A5D6C"/>
    <w:rsid w:val="002A5FBB"/>
    <w:rsid w:val="002A602B"/>
    <w:rsid w:val="002A69D8"/>
    <w:rsid w:val="002A6D98"/>
    <w:rsid w:val="002A73A3"/>
    <w:rsid w:val="002A7B81"/>
    <w:rsid w:val="002A7B9C"/>
    <w:rsid w:val="002B0067"/>
    <w:rsid w:val="002B0840"/>
    <w:rsid w:val="002B0A50"/>
    <w:rsid w:val="002B0B86"/>
    <w:rsid w:val="002B0CA0"/>
    <w:rsid w:val="002B14B3"/>
    <w:rsid w:val="002B153D"/>
    <w:rsid w:val="002B17EF"/>
    <w:rsid w:val="002B18E3"/>
    <w:rsid w:val="002B1F4E"/>
    <w:rsid w:val="002B204D"/>
    <w:rsid w:val="002B2307"/>
    <w:rsid w:val="002B2584"/>
    <w:rsid w:val="002B3446"/>
    <w:rsid w:val="002B3D1B"/>
    <w:rsid w:val="002B3F22"/>
    <w:rsid w:val="002B3F5F"/>
    <w:rsid w:val="002B46B8"/>
    <w:rsid w:val="002B4D31"/>
    <w:rsid w:val="002B4F11"/>
    <w:rsid w:val="002B520C"/>
    <w:rsid w:val="002B5B45"/>
    <w:rsid w:val="002B5B50"/>
    <w:rsid w:val="002B5F07"/>
    <w:rsid w:val="002B64D6"/>
    <w:rsid w:val="002B677F"/>
    <w:rsid w:val="002B6D3E"/>
    <w:rsid w:val="002B6F1D"/>
    <w:rsid w:val="002B6F27"/>
    <w:rsid w:val="002C0B12"/>
    <w:rsid w:val="002C0D2D"/>
    <w:rsid w:val="002C1616"/>
    <w:rsid w:val="002C1A0B"/>
    <w:rsid w:val="002C1F46"/>
    <w:rsid w:val="002C239E"/>
    <w:rsid w:val="002C24FA"/>
    <w:rsid w:val="002C2986"/>
    <w:rsid w:val="002C2C2F"/>
    <w:rsid w:val="002C38B9"/>
    <w:rsid w:val="002C44BA"/>
    <w:rsid w:val="002C4A9C"/>
    <w:rsid w:val="002C4EA6"/>
    <w:rsid w:val="002C51D9"/>
    <w:rsid w:val="002C5544"/>
    <w:rsid w:val="002C554F"/>
    <w:rsid w:val="002C67C0"/>
    <w:rsid w:val="002C68E1"/>
    <w:rsid w:val="002C69F3"/>
    <w:rsid w:val="002C6AF2"/>
    <w:rsid w:val="002C6CBA"/>
    <w:rsid w:val="002C704C"/>
    <w:rsid w:val="002C778A"/>
    <w:rsid w:val="002C77A5"/>
    <w:rsid w:val="002C7924"/>
    <w:rsid w:val="002C7A80"/>
    <w:rsid w:val="002C7B68"/>
    <w:rsid w:val="002D06D5"/>
    <w:rsid w:val="002D0812"/>
    <w:rsid w:val="002D0D4F"/>
    <w:rsid w:val="002D0D9D"/>
    <w:rsid w:val="002D1213"/>
    <w:rsid w:val="002D1414"/>
    <w:rsid w:val="002D175E"/>
    <w:rsid w:val="002D1A8D"/>
    <w:rsid w:val="002D2285"/>
    <w:rsid w:val="002D23C0"/>
    <w:rsid w:val="002D31BC"/>
    <w:rsid w:val="002D334D"/>
    <w:rsid w:val="002D3593"/>
    <w:rsid w:val="002D428E"/>
    <w:rsid w:val="002D44BC"/>
    <w:rsid w:val="002D46A5"/>
    <w:rsid w:val="002D4EFF"/>
    <w:rsid w:val="002D5334"/>
    <w:rsid w:val="002D549F"/>
    <w:rsid w:val="002D5F1F"/>
    <w:rsid w:val="002D6088"/>
    <w:rsid w:val="002D6140"/>
    <w:rsid w:val="002D6356"/>
    <w:rsid w:val="002D7236"/>
    <w:rsid w:val="002D7347"/>
    <w:rsid w:val="002D7828"/>
    <w:rsid w:val="002E00BD"/>
    <w:rsid w:val="002E0A43"/>
    <w:rsid w:val="002E0C01"/>
    <w:rsid w:val="002E149E"/>
    <w:rsid w:val="002E1587"/>
    <w:rsid w:val="002E17CA"/>
    <w:rsid w:val="002E249C"/>
    <w:rsid w:val="002E24F3"/>
    <w:rsid w:val="002E288B"/>
    <w:rsid w:val="002E29B6"/>
    <w:rsid w:val="002E2E0C"/>
    <w:rsid w:val="002E3FBF"/>
    <w:rsid w:val="002E41E8"/>
    <w:rsid w:val="002E4921"/>
    <w:rsid w:val="002E59CE"/>
    <w:rsid w:val="002E59E6"/>
    <w:rsid w:val="002E5A9F"/>
    <w:rsid w:val="002E67E6"/>
    <w:rsid w:val="002E791D"/>
    <w:rsid w:val="002E7EA3"/>
    <w:rsid w:val="002F012D"/>
    <w:rsid w:val="002F06E1"/>
    <w:rsid w:val="002F0933"/>
    <w:rsid w:val="002F1170"/>
    <w:rsid w:val="002F1345"/>
    <w:rsid w:val="002F135E"/>
    <w:rsid w:val="002F1466"/>
    <w:rsid w:val="002F1517"/>
    <w:rsid w:val="002F16D8"/>
    <w:rsid w:val="002F17D9"/>
    <w:rsid w:val="002F1DAB"/>
    <w:rsid w:val="002F2151"/>
    <w:rsid w:val="002F2A33"/>
    <w:rsid w:val="002F38E1"/>
    <w:rsid w:val="002F4742"/>
    <w:rsid w:val="002F4A08"/>
    <w:rsid w:val="002F4B3F"/>
    <w:rsid w:val="002F50B6"/>
    <w:rsid w:val="002F54C9"/>
    <w:rsid w:val="002F58C0"/>
    <w:rsid w:val="002F5B3E"/>
    <w:rsid w:val="002F5B5F"/>
    <w:rsid w:val="002F5DC8"/>
    <w:rsid w:val="002F5DFB"/>
    <w:rsid w:val="002F6DE7"/>
    <w:rsid w:val="002F701F"/>
    <w:rsid w:val="002F7165"/>
    <w:rsid w:val="002F71A7"/>
    <w:rsid w:val="002F767F"/>
    <w:rsid w:val="002F7A31"/>
    <w:rsid w:val="002F7BEC"/>
    <w:rsid w:val="002F7D19"/>
    <w:rsid w:val="003002FB"/>
    <w:rsid w:val="003005F9"/>
    <w:rsid w:val="00300BE2"/>
    <w:rsid w:val="00300C16"/>
    <w:rsid w:val="003021DA"/>
    <w:rsid w:val="003024B6"/>
    <w:rsid w:val="0030256E"/>
    <w:rsid w:val="0030268C"/>
    <w:rsid w:val="00302B3C"/>
    <w:rsid w:val="00302B76"/>
    <w:rsid w:val="00303120"/>
    <w:rsid w:val="003042BB"/>
    <w:rsid w:val="003043A7"/>
    <w:rsid w:val="003044FD"/>
    <w:rsid w:val="00304552"/>
    <w:rsid w:val="00304793"/>
    <w:rsid w:val="00304C24"/>
    <w:rsid w:val="00305200"/>
    <w:rsid w:val="00305372"/>
    <w:rsid w:val="00305395"/>
    <w:rsid w:val="003059C1"/>
    <w:rsid w:val="00305B10"/>
    <w:rsid w:val="00305F1C"/>
    <w:rsid w:val="003060B4"/>
    <w:rsid w:val="003060FC"/>
    <w:rsid w:val="00306162"/>
    <w:rsid w:val="00306229"/>
    <w:rsid w:val="003062A3"/>
    <w:rsid w:val="003068E1"/>
    <w:rsid w:val="00306A78"/>
    <w:rsid w:val="00306E7F"/>
    <w:rsid w:val="003073EC"/>
    <w:rsid w:val="003075D9"/>
    <w:rsid w:val="00307CEA"/>
    <w:rsid w:val="00307E19"/>
    <w:rsid w:val="00310FC0"/>
    <w:rsid w:val="00311A88"/>
    <w:rsid w:val="00312039"/>
    <w:rsid w:val="00312B8D"/>
    <w:rsid w:val="00312DD3"/>
    <w:rsid w:val="003131BF"/>
    <w:rsid w:val="0031368F"/>
    <w:rsid w:val="00313ADD"/>
    <w:rsid w:val="00313B49"/>
    <w:rsid w:val="00313BD6"/>
    <w:rsid w:val="00314225"/>
    <w:rsid w:val="00314532"/>
    <w:rsid w:val="00314686"/>
    <w:rsid w:val="003146C5"/>
    <w:rsid w:val="00314FA8"/>
    <w:rsid w:val="00315B12"/>
    <w:rsid w:val="00315DCB"/>
    <w:rsid w:val="003166CD"/>
    <w:rsid w:val="00316887"/>
    <w:rsid w:val="00316D93"/>
    <w:rsid w:val="00316FD5"/>
    <w:rsid w:val="00317228"/>
    <w:rsid w:val="003178B5"/>
    <w:rsid w:val="00317DD7"/>
    <w:rsid w:val="00317E7B"/>
    <w:rsid w:val="00320E4F"/>
    <w:rsid w:val="00321C83"/>
    <w:rsid w:val="00322955"/>
    <w:rsid w:val="00323019"/>
    <w:rsid w:val="0032431E"/>
    <w:rsid w:val="003243BC"/>
    <w:rsid w:val="003248DB"/>
    <w:rsid w:val="00324AFA"/>
    <w:rsid w:val="00324B45"/>
    <w:rsid w:val="0032509D"/>
    <w:rsid w:val="00325262"/>
    <w:rsid w:val="003252CF"/>
    <w:rsid w:val="00325380"/>
    <w:rsid w:val="00326040"/>
    <w:rsid w:val="003263E5"/>
    <w:rsid w:val="00326812"/>
    <w:rsid w:val="00327314"/>
    <w:rsid w:val="003273BA"/>
    <w:rsid w:val="003273C7"/>
    <w:rsid w:val="00327863"/>
    <w:rsid w:val="00327EF5"/>
    <w:rsid w:val="00330A57"/>
    <w:rsid w:val="00330E5A"/>
    <w:rsid w:val="003315E7"/>
    <w:rsid w:val="00331A07"/>
    <w:rsid w:val="00331D72"/>
    <w:rsid w:val="00331FC1"/>
    <w:rsid w:val="003329D2"/>
    <w:rsid w:val="00332CD9"/>
    <w:rsid w:val="0033333F"/>
    <w:rsid w:val="003333F8"/>
    <w:rsid w:val="0033399D"/>
    <w:rsid w:val="003343E6"/>
    <w:rsid w:val="00334CCF"/>
    <w:rsid w:val="00335D25"/>
    <w:rsid w:val="00335F5E"/>
    <w:rsid w:val="003363CF"/>
    <w:rsid w:val="003364EE"/>
    <w:rsid w:val="00336B59"/>
    <w:rsid w:val="00336C3D"/>
    <w:rsid w:val="00337BC1"/>
    <w:rsid w:val="00337D50"/>
    <w:rsid w:val="00337E29"/>
    <w:rsid w:val="00340544"/>
    <w:rsid w:val="00340C84"/>
    <w:rsid w:val="00340DBF"/>
    <w:rsid w:val="00341569"/>
    <w:rsid w:val="00341D19"/>
    <w:rsid w:val="003427E6"/>
    <w:rsid w:val="0034287C"/>
    <w:rsid w:val="003435EE"/>
    <w:rsid w:val="00344385"/>
    <w:rsid w:val="003447E0"/>
    <w:rsid w:val="00344AC8"/>
    <w:rsid w:val="00344EAD"/>
    <w:rsid w:val="00345FFD"/>
    <w:rsid w:val="003468F4"/>
    <w:rsid w:val="00347101"/>
    <w:rsid w:val="00347681"/>
    <w:rsid w:val="00350326"/>
    <w:rsid w:val="003511C2"/>
    <w:rsid w:val="0035139B"/>
    <w:rsid w:val="00351EF3"/>
    <w:rsid w:val="00352413"/>
    <w:rsid w:val="00352437"/>
    <w:rsid w:val="00352A9E"/>
    <w:rsid w:val="00352B1A"/>
    <w:rsid w:val="0035350D"/>
    <w:rsid w:val="00353EDB"/>
    <w:rsid w:val="00353F86"/>
    <w:rsid w:val="003542B6"/>
    <w:rsid w:val="003542D7"/>
    <w:rsid w:val="003547A1"/>
    <w:rsid w:val="003552EA"/>
    <w:rsid w:val="00355F22"/>
    <w:rsid w:val="00356AEA"/>
    <w:rsid w:val="00357694"/>
    <w:rsid w:val="0035776C"/>
    <w:rsid w:val="00357963"/>
    <w:rsid w:val="00357C49"/>
    <w:rsid w:val="00357D4B"/>
    <w:rsid w:val="003603DB"/>
    <w:rsid w:val="00360509"/>
    <w:rsid w:val="003605A2"/>
    <w:rsid w:val="00360ADA"/>
    <w:rsid w:val="00360CCE"/>
    <w:rsid w:val="0036145A"/>
    <w:rsid w:val="00361635"/>
    <w:rsid w:val="00362E44"/>
    <w:rsid w:val="00362E78"/>
    <w:rsid w:val="003631C1"/>
    <w:rsid w:val="00363205"/>
    <w:rsid w:val="003632C3"/>
    <w:rsid w:val="00363493"/>
    <w:rsid w:val="003639CB"/>
    <w:rsid w:val="0036484F"/>
    <w:rsid w:val="0036494E"/>
    <w:rsid w:val="00364F84"/>
    <w:rsid w:val="003655ED"/>
    <w:rsid w:val="00365A7A"/>
    <w:rsid w:val="00365D05"/>
    <w:rsid w:val="00366C7B"/>
    <w:rsid w:val="00366D7B"/>
    <w:rsid w:val="00366EE5"/>
    <w:rsid w:val="003674CE"/>
    <w:rsid w:val="0036753E"/>
    <w:rsid w:val="00367860"/>
    <w:rsid w:val="00370476"/>
    <w:rsid w:val="00370598"/>
    <w:rsid w:val="00372138"/>
    <w:rsid w:val="00372628"/>
    <w:rsid w:val="00372DD2"/>
    <w:rsid w:val="00372EC6"/>
    <w:rsid w:val="003735A0"/>
    <w:rsid w:val="003735B7"/>
    <w:rsid w:val="00373902"/>
    <w:rsid w:val="00373B5D"/>
    <w:rsid w:val="00373C66"/>
    <w:rsid w:val="00373FB5"/>
    <w:rsid w:val="00374ACF"/>
    <w:rsid w:val="0037592C"/>
    <w:rsid w:val="0037644A"/>
    <w:rsid w:val="00376702"/>
    <w:rsid w:val="00376A65"/>
    <w:rsid w:val="00376B7E"/>
    <w:rsid w:val="00377653"/>
    <w:rsid w:val="00377AB9"/>
    <w:rsid w:val="003803A4"/>
    <w:rsid w:val="003806D9"/>
    <w:rsid w:val="0038171A"/>
    <w:rsid w:val="00381992"/>
    <w:rsid w:val="003819D6"/>
    <w:rsid w:val="003821CE"/>
    <w:rsid w:val="003825F8"/>
    <w:rsid w:val="00382632"/>
    <w:rsid w:val="00382B98"/>
    <w:rsid w:val="0038313C"/>
    <w:rsid w:val="00383AB9"/>
    <w:rsid w:val="00383B8A"/>
    <w:rsid w:val="00383CF4"/>
    <w:rsid w:val="00384124"/>
    <w:rsid w:val="00384B20"/>
    <w:rsid w:val="00385D34"/>
    <w:rsid w:val="00385D38"/>
    <w:rsid w:val="00386811"/>
    <w:rsid w:val="00386C72"/>
    <w:rsid w:val="00386DED"/>
    <w:rsid w:val="00386E0F"/>
    <w:rsid w:val="00387280"/>
    <w:rsid w:val="00387643"/>
    <w:rsid w:val="003876F6"/>
    <w:rsid w:val="00387BE6"/>
    <w:rsid w:val="00387CB0"/>
    <w:rsid w:val="003909B1"/>
    <w:rsid w:val="00390B02"/>
    <w:rsid w:val="003919C0"/>
    <w:rsid w:val="00391E6F"/>
    <w:rsid w:val="00391ECD"/>
    <w:rsid w:val="00392144"/>
    <w:rsid w:val="00392E97"/>
    <w:rsid w:val="0039301C"/>
    <w:rsid w:val="00393512"/>
    <w:rsid w:val="00393EE4"/>
    <w:rsid w:val="00393F1E"/>
    <w:rsid w:val="003941A7"/>
    <w:rsid w:val="00394605"/>
    <w:rsid w:val="00395218"/>
    <w:rsid w:val="003959A3"/>
    <w:rsid w:val="00395D36"/>
    <w:rsid w:val="0039635D"/>
    <w:rsid w:val="00396391"/>
    <w:rsid w:val="003969F9"/>
    <w:rsid w:val="00396A80"/>
    <w:rsid w:val="00396D71"/>
    <w:rsid w:val="003974E4"/>
    <w:rsid w:val="00397E8B"/>
    <w:rsid w:val="003A0062"/>
    <w:rsid w:val="003A0298"/>
    <w:rsid w:val="003A0442"/>
    <w:rsid w:val="003A0C38"/>
    <w:rsid w:val="003A0F2C"/>
    <w:rsid w:val="003A11C1"/>
    <w:rsid w:val="003A1E40"/>
    <w:rsid w:val="003A1E50"/>
    <w:rsid w:val="003A267F"/>
    <w:rsid w:val="003A2CA5"/>
    <w:rsid w:val="003A2D18"/>
    <w:rsid w:val="003A2E69"/>
    <w:rsid w:val="003A3316"/>
    <w:rsid w:val="003A3A79"/>
    <w:rsid w:val="003A3C08"/>
    <w:rsid w:val="003A3DF4"/>
    <w:rsid w:val="003A41F2"/>
    <w:rsid w:val="003A4A11"/>
    <w:rsid w:val="003A4B1E"/>
    <w:rsid w:val="003A5685"/>
    <w:rsid w:val="003A5730"/>
    <w:rsid w:val="003A59E2"/>
    <w:rsid w:val="003A5B96"/>
    <w:rsid w:val="003A5C0E"/>
    <w:rsid w:val="003A60BC"/>
    <w:rsid w:val="003A6DCB"/>
    <w:rsid w:val="003A6E79"/>
    <w:rsid w:val="003A7C49"/>
    <w:rsid w:val="003B0365"/>
    <w:rsid w:val="003B07AC"/>
    <w:rsid w:val="003B086F"/>
    <w:rsid w:val="003B0C93"/>
    <w:rsid w:val="003B1C43"/>
    <w:rsid w:val="003B224C"/>
    <w:rsid w:val="003B267B"/>
    <w:rsid w:val="003B2B0A"/>
    <w:rsid w:val="003B2C27"/>
    <w:rsid w:val="003B3800"/>
    <w:rsid w:val="003B4708"/>
    <w:rsid w:val="003B4DF8"/>
    <w:rsid w:val="003B5202"/>
    <w:rsid w:val="003B5690"/>
    <w:rsid w:val="003B5BFC"/>
    <w:rsid w:val="003B5CB1"/>
    <w:rsid w:val="003B5CB8"/>
    <w:rsid w:val="003B6072"/>
    <w:rsid w:val="003B62F7"/>
    <w:rsid w:val="003B66A8"/>
    <w:rsid w:val="003B6E7A"/>
    <w:rsid w:val="003B72C4"/>
    <w:rsid w:val="003B731A"/>
    <w:rsid w:val="003B7D6B"/>
    <w:rsid w:val="003B7DA6"/>
    <w:rsid w:val="003C0531"/>
    <w:rsid w:val="003C11DB"/>
    <w:rsid w:val="003C14AC"/>
    <w:rsid w:val="003C1636"/>
    <w:rsid w:val="003C2154"/>
    <w:rsid w:val="003C21A7"/>
    <w:rsid w:val="003C247F"/>
    <w:rsid w:val="003C2A30"/>
    <w:rsid w:val="003C2E45"/>
    <w:rsid w:val="003C34F4"/>
    <w:rsid w:val="003C3A8B"/>
    <w:rsid w:val="003C46D1"/>
    <w:rsid w:val="003C478D"/>
    <w:rsid w:val="003C5062"/>
    <w:rsid w:val="003C522E"/>
    <w:rsid w:val="003C5F80"/>
    <w:rsid w:val="003C7127"/>
    <w:rsid w:val="003C72A2"/>
    <w:rsid w:val="003C741F"/>
    <w:rsid w:val="003C7587"/>
    <w:rsid w:val="003C76B5"/>
    <w:rsid w:val="003C7845"/>
    <w:rsid w:val="003C7EB6"/>
    <w:rsid w:val="003C7F84"/>
    <w:rsid w:val="003D0367"/>
    <w:rsid w:val="003D0559"/>
    <w:rsid w:val="003D08A2"/>
    <w:rsid w:val="003D16A5"/>
    <w:rsid w:val="003D1ABB"/>
    <w:rsid w:val="003D1F6E"/>
    <w:rsid w:val="003D24DF"/>
    <w:rsid w:val="003D272A"/>
    <w:rsid w:val="003D2AB9"/>
    <w:rsid w:val="003D2B5F"/>
    <w:rsid w:val="003D37B0"/>
    <w:rsid w:val="003D38A0"/>
    <w:rsid w:val="003D411F"/>
    <w:rsid w:val="003D4284"/>
    <w:rsid w:val="003D46FA"/>
    <w:rsid w:val="003D4A2F"/>
    <w:rsid w:val="003D5D70"/>
    <w:rsid w:val="003D6045"/>
    <w:rsid w:val="003D61DB"/>
    <w:rsid w:val="003D66B6"/>
    <w:rsid w:val="003D6966"/>
    <w:rsid w:val="003D7620"/>
    <w:rsid w:val="003D7873"/>
    <w:rsid w:val="003D7DC2"/>
    <w:rsid w:val="003E0373"/>
    <w:rsid w:val="003E08E4"/>
    <w:rsid w:val="003E0DAF"/>
    <w:rsid w:val="003E1C2C"/>
    <w:rsid w:val="003E1DAA"/>
    <w:rsid w:val="003E1F52"/>
    <w:rsid w:val="003E2AEC"/>
    <w:rsid w:val="003E3022"/>
    <w:rsid w:val="003E38ED"/>
    <w:rsid w:val="003E3936"/>
    <w:rsid w:val="003E3AEF"/>
    <w:rsid w:val="003E3B53"/>
    <w:rsid w:val="003E3C92"/>
    <w:rsid w:val="003E3F77"/>
    <w:rsid w:val="003E4316"/>
    <w:rsid w:val="003E4886"/>
    <w:rsid w:val="003E5683"/>
    <w:rsid w:val="003E5ACA"/>
    <w:rsid w:val="003E5F66"/>
    <w:rsid w:val="003E69C2"/>
    <w:rsid w:val="003E6D04"/>
    <w:rsid w:val="003E6D3F"/>
    <w:rsid w:val="003E79F5"/>
    <w:rsid w:val="003E7A8C"/>
    <w:rsid w:val="003E7D2E"/>
    <w:rsid w:val="003F09D8"/>
    <w:rsid w:val="003F0CC2"/>
    <w:rsid w:val="003F161D"/>
    <w:rsid w:val="003F1815"/>
    <w:rsid w:val="003F1C3D"/>
    <w:rsid w:val="003F2797"/>
    <w:rsid w:val="003F3214"/>
    <w:rsid w:val="003F361D"/>
    <w:rsid w:val="003F408E"/>
    <w:rsid w:val="003F40DF"/>
    <w:rsid w:val="003F41A7"/>
    <w:rsid w:val="003F422B"/>
    <w:rsid w:val="003F46DC"/>
    <w:rsid w:val="003F54BE"/>
    <w:rsid w:val="003F589E"/>
    <w:rsid w:val="003F5BF1"/>
    <w:rsid w:val="003F68B0"/>
    <w:rsid w:val="003F6ADC"/>
    <w:rsid w:val="003F71D1"/>
    <w:rsid w:val="003F731D"/>
    <w:rsid w:val="003F7461"/>
    <w:rsid w:val="003F7AA6"/>
    <w:rsid w:val="003F7F09"/>
    <w:rsid w:val="004000CD"/>
    <w:rsid w:val="0040046A"/>
    <w:rsid w:val="0040085D"/>
    <w:rsid w:val="00400B1F"/>
    <w:rsid w:val="004016BC"/>
    <w:rsid w:val="004017D3"/>
    <w:rsid w:val="00401C56"/>
    <w:rsid w:val="00401D5B"/>
    <w:rsid w:val="004021B7"/>
    <w:rsid w:val="004026B0"/>
    <w:rsid w:val="0040282D"/>
    <w:rsid w:val="00402E32"/>
    <w:rsid w:val="00403629"/>
    <w:rsid w:val="00403F27"/>
    <w:rsid w:val="00404965"/>
    <w:rsid w:val="00404A6C"/>
    <w:rsid w:val="00404C15"/>
    <w:rsid w:val="0040520B"/>
    <w:rsid w:val="00405400"/>
    <w:rsid w:val="00405562"/>
    <w:rsid w:val="00405716"/>
    <w:rsid w:val="004057CF"/>
    <w:rsid w:val="004058C7"/>
    <w:rsid w:val="00405CD6"/>
    <w:rsid w:val="00406164"/>
    <w:rsid w:val="004066E8"/>
    <w:rsid w:val="004068B7"/>
    <w:rsid w:val="0040716E"/>
    <w:rsid w:val="0040734B"/>
    <w:rsid w:val="00407487"/>
    <w:rsid w:val="004077BB"/>
    <w:rsid w:val="004103EF"/>
    <w:rsid w:val="004107EC"/>
    <w:rsid w:val="00410830"/>
    <w:rsid w:val="00410BEF"/>
    <w:rsid w:val="00410EC3"/>
    <w:rsid w:val="00411711"/>
    <w:rsid w:val="004119F4"/>
    <w:rsid w:val="00411D8F"/>
    <w:rsid w:val="00411F8A"/>
    <w:rsid w:val="00412306"/>
    <w:rsid w:val="00412376"/>
    <w:rsid w:val="004123C7"/>
    <w:rsid w:val="0041358B"/>
    <w:rsid w:val="00413AA4"/>
    <w:rsid w:val="00413E26"/>
    <w:rsid w:val="00413E29"/>
    <w:rsid w:val="004142DA"/>
    <w:rsid w:val="00414417"/>
    <w:rsid w:val="0041456B"/>
    <w:rsid w:val="00414931"/>
    <w:rsid w:val="00415264"/>
    <w:rsid w:val="00415619"/>
    <w:rsid w:val="00415ADD"/>
    <w:rsid w:val="00416763"/>
    <w:rsid w:val="00416BC5"/>
    <w:rsid w:val="00416F30"/>
    <w:rsid w:val="004172BB"/>
    <w:rsid w:val="004178BE"/>
    <w:rsid w:val="004178E1"/>
    <w:rsid w:val="00417C85"/>
    <w:rsid w:val="00417FCB"/>
    <w:rsid w:val="00420F37"/>
    <w:rsid w:val="00420F4D"/>
    <w:rsid w:val="00421343"/>
    <w:rsid w:val="00421806"/>
    <w:rsid w:val="00421FB6"/>
    <w:rsid w:val="0042323D"/>
    <w:rsid w:val="00423993"/>
    <w:rsid w:val="00423EBB"/>
    <w:rsid w:val="0042417F"/>
    <w:rsid w:val="00424834"/>
    <w:rsid w:val="00424FDB"/>
    <w:rsid w:val="00425180"/>
    <w:rsid w:val="0042563A"/>
    <w:rsid w:val="004259B8"/>
    <w:rsid w:val="00425B92"/>
    <w:rsid w:val="004261D0"/>
    <w:rsid w:val="0042634C"/>
    <w:rsid w:val="0042642D"/>
    <w:rsid w:val="004264E9"/>
    <w:rsid w:val="0042657D"/>
    <w:rsid w:val="004265CA"/>
    <w:rsid w:val="004269BE"/>
    <w:rsid w:val="00427043"/>
    <w:rsid w:val="004272DF"/>
    <w:rsid w:val="004273B8"/>
    <w:rsid w:val="00427775"/>
    <w:rsid w:val="004278A8"/>
    <w:rsid w:val="00427D12"/>
    <w:rsid w:val="00427F27"/>
    <w:rsid w:val="004304A9"/>
    <w:rsid w:val="00430760"/>
    <w:rsid w:val="004307E0"/>
    <w:rsid w:val="00430F46"/>
    <w:rsid w:val="00431532"/>
    <w:rsid w:val="00431626"/>
    <w:rsid w:val="00431D72"/>
    <w:rsid w:val="004324DC"/>
    <w:rsid w:val="004325E2"/>
    <w:rsid w:val="00432ED4"/>
    <w:rsid w:val="00433101"/>
    <w:rsid w:val="00433478"/>
    <w:rsid w:val="0043368B"/>
    <w:rsid w:val="0043373F"/>
    <w:rsid w:val="00433CA2"/>
    <w:rsid w:val="0043431A"/>
    <w:rsid w:val="0043457C"/>
    <w:rsid w:val="00434841"/>
    <w:rsid w:val="00434A63"/>
    <w:rsid w:val="00434B7E"/>
    <w:rsid w:val="00434D25"/>
    <w:rsid w:val="004353FF"/>
    <w:rsid w:val="004360B1"/>
    <w:rsid w:val="00436283"/>
    <w:rsid w:val="00436528"/>
    <w:rsid w:val="0043680F"/>
    <w:rsid w:val="00436B7A"/>
    <w:rsid w:val="00436C5C"/>
    <w:rsid w:val="0043742D"/>
    <w:rsid w:val="004374CB"/>
    <w:rsid w:val="00437696"/>
    <w:rsid w:val="004379AA"/>
    <w:rsid w:val="004379E4"/>
    <w:rsid w:val="00437BEA"/>
    <w:rsid w:val="00440912"/>
    <w:rsid w:val="00440A38"/>
    <w:rsid w:val="00441872"/>
    <w:rsid w:val="004433DF"/>
    <w:rsid w:val="00443911"/>
    <w:rsid w:val="004439A2"/>
    <w:rsid w:val="0044470C"/>
    <w:rsid w:val="00444C1F"/>
    <w:rsid w:val="00445A24"/>
    <w:rsid w:val="00445CE7"/>
    <w:rsid w:val="00446B85"/>
    <w:rsid w:val="00447AC0"/>
    <w:rsid w:val="004504B7"/>
    <w:rsid w:val="0045053F"/>
    <w:rsid w:val="00450DB9"/>
    <w:rsid w:val="00450F26"/>
    <w:rsid w:val="0045117C"/>
    <w:rsid w:val="00451399"/>
    <w:rsid w:val="004513C5"/>
    <w:rsid w:val="004513F3"/>
    <w:rsid w:val="00452459"/>
    <w:rsid w:val="0045362E"/>
    <w:rsid w:val="00453AE5"/>
    <w:rsid w:val="00454C6F"/>
    <w:rsid w:val="00454E83"/>
    <w:rsid w:val="00455636"/>
    <w:rsid w:val="0045581D"/>
    <w:rsid w:val="00455DCD"/>
    <w:rsid w:val="00456611"/>
    <w:rsid w:val="004567CD"/>
    <w:rsid w:val="0045683E"/>
    <w:rsid w:val="00456D15"/>
    <w:rsid w:val="00456E61"/>
    <w:rsid w:val="004571EA"/>
    <w:rsid w:val="004573BB"/>
    <w:rsid w:val="0045743E"/>
    <w:rsid w:val="00457A76"/>
    <w:rsid w:val="00457F76"/>
    <w:rsid w:val="0046128B"/>
    <w:rsid w:val="00461486"/>
    <w:rsid w:val="0046167D"/>
    <w:rsid w:val="00461C14"/>
    <w:rsid w:val="00461EA1"/>
    <w:rsid w:val="00462237"/>
    <w:rsid w:val="004622B9"/>
    <w:rsid w:val="00462481"/>
    <w:rsid w:val="00462BD0"/>
    <w:rsid w:val="00462D4B"/>
    <w:rsid w:val="0046343A"/>
    <w:rsid w:val="0046518F"/>
    <w:rsid w:val="0046558E"/>
    <w:rsid w:val="004668B4"/>
    <w:rsid w:val="0046711C"/>
    <w:rsid w:val="00467137"/>
    <w:rsid w:val="004673A3"/>
    <w:rsid w:val="0046755B"/>
    <w:rsid w:val="00467E76"/>
    <w:rsid w:val="004703AF"/>
    <w:rsid w:val="004706AC"/>
    <w:rsid w:val="004711CE"/>
    <w:rsid w:val="004714E8"/>
    <w:rsid w:val="0047180A"/>
    <w:rsid w:val="0047188A"/>
    <w:rsid w:val="00472C95"/>
    <w:rsid w:val="00473702"/>
    <w:rsid w:val="004737AC"/>
    <w:rsid w:val="00474373"/>
    <w:rsid w:val="00474900"/>
    <w:rsid w:val="00474DE9"/>
    <w:rsid w:val="0047576B"/>
    <w:rsid w:val="00475B48"/>
    <w:rsid w:val="00475C2E"/>
    <w:rsid w:val="00476ED1"/>
    <w:rsid w:val="00477428"/>
    <w:rsid w:val="004777C0"/>
    <w:rsid w:val="00477FB0"/>
    <w:rsid w:val="0048020B"/>
    <w:rsid w:val="00481ADB"/>
    <w:rsid w:val="00481DD3"/>
    <w:rsid w:val="00481E09"/>
    <w:rsid w:val="00481E58"/>
    <w:rsid w:val="00481F1C"/>
    <w:rsid w:val="00482247"/>
    <w:rsid w:val="00482593"/>
    <w:rsid w:val="00482B02"/>
    <w:rsid w:val="00482DE8"/>
    <w:rsid w:val="00482E8C"/>
    <w:rsid w:val="00483595"/>
    <w:rsid w:val="00483631"/>
    <w:rsid w:val="00483637"/>
    <w:rsid w:val="004838FD"/>
    <w:rsid w:val="00484163"/>
    <w:rsid w:val="0048465B"/>
    <w:rsid w:val="004847D4"/>
    <w:rsid w:val="00484A4D"/>
    <w:rsid w:val="00484DFE"/>
    <w:rsid w:val="0048546C"/>
    <w:rsid w:val="00485B60"/>
    <w:rsid w:val="00486371"/>
    <w:rsid w:val="00486F1F"/>
    <w:rsid w:val="004871BE"/>
    <w:rsid w:val="0048722A"/>
    <w:rsid w:val="00487B2C"/>
    <w:rsid w:val="004905BB"/>
    <w:rsid w:val="00490BE8"/>
    <w:rsid w:val="00490C3F"/>
    <w:rsid w:val="00491CB8"/>
    <w:rsid w:val="00491E59"/>
    <w:rsid w:val="00492019"/>
    <w:rsid w:val="0049214B"/>
    <w:rsid w:val="0049251B"/>
    <w:rsid w:val="0049295C"/>
    <w:rsid w:val="00492985"/>
    <w:rsid w:val="00492F08"/>
    <w:rsid w:val="00493697"/>
    <w:rsid w:val="00493A17"/>
    <w:rsid w:val="00493E06"/>
    <w:rsid w:val="00494081"/>
    <w:rsid w:val="004946FF"/>
    <w:rsid w:val="00494CB0"/>
    <w:rsid w:val="00494ECC"/>
    <w:rsid w:val="004950A9"/>
    <w:rsid w:val="004950D9"/>
    <w:rsid w:val="00495C21"/>
    <w:rsid w:val="00495EDC"/>
    <w:rsid w:val="00496099"/>
    <w:rsid w:val="004960BD"/>
    <w:rsid w:val="004961A9"/>
    <w:rsid w:val="004963FE"/>
    <w:rsid w:val="00496E0E"/>
    <w:rsid w:val="00496F1C"/>
    <w:rsid w:val="00497368"/>
    <w:rsid w:val="00497375"/>
    <w:rsid w:val="00497883"/>
    <w:rsid w:val="00497ABA"/>
    <w:rsid w:val="004A00B6"/>
    <w:rsid w:val="004A0C6A"/>
    <w:rsid w:val="004A0D87"/>
    <w:rsid w:val="004A0F9B"/>
    <w:rsid w:val="004A1250"/>
    <w:rsid w:val="004A1DCF"/>
    <w:rsid w:val="004A29A3"/>
    <w:rsid w:val="004A2E8B"/>
    <w:rsid w:val="004A3D2F"/>
    <w:rsid w:val="004A3D72"/>
    <w:rsid w:val="004A42E8"/>
    <w:rsid w:val="004A48AD"/>
    <w:rsid w:val="004A4EA6"/>
    <w:rsid w:val="004A4F4C"/>
    <w:rsid w:val="004A5031"/>
    <w:rsid w:val="004A56A4"/>
    <w:rsid w:val="004A581A"/>
    <w:rsid w:val="004A5F66"/>
    <w:rsid w:val="004A610B"/>
    <w:rsid w:val="004A6270"/>
    <w:rsid w:val="004A643B"/>
    <w:rsid w:val="004A6FE5"/>
    <w:rsid w:val="004A7286"/>
    <w:rsid w:val="004A7A0C"/>
    <w:rsid w:val="004A7A54"/>
    <w:rsid w:val="004B0EA7"/>
    <w:rsid w:val="004B1043"/>
    <w:rsid w:val="004B1347"/>
    <w:rsid w:val="004B15EB"/>
    <w:rsid w:val="004B1DDD"/>
    <w:rsid w:val="004B246B"/>
    <w:rsid w:val="004B2490"/>
    <w:rsid w:val="004B28E6"/>
    <w:rsid w:val="004B2C98"/>
    <w:rsid w:val="004B3953"/>
    <w:rsid w:val="004B3AF1"/>
    <w:rsid w:val="004B4171"/>
    <w:rsid w:val="004B47E0"/>
    <w:rsid w:val="004B5284"/>
    <w:rsid w:val="004B5733"/>
    <w:rsid w:val="004B587F"/>
    <w:rsid w:val="004B58C8"/>
    <w:rsid w:val="004B6493"/>
    <w:rsid w:val="004B659B"/>
    <w:rsid w:val="004B6DDE"/>
    <w:rsid w:val="004B6E48"/>
    <w:rsid w:val="004B70D0"/>
    <w:rsid w:val="004B7B45"/>
    <w:rsid w:val="004B7E55"/>
    <w:rsid w:val="004B7F15"/>
    <w:rsid w:val="004C02C8"/>
    <w:rsid w:val="004C044D"/>
    <w:rsid w:val="004C0AF3"/>
    <w:rsid w:val="004C0BB4"/>
    <w:rsid w:val="004C0C98"/>
    <w:rsid w:val="004C0F1A"/>
    <w:rsid w:val="004C207F"/>
    <w:rsid w:val="004C20D8"/>
    <w:rsid w:val="004C2532"/>
    <w:rsid w:val="004C3286"/>
    <w:rsid w:val="004C3A56"/>
    <w:rsid w:val="004C4971"/>
    <w:rsid w:val="004C4E46"/>
    <w:rsid w:val="004C4EE8"/>
    <w:rsid w:val="004C4F2D"/>
    <w:rsid w:val="004C50BB"/>
    <w:rsid w:val="004C5344"/>
    <w:rsid w:val="004C55D4"/>
    <w:rsid w:val="004C5B60"/>
    <w:rsid w:val="004C611D"/>
    <w:rsid w:val="004C6199"/>
    <w:rsid w:val="004C6264"/>
    <w:rsid w:val="004C64F4"/>
    <w:rsid w:val="004C77C6"/>
    <w:rsid w:val="004C7AA9"/>
    <w:rsid w:val="004C7CF5"/>
    <w:rsid w:val="004D013B"/>
    <w:rsid w:val="004D0147"/>
    <w:rsid w:val="004D0187"/>
    <w:rsid w:val="004D0734"/>
    <w:rsid w:val="004D1291"/>
    <w:rsid w:val="004D29E5"/>
    <w:rsid w:val="004D3055"/>
    <w:rsid w:val="004D3275"/>
    <w:rsid w:val="004D32D3"/>
    <w:rsid w:val="004D3564"/>
    <w:rsid w:val="004D3688"/>
    <w:rsid w:val="004D3DF0"/>
    <w:rsid w:val="004D3F85"/>
    <w:rsid w:val="004D4254"/>
    <w:rsid w:val="004D5657"/>
    <w:rsid w:val="004D5C87"/>
    <w:rsid w:val="004D608D"/>
    <w:rsid w:val="004D6263"/>
    <w:rsid w:val="004D6778"/>
    <w:rsid w:val="004D6DF4"/>
    <w:rsid w:val="004D7202"/>
    <w:rsid w:val="004D76DC"/>
    <w:rsid w:val="004D7782"/>
    <w:rsid w:val="004D7A17"/>
    <w:rsid w:val="004D7D4F"/>
    <w:rsid w:val="004E0287"/>
    <w:rsid w:val="004E0300"/>
    <w:rsid w:val="004E0625"/>
    <w:rsid w:val="004E082C"/>
    <w:rsid w:val="004E116D"/>
    <w:rsid w:val="004E2136"/>
    <w:rsid w:val="004E2252"/>
    <w:rsid w:val="004E225B"/>
    <w:rsid w:val="004E2744"/>
    <w:rsid w:val="004E2E77"/>
    <w:rsid w:val="004E2EDD"/>
    <w:rsid w:val="004E35B4"/>
    <w:rsid w:val="004E3657"/>
    <w:rsid w:val="004E3736"/>
    <w:rsid w:val="004E3738"/>
    <w:rsid w:val="004E43CE"/>
    <w:rsid w:val="004E4909"/>
    <w:rsid w:val="004E4E3E"/>
    <w:rsid w:val="004E50A9"/>
    <w:rsid w:val="004E5CAF"/>
    <w:rsid w:val="004E5D73"/>
    <w:rsid w:val="004E5E03"/>
    <w:rsid w:val="004E6566"/>
    <w:rsid w:val="004E67CA"/>
    <w:rsid w:val="004E69E4"/>
    <w:rsid w:val="004E6E2F"/>
    <w:rsid w:val="004E70ED"/>
    <w:rsid w:val="004E7178"/>
    <w:rsid w:val="004E717D"/>
    <w:rsid w:val="004E7C7F"/>
    <w:rsid w:val="004E7D2D"/>
    <w:rsid w:val="004F0615"/>
    <w:rsid w:val="004F07C6"/>
    <w:rsid w:val="004F0939"/>
    <w:rsid w:val="004F12FB"/>
    <w:rsid w:val="004F132B"/>
    <w:rsid w:val="004F2141"/>
    <w:rsid w:val="004F2304"/>
    <w:rsid w:val="004F250C"/>
    <w:rsid w:val="004F30CB"/>
    <w:rsid w:val="004F33DD"/>
    <w:rsid w:val="004F389B"/>
    <w:rsid w:val="004F4DC2"/>
    <w:rsid w:val="004F511A"/>
    <w:rsid w:val="004F627C"/>
    <w:rsid w:val="004F630F"/>
    <w:rsid w:val="004F631D"/>
    <w:rsid w:val="004F63E7"/>
    <w:rsid w:val="004F6900"/>
    <w:rsid w:val="004F73E8"/>
    <w:rsid w:val="004F7753"/>
    <w:rsid w:val="004F7763"/>
    <w:rsid w:val="00500257"/>
    <w:rsid w:val="005007D0"/>
    <w:rsid w:val="0050083A"/>
    <w:rsid w:val="00500D89"/>
    <w:rsid w:val="00501350"/>
    <w:rsid w:val="0050142D"/>
    <w:rsid w:val="00501E28"/>
    <w:rsid w:val="00501F95"/>
    <w:rsid w:val="0050254D"/>
    <w:rsid w:val="0050309C"/>
    <w:rsid w:val="00503A7C"/>
    <w:rsid w:val="00503BF7"/>
    <w:rsid w:val="00503E28"/>
    <w:rsid w:val="00503E7B"/>
    <w:rsid w:val="00504682"/>
    <w:rsid w:val="005050D4"/>
    <w:rsid w:val="00505449"/>
    <w:rsid w:val="0050567F"/>
    <w:rsid w:val="005056EF"/>
    <w:rsid w:val="005066B5"/>
    <w:rsid w:val="0050671D"/>
    <w:rsid w:val="00506765"/>
    <w:rsid w:val="00506802"/>
    <w:rsid w:val="00506DD5"/>
    <w:rsid w:val="00507855"/>
    <w:rsid w:val="00507F8F"/>
    <w:rsid w:val="005100CA"/>
    <w:rsid w:val="00510657"/>
    <w:rsid w:val="00510A6B"/>
    <w:rsid w:val="00510A7F"/>
    <w:rsid w:val="0051127C"/>
    <w:rsid w:val="005113A6"/>
    <w:rsid w:val="0051166A"/>
    <w:rsid w:val="00511B7E"/>
    <w:rsid w:val="00512285"/>
    <w:rsid w:val="005123BD"/>
    <w:rsid w:val="00512481"/>
    <w:rsid w:val="0051330B"/>
    <w:rsid w:val="005134B1"/>
    <w:rsid w:val="0051362E"/>
    <w:rsid w:val="00513741"/>
    <w:rsid w:val="00514F9F"/>
    <w:rsid w:val="00514FE7"/>
    <w:rsid w:val="0051575F"/>
    <w:rsid w:val="00515CA3"/>
    <w:rsid w:val="00516D89"/>
    <w:rsid w:val="00516EF1"/>
    <w:rsid w:val="005175DA"/>
    <w:rsid w:val="0052011E"/>
    <w:rsid w:val="0052051E"/>
    <w:rsid w:val="005206B3"/>
    <w:rsid w:val="00520D9D"/>
    <w:rsid w:val="00521384"/>
    <w:rsid w:val="005222C7"/>
    <w:rsid w:val="0052302A"/>
    <w:rsid w:val="00523863"/>
    <w:rsid w:val="00523C7C"/>
    <w:rsid w:val="00523E05"/>
    <w:rsid w:val="00524168"/>
    <w:rsid w:val="00524D74"/>
    <w:rsid w:val="0052571C"/>
    <w:rsid w:val="00526D26"/>
    <w:rsid w:val="005271F6"/>
    <w:rsid w:val="0052749F"/>
    <w:rsid w:val="00527648"/>
    <w:rsid w:val="00527DE0"/>
    <w:rsid w:val="00527EE9"/>
    <w:rsid w:val="00530748"/>
    <w:rsid w:val="0053168E"/>
    <w:rsid w:val="00531A6A"/>
    <w:rsid w:val="005325AD"/>
    <w:rsid w:val="00532852"/>
    <w:rsid w:val="00532CAC"/>
    <w:rsid w:val="0053349D"/>
    <w:rsid w:val="005336D5"/>
    <w:rsid w:val="00533FC1"/>
    <w:rsid w:val="00533FE1"/>
    <w:rsid w:val="00534422"/>
    <w:rsid w:val="0053456D"/>
    <w:rsid w:val="00534768"/>
    <w:rsid w:val="00534F93"/>
    <w:rsid w:val="00535061"/>
    <w:rsid w:val="005354C5"/>
    <w:rsid w:val="00535CC5"/>
    <w:rsid w:val="00536621"/>
    <w:rsid w:val="00536B3A"/>
    <w:rsid w:val="0053719D"/>
    <w:rsid w:val="00537259"/>
    <w:rsid w:val="00537A11"/>
    <w:rsid w:val="00537F91"/>
    <w:rsid w:val="00537FC8"/>
    <w:rsid w:val="005400A4"/>
    <w:rsid w:val="0054023A"/>
    <w:rsid w:val="00540495"/>
    <w:rsid w:val="00540B56"/>
    <w:rsid w:val="00540C3A"/>
    <w:rsid w:val="00540E1B"/>
    <w:rsid w:val="0054110C"/>
    <w:rsid w:val="00541197"/>
    <w:rsid w:val="005411D3"/>
    <w:rsid w:val="00541C83"/>
    <w:rsid w:val="00541F4B"/>
    <w:rsid w:val="00542183"/>
    <w:rsid w:val="00542336"/>
    <w:rsid w:val="005458C1"/>
    <w:rsid w:val="00545B4D"/>
    <w:rsid w:val="00546384"/>
    <w:rsid w:val="00546D08"/>
    <w:rsid w:val="00546EB2"/>
    <w:rsid w:val="00546FB4"/>
    <w:rsid w:val="0054749E"/>
    <w:rsid w:val="0054779A"/>
    <w:rsid w:val="00547D21"/>
    <w:rsid w:val="0055029F"/>
    <w:rsid w:val="0055051C"/>
    <w:rsid w:val="00550568"/>
    <w:rsid w:val="0055081E"/>
    <w:rsid w:val="00551022"/>
    <w:rsid w:val="00551192"/>
    <w:rsid w:val="00551602"/>
    <w:rsid w:val="00551621"/>
    <w:rsid w:val="0055181A"/>
    <w:rsid w:val="0055229E"/>
    <w:rsid w:val="0055277E"/>
    <w:rsid w:val="005529D9"/>
    <w:rsid w:val="005530C0"/>
    <w:rsid w:val="005531E6"/>
    <w:rsid w:val="0055358D"/>
    <w:rsid w:val="00553710"/>
    <w:rsid w:val="00553843"/>
    <w:rsid w:val="00553917"/>
    <w:rsid w:val="005539BD"/>
    <w:rsid w:val="00553EF0"/>
    <w:rsid w:val="00553F8B"/>
    <w:rsid w:val="005542F1"/>
    <w:rsid w:val="00554627"/>
    <w:rsid w:val="00554EE7"/>
    <w:rsid w:val="00555133"/>
    <w:rsid w:val="005552B3"/>
    <w:rsid w:val="00555B6D"/>
    <w:rsid w:val="00555DB9"/>
    <w:rsid w:val="005565CC"/>
    <w:rsid w:val="005572FB"/>
    <w:rsid w:val="0055768A"/>
    <w:rsid w:val="00557E7F"/>
    <w:rsid w:val="00560082"/>
    <w:rsid w:val="00560A5B"/>
    <w:rsid w:val="00560B6F"/>
    <w:rsid w:val="005615DC"/>
    <w:rsid w:val="00561883"/>
    <w:rsid w:val="00561AEF"/>
    <w:rsid w:val="00561E42"/>
    <w:rsid w:val="00562158"/>
    <w:rsid w:val="0056254D"/>
    <w:rsid w:val="005626F9"/>
    <w:rsid w:val="005628EA"/>
    <w:rsid w:val="005629A3"/>
    <w:rsid w:val="00562D3D"/>
    <w:rsid w:val="00562F99"/>
    <w:rsid w:val="00563285"/>
    <w:rsid w:val="005641D8"/>
    <w:rsid w:val="005643A6"/>
    <w:rsid w:val="00564564"/>
    <w:rsid w:val="00564DB4"/>
    <w:rsid w:val="0056507F"/>
    <w:rsid w:val="0056532F"/>
    <w:rsid w:val="0056579F"/>
    <w:rsid w:val="00565A85"/>
    <w:rsid w:val="0056611E"/>
    <w:rsid w:val="00566305"/>
    <w:rsid w:val="00566F17"/>
    <w:rsid w:val="00567659"/>
    <w:rsid w:val="00567A3F"/>
    <w:rsid w:val="00567B1F"/>
    <w:rsid w:val="00570214"/>
    <w:rsid w:val="00570568"/>
    <w:rsid w:val="00571681"/>
    <w:rsid w:val="005718ED"/>
    <w:rsid w:val="00571C81"/>
    <w:rsid w:val="005720B8"/>
    <w:rsid w:val="00572299"/>
    <w:rsid w:val="005726B3"/>
    <w:rsid w:val="00572AF1"/>
    <w:rsid w:val="00572E35"/>
    <w:rsid w:val="00573957"/>
    <w:rsid w:val="00573C2B"/>
    <w:rsid w:val="00573FDF"/>
    <w:rsid w:val="00574B6F"/>
    <w:rsid w:val="005752F7"/>
    <w:rsid w:val="0057588D"/>
    <w:rsid w:val="00575C90"/>
    <w:rsid w:val="005761DF"/>
    <w:rsid w:val="00576803"/>
    <w:rsid w:val="0057684E"/>
    <w:rsid w:val="00576B12"/>
    <w:rsid w:val="0057765E"/>
    <w:rsid w:val="0057771B"/>
    <w:rsid w:val="00577861"/>
    <w:rsid w:val="00577A18"/>
    <w:rsid w:val="005804A9"/>
    <w:rsid w:val="00580BFA"/>
    <w:rsid w:val="00580E82"/>
    <w:rsid w:val="005811EF"/>
    <w:rsid w:val="00581358"/>
    <w:rsid w:val="00581457"/>
    <w:rsid w:val="00581697"/>
    <w:rsid w:val="00581BDF"/>
    <w:rsid w:val="00581C36"/>
    <w:rsid w:val="00581D1B"/>
    <w:rsid w:val="005820E7"/>
    <w:rsid w:val="00582165"/>
    <w:rsid w:val="00582366"/>
    <w:rsid w:val="005823CF"/>
    <w:rsid w:val="00582575"/>
    <w:rsid w:val="00582F80"/>
    <w:rsid w:val="00583A07"/>
    <w:rsid w:val="005845DD"/>
    <w:rsid w:val="00584731"/>
    <w:rsid w:val="00584B76"/>
    <w:rsid w:val="0058553B"/>
    <w:rsid w:val="0058598A"/>
    <w:rsid w:val="00586028"/>
    <w:rsid w:val="00586378"/>
    <w:rsid w:val="005863D1"/>
    <w:rsid w:val="005866AA"/>
    <w:rsid w:val="005867D1"/>
    <w:rsid w:val="005869E0"/>
    <w:rsid w:val="005871DC"/>
    <w:rsid w:val="00587AE7"/>
    <w:rsid w:val="00590023"/>
    <w:rsid w:val="0059156C"/>
    <w:rsid w:val="00591863"/>
    <w:rsid w:val="005923D2"/>
    <w:rsid w:val="005924B6"/>
    <w:rsid w:val="005925D0"/>
    <w:rsid w:val="00592609"/>
    <w:rsid w:val="005927CF"/>
    <w:rsid w:val="00592BC0"/>
    <w:rsid w:val="00592BF9"/>
    <w:rsid w:val="00592D42"/>
    <w:rsid w:val="00592F99"/>
    <w:rsid w:val="00594182"/>
    <w:rsid w:val="005945CD"/>
    <w:rsid w:val="0059483B"/>
    <w:rsid w:val="00594DBF"/>
    <w:rsid w:val="0059510D"/>
    <w:rsid w:val="00595616"/>
    <w:rsid w:val="00595E58"/>
    <w:rsid w:val="00595FA3"/>
    <w:rsid w:val="005973FC"/>
    <w:rsid w:val="005979D4"/>
    <w:rsid w:val="00597B87"/>
    <w:rsid w:val="00597BA5"/>
    <w:rsid w:val="005A0123"/>
    <w:rsid w:val="005A0970"/>
    <w:rsid w:val="005A0DF3"/>
    <w:rsid w:val="005A0E8F"/>
    <w:rsid w:val="005A11E2"/>
    <w:rsid w:val="005A1270"/>
    <w:rsid w:val="005A1A24"/>
    <w:rsid w:val="005A2B0C"/>
    <w:rsid w:val="005A2CA3"/>
    <w:rsid w:val="005A322F"/>
    <w:rsid w:val="005A3323"/>
    <w:rsid w:val="005A345C"/>
    <w:rsid w:val="005A38D2"/>
    <w:rsid w:val="005A3A87"/>
    <w:rsid w:val="005A3E49"/>
    <w:rsid w:val="005A44E3"/>
    <w:rsid w:val="005A4D09"/>
    <w:rsid w:val="005A5304"/>
    <w:rsid w:val="005A57A3"/>
    <w:rsid w:val="005A58A8"/>
    <w:rsid w:val="005A63C8"/>
    <w:rsid w:val="005A667F"/>
    <w:rsid w:val="005A69E9"/>
    <w:rsid w:val="005A7444"/>
    <w:rsid w:val="005A7708"/>
    <w:rsid w:val="005A778D"/>
    <w:rsid w:val="005A7ECA"/>
    <w:rsid w:val="005A7FEE"/>
    <w:rsid w:val="005B0400"/>
    <w:rsid w:val="005B0403"/>
    <w:rsid w:val="005B0618"/>
    <w:rsid w:val="005B0F2B"/>
    <w:rsid w:val="005B14A9"/>
    <w:rsid w:val="005B1538"/>
    <w:rsid w:val="005B1716"/>
    <w:rsid w:val="005B18AF"/>
    <w:rsid w:val="005B1B57"/>
    <w:rsid w:val="005B1C05"/>
    <w:rsid w:val="005B1C60"/>
    <w:rsid w:val="005B1EC3"/>
    <w:rsid w:val="005B21F7"/>
    <w:rsid w:val="005B2350"/>
    <w:rsid w:val="005B2A42"/>
    <w:rsid w:val="005B2E7D"/>
    <w:rsid w:val="005B3455"/>
    <w:rsid w:val="005B3732"/>
    <w:rsid w:val="005B4588"/>
    <w:rsid w:val="005B4AA9"/>
    <w:rsid w:val="005B4C69"/>
    <w:rsid w:val="005B4D4F"/>
    <w:rsid w:val="005B545A"/>
    <w:rsid w:val="005B5A71"/>
    <w:rsid w:val="005B5C6A"/>
    <w:rsid w:val="005B5FFA"/>
    <w:rsid w:val="005B666D"/>
    <w:rsid w:val="005B6C8F"/>
    <w:rsid w:val="005B710D"/>
    <w:rsid w:val="005B7534"/>
    <w:rsid w:val="005B77D0"/>
    <w:rsid w:val="005B780B"/>
    <w:rsid w:val="005B78AA"/>
    <w:rsid w:val="005B7A5E"/>
    <w:rsid w:val="005B7B0D"/>
    <w:rsid w:val="005B7B59"/>
    <w:rsid w:val="005C01A2"/>
    <w:rsid w:val="005C047E"/>
    <w:rsid w:val="005C0D4E"/>
    <w:rsid w:val="005C24C0"/>
    <w:rsid w:val="005C275B"/>
    <w:rsid w:val="005C28C8"/>
    <w:rsid w:val="005C2973"/>
    <w:rsid w:val="005C38C6"/>
    <w:rsid w:val="005C3D42"/>
    <w:rsid w:val="005C51ED"/>
    <w:rsid w:val="005C55F4"/>
    <w:rsid w:val="005C562F"/>
    <w:rsid w:val="005C6300"/>
    <w:rsid w:val="005C6904"/>
    <w:rsid w:val="005C6A8F"/>
    <w:rsid w:val="005C733B"/>
    <w:rsid w:val="005C74FE"/>
    <w:rsid w:val="005C7E1C"/>
    <w:rsid w:val="005D0A2C"/>
    <w:rsid w:val="005D0D0D"/>
    <w:rsid w:val="005D117E"/>
    <w:rsid w:val="005D171B"/>
    <w:rsid w:val="005D1914"/>
    <w:rsid w:val="005D1A85"/>
    <w:rsid w:val="005D1CC0"/>
    <w:rsid w:val="005D3087"/>
    <w:rsid w:val="005D3252"/>
    <w:rsid w:val="005D39DB"/>
    <w:rsid w:val="005D3E09"/>
    <w:rsid w:val="005D4255"/>
    <w:rsid w:val="005D5026"/>
    <w:rsid w:val="005D5F11"/>
    <w:rsid w:val="005D6620"/>
    <w:rsid w:val="005D70C6"/>
    <w:rsid w:val="005D738A"/>
    <w:rsid w:val="005D73AC"/>
    <w:rsid w:val="005D750F"/>
    <w:rsid w:val="005D76E6"/>
    <w:rsid w:val="005E13AD"/>
    <w:rsid w:val="005E1E90"/>
    <w:rsid w:val="005E1FF4"/>
    <w:rsid w:val="005E2823"/>
    <w:rsid w:val="005E3037"/>
    <w:rsid w:val="005E319E"/>
    <w:rsid w:val="005E3283"/>
    <w:rsid w:val="005E33FE"/>
    <w:rsid w:val="005E34F3"/>
    <w:rsid w:val="005E3A81"/>
    <w:rsid w:val="005E3EE7"/>
    <w:rsid w:val="005E4062"/>
    <w:rsid w:val="005E40BB"/>
    <w:rsid w:val="005E456A"/>
    <w:rsid w:val="005E5512"/>
    <w:rsid w:val="005E5A39"/>
    <w:rsid w:val="005E5BE5"/>
    <w:rsid w:val="005E619A"/>
    <w:rsid w:val="005E62F7"/>
    <w:rsid w:val="005E6667"/>
    <w:rsid w:val="005E6C9A"/>
    <w:rsid w:val="005E71A8"/>
    <w:rsid w:val="005E735F"/>
    <w:rsid w:val="005E7F0A"/>
    <w:rsid w:val="005F02BC"/>
    <w:rsid w:val="005F06A3"/>
    <w:rsid w:val="005F08B4"/>
    <w:rsid w:val="005F0CD0"/>
    <w:rsid w:val="005F1587"/>
    <w:rsid w:val="005F17AC"/>
    <w:rsid w:val="005F182A"/>
    <w:rsid w:val="005F1C33"/>
    <w:rsid w:val="005F1CE5"/>
    <w:rsid w:val="005F1F0B"/>
    <w:rsid w:val="005F20DD"/>
    <w:rsid w:val="005F25EB"/>
    <w:rsid w:val="005F31CA"/>
    <w:rsid w:val="005F331B"/>
    <w:rsid w:val="005F38CA"/>
    <w:rsid w:val="005F4018"/>
    <w:rsid w:val="005F4292"/>
    <w:rsid w:val="005F5271"/>
    <w:rsid w:val="005F5661"/>
    <w:rsid w:val="005F59B9"/>
    <w:rsid w:val="005F5AE2"/>
    <w:rsid w:val="005F6083"/>
    <w:rsid w:val="005F609D"/>
    <w:rsid w:val="005F6118"/>
    <w:rsid w:val="005F6CB2"/>
    <w:rsid w:val="005F6DF0"/>
    <w:rsid w:val="005F78B3"/>
    <w:rsid w:val="00600139"/>
    <w:rsid w:val="0060066F"/>
    <w:rsid w:val="00600674"/>
    <w:rsid w:val="0060074B"/>
    <w:rsid w:val="00600773"/>
    <w:rsid w:val="006007F6"/>
    <w:rsid w:val="00600BE2"/>
    <w:rsid w:val="00600D97"/>
    <w:rsid w:val="00600DE3"/>
    <w:rsid w:val="0060147E"/>
    <w:rsid w:val="00601914"/>
    <w:rsid w:val="00601AD3"/>
    <w:rsid w:val="00601FA5"/>
    <w:rsid w:val="0060272E"/>
    <w:rsid w:val="00602BE3"/>
    <w:rsid w:val="00602D32"/>
    <w:rsid w:val="00603034"/>
    <w:rsid w:val="00603872"/>
    <w:rsid w:val="00603EA4"/>
    <w:rsid w:val="00604167"/>
    <w:rsid w:val="0060473F"/>
    <w:rsid w:val="00604F0D"/>
    <w:rsid w:val="006058D5"/>
    <w:rsid w:val="00605EE0"/>
    <w:rsid w:val="006064BD"/>
    <w:rsid w:val="006065C1"/>
    <w:rsid w:val="00606DA6"/>
    <w:rsid w:val="00606F1D"/>
    <w:rsid w:val="006072EA"/>
    <w:rsid w:val="0061084D"/>
    <w:rsid w:val="00610B14"/>
    <w:rsid w:val="00611079"/>
    <w:rsid w:val="0061139A"/>
    <w:rsid w:val="00611765"/>
    <w:rsid w:val="0061177F"/>
    <w:rsid w:val="0061205E"/>
    <w:rsid w:val="0061240F"/>
    <w:rsid w:val="006127D4"/>
    <w:rsid w:val="00612A8A"/>
    <w:rsid w:val="00612CFA"/>
    <w:rsid w:val="00613564"/>
    <w:rsid w:val="006138FF"/>
    <w:rsid w:val="00613991"/>
    <w:rsid w:val="00613B06"/>
    <w:rsid w:val="00613BAA"/>
    <w:rsid w:val="00614DD6"/>
    <w:rsid w:val="0061510F"/>
    <w:rsid w:val="00615735"/>
    <w:rsid w:val="00615E1D"/>
    <w:rsid w:val="0061659C"/>
    <w:rsid w:val="00616C35"/>
    <w:rsid w:val="00616D8D"/>
    <w:rsid w:val="0061719A"/>
    <w:rsid w:val="006177EA"/>
    <w:rsid w:val="006201D5"/>
    <w:rsid w:val="00620809"/>
    <w:rsid w:val="00620FE3"/>
    <w:rsid w:val="006210C6"/>
    <w:rsid w:val="006213FF"/>
    <w:rsid w:val="00621AFF"/>
    <w:rsid w:val="00621DDE"/>
    <w:rsid w:val="00621F40"/>
    <w:rsid w:val="00622562"/>
    <w:rsid w:val="00622B44"/>
    <w:rsid w:val="00622C2D"/>
    <w:rsid w:val="00622D5B"/>
    <w:rsid w:val="00622DF3"/>
    <w:rsid w:val="00622E81"/>
    <w:rsid w:val="006235F7"/>
    <w:rsid w:val="006237A5"/>
    <w:rsid w:val="00623C8C"/>
    <w:rsid w:val="00624D53"/>
    <w:rsid w:val="00625133"/>
    <w:rsid w:val="00625144"/>
    <w:rsid w:val="0062567C"/>
    <w:rsid w:val="00625B81"/>
    <w:rsid w:val="0062619D"/>
    <w:rsid w:val="00626DC8"/>
    <w:rsid w:val="0062767D"/>
    <w:rsid w:val="00627A4F"/>
    <w:rsid w:val="0063050D"/>
    <w:rsid w:val="00630808"/>
    <w:rsid w:val="00631165"/>
    <w:rsid w:val="00631D9A"/>
    <w:rsid w:val="00631DAB"/>
    <w:rsid w:val="00631FAF"/>
    <w:rsid w:val="006320D3"/>
    <w:rsid w:val="0063222E"/>
    <w:rsid w:val="006322FB"/>
    <w:rsid w:val="0063236F"/>
    <w:rsid w:val="006323B2"/>
    <w:rsid w:val="006324C1"/>
    <w:rsid w:val="00632F84"/>
    <w:rsid w:val="00634699"/>
    <w:rsid w:val="00634DD3"/>
    <w:rsid w:val="0063588D"/>
    <w:rsid w:val="00635FD5"/>
    <w:rsid w:val="006361F7"/>
    <w:rsid w:val="00636729"/>
    <w:rsid w:val="00637157"/>
    <w:rsid w:val="006379E7"/>
    <w:rsid w:val="00637B29"/>
    <w:rsid w:val="00637F76"/>
    <w:rsid w:val="00640372"/>
    <w:rsid w:val="006415F1"/>
    <w:rsid w:val="00641897"/>
    <w:rsid w:val="00642340"/>
    <w:rsid w:val="006429A8"/>
    <w:rsid w:val="00642A28"/>
    <w:rsid w:val="00642DD3"/>
    <w:rsid w:val="00642DFC"/>
    <w:rsid w:val="00642EC6"/>
    <w:rsid w:val="006437E9"/>
    <w:rsid w:val="00643C20"/>
    <w:rsid w:val="00643DD3"/>
    <w:rsid w:val="00643FB5"/>
    <w:rsid w:val="006442FD"/>
    <w:rsid w:val="006444C4"/>
    <w:rsid w:val="006447EC"/>
    <w:rsid w:val="00644DC0"/>
    <w:rsid w:val="00644DE1"/>
    <w:rsid w:val="00645620"/>
    <w:rsid w:val="006456F9"/>
    <w:rsid w:val="00645AC5"/>
    <w:rsid w:val="006462DC"/>
    <w:rsid w:val="006465F7"/>
    <w:rsid w:val="00646805"/>
    <w:rsid w:val="00646CFD"/>
    <w:rsid w:val="00647191"/>
    <w:rsid w:val="00647245"/>
    <w:rsid w:val="0064727F"/>
    <w:rsid w:val="0064754F"/>
    <w:rsid w:val="006478CC"/>
    <w:rsid w:val="00647CEF"/>
    <w:rsid w:val="00647EFA"/>
    <w:rsid w:val="006501A9"/>
    <w:rsid w:val="00650284"/>
    <w:rsid w:val="00650DA0"/>
    <w:rsid w:val="0065130B"/>
    <w:rsid w:val="006516FC"/>
    <w:rsid w:val="006522E9"/>
    <w:rsid w:val="0065258F"/>
    <w:rsid w:val="0065281D"/>
    <w:rsid w:val="0065319B"/>
    <w:rsid w:val="0065340B"/>
    <w:rsid w:val="00653649"/>
    <w:rsid w:val="00653782"/>
    <w:rsid w:val="00653CF1"/>
    <w:rsid w:val="00654143"/>
    <w:rsid w:val="006545CB"/>
    <w:rsid w:val="00654BC3"/>
    <w:rsid w:val="00654FC5"/>
    <w:rsid w:val="00655474"/>
    <w:rsid w:val="00655D34"/>
    <w:rsid w:val="006564FF"/>
    <w:rsid w:val="00656607"/>
    <w:rsid w:val="006567D6"/>
    <w:rsid w:val="006572C0"/>
    <w:rsid w:val="006575AA"/>
    <w:rsid w:val="00657721"/>
    <w:rsid w:val="00657CF9"/>
    <w:rsid w:val="0066015E"/>
    <w:rsid w:val="00660960"/>
    <w:rsid w:val="00660A72"/>
    <w:rsid w:val="006610E5"/>
    <w:rsid w:val="00661953"/>
    <w:rsid w:val="00661E91"/>
    <w:rsid w:val="00661FD9"/>
    <w:rsid w:val="00662469"/>
    <w:rsid w:val="00662BD7"/>
    <w:rsid w:val="00663A96"/>
    <w:rsid w:val="00664041"/>
    <w:rsid w:val="00664057"/>
    <w:rsid w:val="006647E2"/>
    <w:rsid w:val="00664B91"/>
    <w:rsid w:val="00664E53"/>
    <w:rsid w:val="00664E5B"/>
    <w:rsid w:val="00665868"/>
    <w:rsid w:val="00665A1C"/>
    <w:rsid w:val="00666393"/>
    <w:rsid w:val="006665FD"/>
    <w:rsid w:val="0066696F"/>
    <w:rsid w:val="0066703C"/>
    <w:rsid w:val="006670FA"/>
    <w:rsid w:val="00667342"/>
    <w:rsid w:val="006673EE"/>
    <w:rsid w:val="00667689"/>
    <w:rsid w:val="00667B8E"/>
    <w:rsid w:val="00670666"/>
    <w:rsid w:val="0067073B"/>
    <w:rsid w:val="00670971"/>
    <w:rsid w:val="00670C22"/>
    <w:rsid w:val="00670F95"/>
    <w:rsid w:val="00671895"/>
    <w:rsid w:val="00671AB3"/>
    <w:rsid w:val="00671C3C"/>
    <w:rsid w:val="006721D4"/>
    <w:rsid w:val="00672958"/>
    <w:rsid w:val="0067310A"/>
    <w:rsid w:val="00673172"/>
    <w:rsid w:val="00673AFC"/>
    <w:rsid w:val="00673D30"/>
    <w:rsid w:val="00673E0F"/>
    <w:rsid w:val="00673F3B"/>
    <w:rsid w:val="006742B1"/>
    <w:rsid w:val="00674A99"/>
    <w:rsid w:val="00674E3B"/>
    <w:rsid w:val="00675018"/>
    <w:rsid w:val="0067514A"/>
    <w:rsid w:val="00675647"/>
    <w:rsid w:val="00675A6E"/>
    <w:rsid w:val="00675A9D"/>
    <w:rsid w:val="00675AAC"/>
    <w:rsid w:val="00675B18"/>
    <w:rsid w:val="00675E16"/>
    <w:rsid w:val="00675EE0"/>
    <w:rsid w:val="00676232"/>
    <w:rsid w:val="00676293"/>
    <w:rsid w:val="00676680"/>
    <w:rsid w:val="006769D5"/>
    <w:rsid w:val="006771CD"/>
    <w:rsid w:val="006772DE"/>
    <w:rsid w:val="006776B4"/>
    <w:rsid w:val="006776D7"/>
    <w:rsid w:val="006802B7"/>
    <w:rsid w:val="00680432"/>
    <w:rsid w:val="00680433"/>
    <w:rsid w:val="006805F2"/>
    <w:rsid w:val="00680D21"/>
    <w:rsid w:val="00680EB4"/>
    <w:rsid w:val="00681347"/>
    <w:rsid w:val="0068169B"/>
    <w:rsid w:val="006817A5"/>
    <w:rsid w:val="00681E1F"/>
    <w:rsid w:val="0068233A"/>
    <w:rsid w:val="00682851"/>
    <w:rsid w:val="00682F9E"/>
    <w:rsid w:val="00683530"/>
    <w:rsid w:val="00683AE9"/>
    <w:rsid w:val="0068417D"/>
    <w:rsid w:val="006846F5"/>
    <w:rsid w:val="00684F4A"/>
    <w:rsid w:val="0068571A"/>
    <w:rsid w:val="00686AAB"/>
    <w:rsid w:val="00686BB5"/>
    <w:rsid w:val="00686C75"/>
    <w:rsid w:val="00687163"/>
    <w:rsid w:val="006875C2"/>
    <w:rsid w:val="00687710"/>
    <w:rsid w:val="00690C1D"/>
    <w:rsid w:val="00690EB3"/>
    <w:rsid w:val="00690F39"/>
    <w:rsid w:val="006911F1"/>
    <w:rsid w:val="006916C5"/>
    <w:rsid w:val="00691845"/>
    <w:rsid w:val="00691A63"/>
    <w:rsid w:val="00693009"/>
    <w:rsid w:val="006933BB"/>
    <w:rsid w:val="00693E28"/>
    <w:rsid w:val="00693EF5"/>
    <w:rsid w:val="00693F5A"/>
    <w:rsid w:val="00693F95"/>
    <w:rsid w:val="00693FDE"/>
    <w:rsid w:val="00694325"/>
    <w:rsid w:val="00694970"/>
    <w:rsid w:val="006956E6"/>
    <w:rsid w:val="00695BDA"/>
    <w:rsid w:val="00695D45"/>
    <w:rsid w:val="00695EC8"/>
    <w:rsid w:val="006964B2"/>
    <w:rsid w:val="006969B7"/>
    <w:rsid w:val="00696B12"/>
    <w:rsid w:val="00696BA5"/>
    <w:rsid w:val="00696FC9"/>
    <w:rsid w:val="006972B4"/>
    <w:rsid w:val="00697331"/>
    <w:rsid w:val="006978DA"/>
    <w:rsid w:val="00697C89"/>
    <w:rsid w:val="006A014B"/>
    <w:rsid w:val="006A0D12"/>
    <w:rsid w:val="006A19F9"/>
    <w:rsid w:val="006A227C"/>
    <w:rsid w:val="006A2BE9"/>
    <w:rsid w:val="006A33A6"/>
    <w:rsid w:val="006A3C84"/>
    <w:rsid w:val="006A3DD6"/>
    <w:rsid w:val="006A44CF"/>
    <w:rsid w:val="006A457C"/>
    <w:rsid w:val="006A46E5"/>
    <w:rsid w:val="006A4DD2"/>
    <w:rsid w:val="006A4EF3"/>
    <w:rsid w:val="006A4FE2"/>
    <w:rsid w:val="006A59EB"/>
    <w:rsid w:val="006A6042"/>
    <w:rsid w:val="006A6693"/>
    <w:rsid w:val="006A74A8"/>
    <w:rsid w:val="006A7D3F"/>
    <w:rsid w:val="006B02D9"/>
    <w:rsid w:val="006B0B78"/>
    <w:rsid w:val="006B0C38"/>
    <w:rsid w:val="006B0DA4"/>
    <w:rsid w:val="006B0FF2"/>
    <w:rsid w:val="006B17F2"/>
    <w:rsid w:val="006B1D6E"/>
    <w:rsid w:val="006B2230"/>
    <w:rsid w:val="006B2F09"/>
    <w:rsid w:val="006B3114"/>
    <w:rsid w:val="006B345D"/>
    <w:rsid w:val="006B4858"/>
    <w:rsid w:val="006B4966"/>
    <w:rsid w:val="006B4B8A"/>
    <w:rsid w:val="006B50A3"/>
    <w:rsid w:val="006B50DA"/>
    <w:rsid w:val="006B5528"/>
    <w:rsid w:val="006B63BA"/>
    <w:rsid w:val="006B66B2"/>
    <w:rsid w:val="006B6F2D"/>
    <w:rsid w:val="006B75A4"/>
    <w:rsid w:val="006B78B6"/>
    <w:rsid w:val="006B7B14"/>
    <w:rsid w:val="006C0D1E"/>
    <w:rsid w:val="006C134D"/>
    <w:rsid w:val="006C149E"/>
    <w:rsid w:val="006C16BE"/>
    <w:rsid w:val="006C23B6"/>
    <w:rsid w:val="006C2F2B"/>
    <w:rsid w:val="006C3030"/>
    <w:rsid w:val="006C35BD"/>
    <w:rsid w:val="006C3C38"/>
    <w:rsid w:val="006C4162"/>
    <w:rsid w:val="006C4397"/>
    <w:rsid w:val="006C4520"/>
    <w:rsid w:val="006C453B"/>
    <w:rsid w:val="006C461D"/>
    <w:rsid w:val="006C4FC0"/>
    <w:rsid w:val="006C5622"/>
    <w:rsid w:val="006C5704"/>
    <w:rsid w:val="006C5991"/>
    <w:rsid w:val="006C632F"/>
    <w:rsid w:val="006C63BC"/>
    <w:rsid w:val="006C640E"/>
    <w:rsid w:val="006C6F03"/>
    <w:rsid w:val="006C704B"/>
    <w:rsid w:val="006C71C4"/>
    <w:rsid w:val="006C79EB"/>
    <w:rsid w:val="006D064A"/>
    <w:rsid w:val="006D075E"/>
    <w:rsid w:val="006D080E"/>
    <w:rsid w:val="006D11B7"/>
    <w:rsid w:val="006D1372"/>
    <w:rsid w:val="006D13B8"/>
    <w:rsid w:val="006D1FEE"/>
    <w:rsid w:val="006D218E"/>
    <w:rsid w:val="006D25B4"/>
    <w:rsid w:val="006D2E19"/>
    <w:rsid w:val="006D34D3"/>
    <w:rsid w:val="006D4193"/>
    <w:rsid w:val="006D45BD"/>
    <w:rsid w:val="006D4B10"/>
    <w:rsid w:val="006D547D"/>
    <w:rsid w:val="006D5943"/>
    <w:rsid w:val="006D6179"/>
    <w:rsid w:val="006D76D8"/>
    <w:rsid w:val="006D7D82"/>
    <w:rsid w:val="006D7EF4"/>
    <w:rsid w:val="006E07FE"/>
    <w:rsid w:val="006E0B4F"/>
    <w:rsid w:val="006E0D20"/>
    <w:rsid w:val="006E0FC7"/>
    <w:rsid w:val="006E12F8"/>
    <w:rsid w:val="006E158D"/>
    <w:rsid w:val="006E16F3"/>
    <w:rsid w:val="006E17B9"/>
    <w:rsid w:val="006E18DF"/>
    <w:rsid w:val="006E18FF"/>
    <w:rsid w:val="006E1C9A"/>
    <w:rsid w:val="006E2093"/>
    <w:rsid w:val="006E281E"/>
    <w:rsid w:val="006E28EA"/>
    <w:rsid w:val="006E2D59"/>
    <w:rsid w:val="006E2DDB"/>
    <w:rsid w:val="006E2F23"/>
    <w:rsid w:val="006E34E9"/>
    <w:rsid w:val="006E35BB"/>
    <w:rsid w:val="006E37A2"/>
    <w:rsid w:val="006E39A4"/>
    <w:rsid w:val="006E3A9B"/>
    <w:rsid w:val="006E420E"/>
    <w:rsid w:val="006E4BE9"/>
    <w:rsid w:val="006E4E9B"/>
    <w:rsid w:val="006E5102"/>
    <w:rsid w:val="006E5729"/>
    <w:rsid w:val="006E6022"/>
    <w:rsid w:val="006E6172"/>
    <w:rsid w:val="006E629F"/>
    <w:rsid w:val="006E6A7A"/>
    <w:rsid w:val="006E710F"/>
    <w:rsid w:val="006F07D3"/>
    <w:rsid w:val="006F10B5"/>
    <w:rsid w:val="006F12F2"/>
    <w:rsid w:val="006F130A"/>
    <w:rsid w:val="006F1FC6"/>
    <w:rsid w:val="006F2008"/>
    <w:rsid w:val="006F2605"/>
    <w:rsid w:val="006F2A0A"/>
    <w:rsid w:val="006F2D2F"/>
    <w:rsid w:val="006F31A8"/>
    <w:rsid w:val="006F334E"/>
    <w:rsid w:val="006F34A3"/>
    <w:rsid w:val="006F36EC"/>
    <w:rsid w:val="006F37C6"/>
    <w:rsid w:val="006F4555"/>
    <w:rsid w:val="006F4564"/>
    <w:rsid w:val="006F464B"/>
    <w:rsid w:val="006F4C2F"/>
    <w:rsid w:val="006F4D0A"/>
    <w:rsid w:val="006F4DDD"/>
    <w:rsid w:val="006F5723"/>
    <w:rsid w:val="006F59C8"/>
    <w:rsid w:val="006F5D15"/>
    <w:rsid w:val="006F5E31"/>
    <w:rsid w:val="006F6454"/>
    <w:rsid w:val="006F6905"/>
    <w:rsid w:val="006F6913"/>
    <w:rsid w:val="006F6B2D"/>
    <w:rsid w:val="006F6D69"/>
    <w:rsid w:val="006F72A4"/>
    <w:rsid w:val="006F7628"/>
    <w:rsid w:val="006F77CC"/>
    <w:rsid w:val="006F7F5B"/>
    <w:rsid w:val="00700397"/>
    <w:rsid w:val="00700AE9"/>
    <w:rsid w:val="00700E8D"/>
    <w:rsid w:val="00700EA8"/>
    <w:rsid w:val="0070175B"/>
    <w:rsid w:val="007019D4"/>
    <w:rsid w:val="00701AEE"/>
    <w:rsid w:val="00701CF3"/>
    <w:rsid w:val="00702078"/>
    <w:rsid w:val="00702BDA"/>
    <w:rsid w:val="00703131"/>
    <w:rsid w:val="0070357F"/>
    <w:rsid w:val="00703863"/>
    <w:rsid w:val="00703A83"/>
    <w:rsid w:val="00703C15"/>
    <w:rsid w:val="007040CE"/>
    <w:rsid w:val="00704479"/>
    <w:rsid w:val="0070493F"/>
    <w:rsid w:val="00705AEA"/>
    <w:rsid w:val="00706387"/>
    <w:rsid w:val="00706596"/>
    <w:rsid w:val="007066CA"/>
    <w:rsid w:val="00706B70"/>
    <w:rsid w:val="00706EB6"/>
    <w:rsid w:val="007071CB"/>
    <w:rsid w:val="00707205"/>
    <w:rsid w:val="00707270"/>
    <w:rsid w:val="007075B0"/>
    <w:rsid w:val="007078E4"/>
    <w:rsid w:val="00707DB4"/>
    <w:rsid w:val="007101AB"/>
    <w:rsid w:val="0071050A"/>
    <w:rsid w:val="00710DC4"/>
    <w:rsid w:val="0071142E"/>
    <w:rsid w:val="0071279C"/>
    <w:rsid w:val="00712AC9"/>
    <w:rsid w:val="00712EDC"/>
    <w:rsid w:val="0071378D"/>
    <w:rsid w:val="00713B51"/>
    <w:rsid w:val="00714126"/>
    <w:rsid w:val="007141C0"/>
    <w:rsid w:val="00714690"/>
    <w:rsid w:val="00714839"/>
    <w:rsid w:val="00714F58"/>
    <w:rsid w:val="00715150"/>
    <w:rsid w:val="00715355"/>
    <w:rsid w:val="0071588B"/>
    <w:rsid w:val="0071597A"/>
    <w:rsid w:val="007165C2"/>
    <w:rsid w:val="00716724"/>
    <w:rsid w:val="00716D3A"/>
    <w:rsid w:val="007173ED"/>
    <w:rsid w:val="00717D2B"/>
    <w:rsid w:val="00717EA0"/>
    <w:rsid w:val="00720301"/>
    <w:rsid w:val="007205D9"/>
    <w:rsid w:val="007211B7"/>
    <w:rsid w:val="00721260"/>
    <w:rsid w:val="00721C8C"/>
    <w:rsid w:val="00721C9E"/>
    <w:rsid w:val="00721CDD"/>
    <w:rsid w:val="00721D12"/>
    <w:rsid w:val="00721FD9"/>
    <w:rsid w:val="007221CD"/>
    <w:rsid w:val="0072254E"/>
    <w:rsid w:val="0072275A"/>
    <w:rsid w:val="00722987"/>
    <w:rsid w:val="00722BA8"/>
    <w:rsid w:val="00724156"/>
    <w:rsid w:val="007245AE"/>
    <w:rsid w:val="00724EF7"/>
    <w:rsid w:val="00725827"/>
    <w:rsid w:val="00725CA7"/>
    <w:rsid w:val="00725D7A"/>
    <w:rsid w:val="007262C6"/>
    <w:rsid w:val="007266D8"/>
    <w:rsid w:val="007267BD"/>
    <w:rsid w:val="007268F7"/>
    <w:rsid w:val="007279C9"/>
    <w:rsid w:val="007306FC"/>
    <w:rsid w:val="00730B1E"/>
    <w:rsid w:val="00730CF7"/>
    <w:rsid w:val="0073187E"/>
    <w:rsid w:val="00731CC5"/>
    <w:rsid w:val="00731D27"/>
    <w:rsid w:val="00731E80"/>
    <w:rsid w:val="00731EBC"/>
    <w:rsid w:val="00732412"/>
    <w:rsid w:val="0073243C"/>
    <w:rsid w:val="00732658"/>
    <w:rsid w:val="007326A8"/>
    <w:rsid w:val="007327C7"/>
    <w:rsid w:val="00732A74"/>
    <w:rsid w:val="0073310D"/>
    <w:rsid w:val="0073424D"/>
    <w:rsid w:val="0073457D"/>
    <w:rsid w:val="00734A34"/>
    <w:rsid w:val="00734ACE"/>
    <w:rsid w:val="00734B99"/>
    <w:rsid w:val="00734C51"/>
    <w:rsid w:val="00734EBC"/>
    <w:rsid w:val="00734F87"/>
    <w:rsid w:val="007363EE"/>
    <w:rsid w:val="00736414"/>
    <w:rsid w:val="00736C1C"/>
    <w:rsid w:val="00736C1E"/>
    <w:rsid w:val="00736CC4"/>
    <w:rsid w:val="00736DF1"/>
    <w:rsid w:val="0073780B"/>
    <w:rsid w:val="00737C07"/>
    <w:rsid w:val="00737F45"/>
    <w:rsid w:val="00740113"/>
    <w:rsid w:val="0074021A"/>
    <w:rsid w:val="007404D1"/>
    <w:rsid w:val="0074091D"/>
    <w:rsid w:val="00740A83"/>
    <w:rsid w:val="00740DF4"/>
    <w:rsid w:val="00741704"/>
    <w:rsid w:val="00741726"/>
    <w:rsid w:val="0074177E"/>
    <w:rsid w:val="00741D28"/>
    <w:rsid w:val="00741EC8"/>
    <w:rsid w:val="00742213"/>
    <w:rsid w:val="007422C8"/>
    <w:rsid w:val="007424B1"/>
    <w:rsid w:val="007429FB"/>
    <w:rsid w:val="00742FF4"/>
    <w:rsid w:val="00743128"/>
    <w:rsid w:val="00743EAA"/>
    <w:rsid w:val="00744470"/>
    <w:rsid w:val="0074476E"/>
    <w:rsid w:val="00744F4F"/>
    <w:rsid w:val="007456FB"/>
    <w:rsid w:val="00745AA5"/>
    <w:rsid w:val="007460DA"/>
    <w:rsid w:val="0074683B"/>
    <w:rsid w:val="00746A17"/>
    <w:rsid w:val="007502FC"/>
    <w:rsid w:val="00750410"/>
    <w:rsid w:val="00750435"/>
    <w:rsid w:val="00750CAB"/>
    <w:rsid w:val="00751137"/>
    <w:rsid w:val="00751A43"/>
    <w:rsid w:val="00751B35"/>
    <w:rsid w:val="00751BDC"/>
    <w:rsid w:val="00751D6C"/>
    <w:rsid w:val="00752496"/>
    <w:rsid w:val="007528E7"/>
    <w:rsid w:val="00752F9E"/>
    <w:rsid w:val="0075305C"/>
    <w:rsid w:val="0075394C"/>
    <w:rsid w:val="00753E1D"/>
    <w:rsid w:val="0075473E"/>
    <w:rsid w:val="007549D6"/>
    <w:rsid w:val="00754C8E"/>
    <w:rsid w:val="00754E75"/>
    <w:rsid w:val="00755011"/>
    <w:rsid w:val="00755369"/>
    <w:rsid w:val="007559F4"/>
    <w:rsid w:val="00755BC5"/>
    <w:rsid w:val="00755D84"/>
    <w:rsid w:val="007560F0"/>
    <w:rsid w:val="00756903"/>
    <w:rsid w:val="00757239"/>
    <w:rsid w:val="0075745F"/>
    <w:rsid w:val="00757703"/>
    <w:rsid w:val="007577F8"/>
    <w:rsid w:val="007578AE"/>
    <w:rsid w:val="00757FBB"/>
    <w:rsid w:val="0076017A"/>
    <w:rsid w:val="007607F2"/>
    <w:rsid w:val="00760F74"/>
    <w:rsid w:val="00761962"/>
    <w:rsid w:val="00761ABE"/>
    <w:rsid w:val="00761AD5"/>
    <w:rsid w:val="00761D6A"/>
    <w:rsid w:val="00761DEB"/>
    <w:rsid w:val="007623AC"/>
    <w:rsid w:val="00762AB4"/>
    <w:rsid w:val="00762D57"/>
    <w:rsid w:val="007630AE"/>
    <w:rsid w:val="007631B7"/>
    <w:rsid w:val="00763261"/>
    <w:rsid w:val="00763BF8"/>
    <w:rsid w:val="00763E4F"/>
    <w:rsid w:val="007644AA"/>
    <w:rsid w:val="00764E7A"/>
    <w:rsid w:val="00765AAE"/>
    <w:rsid w:val="00765DFB"/>
    <w:rsid w:val="0076647E"/>
    <w:rsid w:val="0076650B"/>
    <w:rsid w:val="0077051D"/>
    <w:rsid w:val="007707C8"/>
    <w:rsid w:val="007707F6"/>
    <w:rsid w:val="007707FD"/>
    <w:rsid w:val="00770AE5"/>
    <w:rsid w:val="00770BD5"/>
    <w:rsid w:val="0077147E"/>
    <w:rsid w:val="00771F45"/>
    <w:rsid w:val="00773507"/>
    <w:rsid w:val="007736E6"/>
    <w:rsid w:val="00774004"/>
    <w:rsid w:val="00774689"/>
    <w:rsid w:val="00774E11"/>
    <w:rsid w:val="0077593B"/>
    <w:rsid w:val="007766C0"/>
    <w:rsid w:val="007767A1"/>
    <w:rsid w:val="00776DC9"/>
    <w:rsid w:val="00776DCC"/>
    <w:rsid w:val="00776F6B"/>
    <w:rsid w:val="00777788"/>
    <w:rsid w:val="007778F0"/>
    <w:rsid w:val="00777BFF"/>
    <w:rsid w:val="00780655"/>
    <w:rsid w:val="007806CB"/>
    <w:rsid w:val="00780755"/>
    <w:rsid w:val="0078083E"/>
    <w:rsid w:val="007813F7"/>
    <w:rsid w:val="007818AA"/>
    <w:rsid w:val="00781967"/>
    <w:rsid w:val="00781DC8"/>
    <w:rsid w:val="00781EE5"/>
    <w:rsid w:val="00782353"/>
    <w:rsid w:val="00782926"/>
    <w:rsid w:val="00782977"/>
    <w:rsid w:val="00782A8A"/>
    <w:rsid w:val="00782B99"/>
    <w:rsid w:val="00783078"/>
    <w:rsid w:val="007831D6"/>
    <w:rsid w:val="00783491"/>
    <w:rsid w:val="00783CBD"/>
    <w:rsid w:val="0078484F"/>
    <w:rsid w:val="00784A58"/>
    <w:rsid w:val="00784B2C"/>
    <w:rsid w:val="00785124"/>
    <w:rsid w:val="007851F5"/>
    <w:rsid w:val="00785373"/>
    <w:rsid w:val="00786956"/>
    <w:rsid w:val="0078699D"/>
    <w:rsid w:val="007904FA"/>
    <w:rsid w:val="00791757"/>
    <w:rsid w:val="0079198B"/>
    <w:rsid w:val="00791BFB"/>
    <w:rsid w:val="007921C0"/>
    <w:rsid w:val="00792C0B"/>
    <w:rsid w:val="00792D61"/>
    <w:rsid w:val="00792E5C"/>
    <w:rsid w:val="00792F41"/>
    <w:rsid w:val="00793469"/>
    <w:rsid w:val="00793778"/>
    <w:rsid w:val="00793BA0"/>
    <w:rsid w:val="00794147"/>
    <w:rsid w:val="0079429E"/>
    <w:rsid w:val="00795B03"/>
    <w:rsid w:val="00795B75"/>
    <w:rsid w:val="007965F2"/>
    <w:rsid w:val="00796CE3"/>
    <w:rsid w:val="00797A3C"/>
    <w:rsid w:val="00797D5C"/>
    <w:rsid w:val="007A0123"/>
    <w:rsid w:val="007A0280"/>
    <w:rsid w:val="007A0582"/>
    <w:rsid w:val="007A0D41"/>
    <w:rsid w:val="007A1955"/>
    <w:rsid w:val="007A24D6"/>
    <w:rsid w:val="007A2570"/>
    <w:rsid w:val="007A25EE"/>
    <w:rsid w:val="007A2BB9"/>
    <w:rsid w:val="007A2EE4"/>
    <w:rsid w:val="007A35B7"/>
    <w:rsid w:val="007A3606"/>
    <w:rsid w:val="007A360F"/>
    <w:rsid w:val="007A3641"/>
    <w:rsid w:val="007A3953"/>
    <w:rsid w:val="007A3C27"/>
    <w:rsid w:val="007A41B3"/>
    <w:rsid w:val="007A5139"/>
    <w:rsid w:val="007A5390"/>
    <w:rsid w:val="007A5E1E"/>
    <w:rsid w:val="007A6195"/>
    <w:rsid w:val="007A62AA"/>
    <w:rsid w:val="007A6345"/>
    <w:rsid w:val="007A6DED"/>
    <w:rsid w:val="007A7200"/>
    <w:rsid w:val="007A7842"/>
    <w:rsid w:val="007A785B"/>
    <w:rsid w:val="007A7D72"/>
    <w:rsid w:val="007B065B"/>
    <w:rsid w:val="007B0770"/>
    <w:rsid w:val="007B0F5F"/>
    <w:rsid w:val="007B1363"/>
    <w:rsid w:val="007B170E"/>
    <w:rsid w:val="007B1B4A"/>
    <w:rsid w:val="007B2297"/>
    <w:rsid w:val="007B27F3"/>
    <w:rsid w:val="007B2D03"/>
    <w:rsid w:val="007B35DF"/>
    <w:rsid w:val="007B39FF"/>
    <w:rsid w:val="007B3B90"/>
    <w:rsid w:val="007B4635"/>
    <w:rsid w:val="007B4852"/>
    <w:rsid w:val="007B4D68"/>
    <w:rsid w:val="007B4EEB"/>
    <w:rsid w:val="007B4F90"/>
    <w:rsid w:val="007B526D"/>
    <w:rsid w:val="007B558F"/>
    <w:rsid w:val="007B5C27"/>
    <w:rsid w:val="007B6C12"/>
    <w:rsid w:val="007B7866"/>
    <w:rsid w:val="007B7AB9"/>
    <w:rsid w:val="007C0105"/>
    <w:rsid w:val="007C08E9"/>
    <w:rsid w:val="007C09C9"/>
    <w:rsid w:val="007C118B"/>
    <w:rsid w:val="007C1742"/>
    <w:rsid w:val="007C2298"/>
    <w:rsid w:val="007C22A3"/>
    <w:rsid w:val="007C2637"/>
    <w:rsid w:val="007C2844"/>
    <w:rsid w:val="007C2CEF"/>
    <w:rsid w:val="007C2ED3"/>
    <w:rsid w:val="007C2F32"/>
    <w:rsid w:val="007C3AD5"/>
    <w:rsid w:val="007C4203"/>
    <w:rsid w:val="007C4FED"/>
    <w:rsid w:val="007C574B"/>
    <w:rsid w:val="007C5A78"/>
    <w:rsid w:val="007C6067"/>
    <w:rsid w:val="007C61A3"/>
    <w:rsid w:val="007C6B6E"/>
    <w:rsid w:val="007C6CB0"/>
    <w:rsid w:val="007C7C6B"/>
    <w:rsid w:val="007C7E77"/>
    <w:rsid w:val="007C7E81"/>
    <w:rsid w:val="007C7FAD"/>
    <w:rsid w:val="007D010D"/>
    <w:rsid w:val="007D13FA"/>
    <w:rsid w:val="007D17A7"/>
    <w:rsid w:val="007D2B14"/>
    <w:rsid w:val="007D2C53"/>
    <w:rsid w:val="007D3267"/>
    <w:rsid w:val="007D33F9"/>
    <w:rsid w:val="007D3D72"/>
    <w:rsid w:val="007D3E78"/>
    <w:rsid w:val="007D4960"/>
    <w:rsid w:val="007D4D8C"/>
    <w:rsid w:val="007D4F43"/>
    <w:rsid w:val="007D5098"/>
    <w:rsid w:val="007D50E7"/>
    <w:rsid w:val="007D541D"/>
    <w:rsid w:val="007D55C9"/>
    <w:rsid w:val="007D5FC1"/>
    <w:rsid w:val="007D60E6"/>
    <w:rsid w:val="007D62FF"/>
    <w:rsid w:val="007D682F"/>
    <w:rsid w:val="007D6916"/>
    <w:rsid w:val="007D6B0B"/>
    <w:rsid w:val="007D6C82"/>
    <w:rsid w:val="007D6D8C"/>
    <w:rsid w:val="007D71E7"/>
    <w:rsid w:val="007D72B0"/>
    <w:rsid w:val="007D73BF"/>
    <w:rsid w:val="007D76D6"/>
    <w:rsid w:val="007D789B"/>
    <w:rsid w:val="007D7FF5"/>
    <w:rsid w:val="007E0108"/>
    <w:rsid w:val="007E0248"/>
    <w:rsid w:val="007E0289"/>
    <w:rsid w:val="007E0631"/>
    <w:rsid w:val="007E0F19"/>
    <w:rsid w:val="007E295C"/>
    <w:rsid w:val="007E2B47"/>
    <w:rsid w:val="007E3D27"/>
    <w:rsid w:val="007E423D"/>
    <w:rsid w:val="007E45CF"/>
    <w:rsid w:val="007E4864"/>
    <w:rsid w:val="007E4C50"/>
    <w:rsid w:val="007E5059"/>
    <w:rsid w:val="007E5C86"/>
    <w:rsid w:val="007E6ABD"/>
    <w:rsid w:val="007E6E86"/>
    <w:rsid w:val="007E7221"/>
    <w:rsid w:val="007F0626"/>
    <w:rsid w:val="007F08CC"/>
    <w:rsid w:val="007F0E1D"/>
    <w:rsid w:val="007F10E9"/>
    <w:rsid w:val="007F1489"/>
    <w:rsid w:val="007F1834"/>
    <w:rsid w:val="007F1CDF"/>
    <w:rsid w:val="007F2081"/>
    <w:rsid w:val="007F22DE"/>
    <w:rsid w:val="007F27D0"/>
    <w:rsid w:val="007F2A79"/>
    <w:rsid w:val="007F3A63"/>
    <w:rsid w:val="007F3D57"/>
    <w:rsid w:val="007F3FAD"/>
    <w:rsid w:val="007F42C6"/>
    <w:rsid w:val="007F4520"/>
    <w:rsid w:val="007F4A83"/>
    <w:rsid w:val="007F4D51"/>
    <w:rsid w:val="007F51AC"/>
    <w:rsid w:val="007F51C5"/>
    <w:rsid w:val="007F6241"/>
    <w:rsid w:val="007F6D1F"/>
    <w:rsid w:val="007F6E0A"/>
    <w:rsid w:val="007F6EF7"/>
    <w:rsid w:val="007F763B"/>
    <w:rsid w:val="007F7D6C"/>
    <w:rsid w:val="007F7E36"/>
    <w:rsid w:val="00800061"/>
    <w:rsid w:val="008001DA"/>
    <w:rsid w:val="00800679"/>
    <w:rsid w:val="0080190E"/>
    <w:rsid w:val="008039A5"/>
    <w:rsid w:val="0080479D"/>
    <w:rsid w:val="00804E3B"/>
    <w:rsid w:val="00805703"/>
    <w:rsid w:val="00805899"/>
    <w:rsid w:val="008059A1"/>
    <w:rsid w:val="00805DD1"/>
    <w:rsid w:val="0080665A"/>
    <w:rsid w:val="00806A15"/>
    <w:rsid w:val="00806B54"/>
    <w:rsid w:val="0080708B"/>
    <w:rsid w:val="00807287"/>
    <w:rsid w:val="0080754F"/>
    <w:rsid w:val="0080777C"/>
    <w:rsid w:val="0081045F"/>
    <w:rsid w:val="008107E1"/>
    <w:rsid w:val="00811115"/>
    <w:rsid w:val="00811D0A"/>
    <w:rsid w:val="00811FFA"/>
    <w:rsid w:val="00812205"/>
    <w:rsid w:val="00812339"/>
    <w:rsid w:val="008127C5"/>
    <w:rsid w:val="00812E00"/>
    <w:rsid w:val="00814004"/>
    <w:rsid w:val="00814598"/>
    <w:rsid w:val="008147E6"/>
    <w:rsid w:val="00814D6E"/>
    <w:rsid w:val="00814FB4"/>
    <w:rsid w:val="0081535D"/>
    <w:rsid w:val="008153E6"/>
    <w:rsid w:val="00815810"/>
    <w:rsid w:val="00815E72"/>
    <w:rsid w:val="00816945"/>
    <w:rsid w:val="00816D11"/>
    <w:rsid w:val="00817994"/>
    <w:rsid w:val="00817B67"/>
    <w:rsid w:val="00820773"/>
    <w:rsid w:val="008207C4"/>
    <w:rsid w:val="00820A73"/>
    <w:rsid w:val="00821218"/>
    <w:rsid w:val="00821EEE"/>
    <w:rsid w:val="00823588"/>
    <w:rsid w:val="00823766"/>
    <w:rsid w:val="00823BAC"/>
    <w:rsid w:val="00823D4C"/>
    <w:rsid w:val="00824399"/>
    <w:rsid w:val="008247EF"/>
    <w:rsid w:val="00824BDD"/>
    <w:rsid w:val="00824BEC"/>
    <w:rsid w:val="00824E89"/>
    <w:rsid w:val="00824FB3"/>
    <w:rsid w:val="00825880"/>
    <w:rsid w:val="00825924"/>
    <w:rsid w:val="00825C46"/>
    <w:rsid w:val="00825C6E"/>
    <w:rsid w:val="0082640A"/>
    <w:rsid w:val="008267A0"/>
    <w:rsid w:val="00826AEF"/>
    <w:rsid w:val="00826B82"/>
    <w:rsid w:val="00826F6D"/>
    <w:rsid w:val="00827510"/>
    <w:rsid w:val="00827A9D"/>
    <w:rsid w:val="00827B56"/>
    <w:rsid w:val="00827BD2"/>
    <w:rsid w:val="00827FF9"/>
    <w:rsid w:val="008305E2"/>
    <w:rsid w:val="008307EB"/>
    <w:rsid w:val="008311E2"/>
    <w:rsid w:val="00831489"/>
    <w:rsid w:val="0083148E"/>
    <w:rsid w:val="0083159A"/>
    <w:rsid w:val="00831AF0"/>
    <w:rsid w:val="00831F88"/>
    <w:rsid w:val="0083208C"/>
    <w:rsid w:val="00832119"/>
    <w:rsid w:val="008339DC"/>
    <w:rsid w:val="008350AE"/>
    <w:rsid w:val="008351F9"/>
    <w:rsid w:val="008355EC"/>
    <w:rsid w:val="00836184"/>
    <w:rsid w:val="0083639D"/>
    <w:rsid w:val="00836611"/>
    <w:rsid w:val="00837004"/>
    <w:rsid w:val="008377A2"/>
    <w:rsid w:val="008378A7"/>
    <w:rsid w:val="00837F6B"/>
    <w:rsid w:val="00840065"/>
    <w:rsid w:val="008404BC"/>
    <w:rsid w:val="00840501"/>
    <w:rsid w:val="00840729"/>
    <w:rsid w:val="00840B82"/>
    <w:rsid w:val="00840C21"/>
    <w:rsid w:val="00840D2C"/>
    <w:rsid w:val="008411A5"/>
    <w:rsid w:val="008415A1"/>
    <w:rsid w:val="00841904"/>
    <w:rsid w:val="00841D92"/>
    <w:rsid w:val="00841EE6"/>
    <w:rsid w:val="008426A7"/>
    <w:rsid w:val="00842A0A"/>
    <w:rsid w:val="00843206"/>
    <w:rsid w:val="008433FD"/>
    <w:rsid w:val="00843B52"/>
    <w:rsid w:val="00843C84"/>
    <w:rsid w:val="008442B2"/>
    <w:rsid w:val="00844340"/>
    <w:rsid w:val="00844459"/>
    <w:rsid w:val="00844762"/>
    <w:rsid w:val="00844B61"/>
    <w:rsid w:val="00845500"/>
    <w:rsid w:val="00845BEB"/>
    <w:rsid w:val="00845F6B"/>
    <w:rsid w:val="00846563"/>
    <w:rsid w:val="00846EE6"/>
    <w:rsid w:val="008470D8"/>
    <w:rsid w:val="008470DB"/>
    <w:rsid w:val="00847533"/>
    <w:rsid w:val="00847555"/>
    <w:rsid w:val="00847AA9"/>
    <w:rsid w:val="00847F05"/>
    <w:rsid w:val="008500ED"/>
    <w:rsid w:val="00850227"/>
    <w:rsid w:val="008502D7"/>
    <w:rsid w:val="008503C0"/>
    <w:rsid w:val="008504E8"/>
    <w:rsid w:val="0085077B"/>
    <w:rsid w:val="0085093B"/>
    <w:rsid w:val="00850CF9"/>
    <w:rsid w:val="00850FE1"/>
    <w:rsid w:val="00851323"/>
    <w:rsid w:val="00851E10"/>
    <w:rsid w:val="00851F3B"/>
    <w:rsid w:val="00852144"/>
    <w:rsid w:val="00852440"/>
    <w:rsid w:val="00852E04"/>
    <w:rsid w:val="0085321C"/>
    <w:rsid w:val="008533A1"/>
    <w:rsid w:val="0085342C"/>
    <w:rsid w:val="00853A72"/>
    <w:rsid w:val="00853CDE"/>
    <w:rsid w:val="00854762"/>
    <w:rsid w:val="00854E37"/>
    <w:rsid w:val="00854F2E"/>
    <w:rsid w:val="00855001"/>
    <w:rsid w:val="008559FB"/>
    <w:rsid w:val="008567A3"/>
    <w:rsid w:val="00857C36"/>
    <w:rsid w:val="00857D50"/>
    <w:rsid w:val="00857E56"/>
    <w:rsid w:val="008602A7"/>
    <w:rsid w:val="00860B90"/>
    <w:rsid w:val="00860F81"/>
    <w:rsid w:val="00861226"/>
    <w:rsid w:val="0086144F"/>
    <w:rsid w:val="0086179A"/>
    <w:rsid w:val="00861990"/>
    <w:rsid w:val="00861BD5"/>
    <w:rsid w:val="00861F91"/>
    <w:rsid w:val="008628AB"/>
    <w:rsid w:val="00862D83"/>
    <w:rsid w:val="00863142"/>
    <w:rsid w:val="008635CA"/>
    <w:rsid w:val="008635FC"/>
    <w:rsid w:val="008636FC"/>
    <w:rsid w:val="00863A52"/>
    <w:rsid w:val="00863BBF"/>
    <w:rsid w:val="00863BC7"/>
    <w:rsid w:val="008640EC"/>
    <w:rsid w:val="0086491E"/>
    <w:rsid w:val="0086550A"/>
    <w:rsid w:val="00865E97"/>
    <w:rsid w:val="00866635"/>
    <w:rsid w:val="00866854"/>
    <w:rsid w:val="008668AA"/>
    <w:rsid w:val="00866CFA"/>
    <w:rsid w:val="00867589"/>
    <w:rsid w:val="008678D5"/>
    <w:rsid w:val="00867AA1"/>
    <w:rsid w:val="008700E3"/>
    <w:rsid w:val="00870BFB"/>
    <w:rsid w:val="00871CE8"/>
    <w:rsid w:val="00871D7A"/>
    <w:rsid w:val="00872144"/>
    <w:rsid w:val="00872650"/>
    <w:rsid w:val="00872A6D"/>
    <w:rsid w:val="00873529"/>
    <w:rsid w:val="008737D6"/>
    <w:rsid w:val="008739A2"/>
    <w:rsid w:val="00873EB4"/>
    <w:rsid w:val="00874135"/>
    <w:rsid w:val="00874260"/>
    <w:rsid w:val="00874752"/>
    <w:rsid w:val="008748F1"/>
    <w:rsid w:val="00875475"/>
    <w:rsid w:val="008756C2"/>
    <w:rsid w:val="008756DC"/>
    <w:rsid w:val="00875D40"/>
    <w:rsid w:val="00875F10"/>
    <w:rsid w:val="0087630F"/>
    <w:rsid w:val="00876A9A"/>
    <w:rsid w:val="00876E08"/>
    <w:rsid w:val="008771E6"/>
    <w:rsid w:val="00877D8B"/>
    <w:rsid w:val="00880557"/>
    <w:rsid w:val="0088062E"/>
    <w:rsid w:val="0088147D"/>
    <w:rsid w:val="0088198A"/>
    <w:rsid w:val="00881F03"/>
    <w:rsid w:val="00881F5D"/>
    <w:rsid w:val="00881FA6"/>
    <w:rsid w:val="00882147"/>
    <w:rsid w:val="00882374"/>
    <w:rsid w:val="00882434"/>
    <w:rsid w:val="008825E2"/>
    <w:rsid w:val="00882741"/>
    <w:rsid w:val="008828B8"/>
    <w:rsid w:val="008830E1"/>
    <w:rsid w:val="008835E2"/>
    <w:rsid w:val="00883645"/>
    <w:rsid w:val="00883A8A"/>
    <w:rsid w:val="008841F4"/>
    <w:rsid w:val="00885202"/>
    <w:rsid w:val="008856EB"/>
    <w:rsid w:val="008858CC"/>
    <w:rsid w:val="00885CF4"/>
    <w:rsid w:val="0088608D"/>
    <w:rsid w:val="00886CC2"/>
    <w:rsid w:val="008871E3"/>
    <w:rsid w:val="00887486"/>
    <w:rsid w:val="00887698"/>
    <w:rsid w:val="008878FF"/>
    <w:rsid w:val="008879AC"/>
    <w:rsid w:val="008903C1"/>
    <w:rsid w:val="00890C49"/>
    <w:rsid w:val="008912DE"/>
    <w:rsid w:val="00891424"/>
    <w:rsid w:val="008915C8"/>
    <w:rsid w:val="008918F2"/>
    <w:rsid w:val="00891F21"/>
    <w:rsid w:val="0089216A"/>
    <w:rsid w:val="0089242C"/>
    <w:rsid w:val="00893950"/>
    <w:rsid w:val="008939C7"/>
    <w:rsid w:val="00894664"/>
    <w:rsid w:val="008947DC"/>
    <w:rsid w:val="00894978"/>
    <w:rsid w:val="008949D4"/>
    <w:rsid w:val="00894C5E"/>
    <w:rsid w:val="00895276"/>
    <w:rsid w:val="00895387"/>
    <w:rsid w:val="00895462"/>
    <w:rsid w:val="00895722"/>
    <w:rsid w:val="0089574E"/>
    <w:rsid w:val="00895A86"/>
    <w:rsid w:val="0089604A"/>
    <w:rsid w:val="00896691"/>
    <w:rsid w:val="00896DE3"/>
    <w:rsid w:val="00897C04"/>
    <w:rsid w:val="00897F30"/>
    <w:rsid w:val="008A0FAB"/>
    <w:rsid w:val="008A1155"/>
    <w:rsid w:val="008A2AF4"/>
    <w:rsid w:val="008A30B2"/>
    <w:rsid w:val="008A35D1"/>
    <w:rsid w:val="008A3F3E"/>
    <w:rsid w:val="008A4381"/>
    <w:rsid w:val="008A43FF"/>
    <w:rsid w:val="008A49E4"/>
    <w:rsid w:val="008A4C06"/>
    <w:rsid w:val="008A4C88"/>
    <w:rsid w:val="008A4D99"/>
    <w:rsid w:val="008A5451"/>
    <w:rsid w:val="008A5B1A"/>
    <w:rsid w:val="008A5D20"/>
    <w:rsid w:val="008A60A0"/>
    <w:rsid w:val="008A6177"/>
    <w:rsid w:val="008A6523"/>
    <w:rsid w:val="008A6A44"/>
    <w:rsid w:val="008A6E22"/>
    <w:rsid w:val="008A6F98"/>
    <w:rsid w:val="008A7020"/>
    <w:rsid w:val="008A7264"/>
    <w:rsid w:val="008A75D4"/>
    <w:rsid w:val="008A75EB"/>
    <w:rsid w:val="008B00B1"/>
    <w:rsid w:val="008B068B"/>
    <w:rsid w:val="008B0A60"/>
    <w:rsid w:val="008B0B75"/>
    <w:rsid w:val="008B1496"/>
    <w:rsid w:val="008B16B7"/>
    <w:rsid w:val="008B22D7"/>
    <w:rsid w:val="008B2492"/>
    <w:rsid w:val="008B2501"/>
    <w:rsid w:val="008B26C1"/>
    <w:rsid w:val="008B280C"/>
    <w:rsid w:val="008B2D8A"/>
    <w:rsid w:val="008B3136"/>
    <w:rsid w:val="008B32D5"/>
    <w:rsid w:val="008B3535"/>
    <w:rsid w:val="008B386E"/>
    <w:rsid w:val="008B3BE1"/>
    <w:rsid w:val="008B4DA0"/>
    <w:rsid w:val="008B5BDA"/>
    <w:rsid w:val="008B61D5"/>
    <w:rsid w:val="008B61DC"/>
    <w:rsid w:val="008B6241"/>
    <w:rsid w:val="008B76D4"/>
    <w:rsid w:val="008B7B2F"/>
    <w:rsid w:val="008B7B67"/>
    <w:rsid w:val="008C0732"/>
    <w:rsid w:val="008C07AA"/>
    <w:rsid w:val="008C0C37"/>
    <w:rsid w:val="008C116B"/>
    <w:rsid w:val="008C15E5"/>
    <w:rsid w:val="008C1626"/>
    <w:rsid w:val="008C1E82"/>
    <w:rsid w:val="008C29F3"/>
    <w:rsid w:val="008C2A67"/>
    <w:rsid w:val="008C2C70"/>
    <w:rsid w:val="008C2DFB"/>
    <w:rsid w:val="008C2F5B"/>
    <w:rsid w:val="008C2FF3"/>
    <w:rsid w:val="008C3078"/>
    <w:rsid w:val="008C3423"/>
    <w:rsid w:val="008C36CD"/>
    <w:rsid w:val="008C4104"/>
    <w:rsid w:val="008C41CD"/>
    <w:rsid w:val="008C48B2"/>
    <w:rsid w:val="008C4C4E"/>
    <w:rsid w:val="008C5531"/>
    <w:rsid w:val="008C5A53"/>
    <w:rsid w:val="008C5AC2"/>
    <w:rsid w:val="008C5EC1"/>
    <w:rsid w:val="008C6557"/>
    <w:rsid w:val="008C6DA2"/>
    <w:rsid w:val="008C7368"/>
    <w:rsid w:val="008C74C7"/>
    <w:rsid w:val="008C77F1"/>
    <w:rsid w:val="008C7B79"/>
    <w:rsid w:val="008D0097"/>
    <w:rsid w:val="008D0472"/>
    <w:rsid w:val="008D08A1"/>
    <w:rsid w:val="008D0A0E"/>
    <w:rsid w:val="008D16AA"/>
    <w:rsid w:val="008D19DD"/>
    <w:rsid w:val="008D2568"/>
    <w:rsid w:val="008D268C"/>
    <w:rsid w:val="008D269E"/>
    <w:rsid w:val="008D2798"/>
    <w:rsid w:val="008D27DC"/>
    <w:rsid w:val="008D2B01"/>
    <w:rsid w:val="008D2D3C"/>
    <w:rsid w:val="008D34AA"/>
    <w:rsid w:val="008D3DD9"/>
    <w:rsid w:val="008D4A82"/>
    <w:rsid w:val="008D4AAF"/>
    <w:rsid w:val="008D4B05"/>
    <w:rsid w:val="008D4C00"/>
    <w:rsid w:val="008D4D71"/>
    <w:rsid w:val="008D5A79"/>
    <w:rsid w:val="008D68FF"/>
    <w:rsid w:val="008D691E"/>
    <w:rsid w:val="008D6B91"/>
    <w:rsid w:val="008D7EA0"/>
    <w:rsid w:val="008E1081"/>
    <w:rsid w:val="008E10C3"/>
    <w:rsid w:val="008E1389"/>
    <w:rsid w:val="008E14A7"/>
    <w:rsid w:val="008E19E2"/>
    <w:rsid w:val="008E1A4F"/>
    <w:rsid w:val="008E1EC1"/>
    <w:rsid w:val="008E270E"/>
    <w:rsid w:val="008E27B9"/>
    <w:rsid w:val="008E293F"/>
    <w:rsid w:val="008E396A"/>
    <w:rsid w:val="008E3B83"/>
    <w:rsid w:val="008E3D6D"/>
    <w:rsid w:val="008E3E1B"/>
    <w:rsid w:val="008E4524"/>
    <w:rsid w:val="008E48DE"/>
    <w:rsid w:val="008E49AB"/>
    <w:rsid w:val="008E522C"/>
    <w:rsid w:val="008E5CC9"/>
    <w:rsid w:val="008E62FF"/>
    <w:rsid w:val="008E735C"/>
    <w:rsid w:val="008E7398"/>
    <w:rsid w:val="008E73DA"/>
    <w:rsid w:val="008E743B"/>
    <w:rsid w:val="008E7A64"/>
    <w:rsid w:val="008E7A72"/>
    <w:rsid w:val="008E7B67"/>
    <w:rsid w:val="008E7C60"/>
    <w:rsid w:val="008E7FEA"/>
    <w:rsid w:val="008F0523"/>
    <w:rsid w:val="008F05E6"/>
    <w:rsid w:val="008F0C52"/>
    <w:rsid w:val="008F0C57"/>
    <w:rsid w:val="008F10B3"/>
    <w:rsid w:val="008F2042"/>
    <w:rsid w:val="008F24FD"/>
    <w:rsid w:val="008F2521"/>
    <w:rsid w:val="008F289E"/>
    <w:rsid w:val="008F2A04"/>
    <w:rsid w:val="008F2D1A"/>
    <w:rsid w:val="008F2DAA"/>
    <w:rsid w:val="008F3295"/>
    <w:rsid w:val="008F3BCD"/>
    <w:rsid w:val="008F423C"/>
    <w:rsid w:val="008F4A99"/>
    <w:rsid w:val="008F5843"/>
    <w:rsid w:val="008F58A9"/>
    <w:rsid w:val="008F63ED"/>
    <w:rsid w:val="008F6639"/>
    <w:rsid w:val="008F6FEF"/>
    <w:rsid w:val="008F734F"/>
    <w:rsid w:val="008F73CE"/>
    <w:rsid w:val="00900244"/>
    <w:rsid w:val="00900BF9"/>
    <w:rsid w:val="00901054"/>
    <w:rsid w:val="00901163"/>
    <w:rsid w:val="009011BD"/>
    <w:rsid w:val="00901F13"/>
    <w:rsid w:val="009025D4"/>
    <w:rsid w:val="00902655"/>
    <w:rsid w:val="00902C5F"/>
    <w:rsid w:val="00902D43"/>
    <w:rsid w:val="00903176"/>
    <w:rsid w:val="009035FC"/>
    <w:rsid w:val="00903AAB"/>
    <w:rsid w:val="00903C55"/>
    <w:rsid w:val="009045B7"/>
    <w:rsid w:val="0090498F"/>
    <w:rsid w:val="00905200"/>
    <w:rsid w:val="00905795"/>
    <w:rsid w:val="00905D81"/>
    <w:rsid w:val="00905D89"/>
    <w:rsid w:val="009064E2"/>
    <w:rsid w:val="00906542"/>
    <w:rsid w:val="00906A57"/>
    <w:rsid w:val="00910BC1"/>
    <w:rsid w:val="00910E3B"/>
    <w:rsid w:val="00911A65"/>
    <w:rsid w:val="009128CB"/>
    <w:rsid w:val="00912AB4"/>
    <w:rsid w:val="00913271"/>
    <w:rsid w:val="00913C52"/>
    <w:rsid w:val="00913FBD"/>
    <w:rsid w:val="0091434F"/>
    <w:rsid w:val="009144F7"/>
    <w:rsid w:val="00914DBE"/>
    <w:rsid w:val="009151D2"/>
    <w:rsid w:val="00915310"/>
    <w:rsid w:val="0091561A"/>
    <w:rsid w:val="009157B2"/>
    <w:rsid w:val="00915BA3"/>
    <w:rsid w:val="00915BEF"/>
    <w:rsid w:val="00916006"/>
    <w:rsid w:val="009172D2"/>
    <w:rsid w:val="00917B58"/>
    <w:rsid w:val="00917F91"/>
    <w:rsid w:val="00917FDA"/>
    <w:rsid w:val="0092001A"/>
    <w:rsid w:val="009205DA"/>
    <w:rsid w:val="00920F55"/>
    <w:rsid w:val="0092137A"/>
    <w:rsid w:val="0092138B"/>
    <w:rsid w:val="0092172A"/>
    <w:rsid w:val="009217B2"/>
    <w:rsid w:val="0092180C"/>
    <w:rsid w:val="00921A5A"/>
    <w:rsid w:val="00921D15"/>
    <w:rsid w:val="00922277"/>
    <w:rsid w:val="0092234C"/>
    <w:rsid w:val="0092279A"/>
    <w:rsid w:val="0092298B"/>
    <w:rsid w:val="00922B25"/>
    <w:rsid w:val="00922C25"/>
    <w:rsid w:val="00922D3C"/>
    <w:rsid w:val="009237DC"/>
    <w:rsid w:val="00923822"/>
    <w:rsid w:val="009238DC"/>
    <w:rsid w:val="00923ABF"/>
    <w:rsid w:val="00923ACD"/>
    <w:rsid w:val="00923C43"/>
    <w:rsid w:val="00923C55"/>
    <w:rsid w:val="00924023"/>
    <w:rsid w:val="00924B7F"/>
    <w:rsid w:val="00924E08"/>
    <w:rsid w:val="00924F0D"/>
    <w:rsid w:val="00925257"/>
    <w:rsid w:val="009252EF"/>
    <w:rsid w:val="009253E7"/>
    <w:rsid w:val="00925426"/>
    <w:rsid w:val="00925856"/>
    <w:rsid w:val="00925FFB"/>
    <w:rsid w:val="009263B1"/>
    <w:rsid w:val="00926450"/>
    <w:rsid w:val="00926792"/>
    <w:rsid w:val="009267DB"/>
    <w:rsid w:val="0092684D"/>
    <w:rsid w:val="00926A48"/>
    <w:rsid w:val="00926B85"/>
    <w:rsid w:val="00926F25"/>
    <w:rsid w:val="00927A8F"/>
    <w:rsid w:val="009305CF"/>
    <w:rsid w:val="00930D5D"/>
    <w:rsid w:val="0093119D"/>
    <w:rsid w:val="00931351"/>
    <w:rsid w:val="00931353"/>
    <w:rsid w:val="009315AE"/>
    <w:rsid w:val="009318C9"/>
    <w:rsid w:val="00931994"/>
    <w:rsid w:val="00931C36"/>
    <w:rsid w:val="009322A7"/>
    <w:rsid w:val="00932357"/>
    <w:rsid w:val="009323DD"/>
    <w:rsid w:val="0093254D"/>
    <w:rsid w:val="00932592"/>
    <w:rsid w:val="00932D34"/>
    <w:rsid w:val="00933339"/>
    <w:rsid w:val="00933D13"/>
    <w:rsid w:val="00935274"/>
    <w:rsid w:val="00935539"/>
    <w:rsid w:val="00935C8B"/>
    <w:rsid w:val="00935CAC"/>
    <w:rsid w:val="00937521"/>
    <w:rsid w:val="00937BE8"/>
    <w:rsid w:val="00937BF3"/>
    <w:rsid w:val="00937DA5"/>
    <w:rsid w:val="00937F2C"/>
    <w:rsid w:val="00940137"/>
    <w:rsid w:val="0094041E"/>
    <w:rsid w:val="00940733"/>
    <w:rsid w:val="00940763"/>
    <w:rsid w:val="00940CBA"/>
    <w:rsid w:val="00940D80"/>
    <w:rsid w:val="00940FA5"/>
    <w:rsid w:val="009410F0"/>
    <w:rsid w:val="00941674"/>
    <w:rsid w:val="00941AF1"/>
    <w:rsid w:val="00941C1D"/>
    <w:rsid w:val="009421DE"/>
    <w:rsid w:val="00942BA5"/>
    <w:rsid w:val="00942FBA"/>
    <w:rsid w:val="00943682"/>
    <w:rsid w:val="00943E3C"/>
    <w:rsid w:val="00944095"/>
    <w:rsid w:val="009440AB"/>
    <w:rsid w:val="009440CF"/>
    <w:rsid w:val="009443E6"/>
    <w:rsid w:val="00944618"/>
    <w:rsid w:val="009448E8"/>
    <w:rsid w:val="00944D2B"/>
    <w:rsid w:val="00944EEF"/>
    <w:rsid w:val="009459F7"/>
    <w:rsid w:val="00945A98"/>
    <w:rsid w:val="0094676B"/>
    <w:rsid w:val="00946930"/>
    <w:rsid w:val="00946ADD"/>
    <w:rsid w:val="00947097"/>
    <w:rsid w:val="009471F5"/>
    <w:rsid w:val="009501DA"/>
    <w:rsid w:val="0095047E"/>
    <w:rsid w:val="009507FF"/>
    <w:rsid w:val="0095094C"/>
    <w:rsid w:val="009509ED"/>
    <w:rsid w:val="009515D6"/>
    <w:rsid w:val="009516C0"/>
    <w:rsid w:val="00951887"/>
    <w:rsid w:val="00951AC5"/>
    <w:rsid w:val="00951CDC"/>
    <w:rsid w:val="00952572"/>
    <w:rsid w:val="009525D0"/>
    <w:rsid w:val="0095285F"/>
    <w:rsid w:val="00952B1C"/>
    <w:rsid w:val="00952D51"/>
    <w:rsid w:val="0095314B"/>
    <w:rsid w:val="009533BF"/>
    <w:rsid w:val="0095341E"/>
    <w:rsid w:val="009538C7"/>
    <w:rsid w:val="009539B5"/>
    <w:rsid w:val="00953AD3"/>
    <w:rsid w:val="00953B8D"/>
    <w:rsid w:val="00953BA8"/>
    <w:rsid w:val="009543D4"/>
    <w:rsid w:val="00954EFC"/>
    <w:rsid w:val="00955003"/>
    <w:rsid w:val="00955657"/>
    <w:rsid w:val="00955FF9"/>
    <w:rsid w:val="0095613C"/>
    <w:rsid w:val="009562F2"/>
    <w:rsid w:val="00956751"/>
    <w:rsid w:val="009572FB"/>
    <w:rsid w:val="00957332"/>
    <w:rsid w:val="00960BBF"/>
    <w:rsid w:val="009611BF"/>
    <w:rsid w:val="009611C6"/>
    <w:rsid w:val="0096144A"/>
    <w:rsid w:val="00961813"/>
    <w:rsid w:val="00961C35"/>
    <w:rsid w:val="00961CB4"/>
    <w:rsid w:val="0096264B"/>
    <w:rsid w:val="0096288E"/>
    <w:rsid w:val="00962FB1"/>
    <w:rsid w:val="009631AF"/>
    <w:rsid w:val="00963870"/>
    <w:rsid w:val="00963AE6"/>
    <w:rsid w:val="00963F94"/>
    <w:rsid w:val="0096485B"/>
    <w:rsid w:val="009648BF"/>
    <w:rsid w:val="00964E77"/>
    <w:rsid w:val="009651EE"/>
    <w:rsid w:val="00965BA6"/>
    <w:rsid w:val="00965CF4"/>
    <w:rsid w:val="00965DB5"/>
    <w:rsid w:val="009666EE"/>
    <w:rsid w:val="00966F64"/>
    <w:rsid w:val="009671D6"/>
    <w:rsid w:val="009674F1"/>
    <w:rsid w:val="00967940"/>
    <w:rsid w:val="00967D56"/>
    <w:rsid w:val="00970A38"/>
    <w:rsid w:val="0097177A"/>
    <w:rsid w:val="00971F0E"/>
    <w:rsid w:val="00971FCC"/>
    <w:rsid w:val="00972175"/>
    <w:rsid w:val="009721CD"/>
    <w:rsid w:val="00972933"/>
    <w:rsid w:val="00973C29"/>
    <w:rsid w:val="00974043"/>
    <w:rsid w:val="009741D8"/>
    <w:rsid w:val="0097430A"/>
    <w:rsid w:val="0097435E"/>
    <w:rsid w:val="009743C6"/>
    <w:rsid w:val="00974FC9"/>
    <w:rsid w:val="00975288"/>
    <w:rsid w:val="009754ED"/>
    <w:rsid w:val="00976110"/>
    <w:rsid w:val="00976401"/>
    <w:rsid w:val="0097679C"/>
    <w:rsid w:val="00976C36"/>
    <w:rsid w:val="0097715B"/>
    <w:rsid w:val="00977236"/>
    <w:rsid w:val="0097757F"/>
    <w:rsid w:val="009800EF"/>
    <w:rsid w:val="0098042E"/>
    <w:rsid w:val="009804FE"/>
    <w:rsid w:val="00980849"/>
    <w:rsid w:val="00980A11"/>
    <w:rsid w:val="00980D55"/>
    <w:rsid w:val="00981509"/>
    <w:rsid w:val="00981C9B"/>
    <w:rsid w:val="009824CB"/>
    <w:rsid w:val="00982C9A"/>
    <w:rsid w:val="009831F3"/>
    <w:rsid w:val="0098346F"/>
    <w:rsid w:val="009836B1"/>
    <w:rsid w:val="009839E8"/>
    <w:rsid w:val="00984022"/>
    <w:rsid w:val="0098485A"/>
    <w:rsid w:val="00984D4C"/>
    <w:rsid w:val="00985C9E"/>
    <w:rsid w:val="0098603B"/>
    <w:rsid w:val="00986460"/>
    <w:rsid w:val="009865C9"/>
    <w:rsid w:val="00986CDA"/>
    <w:rsid w:val="00986D81"/>
    <w:rsid w:val="009873AC"/>
    <w:rsid w:val="00987E1D"/>
    <w:rsid w:val="00990B06"/>
    <w:rsid w:val="009915C2"/>
    <w:rsid w:val="00991753"/>
    <w:rsid w:val="00992171"/>
    <w:rsid w:val="009927F6"/>
    <w:rsid w:val="009928EA"/>
    <w:rsid w:val="00992EA3"/>
    <w:rsid w:val="0099301D"/>
    <w:rsid w:val="0099311B"/>
    <w:rsid w:val="0099378F"/>
    <w:rsid w:val="00993968"/>
    <w:rsid w:val="00993B84"/>
    <w:rsid w:val="009949EA"/>
    <w:rsid w:val="00994A02"/>
    <w:rsid w:val="00994A11"/>
    <w:rsid w:val="00995305"/>
    <w:rsid w:val="0099531E"/>
    <w:rsid w:val="009958D5"/>
    <w:rsid w:val="00995CB1"/>
    <w:rsid w:val="009968AF"/>
    <w:rsid w:val="0099697F"/>
    <w:rsid w:val="00996A5A"/>
    <w:rsid w:val="00997336"/>
    <w:rsid w:val="009976B9"/>
    <w:rsid w:val="009A0F0A"/>
    <w:rsid w:val="009A0FA8"/>
    <w:rsid w:val="009A1284"/>
    <w:rsid w:val="009A1989"/>
    <w:rsid w:val="009A1B2B"/>
    <w:rsid w:val="009A1EB8"/>
    <w:rsid w:val="009A2433"/>
    <w:rsid w:val="009A2894"/>
    <w:rsid w:val="009A29A1"/>
    <w:rsid w:val="009A2BC6"/>
    <w:rsid w:val="009A331A"/>
    <w:rsid w:val="009A4424"/>
    <w:rsid w:val="009A4494"/>
    <w:rsid w:val="009A4C3F"/>
    <w:rsid w:val="009A5174"/>
    <w:rsid w:val="009A51E4"/>
    <w:rsid w:val="009A5244"/>
    <w:rsid w:val="009A5B7A"/>
    <w:rsid w:val="009A6259"/>
    <w:rsid w:val="009A6C83"/>
    <w:rsid w:val="009A6F03"/>
    <w:rsid w:val="009A73F1"/>
    <w:rsid w:val="009A7934"/>
    <w:rsid w:val="009A79EC"/>
    <w:rsid w:val="009A7ADF"/>
    <w:rsid w:val="009A7CBB"/>
    <w:rsid w:val="009B05DE"/>
    <w:rsid w:val="009B0B38"/>
    <w:rsid w:val="009B0FA9"/>
    <w:rsid w:val="009B135B"/>
    <w:rsid w:val="009B22AD"/>
    <w:rsid w:val="009B22CA"/>
    <w:rsid w:val="009B2334"/>
    <w:rsid w:val="009B2571"/>
    <w:rsid w:val="009B2924"/>
    <w:rsid w:val="009B29AD"/>
    <w:rsid w:val="009B2D89"/>
    <w:rsid w:val="009B30C2"/>
    <w:rsid w:val="009B372D"/>
    <w:rsid w:val="009B3A03"/>
    <w:rsid w:val="009B3B05"/>
    <w:rsid w:val="009B424A"/>
    <w:rsid w:val="009B427A"/>
    <w:rsid w:val="009B48CE"/>
    <w:rsid w:val="009B4DA8"/>
    <w:rsid w:val="009B4EA3"/>
    <w:rsid w:val="009B5033"/>
    <w:rsid w:val="009B5119"/>
    <w:rsid w:val="009B520E"/>
    <w:rsid w:val="009B5993"/>
    <w:rsid w:val="009B5AA8"/>
    <w:rsid w:val="009B5D23"/>
    <w:rsid w:val="009B64B6"/>
    <w:rsid w:val="009B65DF"/>
    <w:rsid w:val="009B6B01"/>
    <w:rsid w:val="009B6CB4"/>
    <w:rsid w:val="009B718A"/>
    <w:rsid w:val="009B79DB"/>
    <w:rsid w:val="009B7E94"/>
    <w:rsid w:val="009C040A"/>
    <w:rsid w:val="009C097F"/>
    <w:rsid w:val="009C0FD7"/>
    <w:rsid w:val="009C195E"/>
    <w:rsid w:val="009C1A35"/>
    <w:rsid w:val="009C1A6B"/>
    <w:rsid w:val="009C1CB9"/>
    <w:rsid w:val="009C22AB"/>
    <w:rsid w:val="009C25D1"/>
    <w:rsid w:val="009C29BD"/>
    <w:rsid w:val="009C31B2"/>
    <w:rsid w:val="009C32E2"/>
    <w:rsid w:val="009C35C0"/>
    <w:rsid w:val="009C4650"/>
    <w:rsid w:val="009C4ACE"/>
    <w:rsid w:val="009C58FD"/>
    <w:rsid w:val="009C5FC3"/>
    <w:rsid w:val="009C64CC"/>
    <w:rsid w:val="009C66FE"/>
    <w:rsid w:val="009C6B31"/>
    <w:rsid w:val="009C6C4C"/>
    <w:rsid w:val="009C6FED"/>
    <w:rsid w:val="009C73C0"/>
    <w:rsid w:val="009C73D5"/>
    <w:rsid w:val="009C7DB2"/>
    <w:rsid w:val="009D01E2"/>
    <w:rsid w:val="009D0306"/>
    <w:rsid w:val="009D03EA"/>
    <w:rsid w:val="009D05E5"/>
    <w:rsid w:val="009D19BF"/>
    <w:rsid w:val="009D2188"/>
    <w:rsid w:val="009D22AD"/>
    <w:rsid w:val="009D2318"/>
    <w:rsid w:val="009D2522"/>
    <w:rsid w:val="009D267C"/>
    <w:rsid w:val="009D2BA1"/>
    <w:rsid w:val="009D3529"/>
    <w:rsid w:val="009D4306"/>
    <w:rsid w:val="009D4B14"/>
    <w:rsid w:val="009D52C1"/>
    <w:rsid w:val="009D53A7"/>
    <w:rsid w:val="009D548E"/>
    <w:rsid w:val="009D5743"/>
    <w:rsid w:val="009D5960"/>
    <w:rsid w:val="009D5BF0"/>
    <w:rsid w:val="009D5E10"/>
    <w:rsid w:val="009D646B"/>
    <w:rsid w:val="009D795F"/>
    <w:rsid w:val="009D798A"/>
    <w:rsid w:val="009E034F"/>
    <w:rsid w:val="009E038A"/>
    <w:rsid w:val="009E0658"/>
    <w:rsid w:val="009E0790"/>
    <w:rsid w:val="009E12D4"/>
    <w:rsid w:val="009E1864"/>
    <w:rsid w:val="009E1C47"/>
    <w:rsid w:val="009E1DA4"/>
    <w:rsid w:val="009E2C13"/>
    <w:rsid w:val="009E33B5"/>
    <w:rsid w:val="009E425D"/>
    <w:rsid w:val="009E4400"/>
    <w:rsid w:val="009E4531"/>
    <w:rsid w:val="009E4D52"/>
    <w:rsid w:val="009E4F07"/>
    <w:rsid w:val="009E5263"/>
    <w:rsid w:val="009E52DB"/>
    <w:rsid w:val="009E5598"/>
    <w:rsid w:val="009E55DD"/>
    <w:rsid w:val="009E5BDE"/>
    <w:rsid w:val="009E5DB4"/>
    <w:rsid w:val="009E63F3"/>
    <w:rsid w:val="009E6532"/>
    <w:rsid w:val="009E6FDF"/>
    <w:rsid w:val="009E7054"/>
    <w:rsid w:val="009E72BB"/>
    <w:rsid w:val="009E751D"/>
    <w:rsid w:val="009E761B"/>
    <w:rsid w:val="009E7AD7"/>
    <w:rsid w:val="009F026F"/>
    <w:rsid w:val="009F0DEF"/>
    <w:rsid w:val="009F0E5A"/>
    <w:rsid w:val="009F0FAE"/>
    <w:rsid w:val="009F17B6"/>
    <w:rsid w:val="009F1A22"/>
    <w:rsid w:val="009F1C9C"/>
    <w:rsid w:val="009F289F"/>
    <w:rsid w:val="009F2EE9"/>
    <w:rsid w:val="009F3BEC"/>
    <w:rsid w:val="009F3C96"/>
    <w:rsid w:val="009F3D62"/>
    <w:rsid w:val="009F3EED"/>
    <w:rsid w:val="009F471B"/>
    <w:rsid w:val="009F4CA1"/>
    <w:rsid w:val="009F4DD6"/>
    <w:rsid w:val="009F4FF5"/>
    <w:rsid w:val="009F5060"/>
    <w:rsid w:val="009F5870"/>
    <w:rsid w:val="009F5C0A"/>
    <w:rsid w:val="009F5F0D"/>
    <w:rsid w:val="009F63BD"/>
    <w:rsid w:val="009F6BCD"/>
    <w:rsid w:val="009F6C17"/>
    <w:rsid w:val="009F6FE9"/>
    <w:rsid w:val="009F70E1"/>
    <w:rsid w:val="009F7723"/>
    <w:rsid w:val="009F78A9"/>
    <w:rsid w:val="009F7D65"/>
    <w:rsid w:val="00A00776"/>
    <w:rsid w:val="00A007CC"/>
    <w:rsid w:val="00A00899"/>
    <w:rsid w:val="00A00A35"/>
    <w:rsid w:val="00A00D75"/>
    <w:rsid w:val="00A00DE7"/>
    <w:rsid w:val="00A00E41"/>
    <w:rsid w:val="00A0153D"/>
    <w:rsid w:val="00A0226E"/>
    <w:rsid w:val="00A02418"/>
    <w:rsid w:val="00A025AF"/>
    <w:rsid w:val="00A027CB"/>
    <w:rsid w:val="00A03372"/>
    <w:rsid w:val="00A03990"/>
    <w:rsid w:val="00A03B93"/>
    <w:rsid w:val="00A04230"/>
    <w:rsid w:val="00A04982"/>
    <w:rsid w:val="00A04E0A"/>
    <w:rsid w:val="00A04F12"/>
    <w:rsid w:val="00A0512B"/>
    <w:rsid w:val="00A05151"/>
    <w:rsid w:val="00A05985"/>
    <w:rsid w:val="00A05FB6"/>
    <w:rsid w:val="00A061B8"/>
    <w:rsid w:val="00A063DE"/>
    <w:rsid w:val="00A065DC"/>
    <w:rsid w:val="00A068DD"/>
    <w:rsid w:val="00A06A44"/>
    <w:rsid w:val="00A06CD8"/>
    <w:rsid w:val="00A07158"/>
    <w:rsid w:val="00A0786E"/>
    <w:rsid w:val="00A07AD6"/>
    <w:rsid w:val="00A07C8B"/>
    <w:rsid w:val="00A102C3"/>
    <w:rsid w:val="00A10B58"/>
    <w:rsid w:val="00A10C58"/>
    <w:rsid w:val="00A11C11"/>
    <w:rsid w:val="00A1226B"/>
    <w:rsid w:val="00A125B3"/>
    <w:rsid w:val="00A12629"/>
    <w:rsid w:val="00A1341C"/>
    <w:rsid w:val="00A145E1"/>
    <w:rsid w:val="00A146E7"/>
    <w:rsid w:val="00A14D66"/>
    <w:rsid w:val="00A1519A"/>
    <w:rsid w:val="00A1544F"/>
    <w:rsid w:val="00A15D99"/>
    <w:rsid w:val="00A15E38"/>
    <w:rsid w:val="00A16448"/>
    <w:rsid w:val="00A16689"/>
    <w:rsid w:val="00A168C1"/>
    <w:rsid w:val="00A169EC"/>
    <w:rsid w:val="00A16D22"/>
    <w:rsid w:val="00A1720B"/>
    <w:rsid w:val="00A174C5"/>
    <w:rsid w:val="00A20312"/>
    <w:rsid w:val="00A2032E"/>
    <w:rsid w:val="00A20DB2"/>
    <w:rsid w:val="00A2171B"/>
    <w:rsid w:val="00A22580"/>
    <w:rsid w:val="00A22C9B"/>
    <w:rsid w:val="00A22F49"/>
    <w:rsid w:val="00A230D7"/>
    <w:rsid w:val="00A23459"/>
    <w:rsid w:val="00A24229"/>
    <w:rsid w:val="00A244B9"/>
    <w:rsid w:val="00A24EB8"/>
    <w:rsid w:val="00A2570F"/>
    <w:rsid w:val="00A258A3"/>
    <w:rsid w:val="00A25AF3"/>
    <w:rsid w:val="00A25E75"/>
    <w:rsid w:val="00A2613A"/>
    <w:rsid w:val="00A262C5"/>
    <w:rsid w:val="00A264E4"/>
    <w:rsid w:val="00A26772"/>
    <w:rsid w:val="00A26A56"/>
    <w:rsid w:val="00A27857"/>
    <w:rsid w:val="00A279AE"/>
    <w:rsid w:val="00A302B3"/>
    <w:rsid w:val="00A307B6"/>
    <w:rsid w:val="00A307ED"/>
    <w:rsid w:val="00A30E40"/>
    <w:rsid w:val="00A31463"/>
    <w:rsid w:val="00A31647"/>
    <w:rsid w:val="00A31700"/>
    <w:rsid w:val="00A320AF"/>
    <w:rsid w:val="00A32112"/>
    <w:rsid w:val="00A32953"/>
    <w:rsid w:val="00A329A7"/>
    <w:rsid w:val="00A33233"/>
    <w:rsid w:val="00A3370A"/>
    <w:rsid w:val="00A33881"/>
    <w:rsid w:val="00A33EAA"/>
    <w:rsid w:val="00A34047"/>
    <w:rsid w:val="00A346BE"/>
    <w:rsid w:val="00A34E77"/>
    <w:rsid w:val="00A35B89"/>
    <w:rsid w:val="00A360A4"/>
    <w:rsid w:val="00A3651E"/>
    <w:rsid w:val="00A3684E"/>
    <w:rsid w:val="00A36948"/>
    <w:rsid w:val="00A369C8"/>
    <w:rsid w:val="00A36EC9"/>
    <w:rsid w:val="00A37608"/>
    <w:rsid w:val="00A40833"/>
    <w:rsid w:val="00A40BF5"/>
    <w:rsid w:val="00A40D21"/>
    <w:rsid w:val="00A4116B"/>
    <w:rsid w:val="00A42559"/>
    <w:rsid w:val="00A42C57"/>
    <w:rsid w:val="00A4343D"/>
    <w:rsid w:val="00A43AF1"/>
    <w:rsid w:val="00A43F4B"/>
    <w:rsid w:val="00A44058"/>
    <w:rsid w:val="00A44300"/>
    <w:rsid w:val="00A4487C"/>
    <w:rsid w:val="00A44B54"/>
    <w:rsid w:val="00A45468"/>
    <w:rsid w:val="00A46035"/>
    <w:rsid w:val="00A46C48"/>
    <w:rsid w:val="00A46E06"/>
    <w:rsid w:val="00A470C9"/>
    <w:rsid w:val="00A474A5"/>
    <w:rsid w:val="00A4760F"/>
    <w:rsid w:val="00A47DE0"/>
    <w:rsid w:val="00A50269"/>
    <w:rsid w:val="00A50469"/>
    <w:rsid w:val="00A505F3"/>
    <w:rsid w:val="00A50E0C"/>
    <w:rsid w:val="00A51498"/>
    <w:rsid w:val="00A51951"/>
    <w:rsid w:val="00A51A13"/>
    <w:rsid w:val="00A51DF1"/>
    <w:rsid w:val="00A51E94"/>
    <w:rsid w:val="00A52589"/>
    <w:rsid w:val="00A52848"/>
    <w:rsid w:val="00A52916"/>
    <w:rsid w:val="00A52A2D"/>
    <w:rsid w:val="00A53437"/>
    <w:rsid w:val="00A53EDB"/>
    <w:rsid w:val="00A54683"/>
    <w:rsid w:val="00A54860"/>
    <w:rsid w:val="00A54BB3"/>
    <w:rsid w:val="00A54C94"/>
    <w:rsid w:val="00A55402"/>
    <w:rsid w:val="00A55507"/>
    <w:rsid w:val="00A555B0"/>
    <w:rsid w:val="00A559CA"/>
    <w:rsid w:val="00A56816"/>
    <w:rsid w:val="00A56BBA"/>
    <w:rsid w:val="00A56F84"/>
    <w:rsid w:val="00A57630"/>
    <w:rsid w:val="00A57799"/>
    <w:rsid w:val="00A57A0A"/>
    <w:rsid w:val="00A57C5D"/>
    <w:rsid w:val="00A6080D"/>
    <w:rsid w:val="00A608B1"/>
    <w:rsid w:val="00A60C28"/>
    <w:rsid w:val="00A61235"/>
    <w:rsid w:val="00A612DA"/>
    <w:rsid w:val="00A6175D"/>
    <w:rsid w:val="00A61856"/>
    <w:rsid w:val="00A61BDE"/>
    <w:rsid w:val="00A625A2"/>
    <w:rsid w:val="00A6267F"/>
    <w:rsid w:val="00A6272D"/>
    <w:rsid w:val="00A627BE"/>
    <w:rsid w:val="00A62E9F"/>
    <w:rsid w:val="00A62FBD"/>
    <w:rsid w:val="00A6318D"/>
    <w:rsid w:val="00A63866"/>
    <w:rsid w:val="00A63C01"/>
    <w:rsid w:val="00A65154"/>
    <w:rsid w:val="00A65743"/>
    <w:rsid w:val="00A65769"/>
    <w:rsid w:val="00A65A55"/>
    <w:rsid w:val="00A65A5E"/>
    <w:rsid w:val="00A6607F"/>
    <w:rsid w:val="00A6614C"/>
    <w:rsid w:val="00A66729"/>
    <w:rsid w:val="00A66997"/>
    <w:rsid w:val="00A66E2D"/>
    <w:rsid w:val="00A66E49"/>
    <w:rsid w:val="00A66F07"/>
    <w:rsid w:val="00A67EF5"/>
    <w:rsid w:val="00A7030A"/>
    <w:rsid w:val="00A70482"/>
    <w:rsid w:val="00A70520"/>
    <w:rsid w:val="00A7094F"/>
    <w:rsid w:val="00A70A50"/>
    <w:rsid w:val="00A70CAF"/>
    <w:rsid w:val="00A70DA0"/>
    <w:rsid w:val="00A70DE7"/>
    <w:rsid w:val="00A70EE0"/>
    <w:rsid w:val="00A71430"/>
    <w:rsid w:val="00A7165D"/>
    <w:rsid w:val="00A719CD"/>
    <w:rsid w:val="00A71A4A"/>
    <w:rsid w:val="00A71BF5"/>
    <w:rsid w:val="00A71D2E"/>
    <w:rsid w:val="00A7240B"/>
    <w:rsid w:val="00A72501"/>
    <w:rsid w:val="00A729DF"/>
    <w:rsid w:val="00A72AAA"/>
    <w:rsid w:val="00A7351E"/>
    <w:rsid w:val="00A7353B"/>
    <w:rsid w:val="00A736CD"/>
    <w:rsid w:val="00A73986"/>
    <w:rsid w:val="00A73BB9"/>
    <w:rsid w:val="00A73CAF"/>
    <w:rsid w:val="00A73F71"/>
    <w:rsid w:val="00A74D18"/>
    <w:rsid w:val="00A7548B"/>
    <w:rsid w:val="00A757DE"/>
    <w:rsid w:val="00A75D47"/>
    <w:rsid w:val="00A767EB"/>
    <w:rsid w:val="00A76B79"/>
    <w:rsid w:val="00A77AB0"/>
    <w:rsid w:val="00A77AE9"/>
    <w:rsid w:val="00A8033A"/>
    <w:rsid w:val="00A81476"/>
    <w:rsid w:val="00A8198C"/>
    <w:rsid w:val="00A81AC9"/>
    <w:rsid w:val="00A8209B"/>
    <w:rsid w:val="00A825D1"/>
    <w:rsid w:val="00A82959"/>
    <w:rsid w:val="00A82F16"/>
    <w:rsid w:val="00A8327A"/>
    <w:rsid w:val="00A83D45"/>
    <w:rsid w:val="00A8489E"/>
    <w:rsid w:val="00A84C06"/>
    <w:rsid w:val="00A8668B"/>
    <w:rsid w:val="00A86920"/>
    <w:rsid w:val="00A86B25"/>
    <w:rsid w:val="00A86B93"/>
    <w:rsid w:val="00A87142"/>
    <w:rsid w:val="00A87816"/>
    <w:rsid w:val="00A87997"/>
    <w:rsid w:val="00A87E23"/>
    <w:rsid w:val="00A87E4D"/>
    <w:rsid w:val="00A90249"/>
    <w:rsid w:val="00A90287"/>
    <w:rsid w:val="00A9033E"/>
    <w:rsid w:val="00A913EC"/>
    <w:rsid w:val="00A915F9"/>
    <w:rsid w:val="00A91710"/>
    <w:rsid w:val="00A924F0"/>
    <w:rsid w:val="00A92559"/>
    <w:rsid w:val="00A9287F"/>
    <w:rsid w:val="00A92BD9"/>
    <w:rsid w:val="00A92D5B"/>
    <w:rsid w:val="00A92E4C"/>
    <w:rsid w:val="00A92F14"/>
    <w:rsid w:val="00A93391"/>
    <w:rsid w:val="00A93DFB"/>
    <w:rsid w:val="00A9467D"/>
    <w:rsid w:val="00A95C83"/>
    <w:rsid w:val="00A95EF4"/>
    <w:rsid w:val="00A95F31"/>
    <w:rsid w:val="00A9633F"/>
    <w:rsid w:val="00A96664"/>
    <w:rsid w:val="00A96890"/>
    <w:rsid w:val="00A97571"/>
    <w:rsid w:val="00A9775E"/>
    <w:rsid w:val="00A97809"/>
    <w:rsid w:val="00A9794F"/>
    <w:rsid w:val="00A979ED"/>
    <w:rsid w:val="00A97A3D"/>
    <w:rsid w:val="00A97F53"/>
    <w:rsid w:val="00AA0308"/>
    <w:rsid w:val="00AA0A42"/>
    <w:rsid w:val="00AA0C42"/>
    <w:rsid w:val="00AA0EE5"/>
    <w:rsid w:val="00AA0F30"/>
    <w:rsid w:val="00AA1090"/>
    <w:rsid w:val="00AA13B8"/>
    <w:rsid w:val="00AA205B"/>
    <w:rsid w:val="00AA268D"/>
    <w:rsid w:val="00AA294D"/>
    <w:rsid w:val="00AA2AAA"/>
    <w:rsid w:val="00AA2E3E"/>
    <w:rsid w:val="00AA3134"/>
    <w:rsid w:val="00AA35DF"/>
    <w:rsid w:val="00AA3669"/>
    <w:rsid w:val="00AA396C"/>
    <w:rsid w:val="00AA3A8D"/>
    <w:rsid w:val="00AA3CDB"/>
    <w:rsid w:val="00AA41BC"/>
    <w:rsid w:val="00AA4B6D"/>
    <w:rsid w:val="00AA4E60"/>
    <w:rsid w:val="00AA4F7E"/>
    <w:rsid w:val="00AA4FE4"/>
    <w:rsid w:val="00AA5099"/>
    <w:rsid w:val="00AA5131"/>
    <w:rsid w:val="00AA575C"/>
    <w:rsid w:val="00AA6186"/>
    <w:rsid w:val="00AA76A9"/>
    <w:rsid w:val="00AA7DA6"/>
    <w:rsid w:val="00AA7EEE"/>
    <w:rsid w:val="00AA7EEF"/>
    <w:rsid w:val="00AB037E"/>
    <w:rsid w:val="00AB0618"/>
    <w:rsid w:val="00AB0DF9"/>
    <w:rsid w:val="00AB0E83"/>
    <w:rsid w:val="00AB1185"/>
    <w:rsid w:val="00AB17DC"/>
    <w:rsid w:val="00AB1CE0"/>
    <w:rsid w:val="00AB2201"/>
    <w:rsid w:val="00AB29BA"/>
    <w:rsid w:val="00AB2BFB"/>
    <w:rsid w:val="00AB2DC4"/>
    <w:rsid w:val="00AB391F"/>
    <w:rsid w:val="00AB3C3E"/>
    <w:rsid w:val="00AB433D"/>
    <w:rsid w:val="00AB4828"/>
    <w:rsid w:val="00AB4F35"/>
    <w:rsid w:val="00AB53A7"/>
    <w:rsid w:val="00AB552C"/>
    <w:rsid w:val="00AB58B9"/>
    <w:rsid w:val="00AB5EAF"/>
    <w:rsid w:val="00AB5F46"/>
    <w:rsid w:val="00AB61F6"/>
    <w:rsid w:val="00AB6452"/>
    <w:rsid w:val="00AB67D6"/>
    <w:rsid w:val="00AB6AC3"/>
    <w:rsid w:val="00AB6D31"/>
    <w:rsid w:val="00AB6DE2"/>
    <w:rsid w:val="00AB7BD5"/>
    <w:rsid w:val="00AC02CD"/>
    <w:rsid w:val="00AC0420"/>
    <w:rsid w:val="00AC0593"/>
    <w:rsid w:val="00AC0612"/>
    <w:rsid w:val="00AC064B"/>
    <w:rsid w:val="00AC0AEB"/>
    <w:rsid w:val="00AC13A7"/>
    <w:rsid w:val="00AC1866"/>
    <w:rsid w:val="00AC1A6E"/>
    <w:rsid w:val="00AC207F"/>
    <w:rsid w:val="00AC2EEF"/>
    <w:rsid w:val="00AC3163"/>
    <w:rsid w:val="00AC3490"/>
    <w:rsid w:val="00AC4392"/>
    <w:rsid w:val="00AC4565"/>
    <w:rsid w:val="00AC4AF4"/>
    <w:rsid w:val="00AC5F79"/>
    <w:rsid w:val="00AC665F"/>
    <w:rsid w:val="00AC67E2"/>
    <w:rsid w:val="00AC69AC"/>
    <w:rsid w:val="00AC6AE6"/>
    <w:rsid w:val="00AC6C64"/>
    <w:rsid w:val="00AC6FED"/>
    <w:rsid w:val="00AC7DBD"/>
    <w:rsid w:val="00AD0BD8"/>
    <w:rsid w:val="00AD0EA5"/>
    <w:rsid w:val="00AD14F1"/>
    <w:rsid w:val="00AD1B5E"/>
    <w:rsid w:val="00AD1B90"/>
    <w:rsid w:val="00AD1F78"/>
    <w:rsid w:val="00AD22C2"/>
    <w:rsid w:val="00AD25FD"/>
    <w:rsid w:val="00AD266E"/>
    <w:rsid w:val="00AD2B13"/>
    <w:rsid w:val="00AD3046"/>
    <w:rsid w:val="00AD3981"/>
    <w:rsid w:val="00AD522D"/>
    <w:rsid w:val="00AD5D7D"/>
    <w:rsid w:val="00AD6042"/>
    <w:rsid w:val="00AD6385"/>
    <w:rsid w:val="00AD688C"/>
    <w:rsid w:val="00AD6B17"/>
    <w:rsid w:val="00AD6C02"/>
    <w:rsid w:val="00AD7036"/>
    <w:rsid w:val="00AD75E5"/>
    <w:rsid w:val="00AE008F"/>
    <w:rsid w:val="00AE011F"/>
    <w:rsid w:val="00AE0628"/>
    <w:rsid w:val="00AE0F3D"/>
    <w:rsid w:val="00AE12FB"/>
    <w:rsid w:val="00AE1A2A"/>
    <w:rsid w:val="00AE1D82"/>
    <w:rsid w:val="00AE1E7A"/>
    <w:rsid w:val="00AE2F0F"/>
    <w:rsid w:val="00AE4D29"/>
    <w:rsid w:val="00AE52FB"/>
    <w:rsid w:val="00AE533C"/>
    <w:rsid w:val="00AE5A7C"/>
    <w:rsid w:val="00AE5C00"/>
    <w:rsid w:val="00AE6882"/>
    <w:rsid w:val="00AE6DA4"/>
    <w:rsid w:val="00AE6DAB"/>
    <w:rsid w:val="00AE6FF8"/>
    <w:rsid w:val="00AE7521"/>
    <w:rsid w:val="00AE7A3E"/>
    <w:rsid w:val="00AE7B84"/>
    <w:rsid w:val="00AE7C81"/>
    <w:rsid w:val="00AF01B4"/>
    <w:rsid w:val="00AF0423"/>
    <w:rsid w:val="00AF080B"/>
    <w:rsid w:val="00AF0AD9"/>
    <w:rsid w:val="00AF116F"/>
    <w:rsid w:val="00AF1444"/>
    <w:rsid w:val="00AF187A"/>
    <w:rsid w:val="00AF1F55"/>
    <w:rsid w:val="00AF25E5"/>
    <w:rsid w:val="00AF263F"/>
    <w:rsid w:val="00AF2917"/>
    <w:rsid w:val="00AF2B58"/>
    <w:rsid w:val="00AF2C61"/>
    <w:rsid w:val="00AF2C7F"/>
    <w:rsid w:val="00AF3150"/>
    <w:rsid w:val="00AF315A"/>
    <w:rsid w:val="00AF32B5"/>
    <w:rsid w:val="00AF35CA"/>
    <w:rsid w:val="00AF370D"/>
    <w:rsid w:val="00AF3AEE"/>
    <w:rsid w:val="00AF43AC"/>
    <w:rsid w:val="00AF5A3F"/>
    <w:rsid w:val="00AF5C15"/>
    <w:rsid w:val="00AF672E"/>
    <w:rsid w:val="00AF6C45"/>
    <w:rsid w:val="00AF7A3F"/>
    <w:rsid w:val="00AF7A8D"/>
    <w:rsid w:val="00B0062A"/>
    <w:rsid w:val="00B009AB"/>
    <w:rsid w:val="00B00CA6"/>
    <w:rsid w:val="00B00EB2"/>
    <w:rsid w:val="00B00EF2"/>
    <w:rsid w:val="00B0134B"/>
    <w:rsid w:val="00B01603"/>
    <w:rsid w:val="00B0197E"/>
    <w:rsid w:val="00B028E1"/>
    <w:rsid w:val="00B02AE9"/>
    <w:rsid w:val="00B02B2D"/>
    <w:rsid w:val="00B02F88"/>
    <w:rsid w:val="00B033E2"/>
    <w:rsid w:val="00B03E6F"/>
    <w:rsid w:val="00B04B32"/>
    <w:rsid w:val="00B0570C"/>
    <w:rsid w:val="00B05714"/>
    <w:rsid w:val="00B05C52"/>
    <w:rsid w:val="00B060C2"/>
    <w:rsid w:val="00B06304"/>
    <w:rsid w:val="00B06438"/>
    <w:rsid w:val="00B0673E"/>
    <w:rsid w:val="00B0676C"/>
    <w:rsid w:val="00B06A9E"/>
    <w:rsid w:val="00B0730E"/>
    <w:rsid w:val="00B075B1"/>
    <w:rsid w:val="00B103A6"/>
    <w:rsid w:val="00B10438"/>
    <w:rsid w:val="00B106FF"/>
    <w:rsid w:val="00B1084D"/>
    <w:rsid w:val="00B10B7E"/>
    <w:rsid w:val="00B110E3"/>
    <w:rsid w:val="00B1176B"/>
    <w:rsid w:val="00B11C16"/>
    <w:rsid w:val="00B12691"/>
    <w:rsid w:val="00B127AD"/>
    <w:rsid w:val="00B12ACF"/>
    <w:rsid w:val="00B12D12"/>
    <w:rsid w:val="00B137F9"/>
    <w:rsid w:val="00B13C10"/>
    <w:rsid w:val="00B14742"/>
    <w:rsid w:val="00B14EAA"/>
    <w:rsid w:val="00B14F5D"/>
    <w:rsid w:val="00B14FE6"/>
    <w:rsid w:val="00B15595"/>
    <w:rsid w:val="00B15F86"/>
    <w:rsid w:val="00B16154"/>
    <w:rsid w:val="00B164C5"/>
    <w:rsid w:val="00B165B6"/>
    <w:rsid w:val="00B16E2E"/>
    <w:rsid w:val="00B1724D"/>
    <w:rsid w:val="00B172D1"/>
    <w:rsid w:val="00B175FC"/>
    <w:rsid w:val="00B17BCA"/>
    <w:rsid w:val="00B2011D"/>
    <w:rsid w:val="00B20488"/>
    <w:rsid w:val="00B21EA4"/>
    <w:rsid w:val="00B22022"/>
    <w:rsid w:val="00B22064"/>
    <w:rsid w:val="00B22619"/>
    <w:rsid w:val="00B22C23"/>
    <w:rsid w:val="00B23327"/>
    <w:rsid w:val="00B23982"/>
    <w:rsid w:val="00B23B81"/>
    <w:rsid w:val="00B23F8D"/>
    <w:rsid w:val="00B24297"/>
    <w:rsid w:val="00B24796"/>
    <w:rsid w:val="00B24810"/>
    <w:rsid w:val="00B24DB9"/>
    <w:rsid w:val="00B24DD2"/>
    <w:rsid w:val="00B2500E"/>
    <w:rsid w:val="00B2599A"/>
    <w:rsid w:val="00B25EA8"/>
    <w:rsid w:val="00B2647F"/>
    <w:rsid w:val="00B267C1"/>
    <w:rsid w:val="00B26F2B"/>
    <w:rsid w:val="00B26F32"/>
    <w:rsid w:val="00B27041"/>
    <w:rsid w:val="00B273A3"/>
    <w:rsid w:val="00B277C6"/>
    <w:rsid w:val="00B304C6"/>
    <w:rsid w:val="00B30799"/>
    <w:rsid w:val="00B30977"/>
    <w:rsid w:val="00B30E67"/>
    <w:rsid w:val="00B30FA3"/>
    <w:rsid w:val="00B30FEB"/>
    <w:rsid w:val="00B3151C"/>
    <w:rsid w:val="00B3184D"/>
    <w:rsid w:val="00B31932"/>
    <w:rsid w:val="00B31B7B"/>
    <w:rsid w:val="00B32150"/>
    <w:rsid w:val="00B32498"/>
    <w:rsid w:val="00B32569"/>
    <w:rsid w:val="00B339D1"/>
    <w:rsid w:val="00B33C39"/>
    <w:rsid w:val="00B33CDE"/>
    <w:rsid w:val="00B33E59"/>
    <w:rsid w:val="00B3465C"/>
    <w:rsid w:val="00B34D55"/>
    <w:rsid w:val="00B3597B"/>
    <w:rsid w:val="00B3605D"/>
    <w:rsid w:val="00B363D5"/>
    <w:rsid w:val="00B364E9"/>
    <w:rsid w:val="00B36938"/>
    <w:rsid w:val="00B36AF8"/>
    <w:rsid w:val="00B36B3C"/>
    <w:rsid w:val="00B36CC9"/>
    <w:rsid w:val="00B36D4B"/>
    <w:rsid w:val="00B371AB"/>
    <w:rsid w:val="00B37E83"/>
    <w:rsid w:val="00B4048F"/>
    <w:rsid w:val="00B41267"/>
    <w:rsid w:val="00B413A8"/>
    <w:rsid w:val="00B41590"/>
    <w:rsid w:val="00B419F7"/>
    <w:rsid w:val="00B41C3A"/>
    <w:rsid w:val="00B421A8"/>
    <w:rsid w:val="00B4258F"/>
    <w:rsid w:val="00B425F5"/>
    <w:rsid w:val="00B43628"/>
    <w:rsid w:val="00B4364B"/>
    <w:rsid w:val="00B4398E"/>
    <w:rsid w:val="00B439B9"/>
    <w:rsid w:val="00B43CBC"/>
    <w:rsid w:val="00B43CDA"/>
    <w:rsid w:val="00B43F56"/>
    <w:rsid w:val="00B44566"/>
    <w:rsid w:val="00B447D6"/>
    <w:rsid w:val="00B4567B"/>
    <w:rsid w:val="00B45755"/>
    <w:rsid w:val="00B45FDD"/>
    <w:rsid w:val="00B46009"/>
    <w:rsid w:val="00B46021"/>
    <w:rsid w:val="00B471EA"/>
    <w:rsid w:val="00B473A8"/>
    <w:rsid w:val="00B47C9C"/>
    <w:rsid w:val="00B47DDA"/>
    <w:rsid w:val="00B50B33"/>
    <w:rsid w:val="00B511EC"/>
    <w:rsid w:val="00B512CA"/>
    <w:rsid w:val="00B512F8"/>
    <w:rsid w:val="00B514BC"/>
    <w:rsid w:val="00B52155"/>
    <w:rsid w:val="00B521D6"/>
    <w:rsid w:val="00B5257D"/>
    <w:rsid w:val="00B52F43"/>
    <w:rsid w:val="00B53121"/>
    <w:rsid w:val="00B53488"/>
    <w:rsid w:val="00B53523"/>
    <w:rsid w:val="00B53790"/>
    <w:rsid w:val="00B53AC3"/>
    <w:rsid w:val="00B53D16"/>
    <w:rsid w:val="00B54C9F"/>
    <w:rsid w:val="00B555DD"/>
    <w:rsid w:val="00B55697"/>
    <w:rsid w:val="00B55A28"/>
    <w:rsid w:val="00B55A5C"/>
    <w:rsid w:val="00B55E68"/>
    <w:rsid w:val="00B570A1"/>
    <w:rsid w:val="00B5718E"/>
    <w:rsid w:val="00B573F7"/>
    <w:rsid w:val="00B57F89"/>
    <w:rsid w:val="00B605FC"/>
    <w:rsid w:val="00B60A3D"/>
    <w:rsid w:val="00B60C0B"/>
    <w:rsid w:val="00B615A2"/>
    <w:rsid w:val="00B61B76"/>
    <w:rsid w:val="00B6289F"/>
    <w:rsid w:val="00B63467"/>
    <w:rsid w:val="00B634F5"/>
    <w:rsid w:val="00B637C0"/>
    <w:rsid w:val="00B637C5"/>
    <w:rsid w:val="00B64584"/>
    <w:rsid w:val="00B66084"/>
    <w:rsid w:val="00B66536"/>
    <w:rsid w:val="00B66BB6"/>
    <w:rsid w:val="00B66E42"/>
    <w:rsid w:val="00B67706"/>
    <w:rsid w:val="00B67A69"/>
    <w:rsid w:val="00B67F61"/>
    <w:rsid w:val="00B70381"/>
    <w:rsid w:val="00B70832"/>
    <w:rsid w:val="00B7084F"/>
    <w:rsid w:val="00B70867"/>
    <w:rsid w:val="00B70F7A"/>
    <w:rsid w:val="00B71640"/>
    <w:rsid w:val="00B7165B"/>
    <w:rsid w:val="00B71967"/>
    <w:rsid w:val="00B71D9F"/>
    <w:rsid w:val="00B72078"/>
    <w:rsid w:val="00B72081"/>
    <w:rsid w:val="00B7237B"/>
    <w:rsid w:val="00B727DD"/>
    <w:rsid w:val="00B72C57"/>
    <w:rsid w:val="00B72F2A"/>
    <w:rsid w:val="00B742C0"/>
    <w:rsid w:val="00B74B20"/>
    <w:rsid w:val="00B74C46"/>
    <w:rsid w:val="00B74C8C"/>
    <w:rsid w:val="00B753CD"/>
    <w:rsid w:val="00B754AF"/>
    <w:rsid w:val="00B7608D"/>
    <w:rsid w:val="00B7678C"/>
    <w:rsid w:val="00B76898"/>
    <w:rsid w:val="00B76A86"/>
    <w:rsid w:val="00B76C02"/>
    <w:rsid w:val="00B76C25"/>
    <w:rsid w:val="00B77017"/>
    <w:rsid w:val="00B7723D"/>
    <w:rsid w:val="00B775DD"/>
    <w:rsid w:val="00B776EF"/>
    <w:rsid w:val="00B80422"/>
    <w:rsid w:val="00B8070B"/>
    <w:rsid w:val="00B8071E"/>
    <w:rsid w:val="00B8075B"/>
    <w:rsid w:val="00B808A2"/>
    <w:rsid w:val="00B80A4C"/>
    <w:rsid w:val="00B80C1D"/>
    <w:rsid w:val="00B81157"/>
    <w:rsid w:val="00B814C3"/>
    <w:rsid w:val="00B81E79"/>
    <w:rsid w:val="00B81FE6"/>
    <w:rsid w:val="00B82575"/>
    <w:rsid w:val="00B82844"/>
    <w:rsid w:val="00B8286F"/>
    <w:rsid w:val="00B828C3"/>
    <w:rsid w:val="00B82C65"/>
    <w:rsid w:val="00B833AA"/>
    <w:rsid w:val="00B83A5A"/>
    <w:rsid w:val="00B84243"/>
    <w:rsid w:val="00B84371"/>
    <w:rsid w:val="00B847C1"/>
    <w:rsid w:val="00B84B20"/>
    <w:rsid w:val="00B856CF"/>
    <w:rsid w:val="00B85752"/>
    <w:rsid w:val="00B857F1"/>
    <w:rsid w:val="00B85A4E"/>
    <w:rsid w:val="00B8694A"/>
    <w:rsid w:val="00B86A5E"/>
    <w:rsid w:val="00B86CE3"/>
    <w:rsid w:val="00B904AC"/>
    <w:rsid w:val="00B90BB1"/>
    <w:rsid w:val="00B911DB"/>
    <w:rsid w:val="00B9127E"/>
    <w:rsid w:val="00B915E5"/>
    <w:rsid w:val="00B91934"/>
    <w:rsid w:val="00B91D25"/>
    <w:rsid w:val="00B927C9"/>
    <w:rsid w:val="00B927FF"/>
    <w:rsid w:val="00B928A1"/>
    <w:rsid w:val="00B92942"/>
    <w:rsid w:val="00B929E4"/>
    <w:rsid w:val="00B92F60"/>
    <w:rsid w:val="00B93281"/>
    <w:rsid w:val="00B93292"/>
    <w:rsid w:val="00B93A5A"/>
    <w:rsid w:val="00B940E0"/>
    <w:rsid w:val="00B94220"/>
    <w:rsid w:val="00B94413"/>
    <w:rsid w:val="00B945EA"/>
    <w:rsid w:val="00B946FF"/>
    <w:rsid w:val="00B94BB9"/>
    <w:rsid w:val="00B95216"/>
    <w:rsid w:val="00B952B9"/>
    <w:rsid w:val="00B956FB"/>
    <w:rsid w:val="00B95871"/>
    <w:rsid w:val="00B95B2D"/>
    <w:rsid w:val="00B960D4"/>
    <w:rsid w:val="00B961C6"/>
    <w:rsid w:val="00B96645"/>
    <w:rsid w:val="00B966B5"/>
    <w:rsid w:val="00B97391"/>
    <w:rsid w:val="00B9775F"/>
    <w:rsid w:val="00B97A8F"/>
    <w:rsid w:val="00BA0152"/>
    <w:rsid w:val="00BA028B"/>
    <w:rsid w:val="00BA02D6"/>
    <w:rsid w:val="00BA04CE"/>
    <w:rsid w:val="00BA073F"/>
    <w:rsid w:val="00BA08B8"/>
    <w:rsid w:val="00BA09CB"/>
    <w:rsid w:val="00BA0C62"/>
    <w:rsid w:val="00BA10A4"/>
    <w:rsid w:val="00BA12F4"/>
    <w:rsid w:val="00BA1548"/>
    <w:rsid w:val="00BA15B4"/>
    <w:rsid w:val="00BA217B"/>
    <w:rsid w:val="00BA2D08"/>
    <w:rsid w:val="00BA3740"/>
    <w:rsid w:val="00BA37AF"/>
    <w:rsid w:val="00BA3CDE"/>
    <w:rsid w:val="00BA406C"/>
    <w:rsid w:val="00BA4C6A"/>
    <w:rsid w:val="00BA504F"/>
    <w:rsid w:val="00BA56D5"/>
    <w:rsid w:val="00BA62E0"/>
    <w:rsid w:val="00BA6A5D"/>
    <w:rsid w:val="00BA72C1"/>
    <w:rsid w:val="00BA789A"/>
    <w:rsid w:val="00BA7E1B"/>
    <w:rsid w:val="00BA7F6B"/>
    <w:rsid w:val="00BB0132"/>
    <w:rsid w:val="00BB0413"/>
    <w:rsid w:val="00BB0A6C"/>
    <w:rsid w:val="00BB0E47"/>
    <w:rsid w:val="00BB144B"/>
    <w:rsid w:val="00BB1459"/>
    <w:rsid w:val="00BB183A"/>
    <w:rsid w:val="00BB1B26"/>
    <w:rsid w:val="00BB2419"/>
    <w:rsid w:val="00BB271E"/>
    <w:rsid w:val="00BB2998"/>
    <w:rsid w:val="00BB2EA9"/>
    <w:rsid w:val="00BB321E"/>
    <w:rsid w:val="00BB33EC"/>
    <w:rsid w:val="00BB49D7"/>
    <w:rsid w:val="00BB4A36"/>
    <w:rsid w:val="00BB4E18"/>
    <w:rsid w:val="00BB5C7E"/>
    <w:rsid w:val="00BB5F9B"/>
    <w:rsid w:val="00BB606C"/>
    <w:rsid w:val="00BB60A4"/>
    <w:rsid w:val="00BB6A6D"/>
    <w:rsid w:val="00BB6C31"/>
    <w:rsid w:val="00BB6EC9"/>
    <w:rsid w:val="00BB6F98"/>
    <w:rsid w:val="00BB6FA6"/>
    <w:rsid w:val="00BB71BC"/>
    <w:rsid w:val="00BB7243"/>
    <w:rsid w:val="00BC0248"/>
    <w:rsid w:val="00BC05C8"/>
    <w:rsid w:val="00BC08E3"/>
    <w:rsid w:val="00BC0A86"/>
    <w:rsid w:val="00BC0F10"/>
    <w:rsid w:val="00BC1ABB"/>
    <w:rsid w:val="00BC1D32"/>
    <w:rsid w:val="00BC1F4B"/>
    <w:rsid w:val="00BC275A"/>
    <w:rsid w:val="00BC2CE1"/>
    <w:rsid w:val="00BC33AF"/>
    <w:rsid w:val="00BC3894"/>
    <w:rsid w:val="00BC3965"/>
    <w:rsid w:val="00BC3D86"/>
    <w:rsid w:val="00BC417A"/>
    <w:rsid w:val="00BC42B7"/>
    <w:rsid w:val="00BC463F"/>
    <w:rsid w:val="00BC465A"/>
    <w:rsid w:val="00BC4AE6"/>
    <w:rsid w:val="00BC511D"/>
    <w:rsid w:val="00BC5676"/>
    <w:rsid w:val="00BC5CEA"/>
    <w:rsid w:val="00BC65FB"/>
    <w:rsid w:val="00BC6BBD"/>
    <w:rsid w:val="00BC71EE"/>
    <w:rsid w:val="00BC7D56"/>
    <w:rsid w:val="00BD0AC0"/>
    <w:rsid w:val="00BD0EAC"/>
    <w:rsid w:val="00BD1EA2"/>
    <w:rsid w:val="00BD2069"/>
    <w:rsid w:val="00BD288A"/>
    <w:rsid w:val="00BD28BE"/>
    <w:rsid w:val="00BD2AC6"/>
    <w:rsid w:val="00BD5FFA"/>
    <w:rsid w:val="00BD634A"/>
    <w:rsid w:val="00BD6554"/>
    <w:rsid w:val="00BD7185"/>
    <w:rsid w:val="00BD7784"/>
    <w:rsid w:val="00BD79E3"/>
    <w:rsid w:val="00BD7A1E"/>
    <w:rsid w:val="00BE0011"/>
    <w:rsid w:val="00BE00AA"/>
    <w:rsid w:val="00BE00D0"/>
    <w:rsid w:val="00BE05CC"/>
    <w:rsid w:val="00BE12F8"/>
    <w:rsid w:val="00BE1770"/>
    <w:rsid w:val="00BE17E7"/>
    <w:rsid w:val="00BE1BE6"/>
    <w:rsid w:val="00BE2412"/>
    <w:rsid w:val="00BE2F78"/>
    <w:rsid w:val="00BE44C5"/>
    <w:rsid w:val="00BE4541"/>
    <w:rsid w:val="00BE46D9"/>
    <w:rsid w:val="00BE480F"/>
    <w:rsid w:val="00BE4926"/>
    <w:rsid w:val="00BE5321"/>
    <w:rsid w:val="00BE5734"/>
    <w:rsid w:val="00BE5769"/>
    <w:rsid w:val="00BE5985"/>
    <w:rsid w:val="00BE62C4"/>
    <w:rsid w:val="00BE6E0F"/>
    <w:rsid w:val="00BE7778"/>
    <w:rsid w:val="00BE7D3E"/>
    <w:rsid w:val="00BF0850"/>
    <w:rsid w:val="00BF0A47"/>
    <w:rsid w:val="00BF0E8B"/>
    <w:rsid w:val="00BF109B"/>
    <w:rsid w:val="00BF133A"/>
    <w:rsid w:val="00BF1386"/>
    <w:rsid w:val="00BF1497"/>
    <w:rsid w:val="00BF14DD"/>
    <w:rsid w:val="00BF15CC"/>
    <w:rsid w:val="00BF1D45"/>
    <w:rsid w:val="00BF2068"/>
    <w:rsid w:val="00BF2692"/>
    <w:rsid w:val="00BF2AB3"/>
    <w:rsid w:val="00BF2E23"/>
    <w:rsid w:val="00BF4933"/>
    <w:rsid w:val="00BF4C36"/>
    <w:rsid w:val="00BF4CFB"/>
    <w:rsid w:val="00BF4D7A"/>
    <w:rsid w:val="00BF51C9"/>
    <w:rsid w:val="00BF5B10"/>
    <w:rsid w:val="00BF5D01"/>
    <w:rsid w:val="00BF6A03"/>
    <w:rsid w:val="00BF6B09"/>
    <w:rsid w:val="00BF6FC7"/>
    <w:rsid w:val="00BF7566"/>
    <w:rsid w:val="00BF7D2E"/>
    <w:rsid w:val="00C0052D"/>
    <w:rsid w:val="00C00CE8"/>
    <w:rsid w:val="00C00DB6"/>
    <w:rsid w:val="00C00E2F"/>
    <w:rsid w:val="00C012C0"/>
    <w:rsid w:val="00C013B5"/>
    <w:rsid w:val="00C019A9"/>
    <w:rsid w:val="00C021C9"/>
    <w:rsid w:val="00C0231C"/>
    <w:rsid w:val="00C02839"/>
    <w:rsid w:val="00C031A7"/>
    <w:rsid w:val="00C0326D"/>
    <w:rsid w:val="00C03565"/>
    <w:rsid w:val="00C039A2"/>
    <w:rsid w:val="00C03D22"/>
    <w:rsid w:val="00C04425"/>
    <w:rsid w:val="00C04B8E"/>
    <w:rsid w:val="00C051CF"/>
    <w:rsid w:val="00C05BA9"/>
    <w:rsid w:val="00C05BE8"/>
    <w:rsid w:val="00C0623A"/>
    <w:rsid w:val="00C06923"/>
    <w:rsid w:val="00C06E8B"/>
    <w:rsid w:val="00C0734D"/>
    <w:rsid w:val="00C07AEA"/>
    <w:rsid w:val="00C101C5"/>
    <w:rsid w:val="00C1028F"/>
    <w:rsid w:val="00C105C4"/>
    <w:rsid w:val="00C10668"/>
    <w:rsid w:val="00C111BA"/>
    <w:rsid w:val="00C11589"/>
    <w:rsid w:val="00C117B1"/>
    <w:rsid w:val="00C119E3"/>
    <w:rsid w:val="00C11D99"/>
    <w:rsid w:val="00C11E45"/>
    <w:rsid w:val="00C12FDB"/>
    <w:rsid w:val="00C1306E"/>
    <w:rsid w:val="00C132F4"/>
    <w:rsid w:val="00C13432"/>
    <w:rsid w:val="00C13AF9"/>
    <w:rsid w:val="00C13F94"/>
    <w:rsid w:val="00C143BB"/>
    <w:rsid w:val="00C14C5B"/>
    <w:rsid w:val="00C1545A"/>
    <w:rsid w:val="00C15560"/>
    <w:rsid w:val="00C156AB"/>
    <w:rsid w:val="00C157DC"/>
    <w:rsid w:val="00C16908"/>
    <w:rsid w:val="00C16AA8"/>
    <w:rsid w:val="00C16EA6"/>
    <w:rsid w:val="00C172EB"/>
    <w:rsid w:val="00C17D4E"/>
    <w:rsid w:val="00C17EDC"/>
    <w:rsid w:val="00C203F1"/>
    <w:rsid w:val="00C206F0"/>
    <w:rsid w:val="00C208D4"/>
    <w:rsid w:val="00C20A70"/>
    <w:rsid w:val="00C21311"/>
    <w:rsid w:val="00C21CE9"/>
    <w:rsid w:val="00C223CC"/>
    <w:rsid w:val="00C2277D"/>
    <w:rsid w:val="00C22816"/>
    <w:rsid w:val="00C22AEF"/>
    <w:rsid w:val="00C23209"/>
    <w:rsid w:val="00C243B1"/>
    <w:rsid w:val="00C2457C"/>
    <w:rsid w:val="00C2475C"/>
    <w:rsid w:val="00C24FAB"/>
    <w:rsid w:val="00C2503F"/>
    <w:rsid w:val="00C251E3"/>
    <w:rsid w:val="00C2541D"/>
    <w:rsid w:val="00C25C85"/>
    <w:rsid w:val="00C25D8D"/>
    <w:rsid w:val="00C26312"/>
    <w:rsid w:val="00C26347"/>
    <w:rsid w:val="00C26446"/>
    <w:rsid w:val="00C26759"/>
    <w:rsid w:val="00C2684D"/>
    <w:rsid w:val="00C26A51"/>
    <w:rsid w:val="00C26B37"/>
    <w:rsid w:val="00C27B00"/>
    <w:rsid w:val="00C305AB"/>
    <w:rsid w:val="00C30A94"/>
    <w:rsid w:val="00C30BA9"/>
    <w:rsid w:val="00C30D56"/>
    <w:rsid w:val="00C310CC"/>
    <w:rsid w:val="00C316F3"/>
    <w:rsid w:val="00C318E3"/>
    <w:rsid w:val="00C31AC5"/>
    <w:rsid w:val="00C31D0F"/>
    <w:rsid w:val="00C31DE5"/>
    <w:rsid w:val="00C31FD4"/>
    <w:rsid w:val="00C32087"/>
    <w:rsid w:val="00C32953"/>
    <w:rsid w:val="00C32C75"/>
    <w:rsid w:val="00C3384E"/>
    <w:rsid w:val="00C33EFE"/>
    <w:rsid w:val="00C34196"/>
    <w:rsid w:val="00C345BA"/>
    <w:rsid w:val="00C3495C"/>
    <w:rsid w:val="00C353CA"/>
    <w:rsid w:val="00C35FA4"/>
    <w:rsid w:val="00C36700"/>
    <w:rsid w:val="00C36749"/>
    <w:rsid w:val="00C36BF6"/>
    <w:rsid w:val="00C36C20"/>
    <w:rsid w:val="00C36D9A"/>
    <w:rsid w:val="00C36F10"/>
    <w:rsid w:val="00C370F1"/>
    <w:rsid w:val="00C37230"/>
    <w:rsid w:val="00C37894"/>
    <w:rsid w:val="00C403EF"/>
    <w:rsid w:val="00C405ED"/>
    <w:rsid w:val="00C405F3"/>
    <w:rsid w:val="00C40640"/>
    <w:rsid w:val="00C408C1"/>
    <w:rsid w:val="00C40F35"/>
    <w:rsid w:val="00C411A5"/>
    <w:rsid w:val="00C4145A"/>
    <w:rsid w:val="00C41617"/>
    <w:rsid w:val="00C4169D"/>
    <w:rsid w:val="00C4197D"/>
    <w:rsid w:val="00C41BDD"/>
    <w:rsid w:val="00C4225D"/>
    <w:rsid w:val="00C42D36"/>
    <w:rsid w:val="00C4320B"/>
    <w:rsid w:val="00C43A02"/>
    <w:rsid w:val="00C43AD4"/>
    <w:rsid w:val="00C43DC5"/>
    <w:rsid w:val="00C44122"/>
    <w:rsid w:val="00C44889"/>
    <w:rsid w:val="00C44E48"/>
    <w:rsid w:val="00C44F63"/>
    <w:rsid w:val="00C450CB"/>
    <w:rsid w:val="00C455AD"/>
    <w:rsid w:val="00C45855"/>
    <w:rsid w:val="00C45CD1"/>
    <w:rsid w:val="00C465D6"/>
    <w:rsid w:val="00C4703F"/>
    <w:rsid w:val="00C4756C"/>
    <w:rsid w:val="00C4789D"/>
    <w:rsid w:val="00C50052"/>
    <w:rsid w:val="00C50242"/>
    <w:rsid w:val="00C512D6"/>
    <w:rsid w:val="00C51771"/>
    <w:rsid w:val="00C51E32"/>
    <w:rsid w:val="00C52293"/>
    <w:rsid w:val="00C527AE"/>
    <w:rsid w:val="00C52E9A"/>
    <w:rsid w:val="00C53059"/>
    <w:rsid w:val="00C53439"/>
    <w:rsid w:val="00C53499"/>
    <w:rsid w:val="00C53643"/>
    <w:rsid w:val="00C53A4B"/>
    <w:rsid w:val="00C53D15"/>
    <w:rsid w:val="00C53DD4"/>
    <w:rsid w:val="00C54093"/>
    <w:rsid w:val="00C5461D"/>
    <w:rsid w:val="00C548D5"/>
    <w:rsid w:val="00C54AE9"/>
    <w:rsid w:val="00C54B72"/>
    <w:rsid w:val="00C54EB3"/>
    <w:rsid w:val="00C54EBB"/>
    <w:rsid w:val="00C55B52"/>
    <w:rsid w:val="00C55B89"/>
    <w:rsid w:val="00C55C92"/>
    <w:rsid w:val="00C56440"/>
    <w:rsid w:val="00C56C47"/>
    <w:rsid w:val="00C56CEF"/>
    <w:rsid w:val="00C571CD"/>
    <w:rsid w:val="00C57524"/>
    <w:rsid w:val="00C57971"/>
    <w:rsid w:val="00C57FFB"/>
    <w:rsid w:val="00C609DA"/>
    <w:rsid w:val="00C60AA7"/>
    <w:rsid w:val="00C61693"/>
    <w:rsid w:val="00C619E7"/>
    <w:rsid w:val="00C61C0C"/>
    <w:rsid w:val="00C624D8"/>
    <w:rsid w:val="00C6314C"/>
    <w:rsid w:val="00C6344D"/>
    <w:rsid w:val="00C641FA"/>
    <w:rsid w:val="00C64652"/>
    <w:rsid w:val="00C65514"/>
    <w:rsid w:val="00C66008"/>
    <w:rsid w:val="00C66586"/>
    <w:rsid w:val="00C6694E"/>
    <w:rsid w:val="00C66B89"/>
    <w:rsid w:val="00C66FAB"/>
    <w:rsid w:val="00C671EE"/>
    <w:rsid w:val="00C67296"/>
    <w:rsid w:val="00C676C4"/>
    <w:rsid w:val="00C679E2"/>
    <w:rsid w:val="00C704B8"/>
    <w:rsid w:val="00C7068B"/>
    <w:rsid w:val="00C70828"/>
    <w:rsid w:val="00C70C37"/>
    <w:rsid w:val="00C70EBC"/>
    <w:rsid w:val="00C7115F"/>
    <w:rsid w:val="00C71356"/>
    <w:rsid w:val="00C71527"/>
    <w:rsid w:val="00C716C2"/>
    <w:rsid w:val="00C71E93"/>
    <w:rsid w:val="00C7234B"/>
    <w:rsid w:val="00C727AC"/>
    <w:rsid w:val="00C7298B"/>
    <w:rsid w:val="00C730DC"/>
    <w:rsid w:val="00C732BD"/>
    <w:rsid w:val="00C732C8"/>
    <w:rsid w:val="00C734DA"/>
    <w:rsid w:val="00C735A8"/>
    <w:rsid w:val="00C735BA"/>
    <w:rsid w:val="00C74481"/>
    <w:rsid w:val="00C74FB2"/>
    <w:rsid w:val="00C7581E"/>
    <w:rsid w:val="00C75901"/>
    <w:rsid w:val="00C75EA3"/>
    <w:rsid w:val="00C760B9"/>
    <w:rsid w:val="00C76569"/>
    <w:rsid w:val="00C7669A"/>
    <w:rsid w:val="00C76CB6"/>
    <w:rsid w:val="00C76F0D"/>
    <w:rsid w:val="00C77A89"/>
    <w:rsid w:val="00C77F3D"/>
    <w:rsid w:val="00C8021A"/>
    <w:rsid w:val="00C804EA"/>
    <w:rsid w:val="00C8064A"/>
    <w:rsid w:val="00C81882"/>
    <w:rsid w:val="00C81A04"/>
    <w:rsid w:val="00C81D60"/>
    <w:rsid w:val="00C81D7E"/>
    <w:rsid w:val="00C8325E"/>
    <w:rsid w:val="00C8328C"/>
    <w:rsid w:val="00C83C45"/>
    <w:rsid w:val="00C8441D"/>
    <w:rsid w:val="00C84549"/>
    <w:rsid w:val="00C85537"/>
    <w:rsid w:val="00C859A6"/>
    <w:rsid w:val="00C85A0A"/>
    <w:rsid w:val="00C85F93"/>
    <w:rsid w:val="00C86777"/>
    <w:rsid w:val="00C86B03"/>
    <w:rsid w:val="00C86DF5"/>
    <w:rsid w:val="00C8738F"/>
    <w:rsid w:val="00C87410"/>
    <w:rsid w:val="00C8756A"/>
    <w:rsid w:val="00C87649"/>
    <w:rsid w:val="00C8795A"/>
    <w:rsid w:val="00C90514"/>
    <w:rsid w:val="00C907B3"/>
    <w:rsid w:val="00C90A24"/>
    <w:rsid w:val="00C90CAE"/>
    <w:rsid w:val="00C90EFF"/>
    <w:rsid w:val="00C912CC"/>
    <w:rsid w:val="00C91383"/>
    <w:rsid w:val="00C91515"/>
    <w:rsid w:val="00C91932"/>
    <w:rsid w:val="00C91C04"/>
    <w:rsid w:val="00C91FE4"/>
    <w:rsid w:val="00C921AA"/>
    <w:rsid w:val="00C92541"/>
    <w:rsid w:val="00C926C8"/>
    <w:rsid w:val="00C93512"/>
    <w:rsid w:val="00C93A9A"/>
    <w:rsid w:val="00C93B9A"/>
    <w:rsid w:val="00C93EBD"/>
    <w:rsid w:val="00C94E2D"/>
    <w:rsid w:val="00C95751"/>
    <w:rsid w:val="00C95857"/>
    <w:rsid w:val="00C95EC1"/>
    <w:rsid w:val="00C963D9"/>
    <w:rsid w:val="00C96814"/>
    <w:rsid w:val="00C968C7"/>
    <w:rsid w:val="00C96DC3"/>
    <w:rsid w:val="00C971BF"/>
    <w:rsid w:val="00C9735C"/>
    <w:rsid w:val="00C976E0"/>
    <w:rsid w:val="00C97856"/>
    <w:rsid w:val="00C979AC"/>
    <w:rsid w:val="00C97AD4"/>
    <w:rsid w:val="00CA03FF"/>
    <w:rsid w:val="00CA0550"/>
    <w:rsid w:val="00CA08E6"/>
    <w:rsid w:val="00CA09F1"/>
    <w:rsid w:val="00CA0BDE"/>
    <w:rsid w:val="00CA0E8B"/>
    <w:rsid w:val="00CA0F4E"/>
    <w:rsid w:val="00CA106B"/>
    <w:rsid w:val="00CA172A"/>
    <w:rsid w:val="00CA1A34"/>
    <w:rsid w:val="00CA1F4F"/>
    <w:rsid w:val="00CA271B"/>
    <w:rsid w:val="00CA2D6E"/>
    <w:rsid w:val="00CA2E77"/>
    <w:rsid w:val="00CA3263"/>
    <w:rsid w:val="00CA3979"/>
    <w:rsid w:val="00CA441F"/>
    <w:rsid w:val="00CA4BA5"/>
    <w:rsid w:val="00CA4EE5"/>
    <w:rsid w:val="00CA520A"/>
    <w:rsid w:val="00CA5465"/>
    <w:rsid w:val="00CA5EAF"/>
    <w:rsid w:val="00CA631D"/>
    <w:rsid w:val="00CA6448"/>
    <w:rsid w:val="00CA6651"/>
    <w:rsid w:val="00CA69D1"/>
    <w:rsid w:val="00CA6E7C"/>
    <w:rsid w:val="00CA73EB"/>
    <w:rsid w:val="00CA7519"/>
    <w:rsid w:val="00CA7567"/>
    <w:rsid w:val="00CA79AD"/>
    <w:rsid w:val="00CA79BE"/>
    <w:rsid w:val="00CA79C1"/>
    <w:rsid w:val="00CA7BCC"/>
    <w:rsid w:val="00CB03A9"/>
    <w:rsid w:val="00CB0770"/>
    <w:rsid w:val="00CB0A4A"/>
    <w:rsid w:val="00CB1776"/>
    <w:rsid w:val="00CB19D9"/>
    <w:rsid w:val="00CB3932"/>
    <w:rsid w:val="00CB3F77"/>
    <w:rsid w:val="00CB4178"/>
    <w:rsid w:val="00CB4266"/>
    <w:rsid w:val="00CB46D1"/>
    <w:rsid w:val="00CB4944"/>
    <w:rsid w:val="00CB4B15"/>
    <w:rsid w:val="00CB4EAC"/>
    <w:rsid w:val="00CB5C9F"/>
    <w:rsid w:val="00CB5E1D"/>
    <w:rsid w:val="00CB6212"/>
    <w:rsid w:val="00CB6420"/>
    <w:rsid w:val="00CB6B80"/>
    <w:rsid w:val="00CB6C9E"/>
    <w:rsid w:val="00CB7281"/>
    <w:rsid w:val="00CB7451"/>
    <w:rsid w:val="00CB75C7"/>
    <w:rsid w:val="00CB76A9"/>
    <w:rsid w:val="00CB7C52"/>
    <w:rsid w:val="00CB7C7B"/>
    <w:rsid w:val="00CC0866"/>
    <w:rsid w:val="00CC2206"/>
    <w:rsid w:val="00CC2C3A"/>
    <w:rsid w:val="00CC2D62"/>
    <w:rsid w:val="00CC2D66"/>
    <w:rsid w:val="00CC2DDB"/>
    <w:rsid w:val="00CC2EF3"/>
    <w:rsid w:val="00CC2EFC"/>
    <w:rsid w:val="00CC32DD"/>
    <w:rsid w:val="00CC3456"/>
    <w:rsid w:val="00CC3528"/>
    <w:rsid w:val="00CC4998"/>
    <w:rsid w:val="00CC4D07"/>
    <w:rsid w:val="00CC4D9D"/>
    <w:rsid w:val="00CC4DCF"/>
    <w:rsid w:val="00CC5236"/>
    <w:rsid w:val="00CC55C0"/>
    <w:rsid w:val="00CC57AA"/>
    <w:rsid w:val="00CC5A16"/>
    <w:rsid w:val="00CC5EC7"/>
    <w:rsid w:val="00CC6B7A"/>
    <w:rsid w:val="00CC6F5B"/>
    <w:rsid w:val="00CC70A2"/>
    <w:rsid w:val="00CC72FF"/>
    <w:rsid w:val="00CC76B7"/>
    <w:rsid w:val="00CC7BAE"/>
    <w:rsid w:val="00CC7FAB"/>
    <w:rsid w:val="00CD02AE"/>
    <w:rsid w:val="00CD096A"/>
    <w:rsid w:val="00CD175C"/>
    <w:rsid w:val="00CD1AFB"/>
    <w:rsid w:val="00CD1C6A"/>
    <w:rsid w:val="00CD1D9D"/>
    <w:rsid w:val="00CD2029"/>
    <w:rsid w:val="00CD23F6"/>
    <w:rsid w:val="00CD2FE2"/>
    <w:rsid w:val="00CD30B5"/>
    <w:rsid w:val="00CD37C0"/>
    <w:rsid w:val="00CD4268"/>
    <w:rsid w:val="00CD430B"/>
    <w:rsid w:val="00CD4BB0"/>
    <w:rsid w:val="00CD4E0F"/>
    <w:rsid w:val="00CD5060"/>
    <w:rsid w:val="00CD590C"/>
    <w:rsid w:val="00CD5F8E"/>
    <w:rsid w:val="00CD5F94"/>
    <w:rsid w:val="00CD612E"/>
    <w:rsid w:val="00CD621D"/>
    <w:rsid w:val="00CD63E5"/>
    <w:rsid w:val="00CD663B"/>
    <w:rsid w:val="00CD69A8"/>
    <w:rsid w:val="00CD6BE3"/>
    <w:rsid w:val="00CD7498"/>
    <w:rsid w:val="00CD752A"/>
    <w:rsid w:val="00CD7609"/>
    <w:rsid w:val="00CD7BF7"/>
    <w:rsid w:val="00CE02E6"/>
    <w:rsid w:val="00CE05D8"/>
    <w:rsid w:val="00CE1059"/>
    <w:rsid w:val="00CE1D92"/>
    <w:rsid w:val="00CE1E22"/>
    <w:rsid w:val="00CE218D"/>
    <w:rsid w:val="00CE2453"/>
    <w:rsid w:val="00CE3EFF"/>
    <w:rsid w:val="00CE4046"/>
    <w:rsid w:val="00CE4326"/>
    <w:rsid w:val="00CE5607"/>
    <w:rsid w:val="00CE5E20"/>
    <w:rsid w:val="00CE61FB"/>
    <w:rsid w:val="00CE794B"/>
    <w:rsid w:val="00CE7F6C"/>
    <w:rsid w:val="00CF0499"/>
    <w:rsid w:val="00CF0EC1"/>
    <w:rsid w:val="00CF293D"/>
    <w:rsid w:val="00CF29F9"/>
    <w:rsid w:val="00CF2DEC"/>
    <w:rsid w:val="00CF3436"/>
    <w:rsid w:val="00CF3547"/>
    <w:rsid w:val="00CF4BE2"/>
    <w:rsid w:val="00CF4D22"/>
    <w:rsid w:val="00CF522B"/>
    <w:rsid w:val="00CF52B9"/>
    <w:rsid w:val="00CF60B0"/>
    <w:rsid w:val="00CF6794"/>
    <w:rsid w:val="00CF6AC4"/>
    <w:rsid w:val="00CF6CDD"/>
    <w:rsid w:val="00CF7C3F"/>
    <w:rsid w:val="00D004C7"/>
    <w:rsid w:val="00D00FA5"/>
    <w:rsid w:val="00D019EA"/>
    <w:rsid w:val="00D01A65"/>
    <w:rsid w:val="00D02BF8"/>
    <w:rsid w:val="00D035BB"/>
    <w:rsid w:val="00D035F9"/>
    <w:rsid w:val="00D0369A"/>
    <w:rsid w:val="00D037AF"/>
    <w:rsid w:val="00D037EC"/>
    <w:rsid w:val="00D045C1"/>
    <w:rsid w:val="00D045C3"/>
    <w:rsid w:val="00D04B3D"/>
    <w:rsid w:val="00D04CCD"/>
    <w:rsid w:val="00D0561F"/>
    <w:rsid w:val="00D059D8"/>
    <w:rsid w:val="00D063D1"/>
    <w:rsid w:val="00D06D56"/>
    <w:rsid w:val="00D06E76"/>
    <w:rsid w:val="00D074D6"/>
    <w:rsid w:val="00D07C33"/>
    <w:rsid w:val="00D07C88"/>
    <w:rsid w:val="00D1011B"/>
    <w:rsid w:val="00D101C7"/>
    <w:rsid w:val="00D11647"/>
    <w:rsid w:val="00D11EBC"/>
    <w:rsid w:val="00D11F2F"/>
    <w:rsid w:val="00D11FF4"/>
    <w:rsid w:val="00D12373"/>
    <w:rsid w:val="00D1260D"/>
    <w:rsid w:val="00D12623"/>
    <w:rsid w:val="00D12AAD"/>
    <w:rsid w:val="00D134BD"/>
    <w:rsid w:val="00D1431F"/>
    <w:rsid w:val="00D1433A"/>
    <w:rsid w:val="00D14853"/>
    <w:rsid w:val="00D14CD9"/>
    <w:rsid w:val="00D1531B"/>
    <w:rsid w:val="00D16595"/>
    <w:rsid w:val="00D16A3A"/>
    <w:rsid w:val="00D16B3D"/>
    <w:rsid w:val="00D16C73"/>
    <w:rsid w:val="00D16E12"/>
    <w:rsid w:val="00D17189"/>
    <w:rsid w:val="00D17AED"/>
    <w:rsid w:val="00D213B2"/>
    <w:rsid w:val="00D2153D"/>
    <w:rsid w:val="00D2207F"/>
    <w:rsid w:val="00D22445"/>
    <w:rsid w:val="00D22711"/>
    <w:rsid w:val="00D227DB"/>
    <w:rsid w:val="00D22C47"/>
    <w:rsid w:val="00D236EF"/>
    <w:rsid w:val="00D2399F"/>
    <w:rsid w:val="00D23F01"/>
    <w:rsid w:val="00D249D0"/>
    <w:rsid w:val="00D24AC2"/>
    <w:rsid w:val="00D253E8"/>
    <w:rsid w:val="00D25781"/>
    <w:rsid w:val="00D25D63"/>
    <w:rsid w:val="00D26367"/>
    <w:rsid w:val="00D26677"/>
    <w:rsid w:val="00D2692C"/>
    <w:rsid w:val="00D26986"/>
    <w:rsid w:val="00D26FD2"/>
    <w:rsid w:val="00D26FDF"/>
    <w:rsid w:val="00D275E1"/>
    <w:rsid w:val="00D2761C"/>
    <w:rsid w:val="00D304DF"/>
    <w:rsid w:val="00D30ABC"/>
    <w:rsid w:val="00D31613"/>
    <w:rsid w:val="00D31724"/>
    <w:rsid w:val="00D31787"/>
    <w:rsid w:val="00D31AF0"/>
    <w:rsid w:val="00D31DC2"/>
    <w:rsid w:val="00D3224C"/>
    <w:rsid w:val="00D322EF"/>
    <w:rsid w:val="00D3235B"/>
    <w:rsid w:val="00D32387"/>
    <w:rsid w:val="00D323F4"/>
    <w:rsid w:val="00D32BD1"/>
    <w:rsid w:val="00D32CA9"/>
    <w:rsid w:val="00D330D8"/>
    <w:rsid w:val="00D33163"/>
    <w:rsid w:val="00D34700"/>
    <w:rsid w:val="00D34B12"/>
    <w:rsid w:val="00D35049"/>
    <w:rsid w:val="00D35CA2"/>
    <w:rsid w:val="00D35CA5"/>
    <w:rsid w:val="00D36121"/>
    <w:rsid w:val="00D36ABE"/>
    <w:rsid w:val="00D3778F"/>
    <w:rsid w:val="00D378AA"/>
    <w:rsid w:val="00D37C5D"/>
    <w:rsid w:val="00D402B1"/>
    <w:rsid w:val="00D40785"/>
    <w:rsid w:val="00D410FD"/>
    <w:rsid w:val="00D42A7A"/>
    <w:rsid w:val="00D42B28"/>
    <w:rsid w:val="00D42D6A"/>
    <w:rsid w:val="00D43024"/>
    <w:rsid w:val="00D431A2"/>
    <w:rsid w:val="00D43575"/>
    <w:rsid w:val="00D436E5"/>
    <w:rsid w:val="00D44111"/>
    <w:rsid w:val="00D44372"/>
    <w:rsid w:val="00D446F9"/>
    <w:rsid w:val="00D452CE"/>
    <w:rsid w:val="00D45699"/>
    <w:rsid w:val="00D458B3"/>
    <w:rsid w:val="00D45BB6"/>
    <w:rsid w:val="00D45EB1"/>
    <w:rsid w:val="00D4625C"/>
    <w:rsid w:val="00D46580"/>
    <w:rsid w:val="00D4658D"/>
    <w:rsid w:val="00D472CB"/>
    <w:rsid w:val="00D472F8"/>
    <w:rsid w:val="00D47615"/>
    <w:rsid w:val="00D47790"/>
    <w:rsid w:val="00D47ABF"/>
    <w:rsid w:val="00D50083"/>
    <w:rsid w:val="00D5082B"/>
    <w:rsid w:val="00D51021"/>
    <w:rsid w:val="00D5131E"/>
    <w:rsid w:val="00D51F07"/>
    <w:rsid w:val="00D51FF7"/>
    <w:rsid w:val="00D52811"/>
    <w:rsid w:val="00D52D62"/>
    <w:rsid w:val="00D531BC"/>
    <w:rsid w:val="00D537CC"/>
    <w:rsid w:val="00D53A68"/>
    <w:rsid w:val="00D5432A"/>
    <w:rsid w:val="00D54988"/>
    <w:rsid w:val="00D54A3A"/>
    <w:rsid w:val="00D54F64"/>
    <w:rsid w:val="00D54F65"/>
    <w:rsid w:val="00D55284"/>
    <w:rsid w:val="00D559F3"/>
    <w:rsid w:val="00D55A20"/>
    <w:rsid w:val="00D5612F"/>
    <w:rsid w:val="00D56579"/>
    <w:rsid w:val="00D5690F"/>
    <w:rsid w:val="00D57032"/>
    <w:rsid w:val="00D5724F"/>
    <w:rsid w:val="00D575AF"/>
    <w:rsid w:val="00D6008B"/>
    <w:rsid w:val="00D606B6"/>
    <w:rsid w:val="00D60A06"/>
    <w:rsid w:val="00D60B3C"/>
    <w:rsid w:val="00D61096"/>
    <w:rsid w:val="00D622F0"/>
    <w:rsid w:val="00D625E8"/>
    <w:rsid w:val="00D628B7"/>
    <w:rsid w:val="00D62922"/>
    <w:rsid w:val="00D633E5"/>
    <w:rsid w:val="00D6369C"/>
    <w:rsid w:val="00D63CAE"/>
    <w:rsid w:val="00D63CBA"/>
    <w:rsid w:val="00D64247"/>
    <w:rsid w:val="00D642BC"/>
    <w:rsid w:val="00D644FB"/>
    <w:rsid w:val="00D649FF"/>
    <w:rsid w:val="00D64A9C"/>
    <w:rsid w:val="00D64E08"/>
    <w:rsid w:val="00D65518"/>
    <w:rsid w:val="00D657A6"/>
    <w:rsid w:val="00D6644B"/>
    <w:rsid w:val="00D664E0"/>
    <w:rsid w:val="00D66AF0"/>
    <w:rsid w:val="00D66DC5"/>
    <w:rsid w:val="00D66EB5"/>
    <w:rsid w:val="00D67002"/>
    <w:rsid w:val="00D6718F"/>
    <w:rsid w:val="00D70531"/>
    <w:rsid w:val="00D705A0"/>
    <w:rsid w:val="00D70980"/>
    <w:rsid w:val="00D71039"/>
    <w:rsid w:val="00D72025"/>
    <w:rsid w:val="00D7229D"/>
    <w:rsid w:val="00D72413"/>
    <w:rsid w:val="00D72BB2"/>
    <w:rsid w:val="00D72F49"/>
    <w:rsid w:val="00D738A8"/>
    <w:rsid w:val="00D738BD"/>
    <w:rsid w:val="00D7475A"/>
    <w:rsid w:val="00D75479"/>
    <w:rsid w:val="00D75496"/>
    <w:rsid w:val="00D765C1"/>
    <w:rsid w:val="00D77A38"/>
    <w:rsid w:val="00D802BB"/>
    <w:rsid w:val="00D8096D"/>
    <w:rsid w:val="00D81463"/>
    <w:rsid w:val="00D82891"/>
    <w:rsid w:val="00D82B13"/>
    <w:rsid w:val="00D82CCA"/>
    <w:rsid w:val="00D82D52"/>
    <w:rsid w:val="00D83247"/>
    <w:rsid w:val="00D83326"/>
    <w:rsid w:val="00D8362F"/>
    <w:rsid w:val="00D83714"/>
    <w:rsid w:val="00D83994"/>
    <w:rsid w:val="00D839C1"/>
    <w:rsid w:val="00D8487B"/>
    <w:rsid w:val="00D84A1C"/>
    <w:rsid w:val="00D854B2"/>
    <w:rsid w:val="00D85855"/>
    <w:rsid w:val="00D85970"/>
    <w:rsid w:val="00D85A6D"/>
    <w:rsid w:val="00D85B8C"/>
    <w:rsid w:val="00D85F76"/>
    <w:rsid w:val="00D86475"/>
    <w:rsid w:val="00D86519"/>
    <w:rsid w:val="00D865C1"/>
    <w:rsid w:val="00D86B4A"/>
    <w:rsid w:val="00D87CDB"/>
    <w:rsid w:val="00D90CE5"/>
    <w:rsid w:val="00D91D89"/>
    <w:rsid w:val="00D92161"/>
    <w:rsid w:val="00D928ED"/>
    <w:rsid w:val="00D9298E"/>
    <w:rsid w:val="00D92D59"/>
    <w:rsid w:val="00D931EE"/>
    <w:rsid w:val="00D93427"/>
    <w:rsid w:val="00D93511"/>
    <w:rsid w:val="00D93C04"/>
    <w:rsid w:val="00D9409B"/>
    <w:rsid w:val="00D94416"/>
    <w:rsid w:val="00D945F6"/>
    <w:rsid w:val="00D94B22"/>
    <w:rsid w:val="00D950C2"/>
    <w:rsid w:val="00D95861"/>
    <w:rsid w:val="00D95A00"/>
    <w:rsid w:val="00D95AB0"/>
    <w:rsid w:val="00D95B7D"/>
    <w:rsid w:val="00D96093"/>
    <w:rsid w:val="00D9625A"/>
    <w:rsid w:val="00D964F2"/>
    <w:rsid w:val="00D96530"/>
    <w:rsid w:val="00D9661F"/>
    <w:rsid w:val="00D96D34"/>
    <w:rsid w:val="00D96F65"/>
    <w:rsid w:val="00D96F9D"/>
    <w:rsid w:val="00D971C3"/>
    <w:rsid w:val="00D97721"/>
    <w:rsid w:val="00D97741"/>
    <w:rsid w:val="00D97AB3"/>
    <w:rsid w:val="00DA071F"/>
    <w:rsid w:val="00DA0B7D"/>
    <w:rsid w:val="00DA0BB1"/>
    <w:rsid w:val="00DA0D7E"/>
    <w:rsid w:val="00DA1C3C"/>
    <w:rsid w:val="00DA229C"/>
    <w:rsid w:val="00DA239B"/>
    <w:rsid w:val="00DA2519"/>
    <w:rsid w:val="00DA2A4B"/>
    <w:rsid w:val="00DA3188"/>
    <w:rsid w:val="00DA3A76"/>
    <w:rsid w:val="00DA40A8"/>
    <w:rsid w:val="00DA4A71"/>
    <w:rsid w:val="00DA520C"/>
    <w:rsid w:val="00DA65DF"/>
    <w:rsid w:val="00DA6C31"/>
    <w:rsid w:val="00DA6E91"/>
    <w:rsid w:val="00DA723C"/>
    <w:rsid w:val="00DA7404"/>
    <w:rsid w:val="00DA7A64"/>
    <w:rsid w:val="00DA7A80"/>
    <w:rsid w:val="00DB040C"/>
    <w:rsid w:val="00DB0BD8"/>
    <w:rsid w:val="00DB0D24"/>
    <w:rsid w:val="00DB24D7"/>
    <w:rsid w:val="00DB2515"/>
    <w:rsid w:val="00DB2A8D"/>
    <w:rsid w:val="00DB2AE8"/>
    <w:rsid w:val="00DB2BCF"/>
    <w:rsid w:val="00DB2EC7"/>
    <w:rsid w:val="00DB3496"/>
    <w:rsid w:val="00DB34FA"/>
    <w:rsid w:val="00DB38F8"/>
    <w:rsid w:val="00DB48BC"/>
    <w:rsid w:val="00DB48E4"/>
    <w:rsid w:val="00DB49C5"/>
    <w:rsid w:val="00DB4A56"/>
    <w:rsid w:val="00DB4BB0"/>
    <w:rsid w:val="00DB4EAD"/>
    <w:rsid w:val="00DB4FC7"/>
    <w:rsid w:val="00DB51B1"/>
    <w:rsid w:val="00DB5737"/>
    <w:rsid w:val="00DB5932"/>
    <w:rsid w:val="00DB6141"/>
    <w:rsid w:val="00DB6283"/>
    <w:rsid w:val="00DB65F8"/>
    <w:rsid w:val="00DB67A0"/>
    <w:rsid w:val="00DB683D"/>
    <w:rsid w:val="00DB71DC"/>
    <w:rsid w:val="00DB7716"/>
    <w:rsid w:val="00DC0829"/>
    <w:rsid w:val="00DC0E5B"/>
    <w:rsid w:val="00DC108A"/>
    <w:rsid w:val="00DC15D7"/>
    <w:rsid w:val="00DC1FB4"/>
    <w:rsid w:val="00DC3488"/>
    <w:rsid w:val="00DC39DD"/>
    <w:rsid w:val="00DC3F2D"/>
    <w:rsid w:val="00DC442B"/>
    <w:rsid w:val="00DC46B5"/>
    <w:rsid w:val="00DC4A36"/>
    <w:rsid w:val="00DC4D4E"/>
    <w:rsid w:val="00DC4EDA"/>
    <w:rsid w:val="00DC5333"/>
    <w:rsid w:val="00DC53FB"/>
    <w:rsid w:val="00DC57D5"/>
    <w:rsid w:val="00DC5922"/>
    <w:rsid w:val="00DC5F27"/>
    <w:rsid w:val="00DC61B3"/>
    <w:rsid w:val="00DC64B4"/>
    <w:rsid w:val="00DC659B"/>
    <w:rsid w:val="00DC6866"/>
    <w:rsid w:val="00DC69AF"/>
    <w:rsid w:val="00DC6AA0"/>
    <w:rsid w:val="00DC72B6"/>
    <w:rsid w:val="00DC7465"/>
    <w:rsid w:val="00DC7A71"/>
    <w:rsid w:val="00DC7FA4"/>
    <w:rsid w:val="00DC7FD7"/>
    <w:rsid w:val="00DD0365"/>
    <w:rsid w:val="00DD0C39"/>
    <w:rsid w:val="00DD0E9D"/>
    <w:rsid w:val="00DD11A4"/>
    <w:rsid w:val="00DD1716"/>
    <w:rsid w:val="00DD1CCD"/>
    <w:rsid w:val="00DD1F3C"/>
    <w:rsid w:val="00DD1FF9"/>
    <w:rsid w:val="00DD2147"/>
    <w:rsid w:val="00DD2A2C"/>
    <w:rsid w:val="00DD2BB4"/>
    <w:rsid w:val="00DD3A6A"/>
    <w:rsid w:val="00DD3AC1"/>
    <w:rsid w:val="00DD3B87"/>
    <w:rsid w:val="00DD4279"/>
    <w:rsid w:val="00DD4342"/>
    <w:rsid w:val="00DD486C"/>
    <w:rsid w:val="00DD49B4"/>
    <w:rsid w:val="00DD4CB2"/>
    <w:rsid w:val="00DD4D51"/>
    <w:rsid w:val="00DD4F76"/>
    <w:rsid w:val="00DD4FBF"/>
    <w:rsid w:val="00DD505F"/>
    <w:rsid w:val="00DD51CE"/>
    <w:rsid w:val="00DD546B"/>
    <w:rsid w:val="00DD557D"/>
    <w:rsid w:val="00DD5AEC"/>
    <w:rsid w:val="00DD628F"/>
    <w:rsid w:val="00DD694B"/>
    <w:rsid w:val="00DD6A9D"/>
    <w:rsid w:val="00DD6D69"/>
    <w:rsid w:val="00DD6E55"/>
    <w:rsid w:val="00DD6F14"/>
    <w:rsid w:val="00DD6F62"/>
    <w:rsid w:val="00DE04A2"/>
    <w:rsid w:val="00DE0514"/>
    <w:rsid w:val="00DE097F"/>
    <w:rsid w:val="00DE0B2F"/>
    <w:rsid w:val="00DE0E71"/>
    <w:rsid w:val="00DE10B3"/>
    <w:rsid w:val="00DE1BCA"/>
    <w:rsid w:val="00DE1D18"/>
    <w:rsid w:val="00DE30B2"/>
    <w:rsid w:val="00DE339A"/>
    <w:rsid w:val="00DE3439"/>
    <w:rsid w:val="00DE3792"/>
    <w:rsid w:val="00DE3A13"/>
    <w:rsid w:val="00DE3E60"/>
    <w:rsid w:val="00DE444A"/>
    <w:rsid w:val="00DE4BF2"/>
    <w:rsid w:val="00DE4EF8"/>
    <w:rsid w:val="00DE4FEB"/>
    <w:rsid w:val="00DE512E"/>
    <w:rsid w:val="00DE5299"/>
    <w:rsid w:val="00DE5807"/>
    <w:rsid w:val="00DE5A5E"/>
    <w:rsid w:val="00DE63B5"/>
    <w:rsid w:val="00DE715F"/>
    <w:rsid w:val="00DE7F69"/>
    <w:rsid w:val="00DF0757"/>
    <w:rsid w:val="00DF0E6B"/>
    <w:rsid w:val="00DF0FD1"/>
    <w:rsid w:val="00DF1188"/>
    <w:rsid w:val="00DF14D0"/>
    <w:rsid w:val="00DF1561"/>
    <w:rsid w:val="00DF2D6E"/>
    <w:rsid w:val="00DF3278"/>
    <w:rsid w:val="00DF33DC"/>
    <w:rsid w:val="00DF36CB"/>
    <w:rsid w:val="00DF38C7"/>
    <w:rsid w:val="00DF4245"/>
    <w:rsid w:val="00DF4507"/>
    <w:rsid w:val="00DF4648"/>
    <w:rsid w:val="00DF4BB2"/>
    <w:rsid w:val="00DF4C35"/>
    <w:rsid w:val="00DF4CEE"/>
    <w:rsid w:val="00DF5400"/>
    <w:rsid w:val="00DF56D7"/>
    <w:rsid w:val="00DF5804"/>
    <w:rsid w:val="00DF5C94"/>
    <w:rsid w:val="00DF632F"/>
    <w:rsid w:val="00DF650E"/>
    <w:rsid w:val="00DF688B"/>
    <w:rsid w:val="00DF6FD5"/>
    <w:rsid w:val="00DF779C"/>
    <w:rsid w:val="00DF7946"/>
    <w:rsid w:val="00DF7965"/>
    <w:rsid w:val="00DF79A1"/>
    <w:rsid w:val="00DF7A64"/>
    <w:rsid w:val="00DF7DB6"/>
    <w:rsid w:val="00DF7E41"/>
    <w:rsid w:val="00E0064B"/>
    <w:rsid w:val="00E00D5E"/>
    <w:rsid w:val="00E010C1"/>
    <w:rsid w:val="00E0142B"/>
    <w:rsid w:val="00E027EE"/>
    <w:rsid w:val="00E02CCC"/>
    <w:rsid w:val="00E02E72"/>
    <w:rsid w:val="00E03978"/>
    <w:rsid w:val="00E03D44"/>
    <w:rsid w:val="00E04186"/>
    <w:rsid w:val="00E0477B"/>
    <w:rsid w:val="00E049FD"/>
    <w:rsid w:val="00E0534B"/>
    <w:rsid w:val="00E055BC"/>
    <w:rsid w:val="00E05D76"/>
    <w:rsid w:val="00E05DF0"/>
    <w:rsid w:val="00E05F57"/>
    <w:rsid w:val="00E06155"/>
    <w:rsid w:val="00E06F2F"/>
    <w:rsid w:val="00E0731C"/>
    <w:rsid w:val="00E07401"/>
    <w:rsid w:val="00E07720"/>
    <w:rsid w:val="00E0798D"/>
    <w:rsid w:val="00E07FE1"/>
    <w:rsid w:val="00E10082"/>
    <w:rsid w:val="00E10968"/>
    <w:rsid w:val="00E10E14"/>
    <w:rsid w:val="00E10E44"/>
    <w:rsid w:val="00E10EF4"/>
    <w:rsid w:val="00E110D6"/>
    <w:rsid w:val="00E112CA"/>
    <w:rsid w:val="00E11AEE"/>
    <w:rsid w:val="00E11AF0"/>
    <w:rsid w:val="00E11E98"/>
    <w:rsid w:val="00E128D2"/>
    <w:rsid w:val="00E12BFB"/>
    <w:rsid w:val="00E12EEC"/>
    <w:rsid w:val="00E13BC7"/>
    <w:rsid w:val="00E1438F"/>
    <w:rsid w:val="00E15FDD"/>
    <w:rsid w:val="00E1619E"/>
    <w:rsid w:val="00E1655F"/>
    <w:rsid w:val="00E1696D"/>
    <w:rsid w:val="00E16B78"/>
    <w:rsid w:val="00E17071"/>
    <w:rsid w:val="00E17A4A"/>
    <w:rsid w:val="00E17E77"/>
    <w:rsid w:val="00E202EC"/>
    <w:rsid w:val="00E2072D"/>
    <w:rsid w:val="00E2090C"/>
    <w:rsid w:val="00E20FE3"/>
    <w:rsid w:val="00E21527"/>
    <w:rsid w:val="00E2155F"/>
    <w:rsid w:val="00E21E06"/>
    <w:rsid w:val="00E21E93"/>
    <w:rsid w:val="00E237E9"/>
    <w:rsid w:val="00E24459"/>
    <w:rsid w:val="00E244CB"/>
    <w:rsid w:val="00E24917"/>
    <w:rsid w:val="00E25383"/>
    <w:rsid w:val="00E25541"/>
    <w:rsid w:val="00E260BB"/>
    <w:rsid w:val="00E264D9"/>
    <w:rsid w:val="00E26D1F"/>
    <w:rsid w:val="00E26E4F"/>
    <w:rsid w:val="00E26E98"/>
    <w:rsid w:val="00E270C7"/>
    <w:rsid w:val="00E275A1"/>
    <w:rsid w:val="00E27CC9"/>
    <w:rsid w:val="00E3074D"/>
    <w:rsid w:val="00E30876"/>
    <w:rsid w:val="00E308CC"/>
    <w:rsid w:val="00E31175"/>
    <w:rsid w:val="00E3135F"/>
    <w:rsid w:val="00E32034"/>
    <w:rsid w:val="00E3282A"/>
    <w:rsid w:val="00E328F3"/>
    <w:rsid w:val="00E32E03"/>
    <w:rsid w:val="00E33F20"/>
    <w:rsid w:val="00E3402D"/>
    <w:rsid w:val="00E34C72"/>
    <w:rsid w:val="00E3503A"/>
    <w:rsid w:val="00E35129"/>
    <w:rsid w:val="00E352EC"/>
    <w:rsid w:val="00E3759C"/>
    <w:rsid w:val="00E37C53"/>
    <w:rsid w:val="00E37D78"/>
    <w:rsid w:val="00E37DFA"/>
    <w:rsid w:val="00E37E06"/>
    <w:rsid w:val="00E403FB"/>
    <w:rsid w:val="00E40448"/>
    <w:rsid w:val="00E40630"/>
    <w:rsid w:val="00E40C74"/>
    <w:rsid w:val="00E41298"/>
    <w:rsid w:val="00E41635"/>
    <w:rsid w:val="00E42531"/>
    <w:rsid w:val="00E425CC"/>
    <w:rsid w:val="00E43067"/>
    <w:rsid w:val="00E43935"/>
    <w:rsid w:val="00E43C63"/>
    <w:rsid w:val="00E4445A"/>
    <w:rsid w:val="00E448F6"/>
    <w:rsid w:val="00E44923"/>
    <w:rsid w:val="00E44E86"/>
    <w:rsid w:val="00E45119"/>
    <w:rsid w:val="00E4523C"/>
    <w:rsid w:val="00E453FA"/>
    <w:rsid w:val="00E454A7"/>
    <w:rsid w:val="00E45934"/>
    <w:rsid w:val="00E4608F"/>
    <w:rsid w:val="00E46107"/>
    <w:rsid w:val="00E46DA5"/>
    <w:rsid w:val="00E50452"/>
    <w:rsid w:val="00E505B2"/>
    <w:rsid w:val="00E5097D"/>
    <w:rsid w:val="00E509DA"/>
    <w:rsid w:val="00E50D7C"/>
    <w:rsid w:val="00E50E54"/>
    <w:rsid w:val="00E51215"/>
    <w:rsid w:val="00E51246"/>
    <w:rsid w:val="00E51BF2"/>
    <w:rsid w:val="00E52286"/>
    <w:rsid w:val="00E523D7"/>
    <w:rsid w:val="00E5246A"/>
    <w:rsid w:val="00E52AA6"/>
    <w:rsid w:val="00E52C84"/>
    <w:rsid w:val="00E531EE"/>
    <w:rsid w:val="00E533F9"/>
    <w:rsid w:val="00E5341E"/>
    <w:rsid w:val="00E542B0"/>
    <w:rsid w:val="00E54645"/>
    <w:rsid w:val="00E54725"/>
    <w:rsid w:val="00E54953"/>
    <w:rsid w:val="00E550BA"/>
    <w:rsid w:val="00E55582"/>
    <w:rsid w:val="00E55761"/>
    <w:rsid w:val="00E55CFA"/>
    <w:rsid w:val="00E5609F"/>
    <w:rsid w:val="00E562CF"/>
    <w:rsid w:val="00E56987"/>
    <w:rsid w:val="00E600D4"/>
    <w:rsid w:val="00E60150"/>
    <w:rsid w:val="00E6085A"/>
    <w:rsid w:val="00E60B72"/>
    <w:rsid w:val="00E60C4A"/>
    <w:rsid w:val="00E611E8"/>
    <w:rsid w:val="00E618E7"/>
    <w:rsid w:val="00E61EF6"/>
    <w:rsid w:val="00E61FF4"/>
    <w:rsid w:val="00E6222B"/>
    <w:rsid w:val="00E626D4"/>
    <w:rsid w:val="00E6288D"/>
    <w:rsid w:val="00E6382D"/>
    <w:rsid w:val="00E641B7"/>
    <w:rsid w:val="00E64D9E"/>
    <w:rsid w:val="00E65373"/>
    <w:rsid w:val="00E655D0"/>
    <w:rsid w:val="00E65A6D"/>
    <w:rsid w:val="00E65DEA"/>
    <w:rsid w:val="00E65FA7"/>
    <w:rsid w:val="00E66150"/>
    <w:rsid w:val="00E6648E"/>
    <w:rsid w:val="00E66BC7"/>
    <w:rsid w:val="00E67049"/>
    <w:rsid w:val="00E670D2"/>
    <w:rsid w:val="00E67541"/>
    <w:rsid w:val="00E67864"/>
    <w:rsid w:val="00E67BEB"/>
    <w:rsid w:val="00E67ECF"/>
    <w:rsid w:val="00E67FFE"/>
    <w:rsid w:val="00E701DC"/>
    <w:rsid w:val="00E70C61"/>
    <w:rsid w:val="00E70E61"/>
    <w:rsid w:val="00E71148"/>
    <w:rsid w:val="00E71C10"/>
    <w:rsid w:val="00E71DCE"/>
    <w:rsid w:val="00E720E9"/>
    <w:rsid w:val="00E72225"/>
    <w:rsid w:val="00E72419"/>
    <w:rsid w:val="00E724A2"/>
    <w:rsid w:val="00E72841"/>
    <w:rsid w:val="00E72AA1"/>
    <w:rsid w:val="00E72F46"/>
    <w:rsid w:val="00E74563"/>
    <w:rsid w:val="00E74645"/>
    <w:rsid w:val="00E751EC"/>
    <w:rsid w:val="00E752A0"/>
    <w:rsid w:val="00E75430"/>
    <w:rsid w:val="00E75AE3"/>
    <w:rsid w:val="00E76C9F"/>
    <w:rsid w:val="00E774F1"/>
    <w:rsid w:val="00E80E54"/>
    <w:rsid w:val="00E81236"/>
    <w:rsid w:val="00E8138C"/>
    <w:rsid w:val="00E81669"/>
    <w:rsid w:val="00E81832"/>
    <w:rsid w:val="00E81D72"/>
    <w:rsid w:val="00E8288D"/>
    <w:rsid w:val="00E829C8"/>
    <w:rsid w:val="00E82F8F"/>
    <w:rsid w:val="00E846D4"/>
    <w:rsid w:val="00E8492E"/>
    <w:rsid w:val="00E84A49"/>
    <w:rsid w:val="00E84C5C"/>
    <w:rsid w:val="00E84F68"/>
    <w:rsid w:val="00E85187"/>
    <w:rsid w:val="00E85A3B"/>
    <w:rsid w:val="00E8619E"/>
    <w:rsid w:val="00E8661B"/>
    <w:rsid w:val="00E86716"/>
    <w:rsid w:val="00E867EA"/>
    <w:rsid w:val="00E86E03"/>
    <w:rsid w:val="00E86F7D"/>
    <w:rsid w:val="00E87849"/>
    <w:rsid w:val="00E87999"/>
    <w:rsid w:val="00E87B74"/>
    <w:rsid w:val="00E90A09"/>
    <w:rsid w:val="00E90C58"/>
    <w:rsid w:val="00E90FDD"/>
    <w:rsid w:val="00E91FF3"/>
    <w:rsid w:val="00E926D1"/>
    <w:rsid w:val="00E9343A"/>
    <w:rsid w:val="00E938E9"/>
    <w:rsid w:val="00E93AA6"/>
    <w:rsid w:val="00E93BD9"/>
    <w:rsid w:val="00E94C04"/>
    <w:rsid w:val="00E9557A"/>
    <w:rsid w:val="00E95E05"/>
    <w:rsid w:val="00E95F2D"/>
    <w:rsid w:val="00E960CE"/>
    <w:rsid w:val="00E96CDD"/>
    <w:rsid w:val="00E96D42"/>
    <w:rsid w:val="00E97435"/>
    <w:rsid w:val="00E97734"/>
    <w:rsid w:val="00E977DA"/>
    <w:rsid w:val="00E978A6"/>
    <w:rsid w:val="00E97F61"/>
    <w:rsid w:val="00EA009E"/>
    <w:rsid w:val="00EA0859"/>
    <w:rsid w:val="00EA0B21"/>
    <w:rsid w:val="00EA0F26"/>
    <w:rsid w:val="00EA1574"/>
    <w:rsid w:val="00EA1AC6"/>
    <w:rsid w:val="00EA2C2A"/>
    <w:rsid w:val="00EA3346"/>
    <w:rsid w:val="00EA34B0"/>
    <w:rsid w:val="00EA34B9"/>
    <w:rsid w:val="00EA39C8"/>
    <w:rsid w:val="00EA3FAF"/>
    <w:rsid w:val="00EA486D"/>
    <w:rsid w:val="00EA5085"/>
    <w:rsid w:val="00EA5115"/>
    <w:rsid w:val="00EA544F"/>
    <w:rsid w:val="00EA5A57"/>
    <w:rsid w:val="00EA611A"/>
    <w:rsid w:val="00EA67D1"/>
    <w:rsid w:val="00EA69E0"/>
    <w:rsid w:val="00EA6D33"/>
    <w:rsid w:val="00EA6EF2"/>
    <w:rsid w:val="00EA6F84"/>
    <w:rsid w:val="00EA70EE"/>
    <w:rsid w:val="00EB066F"/>
    <w:rsid w:val="00EB0FB5"/>
    <w:rsid w:val="00EB15B0"/>
    <w:rsid w:val="00EB1CF1"/>
    <w:rsid w:val="00EB1D03"/>
    <w:rsid w:val="00EB1FC2"/>
    <w:rsid w:val="00EB2798"/>
    <w:rsid w:val="00EB2837"/>
    <w:rsid w:val="00EB2A42"/>
    <w:rsid w:val="00EB2ED4"/>
    <w:rsid w:val="00EB3411"/>
    <w:rsid w:val="00EB3ABF"/>
    <w:rsid w:val="00EB3F61"/>
    <w:rsid w:val="00EB464D"/>
    <w:rsid w:val="00EB4DB9"/>
    <w:rsid w:val="00EB5A77"/>
    <w:rsid w:val="00EB5C9C"/>
    <w:rsid w:val="00EB6124"/>
    <w:rsid w:val="00EB67B9"/>
    <w:rsid w:val="00EB6B98"/>
    <w:rsid w:val="00EB7082"/>
    <w:rsid w:val="00EB7B1A"/>
    <w:rsid w:val="00EC005D"/>
    <w:rsid w:val="00EC05A8"/>
    <w:rsid w:val="00EC0827"/>
    <w:rsid w:val="00EC0A89"/>
    <w:rsid w:val="00EC1C7E"/>
    <w:rsid w:val="00EC1D3C"/>
    <w:rsid w:val="00EC21F1"/>
    <w:rsid w:val="00EC23B9"/>
    <w:rsid w:val="00EC2818"/>
    <w:rsid w:val="00EC300B"/>
    <w:rsid w:val="00EC34DA"/>
    <w:rsid w:val="00EC3BCB"/>
    <w:rsid w:val="00EC4582"/>
    <w:rsid w:val="00EC46EB"/>
    <w:rsid w:val="00EC4D90"/>
    <w:rsid w:val="00EC4EF8"/>
    <w:rsid w:val="00EC4FF6"/>
    <w:rsid w:val="00EC505F"/>
    <w:rsid w:val="00EC5158"/>
    <w:rsid w:val="00EC53EF"/>
    <w:rsid w:val="00EC5974"/>
    <w:rsid w:val="00EC5B2C"/>
    <w:rsid w:val="00EC5C20"/>
    <w:rsid w:val="00EC606C"/>
    <w:rsid w:val="00EC6825"/>
    <w:rsid w:val="00EC6917"/>
    <w:rsid w:val="00EC6986"/>
    <w:rsid w:val="00EC69B4"/>
    <w:rsid w:val="00EC6D09"/>
    <w:rsid w:val="00EC7461"/>
    <w:rsid w:val="00EC77E2"/>
    <w:rsid w:val="00ED044D"/>
    <w:rsid w:val="00ED04DC"/>
    <w:rsid w:val="00ED0787"/>
    <w:rsid w:val="00ED0862"/>
    <w:rsid w:val="00ED0A8E"/>
    <w:rsid w:val="00ED1D90"/>
    <w:rsid w:val="00ED1E8B"/>
    <w:rsid w:val="00ED2916"/>
    <w:rsid w:val="00ED3D90"/>
    <w:rsid w:val="00ED3DDF"/>
    <w:rsid w:val="00ED40E0"/>
    <w:rsid w:val="00ED40F0"/>
    <w:rsid w:val="00ED4818"/>
    <w:rsid w:val="00ED553A"/>
    <w:rsid w:val="00ED55CF"/>
    <w:rsid w:val="00ED5647"/>
    <w:rsid w:val="00ED5728"/>
    <w:rsid w:val="00ED59E2"/>
    <w:rsid w:val="00ED5E78"/>
    <w:rsid w:val="00ED6DDF"/>
    <w:rsid w:val="00ED6E5A"/>
    <w:rsid w:val="00ED7E53"/>
    <w:rsid w:val="00ED7FA8"/>
    <w:rsid w:val="00EE0156"/>
    <w:rsid w:val="00EE01C0"/>
    <w:rsid w:val="00EE03D1"/>
    <w:rsid w:val="00EE0440"/>
    <w:rsid w:val="00EE0A2B"/>
    <w:rsid w:val="00EE0CC5"/>
    <w:rsid w:val="00EE0D2C"/>
    <w:rsid w:val="00EE14AF"/>
    <w:rsid w:val="00EE1735"/>
    <w:rsid w:val="00EE1AAF"/>
    <w:rsid w:val="00EE1E5A"/>
    <w:rsid w:val="00EE2258"/>
    <w:rsid w:val="00EE292B"/>
    <w:rsid w:val="00EE2AA6"/>
    <w:rsid w:val="00EE2AEB"/>
    <w:rsid w:val="00EE2B22"/>
    <w:rsid w:val="00EE3155"/>
    <w:rsid w:val="00EE3311"/>
    <w:rsid w:val="00EE34E8"/>
    <w:rsid w:val="00EE3698"/>
    <w:rsid w:val="00EE4C32"/>
    <w:rsid w:val="00EE4FA6"/>
    <w:rsid w:val="00EE6510"/>
    <w:rsid w:val="00EE672A"/>
    <w:rsid w:val="00EE6932"/>
    <w:rsid w:val="00EE7213"/>
    <w:rsid w:val="00EE742B"/>
    <w:rsid w:val="00EE7AD2"/>
    <w:rsid w:val="00EF0791"/>
    <w:rsid w:val="00EF0810"/>
    <w:rsid w:val="00EF0DB8"/>
    <w:rsid w:val="00EF0DCB"/>
    <w:rsid w:val="00EF13FF"/>
    <w:rsid w:val="00EF15EF"/>
    <w:rsid w:val="00EF2BB9"/>
    <w:rsid w:val="00EF30BB"/>
    <w:rsid w:val="00EF37D0"/>
    <w:rsid w:val="00EF3B81"/>
    <w:rsid w:val="00EF3F9E"/>
    <w:rsid w:val="00EF45E7"/>
    <w:rsid w:val="00EF4791"/>
    <w:rsid w:val="00EF4E7B"/>
    <w:rsid w:val="00EF54CD"/>
    <w:rsid w:val="00EF55AE"/>
    <w:rsid w:val="00EF5A63"/>
    <w:rsid w:val="00EF754D"/>
    <w:rsid w:val="00EF7628"/>
    <w:rsid w:val="00EF7C63"/>
    <w:rsid w:val="00F000F9"/>
    <w:rsid w:val="00F012B6"/>
    <w:rsid w:val="00F012DB"/>
    <w:rsid w:val="00F01A21"/>
    <w:rsid w:val="00F035DB"/>
    <w:rsid w:val="00F0370A"/>
    <w:rsid w:val="00F041E0"/>
    <w:rsid w:val="00F0473C"/>
    <w:rsid w:val="00F05042"/>
    <w:rsid w:val="00F06363"/>
    <w:rsid w:val="00F063A4"/>
    <w:rsid w:val="00F0641C"/>
    <w:rsid w:val="00F069B3"/>
    <w:rsid w:val="00F071D2"/>
    <w:rsid w:val="00F0759E"/>
    <w:rsid w:val="00F076A6"/>
    <w:rsid w:val="00F076AB"/>
    <w:rsid w:val="00F07AB5"/>
    <w:rsid w:val="00F10F0B"/>
    <w:rsid w:val="00F1159E"/>
    <w:rsid w:val="00F117C1"/>
    <w:rsid w:val="00F11B62"/>
    <w:rsid w:val="00F11E4B"/>
    <w:rsid w:val="00F11FE6"/>
    <w:rsid w:val="00F12201"/>
    <w:rsid w:val="00F12221"/>
    <w:rsid w:val="00F13046"/>
    <w:rsid w:val="00F132CD"/>
    <w:rsid w:val="00F13339"/>
    <w:rsid w:val="00F13D79"/>
    <w:rsid w:val="00F13FEE"/>
    <w:rsid w:val="00F14C00"/>
    <w:rsid w:val="00F14C5B"/>
    <w:rsid w:val="00F14D77"/>
    <w:rsid w:val="00F1546B"/>
    <w:rsid w:val="00F154F2"/>
    <w:rsid w:val="00F15ADF"/>
    <w:rsid w:val="00F1606A"/>
    <w:rsid w:val="00F16085"/>
    <w:rsid w:val="00F1670F"/>
    <w:rsid w:val="00F16F0B"/>
    <w:rsid w:val="00F175E0"/>
    <w:rsid w:val="00F17BC1"/>
    <w:rsid w:val="00F20173"/>
    <w:rsid w:val="00F2099E"/>
    <w:rsid w:val="00F211ED"/>
    <w:rsid w:val="00F21377"/>
    <w:rsid w:val="00F21410"/>
    <w:rsid w:val="00F2158F"/>
    <w:rsid w:val="00F21772"/>
    <w:rsid w:val="00F21993"/>
    <w:rsid w:val="00F21ED9"/>
    <w:rsid w:val="00F221FA"/>
    <w:rsid w:val="00F22611"/>
    <w:rsid w:val="00F22A1A"/>
    <w:rsid w:val="00F22B78"/>
    <w:rsid w:val="00F22E32"/>
    <w:rsid w:val="00F2338F"/>
    <w:rsid w:val="00F23C86"/>
    <w:rsid w:val="00F23DB2"/>
    <w:rsid w:val="00F23E0C"/>
    <w:rsid w:val="00F24211"/>
    <w:rsid w:val="00F244B8"/>
    <w:rsid w:val="00F24ABB"/>
    <w:rsid w:val="00F24E1F"/>
    <w:rsid w:val="00F24F34"/>
    <w:rsid w:val="00F25086"/>
    <w:rsid w:val="00F25839"/>
    <w:rsid w:val="00F25AB2"/>
    <w:rsid w:val="00F25B57"/>
    <w:rsid w:val="00F25F3E"/>
    <w:rsid w:val="00F26081"/>
    <w:rsid w:val="00F265A8"/>
    <w:rsid w:val="00F26950"/>
    <w:rsid w:val="00F26994"/>
    <w:rsid w:val="00F26EC0"/>
    <w:rsid w:val="00F2716E"/>
    <w:rsid w:val="00F273C7"/>
    <w:rsid w:val="00F27A9A"/>
    <w:rsid w:val="00F27C7C"/>
    <w:rsid w:val="00F27F85"/>
    <w:rsid w:val="00F30E10"/>
    <w:rsid w:val="00F30F19"/>
    <w:rsid w:val="00F318E6"/>
    <w:rsid w:val="00F3194F"/>
    <w:rsid w:val="00F31B89"/>
    <w:rsid w:val="00F32909"/>
    <w:rsid w:val="00F32D60"/>
    <w:rsid w:val="00F330C7"/>
    <w:rsid w:val="00F341E6"/>
    <w:rsid w:val="00F344A2"/>
    <w:rsid w:val="00F3545A"/>
    <w:rsid w:val="00F35B73"/>
    <w:rsid w:val="00F35BD7"/>
    <w:rsid w:val="00F36729"/>
    <w:rsid w:val="00F36DC6"/>
    <w:rsid w:val="00F37029"/>
    <w:rsid w:val="00F37231"/>
    <w:rsid w:val="00F37597"/>
    <w:rsid w:val="00F37F2C"/>
    <w:rsid w:val="00F405A1"/>
    <w:rsid w:val="00F4159C"/>
    <w:rsid w:val="00F41704"/>
    <w:rsid w:val="00F4174B"/>
    <w:rsid w:val="00F41771"/>
    <w:rsid w:val="00F41A8D"/>
    <w:rsid w:val="00F41AD1"/>
    <w:rsid w:val="00F41EBA"/>
    <w:rsid w:val="00F42634"/>
    <w:rsid w:val="00F439C3"/>
    <w:rsid w:val="00F43A16"/>
    <w:rsid w:val="00F440A8"/>
    <w:rsid w:val="00F44181"/>
    <w:rsid w:val="00F444B3"/>
    <w:rsid w:val="00F4478E"/>
    <w:rsid w:val="00F46B1A"/>
    <w:rsid w:val="00F46CEF"/>
    <w:rsid w:val="00F46FA8"/>
    <w:rsid w:val="00F471EA"/>
    <w:rsid w:val="00F50ED9"/>
    <w:rsid w:val="00F51636"/>
    <w:rsid w:val="00F51869"/>
    <w:rsid w:val="00F5192B"/>
    <w:rsid w:val="00F51C1B"/>
    <w:rsid w:val="00F522BF"/>
    <w:rsid w:val="00F52D6D"/>
    <w:rsid w:val="00F52F2E"/>
    <w:rsid w:val="00F53291"/>
    <w:rsid w:val="00F54B33"/>
    <w:rsid w:val="00F54C02"/>
    <w:rsid w:val="00F54E90"/>
    <w:rsid w:val="00F55246"/>
    <w:rsid w:val="00F55923"/>
    <w:rsid w:val="00F55A34"/>
    <w:rsid w:val="00F55ECB"/>
    <w:rsid w:val="00F560C8"/>
    <w:rsid w:val="00F564E5"/>
    <w:rsid w:val="00F56F02"/>
    <w:rsid w:val="00F56FD5"/>
    <w:rsid w:val="00F5727C"/>
    <w:rsid w:val="00F573AC"/>
    <w:rsid w:val="00F602C6"/>
    <w:rsid w:val="00F606DE"/>
    <w:rsid w:val="00F60ACE"/>
    <w:rsid w:val="00F60C5F"/>
    <w:rsid w:val="00F60CEF"/>
    <w:rsid w:val="00F60D06"/>
    <w:rsid w:val="00F6173D"/>
    <w:rsid w:val="00F61812"/>
    <w:rsid w:val="00F61AA6"/>
    <w:rsid w:val="00F627E6"/>
    <w:rsid w:val="00F62A68"/>
    <w:rsid w:val="00F62AC7"/>
    <w:rsid w:val="00F62FC3"/>
    <w:rsid w:val="00F6367B"/>
    <w:rsid w:val="00F6398C"/>
    <w:rsid w:val="00F63E91"/>
    <w:rsid w:val="00F64042"/>
    <w:rsid w:val="00F647B2"/>
    <w:rsid w:val="00F64FE1"/>
    <w:rsid w:val="00F6596B"/>
    <w:rsid w:val="00F660DB"/>
    <w:rsid w:val="00F666B9"/>
    <w:rsid w:val="00F667C6"/>
    <w:rsid w:val="00F66F72"/>
    <w:rsid w:val="00F67C4E"/>
    <w:rsid w:val="00F70EDC"/>
    <w:rsid w:val="00F717EF"/>
    <w:rsid w:val="00F71AD9"/>
    <w:rsid w:val="00F71D7F"/>
    <w:rsid w:val="00F7213B"/>
    <w:rsid w:val="00F726DC"/>
    <w:rsid w:val="00F727DF"/>
    <w:rsid w:val="00F728CA"/>
    <w:rsid w:val="00F7304F"/>
    <w:rsid w:val="00F731F1"/>
    <w:rsid w:val="00F73BD2"/>
    <w:rsid w:val="00F740AD"/>
    <w:rsid w:val="00F74175"/>
    <w:rsid w:val="00F74858"/>
    <w:rsid w:val="00F74B08"/>
    <w:rsid w:val="00F74F2B"/>
    <w:rsid w:val="00F75447"/>
    <w:rsid w:val="00F7568E"/>
    <w:rsid w:val="00F758CD"/>
    <w:rsid w:val="00F75C2B"/>
    <w:rsid w:val="00F7686A"/>
    <w:rsid w:val="00F76B1D"/>
    <w:rsid w:val="00F7782B"/>
    <w:rsid w:val="00F77863"/>
    <w:rsid w:val="00F779F0"/>
    <w:rsid w:val="00F77E77"/>
    <w:rsid w:val="00F800C0"/>
    <w:rsid w:val="00F8034D"/>
    <w:rsid w:val="00F807A6"/>
    <w:rsid w:val="00F82245"/>
    <w:rsid w:val="00F82457"/>
    <w:rsid w:val="00F833B8"/>
    <w:rsid w:val="00F83478"/>
    <w:rsid w:val="00F83A56"/>
    <w:rsid w:val="00F8498D"/>
    <w:rsid w:val="00F84F6D"/>
    <w:rsid w:val="00F85E36"/>
    <w:rsid w:val="00F862D5"/>
    <w:rsid w:val="00F868FD"/>
    <w:rsid w:val="00F8766F"/>
    <w:rsid w:val="00F87B2D"/>
    <w:rsid w:val="00F9024F"/>
    <w:rsid w:val="00F90322"/>
    <w:rsid w:val="00F90D4B"/>
    <w:rsid w:val="00F90DD3"/>
    <w:rsid w:val="00F914AF"/>
    <w:rsid w:val="00F926A7"/>
    <w:rsid w:val="00F93515"/>
    <w:rsid w:val="00F9392C"/>
    <w:rsid w:val="00F93B14"/>
    <w:rsid w:val="00F93F19"/>
    <w:rsid w:val="00F946E4"/>
    <w:rsid w:val="00F94833"/>
    <w:rsid w:val="00F94AB4"/>
    <w:rsid w:val="00F956D9"/>
    <w:rsid w:val="00F959E5"/>
    <w:rsid w:val="00F9649F"/>
    <w:rsid w:val="00F964CE"/>
    <w:rsid w:val="00F9661A"/>
    <w:rsid w:val="00F96673"/>
    <w:rsid w:val="00F967C3"/>
    <w:rsid w:val="00F96A1F"/>
    <w:rsid w:val="00F96C2C"/>
    <w:rsid w:val="00F96FAA"/>
    <w:rsid w:val="00F97AD5"/>
    <w:rsid w:val="00F97D95"/>
    <w:rsid w:val="00FA0304"/>
    <w:rsid w:val="00FA045A"/>
    <w:rsid w:val="00FA06E7"/>
    <w:rsid w:val="00FA0943"/>
    <w:rsid w:val="00FA0DE2"/>
    <w:rsid w:val="00FA1289"/>
    <w:rsid w:val="00FA1306"/>
    <w:rsid w:val="00FA1386"/>
    <w:rsid w:val="00FA2343"/>
    <w:rsid w:val="00FA2A2D"/>
    <w:rsid w:val="00FA302F"/>
    <w:rsid w:val="00FA319A"/>
    <w:rsid w:val="00FA4F9B"/>
    <w:rsid w:val="00FA530E"/>
    <w:rsid w:val="00FA59E8"/>
    <w:rsid w:val="00FA629A"/>
    <w:rsid w:val="00FA6343"/>
    <w:rsid w:val="00FA63D2"/>
    <w:rsid w:val="00FA6713"/>
    <w:rsid w:val="00FA6EC5"/>
    <w:rsid w:val="00FA7389"/>
    <w:rsid w:val="00FB0311"/>
    <w:rsid w:val="00FB12F2"/>
    <w:rsid w:val="00FB12F6"/>
    <w:rsid w:val="00FB18D5"/>
    <w:rsid w:val="00FB1C6C"/>
    <w:rsid w:val="00FB1D29"/>
    <w:rsid w:val="00FB1E06"/>
    <w:rsid w:val="00FB28F0"/>
    <w:rsid w:val="00FB2DC4"/>
    <w:rsid w:val="00FB354B"/>
    <w:rsid w:val="00FB3718"/>
    <w:rsid w:val="00FB4250"/>
    <w:rsid w:val="00FB512D"/>
    <w:rsid w:val="00FB5412"/>
    <w:rsid w:val="00FB5824"/>
    <w:rsid w:val="00FB5A5A"/>
    <w:rsid w:val="00FB6030"/>
    <w:rsid w:val="00FB707B"/>
    <w:rsid w:val="00FB71F5"/>
    <w:rsid w:val="00FB7928"/>
    <w:rsid w:val="00FC085A"/>
    <w:rsid w:val="00FC0A85"/>
    <w:rsid w:val="00FC0ABE"/>
    <w:rsid w:val="00FC0D5A"/>
    <w:rsid w:val="00FC0DB2"/>
    <w:rsid w:val="00FC1387"/>
    <w:rsid w:val="00FC1927"/>
    <w:rsid w:val="00FC1D96"/>
    <w:rsid w:val="00FC1E68"/>
    <w:rsid w:val="00FC1FC2"/>
    <w:rsid w:val="00FC239D"/>
    <w:rsid w:val="00FC248B"/>
    <w:rsid w:val="00FC28A3"/>
    <w:rsid w:val="00FC2ADA"/>
    <w:rsid w:val="00FC2CB8"/>
    <w:rsid w:val="00FC2DE7"/>
    <w:rsid w:val="00FC3217"/>
    <w:rsid w:val="00FC322E"/>
    <w:rsid w:val="00FC3D71"/>
    <w:rsid w:val="00FC3F70"/>
    <w:rsid w:val="00FC3FCB"/>
    <w:rsid w:val="00FC4227"/>
    <w:rsid w:val="00FC45F1"/>
    <w:rsid w:val="00FC4F25"/>
    <w:rsid w:val="00FC4FFC"/>
    <w:rsid w:val="00FC505A"/>
    <w:rsid w:val="00FC5321"/>
    <w:rsid w:val="00FC5461"/>
    <w:rsid w:val="00FC573C"/>
    <w:rsid w:val="00FC5AF3"/>
    <w:rsid w:val="00FC617D"/>
    <w:rsid w:val="00FC61A7"/>
    <w:rsid w:val="00FC63AD"/>
    <w:rsid w:val="00FC686F"/>
    <w:rsid w:val="00FC6F2E"/>
    <w:rsid w:val="00FC7020"/>
    <w:rsid w:val="00FC7841"/>
    <w:rsid w:val="00FC7BB1"/>
    <w:rsid w:val="00FD09B2"/>
    <w:rsid w:val="00FD1059"/>
    <w:rsid w:val="00FD1260"/>
    <w:rsid w:val="00FD1646"/>
    <w:rsid w:val="00FD1BFB"/>
    <w:rsid w:val="00FD1D5B"/>
    <w:rsid w:val="00FD221B"/>
    <w:rsid w:val="00FD27A9"/>
    <w:rsid w:val="00FD2A60"/>
    <w:rsid w:val="00FD2B8A"/>
    <w:rsid w:val="00FD2BED"/>
    <w:rsid w:val="00FD2C70"/>
    <w:rsid w:val="00FD31B3"/>
    <w:rsid w:val="00FD3330"/>
    <w:rsid w:val="00FD3901"/>
    <w:rsid w:val="00FD3B58"/>
    <w:rsid w:val="00FD3CA8"/>
    <w:rsid w:val="00FD3EAF"/>
    <w:rsid w:val="00FD3EC0"/>
    <w:rsid w:val="00FD4059"/>
    <w:rsid w:val="00FD467D"/>
    <w:rsid w:val="00FD49B4"/>
    <w:rsid w:val="00FD4E5F"/>
    <w:rsid w:val="00FD5880"/>
    <w:rsid w:val="00FD58C3"/>
    <w:rsid w:val="00FD58D9"/>
    <w:rsid w:val="00FD767C"/>
    <w:rsid w:val="00FD7731"/>
    <w:rsid w:val="00FD77D2"/>
    <w:rsid w:val="00FD7827"/>
    <w:rsid w:val="00FD78C8"/>
    <w:rsid w:val="00FD7BAB"/>
    <w:rsid w:val="00FD7DAF"/>
    <w:rsid w:val="00FE0001"/>
    <w:rsid w:val="00FE0568"/>
    <w:rsid w:val="00FE0F92"/>
    <w:rsid w:val="00FE16B8"/>
    <w:rsid w:val="00FE1721"/>
    <w:rsid w:val="00FE1732"/>
    <w:rsid w:val="00FE1D24"/>
    <w:rsid w:val="00FE1DC7"/>
    <w:rsid w:val="00FE2603"/>
    <w:rsid w:val="00FE2776"/>
    <w:rsid w:val="00FE2DEA"/>
    <w:rsid w:val="00FE3CAB"/>
    <w:rsid w:val="00FE3EC0"/>
    <w:rsid w:val="00FE43A7"/>
    <w:rsid w:val="00FE4B24"/>
    <w:rsid w:val="00FE4C3C"/>
    <w:rsid w:val="00FE5797"/>
    <w:rsid w:val="00FE597F"/>
    <w:rsid w:val="00FE6434"/>
    <w:rsid w:val="00FE6611"/>
    <w:rsid w:val="00FE68BE"/>
    <w:rsid w:val="00FE70C3"/>
    <w:rsid w:val="00FE730A"/>
    <w:rsid w:val="00FE73DE"/>
    <w:rsid w:val="00FF08E2"/>
    <w:rsid w:val="00FF0CEF"/>
    <w:rsid w:val="00FF1008"/>
    <w:rsid w:val="00FF1075"/>
    <w:rsid w:val="00FF10B9"/>
    <w:rsid w:val="00FF1F83"/>
    <w:rsid w:val="00FF225F"/>
    <w:rsid w:val="00FF3002"/>
    <w:rsid w:val="00FF3F5A"/>
    <w:rsid w:val="00FF40B2"/>
    <w:rsid w:val="00FF48FC"/>
    <w:rsid w:val="00FF4954"/>
    <w:rsid w:val="00FF4ACA"/>
    <w:rsid w:val="00FF5599"/>
    <w:rsid w:val="00FF55B3"/>
    <w:rsid w:val="00FF5EE3"/>
    <w:rsid w:val="00FF6646"/>
    <w:rsid w:val="00FF690A"/>
    <w:rsid w:val="00FF76A1"/>
    <w:rsid w:val="00FF7D5F"/>
    <w:rsid w:val="00FF7EF2"/>
    <w:rsid w:val="47FC4716"/>
    <w:rsid w:val="7E23DA1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9AD12"/>
  <w15:docId w15:val="{52B7A4BD-756E-4F0F-92F0-525949B1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3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3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93"/>
    <w:pPr>
      <w:spacing w:before="120" w:line="276" w:lineRule="auto"/>
    </w:pPr>
    <w:rPr>
      <w:rFonts w:ascii="Times New Roman" w:hAnsi="Times New Roman"/>
      <w:sz w:val="24"/>
      <w:szCs w:val="22"/>
      <w:lang w:eastAsia="en-US"/>
    </w:rPr>
  </w:style>
  <w:style w:type="paragraph" w:styleId="Heading1">
    <w:name w:val="heading 1"/>
    <w:basedOn w:val="Normal"/>
    <w:link w:val="Heading1Char"/>
    <w:uiPriority w:val="99"/>
    <w:qFormat/>
    <w:rsid w:val="006065C1"/>
    <w:pPr>
      <w:spacing w:before="319" w:after="79" w:line="240" w:lineRule="auto"/>
      <w:outlineLvl w:val="0"/>
    </w:pPr>
    <w:rPr>
      <w:b/>
      <w:bCs/>
      <w:color w:val="336699"/>
      <w:kern w:val="36"/>
      <w:sz w:val="23"/>
      <w:szCs w:val="23"/>
      <w:lang w:eastAsia="en-AU"/>
    </w:rPr>
  </w:style>
  <w:style w:type="paragraph" w:styleId="Heading2">
    <w:name w:val="heading 2"/>
    <w:basedOn w:val="Normal"/>
    <w:next w:val="Normal"/>
    <w:link w:val="Heading2Char"/>
    <w:uiPriority w:val="99"/>
    <w:qFormat/>
    <w:rsid w:val="006065C1"/>
    <w:pPr>
      <w:keepNext/>
      <w:keepLines/>
      <w:spacing w:before="200"/>
      <w:outlineLvl w:val="1"/>
    </w:pPr>
    <w:rPr>
      <w:rFonts w:ascii="Cambria" w:hAnsi="Cambria"/>
      <w:b/>
      <w:bCs/>
      <w:color w:val="4F81BD"/>
      <w:sz w:val="26"/>
      <w:szCs w:val="26"/>
      <w:lang w:eastAsia="en-AU"/>
    </w:rPr>
  </w:style>
  <w:style w:type="paragraph" w:styleId="Heading3">
    <w:name w:val="heading 3"/>
    <w:basedOn w:val="Normal"/>
    <w:next w:val="Normal"/>
    <w:link w:val="Heading3Char"/>
    <w:uiPriority w:val="9"/>
    <w:qFormat/>
    <w:locked/>
    <w:rsid w:val="006065C1"/>
    <w:pPr>
      <w:keepNext/>
      <w:outlineLvl w:val="2"/>
    </w:pPr>
    <w:rPr>
      <w:rFonts w:ascii="Calibri" w:hAnsi="Calibri" w:cs="Arial"/>
      <w:b/>
      <w:i/>
    </w:rPr>
  </w:style>
  <w:style w:type="paragraph" w:styleId="Heading4">
    <w:name w:val="heading 4"/>
    <w:basedOn w:val="Normal"/>
    <w:next w:val="Normal"/>
    <w:link w:val="Heading4Char"/>
    <w:uiPriority w:val="9"/>
    <w:unhideWhenUsed/>
    <w:qFormat/>
    <w:locked/>
    <w:rsid w:val="006065C1"/>
    <w:pPr>
      <w:keepNext/>
      <w:keepLines/>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locked/>
    <w:rsid w:val="006065C1"/>
    <w:pPr>
      <w:keepNext/>
      <w:keepLines/>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9"/>
    <w:qFormat/>
    <w:rsid w:val="006065C1"/>
    <w:pPr>
      <w:keepNext/>
      <w:keepLines/>
      <w:spacing w:before="200"/>
      <w:outlineLvl w:val="5"/>
    </w:pPr>
    <w:rPr>
      <w:rFonts w:ascii="Cambria" w:hAnsi="Cambria"/>
      <w:i/>
      <w:iCs/>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65C1"/>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6065C1"/>
    <w:rPr>
      <w:rFonts w:ascii="Cambria" w:hAnsi="Cambria" w:cs="Times New Roman"/>
      <w:b/>
      <w:bCs/>
      <w:color w:val="4F81BD"/>
      <w:sz w:val="26"/>
      <w:szCs w:val="26"/>
    </w:rPr>
  </w:style>
  <w:style w:type="character" w:customStyle="1" w:styleId="Heading6Char">
    <w:name w:val="Heading 6 Char"/>
    <w:basedOn w:val="DefaultParagraphFont"/>
    <w:link w:val="Heading6"/>
    <w:uiPriority w:val="99"/>
    <w:locked/>
    <w:rsid w:val="006065C1"/>
    <w:rPr>
      <w:rFonts w:ascii="Cambria" w:hAnsi="Cambria" w:cs="Times New Roman"/>
      <w:i/>
      <w:iCs/>
      <w:color w:val="243F60"/>
    </w:rPr>
  </w:style>
  <w:style w:type="paragraph" w:customStyle="1" w:styleId="Bullet">
    <w:name w:val="Bullet"/>
    <w:aliases w:val="b"/>
    <w:basedOn w:val="Normal"/>
    <w:link w:val="BulletChar"/>
    <w:uiPriority w:val="99"/>
    <w:qFormat/>
    <w:rsid w:val="006065C1"/>
    <w:pPr>
      <w:numPr>
        <w:numId w:val="6"/>
      </w:numPr>
      <w:spacing w:after="120"/>
    </w:pPr>
    <w:rPr>
      <w:rFonts w:ascii="Calibri" w:eastAsia="Times New Roman" w:hAnsi="Calibri"/>
    </w:rPr>
  </w:style>
  <w:style w:type="character" w:customStyle="1" w:styleId="BulletChar">
    <w:name w:val="Bullet Char"/>
    <w:aliases w:val="b Char"/>
    <w:basedOn w:val="DefaultParagraphFont"/>
    <w:link w:val="Bullet"/>
    <w:uiPriority w:val="99"/>
    <w:locked/>
    <w:rsid w:val="006065C1"/>
    <w:rPr>
      <w:rFonts w:eastAsia="Times New Roman"/>
      <w:sz w:val="24"/>
      <w:szCs w:val="22"/>
      <w:lang w:eastAsia="en-US"/>
    </w:rPr>
  </w:style>
  <w:style w:type="paragraph" w:customStyle="1" w:styleId="Dash">
    <w:name w:val="Dash"/>
    <w:basedOn w:val="Normal"/>
    <w:link w:val="DashChar"/>
    <w:uiPriority w:val="99"/>
    <w:qFormat/>
    <w:rsid w:val="006065C1"/>
    <w:pPr>
      <w:numPr>
        <w:ilvl w:val="1"/>
        <w:numId w:val="6"/>
      </w:numPr>
      <w:spacing w:after="120"/>
    </w:pPr>
    <w:rPr>
      <w:rFonts w:ascii="Calibri" w:eastAsia="Times New Roman" w:hAnsi="Calibri"/>
    </w:rPr>
  </w:style>
  <w:style w:type="paragraph" w:customStyle="1" w:styleId="DoubleDot">
    <w:name w:val="Double Dot"/>
    <w:basedOn w:val="Normal"/>
    <w:uiPriority w:val="99"/>
    <w:rsid w:val="00A57799"/>
    <w:pPr>
      <w:numPr>
        <w:ilvl w:val="2"/>
        <w:numId w:val="6"/>
      </w:numPr>
      <w:spacing w:after="120"/>
    </w:pPr>
    <w:rPr>
      <w:rFonts w:eastAsia="Times New Roman"/>
    </w:rPr>
  </w:style>
  <w:style w:type="table" w:styleId="TableGrid">
    <w:name w:val="Table Grid"/>
    <w:basedOn w:val="TableNormal"/>
    <w:uiPriority w:val="59"/>
    <w:rsid w:val="00A577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6065C1"/>
    <w:rPr>
      <w:rFonts w:cs="Times New Roman"/>
      <w:b/>
      <w:bCs/>
    </w:rPr>
  </w:style>
  <w:style w:type="paragraph" w:styleId="BalloonText">
    <w:name w:val="Balloon Text"/>
    <w:basedOn w:val="Normal"/>
    <w:link w:val="BalloonTextChar"/>
    <w:uiPriority w:val="99"/>
    <w:semiHidden/>
    <w:rsid w:val="00354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aliases w:val="List Paragraph1,List Paragraph11,FooterText,numbered,Paragraphe de liste1,Bulletr List Paragraph,列出段落,列出段落1,List Paragraph2,List Paragraph21,Listeafsnit1,Parágrafo da Lista1,Párrafo de lista1,リスト段落1,L,List Bullet Cab,Main,CV text,Dot pt"/>
    <w:basedOn w:val="Normal"/>
    <w:link w:val="ListParagraphChar"/>
    <w:uiPriority w:val="34"/>
    <w:qFormat/>
    <w:rsid w:val="006065C1"/>
    <w:pPr>
      <w:ind w:left="720"/>
    </w:pPr>
    <w:rPr>
      <w:rFonts w:ascii="Calibri" w:hAnsi="Calibri"/>
      <w:sz w:val="20"/>
      <w:szCs w:val="20"/>
    </w:rPr>
  </w:style>
  <w:style w:type="paragraph" w:customStyle="1" w:styleId="OutlineNumbered1">
    <w:name w:val="Outline Numbered 1"/>
    <w:basedOn w:val="Normal"/>
    <w:link w:val="OutlineNumbered1Char"/>
    <w:rsid w:val="003B5BFC"/>
    <w:pPr>
      <w:tabs>
        <w:tab w:val="num" w:pos="520"/>
      </w:tabs>
      <w:ind w:left="520" w:hanging="520"/>
    </w:pPr>
  </w:style>
  <w:style w:type="character" w:customStyle="1" w:styleId="OutlineNumbered1Char">
    <w:name w:val="Outline Numbered 1 Char"/>
    <w:basedOn w:val="BulletChar"/>
    <w:link w:val="OutlineNumbered1"/>
    <w:locked/>
    <w:rsid w:val="003B5BFC"/>
    <w:rPr>
      <w:rFonts w:eastAsia="Times New Roman"/>
      <w:sz w:val="22"/>
      <w:szCs w:val="22"/>
      <w:lang w:eastAsia="en-US"/>
    </w:rPr>
  </w:style>
  <w:style w:type="paragraph" w:customStyle="1" w:styleId="OutlineNumbered2">
    <w:name w:val="Outline Numbered 2"/>
    <w:basedOn w:val="Normal"/>
    <w:rsid w:val="003B5BFC"/>
    <w:pPr>
      <w:tabs>
        <w:tab w:val="num" w:pos="1040"/>
      </w:tabs>
      <w:ind w:left="1040" w:hanging="520"/>
    </w:pPr>
  </w:style>
  <w:style w:type="paragraph" w:customStyle="1" w:styleId="OutlineNumbered3">
    <w:name w:val="Outline Numbered 3"/>
    <w:basedOn w:val="Normal"/>
    <w:rsid w:val="003B5BFC"/>
    <w:pPr>
      <w:tabs>
        <w:tab w:val="num" w:pos="1560"/>
      </w:tabs>
      <w:ind w:left="1560" w:hanging="520"/>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line="260" w:lineRule="exact"/>
      <w:ind w:left="964" w:hanging="964"/>
      <w:jc w:val="both"/>
    </w:pPr>
    <w:rPr>
      <w:rFonts w:eastAsia="Times New Roman"/>
      <w:szCs w:val="24"/>
      <w:lang w:eastAsia="en-AU"/>
    </w:rPr>
  </w:style>
  <w:style w:type="paragraph" w:styleId="FootnoteText">
    <w:name w:val="footnote text"/>
    <w:aliases w:val="Table/Chart Ref,Footnote Text Char1 Char,Footnote Text Char Char1 Char,Footnote Text Char Char Char Char Char1,Footnote Text Char Char Char,Footnote Text Char Char Char Char,Footnote Text Char1,Footnote Text Char1 Char Char Char,fn,5_G"/>
    <w:basedOn w:val="Normal"/>
    <w:link w:val="FootnoteTextChar"/>
    <w:uiPriority w:val="31"/>
    <w:rsid w:val="005B4D4F"/>
    <w:pPr>
      <w:spacing w:line="240" w:lineRule="auto"/>
    </w:pPr>
    <w:rPr>
      <w:sz w:val="20"/>
      <w:szCs w:val="20"/>
    </w:rPr>
  </w:style>
  <w:style w:type="character" w:customStyle="1" w:styleId="FootnoteTextChar">
    <w:name w:val="Footnote Text Char"/>
    <w:aliases w:val="Table/Chart Ref Char,Footnote Text Char1 Char Char,Footnote Text Char Char1 Char Char,Footnote Text Char Char Char Char Char1 Char,Footnote Text Char Char Char Char1,Footnote Text Char Char Char Char Char,Footnote Text Char1 Char1"/>
    <w:basedOn w:val="DefaultParagraphFont"/>
    <w:link w:val="FootnoteText"/>
    <w:uiPriority w:val="31"/>
    <w:locked/>
    <w:rsid w:val="005B4D4F"/>
    <w:rPr>
      <w:rFonts w:ascii="Calibri" w:hAnsi="Calibri" w:cs="Times New Roman"/>
      <w:sz w:val="20"/>
      <w:szCs w:val="20"/>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a Footnote Reference,FZ,16 Point"/>
    <w:basedOn w:val="DefaultParagraphFont"/>
    <w:link w:val="4GCharCharCharChar"/>
    <w:uiPriority w:val="31"/>
    <w:rsid w:val="005B4D4F"/>
    <w:rPr>
      <w:rFonts w:cs="Times New Roman"/>
      <w:vertAlign w:val="superscript"/>
    </w:rPr>
  </w:style>
  <w:style w:type="paragraph" w:styleId="Caption">
    <w:name w:val="caption"/>
    <w:basedOn w:val="Normal"/>
    <w:next w:val="Normal"/>
    <w:uiPriority w:val="99"/>
    <w:qFormat/>
    <w:rsid w:val="00FD2B8A"/>
    <w:pPr>
      <w:spacing w:after="120" w:line="240" w:lineRule="auto"/>
    </w:pPr>
    <w:rPr>
      <w:rFonts w:eastAsia="Times New Roman"/>
      <w:bCs/>
      <w:i/>
      <w:szCs w:val="20"/>
      <w:lang w:eastAsia="en-AU"/>
    </w:rPr>
  </w:style>
  <w:style w:type="paragraph" w:customStyle="1" w:styleId="HSR">
    <w:name w:val="HSR"/>
    <w:aliases w:val="Subregulation Heading"/>
    <w:basedOn w:val="Normal"/>
    <w:next w:val="Normal"/>
    <w:uiPriority w:val="99"/>
    <w:rsid w:val="0061177F"/>
    <w:pPr>
      <w:keepNext/>
      <w:spacing w:before="300" w:line="240" w:lineRule="auto"/>
      <w:ind w:left="964"/>
    </w:pPr>
    <w:rPr>
      <w:rFonts w:ascii="Arial" w:eastAsia="Times New Roman" w:hAnsi="Arial"/>
      <w:i/>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6065C1"/>
    <w:rPr>
      <w:rFonts w:cs="Times New Roman"/>
    </w:rPr>
  </w:style>
  <w:style w:type="table" w:customStyle="1" w:styleId="TableGrid2">
    <w:name w:val="Table Grid2"/>
    <w:uiPriority w:val="99"/>
    <w:rsid w:val="00AB0E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rsid w:val="008825E2"/>
    <w:pPr>
      <w:keepLines/>
      <w:tabs>
        <w:tab w:val="right" w:pos="1191"/>
      </w:tabs>
      <w:spacing w:before="6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line="240" w:lineRule="auto"/>
      <w:ind w:left="964" w:hanging="964"/>
    </w:pPr>
    <w:rPr>
      <w:rFonts w:ascii="Arial" w:eastAsia="Times New Roman" w:hAnsi="Arial"/>
      <w:b/>
      <w:szCs w:val="24"/>
      <w:lang w:eastAsia="en-AU"/>
    </w:rPr>
  </w:style>
  <w:style w:type="paragraph" w:styleId="Revision">
    <w:name w:val="Revision"/>
    <w:hidden/>
    <w:uiPriority w:val="99"/>
    <w:semiHidden/>
    <w:rsid w:val="00661953"/>
    <w:rPr>
      <w:sz w:val="22"/>
      <w:szCs w:val="22"/>
      <w:lang w:eastAsia="en-US"/>
    </w:rPr>
  </w:style>
  <w:style w:type="table" w:customStyle="1" w:styleId="LightGrid-Accent11">
    <w:name w:val="Light Grid - Accent 11"/>
    <w:uiPriority w:val="99"/>
    <w:rsid w:val="00D11EB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6065C1"/>
    <w:rPr>
      <w:rFonts w:eastAsia="Times New Roman"/>
      <w:sz w:val="24"/>
      <w:szCs w:val="22"/>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rPr>
      <w:rFonts w:eastAsia="Times New Roman"/>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style>
  <w:style w:type="character" w:customStyle="1" w:styleId="ListParagraphChar">
    <w:name w:val="List Paragraph Char"/>
    <w:aliases w:val="List Paragraph1 Char,List Paragraph11 Char,FooterText Char,numbered Char,Paragraphe de liste1 Char,Bulletr List Paragraph Char,列出段落 Char,列出段落1 Char,List Paragraph2 Char,List Paragraph21 Char,Listeafsnit1 Char,Parágrafo da Lista1 Char"/>
    <w:basedOn w:val="DefaultParagraphFont"/>
    <w:link w:val="ListParagraph"/>
    <w:uiPriority w:val="34"/>
    <w:qFormat/>
    <w:locked/>
    <w:rsid w:val="006065C1"/>
    <w:rPr>
      <w:lang w:eastAsia="en-US"/>
    </w:rPr>
  </w:style>
  <w:style w:type="paragraph" w:customStyle="1" w:styleId="Def">
    <w:name w:val="Def"/>
    <w:basedOn w:val="Normal"/>
    <w:uiPriority w:val="99"/>
    <w:rsid w:val="00FC0ABE"/>
    <w:pPr>
      <w:spacing w:before="80" w:after="100" w:line="260" w:lineRule="exact"/>
      <w:ind w:left="964"/>
      <w:jc w:val="both"/>
    </w:pPr>
  </w:style>
  <w:style w:type="paragraph" w:customStyle="1" w:styleId="NoteSS">
    <w:name w:val="Note SS"/>
    <w:basedOn w:val="Normal"/>
    <w:qFormat/>
    <w:rsid w:val="006065C1"/>
    <w:pPr>
      <w:keepLines/>
      <w:spacing w:line="220" w:lineRule="exact"/>
      <w:ind w:left="964"/>
      <w:jc w:val="both"/>
    </w:pPr>
    <w:rPr>
      <w:sz w:val="20"/>
    </w:rPr>
  </w:style>
  <w:style w:type="paragraph" w:customStyle="1" w:styleId="tPara">
    <w:name w:val="t_Para"/>
    <w:basedOn w:val="Normal"/>
    <w:uiPriority w:val="99"/>
    <w:qFormat/>
    <w:rsid w:val="006065C1"/>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6065C1"/>
    <w:pPr>
      <w:spacing w:before="80" w:after="80" w:line="240" w:lineRule="auto"/>
    </w:pPr>
    <w:rPr>
      <w:rFonts w:eastAsia="Times New Roman"/>
      <w:color w:val="0070C0"/>
      <w:szCs w:val="24"/>
      <w:lang w:eastAsia="en-AU"/>
    </w:rPr>
  </w:style>
  <w:style w:type="paragraph" w:customStyle="1" w:styleId="p10">
    <w:name w:val="p1"/>
    <w:basedOn w:val="Normal"/>
    <w:rsid w:val="00387643"/>
    <w:pPr>
      <w:spacing w:before="100" w:beforeAutospacing="1" w:after="100" w:afterAutospacing="1" w:line="240" w:lineRule="auto"/>
    </w:pPr>
    <w:rPr>
      <w:rFonts w:eastAsia="Times New Roman"/>
      <w:szCs w:val="24"/>
      <w:lang w:eastAsia="en-AU"/>
    </w:rPr>
  </w:style>
  <w:style w:type="paragraph" w:customStyle="1" w:styleId="h5Section">
    <w:name w:val="h5_Section"/>
    <w:basedOn w:val="Heading5"/>
    <w:next w:val="Normal"/>
    <w:uiPriority w:val="99"/>
    <w:qFormat/>
    <w:rsid w:val="006065C1"/>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qFormat/>
    <w:rsid w:val="006065C1"/>
    <w:pPr>
      <w:keepLines/>
      <w:tabs>
        <w:tab w:val="right" w:pos="794"/>
      </w:tabs>
      <w:spacing w:before="80" w:after="100" w:line="260" w:lineRule="exact"/>
      <w:ind w:left="964" w:hanging="964"/>
      <w:jc w:val="both"/>
    </w:pPr>
    <w:rPr>
      <w:rFonts w:eastAsia="Times New Roman"/>
      <w:szCs w:val="24"/>
      <w:lang w:eastAsia="en-AU"/>
    </w:rPr>
  </w:style>
  <w:style w:type="character" w:customStyle="1" w:styleId="Heading5Char">
    <w:name w:val="Heading 5 Char"/>
    <w:basedOn w:val="DefaultParagraphFont"/>
    <w:link w:val="Heading5"/>
    <w:uiPriority w:val="9"/>
    <w:semiHidden/>
    <w:rsid w:val="006065C1"/>
    <w:rPr>
      <w:rFonts w:ascii="Cambria" w:eastAsia="Times New Roman" w:hAnsi="Cambria" w:cs="Times New Roman"/>
      <w:color w:val="243F60"/>
      <w:lang w:eastAsia="en-US"/>
    </w:rPr>
  </w:style>
  <w:style w:type="paragraph" w:customStyle="1" w:styleId="noteMain">
    <w:name w:val="note_Main"/>
    <w:basedOn w:val="tMain"/>
    <w:qFormat/>
    <w:rsid w:val="006065C1"/>
    <w:pPr>
      <w:spacing w:line="220" w:lineRule="exact"/>
    </w:pPr>
    <w:rPr>
      <w:sz w:val="20"/>
    </w:rPr>
  </w:style>
  <w:style w:type="character" w:customStyle="1" w:styleId="Heading4Char">
    <w:name w:val="Heading 4 Char"/>
    <w:basedOn w:val="DefaultParagraphFont"/>
    <w:link w:val="Heading4"/>
    <w:uiPriority w:val="9"/>
    <w:rsid w:val="006065C1"/>
    <w:rPr>
      <w:rFonts w:ascii="Cambria" w:eastAsia="Times New Roman" w:hAnsi="Cambria" w:cs="Times New Roman"/>
      <w:b/>
      <w:bCs/>
      <w:i/>
      <w:iCs/>
      <w:color w:val="4F81BD"/>
      <w:lang w:eastAsia="en-US"/>
    </w:rPr>
  </w:style>
  <w:style w:type="paragraph" w:customStyle="1" w:styleId="noteSubpara">
    <w:name w:val="note_Subpara"/>
    <w:basedOn w:val="Normal"/>
    <w:qFormat/>
    <w:rsid w:val="006065C1"/>
    <w:pPr>
      <w:keepLines/>
      <w:tabs>
        <w:tab w:val="right" w:pos="2211"/>
      </w:tabs>
      <w:spacing w:after="100" w:line="220" w:lineRule="exact"/>
      <w:ind w:left="2410" w:hanging="2410"/>
      <w:jc w:val="both"/>
    </w:pPr>
    <w:rPr>
      <w:rFonts w:eastAsia="Times New Roman"/>
      <w:sz w:val="20"/>
      <w:szCs w:val="24"/>
      <w:lang w:eastAsia="en-AU"/>
    </w:rPr>
  </w:style>
  <w:style w:type="paragraph" w:customStyle="1" w:styleId="tSubpara">
    <w:name w:val="t_Subpara"/>
    <w:basedOn w:val="Normal"/>
    <w:qFormat/>
    <w:rsid w:val="006065C1"/>
    <w:pPr>
      <w:keepLines/>
      <w:tabs>
        <w:tab w:val="right" w:pos="2211"/>
      </w:tabs>
      <w:spacing w:after="100" w:line="260" w:lineRule="exact"/>
      <w:ind w:left="2410" w:hanging="2410"/>
      <w:jc w:val="both"/>
    </w:pPr>
    <w:rPr>
      <w:rFonts w:eastAsia="Times New Roman"/>
      <w:szCs w:val="24"/>
      <w:lang w:eastAsia="en-AU"/>
    </w:rPr>
  </w:style>
  <w:style w:type="paragraph" w:customStyle="1" w:styleId="tDefn">
    <w:name w:val="t_Defn"/>
    <w:basedOn w:val="Normal"/>
    <w:rsid w:val="00FB4250"/>
    <w:pPr>
      <w:spacing w:before="80" w:after="100" w:line="260" w:lineRule="exact"/>
      <w:ind w:left="964"/>
      <w:jc w:val="both"/>
    </w:pPr>
    <w:rPr>
      <w:rFonts w:eastAsia="Times New Roman"/>
      <w:szCs w:val="24"/>
      <w:lang w:eastAsia="en-AU"/>
    </w:rPr>
  </w:style>
  <w:style w:type="paragraph" w:customStyle="1" w:styleId="notePara">
    <w:name w:val="note_Para"/>
    <w:basedOn w:val="tPara"/>
    <w:qFormat/>
    <w:rsid w:val="006065C1"/>
    <w:pPr>
      <w:spacing w:line="220" w:lineRule="exact"/>
    </w:pPr>
    <w:rPr>
      <w:rFonts w:eastAsia="Times New Roman"/>
      <w:sz w:val="20"/>
      <w:szCs w:val="24"/>
      <w:lang w:eastAsia="en-AU"/>
    </w:rPr>
  </w:style>
  <w:style w:type="paragraph" w:customStyle="1" w:styleId="Tablecaption">
    <w:name w:val="Table caption"/>
    <w:basedOn w:val="Caption"/>
    <w:next w:val="Normal"/>
    <w:qFormat/>
    <w:rsid w:val="000B0324"/>
    <w:pPr>
      <w:spacing w:before="0"/>
    </w:pPr>
    <w:rPr>
      <w:b/>
      <w:i w:val="0"/>
      <w:color w:val="000000"/>
      <w:szCs w:val="24"/>
    </w:rPr>
  </w:style>
  <w:style w:type="paragraph" w:customStyle="1" w:styleId="subsection">
    <w:name w:val="subsection"/>
    <w:aliases w:val="ss,Subsection"/>
    <w:basedOn w:val="Normal"/>
    <w:link w:val="subsectionChar"/>
    <w:rsid w:val="00337BC1"/>
    <w:pPr>
      <w:tabs>
        <w:tab w:val="right" w:pos="1021"/>
      </w:tabs>
      <w:spacing w:before="180" w:line="240" w:lineRule="auto"/>
      <w:ind w:left="1134" w:hanging="1134"/>
    </w:pPr>
    <w:rPr>
      <w:rFonts w:eastAsia="Times New Roman"/>
      <w:szCs w:val="20"/>
      <w:lang w:eastAsia="en-AU"/>
    </w:rPr>
  </w:style>
  <w:style w:type="character" w:customStyle="1" w:styleId="subsectionChar">
    <w:name w:val="subsection Char"/>
    <w:aliases w:val="ss Char"/>
    <w:link w:val="subsection"/>
    <w:locked/>
    <w:rsid w:val="00337BC1"/>
    <w:rPr>
      <w:rFonts w:ascii="Times New Roman" w:eastAsia="Times New Roman" w:hAnsi="Times New Roman"/>
      <w:sz w:val="22"/>
    </w:rPr>
  </w:style>
  <w:style w:type="paragraph" w:styleId="TOC2">
    <w:name w:val="toc 2"/>
    <w:basedOn w:val="Normal"/>
    <w:next w:val="Normal"/>
    <w:autoRedefine/>
    <w:uiPriority w:val="39"/>
    <w:unhideWhenUsed/>
    <w:qFormat/>
    <w:locked/>
    <w:rsid w:val="006065C1"/>
    <w:pPr>
      <w:tabs>
        <w:tab w:val="right" w:leader="dot" w:pos="9016"/>
      </w:tabs>
      <w:spacing w:after="100"/>
      <w:ind w:left="567"/>
    </w:pPr>
    <w:rPr>
      <w:rFonts w:eastAsia="Times New Roman"/>
      <w:noProof/>
    </w:rPr>
  </w:style>
  <w:style w:type="paragraph" w:customStyle="1" w:styleId="Tabletext">
    <w:name w:val="Tabletext"/>
    <w:aliases w:val="tt"/>
    <w:basedOn w:val="Normal"/>
    <w:rsid w:val="006647E2"/>
    <w:pPr>
      <w:spacing w:before="60" w:line="240" w:lineRule="atLeast"/>
    </w:pPr>
    <w:rPr>
      <w:rFonts w:eastAsia="Times New Roman"/>
      <w:szCs w:val="20"/>
      <w:lang w:eastAsia="en-AU"/>
    </w:rPr>
  </w:style>
  <w:style w:type="paragraph" w:customStyle="1" w:styleId="Tablecolumnheading">
    <w:name w:val="Table column heading"/>
    <w:basedOn w:val="Normal"/>
    <w:next w:val="Tabletext"/>
    <w:rsid w:val="006647E2"/>
    <w:pPr>
      <w:keepNext/>
      <w:spacing w:before="60" w:line="240" w:lineRule="atLeast"/>
    </w:pPr>
    <w:rPr>
      <w:rFonts w:eastAsia="Times New Roman"/>
      <w:b/>
      <w:szCs w:val="20"/>
      <w:lang w:eastAsia="en-AU"/>
    </w:rPr>
  </w:style>
  <w:style w:type="paragraph" w:customStyle="1" w:styleId="base-text-paragraphnonumbers">
    <w:name w:val="base-text-paragraph no numbers"/>
    <w:basedOn w:val="Normal"/>
    <w:rsid w:val="003A11C1"/>
    <w:pPr>
      <w:spacing w:after="120" w:line="240" w:lineRule="auto"/>
      <w:ind w:left="1134"/>
    </w:pPr>
    <w:rPr>
      <w:rFonts w:eastAsia="Times New Roman"/>
      <w:szCs w:val="20"/>
      <w:lang w:eastAsia="en-AU"/>
    </w:rPr>
  </w:style>
  <w:style w:type="paragraph" w:styleId="ListBullet">
    <w:name w:val="List Bullet"/>
    <w:basedOn w:val="Normal"/>
    <w:uiPriority w:val="99"/>
    <w:unhideWhenUsed/>
    <w:qFormat/>
    <w:locked/>
    <w:rsid w:val="003A4A11"/>
    <w:pPr>
      <w:keepLines/>
      <w:numPr>
        <w:numId w:val="7"/>
      </w:numPr>
      <w:spacing w:before="0"/>
      <w:ind w:left="714" w:hanging="357"/>
      <w:contextualSpacing/>
    </w:pPr>
  </w:style>
  <w:style w:type="paragraph" w:styleId="ListNumber">
    <w:name w:val="List Number"/>
    <w:basedOn w:val="Normal"/>
    <w:uiPriority w:val="99"/>
    <w:unhideWhenUsed/>
    <w:qFormat/>
    <w:locked/>
    <w:rsid w:val="006065C1"/>
    <w:pPr>
      <w:tabs>
        <w:tab w:val="num" w:pos="360"/>
      </w:tabs>
      <w:ind w:left="360" w:hanging="360"/>
      <w:contextualSpacing/>
    </w:pPr>
  </w:style>
  <w:style w:type="character" w:customStyle="1" w:styleId="Heading3Char">
    <w:name w:val="Heading 3 Char"/>
    <w:basedOn w:val="DefaultParagraphFont"/>
    <w:link w:val="Heading3"/>
    <w:uiPriority w:val="9"/>
    <w:rsid w:val="006065C1"/>
    <w:rPr>
      <w:rFonts w:cs="Arial"/>
      <w:b/>
      <w:i/>
      <w:sz w:val="24"/>
      <w:szCs w:val="22"/>
      <w:lang w:eastAsia="en-US"/>
    </w:rPr>
  </w:style>
  <w:style w:type="numbering" w:customStyle="1" w:styleId="KeyPoints">
    <w:name w:val="Key Points"/>
    <w:basedOn w:val="NoList"/>
    <w:uiPriority w:val="99"/>
    <w:rsid w:val="007C4FED"/>
    <w:pPr>
      <w:numPr>
        <w:numId w:val="1"/>
      </w:numPr>
    </w:pPr>
  </w:style>
  <w:style w:type="paragraph" w:customStyle="1" w:styleId="1NumberedPointsStyle">
    <w:name w:val="1. Numbered Points Style"/>
    <w:basedOn w:val="ListParagraph"/>
    <w:rsid w:val="007C4FED"/>
    <w:pPr>
      <w:ind w:left="0"/>
    </w:pPr>
    <w:rPr>
      <w:sz w:val="24"/>
    </w:rPr>
  </w:style>
  <w:style w:type="numbering" w:customStyle="1" w:styleId="BulletList">
    <w:name w:val="Bullet List"/>
    <w:uiPriority w:val="99"/>
    <w:rsid w:val="007C4FED"/>
    <w:pPr>
      <w:numPr>
        <w:numId w:val="2"/>
      </w:numPr>
    </w:pPr>
  </w:style>
  <w:style w:type="paragraph" w:customStyle="1" w:styleId="1BulletStyleList">
    <w:name w:val="1. Bullet Style List"/>
    <w:basedOn w:val="Normal"/>
    <w:rsid w:val="007C4FED"/>
    <w:pPr>
      <w:spacing w:line="240" w:lineRule="auto"/>
    </w:pPr>
    <w:rPr>
      <w:rFonts w:eastAsia="Times New Roman"/>
      <w:szCs w:val="20"/>
      <w:lang w:eastAsia="en-AU"/>
    </w:rPr>
  </w:style>
  <w:style w:type="paragraph" w:styleId="ListBullet2">
    <w:name w:val="List Bullet 2"/>
    <w:basedOn w:val="Normal"/>
    <w:uiPriority w:val="99"/>
    <w:unhideWhenUsed/>
    <w:locked/>
    <w:rsid w:val="007C4FED"/>
    <w:pPr>
      <w:ind w:left="737" w:hanging="368"/>
    </w:pPr>
  </w:style>
  <w:style w:type="paragraph" w:styleId="ListBullet3">
    <w:name w:val="List Bullet 3"/>
    <w:basedOn w:val="Normal"/>
    <w:uiPriority w:val="99"/>
    <w:unhideWhenUsed/>
    <w:locked/>
    <w:rsid w:val="007C4FED"/>
    <w:pPr>
      <w:ind w:left="1106" w:hanging="369"/>
    </w:pPr>
  </w:style>
  <w:style w:type="paragraph" w:styleId="ListBullet4">
    <w:name w:val="List Bullet 4"/>
    <w:basedOn w:val="Normal"/>
    <w:uiPriority w:val="99"/>
    <w:unhideWhenUsed/>
    <w:locked/>
    <w:rsid w:val="007C4FED"/>
    <w:pPr>
      <w:ind w:left="1474" w:hanging="368"/>
    </w:pPr>
  </w:style>
  <w:style w:type="paragraph" w:styleId="ListBullet5">
    <w:name w:val="List Bullet 5"/>
    <w:basedOn w:val="Normal"/>
    <w:uiPriority w:val="99"/>
    <w:unhideWhenUsed/>
    <w:locked/>
    <w:rsid w:val="007C4FED"/>
    <w:pPr>
      <w:ind w:left="1800" w:hanging="360"/>
    </w:pPr>
  </w:style>
  <w:style w:type="numbering" w:customStyle="1" w:styleId="Attach">
    <w:name w:val="Attach"/>
    <w:basedOn w:val="NoList"/>
    <w:uiPriority w:val="99"/>
    <w:rsid w:val="007C4FED"/>
    <w:pPr>
      <w:numPr>
        <w:numId w:val="3"/>
      </w:numPr>
    </w:pPr>
  </w:style>
  <w:style w:type="paragraph" w:customStyle="1" w:styleId="Classification">
    <w:name w:val="Classification"/>
    <w:basedOn w:val="Normal"/>
    <w:uiPriority w:val="10"/>
    <w:qFormat/>
    <w:rsid w:val="006065C1"/>
    <w:pPr>
      <w:tabs>
        <w:tab w:val="center" w:pos="4536"/>
        <w:tab w:val="center" w:pos="4819"/>
        <w:tab w:val="right" w:pos="9356"/>
      </w:tabs>
      <w:spacing w:after="240"/>
      <w:jc w:val="center"/>
    </w:pPr>
    <w:rPr>
      <w:rFonts w:eastAsia="Times New Roman" w:cs="Arial"/>
      <w:color w:val="FF0000"/>
      <w:sz w:val="28"/>
      <w:szCs w:val="28"/>
      <w:lang w:eastAsia="en-AU"/>
    </w:rPr>
  </w:style>
  <w:style w:type="character" w:styleId="BookTitle">
    <w:name w:val="Book Title"/>
    <w:basedOn w:val="DefaultParagraphFont"/>
    <w:uiPriority w:val="33"/>
    <w:rsid w:val="007C4FED"/>
    <w:rPr>
      <w:bCs/>
      <w:i/>
      <w:smallCaps/>
      <w:spacing w:val="5"/>
    </w:rPr>
  </w:style>
  <w:style w:type="paragraph" w:styleId="ListNumber2">
    <w:name w:val="List Number 2"/>
    <w:basedOn w:val="Normal"/>
    <w:uiPriority w:val="99"/>
    <w:locked/>
    <w:rsid w:val="007C4FED"/>
    <w:pPr>
      <w:ind w:left="738" w:hanging="369"/>
    </w:pPr>
  </w:style>
  <w:style w:type="paragraph" w:styleId="ListNumber3">
    <w:name w:val="List Number 3"/>
    <w:basedOn w:val="Normal"/>
    <w:uiPriority w:val="99"/>
    <w:locked/>
    <w:rsid w:val="007C4FED"/>
    <w:pPr>
      <w:ind w:left="1107" w:hanging="369"/>
    </w:pPr>
  </w:style>
  <w:style w:type="paragraph" w:styleId="ListNumber4">
    <w:name w:val="List Number 4"/>
    <w:basedOn w:val="Normal"/>
    <w:uiPriority w:val="99"/>
    <w:locked/>
    <w:rsid w:val="007C4FED"/>
    <w:pPr>
      <w:ind w:left="1476" w:hanging="369"/>
    </w:pPr>
  </w:style>
  <w:style w:type="paragraph" w:styleId="ListNumber5">
    <w:name w:val="List Number 5"/>
    <w:basedOn w:val="Normal"/>
    <w:uiPriority w:val="99"/>
    <w:locked/>
    <w:rsid w:val="007C4FED"/>
    <w:pPr>
      <w:ind w:left="1845" w:hanging="369"/>
    </w:pPr>
  </w:style>
  <w:style w:type="paragraph" w:customStyle="1" w:styleId="Footerclassification">
    <w:name w:val="Footer classification"/>
    <w:basedOn w:val="Classification"/>
    <w:rsid w:val="007C4FED"/>
    <w:pPr>
      <w:spacing w:before="240" w:after="0"/>
    </w:pPr>
  </w:style>
  <w:style w:type="paragraph" w:customStyle="1" w:styleId="Tabletext0">
    <w:name w:val="Table text"/>
    <w:basedOn w:val="Normal"/>
    <w:uiPriority w:val="9"/>
    <w:qFormat/>
    <w:rsid w:val="006065C1"/>
  </w:style>
  <w:style w:type="paragraph" w:customStyle="1" w:styleId="Classificationsensitivity">
    <w:name w:val="Classification sensitivity"/>
    <w:basedOn w:val="Classification"/>
    <w:rsid w:val="007C4FED"/>
    <w:rPr>
      <w:sz w:val="22"/>
    </w:rPr>
  </w:style>
  <w:style w:type="paragraph" w:customStyle="1" w:styleId="paragraph">
    <w:name w:val="paragraph"/>
    <w:aliases w:val="a"/>
    <w:basedOn w:val="Normal"/>
    <w:link w:val="paragraphChar"/>
    <w:rsid w:val="007C4FED"/>
    <w:pPr>
      <w:tabs>
        <w:tab w:val="right" w:pos="1531"/>
      </w:tabs>
      <w:spacing w:before="40" w:line="240" w:lineRule="auto"/>
      <w:ind w:left="1644" w:hanging="1644"/>
    </w:pPr>
    <w:rPr>
      <w:rFonts w:eastAsia="Times New Roman"/>
      <w:szCs w:val="20"/>
    </w:rPr>
  </w:style>
  <w:style w:type="character" w:customStyle="1" w:styleId="paragraphChar">
    <w:name w:val="paragraph Char"/>
    <w:aliases w:val="a Char"/>
    <w:link w:val="paragraph"/>
    <w:locked/>
    <w:rsid w:val="007C4FED"/>
    <w:rPr>
      <w:rFonts w:ascii="Times New Roman" w:eastAsia="Times New Roman" w:hAnsi="Times New Roman"/>
      <w:sz w:val="24"/>
      <w:lang w:eastAsia="en-US"/>
    </w:rPr>
  </w:style>
  <w:style w:type="paragraph" w:customStyle="1" w:styleId="Definition0">
    <w:name w:val="Definition"/>
    <w:aliases w:val="dd"/>
    <w:basedOn w:val="Normal"/>
    <w:rsid w:val="007C4FED"/>
    <w:pPr>
      <w:spacing w:before="180" w:line="240" w:lineRule="auto"/>
      <w:ind w:left="1134"/>
    </w:pPr>
    <w:rPr>
      <w:lang w:eastAsia="en-AU"/>
    </w:rPr>
  </w:style>
  <w:style w:type="paragraph" w:customStyle="1" w:styleId="paragraphsub">
    <w:name w:val="paragraph(sub)"/>
    <w:aliases w:val="aa"/>
    <w:basedOn w:val="Normal"/>
    <w:rsid w:val="007C4FED"/>
    <w:pPr>
      <w:tabs>
        <w:tab w:val="right" w:pos="1985"/>
      </w:tabs>
      <w:spacing w:before="40" w:line="240" w:lineRule="auto"/>
      <w:ind w:left="2098" w:hanging="2098"/>
    </w:pPr>
    <w:rPr>
      <w:rFonts w:eastAsia="Times New Roman"/>
      <w:szCs w:val="20"/>
      <w:lang w:eastAsia="en-AU"/>
    </w:rPr>
  </w:style>
  <w:style w:type="paragraph" w:customStyle="1" w:styleId="notepara0">
    <w:name w:val="note(para)"/>
    <w:aliases w:val="na"/>
    <w:basedOn w:val="Normal"/>
    <w:rsid w:val="007C4FED"/>
    <w:pPr>
      <w:spacing w:before="40" w:line="198" w:lineRule="exact"/>
      <w:ind w:left="2354" w:hanging="369"/>
    </w:pPr>
    <w:rPr>
      <w:rFonts w:eastAsia="Times New Roman"/>
      <w:sz w:val="18"/>
      <w:szCs w:val="20"/>
      <w:lang w:eastAsia="en-AU"/>
    </w:rPr>
  </w:style>
  <w:style w:type="paragraph" w:customStyle="1" w:styleId="notetext">
    <w:name w:val="note(text)"/>
    <w:aliases w:val="n"/>
    <w:basedOn w:val="Normal"/>
    <w:rsid w:val="007C4FED"/>
    <w:pPr>
      <w:spacing w:before="122" w:line="240" w:lineRule="auto"/>
      <w:ind w:left="1985" w:hanging="851"/>
    </w:pPr>
    <w:rPr>
      <w:rFonts w:eastAsia="Times New Roman"/>
      <w:sz w:val="18"/>
      <w:szCs w:val="20"/>
      <w:lang w:eastAsia="en-AU"/>
    </w:rPr>
  </w:style>
  <w:style w:type="paragraph" w:customStyle="1" w:styleId="ActHead5">
    <w:name w:val="ActHead 5"/>
    <w:aliases w:val="s"/>
    <w:basedOn w:val="Normal"/>
    <w:next w:val="subsection"/>
    <w:qFormat/>
    <w:rsid w:val="006065C1"/>
    <w:pPr>
      <w:keepNext/>
      <w:keepLines/>
      <w:spacing w:before="280" w:line="240" w:lineRule="auto"/>
      <w:ind w:left="1134" w:hanging="1134"/>
      <w:outlineLvl w:val="4"/>
    </w:pPr>
    <w:rPr>
      <w:rFonts w:eastAsia="Times New Roman"/>
      <w:b/>
      <w:kern w:val="28"/>
      <w:szCs w:val="20"/>
      <w:lang w:eastAsia="en-AU"/>
    </w:rPr>
  </w:style>
  <w:style w:type="paragraph" w:customStyle="1" w:styleId="ESTitle">
    <w:name w:val="ES Title"/>
    <w:basedOn w:val="Heading1"/>
    <w:next w:val="Normal"/>
    <w:link w:val="ESTitleChar"/>
    <w:qFormat/>
    <w:rsid w:val="006065C1"/>
    <w:pPr>
      <w:jc w:val="center"/>
    </w:pPr>
    <w:rPr>
      <w:caps/>
      <w:color w:val="000000" w:themeColor="text1"/>
      <w:sz w:val="24"/>
      <w:szCs w:val="24"/>
      <w:u w:val="single"/>
    </w:rPr>
  </w:style>
  <w:style w:type="paragraph" w:customStyle="1" w:styleId="ESSubtitle">
    <w:name w:val="ES Subtitle"/>
    <w:basedOn w:val="Heading2"/>
    <w:next w:val="Normal"/>
    <w:link w:val="ESSubtitleChar"/>
    <w:qFormat/>
    <w:rsid w:val="006065C1"/>
    <w:pPr>
      <w:spacing w:before="0" w:after="200"/>
      <w:jc w:val="center"/>
    </w:pPr>
    <w:rPr>
      <w:rFonts w:ascii="Times New Roman" w:hAnsi="Times New Roman"/>
      <w:b w:val="0"/>
      <w:i/>
      <w:color w:val="000000" w:themeColor="text1"/>
      <w:kern w:val="36"/>
      <w:sz w:val="24"/>
      <w:szCs w:val="24"/>
      <w:lang w:eastAsia="en-US"/>
    </w:rPr>
  </w:style>
  <w:style w:type="character" w:customStyle="1" w:styleId="ESTitleChar">
    <w:name w:val="ES Title Char"/>
    <w:basedOn w:val="DefaultParagraphFont"/>
    <w:link w:val="ESTitle"/>
    <w:rsid w:val="006065C1"/>
    <w:rPr>
      <w:rFonts w:ascii="Times New Roman" w:hAnsi="Times New Roman"/>
      <w:b/>
      <w:bCs/>
      <w:caps/>
      <w:color w:val="000000" w:themeColor="text1"/>
      <w:kern w:val="36"/>
      <w:sz w:val="24"/>
      <w:szCs w:val="24"/>
      <w:u w:val="single"/>
    </w:rPr>
  </w:style>
  <w:style w:type="paragraph" w:customStyle="1" w:styleId="ESHeading">
    <w:name w:val="ES Heading"/>
    <w:basedOn w:val="Heading1"/>
    <w:next w:val="Normal"/>
    <w:link w:val="ESHeadingChar"/>
    <w:qFormat/>
    <w:rsid w:val="004E225B"/>
    <w:pPr>
      <w:keepNext/>
      <w:spacing w:before="360" w:after="120"/>
    </w:pPr>
    <w:rPr>
      <w:color w:val="000000" w:themeColor="text1"/>
      <w:sz w:val="24"/>
      <w:szCs w:val="24"/>
    </w:rPr>
  </w:style>
  <w:style w:type="character" w:customStyle="1" w:styleId="ESSubtitleChar">
    <w:name w:val="ES Subtitle Char"/>
    <w:basedOn w:val="Heading1Char"/>
    <w:link w:val="ESSubtitle"/>
    <w:rsid w:val="006065C1"/>
    <w:rPr>
      <w:rFonts w:ascii="Times New Roman" w:hAnsi="Times New Roman" w:cs="Times New Roman"/>
      <w:b/>
      <w:bCs/>
      <w:i/>
      <w:color w:val="000000" w:themeColor="text1"/>
      <w:kern w:val="36"/>
      <w:sz w:val="24"/>
      <w:szCs w:val="24"/>
      <w:lang w:eastAsia="en-US"/>
    </w:rPr>
  </w:style>
  <w:style w:type="paragraph" w:customStyle="1" w:styleId="ESA1Title">
    <w:name w:val="ES_A 1. Title"/>
    <w:basedOn w:val="Heading1"/>
    <w:link w:val="ESA1TitleChar"/>
    <w:qFormat/>
    <w:rsid w:val="006065C1"/>
    <w:pPr>
      <w:spacing w:after="120"/>
      <w:jc w:val="center"/>
    </w:pPr>
    <w:rPr>
      <w:color w:val="000000" w:themeColor="text1"/>
      <w:sz w:val="24"/>
      <w:szCs w:val="24"/>
    </w:rPr>
  </w:style>
  <w:style w:type="character" w:customStyle="1" w:styleId="ESHeadingChar">
    <w:name w:val="ES Heading Char"/>
    <w:basedOn w:val="DefaultParagraphFont"/>
    <w:link w:val="ESHeading"/>
    <w:rsid w:val="004E225B"/>
    <w:rPr>
      <w:rFonts w:ascii="Times New Roman" w:hAnsi="Times New Roman"/>
      <w:b/>
      <w:bCs/>
      <w:color w:val="000000" w:themeColor="text1"/>
      <w:kern w:val="36"/>
      <w:sz w:val="24"/>
      <w:szCs w:val="24"/>
    </w:rPr>
  </w:style>
  <w:style w:type="paragraph" w:customStyle="1" w:styleId="ESA1PartSchedule">
    <w:name w:val="ES_A 1. Part/Schedule"/>
    <w:basedOn w:val="Heading2"/>
    <w:next w:val="Normal"/>
    <w:link w:val="ESA1PartScheduleChar"/>
    <w:qFormat/>
    <w:rsid w:val="00B93281"/>
    <w:pPr>
      <w:tabs>
        <w:tab w:val="left" w:pos="1418"/>
      </w:tabs>
      <w:spacing w:before="360" w:line="240" w:lineRule="auto"/>
    </w:pPr>
    <w:rPr>
      <w:rFonts w:ascii="Times New Roman" w:hAnsi="Times New Roman"/>
      <w:color w:val="000000" w:themeColor="text1"/>
      <w:sz w:val="24"/>
      <w:szCs w:val="24"/>
    </w:rPr>
  </w:style>
  <w:style w:type="character" w:customStyle="1" w:styleId="ESA1TitleChar">
    <w:name w:val="ES_A 1. Title Char"/>
    <w:basedOn w:val="FooterChar"/>
    <w:link w:val="ESA1Title"/>
    <w:rsid w:val="006065C1"/>
    <w:rPr>
      <w:rFonts w:ascii="Times New Roman" w:hAnsi="Times New Roman" w:cs="Times New Roman"/>
      <w:b/>
      <w:bCs/>
      <w:color w:val="000000" w:themeColor="text1"/>
      <w:kern w:val="36"/>
      <w:sz w:val="24"/>
      <w:szCs w:val="24"/>
    </w:rPr>
  </w:style>
  <w:style w:type="paragraph" w:customStyle="1" w:styleId="ESA4Section">
    <w:name w:val="ES_A 4. Section"/>
    <w:basedOn w:val="Heading4"/>
    <w:next w:val="Normal"/>
    <w:link w:val="ESA4SectionChar"/>
    <w:qFormat/>
    <w:rsid w:val="000F2BC7"/>
    <w:pPr>
      <w:tabs>
        <w:tab w:val="left" w:pos="720"/>
      </w:tabs>
      <w:spacing w:before="120" w:line="240" w:lineRule="auto"/>
    </w:pPr>
    <w:rPr>
      <w:rFonts w:ascii="Times New Roman" w:hAnsi="Times New Roman"/>
      <w:b w:val="0"/>
      <w:i w:val="0"/>
      <w:color w:val="000000" w:themeColor="text1"/>
      <w:sz w:val="24"/>
      <w:szCs w:val="24"/>
      <w:u w:val="single"/>
    </w:rPr>
  </w:style>
  <w:style w:type="character" w:customStyle="1" w:styleId="ESA1PartScheduleChar">
    <w:name w:val="ES_A 1. Part/Schedule Char"/>
    <w:basedOn w:val="DefaultParagraphFont"/>
    <w:link w:val="ESA1PartSchedule"/>
    <w:rsid w:val="00B93281"/>
    <w:rPr>
      <w:rFonts w:ascii="Times New Roman" w:hAnsi="Times New Roman"/>
      <w:b/>
      <w:bCs/>
      <w:color w:val="000000" w:themeColor="text1"/>
      <w:sz w:val="24"/>
      <w:szCs w:val="24"/>
    </w:rPr>
  </w:style>
  <w:style w:type="paragraph" w:customStyle="1" w:styleId="ESA2Division">
    <w:name w:val="ES_A 2. Division"/>
    <w:basedOn w:val="Heading2"/>
    <w:link w:val="ESA2DivisionChar"/>
    <w:qFormat/>
    <w:rsid w:val="00B93281"/>
    <w:pPr>
      <w:tabs>
        <w:tab w:val="left" w:pos="1418"/>
      </w:tabs>
      <w:spacing w:before="180"/>
    </w:pPr>
    <w:rPr>
      <w:rFonts w:ascii="Times New Roman" w:hAnsi="Times New Roman"/>
      <w:color w:val="000000" w:themeColor="text1"/>
      <w:sz w:val="24"/>
      <w:lang w:eastAsia="en-US"/>
    </w:rPr>
  </w:style>
  <w:style w:type="character" w:customStyle="1" w:styleId="ESA4SectionChar">
    <w:name w:val="ES_A 4. Section Char"/>
    <w:basedOn w:val="DefaultParagraphFont"/>
    <w:link w:val="ESA4Section"/>
    <w:rsid w:val="000F2BC7"/>
    <w:rPr>
      <w:rFonts w:ascii="Times New Roman" w:eastAsia="Times New Roman" w:hAnsi="Times New Roman"/>
      <w:bCs/>
      <w:iCs/>
      <w:color w:val="000000" w:themeColor="text1"/>
      <w:sz w:val="24"/>
      <w:szCs w:val="24"/>
      <w:u w:val="single"/>
      <w:lang w:eastAsia="en-US"/>
    </w:rPr>
  </w:style>
  <w:style w:type="paragraph" w:customStyle="1" w:styleId="ESA3Subdivision">
    <w:name w:val="ES_A 3. Subdivision"/>
    <w:basedOn w:val="Heading3"/>
    <w:next w:val="Normal"/>
    <w:link w:val="ESA3SubdivisionChar"/>
    <w:qFormat/>
    <w:rsid w:val="000F2BC7"/>
    <w:pPr>
      <w:tabs>
        <w:tab w:val="left" w:pos="1843"/>
      </w:tabs>
      <w:spacing w:before="180"/>
    </w:pPr>
    <w:rPr>
      <w:rFonts w:ascii="Times New Roman" w:hAnsi="Times New Roman"/>
    </w:rPr>
  </w:style>
  <w:style w:type="character" w:customStyle="1" w:styleId="ESA2DivisionChar">
    <w:name w:val="ES_A 2. Division Char"/>
    <w:basedOn w:val="Heading2Char"/>
    <w:link w:val="ESA2Division"/>
    <w:rsid w:val="00B93281"/>
    <w:rPr>
      <w:rFonts w:ascii="Times New Roman" w:hAnsi="Times New Roman" w:cs="Times New Roman"/>
      <w:b/>
      <w:bCs/>
      <w:color w:val="000000" w:themeColor="text1"/>
      <w:sz w:val="24"/>
      <w:szCs w:val="26"/>
      <w:lang w:eastAsia="en-US"/>
    </w:rPr>
  </w:style>
  <w:style w:type="character" w:customStyle="1" w:styleId="ESA3SubdivisionChar">
    <w:name w:val="ES_A 3. Subdivision Char"/>
    <w:basedOn w:val="Heading3Char"/>
    <w:link w:val="ESA3Subdivision"/>
    <w:rsid w:val="000F2BC7"/>
    <w:rPr>
      <w:rFonts w:ascii="Times New Roman" w:hAnsi="Times New Roman" w:cs="Arial"/>
      <w:b/>
      <w:i/>
      <w:sz w:val="24"/>
      <w:szCs w:val="22"/>
      <w:lang w:eastAsia="en-US"/>
    </w:rPr>
  </w:style>
  <w:style w:type="paragraph" w:customStyle="1" w:styleId="h6Subsec">
    <w:name w:val="h6_Subsec"/>
    <w:basedOn w:val="Normal"/>
    <w:next w:val="Normal"/>
    <w:qFormat/>
    <w:rsid w:val="006065C1"/>
    <w:pPr>
      <w:keepNext/>
      <w:spacing w:line="240" w:lineRule="auto"/>
      <w:ind w:left="964"/>
    </w:pPr>
    <w:rPr>
      <w:rFonts w:ascii="Arial" w:eastAsia="Times New Roman" w:hAnsi="Arial"/>
      <w:i/>
      <w:szCs w:val="24"/>
      <w:lang w:eastAsia="en-AU"/>
    </w:rPr>
  </w:style>
  <w:style w:type="paragraph" w:customStyle="1" w:styleId="ESA1Part">
    <w:name w:val="ES_A 1. Part"/>
    <w:basedOn w:val="Heading2"/>
    <w:link w:val="ESA1PartChar"/>
    <w:qFormat/>
    <w:rsid w:val="00817B67"/>
    <w:pPr>
      <w:spacing w:before="480" w:after="120" w:line="240" w:lineRule="auto"/>
    </w:pPr>
    <w:rPr>
      <w:rFonts w:ascii="Times New Roman" w:eastAsia="Times New Roman" w:hAnsi="Times New Roman"/>
      <w:color w:val="000000" w:themeColor="text1"/>
      <w:sz w:val="24"/>
      <w:szCs w:val="24"/>
      <w:lang w:eastAsia="en-US"/>
    </w:rPr>
  </w:style>
  <w:style w:type="character" w:customStyle="1" w:styleId="ESA1PartChar">
    <w:name w:val="ES_A 1. Part Char"/>
    <w:basedOn w:val="DefaultParagraphFont"/>
    <w:link w:val="ESA1Part"/>
    <w:rsid w:val="00817B67"/>
    <w:rPr>
      <w:rFonts w:ascii="Times New Roman" w:eastAsia="Times New Roman" w:hAnsi="Times New Roman"/>
      <w:b/>
      <w:bCs/>
      <w:color w:val="000000" w:themeColor="text1"/>
      <w:sz w:val="24"/>
      <w:szCs w:val="24"/>
      <w:lang w:eastAsia="en-US"/>
    </w:rPr>
  </w:style>
  <w:style w:type="paragraph" w:customStyle="1" w:styleId="nDrafterComment">
    <w:name w:val="n_Drafter_Comment"/>
    <w:basedOn w:val="Normal"/>
    <w:qFormat/>
    <w:rsid w:val="00917B58"/>
    <w:pPr>
      <w:spacing w:before="80" w:line="260" w:lineRule="atLeast"/>
    </w:pPr>
    <w:rPr>
      <w:rFonts w:ascii="Arial" w:hAnsi="Arial"/>
      <w:color w:val="7030A0"/>
      <w:sz w:val="22"/>
      <w:szCs w:val="20"/>
    </w:rPr>
  </w:style>
  <w:style w:type="paragraph" w:customStyle="1" w:styleId="ShortT">
    <w:name w:val="ShortT"/>
    <w:basedOn w:val="Normal"/>
    <w:next w:val="Normal"/>
    <w:qFormat/>
    <w:rsid w:val="002C0D2D"/>
    <w:pPr>
      <w:spacing w:before="0" w:line="240" w:lineRule="auto"/>
    </w:pPr>
    <w:rPr>
      <w:rFonts w:eastAsia="Times New Roman"/>
      <w:b/>
      <w:sz w:val="40"/>
      <w:szCs w:val="20"/>
      <w:lang w:eastAsia="en-AU"/>
    </w:rPr>
  </w:style>
  <w:style w:type="paragraph" w:customStyle="1" w:styleId="h1Chap">
    <w:name w:val="h1_Chap"/>
    <w:aliases w:val="ActHead 1"/>
    <w:basedOn w:val="Normal"/>
    <w:next w:val="Normal"/>
    <w:qFormat/>
    <w:rsid w:val="00F25AB2"/>
    <w:pPr>
      <w:keepNext/>
      <w:keepLines/>
      <w:pageBreakBefore/>
      <w:spacing w:before="0" w:line="240" w:lineRule="auto"/>
      <w:ind w:left="1134" w:hanging="1134"/>
      <w:outlineLvl w:val="0"/>
    </w:pPr>
    <w:rPr>
      <w:rFonts w:eastAsia="Times New Roman"/>
      <w:b/>
      <w:kern w:val="28"/>
      <w:sz w:val="36"/>
      <w:szCs w:val="20"/>
      <w:lang w:eastAsia="en-AU"/>
    </w:rPr>
  </w:style>
  <w:style w:type="paragraph" w:styleId="PlainText">
    <w:name w:val="Plain Text"/>
    <w:basedOn w:val="Normal"/>
    <w:link w:val="PlainTextChar"/>
    <w:uiPriority w:val="99"/>
    <w:semiHidden/>
    <w:unhideWhenUsed/>
    <w:locked/>
    <w:rsid w:val="0007283B"/>
    <w:pPr>
      <w:spacing w:before="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7283B"/>
    <w:rPr>
      <w:rFonts w:ascii="Consolas" w:eastAsiaTheme="minorHAnsi" w:hAnsi="Consolas" w:cstheme="minorBidi"/>
      <w:sz w:val="21"/>
      <w:szCs w:val="21"/>
      <w:lang w:eastAsia="en-US"/>
    </w:rPr>
  </w:style>
  <w:style w:type="paragraph" w:customStyle="1" w:styleId="base-text-paragraphnonumbers0">
    <w:name w:val="base-text-paragraphnonumbers"/>
    <w:basedOn w:val="Normal"/>
    <w:rsid w:val="009F289F"/>
    <w:pPr>
      <w:spacing w:before="100" w:beforeAutospacing="1" w:after="100" w:afterAutospacing="1" w:line="240" w:lineRule="auto"/>
    </w:pPr>
    <w:rPr>
      <w:rFonts w:eastAsia="Times New Roman"/>
      <w:szCs w:val="24"/>
      <w:lang w:eastAsia="en-AU"/>
    </w:rPr>
  </w:style>
  <w:style w:type="paragraph" w:customStyle="1" w:styleId="TableHeading">
    <w:name w:val="TableHeading"/>
    <w:aliases w:val="th"/>
    <w:basedOn w:val="Normal"/>
    <w:next w:val="Tabletext"/>
    <w:rsid w:val="00725827"/>
    <w:pPr>
      <w:keepNext/>
      <w:spacing w:before="60" w:line="240" w:lineRule="atLeast"/>
    </w:pPr>
    <w:rPr>
      <w:rFonts w:eastAsia="Times New Roman"/>
      <w:b/>
      <w:sz w:val="20"/>
      <w:szCs w:val="20"/>
      <w:lang w:eastAsia="en-AU"/>
    </w:rPr>
  </w:style>
  <w:style w:type="paragraph" w:customStyle="1" w:styleId="h5SchItem">
    <w:name w:val="h5_Sch_Item"/>
    <w:basedOn w:val="Normal"/>
    <w:next w:val="Normal"/>
    <w:qFormat/>
    <w:rsid w:val="0060272E"/>
    <w:pPr>
      <w:keepNext/>
      <w:keepLines/>
      <w:spacing w:before="360" w:after="60" w:line="240" w:lineRule="auto"/>
      <w:ind w:left="964" w:hanging="964"/>
    </w:pPr>
    <w:rPr>
      <w:rFonts w:ascii="Arial" w:eastAsia="Times New Roman" w:hAnsi="Arial" w:cs="Arial"/>
      <w:b/>
      <w:bCs/>
      <w:kern w:val="32"/>
      <w:szCs w:val="32"/>
      <w:lang w:eastAsia="en-AU"/>
    </w:rPr>
  </w:style>
  <w:style w:type="paragraph" w:customStyle="1" w:styleId="AdviceNumLevel1">
    <w:name w:val="AdviceNumLevel1"/>
    <w:aliases w:val="Advice N1"/>
    <w:basedOn w:val="Normal"/>
    <w:qFormat/>
    <w:rsid w:val="003A59E2"/>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1">
    <w:name w:val="Number Level 1"/>
    <w:aliases w:val="N1"/>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2">
    <w:name w:val="Number Level 2"/>
    <w:aliases w:val="N2"/>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3">
    <w:name w:val="Number Level 3"/>
    <w:aliases w:val="N3"/>
    <w:basedOn w:val="Normal"/>
    <w:uiPriority w:val="1"/>
    <w:qFormat/>
    <w:rsid w:val="00840065"/>
    <w:pPr>
      <w:tabs>
        <w:tab w:val="num" w:pos="709"/>
      </w:tabs>
      <w:spacing w:before="140" w:after="140" w:line="280" w:lineRule="atLeast"/>
      <w:ind w:hanging="709"/>
    </w:pPr>
    <w:rPr>
      <w:rFonts w:ascii="Arial" w:eastAsia="Times New Roman" w:hAnsi="Arial" w:cs="Arial"/>
      <w:sz w:val="22"/>
      <w:lang w:eastAsia="en-AU"/>
    </w:rPr>
  </w:style>
  <w:style w:type="paragraph" w:customStyle="1" w:styleId="NumberLevel4">
    <w:name w:val="Number Level 4"/>
    <w:aliases w:val="N4"/>
    <w:basedOn w:val="Normal"/>
    <w:uiPriority w:val="1"/>
    <w:qFormat/>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5">
    <w:name w:val="Number Level 5"/>
    <w:aliases w:val="N5"/>
    <w:basedOn w:val="Normal"/>
    <w:uiPriority w:val="1"/>
    <w:semiHidden/>
    <w:rsid w:val="00840065"/>
    <w:pPr>
      <w:tabs>
        <w:tab w:val="num" w:pos="709"/>
      </w:tabs>
      <w:spacing w:before="0" w:after="140" w:line="280" w:lineRule="atLeast"/>
      <w:ind w:left="425" w:hanging="425"/>
    </w:pPr>
    <w:rPr>
      <w:rFonts w:ascii="Arial" w:eastAsia="Times New Roman" w:hAnsi="Arial" w:cs="Arial"/>
      <w:sz w:val="22"/>
      <w:lang w:eastAsia="en-AU"/>
    </w:rPr>
  </w:style>
  <w:style w:type="paragraph" w:customStyle="1" w:styleId="NumberLevel6">
    <w:name w:val="Number Level 6"/>
    <w:basedOn w:val="NumberLevel5"/>
    <w:uiPriority w:val="1"/>
    <w:semiHidden/>
    <w:rsid w:val="00840065"/>
    <w:pPr>
      <w:tabs>
        <w:tab w:val="clear" w:pos="709"/>
        <w:tab w:val="num" w:pos="1418"/>
      </w:tabs>
      <w:ind w:left="851" w:hanging="426"/>
    </w:pPr>
  </w:style>
  <w:style w:type="paragraph" w:customStyle="1" w:styleId="NumberLevel7">
    <w:name w:val="Number Level 7"/>
    <w:basedOn w:val="NumberLevel6"/>
    <w:uiPriority w:val="1"/>
    <w:semiHidden/>
    <w:rsid w:val="00840065"/>
    <w:pPr>
      <w:tabs>
        <w:tab w:val="clear" w:pos="1418"/>
        <w:tab w:val="num" w:pos="1843"/>
      </w:tabs>
      <w:ind w:left="1276" w:hanging="425"/>
    </w:pPr>
  </w:style>
  <w:style w:type="paragraph" w:customStyle="1" w:styleId="NumberLevel8">
    <w:name w:val="Number Level 8"/>
    <w:basedOn w:val="NumberLevel7"/>
    <w:uiPriority w:val="1"/>
    <w:semiHidden/>
    <w:rsid w:val="00840065"/>
    <w:pPr>
      <w:tabs>
        <w:tab w:val="clear" w:pos="1843"/>
        <w:tab w:val="num" w:pos="2410"/>
      </w:tabs>
      <w:ind w:left="1701"/>
    </w:pPr>
  </w:style>
  <w:style w:type="paragraph" w:customStyle="1" w:styleId="NumberLevel9">
    <w:name w:val="Number Level 9"/>
    <w:basedOn w:val="NumberLevel8"/>
    <w:uiPriority w:val="1"/>
    <w:semiHidden/>
    <w:rsid w:val="00840065"/>
    <w:pPr>
      <w:tabs>
        <w:tab w:val="clear" w:pos="2410"/>
        <w:tab w:val="num" w:pos="2835"/>
      </w:tabs>
      <w:ind w:left="2126"/>
    </w:pPr>
  </w:style>
  <w:style w:type="paragraph" w:customStyle="1" w:styleId="acthead50">
    <w:name w:val="acthead5"/>
    <w:basedOn w:val="Normal"/>
    <w:rsid w:val="009B7E94"/>
    <w:pPr>
      <w:spacing w:before="100" w:beforeAutospacing="1" w:after="100" w:afterAutospacing="1" w:line="240" w:lineRule="auto"/>
    </w:pPr>
    <w:rPr>
      <w:rFonts w:eastAsia="Times New Roman"/>
      <w:szCs w:val="24"/>
      <w:lang w:eastAsia="en-AU"/>
    </w:rPr>
  </w:style>
  <w:style w:type="character" w:customStyle="1" w:styleId="charsectno0">
    <w:name w:val="charsectno"/>
    <w:basedOn w:val="DefaultParagraphFont"/>
    <w:rsid w:val="009B7E94"/>
  </w:style>
  <w:style w:type="paragraph" w:customStyle="1" w:styleId="notedraft">
    <w:name w:val="note(draft)"/>
    <w:aliases w:val="nd"/>
    <w:basedOn w:val="Normal"/>
    <w:uiPriority w:val="99"/>
    <w:rsid w:val="00D458B3"/>
    <w:pPr>
      <w:spacing w:before="240" w:line="240" w:lineRule="auto"/>
      <w:ind w:left="284" w:hanging="284"/>
    </w:pPr>
    <w:rPr>
      <w:rFonts w:eastAsiaTheme="minorHAnsi"/>
      <w:i/>
      <w:iCs/>
      <w:szCs w:val="24"/>
      <w:lang w:eastAsia="en-AU"/>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hidden/>
    <w:uiPriority w:val="31"/>
    <w:rsid w:val="00FE6434"/>
    <w:pPr>
      <w:spacing w:before="0" w:after="160" w:line="240" w:lineRule="exact"/>
      <w:jc w:val="both"/>
    </w:pPr>
    <w:rPr>
      <w:rFonts w:ascii="Calibri" w:hAnsi="Calibri"/>
      <w:sz w:val="20"/>
      <w:szCs w:val="20"/>
      <w:vertAlign w:val="superscript"/>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5068">
      <w:bodyDiv w:val="1"/>
      <w:marLeft w:val="0"/>
      <w:marRight w:val="0"/>
      <w:marTop w:val="0"/>
      <w:marBottom w:val="0"/>
      <w:divBdr>
        <w:top w:val="none" w:sz="0" w:space="0" w:color="auto"/>
        <w:left w:val="none" w:sz="0" w:space="0" w:color="auto"/>
        <w:bottom w:val="none" w:sz="0" w:space="0" w:color="auto"/>
        <w:right w:val="none" w:sz="0" w:space="0" w:color="auto"/>
      </w:divBdr>
    </w:div>
    <w:div w:id="49040296">
      <w:bodyDiv w:val="1"/>
      <w:marLeft w:val="0"/>
      <w:marRight w:val="0"/>
      <w:marTop w:val="0"/>
      <w:marBottom w:val="0"/>
      <w:divBdr>
        <w:top w:val="none" w:sz="0" w:space="0" w:color="auto"/>
        <w:left w:val="none" w:sz="0" w:space="0" w:color="auto"/>
        <w:bottom w:val="none" w:sz="0" w:space="0" w:color="auto"/>
        <w:right w:val="none" w:sz="0" w:space="0" w:color="auto"/>
      </w:divBdr>
    </w:div>
    <w:div w:id="116417410">
      <w:bodyDiv w:val="1"/>
      <w:marLeft w:val="0"/>
      <w:marRight w:val="0"/>
      <w:marTop w:val="0"/>
      <w:marBottom w:val="0"/>
      <w:divBdr>
        <w:top w:val="none" w:sz="0" w:space="0" w:color="auto"/>
        <w:left w:val="none" w:sz="0" w:space="0" w:color="auto"/>
        <w:bottom w:val="none" w:sz="0" w:space="0" w:color="auto"/>
        <w:right w:val="none" w:sz="0" w:space="0" w:color="auto"/>
      </w:divBdr>
    </w:div>
    <w:div w:id="197475269">
      <w:bodyDiv w:val="1"/>
      <w:marLeft w:val="0"/>
      <w:marRight w:val="0"/>
      <w:marTop w:val="0"/>
      <w:marBottom w:val="0"/>
      <w:divBdr>
        <w:top w:val="none" w:sz="0" w:space="0" w:color="auto"/>
        <w:left w:val="none" w:sz="0" w:space="0" w:color="auto"/>
        <w:bottom w:val="none" w:sz="0" w:space="0" w:color="auto"/>
        <w:right w:val="none" w:sz="0" w:space="0" w:color="auto"/>
      </w:divBdr>
    </w:div>
    <w:div w:id="312879205">
      <w:bodyDiv w:val="1"/>
      <w:marLeft w:val="0"/>
      <w:marRight w:val="0"/>
      <w:marTop w:val="0"/>
      <w:marBottom w:val="0"/>
      <w:divBdr>
        <w:top w:val="none" w:sz="0" w:space="0" w:color="auto"/>
        <w:left w:val="none" w:sz="0" w:space="0" w:color="auto"/>
        <w:bottom w:val="none" w:sz="0" w:space="0" w:color="auto"/>
        <w:right w:val="none" w:sz="0" w:space="0" w:color="auto"/>
      </w:divBdr>
    </w:div>
    <w:div w:id="382221347">
      <w:bodyDiv w:val="1"/>
      <w:marLeft w:val="0"/>
      <w:marRight w:val="0"/>
      <w:marTop w:val="0"/>
      <w:marBottom w:val="0"/>
      <w:divBdr>
        <w:top w:val="none" w:sz="0" w:space="0" w:color="auto"/>
        <w:left w:val="none" w:sz="0" w:space="0" w:color="auto"/>
        <w:bottom w:val="none" w:sz="0" w:space="0" w:color="auto"/>
        <w:right w:val="none" w:sz="0" w:space="0" w:color="auto"/>
      </w:divBdr>
    </w:div>
    <w:div w:id="517668951">
      <w:bodyDiv w:val="1"/>
      <w:marLeft w:val="0"/>
      <w:marRight w:val="0"/>
      <w:marTop w:val="0"/>
      <w:marBottom w:val="0"/>
      <w:divBdr>
        <w:top w:val="none" w:sz="0" w:space="0" w:color="auto"/>
        <w:left w:val="none" w:sz="0" w:space="0" w:color="auto"/>
        <w:bottom w:val="none" w:sz="0" w:space="0" w:color="auto"/>
        <w:right w:val="none" w:sz="0" w:space="0" w:color="auto"/>
      </w:divBdr>
    </w:div>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9664">
      <w:bodyDiv w:val="1"/>
      <w:marLeft w:val="0"/>
      <w:marRight w:val="0"/>
      <w:marTop w:val="0"/>
      <w:marBottom w:val="0"/>
      <w:divBdr>
        <w:top w:val="none" w:sz="0" w:space="0" w:color="auto"/>
        <w:left w:val="none" w:sz="0" w:space="0" w:color="auto"/>
        <w:bottom w:val="none" w:sz="0" w:space="0" w:color="auto"/>
        <w:right w:val="none" w:sz="0" w:space="0" w:color="auto"/>
      </w:divBdr>
    </w:div>
    <w:div w:id="604384207">
      <w:bodyDiv w:val="1"/>
      <w:marLeft w:val="0"/>
      <w:marRight w:val="0"/>
      <w:marTop w:val="0"/>
      <w:marBottom w:val="0"/>
      <w:divBdr>
        <w:top w:val="none" w:sz="0" w:space="0" w:color="auto"/>
        <w:left w:val="none" w:sz="0" w:space="0" w:color="auto"/>
        <w:bottom w:val="none" w:sz="0" w:space="0" w:color="auto"/>
        <w:right w:val="none" w:sz="0" w:space="0" w:color="auto"/>
      </w:divBdr>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647979395">
      <w:bodyDiv w:val="1"/>
      <w:marLeft w:val="0"/>
      <w:marRight w:val="0"/>
      <w:marTop w:val="0"/>
      <w:marBottom w:val="0"/>
      <w:divBdr>
        <w:top w:val="none" w:sz="0" w:space="0" w:color="auto"/>
        <w:left w:val="none" w:sz="0" w:space="0" w:color="auto"/>
        <w:bottom w:val="none" w:sz="0" w:space="0" w:color="auto"/>
        <w:right w:val="none" w:sz="0" w:space="0" w:color="auto"/>
      </w:divBdr>
    </w:div>
    <w:div w:id="664744704">
      <w:bodyDiv w:val="1"/>
      <w:marLeft w:val="0"/>
      <w:marRight w:val="0"/>
      <w:marTop w:val="0"/>
      <w:marBottom w:val="0"/>
      <w:divBdr>
        <w:top w:val="none" w:sz="0" w:space="0" w:color="auto"/>
        <w:left w:val="none" w:sz="0" w:space="0" w:color="auto"/>
        <w:bottom w:val="none" w:sz="0" w:space="0" w:color="auto"/>
        <w:right w:val="none" w:sz="0" w:space="0" w:color="auto"/>
      </w:divBdr>
      <w:divsChild>
        <w:div w:id="1775635728">
          <w:marLeft w:val="0"/>
          <w:marRight w:val="0"/>
          <w:marTop w:val="0"/>
          <w:marBottom w:val="0"/>
          <w:divBdr>
            <w:top w:val="none" w:sz="0" w:space="0" w:color="auto"/>
            <w:left w:val="none" w:sz="0" w:space="0" w:color="auto"/>
            <w:bottom w:val="none" w:sz="0" w:space="0" w:color="auto"/>
            <w:right w:val="none" w:sz="0" w:space="0" w:color="auto"/>
          </w:divBdr>
          <w:divsChild>
            <w:div w:id="1664704628">
              <w:marLeft w:val="0"/>
              <w:marRight w:val="0"/>
              <w:marTop w:val="0"/>
              <w:marBottom w:val="0"/>
              <w:divBdr>
                <w:top w:val="none" w:sz="0" w:space="0" w:color="auto"/>
                <w:left w:val="none" w:sz="0" w:space="0" w:color="auto"/>
                <w:bottom w:val="none" w:sz="0" w:space="0" w:color="auto"/>
                <w:right w:val="none" w:sz="0" w:space="0" w:color="auto"/>
              </w:divBdr>
              <w:divsChild>
                <w:div w:id="362294735">
                  <w:marLeft w:val="0"/>
                  <w:marRight w:val="0"/>
                  <w:marTop w:val="0"/>
                  <w:marBottom w:val="0"/>
                  <w:divBdr>
                    <w:top w:val="none" w:sz="0" w:space="0" w:color="auto"/>
                    <w:left w:val="none" w:sz="0" w:space="0" w:color="auto"/>
                    <w:bottom w:val="none" w:sz="0" w:space="0" w:color="auto"/>
                    <w:right w:val="none" w:sz="0" w:space="0" w:color="auto"/>
                  </w:divBdr>
                  <w:divsChild>
                    <w:div w:id="1229075567">
                      <w:marLeft w:val="0"/>
                      <w:marRight w:val="0"/>
                      <w:marTop w:val="0"/>
                      <w:marBottom w:val="0"/>
                      <w:divBdr>
                        <w:top w:val="none" w:sz="0" w:space="0" w:color="auto"/>
                        <w:left w:val="none" w:sz="0" w:space="0" w:color="auto"/>
                        <w:bottom w:val="none" w:sz="0" w:space="0" w:color="auto"/>
                        <w:right w:val="none" w:sz="0" w:space="0" w:color="auto"/>
                      </w:divBdr>
                      <w:divsChild>
                        <w:div w:id="1041176803">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single" w:sz="6" w:space="0" w:color="828282"/>
                                <w:left w:val="single" w:sz="6" w:space="0" w:color="828282"/>
                                <w:bottom w:val="single" w:sz="6" w:space="0" w:color="828282"/>
                                <w:right w:val="single" w:sz="6" w:space="0" w:color="828282"/>
                              </w:divBdr>
                              <w:divsChild>
                                <w:div w:id="1571771133">
                                  <w:marLeft w:val="0"/>
                                  <w:marRight w:val="0"/>
                                  <w:marTop w:val="0"/>
                                  <w:marBottom w:val="0"/>
                                  <w:divBdr>
                                    <w:top w:val="none" w:sz="0" w:space="0" w:color="auto"/>
                                    <w:left w:val="none" w:sz="0" w:space="0" w:color="auto"/>
                                    <w:bottom w:val="none" w:sz="0" w:space="0" w:color="auto"/>
                                    <w:right w:val="none" w:sz="0" w:space="0" w:color="auto"/>
                                  </w:divBdr>
                                  <w:divsChild>
                                    <w:div w:id="284046365">
                                      <w:marLeft w:val="0"/>
                                      <w:marRight w:val="0"/>
                                      <w:marTop w:val="0"/>
                                      <w:marBottom w:val="0"/>
                                      <w:divBdr>
                                        <w:top w:val="none" w:sz="0" w:space="0" w:color="auto"/>
                                        <w:left w:val="none" w:sz="0" w:space="0" w:color="auto"/>
                                        <w:bottom w:val="none" w:sz="0" w:space="0" w:color="auto"/>
                                        <w:right w:val="none" w:sz="0" w:space="0" w:color="auto"/>
                                      </w:divBdr>
                                      <w:divsChild>
                                        <w:div w:id="1549412982">
                                          <w:marLeft w:val="0"/>
                                          <w:marRight w:val="0"/>
                                          <w:marTop w:val="0"/>
                                          <w:marBottom w:val="0"/>
                                          <w:divBdr>
                                            <w:top w:val="none" w:sz="0" w:space="0" w:color="auto"/>
                                            <w:left w:val="none" w:sz="0" w:space="0" w:color="auto"/>
                                            <w:bottom w:val="none" w:sz="0" w:space="0" w:color="auto"/>
                                            <w:right w:val="none" w:sz="0" w:space="0" w:color="auto"/>
                                          </w:divBdr>
                                          <w:divsChild>
                                            <w:div w:id="442962124">
                                              <w:marLeft w:val="0"/>
                                              <w:marRight w:val="0"/>
                                              <w:marTop w:val="0"/>
                                              <w:marBottom w:val="0"/>
                                              <w:divBdr>
                                                <w:top w:val="none" w:sz="0" w:space="0" w:color="auto"/>
                                                <w:left w:val="none" w:sz="0" w:space="0" w:color="auto"/>
                                                <w:bottom w:val="none" w:sz="0" w:space="0" w:color="auto"/>
                                                <w:right w:val="none" w:sz="0" w:space="0" w:color="auto"/>
                                              </w:divBdr>
                                              <w:divsChild>
                                                <w:div w:id="2013297026">
                                                  <w:marLeft w:val="0"/>
                                                  <w:marRight w:val="0"/>
                                                  <w:marTop w:val="0"/>
                                                  <w:marBottom w:val="0"/>
                                                  <w:divBdr>
                                                    <w:top w:val="none" w:sz="0" w:space="0" w:color="auto"/>
                                                    <w:left w:val="none" w:sz="0" w:space="0" w:color="auto"/>
                                                    <w:bottom w:val="none" w:sz="0" w:space="0" w:color="auto"/>
                                                    <w:right w:val="none" w:sz="0" w:space="0" w:color="auto"/>
                                                  </w:divBdr>
                                                  <w:divsChild>
                                                    <w:div w:id="1018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7547">
      <w:bodyDiv w:val="1"/>
      <w:marLeft w:val="0"/>
      <w:marRight w:val="0"/>
      <w:marTop w:val="0"/>
      <w:marBottom w:val="0"/>
      <w:divBdr>
        <w:top w:val="none" w:sz="0" w:space="0" w:color="auto"/>
        <w:left w:val="none" w:sz="0" w:space="0" w:color="auto"/>
        <w:bottom w:val="none" w:sz="0" w:space="0" w:color="auto"/>
        <w:right w:val="none" w:sz="0" w:space="0" w:color="auto"/>
      </w:divBdr>
    </w:div>
    <w:div w:id="702367194">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760030773">
      <w:bodyDiv w:val="1"/>
      <w:marLeft w:val="0"/>
      <w:marRight w:val="0"/>
      <w:marTop w:val="0"/>
      <w:marBottom w:val="0"/>
      <w:divBdr>
        <w:top w:val="none" w:sz="0" w:space="0" w:color="auto"/>
        <w:left w:val="none" w:sz="0" w:space="0" w:color="auto"/>
        <w:bottom w:val="none" w:sz="0" w:space="0" w:color="auto"/>
        <w:right w:val="none" w:sz="0" w:space="0" w:color="auto"/>
      </w:divBdr>
    </w:div>
    <w:div w:id="777409553">
      <w:bodyDiv w:val="1"/>
      <w:marLeft w:val="0"/>
      <w:marRight w:val="0"/>
      <w:marTop w:val="0"/>
      <w:marBottom w:val="0"/>
      <w:divBdr>
        <w:top w:val="none" w:sz="0" w:space="0" w:color="auto"/>
        <w:left w:val="none" w:sz="0" w:space="0" w:color="auto"/>
        <w:bottom w:val="none" w:sz="0" w:space="0" w:color="auto"/>
        <w:right w:val="none" w:sz="0" w:space="0" w:color="auto"/>
      </w:divBdr>
    </w:div>
    <w:div w:id="794446965">
      <w:bodyDiv w:val="1"/>
      <w:marLeft w:val="0"/>
      <w:marRight w:val="0"/>
      <w:marTop w:val="0"/>
      <w:marBottom w:val="0"/>
      <w:divBdr>
        <w:top w:val="none" w:sz="0" w:space="0" w:color="auto"/>
        <w:left w:val="none" w:sz="0" w:space="0" w:color="auto"/>
        <w:bottom w:val="none" w:sz="0" w:space="0" w:color="auto"/>
        <w:right w:val="none" w:sz="0" w:space="0" w:color="auto"/>
      </w:divBdr>
    </w:div>
    <w:div w:id="831725007">
      <w:bodyDiv w:val="1"/>
      <w:marLeft w:val="0"/>
      <w:marRight w:val="0"/>
      <w:marTop w:val="0"/>
      <w:marBottom w:val="0"/>
      <w:divBdr>
        <w:top w:val="none" w:sz="0" w:space="0" w:color="auto"/>
        <w:left w:val="none" w:sz="0" w:space="0" w:color="auto"/>
        <w:bottom w:val="none" w:sz="0" w:space="0" w:color="auto"/>
        <w:right w:val="none" w:sz="0" w:space="0" w:color="auto"/>
      </w:divBdr>
    </w:div>
    <w:div w:id="936869017">
      <w:bodyDiv w:val="1"/>
      <w:marLeft w:val="0"/>
      <w:marRight w:val="0"/>
      <w:marTop w:val="0"/>
      <w:marBottom w:val="0"/>
      <w:divBdr>
        <w:top w:val="none" w:sz="0" w:space="0" w:color="auto"/>
        <w:left w:val="none" w:sz="0" w:space="0" w:color="auto"/>
        <w:bottom w:val="none" w:sz="0" w:space="0" w:color="auto"/>
        <w:right w:val="none" w:sz="0" w:space="0" w:color="auto"/>
      </w:divBdr>
    </w:div>
    <w:div w:id="948469208">
      <w:bodyDiv w:val="1"/>
      <w:marLeft w:val="0"/>
      <w:marRight w:val="0"/>
      <w:marTop w:val="0"/>
      <w:marBottom w:val="0"/>
      <w:divBdr>
        <w:top w:val="none" w:sz="0" w:space="0" w:color="auto"/>
        <w:left w:val="none" w:sz="0" w:space="0" w:color="auto"/>
        <w:bottom w:val="none" w:sz="0" w:space="0" w:color="auto"/>
        <w:right w:val="none" w:sz="0" w:space="0" w:color="auto"/>
      </w:divBdr>
    </w:div>
    <w:div w:id="965165742">
      <w:bodyDiv w:val="1"/>
      <w:marLeft w:val="0"/>
      <w:marRight w:val="0"/>
      <w:marTop w:val="0"/>
      <w:marBottom w:val="0"/>
      <w:divBdr>
        <w:top w:val="none" w:sz="0" w:space="0" w:color="auto"/>
        <w:left w:val="none" w:sz="0" w:space="0" w:color="auto"/>
        <w:bottom w:val="none" w:sz="0" w:space="0" w:color="auto"/>
        <w:right w:val="none" w:sz="0" w:space="0" w:color="auto"/>
      </w:divBdr>
    </w:div>
    <w:div w:id="981226922">
      <w:bodyDiv w:val="1"/>
      <w:marLeft w:val="0"/>
      <w:marRight w:val="0"/>
      <w:marTop w:val="0"/>
      <w:marBottom w:val="0"/>
      <w:divBdr>
        <w:top w:val="none" w:sz="0" w:space="0" w:color="auto"/>
        <w:left w:val="none" w:sz="0" w:space="0" w:color="auto"/>
        <w:bottom w:val="none" w:sz="0" w:space="0" w:color="auto"/>
        <w:right w:val="none" w:sz="0" w:space="0" w:color="auto"/>
      </w:divBdr>
    </w:div>
    <w:div w:id="1042631751">
      <w:bodyDiv w:val="1"/>
      <w:marLeft w:val="0"/>
      <w:marRight w:val="0"/>
      <w:marTop w:val="0"/>
      <w:marBottom w:val="0"/>
      <w:divBdr>
        <w:top w:val="none" w:sz="0" w:space="0" w:color="auto"/>
        <w:left w:val="none" w:sz="0" w:space="0" w:color="auto"/>
        <w:bottom w:val="none" w:sz="0" w:space="0" w:color="auto"/>
        <w:right w:val="none" w:sz="0" w:space="0" w:color="auto"/>
      </w:divBdr>
    </w:div>
    <w:div w:id="1051881219">
      <w:bodyDiv w:val="1"/>
      <w:marLeft w:val="0"/>
      <w:marRight w:val="0"/>
      <w:marTop w:val="0"/>
      <w:marBottom w:val="0"/>
      <w:divBdr>
        <w:top w:val="none" w:sz="0" w:space="0" w:color="auto"/>
        <w:left w:val="none" w:sz="0" w:space="0" w:color="auto"/>
        <w:bottom w:val="none" w:sz="0" w:space="0" w:color="auto"/>
        <w:right w:val="none" w:sz="0" w:space="0" w:color="auto"/>
      </w:divBdr>
    </w:div>
    <w:div w:id="1075055763">
      <w:bodyDiv w:val="1"/>
      <w:marLeft w:val="0"/>
      <w:marRight w:val="0"/>
      <w:marTop w:val="0"/>
      <w:marBottom w:val="0"/>
      <w:divBdr>
        <w:top w:val="none" w:sz="0" w:space="0" w:color="auto"/>
        <w:left w:val="none" w:sz="0" w:space="0" w:color="auto"/>
        <w:bottom w:val="none" w:sz="0" w:space="0" w:color="auto"/>
        <w:right w:val="none" w:sz="0" w:space="0" w:color="auto"/>
      </w:divBdr>
    </w:div>
    <w:div w:id="1081557954">
      <w:bodyDiv w:val="1"/>
      <w:marLeft w:val="0"/>
      <w:marRight w:val="0"/>
      <w:marTop w:val="0"/>
      <w:marBottom w:val="0"/>
      <w:divBdr>
        <w:top w:val="none" w:sz="0" w:space="0" w:color="auto"/>
        <w:left w:val="none" w:sz="0" w:space="0" w:color="auto"/>
        <w:bottom w:val="none" w:sz="0" w:space="0" w:color="auto"/>
        <w:right w:val="none" w:sz="0" w:space="0" w:color="auto"/>
      </w:divBdr>
    </w:div>
    <w:div w:id="1091584720">
      <w:bodyDiv w:val="1"/>
      <w:marLeft w:val="0"/>
      <w:marRight w:val="0"/>
      <w:marTop w:val="0"/>
      <w:marBottom w:val="0"/>
      <w:divBdr>
        <w:top w:val="none" w:sz="0" w:space="0" w:color="auto"/>
        <w:left w:val="none" w:sz="0" w:space="0" w:color="auto"/>
        <w:bottom w:val="none" w:sz="0" w:space="0" w:color="auto"/>
        <w:right w:val="none" w:sz="0" w:space="0" w:color="auto"/>
      </w:divBdr>
    </w:div>
    <w:div w:id="116077406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243684356">
      <w:bodyDiv w:val="1"/>
      <w:marLeft w:val="0"/>
      <w:marRight w:val="0"/>
      <w:marTop w:val="0"/>
      <w:marBottom w:val="0"/>
      <w:divBdr>
        <w:top w:val="none" w:sz="0" w:space="0" w:color="auto"/>
        <w:left w:val="none" w:sz="0" w:space="0" w:color="auto"/>
        <w:bottom w:val="none" w:sz="0" w:space="0" w:color="auto"/>
        <w:right w:val="none" w:sz="0" w:space="0" w:color="auto"/>
      </w:divBdr>
    </w:div>
    <w:div w:id="1258709119">
      <w:bodyDiv w:val="1"/>
      <w:marLeft w:val="0"/>
      <w:marRight w:val="0"/>
      <w:marTop w:val="0"/>
      <w:marBottom w:val="0"/>
      <w:divBdr>
        <w:top w:val="none" w:sz="0" w:space="0" w:color="auto"/>
        <w:left w:val="none" w:sz="0" w:space="0" w:color="auto"/>
        <w:bottom w:val="none" w:sz="0" w:space="0" w:color="auto"/>
        <w:right w:val="none" w:sz="0" w:space="0" w:color="auto"/>
      </w:divBdr>
    </w:div>
    <w:div w:id="1323780217">
      <w:bodyDiv w:val="1"/>
      <w:marLeft w:val="0"/>
      <w:marRight w:val="0"/>
      <w:marTop w:val="0"/>
      <w:marBottom w:val="0"/>
      <w:divBdr>
        <w:top w:val="none" w:sz="0" w:space="0" w:color="auto"/>
        <w:left w:val="none" w:sz="0" w:space="0" w:color="auto"/>
        <w:bottom w:val="none" w:sz="0" w:space="0" w:color="auto"/>
        <w:right w:val="none" w:sz="0" w:space="0" w:color="auto"/>
      </w:divBdr>
    </w:div>
    <w:div w:id="1345129880">
      <w:bodyDiv w:val="1"/>
      <w:marLeft w:val="0"/>
      <w:marRight w:val="0"/>
      <w:marTop w:val="0"/>
      <w:marBottom w:val="0"/>
      <w:divBdr>
        <w:top w:val="none" w:sz="0" w:space="0" w:color="auto"/>
        <w:left w:val="none" w:sz="0" w:space="0" w:color="auto"/>
        <w:bottom w:val="none" w:sz="0" w:space="0" w:color="auto"/>
        <w:right w:val="none" w:sz="0" w:space="0" w:color="auto"/>
      </w:divBdr>
    </w:div>
    <w:div w:id="1362895276">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510674626">
      <w:bodyDiv w:val="1"/>
      <w:marLeft w:val="0"/>
      <w:marRight w:val="0"/>
      <w:marTop w:val="0"/>
      <w:marBottom w:val="0"/>
      <w:divBdr>
        <w:top w:val="none" w:sz="0" w:space="0" w:color="auto"/>
        <w:left w:val="none" w:sz="0" w:space="0" w:color="auto"/>
        <w:bottom w:val="none" w:sz="0" w:space="0" w:color="auto"/>
        <w:right w:val="none" w:sz="0" w:space="0" w:color="auto"/>
      </w:divBdr>
    </w:div>
    <w:div w:id="1542791392">
      <w:bodyDiv w:val="1"/>
      <w:marLeft w:val="0"/>
      <w:marRight w:val="0"/>
      <w:marTop w:val="0"/>
      <w:marBottom w:val="0"/>
      <w:divBdr>
        <w:top w:val="none" w:sz="0" w:space="0" w:color="auto"/>
        <w:left w:val="none" w:sz="0" w:space="0" w:color="auto"/>
        <w:bottom w:val="none" w:sz="0" w:space="0" w:color="auto"/>
        <w:right w:val="none" w:sz="0" w:space="0" w:color="auto"/>
      </w:divBdr>
    </w:div>
    <w:div w:id="1554534859">
      <w:bodyDiv w:val="1"/>
      <w:marLeft w:val="0"/>
      <w:marRight w:val="0"/>
      <w:marTop w:val="0"/>
      <w:marBottom w:val="0"/>
      <w:divBdr>
        <w:top w:val="none" w:sz="0" w:space="0" w:color="auto"/>
        <w:left w:val="none" w:sz="0" w:space="0" w:color="auto"/>
        <w:bottom w:val="none" w:sz="0" w:space="0" w:color="auto"/>
        <w:right w:val="none" w:sz="0" w:space="0" w:color="auto"/>
      </w:divBdr>
    </w:div>
    <w:div w:id="1589195141">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04860540">
      <w:bodyDiv w:val="1"/>
      <w:marLeft w:val="0"/>
      <w:marRight w:val="0"/>
      <w:marTop w:val="0"/>
      <w:marBottom w:val="0"/>
      <w:divBdr>
        <w:top w:val="none" w:sz="0" w:space="0" w:color="auto"/>
        <w:left w:val="none" w:sz="0" w:space="0" w:color="auto"/>
        <w:bottom w:val="none" w:sz="0" w:space="0" w:color="auto"/>
        <w:right w:val="none" w:sz="0" w:space="0" w:color="auto"/>
      </w:divBdr>
    </w:div>
    <w:div w:id="1744377242">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91707">
      <w:bodyDiv w:val="1"/>
      <w:marLeft w:val="0"/>
      <w:marRight w:val="0"/>
      <w:marTop w:val="0"/>
      <w:marBottom w:val="0"/>
      <w:divBdr>
        <w:top w:val="none" w:sz="0" w:space="0" w:color="auto"/>
        <w:left w:val="none" w:sz="0" w:space="0" w:color="auto"/>
        <w:bottom w:val="none" w:sz="0" w:space="0" w:color="auto"/>
        <w:right w:val="none" w:sz="0" w:space="0" w:color="auto"/>
      </w:divBdr>
    </w:div>
    <w:div w:id="1766802922">
      <w:bodyDiv w:val="1"/>
      <w:marLeft w:val="0"/>
      <w:marRight w:val="0"/>
      <w:marTop w:val="0"/>
      <w:marBottom w:val="0"/>
      <w:divBdr>
        <w:top w:val="none" w:sz="0" w:space="0" w:color="auto"/>
        <w:left w:val="none" w:sz="0" w:space="0" w:color="auto"/>
        <w:bottom w:val="none" w:sz="0" w:space="0" w:color="auto"/>
        <w:right w:val="none" w:sz="0" w:space="0" w:color="auto"/>
      </w:divBdr>
    </w:div>
    <w:div w:id="1768305184">
      <w:bodyDiv w:val="1"/>
      <w:marLeft w:val="0"/>
      <w:marRight w:val="0"/>
      <w:marTop w:val="0"/>
      <w:marBottom w:val="0"/>
      <w:divBdr>
        <w:top w:val="none" w:sz="0" w:space="0" w:color="auto"/>
        <w:left w:val="none" w:sz="0" w:space="0" w:color="auto"/>
        <w:bottom w:val="none" w:sz="0" w:space="0" w:color="auto"/>
        <w:right w:val="none" w:sz="0" w:space="0" w:color="auto"/>
      </w:divBdr>
      <w:divsChild>
        <w:div w:id="944920555">
          <w:marLeft w:val="0"/>
          <w:marRight w:val="0"/>
          <w:marTop w:val="0"/>
          <w:marBottom w:val="0"/>
          <w:divBdr>
            <w:top w:val="none" w:sz="0" w:space="0" w:color="auto"/>
            <w:left w:val="none" w:sz="0" w:space="0" w:color="auto"/>
            <w:bottom w:val="none" w:sz="0" w:space="0" w:color="auto"/>
            <w:right w:val="none" w:sz="0" w:space="0" w:color="auto"/>
          </w:divBdr>
          <w:divsChild>
            <w:div w:id="609510782">
              <w:marLeft w:val="0"/>
              <w:marRight w:val="0"/>
              <w:marTop w:val="0"/>
              <w:marBottom w:val="0"/>
              <w:divBdr>
                <w:top w:val="none" w:sz="0" w:space="0" w:color="auto"/>
                <w:left w:val="none" w:sz="0" w:space="0" w:color="auto"/>
                <w:bottom w:val="none" w:sz="0" w:space="0" w:color="auto"/>
                <w:right w:val="none" w:sz="0" w:space="0" w:color="auto"/>
              </w:divBdr>
              <w:divsChild>
                <w:div w:id="1963144613">
                  <w:marLeft w:val="0"/>
                  <w:marRight w:val="0"/>
                  <w:marTop w:val="0"/>
                  <w:marBottom w:val="0"/>
                  <w:divBdr>
                    <w:top w:val="none" w:sz="0" w:space="0" w:color="auto"/>
                    <w:left w:val="none" w:sz="0" w:space="0" w:color="auto"/>
                    <w:bottom w:val="none" w:sz="0" w:space="0" w:color="auto"/>
                    <w:right w:val="none" w:sz="0" w:space="0" w:color="auto"/>
                  </w:divBdr>
                  <w:divsChild>
                    <w:div w:id="1589538573">
                      <w:marLeft w:val="0"/>
                      <w:marRight w:val="0"/>
                      <w:marTop w:val="0"/>
                      <w:marBottom w:val="0"/>
                      <w:divBdr>
                        <w:top w:val="none" w:sz="0" w:space="0" w:color="auto"/>
                        <w:left w:val="none" w:sz="0" w:space="0" w:color="auto"/>
                        <w:bottom w:val="none" w:sz="0" w:space="0" w:color="auto"/>
                        <w:right w:val="none" w:sz="0" w:space="0" w:color="auto"/>
                      </w:divBdr>
                      <w:divsChild>
                        <w:div w:id="90126813">
                          <w:marLeft w:val="0"/>
                          <w:marRight w:val="0"/>
                          <w:marTop w:val="0"/>
                          <w:marBottom w:val="0"/>
                          <w:divBdr>
                            <w:top w:val="single" w:sz="6" w:space="0" w:color="828282"/>
                            <w:left w:val="single" w:sz="6" w:space="0" w:color="828282"/>
                            <w:bottom w:val="single" w:sz="6" w:space="0" w:color="828282"/>
                            <w:right w:val="single" w:sz="6" w:space="0" w:color="828282"/>
                          </w:divBdr>
                          <w:divsChild>
                            <w:div w:id="892619918">
                              <w:marLeft w:val="0"/>
                              <w:marRight w:val="0"/>
                              <w:marTop w:val="0"/>
                              <w:marBottom w:val="0"/>
                              <w:divBdr>
                                <w:top w:val="none" w:sz="0" w:space="0" w:color="auto"/>
                                <w:left w:val="none" w:sz="0" w:space="0" w:color="auto"/>
                                <w:bottom w:val="none" w:sz="0" w:space="0" w:color="auto"/>
                                <w:right w:val="none" w:sz="0" w:space="0" w:color="auto"/>
                              </w:divBdr>
                              <w:divsChild>
                                <w:div w:id="957369060">
                                  <w:marLeft w:val="0"/>
                                  <w:marRight w:val="0"/>
                                  <w:marTop w:val="0"/>
                                  <w:marBottom w:val="0"/>
                                  <w:divBdr>
                                    <w:top w:val="none" w:sz="0" w:space="0" w:color="auto"/>
                                    <w:left w:val="none" w:sz="0" w:space="0" w:color="auto"/>
                                    <w:bottom w:val="none" w:sz="0" w:space="0" w:color="auto"/>
                                    <w:right w:val="none" w:sz="0" w:space="0" w:color="auto"/>
                                  </w:divBdr>
                                  <w:divsChild>
                                    <w:div w:id="440229342">
                                      <w:marLeft w:val="0"/>
                                      <w:marRight w:val="0"/>
                                      <w:marTop w:val="0"/>
                                      <w:marBottom w:val="0"/>
                                      <w:divBdr>
                                        <w:top w:val="none" w:sz="0" w:space="0" w:color="auto"/>
                                        <w:left w:val="none" w:sz="0" w:space="0" w:color="auto"/>
                                        <w:bottom w:val="none" w:sz="0" w:space="0" w:color="auto"/>
                                        <w:right w:val="none" w:sz="0" w:space="0" w:color="auto"/>
                                      </w:divBdr>
                                      <w:divsChild>
                                        <w:div w:id="1117597750">
                                          <w:marLeft w:val="0"/>
                                          <w:marRight w:val="0"/>
                                          <w:marTop w:val="0"/>
                                          <w:marBottom w:val="0"/>
                                          <w:divBdr>
                                            <w:top w:val="none" w:sz="0" w:space="0" w:color="auto"/>
                                            <w:left w:val="none" w:sz="0" w:space="0" w:color="auto"/>
                                            <w:bottom w:val="none" w:sz="0" w:space="0" w:color="auto"/>
                                            <w:right w:val="none" w:sz="0" w:space="0" w:color="auto"/>
                                          </w:divBdr>
                                          <w:divsChild>
                                            <w:div w:id="1695570698">
                                              <w:marLeft w:val="0"/>
                                              <w:marRight w:val="0"/>
                                              <w:marTop w:val="0"/>
                                              <w:marBottom w:val="0"/>
                                              <w:divBdr>
                                                <w:top w:val="none" w:sz="0" w:space="0" w:color="auto"/>
                                                <w:left w:val="none" w:sz="0" w:space="0" w:color="auto"/>
                                                <w:bottom w:val="none" w:sz="0" w:space="0" w:color="auto"/>
                                                <w:right w:val="none" w:sz="0" w:space="0" w:color="auto"/>
                                              </w:divBdr>
                                              <w:divsChild>
                                                <w:div w:id="609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309650">
      <w:bodyDiv w:val="1"/>
      <w:marLeft w:val="0"/>
      <w:marRight w:val="0"/>
      <w:marTop w:val="0"/>
      <w:marBottom w:val="0"/>
      <w:divBdr>
        <w:top w:val="none" w:sz="0" w:space="0" w:color="auto"/>
        <w:left w:val="none" w:sz="0" w:space="0" w:color="auto"/>
        <w:bottom w:val="none" w:sz="0" w:space="0" w:color="auto"/>
        <w:right w:val="none" w:sz="0" w:space="0" w:color="auto"/>
      </w:divBdr>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 w:id="1862012162">
      <w:bodyDiv w:val="1"/>
      <w:marLeft w:val="0"/>
      <w:marRight w:val="0"/>
      <w:marTop w:val="0"/>
      <w:marBottom w:val="0"/>
      <w:divBdr>
        <w:top w:val="none" w:sz="0" w:space="0" w:color="auto"/>
        <w:left w:val="none" w:sz="0" w:space="0" w:color="auto"/>
        <w:bottom w:val="none" w:sz="0" w:space="0" w:color="auto"/>
        <w:right w:val="none" w:sz="0" w:space="0" w:color="auto"/>
      </w:divBdr>
    </w:div>
    <w:div w:id="1899395635">
      <w:bodyDiv w:val="1"/>
      <w:marLeft w:val="0"/>
      <w:marRight w:val="0"/>
      <w:marTop w:val="0"/>
      <w:marBottom w:val="0"/>
      <w:divBdr>
        <w:top w:val="none" w:sz="0" w:space="0" w:color="auto"/>
        <w:left w:val="none" w:sz="0" w:space="0" w:color="auto"/>
        <w:bottom w:val="none" w:sz="0" w:space="0" w:color="auto"/>
        <w:right w:val="none" w:sz="0" w:space="0" w:color="auto"/>
      </w:divBdr>
    </w:div>
    <w:div w:id="1955163817">
      <w:bodyDiv w:val="1"/>
      <w:marLeft w:val="0"/>
      <w:marRight w:val="0"/>
      <w:marTop w:val="0"/>
      <w:marBottom w:val="0"/>
      <w:divBdr>
        <w:top w:val="none" w:sz="0" w:space="0" w:color="auto"/>
        <w:left w:val="none" w:sz="0" w:space="0" w:color="auto"/>
        <w:bottom w:val="none" w:sz="0" w:space="0" w:color="auto"/>
        <w:right w:val="none" w:sz="0" w:space="0" w:color="auto"/>
      </w:divBdr>
    </w:div>
    <w:div w:id="1992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Gujr"/>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6</Value>
      <Value>16</Value>
      <Value>2</Value>
    </TaxCatchAll>
    <_dlc_DocId xmlns="6a7e9632-768a-49bf-85ac-c69233ab2a52">FIN11578-1059128186-42011</_dlc_DocId>
    <_dlc_DocIdUrl xmlns="6a7e9632-768a-49bf-85ac-c69233ab2a52">
      <Url>https://financegovau.sharepoint.com/sites/M365_DoF_51011764/_layouts/15/DocIdRedir.aspx?ID=FIN11578-1059128186-42011</Url>
      <Description>FIN11578-1059128186-42011</Description>
    </_dlc_DocIdUrl>
    <Security_x0020_Classification xmlns="417d26e5-1e49-40f1-ac81-66803adaab5a">OFFICIAL:Sensitive</Security_x0020_Classification>
    <of934ccb37d6451ba60cdb89c1817167 xmlns="a334ba3b-e131-42d3-95f3-2728f5a41884">Department of Finance|fd660e8f-8f31-49bd-92a3-d31d4da31afe</of934ccb37d6451ba60cdb89c1817167>
    <Original_x0020_Date_x0020_Created xmlns="417d26e5-1e49-40f1-ac81-66803adaab5a" xsi:nil="true"/>
    <e0fcb3f570964638902a63147cd98219 xmlns="a334ba3b-e131-42d3-95f3-2728f5a41884">ONDC Legal Services|7606fb11-7019-474f-ae7d-12a1f87c7426</e0fcb3f570964638902a63147cd98219>
    <TaxKeywordTaxHTField xmlns="a334ba3b-e131-42d3-95f3-2728f5a41884">[SEC=OFFICIAL]|07351cc0-de73-4913-be2f-56f124cbf8bb</TaxKeywordTaxHTField>
    <lf395e0388bc45bfb8642f07b9d090f4 xmlns="a334ba3b-e131-42d3-95f3-2728f5a41884" xsi:nil="true"/>
    <f0888ba7078d4a1bac90b097c1ed0fad xmlns="a334ba3b-e131-42d3-95f3-2728f5a41884">Department of Finance|fd660e8f-8f31-49bd-92a3-d31d4da31afe</f0888ba7078d4a1bac90b097c1ed0fa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469D174106118A41A416E32D63847675" ma:contentTypeVersion="2" ma:contentTypeDescription="" ma:contentTypeScope="" ma:versionID="1d44c714310a0d36231c941b874ba041">
  <xsd:schema xmlns:xsd="http://www.w3.org/2001/XMLSchema" xmlns:xs="http://www.w3.org/2001/XMLSchema" xmlns:p="http://schemas.microsoft.com/office/2006/metadata/properties" xmlns:ns2="417d26e5-1e49-40f1-ac81-66803adaab5a" xmlns:ns3="a334ba3b-e131-42d3-95f3-2728f5a41884" xmlns:ns4="6a7e9632-768a-49bf-85ac-c69233ab2a52" targetNamespace="http://schemas.microsoft.com/office/2006/metadata/properties" ma:root="true" ma:fieldsID="188150a2ff2573a259a9e39b078b5c11" ns2:_="" ns3:_="" ns4:_="">
    <xsd:import namespace="417d26e5-1e49-40f1-ac81-66803adaab5a"/>
    <xsd:import namespace="a334ba3b-e131-42d3-95f3-2728f5a41884"/>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3:e0fcb3f570964638902a63147cd98219" minOccurs="0"/>
                <xsd:element ref="ns3:f0888ba7078d4a1bac90b097c1ed0fad" minOccurs="0"/>
                <xsd:element ref="ns3:of934ccb37d6451ba60cdb89c1817167" minOccurs="0"/>
                <xsd:element ref="ns3:TaxKeywordTaxHTField" minOccurs="0"/>
                <xsd:element ref="ns3:lf395e0388bc45bfb8642f07b9d090f4" minOccurs="0"/>
                <xsd:element ref="ns3: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26e5-1e49-40f1-ac81-66803adaab5a"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45b083b2-54c6-46fd-ac80-d43b8b1a9a9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e0fcb3f570964638902a63147cd98219" ma:index="11" nillable="true" ma:displayName="Organisation Unit_0" ma:hidden="true" ma:internalName="e0fcb3f570964638902a63147cd98219">
      <xsd:simpleType>
        <xsd:restriction base="dms:Note"/>
      </xsd:simpleType>
    </xsd:element>
    <xsd:element name="f0888ba7078d4a1bac90b097c1ed0fad" ma:index="13" nillable="true" ma:displayName="Initiating Entity_0" ma:hidden="true" ma:internalName="f0888ba7078d4a1bac90b097c1ed0fad">
      <xsd:simpleType>
        <xsd:restriction base="dms:Note"/>
      </xsd:simpleType>
    </xsd:element>
    <xsd:element name="of934ccb37d6451ba60cdb89c1817167" ma:index="15" nillable="true" ma:displayName="About Entity_0" ma:hidden="true" ma:internalName="of934ccb37d6451ba60cdb89c1817167">
      <xsd:simpleType>
        <xsd:restriction base="dms:Note"/>
      </xsd:simpleType>
    </xsd:element>
    <xsd:element name="TaxKeywordTaxHTField" ma:index="17" nillable="true" ma:displayName="TaxKeywordTaxHTField" ma:hidden="true" ma:internalName="TaxKeywordTaxHTField">
      <xsd:simpleType>
        <xsd:restriction base="dms:Note"/>
      </xsd:simpleType>
    </xsd:element>
    <xsd:element name="lf395e0388bc45bfb8642f07b9d090f4" ma:index="20" nillable="true" ma:displayName="Function and Activity_0" ma:hidden="true" ma:internalName="lf395e0388bc45bfb8642f07b9d090f4">
      <xsd:simpleType>
        <xsd:restriction base="dms:Note"/>
      </xsd:simpleType>
    </xsd:element>
    <xsd:element name="TaxCatchAll" ma:index="21" nillable="true" ma:displayName="Taxonomy Catch All Column" ma:description="" ma:hidden="true" ma:list="{45b083b2-54c6-46fd-ac80-d43b8b1a9a9e}"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4b2c377-c74f-46b8-b62e-9cefa93d8fc8" ContentTypeId="0x010100B7B479F47583304BA8B631462CC772D7" PreviousValue="true" LastSyncTimeStamp="2023-03-17T03:08:53.46Z"/>
</file>

<file path=customXml/itemProps1.xml><?xml version="1.0" encoding="utf-8"?>
<ds:datastoreItem xmlns:ds="http://schemas.openxmlformats.org/officeDocument/2006/customXml" ds:itemID="{9C574ECF-E628-4341-AAE5-0895E5874705}">
  <ds:schemaRefs>
    <ds:schemaRef ds:uri="http://schemas.openxmlformats.org/officeDocument/2006/bibliography"/>
  </ds:schemaRefs>
</ds:datastoreItem>
</file>

<file path=customXml/itemProps2.xml><?xml version="1.0" encoding="utf-8"?>
<ds:datastoreItem xmlns:ds="http://schemas.openxmlformats.org/officeDocument/2006/customXml" ds:itemID="{E413FD8B-FFCE-48BF-B9D0-7B7CD43C59A4}">
  <ds:schemaRefs>
    <ds:schemaRef ds:uri="http://schemas.microsoft.com/office/2006/metadata/properties"/>
    <ds:schemaRef ds:uri="http://schemas.microsoft.com/office/infopath/2007/PartnerControls"/>
    <ds:schemaRef ds:uri="a334ba3b-e131-42d3-95f3-2728f5a41884"/>
    <ds:schemaRef ds:uri="4cf51cfb-d99e-49cb-a25e-3235d44af28b"/>
    <ds:schemaRef ds:uri="6a7e9632-768a-49bf-85ac-c69233ab2a52"/>
  </ds:schemaRefs>
</ds:datastoreItem>
</file>

<file path=customXml/itemProps3.xml><?xml version="1.0" encoding="utf-8"?>
<ds:datastoreItem xmlns:ds="http://schemas.openxmlformats.org/officeDocument/2006/customXml" ds:itemID="{960E1E55-2895-4D9A-BD04-67183D28A7FF}">
  <ds:schemaRefs>
    <ds:schemaRef ds:uri="http://schemas.microsoft.com/sharepoint/v3/contenttype/forms"/>
  </ds:schemaRefs>
</ds:datastoreItem>
</file>

<file path=customXml/itemProps4.xml><?xml version="1.0" encoding="utf-8"?>
<ds:datastoreItem xmlns:ds="http://schemas.openxmlformats.org/officeDocument/2006/customXml" ds:itemID="{14EBBA70-E68A-49DE-A99A-BF7E491C64F8}"/>
</file>

<file path=customXml/itemProps5.xml><?xml version="1.0" encoding="utf-8"?>
<ds:datastoreItem xmlns:ds="http://schemas.openxmlformats.org/officeDocument/2006/customXml" ds:itemID="{187FA86E-41DA-4630-8809-664EA9B32009}">
  <ds:schemaRefs>
    <ds:schemaRef ds:uri="http://schemas.microsoft.com/sharepoint/events"/>
  </ds:schemaRefs>
</ds:datastoreItem>
</file>

<file path=customXml/itemProps6.xml><?xml version="1.0" encoding="utf-8"?>
<ds:datastoreItem xmlns:ds="http://schemas.openxmlformats.org/officeDocument/2006/customXml" ds:itemID="{441A2F4A-2DF4-4BEF-8DC6-D892480CC71B}"/>
</file>

<file path=docProps/app.xml><?xml version="1.0" encoding="utf-8"?>
<Properties xmlns="http://schemas.openxmlformats.org/officeDocument/2006/extended-properties" xmlns:vt="http://schemas.openxmlformats.org/officeDocument/2006/docPropsVTypes">
  <Template>Normal</Template>
  <TotalTime>13</TotalTime>
  <Pages>7</Pages>
  <Words>2770</Words>
  <Characters>14830</Characters>
  <Application>Microsoft Office Word</Application>
  <DocSecurity>0</DocSecurity>
  <Lines>281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Brianna</dc:creator>
  <cp:keywords>[SEC=OFFICIAL]</cp:keywords>
  <dc:description/>
  <cp:lastModifiedBy>Riley, Brianna</cp:lastModifiedBy>
  <cp:revision>5</cp:revision>
  <cp:lastPrinted>2023-11-16T00:21:00Z</cp:lastPrinted>
  <dcterms:created xsi:type="dcterms:W3CDTF">2023-11-16T00:07:00Z</dcterms:created>
  <dcterms:modified xsi:type="dcterms:W3CDTF">2023-11-16T00:21:00Z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0x010100B7B479F47583304BA8B631462CC772D700469D174106118A41A416E32D63847675</vt:lpwstr>
  </property>
  <property fmtid="{D5CDD505-2E9C-101B-9397-08002B2CF9AE}" pid="3" name="ESearchTags">
    <vt:lpwstr/>
  </property>
  <property fmtid="{D5CDD505-2E9C-101B-9397-08002B2CF9AE}" pid="4" name="HPRMSecurityLevel">
    <vt:lpwstr>34;#OFFICIAL|11463c70-78df-4e3b-b0ff-f66cd3cb26ec</vt:lpwstr>
  </property>
  <property fmtid="{D5CDD505-2E9C-101B-9397-08002B2CF9AE}" pid="5" name="HPRMSecurityCaveat">
    <vt:lpwstr/>
  </property>
  <property fmtid="{D5CDD505-2E9C-101B-9397-08002B2CF9AE}" pid="6" name="PMC.ESearch.TagGeneratedTime">
    <vt:lpwstr>2022-07-20T14:11:49</vt:lpwstr>
  </property>
  <property fmtid="{D5CDD505-2E9C-101B-9397-08002B2CF9AE}" pid="7" name="TaxKeyword">
    <vt:lpwstr>6;#[SEC=OFFICIAL]|07351cc0-de73-4913-be2f-56f124cbf8bb</vt:lpwstr>
  </property>
  <property fmtid="{D5CDD505-2E9C-101B-9397-08002B2CF9AE}" pid="8" name="AbtEntity">
    <vt:lpwstr>2;#Department of Finance|fd660e8f-8f31-49bd-92a3-d31d4da31afe</vt:lpwstr>
  </property>
  <property fmtid="{D5CDD505-2E9C-101B-9397-08002B2CF9AE}" pid="9" name="OrgUnit">
    <vt:lpwstr>1;#Office of the National Data Commissioner|ada643d2-e50e-4570-b8d2-2c33632e5671</vt:lpwstr>
  </property>
  <property fmtid="{D5CDD505-2E9C-101B-9397-08002B2CF9AE}" pid="10" name="_dlc_DocIdItemGuid">
    <vt:lpwstr>431f4d6d-0219-43c1-8b74-e23d991012c1</vt:lpwstr>
  </property>
  <property fmtid="{D5CDD505-2E9C-101B-9397-08002B2CF9AE}" pid="11" name="InitiatingEntity">
    <vt:lpwstr>8;#Department of the Prime Minister and Cabinet|88371da0-dc77-4d74-b66f-50194b92dc49</vt:lpwstr>
  </property>
  <property fmtid="{D5CDD505-2E9C-101B-9397-08002B2CF9AE}" pid="12" name="Function and Activity">
    <vt:lpwstr/>
  </property>
  <property fmtid="{D5CDD505-2E9C-101B-9397-08002B2CF9AE}" pid="13" name="EmTo">
    <vt:lpwstr/>
  </property>
  <property fmtid="{D5CDD505-2E9C-101B-9397-08002B2CF9AE}" pid="14" name="EmFrom">
    <vt:lpwstr/>
  </property>
  <property fmtid="{D5CDD505-2E9C-101B-9397-08002B2CF9AE}" pid="15" name="PM_Namespace">
    <vt:lpwstr>gov.au</vt:lpwstr>
  </property>
  <property fmtid="{D5CDD505-2E9C-101B-9397-08002B2CF9AE}" pid="16" name="PM_Caveats_Count">
    <vt:lpwstr>0</vt:lpwstr>
  </property>
  <property fmtid="{D5CDD505-2E9C-101B-9397-08002B2CF9AE}" pid="17" name="PM_Version">
    <vt:lpwstr>2018.4</vt:lpwstr>
  </property>
  <property fmtid="{D5CDD505-2E9C-101B-9397-08002B2CF9AE}" pid="18" name="PM_Note">
    <vt:lpwstr/>
  </property>
  <property fmtid="{D5CDD505-2E9C-101B-9397-08002B2CF9AE}" pid="19" name="PMHMAC">
    <vt:lpwstr>v=2022.1;a=SHA256;h=7603B1263D764B05157193777A2509FCC1974B2557775DC4B4748AE316C5D027</vt:lpwstr>
  </property>
  <property fmtid="{D5CDD505-2E9C-101B-9397-08002B2CF9AE}" pid="20" name="PM_Qualifier">
    <vt:lpwstr/>
  </property>
  <property fmtid="{D5CDD505-2E9C-101B-9397-08002B2CF9AE}" pid="21" name="PM_SecurityClassification">
    <vt:lpwstr>OFFICIAL</vt:lpwstr>
  </property>
  <property fmtid="{D5CDD505-2E9C-101B-9397-08002B2CF9AE}" pid="22" name="PM_ProtectiveMarkingValue_Header">
    <vt:lpwstr>OFFICIAL</vt:lpwstr>
  </property>
  <property fmtid="{D5CDD505-2E9C-101B-9397-08002B2CF9AE}" pid="23" name="PM_OriginationTimeStamp">
    <vt:lpwstr>2023-10-09T23:48:46Z</vt:lpwstr>
  </property>
  <property fmtid="{D5CDD505-2E9C-101B-9397-08002B2CF9AE}" pid="24" name="PM_Markers">
    <vt:lpwstr/>
  </property>
  <property fmtid="{D5CDD505-2E9C-101B-9397-08002B2CF9AE}" pid="25" name="MSIP_Label_87d6481e-ccdd-4ab6-8b26-05a0df5699e7_Name">
    <vt:lpwstr>OFFICIAL</vt:lpwstr>
  </property>
  <property fmtid="{D5CDD505-2E9C-101B-9397-08002B2CF9AE}" pid="26" name="MSIP_Label_87d6481e-ccdd-4ab6-8b26-05a0df5699e7_SiteId">
    <vt:lpwstr>08954cee-4782-4ff6-9ad5-1997dccef4b0</vt:lpwstr>
  </property>
  <property fmtid="{D5CDD505-2E9C-101B-9397-08002B2CF9AE}" pid="27" name="MSIP_Label_87d6481e-ccdd-4ab6-8b26-05a0df5699e7_Enabled">
    <vt:lpwstr>true</vt:lpwstr>
  </property>
  <property fmtid="{D5CDD505-2E9C-101B-9397-08002B2CF9AE}" pid="28" name="PM_OriginatorUserAccountName_SHA256">
    <vt:lpwstr>5694BF43FD374890D5B7D9AD84A0CD382B0C78E10D523747D2C8A90B7E5DF346</vt:lpwstr>
  </property>
  <property fmtid="{D5CDD505-2E9C-101B-9397-08002B2CF9AE}" pid="29" name="MSIP_Label_87d6481e-ccdd-4ab6-8b26-05a0df5699e7_SetDate">
    <vt:lpwstr>2023-10-09T23:48:46Z</vt:lpwstr>
  </property>
  <property fmtid="{D5CDD505-2E9C-101B-9397-08002B2CF9AE}" pid="30" name="MSIP_Label_87d6481e-ccdd-4ab6-8b26-05a0df5699e7_Method">
    <vt:lpwstr>Privileged</vt:lpwstr>
  </property>
  <property fmtid="{D5CDD505-2E9C-101B-9397-08002B2CF9AE}" pid="31" name="MSIP_Label_87d6481e-ccdd-4ab6-8b26-05a0df5699e7_ContentBits">
    <vt:lpwstr>0</vt:lpwstr>
  </property>
  <property fmtid="{D5CDD505-2E9C-101B-9397-08002B2CF9AE}" pid="32" name="MSIP_Label_87d6481e-ccdd-4ab6-8b26-05a0df5699e7_ActionId">
    <vt:lpwstr>3959c78b95864b6093aa7811f049f65a</vt:lpwstr>
  </property>
  <property fmtid="{D5CDD505-2E9C-101B-9397-08002B2CF9AE}" pid="33" name="PM_InsertionValue">
    <vt:lpwstr>OFFICIAL</vt:lpwstr>
  </property>
  <property fmtid="{D5CDD505-2E9C-101B-9397-08002B2CF9AE}" pid="34" name="PM_Originator_Hash_SHA1">
    <vt:lpwstr>5B7315588853894D0494BDDFCC81456EF2AD962F</vt:lpwstr>
  </property>
  <property fmtid="{D5CDD505-2E9C-101B-9397-08002B2CF9AE}" pid="35" name="PM_DisplayValueSecClassificationWithQualifier">
    <vt:lpwstr>OFFICIAL</vt:lpwstr>
  </property>
  <property fmtid="{D5CDD505-2E9C-101B-9397-08002B2CF9AE}" pid="36" name="PM_Originating_FileId">
    <vt:lpwstr>3A46DAD7A6494112AEF1FC073D31EBAD</vt:lpwstr>
  </property>
  <property fmtid="{D5CDD505-2E9C-101B-9397-08002B2CF9AE}" pid="37" name="PM_ProtectiveMarkingValue_Footer">
    <vt:lpwstr>OFFICIAL</vt:lpwstr>
  </property>
  <property fmtid="{D5CDD505-2E9C-101B-9397-08002B2CF9AE}" pid="38" name="PM_ProtectiveMarkingImage_Header">
    <vt:lpwstr>C:\Program Files\Common Files\janusNET Shared\janusSEAL\Images\DocumentSlashBlue.png</vt:lpwstr>
  </property>
  <property fmtid="{D5CDD505-2E9C-101B-9397-08002B2CF9AE}" pid="39" name="PM_ProtectiveMarkingImage_Footer">
    <vt:lpwstr>C:\Program Files\Common Files\janusNET Shared\janusSEAL\Images\DocumentSlashBlue.png</vt:lpwstr>
  </property>
  <property fmtid="{D5CDD505-2E9C-101B-9397-08002B2CF9AE}" pid="40" name="PM_Display">
    <vt:lpwstr>OFFICIAL</vt:lpwstr>
  </property>
  <property fmtid="{D5CDD505-2E9C-101B-9397-08002B2CF9AE}" pid="41" name="PM_OriginatorDomainName_SHA256">
    <vt:lpwstr>325440F6CA31C4C3BCE4433552DC42928CAAD3E2731ABE35FDE729ECEB763AF0</vt:lpwstr>
  </property>
  <property fmtid="{D5CDD505-2E9C-101B-9397-08002B2CF9AE}" pid="42" name="PMUuid">
    <vt:lpwstr>v=2022.2;d=gov.au;g=46DD6D7C-8107-577B-BC6E-F348953B2E44</vt:lpwstr>
  </property>
  <property fmtid="{D5CDD505-2E9C-101B-9397-08002B2CF9AE}" pid="43" name="PM_Hash_Version">
    <vt:lpwstr>2022.1</vt:lpwstr>
  </property>
  <property fmtid="{D5CDD505-2E9C-101B-9397-08002B2CF9AE}" pid="44" name="PM_Hash_Salt_Prev">
    <vt:lpwstr>D809F9EA28A845A88FA8B2024468F838</vt:lpwstr>
  </property>
  <property fmtid="{D5CDD505-2E9C-101B-9397-08002B2CF9AE}" pid="45" name="PM_Hash_Salt">
    <vt:lpwstr>A17C4F70D773C5FCF011DF0AC50F6052</vt:lpwstr>
  </property>
  <property fmtid="{D5CDD505-2E9C-101B-9397-08002B2CF9AE}" pid="46" name="PM_Hash_SHA1">
    <vt:lpwstr>99C83BCC50C602F59F5AD60A02D26399735584E9</vt:lpwstr>
  </property>
  <property fmtid="{D5CDD505-2E9C-101B-9397-08002B2CF9AE}" pid="47" name="About Entity">
    <vt:lpwstr>2;#Department of Finance|fd660e8f-8f31-49bd-92a3-d31d4da31afe</vt:lpwstr>
  </property>
  <property fmtid="{D5CDD505-2E9C-101B-9397-08002B2CF9AE}" pid="48" name="Initiating Entity">
    <vt:lpwstr>2;#Department of Finance|fd660e8f-8f31-49bd-92a3-d31d4da31afe</vt:lpwstr>
  </property>
  <property fmtid="{D5CDD505-2E9C-101B-9397-08002B2CF9AE}" pid="49" name="Organisation Unit">
    <vt:lpwstr>16;#ONDC Legal Services|7606fb11-7019-474f-ae7d-12a1f87c7426</vt:lpwstr>
  </property>
  <property fmtid="{D5CDD505-2E9C-101B-9397-08002B2CF9AE}" pid="50" name="MediaServiceImageTags">
    <vt:lpwstr/>
  </property>
  <property fmtid="{D5CDD505-2E9C-101B-9397-08002B2CF9AE}" pid="51" name="PM_SecurityClassification_Prev">
    <vt:lpwstr>OFFICIAL</vt:lpwstr>
  </property>
  <property fmtid="{D5CDD505-2E9C-101B-9397-08002B2CF9AE}" pid="52" name="PM_Qualifier_Prev">
    <vt:lpwstr/>
  </property>
  <property fmtid="{D5CDD505-2E9C-101B-9397-08002B2CF9AE}" pid="53" name="Relevant Area">
    <vt:lpwstr/>
  </property>
  <property fmtid="{D5CDD505-2E9C-101B-9397-08002B2CF9AE}" pid="54" name="Activity">
    <vt:lpwstr/>
  </property>
  <property fmtid="{D5CDD505-2E9C-101B-9397-08002B2CF9AE}" pid="55" name="TaxKeywordTaxHTField">
    <vt:lpwstr>[SEC=OFFICIAL]|07351cc0-de73-4913-be2f-56f124cbf8bb</vt:lpwstr>
  </property>
  <property fmtid="{D5CDD505-2E9C-101B-9397-08002B2CF9AE}" pid="56" name="lf395e0388bc45bfb8642f07b9d090f4">
    <vt:lpwstr/>
  </property>
  <property fmtid="{D5CDD505-2E9C-101B-9397-08002B2CF9AE}" pid="57" name="of934ccb37d6451ba60cdb89c1817167">
    <vt:lpwstr>Department of Finance|fd660e8f-8f31-49bd-92a3-d31d4da31afe</vt:lpwstr>
  </property>
  <property fmtid="{D5CDD505-2E9C-101B-9397-08002B2CF9AE}" pid="58" name="Primary Function">
    <vt:lpwstr/>
  </property>
  <property fmtid="{D5CDD505-2E9C-101B-9397-08002B2CF9AE}" pid="59" name="lcf76f155ced4ddcb4097134ff3c332f">
    <vt:lpwstr/>
  </property>
  <property fmtid="{D5CDD505-2E9C-101B-9397-08002B2CF9AE}" pid="60" name="Function">
    <vt:lpwstr/>
  </property>
  <property fmtid="{D5CDD505-2E9C-101B-9397-08002B2CF9AE}" pid="61" name="e0fcb3f570964638902a63147cd98219">
    <vt:lpwstr>ONDC Legal Services|7606fb11-7019-474f-ae7d-12a1f87c7426</vt:lpwstr>
  </property>
  <property fmtid="{D5CDD505-2E9C-101B-9397-08002B2CF9AE}" pid="62" name="f0888ba7078d4a1bac90b097c1ed0fad">
    <vt:lpwstr>Department of Finance|fd660e8f-8f31-49bd-92a3-d31d4da31afe</vt:lpwstr>
  </property>
  <property fmtid="{D5CDD505-2E9C-101B-9397-08002B2CF9AE}" pid="63" name="EmReceivedByName">
    <vt:lpwstr/>
  </property>
  <property fmtid="{D5CDD505-2E9C-101B-9397-08002B2CF9AE}" pid="66" name="EmToAddress">
    <vt:lpwstr/>
  </property>
  <property fmtid="{D5CDD505-2E9C-101B-9397-08002B2CF9AE}" pid="67" name="EmCategory">
    <vt:lpwstr/>
  </property>
  <property fmtid="{D5CDD505-2E9C-101B-9397-08002B2CF9AE}" pid="68" name="EmConversationIndex">
    <vt:lpwstr/>
  </property>
  <property fmtid="{D5CDD505-2E9C-101B-9397-08002B2CF9AE}" pid="69" name="EmBody">
    <vt:lpwstr/>
  </property>
  <property fmtid="{D5CDD505-2E9C-101B-9397-08002B2CF9AE}" pid="70" name="EmHasAttachments">
    <vt:bool>false</vt:bool>
  </property>
  <property fmtid="{D5CDD505-2E9C-101B-9397-08002B2CF9AE}" pid="72" name="EmCC">
    <vt:lpwstr/>
  </property>
  <property fmtid="{D5CDD505-2E9C-101B-9397-08002B2CF9AE}" pid="73" name="EmBCCSMTPAddress">
    <vt:lpwstr/>
  </property>
  <property fmtid="{D5CDD505-2E9C-101B-9397-08002B2CF9AE}" pid="74" name="EmFromName">
    <vt:lpwstr/>
  </property>
  <property fmtid="{D5CDD505-2E9C-101B-9397-08002B2CF9AE}" pid="75" name="EmToSMTPAddress">
    <vt:lpwstr/>
  </property>
  <property fmtid="{D5CDD505-2E9C-101B-9397-08002B2CF9AE}" pid="76" name="_ExtendedDescription">
    <vt:lpwstr/>
  </property>
  <property fmtid="{D5CDD505-2E9C-101B-9397-08002B2CF9AE}" pid="78" name="EmCon">
    <vt:lpwstr/>
  </property>
  <property fmtid="{D5CDD505-2E9C-101B-9397-08002B2CF9AE}" pid="79" name="EmCompanies">
    <vt:lpwstr/>
  </property>
  <property fmtid="{D5CDD505-2E9C-101B-9397-08002B2CF9AE}" pid="80" name="EmFromSMTPAddress">
    <vt:lpwstr/>
  </property>
  <property fmtid="{D5CDD505-2E9C-101B-9397-08002B2CF9AE}" pid="81" name="EmAttachCount">
    <vt:lpwstr/>
  </property>
  <property fmtid="{D5CDD505-2E9C-101B-9397-08002B2CF9AE}" pid="82" name="of934ccb37d6451ba60cdb89c18171670">
    <vt:lpwstr>Department of Finance|fd660e8f-8f31-49bd-92a3-d31d4da31afe</vt:lpwstr>
  </property>
  <property fmtid="{D5CDD505-2E9C-101B-9397-08002B2CF9AE}" pid="83" name="f0888ba7078d4a1bac90b097c1ed0fad0">
    <vt:lpwstr>Department of Finance|fd660e8f-8f31-49bd-92a3-d31d4da31afe</vt:lpwstr>
  </property>
  <property fmtid="{D5CDD505-2E9C-101B-9397-08002B2CF9AE}" pid="84" name="EmReceivedOnBehalfOfName">
    <vt:lpwstr/>
  </property>
  <property fmtid="{D5CDD505-2E9C-101B-9397-08002B2CF9AE}" pid="85" name="EmReplyRecipients">
    <vt:lpwstr/>
  </property>
  <property fmtid="{D5CDD505-2E9C-101B-9397-08002B2CF9AE}" pid="86" name="EmRetentionPolicyName">
    <vt:lpwstr/>
  </property>
  <property fmtid="{D5CDD505-2E9C-101B-9397-08002B2CF9AE}" pid="87" name="EmReplyRecipientNames">
    <vt:lpwstr/>
  </property>
  <property fmtid="{D5CDD505-2E9C-101B-9397-08002B2CF9AE}" pid="88" name="lf395e0388bc45bfb8642f07b9d090f40">
    <vt:lpwstr/>
  </property>
  <property fmtid="{D5CDD505-2E9C-101B-9397-08002B2CF9AE}" pid="89" name="e0fcb3f570964638902a63147cd982190">
    <vt:lpwstr>ONDC Legal Services|7606fb11-7019-474f-ae7d-12a1f87c7426</vt:lpwstr>
  </property>
  <property fmtid="{D5CDD505-2E9C-101B-9397-08002B2CF9AE}" pid="90" name="EmAttachmentNames">
    <vt:lpwstr/>
  </property>
  <property fmtid="{D5CDD505-2E9C-101B-9397-08002B2CF9AE}" pid="91" name="EmSentOnBehalfOfName">
    <vt:lpwstr/>
  </property>
  <property fmtid="{D5CDD505-2E9C-101B-9397-08002B2CF9AE}" pid="92" name="RelatedIssues">
    <vt:lpwstr/>
  </property>
  <property fmtid="{D5CDD505-2E9C-101B-9397-08002B2CF9AE}" pid="93" name="EmCCSMTPAddress">
    <vt:lpwstr/>
  </property>
  <property fmtid="{D5CDD505-2E9C-101B-9397-08002B2CF9AE}" pid="94" name="EmConversationID">
    <vt:lpwstr/>
  </property>
  <property fmtid="{D5CDD505-2E9C-101B-9397-08002B2CF9AE}" pid="96" name="EmBCC">
    <vt:lpwstr/>
  </property>
  <property fmtid="{D5CDD505-2E9C-101B-9397-08002B2CF9AE}" pid="97" name="EmID">
    <vt:lpwstr/>
  </property>
  <property fmtid="{D5CDD505-2E9C-101B-9397-08002B2CF9AE}" pid="100" name="EmSubject">
    <vt:lpwstr/>
  </property>
</Properties>
</file>