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0D77" w14:textId="77777777" w:rsidR="00BB5F9C" w:rsidRPr="00BB5F9C" w:rsidRDefault="00BB5F9C" w:rsidP="00BB5F9C">
      <w:pPr>
        <w:spacing w:before="120" w:after="12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BB5F9C">
        <w:rPr>
          <w:rFonts w:eastAsia="Times New Roman" w:cs="Times New Roman"/>
          <w:noProof/>
          <w:sz w:val="20"/>
          <w:szCs w:val="24"/>
          <w:lang w:eastAsia="en-GB" w:bidi="en-US"/>
        </w:rPr>
        <w:drawing>
          <wp:inline distT="0" distB="0" distL="0" distR="0" wp14:anchorId="5C013E9F" wp14:editId="17570B57">
            <wp:extent cx="2654300" cy="438150"/>
            <wp:effectExtent l="0" t="0" r="0" b="0"/>
            <wp:docPr id="1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5243" w14:textId="77777777" w:rsidR="00BB5F9C" w:rsidRPr="00BB5F9C" w:rsidRDefault="00BB5F9C" w:rsidP="00BB5F9C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lang w:bidi="en-US"/>
        </w:rPr>
      </w:pPr>
    </w:p>
    <w:p w14:paraId="4267D1D8" w14:textId="77777777" w:rsidR="00BB5F9C" w:rsidRPr="00BB5F9C" w:rsidRDefault="00BB5F9C" w:rsidP="00BB5F9C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BB5F9C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</w:t>
      </w:r>
      <w:bookmarkStart w:id="0" w:name="_Hlk120043742"/>
      <w:r w:rsidRPr="00BB5F9C">
        <w:rPr>
          <w:rFonts w:eastAsia="Times New Roman" w:cs="Times New Roman"/>
          <w:b/>
          <w:sz w:val="20"/>
          <w:szCs w:val="24"/>
          <w:lang w:bidi="en-US"/>
        </w:rPr>
        <w:t xml:space="preserve">A1266 – </w:t>
      </w:r>
      <w:bookmarkEnd w:id="0"/>
      <w:r w:rsidRPr="00BB5F9C">
        <w:rPr>
          <w:rFonts w:eastAsia="Times New Roman" w:cs="Times New Roman"/>
          <w:b/>
          <w:sz w:val="20"/>
          <w:szCs w:val="24"/>
          <w:lang w:bidi="en-US"/>
        </w:rPr>
        <w:t xml:space="preserve">Endo-1,4-beta-xylanase from GM </w:t>
      </w:r>
      <w:r w:rsidRPr="00BB5F9C">
        <w:rPr>
          <w:rFonts w:eastAsia="Times New Roman" w:cs="Times New Roman"/>
          <w:b/>
          <w:i/>
          <w:iCs/>
          <w:sz w:val="20"/>
          <w:szCs w:val="24"/>
          <w:lang w:bidi="en-US"/>
        </w:rPr>
        <w:t xml:space="preserve">Trichoderma </w:t>
      </w:r>
      <w:proofErr w:type="spellStart"/>
      <w:r w:rsidRPr="00BB5F9C">
        <w:rPr>
          <w:rFonts w:eastAsia="Times New Roman" w:cs="Times New Roman"/>
          <w:b/>
          <w:i/>
          <w:iCs/>
          <w:sz w:val="20"/>
          <w:szCs w:val="24"/>
          <w:lang w:bidi="en-US"/>
        </w:rPr>
        <w:t>reesei</w:t>
      </w:r>
      <w:proofErr w:type="spellEnd"/>
      <w:r w:rsidRPr="00BB5F9C">
        <w:rPr>
          <w:rFonts w:eastAsia="Times New Roman" w:cs="Times New Roman"/>
          <w:b/>
          <w:sz w:val="20"/>
          <w:szCs w:val="24"/>
          <w:lang w:bidi="en-US"/>
        </w:rPr>
        <w:t xml:space="preserve"> (gene donor: </w:t>
      </w:r>
      <w:r w:rsidRPr="00BB5F9C">
        <w:rPr>
          <w:rFonts w:eastAsia="Times New Roman" w:cs="Times New Roman"/>
          <w:b/>
          <w:i/>
          <w:iCs/>
          <w:sz w:val="20"/>
          <w:szCs w:val="24"/>
          <w:lang w:bidi="en-US"/>
        </w:rPr>
        <w:t>Fusarium verticillioides</w:t>
      </w:r>
      <w:r w:rsidRPr="00BB5F9C">
        <w:rPr>
          <w:rFonts w:eastAsia="Times New Roman" w:cs="Times New Roman"/>
          <w:b/>
          <w:sz w:val="20"/>
          <w:szCs w:val="24"/>
          <w:lang w:bidi="en-US"/>
        </w:rPr>
        <w:t>)</w:t>
      </w:r>
      <w:r w:rsidRPr="00BB5F9C">
        <w:rPr>
          <w:rFonts w:eastAsia="Times New Roman" w:cs="Times New Roman"/>
          <w:b/>
          <w:i/>
          <w:iCs/>
          <w:sz w:val="20"/>
          <w:szCs w:val="24"/>
          <w:lang w:bidi="en-US"/>
        </w:rPr>
        <w:t xml:space="preserve"> </w:t>
      </w:r>
      <w:r w:rsidRPr="00BB5F9C">
        <w:rPr>
          <w:rFonts w:eastAsia="Times New Roman" w:cs="Times New Roman"/>
          <w:b/>
          <w:sz w:val="20"/>
          <w:szCs w:val="24"/>
          <w:lang w:bidi="en-US"/>
        </w:rPr>
        <w:t>as a processing aid) Variation</w:t>
      </w:r>
    </w:p>
    <w:p w14:paraId="23EA2ED3" w14:textId="77777777" w:rsidR="00BB5F9C" w:rsidRPr="00BB5F9C" w:rsidRDefault="00BB5F9C" w:rsidP="00BB5F9C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</w:p>
    <w:p w14:paraId="6A1328F2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C16B303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B5F9C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BB5F9C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BB5F9C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0DDE77E6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AAA6522" w14:textId="7DA420C8" w:rsidR="00BB5F9C" w:rsidRDefault="00427E02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427E02">
        <w:rPr>
          <w:rFonts w:eastAsia="Times New Roman" w:cs="Times New Roman"/>
          <w:sz w:val="20"/>
          <w:szCs w:val="24"/>
          <w:lang w:bidi="en-US"/>
        </w:rPr>
        <w:t>23</w:t>
      </w:r>
      <w:r w:rsidR="00BB5F9C" w:rsidRPr="00427E02">
        <w:rPr>
          <w:rFonts w:eastAsia="Times New Roman" w:cs="Times New Roman"/>
          <w:sz w:val="20"/>
          <w:szCs w:val="24"/>
          <w:lang w:bidi="en-US"/>
        </w:rPr>
        <w:t xml:space="preserve"> </w:t>
      </w:r>
      <w:r w:rsidR="00BB5F9C">
        <w:rPr>
          <w:rFonts w:eastAsia="Times New Roman" w:cs="Times New Roman"/>
          <w:sz w:val="20"/>
          <w:szCs w:val="24"/>
          <w:lang w:bidi="en-US"/>
        </w:rPr>
        <w:t>November 2023</w:t>
      </w:r>
    </w:p>
    <w:p w14:paraId="1C8A82D5" w14:textId="77777777" w:rsidR="00427E02" w:rsidRPr="00BB5F9C" w:rsidRDefault="00427E02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65F69421" w14:textId="4EB13D95" w:rsidR="00BB5F9C" w:rsidRPr="00BB5F9C" w:rsidRDefault="00427E02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0AF01154" wp14:editId="535F3616">
            <wp:extent cx="951230" cy="676910"/>
            <wp:effectExtent l="0" t="0" r="1270" b="8890"/>
            <wp:docPr id="2" name="Picture 2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the 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C7D2C" w14:textId="20C05D78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A43D90">
        <w:rPr>
          <w:rFonts w:eastAsia="Times New Roman" w:cs="Times New Roman"/>
          <w:sz w:val="20"/>
          <w:szCs w:val="24"/>
          <w:lang w:bidi="en-US"/>
        </w:rPr>
        <w:t>Owen Walsh</w:t>
      </w:r>
      <w:r w:rsidR="00892A4B" w:rsidRPr="00A43D90">
        <w:rPr>
          <w:rFonts w:eastAsia="Times New Roman" w:cs="Times New Roman"/>
          <w:sz w:val="20"/>
          <w:szCs w:val="24"/>
          <w:lang w:bidi="en-US"/>
        </w:rPr>
        <w:t>, Section Manager</w:t>
      </w:r>
      <w:r w:rsidR="00A43D90" w:rsidRPr="00A43D90">
        <w:rPr>
          <w:rFonts w:eastAsia="Times New Roman" w:cs="Times New Roman"/>
          <w:sz w:val="20"/>
          <w:szCs w:val="24"/>
          <w:lang w:bidi="en-US"/>
        </w:rPr>
        <w:t xml:space="preserve"> – Standards Management</w:t>
      </w:r>
    </w:p>
    <w:p w14:paraId="36AAE910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B5F9C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55BBC9C0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037BAC5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504E040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71BB211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C8B2691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1537434" w14:textId="77777777" w:rsidR="00BB5F9C" w:rsidRPr="00BB5F9C" w:rsidRDefault="00BB5F9C" w:rsidP="00BB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BB5F9C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799D952D" w14:textId="77777777" w:rsidR="00BB5F9C" w:rsidRPr="00BB5F9C" w:rsidRDefault="00BB5F9C" w:rsidP="00BB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</w:p>
    <w:p w14:paraId="2D70D896" w14:textId="0B2E62DA" w:rsidR="00BB5F9C" w:rsidRPr="00BB5F9C" w:rsidRDefault="00BB5F9C" w:rsidP="00BB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BB5F9C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892A4B" w:rsidRPr="00892A4B">
        <w:rPr>
          <w:rFonts w:eastAsia="Times New Roman" w:cs="Times New Roman"/>
          <w:sz w:val="20"/>
          <w:szCs w:val="24"/>
          <w:lang w:val="en-AU" w:bidi="en-US"/>
        </w:rPr>
        <w:t>16</w:t>
      </w:r>
      <w:r w:rsidR="00F8710A">
        <w:rPr>
          <w:rFonts w:eastAsia="Times New Roman" w:cs="Times New Roman"/>
          <w:sz w:val="20"/>
          <w:szCs w:val="24"/>
          <w:lang w:val="en-AU" w:bidi="en-US"/>
        </w:rPr>
        <w:t>3</w:t>
      </w:r>
      <w:r w:rsidR="00892A4B" w:rsidRPr="00892A4B">
        <w:rPr>
          <w:rFonts w:eastAsia="Times New Roman" w:cs="Times New Roman"/>
          <w:sz w:val="20"/>
          <w:szCs w:val="24"/>
          <w:lang w:val="en-AU" w:bidi="en-US"/>
        </w:rPr>
        <w:t xml:space="preserve"> on 30 November 2023</w:t>
      </w:r>
      <w:r w:rsidRPr="00BB5F9C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5D31AD76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55D85FD5" w14:textId="77777777" w:rsidR="00BB5F9C" w:rsidRPr="00BB5F9C" w:rsidRDefault="00BB5F9C" w:rsidP="00BB5F9C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B5F9C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68E151A8" w14:textId="77777777" w:rsidR="00BB5F9C" w:rsidRPr="00BB5F9C" w:rsidRDefault="00BB5F9C" w:rsidP="00BB5F9C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B5F9C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BB5F9C">
        <w:rPr>
          <w:rFonts w:eastAsia="Times New Roman" w:cs="Times New Roman"/>
          <w:b/>
          <w:sz w:val="20"/>
          <w:szCs w:val="20"/>
        </w:rPr>
        <w:tab/>
        <w:t>Name</w:t>
      </w:r>
    </w:p>
    <w:p w14:paraId="27068DB9" w14:textId="77777777" w:rsidR="00BB5F9C" w:rsidRPr="00BB5F9C" w:rsidRDefault="00BB5F9C" w:rsidP="00BB5F9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B5F9C">
        <w:rPr>
          <w:rFonts w:eastAsia="Times New Roman" w:cs="Times New Roman"/>
          <w:sz w:val="20"/>
          <w:szCs w:val="20"/>
        </w:rPr>
        <w:t xml:space="preserve">This instrument is the </w:t>
      </w:r>
      <w:r w:rsidRPr="00BB5F9C">
        <w:rPr>
          <w:rFonts w:eastAsia="Times New Roman" w:cs="Times New Roman"/>
          <w:i/>
          <w:sz w:val="20"/>
          <w:szCs w:val="20"/>
        </w:rPr>
        <w:t xml:space="preserve">Food Standards (Application A1266 – Endo-1,4-beta-xylanase from GM </w:t>
      </w:r>
      <w:r w:rsidRPr="00BB5F9C">
        <w:rPr>
          <w:rFonts w:eastAsia="Times New Roman" w:cs="Times New Roman"/>
          <w:iCs/>
          <w:sz w:val="20"/>
          <w:szCs w:val="20"/>
        </w:rPr>
        <w:t xml:space="preserve">Trichoderma </w:t>
      </w:r>
      <w:proofErr w:type="spellStart"/>
      <w:r w:rsidRPr="00BB5F9C">
        <w:rPr>
          <w:rFonts w:eastAsia="Times New Roman" w:cs="Times New Roman"/>
          <w:iCs/>
          <w:sz w:val="20"/>
          <w:szCs w:val="20"/>
        </w:rPr>
        <w:t>reesei</w:t>
      </w:r>
      <w:proofErr w:type="spellEnd"/>
      <w:r w:rsidRPr="00BB5F9C">
        <w:rPr>
          <w:rFonts w:eastAsia="Times New Roman" w:cs="Times New Roman"/>
          <w:i/>
          <w:sz w:val="20"/>
          <w:szCs w:val="20"/>
        </w:rPr>
        <w:t xml:space="preserve"> (gene donor: </w:t>
      </w:r>
      <w:r w:rsidRPr="00BB5F9C">
        <w:rPr>
          <w:rFonts w:eastAsia="Times New Roman" w:cs="Times New Roman"/>
          <w:iCs/>
          <w:sz w:val="20"/>
          <w:szCs w:val="20"/>
        </w:rPr>
        <w:t>Fusarium verticillioides</w:t>
      </w:r>
      <w:r w:rsidRPr="00BB5F9C">
        <w:rPr>
          <w:rFonts w:eastAsia="Times New Roman" w:cs="Times New Roman"/>
          <w:i/>
          <w:sz w:val="20"/>
          <w:szCs w:val="20"/>
        </w:rPr>
        <w:t>)</w:t>
      </w:r>
      <w:r w:rsidRPr="00BB5F9C">
        <w:rPr>
          <w:rFonts w:eastAsia="Times New Roman" w:cs="Times New Roman"/>
          <w:iCs/>
          <w:sz w:val="20"/>
          <w:szCs w:val="20"/>
        </w:rPr>
        <w:t xml:space="preserve"> </w:t>
      </w:r>
      <w:r w:rsidRPr="00BB5F9C">
        <w:rPr>
          <w:rFonts w:eastAsia="Times New Roman" w:cs="Times New Roman"/>
          <w:i/>
          <w:sz w:val="20"/>
          <w:szCs w:val="20"/>
        </w:rPr>
        <w:t>as a processing aid) Variation</w:t>
      </w:r>
      <w:r w:rsidRPr="00BB5F9C">
        <w:rPr>
          <w:rFonts w:eastAsia="Times New Roman" w:cs="Times New Roman"/>
          <w:sz w:val="20"/>
          <w:szCs w:val="20"/>
        </w:rPr>
        <w:t>.</w:t>
      </w:r>
    </w:p>
    <w:p w14:paraId="4177B711" w14:textId="77777777" w:rsidR="00BB5F9C" w:rsidRPr="00BB5F9C" w:rsidRDefault="00BB5F9C" w:rsidP="00BB5F9C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BB5F9C">
        <w:rPr>
          <w:rFonts w:eastAsia="Times New Roman" w:cs="Times New Roman"/>
          <w:b/>
          <w:sz w:val="20"/>
          <w:szCs w:val="20"/>
        </w:rPr>
        <w:t>2</w:t>
      </w:r>
      <w:r w:rsidRPr="00BB5F9C">
        <w:rPr>
          <w:rFonts w:eastAsia="Times New Roman" w:cs="Times New Roman"/>
          <w:b/>
          <w:sz w:val="20"/>
          <w:szCs w:val="20"/>
        </w:rPr>
        <w:tab/>
      </w:r>
      <w:r w:rsidRPr="00BB5F9C">
        <w:rPr>
          <w:rFonts w:eastAsia="Times New Roman" w:cs="Times New Roman"/>
          <w:b/>
          <w:color w:val="000000"/>
          <w:sz w:val="20"/>
          <w:szCs w:val="20"/>
        </w:rPr>
        <w:t xml:space="preserve">Variation to a Standard in the </w:t>
      </w:r>
      <w:r w:rsidRPr="00BB5F9C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28B6DE3F" w14:textId="77777777" w:rsidR="00BB5F9C" w:rsidRPr="00BB5F9C" w:rsidRDefault="00BB5F9C" w:rsidP="00BB5F9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BB5F9C">
        <w:rPr>
          <w:rFonts w:eastAsia="Times New Roman" w:cs="Times New Roman"/>
          <w:color w:val="000000"/>
          <w:sz w:val="20"/>
          <w:szCs w:val="20"/>
        </w:rPr>
        <w:t xml:space="preserve">The Schedule varies a Standard in the </w:t>
      </w:r>
      <w:r w:rsidRPr="00BB5F9C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BB5F9C">
        <w:rPr>
          <w:rFonts w:eastAsia="Times New Roman" w:cs="Times New Roman"/>
          <w:color w:val="000000"/>
          <w:sz w:val="20"/>
          <w:szCs w:val="20"/>
        </w:rPr>
        <w:t>.</w:t>
      </w:r>
    </w:p>
    <w:p w14:paraId="0A78CCEA" w14:textId="77777777" w:rsidR="00BB5F9C" w:rsidRPr="00BB5F9C" w:rsidRDefault="00BB5F9C" w:rsidP="00BB5F9C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BB5F9C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BB5F9C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5759DF0F" w14:textId="77777777" w:rsidR="00BB5F9C" w:rsidRPr="00BB5F9C" w:rsidRDefault="00BB5F9C" w:rsidP="00BB5F9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BB5F9C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2DCF292D" w14:textId="77777777" w:rsidR="00BB5F9C" w:rsidRPr="00BB5F9C" w:rsidRDefault="00BB5F9C" w:rsidP="00BB5F9C">
      <w:pPr>
        <w:spacing w:before="120" w:after="120"/>
        <w:jc w:val="center"/>
        <w:rPr>
          <w:rFonts w:eastAsia="Times New Roman" w:cs="Times New Roman"/>
          <w:b/>
          <w:color w:val="000000"/>
          <w:sz w:val="20"/>
          <w:szCs w:val="24"/>
          <w:lang w:bidi="en-US"/>
        </w:rPr>
      </w:pPr>
      <w:r w:rsidRPr="00BB5F9C">
        <w:rPr>
          <w:rFonts w:eastAsia="Times New Roman" w:cs="Times New Roman"/>
          <w:b/>
          <w:color w:val="000000"/>
          <w:sz w:val="20"/>
          <w:szCs w:val="24"/>
          <w:lang w:bidi="en-US"/>
        </w:rPr>
        <w:t>Schedule</w:t>
      </w:r>
    </w:p>
    <w:p w14:paraId="7F6B7E4F" w14:textId="77777777" w:rsidR="00BB5F9C" w:rsidRPr="00BB5F9C" w:rsidRDefault="00BB5F9C" w:rsidP="00BB5F9C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BB5F9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BB5F9C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BB5F9C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59D98A2B" w14:textId="77777777" w:rsidR="00BB5F9C" w:rsidRPr="00BB5F9C" w:rsidRDefault="00BB5F9C" w:rsidP="00BB5F9C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B5F9C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BB5F9C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09967C00" w14:textId="77777777" w:rsidR="00BB5F9C" w:rsidRPr="00BB5F9C" w:rsidRDefault="00BB5F9C" w:rsidP="00BB5F9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B5F9C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604"/>
        <w:gridCol w:w="2350"/>
      </w:tblGrid>
      <w:tr w:rsidR="00BB5F9C" w:rsidRPr="00BB5F9C" w14:paraId="79D43B90" w14:textId="77777777" w:rsidTr="00BB5F9C">
        <w:trPr>
          <w:jc w:val="center"/>
        </w:trPr>
        <w:tc>
          <w:tcPr>
            <w:tcW w:w="3120" w:type="dxa"/>
            <w:hideMark/>
          </w:tcPr>
          <w:p w14:paraId="6D1FC073" w14:textId="77777777" w:rsidR="00BB5F9C" w:rsidRPr="00BB5F9C" w:rsidRDefault="00BB5F9C" w:rsidP="00BB5F9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/>
                <w:sz w:val="18"/>
                <w:lang w:eastAsia="en-AU"/>
              </w:rPr>
            </w:pPr>
            <w:bookmarkStart w:id="1" w:name="_Hlk131415287"/>
            <w:r w:rsidRPr="00BB5F9C">
              <w:rPr>
                <w:rFonts w:ascii="Arial" w:hAnsi="Arial" w:cs="Arial"/>
                <w:sz w:val="18"/>
                <w:lang w:eastAsia="en-AU"/>
              </w:rPr>
              <w:t xml:space="preserve">Endo-1,4-β-xylanase, protein engineered variant, (EC 3.2.1.8) </w:t>
            </w:r>
            <w:bookmarkEnd w:id="1"/>
            <w:r w:rsidRPr="00BB5F9C">
              <w:rPr>
                <w:rFonts w:ascii="Arial" w:hAnsi="Arial" w:cs="Arial"/>
                <w:sz w:val="18"/>
                <w:lang w:eastAsia="en-AU"/>
              </w:rPr>
              <w:t xml:space="preserve">sourced from </w:t>
            </w:r>
            <w:r w:rsidRPr="00BB5F9C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Trichoderma </w:t>
            </w:r>
            <w:proofErr w:type="spellStart"/>
            <w:r w:rsidRPr="00BB5F9C">
              <w:rPr>
                <w:rFonts w:ascii="Arial" w:hAnsi="Arial" w:cs="Arial"/>
                <w:i/>
                <w:iCs/>
                <w:sz w:val="18"/>
                <w:lang w:eastAsia="en-AU"/>
              </w:rPr>
              <w:t>reesei</w:t>
            </w:r>
            <w:proofErr w:type="spellEnd"/>
            <w:r w:rsidRPr="00BB5F9C">
              <w:rPr>
                <w:rFonts w:ascii="Arial" w:hAnsi="Arial" w:cs="Arial"/>
                <w:sz w:val="18"/>
                <w:lang w:eastAsia="en-AU"/>
              </w:rPr>
              <w:t xml:space="preserve">, containing the endo-1,4-ß-xylanase gene from </w:t>
            </w:r>
            <w:bookmarkStart w:id="2" w:name="_Hlk131415323"/>
            <w:r w:rsidRPr="00BB5F9C">
              <w:rPr>
                <w:rFonts w:ascii="Arial" w:hAnsi="Arial" w:cs="Arial"/>
                <w:i/>
                <w:iCs/>
                <w:sz w:val="18"/>
                <w:lang w:eastAsia="en-AU"/>
              </w:rPr>
              <w:t>Fusarium verticillioides</w:t>
            </w:r>
            <w:bookmarkEnd w:id="2"/>
          </w:p>
        </w:tc>
        <w:tc>
          <w:tcPr>
            <w:tcW w:w="3603" w:type="dxa"/>
            <w:hideMark/>
          </w:tcPr>
          <w:p w14:paraId="7626DB4F" w14:textId="77777777" w:rsidR="00BB5F9C" w:rsidRPr="00BB5F9C" w:rsidRDefault="00BB5F9C" w:rsidP="00BB5F9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B5F9C">
              <w:rPr>
                <w:rFonts w:ascii="Arial" w:hAnsi="Arial" w:cs="Arial"/>
                <w:sz w:val="18"/>
                <w:lang w:eastAsia="en-AU"/>
              </w:rPr>
              <w:t>For use in starch processing and the production of potable alcohol</w:t>
            </w:r>
          </w:p>
        </w:tc>
        <w:tc>
          <w:tcPr>
            <w:tcW w:w="2349" w:type="dxa"/>
            <w:hideMark/>
          </w:tcPr>
          <w:p w14:paraId="4BB85651" w14:textId="77777777" w:rsidR="00BB5F9C" w:rsidRPr="00BB5F9C" w:rsidRDefault="00BB5F9C" w:rsidP="00BB5F9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BB5F9C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1BE2847C" w14:textId="487A90C7" w:rsidR="00BB5F9C" w:rsidRPr="00BB5F9C" w:rsidRDefault="00BB5F9C" w:rsidP="00BB5F9C">
      <w:pPr>
        <w:spacing w:before="120" w:after="120"/>
        <w:rPr>
          <w:rFonts w:eastAsia="Times New Roman" w:cs="Times New Roman"/>
          <w:szCs w:val="24"/>
          <w:lang w:val="en-AU" w:eastAsia="en-GB"/>
        </w:rPr>
      </w:pPr>
    </w:p>
    <w:sectPr w:rsidR="00BB5F9C" w:rsidRPr="00BB5F9C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797B" w14:textId="77777777" w:rsidR="00BB5F9C" w:rsidRDefault="00BB5F9C" w:rsidP="00BB5F9C">
      <w:r>
        <w:separator/>
      </w:r>
    </w:p>
  </w:endnote>
  <w:endnote w:type="continuationSeparator" w:id="0">
    <w:p w14:paraId="1F4476FC" w14:textId="77777777" w:rsidR="00BB5F9C" w:rsidRDefault="00BB5F9C" w:rsidP="00BB5F9C">
      <w:r>
        <w:continuationSeparator/>
      </w:r>
    </w:p>
  </w:endnote>
  <w:endnote w:type="continuationNotice" w:id="1">
    <w:p w14:paraId="11EC2799" w14:textId="77777777" w:rsidR="001F3CD5" w:rsidRDefault="001F3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9607" w14:textId="77777777" w:rsidR="00BB5F9C" w:rsidRDefault="00BB5F9C" w:rsidP="00BB5F9C">
      <w:r>
        <w:separator/>
      </w:r>
    </w:p>
  </w:footnote>
  <w:footnote w:type="continuationSeparator" w:id="0">
    <w:p w14:paraId="3A40C59A" w14:textId="77777777" w:rsidR="00BB5F9C" w:rsidRDefault="00BB5F9C" w:rsidP="00BB5F9C">
      <w:r>
        <w:continuationSeparator/>
      </w:r>
    </w:p>
  </w:footnote>
  <w:footnote w:type="continuationNotice" w:id="1">
    <w:p w14:paraId="5414B448" w14:textId="77777777" w:rsidR="001F3CD5" w:rsidRDefault="001F3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679235961">
    <w:abstractNumId w:val="0"/>
  </w:num>
  <w:num w:numId="2" w16cid:durableId="192429798">
    <w:abstractNumId w:val="0"/>
  </w:num>
  <w:num w:numId="3" w16cid:durableId="178088183">
    <w:abstractNumId w:val="0"/>
  </w:num>
  <w:num w:numId="4" w16cid:durableId="1099910208">
    <w:abstractNumId w:val="0"/>
  </w:num>
  <w:num w:numId="5" w16cid:durableId="1741631868">
    <w:abstractNumId w:val="0"/>
  </w:num>
  <w:num w:numId="6" w16cid:durableId="52628338">
    <w:abstractNumId w:val="0"/>
  </w:num>
  <w:num w:numId="7" w16cid:durableId="623120094">
    <w:abstractNumId w:val="0"/>
  </w:num>
  <w:num w:numId="8" w16cid:durableId="1093666177">
    <w:abstractNumId w:val="3"/>
  </w:num>
  <w:num w:numId="9" w16cid:durableId="347831176">
    <w:abstractNumId w:val="1"/>
  </w:num>
  <w:num w:numId="10" w16cid:durableId="1411349964">
    <w:abstractNumId w:val="2"/>
  </w:num>
  <w:num w:numId="11" w16cid:durableId="426855455">
    <w:abstractNumId w:val="3"/>
  </w:num>
  <w:num w:numId="12" w16cid:durableId="639959705">
    <w:abstractNumId w:val="1"/>
  </w:num>
  <w:num w:numId="13" w16cid:durableId="28469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9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1F3CD5"/>
    <w:rsid w:val="002232B1"/>
    <w:rsid w:val="00234C31"/>
    <w:rsid w:val="0033021F"/>
    <w:rsid w:val="00341D25"/>
    <w:rsid w:val="003A01FB"/>
    <w:rsid w:val="00404702"/>
    <w:rsid w:val="00427E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37BFC"/>
    <w:rsid w:val="00860EE7"/>
    <w:rsid w:val="00877A81"/>
    <w:rsid w:val="00892A4B"/>
    <w:rsid w:val="008931F6"/>
    <w:rsid w:val="008E2339"/>
    <w:rsid w:val="009164B4"/>
    <w:rsid w:val="00935023"/>
    <w:rsid w:val="009806A5"/>
    <w:rsid w:val="009E265A"/>
    <w:rsid w:val="00A25B29"/>
    <w:rsid w:val="00A26F82"/>
    <w:rsid w:val="00A43D90"/>
    <w:rsid w:val="00A808E9"/>
    <w:rsid w:val="00B53154"/>
    <w:rsid w:val="00B72074"/>
    <w:rsid w:val="00BB5F9C"/>
    <w:rsid w:val="00BC2133"/>
    <w:rsid w:val="00BE4F3A"/>
    <w:rsid w:val="00C019A6"/>
    <w:rsid w:val="00C572A2"/>
    <w:rsid w:val="00D11D0A"/>
    <w:rsid w:val="00D3004B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8710A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B1096F"/>
  <w15:chartTrackingRefBased/>
  <w15:docId w15:val="{AFDF0F91-5AA8-4BD6-A0F6-609148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rsid w:val="00BB5F9C"/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35</Value>
      <Value>3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DB5D0-9CB1-4242-9F4A-7F2E189C2E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976262-BE0C-48CB-AC4F-6CC864875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FCC68-84B6-4653-8AA4-B421E8893726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E85008CF-F72E-4D57-B034-C4DE88E5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1240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</cp:lastModifiedBy>
  <cp:revision>8</cp:revision>
  <dcterms:created xsi:type="dcterms:W3CDTF">2023-11-22T02:14:00Z</dcterms:created>
  <dcterms:modified xsi:type="dcterms:W3CDTF">2023-11-24T03:09:00Z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v=2022.1;a=SHA256;h=46083517DFB9403C20B4DB1D17B1F0CAC3CE5C7E2411CF8E2EB70D189A6C7878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2023-11-24T02:01:43Z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DF9DB36808A5451B98AED4C751225A89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CD0008DCD1BE107E5C2EA8AB2759D8FF</vt:lpwstr>
  </property>
  <property fmtid="{D5CDD505-2E9C-101B-9397-08002B2CF9AE}" pid="25" name="PM_Hash_Salt">
    <vt:lpwstr>0DDFA091D6774B2FD3A04A8ACE0DEFF8</vt:lpwstr>
  </property>
  <property fmtid="{D5CDD505-2E9C-101B-9397-08002B2CF9AE}" pid="26" name="PM_Hash_SHA1">
    <vt:lpwstr>5B462C8174595047ADA515E2D8D12349FD31231B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MediaServiceImageTags">
    <vt:lpwstr/>
  </property>
  <property fmtid="{D5CDD505-2E9C-101B-9397-08002B2CF9AE}" pid="32" name="ContentTypeId">
    <vt:lpwstr>0x010100F5F252698E4843DFA3EBBF7EC57E522A00D1FD65540778064E8071EC7105C190BC</vt:lpwstr>
  </property>
  <property fmtid="{D5CDD505-2E9C-101B-9397-08002B2CF9AE}" pid="33" name="Data Accessibility">
    <vt:lpwstr/>
  </property>
  <property fmtid="{D5CDD505-2E9C-101B-9397-08002B2CF9AE}" pid="34" name="Access">
    <vt:lpwstr/>
  </property>
  <property fmtid="{D5CDD505-2E9C-101B-9397-08002B2CF9AE}" pid="35" name="Classification">
    <vt:lpwstr>3;#OFFICIAL|3776503d-ed4e-4d70-8dfd-8e17b238523b</vt:lpwstr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Data Category">
    <vt:lpwstr/>
  </property>
  <property fmtid="{D5CDD505-2E9C-101B-9397-08002B2CF9AE}" pid="39" name="lcf76f155ced4ddcb4097134ff3c332f">
    <vt:lpwstr/>
  </property>
  <property fmtid="{D5CDD505-2E9C-101B-9397-08002B2CF9AE}" pid="40" name="Data_x0020_Category">
    <vt:lpwstr/>
  </property>
  <property fmtid="{D5CDD505-2E9C-101B-9397-08002B2CF9AE}" pid="41" name="BCS">
    <vt:lpwstr>35;#Instruments|4a8ff5e5-1f0e-4751-ab44-bc0d33b46a80</vt:lpwstr>
  </property>
</Properties>
</file>