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690A" w14:textId="27166BE6" w:rsidR="007A7FFB" w:rsidRPr="00BD7E07" w:rsidRDefault="009B2890" w:rsidP="00806F24">
      <w:pPr>
        <w:spacing w:after="0"/>
        <w:jc w:val="center"/>
        <w:rPr>
          <w:rFonts w:ascii="Times New Roman" w:hAnsi="Times New Roman" w:cs="Times New Roman"/>
          <w:b/>
          <w:bCs/>
        </w:rPr>
      </w:pPr>
      <w:r w:rsidRPr="00BD7E07">
        <w:rPr>
          <w:rFonts w:ascii="Times New Roman" w:hAnsi="Times New Roman" w:cs="Times New Roman"/>
          <w:b/>
          <w:bCs/>
        </w:rPr>
        <w:t>EXPLANATORY STATEMENT</w:t>
      </w:r>
    </w:p>
    <w:p w14:paraId="17BA3DAF" w14:textId="13CFD20E" w:rsidR="00B419C2" w:rsidRPr="00BD7E07" w:rsidRDefault="00B419C2" w:rsidP="00806F24">
      <w:pPr>
        <w:spacing w:after="0"/>
        <w:jc w:val="center"/>
        <w:rPr>
          <w:rFonts w:ascii="Times New Roman" w:hAnsi="Times New Roman" w:cs="Times New Roman"/>
          <w:b/>
          <w:bCs/>
        </w:rPr>
      </w:pPr>
    </w:p>
    <w:p w14:paraId="4AC15257" w14:textId="6F6D0DB1" w:rsidR="00B419C2" w:rsidRDefault="00B419C2" w:rsidP="00806F24">
      <w:pPr>
        <w:spacing w:after="0"/>
        <w:jc w:val="center"/>
        <w:rPr>
          <w:rFonts w:ascii="Times New Roman" w:hAnsi="Times New Roman" w:cs="Times New Roman"/>
          <w:b/>
          <w:bCs/>
        </w:rPr>
      </w:pPr>
      <w:r w:rsidRPr="00C15347">
        <w:rPr>
          <w:rFonts w:ascii="Times New Roman" w:hAnsi="Times New Roman" w:cs="Times New Roman"/>
          <w:b/>
          <w:bCs/>
        </w:rPr>
        <w:t>Issued by the authority of the Minister for Education</w:t>
      </w:r>
    </w:p>
    <w:p w14:paraId="3F96AF32" w14:textId="77777777" w:rsidR="00D71542" w:rsidRDefault="00D71542" w:rsidP="00806F24">
      <w:pPr>
        <w:spacing w:after="0"/>
        <w:jc w:val="center"/>
        <w:rPr>
          <w:rFonts w:ascii="Times New Roman" w:hAnsi="Times New Roman" w:cs="Times New Roman"/>
          <w:b/>
          <w:bCs/>
        </w:rPr>
      </w:pPr>
    </w:p>
    <w:p w14:paraId="1218FA54" w14:textId="7129B627" w:rsidR="00D71542" w:rsidRPr="00C15347" w:rsidRDefault="00D71542" w:rsidP="00D71542">
      <w:pPr>
        <w:spacing w:after="0"/>
        <w:jc w:val="center"/>
        <w:rPr>
          <w:rFonts w:ascii="Times New Roman" w:hAnsi="Times New Roman" w:cs="Times New Roman"/>
          <w:i/>
          <w:iCs/>
        </w:rPr>
      </w:pPr>
      <w:r w:rsidRPr="00D71542">
        <w:rPr>
          <w:rFonts w:ascii="Times New Roman" w:hAnsi="Times New Roman" w:cs="Times New Roman"/>
          <w:i/>
          <w:iCs/>
        </w:rPr>
        <w:t>Tertiary Education Quality and Standards Agency (Charges) Act 2021</w:t>
      </w:r>
    </w:p>
    <w:p w14:paraId="26BA0E3F" w14:textId="77777777" w:rsidR="00B419C2" w:rsidRPr="00C15347" w:rsidRDefault="00B419C2" w:rsidP="00806F24">
      <w:pPr>
        <w:spacing w:after="0"/>
        <w:jc w:val="center"/>
        <w:rPr>
          <w:rFonts w:ascii="Times New Roman" w:hAnsi="Times New Roman" w:cs="Times New Roman"/>
          <w:i/>
          <w:iCs/>
        </w:rPr>
      </w:pPr>
    </w:p>
    <w:p w14:paraId="7955FFD5" w14:textId="28DC0E43" w:rsidR="00B419C2" w:rsidRPr="00C15347" w:rsidRDefault="00B419C2" w:rsidP="00806F24">
      <w:pPr>
        <w:spacing w:after="0"/>
        <w:jc w:val="center"/>
        <w:rPr>
          <w:rFonts w:ascii="Times New Roman" w:hAnsi="Times New Roman" w:cs="Times New Roman"/>
          <w:i/>
          <w:iCs/>
        </w:rPr>
      </w:pPr>
      <w:r w:rsidRPr="00C15347">
        <w:rPr>
          <w:rFonts w:ascii="Times New Roman" w:hAnsi="Times New Roman" w:cs="Times New Roman"/>
          <w:i/>
          <w:iCs/>
        </w:rPr>
        <w:t xml:space="preserve">Tertiary Education Quality and Standards Agency (Charges) </w:t>
      </w:r>
      <w:r w:rsidR="004047A3" w:rsidRPr="00C15347">
        <w:rPr>
          <w:rFonts w:ascii="Times New Roman" w:hAnsi="Times New Roman" w:cs="Times New Roman"/>
          <w:i/>
          <w:iCs/>
        </w:rPr>
        <w:t xml:space="preserve">Amendment </w:t>
      </w:r>
      <w:r w:rsidRPr="00C15347">
        <w:rPr>
          <w:rFonts w:ascii="Times New Roman" w:hAnsi="Times New Roman" w:cs="Times New Roman"/>
          <w:i/>
          <w:iCs/>
        </w:rPr>
        <w:t>Regulations 202</w:t>
      </w:r>
      <w:r w:rsidR="008A41D9" w:rsidRPr="00C15347">
        <w:rPr>
          <w:rFonts w:ascii="Times New Roman" w:hAnsi="Times New Roman" w:cs="Times New Roman"/>
          <w:i/>
          <w:iCs/>
        </w:rPr>
        <w:t>3</w:t>
      </w:r>
    </w:p>
    <w:p w14:paraId="63FCB2E0" w14:textId="7580AA12" w:rsidR="00B419C2" w:rsidRPr="00BD7E07" w:rsidRDefault="00B419C2" w:rsidP="00806F24">
      <w:pPr>
        <w:spacing w:after="0"/>
        <w:rPr>
          <w:rFonts w:ascii="Times New Roman" w:hAnsi="Times New Roman" w:cs="Times New Roman"/>
          <w:b/>
          <w:bCs/>
        </w:rPr>
      </w:pPr>
    </w:p>
    <w:p w14:paraId="61704FE8" w14:textId="393A89AA" w:rsidR="00B15DC0" w:rsidRPr="002A5ABF" w:rsidRDefault="0010652E" w:rsidP="00806F24">
      <w:pPr>
        <w:pStyle w:val="Heading2"/>
        <w:spacing w:before="0"/>
        <w:rPr>
          <w:rFonts w:cs="Times New Roman"/>
          <w:color w:val="auto"/>
          <w:sz w:val="22"/>
          <w:szCs w:val="22"/>
        </w:rPr>
      </w:pPr>
      <w:r w:rsidRPr="002A5ABF">
        <w:rPr>
          <w:rFonts w:cs="Times New Roman"/>
          <w:color w:val="auto"/>
          <w:sz w:val="22"/>
          <w:szCs w:val="22"/>
        </w:rPr>
        <w:t>Authority</w:t>
      </w:r>
    </w:p>
    <w:p w14:paraId="640965E7" w14:textId="69F19944" w:rsidR="00B419C2" w:rsidRPr="00BD7E07" w:rsidRDefault="009A33B3" w:rsidP="00806F24">
      <w:pPr>
        <w:spacing w:after="0"/>
        <w:rPr>
          <w:rFonts w:ascii="Times New Roman" w:hAnsi="Times New Roman" w:cs="Times New Roman"/>
          <w:iCs/>
        </w:rPr>
      </w:pPr>
      <w:r w:rsidRPr="00BD7E07">
        <w:rPr>
          <w:rFonts w:ascii="Times New Roman" w:hAnsi="Times New Roman" w:cs="Times New Roman"/>
        </w:rPr>
        <w:t xml:space="preserve">Section 9 of the </w:t>
      </w:r>
      <w:r w:rsidRPr="00BD7E07">
        <w:rPr>
          <w:rFonts w:ascii="Times New Roman" w:hAnsi="Times New Roman" w:cs="Times New Roman"/>
          <w:i/>
          <w:iCs/>
        </w:rPr>
        <w:t>Tertiary Education Quality and Standards Agency (Charges) Act 2021</w:t>
      </w:r>
      <w:r w:rsidR="00F64DDA" w:rsidRPr="00BD7E07">
        <w:rPr>
          <w:rFonts w:ascii="Times New Roman" w:hAnsi="Times New Roman" w:cs="Times New Roman"/>
        </w:rPr>
        <w:t xml:space="preserve"> (the Act) </w:t>
      </w:r>
      <w:r w:rsidR="00F64DDA" w:rsidRPr="00BD7E07">
        <w:rPr>
          <w:rFonts w:ascii="Times New Roman" w:hAnsi="Times New Roman" w:cs="Times New Roman"/>
          <w:iCs/>
        </w:rPr>
        <w:t>empowers the Governor-General to make regulations prescribing matters required or permitted by the Act to be prescribed, or necessary or convenient to be prescribed for carrying out or giving effect to the Act.</w:t>
      </w:r>
    </w:p>
    <w:p w14:paraId="194E46CC" w14:textId="77777777" w:rsidR="00244EE2" w:rsidRPr="00BD7E07" w:rsidRDefault="00244EE2" w:rsidP="00806F24">
      <w:pPr>
        <w:spacing w:after="0"/>
        <w:rPr>
          <w:rFonts w:ascii="Times New Roman" w:hAnsi="Times New Roman" w:cs="Times New Roman"/>
        </w:rPr>
      </w:pPr>
    </w:p>
    <w:p w14:paraId="10ECA170" w14:textId="03C4AB0B" w:rsidR="004C602E" w:rsidRPr="00D73E25" w:rsidRDefault="00B15DC0" w:rsidP="00AD44C8">
      <w:pPr>
        <w:pStyle w:val="Heading2"/>
        <w:spacing w:before="0"/>
        <w:rPr>
          <w:rFonts w:cs="Times New Roman"/>
          <w:color w:val="auto"/>
          <w:sz w:val="22"/>
          <w:szCs w:val="22"/>
        </w:rPr>
      </w:pPr>
      <w:r w:rsidRPr="009836F0">
        <w:rPr>
          <w:rFonts w:cs="Times New Roman"/>
          <w:color w:val="auto"/>
          <w:sz w:val="22"/>
          <w:szCs w:val="22"/>
        </w:rPr>
        <w:t>L</w:t>
      </w:r>
      <w:r w:rsidR="0010652E" w:rsidRPr="00D73E25">
        <w:rPr>
          <w:rFonts w:cs="Times New Roman"/>
          <w:color w:val="auto"/>
          <w:sz w:val="22"/>
          <w:szCs w:val="22"/>
        </w:rPr>
        <w:t>egislative background</w:t>
      </w:r>
    </w:p>
    <w:p w14:paraId="4D1DA93E" w14:textId="0ACC91BE" w:rsidR="0077608D" w:rsidRPr="00BD7E07" w:rsidRDefault="00467E8E" w:rsidP="0077608D">
      <w:pPr>
        <w:spacing w:after="0"/>
        <w:rPr>
          <w:rFonts w:ascii="Times New Roman" w:hAnsi="Times New Roman" w:cs="Times New Roman"/>
          <w:iCs/>
        </w:rPr>
      </w:pPr>
      <w:r w:rsidRPr="00BD7E07">
        <w:rPr>
          <w:rFonts w:ascii="Times New Roman" w:hAnsi="Times New Roman" w:cs="Times New Roman"/>
        </w:rPr>
        <w:t>Section 6 t</w:t>
      </w:r>
      <w:r w:rsidR="00244EE2" w:rsidRPr="00BD7E07">
        <w:rPr>
          <w:rFonts w:ascii="Times New Roman" w:hAnsi="Times New Roman" w:cs="Times New Roman"/>
        </w:rPr>
        <w:t xml:space="preserve">he Act </w:t>
      </w:r>
      <w:r w:rsidRPr="00BD7E07">
        <w:rPr>
          <w:rFonts w:ascii="Times New Roman" w:hAnsi="Times New Roman" w:cs="Times New Roman"/>
        </w:rPr>
        <w:t>imposes</w:t>
      </w:r>
      <w:r w:rsidR="00244EE2" w:rsidRPr="00BD7E07">
        <w:rPr>
          <w:rFonts w:ascii="Times New Roman" w:hAnsi="Times New Roman" w:cs="Times New Roman"/>
        </w:rPr>
        <w:t xml:space="preserve"> a</w:t>
      </w:r>
      <w:r w:rsidR="00013148" w:rsidRPr="00BD7E07">
        <w:rPr>
          <w:rFonts w:ascii="Times New Roman" w:hAnsi="Times New Roman" w:cs="Times New Roman"/>
        </w:rPr>
        <w:t xml:space="preserve"> </w:t>
      </w:r>
      <w:r w:rsidRPr="00BD7E07">
        <w:rPr>
          <w:rFonts w:ascii="Times New Roman" w:hAnsi="Times New Roman" w:cs="Times New Roman"/>
        </w:rPr>
        <w:t xml:space="preserve">‘registered higher education provider </w:t>
      </w:r>
      <w:r w:rsidR="00244EE2" w:rsidRPr="00BD7E07">
        <w:rPr>
          <w:rFonts w:ascii="Times New Roman" w:hAnsi="Times New Roman" w:cs="Times New Roman"/>
        </w:rPr>
        <w:t>charge</w:t>
      </w:r>
      <w:r w:rsidRPr="00BD7E07">
        <w:rPr>
          <w:rFonts w:ascii="Times New Roman" w:hAnsi="Times New Roman" w:cs="Times New Roman"/>
        </w:rPr>
        <w:t>’</w:t>
      </w:r>
      <w:r w:rsidR="00244EE2" w:rsidRPr="00BD7E07">
        <w:rPr>
          <w:rFonts w:ascii="Times New Roman" w:hAnsi="Times New Roman" w:cs="Times New Roman"/>
        </w:rPr>
        <w:t xml:space="preserve"> </w:t>
      </w:r>
      <w:r w:rsidR="00795AB4">
        <w:rPr>
          <w:rFonts w:ascii="Times New Roman" w:hAnsi="Times New Roman" w:cs="Times New Roman"/>
        </w:rPr>
        <w:t xml:space="preserve">(RHEP charge) </w:t>
      </w:r>
      <w:r w:rsidR="00244EE2" w:rsidRPr="00BD7E07">
        <w:rPr>
          <w:rFonts w:ascii="Times New Roman" w:hAnsi="Times New Roman" w:cs="Times New Roman"/>
        </w:rPr>
        <w:t xml:space="preserve">on all higher education providers registered </w:t>
      </w:r>
      <w:r w:rsidR="00046C0E" w:rsidRPr="00BD7E07">
        <w:rPr>
          <w:rFonts w:ascii="Times New Roman" w:hAnsi="Times New Roman" w:cs="Times New Roman"/>
        </w:rPr>
        <w:t xml:space="preserve">under Part 3 of the </w:t>
      </w:r>
      <w:r w:rsidR="00046C0E" w:rsidRPr="00BD7E07">
        <w:rPr>
          <w:rFonts w:ascii="Times New Roman" w:hAnsi="Times New Roman" w:cs="Times New Roman"/>
          <w:i/>
          <w:iCs/>
        </w:rPr>
        <w:t>Tertiary Education Quality and Standards Act 2011</w:t>
      </w:r>
      <w:r w:rsidR="00046C0E" w:rsidRPr="00BD7E07">
        <w:rPr>
          <w:rFonts w:ascii="Times New Roman" w:hAnsi="Times New Roman" w:cs="Times New Roman"/>
        </w:rPr>
        <w:t xml:space="preserve"> </w:t>
      </w:r>
      <w:r w:rsidR="00437E86" w:rsidRPr="00BD7E07">
        <w:rPr>
          <w:rFonts w:ascii="Times New Roman" w:hAnsi="Times New Roman" w:cs="Times New Roman"/>
        </w:rPr>
        <w:t xml:space="preserve">(TEQSA Act) </w:t>
      </w:r>
      <w:r w:rsidR="00046C0E" w:rsidRPr="00BD7E07">
        <w:rPr>
          <w:rFonts w:ascii="Times New Roman" w:hAnsi="Times New Roman" w:cs="Times New Roman"/>
        </w:rPr>
        <w:t>and listed on the National Register of Higher Education Providers</w:t>
      </w:r>
      <w:r w:rsidR="00244EE2" w:rsidRPr="00BD7E07">
        <w:rPr>
          <w:rFonts w:ascii="Times New Roman" w:hAnsi="Times New Roman" w:cs="Times New Roman"/>
        </w:rPr>
        <w:t xml:space="preserve">. </w:t>
      </w:r>
      <w:r w:rsidR="0077608D" w:rsidRPr="00BD7E07">
        <w:rPr>
          <w:rFonts w:ascii="Times New Roman" w:hAnsi="Times New Roman" w:cs="Times New Roman"/>
          <w:iCs/>
        </w:rPr>
        <w:t xml:space="preserve"> </w:t>
      </w:r>
    </w:p>
    <w:p w14:paraId="6F9FD35F" w14:textId="617CDC5F" w:rsidR="00C92D3C" w:rsidRPr="00BD7E07" w:rsidRDefault="00C92D3C" w:rsidP="00806F24">
      <w:pPr>
        <w:spacing w:after="0"/>
        <w:rPr>
          <w:rFonts w:ascii="Times New Roman" w:hAnsi="Times New Roman" w:cs="Times New Roman"/>
        </w:rPr>
      </w:pPr>
    </w:p>
    <w:p w14:paraId="08CA8DB8" w14:textId="79FCD8B2" w:rsidR="00244EE2" w:rsidRPr="004B7433" w:rsidRDefault="0090159F" w:rsidP="00806F24">
      <w:pPr>
        <w:spacing w:after="0"/>
        <w:rPr>
          <w:rFonts w:ascii="Times New Roman" w:hAnsi="Times New Roman" w:cs="Times New Roman"/>
        </w:rPr>
      </w:pPr>
      <w:r w:rsidRPr="00BD7E07">
        <w:rPr>
          <w:rFonts w:ascii="Times New Roman" w:hAnsi="Times New Roman" w:cs="Times New Roman"/>
        </w:rPr>
        <w:t xml:space="preserve">Section 7 of the Act </w:t>
      </w:r>
      <w:r w:rsidR="00046C0E" w:rsidRPr="00BD7E07">
        <w:rPr>
          <w:rFonts w:ascii="Times New Roman" w:hAnsi="Times New Roman" w:cs="Times New Roman"/>
        </w:rPr>
        <w:t xml:space="preserve">provides </w:t>
      </w:r>
      <w:r w:rsidRPr="00BD7E07">
        <w:rPr>
          <w:rFonts w:ascii="Times New Roman" w:hAnsi="Times New Roman" w:cs="Times New Roman"/>
        </w:rPr>
        <w:t xml:space="preserve">that regulations may prescribe the amount of the </w:t>
      </w:r>
      <w:r w:rsidR="00202DAA">
        <w:rPr>
          <w:rFonts w:ascii="Times New Roman" w:hAnsi="Times New Roman" w:cs="Times New Roman"/>
        </w:rPr>
        <w:t>RHEP</w:t>
      </w:r>
      <w:r w:rsidRPr="00BD7E07">
        <w:rPr>
          <w:rFonts w:ascii="Times New Roman" w:hAnsi="Times New Roman" w:cs="Times New Roman"/>
        </w:rPr>
        <w:t xml:space="preserve"> charge for that </w:t>
      </w:r>
      <w:r w:rsidR="00A9582E" w:rsidRPr="00BD7E07">
        <w:rPr>
          <w:rFonts w:ascii="Times New Roman" w:hAnsi="Times New Roman" w:cs="Times New Roman"/>
        </w:rPr>
        <w:t>year or</w:t>
      </w:r>
      <w:r w:rsidRPr="00BD7E07">
        <w:rPr>
          <w:rFonts w:ascii="Times New Roman" w:hAnsi="Times New Roman" w:cs="Times New Roman"/>
        </w:rPr>
        <w:t xml:space="preserve"> prescribe a method to work out the amount of </w:t>
      </w:r>
      <w:r w:rsidR="00202DAA">
        <w:rPr>
          <w:rFonts w:ascii="Times New Roman" w:hAnsi="Times New Roman" w:cs="Times New Roman"/>
        </w:rPr>
        <w:t>the RHEP</w:t>
      </w:r>
      <w:r w:rsidRPr="00BD7E07">
        <w:rPr>
          <w:rFonts w:ascii="Times New Roman" w:hAnsi="Times New Roman" w:cs="Times New Roman"/>
        </w:rPr>
        <w:t xml:space="preserve"> charge for that year.</w:t>
      </w:r>
      <w:r w:rsidR="004B7433">
        <w:rPr>
          <w:rFonts w:ascii="Times New Roman" w:hAnsi="Times New Roman" w:cs="Times New Roman"/>
        </w:rPr>
        <w:t xml:space="preserve"> </w:t>
      </w:r>
      <w:r w:rsidR="003B473B">
        <w:rPr>
          <w:rFonts w:ascii="Times New Roman" w:hAnsi="Times New Roman" w:cs="Times New Roman"/>
        </w:rPr>
        <w:t xml:space="preserve">These matters are prescribed in the </w:t>
      </w:r>
      <w:r w:rsidR="003B473B" w:rsidRPr="00654BB4">
        <w:rPr>
          <w:rFonts w:ascii="Times New Roman" w:eastAsia="Times New Roman" w:hAnsi="Times New Roman" w:cs="Times New Roman"/>
          <w:i/>
          <w:iCs/>
          <w:lang w:eastAsia="en-AU"/>
        </w:rPr>
        <w:t>Tertiary Education Quality and Standards Agency (Charges) Regulations 2022</w:t>
      </w:r>
      <w:r w:rsidR="003B473B">
        <w:rPr>
          <w:rFonts w:ascii="Times New Roman" w:eastAsia="Times New Roman" w:hAnsi="Times New Roman" w:cs="Times New Roman"/>
          <w:lang w:eastAsia="en-AU"/>
        </w:rPr>
        <w:t xml:space="preserve"> (Charges Regulations).</w:t>
      </w:r>
    </w:p>
    <w:p w14:paraId="613AD816" w14:textId="2980B237" w:rsidR="002563D3" w:rsidRPr="00BD7E07" w:rsidRDefault="002563D3" w:rsidP="00806F24">
      <w:pPr>
        <w:spacing w:after="0"/>
        <w:rPr>
          <w:rFonts w:ascii="Times New Roman" w:hAnsi="Times New Roman" w:cs="Times New Roman"/>
        </w:rPr>
      </w:pPr>
    </w:p>
    <w:p w14:paraId="763BCB10" w14:textId="2AE288BC" w:rsidR="00B15DC0" w:rsidRPr="002A5ABF" w:rsidRDefault="0010652E" w:rsidP="00806F24">
      <w:pPr>
        <w:pStyle w:val="Heading2"/>
        <w:spacing w:before="0"/>
        <w:rPr>
          <w:rFonts w:cs="Times New Roman"/>
          <w:color w:val="auto"/>
          <w:sz w:val="22"/>
          <w:szCs w:val="22"/>
        </w:rPr>
      </w:pPr>
      <w:r w:rsidRPr="002A5ABF">
        <w:rPr>
          <w:rFonts w:cs="Times New Roman"/>
          <w:color w:val="auto"/>
          <w:sz w:val="22"/>
          <w:szCs w:val="22"/>
        </w:rPr>
        <w:t>Purpose and operation</w:t>
      </w:r>
    </w:p>
    <w:p w14:paraId="2D3BE707" w14:textId="4E648898" w:rsidR="00AD71D9" w:rsidRDefault="00AD71D9" w:rsidP="00806F24">
      <w:pPr>
        <w:spacing w:after="0"/>
        <w:rPr>
          <w:rFonts w:ascii="Times New Roman" w:eastAsia="Times New Roman" w:hAnsi="Times New Roman" w:cs="Times New Roman"/>
          <w:lang w:eastAsia="en-AU"/>
        </w:rPr>
      </w:pPr>
      <w:r w:rsidRPr="00BD7E07">
        <w:rPr>
          <w:rFonts w:ascii="Times New Roman" w:eastAsia="Times New Roman" w:hAnsi="Times New Roman" w:cs="Times New Roman"/>
          <w:lang w:eastAsia="en-AU"/>
        </w:rPr>
        <w:t xml:space="preserve">The purpose of the </w:t>
      </w:r>
      <w:r w:rsidRPr="00BD7E07">
        <w:rPr>
          <w:rFonts w:ascii="Times New Roman" w:eastAsia="Times New Roman" w:hAnsi="Times New Roman" w:cs="Times New Roman"/>
          <w:i/>
          <w:iCs/>
          <w:lang w:eastAsia="en-AU"/>
        </w:rPr>
        <w:t xml:space="preserve">Tertiary Education Quality and Standards Agency (Charges) </w:t>
      </w:r>
      <w:r w:rsidR="00BC40D7">
        <w:rPr>
          <w:rFonts w:ascii="Times New Roman" w:eastAsia="Times New Roman" w:hAnsi="Times New Roman" w:cs="Times New Roman"/>
          <w:i/>
          <w:iCs/>
          <w:lang w:eastAsia="en-AU"/>
        </w:rPr>
        <w:t xml:space="preserve">Amendment </w:t>
      </w:r>
      <w:r w:rsidRPr="00BD7E07">
        <w:rPr>
          <w:rFonts w:ascii="Times New Roman" w:eastAsia="Times New Roman" w:hAnsi="Times New Roman" w:cs="Times New Roman"/>
          <w:i/>
          <w:iCs/>
          <w:lang w:eastAsia="en-AU"/>
        </w:rPr>
        <w:t>Regulations</w:t>
      </w:r>
      <w:r w:rsidR="00C71EFD">
        <w:rPr>
          <w:rFonts w:ascii="Times New Roman" w:eastAsia="Times New Roman" w:hAnsi="Times New Roman" w:cs="Times New Roman"/>
          <w:i/>
          <w:iCs/>
          <w:lang w:eastAsia="en-AU"/>
        </w:rPr>
        <w:t xml:space="preserve"> </w:t>
      </w:r>
      <w:r w:rsidRPr="00BD7E07">
        <w:rPr>
          <w:rFonts w:ascii="Times New Roman" w:eastAsia="Times New Roman" w:hAnsi="Times New Roman" w:cs="Times New Roman"/>
          <w:i/>
          <w:iCs/>
          <w:lang w:eastAsia="en-AU"/>
        </w:rPr>
        <w:t>202</w:t>
      </w:r>
      <w:r w:rsidR="00474DC2">
        <w:rPr>
          <w:rFonts w:ascii="Times New Roman" w:eastAsia="Times New Roman" w:hAnsi="Times New Roman" w:cs="Times New Roman"/>
          <w:i/>
          <w:iCs/>
          <w:lang w:eastAsia="en-AU"/>
        </w:rPr>
        <w:t>3</w:t>
      </w:r>
      <w:r w:rsidRPr="00BD7E07">
        <w:rPr>
          <w:rFonts w:ascii="Times New Roman" w:eastAsia="Times New Roman" w:hAnsi="Times New Roman" w:cs="Times New Roman"/>
          <w:lang w:eastAsia="en-AU"/>
        </w:rPr>
        <w:t xml:space="preserve"> (the </w:t>
      </w:r>
      <w:r w:rsidR="0005044D">
        <w:rPr>
          <w:rFonts w:ascii="Times New Roman" w:eastAsia="Times New Roman" w:hAnsi="Times New Roman" w:cs="Times New Roman"/>
          <w:lang w:eastAsia="en-AU"/>
        </w:rPr>
        <w:t xml:space="preserve">Amending </w:t>
      </w:r>
      <w:r w:rsidRPr="00BD7E07">
        <w:rPr>
          <w:rFonts w:ascii="Times New Roman" w:eastAsia="Times New Roman" w:hAnsi="Times New Roman" w:cs="Times New Roman"/>
          <w:lang w:eastAsia="en-AU"/>
        </w:rPr>
        <w:t xml:space="preserve">Regulations) is to </w:t>
      </w:r>
      <w:r w:rsidR="006E4E0A">
        <w:rPr>
          <w:rFonts w:ascii="Times New Roman" w:eastAsia="Times New Roman" w:hAnsi="Times New Roman" w:cs="Times New Roman"/>
          <w:lang w:eastAsia="en-AU"/>
        </w:rPr>
        <w:t>amend the</w:t>
      </w:r>
      <w:r w:rsidR="007104E2">
        <w:rPr>
          <w:rFonts w:ascii="Times New Roman" w:eastAsia="Times New Roman" w:hAnsi="Times New Roman" w:cs="Times New Roman"/>
          <w:lang w:eastAsia="en-AU"/>
        </w:rPr>
        <w:t xml:space="preserve"> Charges Regulations</w:t>
      </w:r>
      <w:r w:rsidR="00A61D28">
        <w:rPr>
          <w:rFonts w:ascii="Times New Roman" w:eastAsia="Times New Roman" w:hAnsi="Times New Roman" w:cs="Times New Roman"/>
          <w:lang w:eastAsia="en-AU"/>
        </w:rPr>
        <w:t>. The amendments</w:t>
      </w:r>
      <w:r w:rsidR="006E4E0A">
        <w:rPr>
          <w:rFonts w:ascii="Times New Roman" w:eastAsia="Times New Roman" w:hAnsi="Times New Roman" w:cs="Times New Roman"/>
          <w:lang w:eastAsia="en-AU"/>
        </w:rPr>
        <w:t xml:space="preserve"> </w:t>
      </w:r>
      <w:r w:rsidR="00654BB4">
        <w:rPr>
          <w:rFonts w:ascii="Times New Roman" w:eastAsia="Times New Roman" w:hAnsi="Times New Roman" w:cs="Times New Roman"/>
          <w:lang w:eastAsia="en-AU"/>
        </w:rPr>
        <w:t xml:space="preserve">update </w:t>
      </w:r>
      <w:r w:rsidR="00294345">
        <w:rPr>
          <w:rFonts w:ascii="Times New Roman" w:eastAsia="Times New Roman" w:hAnsi="Times New Roman" w:cs="Times New Roman"/>
          <w:lang w:eastAsia="en-AU"/>
        </w:rPr>
        <w:t>the</w:t>
      </w:r>
      <w:r w:rsidR="004F4045">
        <w:rPr>
          <w:rFonts w:ascii="Times New Roman" w:eastAsia="Times New Roman" w:hAnsi="Times New Roman" w:cs="Times New Roman"/>
          <w:lang w:eastAsia="en-AU"/>
        </w:rPr>
        <w:t xml:space="preserve"> </w:t>
      </w:r>
      <w:r w:rsidR="00446E79">
        <w:rPr>
          <w:rFonts w:ascii="Times New Roman" w:eastAsia="Times New Roman" w:hAnsi="Times New Roman" w:cs="Times New Roman"/>
          <w:lang w:eastAsia="en-AU"/>
        </w:rPr>
        <w:t>amount</w:t>
      </w:r>
      <w:r w:rsidR="00BC40D7">
        <w:rPr>
          <w:rFonts w:ascii="Times New Roman" w:eastAsia="Times New Roman" w:hAnsi="Times New Roman" w:cs="Times New Roman"/>
          <w:lang w:eastAsia="en-AU"/>
        </w:rPr>
        <w:t xml:space="preserve">s </w:t>
      </w:r>
      <w:r w:rsidR="00EA1C07">
        <w:rPr>
          <w:rFonts w:ascii="Times New Roman" w:eastAsia="Times New Roman" w:hAnsi="Times New Roman" w:cs="Times New Roman"/>
          <w:lang w:eastAsia="en-AU"/>
        </w:rPr>
        <w:t xml:space="preserve">in </w:t>
      </w:r>
      <w:r w:rsidR="00BC40D7">
        <w:rPr>
          <w:rFonts w:ascii="Times New Roman" w:eastAsia="Times New Roman" w:hAnsi="Times New Roman" w:cs="Times New Roman"/>
          <w:lang w:eastAsia="en-AU"/>
        </w:rPr>
        <w:t>the formula</w:t>
      </w:r>
      <w:r w:rsidR="0063035E">
        <w:rPr>
          <w:rFonts w:ascii="Times New Roman" w:eastAsia="Times New Roman" w:hAnsi="Times New Roman" w:cs="Times New Roman"/>
          <w:lang w:eastAsia="en-AU"/>
        </w:rPr>
        <w:t xml:space="preserve"> used to c</w:t>
      </w:r>
      <w:r w:rsidR="00BC40D7">
        <w:rPr>
          <w:rFonts w:ascii="Times New Roman" w:eastAsia="Times New Roman" w:hAnsi="Times New Roman" w:cs="Times New Roman"/>
          <w:lang w:eastAsia="en-AU"/>
        </w:rPr>
        <w:t>alculat</w:t>
      </w:r>
      <w:r w:rsidR="0063035E">
        <w:rPr>
          <w:rFonts w:ascii="Times New Roman" w:eastAsia="Times New Roman" w:hAnsi="Times New Roman" w:cs="Times New Roman"/>
          <w:lang w:eastAsia="en-AU"/>
        </w:rPr>
        <w:t>e</w:t>
      </w:r>
      <w:r w:rsidR="00BC40D7">
        <w:rPr>
          <w:rFonts w:ascii="Times New Roman" w:eastAsia="Times New Roman" w:hAnsi="Times New Roman" w:cs="Times New Roman"/>
          <w:lang w:eastAsia="en-AU"/>
        </w:rPr>
        <w:t xml:space="preserve"> the base component</w:t>
      </w:r>
      <w:r w:rsidR="00446E79">
        <w:rPr>
          <w:rFonts w:ascii="Times New Roman" w:eastAsia="Times New Roman" w:hAnsi="Times New Roman" w:cs="Times New Roman"/>
          <w:lang w:eastAsia="en-AU"/>
        </w:rPr>
        <w:t xml:space="preserve"> of the </w:t>
      </w:r>
      <w:r w:rsidR="00795AB4">
        <w:rPr>
          <w:rFonts w:ascii="Times New Roman" w:eastAsia="Times New Roman" w:hAnsi="Times New Roman" w:cs="Times New Roman"/>
          <w:lang w:eastAsia="en-AU"/>
        </w:rPr>
        <w:t>RHEP charge</w:t>
      </w:r>
      <w:r w:rsidR="00967E53">
        <w:rPr>
          <w:rFonts w:ascii="Times New Roman" w:eastAsia="Times New Roman" w:hAnsi="Times New Roman" w:cs="Times New Roman"/>
          <w:lang w:eastAsia="en-AU"/>
        </w:rPr>
        <w:t>,</w:t>
      </w:r>
      <w:r w:rsidR="00BC40D7">
        <w:rPr>
          <w:rFonts w:ascii="Times New Roman" w:eastAsia="Times New Roman" w:hAnsi="Times New Roman" w:cs="Times New Roman"/>
          <w:lang w:eastAsia="en-AU"/>
        </w:rPr>
        <w:t xml:space="preserve"> </w:t>
      </w:r>
      <w:r w:rsidR="00BE48CC">
        <w:rPr>
          <w:rFonts w:ascii="Times New Roman" w:eastAsia="Times New Roman" w:hAnsi="Times New Roman" w:cs="Times New Roman"/>
          <w:lang w:eastAsia="en-AU"/>
        </w:rPr>
        <w:t xml:space="preserve">update the </w:t>
      </w:r>
      <w:r w:rsidR="00BC40D7">
        <w:rPr>
          <w:rFonts w:ascii="Times New Roman" w:eastAsia="Times New Roman" w:hAnsi="Times New Roman" w:cs="Times New Roman"/>
          <w:lang w:eastAsia="en-AU"/>
        </w:rPr>
        <w:t xml:space="preserve">amount charged </w:t>
      </w:r>
      <w:r w:rsidR="001D2590">
        <w:rPr>
          <w:rFonts w:ascii="Times New Roman" w:eastAsia="Times New Roman" w:hAnsi="Times New Roman" w:cs="Times New Roman"/>
          <w:lang w:eastAsia="en-AU"/>
        </w:rPr>
        <w:t>f</w:t>
      </w:r>
      <w:r w:rsidR="00A92AFC">
        <w:rPr>
          <w:rFonts w:ascii="Times New Roman" w:eastAsia="Times New Roman" w:hAnsi="Times New Roman" w:cs="Times New Roman"/>
          <w:lang w:eastAsia="en-AU"/>
        </w:rPr>
        <w:t xml:space="preserve">or </w:t>
      </w:r>
      <w:r w:rsidR="00967E53">
        <w:rPr>
          <w:rFonts w:ascii="Times New Roman" w:eastAsia="Times New Roman" w:hAnsi="Times New Roman" w:cs="Times New Roman"/>
          <w:lang w:eastAsia="en-AU"/>
        </w:rPr>
        <w:t>monitoring compliance with condition</w:t>
      </w:r>
      <w:r w:rsidR="00795AB4">
        <w:rPr>
          <w:rFonts w:ascii="Times New Roman" w:eastAsia="Times New Roman" w:hAnsi="Times New Roman" w:cs="Times New Roman"/>
          <w:lang w:eastAsia="en-AU"/>
        </w:rPr>
        <w:t>s</w:t>
      </w:r>
      <w:r w:rsidR="00967E53">
        <w:rPr>
          <w:rFonts w:ascii="Times New Roman" w:eastAsia="Times New Roman" w:hAnsi="Times New Roman" w:cs="Times New Roman"/>
          <w:lang w:eastAsia="en-AU"/>
        </w:rPr>
        <w:t xml:space="preserve"> imposed on </w:t>
      </w:r>
      <w:r w:rsidR="00492A9C">
        <w:rPr>
          <w:rFonts w:ascii="Times New Roman" w:eastAsia="Times New Roman" w:hAnsi="Times New Roman" w:cs="Times New Roman"/>
          <w:lang w:eastAsia="en-AU"/>
        </w:rPr>
        <w:t>the registration of a higher education provider and</w:t>
      </w:r>
      <w:r w:rsidR="0011379E">
        <w:rPr>
          <w:rFonts w:ascii="Times New Roman" w:eastAsia="Times New Roman" w:hAnsi="Times New Roman" w:cs="Times New Roman"/>
          <w:lang w:eastAsia="en-AU"/>
        </w:rPr>
        <w:t>,</w:t>
      </w:r>
      <w:r w:rsidR="00492A9C">
        <w:rPr>
          <w:rFonts w:ascii="Times New Roman" w:eastAsia="Times New Roman" w:hAnsi="Times New Roman" w:cs="Times New Roman"/>
          <w:lang w:eastAsia="en-AU"/>
        </w:rPr>
        <w:t xml:space="preserve"> provide that there is a charge</w:t>
      </w:r>
      <w:r w:rsidR="00E96A22">
        <w:rPr>
          <w:rFonts w:ascii="Times New Roman" w:eastAsia="Times New Roman" w:hAnsi="Times New Roman" w:cs="Times New Roman"/>
          <w:lang w:eastAsia="en-AU"/>
        </w:rPr>
        <w:t xml:space="preserve"> for </w:t>
      </w:r>
      <w:r w:rsidR="001D257E">
        <w:rPr>
          <w:rFonts w:ascii="Times New Roman" w:eastAsia="Times New Roman" w:hAnsi="Times New Roman" w:cs="Times New Roman"/>
          <w:lang w:eastAsia="en-AU"/>
        </w:rPr>
        <w:t>audits</w:t>
      </w:r>
      <w:r w:rsidR="007F7411">
        <w:rPr>
          <w:rFonts w:ascii="Times New Roman" w:eastAsia="Times New Roman" w:hAnsi="Times New Roman" w:cs="Times New Roman"/>
          <w:lang w:eastAsia="en-AU"/>
        </w:rPr>
        <w:t xml:space="preserve"> undertaken by</w:t>
      </w:r>
      <w:r w:rsidR="002D7631">
        <w:rPr>
          <w:rFonts w:ascii="Times New Roman" w:eastAsia="Times New Roman" w:hAnsi="Times New Roman" w:cs="Times New Roman"/>
          <w:lang w:eastAsia="en-AU"/>
        </w:rPr>
        <w:t xml:space="preserve"> </w:t>
      </w:r>
      <w:r w:rsidR="007F7411">
        <w:rPr>
          <w:rFonts w:ascii="Times New Roman" w:eastAsia="Times New Roman" w:hAnsi="Times New Roman" w:cs="Times New Roman"/>
          <w:lang w:eastAsia="en-AU"/>
        </w:rPr>
        <w:t>the</w:t>
      </w:r>
      <w:r w:rsidR="00CB7748" w:rsidRPr="00CB7748">
        <w:rPr>
          <w:rFonts w:ascii="Times New Roman" w:eastAsia="Times New Roman" w:hAnsi="Times New Roman" w:cs="Times New Roman"/>
          <w:lang w:eastAsia="en-AU"/>
        </w:rPr>
        <w:t xml:space="preserve"> </w:t>
      </w:r>
      <w:r w:rsidR="00CB7748">
        <w:rPr>
          <w:rFonts w:ascii="Times New Roman" w:eastAsia="Times New Roman" w:hAnsi="Times New Roman" w:cs="Times New Roman"/>
          <w:lang w:eastAsia="en-AU"/>
        </w:rPr>
        <w:t>Tertiary Education Quality and Standards Agency (TEQSA)</w:t>
      </w:r>
      <w:r w:rsidR="007F7411">
        <w:rPr>
          <w:rFonts w:ascii="Times New Roman" w:eastAsia="Times New Roman" w:hAnsi="Times New Roman" w:cs="Times New Roman"/>
          <w:lang w:eastAsia="en-AU"/>
        </w:rPr>
        <w:t xml:space="preserve"> </w:t>
      </w:r>
      <w:r w:rsidR="00BC2EA5">
        <w:rPr>
          <w:rFonts w:ascii="Times New Roman" w:eastAsia="Times New Roman" w:hAnsi="Times New Roman" w:cs="Times New Roman"/>
          <w:lang w:eastAsia="en-AU"/>
        </w:rPr>
        <w:t xml:space="preserve">under </w:t>
      </w:r>
      <w:r w:rsidR="00BE48CC">
        <w:rPr>
          <w:rFonts w:ascii="Times New Roman" w:eastAsia="Times New Roman" w:hAnsi="Times New Roman" w:cs="Times New Roman"/>
          <w:lang w:eastAsia="en-AU"/>
        </w:rPr>
        <w:t xml:space="preserve">section 112A of </w:t>
      </w:r>
      <w:r w:rsidR="00BC2EA5">
        <w:rPr>
          <w:rFonts w:ascii="Times New Roman" w:eastAsia="Times New Roman" w:hAnsi="Times New Roman" w:cs="Times New Roman"/>
          <w:lang w:eastAsia="en-AU"/>
        </w:rPr>
        <w:t xml:space="preserve">the </w:t>
      </w:r>
      <w:r w:rsidR="00BC2EA5" w:rsidRPr="00E13F5E">
        <w:rPr>
          <w:rFonts w:ascii="Times New Roman" w:hAnsi="Times New Roman" w:cs="Times New Roman"/>
          <w:i/>
          <w:iCs/>
        </w:rPr>
        <w:t>Education Services for Overseas Students Act 2000</w:t>
      </w:r>
      <w:r w:rsidR="00BC2EA5">
        <w:rPr>
          <w:rFonts w:ascii="Times New Roman" w:hAnsi="Times New Roman" w:cs="Times New Roman"/>
        </w:rPr>
        <w:t xml:space="preserve"> (ESOS Act)</w:t>
      </w:r>
      <w:r w:rsidR="00BE48CC">
        <w:rPr>
          <w:rFonts w:ascii="Times New Roman" w:hAnsi="Times New Roman" w:cs="Times New Roman"/>
        </w:rPr>
        <w:t xml:space="preserve">. </w:t>
      </w:r>
    </w:p>
    <w:p w14:paraId="48E68CD6" w14:textId="139B4CE9" w:rsidR="00AD71D9" w:rsidRPr="00BD7E07" w:rsidRDefault="00AD71D9" w:rsidP="00806F24">
      <w:pPr>
        <w:spacing w:after="0"/>
        <w:rPr>
          <w:rFonts w:ascii="Times New Roman" w:eastAsia="Times New Roman" w:hAnsi="Times New Roman" w:cs="Times New Roman"/>
          <w:lang w:eastAsia="en-AU"/>
        </w:rPr>
      </w:pPr>
    </w:p>
    <w:p w14:paraId="5CF84760" w14:textId="2B562883" w:rsidR="00B974F9" w:rsidRDefault="00467E8E" w:rsidP="00806F24">
      <w:pPr>
        <w:spacing w:after="0"/>
        <w:rPr>
          <w:rFonts w:ascii="Times New Roman" w:eastAsia="Times New Roman" w:hAnsi="Times New Roman" w:cs="Times New Roman"/>
          <w:lang w:eastAsia="en-AU"/>
        </w:rPr>
      </w:pPr>
      <w:r w:rsidRPr="00BD7E07">
        <w:rPr>
          <w:rFonts w:ascii="Times New Roman" w:eastAsia="Times New Roman" w:hAnsi="Times New Roman" w:cs="Times New Roman"/>
          <w:lang w:eastAsia="en-AU"/>
        </w:rPr>
        <w:t xml:space="preserve">Section 26C of the TEQSA Act imposes a condition on the registration of all registered higher education providers that requires them to pay the </w:t>
      </w:r>
      <w:r w:rsidR="00795AB4">
        <w:rPr>
          <w:rFonts w:ascii="Times New Roman" w:eastAsia="Times New Roman" w:hAnsi="Times New Roman" w:cs="Times New Roman"/>
          <w:lang w:eastAsia="en-AU"/>
        </w:rPr>
        <w:t>RHEP charge</w:t>
      </w:r>
      <w:r w:rsidRPr="00BD7E07">
        <w:rPr>
          <w:rFonts w:ascii="Times New Roman" w:eastAsia="Times New Roman" w:hAnsi="Times New Roman" w:cs="Times New Roman"/>
          <w:lang w:eastAsia="en-AU"/>
        </w:rPr>
        <w:t xml:space="preserve">. </w:t>
      </w:r>
    </w:p>
    <w:p w14:paraId="652C30E7" w14:textId="77777777" w:rsidR="00B974F9" w:rsidRDefault="00B974F9" w:rsidP="00806F24">
      <w:pPr>
        <w:spacing w:after="0"/>
        <w:rPr>
          <w:rFonts w:ascii="Times New Roman" w:eastAsia="Times New Roman" w:hAnsi="Times New Roman" w:cs="Times New Roman"/>
          <w:lang w:eastAsia="en-AU"/>
        </w:rPr>
      </w:pPr>
    </w:p>
    <w:p w14:paraId="44FD98B0" w14:textId="7DFB6BF0" w:rsidR="00AD71D9" w:rsidRPr="00BD7E07" w:rsidRDefault="00467E8E" w:rsidP="00806F24">
      <w:pPr>
        <w:spacing w:after="0"/>
        <w:rPr>
          <w:rFonts w:ascii="Times New Roman" w:eastAsia="Times New Roman" w:hAnsi="Times New Roman" w:cs="Times New Roman"/>
          <w:lang w:eastAsia="en-AU"/>
        </w:rPr>
      </w:pPr>
      <w:r w:rsidRPr="00BD7E07">
        <w:rPr>
          <w:rFonts w:ascii="Times New Roman" w:eastAsia="Times New Roman" w:hAnsi="Times New Roman" w:cs="Times New Roman"/>
          <w:lang w:eastAsia="en-AU"/>
        </w:rPr>
        <w:t>The</w:t>
      </w:r>
      <w:r w:rsidR="00466803">
        <w:rPr>
          <w:rFonts w:ascii="Times New Roman" w:eastAsia="Times New Roman" w:hAnsi="Times New Roman" w:cs="Times New Roman"/>
          <w:lang w:eastAsia="en-AU"/>
        </w:rPr>
        <w:t xml:space="preserve"> </w:t>
      </w:r>
      <w:r w:rsidR="00795AB4">
        <w:rPr>
          <w:rFonts w:ascii="Times New Roman" w:eastAsia="Times New Roman" w:hAnsi="Times New Roman" w:cs="Times New Roman"/>
          <w:lang w:eastAsia="en-AU"/>
        </w:rPr>
        <w:t>RHEP charge</w:t>
      </w:r>
      <w:r w:rsidR="00AD71D9" w:rsidRPr="00BD7E07">
        <w:rPr>
          <w:rFonts w:ascii="Times New Roman" w:eastAsia="Times New Roman" w:hAnsi="Times New Roman" w:cs="Times New Roman"/>
          <w:lang w:eastAsia="en-AU"/>
        </w:rPr>
        <w:t xml:space="preserve"> recover</w:t>
      </w:r>
      <w:r w:rsidR="007F7411">
        <w:rPr>
          <w:rFonts w:ascii="Times New Roman" w:eastAsia="Times New Roman" w:hAnsi="Times New Roman" w:cs="Times New Roman"/>
          <w:lang w:eastAsia="en-AU"/>
        </w:rPr>
        <w:t>s</w:t>
      </w:r>
      <w:r w:rsidR="00AD71D9" w:rsidRPr="00BD7E07">
        <w:rPr>
          <w:rFonts w:ascii="Times New Roman" w:eastAsia="Times New Roman" w:hAnsi="Times New Roman" w:cs="Times New Roman"/>
          <w:lang w:eastAsia="en-AU"/>
        </w:rPr>
        <w:t xml:space="preserve"> the costs of TEQSA</w:t>
      </w:r>
      <w:r w:rsidR="007F7411">
        <w:rPr>
          <w:rFonts w:ascii="Times New Roman" w:eastAsia="Times New Roman" w:hAnsi="Times New Roman" w:cs="Times New Roman"/>
          <w:lang w:eastAsia="en-AU"/>
        </w:rPr>
        <w:t>’s</w:t>
      </w:r>
      <w:r w:rsidR="00AD71D9" w:rsidRPr="00BD7E07">
        <w:rPr>
          <w:rFonts w:ascii="Times New Roman" w:eastAsia="Times New Roman" w:hAnsi="Times New Roman" w:cs="Times New Roman"/>
          <w:lang w:eastAsia="en-AU"/>
        </w:rPr>
        <w:t xml:space="preserve"> sector</w:t>
      </w:r>
      <w:r w:rsidR="008A7AF2">
        <w:rPr>
          <w:rFonts w:ascii="Times New Roman" w:eastAsia="Times New Roman" w:hAnsi="Times New Roman" w:cs="Times New Roman"/>
          <w:lang w:eastAsia="en-AU"/>
        </w:rPr>
        <w:t xml:space="preserve">-wide </w:t>
      </w:r>
      <w:r w:rsidR="0033098D">
        <w:rPr>
          <w:rFonts w:ascii="Times New Roman" w:eastAsia="Times New Roman" w:hAnsi="Times New Roman" w:cs="Times New Roman"/>
          <w:lang w:eastAsia="en-AU"/>
        </w:rPr>
        <w:t xml:space="preserve">regulatory </w:t>
      </w:r>
      <w:r w:rsidR="008A7AF2">
        <w:rPr>
          <w:rFonts w:ascii="Times New Roman" w:eastAsia="Times New Roman" w:hAnsi="Times New Roman" w:cs="Times New Roman"/>
          <w:lang w:eastAsia="en-AU"/>
        </w:rPr>
        <w:t xml:space="preserve">activities, which cannot be attributed to a particular provider, and </w:t>
      </w:r>
      <w:r w:rsidR="0033098D">
        <w:rPr>
          <w:rFonts w:ascii="Times New Roman" w:eastAsia="Times New Roman" w:hAnsi="Times New Roman" w:cs="Times New Roman"/>
          <w:lang w:eastAsia="en-AU"/>
        </w:rPr>
        <w:t xml:space="preserve">the costs of certain compliance activities taken in relation to </w:t>
      </w:r>
      <w:proofErr w:type="gramStart"/>
      <w:r w:rsidR="0033098D">
        <w:rPr>
          <w:rFonts w:ascii="Times New Roman" w:eastAsia="Times New Roman" w:hAnsi="Times New Roman" w:cs="Times New Roman"/>
          <w:lang w:eastAsia="en-AU"/>
        </w:rPr>
        <w:t xml:space="preserve">particular </w:t>
      </w:r>
      <w:r w:rsidR="00E83CBC">
        <w:rPr>
          <w:rFonts w:ascii="Times New Roman" w:eastAsia="Times New Roman" w:hAnsi="Times New Roman" w:cs="Times New Roman"/>
          <w:lang w:eastAsia="en-AU"/>
        </w:rPr>
        <w:t>registered</w:t>
      </w:r>
      <w:proofErr w:type="gramEnd"/>
      <w:r w:rsidR="00E83CBC">
        <w:rPr>
          <w:rFonts w:ascii="Times New Roman" w:eastAsia="Times New Roman" w:hAnsi="Times New Roman" w:cs="Times New Roman"/>
          <w:lang w:eastAsia="en-AU"/>
        </w:rPr>
        <w:t xml:space="preserve"> higher education </w:t>
      </w:r>
      <w:r w:rsidR="0033098D">
        <w:rPr>
          <w:rFonts w:ascii="Times New Roman" w:eastAsia="Times New Roman" w:hAnsi="Times New Roman" w:cs="Times New Roman"/>
          <w:lang w:eastAsia="en-AU"/>
        </w:rPr>
        <w:t>providers</w:t>
      </w:r>
      <w:r w:rsidR="00AD71D9" w:rsidRPr="00BD7E07">
        <w:rPr>
          <w:rFonts w:ascii="Times New Roman" w:eastAsia="Times New Roman" w:hAnsi="Times New Roman" w:cs="Times New Roman"/>
          <w:lang w:eastAsia="en-AU"/>
        </w:rPr>
        <w:t>.</w:t>
      </w:r>
      <w:r w:rsidR="00FB2715" w:rsidRPr="00BD7E07">
        <w:rPr>
          <w:rFonts w:ascii="Times New Roman" w:eastAsia="Times New Roman" w:hAnsi="Times New Roman" w:cs="Times New Roman"/>
          <w:lang w:eastAsia="en-AU"/>
        </w:rPr>
        <w:t xml:space="preserve"> </w:t>
      </w:r>
      <w:r w:rsidR="00E31716">
        <w:rPr>
          <w:rFonts w:ascii="Times New Roman" w:eastAsia="Times New Roman" w:hAnsi="Times New Roman" w:cs="Times New Roman"/>
          <w:lang w:eastAsia="en-AU"/>
        </w:rPr>
        <w:t>It is one part of TEQSA</w:t>
      </w:r>
      <w:r w:rsidR="000F3B26">
        <w:rPr>
          <w:rFonts w:ascii="Times New Roman" w:eastAsia="Times New Roman" w:hAnsi="Times New Roman" w:cs="Times New Roman"/>
          <w:lang w:eastAsia="en-AU"/>
        </w:rPr>
        <w:t>’</w:t>
      </w:r>
      <w:r w:rsidR="00E31716">
        <w:rPr>
          <w:rFonts w:ascii="Times New Roman" w:eastAsia="Times New Roman" w:hAnsi="Times New Roman" w:cs="Times New Roman"/>
          <w:lang w:eastAsia="en-AU"/>
        </w:rPr>
        <w:t xml:space="preserve">s cost recovery model, </w:t>
      </w:r>
      <w:r w:rsidR="00CF5D0D">
        <w:rPr>
          <w:rFonts w:ascii="Times New Roman" w:eastAsia="Times New Roman" w:hAnsi="Times New Roman" w:cs="Times New Roman"/>
          <w:lang w:eastAsia="en-AU"/>
        </w:rPr>
        <w:t xml:space="preserve">as </w:t>
      </w:r>
      <w:r w:rsidR="00FB2715" w:rsidRPr="00BD7E07">
        <w:rPr>
          <w:rFonts w:ascii="Times New Roman" w:eastAsia="Times New Roman" w:hAnsi="Times New Roman" w:cs="Times New Roman"/>
          <w:lang w:eastAsia="en-AU"/>
        </w:rPr>
        <w:t xml:space="preserve">set out in the </w:t>
      </w:r>
      <w:bookmarkStart w:id="0" w:name="_Hlk146269829"/>
      <w:r w:rsidR="00CD18DC">
        <w:rPr>
          <w:rFonts w:ascii="Times New Roman" w:eastAsia="Times New Roman" w:hAnsi="Times New Roman" w:cs="Times New Roman"/>
          <w:lang w:eastAsia="en-AU"/>
        </w:rPr>
        <w:t xml:space="preserve">updated version of the </w:t>
      </w:r>
      <w:r w:rsidR="00FB2715" w:rsidRPr="00BD7E07">
        <w:rPr>
          <w:rFonts w:ascii="Times New Roman" w:eastAsia="Times New Roman" w:hAnsi="Times New Roman" w:cs="Times New Roman"/>
          <w:lang w:eastAsia="en-AU"/>
        </w:rPr>
        <w:t xml:space="preserve">Cost Recovery Implementation Statement (CRIS) </w:t>
      </w:r>
      <w:bookmarkEnd w:id="0"/>
      <w:r w:rsidR="00FB2715" w:rsidRPr="00BD7E07">
        <w:rPr>
          <w:rFonts w:ascii="Times New Roman" w:eastAsia="Times New Roman" w:hAnsi="Times New Roman" w:cs="Times New Roman"/>
          <w:lang w:eastAsia="en-AU"/>
        </w:rPr>
        <w:t>published by TEQSA</w:t>
      </w:r>
      <w:r w:rsidR="00CD18DC">
        <w:rPr>
          <w:rFonts w:ascii="Times New Roman" w:eastAsia="Times New Roman" w:hAnsi="Times New Roman" w:cs="Times New Roman"/>
          <w:lang w:eastAsia="en-AU"/>
        </w:rPr>
        <w:t xml:space="preserve"> in November 2023</w:t>
      </w:r>
      <w:r w:rsidR="00FB2715" w:rsidRPr="00BD7E07">
        <w:rPr>
          <w:rFonts w:ascii="Times New Roman" w:eastAsia="Times New Roman" w:hAnsi="Times New Roman" w:cs="Times New Roman"/>
          <w:lang w:eastAsia="en-AU"/>
        </w:rPr>
        <w:t>. The CRIS</w:t>
      </w:r>
      <w:r w:rsidR="00122623" w:rsidRPr="00BD7E07">
        <w:rPr>
          <w:rFonts w:ascii="Times New Roman" w:eastAsia="Times New Roman" w:hAnsi="Times New Roman" w:cs="Times New Roman"/>
          <w:lang w:eastAsia="en-AU"/>
        </w:rPr>
        <w:t xml:space="preserve">, </w:t>
      </w:r>
      <w:r w:rsidR="00CD18DC">
        <w:rPr>
          <w:rFonts w:ascii="Times New Roman" w:eastAsia="Times New Roman" w:hAnsi="Times New Roman" w:cs="Times New Roman"/>
          <w:lang w:eastAsia="en-AU"/>
        </w:rPr>
        <w:t xml:space="preserve">originally </w:t>
      </w:r>
      <w:r w:rsidR="00CC7102">
        <w:rPr>
          <w:rFonts w:ascii="Times New Roman" w:eastAsia="Times New Roman" w:hAnsi="Times New Roman" w:cs="Times New Roman"/>
          <w:lang w:eastAsia="en-AU"/>
        </w:rPr>
        <w:t>published in 2022 and</w:t>
      </w:r>
      <w:r w:rsidR="00CD18DC">
        <w:rPr>
          <w:rFonts w:ascii="Times New Roman" w:eastAsia="Times New Roman" w:hAnsi="Times New Roman" w:cs="Times New Roman"/>
          <w:lang w:eastAsia="en-AU"/>
        </w:rPr>
        <w:t xml:space="preserve"> </w:t>
      </w:r>
      <w:r w:rsidR="00122623" w:rsidRPr="00BD7E07">
        <w:rPr>
          <w:rFonts w:ascii="Times New Roman" w:eastAsia="Times New Roman" w:hAnsi="Times New Roman" w:cs="Times New Roman"/>
          <w:lang w:eastAsia="en-AU"/>
        </w:rPr>
        <w:t xml:space="preserve">drafted following a </w:t>
      </w:r>
      <w:r w:rsidR="00122623" w:rsidRPr="00BD7E07">
        <w:rPr>
          <w:rFonts w:ascii="Times New Roman" w:hAnsi="Times New Roman" w:cs="Times New Roman"/>
          <w:iCs/>
        </w:rPr>
        <w:t>2018–19 Government decision to implement revised cost recovery arrangements for TEQSA,</w:t>
      </w:r>
      <w:r w:rsidR="00FB2715" w:rsidRPr="00BD7E07">
        <w:rPr>
          <w:rFonts w:ascii="Times New Roman" w:eastAsia="Times New Roman" w:hAnsi="Times New Roman" w:cs="Times New Roman"/>
          <w:lang w:eastAsia="en-AU"/>
        </w:rPr>
        <w:t xml:space="preserve"> </w:t>
      </w:r>
      <w:r w:rsidR="006C5536">
        <w:rPr>
          <w:rFonts w:ascii="Times New Roman" w:eastAsia="Times New Roman" w:hAnsi="Times New Roman" w:cs="Times New Roman"/>
          <w:lang w:eastAsia="en-AU"/>
        </w:rPr>
        <w:t xml:space="preserve">has been updated to </w:t>
      </w:r>
      <w:r w:rsidR="00772D24">
        <w:rPr>
          <w:rFonts w:ascii="Times New Roman" w:eastAsia="Times New Roman" w:hAnsi="Times New Roman" w:cs="Times New Roman"/>
          <w:lang w:eastAsia="en-AU"/>
        </w:rPr>
        <w:t xml:space="preserve">ensure the </w:t>
      </w:r>
      <w:r w:rsidR="00772D24" w:rsidRPr="0014643C">
        <w:rPr>
          <w:rFonts w:ascii="Times New Roman" w:eastAsia="Times New Roman" w:hAnsi="Times New Roman" w:cs="Times New Roman"/>
          <w:lang w:eastAsia="en-AU"/>
        </w:rPr>
        <w:t xml:space="preserve">assumptions </w:t>
      </w:r>
      <w:r w:rsidR="00795AB4">
        <w:rPr>
          <w:rFonts w:ascii="Times New Roman" w:eastAsia="Times New Roman" w:hAnsi="Times New Roman" w:cs="Times New Roman"/>
          <w:lang w:eastAsia="en-AU"/>
        </w:rPr>
        <w:t>contained in the document</w:t>
      </w:r>
      <w:r w:rsidR="00772D24" w:rsidRPr="0014643C">
        <w:rPr>
          <w:rFonts w:ascii="Times New Roman" w:eastAsia="Times New Roman" w:hAnsi="Times New Roman" w:cs="Times New Roman"/>
          <w:lang w:eastAsia="en-AU"/>
        </w:rPr>
        <w:t xml:space="preserve"> remain accurate and the fees and charges continue to fairly reflect the cost of </w:t>
      </w:r>
      <w:r w:rsidR="00E83CBC">
        <w:rPr>
          <w:rFonts w:ascii="Times New Roman" w:eastAsia="Times New Roman" w:hAnsi="Times New Roman" w:cs="Times New Roman"/>
          <w:lang w:eastAsia="en-AU"/>
        </w:rPr>
        <w:t xml:space="preserve">the relevant </w:t>
      </w:r>
      <w:r w:rsidR="00772D24" w:rsidRPr="0014643C">
        <w:rPr>
          <w:rFonts w:ascii="Times New Roman" w:eastAsia="Times New Roman" w:hAnsi="Times New Roman" w:cs="Times New Roman"/>
          <w:lang w:eastAsia="en-AU"/>
        </w:rPr>
        <w:t>regulatory activities</w:t>
      </w:r>
      <w:r w:rsidR="00BF2685">
        <w:t>.</w:t>
      </w:r>
      <w:r w:rsidR="00FB2715" w:rsidRPr="00BD7E07">
        <w:rPr>
          <w:rFonts w:ascii="Times New Roman" w:eastAsia="Times New Roman" w:hAnsi="Times New Roman" w:cs="Times New Roman"/>
          <w:lang w:eastAsia="en-AU"/>
        </w:rPr>
        <w:t xml:space="preserve"> </w:t>
      </w:r>
    </w:p>
    <w:p w14:paraId="03072666" w14:textId="77777777" w:rsidR="00AD71D9" w:rsidRPr="00BD7E07" w:rsidRDefault="00AD71D9" w:rsidP="00806F24">
      <w:pPr>
        <w:spacing w:after="0"/>
        <w:rPr>
          <w:rFonts w:ascii="Times New Roman" w:eastAsia="Times New Roman" w:hAnsi="Times New Roman" w:cs="Times New Roman"/>
          <w:lang w:eastAsia="en-AU"/>
        </w:rPr>
      </w:pPr>
    </w:p>
    <w:p w14:paraId="79F8079B" w14:textId="5092BCF9" w:rsidR="008A7283" w:rsidRPr="00BD7E07" w:rsidRDefault="00FB2715" w:rsidP="008A7283">
      <w:pPr>
        <w:spacing w:after="0"/>
        <w:rPr>
          <w:rFonts w:ascii="Times New Roman" w:hAnsi="Times New Roman" w:cs="Times New Roman"/>
        </w:rPr>
      </w:pPr>
      <w:r w:rsidRPr="0E2BB354">
        <w:rPr>
          <w:rFonts w:ascii="Times New Roman" w:hAnsi="Times New Roman" w:cs="Times New Roman"/>
        </w:rPr>
        <w:t xml:space="preserve">The method for calculating the </w:t>
      </w:r>
      <w:r w:rsidR="00795AB4" w:rsidRPr="00A654E6">
        <w:rPr>
          <w:rFonts w:ascii="Times New Roman" w:hAnsi="Times New Roman" w:cs="Times New Roman"/>
        </w:rPr>
        <w:t>RHEP</w:t>
      </w:r>
      <w:r w:rsidR="00795AB4">
        <w:rPr>
          <w:rFonts w:ascii="Times New Roman" w:hAnsi="Times New Roman" w:cs="Times New Roman"/>
        </w:rPr>
        <w:t xml:space="preserve"> charge</w:t>
      </w:r>
      <w:r w:rsidRPr="0E2BB354">
        <w:rPr>
          <w:rFonts w:ascii="Times New Roman" w:hAnsi="Times New Roman" w:cs="Times New Roman"/>
        </w:rPr>
        <w:t xml:space="preserve"> set out in the </w:t>
      </w:r>
      <w:r w:rsidR="00795AB4">
        <w:rPr>
          <w:rFonts w:ascii="Times New Roman" w:hAnsi="Times New Roman" w:cs="Times New Roman"/>
        </w:rPr>
        <w:t xml:space="preserve">Charges </w:t>
      </w:r>
      <w:r w:rsidRPr="0E2BB354">
        <w:rPr>
          <w:rFonts w:ascii="Times New Roman" w:hAnsi="Times New Roman" w:cs="Times New Roman"/>
        </w:rPr>
        <w:t>Regulations reflects the information set out in Part 4</w:t>
      </w:r>
      <w:r w:rsidR="00F270FC" w:rsidRPr="0E2BB354">
        <w:rPr>
          <w:rFonts w:ascii="Times New Roman" w:hAnsi="Times New Roman" w:cs="Times New Roman"/>
        </w:rPr>
        <w:t xml:space="preserve"> </w:t>
      </w:r>
      <w:r w:rsidRPr="0E2BB354">
        <w:rPr>
          <w:rFonts w:ascii="Times New Roman" w:hAnsi="Times New Roman" w:cs="Times New Roman"/>
        </w:rPr>
        <w:t xml:space="preserve">of </w:t>
      </w:r>
      <w:r w:rsidR="000C525D" w:rsidRPr="0E2BB354">
        <w:rPr>
          <w:rFonts w:ascii="Times New Roman" w:hAnsi="Times New Roman" w:cs="Times New Roman"/>
        </w:rPr>
        <w:t xml:space="preserve">the </w:t>
      </w:r>
      <w:r w:rsidR="00D93B4F" w:rsidRPr="0E2BB354">
        <w:rPr>
          <w:rFonts w:ascii="Times New Roman" w:hAnsi="Times New Roman" w:cs="Times New Roman"/>
        </w:rPr>
        <w:t>CRIS</w:t>
      </w:r>
      <w:r w:rsidRPr="0E2BB354">
        <w:rPr>
          <w:rFonts w:ascii="Times New Roman" w:hAnsi="Times New Roman" w:cs="Times New Roman"/>
        </w:rPr>
        <w:t xml:space="preserve">. </w:t>
      </w:r>
      <w:r w:rsidR="008A7283" w:rsidRPr="00A654E6">
        <w:rPr>
          <w:rFonts w:ascii="Times New Roman" w:hAnsi="Times New Roman" w:cs="Times New Roman"/>
        </w:rPr>
        <w:t xml:space="preserve">The </w:t>
      </w:r>
      <w:r w:rsidR="00795AB4" w:rsidRPr="00A654E6">
        <w:rPr>
          <w:rFonts w:ascii="Times New Roman" w:hAnsi="Times New Roman" w:cs="Times New Roman"/>
        </w:rPr>
        <w:t>RHEP</w:t>
      </w:r>
      <w:r w:rsidR="00795AB4">
        <w:rPr>
          <w:rFonts w:ascii="Times New Roman" w:hAnsi="Times New Roman" w:cs="Times New Roman"/>
        </w:rPr>
        <w:t xml:space="preserve"> charge</w:t>
      </w:r>
      <w:r w:rsidR="008A7283" w:rsidRPr="0E2BB354">
        <w:rPr>
          <w:rFonts w:ascii="Times New Roman" w:hAnsi="Times New Roman" w:cs="Times New Roman"/>
        </w:rPr>
        <w:t xml:space="preserve"> is payable in addition to the application-based fees paid by higher education providers to cover </w:t>
      </w:r>
      <w:r w:rsidR="00795AB4">
        <w:rPr>
          <w:rFonts w:ascii="Times New Roman" w:hAnsi="Times New Roman" w:cs="Times New Roman"/>
        </w:rPr>
        <w:t xml:space="preserve">the cost of assessing applications made to TEQSA for </w:t>
      </w:r>
      <w:r w:rsidR="008A7283" w:rsidRPr="0E2BB354">
        <w:rPr>
          <w:rFonts w:ascii="Times New Roman" w:hAnsi="Times New Roman" w:cs="Times New Roman"/>
        </w:rPr>
        <w:t>activities such as provider registration and course accreditation.</w:t>
      </w:r>
    </w:p>
    <w:p w14:paraId="112BC441" w14:textId="5714A40A" w:rsidR="00C93A85" w:rsidRPr="00BD7E07" w:rsidRDefault="00C93A85" w:rsidP="00806F24">
      <w:pPr>
        <w:spacing w:after="0"/>
        <w:rPr>
          <w:rFonts w:ascii="Times New Roman" w:hAnsi="Times New Roman" w:cs="Times New Roman"/>
          <w:color w:val="000000"/>
          <w:shd w:val="clear" w:color="auto" w:fill="FFFFFF"/>
        </w:rPr>
      </w:pPr>
    </w:p>
    <w:p w14:paraId="07856714" w14:textId="1E53FA26" w:rsidR="00A244BB" w:rsidRPr="00BD7E07" w:rsidRDefault="00A244BB" w:rsidP="0014643C">
      <w:pPr>
        <w:keepNext/>
        <w:spacing w:after="0"/>
        <w:rPr>
          <w:rFonts w:ascii="Times New Roman" w:hAnsi="Times New Roman" w:cs="Times New Roman"/>
          <w:iCs/>
        </w:rPr>
      </w:pPr>
      <w:r w:rsidRPr="00BD7E07">
        <w:rPr>
          <w:rFonts w:ascii="Times New Roman" w:hAnsi="Times New Roman" w:cs="Times New Roman"/>
          <w:iCs/>
        </w:rPr>
        <w:lastRenderedPageBreak/>
        <w:t xml:space="preserve">The </w:t>
      </w:r>
      <w:r w:rsidR="00260C57">
        <w:rPr>
          <w:rFonts w:ascii="Times New Roman" w:hAnsi="Times New Roman" w:cs="Times New Roman"/>
          <w:iCs/>
        </w:rPr>
        <w:t xml:space="preserve">Charges </w:t>
      </w:r>
      <w:r w:rsidRPr="00BD7E07">
        <w:rPr>
          <w:rFonts w:ascii="Times New Roman" w:hAnsi="Times New Roman" w:cs="Times New Roman"/>
          <w:iCs/>
        </w:rPr>
        <w:t xml:space="preserve">Regulations </w:t>
      </w:r>
      <w:r w:rsidR="00BB0D92" w:rsidRPr="00BD7E07">
        <w:rPr>
          <w:rFonts w:ascii="Times New Roman" w:hAnsi="Times New Roman" w:cs="Times New Roman"/>
          <w:iCs/>
        </w:rPr>
        <w:t xml:space="preserve">specify that the </w:t>
      </w:r>
      <w:r w:rsidR="00795AB4">
        <w:rPr>
          <w:rFonts w:ascii="Times New Roman" w:hAnsi="Times New Roman" w:cs="Times New Roman"/>
          <w:iCs/>
        </w:rPr>
        <w:t>RHEP charge</w:t>
      </w:r>
      <w:r w:rsidRPr="00BD7E07">
        <w:rPr>
          <w:rFonts w:ascii="Times New Roman" w:hAnsi="Times New Roman" w:cs="Times New Roman"/>
          <w:iCs/>
        </w:rPr>
        <w:t xml:space="preserve"> consist</w:t>
      </w:r>
      <w:r w:rsidR="006E4D3F" w:rsidRPr="00BD7E07">
        <w:rPr>
          <w:rFonts w:ascii="Times New Roman" w:hAnsi="Times New Roman" w:cs="Times New Roman"/>
          <w:iCs/>
        </w:rPr>
        <w:t>s</w:t>
      </w:r>
      <w:r w:rsidRPr="00BD7E07">
        <w:rPr>
          <w:rFonts w:ascii="Times New Roman" w:hAnsi="Times New Roman" w:cs="Times New Roman"/>
          <w:iCs/>
        </w:rPr>
        <w:t xml:space="preserve"> of two </w:t>
      </w:r>
      <w:r w:rsidR="004C6EA4" w:rsidRPr="00BD7E07">
        <w:rPr>
          <w:rFonts w:ascii="Times New Roman" w:hAnsi="Times New Roman" w:cs="Times New Roman"/>
          <w:iCs/>
        </w:rPr>
        <w:t>components</w:t>
      </w:r>
      <w:r w:rsidRPr="00BD7E07">
        <w:rPr>
          <w:rFonts w:ascii="Times New Roman" w:hAnsi="Times New Roman" w:cs="Times New Roman"/>
          <w:iCs/>
        </w:rPr>
        <w:t>:</w:t>
      </w:r>
    </w:p>
    <w:p w14:paraId="34B7A739" w14:textId="75F3B423" w:rsidR="005A4B46" w:rsidRPr="00BD7E07" w:rsidRDefault="004C6EA4" w:rsidP="005A4B46">
      <w:pPr>
        <w:pStyle w:val="ListParagraph"/>
        <w:numPr>
          <w:ilvl w:val="0"/>
          <w:numId w:val="7"/>
        </w:numPr>
        <w:rPr>
          <w:rFonts w:cs="Times New Roman"/>
          <w:sz w:val="22"/>
        </w:rPr>
      </w:pPr>
      <w:r w:rsidRPr="00BD7E07">
        <w:rPr>
          <w:rFonts w:cs="Times New Roman"/>
          <w:sz w:val="22"/>
        </w:rPr>
        <w:t>the base component of the charge</w:t>
      </w:r>
      <w:r w:rsidR="005A4B46" w:rsidRPr="00BD7E07">
        <w:rPr>
          <w:rFonts w:cs="Times New Roman"/>
          <w:sz w:val="22"/>
        </w:rPr>
        <w:t xml:space="preserve">, </w:t>
      </w:r>
      <w:r w:rsidRPr="00BD7E07">
        <w:rPr>
          <w:rFonts w:cs="Times New Roman"/>
          <w:sz w:val="22"/>
        </w:rPr>
        <w:t>that</w:t>
      </w:r>
      <w:r w:rsidR="005A4B46" w:rsidRPr="00BD7E07">
        <w:rPr>
          <w:rFonts w:cs="Times New Roman"/>
          <w:sz w:val="22"/>
        </w:rPr>
        <w:t xml:space="preserve"> all registered higher education providers </w:t>
      </w:r>
      <w:r w:rsidRPr="00BD7E07">
        <w:rPr>
          <w:rFonts w:cs="Times New Roman"/>
          <w:sz w:val="22"/>
        </w:rPr>
        <w:t xml:space="preserve">pay </w:t>
      </w:r>
      <w:r w:rsidR="005A4B46" w:rsidRPr="00BD7E07">
        <w:rPr>
          <w:rFonts w:cs="Times New Roman"/>
          <w:sz w:val="22"/>
        </w:rPr>
        <w:t>annually</w:t>
      </w:r>
      <w:r w:rsidR="008A2BBD">
        <w:rPr>
          <w:rFonts w:cs="Times New Roman"/>
          <w:sz w:val="22"/>
        </w:rPr>
        <w:t>,</w:t>
      </w:r>
      <w:r w:rsidR="005A4B46" w:rsidRPr="00BD7E07">
        <w:rPr>
          <w:rFonts w:cs="Times New Roman"/>
          <w:sz w:val="22"/>
        </w:rPr>
        <w:t xml:space="preserve"> </w:t>
      </w:r>
      <w:r w:rsidR="00500A3A">
        <w:rPr>
          <w:rFonts w:cs="Times New Roman"/>
          <w:sz w:val="22"/>
        </w:rPr>
        <w:t xml:space="preserve">which </w:t>
      </w:r>
      <w:r w:rsidR="005A4B46" w:rsidRPr="00BD7E07">
        <w:rPr>
          <w:rFonts w:cs="Times New Roman"/>
          <w:sz w:val="22"/>
        </w:rPr>
        <w:t>cover</w:t>
      </w:r>
      <w:r w:rsidR="00F270FC" w:rsidRPr="00BD7E07">
        <w:rPr>
          <w:rFonts w:cs="Times New Roman"/>
          <w:sz w:val="22"/>
        </w:rPr>
        <w:t>s</w:t>
      </w:r>
      <w:r w:rsidR="00467E8E" w:rsidRPr="00BD7E07">
        <w:rPr>
          <w:rFonts w:cs="Times New Roman"/>
          <w:sz w:val="22"/>
        </w:rPr>
        <w:t xml:space="preserve"> </w:t>
      </w:r>
      <w:r w:rsidR="005A4B46" w:rsidRPr="00BD7E07">
        <w:rPr>
          <w:rFonts w:cs="Times New Roman"/>
          <w:sz w:val="22"/>
        </w:rPr>
        <w:t xml:space="preserve">costs </w:t>
      </w:r>
      <w:r w:rsidR="00467E8E" w:rsidRPr="00BD7E07">
        <w:rPr>
          <w:rFonts w:cs="Times New Roman"/>
          <w:sz w:val="22"/>
        </w:rPr>
        <w:t xml:space="preserve">associated with </w:t>
      </w:r>
      <w:r w:rsidR="005A4B46" w:rsidRPr="00BD7E07">
        <w:rPr>
          <w:rFonts w:cs="Times New Roman"/>
          <w:sz w:val="22"/>
        </w:rPr>
        <w:t xml:space="preserve">TEQSA’s </w:t>
      </w:r>
      <w:r w:rsidR="00F270FC" w:rsidRPr="00BD7E07">
        <w:rPr>
          <w:rFonts w:cs="Times New Roman"/>
          <w:sz w:val="22"/>
        </w:rPr>
        <w:t xml:space="preserve">regulatory </w:t>
      </w:r>
      <w:r w:rsidR="005A4B46" w:rsidRPr="00BD7E07">
        <w:rPr>
          <w:rFonts w:cs="Times New Roman"/>
          <w:sz w:val="22"/>
        </w:rPr>
        <w:t>activities, such as risk monitoring and sector oversight</w:t>
      </w:r>
      <w:r w:rsidR="00EF255B">
        <w:rPr>
          <w:rFonts w:cs="Times New Roman"/>
          <w:sz w:val="22"/>
        </w:rPr>
        <w:t xml:space="preserve">, </w:t>
      </w:r>
      <w:r w:rsidR="00211873">
        <w:rPr>
          <w:rFonts w:cs="Times New Roman"/>
          <w:sz w:val="22"/>
        </w:rPr>
        <w:t>the cost of which</w:t>
      </w:r>
      <w:r w:rsidR="00EF255B">
        <w:rPr>
          <w:rFonts w:cs="Times New Roman"/>
          <w:sz w:val="22"/>
        </w:rPr>
        <w:t xml:space="preserve"> cannot be attributed to a specific provider</w:t>
      </w:r>
      <w:r w:rsidR="005A4B46" w:rsidRPr="00BD7E07">
        <w:rPr>
          <w:rFonts w:cs="Times New Roman"/>
          <w:sz w:val="22"/>
        </w:rPr>
        <w:t xml:space="preserve">. </w:t>
      </w:r>
      <w:r w:rsidR="001B6FFF">
        <w:rPr>
          <w:rFonts w:cs="Times New Roman"/>
          <w:sz w:val="22"/>
        </w:rPr>
        <w:t xml:space="preserve">The amount of the base component </w:t>
      </w:r>
      <w:r w:rsidR="000B6857">
        <w:rPr>
          <w:rFonts w:cs="Times New Roman"/>
          <w:sz w:val="22"/>
        </w:rPr>
        <w:t xml:space="preserve">for each provider </w:t>
      </w:r>
      <w:r w:rsidR="001B6FFF">
        <w:rPr>
          <w:rFonts w:cs="Times New Roman"/>
          <w:sz w:val="22"/>
        </w:rPr>
        <w:t xml:space="preserve">varies </w:t>
      </w:r>
      <w:r w:rsidR="00211873">
        <w:rPr>
          <w:rFonts w:cs="Times New Roman"/>
          <w:sz w:val="22"/>
        </w:rPr>
        <w:t xml:space="preserve">from year to year based on the </w:t>
      </w:r>
      <w:r w:rsidR="000B6857">
        <w:rPr>
          <w:rFonts w:cs="Times New Roman"/>
          <w:sz w:val="22"/>
        </w:rPr>
        <w:t xml:space="preserve">number of providers registered on 1 January of the relevant year and the provider’s equivalent full-time student load. </w:t>
      </w:r>
    </w:p>
    <w:p w14:paraId="78D15BE8" w14:textId="7332711C" w:rsidR="00AF6B19" w:rsidRPr="0014643C" w:rsidRDefault="00F270FC" w:rsidP="00BC1D20">
      <w:pPr>
        <w:pStyle w:val="ListParagraph"/>
        <w:numPr>
          <w:ilvl w:val="0"/>
          <w:numId w:val="7"/>
        </w:numPr>
        <w:spacing w:after="0"/>
        <w:rPr>
          <w:rFonts w:cs="Times New Roman"/>
        </w:rPr>
      </w:pPr>
      <w:r w:rsidRPr="00EB4322">
        <w:rPr>
          <w:rFonts w:cs="Times New Roman"/>
          <w:sz w:val="22"/>
        </w:rPr>
        <w:t>t</w:t>
      </w:r>
      <w:r w:rsidR="005A4B46" w:rsidRPr="00EB4322">
        <w:rPr>
          <w:rFonts w:cs="Times New Roman"/>
          <w:sz w:val="22"/>
        </w:rPr>
        <w:t xml:space="preserve">he </w:t>
      </w:r>
      <w:r w:rsidRPr="00EB4322">
        <w:rPr>
          <w:rFonts w:cs="Times New Roman"/>
          <w:sz w:val="22"/>
        </w:rPr>
        <w:t>compliance component of the charge</w:t>
      </w:r>
      <w:r w:rsidR="00E0137E" w:rsidRPr="00EB4322">
        <w:rPr>
          <w:rFonts w:cs="Times New Roman"/>
          <w:sz w:val="22"/>
        </w:rPr>
        <w:t xml:space="preserve">, that a registered higher education provider may pay </w:t>
      </w:r>
      <w:r w:rsidR="00EB4322" w:rsidRPr="00EB4322">
        <w:rPr>
          <w:rFonts w:cs="Times New Roman"/>
          <w:sz w:val="22"/>
        </w:rPr>
        <w:t>where TEQSA has taken specified compliance action</w:t>
      </w:r>
      <w:r w:rsidR="00EB4322">
        <w:rPr>
          <w:rFonts w:cs="Times New Roman"/>
          <w:sz w:val="22"/>
        </w:rPr>
        <w:t>s</w:t>
      </w:r>
      <w:r w:rsidR="00EB4322" w:rsidRPr="00EB4322">
        <w:rPr>
          <w:rFonts w:cs="Times New Roman"/>
          <w:sz w:val="22"/>
        </w:rPr>
        <w:t xml:space="preserve"> in relation to the provider in </w:t>
      </w:r>
      <w:r w:rsidR="000B6857">
        <w:rPr>
          <w:rFonts w:cs="Times New Roman"/>
          <w:sz w:val="22"/>
        </w:rPr>
        <w:t>the previous calendar</w:t>
      </w:r>
      <w:r w:rsidR="00EB4322" w:rsidRPr="00EB4322">
        <w:rPr>
          <w:rFonts w:cs="Times New Roman"/>
          <w:sz w:val="22"/>
        </w:rPr>
        <w:t xml:space="preserve"> year</w:t>
      </w:r>
      <w:r w:rsidRPr="00EB4322">
        <w:rPr>
          <w:rFonts w:cs="Times New Roman"/>
          <w:sz w:val="22"/>
        </w:rPr>
        <w:t xml:space="preserve">. </w:t>
      </w:r>
    </w:p>
    <w:p w14:paraId="3AA1E4AF" w14:textId="05F9BE85" w:rsidR="009B7FD3" w:rsidRDefault="009672D5" w:rsidP="009B7FD3">
      <w:pPr>
        <w:spacing w:after="0"/>
        <w:rPr>
          <w:rFonts w:ascii="Times New Roman" w:hAnsi="Times New Roman" w:cs="Times New Roman"/>
        </w:rPr>
      </w:pPr>
      <w:r w:rsidRPr="0014643C">
        <w:rPr>
          <w:rFonts w:ascii="Times New Roman" w:hAnsi="Times New Roman" w:cs="Times New Roman"/>
        </w:rPr>
        <w:t>The Amending Regulations</w:t>
      </w:r>
      <w:r>
        <w:rPr>
          <w:rFonts w:ascii="Times New Roman" w:hAnsi="Times New Roman" w:cs="Times New Roman"/>
        </w:rPr>
        <w:t xml:space="preserve"> </w:t>
      </w:r>
      <w:r w:rsidR="008D3E47">
        <w:rPr>
          <w:rFonts w:ascii="Times New Roman" w:hAnsi="Times New Roman" w:cs="Times New Roman"/>
        </w:rPr>
        <w:t>amend the Charges Regulations</w:t>
      </w:r>
      <w:r w:rsidR="00B27223">
        <w:rPr>
          <w:rFonts w:ascii="Times New Roman" w:hAnsi="Times New Roman" w:cs="Times New Roman"/>
        </w:rPr>
        <w:t xml:space="preserve"> following </w:t>
      </w:r>
      <w:r w:rsidR="00583CD9" w:rsidRPr="00583CD9">
        <w:rPr>
          <w:rFonts w:ascii="Times New Roman" w:hAnsi="Times New Roman" w:cs="Times New Roman"/>
        </w:rPr>
        <w:t xml:space="preserve">TEQSA’s annual review of the CRIS, which </w:t>
      </w:r>
      <w:r w:rsidR="00583CD9">
        <w:rPr>
          <w:rFonts w:ascii="Times New Roman" w:hAnsi="Times New Roman" w:cs="Times New Roman"/>
        </w:rPr>
        <w:t>was</w:t>
      </w:r>
      <w:r w:rsidR="00583CD9" w:rsidRPr="00583CD9">
        <w:rPr>
          <w:rFonts w:ascii="Times New Roman" w:hAnsi="Times New Roman" w:cs="Times New Roman"/>
        </w:rPr>
        <w:t xml:space="preserve"> conducted in accordance with the </w:t>
      </w:r>
      <w:r w:rsidR="00583CD9" w:rsidRPr="0014643C">
        <w:rPr>
          <w:rFonts w:ascii="Times New Roman" w:hAnsi="Times New Roman" w:cs="Times New Roman"/>
          <w:i/>
        </w:rPr>
        <w:t>Australian Government Cost Recovery Policy</w:t>
      </w:r>
      <w:r w:rsidR="00583CD9" w:rsidRPr="00583CD9">
        <w:rPr>
          <w:rFonts w:ascii="Times New Roman" w:hAnsi="Times New Roman" w:cs="Times New Roman"/>
        </w:rPr>
        <w:t>.</w:t>
      </w:r>
      <w:r w:rsidR="00583CD9">
        <w:rPr>
          <w:rFonts w:ascii="Times New Roman" w:hAnsi="Times New Roman" w:cs="Times New Roman"/>
        </w:rPr>
        <w:t xml:space="preserve"> The </w:t>
      </w:r>
      <w:r w:rsidR="00CE05C5">
        <w:rPr>
          <w:rFonts w:ascii="Times New Roman" w:hAnsi="Times New Roman" w:cs="Times New Roman"/>
        </w:rPr>
        <w:t>Amending Regulations:</w:t>
      </w:r>
    </w:p>
    <w:p w14:paraId="389E976C" w14:textId="6A4B0368" w:rsidR="00C33013" w:rsidRPr="00FE1C45" w:rsidRDefault="00095ADF">
      <w:pPr>
        <w:pStyle w:val="ListParagraph"/>
        <w:numPr>
          <w:ilvl w:val="0"/>
          <w:numId w:val="25"/>
        </w:numPr>
        <w:spacing w:after="0"/>
        <w:rPr>
          <w:rFonts w:cs="Times New Roman"/>
          <w:sz w:val="22"/>
        </w:rPr>
      </w:pPr>
      <w:r>
        <w:rPr>
          <w:rFonts w:cs="Times New Roman"/>
          <w:sz w:val="22"/>
        </w:rPr>
        <w:t>Update</w:t>
      </w:r>
      <w:r w:rsidR="00CE05C5" w:rsidRPr="0014643C">
        <w:rPr>
          <w:rFonts w:cs="Times New Roman"/>
          <w:sz w:val="22"/>
        </w:rPr>
        <w:t xml:space="preserve"> the amounts </w:t>
      </w:r>
      <w:r w:rsidR="006C073C">
        <w:rPr>
          <w:rFonts w:cs="Times New Roman"/>
          <w:sz w:val="22"/>
        </w:rPr>
        <w:t>in the formula</w:t>
      </w:r>
      <w:r w:rsidR="00321865">
        <w:rPr>
          <w:rFonts w:cs="Times New Roman"/>
          <w:sz w:val="22"/>
        </w:rPr>
        <w:t xml:space="preserve"> used</w:t>
      </w:r>
      <w:r w:rsidR="006C073C">
        <w:rPr>
          <w:rFonts w:cs="Times New Roman"/>
          <w:sz w:val="22"/>
        </w:rPr>
        <w:t xml:space="preserve"> for calculating</w:t>
      </w:r>
      <w:r w:rsidR="00CE05C5">
        <w:rPr>
          <w:rFonts w:cs="Times New Roman"/>
          <w:sz w:val="22"/>
        </w:rPr>
        <w:t xml:space="preserve"> the base component </w:t>
      </w:r>
      <w:r w:rsidR="00CE05C5" w:rsidRPr="0014643C">
        <w:rPr>
          <w:rFonts w:cs="Times New Roman"/>
          <w:sz w:val="22"/>
        </w:rPr>
        <w:t xml:space="preserve">of the </w:t>
      </w:r>
      <w:r w:rsidR="00795AB4">
        <w:rPr>
          <w:rFonts w:cs="Times New Roman"/>
          <w:sz w:val="22"/>
        </w:rPr>
        <w:t>RHEP</w:t>
      </w:r>
      <w:r w:rsidR="00CE05C5" w:rsidRPr="0014643C">
        <w:rPr>
          <w:rFonts w:cs="Times New Roman"/>
          <w:sz w:val="22"/>
        </w:rPr>
        <w:t xml:space="preserve"> </w:t>
      </w:r>
      <w:r w:rsidR="006C073C">
        <w:rPr>
          <w:rFonts w:cs="Times New Roman"/>
          <w:sz w:val="22"/>
        </w:rPr>
        <w:t>charge</w:t>
      </w:r>
      <w:r w:rsidR="00CE05C5">
        <w:rPr>
          <w:rFonts w:cs="Times New Roman"/>
          <w:sz w:val="22"/>
        </w:rPr>
        <w:t xml:space="preserve"> to reflect the current costs of </w:t>
      </w:r>
      <w:r w:rsidR="00C33013">
        <w:rPr>
          <w:rFonts w:cs="Times New Roman"/>
          <w:sz w:val="22"/>
        </w:rPr>
        <w:t>the relevant</w:t>
      </w:r>
      <w:r w:rsidR="00CE05C5">
        <w:rPr>
          <w:rFonts w:cs="Times New Roman"/>
          <w:sz w:val="22"/>
        </w:rPr>
        <w:t xml:space="preserve"> regulatory activities</w:t>
      </w:r>
      <w:r w:rsidR="00C33013">
        <w:rPr>
          <w:rFonts w:cs="Times New Roman"/>
          <w:sz w:val="22"/>
        </w:rPr>
        <w:t xml:space="preserve"> (</w:t>
      </w:r>
      <w:r w:rsidR="00C33013" w:rsidRPr="00FE1C45">
        <w:rPr>
          <w:rFonts w:cs="Times New Roman"/>
          <w:sz w:val="22"/>
        </w:rPr>
        <w:t xml:space="preserve">see Part </w:t>
      </w:r>
      <w:r w:rsidR="0047531C" w:rsidRPr="00FE1C45">
        <w:rPr>
          <w:rFonts w:cs="Times New Roman"/>
          <w:sz w:val="22"/>
        </w:rPr>
        <w:t>4</w:t>
      </w:r>
      <w:r w:rsidR="00C33013" w:rsidRPr="00FE1C45">
        <w:rPr>
          <w:rFonts w:cs="Times New Roman"/>
          <w:sz w:val="22"/>
        </w:rPr>
        <w:t xml:space="preserve"> of the CRIS)</w:t>
      </w:r>
      <w:r w:rsidR="00E077D3" w:rsidRPr="00FE1C45">
        <w:rPr>
          <w:rFonts w:cs="Times New Roman"/>
          <w:sz w:val="22"/>
        </w:rPr>
        <w:t>.</w:t>
      </w:r>
    </w:p>
    <w:p w14:paraId="1E90BEEC" w14:textId="22FE274B" w:rsidR="00CE05C5" w:rsidRPr="0014643C" w:rsidRDefault="00E077D3" w:rsidP="0014643C">
      <w:pPr>
        <w:pStyle w:val="ListParagraph"/>
        <w:numPr>
          <w:ilvl w:val="0"/>
          <w:numId w:val="25"/>
        </w:numPr>
        <w:spacing w:after="0"/>
        <w:rPr>
          <w:rFonts w:cs="Times New Roman"/>
          <w:sz w:val="22"/>
        </w:rPr>
      </w:pPr>
      <w:r>
        <w:rPr>
          <w:rFonts w:cs="Times New Roman"/>
          <w:sz w:val="22"/>
        </w:rPr>
        <w:t xml:space="preserve">Decrease the amount charged for the monitoring of a </w:t>
      </w:r>
      <w:r w:rsidR="00EF1126">
        <w:rPr>
          <w:rFonts w:cs="Times New Roman"/>
          <w:sz w:val="22"/>
        </w:rPr>
        <w:t xml:space="preserve">condition imposed on the registration of a higher education provider </w:t>
      </w:r>
      <w:r w:rsidR="00CE05C5" w:rsidRPr="0014643C">
        <w:rPr>
          <w:rFonts w:cs="Times New Roman"/>
          <w:sz w:val="22"/>
        </w:rPr>
        <w:t xml:space="preserve">to reflect the current costs of </w:t>
      </w:r>
      <w:r w:rsidR="009A1ADE">
        <w:rPr>
          <w:rFonts w:cs="Times New Roman"/>
          <w:sz w:val="22"/>
        </w:rPr>
        <w:t xml:space="preserve">this regulatory activity, the efficiency of which has been increased since the </w:t>
      </w:r>
      <w:r w:rsidR="00DF1157">
        <w:rPr>
          <w:rFonts w:cs="Times New Roman"/>
          <w:sz w:val="22"/>
        </w:rPr>
        <w:t xml:space="preserve">Charges Regulations were drafted. </w:t>
      </w:r>
      <w:r w:rsidR="00CE05C5" w:rsidRPr="0014643C">
        <w:rPr>
          <w:rFonts w:cs="Times New Roman"/>
          <w:sz w:val="22"/>
        </w:rPr>
        <w:t xml:space="preserve"> </w:t>
      </w:r>
    </w:p>
    <w:p w14:paraId="0C2A1EB8" w14:textId="1486FFDD" w:rsidR="001F1A9B" w:rsidRPr="0014643C" w:rsidRDefault="00C64C0C">
      <w:pPr>
        <w:pStyle w:val="ListParagraph"/>
        <w:numPr>
          <w:ilvl w:val="0"/>
          <w:numId w:val="25"/>
        </w:numPr>
        <w:spacing w:after="0"/>
        <w:rPr>
          <w:rFonts w:cs="Times New Roman"/>
        </w:rPr>
      </w:pPr>
      <w:r>
        <w:rPr>
          <w:rFonts w:cs="Times New Roman"/>
          <w:sz w:val="22"/>
        </w:rPr>
        <w:t xml:space="preserve">Make clear that the charge for </w:t>
      </w:r>
      <w:r w:rsidR="00DC5021">
        <w:rPr>
          <w:rFonts w:cs="Times New Roman"/>
          <w:sz w:val="22"/>
        </w:rPr>
        <w:t xml:space="preserve">‘compliance assessments’ </w:t>
      </w:r>
      <w:r w:rsidR="001F1A9B">
        <w:rPr>
          <w:rFonts w:cs="Times New Roman"/>
          <w:sz w:val="22"/>
        </w:rPr>
        <w:t xml:space="preserve">set out in the CRIS </w:t>
      </w:r>
      <w:r w:rsidR="007B7036">
        <w:rPr>
          <w:rFonts w:cs="Times New Roman"/>
          <w:sz w:val="22"/>
        </w:rPr>
        <w:t xml:space="preserve">covers </w:t>
      </w:r>
      <w:r w:rsidR="001F1A9B">
        <w:rPr>
          <w:rFonts w:cs="Times New Roman"/>
          <w:sz w:val="22"/>
        </w:rPr>
        <w:t xml:space="preserve">audits commenced under subsection 112A of the ESOS Act. </w:t>
      </w:r>
    </w:p>
    <w:p w14:paraId="14218D2F" w14:textId="77777777" w:rsidR="00D24255" w:rsidRPr="00BD7E07" w:rsidRDefault="00D24255" w:rsidP="00D24255">
      <w:pPr>
        <w:spacing w:after="0"/>
        <w:rPr>
          <w:rFonts w:ascii="Times New Roman" w:hAnsi="Times New Roman" w:cs="Times New Roman"/>
        </w:rPr>
      </w:pPr>
    </w:p>
    <w:p w14:paraId="5F53B280" w14:textId="3718B336" w:rsidR="00B15DC0" w:rsidRPr="002A5ABF" w:rsidRDefault="00A819A2" w:rsidP="00806F24">
      <w:pPr>
        <w:pStyle w:val="Heading2"/>
        <w:spacing w:before="0"/>
        <w:rPr>
          <w:rFonts w:cs="Times New Roman"/>
          <w:color w:val="auto"/>
          <w:sz w:val="22"/>
          <w:szCs w:val="22"/>
        </w:rPr>
      </w:pPr>
      <w:r>
        <w:rPr>
          <w:rFonts w:cs="Times New Roman"/>
          <w:color w:val="auto"/>
          <w:sz w:val="22"/>
          <w:szCs w:val="22"/>
        </w:rPr>
        <w:t>Impact Analysis</w:t>
      </w:r>
    </w:p>
    <w:p w14:paraId="6202AF5C" w14:textId="1792E523" w:rsidR="00A819A2" w:rsidRDefault="00A819A2" w:rsidP="00806F24">
      <w:pPr>
        <w:spacing w:after="0"/>
        <w:rPr>
          <w:rFonts w:ascii="Times New Roman" w:hAnsi="Times New Roman" w:cs="Times New Roman"/>
        </w:rPr>
      </w:pPr>
      <w:r w:rsidRPr="00C15347">
        <w:rPr>
          <w:rFonts w:ascii="Times New Roman" w:hAnsi="Times New Roman" w:cs="Times New Roman"/>
        </w:rPr>
        <w:t xml:space="preserve">The Office of Impact Analysis (OIA) has been consulted and advised the instrument in its operation </w:t>
      </w:r>
      <w:r w:rsidR="00E86A6E">
        <w:rPr>
          <w:rFonts w:ascii="Times New Roman" w:hAnsi="Times New Roman" w:cs="Times New Roman"/>
        </w:rPr>
        <w:t>is unlikely to have</w:t>
      </w:r>
      <w:r w:rsidR="00DF4595">
        <w:rPr>
          <w:rFonts w:ascii="Times New Roman" w:hAnsi="Times New Roman" w:cs="Times New Roman"/>
        </w:rPr>
        <w:t xml:space="preserve"> a</w:t>
      </w:r>
      <w:r w:rsidRPr="00C15347">
        <w:rPr>
          <w:rFonts w:ascii="Times New Roman" w:hAnsi="Times New Roman" w:cs="Times New Roman"/>
        </w:rPr>
        <w:t xml:space="preserve"> more than minor impact (ID: </w:t>
      </w:r>
      <w:r w:rsidR="00031252">
        <w:rPr>
          <w:b/>
          <w:bCs/>
        </w:rPr>
        <w:t>OIA23-05889</w:t>
      </w:r>
      <w:r w:rsidRPr="00C15347">
        <w:rPr>
          <w:rFonts w:ascii="Times New Roman" w:hAnsi="Times New Roman" w:cs="Times New Roman"/>
        </w:rPr>
        <w:t>).</w:t>
      </w:r>
    </w:p>
    <w:p w14:paraId="26EBBD20" w14:textId="77777777" w:rsidR="00C93A85" w:rsidRPr="00BD7E07" w:rsidRDefault="00C93A85" w:rsidP="00806F24">
      <w:pPr>
        <w:spacing w:after="0"/>
        <w:rPr>
          <w:rFonts w:ascii="Times New Roman" w:hAnsi="Times New Roman" w:cs="Times New Roman"/>
        </w:rPr>
      </w:pPr>
    </w:p>
    <w:p w14:paraId="298B7778" w14:textId="03A7E7A2" w:rsidR="00B15DC0" w:rsidRPr="002A5ABF" w:rsidRDefault="00B15DC0" w:rsidP="00806F24">
      <w:pPr>
        <w:pStyle w:val="Heading2"/>
        <w:spacing w:before="0"/>
        <w:rPr>
          <w:rFonts w:cs="Times New Roman"/>
          <w:color w:val="auto"/>
          <w:sz w:val="22"/>
          <w:szCs w:val="22"/>
        </w:rPr>
      </w:pPr>
      <w:r w:rsidRPr="002A5ABF">
        <w:rPr>
          <w:rFonts w:cs="Times New Roman"/>
          <w:color w:val="auto"/>
          <w:sz w:val="22"/>
          <w:szCs w:val="22"/>
        </w:rPr>
        <w:t>C</w:t>
      </w:r>
      <w:r w:rsidR="0010652E" w:rsidRPr="002A5ABF">
        <w:rPr>
          <w:rFonts w:cs="Times New Roman"/>
          <w:color w:val="auto"/>
          <w:sz w:val="22"/>
          <w:szCs w:val="22"/>
        </w:rPr>
        <w:t>ommencement</w:t>
      </w:r>
    </w:p>
    <w:p w14:paraId="16BB4B5A" w14:textId="2179D8A0" w:rsidR="00B15DC0" w:rsidRPr="00BD7E07" w:rsidRDefault="00C93A85" w:rsidP="00806F24">
      <w:pPr>
        <w:spacing w:after="0"/>
        <w:rPr>
          <w:rFonts w:ascii="Times New Roman" w:hAnsi="Times New Roman" w:cs="Times New Roman"/>
          <w:iCs/>
        </w:rPr>
      </w:pPr>
      <w:r w:rsidRPr="00BD7E07">
        <w:rPr>
          <w:rFonts w:ascii="Times New Roman" w:hAnsi="Times New Roman" w:cs="Times New Roman"/>
          <w:iCs/>
        </w:rPr>
        <w:t xml:space="preserve">This instrument commences on </w:t>
      </w:r>
      <w:r w:rsidR="000A7A56">
        <w:rPr>
          <w:rFonts w:ascii="Times New Roman" w:hAnsi="Times New Roman" w:cs="Times New Roman"/>
          <w:iCs/>
        </w:rPr>
        <w:t>1 January 2024</w:t>
      </w:r>
      <w:r w:rsidR="009B7FD3">
        <w:rPr>
          <w:rFonts w:ascii="Times New Roman" w:hAnsi="Times New Roman" w:cs="Times New Roman"/>
          <w:iCs/>
        </w:rPr>
        <w:t>.</w:t>
      </w:r>
    </w:p>
    <w:p w14:paraId="061130E2" w14:textId="77777777" w:rsidR="00F34D93" w:rsidRPr="00BD7E07" w:rsidRDefault="00F34D93" w:rsidP="00806F24">
      <w:pPr>
        <w:spacing w:after="0"/>
        <w:rPr>
          <w:rFonts w:ascii="Times New Roman" w:hAnsi="Times New Roman" w:cs="Times New Roman"/>
        </w:rPr>
      </w:pPr>
    </w:p>
    <w:p w14:paraId="3FB91372" w14:textId="5B6DEF97" w:rsidR="00B15DC0" w:rsidRPr="002A5ABF" w:rsidRDefault="00B15DC0" w:rsidP="00806F24">
      <w:pPr>
        <w:pStyle w:val="Heading2"/>
        <w:spacing w:before="0"/>
        <w:rPr>
          <w:rFonts w:cs="Times New Roman"/>
          <w:color w:val="auto"/>
          <w:sz w:val="22"/>
          <w:szCs w:val="22"/>
        </w:rPr>
      </w:pPr>
      <w:bookmarkStart w:id="1" w:name="_Toc34293360"/>
      <w:r w:rsidRPr="002A5ABF">
        <w:rPr>
          <w:rFonts w:cs="Times New Roman"/>
          <w:color w:val="auto"/>
          <w:sz w:val="22"/>
          <w:szCs w:val="22"/>
        </w:rPr>
        <w:t>C</w:t>
      </w:r>
      <w:r w:rsidR="0010652E" w:rsidRPr="002A5ABF">
        <w:rPr>
          <w:rFonts w:cs="Times New Roman"/>
          <w:color w:val="auto"/>
          <w:sz w:val="22"/>
          <w:szCs w:val="22"/>
        </w:rPr>
        <w:t>onsultation</w:t>
      </w:r>
      <w:bookmarkEnd w:id="1"/>
    </w:p>
    <w:p w14:paraId="0BEA177D" w14:textId="73FC2FB2" w:rsidR="00BA4423" w:rsidRDefault="00C93A85" w:rsidP="00806F24">
      <w:pPr>
        <w:spacing w:after="0"/>
        <w:rPr>
          <w:rFonts w:ascii="Times New Roman" w:hAnsi="Times New Roman" w:cs="Times New Roman"/>
        </w:rPr>
      </w:pPr>
      <w:r w:rsidRPr="00BD7E07">
        <w:rPr>
          <w:rFonts w:ascii="Times New Roman" w:hAnsi="Times New Roman" w:cs="Times New Roman"/>
        </w:rPr>
        <w:t xml:space="preserve">TEQSA undertook </w:t>
      </w:r>
      <w:r w:rsidR="00800F3B">
        <w:rPr>
          <w:rFonts w:ascii="Times New Roman" w:hAnsi="Times New Roman" w:cs="Times New Roman"/>
        </w:rPr>
        <w:t xml:space="preserve">a </w:t>
      </w:r>
      <w:r w:rsidRPr="00BD7E07">
        <w:rPr>
          <w:rFonts w:ascii="Times New Roman" w:hAnsi="Times New Roman" w:cs="Times New Roman"/>
        </w:rPr>
        <w:t xml:space="preserve">public consultation on </w:t>
      </w:r>
      <w:r w:rsidR="00800F3B">
        <w:rPr>
          <w:rFonts w:ascii="Times New Roman" w:hAnsi="Times New Roman" w:cs="Times New Roman"/>
        </w:rPr>
        <w:t xml:space="preserve">proposed </w:t>
      </w:r>
      <w:r w:rsidR="00FF7090">
        <w:rPr>
          <w:rFonts w:ascii="Times New Roman" w:hAnsi="Times New Roman" w:cs="Times New Roman"/>
        </w:rPr>
        <w:t xml:space="preserve">changes to </w:t>
      </w:r>
      <w:r w:rsidRPr="00BD7E07">
        <w:rPr>
          <w:rFonts w:ascii="Times New Roman" w:hAnsi="Times New Roman" w:cs="Times New Roman"/>
        </w:rPr>
        <w:t>its cost recovery arrangements</w:t>
      </w:r>
      <w:r w:rsidR="000C01E1">
        <w:rPr>
          <w:rFonts w:ascii="Times New Roman" w:hAnsi="Times New Roman" w:cs="Times New Roman"/>
        </w:rPr>
        <w:t>, including amendments to the Charges Regulations,</w:t>
      </w:r>
      <w:r w:rsidRPr="00BD7E07">
        <w:rPr>
          <w:rFonts w:ascii="Times New Roman" w:hAnsi="Times New Roman" w:cs="Times New Roman"/>
        </w:rPr>
        <w:t xml:space="preserve"> </w:t>
      </w:r>
      <w:r w:rsidR="001D394F">
        <w:rPr>
          <w:rFonts w:ascii="Times New Roman" w:hAnsi="Times New Roman" w:cs="Times New Roman"/>
        </w:rPr>
        <w:t>between</w:t>
      </w:r>
      <w:r w:rsidR="002E4E05">
        <w:rPr>
          <w:rFonts w:ascii="Times New Roman" w:hAnsi="Times New Roman" w:cs="Times New Roman"/>
        </w:rPr>
        <w:t xml:space="preserve"> August </w:t>
      </w:r>
      <w:r w:rsidR="001D394F">
        <w:rPr>
          <w:rFonts w:ascii="Times New Roman" w:hAnsi="Times New Roman" w:cs="Times New Roman"/>
        </w:rPr>
        <w:t>to</w:t>
      </w:r>
      <w:r w:rsidR="002E4E05">
        <w:rPr>
          <w:rFonts w:ascii="Times New Roman" w:hAnsi="Times New Roman" w:cs="Times New Roman"/>
        </w:rPr>
        <w:t xml:space="preserve"> September </w:t>
      </w:r>
      <w:r w:rsidRPr="00BD7E07">
        <w:rPr>
          <w:rFonts w:ascii="Times New Roman" w:hAnsi="Times New Roman" w:cs="Times New Roman"/>
        </w:rPr>
        <w:t>202</w:t>
      </w:r>
      <w:r w:rsidR="00FF7090">
        <w:rPr>
          <w:rFonts w:ascii="Times New Roman" w:hAnsi="Times New Roman" w:cs="Times New Roman"/>
        </w:rPr>
        <w:t>3</w:t>
      </w:r>
      <w:r w:rsidR="000C01E1">
        <w:rPr>
          <w:rFonts w:ascii="Times New Roman" w:hAnsi="Times New Roman" w:cs="Times New Roman"/>
        </w:rPr>
        <w:t xml:space="preserve">. </w:t>
      </w:r>
      <w:r w:rsidR="00C0549E">
        <w:rPr>
          <w:rFonts w:ascii="Times New Roman" w:hAnsi="Times New Roman" w:cs="Times New Roman"/>
        </w:rPr>
        <w:t xml:space="preserve">All Vice Chancellors and CEOs of registered higher education providers were notified of the consultation process via email. </w:t>
      </w:r>
      <w:r w:rsidR="000C01E1">
        <w:rPr>
          <w:rFonts w:ascii="Times New Roman" w:hAnsi="Times New Roman" w:cs="Times New Roman"/>
        </w:rPr>
        <w:t>In addition to providing an opportunity for written comment on the proposed changes, TEQSA held</w:t>
      </w:r>
      <w:r w:rsidR="006449D8" w:rsidRPr="006449D8">
        <w:rPr>
          <w:rFonts w:ascii="Times New Roman" w:hAnsi="Times New Roman" w:cs="Times New Roman"/>
        </w:rPr>
        <w:t xml:space="preserve"> briefings for peak bodies and providers on 30 and 31 August 2023 respectively</w:t>
      </w:r>
      <w:r w:rsidRPr="00BD7E07">
        <w:rPr>
          <w:rFonts w:ascii="Times New Roman" w:hAnsi="Times New Roman" w:cs="Times New Roman"/>
        </w:rPr>
        <w:t xml:space="preserve">. </w:t>
      </w:r>
    </w:p>
    <w:p w14:paraId="320A8236" w14:textId="77777777" w:rsidR="00BA4423" w:rsidRDefault="00BA4423" w:rsidP="00806F24">
      <w:pPr>
        <w:spacing w:after="0"/>
        <w:rPr>
          <w:rFonts w:ascii="Times New Roman" w:hAnsi="Times New Roman" w:cs="Times New Roman"/>
        </w:rPr>
      </w:pPr>
    </w:p>
    <w:p w14:paraId="22669B08" w14:textId="77777777" w:rsidR="00A15A36" w:rsidRDefault="00C93A85" w:rsidP="00806F24">
      <w:pPr>
        <w:spacing w:after="0"/>
        <w:rPr>
          <w:rFonts w:ascii="Times New Roman" w:hAnsi="Times New Roman" w:cs="Times New Roman"/>
        </w:rPr>
      </w:pPr>
      <w:r w:rsidRPr="00BD7E07">
        <w:rPr>
          <w:rFonts w:ascii="Times New Roman" w:hAnsi="Times New Roman" w:cs="Times New Roman"/>
        </w:rPr>
        <w:t xml:space="preserve">TEQSA received </w:t>
      </w:r>
      <w:r w:rsidR="005A0930" w:rsidRPr="009C2C0A">
        <w:rPr>
          <w:rFonts w:ascii="Times New Roman" w:hAnsi="Times New Roman" w:cs="Times New Roman"/>
        </w:rPr>
        <w:t>17</w:t>
      </w:r>
      <w:r w:rsidRPr="00BD7E07">
        <w:rPr>
          <w:rFonts w:ascii="Times New Roman" w:hAnsi="Times New Roman" w:cs="Times New Roman"/>
        </w:rPr>
        <w:t xml:space="preserve"> stakeholder submissions through the consultation process, including </w:t>
      </w:r>
      <w:r w:rsidR="005A0930">
        <w:rPr>
          <w:rFonts w:ascii="Times New Roman" w:hAnsi="Times New Roman" w:cs="Times New Roman"/>
        </w:rPr>
        <w:t xml:space="preserve">12 from </w:t>
      </w:r>
      <w:r w:rsidRPr="00BD7E07">
        <w:rPr>
          <w:rFonts w:ascii="Times New Roman" w:hAnsi="Times New Roman" w:cs="Times New Roman"/>
        </w:rPr>
        <w:t>individual higher education providers</w:t>
      </w:r>
      <w:r w:rsidR="005A0930">
        <w:rPr>
          <w:rFonts w:ascii="Times New Roman" w:hAnsi="Times New Roman" w:cs="Times New Roman"/>
        </w:rPr>
        <w:t xml:space="preserve"> and </w:t>
      </w:r>
      <w:r w:rsidR="00D53D0E">
        <w:rPr>
          <w:rFonts w:ascii="Times New Roman" w:hAnsi="Times New Roman" w:cs="Times New Roman"/>
        </w:rPr>
        <w:t xml:space="preserve">four </w:t>
      </w:r>
      <w:r w:rsidRPr="00BD7E07">
        <w:rPr>
          <w:rFonts w:ascii="Times New Roman" w:hAnsi="Times New Roman" w:cs="Times New Roman"/>
        </w:rPr>
        <w:t xml:space="preserve">from peak bodies. </w:t>
      </w:r>
      <w:r w:rsidR="00A15A36">
        <w:rPr>
          <w:rFonts w:ascii="Times New Roman" w:hAnsi="Times New Roman" w:cs="Times New Roman"/>
        </w:rPr>
        <w:t xml:space="preserve">TEQSA took this feedback into consideration when finalising its CRIS. </w:t>
      </w:r>
    </w:p>
    <w:p w14:paraId="591DF33E" w14:textId="77777777" w:rsidR="00A15A36" w:rsidRDefault="00A15A36" w:rsidP="00806F24">
      <w:pPr>
        <w:spacing w:after="0"/>
        <w:rPr>
          <w:rFonts w:ascii="Times New Roman" w:hAnsi="Times New Roman" w:cs="Times New Roman"/>
        </w:rPr>
      </w:pPr>
    </w:p>
    <w:p w14:paraId="21052571" w14:textId="0500F1F7" w:rsidR="00B15DC0" w:rsidRPr="00BD7E07" w:rsidRDefault="007C1DA3" w:rsidP="00806F24">
      <w:pPr>
        <w:spacing w:after="0"/>
        <w:rPr>
          <w:rFonts w:ascii="Times New Roman" w:hAnsi="Times New Roman" w:cs="Times New Roman"/>
        </w:rPr>
      </w:pPr>
      <w:r>
        <w:rPr>
          <w:rFonts w:ascii="Times New Roman" w:hAnsi="Times New Roman" w:cs="Times New Roman"/>
        </w:rPr>
        <w:t xml:space="preserve">The submissions </w:t>
      </w:r>
      <w:r w:rsidR="00A15A36">
        <w:rPr>
          <w:rFonts w:ascii="Times New Roman" w:hAnsi="Times New Roman" w:cs="Times New Roman"/>
        </w:rPr>
        <w:t xml:space="preserve">generally expressed approval for fee and charge decreases, </w:t>
      </w:r>
      <w:r w:rsidR="005B259C">
        <w:rPr>
          <w:rFonts w:ascii="Times New Roman" w:hAnsi="Times New Roman" w:cs="Times New Roman"/>
        </w:rPr>
        <w:t xml:space="preserve">expressed a desire </w:t>
      </w:r>
      <w:r w:rsidR="002038DD" w:rsidRPr="00104BCA">
        <w:rPr>
          <w:rFonts w:ascii="Times New Roman" w:hAnsi="Times New Roman" w:cs="Times New Roman"/>
        </w:rPr>
        <w:t xml:space="preserve">for fees and charges to </w:t>
      </w:r>
      <w:r>
        <w:rPr>
          <w:rFonts w:ascii="Times New Roman" w:hAnsi="Times New Roman" w:cs="Times New Roman"/>
        </w:rPr>
        <w:t>vary</w:t>
      </w:r>
      <w:r w:rsidR="002038DD" w:rsidRPr="00104BCA">
        <w:rPr>
          <w:rFonts w:ascii="Times New Roman" w:hAnsi="Times New Roman" w:cs="Times New Roman"/>
        </w:rPr>
        <w:t xml:space="preserve"> based on the financial capacity of a provider</w:t>
      </w:r>
      <w:r w:rsidR="00A15A36">
        <w:rPr>
          <w:rFonts w:ascii="Times New Roman" w:hAnsi="Times New Roman" w:cs="Times New Roman"/>
        </w:rPr>
        <w:t xml:space="preserve"> and express</w:t>
      </w:r>
      <w:r w:rsidR="00D5145A">
        <w:rPr>
          <w:rFonts w:ascii="Times New Roman" w:hAnsi="Times New Roman" w:cs="Times New Roman"/>
        </w:rPr>
        <w:t>ed</w:t>
      </w:r>
      <w:r w:rsidR="00A15A36">
        <w:rPr>
          <w:rFonts w:ascii="Times New Roman" w:hAnsi="Times New Roman" w:cs="Times New Roman"/>
        </w:rPr>
        <w:t xml:space="preserve"> </w:t>
      </w:r>
      <w:r w:rsidR="002038DD" w:rsidRPr="00104BCA">
        <w:rPr>
          <w:rFonts w:ascii="Times New Roman" w:hAnsi="Times New Roman" w:cs="Times New Roman"/>
        </w:rPr>
        <w:t>concerns about the amount of</w:t>
      </w:r>
      <w:r w:rsidR="00A15A36">
        <w:rPr>
          <w:rFonts w:ascii="Times New Roman" w:hAnsi="Times New Roman" w:cs="Times New Roman"/>
        </w:rPr>
        <w:t xml:space="preserve"> certain</w:t>
      </w:r>
      <w:r w:rsidR="002038DD" w:rsidRPr="00104BCA">
        <w:rPr>
          <w:rFonts w:ascii="Times New Roman" w:hAnsi="Times New Roman" w:cs="Times New Roman"/>
        </w:rPr>
        <w:t xml:space="preserve"> fees and charges. TEQSA’s cost recovery arrangements reflect the Australian Government Cost Recovery Policy, which requires that fees and charges be aligned to the</w:t>
      </w:r>
      <w:r w:rsidR="00A15A36">
        <w:rPr>
          <w:rFonts w:ascii="Times New Roman" w:hAnsi="Times New Roman" w:cs="Times New Roman"/>
        </w:rPr>
        <w:t xml:space="preserve"> actual</w:t>
      </w:r>
      <w:r w:rsidR="002038DD" w:rsidRPr="00104BCA">
        <w:rPr>
          <w:rFonts w:ascii="Times New Roman" w:hAnsi="Times New Roman" w:cs="Times New Roman"/>
        </w:rPr>
        <w:t xml:space="preserve"> cost of performing regulatory activities. </w:t>
      </w:r>
      <w:r w:rsidR="00CE6490">
        <w:rPr>
          <w:rFonts w:ascii="Times New Roman" w:hAnsi="Times New Roman" w:cs="Times New Roman"/>
        </w:rPr>
        <w:t xml:space="preserve">In line with the policy, </w:t>
      </w:r>
      <w:r w:rsidR="00D44FAF">
        <w:rPr>
          <w:rFonts w:ascii="Times New Roman" w:hAnsi="Times New Roman" w:cs="Times New Roman"/>
        </w:rPr>
        <w:t>the Amending Regulations reduce</w:t>
      </w:r>
      <w:r w:rsidR="00CE6490">
        <w:rPr>
          <w:rFonts w:ascii="Times New Roman" w:hAnsi="Times New Roman" w:cs="Times New Roman"/>
        </w:rPr>
        <w:t xml:space="preserve"> the amount charged </w:t>
      </w:r>
      <w:r w:rsidR="002038DD" w:rsidRPr="00104BCA">
        <w:rPr>
          <w:rFonts w:ascii="Times New Roman" w:hAnsi="Times New Roman" w:cs="Times New Roman"/>
        </w:rPr>
        <w:t xml:space="preserve">for the monitoring of conditions imposed on the registration </w:t>
      </w:r>
      <w:r w:rsidR="006D6D99">
        <w:rPr>
          <w:rFonts w:ascii="Times New Roman" w:hAnsi="Times New Roman" w:cs="Times New Roman"/>
        </w:rPr>
        <w:t xml:space="preserve">because </w:t>
      </w:r>
      <w:r w:rsidR="00CE6490" w:rsidRPr="00104BCA">
        <w:rPr>
          <w:rFonts w:ascii="Times New Roman" w:hAnsi="Times New Roman" w:cs="Times New Roman"/>
        </w:rPr>
        <w:t xml:space="preserve">TEQSA has </w:t>
      </w:r>
      <w:r w:rsidR="00C63363">
        <w:rPr>
          <w:rFonts w:ascii="Times New Roman" w:hAnsi="Times New Roman" w:cs="Times New Roman"/>
        </w:rPr>
        <w:t xml:space="preserve">identified </w:t>
      </w:r>
      <w:r w:rsidR="00091F8C">
        <w:rPr>
          <w:rFonts w:ascii="Times New Roman" w:hAnsi="Times New Roman" w:cs="Times New Roman"/>
        </w:rPr>
        <w:t xml:space="preserve">opportunities for greater efficiency in performing these </w:t>
      </w:r>
      <w:r w:rsidR="00B075DC">
        <w:rPr>
          <w:rFonts w:ascii="Times New Roman" w:hAnsi="Times New Roman" w:cs="Times New Roman"/>
        </w:rPr>
        <w:t xml:space="preserve">regulatory </w:t>
      </w:r>
      <w:r w:rsidR="00CE6490" w:rsidRPr="00104BCA">
        <w:rPr>
          <w:rFonts w:ascii="Times New Roman" w:hAnsi="Times New Roman" w:cs="Times New Roman"/>
        </w:rPr>
        <w:t>activities</w:t>
      </w:r>
      <w:r w:rsidR="00CE6490">
        <w:rPr>
          <w:rFonts w:ascii="Times New Roman" w:hAnsi="Times New Roman" w:cs="Times New Roman"/>
        </w:rPr>
        <w:t xml:space="preserve"> and</w:t>
      </w:r>
      <w:r w:rsidR="00455EF7">
        <w:rPr>
          <w:rFonts w:ascii="Times New Roman" w:hAnsi="Times New Roman" w:cs="Times New Roman"/>
        </w:rPr>
        <w:t xml:space="preserve"> the cost of performing the activities has </w:t>
      </w:r>
      <w:r w:rsidR="00A7719D">
        <w:rPr>
          <w:rFonts w:ascii="Times New Roman" w:hAnsi="Times New Roman" w:cs="Times New Roman"/>
        </w:rPr>
        <w:t xml:space="preserve">been </w:t>
      </w:r>
      <w:r w:rsidR="00455EF7">
        <w:rPr>
          <w:rFonts w:ascii="Times New Roman" w:hAnsi="Times New Roman" w:cs="Times New Roman"/>
        </w:rPr>
        <w:t xml:space="preserve">reduced. </w:t>
      </w:r>
      <w:r w:rsidR="00CE6490">
        <w:rPr>
          <w:rFonts w:ascii="Times New Roman" w:hAnsi="Times New Roman" w:cs="Times New Roman"/>
        </w:rPr>
        <w:t xml:space="preserve"> </w:t>
      </w:r>
      <w:r w:rsidR="00B15DC0" w:rsidRPr="00BD7E07">
        <w:rPr>
          <w:rFonts w:ascii="Times New Roman" w:hAnsi="Times New Roman" w:cs="Times New Roman"/>
        </w:rPr>
        <w:br w:type="page"/>
      </w:r>
    </w:p>
    <w:p w14:paraId="7C632EC8" w14:textId="77777777" w:rsidR="00676B57" w:rsidRPr="00BD7E07" w:rsidRDefault="00676B57" w:rsidP="00676B57">
      <w:pPr>
        <w:pStyle w:val="Heading2"/>
        <w:spacing w:before="0"/>
        <w:jc w:val="center"/>
        <w:rPr>
          <w:rFonts w:cs="Times New Roman"/>
          <w:color w:val="auto"/>
          <w:sz w:val="22"/>
          <w:szCs w:val="22"/>
        </w:rPr>
      </w:pPr>
      <w:r w:rsidRPr="00BD7E07">
        <w:rPr>
          <w:rFonts w:cs="Times New Roman"/>
          <w:color w:val="auto"/>
          <w:sz w:val="22"/>
          <w:szCs w:val="22"/>
        </w:rPr>
        <w:lastRenderedPageBreak/>
        <w:t>STATEMENT OF COMPATIBILITY WITH HUMAN RIGHTS</w:t>
      </w:r>
    </w:p>
    <w:p w14:paraId="0406AE7D" w14:textId="77777777" w:rsidR="00676B57" w:rsidRPr="00BD7E07" w:rsidRDefault="00676B57" w:rsidP="00676B57">
      <w:pPr>
        <w:spacing w:after="0"/>
        <w:jc w:val="center"/>
        <w:rPr>
          <w:rFonts w:ascii="Times New Roman" w:hAnsi="Times New Roman" w:cs="Times New Roman"/>
          <w:i/>
        </w:rPr>
      </w:pPr>
    </w:p>
    <w:p w14:paraId="08F5F1E6" w14:textId="4601EA90" w:rsidR="00676B57" w:rsidRPr="00BD7E07" w:rsidRDefault="00676B57" w:rsidP="00C4691A">
      <w:pPr>
        <w:spacing w:after="0"/>
        <w:jc w:val="center"/>
        <w:rPr>
          <w:rFonts w:ascii="Times New Roman" w:hAnsi="Times New Roman" w:cs="Times New Roman"/>
        </w:rPr>
      </w:pPr>
      <w:r w:rsidRPr="00C15347">
        <w:rPr>
          <w:rFonts w:ascii="Times New Roman" w:hAnsi="Times New Roman" w:cs="Times New Roman"/>
          <w:iCs/>
        </w:rPr>
        <w:t xml:space="preserve">Prepared in accordance with Part 3 of the </w:t>
      </w:r>
      <w:r w:rsidRPr="00A819A2">
        <w:rPr>
          <w:rFonts w:ascii="Times New Roman" w:hAnsi="Times New Roman" w:cs="Times New Roman"/>
          <w:i/>
        </w:rPr>
        <w:t>Human Rights (Parliamentary Scrutiny) Act 2011</w:t>
      </w:r>
    </w:p>
    <w:p w14:paraId="5E4DC8AA" w14:textId="7301599E" w:rsidR="00676B57" w:rsidRPr="00BD7E07" w:rsidRDefault="00676B57" w:rsidP="00676B57">
      <w:pPr>
        <w:spacing w:after="0"/>
        <w:jc w:val="center"/>
        <w:rPr>
          <w:rFonts w:ascii="Times New Roman" w:hAnsi="Times New Roman" w:cs="Times New Roman"/>
        </w:rPr>
      </w:pPr>
      <w:r w:rsidRPr="00BD7E07">
        <w:rPr>
          <w:rFonts w:ascii="Times New Roman" w:hAnsi="Times New Roman" w:cs="Times New Roman"/>
          <w:u w:val="single"/>
        </w:rPr>
        <w:t xml:space="preserve">Tertiary Education Quality and Standards Agency (Charges) </w:t>
      </w:r>
      <w:r w:rsidR="00DB5244">
        <w:rPr>
          <w:rFonts w:ascii="Times New Roman" w:hAnsi="Times New Roman" w:cs="Times New Roman"/>
          <w:u w:val="single"/>
        </w:rPr>
        <w:t xml:space="preserve">Amendment </w:t>
      </w:r>
      <w:r w:rsidRPr="00BD7E07">
        <w:rPr>
          <w:rFonts w:ascii="Times New Roman" w:hAnsi="Times New Roman" w:cs="Times New Roman"/>
          <w:u w:val="single"/>
        </w:rPr>
        <w:t>Regulations 202</w:t>
      </w:r>
      <w:r w:rsidR="006449D8">
        <w:rPr>
          <w:rFonts w:ascii="Times New Roman" w:hAnsi="Times New Roman" w:cs="Times New Roman"/>
          <w:u w:val="single"/>
        </w:rPr>
        <w:t>3</w:t>
      </w:r>
    </w:p>
    <w:p w14:paraId="6917FFDE" w14:textId="77777777" w:rsidR="00676B57" w:rsidRPr="00BD7E07" w:rsidRDefault="00676B57" w:rsidP="00676B57">
      <w:pPr>
        <w:spacing w:after="0"/>
        <w:rPr>
          <w:rFonts w:ascii="Times New Roman" w:hAnsi="Times New Roman" w:cs="Times New Roman"/>
        </w:rPr>
      </w:pPr>
    </w:p>
    <w:p w14:paraId="58BFC6E2" w14:textId="17BE042A" w:rsidR="00676B57" w:rsidRPr="00BD7E07" w:rsidRDefault="00676B57" w:rsidP="00676B57">
      <w:pPr>
        <w:spacing w:after="0"/>
        <w:rPr>
          <w:rFonts w:ascii="Times New Roman" w:hAnsi="Times New Roman" w:cs="Times New Roman"/>
        </w:rPr>
      </w:pPr>
      <w:r w:rsidRPr="00BD7E07">
        <w:rPr>
          <w:rFonts w:ascii="Times New Roman" w:hAnsi="Times New Roman" w:cs="Times New Roman"/>
        </w:rPr>
        <w:t xml:space="preserve">The </w:t>
      </w:r>
      <w:r w:rsidRPr="00C15347">
        <w:rPr>
          <w:rFonts w:ascii="Times New Roman" w:hAnsi="Times New Roman" w:cs="Times New Roman"/>
          <w:i/>
          <w:iCs/>
        </w:rPr>
        <w:t xml:space="preserve">Tertiary Education Quality and Standards Agency (Charges) </w:t>
      </w:r>
      <w:r w:rsidR="00DB5244" w:rsidRPr="00C15347">
        <w:rPr>
          <w:rFonts w:ascii="Times New Roman" w:hAnsi="Times New Roman" w:cs="Times New Roman"/>
          <w:i/>
          <w:iCs/>
        </w:rPr>
        <w:t xml:space="preserve">Amendment </w:t>
      </w:r>
      <w:r w:rsidRPr="00C15347">
        <w:rPr>
          <w:rFonts w:ascii="Times New Roman" w:hAnsi="Times New Roman" w:cs="Times New Roman"/>
          <w:i/>
          <w:iCs/>
        </w:rPr>
        <w:t>Regulations</w:t>
      </w:r>
      <w:r w:rsidR="006449D8" w:rsidRPr="00C15347">
        <w:rPr>
          <w:rFonts w:ascii="Times New Roman" w:hAnsi="Times New Roman" w:cs="Times New Roman"/>
          <w:i/>
          <w:iCs/>
        </w:rPr>
        <w:t xml:space="preserve"> </w:t>
      </w:r>
      <w:r w:rsidRPr="00C15347">
        <w:rPr>
          <w:rFonts w:ascii="Times New Roman" w:hAnsi="Times New Roman" w:cs="Times New Roman"/>
          <w:i/>
          <w:iCs/>
        </w:rPr>
        <w:t>202</w:t>
      </w:r>
      <w:r w:rsidR="006449D8" w:rsidRPr="00C15347">
        <w:rPr>
          <w:rFonts w:ascii="Times New Roman" w:hAnsi="Times New Roman" w:cs="Times New Roman"/>
          <w:i/>
          <w:iCs/>
        </w:rPr>
        <w:t>3</w:t>
      </w:r>
      <w:r w:rsidRPr="00BD7E07">
        <w:rPr>
          <w:rFonts w:ascii="Times New Roman" w:hAnsi="Times New Roman" w:cs="Times New Roman"/>
        </w:rPr>
        <w:t xml:space="preserve"> (the </w:t>
      </w:r>
      <w:r w:rsidR="00085057">
        <w:rPr>
          <w:rFonts w:ascii="Times New Roman" w:hAnsi="Times New Roman" w:cs="Times New Roman"/>
        </w:rPr>
        <w:t xml:space="preserve">Amending </w:t>
      </w:r>
      <w:r w:rsidRPr="00BD7E07">
        <w:rPr>
          <w:rFonts w:ascii="Times New Roman" w:hAnsi="Times New Roman" w:cs="Times New Roman"/>
        </w:rPr>
        <w:t xml:space="preserve">Regulations) are compatible with the human rights and freedoms recognised or declared in the international instruments listed in section 3 of the </w:t>
      </w:r>
      <w:r w:rsidRPr="00BD7E07">
        <w:rPr>
          <w:rFonts w:ascii="Times New Roman" w:hAnsi="Times New Roman" w:cs="Times New Roman"/>
          <w:i/>
        </w:rPr>
        <w:t>Human Rights (Parliamentary Scrutiny) Act 2011</w:t>
      </w:r>
      <w:r w:rsidRPr="00BD7E07">
        <w:rPr>
          <w:rFonts w:ascii="Times New Roman" w:hAnsi="Times New Roman" w:cs="Times New Roman"/>
        </w:rPr>
        <w:t>.</w:t>
      </w:r>
    </w:p>
    <w:p w14:paraId="50131EB6" w14:textId="77777777" w:rsidR="00AD79F3" w:rsidRDefault="00AD79F3" w:rsidP="00676B57">
      <w:pPr>
        <w:spacing w:after="0"/>
        <w:rPr>
          <w:rFonts w:ascii="Times New Roman" w:hAnsi="Times New Roman" w:cs="Times New Roman"/>
          <w:b/>
        </w:rPr>
      </w:pPr>
    </w:p>
    <w:p w14:paraId="674D8925" w14:textId="0CC6FA0C" w:rsidR="00676B57" w:rsidRPr="00BD7E07" w:rsidRDefault="00676B57" w:rsidP="00676B57">
      <w:pPr>
        <w:spacing w:after="0"/>
        <w:rPr>
          <w:rFonts w:ascii="Times New Roman" w:hAnsi="Times New Roman" w:cs="Times New Roman"/>
        </w:rPr>
      </w:pPr>
      <w:r w:rsidRPr="00BD7E07">
        <w:rPr>
          <w:rFonts w:ascii="Times New Roman" w:hAnsi="Times New Roman" w:cs="Times New Roman"/>
          <w:b/>
        </w:rPr>
        <w:t xml:space="preserve">Overview </w:t>
      </w:r>
    </w:p>
    <w:p w14:paraId="249339A5" w14:textId="58C0D1C3" w:rsidR="00676B57" w:rsidRPr="00BD7E07" w:rsidRDefault="00676B57" w:rsidP="00C15347">
      <w:pPr>
        <w:spacing w:before="120" w:after="0"/>
        <w:rPr>
          <w:rFonts w:ascii="Times New Roman" w:hAnsi="Times New Roman" w:cs="Times New Roman"/>
        </w:rPr>
      </w:pPr>
      <w:r w:rsidRPr="00BD7E07">
        <w:rPr>
          <w:rFonts w:ascii="Times New Roman" w:hAnsi="Times New Roman" w:cs="Times New Roman"/>
        </w:rPr>
        <w:t xml:space="preserve">Section 6 of the </w:t>
      </w:r>
      <w:r w:rsidRPr="00BD7E07">
        <w:rPr>
          <w:rFonts w:ascii="Times New Roman" w:hAnsi="Times New Roman" w:cs="Times New Roman"/>
          <w:i/>
          <w:iCs/>
        </w:rPr>
        <w:t>Tertiary Education Quality and Standards Agency (Charges) Act 2021</w:t>
      </w:r>
      <w:r w:rsidRPr="00BD7E07">
        <w:rPr>
          <w:rFonts w:ascii="Times New Roman" w:hAnsi="Times New Roman" w:cs="Times New Roman"/>
        </w:rPr>
        <w:t xml:space="preserve"> (the Act) imposes a ‘registered higher education charge’ </w:t>
      </w:r>
      <w:r w:rsidR="00966E9E">
        <w:rPr>
          <w:rFonts w:ascii="Times New Roman" w:hAnsi="Times New Roman" w:cs="Times New Roman"/>
          <w:iCs/>
        </w:rPr>
        <w:t xml:space="preserve">(RHEP charge) </w:t>
      </w:r>
      <w:r w:rsidRPr="00BD7E07">
        <w:rPr>
          <w:rFonts w:ascii="Times New Roman" w:hAnsi="Times New Roman" w:cs="Times New Roman"/>
        </w:rPr>
        <w:t>on all higher education providers registered under Part</w:t>
      </w:r>
      <w:r>
        <w:rPr>
          <w:rFonts w:ascii="Times New Roman" w:hAnsi="Times New Roman" w:cs="Times New Roman"/>
        </w:rPr>
        <w:t> </w:t>
      </w:r>
      <w:r w:rsidRPr="00BD7E07">
        <w:rPr>
          <w:rFonts w:ascii="Times New Roman" w:hAnsi="Times New Roman" w:cs="Times New Roman"/>
        </w:rPr>
        <w:t xml:space="preserve">3 of the </w:t>
      </w:r>
      <w:r w:rsidRPr="00BD7E07">
        <w:rPr>
          <w:rFonts w:ascii="Times New Roman" w:hAnsi="Times New Roman" w:cs="Times New Roman"/>
          <w:i/>
          <w:iCs/>
        </w:rPr>
        <w:t>Tertiary Education Quality and Standards Act 2011</w:t>
      </w:r>
      <w:r w:rsidRPr="00BD7E07">
        <w:rPr>
          <w:rFonts w:ascii="Times New Roman" w:hAnsi="Times New Roman" w:cs="Times New Roman"/>
        </w:rPr>
        <w:t xml:space="preserve"> and listed on the National Register of Higher Education providers. Section 7 of the Act provides that regulations, made under section 9 of the Act, will </w:t>
      </w:r>
      <w:r w:rsidRPr="00BD7E07">
        <w:rPr>
          <w:rFonts w:ascii="Times New Roman" w:hAnsi="Times New Roman" w:cs="Times New Roman"/>
          <w:iCs/>
        </w:rPr>
        <w:t xml:space="preserve">specify the amount of the </w:t>
      </w:r>
      <w:r w:rsidR="00966E9E">
        <w:rPr>
          <w:rFonts w:ascii="Times New Roman" w:hAnsi="Times New Roman" w:cs="Times New Roman"/>
          <w:iCs/>
        </w:rPr>
        <w:t>RHEP</w:t>
      </w:r>
      <w:r w:rsidRPr="00BD7E07" w:rsidDel="00795AB4">
        <w:rPr>
          <w:rFonts w:ascii="Times New Roman" w:hAnsi="Times New Roman" w:cs="Times New Roman"/>
          <w:iCs/>
        </w:rPr>
        <w:t xml:space="preserve"> charge</w:t>
      </w:r>
      <w:r w:rsidR="00C25D72">
        <w:rPr>
          <w:rFonts w:ascii="Times New Roman" w:hAnsi="Times New Roman" w:cs="Times New Roman"/>
          <w:iCs/>
        </w:rPr>
        <w:t xml:space="preserve"> </w:t>
      </w:r>
      <w:r w:rsidRPr="00BD7E07">
        <w:rPr>
          <w:rFonts w:ascii="Times New Roman" w:hAnsi="Times New Roman" w:cs="Times New Roman"/>
          <w:iCs/>
        </w:rPr>
        <w:t xml:space="preserve">or the method for calculating the </w:t>
      </w:r>
      <w:r w:rsidR="00966E9E">
        <w:rPr>
          <w:rFonts w:ascii="Times New Roman" w:hAnsi="Times New Roman" w:cs="Times New Roman"/>
          <w:iCs/>
        </w:rPr>
        <w:t xml:space="preserve">RHEP </w:t>
      </w:r>
      <w:r w:rsidRPr="00BD7E07">
        <w:rPr>
          <w:rFonts w:ascii="Times New Roman" w:hAnsi="Times New Roman" w:cs="Times New Roman"/>
          <w:iCs/>
        </w:rPr>
        <w:t>charge</w:t>
      </w:r>
      <w:r w:rsidRPr="00BD7E07">
        <w:rPr>
          <w:rFonts w:ascii="Times New Roman" w:hAnsi="Times New Roman" w:cs="Times New Roman"/>
        </w:rPr>
        <w:t xml:space="preserve">. </w:t>
      </w:r>
      <w:r w:rsidR="003B473B">
        <w:rPr>
          <w:rFonts w:ascii="Times New Roman" w:hAnsi="Times New Roman" w:cs="Times New Roman"/>
        </w:rPr>
        <w:t xml:space="preserve">These matters are prescribed in the </w:t>
      </w:r>
      <w:r w:rsidR="003B473B" w:rsidRPr="00654BB4">
        <w:rPr>
          <w:rFonts w:ascii="Times New Roman" w:eastAsia="Times New Roman" w:hAnsi="Times New Roman" w:cs="Times New Roman"/>
          <w:i/>
          <w:iCs/>
          <w:lang w:eastAsia="en-AU"/>
        </w:rPr>
        <w:t>Tertiary Education Quality and Standards Agency (Charges) Regulations 2022</w:t>
      </w:r>
      <w:r w:rsidR="003B473B">
        <w:rPr>
          <w:rFonts w:ascii="Times New Roman" w:eastAsia="Times New Roman" w:hAnsi="Times New Roman" w:cs="Times New Roman"/>
          <w:lang w:eastAsia="en-AU"/>
        </w:rPr>
        <w:t xml:space="preserve"> (Charges Regulations).</w:t>
      </w:r>
    </w:p>
    <w:p w14:paraId="3F172351" w14:textId="77777777" w:rsidR="00676B57" w:rsidRPr="00BD7E07" w:rsidRDefault="00676B57" w:rsidP="00676B57">
      <w:pPr>
        <w:spacing w:after="0"/>
        <w:rPr>
          <w:rFonts w:ascii="Times New Roman" w:hAnsi="Times New Roman" w:cs="Times New Roman"/>
          <w:color w:val="000000"/>
          <w:shd w:val="clear" w:color="auto" w:fill="FFFFFF"/>
        </w:rPr>
      </w:pPr>
    </w:p>
    <w:p w14:paraId="2E494233" w14:textId="783C0EE3" w:rsidR="00676B57" w:rsidRPr="00BD7E07" w:rsidRDefault="00676B57" w:rsidP="0014643C">
      <w:r w:rsidRPr="00BD7E07">
        <w:rPr>
          <w:rFonts w:ascii="Times New Roman" w:hAnsi="Times New Roman" w:cs="Times New Roman"/>
          <w:iCs/>
        </w:rPr>
        <w:t xml:space="preserve">The </w:t>
      </w:r>
      <w:r w:rsidR="00721810">
        <w:rPr>
          <w:rFonts w:ascii="Times New Roman" w:hAnsi="Times New Roman" w:cs="Times New Roman"/>
          <w:iCs/>
        </w:rPr>
        <w:t xml:space="preserve">Amending </w:t>
      </w:r>
      <w:r w:rsidRPr="00BD7E07">
        <w:rPr>
          <w:rFonts w:ascii="Times New Roman" w:hAnsi="Times New Roman" w:cs="Times New Roman"/>
          <w:iCs/>
        </w:rPr>
        <w:t>Regulations</w:t>
      </w:r>
      <w:r w:rsidR="00C206B7">
        <w:rPr>
          <w:rFonts w:ascii="Times New Roman" w:hAnsi="Times New Roman" w:cs="Times New Roman"/>
          <w:iCs/>
        </w:rPr>
        <w:t xml:space="preserve"> amend the Charges Regulations</w:t>
      </w:r>
      <w:r w:rsidR="00034559">
        <w:rPr>
          <w:rFonts w:ascii="Times New Roman" w:hAnsi="Times New Roman" w:cs="Times New Roman"/>
          <w:iCs/>
        </w:rPr>
        <w:t xml:space="preserve"> to</w:t>
      </w:r>
      <w:r w:rsidR="00E96812">
        <w:rPr>
          <w:rFonts w:ascii="Times New Roman" w:hAnsi="Times New Roman" w:cs="Times New Roman"/>
          <w:iCs/>
        </w:rPr>
        <w:t xml:space="preserve"> </w:t>
      </w:r>
      <w:r w:rsidR="00BC2EA5">
        <w:rPr>
          <w:rFonts w:ascii="Times New Roman" w:eastAsia="Times New Roman" w:hAnsi="Times New Roman" w:cs="Times New Roman"/>
          <w:lang w:eastAsia="en-AU"/>
        </w:rPr>
        <w:t xml:space="preserve">update the </w:t>
      </w:r>
      <w:r w:rsidR="00BC2EA5" w:rsidRPr="0014643C">
        <w:rPr>
          <w:rFonts w:ascii="Times New Roman" w:eastAsia="Times New Roman" w:hAnsi="Times New Roman" w:cs="Times New Roman"/>
          <w:lang w:eastAsia="en-AU"/>
        </w:rPr>
        <w:t>amount</w:t>
      </w:r>
      <w:r w:rsidR="00F45679" w:rsidRPr="0014643C">
        <w:rPr>
          <w:rFonts w:ascii="Times New Roman" w:eastAsia="Times New Roman" w:hAnsi="Times New Roman" w:cs="Times New Roman"/>
          <w:lang w:eastAsia="en-AU"/>
        </w:rPr>
        <w:t>s used in the calculation of the base component</w:t>
      </w:r>
      <w:r w:rsidR="00BC2EA5" w:rsidRPr="0014643C">
        <w:rPr>
          <w:rFonts w:ascii="Times New Roman" w:eastAsia="Times New Roman" w:hAnsi="Times New Roman" w:cs="Times New Roman"/>
          <w:lang w:eastAsia="en-AU"/>
        </w:rPr>
        <w:t xml:space="preserve"> of the </w:t>
      </w:r>
      <w:r w:rsidR="00795AB4" w:rsidRPr="0014643C">
        <w:rPr>
          <w:rFonts w:ascii="Times New Roman" w:eastAsia="Times New Roman" w:hAnsi="Times New Roman" w:cs="Times New Roman"/>
          <w:lang w:eastAsia="en-AU"/>
        </w:rPr>
        <w:t>RHEP</w:t>
      </w:r>
      <w:r w:rsidR="00795AB4">
        <w:rPr>
          <w:rFonts w:ascii="Times New Roman" w:eastAsia="Times New Roman" w:hAnsi="Times New Roman" w:cs="Times New Roman"/>
          <w:lang w:eastAsia="en-AU"/>
        </w:rPr>
        <w:t xml:space="preserve"> charge</w:t>
      </w:r>
      <w:r w:rsidR="00BC2EA5">
        <w:rPr>
          <w:rFonts w:ascii="Times New Roman" w:eastAsia="Times New Roman" w:hAnsi="Times New Roman" w:cs="Times New Roman"/>
          <w:lang w:eastAsia="en-AU"/>
        </w:rPr>
        <w:t xml:space="preserve">, </w:t>
      </w:r>
      <w:r w:rsidR="00F45679" w:rsidRPr="0014643C">
        <w:rPr>
          <w:rFonts w:ascii="Times New Roman" w:eastAsia="Times New Roman" w:hAnsi="Times New Roman" w:cs="Times New Roman"/>
          <w:lang w:eastAsia="en-AU"/>
        </w:rPr>
        <w:t xml:space="preserve">reduce the amount providers will have to pay in relation to </w:t>
      </w:r>
      <w:r w:rsidR="00E04394" w:rsidRPr="0014643C">
        <w:rPr>
          <w:rFonts w:ascii="Times New Roman" w:eastAsia="Times New Roman" w:hAnsi="Times New Roman" w:cs="Times New Roman"/>
          <w:lang w:eastAsia="en-AU"/>
        </w:rPr>
        <w:t xml:space="preserve">monitoring of compliance with conditions of registration </w:t>
      </w:r>
      <w:r w:rsidR="00BC2EA5">
        <w:rPr>
          <w:rFonts w:ascii="Times New Roman" w:eastAsia="Times New Roman" w:hAnsi="Times New Roman" w:cs="Times New Roman"/>
          <w:lang w:eastAsia="en-AU"/>
        </w:rPr>
        <w:t>and</w:t>
      </w:r>
      <w:r w:rsidR="00E96812">
        <w:rPr>
          <w:rFonts w:ascii="Times New Roman" w:eastAsia="Times New Roman" w:hAnsi="Times New Roman" w:cs="Times New Roman"/>
          <w:lang w:eastAsia="en-AU"/>
        </w:rPr>
        <w:t>,</w:t>
      </w:r>
      <w:r w:rsidR="00E04394" w:rsidRPr="0014643C">
        <w:rPr>
          <w:rFonts w:ascii="Times New Roman" w:eastAsia="Times New Roman" w:hAnsi="Times New Roman" w:cs="Times New Roman"/>
          <w:lang w:eastAsia="en-AU"/>
        </w:rPr>
        <w:t xml:space="preserve"> clarify that the charge for compliance assessments applies in relation to </w:t>
      </w:r>
      <w:r w:rsidR="00C158C7">
        <w:rPr>
          <w:rFonts w:ascii="Times New Roman" w:eastAsia="Times New Roman" w:hAnsi="Times New Roman" w:cs="Times New Roman"/>
          <w:lang w:eastAsia="en-AU"/>
        </w:rPr>
        <w:t>compliance audits</w:t>
      </w:r>
      <w:r w:rsidR="00EA0AF7" w:rsidRPr="0014643C">
        <w:rPr>
          <w:rFonts w:ascii="Times New Roman" w:eastAsia="Times New Roman" w:hAnsi="Times New Roman" w:cs="Times New Roman"/>
          <w:lang w:eastAsia="en-AU"/>
        </w:rPr>
        <w:t>,</w:t>
      </w:r>
      <w:r w:rsidR="00C158C7">
        <w:rPr>
          <w:rFonts w:ascii="Times New Roman" w:eastAsia="Times New Roman" w:hAnsi="Times New Roman" w:cs="Times New Roman"/>
          <w:lang w:eastAsia="en-AU"/>
        </w:rPr>
        <w:t xml:space="preserve"> undertaken by the </w:t>
      </w:r>
      <w:r w:rsidR="00C158C7" w:rsidRPr="00BD7E07">
        <w:rPr>
          <w:rFonts w:ascii="Times New Roman" w:eastAsia="Times New Roman" w:hAnsi="Times New Roman" w:cs="Times New Roman"/>
          <w:lang w:eastAsia="en-AU"/>
        </w:rPr>
        <w:t>Tertiary Education Quality and Standards Agency</w:t>
      </w:r>
      <w:r w:rsidR="00C158C7">
        <w:rPr>
          <w:rFonts w:ascii="Times New Roman" w:eastAsia="Times New Roman" w:hAnsi="Times New Roman" w:cs="Times New Roman"/>
          <w:lang w:eastAsia="en-AU"/>
        </w:rPr>
        <w:t xml:space="preserve"> (TEQSA</w:t>
      </w:r>
      <w:r w:rsidR="00C158C7" w:rsidRPr="0014643C">
        <w:rPr>
          <w:rFonts w:ascii="Times New Roman" w:eastAsia="Times New Roman" w:hAnsi="Times New Roman" w:cs="Times New Roman"/>
          <w:lang w:eastAsia="en-AU"/>
        </w:rPr>
        <w:t>)</w:t>
      </w:r>
      <w:r w:rsidR="00C158C7" w:rsidRPr="00BC2EA5">
        <w:rPr>
          <w:rFonts w:ascii="Times New Roman" w:eastAsia="Times New Roman" w:hAnsi="Times New Roman" w:cs="Times New Roman"/>
          <w:lang w:eastAsia="en-AU"/>
        </w:rPr>
        <w:t xml:space="preserve"> </w:t>
      </w:r>
      <w:r w:rsidR="00C158C7">
        <w:rPr>
          <w:rFonts w:ascii="Times New Roman" w:eastAsia="Times New Roman" w:hAnsi="Times New Roman" w:cs="Times New Roman"/>
          <w:lang w:eastAsia="en-AU"/>
        </w:rPr>
        <w:t xml:space="preserve">under the </w:t>
      </w:r>
      <w:r w:rsidR="00C158C7" w:rsidRPr="00E13F5E">
        <w:rPr>
          <w:rFonts w:ascii="Times New Roman" w:hAnsi="Times New Roman" w:cs="Times New Roman"/>
          <w:i/>
          <w:iCs/>
        </w:rPr>
        <w:t>Education Services for Overseas Students Act 2000</w:t>
      </w:r>
      <w:r w:rsidR="00C158C7">
        <w:rPr>
          <w:rFonts w:ascii="Times New Roman" w:hAnsi="Times New Roman" w:cs="Times New Roman"/>
        </w:rPr>
        <w:t xml:space="preserve"> (ESOS Act</w:t>
      </w:r>
      <w:r w:rsidR="00C158C7" w:rsidRPr="0014643C">
        <w:rPr>
          <w:rFonts w:ascii="Times New Roman" w:hAnsi="Times New Roman" w:cs="Times New Roman"/>
        </w:rPr>
        <w:t>)</w:t>
      </w:r>
      <w:r w:rsidR="00C158C7" w:rsidRPr="0014643C">
        <w:rPr>
          <w:rFonts w:ascii="Times New Roman" w:eastAsia="Times New Roman" w:hAnsi="Times New Roman" w:cs="Times New Roman"/>
          <w:lang w:eastAsia="en-AU"/>
        </w:rPr>
        <w:t xml:space="preserve">. </w:t>
      </w:r>
    </w:p>
    <w:p w14:paraId="0EE8A6C1" w14:textId="48734F5D" w:rsidR="00676B57" w:rsidRDefault="00676B57" w:rsidP="00676B57">
      <w:pPr>
        <w:spacing w:after="0"/>
        <w:rPr>
          <w:rFonts w:ascii="Times New Roman" w:hAnsi="Times New Roman" w:cs="Times New Roman"/>
          <w:u w:val="single"/>
        </w:rPr>
      </w:pPr>
      <w:r w:rsidRPr="00BD7E07">
        <w:rPr>
          <w:rFonts w:ascii="Times New Roman" w:hAnsi="Times New Roman" w:cs="Times New Roman"/>
          <w:b/>
        </w:rPr>
        <w:t>Human rights implications</w:t>
      </w:r>
    </w:p>
    <w:p w14:paraId="7995BA32" w14:textId="37785664" w:rsidR="00676B57" w:rsidRDefault="00676B57" w:rsidP="00C335A8">
      <w:pPr>
        <w:spacing w:before="120" w:after="0"/>
        <w:rPr>
          <w:rFonts w:ascii="Times New Roman" w:hAnsi="Times New Roman" w:cs="Times New Roman"/>
        </w:rPr>
      </w:pPr>
      <w:r w:rsidRPr="008C0C15">
        <w:rPr>
          <w:rFonts w:ascii="Times New Roman" w:hAnsi="Times New Roman" w:cs="Times New Roman"/>
          <w:i/>
          <w:iCs/>
          <w:sz w:val="24"/>
          <w:szCs w:val="24"/>
        </w:rPr>
        <w:t>Right to education</w:t>
      </w:r>
    </w:p>
    <w:p w14:paraId="001500C9" w14:textId="1CE21401" w:rsidR="00676B57" w:rsidRPr="00BD7E07" w:rsidRDefault="00676B57" w:rsidP="00C335A8">
      <w:pPr>
        <w:spacing w:before="120" w:after="0"/>
        <w:rPr>
          <w:rFonts w:ascii="Times New Roman" w:hAnsi="Times New Roman" w:cs="Times New Roman"/>
        </w:rPr>
      </w:pPr>
      <w:r w:rsidRPr="00BD7E07">
        <w:rPr>
          <w:rFonts w:ascii="Times New Roman" w:hAnsi="Times New Roman" w:cs="Times New Roman"/>
        </w:rPr>
        <w:t xml:space="preserve">The </w:t>
      </w:r>
      <w:r w:rsidR="00731026">
        <w:rPr>
          <w:rFonts w:ascii="Times New Roman" w:hAnsi="Times New Roman" w:cs="Times New Roman"/>
        </w:rPr>
        <w:t xml:space="preserve">Amending </w:t>
      </w:r>
      <w:r w:rsidRPr="00BD7E07">
        <w:rPr>
          <w:rFonts w:ascii="Times New Roman" w:hAnsi="Times New Roman" w:cs="Times New Roman"/>
        </w:rPr>
        <w:t>Regulation</w:t>
      </w:r>
      <w:r>
        <w:rPr>
          <w:rFonts w:ascii="Times New Roman" w:hAnsi="Times New Roman" w:cs="Times New Roman"/>
        </w:rPr>
        <w:t>s</w:t>
      </w:r>
      <w:r w:rsidRPr="00BD7E07">
        <w:rPr>
          <w:rFonts w:ascii="Times New Roman" w:hAnsi="Times New Roman" w:cs="Times New Roman"/>
        </w:rPr>
        <w:t xml:space="preserve"> engage the right to education which is set out in Article 13 of the</w:t>
      </w:r>
      <w:r>
        <w:rPr>
          <w:rFonts w:ascii="Times New Roman" w:hAnsi="Times New Roman" w:cs="Times New Roman"/>
        </w:rPr>
        <w:t xml:space="preserve"> </w:t>
      </w:r>
      <w:r w:rsidRPr="005D7E05">
        <w:rPr>
          <w:rFonts w:ascii="Times New Roman" w:hAnsi="Times New Roman" w:cs="Times New Roman"/>
          <w:i/>
        </w:rPr>
        <w:t>International Covenant on Economic, Social and Cultural Rights</w:t>
      </w:r>
      <w:r w:rsidR="002A5ABF">
        <w:rPr>
          <w:rFonts w:ascii="Times New Roman" w:hAnsi="Times New Roman" w:cs="Times New Roman"/>
        </w:rPr>
        <w:t>.</w:t>
      </w:r>
      <w:r>
        <w:rPr>
          <w:rFonts w:ascii="Times New Roman" w:hAnsi="Times New Roman" w:cs="Times New Roman"/>
        </w:rPr>
        <w:t xml:space="preserve"> </w:t>
      </w:r>
      <w:r w:rsidRPr="00BD7E07">
        <w:rPr>
          <w:rFonts w:ascii="Times New Roman" w:hAnsi="Times New Roman" w:cs="Times New Roman"/>
        </w:rPr>
        <w:t xml:space="preserve">The right to education recognises the important personal, societal, </w:t>
      </w:r>
      <w:proofErr w:type="gramStart"/>
      <w:r w:rsidRPr="00BD7E07">
        <w:rPr>
          <w:rFonts w:ascii="Times New Roman" w:hAnsi="Times New Roman" w:cs="Times New Roman"/>
        </w:rPr>
        <w:t>economic</w:t>
      </w:r>
      <w:proofErr w:type="gramEnd"/>
      <w:r w:rsidRPr="00BD7E07">
        <w:rPr>
          <w:rFonts w:ascii="Times New Roman" w:hAnsi="Times New Roman" w:cs="Times New Roman"/>
        </w:rPr>
        <w:t xml:space="preserve"> and intellectual benefits of education, and provides that secondary education in its different forms, including higher education, shall be made generally available and accessible to all by every appropriate means. </w:t>
      </w:r>
    </w:p>
    <w:p w14:paraId="40CBD2CC" w14:textId="77777777" w:rsidR="00676B57" w:rsidRPr="00BD7E07" w:rsidRDefault="00676B57" w:rsidP="00676B57">
      <w:pPr>
        <w:spacing w:after="0"/>
        <w:rPr>
          <w:rFonts w:ascii="Times New Roman" w:hAnsi="Times New Roman" w:cs="Times New Roman"/>
        </w:rPr>
      </w:pPr>
    </w:p>
    <w:p w14:paraId="6662A34A" w14:textId="43EBAEED" w:rsidR="00676B57" w:rsidRPr="00BD7E07" w:rsidRDefault="00676B57" w:rsidP="00676B57">
      <w:pPr>
        <w:spacing w:after="0"/>
        <w:rPr>
          <w:rFonts w:ascii="Times New Roman" w:hAnsi="Times New Roman" w:cs="Times New Roman"/>
        </w:rPr>
      </w:pPr>
      <w:r w:rsidRPr="00BD7E07">
        <w:rPr>
          <w:rFonts w:ascii="Times New Roman" w:hAnsi="Times New Roman" w:cs="Times New Roman"/>
        </w:rPr>
        <w:t xml:space="preserve">The </w:t>
      </w:r>
      <w:r w:rsidR="00795AB4">
        <w:rPr>
          <w:rFonts w:ascii="Times New Roman" w:hAnsi="Times New Roman" w:cs="Times New Roman"/>
        </w:rPr>
        <w:t>RHEP charge</w:t>
      </w:r>
      <w:r w:rsidRPr="00BD7E07" w:rsidDel="00BB3B08">
        <w:rPr>
          <w:rFonts w:ascii="Times New Roman" w:hAnsi="Times New Roman" w:cs="Times New Roman"/>
        </w:rPr>
        <w:t xml:space="preserve"> </w:t>
      </w:r>
      <w:r w:rsidR="002962A2">
        <w:rPr>
          <w:rFonts w:ascii="Times New Roman" w:hAnsi="Times New Roman" w:cs="Times New Roman"/>
        </w:rPr>
        <w:t>recover</w:t>
      </w:r>
      <w:r w:rsidR="00BB3B08">
        <w:rPr>
          <w:rFonts w:ascii="Times New Roman" w:hAnsi="Times New Roman" w:cs="Times New Roman"/>
        </w:rPr>
        <w:t>s</w:t>
      </w:r>
      <w:r w:rsidR="002962A2">
        <w:rPr>
          <w:rFonts w:ascii="Times New Roman" w:hAnsi="Times New Roman" w:cs="Times New Roman"/>
        </w:rPr>
        <w:t xml:space="preserve"> the costs of</w:t>
      </w:r>
      <w:r w:rsidRPr="00BD7E07">
        <w:rPr>
          <w:rFonts w:ascii="Times New Roman" w:hAnsi="Times New Roman" w:cs="Times New Roman"/>
        </w:rPr>
        <w:t xml:space="preserve"> TEQSA’s monitoring and compliance functions and, in turn, </w:t>
      </w:r>
      <w:r>
        <w:rPr>
          <w:rFonts w:ascii="Times New Roman" w:hAnsi="Times New Roman" w:cs="Times New Roman"/>
        </w:rPr>
        <w:t>maintain</w:t>
      </w:r>
      <w:r w:rsidR="00BB3B08">
        <w:rPr>
          <w:rFonts w:ascii="Times New Roman" w:hAnsi="Times New Roman" w:cs="Times New Roman"/>
        </w:rPr>
        <w:t>s the</w:t>
      </w:r>
      <w:r>
        <w:rPr>
          <w:rFonts w:ascii="Times New Roman" w:hAnsi="Times New Roman" w:cs="Times New Roman"/>
        </w:rPr>
        <w:t xml:space="preserve"> </w:t>
      </w:r>
      <w:r w:rsidRPr="00BD7E07">
        <w:rPr>
          <w:rFonts w:ascii="Times New Roman" w:hAnsi="Times New Roman" w:cs="Times New Roman"/>
        </w:rPr>
        <w:t xml:space="preserve">high quality and reputation of Australia’s higher education system. </w:t>
      </w:r>
      <w:r w:rsidR="007C49EA">
        <w:rPr>
          <w:rFonts w:ascii="Times New Roman" w:hAnsi="Times New Roman" w:cs="Times New Roman"/>
        </w:rPr>
        <w:t xml:space="preserve">The Amending Regulations ensure that the amount of the charge </w:t>
      </w:r>
      <w:r w:rsidR="00B445D3">
        <w:rPr>
          <w:rFonts w:ascii="Times New Roman" w:hAnsi="Times New Roman" w:cs="Times New Roman"/>
        </w:rPr>
        <w:t xml:space="preserve">continues to accurately </w:t>
      </w:r>
      <w:r w:rsidR="007C49EA">
        <w:rPr>
          <w:rFonts w:ascii="Times New Roman" w:hAnsi="Times New Roman" w:cs="Times New Roman"/>
        </w:rPr>
        <w:t xml:space="preserve">reflect the current costs of TEQSA’s activities, and that </w:t>
      </w:r>
      <w:r w:rsidR="00B445D3">
        <w:rPr>
          <w:rFonts w:ascii="Times New Roman" w:hAnsi="Times New Roman" w:cs="Times New Roman"/>
        </w:rPr>
        <w:t xml:space="preserve">TEQSA </w:t>
      </w:r>
      <w:proofErr w:type="gramStart"/>
      <w:r w:rsidR="00B445D3">
        <w:rPr>
          <w:rFonts w:ascii="Times New Roman" w:hAnsi="Times New Roman" w:cs="Times New Roman"/>
        </w:rPr>
        <w:t>is able to</w:t>
      </w:r>
      <w:proofErr w:type="gramEnd"/>
      <w:r w:rsidR="00B445D3">
        <w:rPr>
          <w:rFonts w:ascii="Times New Roman" w:hAnsi="Times New Roman" w:cs="Times New Roman"/>
        </w:rPr>
        <w:t xml:space="preserve"> recover its costs for </w:t>
      </w:r>
      <w:r w:rsidR="000F3B26">
        <w:rPr>
          <w:rFonts w:ascii="Times New Roman" w:hAnsi="Times New Roman" w:cs="Times New Roman"/>
        </w:rPr>
        <w:t xml:space="preserve">compliance activity </w:t>
      </w:r>
      <w:r w:rsidR="00EB6806">
        <w:rPr>
          <w:rFonts w:ascii="Times New Roman" w:hAnsi="Times New Roman" w:cs="Times New Roman"/>
        </w:rPr>
        <w:t xml:space="preserve">undertaken </w:t>
      </w:r>
      <w:r w:rsidR="00B445D3">
        <w:rPr>
          <w:rFonts w:ascii="Times New Roman" w:hAnsi="Times New Roman" w:cs="Times New Roman"/>
        </w:rPr>
        <w:t xml:space="preserve">under the ESOS Act. </w:t>
      </w:r>
    </w:p>
    <w:p w14:paraId="711F4AC9" w14:textId="77777777" w:rsidR="00676B57" w:rsidRPr="00BD7E07" w:rsidRDefault="00676B57" w:rsidP="00676B57">
      <w:pPr>
        <w:spacing w:after="0"/>
        <w:rPr>
          <w:rFonts w:ascii="Times New Roman" w:hAnsi="Times New Roman" w:cs="Times New Roman"/>
        </w:rPr>
      </w:pPr>
    </w:p>
    <w:p w14:paraId="5884F95A" w14:textId="7B3382B8" w:rsidR="00676B57" w:rsidRPr="00BD7E07" w:rsidRDefault="00676B57" w:rsidP="00676B57">
      <w:pPr>
        <w:spacing w:after="0"/>
        <w:rPr>
          <w:rFonts w:ascii="Times New Roman" w:hAnsi="Times New Roman" w:cs="Times New Roman"/>
        </w:rPr>
      </w:pPr>
      <w:r w:rsidRPr="00BD7E07">
        <w:rPr>
          <w:rFonts w:ascii="Times New Roman" w:hAnsi="Times New Roman" w:cs="Times New Roman"/>
        </w:rPr>
        <w:t xml:space="preserve">Payment of the </w:t>
      </w:r>
      <w:r w:rsidR="00497660">
        <w:rPr>
          <w:rFonts w:ascii="Times New Roman" w:hAnsi="Times New Roman" w:cs="Times New Roman"/>
        </w:rPr>
        <w:t xml:space="preserve">RHEP </w:t>
      </w:r>
      <w:r w:rsidRPr="00BD7E07">
        <w:rPr>
          <w:rFonts w:ascii="Times New Roman" w:hAnsi="Times New Roman" w:cs="Times New Roman"/>
        </w:rPr>
        <w:t>charge by registered higher education providers contribute</w:t>
      </w:r>
      <w:r w:rsidR="00D87CFB">
        <w:rPr>
          <w:rFonts w:ascii="Times New Roman" w:hAnsi="Times New Roman" w:cs="Times New Roman"/>
        </w:rPr>
        <w:t>s</w:t>
      </w:r>
      <w:r w:rsidRPr="00BD7E07">
        <w:rPr>
          <w:rFonts w:ascii="Times New Roman" w:hAnsi="Times New Roman" w:cs="Times New Roman"/>
        </w:rPr>
        <w:t xml:space="preserve"> to the Australian Government’s consolidated revenue fund. The contributions to this fund ensure </w:t>
      </w:r>
      <w:r>
        <w:rPr>
          <w:rFonts w:ascii="Times New Roman" w:hAnsi="Times New Roman" w:cs="Times New Roman"/>
        </w:rPr>
        <w:t xml:space="preserve">that </w:t>
      </w:r>
      <w:r w:rsidRPr="00BD7E07">
        <w:rPr>
          <w:rFonts w:ascii="Times New Roman" w:hAnsi="Times New Roman" w:cs="Times New Roman"/>
        </w:rPr>
        <w:t>the Australian Government can fund TEQSA to carry out its regulatory and quality assurance roles in the higher education sector. While providers are</w:t>
      </w:r>
      <w:r w:rsidRPr="00BD7E07" w:rsidDel="00EB6806">
        <w:rPr>
          <w:rFonts w:ascii="Times New Roman" w:hAnsi="Times New Roman" w:cs="Times New Roman"/>
        </w:rPr>
        <w:t xml:space="preserve"> </w:t>
      </w:r>
      <w:r w:rsidRPr="00BD7E07">
        <w:rPr>
          <w:rFonts w:ascii="Times New Roman" w:hAnsi="Times New Roman" w:cs="Times New Roman"/>
        </w:rPr>
        <w:t xml:space="preserve">required to pay a fee in relation to certain </w:t>
      </w:r>
      <w:proofErr w:type="gramStart"/>
      <w:r w:rsidRPr="00BD7E07">
        <w:rPr>
          <w:rFonts w:ascii="Times New Roman" w:hAnsi="Times New Roman" w:cs="Times New Roman"/>
        </w:rPr>
        <w:t>applications</w:t>
      </w:r>
      <w:proofErr w:type="gramEnd"/>
      <w:r w:rsidRPr="00BD7E07">
        <w:rPr>
          <w:rFonts w:ascii="Times New Roman" w:hAnsi="Times New Roman" w:cs="Times New Roman"/>
        </w:rPr>
        <w:t xml:space="preserve"> </w:t>
      </w:r>
      <w:r w:rsidR="007929E4">
        <w:rPr>
          <w:rFonts w:ascii="Times New Roman" w:hAnsi="Times New Roman" w:cs="Times New Roman"/>
        </w:rPr>
        <w:t>they initiate with</w:t>
      </w:r>
      <w:r w:rsidRPr="00BD7E07">
        <w:rPr>
          <w:rFonts w:ascii="Times New Roman" w:hAnsi="Times New Roman" w:cs="Times New Roman"/>
        </w:rPr>
        <w:t xml:space="preserve"> TEQSA, for example an application </w:t>
      </w:r>
      <w:r w:rsidR="00E55AC8">
        <w:rPr>
          <w:rFonts w:ascii="Times New Roman" w:hAnsi="Times New Roman" w:cs="Times New Roman"/>
        </w:rPr>
        <w:t>to accredit a</w:t>
      </w:r>
      <w:r w:rsidR="007929E4">
        <w:rPr>
          <w:rFonts w:ascii="Times New Roman" w:hAnsi="Times New Roman" w:cs="Times New Roman"/>
        </w:rPr>
        <w:t xml:space="preserve"> </w:t>
      </w:r>
      <w:r w:rsidR="006F54F5">
        <w:rPr>
          <w:rFonts w:ascii="Times New Roman" w:hAnsi="Times New Roman" w:cs="Times New Roman"/>
        </w:rPr>
        <w:t>course</w:t>
      </w:r>
      <w:r w:rsidRPr="00BD7E07">
        <w:rPr>
          <w:rFonts w:ascii="Times New Roman" w:hAnsi="Times New Roman" w:cs="Times New Roman"/>
        </w:rPr>
        <w:t xml:space="preserve">, these fees </w:t>
      </w:r>
      <w:r w:rsidR="000E7C51">
        <w:rPr>
          <w:rFonts w:ascii="Times New Roman" w:hAnsi="Times New Roman" w:cs="Times New Roman"/>
        </w:rPr>
        <w:t xml:space="preserve">do not cover TEQSA’s </w:t>
      </w:r>
      <w:r w:rsidR="007929E4">
        <w:rPr>
          <w:rFonts w:ascii="Times New Roman" w:hAnsi="Times New Roman" w:cs="Times New Roman"/>
        </w:rPr>
        <w:t>broader sector oversight functions</w:t>
      </w:r>
      <w:r w:rsidRPr="00BD7E07">
        <w:rPr>
          <w:rFonts w:ascii="Times New Roman" w:hAnsi="Times New Roman" w:cs="Times New Roman"/>
        </w:rPr>
        <w:t xml:space="preserve">. The monies recovered through the </w:t>
      </w:r>
      <w:r w:rsidR="00795AB4">
        <w:rPr>
          <w:rFonts w:ascii="Times New Roman" w:hAnsi="Times New Roman" w:cs="Times New Roman"/>
        </w:rPr>
        <w:t>RHEP charge</w:t>
      </w:r>
      <w:r w:rsidR="007929E4" w:rsidDel="00BB3B08">
        <w:rPr>
          <w:rFonts w:ascii="Times New Roman" w:hAnsi="Times New Roman" w:cs="Times New Roman"/>
        </w:rPr>
        <w:t xml:space="preserve"> </w:t>
      </w:r>
      <w:r w:rsidRPr="00BD7E07">
        <w:rPr>
          <w:rFonts w:ascii="Times New Roman" w:hAnsi="Times New Roman" w:cs="Times New Roman"/>
        </w:rPr>
        <w:t>fund</w:t>
      </w:r>
      <w:r w:rsidR="004B49B6">
        <w:rPr>
          <w:rFonts w:ascii="Times New Roman" w:hAnsi="Times New Roman" w:cs="Times New Roman"/>
        </w:rPr>
        <w:t xml:space="preserve"> TEQSA’s broader sector oversight</w:t>
      </w:r>
      <w:r w:rsidRPr="00BD7E07">
        <w:rPr>
          <w:rFonts w:ascii="Times New Roman" w:hAnsi="Times New Roman" w:cs="Times New Roman"/>
        </w:rPr>
        <w:t xml:space="preserve"> activities</w:t>
      </w:r>
      <w:r w:rsidR="004B49B6">
        <w:rPr>
          <w:rFonts w:ascii="Times New Roman" w:hAnsi="Times New Roman" w:cs="Times New Roman"/>
        </w:rPr>
        <w:t>,</w:t>
      </w:r>
      <w:r w:rsidR="002962A2">
        <w:rPr>
          <w:rFonts w:ascii="Times New Roman" w:hAnsi="Times New Roman" w:cs="Times New Roman"/>
        </w:rPr>
        <w:t xml:space="preserve"> </w:t>
      </w:r>
      <w:r w:rsidR="004B49B6">
        <w:rPr>
          <w:rFonts w:ascii="Times New Roman" w:hAnsi="Times New Roman" w:cs="Times New Roman"/>
        </w:rPr>
        <w:t>including</w:t>
      </w:r>
      <w:r w:rsidR="002962A2">
        <w:rPr>
          <w:rFonts w:ascii="Times New Roman" w:hAnsi="Times New Roman" w:cs="Times New Roman"/>
        </w:rPr>
        <w:t xml:space="preserve"> </w:t>
      </w:r>
      <w:r w:rsidR="004B49B6">
        <w:rPr>
          <w:rFonts w:ascii="Times New Roman" w:hAnsi="Times New Roman" w:cs="Times New Roman"/>
        </w:rPr>
        <w:t>c</w:t>
      </w:r>
      <w:r w:rsidR="004B49B6" w:rsidRPr="004B49B6">
        <w:rPr>
          <w:rFonts w:ascii="Times New Roman" w:hAnsi="Times New Roman" w:cs="Times New Roman"/>
        </w:rPr>
        <w:t xml:space="preserve">oncerns and complaints; </w:t>
      </w:r>
      <w:r w:rsidR="004B49B6">
        <w:rPr>
          <w:rFonts w:ascii="Times New Roman" w:hAnsi="Times New Roman" w:cs="Times New Roman"/>
        </w:rPr>
        <w:t>c</w:t>
      </w:r>
      <w:r w:rsidR="004B49B6" w:rsidRPr="004B49B6">
        <w:rPr>
          <w:rFonts w:ascii="Times New Roman" w:hAnsi="Times New Roman" w:cs="Times New Roman"/>
        </w:rPr>
        <w:t xml:space="preserve">ommunications and engagement; </w:t>
      </w:r>
      <w:r w:rsidR="004B49B6">
        <w:rPr>
          <w:rFonts w:ascii="Times New Roman" w:hAnsi="Times New Roman" w:cs="Times New Roman"/>
        </w:rPr>
        <w:t>r</w:t>
      </w:r>
      <w:r w:rsidR="004B49B6" w:rsidRPr="004B49B6">
        <w:rPr>
          <w:rFonts w:ascii="Times New Roman" w:hAnsi="Times New Roman" w:cs="Times New Roman"/>
        </w:rPr>
        <w:t xml:space="preserve">isk </w:t>
      </w:r>
      <w:r w:rsidR="004B49B6">
        <w:rPr>
          <w:rFonts w:ascii="Times New Roman" w:hAnsi="Times New Roman" w:cs="Times New Roman"/>
        </w:rPr>
        <w:t>a</w:t>
      </w:r>
      <w:r w:rsidR="004B49B6" w:rsidRPr="004B49B6">
        <w:rPr>
          <w:rFonts w:ascii="Times New Roman" w:hAnsi="Times New Roman" w:cs="Times New Roman"/>
        </w:rPr>
        <w:t xml:space="preserve">ssessment; </w:t>
      </w:r>
      <w:r w:rsidR="004B49B6">
        <w:rPr>
          <w:rFonts w:ascii="Times New Roman" w:hAnsi="Times New Roman" w:cs="Times New Roman"/>
        </w:rPr>
        <w:t>g</w:t>
      </w:r>
      <w:r w:rsidR="004B49B6" w:rsidRPr="004B49B6">
        <w:rPr>
          <w:rFonts w:ascii="Times New Roman" w:hAnsi="Times New Roman" w:cs="Times New Roman"/>
        </w:rPr>
        <w:t xml:space="preserve">eneral </w:t>
      </w:r>
      <w:r w:rsidR="004B49B6">
        <w:rPr>
          <w:rFonts w:ascii="Times New Roman" w:hAnsi="Times New Roman" w:cs="Times New Roman"/>
        </w:rPr>
        <w:t>e</w:t>
      </w:r>
      <w:r w:rsidR="004B49B6" w:rsidRPr="004B49B6">
        <w:rPr>
          <w:rFonts w:ascii="Times New Roman" w:hAnsi="Times New Roman" w:cs="Times New Roman"/>
        </w:rPr>
        <w:t xml:space="preserve">nquiries; </w:t>
      </w:r>
      <w:r w:rsidR="004B49B6">
        <w:rPr>
          <w:rFonts w:ascii="Times New Roman" w:hAnsi="Times New Roman" w:cs="Times New Roman"/>
        </w:rPr>
        <w:t>and g</w:t>
      </w:r>
      <w:r w:rsidR="004B49B6" w:rsidRPr="004B49B6">
        <w:rPr>
          <w:rFonts w:ascii="Times New Roman" w:hAnsi="Times New Roman" w:cs="Times New Roman"/>
        </w:rPr>
        <w:t xml:space="preserve">uidance and education </w:t>
      </w:r>
      <w:r w:rsidR="004B49B6">
        <w:rPr>
          <w:rFonts w:ascii="Times New Roman" w:hAnsi="Times New Roman" w:cs="Times New Roman"/>
        </w:rPr>
        <w:t>materials</w:t>
      </w:r>
      <w:r w:rsidR="002962A2">
        <w:rPr>
          <w:rFonts w:ascii="Times New Roman" w:hAnsi="Times New Roman" w:cs="Times New Roman"/>
        </w:rPr>
        <w:t>. These are</w:t>
      </w:r>
      <w:r w:rsidRPr="00BD7E07">
        <w:rPr>
          <w:rFonts w:ascii="Times New Roman" w:hAnsi="Times New Roman" w:cs="Times New Roman"/>
        </w:rPr>
        <w:t xml:space="preserve"> unrelated to applications</w:t>
      </w:r>
      <w:r w:rsidR="007929E4">
        <w:rPr>
          <w:rFonts w:ascii="Times New Roman" w:hAnsi="Times New Roman" w:cs="Times New Roman"/>
        </w:rPr>
        <w:t xml:space="preserve"> initiated by providers </w:t>
      </w:r>
      <w:r w:rsidR="004B49B6">
        <w:rPr>
          <w:rFonts w:ascii="Times New Roman" w:hAnsi="Times New Roman" w:cs="Times New Roman"/>
        </w:rPr>
        <w:t>and</w:t>
      </w:r>
      <w:r w:rsidRPr="00BD7E07">
        <w:rPr>
          <w:rFonts w:ascii="Times New Roman" w:hAnsi="Times New Roman" w:cs="Times New Roman"/>
        </w:rPr>
        <w:t xml:space="preserve"> are carried out by TEQSA to ensure standards and quality are maintained </w:t>
      </w:r>
      <w:r w:rsidR="00597D0B">
        <w:rPr>
          <w:rFonts w:ascii="Times New Roman" w:hAnsi="Times New Roman" w:cs="Times New Roman"/>
        </w:rPr>
        <w:t>across</w:t>
      </w:r>
      <w:r w:rsidR="00597D0B" w:rsidRPr="00BD7E07">
        <w:rPr>
          <w:rFonts w:ascii="Times New Roman" w:hAnsi="Times New Roman" w:cs="Times New Roman"/>
        </w:rPr>
        <w:t xml:space="preserve"> </w:t>
      </w:r>
      <w:r w:rsidRPr="00BD7E07">
        <w:rPr>
          <w:rFonts w:ascii="Times New Roman" w:hAnsi="Times New Roman" w:cs="Times New Roman"/>
        </w:rPr>
        <w:t>the Australian higher education sector.</w:t>
      </w:r>
    </w:p>
    <w:p w14:paraId="005EE71D" w14:textId="77777777" w:rsidR="00676B57" w:rsidRPr="00BD7E07" w:rsidRDefault="00676B57" w:rsidP="00676B57">
      <w:pPr>
        <w:spacing w:after="0"/>
        <w:rPr>
          <w:rFonts w:ascii="Times New Roman" w:hAnsi="Times New Roman" w:cs="Times New Roman"/>
        </w:rPr>
      </w:pPr>
    </w:p>
    <w:p w14:paraId="53D4E8D9" w14:textId="5E691136" w:rsidR="00676B57" w:rsidRPr="00BD7E07" w:rsidRDefault="002962A2" w:rsidP="00676B57">
      <w:pPr>
        <w:spacing w:after="0"/>
        <w:rPr>
          <w:rFonts w:ascii="Times New Roman" w:hAnsi="Times New Roman" w:cs="Times New Roman"/>
        </w:rPr>
      </w:pPr>
      <w:r>
        <w:rPr>
          <w:rFonts w:ascii="Times New Roman" w:hAnsi="Times New Roman" w:cs="Times New Roman"/>
        </w:rPr>
        <w:t>Australia</w:t>
      </w:r>
      <w:r w:rsidR="00510669">
        <w:rPr>
          <w:rFonts w:ascii="Times New Roman" w:hAnsi="Times New Roman" w:cs="Times New Roman"/>
        </w:rPr>
        <w:t>’s higher education sector</w:t>
      </w:r>
      <w:r w:rsidR="00E14856">
        <w:rPr>
          <w:rFonts w:ascii="Times New Roman" w:hAnsi="Times New Roman" w:cs="Times New Roman"/>
        </w:rPr>
        <w:t xml:space="preserve"> delivers</w:t>
      </w:r>
      <w:r>
        <w:rPr>
          <w:rFonts w:ascii="Times New Roman" w:hAnsi="Times New Roman" w:cs="Times New Roman"/>
        </w:rPr>
        <w:t xml:space="preserve"> higher education to more than</w:t>
      </w:r>
      <w:r w:rsidR="00676B57" w:rsidRPr="00BD7E07">
        <w:rPr>
          <w:rFonts w:ascii="Times New Roman" w:hAnsi="Times New Roman" w:cs="Times New Roman"/>
        </w:rPr>
        <w:t xml:space="preserve"> 1.6 million students and</w:t>
      </w:r>
      <w:r>
        <w:rPr>
          <w:rFonts w:ascii="Times New Roman" w:hAnsi="Times New Roman" w:cs="Times New Roman"/>
        </w:rPr>
        <w:t xml:space="preserve"> therefore contributes to the </w:t>
      </w:r>
      <w:r w:rsidRPr="002962A2">
        <w:rPr>
          <w:rFonts w:ascii="Times New Roman" w:hAnsi="Times New Roman" w:cs="Times New Roman"/>
        </w:rPr>
        <w:t>full development of the human personality and the sense of its dignity through education</w:t>
      </w:r>
      <w:r w:rsidR="00676B57" w:rsidRPr="002962A2">
        <w:rPr>
          <w:rFonts w:ascii="Times New Roman" w:hAnsi="Times New Roman" w:cs="Times New Roman"/>
        </w:rPr>
        <w:t xml:space="preserve">. </w:t>
      </w:r>
      <w:r w:rsidR="00676B57" w:rsidRPr="00BD7E07">
        <w:rPr>
          <w:rFonts w:ascii="Times New Roman" w:hAnsi="Times New Roman" w:cs="Times New Roman"/>
        </w:rPr>
        <w:t xml:space="preserve">The </w:t>
      </w:r>
      <w:r w:rsidR="00476279">
        <w:rPr>
          <w:rFonts w:ascii="Times New Roman" w:hAnsi="Times New Roman" w:cs="Times New Roman"/>
        </w:rPr>
        <w:t xml:space="preserve">Amending </w:t>
      </w:r>
      <w:r w:rsidR="00676B57" w:rsidRPr="00BD7E07">
        <w:rPr>
          <w:rFonts w:ascii="Times New Roman" w:hAnsi="Times New Roman" w:cs="Times New Roman"/>
        </w:rPr>
        <w:t>Regulation</w:t>
      </w:r>
      <w:r w:rsidR="00676B57">
        <w:rPr>
          <w:rFonts w:ascii="Times New Roman" w:hAnsi="Times New Roman" w:cs="Times New Roman"/>
        </w:rPr>
        <w:t>s</w:t>
      </w:r>
      <w:r w:rsidR="00676B57" w:rsidRPr="00BD7E07">
        <w:rPr>
          <w:rFonts w:ascii="Times New Roman" w:hAnsi="Times New Roman" w:cs="Times New Roman"/>
        </w:rPr>
        <w:t xml:space="preserve"> engage and promote the right to education </w:t>
      </w:r>
      <w:r w:rsidR="00126AC2">
        <w:rPr>
          <w:rFonts w:ascii="Times New Roman" w:hAnsi="Times New Roman" w:cs="Times New Roman"/>
        </w:rPr>
        <w:t>by</w:t>
      </w:r>
      <w:r w:rsidR="00676B57" w:rsidRPr="00BD7E07">
        <w:rPr>
          <w:rFonts w:ascii="Times New Roman" w:hAnsi="Times New Roman" w:cs="Times New Roman"/>
        </w:rPr>
        <w:t xml:space="preserve"> support</w:t>
      </w:r>
      <w:r w:rsidR="00126AC2">
        <w:rPr>
          <w:rFonts w:ascii="Times New Roman" w:hAnsi="Times New Roman" w:cs="Times New Roman"/>
        </w:rPr>
        <w:t>ing</w:t>
      </w:r>
      <w:r w:rsidR="00676B57" w:rsidRPr="00BD7E07">
        <w:rPr>
          <w:rFonts w:ascii="Times New Roman" w:hAnsi="Times New Roman" w:cs="Times New Roman"/>
        </w:rPr>
        <w:t xml:space="preserve"> TEQSA’s </w:t>
      </w:r>
      <w:r w:rsidR="00676B57" w:rsidRPr="005D7E05">
        <w:rPr>
          <w:rFonts w:ascii="Times New Roman" w:hAnsi="Times New Roman" w:cs="Times New Roman"/>
        </w:rPr>
        <w:t xml:space="preserve">regulatory and quality assurance roles </w:t>
      </w:r>
      <w:r w:rsidR="00676B57" w:rsidRPr="00BD7E07">
        <w:rPr>
          <w:rFonts w:ascii="Times New Roman" w:hAnsi="Times New Roman" w:cs="Times New Roman"/>
        </w:rPr>
        <w:t>in ensuring that higher education providers remain compliant with regulatory and quality frameworks, which in turn ensures that quality education is made available and accessible to students both in Australia and</w:t>
      </w:r>
      <w:r w:rsidR="00676B57">
        <w:rPr>
          <w:rFonts w:ascii="Times New Roman" w:hAnsi="Times New Roman" w:cs="Times New Roman"/>
        </w:rPr>
        <w:t xml:space="preserve"> those</w:t>
      </w:r>
      <w:r w:rsidR="00676B57" w:rsidRPr="00BD7E07">
        <w:rPr>
          <w:rFonts w:ascii="Times New Roman" w:hAnsi="Times New Roman" w:cs="Times New Roman"/>
        </w:rPr>
        <w:t xml:space="preserve"> who come from overseas to study. </w:t>
      </w:r>
    </w:p>
    <w:p w14:paraId="29F5B835" w14:textId="77777777" w:rsidR="00676B57" w:rsidRPr="00BD7E07" w:rsidRDefault="00676B57" w:rsidP="00676B57">
      <w:pPr>
        <w:spacing w:after="0"/>
        <w:rPr>
          <w:rFonts w:ascii="Times New Roman" w:hAnsi="Times New Roman" w:cs="Times New Roman"/>
        </w:rPr>
      </w:pPr>
    </w:p>
    <w:p w14:paraId="52A89648" w14:textId="77777777" w:rsidR="00676B57" w:rsidRPr="00BD7E07" w:rsidRDefault="00676B57" w:rsidP="00676B57">
      <w:pPr>
        <w:spacing w:after="0"/>
        <w:rPr>
          <w:rFonts w:ascii="Times New Roman" w:hAnsi="Times New Roman" w:cs="Times New Roman"/>
        </w:rPr>
      </w:pPr>
      <w:r w:rsidRPr="00BD7E07">
        <w:rPr>
          <w:rFonts w:ascii="Times New Roman" w:hAnsi="Times New Roman" w:cs="Times New Roman"/>
        </w:rPr>
        <w:t>The Regulation</w:t>
      </w:r>
      <w:r>
        <w:rPr>
          <w:rFonts w:ascii="Times New Roman" w:hAnsi="Times New Roman" w:cs="Times New Roman"/>
        </w:rPr>
        <w:t>s</w:t>
      </w:r>
      <w:r w:rsidRPr="00BD7E07">
        <w:rPr>
          <w:rFonts w:ascii="Times New Roman" w:hAnsi="Times New Roman" w:cs="Times New Roman"/>
        </w:rPr>
        <w:t xml:space="preserve"> </w:t>
      </w:r>
      <w:r>
        <w:rPr>
          <w:rFonts w:ascii="Times New Roman" w:hAnsi="Times New Roman" w:cs="Times New Roman"/>
        </w:rPr>
        <w:t>are</w:t>
      </w:r>
      <w:r w:rsidRPr="00BD7E07">
        <w:rPr>
          <w:rFonts w:ascii="Times New Roman" w:hAnsi="Times New Roman" w:cs="Times New Roman"/>
        </w:rPr>
        <w:t xml:space="preserve"> compatible with the right to education.</w:t>
      </w:r>
    </w:p>
    <w:p w14:paraId="289A1782" w14:textId="77777777" w:rsidR="00676B57" w:rsidRPr="00BD7E07" w:rsidRDefault="00676B57" w:rsidP="00676B57">
      <w:pPr>
        <w:spacing w:after="0"/>
        <w:rPr>
          <w:rFonts w:ascii="Times New Roman" w:hAnsi="Times New Roman" w:cs="Times New Roman"/>
        </w:rPr>
      </w:pPr>
    </w:p>
    <w:p w14:paraId="3A84976A" w14:textId="77777777" w:rsidR="00676B57" w:rsidRPr="00BD7E07" w:rsidRDefault="00676B57" w:rsidP="00676B57">
      <w:pPr>
        <w:spacing w:after="0"/>
        <w:rPr>
          <w:rFonts w:ascii="Times New Roman" w:hAnsi="Times New Roman" w:cs="Times New Roman"/>
        </w:rPr>
      </w:pPr>
      <w:r w:rsidRPr="00BD7E07">
        <w:rPr>
          <w:rFonts w:ascii="Times New Roman" w:hAnsi="Times New Roman" w:cs="Times New Roman"/>
          <w:b/>
        </w:rPr>
        <w:t>Conclusion</w:t>
      </w:r>
    </w:p>
    <w:p w14:paraId="0BB19866" w14:textId="3B32CE81" w:rsidR="00676B57" w:rsidRPr="00BD7E07" w:rsidRDefault="00676B57" w:rsidP="00676B57">
      <w:pPr>
        <w:spacing w:after="0"/>
        <w:rPr>
          <w:rFonts w:ascii="Times New Roman" w:hAnsi="Times New Roman" w:cs="Times New Roman"/>
        </w:rPr>
      </w:pPr>
      <w:r w:rsidRPr="00BD7E07">
        <w:rPr>
          <w:rFonts w:ascii="Times New Roman" w:hAnsi="Times New Roman" w:cs="Times New Roman"/>
        </w:rPr>
        <w:t>The Regulation</w:t>
      </w:r>
      <w:r>
        <w:rPr>
          <w:rFonts w:ascii="Times New Roman" w:hAnsi="Times New Roman" w:cs="Times New Roman"/>
        </w:rPr>
        <w:t>s</w:t>
      </w:r>
      <w:r w:rsidRPr="00BD7E07">
        <w:rPr>
          <w:rFonts w:ascii="Times New Roman" w:hAnsi="Times New Roman" w:cs="Times New Roman"/>
        </w:rPr>
        <w:t xml:space="preserve"> </w:t>
      </w:r>
      <w:r>
        <w:rPr>
          <w:rFonts w:ascii="Times New Roman" w:hAnsi="Times New Roman" w:cs="Times New Roman"/>
        </w:rPr>
        <w:t>are</w:t>
      </w:r>
      <w:r w:rsidRPr="00BD7E07">
        <w:rPr>
          <w:rFonts w:ascii="Times New Roman" w:hAnsi="Times New Roman" w:cs="Times New Roman"/>
        </w:rPr>
        <w:t xml:space="preserve"> compatible with human rights because </w:t>
      </w:r>
      <w:r w:rsidR="00A24854">
        <w:rPr>
          <w:rFonts w:ascii="Times New Roman" w:hAnsi="Times New Roman" w:cs="Times New Roman"/>
        </w:rPr>
        <w:t>they</w:t>
      </w:r>
      <w:r w:rsidR="00A24854" w:rsidRPr="00BD7E07">
        <w:rPr>
          <w:rFonts w:ascii="Times New Roman" w:hAnsi="Times New Roman" w:cs="Times New Roman"/>
        </w:rPr>
        <w:t xml:space="preserve"> </w:t>
      </w:r>
      <w:r w:rsidRPr="00BD7E07">
        <w:rPr>
          <w:rFonts w:ascii="Times New Roman" w:hAnsi="Times New Roman" w:cs="Times New Roman"/>
        </w:rPr>
        <w:t xml:space="preserve">promote the </w:t>
      </w:r>
      <w:r>
        <w:rPr>
          <w:rFonts w:ascii="Times New Roman" w:hAnsi="Times New Roman" w:cs="Times New Roman"/>
        </w:rPr>
        <w:t>right to education</w:t>
      </w:r>
      <w:r w:rsidRPr="00BD7E07">
        <w:rPr>
          <w:rFonts w:ascii="Times New Roman" w:hAnsi="Times New Roman" w:cs="Times New Roman"/>
        </w:rPr>
        <w:t xml:space="preserve">. </w:t>
      </w:r>
    </w:p>
    <w:p w14:paraId="37304132" w14:textId="77777777" w:rsidR="00676B57" w:rsidRPr="00BD7E07" w:rsidRDefault="00676B57" w:rsidP="00676B57">
      <w:pPr>
        <w:spacing w:after="0"/>
        <w:rPr>
          <w:rFonts w:ascii="Times New Roman" w:hAnsi="Times New Roman" w:cs="Times New Roman"/>
          <w:b/>
        </w:rPr>
      </w:pPr>
    </w:p>
    <w:p w14:paraId="5141E139" w14:textId="77777777" w:rsidR="00676B57" w:rsidRPr="00BD7E07" w:rsidRDefault="00676B57" w:rsidP="00676B57">
      <w:pPr>
        <w:spacing w:after="0"/>
        <w:rPr>
          <w:rFonts w:ascii="Times New Roman" w:hAnsi="Times New Roman" w:cs="Times New Roman"/>
          <w:b/>
        </w:rPr>
      </w:pPr>
    </w:p>
    <w:p w14:paraId="6CA17486" w14:textId="77777777" w:rsidR="00676B57" w:rsidRPr="00BD7E07" w:rsidRDefault="00676B57" w:rsidP="00676B57">
      <w:pPr>
        <w:spacing w:after="0"/>
        <w:rPr>
          <w:rFonts w:ascii="Times New Roman" w:hAnsi="Times New Roman" w:cs="Times New Roman"/>
          <w:b/>
        </w:rPr>
      </w:pPr>
    </w:p>
    <w:p w14:paraId="09001718" w14:textId="77777777" w:rsidR="00676B57" w:rsidRPr="005D7E05" w:rsidRDefault="00676B57" w:rsidP="00676B57">
      <w:pPr>
        <w:spacing w:after="0"/>
        <w:jc w:val="center"/>
        <w:rPr>
          <w:rFonts w:ascii="Times New Roman" w:hAnsi="Times New Roman" w:cs="Times New Roman"/>
          <w:b/>
        </w:rPr>
      </w:pPr>
      <w:r w:rsidRPr="005D7E05">
        <w:rPr>
          <w:rFonts w:ascii="Times New Roman" w:hAnsi="Times New Roman" w:cs="Times New Roman"/>
          <w:b/>
        </w:rPr>
        <w:t>Minister for Education, the Hon Jason Clare MP</w:t>
      </w:r>
    </w:p>
    <w:p w14:paraId="6382A219" w14:textId="77777777" w:rsidR="00676B57" w:rsidRPr="00BD7E07" w:rsidRDefault="00676B57" w:rsidP="00676B57">
      <w:pPr>
        <w:spacing w:after="0"/>
        <w:rPr>
          <w:rFonts w:ascii="Times New Roman" w:hAnsi="Times New Roman" w:cs="Times New Roman"/>
        </w:rPr>
      </w:pPr>
    </w:p>
    <w:p w14:paraId="75FD109D" w14:textId="77777777" w:rsidR="00676B57" w:rsidRDefault="00676B57">
      <w:pPr>
        <w:rPr>
          <w:rFonts w:ascii="Times New Roman" w:hAnsi="Times New Roman" w:cs="Times New Roman"/>
          <w:b/>
          <w:bCs/>
          <w:caps/>
        </w:rPr>
      </w:pPr>
      <w:r>
        <w:rPr>
          <w:rFonts w:ascii="Times New Roman" w:hAnsi="Times New Roman" w:cs="Times New Roman"/>
          <w:b/>
          <w:bCs/>
          <w:caps/>
        </w:rPr>
        <w:br w:type="page"/>
      </w:r>
    </w:p>
    <w:p w14:paraId="6EFF3FCA" w14:textId="5ABBCAE8" w:rsidR="00B15DC0" w:rsidRPr="00BD7E07" w:rsidRDefault="00B15DC0" w:rsidP="00806F24">
      <w:pPr>
        <w:spacing w:after="0"/>
        <w:jc w:val="center"/>
        <w:rPr>
          <w:rFonts w:ascii="Times New Roman" w:hAnsi="Times New Roman" w:cs="Times New Roman"/>
          <w:b/>
          <w:bCs/>
          <w:caps/>
        </w:rPr>
      </w:pPr>
      <w:r w:rsidRPr="00BD7E07">
        <w:rPr>
          <w:rFonts w:ascii="Times New Roman" w:hAnsi="Times New Roman" w:cs="Times New Roman"/>
          <w:b/>
          <w:bCs/>
          <w:caps/>
        </w:rPr>
        <w:lastRenderedPageBreak/>
        <w:t xml:space="preserve">Tertiary Education Quality and Standards Agency (Charges) </w:t>
      </w:r>
      <w:r w:rsidR="003C27D1">
        <w:rPr>
          <w:rFonts w:ascii="Times New Roman" w:hAnsi="Times New Roman" w:cs="Times New Roman"/>
          <w:b/>
          <w:bCs/>
          <w:caps/>
        </w:rPr>
        <w:t xml:space="preserve">Amendment </w:t>
      </w:r>
      <w:r w:rsidRPr="00BD7E07">
        <w:rPr>
          <w:rFonts w:ascii="Times New Roman" w:hAnsi="Times New Roman" w:cs="Times New Roman"/>
          <w:b/>
          <w:bCs/>
          <w:caps/>
        </w:rPr>
        <w:t>Regulations 202</w:t>
      </w:r>
      <w:r w:rsidR="00E6002F">
        <w:rPr>
          <w:rFonts w:ascii="Times New Roman" w:hAnsi="Times New Roman" w:cs="Times New Roman"/>
          <w:b/>
          <w:bCs/>
          <w:caps/>
        </w:rPr>
        <w:t>3</w:t>
      </w:r>
    </w:p>
    <w:p w14:paraId="57349EDE" w14:textId="77777777" w:rsidR="00B15DC0" w:rsidRPr="00BD7E07" w:rsidRDefault="00B15DC0" w:rsidP="00806F24">
      <w:pPr>
        <w:spacing w:after="0"/>
        <w:rPr>
          <w:rFonts w:ascii="Times New Roman" w:hAnsi="Times New Roman" w:cs="Times New Roman"/>
        </w:rPr>
      </w:pPr>
    </w:p>
    <w:p w14:paraId="0A275499" w14:textId="77777777" w:rsidR="00B15DC0" w:rsidRPr="00BD7E07" w:rsidRDefault="00B15DC0" w:rsidP="00806F24">
      <w:pPr>
        <w:pStyle w:val="Heading2"/>
        <w:spacing w:before="0"/>
        <w:jc w:val="center"/>
        <w:rPr>
          <w:rFonts w:cs="Times New Roman"/>
          <w:color w:val="auto"/>
          <w:sz w:val="22"/>
          <w:szCs w:val="22"/>
        </w:rPr>
      </w:pPr>
      <w:r w:rsidRPr="00BD7E07">
        <w:rPr>
          <w:rFonts w:cs="Times New Roman"/>
          <w:color w:val="auto"/>
          <w:sz w:val="22"/>
          <w:szCs w:val="22"/>
        </w:rPr>
        <w:t>EXPLANATION OF PROVISIONS</w:t>
      </w:r>
    </w:p>
    <w:p w14:paraId="61CDF6B8" w14:textId="77777777" w:rsidR="00B15DC0" w:rsidRPr="00BD7E07" w:rsidRDefault="00B15DC0" w:rsidP="00806F24">
      <w:pPr>
        <w:spacing w:after="0"/>
        <w:rPr>
          <w:rFonts w:ascii="Times New Roman" w:hAnsi="Times New Roman" w:cs="Times New Roman"/>
        </w:rPr>
      </w:pPr>
    </w:p>
    <w:p w14:paraId="590B0AEC" w14:textId="090AC354" w:rsidR="00190873" w:rsidRPr="008C0C15" w:rsidRDefault="00B15DC0" w:rsidP="0024226B">
      <w:pPr>
        <w:spacing w:before="300" w:after="240" w:line="240" w:lineRule="auto"/>
        <w:ind w:right="91"/>
        <w:rPr>
          <w:rFonts w:ascii="Times New Roman" w:hAnsi="Times New Roman" w:cs="Times New Roman"/>
          <w:bCs/>
          <w:u w:val="single"/>
        </w:rPr>
      </w:pPr>
      <w:r w:rsidRPr="008C0C15">
        <w:rPr>
          <w:rFonts w:ascii="Times New Roman" w:hAnsi="Times New Roman" w:cs="Times New Roman"/>
          <w:bCs/>
          <w:u w:val="single"/>
        </w:rPr>
        <w:t>Section 1: Name</w:t>
      </w:r>
    </w:p>
    <w:p w14:paraId="0666FD2D" w14:textId="771B3933" w:rsidR="00B15DC0" w:rsidRPr="00BD7E07" w:rsidRDefault="00B15DC0" w:rsidP="005D403F">
      <w:pPr>
        <w:pStyle w:val="ListParagraph"/>
        <w:numPr>
          <w:ilvl w:val="0"/>
          <w:numId w:val="17"/>
        </w:numPr>
        <w:spacing w:before="160" w:after="240" w:line="240" w:lineRule="auto"/>
        <w:contextualSpacing w:val="0"/>
        <w:rPr>
          <w:rFonts w:cs="Times New Roman"/>
          <w:sz w:val="22"/>
        </w:rPr>
      </w:pPr>
      <w:r w:rsidRPr="00BD7E07">
        <w:rPr>
          <w:rFonts w:cs="Times New Roman"/>
          <w:sz w:val="22"/>
        </w:rPr>
        <w:t>This section specif</w:t>
      </w:r>
      <w:r w:rsidR="00AA4581">
        <w:rPr>
          <w:rFonts w:cs="Times New Roman"/>
          <w:sz w:val="22"/>
        </w:rPr>
        <w:t>ies</w:t>
      </w:r>
      <w:r w:rsidRPr="00BD7E07">
        <w:rPr>
          <w:rFonts w:cs="Times New Roman"/>
          <w:sz w:val="22"/>
        </w:rPr>
        <w:t xml:space="preserve"> the name of the instrument as the </w:t>
      </w:r>
      <w:r w:rsidRPr="00BD7E07">
        <w:rPr>
          <w:rFonts w:cs="Times New Roman"/>
          <w:i/>
          <w:iCs/>
          <w:sz w:val="22"/>
        </w:rPr>
        <w:t xml:space="preserve">Tertiary Education Quality and Standards Agency (Charges) </w:t>
      </w:r>
      <w:r w:rsidR="003C27D1">
        <w:rPr>
          <w:rFonts w:cs="Times New Roman"/>
          <w:i/>
          <w:iCs/>
          <w:sz w:val="22"/>
        </w:rPr>
        <w:t xml:space="preserve">Amendment </w:t>
      </w:r>
      <w:r w:rsidRPr="00BD7E07">
        <w:rPr>
          <w:rFonts w:cs="Times New Roman"/>
          <w:i/>
          <w:iCs/>
          <w:sz w:val="22"/>
        </w:rPr>
        <w:t>Regulations 202</w:t>
      </w:r>
      <w:r w:rsidR="00A42493">
        <w:rPr>
          <w:rFonts w:cs="Times New Roman"/>
          <w:i/>
          <w:iCs/>
          <w:sz w:val="22"/>
        </w:rPr>
        <w:t>3</w:t>
      </w:r>
      <w:r w:rsidR="00600965" w:rsidRPr="00BD7E07">
        <w:rPr>
          <w:rFonts w:cs="Times New Roman"/>
          <w:i/>
          <w:iCs/>
          <w:sz w:val="22"/>
        </w:rPr>
        <w:t xml:space="preserve"> </w:t>
      </w:r>
      <w:r w:rsidRPr="00BD7E07">
        <w:rPr>
          <w:rFonts w:cs="Times New Roman"/>
          <w:sz w:val="22"/>
        </w:rPr>
        <w:t xml:space="preserve">(the </w:t>
      </w:r>
      <w:r w:rsidR="00E6002F">
        <w:rPr>
          <w:rFonts w:cs="Times New Roman"/>
          <w:sz w:val="22"/>
        </w:rPr>
        <w:t xml:space="preserve">Amending </w:t>
      </w:r>
      <w:r w:rsidRPr="00BD7E07">
        <w:rPr>
          <w:rFonts w:cs="Times New Roman"/>
          <w:sz w:val="22"/>
        </w:rPr>
        <w:t>Regulations).</w:t>
      </w:r>
    </w:p>
    <w:p w14:paraId="29597406" w14:textId="649DE23C" w:rsidR="00190873" w:rsidRPr="008C0C15" w:rsidRDefault="00B15DC0" w:rsidP="0024226B">
      <w:pPr>
        <w:spacing w:before="300" w:after="240" w:line="240" w:lineRule="auto"/>
        <w:ind w:right="91"/>
        <w:rPr>
          <w:rFonts w:ascii="Times New Roman" w:hAnsi="Times New Roman" w:cs="Times New Roman"/>
          <w:bCs/>
          <w:u w:val="single"/>
        </w:rPr>
      </w:pPr>
      <w:r w:rsidRPr="008C0C15">
        <w:rPr>
          <w:rFonts w:ascii="Times New Roman" w:hAnsi="Times New Roman" w:cs="Times New Roman"/>
          <w:bCs/>
          <w:u w:val="single"/>
        </w:rPr>
        <w:t>Section 2: Commencement</w:t>
      </w:r>
    </w:p>
    <w:p w14:paraId="3E738AFD" w14:textId="5D5999D7" w:rsidR="00190873" w:rsidRPr="00BD7E07" w:rsidRDefault="00B15DC0" w:rsidP="005D403F">
      <w:pPr>
        <w:pStyle w:val="ListParagraph"/>
        <w:keepNext/>
        <w:numPr>
          <w:ilvl w:val="0"/>
          <w:numId w:val="17"/>
        </w:numPr>
        <w:spacing w:before="160" w:after="240" w:line="240" w:lineRule="auto"/>
        <w:contextualSpacing w:val="0"/>
        <w:rPr>
          <w:rFonts w:cs="Times New Roman"/>
          <w:iCs/>
          <w:sz w:val="22"/>
        </w:rPr>
      </w:pPr>
      <w:r w:rsidRPr="00BD7E07">
        <w:rPr>
          <w:rFonts w:cs="Times New Roman"/>
          <w:iCs/>
          <w:sz w:val="22"/>
        </w:rPr>
        <w:t xml:space="preserve">This section specifies that the </w:t>
      </w:r>
      <w:r w:rsidR="0037749F">
        <w:rPr>
          <w:rFonts w:cs="Times New Roman"/>
          <w:iCs/>
          <w:sz w:val="22"/>
        </w:rPr>
        <w:t xml:space="preserve">Amending </w:t>
      </w:r>
      <w:r w:rsidRPr="00BD7E07">
        <w:rPr>
          <w:rFonts w:cs="Times New Roman"/>
          <w:iCs/>
          <w:sz w:val="22"/>
        </w:rPr>
        <w:t xml:space="preserve">Regulations </w:t>
      </w:r>
      <w:r w:rsidR="00AD0D2E" w:rsidRPr="00BD7E07">
        <w:rPr>
          <w:rFonts w:cs="Times New Roman"/>
          <w:iCs/>
          <w:sz w:val="22"/>
        </w:rPr>
        <w:t xml:space="preserve">will </w:t>
      </w:r>
      <w:r w:rsidRPr="00BD7E07">
        <w:rPr>
          <w:rFonts w:cs="Times New Roman"/>
          <w:iCs/>
          <w:sz w:val="22"/>
        </w:rPr>
        <w:t xml:space="preserve">commence on </w:t>
      </w:r>
      <w:r w:rsidR="0037749F">
        <w:rPr>
          <w:rFonts w:cs="Times New Roman"/>
          <w:iCs/>
          <w:sz w:val="22"/>
        </w:rPr>
        <w:t xml:space="preserve">1 January 2024. </w:t>
      </w:r>
    </w:p>
    <w:p w14:paraId="0704EA26" w14:textId="7244F9A7" w:rsidR="00190873" w:rsidRPr="008C0C15" w:rsidRDefault="00B15DC0" w:rsidP="0024226B">
      <w:pPr>
        <w:spacing w:before="300" w:after="240" w:line="240" w:lineRule="auto"/>
        <w:ind w:right="91"/>
        <w:rPr>
          <w:rFonts w:ascii="Times New Roman" w:hAnsi="Times New Roman" w:cs="Times New Roman"/>
          <w:bCs/>
          <w:u w:val="single"/>
        </w:rPr>
      </w:pPr>
      <w:r w:rsidRPr="008C0C15">
        <w:rPr>
          <w:rFonts w:ascii="Times New Roman" w:hAnsi="Times New Roman" w:cs="Times New Roman"/>
          <w:bCs/>
          <w:u w:val="single"/>
        </w:rPr>
        <w:t>Section 3: Authority</w:t>
      </w:r>
    </w:p>
    <w:p w14:paraId="27D8D49E" w14:textId="2A7C5EC1" w:rsidR="00B15DC0" w:rsidRPr="00DE2296" w:rsidRDefault="00B15DC0" w:rsidP="005D403F">
      <w:pPr>
        <w:pStyle w:val="ListParagraph"/>
        <w:keepNext/>
        <w:numPr>
          <w:ilvl w:val="0"/>
          <w:numId w:val="17"/>
        </w:numPr>
        <w:spacing w:before="160" w:after="240" w:line="240" w:lineRule="auto"/>
        <w:contextualSpacing w:val="0"/>
        <w:rPr>
          <w:rFonts w:cs="Times New Roman"/>
          <w:iCs/>
          <w:sz w:val="22"/>
        </w:rPr>
      </w:pPr>
      <w:r w:rsidRPr="00BD7E07">
        <w:rPr>
          <w:rFonts w:cs="Times New Roman"/>
          <w:iCs/>
          <w:sz w:val="22"/>
        </w:rPr>
        <w:t>Th</w:t>
      </w:r>
      <w:r w:rsidR="00AD0D2E" w:rsidRPr="00BD7E07">
        <w:rPr>
          <w:rFonts w:cs="Times New Roman"/>
          <w:iCs/>
          <w:sz w:val="22"/>
        </w:rPr>
        <w:t xml:space="preserve">is section provides that </w:t>
      </w:r>
      <w:r w:rsidR="00BA1EB2">
        <w:rPr>
          <w:rFonts w:cs="Times New Roman"/>
          <w:iCs/>
          <w:sz w:val="22"/>
        </w:rPr>
        <w:t xml:space="preserve">the Amending </w:t>
      </w:r>
      <w:r w:rsidRPr="00BD7E07">
        <w:rPr>
          <w:rFonts w:cs="Times New Roman"/>
          <w:iCs/>
          <w:sz w:val="22"/>
        </w:rPr>
        <w:t xml:space="preserve">Regulations are made under the </w:t>
      </w:r>
      <w:r w:rsidRPr="00BD7E07">
        <w:rPr>
          <w:rFonts w:cs="Times New Roman"/>
          <w:i/>
          <w:sz w:val="22"/>
        </w:rPr>
        <w:t xml:space="preserve">Tertiary Education Quality </w:t>
      </w:r>
      <w:r w:rsidRPr="00DE2296">
        <w:rPr>
          <w:rFonts w:cs="Times New Roman"/>
          <w:i/>
          <w:sz w:val="22"/>
        </w:rPr>
        <w:t>and Standards Agency (Charges) Act 2021</w:t>
      </w:r>
      <w:r w:rsidRPr="00DE2296">
        <w:rPr>
          <w:rFonts w:cs="Times New Roman"/>
          <w:iCs/>
          <w:sz w:val="22"/>
        </w:rPr>
        <w:t xml:space="preserve"> (the Act). </w:t>
      </w:r>
    </w:p>
    <w:p w14:paraId="62475F2E" w14:textId="0E5211C7" w:rsidR="00C0302B" w:rsidRPr="00DE2296" w:rsidRDefault="00936BE4" w:rsidP="0024226B">
      <w:pPr>
        <w:spacing w:before="300" w:after="240" w:line="240" w:lineRule="auto"/>
        <w:ind w:right="91"/>
        <w:rPr>
          <w:rFonts w:ascii="Times New Roman" w:eastAsia="Times New Roman" w:hAnsi="Times New Roman" w:cs="Times New Roman"/>
          <w:u w:val="single"/>
          <w:lang w:eastAsia="en-AU"/>
        </w:rPr>
      </w:pPr>
      <w:r w:rsidRPr="00DE2296">
        <w:rPr>
          <w:rFonts w:ascii="Times New Roman" w:eastAsia="Times New Roman" w:hAnsi="Times New Roman" w:cs="Times New Roman"/>
          <w:u w:val="single"/>
          <w:lang w:eastAsia="en-AU"/>
        </w:rPr>
        <w:t xml:space="preserve">Section </w:t>
      </w:r>
      <w:r w:rsidR="004F302F" w:rsidRPr="00DE2296">
        <w:rPr>
          <w:rFonts w:ascii="Times New Roman" w:eastAsia="Times New Roman" w:hAnsi="Times New Roman" w:cs="Times New Roman"/>
          <w:u w:val="single"/>
          <w:lang w:eastAsia="en-AU"/>
        </w:rPr>
        <w:t>4</w:t>
      </w:r>
      <w:r w:rsidRPr="00DE2296">
        <w:rPr>
          <w:rFonts w:ascii="Times New Roman" w:eastAsia="Times New Roman" w:hAnsi="Times New Roman" w:cs="Times New Roman"/>
          <w:u w:val="single"/>
          <w:lang w:eastAsia="en-AU"/>
        </w:rPr>
        <w:t xml:space="preserve"> – </w:t>
      </w:r>
      <w:r w:rsidR="00C0302B" w:rsidRPr="00DE2296">
        <w:rPr>
          <w:rFonts w:ascii="Times New Roman" w:eastAsia="Times New Roman" w:hAnsi="Times New Roman" w:cs="Times New Roman"/>
          <w:u w:val="single"/>
          <w:lang w:eastAsia="en-AU"/>
        </w:rPr>
        <w:t>Schedules</w:t>
      </w:r>
    </w:p>
    <w:p w14:paraId="30FF6CE6" w14:textId="73764196" w:rsidR="00C0302B" w:rsidRPr="00DE2296" w:rsidRDefault="00C0302B" w:rsidP="005D403F">
      <w:pPr>
        <w:pStyle w:val="ListParagraph"/>
        <w:numPr>
          <w:ilvl w:val="0"/>
          <w:numId w:val="17"/>
        </w:numPr>
        <w:spacing w:before="160" w:after="240" w:line="240" w:lineRule="auto"/>
        <w:contextualSpacing w:val="0"/>
        <w:rPr>
          <w:rFonts w:cs="Times New Roman"/>
          <w:iCs/>
          <w:sz w:val="22"/>
        </w:rPr>
      </w:pPr>
      <w:r w:rsidRPr="0024226B">
        <w:rPr>
          <w:rFonts w:cs="Times New Roman"/>
          <w:sz w:val="22"/>
        </w:rPr>
        <w:t xml:space="preserve">This section provides that the </w:t>
      </w:r>
      <w:r w:rsidR="003962E2">
        <w:rPr>
          <w:rFonts w:cs="Times New Roman"/>
          <w:iCs/>
          <w:sz w:val="22"/>
        </w:rPr>
        <w:t xml:space="preserve">instrument specified in Schedule 1, </w:t>
      </w:r>
      <w:r w:rsidR="00B46BFA">
        <w:rPr>
          <w:rFonts w:cs="Times New Roman"/>
          <w:iCs/>
          <w:sz w:val="22"/>
        </w:rPr>
        <w:t>namely</w:t>
      </w:r>
      <w:r>
        <w:rPr>
          <w:rFonts w:cs="Times New Roman"/>
          <w:sz w:val="22"/>
        </w:rPr>
        <w:t xml:space="preserve"> </w:t>
      </w:r>
      <w:r w:rsidRPr="0024226B">
        <w:rPr>
          <w:rFonts w:cs="Times New Roman"/>
          <w:sz w:val="22"/>
        </w:rPr>
        <w:t xml:space="preserve">the </w:t>
      </w:r>
      <w:r w:rsidR="00A11D50" w:rsidRPr="00DE2296">
        <w:rPr>
          <w:rFonts w:eastAsia="Times New Roman" w:cs="Times New Roman"/>
          <w:i/>
          <w:iCs/>
          <w:sz w:val="22"/>
          <w:lang w:eastAsia="en-AU"/>
        </w:rPr>
        <w:t>Tertiary Education Quality and Standards Agency (Charges) Regulation 2022</w:t>
      </w:r>
      <w:r w:rsidR="00A11D50" w:rsidRPr="00DE2296">
        <w:rPr>
          <w:rFonts w:eastAsia="Times New Roman" w:cs="Times New Roman"/>
          <w:sz w:val="22"/>
          <w:lang w:eastAsia="en-AU"/>
        </w:rPr>
        <w:t xml:space="preserve"> (Charges Regulations)</w:t>
      </w:r>
      <w:r w:rsidR="003962E2">
        <w:rPr>
          <w:rFonts w:eastAsia="Times New Roman" w:cs="Times New Roman"/>
          <w:sz w:val="22"/>
          <w:lang w:eastAsia="en-AU"/>
        </w:rPr>
        <w:t xml:space="preserve">, </w:t>
      </w:r>
      <w:r w:rsidR="00B46BFA">
        <w:rPr>
          <w:rFonts w:eastAsia="Times New Roman" w:cs="Times New Roman"/>
          <w:sz w:val="22"/>
          <w:lang w:eastAsia="en-AU"/>
        </w:rPr>
        <w:t>is amended</w:t>
      </w:r>
      <w:r w:rsidR="00A11D50" w:rsidRPr="00DE2296">
        <w:rPr>
          <w:rFonts w:eastAsia="Times New Roman" w:cs="Times New Roman"/>
          <w:sz w:val="22"/>
          <w:lang w:eastAsia="en-AU"/>
        </w:rPr>
        <w:t xml:space="preserve"> </w:t>
      </w:r>
      <w:r w:rsidRPr="0024226B">
        <w:rPr>
          <w:rFonts w:cs="Times New Roman"/>
          <w:sz w:val="22"/>
        </w:rPr>
        <w:t xml:space="preserve">as set out in Schedule 1. </w:t>
      </w:r>
    </w:p>
    <w:p w14:paraId="24E8E40D" w14:textId="2AD73FD9" w:rsidR="00C23833" w:rsidRPr="0024226B" w:rsidRDefault="00C23833" w:rsidP="0024226B">
      <w:pPr>
        <w:keepNext/>
        <w:spacing w:before="160" w:after="240" w:line="240" w:lineRule="auto"/>
        <w:rPr>
          <w:rFonts w:ascii="Times New Roman" w:hAnsi="Times New Roman" w:cs="Times New Roman"/>
          <w:i/>
          <w:szCs w:val="24"/>
          <w:u w:val="single"/>
        </w:rPr>
      </w:pPr>
      <w:r w:rsidRPr="0024226B">
        <w:rPr>
          <w:rFonts w:ascii="Times New Roman" w:hAnsi="Times New Roman" w:cs="Times New Roman"/>
          <w:i/>
          <w:szCs w:val="24"/>
          <w:u w:val="single"/>
        </w:rPr>
        <w:t>Schedule 1</w:t>
      </w:r>
    </w:p>
    <w:p w14:paraId="13045DCA" w14:textId="5683AA42" w:rsidR="00936BE4" w:rsidRPr="00D42D2C" w:rsidRDefault="00F5526C" w:rsidP="0024226B">
      <w:pPr>
        <w:spacing w:before="300" w:after="240" w:line="240" w:lineRule="auto"/>
        <w:ind w:right="91"/>
        <w:rPr>
          <w:rFonts w:ascii="Times New Roman" w:eastAsia="Times New Roman" w:hAnsi="Times New Roman" w:cs="Times New Roman"/>
          <w:i/>
          <w:iCs/>
          <w:lang w:eastAsia="en-AU"/>
        </w:rPr>
      </w:pPr>
      <w:r w:rsidRPr="00D42D2C">
        <w:rPr>
          <w:rFonts w:ascii="Times New Roman" w:eastAsia="Times New Roman" w:hAnsi="Times New Roman" w:cs="Times New Roman"/>
          <w:i/>
          <w:iCs/>
          <w:lang w:eastAsia="en-AU"/>
        </w:rPr>
        <w:t xml:space="preserve">Item 1 </w:t>
      </w:r>
      <w:r w:rsidR="004F7328">
        <w:rPr>
          <w:rFonts w:ascii="Times New Roman" w:eastAsia="Times New Roman" w:hAnsi="Times New Roman" w:cs="Times New Roman"/>
          <w:i/>
          <w:iCs/>
          <w:lang w:eastAsia="en-AU"/>
        </w:rPr>
        <w:t>–</w:t>
      </w:r>
      <w:r w:rsidR="00D42D2C" w:rsidRPr="00D42D2C">
        <w:rPr>
          <w:rFonts w:ascii="Times New Roman" w:eastAsia="Times New Roman" w:hAnsi="Times New Roman" w:cs="Times New Roman"/>
          <w:i/>
          <w:iCs/>
          <w:lang w:eastAsia="en-AU"/>
        </w:rPr>
        <w:t xml:space="preserve"> </w:t>
      </w:r>
      <w:r w:rsidR="004F7328">
        <w:rPr>
          <w:rFonts w:ascii="Times New Roman" w:eastAsia="Times New Roman" w:hAnsi="Times New Roman" w:cs="Times New Roman"/>
          <w:i/>
          <w:iCs/>
          <w:lang w:eastAsia="en-AU"/>
        </w:rPr>
        <w:t xml:space="preserve">Subsection 5(2) </w:t>
      </w:r>
      <w:r w:rsidR="00FD4F01">
        <w:rPr>
          <w:rFonts w:ascii="Times New Roman" w:eastAsia="Times New Roman" w:hAnsi="Times New Roman" w:cs="Times New Roman"/>
          <w:i/>
          <w:iCs/>
          <w:lang w:eastAsia="en-AU"/>
        </w:rPr>
        <w:t xml:space="preserve">(formula) </w:t>
      </w:r>
    </w:p>
    <w:p w14:paraId="125B2D9D" w14:textId="15D36021" w:rsidR="00F602AE" w:rsidRPr="0024226B" w:rsidRDefault="00A67858" w:rsidP="0024226B">
      <w:pPr>
        <w:pStyle w:val="ListParagraph"/>
        <w:numPr>
          <w:ilvl w:val="0"/>
          <w:numId w:val="17"/>
        </w:numPr>
        <w:spacing w:before="160" w:after="240" w:line="240" w:lineRule="auto"/>
        <w:ind w:right="91"/>
        <w:contextualSpacing w:val="0"/>
        <w:rPr>
          <w:rFonts w:eastAsia="Times New Roman" w:cs="Times New Roman"/>
          <w:lang w:eastAsia="en-AU"/>
        </w:rPr>
      </w:pPr>
      <w:r w:rsidRPr="00DE2296">
        <w:rPr>
          <w:rFonts w:eastAsia="Times New Roman" w:cs="Times New Roman"/>
          <w:sz w:val="22"/>
          <w:lang w:eastAsia="en-AU"/>
        </w:rPr>
        <w:t xml:space="preserve">This </w:t>
      </w:r>
      <w:r w:rsidR="00E84A15">
        <w:rPr>
          <w:rFonts w:eastAsia="Times New Roman" w:cs="Times New Roman"/>
          <w:sz w:val="22"/>
          <w:lang w:eastAsia="en-AU"/>
        </w:rPr>
        <w:t>i</w:t>
      </w:r>
      <w:r w:rsidR="00680706">
        <w:rPr>
          <w:rFonts w:eastAsia="Times New Roman" w:cs="Times New Roman"/>
          <w:sz w:val="22"/>
          <w:lang w:eastAsia="en-AU"/>
        </w:rPr>
        <w:t>tem</w:t>
      </w:r>
      <w:r w:rsidRPr="00DE2296">
        <w:rPr>
          <w:rFonts w:eastAsia="Times New Roman" w:cs="Times New Roman"/>
          <w:sz w:val="22"/>
          <w:lang w:eastAsia="en-AU"/>
        </w:rPr>
        <w:t xml:space="preserve"> </w:t>
      </w:r>
      <w:r w:rsidR="00CD7648" w:rsidRPr="00DE2296">
        <w:rPr>
          <w:rFonts w:eastAsia="Times New Roman" w:cs="Times New Roman"/>
          <w:sz w:val="22"/>
          <w:lang w:eastAsia="en-AU"/>
        </w:rPr>
        <w:t>amends</w:t>
      </w:r>
      <w:r w:rsidR="00CD7648" w:rsidRPr="00F602AE">
        <w:rPr>
          <w:rFonts w:eastAsia="Times New Roman" w:cs="Times New Roman"/>
          <w:sz w:val="22"/>
          <w:lang w:eastAsia="en-AU"/>
        </w:rPr>
        <w:t xml:space="preserve"> subsection 5(2) </w:t>
      </w:r>
      <w:r w:rsidR="00A06B24" w:rsidRPr="00F602AE">
        <w:rPr>
          <w:rFonts w:eastAsia="Times New Roman" w:cs="Times New Roman"/>
          <w:sz w:val="22"/>
          <w:lang w:eastAsia="en-AU"/>
        </w:rPr>
        <w:t xml:space="preserve">of the </w:t>
      </w:r>
      <w:r w:rsidR="00A11D50">
        <w:rPr>
          <w:rFonts w:eastAsia="Times New Roman" w:cs="Times New Roman"/>
          <w:sz w:val="22"/>
          <w:lang w:eastAsia="en-AU"/>
        </w:rPr>
        <w:t xml:space="preserve">Charging Regulations </w:t>
      </w:r>
      <w:r w:rsidR="00340031" w:rsidRPr="00291303">
        <w:rPr>
          <w:rFonts w:eastAsia="Times New Roman" w:cs="Times New Roman"/>
          <w:sz w:val="22"/>
          <w:lang w:eastAsia="en-AU"/>
        </w:rPr>
        <w:t xml:space="preserve">to </w:t>
      </w:r>
      <w:r w:rsidR="000B42CA" w:rsidRPr="00291303">
        <w:rPr>
          <w:rFonts w:eastAsia="Times New Roman" w:cs="Times New Roman"/>
          <w:sz w:val="22"/>
          <w:lang w:eastAsia="en-AU"/>
        </w:rPr>
        <w:t xml:space="preserve">update the formula </w:t>
      </w:r>
      <w:r w:rsidR="00FD4F01">
        <w:rPr>
          <w:rFonts w:eastAsia="Times New Roman" w:cs="Times New Roman"/>
          <w:sz w:val="22"/>
          <w:lang w:eastAsia="en-AU"/>
        </w:rPr>
        <w:t xml:space="preserve">used </w:t>
      </w:r>
      <w:r w:rsidR="000B42CA" w:rsidRPr="00291303">
        <w:rPr>
          <w:rFonts w:eastAsia="Times New Roman" w:cs="Times New Roman"/>
          <w:sz w:val="22"/>
          <w:lang w:eastAsia="en-AU"/>
        </w:rPr>
        <w:t xml:space="preserve">for </w:t>
      </w:r>
      <w:r w:rsidR="00FD4F01">
        <w:rPr>
          <w:rFonts w:eastAsia="Times New Roman" w:cs="Times New Roman"/>
          <w:sz w:val="22"/>
          <w:lang w:eastAsia="en-AU"/>
        </w:rPr>
        <w:t>calculating</w:t>
      </w:r>
      <w:r w:rsidR="000B42CA" w:rsidRPr="00291303">
        <w:rPr>
          <w:rFonts w:eastAsia="Times New Roman" w:cs="Times New Roman"/>
          <w:sz w:val="22"/>
          <w:lang w:eastAsia="en-AU"/>
        </w:rPr>
        <w:t xml:space="preserve"> the base component of the </w:t>
      </w:r>
      <w:r w:rsidR="001E3B2C">
        <w:rPr>
          <w:rFonts w:eastAsia="Times New Roman" w:cs="Times New Roman"/>
          <w:sz w:val="22"/>
          <w:lang w:eastAsia="en-AU"/>
        </w:rPr>
        <w:t>registered higher education provider charge (</w:t>
      </w:r>
      <w:r w:rsidR="00795AB4">
        <w:rPr>
          <w:rFonts w:eastAsia="Times New Roman" w:cs="Times New Roman"/>
          <w:sz w:val="22"/>
          <w:lang w:eastAsia="en-AU"/>
        </w:rPr>
        <w:t>RHEP charge</w:t>
      </w:r>
      <w:r w:rsidR="00810AE0">
        <w:rPr>
          <w:rFonts w:eastAsia="Times New Roman" w:cs="Times New Roman"/>
          <w:sz w:val="22"/>
          <w:lang w:eastAsia="en-AU"/>
        </w:rPr>
        <w:t>)</w:t>
      </w:r>
      <w:r w:rsidR="007A5D72">
        <w:rPr>
          <w:rFonts w:eastAsia="Times New Roman" w:cs="Times New Roman"/>
          <w:sz w:val="22"/>
          <w:lang w:eastAsia="en-AU"/>
        </w:rPr>
        <w:t xml:space="preserve"> for a given year</w:t>
      </w:r>
      <w:r w:rsidR="000B42CA" w:rsidRPr="00291303">
        <w:rPr>
          <w:rFonts w:eastAsia="Times New Roman" w:cs="Times New Roman"/>
          <w:sz w:val="22"/>
          <w:lang w:eastAsia="en-AU"/>
        </w:rPr>
        <w:t xml:space="preserve">. </w:t>
      </w:r>
    </w:p>
    <w:p w14:paraId="2185A394" w14:textId="1096D1CC" w:rsidR="00936BE4" w:rsidRPr="0024226B" w:rsidRDefault="00E857AA" w:rsidP="0024226B">
      <w:pPr>
        <w:pStyle w:val="ListParagraph"/>
        <w:numPr>
          <w:ilvl w:val="0"/>
          <w:numId w:val="17"/>
        </w:numPr>
        <w:spacing w:before="160" w:after="240" w:line="240" w:lineRule="auto"/>
        <w:ind w:right="91"/>
        <w:contextualSpacing w:val="0"/>
        <w:rPr>
          <w:sz w:val="22"/>
          <w:lang w:eastAsia="en-AU"/>
        </w:rPr>
      </w:pPr>
      <w:r w:rsidRPr="0024226B">
        <w:rPr>
          <w:sz w:val="22"/>
        </w:rPr>
        <w:t>The base component recover</w:t>
      </w:r>
      <w:r w:rsidR="008B5B0F" w:rsidRPr="0024226B">
        <w:rPr>
          <w:sz w:val="22"/>
        </w:rPr>
        <w:t>s</w:t>
      </w:r>
      <w:r w:rsidRPr="0024226B">
        <w:rPr>
          <w:sz w:val="22"/>
        </w:rPr>
        <w:t xml:space="preserve"> TEQSA’s costs in relation to </w:t>
      </w:r>
      <w:r w:rsidR="00936BE4" w:rsidRPr="0024226B">
        <w:rPr>
          <w:sz w:val="22"/>
        </w:rPr>
        <w:t xml:space="preserve">six areas of </w:t>
      </w:r>
      <w:r w:rsidRPr="0024226B">
        <w:rPr>
          <w:sz w:val="22"/>
        </w:rPr>
        <w:t xml:space="preserve">regulatory </w:t>
      </w:r>
      <w:r w:rsidR="00936BE4" w:rsidRPr="0024226B">
        <w:rPr>
          <w:sz w:val="22"/>
        </w:rPr>
        <w:t>activit</w:t>
      </w:r>
      <w:r w:rsidRPr="0024226B">
        <w:rPr>
          <w:sz w:val="22"/>
        </w:rPr>
        <w:t>y</w:t>
      </w:r>
      <w:r w:rsidR="009934CD">
        <w:rPr>
          <w:sz w:val="22"/>
        </w:rPr>
        <w:t xml:space="preserve">, which are listed in </w:t>
      </w:r>
      <w:r w:rsidR="00C037B0">
        <w:rPr>
          <w:sz w:val="22"/>
        </w:rPr>
        <w:t>Table 4 of P</w:t>
      </w:r>
      <w:r w:rsidR="009934CD">
        <w:rPr>
          <w:sz w:val="22"/>
        </w:rPr>
        <w:t xml:space="preserve">art 4 of </w:t>
      </w:r>
      <w:r w:rsidR="00706DC0">
        <w:rPr>
          <w:sz w:val="22"/>
        </w:rPr>
        <w:t xml:space="preserve">TEQSA’s </w:t>
      </w:r>
      <w:r w:rsidR="00706DC0" w:rsidRPr="00706DC0">
        <w:rPr>
          <w:sz w:val="22"/>
        </w:rPr>
        <w:t>Cost Recovery Implementation Statement (CRIS)</w:t>
      </w:r>
      <w:r w:rsidR="00936BE4" w:rsidRPr="0024226B">
        <w:rPr>
          <w:sz w:val="22"/>
        </w:rPr>
        <w:t>:</w:t>
      </w:r>
    </w:p>
    <w:p w14:paraId="1EE135FE" w14:textId="0BA4DFEE" w:rsidR="00936BE4" w:rsidRPr="00291303" w:rsidRDefault="00936BE4" w:rsidP="005D403F">
      <w:pPr>
        <w:pStyle w:val="ListParagraph"/>
        <w:numPr>
          <w:ilvl w:val="0"/>
          <w:numId w:val="23"/>
        </w:numPr>
        <w:spacing w:before="160" w:after="240" w:line="240" w:lineRule="auto"/>
        <w:ind w:right="91"/>
        <w:contextualSpacing w:val="0"/>
        <w:rPr>
          <w:rFonts w:eastAsia="Times New Roman" w:cs="Times New Roman"/>
          <w:sz w:val="22"/>
          <w:lang w:eastAsia="en-AU"/>
        </w:rPr>
      </w:pPr>
      <w:r w:rsidRPr="00291303">
        <w:rPr>
          <w:rFonts w:eastAsia="Times New Roman" w:cs="Times New Roman"/>
          <w:sz w:val="22"/>
          <w:lang w:eastAsia="en-AU"/>
        </w:rPr>
        <w:t xml:space="preserve">Concerns </w:t>
      </w:r>
      <w:r w:rsidR="009934CD">
        <w:rPr>
          <w:rFonts w:eastAsia="Times New Roman" w:cs="Times New Roman"/>
          <w:sz w:val="22"/>
          <w:lang w:eastAsia="en-AU"/>
        </w:rPr>
        <w:t>or</w:t>
      </w:r>
      <w:r w:rsidR="009934CD" w:rsidRPr="00291303">
        <w:rPr>
          <w:rFonts w:eastAsia="Times New Roman" w:cs="Times New Roman"/>
          <w:sz w:val="22"/>
          <w:lang w:eastAsia="en-AU"/>
        </w:rPr>
        <w:t xml:space="preserve"> </w:t>
      </w:r>
      <w:r w:rsidR="008C7C0F">
        <w:rPr>
          <w:rFonts w:eastAsia="Times New Roman" w:cs="Times New Roman"/>
          <w:sz w:val="22"/>
          <w:lang w:eastAsia="en-AU"/>
        </w:rPr>
        <w:t>C</w:t>
      </w:r>
      <w:r w:rsidRPr="00291303">
        <w:rPr>
          <w:rFonts w:eastAsia="Times New Roman" w:cs="Times New Roman"/>
          <w:sz w:val="22"/>
          <w:lang w:eastAsia="en-AU"/>
        </w:rPr>
        <w:t>omplaint</w:t>
      </w:r>
      <w:r w:rsidR="00C037B0">
        <w:rPr>
          <w:rFonts w:eastAsia="Times New Roman" w:cs="Times New Roman"/>
          <w:sz w:val="22"/>
          <w:lang w:eastAsia="en-AU"/>
        </w:rPr>
        <w:t xml:space="preserve">s </w:t>
      </w:r>
    </w:p>
    <w:p w14:paraId="40E100DA" w14:textId="68943291" w:rsidR="00936BE4" w:rsidRPr="00291303" w:rsidRDefault="00936BE4" w:rsidP="005D403F">
      <w:pPr>
        <w:pStyle w:val="ListParagraph"/>
        <w:numPr>
          <w:ilvl w:val="0"/>
          <w:numId w:val="23"/>
        </w:numPr>
        <w:spacing w:before="160" w:after="240" w:line="240" w:lineRule="auto"/>
        <w:ind w:right="91"/>
        <w:contextualSpacing w:val="0"/>
        <w:rPr>
          <w:rFonts w:eastAsia="Times New Roman" w:cs="Times New Roman"/>
          <w:sz w:val="22"/>
          <w:lang w:eastAsia="en-AU"/>
        </w:rPr>
      </w:pPr>
      <w:r w:rsidRPr="00291303">
        <w:rPr>
          <w:rFonts w:eastAsia="Times New Roman" w:cs="Times New Roman"/>
          <w:sz w:val="22"/>
          <w:lang w:eastAsia="en-AU"/>
        </w:rPr>
        <w:t xml:space="preserve">Communications and </w:t>
      </w:r>
      <w:r w:rsidR="008C7C0F">
        <w:rPr>
          <w:rFonts w:eastAsia="Times New Roman" w:cs="Times New Roman"/>
          <w:sz w:val="22"/>
          <w:lang w:eastAsia="en-AU"/>
        </w:rPr>
        <w:t>E</w:t>
      </w:r>
      <w:r w:rsidRPr="00291303">
        <w:rPr>
          <w:rFonts w:eastAsia="Times New Roman" w:cs="Times New Roman"/>
          <w:sz w:val="22"/>
          <w:lang w:eastAsia="en-AU"/>
        </w:rPr>
        <w:t xml:space="preserve">ngagement </w:t>
      </w:r>
    </w:p>
    <w:p w14:paraId="12EA9226" w14:textId="4160F52D" w:rsidR="00936BE4" w:rsidRPr="00291303" w:rsidRDefault="00936BE4" w:rsidP="005D403F">
      <w:pPr>
        <w:pStyle w:val="ListParagraph"/>
        <w:numPr>
          <w:ilvl w:val="0"/>
          <w:numId w:val="23"/>
        </w:numPr>
        <w:spacing w:before="160" w:after="240" w:line="240" w:lineRule="auto"/>
        <w:ind w:right="91"/>
        <w:contextualSpacing w:val="0"/>
        <w:rPr>
          <w:rFonts w:eastAsia="Times New Roman" w:cs="Times New Roman"/>
          <w:sz w:val="22"/>
          <w:lang w:eastAsia="en-AU"/>
        </w:rPr>
      </w:pPr>
      <w:r w:rsidRPr="00291303">
        <w:rPr>
          <w:rFonts w:eastAsia="Times New Roman" w:cs="Times New Roman"/>
          <w:sz w:val="22"/>
          <w:lang w:eastAsia="en-AU"/>
        </w:rPr>
        <w:t xml:space="preserve">Risk Assessment </w:t>
      </w:r>
    </w:p>
    <w:p w14:paraId="4BF5854F" w14:textId="2628288F" w:rsidR="00936BE4" w:rsidRPr="00291303" w:rsidRDefault="00936BE4" w:rsidP="005D403F">
      <w:pPr>
        <w:pStyle w:val="ListParagraph"/>
        <w:numPr>
          <w:ilvl w:val="0"/>
          <w:numId w:val="23"/>
        </w:numPr>
        <w:spacing w:before="160" w:after="240" w:line="240" w:lineRule="auto"/>
        <w:ind w:right="91"/>
        <w:contextualSpacing w:val="0"/>
        <w:rPr>
          <w:rFonts w:eastAsia="Times New Roman" w:cs="Times New Roman"/>
          <w:sz w:val="22"/>
          <w:lang w:eastAsia="en-AU"/>
        </w:rPr>
      </w:pPr>
      <w:r w:rsidRPr="00291303" w:rsidDel="009934CD">
        <w:rPr>
          <w:rFonts w:eastAsia="Times New Roman" w:cs="Times New Roman"/>
          <w:sz w:val="22"/>
          <w:lang w:eastAsia="en-AU"/>
        </w:rPr>
        <w:t xml:space="preserve">General </w:t>
      </w:r>
      <w:r w:rsidRPr="00291303">
        <w:rPr>
          <w:rFonts w:eastAsia="Times New Roman" w:cs="Times New Roman"/>
          <w:sz w:val="22"/>
          <w:lang w:eastAsia="en-AU"/>
        </w:rPr>
        <w:t xml:space="preserve">Enquiries </w:t>
      </w:r>
    </w:p>
    <w:p w14:paraId="250808CF" w14:textId="2D3D92EF" w:rsidR="00936BE4" w:rsidRPr="00291303" w:rsidRDefault="00936BE4" w:rsidP="005D403F">
      <w:pPr>
        <w:pStyle w:val="ListParagraph"/>
        <w:numPr>
          <w:ilvl w:val="0"/>
          <w:numId w:val="23"/>
        </w:numPr>
        <w:spacing w:before="160" w:after="240" w:line="240" w:lineRule="auto"/>
        <w:ind w:right="91"/>
        <w:contextualSpacing w:val="0"/>
        <w:rPr>
          <w:rFonts w:eastAsia="Times New Roman" w:cs="Times New Roman"/>
          <w:sz w:val="22"/>
          <w:lang w:eastAsia="en-AU"/>
        </w:rPr>
      </w:pPr>
      <w:r w:rsidRPr="00291303" w:rsidDel="009934CD">
        <w:rPr>
          <w:rFonts w:eastAsia="Times New Roman" w:cs="Times New Roman"/>
          <w:sz w:val="22"/>
          <w:lang w:eastAsia="en-AU"/>
        </w:rPr>
        <w:t xml:space="preserve">Corporate </w:t>
      </w:r>
      <w:r w:rsidRPr="00291303">
        <w:rPr>
          <w:rFonts w:eastAsia="Times New Roman" w:cs="Times New Roman"/>
          <w:sz w:val="22"/>
          <w:lang w:eastAsia="en-AU"/>
        </w:rPr>
        <w:t xml:space="preserve">Support </w:t>
      </w:r>
    </w:p>
    <w:p w14:paraId="7A876368" w14:textId="6274751B" w:rsidR="008C7C0F" w:rsidRPr="00291303" w:rsidRDefault="008C7C0F" w:rsidP="005D403F">
      <w:pPr>
        <w:pStyle w:val="ListParagraph"/>
        <w:numPr>
          <w:ilvl w:val="0"/>
          <w:numId w:val="23"/>
        </w:numPr>
        <w:spacing w:before="160" w:after="240" w:line="240" w:lineRule="auto"/>
        <w:ind w:right="91"/>
        <w:contextualSpacing w:val="0"/>
        <w:rPr>
          <w:rFonts w:eastAsia="Times New Roman" w:cs="Times New Roman"/>
          <w:sz w:val="22"/>
          <w:lang w:eastAsia="en-AU"/>
        </w:rPr>
      </w:pPr>
      <w:r>
        <w:rPr>
          <w:rFonts w:eastAsia="Times New Roman" w:cs="Times New Roman"/>
          <w:sz w:val="22"/>
          <w:lang w:eastAsia="en-AU"/>
        </w:rPr>
        <w:t>Guidance and Education</w:t>
      </w:r>
    </w:p>
    <w:p w14:paraId="3591D278" w14:textId="12D76831" w:rsidR="00C014E7" w:rsidRPr="00C014E7" w:rsidRDefault="00936BE4" w:rsidP="005D403F">
      <w:pPr>
        <w:pStyle w:val="ListParagraph"/>
        <w:numPr>
          <w:ilvl w:val="0"/>
          <w:numId w:val="17"/>
        </w:numPr>
        <w:spacing w:before="160" w:after="240" w:line="240" w:lineRule="auto"/>
        <w:ind w:right="91"/>
        <w:contextualSpacing w:val="0"/>
        <w:rPr>
          <w:rFonts w:eastAsia="Times New Roman" w:cs="Times New Roman"/>
          <w:sz w:val="22"/>
          <w:lang w:eastAsia="en-AU"/>
        </w:rPr>
      </w:pPr>
      <w:r w:rsidRPr="00C014E7">
        <w:rPr>
          <w:rFonts w:eastAsia="Times New Roman" w:cs="Times New Roman"/>
          <w:sz w:val="22"/>
          <w:lang w:eastAsia="en-AU"/>
        </w:rPr>
        <w:t xml:space="preserve">The </w:t>
      </w:r>
      <w:r w:rsidR="00E857AA" w:rsidRPr="00C014E7">
        <w:rPr>
          <w:rFonts w:eastAsia="Times New Roman" w:cs="Times New Roman"/>
          <w:sz w:val="22"/>
          <w:lang w:eastAsia="en-AU"/>
        </w:rPr>
        <w:t xml:space="preserve">first part of the </w:t>
      </w:r>
      <w:r w:rsidR="00AA3BCB" w:rsidRPr="00C014E7">
        <w:rPr>
          <w:rFonts w:eastAsia="Times New Roman" w:cs="Times New Roman"/>
          <w:sz w:val="22"/>
          <w:lang w:eastAsia="en-AU"/>
        </w:rPr>
        <w:t>formula</w:t>
      </w:r>
      <w:r w:rsidR="00E857AA" w:rsidRPr="00C014E7">
        <w:rPr>
          <w:rFonts w:eastAsia="Times New Roman" w:cs="Times New Roman"/>
          <w:sz w:val="22"/>
          <w:lang w:eastAsia="en-AU"/>
        </w:rPr>
        <w:t xml:space="preserve"> set out in subsection 5(2)</w:t>
      </w:r>
      <w:r w:rsidR="00CB01D0">
        <w:rPr>
          <w:rFonts w:eastAsia="Times New Roman" w:cs="Times New Roman"/>
          <w:sz w:val="22"/>
          <w:lang w:eastAsia="en-AU"/>
        </w:rPr>
        <w:t>, outside of the brackets,</w:t>
      </w:r>
      <w:r w:rsidR="00E857AA" w:rsidRPr="00C014E7">
        <w:rPr>
          <w:rFonts w:eastAsia="Times New Roman" w:cs="Times New Roman"/>
          <w:sz w:val="22"/>
          <w:lang w:eastAsia="en-AU"/>
        </w:rPr>
        <w:t xml:space="preserve"> distributes the total </w:t>
      </w:r>
      <w:r w:rsidRPr="00C014E7">
        <w:rPr>
          <w:rFonts w:eastAsia="Times New Roman" w:cs="Times New Roman"/>
          <w:sz w:val="22"/>
          <w:lang w:eastAsia="en-AU"/>
        </w:rPr>
        <w:t xml:space="preserve">costs </w:t>
      </w:r>
      <w:r w:rsidR="00E857AA" w:rsidRPr="00C014E7">
        <w:rPr>
          <w:rFonts w:eastAsia="Times New Roman" w:cs="Times New Roman"/>
          <w:sz w:val="22"/>
          <w:lang w:eastAsia="en-AU"/>
        </w:rPr>
        <w:t xml:space="preserve">for </w:t>
      </w:r>
      <w:r w:rsidR="00AB386B">
        <w:rPr>
          <w:rFonts w:eastAsia="Times New Roman" w:cs="Times New Roman"/>
          <w:sz w:val="22"/>
          <w:lang w:eastAsia="en-AU"/>
        </w:rPr>
        <w:t xml:space="preserve">regulatory </w:t>
      </w:r>
      <w:r w:rsidRPr="00C014E7">
        <w:rPr>
          <w:rFonts w:eastAsia="Times New Roman" w:cs="Times New Roman"/>
          <w:sz w:val="22"/>
          <w:lang w:eastAsia="en-AU"/>
        </w:rPr>
        <w:t>activit</w:t>
      </w:r>
      <w:r w:rsidR="00782A07" w:rsidRPr="00C014E7">
        <w:rPr>
          <w:rFonts w:eastAsia="Times New Roman" w:cs="Times New Roman"/>
          <w:sz w:val="22"/>
          <w:lang w:eastAsia="en-AU"/>
        </w:rPr>
        <w:t>ies</w:t>
      </w:r>
      <w:r w:rsidR="00AB386B">
        <w:rPr>
          <w:rFonts w:eastAsia="Times New Roman" w:cs="Times New Roman"/>
          <w:sz w:val="22"/>
          <w:lang w:eastAsia="en-AU"/>
        </w:rPr>
        <w:t xml:space="preserve"> </w:t>
      </w:r>
      <w:r w:rsidR="00AA3BCB" w:rsidRPr="00C014E7">
        <w:rPr>
          <w:rFonts w:eastAsia="Times New Roman" w:cs="Times New Roman"/>
          <w:sz w:val="22"/>
          <w:lang w:eastAsia="en-AU"/>
        </w:rPr>
        <w:t xml:space="preserve">(ii) – (vi) </w:t>
      </w:r>
      <w:r w:rsidR="00782A07" w:rsidRPr="00C014E7">
        <w:rPr>
          <w:rFonts w:eastAsia="Times New Roman" w:cs="Times New Roman"/>
          <w:sz w:val="22"/>
          <w:lang w:eastAsia="en-AU"/>
        </w:rPr>
        <w:t xml:space="preserve">listed </w:t>
      </w:r>
      <w:r w:rsidRPr="00C014E7">
        <w:rPr>
          <w:rFonts w:eastAsia="Times New Roman" w:cs="Times New Roman"/>
          <w:sz w:val="22"/>
          <w:lang w:eastAsia="en-AU"/>
        </w:rPr>
        <w:t>above</w:t>
      </w:r>
      <w:r w:rsidR="00C57BBA" w:rsidRPr="00C014E7">
        <w:rPr>
          <w:rFonts w:eastAsia="Times New Roman" w:cs="Times New Roman"/>
          <w:sz w:val="22"/>
          <w:lang w:eastAsia="en-AU"/>
        </w:rPr>
        <w:t xml:space="preserve"> </w:t>
      </w:r>
      <w:r w:rsidRPr="00C014E7">
        <w:rPr>
          <w:rFonts w:eastAsia="Times New Roman" w:cs="Times New Roman"/>
          <w:sz w:val="22"/>
          <w:lang w:eastAsia="en-AU"/>
        </w:rPr>
        <w:t xml:space="preserve">evenly across </w:t>
      </w:r>
      <w:r w:rsidR="00E857AA" w:rsidRPr="00C014E7">
        <w:rPr>
          <w:rFonts w:eastAsia="Times New Roman" w:cs="Times New Roman"/>
          <w:sz w:val="22"/>
          <w:lang w:eastAsia="en-AU"/>
        </w:rPr>
        <w:t xml:space="preserve">all </w:t>
      </w:r>
      <w:r w:rsidRPr="00C014E7">
        <w:rPr>
          <w:rFonts w:eastAsia="Times New Roman" w:cs="Times New Roman"/>
          <w:sz w:val="22"/>
          <w:lang w:eastAsia="en-AU"/>
        </w:rPr>
        <w:t xml:space="preserve">higher education providers </w:t>
      </w:r>
      <w:r w:rsidR="00E857AA" w:rsidRPr="00C014E7">
        <w:rPr>
          <w:rFonts w:eastAsia="Times New Roman" w:cs="Times New Roman"/>
          <w:sz w:val="22"/>
          <w:lang w:eastAsia="en-AU"/>
        </w:rPr>
        <w:t xml:space="preserve">that are registered higher education providers on 1 January of the relevant year. </w:t>
      </w:r>
      <w:r w:rsidR="00A35018" w:rsidRPr="00C014E7">
        <w:rPr>
          <w:rFonts w:eastAsia="Times New Roman" w:cs="Times New Roman"/>
          <w:sz w:val="22"/>
          <w:lang w:eastAsia="en-AU"/>
        </w:rPr>
        <w:t xml:space="preserve">The amendment updates </w:t>
      </w:r>
      <w:r w:rsidR="00272F91" w:rsidRPr="00C014E7" w:rsidDel="008657DB">
        <w:rPr>
          <w:rFonts w:eastAsia="Times New Roman" w:cs="Times New Roman"/>
          <w:sz w:val="22"/>
          <w:lang w:eastAsia="en-AU"/>
        </w:rPr>
        <w:t xml:space="preserve">the total </w:t>
      </w:r>
      <w:r w:rsidR="00F92783" w:rsidRPr="00C014E7">
        <w:rPr>
          <w:rFonts w:eastAsia="Times New Roman" w:cs="Times New Roman"/>
          <w:sz w:val="22"/>
          <w:lang w:eastAsia="en-AU"/>
        </w:rPr>
        <w:t>cost</w:t>
      </w:r>
      <w:r w:rsidR="008657DB" w:rsidRPr="00C014E7">
        <w:rPr>
          <w:rFonts w:eastAsia="Times New Roman" w:cs="Times New Roman"/>
          <w:sz w:val="22"/>
          <w:lang w:eastAsia="en-AU"/>
        </w:rPr>
        <w:t xml:space="preserve"> </w:t>
      </w:r>
      <w:r w:rsidR="00272F91" w:rsidRPr="00C014E7" w:rsidDel="008657DB">
        <w:rPr>
          <w:rFonts w:eastAsia="Times New Roman" w:cs="Times New Roman"/>
          <w:sz w:val="22"/>
          <w:lang w:eastAsia="en-AU"/>
        </w:rPr>
        <w:t xml:space="preserve">of </w:t>
      </w:r>
      <w:r w:rsidR="00CB01D0">
        <w:rPr>
          <w:rFonts w:eastAsia="Times New Roman" w:cs="Times New Roman"/>
          <w:sz w:val="22"/>
          <w:lang w:eastAsia="en-AU"/>
        </w:rPr>
        <w:t>those</w:t>
      </w:r>
      <w:r w:rsidR="00E857AA" w:rsidRPr="00C014E7" w:rsidDel="008657DB">
        <w:rPr>
          <w:rFonts w:eastAsia="Times New Roman" w:cs="Times New Roman"/>
          <w:sz w:val="22"/>
          <w:lang w:eastAsia="en-AU"/>
        </w:rPr>
        <w:t xml:space="preserve"> activities </w:t>
      </w:r>
      <w:r w:rsidR="00A35018" w:rsidRPr="00C014E7">
        <w:rPr>
          <w:rFonts w:eastAsia="Times New Roman" w:cs="Times New Roman"/>
          <w:sz w:val="22"/>
          <w:lang w:eastAsia="en-AU"/>
        </w:rPr>
        <w:t xml:space="preserve">from $5,304,000 to </w:t>
      </w:r>
      <w:r w:rsidR="008657DB" w:rsidRPr="00C014E7">
        <w:rPr>
          <w:rFonts w:eastAsia="Times New Roman" w:cs="Times New Roman"/>
          <w:sz w:val="22"/>
          <w:lang w:eastAsia="en-AU"/>
        </w:rPr>
        <w:t>$6,465,000.</w:t>
      </w:r>
    </w:p>
    <w:p w14:paraId="029F4FAA" w14:textId="1F5F1039" w:rsidR="00F602AE" w:rsidRPr="00C014E7" w:rsidRDefault="005F31BF" w:rsidP="005D403F">
      <w:pPr>
        <w:pStyle w:val="ListParagraph"/>
        <w:numPr>
          <w:ilvl w:val="0"/>
          <w:numId w:val="17"/>
        </w:numPr>
        <w:spacing w:before="160" w:after="240" w:line="240" w:lineRule="auto"/>
        <w:ind w:right="91"/>
        <w:contextualSpacing w:val="0"/>
        <w:rPr>
          <w:rFonts w:eastAsia="Times New Roman" w:cs="Times New Roman"/>
          <w:sz w:val="22"/>
          <w:lang w:eastAsia="en-AU"/>
        </w:rPr>
      </w:pPr>
      <w:r w:rsidRPr="00C014E7">
        <w:rPr>
          <w:rFonts w:eastAsia="Times New Roman" w:cs="Times New Roman"/>
          <w:sz w:val="22"/>
          <w:lang w:eastAsia="en-AU"/>
        </w:rPr>
        <w:lastRenderedPageBreak/>
        <w:t xml:space="preserve">The second part of the </w:t>
      </w:r>
      <w:r w:rsidR="00AA3BCB" w:rsidRPr="00C014E7">
        <w:rPr>
          <w:rFonts w:eastAsia="Times New Roman" w:cs="Times New Roman"/>
          <w:sz w:val="22"/>
          <w:lang w:eastAsia="en-AU"/>
        </w:rPr>
        <w:t>formula</w:t>
      </w:r>
      <w:r w:rsidRPr="00C014E7">
        <w:rPr>
          <w:rFonts w:eastAsia="Times New Roman" w:cs="Times New Roman"/>
          <w:sz w:val="22"/>
          <w:lang w:eastAsia="en-AU"/>
        </w:rPr>
        <w:t xml:space="preserve"> set out in subsection 5(2)</w:t>
      </w:r>
      <w:r w:rsidR="00CB01D0">
        <w:rPr>
          <w:rFonts w:eastAsia="Times New Roman" w:cs="Times New Roman"/>
          <w:sz w:val="22"/>
          <w:lang w:eastAsia="en-AU"/>
        </w:rPr>
        <w:t>, inside of the brackets,</w:t>
      </w:r>
      <w:r w:rsidRPr="00C014E7">
        <w:rPr>
          <w:rFonts w:eastAsia="Times New Roman" w:cs="Times New Roman"/>
          <w:sz w:val="22"/>
          <w:lang w:eastAsia="en-AU"/>
        </w:rPr>
        <w:t xml:space="preserve"> distributes </w:t>
      </w:r>
      <w:r w:rsidR="00936BE4" w:rsidRPr="00C014E7">
        <w:rPr>
          <w:rFonts w:eastAsia="Times New Roman" w:cs="Times New Roman"/>
          <w:sz w:val="22"/>
          <w:lang w:eastAsia="en-AU"/>
        </w:rPr>
        <w:t xml:space="preserve">the </w:t>
      </w:r>
      <w:r w:rsidRPr="00C014E7">
        <w:rPr>
          <w:rFonts w:eastAsia="Times New Roman" w:cs="Times New Roman"/>
          <w:sz w:val="22"/>
          <w:lang w:eastAsia="en-AU"/>
        </w:rPr>
        <w:t xml:space="preserve">total </w:t>
      </w:r>
      <w:r w:rsidR="00936BE4" w:rsidRPr="00C33868">
        <w:rPr>
          <w:rFonts w:eastAsia="Times New Roman" w:cs="Times New Roman"/>
          <w:sz w:val="22"/>
          <w:lang w:eastAsia="en-AU"/>
        </w:rPr>
        <w:t>cost</w:t>
      </w:r>
      <w:r w:rsidR="00936BE4" w:rsidRPr="00C014E7">
        <w:rPr>
          <w:rFonts w:eastAsia="Times New Roman" w:cs="Times New Roman"/>
          <w:sz w:val="22"/>
          <w:lang w:eastAsia="en-AU"/>
        </w:rPr>
        <w:t xml:space="preserve"> </w:t>
      </w:r>
      <w:r w:rsidR="00782A07" w:rsidRPr="00C014E7">
        <w:rPr>
          <w:rFonts w:eastAsia="Times New Roman" w:cs="Times New Roman"/>
          <w:sz w:val="22"/>
          <w:lang w:eastAsia="en-AU"/>
        </w:rPr>
        <w:t xml:space="preserve">of activity </w:t>
      </w:r>
      <w:r w:rsidR="00AA3BCB" w:rsidRPr="00C014E7">
        <w:rPr>
          <w:rFonts w:eastAsia="Times New Roman" w:cs="Times New Roman"/>
          <w:sz w:val="22"/>
          <w:lang w:eastAsia="en-AU"/>
        </w:rPr>
        <w:t>(</w:t>
      </w:r>
      <w:proofErr w:type="spellStart"/>
      <w:r w:rsidR="00AA3BCB" w:rsidRPr="00C014E7">
        <w:rPr>
          <w:rFonts w:eastAsia="Times New Roman" w:cs="Times New Roman"/>
          <w:sz w:val="22"/>
          <w:lang w:eastAsia="en-AU"/>
        </w:rPr>
        <w:t>i</w:t>
      </w:r>
      <w:proofErr w:type="spellEnd"/>
      <w:r w:rsidR="00AA3BCB" w:rsidRPr="00C014E7">
        <w:rPr>
          <w:rFonts w:eastAsia="Times New Roman" w:cs="Times New Roman"/>
          <w:sz w:val="22"/>
          <w:lang w:eastAsia="en-AU"/>
        </w:rPr>
        <w:t>) above</w:t>
      </w:r>
      <w:r w:rsidR="00782A07" w:rsidRPr="00C014E7">
        <w:rPr>
          <w:rFonts w:eastAsia="Times New Roman" w:cs="Times New Roman"/>
          <w:sz w:val="22"/>
          <w:lang w:eastAsia="en-AU"/>
        </w:rPr>
        <w:t xml:space="preserve"> </w:t>
      </w:r>
      <w:r w:rsidR="00936BE4" w:rsidRPr="00C014E7">
        <w:rPr>
          <w:rFonts w:eastAsia="Times New Roman" w:cs="Times New Roman"/>
          <w:sz w:val="22"/>
          <w:lang w:eastAsia="en-AU"/>
        </w:rPr>
        <w:t xml:space="preserve">among </w:t>
      </w:r>
      <w:r w:rsidRPr="00C014E7">
        <w:rPr>
          <w:rFonts w:eastAsia="Times New Roman" w:cs="Times New Roman"/>
          <w:sz w:val="22"/>
          <w:lang w:eastAsia="en-AU"/>
        </w:rPr>
        <w:t xml:space="preserve">registered higher education </w:t>
      </w:r>
      <w:r w:rsidR="00936BE4" w:rsidRPr="00C014E7">
        <w:rPr>
          <w:rFonts w:eastAsia="Times New Roman" w:cs="Times New Roman"/>
          <w:sz w:val="22"/>
          <w:lang w:eastAsia="en-AU"/>
        </w:rPr>
        <w:t xml:space="preserve">providers based on </w:t>
      </w:r>
      <w:r w:rsidR="00AA3BCB" w:rsidRPr="00C014E7">
        <w:rPr>
          <w:rFonts w:eastAsia="Times New Roman" w:cs="Times New Roman"/>
          <w:sz w:val="22"/>
          <w:lang w:eastAsia="en-AU"/>
        </w:rPr>
        <w:t>each</w:t>
      </w:r>
      <w:r w:rsidRPr="00C014E7">
        <w:rPr>
          <w:rFonts w:eastAsia="Times New Roman" w:cs="Times New Roman"/>
          <w:sz w:val="22"/>
          <w:lang w:eastAsia="en-AU"/>
        </w:rPr>
        <w:t xml:space="preserve"> provider’s</w:t>
      </w:r>
      <w:r w:rsidR="00936BE4" w:rsidRPr="00C014E7">
        <w:rPr>
          <w:rFonts w:eastAsia="Times New Roman" w:cs="Times New Roman"/>
          <w:sz w:val="22"/>
          <w:lang w:eastAsia="en-AU"/>
        </w:rPr>
        <w:t xml:space="preserve"> </w:t>
      </w:r>
      <w:r w:rsidR="00090EA0" w:rsidRPr="00C33868">
        <w:rPr>
          <w:rFonts w:eastAsia="Times New Roman" w:cs="Times New Roman"/>
          <w:sz w:val="22"/>
          <w:lang w:eastAsia="en-AU"/>
        </w:rPr>
        <w:t xml:space="preserve">proportional </w:t>
      </w:r>
      <w:r w:rsidR="00936BE4" w:rsidRPr="00C014E7">
        <w:rPr>
          <w:rFonts w:eastAsia="Times New Roman" w:cs="Times New Roman"/>
          <w:sz w:val="22"/>
          <w:lang w:eastAsia="en-AU"/>
        </w:rPr>
        <w:t xml:space="preserve">share of </w:t>
      </w:r>
      <w:r w:rsidR="00090EA0" w:rsidRPr="00C33868">
        <w:rPr>
          <w:rFonts w:eastAsia="Times New Roman" w:cs="Times New Roman"/>
          <w:sz w:val="22"/>
          <w:lang w:eastAsia="en-AU"/>
        </w:rPr>
        <w:t>all</w:t>
      </w:r>
      <w:r w:rsidR="00936BE4" w:rsidRPr="00C014E7">
        <w:rPr>
          <w:rFonts w:eastAsia="Times New Roman" w:cs="Times New Roman"/>
          <w:sz w:val="22"/>
          <w:lang w:eastAsia="en-AU"/>
        </w:rPr>
        <w:t xml:space="preserve"> equivalent full-time students</w:t>
      </w:r>
      <w:r w:rsidR="002A1429" w:rsidRPr="00C33868">
        <w:rPr>
          <w:rFonts w:eastAsia="Times New Roman" w:cs="Times New Roman"/>
          <w:sz w:val="22"/>
          <w:lang w:eastAsia="en-AU"/>
        </w:rPr>
        <w:t xml:space="preserve"> </w:t>
      </w:r>
      <w:r w:rsidR="00090EA0" w:rsidRPr="00C33868">
        <w:rPr>
          <w:rFonts w:eastAsia="Times New Roman" w:cs="Times New Roman"/>
          <w:sz w:val="22"/>
          <w:lang w:eastAsia="en-AU"/>
        </w:rPr>
        <w:t>at registered higher education providers</w:t>
      </w:r>
      <w:r w:rsidRPr="00C33868">
        <w:rPr>
          <w:rFonts w:eastAsia="Times New Roman" w:cs="Times New Roman"/>
          <w:sz w:val="22"/>
          <w:lang w:eastAsia="en-AU"/>
        </w:rPr>
        <w:t>.</w:t>
      </w:r>
      <w:r w:rsidRPr="00C014E7">
        <w:rPr>
          <w:rFonts w:eastAsia="Times New Roman" w:cs="Times New Roman"/>
          <w:sz w:val="22"/>
          <w:lang w:eastAsia="en-AU"/>
        </w:rPr>
        <w:t xml:space="preserve"> </w:t>
      </w:r>
      <w:r w:rsidR="00272F91" w:rsidRPr="00C014E7" w:rsidDel="00931DB8">
        <w:rPr>
          <w:rFonts w:eastAsia="Times New Roman" w:cs="Times New Roman"/>
          <w:sz w:val="22"/>
          <w:lang w:eastAsia="en-AU"/>
        </w:rPr>
        <w:t xml:space="preserve">The </w:t>
      </w:r>
      <w:r w:rsidR="00531D27" w:rsidRPr="00C33868">
        <w:rPr>
          <w:rFonts w:eastAsia="Times New Roman" w:cs="Times New Roman"/>
          <w:sz w:val="22"/>
          <w:lang w:eastAsia="en-AU"/>
        </w:rPr>
        <w:t>amendment updates th</w:t>
      </w:r>
      <w:r w:rsidR="00136F1F" w:rsidRPr="00C33868">
        <w:rPr>
          <w:rFonts w:eastAsia="Times New Roman" w:cs="Times New Roman"/>
          <w:sz w:val="22"/>
          <w:lang w:eastAsia="en-AU"/>
        </w:rPr>
        <w:t>e</w:t>
      </w:r>
      <w:r w:rsidR="00531D27" w:rsidRPr="00C33868">
        <w:rPr>
          <w:rFonts w:eastAsia="Times New Roman" w:cs="Times New Roman"/>
          <w:sz w:val="22"/>
          <w:lang w:eastAsia="en-AU"/>
        </w:rPr>
        <w:t xml:space="preserve"> </w:t>
      </w:r>
      <w:r w:rsidR="00F92783" w:rsidRPr="00C33868">
        <w:rPr>
          <w:rFonts w:eastAsia="Times New Roman" w:cs="Times New Roman"/>
          <w:sz w:val="22"/>
          <w:lang w:eastAsia="en-AU"/>
        </w:rPr>
        <w:t>total cost</w:t>
      </w:r>
      <w:r w:rsidR="00531D27" w:rsidRPr="00C33868">
        <w:rPr>
          <w:rFonts w:eastAsia="Times New Roman" w:cs="Times New Roman"/>
          <w:sz w:val="22"/>
          <w:lang w:eastAsia="en-AU"/>
        </w:rPr>
        <w:t xml:space="preserve"> </w:t>
      </w:r>
      <w:r w:rsidR="00136F1F" w:rsidRPr="00C33868">
        <w:rPr>
          <w:rFonts w:eastAsia="Times New Roman" w:cs="Times New Roman"/>
          <w:sz w:val="22"/>
          <w:lang w:eastAsia="en-AU"/>
        </w:rPr>
        <w:t xml:space="preserve">of that regulatory activity </w:t>
      </w:r>
      <w:r w:rsidR="00531D27" w:rsidRPr="00C33868">
        <w:rPr>
          <w:rFonts w:eastAsia="Times New Roman" w:cs="Times New Roman"/>
          <w:sz w:val="22"/>
          <w:lang w:eastAsia="en-AU"/>
        </w:rPr>
        <w:t xml:space="preserve">from $206,000 to </w:t>
      </w:r>
      <w:r w:rsidR="00761512" w:rsidRPr="00C33868">
        <w:rPr>
          <w:rFonts w:eastAsia="Times New Roman" w:cs="Times New Roman"/>
          <w:sz w:val="22"/>
          <w:lang w:eastAsia="en-AU"/>
        </w:rPr>
        <w:t>$197,000.</w:t>
      </w:r>
    </w:p>
    <w:p w14:paraId="17638414" w14:textId="4879CDFC" w:rsidR="00322DC8" w:rsidRPr="00D42D2C" w:rsidRDefault="00F5526C" w:rsidP="0024226B">
      <w:pPr>
        <w:spacing w:before="300" w:after="240" w:line="240" w:lineRule="auto"/>
        <w:ind w:right="91"/>
        <w:rPr>
          <w:rFonts w:ascii="Times New Roman" w:hAnsi="Times New Roman" w:cs="Times New Roman"/>
          <w:i/>
          <w:iCs/>
        </w:rPr>
      </w:pPr>
      <w:r w:rsidRPr="00C33868">
        <w:rPr>
          <w:rFonts w:ascii="Times New Roman" w:hAnsi="Times New Roman" w:cs="Times New Roman"/>
          <w:i/>
        </w:rPr>
        <w:t xml:space="preserve">Item 2 </w:t>
      </w:r>
      <w:r w:rsidR="00322DC8" w:rsidRPr="00C33868">
        <w:rPr>
          <w:rFonts w:ascii="Times New Roman" w:hAnsi="Times New Roman" w:cs="Times New Roman"/>
          <w:i/>
        </w:rPr>
        <w:t xml:space="preserve">– </w:t>
      </w:r>
      <w:r w:rsidR="005677BD" w:rsidRPr="00C33868">
        <w:rPr>
          <w:rFonts w:ascii="Times New Roman" w:hAnsi="Times New Roman" w:cs="Times New Roman"/>
          <w:i/>
        </w:rPr>
        <w:t>After paragraph 5(4)(b)</w:t>
      </w:r>
    </w:p>
    <w:p w14:paraId="3B172589" w14:textId="25D57F17" w:rsidR="00515A89" w:rsidRPr="00C33868" w:rsidRDefault="00322DC8" w:rsidP="005D403F">
      <w:pPr>
        <w:pStyle w:val="ListParagraph"/>
        <w:numPr>
          <w:ilvl w:val="0"/>
          <w:numId w:val="17"/>
        </w:numPr>
        <w:spacing w:before="160" w:after="240" w:line="240" w:lineRule="auto"/>
        <w:contextualSpacing w:val="0"/>
        <w:rPr>
          <w:rFonts w:cs="Times New Roman"/>
          <w:sz w:val="22"/>
        </w:rPr>
      </w:pPr>
      <w:r w:rsidRPr="007410C4">
        <w:rPr>
          <w:rFonts w:cs="Times New Roman"/>
          <w:sz w:val="22"/>
        </w:rPr>
        <w:t xml:space="preserve">This </w:t>
      </w:r>
      <w:r w:rsidR="00D02D04" w:rsidRPr="00C33868">
        <w:rPr>
          <w:rFonts w:cs="Times New Roman"/>
          <w:sz w:val="22"/>
        </w:rPr>
        <w:t>item</w:t>
      </w:r>
      <w:r w:rsidRPr="007410C4">
        <w:rPr>
          <w:rFonts w:cs="Times New Roman"/>
          <w:sz w:val="22"/>
        </w:rPr>
        <w:t xml:space="preserve"> inserts new paragraph 5(</w:t>
      </w:r>
      <w:proofErr w:type="gramStart"/>
      <w:r w:rsidRPr="007410C4">
        <w:rPr>
          <w:rFonts w:cs="Times New Roman"/>
          <w:sz w:val="22"/>
        </w:rPr>
        <w:t>4)(</w:t>
      </w:r>
      <w:proofErr w:type="spellStart"/>
      <w:proofErr w:type="gramEnd"/>
      <w:r w:rsidRPr="007410C4">
        <w:rPr>
          <w:rFonts w:cs="Times New Roman"/>
          <w:sz w:val="22"/>
        </w:rPr>
        <w:t>ba</w:t>
      </w:r>
      <w:proofErr w:type="spellEnd"/>
      <w:r w:rsidRPr="007410C4">
        <w:rPr>
          <w:rFonts w:cs="Times New Roman"/>
          <w:sz w:val="22"/>
        </w:rPr>
        <w:t>) into the Charg</w:t>
      </w:r>
      <w:r>
        <w:rPr>
          <w:rFonts w:cs="Times New Roman"/>
          <w:sz w:val="22"/>
        </w:rPr>
        <w:t>es</w:t>
      </w:r>
      <w:r w:rsidRPr="007410C4">
        <w:rPr>
          <w:rFonts w:cs="Times New Roman"/>
          <w:sz w:val="22"/>
        </w:rPr>
        <w:t xml:space="preserve"> Regulations</w:t>
      </w:r>
      <w:r w:rsidR="00D02D04" w:rsidRPr="00C33868">
        <w:rPr>
          <w:rFonts w:cs="Times New Roman"/>
          <w:sz w:val="22"/>
        </w:rPr>
        <w:t xml:space="preserve">. </w:t>
      </w:r>
      <w:r w:rsidR="00223086" w:rsidRPr="00C33868">
        <w:rPr>
          <w:rFonts w:cs="Times New Roman"/>
          <w:sz w:val="22"/>
        </w:rPr>
        <w:t>Paragraph 5(</w:t>
      </w:r>
      <w:proofErr w:type="gramStart"/>
      <w:r w:rsidR="00223086" w:rsidRPr="00C33868">
        <w:rPr>
          <w:rFonts w:cs="Times New Roman"/>
          <w:sz w:val="22"/>
        </w:rPr>
        <w:t>4)(</w:t>
      </w:r>
      <w:proofErr w:type="spellStart"/>
      <w:proofErr w:type="gramEnd"/>
      <w:r w:rsidR="00223086" w:rsidRPr="00C33868">
        <w:rPr>
          <w:rFonts w:cs="Times New Roman"/>
          <w:sz w:val="22"/>
        </w:rPr>
        <w:t>ba</w:t>
      </w:r>
      <w:proofErr w:type="spellEnd"/>
      <w:r w:rsidR="00223086" w:rsidRPr="00C33868">
        <w:rPr>
          <w:rFonts w:cs="Times New Roman"/>
          <w:sz w:val="22"/>
        </w:rPr>
        <w:t>) provides</w:t>
      </w:r>
      <w:r w:rsidRPr="007410C4">
        <w:rPr>
          <w:rFonts w:cs="Times New Roman"/>
          <w:sz w:val="22"/>
        </w:rPr>
        <w:t xml:space="preserve"> </w:t>
      </w:r>
      <w:r w:rsidRPr="00BD7E07">
        <w:rPr>
          <w:rFonts w:cs="Times New Roman"/>
          <w:sz w:val="22"/>
        </w:rPr>
        <w:t xml:space="preserve">that the compliance component of the </w:t>
      </w:r>
      <w:r w:rsidRPr="00C33868">
        <w:rPr>
          <w:rFonts w:cs="Times New Roman"/>
          <w:sz w:val="22"/>
        </w:rPr>
        <w:t>RHEP</w:t>
      </w:r>
      <w:r>
        <w:rPr>
          <w:rFonts w:cs="Times New Roman"/>
          <w:sz w:val="22"/>
        </w:rPr>
        <w:t xml:space="preserve"> charge</w:t>
      </w:r>
      <w:r w:rsidRPr="00BD7E07">
        <w:rPr>
          <w:rFonts w:cs="Times New Roman"/>
          <w:sz w:val="22"/>
        </w:rPr>
        <w:t xml:space="preserve"> </w:t>
      </w:r>
      <w:r w:rsidR="00223086" w:rsidRPr="00C33868">
        <w:rPr>
          <w:rFonts w:cs="Times New Roman"/>
          <w:sz w:val="22"/>
        </w:rPr>
        <w:t>includes</w:t>
      </w:r>
      <w:r w:rsidRPr="00BD7E07">
        <w:rPr>
          <w:rFonts w:cs="Times New Roman"/>
          <w:sz w:val="22"/>
        </w:rPr>
        <w:t xml:space="preserve"> $36,000 for each compliance </w:t>
      </w:r>
      <w:r>
        <w:rPr>
          <w:rFonts w:cs="Times New Roman"/>
          <w:sz w:val="22"/>
        </w:rPr>
        <w:t>audit</w:t>
      </w:r>
      <w:r w:rsidRPr="00BD7E07">
        <w:rPr>
          <w:rFonts w:cs="Times New Roman"/>
          <w:sz w:val="22"/>
        </w:rPr>
        <w:t xml:space="preserve"> TEQSA </w:t>
      </w:r>
      <w:r w:rsidR="00F2337F" w:rsidRPr="00C33868">
        <w:rPr>
          <w:rFonts w:cs="Times New Roman"/>
          <w:sz w:val="22"/>
        </w:rPr>
        <w:t xml:space="preserve">decided to </w:t>
      </w:r>
      <w:r w:rsidRPr="00C33868">
        <w:rPr>
          <w:rFonts w:cs="Times New Roman"/>
          <w:sz w:val="22"/>
        </w:rPr>
        <w:t>conduct</w:t>
      </w:r>
      <w:r w:rsidR="0075268A" w:rsidRPr="00C33868">
        <w:rPr>
          <w:rFonts w:cs="Times New Roman"/>
          <w:sz w:val="22"/>
        </w:rPr>
        <w:t>,</w:t>
      </w:r>
      <w:r w:rsidRPr="00BD7E07">
        <w:rPr>
          <w:rFonts w:cs="Times New Roman"/>
          <w:sz w:val="22"/>
        </w:rPr>
        <w:t xml:space="preserve"> under section </w:t>
      </w:r>
      <w:r>
        <w:rPr>
          <w:rFonts w:cs="Times New Roman"/>
          <w:sz w:val="22"/>
        </w:rPr>
        <w:t xml:space="preserve">112A of the </w:t>
      </w:r>
      <w:r w:rsidRPr="00C33868">
        <w:rPr>
          <w:rFonts w:cs="Times New Roman"/>
          <w:i/>
          <w:iCs/>
          <w:sz w:val="22"/>
        </w:rPr>
        <w:t>E</w:t>
      </w:r>
      <w:r w:rsidR="007117F3" w:rsidRPr="00C33868">
        <w:rPr>
          <w:rFonts w:cs="Times New Roman"/>
          <w:i/>
          <w:iCs/>
          <w:sz w:val="22"/>
        </w:rPr>
        <w:t>ducation Services for Overseas Students Act 2000</w:t>
      </w:r>
      <w:r w:rsidR="00F21E51" w:rsidRPr="00C33868">
        <w:rPr>
          <w:rFonts w:cs="Times New Roman"/>
          <w:i/>
          <w:iCs/>
          <w:sz w:val="22"/>
        </w:rPr>
        <w:t xml:space="preserve"> </w:t>
      </w:r>
      <w:r w:rsidR="00F21E51" w:rsidRPr="00C33868">
        <w:rPr>
          <w:rFonts w:cs="Times New Roman"/>
          <w:sz w:val="22"/>
        </w:rPr>
        <w:t>(ESOS Act)</w:t>
      </w:r>
      <w:r w:rsidR="005677BD" w:rsidRPr="00C33868">
        <w:rPr>
          <w:rFonts w:cs="Times New Roman"/>
          <w:sz w:val="22"/>
        </w:rPr>
        <w:t>, in the previous calendar year</w:t>
      </w:r>
      <w:r w:rsidRPr="00C33868">
        <w:rPr>
          <w:rFonts w:cs="Times New Roman"/>
          <w:sz w:val="22"/>
        </w:rPr>
        <w:t xml:space="preserve">. </w:t>
      </w:r>
    </w:p>
    <w:p w14:paraId="5FCEBA39" w14:textId="05174960" w:rsidR="00322DC8" w:rsidRDefault="00322DC8" w:rsidP="00C33868">
      <w:pPr>
        <w:pStyle w:val="ListParagraph"/>
        <w:numPr>
          <w:ilvl w:val="0"/>
          <w:numId w:val="17"/>
        </w:numPr>
        <w:spacing w:before="160" w:after="240" w:line="240" w:lineRule="auto"/>
        <w:contextualSpacing w:val="0"/>
        <w:rPr>
          <w:rFonts w:cs="Times New Roman"/>
          <w:sz w:val="22"/>
        </w:rPr>
      </w:pPr>
      <w:r w:rsidRPr="00C33868">
        <w:rPr>
          <w:rFonts w:cs="Times New Roman"/>
          <w:sz w:val="22"/>
        </w:rPr>
        <w:t>Th</w:t>
      </w:r>
      <w:r w:rsidR="002A6EEA" w:rsidRPr="00C33868">
        <w:rPr>
          <w:rFonts w:cs="Times New Roman"/>
          <w:sz w:val="22"/>
        </w:rPr>
        <w:t xml:space="preserve">e amount </w:t>
      </w:r>
      <w:r w:rsidR="000A10DA" w:rsidRPr="00C33868">
        <w:rPr>
          <w:rFonts w:cs="Times New Roman"/>
          <w:sz w:val="22"/>
        </w:rPr>
        <w:t xml:space="preserve">to be </w:t>
      </w:r>
      <w:r w:rsidR="002A6EEA" w:rsidRPr="00C33868">
        <w:rPr>
          <w:rFonts w:cs="Times New Roman"/>
          <w:sz w:val="22"/>
        </w:rPr>
        <w:t xml:space="preserve">charged for compliance audits is consistent with the amount </w:t>
      </w:r>
      <w:r w:rsidR="00AB5C6F" w:rsidRPr="00C33868">
        <w:rPr>
          <w:rFonts w:cs="Times New Roman"/>
          <w:sz w:val="22"/>
        </w:rPr>
        <w:t xml:space="preserve">set out in the </w:t>
      </w:r>
      <w:r w:rsidR="009D5634" w:rsidRPr="00C33868">
        <w:rPr>
          <w:rFonts w:cs="Times New Roman"/>
          <w:sz w:val="22"/>
        </w:rPr>
        <w:t>2022 version of TEQSA’s Cost Recovery Implementation Statement</w:t>
      </w:r>
      <w:r w:rsidR="00D77549" w:rsidRPr="00C33868">
        <w:rPr>
          <w:rFonts w:cs="Times New Roman"/>
          <w:sz w:val="22"/>
        </w:rPr>
        <w:t xml:space="preserve"> (</w:t>
      </w:r>
      <w:r w:rsidR="00AB5C6F" w:rsidRPr="00C33868">
        <w:rPr>
          <w:rFonts w:cs="Times New Roman"/>
          <w:sz w:val="22"/>
        </w:rPr>
        <w:t>CRIS</w:t>
      </w:r>
      <w:r w:rsidR="00D77549" w:rsidRPr="00C33868">
        <w:rPr>
          <w:rFonts w:cs="Times New Roman"/>
          <w:sz w:val="22"/>
        </w:rPr>
        <w:t xml:space="preserve">) </w:t>
      </w:r>
      <w:r w:rsidR="00AB5C6F" w:rsidRPr="00C33868">
        <w:rPr>
          <w:rFonts w:cs="Times New Roman"/>
          <w:sz w:val="22"/>
        </w:rPr>
        <w:t xml:space="preserve">for ‘compliance </w:t>
      </w:r>
      <w:proofErr w:type="gramStart"/>
      <w:r w:rsidR="00AB5C6F" w:rsidRPr="00C33868">
        <w:rPr>
          <w:rFonts w:cs="Times New Roman"/>
          <w:sz w:val="22"/>
        </w:rPr>
        <w:t>assessment</w:t>
      </w:r>
      <w:r w:rsidR="00D77549" w:rsidRPr="00C33868">
        <w:rPr>
          <w:rFonts w:cs="Times New Roman"/>
          <w:sz w:val="22"/>
        </w:rPr>
        <w:t>s</w:t>
      </w:r>
      <w:r w:rsidR="000A10DA" w:rsidRPr="00C33868">
        <w:rPr>
          <w:rFonts w:cs="Times New Roman"/>
          <w:sz w:val="22"/>
        </w:rPr>
        <w:t>’</w:t>
      </w:r>
      <w:proofErr w:type="gramEnd"/>
      <w:r w:rsidR="000A10DA" w:rsidRPr="00C33868">
        <w:rPr>
          <w:rFonts w:cs="Times New Roman"/>
          <w:sz w:val="22"/>
        </w:rPr>
        <w:t xml:space="preserve">. </w:t>
      </w:r>
      <w:r w:rsidR="002D33BE" w:rsidRPr="00BC7401">
        <w:rPr>
          <w:rFonts w:cs="Times New Roman"/>
          <w:sz w:val="22"/>
        </w:rPr>
        <w:t>TEQSA’s annual review of the CRIS</w:t>
      </w:r>
      <w:r w:rsidR="002D33BE" w:rsidRPr="00CF3BF9">
        <w:rPr>
          <w:sz w:val="22"/>
        </w:rPr>
        <w:t xml:space="preserve"> </w:t>
      </w:r>
      <w:r w:rsidR="002D33BE" w:rsidRPr="00BC7401">
        <w:rPr>
          <w:sz w:val="22"/>
        </w:rPr>
        <w:t>identified that</w:t>
      </w:r>
      <w:r w:rsidR="002D33BE" w:rsidRPr="00CF3BF9">
        <w:rPr>
          <w:sz w:val="22"/>
        </w:rPr>
        <w:t>,</w:t>
      </w:r>
      <w:r w:rsidR="002D33BE" w:rsidRPr="00BC7401">
        <w:rPr>
          <w:sz w:val="22"/>
        </w:rPr>
        <w:t xml:space="preserve"> while that CRIS referred to “compliance assessments”, it did not specifically reference accreditation assessments (which are commenced under section 61 of the TEQSA Act) or compliance audits (which are commenced under section 112A of the ESOS Act). The updated version of the CRIS </w:t>
      </w:r>
      <w:r w:rsidR="002D33BE">
        <w:rPr>
          <w:sz w:val="22"/>
        </w:rPr>
        <w:t xml:space="preserve">published in November 2023 </w:t>
      </w:r>
      <w:r w:rsidR="002D33BE" w:rsidRPr="00BC7401">
        <w:rPr>
          <w:sz w:val="22"/>
        </w:rPr>
        <w:t>makes specific reference to compliance audits commenced under section 112A of the ESOS Act and provides that the cost of those assessments is $36,000.</w:t>
      </w:r>
    </w:p>
    <w:p w14:paraId="60425DF4" w14:textId="40563F6C" w:rsidR="00F602AE" w:rsidRPr="005D403F" w:rsidRDefault="00F5526C" w:rsidP="005D403F">
      <w:pPr>
        <w:spacing w:before="300" w:after="240" w:line="240" w:lineRule="auto"/>
        <w:ind w:right="91"/>
        <w:rPr>
          <w:rFonts w:ascii="Times New Roman" w:eastAsia="Times New Roman" w:hAnsi="Times New Roman" w:cs="Times New Roman"/>
          <w:i/>
          <w:lang w:eastAsia="en-AU"/>
        </w:rPr>
      </w:pPr>
      <w:r>
        <w:rPr>
          <w:rFonts w:ascii="Times New Roman" w:eastAsia="Times New Roman" w:hAnsi="Times New Roman" w:cs="Times New Roman"/>
          <w:i/>
          <w:iCs/>
          <w:lang w:eastAsia="en-AU"/>
        </w:rPr>
        <w:t>Item 3</w:t>
      </w:r>
      <w:r w:rsidRPr="002C0A60">
        <w:rPr>
          <w:rFonts w:ascii="Times New Roman" w:eastAsia="Times New Roman" w:hAnsi="Times New Roman" w:cs="Times New Roman"/>
          <w:i/>
          <w:iCs/>
          <w:lang w:eastAsia="en-AU"/>
        </w:rPr>
        <w:t xml:space="preserve"> </w:t>
      </w:r>
      <w:r w:rsidR="00C735DD" w:rsidRPr="002C0A60">
        <w:rPr>
          <w:rFonts w:ascii="Times New Roman" w:eastAsia="Times New Roman" w:hAnsi="Times New Roman" w:cs="Times New Roman"/>
          <w:i/>
          <w:iCs/>
          <w:lang w:eastAsia="en-AU"/>
        </w:rPr>
        <w:t>–</w:t>
      </w:r>
      <w:r w:rsidR="00F602AE" w:rsidRPr="002C0A60">
        <w:rPr>
          <w:rFonts w:ascii="Times New Roman" w:eastAsia="Times New Roman" w:hAnsi="Times New Roman" w:cs="Times New Roman"/>
          <w:i/>
          <w:iCs/>
          <w:lang w:eastAsia="en-AU"/>
        </w:rPr>
        <w:t xml:space="preserve"> </w:t>
      </w:r>
      <w:r w:rsidR="007117F3">
        <w:rPr>
          <w:rFonts w:ascii="Times New Roman" w:eastAsia="Times New Roman" w:hAnsi="Times New Roman" w:cs="Times New Roman"/>
          <w:i/>
          <w:iCs/>
          <w:lang w:eastAsia="en-AU"/>
        </w:rPr>
        <w:t xml:space="preserve">Subparagraph 5(4)(c)(ii) </w:t>
      </w:r>
    </w:p>
    <w:p w14:paraId="2956559B" w14:textId="04673559" w:rsidR="00E904AA" w:rsidRDefault="00E50AC6" w:rsidP="005D403F">
      <w:pPr>
        <w:pStyle w:val="ListParagraph"/>
        <w:numPr>
          <w:ilvl w:val="0"/>
          <w:numId w:val="17"/>
        </w:numPr>
        <w:spacing w:before="160" w:after="240" w:line="240" w:lineRule="auto"/>
        <w:ind w:right="91"/>
        <w:contextualSpacing w:val="0"/>
        <w:rPr>
          <w:rFonts w:eastAsia="Times New Roman" w:cs="Times New Roman"/>
          <w:sz w:val="22"/>
          <w:lang w:eastAsia="en-AU"/>
        </w:rPr>
      </w:pPr>
      <w:r w:rsidRPr="00C014E7">
        <w:rPr>
          <w:rFonts w:eastAsia="Times New Roman" w:cs="Times New Roman"/>
          <w:sz w:val="22"/>
          <w:lang w:eastAsia="en-AU"/>
        </w:rPr>
        <w:t xml:space="preserve">This </w:t>
      </w:r>
      <w:r w:rsidR="0004329A">
        <w:rPr>
          <w:rFonts w:eastAsia="Times New Roman" w:cs="Times New Roman"/>
          <w:sz w:val="22"/>
          <w:lang w:eastAsia="en-AU"/>
        </w:rPr>
        <w:t xml:space="preserve">item </w:t>
      </w:r>
      <w:r w:rsidR="00FF200F" w:rsidRPr="00C014E7">
        <w:rPr>
          <w:rFonts w:eastAsia="Times New Roman" w:cs="Times New Roman"/>
          <w:sz w:val="22"/>
          <w:lang w:eastAsia="en-AU"/>
        </w:rPr>
        <w:t xml:space="preserve">amends </w:t>
      </w:r>
      <w:r w:rsidR="00FF200F" w:rsidRPr="00FE3BB6">
        <w:rPr>
          <w:rFonts w:eastAsia="Times New Roman" w:cs="Times New Roman"/>
          <w:sz w:val="22"/>
          <w:lang w:eastAsia="en-AU"/>
        </w:rPr>
        <w:t>s</w:t>
      </w:r>
      <w:r w:rsidR="00936BE4" w:rsidRPr="00FE3BB6">
        <w:rPr>
          <w:rFonts w:eastAsia="Times New Roman" w:cs="Times New Roman"/>
          <w:sz w:val="22"/>
          <w:lang w:eastAsia="en-AU"/>
        </w:rPr>
        <w:t>ub</w:t>
      </w:r>
      <w:r w:rsidR="007117F3">
        <w:rPr>
          <w:rFonts w:eastAsia="Times New Roman" w:cs="Times New Roman"/>
          <w:sz w:val="22"/>
          <w:lang w:eastAsia="en-AU"/>
        </w:rPr>
        <w:t>paragraph</w:t>
      </w:r>
      <w:r w:rsidR="00936BE4" w:rsidRPr="00FE3BB6">
        <w:rPr>
          <w:rFonts w:eastAsia="Times New Roman" w:cs="Times New Roman"/>
          <w:sz w:val="22"/>
          <w:lang w:eastAsia="en-AU"/>
        </w:rPr>
        <w:t xml:space="preserve"> </w:t>
      </w:r>
      <w:r w:rsidR="00E857AA" w:rsidRPr="00FE3BB6">
        <w:rPr>
          <w:rFonts w:eastAsia="Times New Roman" w:cs="Times New Roman"/>
          <w:sz w:val="22"/>
          <w:lang w:eastAsia="en-AU"/>
        </w:rPr>
        <w:t>5(</w:t>
      </w:r>
      <w:r w:rsidR="00936BE4" w:rsidRPr="00FE3BB6">
        <w:rPr>
          <w:rFonts w:eastAsia="Times New Roman" w:cs="Times New Roman"/>
          <w:sz w:val="22"/>
          <w:lang w:eastAsia="en-AU"/>
        </w:rPr>
        <w:t>4</w:t>
      </w:r>
      <w:r w:rsidR="00E857AA" w:rsidRPr="00FE3BB6">
        <w:rPr>
          <w:rFonts w:eastAsia="Times New Roman" w:cs="Times New Roman"/>
          <w:sz w:val="22"/>
          <w:lang w:eastAsia="en-AU"/>
        </w:rPr>
        <w:t>)</w:t>
      </w:r>
      <w:r w:rsidR="007117F3">
        <w:rPr>
          <w:rFonts w:eastAsia="Times New Roman" w:cs="Times New Roman"/>
          <w:sz w:val="22"/>
          <w:lang w:eastAsia="en-AU"/>
        </w:rPr>
        <w:t>(c)(ii)</w:t>
      </w:r>
      <w:r w:rsidR="00FF200F" w:rsidRPr="00FE3BB6">
        <w:rPr>
          <w:rFonts w:eastAsia="Times New Roman" w:cs="Times New Roman"/>
          <w:sz w:val="22"/>
          <w:lang w:eastAsia="en-AU"/>
        </w:rPr>
        <w:t xml:space="preserve"> of the Charg</w:t>
      </w:r>
      <w:r w:rsidR="003F2F75" w:rsidRPr="00FE3BB6">
        <w:rPr>
          <w:rFonts w:eastAsia="Times New Roman" w:cs="Times New Roman"/>
          <w:sz w:val="22"/>
          <w:lang w:eastAsia="en-AU"/>
        </w:rPr>
        <w:t>es</w:t>
      </w:r>
      <w:r w:rsidR="00FF200F" w:rsidRPr="00FE3BB6">
        <w:rPr>
          <w:rFonts w:eastAsia="Times New Roman" w:cs="Times New Roman"/>
          <w:sz w:val="22"/>
          <w:lang w:eastAsia="en-AU"/>
        </w:rPr>
        <w:t xml:space="preserve"> Regulations</w:t>
      </w:r>
      <w:r w:rsidR="00FC5B43">
        <w:rPr>
          <w:rFonts w:eastAsia="Times New Roman" w:cs="Times New Roman"/>
          <w:sz w:val="22"/>
          <w:lang w:eastAsia="en-AU"/>
        </w:rPr>
        <w:t xml:space="preserve">, reducing the amount that is charged as part of the compliance component of the RHEP charge </w:t>
      </w:r>
      <w:r w:rsidR="00E904AA">
        <w:rPr>
          <w:rFonts w:eastAsia="Times New Roman" w:cs="Times New Roman"/>
          <w:sz w:val="22"/>
          <w:lang w:eastAsia="en-AU"/>
        </w:rPr>
        <w:t xml:space="preserve">where a condition applied to the registration of a provider in the previous calendar year. </w:t>
      </w:r>
      <w:r w:rsidR="0084292D">
        <w:rPr>
          <w:rFonts w:eastAsia="Times New Roman" w:cs="Times New Roman"/>
          <w:sz w:val="22"/>
          <w:lang w:eastAsia="en-AU"/>
        </w:rPr>
        <w:t xml:space="preserve">The amount </w:t>
      </w:r>
      <w:r w:rsidR="00443111">
        <w:rPr>
          <w:rFonts w:eastAsia="Times New Roman" w:cs="Times New Roman"/>
          <w:sz w:val="22"/>
          <w:lang w:eastAsia="en-AU"/>
        </w:rPr>
        <w:t>is</w:t>
      </w:r>
      <w:r w:rsidR="0084292D">
        <w:rPr>
          <w:rFonts w:eastAsia="Times New Roman" w:cs="Times New Roman"/>
          <w:sz w:val="22"/>
          <w:lang w:eastAsia="en-AU"/>
        </w:rPr>
        <w:t xml:space="preserve"> reduced from $8,</w:t>
      </w:r>
      <w:r w:rsidR="00443111">
        <w:rPr>
          <w:rFonts w:eastAsia="Times New Roman" w:cs="Times New Roman"/>
          <w:sz w:val="22"/>
          <w:lang w:eastAsia="en-AU"/>
        </w:rPr>
        <w:t xml:space="preserve">375 to $4,100 to reflect an improved, and more </w:t>
      </w:r>
      <w:r w:rsidR="006917B9">
        <w:rPr>
          <w:rFonts w:eastAsia="Times New Roman" w:cs="Times New Roman"/>
          <w:sz w:val="22"/>
          <w:lang w:eastAsia="en-AU"/>
        </w:rPr>
        <w:t>efficient</w:t>
      </w:r>
      <w:r w:rsidR="00443111">
        <w:rPr>
          <w:rFonts w:eastAsia="Times New Roman" w:cs="Times New Roman"/>
          <w:sz w:val="22"/>
          <w:lang w:eastAsia="en-AU"/>
        </w:rPr>
        <w:t xml:space="preserve">, process for monitoring compliance with these conditions that has been developed since </w:t>
      </w:r>
      <w:r w:rsidR="006917B9">
        <w:rPr>
          <w:rFonts w:eastAsia="Times New Roman" w:cs="Times New Roman"/>
          <w:sz w:val="22"/>
          <w:lang w:eastAsia="en-AU"/>
        </w:rPr>
        <w:t xml:space="preserve">the Charges Regulations were drafted. </w:t>
      </w:r>
    </w:p>
    <w:p w14:paraId="05931B1D" w14:textId="3D96D301" w:rsidR="00322DC8" w:rsidRPr="00F5526C" w:rsidRDefault="00322DC8" w:rsidP="0024226B">
      <w:pPr>
        <w:spacing w:before="300" w:after="240" w:line="240" w:lineRule="auto"/>
        <w:ind w:right="91"/>
        <w:rPr>
          <w:rFonts w:ascii="Times New Roman" w:eastAsia="Times New Roman" w:hAnsi="Times New Roman" w:cs="Times New Roman"/>
          <w:i/>
          <w:iCs/>
          <w:lang w:eastAsia="en-AU"/>
        </w:rPr>
      </w:pPr>
      <w:r w:rsidRPr="00F5526C">
        <w:rPr>
          <w:rFonts w:ascii="Times New Roman" w:eastAsia="Times New Roman" w:hAnsi="Times New Roman" w:cs="Times New Roman"/>
          <w:i/>
          <w:iCs/>
          <w:lang w:eastAsia="en-AU"/>
        </w:rPr>
        <w:t xml:space="preserve">Item 4 </w:t>
      </w:r>
      <w:r w:rsidR="00194627" w:rsidRPr="00F5526C">
        <w:rPr>
          <w:rFonts w:ascii="Times New Roman" w:eastAsia="Times New Roman" w:hAnsi="Times New Roman" w:cs="Times New Roman"/>
          <w:i/>
          <w:iCs/>
          <w:lang w:eastAsia="en-AU"/>
        </w:rPr>
        <w:t>–</w:t>
      </w:r>
      <w:r w:rsidRPr="00F5526C">
        <w:rPr>
          <w:rFonts w:ascii="Times New Roman" w:eastAsia="Times New Roman" w:hAnsi="Times New Roman" w:cs="Times New Roman"/>
          <w:i/>
          <w:iCs/>
          <w:lang w:eastAsia="en-AU"/>
        </w:rPr>
        <w:t xml:space="preserve"> </w:t>
      </w:r>
      <w:r w:rsidR="00194627" w:rsidRPr="00F5526C">
        <w:rPr>
          <w:rFonts w:ascii="Times New Roman" w:eastAsia="Times New Roman" w:hAnsi="Times New Roman" w:cs="Times New Roman"/>
          <w:i/>
          <w:iCs/>
          <w:lang w:eastAsia="en-AU"/>
        </w:rPr>
        <w:t>A</w:t>
      </w:r>
      <w:r w:rsidR="005A7C07">
        <w:rPr>
          <w:rFonts w:ascii="Times New Roman" w:eastAsia="Times New Roman" w:hAnsi="Times New Roman" w:cs="Times New Roman"/>
          <w:i/>
          <w:iCs/>
          <w:lang w:eastAsia="en-AU"/>
        </w:rPr>
        <w:t xml:space="preserve">fter subsection 7(1) </w:t>
      </w:r>
    </w:p>
    <w:p w14:paraId="57ADE3B9" w14:textId="63CDDAA2" w:rsidR="009E3260" w:rsidRPr="0024226B" w:rsidRDefault="009E3260" w:rsidP="005D403F">
      <w:pPr>
        <w:pStyle w:val="ListParagraph"/>
        <w:numPr>
          <w:ilvl w:val="0"/>
          <w:numId w:val="17"/>
        </w:numPr>
        <w:spacing w:before="160" w:after="240" w:line="240" w:lineRule="auto"/>
        <w:ind w:right="91"/>
        <w:contextualSpacing w:val="0"/>
        <w:rPr>
          <w:rFonts w:eastAsia="Times New Roman" w:cs="Times New Roman"/>
          <w:lang w:eastAsia="en-AU"/>
        </w:rPr>
      </w:pPr>
      <w:r w:rsidRPr="00F5526C">
        <w:rPr>
          <w:rFonts w:eastAsia="Times New Roman" w:cs="Times New Roman"/>
          <w:sz w:val="22"/>
          <w:lang w:eastAsia="en-AU"/>
        </w:rPr>
        <w:t xml:space="preserve">This </w:t>
      </w:r>
      <w:r w:rsidR="0004329A">
        <w:rPr>
          <w:rFonts w:eastAsia="Times New Roman" w:cs="Times New Roman"/>
          <w:sz w:val="22"/>
          <w:lang w:eastAsia="en-AU"/>
        </w:rPr>
        <w:t>item</w:t>
      </w:r>
      <w:r w:rsidRPr="00F5526C">
        <w:rPr>
          <w:rFonts w:eastAsia="Times New Roman" w:cs="Times New Roman"/>
          <w:sz w:val="22"/>
          <w:lang w:eastAsia="en-AU"/>
        </w:rPr>
        <w:t xml:space="preserve"> inserts </w:t>
      </w:r>
      <w:r w:rsidR="00374145">
        <w:rPr>
          <w:rFonts w:eastAsia="Times New Roman" w:cs="Times New Roman"/>
          <w:sz w:val="22"/>
          <w:lang w:eastAsia="en-AU"/>
        </w:rPr>
        <w:t xml:space="preserve">a </w:t>
      </w:r>
      <w:r w:rsidRPr="00F5526C">
        <w:rPr>
          <w:rFonts w:eastAsia="Times New Roman" w:cs="Times New Roman"/>
          <w:sz w:val="22"/>
          <w:lang w:eastAsia="en-AU"/>
        </w:rPr>
        <w:t xml:space="preserve">new </w:t>
      </w:r>
      <w:r w:rsidR="00374145">
        <w:rPr>
          <w:rFonts w:eastAsia="Times New Roman" w:cs="Times New Roman"/>
          <w:sz w:val="22"/>
          <w:lang w:eastAsia="en-AU"/>
        </w:rPr>
        <w:t>application provision,</w:t>
      </w:r>
      <w:r w:rsidRPr="00F5526C">
        <w:rPr>
          <w:rFonts w:eastAsia="Times New Roman" w:cs="Times New Roman"/>
          <w:sz w:val="22"/>
          <w:lang w:eastAsia="en-AU"/>
        </w:rPr>
        <w:t xml:space="preserve"> </w:t>
      </w:r>
      <w:r w:rsidR="00F5526C" w:rsidRPr="00F5526C">
        <w:rPr>
          <w:rFonts w:eastAsia="Times New Roman" w:cs="Times New Roman"/>
          <w:sz w:val="22"/>
          <w:lang w:eastAsia="en-AU"/>
        </w:rPr>
        <w:t>subsection 7(1A)</w:t>
      </w:r>
      <w:r w:rsidR="00374145">
        <w:rPr>
          <w:rFonts w:eastAsia="Times New Roman" w:cs="Times New Roman"/>
          <w:sz w:val="22"/>
          <w:lang w:eastAsia="en-AU"/>
        </w:rPr>
        <w:t>,</w:t>
      </w:r>
      <w:r w:rsidR="00F5526C" w:rsidRPr="00F5526C">
        <w:rPr>
          <w:rFonts w:eastAsia="Times New Roman" w:cs="Times New Roman"/>
          <w:sz w:val="22"/>
          <w:lang w:eastAsia="en-AU"/>
        </w:rPr>
        <w:t xml:space="preserve"> into the Charging Regulations</w:t>
      </w:r>
      <w:r w:rsidR="00374145">
        <w:rPr>
          <w:rFonts w:eastAsia="Times New Roman" w:cs="Times New Roman"/>
          <w:sz w:val="22"/>
          <w:lang w:eastAsia="en-AU"/>
        </w:rPr>
        <w:t>. Th</w:t>
      </w:r>
      <w:r w:rsidR="000802B0">
        <w:rPr>
          <w:rFonts w:eastAsia="Times New Roman" w:cs="Times New Roman"/>
          <w:sz w:val="22"/>
          <w:lang w:eastAsia="en-AU"/>
        </w:rPr>
        <w:t xml:space="preserve">e </w:t>
      </w:r>
      <w:r w:rsidR="00F21E51">
        <w:rPr>
          <w:rFonts w:eastAsia="Times New Roman" w:cs="Times New Roman"/>
          <w:sz w:val="22"/>
          <w:lang w:eastAsia="en-AU"/>
        </w:rPr>
        <w:t>application provision</w:t>
      </w:r>
      <w:r w:rsidR="000802B0">
        <w:rPr>
          <w:rFonts w:eastAsia="Times New Roman" w:cs="Times New Roman"/>
          <w:sz w:val="22"/>
          <w:lang w:eastAsia="en-AU"/>
        </w:rPr>
        <w:t xml:space="preserve"> clarifies</w:t>
      </w:r>
      <w:r w:rsidR="00F5526C" w:rsidRPr="00F5526C">
        <w:rPr>
          <w:rFonts w:eastAsia="Times New Roman" w:cs="Times New Roman"/>
          <w:sz w:val="22"/>
          <w:lang w:eastAsia="en-AU"/>
        </w:rPr>
        <w:t xml:space="preserve"> that paragraph 5(</w:t>
      </w:r>
      <w:proofErr w:type="gramStart"/>
      <w:r w:rsidR="00F5526C" w:rsidRPr="00F5526C">
        <w:rPr>
          <w:rFonts w:eastAsia="Times New Roman" w:cs="Times New Roman"/>
          <w:sz w:val="22"/>
          <w:lang w:eastAsia="en-AU"/>
        </w:rPr>
        <w:t>4)(</w:t>
      </w:r>
      <w:proofErr w:type="spellStart"/>
      <w:proofErr w:type="gramEnd"/>
      <w:r w:rsidR="00F5526C" w:rsidRPr="00F5526C">
        <w:rPr>
          <w:rFonts w:eastAsia="Times New Roman" w:cs="Times New Roman"/>
          <w:sz w:val="22"/>
          <w:lang w:eastAsia="en-AU"/>
        </w:rPr>
        <w:t>ba</w:t>
      </w:r>
      <w:proofErr w:type="spellEnd"/>
      <w:r w:rsidR="00F5526C" w:rsidRPr="00F5526C">
        <w:rPr>
          <w:rFonts w:eastAsia="Times New Roman" w:cs="Times New Roman"/>
          <w:sz w:val="22"/>
          <w:lang w:eastAsia="en-AU"/>
        </w:rPr>
        <w:t>)</w:t>
      </w:r>
      <w:r w:rsidR="000802B0">
        <w:rPr>
          <w:rFonts w:eastAsia="Times New Roman" w:cs="Times New Roman"/>
          <w:sz w:val="22"/>
          <w:lang w:eastAsia="en-AU"/>
        </w:rPr>
        <w:t xml:space="preserve">, providing a charge </w:t>
      </w:r>
      <w:r w:rsidR="00F21E51">
        <w:rPr>
          <w:rFonts w:eastAsia="Times New Roman" w:cs="Times New Roman"/>
          <w:sz w:val="22"/>
          <w:lang w:eastAsia="en-AU"/>
        </w:rPr>
        <w:t>for compliance audits commenced under the ESOS Act,</w:t>
      </w:r>
      <w:r w:rsidR="00F5526C" w:rsidRPr="00F5526C">
        <w:rPr>
          <w:rFonts w:eastAsia="Times New Roman" w:cs="Times New Roman"/>
          <w:sz w:val="22"/>
          <w:lang w:eastAsia="en-AU"/>
        </w:rPr>
        <w:t xml:space="preserve"> applies </w:t>
      </w:r>
      <w:r w:rsidR="00F5526C">
        <w:rPr>
          <w:rFonts w:eastAsia="Times New Roman" w:cs="Times New Roman"/>
          <w:sz w:val="22"/>
          <w:lang w:eastAsia="en-AU"/>
        </w:rPr>
        <w:t xml:space="preserve">in relation </w:t>
      </w:r>
      <w:r w:rsidR="00F5526C" w:rsidRPr="00F5526C">
        <w:rPr>
          <w:rFonts w:eastAsia="Times New Roman" w:cs="Times New Roman"/>
          <w:sz w:val="22"/>
          <w:lang w:eastAsia="en-AU"/>
        </w:rPr>
        <w:t xml:space="preserve">to an audit conducted on or after 1 January 2024. </w:t>
      </w:r>
    </w:p>
    <w:p w14:paraId="0619C789" w14:textId="784B91B7" w:rsidR="00F21E51" w:rsidRPr="0024226B" w:rsidRDefault="000D176B" w:rsidP="0024226B">
      <w:pPr>
        <w:pStyle w:val="ListParagraph"/>
        <w:numPr>
          <w:ilvl w:val="0"/>
          <w:numId w:val="17"/>
        </w:numPr>
        <w:spacing w:before="160" w:after="240" w:line="240" w:lineRule="auto"/>
        <w:ind w:right="91"/>
        <w:contextualSpacing w:val="0"/>
        <w:rPr>
          <w:rFonts w:eastAsia="Times New Roman" w:cs="Times New Roman"/>
          <w:lang w:eastAsia="en-AU"/>
        </w:rPr>
      </w:pPr>
      <w:r>
        <w:rPr>
          <w:rFonts w:eastAsia="Times New Roman" w:cs="Times New Roman"/>
          <w:sz w:val="22"/>
          <w:lang w:eastAsia="en-AU"/>
        </w:rPr>
        <w:t>TEQSA has not</w:t>
      </w:r>
      <w:r w:rsidR="00107683">
        <w:rPr>
          <w:rFonts w:eastAsia="Times New Roman" w:cs="Times New Roman"/>
          <w:sz w:val="22"/>
          <w:lang w:eastAsia="en-AU"/>
        </w:rPr>
        <w:t xml:space="preserve"> </w:t>
      </w:r>
      <w:r w:rsidR="00E77DD9">
        <w:rPr>
          <w:rFonts w:eastAsia="Times New Roman" w:cs="Times New Roman"/>
          <w:sz w:val="22"/>
          <w:lang w:eastAsia="en-AU"/>
        </w:rPr>
        <w:t>commenced</w:t>
      </w:r>
      <w:r>
        <w:rPr>
          <w:rFonts w:eastAsia="Times New Roman" w:cs="Times New Roman"/>
          <w:sz w:val="22"/>
          <w:lang w:eastAsia="en-AU"/>
        </w:rPr>
        <w:t xml:space="preserve"> any </w:t>
      </w:r>
      <w:r w:rsidR="00107683">
        <w:rPr>
          <w:rFonts w:eastAsia="Times New Roman" w:cs="Times New Roman"/>
          <w:sz w:val="22"/>
          <w:lang w:eastAsia="en-AU"/>
        </w:rPr>
        <w:t xml:space="preserve">compliance audits under section </w:t>
      </w:r>
      <w:r w:rsidR="00E77DD9">
        <w:rPr>
          <w:rFonts w:eastAsia="Times New Roman" w:cs="Times New Roman"/>
          <w:sz w:val="22"/>
          <w:lang w:eastAsia="en-AU"/>
        </w:rPr>
        <w:t xml:space="preserve">112A of the ESOS Act to date in 2023 and does not think it is likely to do so before the end of 2023. The application provision has been included for the abundance of caution. </w:t>
      </w:r>
    </w:p>
    <w:p w14:paraId="320D418A" w14:textId="245C23EE" w:rsidR="00FE3BB6" w:rsidRPr="00BD7E07" w:rsidRDefault="00FE3BB6" w:rsidP="0024226B"/>
    <w:p w14:paraId="642F8771" w14:textId="4E6CFCBC" w:rsidR="00B15DC0" w:rsidRPr="00BD7E07" w:rsidRDefault="00B15DC0" w:rsidP="005D7E05">
      <w:pPr>
        <w:spacing w:after="0"/>
        <w:rPr>
          <w:rFonts w:ascii="Times New Roman" w:hAnsi="Times New Roman" w:cs="Times New Roman"/>
        </w:rPr>
      </w:pPr>
    </w:p>
    <w:sectPr w:rsidR="00B15DC0" w:rsidRPr="00BD7E07">
      <w:headerReference w:type="even"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C87F" w14:textId="77777777" w:rsidR="001C749D" w:rsidRDefault="001C749D" w:rsidP="0091151D">
      <w:pPr>
        <w:spacing w:after="0" w:line="240" w:lineRule="auto"/>
      </w:pPr>
      <w:r>
        <w:separator/>
      </w:r>
    </w:p>
  </w:endnote>
  <w:endnote w:type="continuationSeparator" w:id="0">
    <w:p w14:paraId="010EFA0C" w14:textId="77777777" w:rsidR="001C749D" w:rsidRDefault="001C749D" w:rsidP="0091151D">
      <w:pPr>
        <w:spacing w:after="0" w:line="240" w:lineRule="auto"/>
      </w:pPr>
      <w:r>
        <w:continuationSeparator/>
      </w:r>
    </w:p>
  </w:endnote>
  <w:endnote w:type="continuationNotice" w:id="1">
    <w:p w14:paraId="7CB1122A" w14:textId="77777777" w:rsidR="001C749D" w:rsidRDefault="001C7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6565" w14:textId="28FDC330" w:rsidR="00702E4F" w:rsidRDefault="0099670F">
    <w:pPr>
      <w:pStyle w:val="Footer"/>
    </w:pPr>
    <w:r>
      <w:rPr>
        <w:noProof/>
      </w:rPr>
      <mc:AlternateContent>
        <mc:Choice Requires="wps">
          <w:drawing>
            <wp:anchor distT="0" distB="0" distL="114300" distR="114300" simplePos="1" relativeHeight="251670528" behindDoc="0" locked="0" layoutInCell="1" allowOverlap="1" wp14:anchorId="2A35BE50" wp14:editId="7236D75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25070394"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770BDBB" w14:textId="77777777" w:rsidR="0099670F" w:rsidRDefault="00996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35BE50" id="_x0000_t202" coordsize="21600,21600" o:spt="202" path="m,l,21600r21600,l21600,xe">
              <v:stroke joinstyle="miter"/>
              <v:path gradientshapeok="t" o:connecttype="rect"/>
            </v:shapetype>
            <v:shape id="Text Box 12" o:spid="_x0000_s1030" type="#_x0000_t202" style="position:absolute;margin-left:0;margin-top:0;width:110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fill o:detectmouseclick="t"/>
              <v:textbox>
                <w:txbxContent>
                  <w:p w14:paraId="6770BDBB" w14:textId="77777777" w:rsidR="0099670F" w:rsidRDefault="0099670F"/>
                </w:txbxContent>
              </v:textbox>
              <w10:wrap type="through"/>
            </v:shape>
          </w:pict>
        </mc:Fallback>
      </mc:AlternateContent>
    </w:r>
    <w:r w:rsidR="00702E4F">
      <w:rPr>
        <w:noProof/>
      </w:rPr>
      <mc:AlternateContent>
        <mc:Choice Requires="wps">
          <w:drawing>
            <wp:anchor distT="0" distB="0" distL="114300" distR="114300" simplePos="0" relativeHeight="251664384" behindDoc="0" locked="1" layoutInCell="0" allowOverlap="1" wp14:anchorId="6711C637" wp14:editId="07F9DA7A">
              <wp:simplePos x="0" y="0"/>
              <wp:positionH relativeFrom="margin">
                <wp:align>center</wp:align>
              </wp:positionH>
              <wp:positionV relativeFrom="bottomMargin">
                <wp:align>center</wp:align>
              </wp:positionV>
              <wp:extent cx="1654175" cy="476250"/>
              <wp:effectExtent l="0" t="0" r="0" b="0"/>
              <wp:wrapNone/>
              <wp:docPr id="701481541" name="janusSEAL SC F_EvenPage"/>
              <wp:cNvGraphicFramePr/>
              <a:graphic xmlns:a="http://schemas.openxmlformats.org/drawingml/2006/main">
                <a:graphicData uri="http://schemas.microsoft.com/office/word/2010/wordprocessingShape">
                  <wps:wsp>
                    <wps:cNvSpPr txBox="1"/>
                    <wps:spPr>
                      <a:xfrm>
                        <a:off x="0" y="0"/>
                        <a:ext cx="165417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95C11"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PM_ProtectiveMarkingValue_Footer \* MERGEFORMAT </w:instrText>
                          </w:r>
                          <w:r w:rsidRPr="00702E4F">
                            <w:rPr>
                              <w:rFonts w:ascii="Arial" w:hAnsi="Arial" w:cs="Arial"/>
                              <w:b/>
                              <w:color w:val="FF0000"/>
                              <w:sz w:val="24"/>
                            </w:rPr>
                            <w:fldChar w:fldCharType="separate"/>
                          </w:r>
                          <w:r>
                            <w:rPr>
                              <w:rFonts w:ascii="Arial" w:hAnsi="Arial" w:cs="Arial"/>
                              <w:b/>
                              <w:color w:val="FF0000"/>
                              <w:sz w:val="24"/>
                            </w:rPr>
                            <w:t>Legislative secrecy</w:t>
                          </w:r>
                        </w:p>
                        <w:p w14:paraId="13620249" w14:textId="75894369"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OFFICIAL: Sensitive</w:t>
                          </w:r>
                          <w:r w:rsidRPr="00702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11C637" id="janusSEAL SC F_EvenPage" o:spid="_x0000_s1031" type="#_x0000_t202" style="position:absolute;margin-left:0;margin-top:0;width:130.25pt;height:37.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" o:allowincell="f" filled="f" stroked="f" strokeweight=".5pt">
              <v:fill o:detectmouseclick="t"/>
              <v:textbox style="mso-fit-shape-to-text:t">
                <w:txbxContent>
                  <w:p w14:paraId="2C695C11"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PM_ProtectiveMarkingValue_Footer \* MERGEFORMAT </w:instrText>
                    </w:r>
                    <w:r w:rsidRPr="00702E4F">
                      <w:rPr>
                        <w:rFonts w:ascii="Arial" w:hAnsi="Arial" w:cs="Arial"/>
                        <w:b/>
                        <w:color w:val="FF0000"/>
                        <w:sz w:val="24"/>
                      </w:rPr>
                      <w:fldChar w:fldCharType="separate"/>
                    </w:r>
                    <w:r>
                      <w:rPr>
                        <w:rFonts w:ascii="Arial" w:hAnsi="Arial" w:cs="Arial"/>
                        <w:b/>
                        <w:color w:val="FF0000"/>
                        <w:sz w:val="24"/>
                      </w:rPr>
                      <w:t>Legislative secrecy</w:t>
                    </w:r>
                  </w:p>
                  <w:p w14:paraId="13620249" w14:textId="75894369"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OFFICIAL: Sensitive</w:t>
                    </w:r>
                    <w:r w:rsidRPr="00702E4F">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E137" w14:textId="03DFA564" w:rsidR="0021346F" w:rsidRDefault="00B83072">
    <w:pPr>
      <w:pStyle w:val="Footer"/>
      <w:jc w:val="right"/>
    </w:pPr>
    <w:sdt>
      <w:sdtPr>
        <w:id w:val="1736886491"/>
        <w:docPartObj>
          <w:docPartGallery w:val="Page Numbers (Bottom of Page)"/>
          <w:docPartUnique/>
        </w:docPartObj>
      </w:sdtPr>
      <w:sdtEndPr>
        <w:rPr>
          <w:noProof/>
        </w:rPr>
      </w:sdtEndPr>
      <w:sdtContent>
        <w:r w:rsidR="0021346F">
          <w:fldChar w:fldCharType="begin"/>
        </w:r>
        <w:r w:rsidR="0021346F">
          <w:instrText xml:space="preserve"> PAGE   \* MERGEFORMAT </w:instrText>
        </w:r>
        <w:r w:rsidR="0021346F">
          <w:fldChar w:fldCharType="separate"/>
        </w:r>
        <w:r w:rsidR="0021346F">
          <w:rPr>
            <w:noProof/>
          </w:rPr>
          <w:t>2</w:t>
        </w:r>
        <w:r w:rsidR="0021346F">
          <w:rPr>
            <w:noProof/>
          </w:rPr>
          <w:fldChar w:fldCharType="end"/>
        </w:r>
      </w:sdtContent>
    </w:sdt>
  </w:p>
  <w:p w14:paraId="7B3ED8B8" w14:textId="77777777" w:rsidR="00F23AC2" w:rsidRDefault="00F23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51CC" w14:textId="12BE6A96" w:rsidR="00702E4F" w:rsidRDefault="0099670F">
    <w:pPr>
      <w:pStyle w:val="Footer"/>
    </w:pPr>
    <w:r>
      <w:rPr>
        <w:noProof/>
      </w:rPr>
      <mc:AlternateContent>
        <mc:Choice Requires="wps">
          <w:drawing>
            <wp:anchor distT="0" distB="0" distL="114300" distR="114300" simplePos="1" relativeHeight="251669504" behindDoc="0" locked="0" layoutInCell="1" allowOverlap="1" wp14:anchorId="2E0BBE48" wp14:editId="0A49D4B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32084663"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39422B" w14:textId="77777777" w:rsidR="0099670F" w:rsidRDefault="00996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0BBE48" id="_x0000_t202" coordsize="21600,21600" o:spt="202" path="m,l,21600r21600,l21600,xe">
              <v:stroke joinstyle="miter"/>
              <v:path gradientshapeok="t" o:connecttype="rect"/>
            </v:shapetype>
            <v:shape id="Text Box 11" o:spid="_x0000_s1036" type="#_x0000_t202" style="position:absolute;margin-left:0;margin-top:0;width:11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fill o:detectmouseclick="t"/>
              <v:textbox>
                <w:txbxContent>
                  <w:p w14:paraId="7D39422B" w14:textId="77777777" w:rsidR="0099670F" w:rsidRDefault="0099670F"/>
                </w:txbxContent>
              </v:textbox>
              <w10:wrap type="through"/>
            </v:shape>
          </w:pict>
        </mc:Fallback>
      </mc:AlternateContent>
    </w:r>
    <w:r w:rsidR="00702E4F">
      <w:rPr>
        <w:noProof/>
      </w:rPr>
      <mc:AlternateContent>
        <mc:Choice Requires="wps">
          <w:drawing>
            <wp:anchor distT="0" distB="0" distL="114300" distR="114300" simplePos="0" relativeHeight="251663360" behindDoc="0" locked="1" layoutInCell="0" allowOverlap="1" wp14:anchorId="637DE464" wp14:editId="19049D60">
              <wp:simplePos x="0" y="0"/>
              <wp:positionH relativeFrom="margin">
                <wp:align>center</wp:align>
              </wp:positionH>
              <wp:positionV relativeFrom="bottomMargin">
                <wp:align>center</wp:align>
              </wp:positionV>
              <wp:extent cx="1654175" cy="476250"/>
              <wp:effectExtent l="0" t="0" r="0" b="0"/>
              <wp:wrapNone/>
              <wp:docPr id="1704066219" name="janusSEAL SC F_FirstPage"/>
              <wp:cNvGraphicFramePr/>
              <a:graphic xmlns:a="http://schemas.openxmlformats.org/drawingml/2006/main">
                <a:graphicData uri="http://schemas.microsoft.com/office/word/2010/wordprocessingShape">
                  <wps:wsp>
                    <wps:cNvSpPr txBox="1"/>
                    <wps:spPr>
                      <a:xfrm>
                        <a:off x="0" y="0"/>
                        <a:ext cx="165417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5B5F8D"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PM_ProtectiveMarkingValue_Footer \* MERGEFORMAT </w:instrText>
                          </w:r>
                          <w:r w:rsidRPr="00702E4F">
                            <w:rPr>
                              <w:rFonts w:ascii="Arial" w:hAnsi="Arial" w:cs="Arial"/>
                              <w:b/>
                              <w:color w:val="FF0000"/>
                              <w:sz w:val="24"/>
                            </w:rPr>
                            <w:fldChar w:fldCharType="separate"/>
                          </w:r>
                          <w:r>
                            <w:rPr>
                              <w:rFonts w:ascii="Arial" w:hAnsi="Arial" w:cs="Arial"/>
                              <w:b/>
                              <w:color w:val="FF0000"/>
                              <w:sz w:val="24"/>
                            </w:rPr>
                            <w:t>Legislative secrecy</w:t>
                          </w:r>
                        </w:p>
                        <w:p w14:paraId="2B5B84BD" w14:textId="659E05BB"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OFFICIAL: Sensitive</w:t>
                          </w:r>
                          <w:r w:rsidRPr="00702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7DE464" id="janusSEAL SC F_FirstPage" o:spid="_x0000_s1037" type="#_x0000_t202" style="position:absolute;margin-left:0;margin-top:0;width:130.25pt;height:37.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" o:allowincell="f" filled="f" stroked="f" strokeweight=".5pt">
              <v:fill o:detectmouseclick="t"/>
              <v:textbox style="mso-fit-shape-to-text:t">
                <w:txbxContent>
                  <w:p w14:paraId="445B5F8D"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PM_ProtectiveMarkingValue_Footer \* MERGEFORMAT </w:instrText>
                    </w:r>
                    <w:r w:rsidRPr="00702E4F">
                      <w:rPr>
                        <w:rFonts w:ascii="Arial" w:hAnsi="Arial" w:cs="Arial"/>
                        <w:b/>
                        <w:color w:val="FF0000"/>
                        <w:sz w:val="24"/>
                      </w:rPr>
                      <w:fldChar w:fldCharType="separate"/>
                    </w:r>
                    <w:r>
                      <w:rPr>
                        <w:rFonts w:ascii="Arial" w:hAnsi="Arial" w:cs="Arial"/>
                        <w:b/>
                        <w:color w:val="FF0000"/>
                        <w:sz w:val="24"/>
                      </w:rPr>
                      <w:t>Legislative secrecy</w:t>
                    </w:r>
                  </w:p>
                  <w:p w14:paraId="2B5B84BD" w14:textId="659E05BB"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OFFICIAL: Sensitive</w:t>
                    </w:r>
                    <w:r w:rsidRPr="00702E4F">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861B" w14:textId="77777777" w:rsidR="001C749D" w:rsidRDefault="001C749D" w:rsidP="0091151D">
      <w:pPr>
        <w:spacing w:after="0" w:line="240" w:lineRule="auto"/>
      </w:pPr>
      <w:r>
        <w:separator/>
      </w:r>
    </w:p>
  </w:footnote>
  <w:footnote w:type="continuationSeparator" w:id="0">
    <w:p w14:paraId="768471F3" w14:textId="77777777" w:rsidR="001C749D" w:rsidRDefault="001C749D" w:rsidP="0091151D">
      <w:pPr>
        <w:spacing w:after="0" w:line="240" w:lineRule="auto"/>
      </w:pPr>
      <w:r>
        <w:continuationSeparator/>
      </w:r>
    </w:p>
  </w:footnote>
  <w:footnote w:type="continuationNotice" w:id="1">
    <w:p w14:paraId="75A30227" w14:textId="77777777" w:rsidR="001C749D" w:rsidRDefault="001C7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F885" w14:textId="66F8A0C2" w:rsidR="00702E4F" w:rsidRDefault="0099670F">
    <w:pPr>
      <w:pStyle w:val="Header"/>
    </w:pPr>
    <w:r>
      <w:rPr>
        <w:noProof/>
      </w:rPr>
      <mc:AlternateContent>
        <mc:Choice Requires="wps">
          <w:drawing>
            <wp:anchor distT="0" distB="0" distL="114300" distR="114300" simplePos="1" relativeHeight="251667456" behindDoc="0" locked="0" layoutInCell="1" allowOverlap="1" wp14:anchorId="6B3C172E" wp14:editId="21750A2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97081213"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8F80E88" w14:textId="77777777" w:rsidR="0099670F" w:rsidRDefault="00996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3C172E" id="_x0000_t202" coordsize="21600,21600" o:spt="202" path="m,l,21600r21600,l21600,xe">
              <v:stroke joinstyle="miter"/>
              <v:path gradientshapeok="t" o:connecttype="rect"/>
            </v:shapetype>
            <v:shape id="Text Box 9" o:spid="_x0000_s1026" type="#_x0000_t202" style="position:absolute;margin-left:0;margin-top:0;width:110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fill o:detectmouseclick="t"/>
              <v:textbox>
                <w:txbxContent>
                  <w:p w14:paraId="28F80E88" w14:textId="77777777" w:rsidR="0099670F" w:rsidRDefault="0099670F"/>
                </w:txbxContent>
              </v:textbox>
              <w10:wrap type="through"/>
            </v:shape>
          </w:pict>
        </mc:Fallback>
      </mc:AlternateContent>
    </w:r>
    <w:r w:rsidR="00702E4F">
      <w:rPr>
        <w:noProof/>
      </w:rPr>
      <mc:AlternateContent>
        <mc:Choice Requires="wps">
          <w:drawing>
            <wp:anchor distT="0" distB="0" distL="114300" distR="114300" simplePos="0" relativeHeight="251661312" behindDoc="0" locked="1" layoutInCell="0" allowOverlap="1" wp14:anchorId="4BBE73F4" wp14:editId="0E8EDB1A">
              <wp:simplePos x="0" y="0"/>
              <wp:positionH relativeFrom="margin">
                <wp:align>center</wp:align>
              </wp:positionH>
              <wp:positionV relativeFrom="topMargin">
                <wp:align>center</wp:align>
              </wp:positionV>
              <wp:extent cx="1654175" cy="476250"/>
              <wp:effectExtent l="0" t="0" r="0" b="0"/>
              <wp:wrapNone/>
              <wp:docPr id="1017135791" name="janusSEAL SC H_EvenPage"/>
              <wp:cNvGraphicFramePr/>
              <a:graphic xmlns:a="http://schemas.openxmlformats.org/drawingml/2006/main">
                <a:graphicData uri="http://schemas.microsoft.com/office/word/2010/wordprocessingShape">
                  <wps:wsp>
                    <wps:cNvSpPr txBox="1"/>
                    <wps:spPr>
                      <a:xfrm>
                        <a:off x="0" y="0"/>
                        <a:ext cx="165417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3ED41"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PM_ProtectiveMarkingValue_Header \* MERGEFORMAT </w:instrText>
                          </w:r>
                          <w:r w:rsidRPr="00702E4F">
                            <w:rPr>
                              <w:rFonts w:ascii="Arial" w:hAnsi="Arial" w:cs="Arial"/>
                              <w:b/>
                              <w:color w:val="FF0000"/>
                              <w:sz w:val="24"/>
                            </w:rPr>
                            <w:fldChar w:fldCharType="separate"/>
                          </w:r>
                          <w:r>
                            <w:rPr>
                              <w:rFonts w:ascii="Arial" w:hAnsi="Arial" w:cs="Arial"/>
                              <w:b/>
                              <w:color w:val="FF0000"/>
                              <w:sz w:val="24"/>
                            </w:rPr>
                            <w:t>OFFICIAL: Sensitive</w:t>
                          </w:r>
                        </w:p>
                        <w:p w14:paraId="2AAA219A" w14:textId="6EA33735"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Legislative secrecy</w:t>
                          </w:r>
                          <w:r w:rsidRPr="00702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BE73F4" id="janusSEAL SC H_EvenPage" o:spid="_x0000_s1027" type="#_x0000_t202" style="position:absolute;margin-left:0;margin-top:0;width:130.25pt;height:37.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" o:allowincell="f" filled="f" stroked="f" strokeweight=".5pt">
              <v:fill o:detectmouseclick="t"/>
              <v:textbox style="mso-fit-shape-to-text:t">
                <w:txbxContent>
                  <w:p w14:paraId="74A3ED41"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PM_ProtectiveMarkingValue_Header \* MERGEFORMAT </w:instrText>
                    </w:r>
                    <w:r w:rsidRPr="00702E4F">
                      <w:rPr>
                        <w:rFonts w:ascii="Arial" w:hAnsi="Arial" w:cs="Arial"/>
                        <w:b/>
                        <w:color w:val="FF0000"/>
                        <w:sz w:val="24"/>
                      </w:rPr>
                      <w:fldChar w:fldCharType="separate"/>
                    </w:r>
                    <w:r>
                      <w:rPr>
                        <w:rFonts w:ascii="Arial" w:hAnsi="Arial" w:cs="Arial"/>
                        <w:b/>
                        <w:color w:val="FF0000"/>
                        <w:sz w:val="24"/>
                      </w:rPr>
                      <w:t>OFFICIAL: Sensitive</w:t>
                    </w:r>
                  </w:p>
                  <w:p w14:paraId="2AAA219A" w14:textId="6EA33735"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Legislative secrecy</w:t>
                    </w:r>
                    <w:r w:rsidRPr="00702E4F">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95F6" w14:textId="509ADC64" w:rsidR="00702E4F" w:rsidRDefault="0099670F">
    <w:pPr>
      <w:pStyle w:val="Header"/>
    </w:pPr>
    <w:r>
      <w:rPr>
        <w:noProof/>
      </w:rPr>
      <mc:AlternateContent>
        <mc:Choice Requires="wps">
          <w:drawing>
            <wp:anchor distT="0" distB="0" distL="114300" distR="114300" simplePos="1" relativeHeight="251666432" behindDoc="0" locked="0" layoutInCell="1" allowOverlap="1" wp14:anchorId="6005CCCE" wp14:editId="23FF846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27964266"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7C11B3C" w14:textId="77777777" w:rsidR="0099670F" w:rsidRDefault="00996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05CCCE" id="_x0000_t202" coordsize="21600,21600" o:spt="202" path="m,l,21600r21600,l21600,xe">
              <v:stroke joinstyle="miter"/>
              <v:path gradientshapeok="t" o:connecttype="rect"/>
            </v:shapetype>
            <v:shape id="Text Box 8" o:spid="_x0000_s1034" type="#_x0000_t202" style="position:absolute;margin-left:0;margin-top:0;width:11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fill o:detectmouseclick="t"/>
              <v:textbox>
                <w:txbxContent>
                  <w:p w14:paraId="17C11B3C" w14:textId="77777777" w:rsidR="0099670F" w:rsidRDefault="0099670F"/>
                </w:txbxContent>
              </v:textbox>
              <w10:wrap type="through"/>
            </v:shape>
          </w:pict>
        </mc:Fallback>
      </mc:AlternateContent>
    </w:r>
    <w:r w:rsidR="00702E4F">
      <w:rPr>
        <w:noProof/>
      </w:rPr>
      <mc:AlternateContent>
        <mc:Choice Requires="wps">
          <w:drawing>
            <wp:anchor distT="0" distB="0" distL="114300" distR="114300" simplePos="0" relativeHeight="251660288" behindDoc="0" locked="1" layoutInCell="0" allowOverlap="1" wp14:anchorId="40B0A30D" wp14:editId="4B95B285">
              <wp:simplePos x="0" y="0"/>
              <wp:positionH relativeFrom="margin">
                <wp:align>center</wp:align>
              </wp:positionH>
              <wp:positionV relativeFrom="topMargin">
                <wp:align>center</wp:align>
              </wp:positionV>
              <wp:extent cx="1654175" cy="476250"/>
              <wp:effectExtent l="0" t="0" r="0" b="0"/>
              <wp:wrapNone/>
              <wp:docPr id="2061255420" name="janusSEAL SC H_FirstPage"/>
              <wp:cNvGraphicFramePr/>
              <a:graphic xmlns:a="http://schemas.openxmlformats.org/drawingml/2006/main">
                <a:graphicData uri="http://schemas.microsoft.com/office/word/2010/wordprocessingShape">
                  <wps:wsp>
                    <wps:cNvSpPr txBox="1"/>
                    <wps:spPr>
                      <a:xfrm>
                        <a:off x="0" y="0"/>
                        <a:ext cx="165417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B7EC9"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PM_ProtectiveMarkingValue_Header \* MERGEFORMAT </w:instrText>
                          </w:r>
                          <w:r w:rsidRPr="00702E4F">
                            <w:rPr>
                              <w:rFonts w:ascii="Arial" w:hAnsi="Arial" w:cs="Arial"/>
                              <w:b/>
                              <w:color w:val="FF0000"/>
                              <w:sz w:val="24"/>
                            </w:rPr>
                            <w:fldChar w:fldCharType="separate"/>
                          </w:r>
                          <w:r>
                            <w:rPr>
                              <w:rFonts w:ascii="Arial" w:hAnsi="Arial" w:cs="Arial"/>
                              <w:b/>
                              <w:color w:val="FF0000"/>
                              <w:sz w:val="24"/>
                            </w:rPr>
                            <w:t>OFFICIAL: Sensitive</w:t>
                          </w:r>
                        </w:p>
                        <w:p w14:paraId="675A98A7" w14:textId="0033BE20"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Legislative secrecy</w:t>
                          </w:r>
                          <w:r w:rsidRPr="00702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B0A30D" id="janusSEAL SC H_FirstPage" o:spid="_x0000_s1035" type="#_x0000_t202" style="position:absolute;margin-left:0;margin-top:0;width:130.25pt;height:37.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" o:allowincell="f" filled="f" stroked="f" strokeweight=".5pt">
              <v:fill o:detectmouseclick="t"/>
              <v:textbox style="mso-fit-shape-to-text:t">
                <w:txbxContent>
                  <w:p w14:paraId="360B7EC9" w14:textId="77777777" w:rsidR="00702E4F" w:rsidRDefault="00702E4F" w:rsidP="00702E4F">
                    <w:pPr>
                      <w:spacing w:after="0"/>
                      <w:jc w:val="center"/>
                      <w:rPr>
                        <w:rFonts w:ascii="Arial" w:hAnsi="Arial" w:cs="Arial"/>
                        <w:b/>
                        <w:color w:val="FF0000"/>
                        <w:sz w:val="24"/>
                      </w:rPr>
                    </w:pPr>
                    <w:r w:rsidRPr="00702E4F">
                      <w:rPr>
                        <w:rFonts w:ascii="Arial" w:hAnsi="Arial" w:cs="Arial"/>
                        <w:b/>
                        <w:color w:val="FF0000"/>
                        <w:sz w:val="24"/>
                      </w:rPr>
                      <w:fldChar w:fldCharType="begin"/>
                    </w:r>
                    <w:r w:rsidRPr="00702E4F">
                      <w:rPr>
                        <w:rFonts w:ascii="Arial" w:hAnsi="Arial" w:cs="Arial"/>
                        <w:b/>
                        <w:color w:val="FF0000"/>
                        <w:sz w:val="24"/>
                      </w:rPr>
                      <w:instrText xml:space="preserve"> DOCPROPERTY PM_ProtectiveMarkingValue_Header \* MERGEFORMAT </w:instrText>
                    </w:r>
                    <w:r w:rsidRPr="00702E4F">
                      <w:rPr>
                        <w:rFonts w:ascii="Arial" w:hAnsi="Arial" w:cs="Arial"/>
                        <w:b/>
                        <w:color w:val="FF0000"/>
                        <w:sz w:val="24"/>
                      </w:rPr>
                      <w:fldChar w:fldCharType="separate"/>
                    </w:r>
                    <w:r>
                      <w:rPr>
                        <w:rFonts w:ascii="Arial" w:hAnsi="Arial" w:cs="Arial"/>
                        <w:b/>
                        <w:color w:val="FF0000"/>
                        <w:sz w:val="24"/>
                      </w:rPr>
                      <w:t>OFFICIAL: Sensitive</w:t>
                    </w:r>
                  </w:p>
                  <w:p w14:paraId="675A98A7" w14:textId="0033BE20" w:rsidR="00702E4F" w:rsidRPr="00702E4F" w:rsidRDefault="00702E4F" w:rsidP="00702E4F">
                    <w:pPr>
                      <w:spacing w:after="0"/>
                      <w:jc w:val="center"/>
                      <w:rPr>
                        <w:rFonts w:ascii="Arial" w:hAnsi="Arial" w:cs="Arial"/>
                        <w:b/>
                        <w:color w:val="FF0000"/>
                        <w:sz w:val="24"/>
                      </w:rPr>
                    </w:pPr>
                    <w:r>
                      <w:rPr>
                        <w:rFonts w:ascii="Arial" w:hAnsi="Arial" w:cs="Arial"/>
                        <w:b/>
                        <w:color w:val="FF0000"/>
                        <w:sz w:val="24"/>
                      </w:rPr>
                      <w:t>Legislative secrecy</w:t>
                    </w:r>
                    <w:r w:rsidRPr="00702E4F">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A"/>
    <w:multiLevelType w:val="hybridMultilevel"/>
    <w:tmpl w:val="9DB4B072"/>
    <w:lvl w:ilvl="0" w:tplc="FFFFFFFF">
      <w:start w:val="1"/>
      <w:numFmt w:val="lowerRoman"/>
      <w:lvlText w:val="%1."/>
      <w:lvlJc w:val="right"/>
      <w:pPr>
        <w:ind w:left="1440" w:hanging="360"/>
      </w:p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16199A"/>
    <w:multiLevelType w:val="hybridMultilevel"/>
    <w:tmpl w:val="A9886270"/>
    <w:lvl w:ilvl="0" w:tplc="0C090001">
      <w:start w:val="1"/>
      <w:numFmt w:val="bullet"/>
      <w:lvlText w:val=""/>
      <w:lvlJc w:val="left"/>
      <w:pPr>
        <w:ind w:left="1440" w:hanging="360"/>
      </w:pPr>
      <w:rPr>
        <w:rFonts w:ascii="Symbol" w:hAnsi="Symbol"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AE4E24"/>
    <w:multiLevelType w:val="hybridMultilevel"/>
    <w:tmpl w:val="EF52C896"/>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FB1868"/>
    <w:multiLevelType w:val="hybridMultilevel"/>
    <w:tmpl w:val="13F04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17B61"/>
    <w:multiLevelType w:val="hybridMultilevel"/>
    <w:tmpl w:val="01B00CF6"/>
    <w:lvl w:ilvl="0" w:tplc="FFFFFFFF">
      <w:start w:val="1"/>
      <w:numFmt w:val="lowerRoman"/>
      <w:lvlText w:val="%1."/>
      <w:lvlJc w:val="righ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A670DC8"/>
    <w:multiLevelType w:val="hybridMultilevel"/>
    <w:tmpl w:val="E1A4E6F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A93693"/>
    <w:multiLevelType w:val="hybridMultilevel"/>
    <w:tmpl w:val="29FC3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90629"/>
    <w:multiLevelType w:val="hybridMultilevel"/>
    <w:tmpl w:val="F62EF9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13F20"/>
    <w:multiLevelType w:val="hybridMultilevel"/>
    <w:tmpl w:val="29FC3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99310B"/>
    <w:multiLevelType w:val="hybridMultilevel"/>
    <w:tmpl w:val="5A2C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461DF2"/>
    <w:multiLevelType w:val="hybridMultilevel"/>
    <w:tmpl w:val="11203A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0A069F"/>
    <w:multiLevelType w:val="hybridMultilevel"/>
    <w:tmpl w:val="EBA2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0E5CC4"/>
    <w:multiLevelType w:val="hybridMultilevel"/>
    <w:tmpl w:val="29FC3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9470A8"/>
    <w:multiLevelType w:val="hybridMultilevel"/>
    <w:tmpl w:val="5A1C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E63A56"/>
    <w:multiLevelType w:val="hybridMultilevel"/>
    <w:tmpl w:val="72FC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045600"/>
    <w:multiLevelType w:val="hybridMultilevel"/>
    <w:tmpl w:val="830AAC90"/>
    <w:lvl w:ilvl="0" w:tplc="9B128368">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0C2FB3"/>
    <w:multiLevelType w:val="hybridMultilevel"/>
    <w:tmpl w:val="41E44D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3BD3F3A"/>
    <w:multiLevelType w:val="hybridMultilevel"/>
    <w:tmpl w:val="A6F0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F00B94"/>
    <w:multiLevelType w:val="hybridMultilevel"/>
    <w:tmpl w:val="DD7690B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274516C"/>
    <w:multiLevelType w:val="hybridMultilevel"/>
    <w:tmpl w:val="B8B80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44A4310"/>
    <w:multiLevelType w:val="hybridMultilevel"/>
    <w:tmpl w:val="F62EF9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D297E"/>
    <w:multiLevelType w:val="hybridMultilevel"/>
    <w:tmpl w:val="C57A94CA"/>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310CCF"/>
    <w:multiLevelType w:val="hybridMultilevel"/>
    <w:tmpl w:val="8CBED16E"/>
    <w:lvl w:ilvl="0" w:tplc="0C09000F">
      <w:start w:val="1"/>
      <w:numFmt w:val="decimal"/>
      <w:lvlText w:val="%1."/>
      <w:lvlJc w:val="left"/>
      <w:pPr>
        <w:ind w:left="360" w:hanging="360"/>
      </w:pPr>
      <w:rPr>
        <w:rFonts w:hint="default"/>
      </w:rPr>
    </w:lvl>
    <w:lvl w:ilvl="1" w:tplc="2408915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864925"/>
    <w:multiLevelType w:val="hybridMultilevel"/>
    <w:tmpl w:val="36107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8020F3"/>
    <w:multiLevelType w:val="hybridMultilevel"/>
    <w:tmpl w:val="29FC3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C8037E"/>
    <w:multiLevelType w:val="hybridMultilevel"/>
    <w:tmpl w:val="7016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1060350">
    <w:abstractNumId w:val="5"/>
  </w:num>
  <w:num w:numId="2" w16cid:durableId="947468306">
    <w:abstractNumId w:val="14"/>
  </w:num>
  <w:num w:numId="3" w16cid:durableId="1083260009">
    <w:abstractNumId w:val="25"/>
  </w:num>
  <w:num w:numId="4" w16cid:durableId="1272132594">
    <w:abstractNumId w:val="20"/>
  </w:num>
  <w:num w:numId="5" w16cid:durableId="408843102">
    <w:abstractNumId w:val="7"/>
  </w:num>
  <w:num w:numId="6" w16cid:durableId="91433437">
    <w:abstractNumId w:val="13"/>
  </w:num>
  <w:num w:numId="7" w16cid:durableId="111168708">
    <w:abstractNumId w:val="12"/>
  </w:num>
  <w:num w:numId="8" w16cid:durableId="945236944">
    <w:abstractNumId w:val="8"/>
  </w:num>
  <w:num w:numId="9" w16cid:durableId="886799875">
    <w:abstractNumId w:val="16"/>
  </w:num>
  <w:num w:numId="10" w16cid:durableId="257952871">
    <w:abstractNumId w:val="10"/>
  </w:num>
  <w:num w:numId="11" w16cid:durableId="1969238758">
    <w:abstractNumId w:val="18"/>
  </w:num>
  <w:num w:numId="12" w16cid:durableId="1672029253">
    <w:abstractNumId w:val="24"/>
  </w:num>
  <w:num w:numId="13" w16cid:durableId="90441543">
    <w:abstractNumId w:val="9"/>
  </w:num>
  <w:num w:numId="14" w16cid:durableId="564489203">
    <w:abstractNumId w:val="17"/>
  </w:num>
  <w:num w:numId="15" w16cid:durableId="911964408">
    <w:abstractNumId w:val="3"/>
  </w:num>
  <w:num w:numId="16" w16cid:durableId="1049761003">
    <w:abstractNumId w:val="11"/>
  </w:num>
  <w:num w:numId="17" w16cid:durableId="1991474995">
    <w:abstractNumId w:val="22"/>
  </w:num>
  <w:num w:numId="18" w16cid:durableId="1566841580">
    <w:abstractNumId w:val="2"/>
  </w:num>
  <w:num w:numId="19" w16cid:durableId="58679630">
    <w:abstractNumId w:val="0"/>
  </w:num>
  <w:num w:numId="20" w16cid:durableId="4286971">
    <w:abstractNumId w:val="21"/>
  </w:num>
  <w:num w:numId="21" w16cid:durableId="1287002758">
    <w:abstractNumId w:val="15"/>
  </w:num>
  <w:num w:numId="22" w16cid:durableId="556598863">
    <w:abstractNumId w:val="1"/>
  </w:num>
  <w:num w:numId="23" w16cid:durableId="1636254692">
    <w:abstractNumId w:val="4"/>
  </w:num>
  <w:num w:numId="24" w16cid:durableId="1722706077">
    <w:abstractNumId w:val="23"/>
  </w:num>
  <w:num w:numId="25" w16cid:durableId="1700619389">
    <w:abstractNumId w:val="6"/>
  </w:num>
  <w:num w:numId="26" w16cid:durableId="966817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C2"/>
    <w:rsid w:val="00002124"/>
    <w:rsid w:val="00010478"/>
    <w:rsid w:val="00013148"/>
    <w:rsid w:val="000157B6"/>
    <w:rsid w:val="00020E04"/>
    <w:rsid w:val="00031252"/>
    <w:rsid w:val="00034559"/>
    <w:rsid w:val="0004329A"/>
    <w:rsid w:val="00046C0E"/>
    <w:rsid w:val="0005044D"/>
    <w:rsid w:val="000619A6"/>
    <w:rsid w:val="00070037"/>
    <w:rsid w:val="000802B0"/>
    <w:rsid w:val="00081E8A"/>
    <w:rsid w:val="00085057"/>
    <w:rsid w:val="00087F53"/>
    <w:rsid w:val="00090EA0"/>
    <w:rsid w:val="000910D6"/>
    <w:rsid w:val="00091F8C"/>
    <w:rsid w:val="00095ADF"/>
    <w:rsid w:val="000A10DA"/>
    <w:rsid w:val="000A3AF5"/>
    <w:rsid w:val="000A7A56"/>
    <w:rsid w:val="000B3B5F"/>
    <w:rsid w:val="000B42CA"/>
    <w:rsid w:val="000B43E0"/>
    <w:rsid w:val="000B6857"/>
    <w:rsid w:val="000C01E1"/>
    <w:rsid w:val="000C525D"/>
    <w:rsid w:val="000C5AD5"/>
    <w:rsid w:val="000D176B"/>
    <w:rsid w:val="000D1B08"/>
    <w:rsid w:val="000D263D"/>
    <w:rsid w:val="000D3185"/>
    <w:rsid w:val="000E3335"/>
    <w:rsid w:val="000E7C51"/>
    <w:rsid w:val="000F3B26"/>
    <w:rsid w:val="000F735C"/>
    <w:rsid w:val="00104BCA"/>
    <w:rsid w:val="00105AB3"/>
    <w:rsid w:val="00106466"/>
    <w:rsid w:val="0010652E"/>
    <w:rsid w:val="00107683"/>
    <w:rsid w:val="0011379E"/>
    <w:rsid w:val="00116C5F"/>
    <w:rsid w:val="00122623"/>
    <w:rsid w:val="00123666"/>
    <w:rsid w:val="00123834"/>
    <w:rsid w:val="00126AC2"/>
    <w:rsid w:val="00136F1F"/>
    <w:rsid w:val="0014643C"/>
    <w:rsid w:val="00153962"/>
    <w:rsid w:val="00153A14"/>
    <w:rsid w:val="00156446"/>
    <w:rsid w:val="001659A5"/>
    <w:rsid w:val="00175E09"/>
    <w:rsid w:val="00190873"/>
    <w:rsid w:val="00194627"/>
    <w:rsid w:val="001B2393"/>
    <w:rsid w:val="001B6FFF"/>
    <w:rsid w:val="001C589A"/>
    <w:rsid w:val="001C749D"/>
    <w:rsid w:val="001D257E"/>
    <w:rsid w:val="001D2590"/>
    <w:rsid w:val="001D394F"/>
    <w:rsid w:val="001D3E66"/>
    <w:rsid w:val="001D6395"/>
    <w:rsid w:val="001E3B2C"/>
    <w:rsid w:val="001E4D71"/>
    <w:rsid w:val="001F1A9B"/>
    <w:rsid w:val="001F2EE4"/>
    <w:rsid w:val="001F42CE"/>
    <w:rsid w:val="00200BFA"/>
    <w:rsid w:val="00202112"/>
    <w:rsid w:val="00202DAA"/>
    <w:rsid w:val="002038DD"/>
    <w:rsid w:val="00211873"/>
    <w:rsid w:val="002129A5"/>
    <w:rsid w:val="0021346F"/>
    <w:rsid w:val="00223086"/>
    <w:rsid w:val="00227178"/>
    <w:rsid w:val="002334F5"/>
    <w:rsid w:val="0024226B"/>
    <w:rsid w:val="00244EE2"/>
    <w:rsid w:val="002563D3"/>
    <w:rsid w:val="00260C57"/>
    <w:rsid w:val="00264D40"/>
    <w:rsid w:val="00271F08"/>
    <w:rsid w:val="00272F91"/>
    <w:rsid w:val="00291303"/>
    <w:rsid w:val="00294345"/>
    <w:rsid w:val="002962A2"/>
    <w:rsid w:val="002A1429"/>
    <w:rsid w:val="002A5ABF"/>
    <w:rsid w:val="002A631C"/>
    <w:rsid w:val="002A6EEA"/>
    <w:rsid w:val="002C0A60"/>
    <w:rsid w:val="002C6EE9"/>
    <w:rsid w:val="002D33BE"/>
    <w:rsid w:val="002D7631"/>
    <w:rsid w:val="002E4E05"/>
    <w:rsid w:val="00304668"/>
    <w:rsid w:val="003056CF"/>
    <w:rsid w:val="00306BD2"/>
    <w:rsid w:val="00321865"/>
    <w:rsid w:val="00322DC8"/>
    <w:rsid w:val="0033098D"/>
    <w:rsid w:val="00330EA0"/>
    <w:rsid w:val="00340031"/>
    <w:rsid w:val="00341997"/>
    <w:rsid w:val="0035549B"/>
    <w:rsid w:val="003634B5"/>
    <w:rsid w:val="0036377A"/>
    <w:rsid w:val="00374145"/>
    <w:rsid w:val="00374C0F"/>
    <w:rsid w:val="0037749F"/>
    <w:rsid w:val="0038050B"/>
    <w:rsid w:val="00380BC8"/>
    <w:rsid w:val="00381ECA"/>
    <w:rsid w:val="00384C52"/>
    <w:rsid w:val="00386690"/>
    <w:rsid w:val="003962E2"/>
    <w:rsid w:val="003B473B"/>
    <w:rsid w:val="003C27D1"/>
    <w:rsid w:val="003C42CF"/>
    <w:rsid w:val="003D4C96"/>
    <w:rsid w:val="003E1857"/>
    <w:rsid w:val="003F1BD6"/>
    <w:rsid w:val="003F2F75"/>
    <w:rsid w:val="003F465D"/>
    <w:rsid w:val="003F5038"/>
    <w:rsid w:val="003F5A4E"/>
    <w:rsid w:val="004047A3"/>
    <w:rsid w:val="004056DC"/>
    <w:rsid w:val="004126DB"/>
    <w:rsid w:val="0041454E"/>
    <w:rsid w:val="00414E36"/>
    <w:rsid w:val="00415220"/>
    <w:rsid w:val="0042082A"/>
    <w:rsid w:val="00426BE0"/>
    <w:rsid w:val="00437E86"/>
    <w:rsid w:val="00443111"/>
    <w:rsid w:val="00443957"/>
    <w:rsid w:val="00446928"/>
    <w:rsid w:val="00446E79"/>
    <w:rsid w:val="00447ABA"/>
    <w:rsid w:val="004522DD"/>
    <w:rsid w:val="00455EF7"/>
    <w:rsid w:val="004628B4"/>
    <w:rsid w:val="00463CB3"/>
    <w:rsid w:val="00466803"/>
    <w:rsid w:val="00467E8E"/>
    <w:rsid w:val="00474DC2"/>
    <w:rsid w:val="0047531C"/>
    <w:rsid w:val="00476279"/>
    <w:rsid w:val="0047668B"/>
    <w:rsid w:val="0048201C"/>
    <w:rsid w:val="00490969"/>
    <w:rsid w:val="00492A9C"/>
    <w:rsid w:val="00492F56"/>
    <w:rsid w:val="00497660"/>
    <w:rsid w:val="004A2E60"/>
    <w:rsid w:val="004A76AF"/>
    <w:rsid w:val="004B3BE9"/>
    <w:rsid w:val="004B49B6"/>
    <w:rsid w:val="004B5B28"/>
    <w:rsid w:val="004B7433"/>
    <w:rsid w:val="004B7C0F"/>
    <w:rsid w:val="004C602E"/>
    <w:rsid w:val="004C6EA4"/>
    <w:rsid w:val="004D3EFB"/>
    <w:rsid w:val="004F001F"/>
    <w:rsid w:val="004F302F"/>
    <w:rsid w:val="004F4045"/>
    <w:rsid w:val="004F7328"/>
    <w:rsid w:val="00500A3A"/>
    <w:rsid w:val="00510669"/>
    <w:rsid w:val="00513C38"/>
    <w:rsid w:val="00515A89"/>
    <w:rsid w:val="00515E54"/>
    <w:rsid w:val="00516755"/>
    <w:rsid w:val="00523A75"/>
    <w:rsid w:val="00531D27"/>
    <w:rsid w:val="005333E6"/>
    <w:rsid w:val="005359DC"/>
    <w:rsid w:val="00535B7F"/>
    <w:rsid w:val="005373E5"/>
    <w:rsid w:val="005677BD"/>
    <w:rsid w:val="00567D19"/>
    <w:rsid w:val="005749BE"/>
    <w:rsid w:val="00574B12"/>
    <w:rsid w:val="00575D95"/>
    <w:rsid w:val="00583CD9"/>
    <w:rsid w:val="005949C4"/>
    <w:rsid w:val="00597D0B"/>
    <w:rsid w:val="005A0930"/>
    <w:rsid w:val="005A0ECB"/>
    <w:rsid w:val="005A28AF"/>
    <w:rsid w:val="005A306B"/>
    <w:rsid w:val="005A4B46"/>
    <w:rsid w:val="005A5ED5"/>
    <w:rsid w:val="005A7C07"/>
    <w:rsid w:val="005B259C"/>
    <w:rsid w:val="005C02B4"/>
    <w:rsid w:val="005C39AA"/>
    <w:rsid w:val="005D0DF3"/>
    <w:rsid w:val="005D382B"/>
    <w:rsid w:val="005D3FAA"/>
    <w:rsid w:val="005D403F"/>
    <w:rsid w:val="005D7E05"/>
    <w:rsid w:val="005E5334"/>
    <w:rsid w:val="005F31BF"/>
    <w:rsid w:val="005F649C"/>
    <w:rsid w:val="005F7791"/>
    <w:rsid w:val="00600965"/>
    <w:rsid w:val="00623AC8"/>
    <w:rsid w:val="0063035E"/>
    <w:rsid w:val="00641C3F"/>
    <w:rsid w:val="00641D55"/>
    <w:rsid w:val="006449D8"/>
    <w:rsid w:val="00653584"/>
    <w:rsid w:val="00654BB4"/>
    <w:rsid w:val="00655AA3"/>
    <w:rsid w:val="006612EB"/>
    <w:rsid w:val="006628E1"/>
    <w:rsid w:val="00676B57"/>
    <w:rsid w:val="00680706"/>
    <w:rsid w:val="00682DA4"/>
    <w:rsid w:val="006876AE"/>
    <w:rsid w:val="00687A0E"/>
    <w:rsid w:val="006917B9"/>
    <w:rsid w:val="006B079A"/>
    <w:rsid w:val="006B4243"/>
    <w:rsid w:val="006C073C"/>
    <w:rsid w:val="006C1CF6"/>
    <w:rsid w:val="006C5536"/>
    <w:rsid w:val="006C5D18"/>
    <w:rsid w:val="006D6D99"/>
    <w:rsid w:val="006E4CBE"/>
    <w:rsid w:val="006E4D3F"/>
    <w:rsid w:val="006E4E0A"/>
    <w:rsid w:val="006F170C"/>
    <w:rsid w:val="006F190D"/>
    <w:rsid w:val="006F54F5"/>
    <w:rsid w:val="006F6675"/>
    <w:rsid w:val="007022D2"/>
    <w:rsid w:val="00702E4F"/>
    <w:rsid w:val="0070676A"/>
    <w:rsid w:val="00706DC0"/>
    <w:rsid w:val="007104E2"/>
    <w:rsid w:val="007117F3"/>
    <w:rsid w:val="007148B9"/>
    <w:rsid w:val="00716124"/>
    <w:rsid w:val="00721810"/>
    <w:rsid w:val="00722EB8"/>
    <w:rsid w:val="00731026"/>
    <w:rsid w:val="007324EA"/>
    <w:rsid w:val="007410C4"/>
    <w:rsid w:val="00745122"/>
    <w:rsid w:val="00745351"/>
    <w:rsid w:val="0075005F"/>
    <w:rsid w:val="007525E4"/>
    <w:rsid w:val="0075268A"/>
    <w:rsid w:val="007564D9"/>
    <w:rsid w:val="007601C7"/>
    <w:rsid w:val="00761512"/>
    <w:rsid w:val="00762D3F"/>
    <w:rsid w:val="00772D24"/>
    <w:rsid w:val="007739FC"/>
    <w:rsid w:val="0077608D"/>
    <w:rsid w:val="007769E2"/>
    <w:rsid w:val="0078009C"/>
    <w:rsid w:val="00782A07"/>
    <w:rsid w:val="007870F2"/>
    <w:rsid w:val="007927B0"/>
    <w:rsid w:val="007929E4"/>
    <w:rsid w:val="00794DC2"/>
    <w:rsid w:val="00795AB4"/>
    <w:rsid w:val="00796EA3"/>
    <w:rsid w:val="007A5D72"/>
    <w:rsid w:val="007A7FFB"/>
    <w:rsid w:val="007B3C22"/>
    <w:rsid w:val="007B7036"/>
    <w:rsid w:val="007C1DA3"/>
    <w:rsid w:val="007C3F0B"/>
    <w:rsid w:val="007C49EA"/>
    <w:rsid w:val="007D42C1"/>
    <w:rsid w:val="007D50A7"/>
    <w:rsid w:val="007E056A"/>
    <w:rsid w:val="007E09D0"/>
    <w:rsid w:val="007F1C13"/>
    <w:rsid w:val="007F7411"/>
    <w:rsid w:val="00800F3B"/>
    <w:rsid w:val="00806F24"/>
    <w:rsid w:val="00810AE0"/>
    <w:rsid w:val="0081110E"/>
    <w:rsid w:val="00811312"/>
    <w:rsid w:val="00822778"/>
    <w:rsid w:val="00827CB3"/>
    <w:rsid w:val="00827D34"/>
    <w:rsid w:val="00834D92"/>
    <w:rsid w:val="0084292D"/>
    <w:rsid w:val="00843AA3"/>
    <w:rsid w:val="00852DA5"/>
    <w:rsid w:val="008562C4"/>
    <w:rsid w:val="008576E2"/>
    <w:rsid w:val="00857FB4"/>
    <w:rsid w:val="00863736"/>
    <w:rsid w:val="008657DB"/>
    <w:rsid w:val="00881EC0"/>
    <w:rsid w:val="00885DAF"/>
    <w:rsid w:val="008907D4"/>
    <w:rsid w:val="0089254F"/>
    <w:rsid w:val="008A2BBD"/>
    <w:rsid w:val="008A41D9"/>
    <w:rsid w:val="008A4A82"/>
    <w:rsid w:val="008A7283"/>
    <w:rsid w:val="008A7AF2"/>
    <w:rsid w:val="008A7E43"/>
    <w:rsid w:val="008B0800"/>
    <w:rsid w:val="008B295F"/>
    <w:rsid w:val="008B2E00"/>
    <w:rsid w:val="008B5798"/>
    <w:rsid w:val="008B5B0F"/>
    <w:rsid w:val="008C0C15"/>
    <w:rsid w:val="008C25BC"/>
    <w:rsid w:val="008C7C0F"/>
    <w:rsid w:val="008D3E47"/>
    <w:rsid w:val="008E54EF"/>
    <w:rsid w:val="008E71D7"/>
    <w:rsid w:val="008F442A"/>
    <w:rsid w:val="0090159F"/>
    <w:rsid w:val="009047E2"/>
    <w:rsid w:val="00905DC2"/>
    <w:rsid w:val="00907071"/>
    <w:rsid w:val="00907277"/>
    <w:rsid w:val="0091151D"/>
    <w:rsid w:val="009271E4"/>
    <w:rsid w:val="00931DB8"/>
    <w:rsid w:val="00934288"/>
    <w:rsid w:val="00936BE4"/>
    <w:rsid w:val="00940725"/>
    <w:rsid w:val="00940A38"/>
    <w:rsid w:val="009436A4"/>
    <w:rsid w:val="00955A86"/>
    <w:rsid w:val="00966E9E"/>
    <w:rsid w:val="009672D5"/>
    <w:rsid w:val="009673AB"/>
    <w:rsid w:val="0096796F"/>
    <w:rsid w:val="00967E53"/>
    <w:rsid w:val="00973530"/>
    <w:rsid w:val="009836F0"/>
    <w:rsid w:val="009934CD"/>
    <w:rsid w:val="00994A0C"/>
    <w:rsid w:val="0099670F"/>
    <w:rsid w:val="009A0F72"/>
    <w:rsid w:val="009A1ADE"/>
    <w:rsid w:val="009A33B3"/>
    <w:rsid w:val="009A33D6"/>
    <w:rsid w:val="009A3752"/>
    <w:rsid w:val="009B2890"/>
    <w:rsid w:val="009B3761"/>
    <w:rsid w:val="009B7FD3"/>
    <w:rsid w:val="009C2C0A"/>
    <w:rsid w:val="009D12E6"/>
    <w:rsid w:val="009D215A"/>
    <w:rsid w:val="009D25A3"/>
    <w:rsid w:val="009D5634"/>
    <w:rsid w:val="009E1D24"/>
    <w:rsid w:val="009E3260"/>
    <w:rsid w:val="009E40E0"/>
    <w:rsid w:val="009E6392"/>
    <w:rsid w:val="009F0920"/>
    <w:rsid w:val="009F4A10"/>
    <w:rsid w:val="009F6691"/>
    <w:rsid w:val="009F7620"/>
    <w:rsid w:val="00A014BE"/>
    <w:rsid w:val="00A06B24"/>
    <w:rsid w:val="00A11D50"/>
    <w:rsid w:val="00A13833"/>
    <w:rsid w:val="00A15A36"/>
    <w:rsid w:val="00A16979"/>
    <w:rsid w:val="00A243C6"/>
    <w:rsid w:val="00A244BB"/>
    <w:rsid w:val="00A24854"/>
    <w:rsid w:val="00A25780"/>
    <w:rsid w:val="00A277AD"/>
    <w:rsid w:val="00A33A29"/>
    <w:rsid w:val="00A35018"/>
    <w:rsid w:val="00A37133"/>
    <w:rsid w:val="00A42493"/>
    <w:rsid w:val="00A56A41"/>
    <w:rsid w:val="00A600D9"/>
    <w:rsid w:val="00A61285"/>
    <w:rsid w:val="00A61D28"/>
    <w:rsid w:val="00A6409C"/>
    <w:rsid w:val="00A654E6"/>
    <w:rsid w:val="00A67858"/>
    <w:rsid w:val="00A70273"/>
    <w:rsid w:val="00A7719D"/>
    <w:rsid w:val="00A819A2"/>
    <w:rsid w:val="00A81E3E"/>
    <w:rsid w:val="00A827AB"/>
    <w:rsid w:val="00A87FF2"/>
    <w:rsid w:val="00A92AFC"/>
    <w:rsid w:val="00A93C68"/>
    <w:rsid w:val="00A9582E"/>
    <w:rsid w:val="00AA3BCB"/>
    <w:rsid w:val="00AA4581"/>
    <w:rsid w:val="00AB09ED"/>
    <w:rsid w:val="00AB386B"/>
    <w:rsid w:val="00AB5C6F"/>
    <w:rsid w:val="00AC3607"/>
    <w:rsid w:val="00AD0BDF"/>
    <w:rsid w:val="00AD0D2E"/>
    <w:rsid w:val="00AD44C8"/>
    <w:rsid w:val="00AD71D9"/>
    <w:rsid w:val="00AD79F3"/>
    <w:rsid w:val="00AE6557"/>
    <w:rsid w:val="00AF3213"/>
    <w:rsid w:val="00AF44DD"/>
    <w:rsid w:val="00AF6B19"/>
    <w:rsid w:val="00B00974"/>
    <w:rsid w:val="00B075DC"/>
    <w:rsid w:val="00B15DC0"/>
    <w:rsid w:val="00B27223"/>
    <w:rsid w:val="00B27359"/>
    <w:rsid w:val="00B354CE"/>
    <w:rsid w:val="00B40C0C"/>
    <w:rsid w:val="00B419C2"/>
    <w:rsid w:val="00B445D3"/>
    <w:rsid w:val="00B46BFA"/>
    <w:rsid w:val="00B53AC5"/>
    <w:rsid w:val="00B55A19"/>
    <w:rsid w:val="00B7235B"/>
    <w:rsid w:val="00B75994"/>
    <w:rsid w:val="00B77A9F"/>
    <w:rsid w:val="00B80859"/>
    <w:rsid w:val="00B81AC3"/>
    <w:rsid w:val="00B8233D"/>
    <w:rsid w:val="00B83072"/>
    <w:rsid w:val="00B83A86"/>
    <w:rsid w:val="00B974F9"/>
    <w:rsid w:val="00B9781E"/>
    <w:rsid w:val="00BA1540"/>
    <w:rsid w:val="00BA1EB2"/>
    <w:rsid w:val="00BA2582"/>
    <w:rsid w:val="00BA2D1E"/>
    <w:rsid w:val="00BA4423"/>
    <w:rsid w:val="00BB0D92"/>
    <w:rsid w:val="00BB1182"/>
    <w:rsid w:val="00BB3B08"/>
    <w:rsid w:val="00BC1D20"/>
    <w:rsid w:val="00BC1EBA"/>
    <w:rsid w:val="00BC2EA5"/>
    <w:rsid w:val="00BC33ED"/>
    <w:rsid w:val="00BC3D0D"/>
    <w:rsid w:val="00BC40D7"/>
    <w:rsid w:val="00BC4168"/>
    <w:rsid w:val="00BD5627"/>
    <w:rsid w:val="00BD7E07"/>
    <w:rsid w:val="00BE09A6"/>
    <w:rsid w:val="00BE3DA6"/>
    <w:rsid w:val="00BE48CC"/>
    <w:rsid w:val="00BE7366"/>
    <w:rsid w:val="00BF2685"/>
    <w:rsid w:val="00BF7D7A"/>
    <w:rsid w:val="00C014E7"/>
    <w:rsid w:val="00C02EBD"/>
    <w:rsid w:val="00C0302B"/>
    <w:rsid w:val="00C037B0"/>
    <w:rsid w:val="00C0549E"/>
    <w:rsid w:val="00C15347"/>
    <w:rsid w:val="00C158C7"/>
    <w:rsid w:val="00C206B7"/>
    <w:rsid w:val="00C23833"/>
    <w:rsid w:val="00C25D72"/>
    <w:rsid w:val="00C33013"/>
    <w:rsid w:val="00C335A8"/>
    <w:rsid w:val="00C33868"/>
    <w:rsid w:val="00C367A1"/>
    <w:rsid w:val="00C4691A"/>
    <w:rsid w:val="00C46DCE"/>
    <w:rsid w:val="00C47D05"/>
    <w:rsid w:val="00C50231"/>
    <w:rsid w:val="00C57BBA"/>
    <w:rsid w:val="00C63363"/>
    <w:rsid w:val="00C63CF4"/>
    <w:rsid w:val="00C64C0C"/>
    <w:rsid w:val="00C71EFD"/>
    <w:rsid w:val="00C735DD"/>
    <w:rsid w:val="00C828A8"/>
    <w:rsid w:val="00C835FC"/>
    <w:rsid w:val="00C867ED"/>
    <w:rsid w:val="00C92D3C"/>
    <w:rsid w:val="00C93A85"/>
    <w:rsid w:val="00C97477"/>
    <w:rsid w:val="00CA0F26"/>
    <w:rsid w:val="00CB01D0"/>
    <w:rsid w:val="00CB7748"/>
    <w:rsid w:val="00CC7102"/>
    <w:rsid w:val="00CC7E88"/>
    <w:rsid w:val="00CD18DC"/>
    <w:rsid w:val="00CD5A53"/>
    <w:rsid w:val="00CD7648"/>
    <w:rsid w:val="00CE05C5"/>
    <w:rsid w:val="00CE6490"/>
    <w:rsid w:val="00CF0253"/>
    <w:rsid w:val="00CF5D0D"/>
    <w:rsid w:val="00CF7232"/>
    <w:rsid w:val="00D02D04"/>
    <w:rsid w:val="00D036EE"/>
    <w:rsid w:val="00D16B90"/>
    <w:rsid w:val="00D24255"/>
    <w:rsid w:val="00D33334"/>
    <w:rsid w:val="00D42D2C"/>
    <w:rsid w:val="00D44FAF"/>
    <w:rsid w:val="00D45730"/>
    <w:rsid w:val="00D5145A"/>
    <w:rsid w:val="00D53D0E"/>
    <w:rsid w:val="00D624D6"/>
    <w:rsid w:val="00D64146"/>
    <w:rsid w:val="00D71542"/>
    <w:rsid w:val="00D73E25"/>
    <w:rsid w:val="00D77549"/>
    <w:rsid w:val="00D80ACD"/>
    <w:rsid w:val="00D87CFB"/>
    <w:rsid w:val="00D93B4F"/>
    <w:rsid w:val="00DA1192"/>
    <w:rsid w:val="00DB5244"/>
    <w:rsid w:val="00DC5021"/>
    <w:rsid w:val="00DC5873"/>
    <w:rsid w:val="00DD014F"/>
    <w:rsid w:val="00DD1774"/>
    <w:rsid w:val="00DD6E22"/>
    <w:rsid w:val="00DE09DC"/>
    <w:rsid w:val="00DE2296"/>
    <w:rsid w:val="00DF0A8D"/>
    <w:rsid w:val="00DF1157"/>
    <w:rsid w:val="00DF4595"/>
    <w:rsid w:val="00E0137E"/>
    <w:rsid w:val="00E03981"/>
    <w:rsid w:val="00E04394"/>
    <w:rsid w:val="00E077D3"/>
    <w:rsid w:val="00E14856"/>
    <w:rsid w:val="00E14DAF"/>
    <w:rsid w:val="00E1530C"/>
    <w:rsid w:val="00E24C8F"/>
    <w:rsid w:val="00E31716"/>
    <w:rsid w:val="00E31C99"/>
    <w:rsid w:val="00E31F6D"/>
    <w:rsid w:val="00E44D2E"/>
    <w:rsid w:val="00E45413"/>
    <w:rsid w:val="00E50AC6"/>
    <w:rsid w:val="00E55AC8"/>
    <w:rsid w:val="00E6002F"/>
    <w:rsid w:val="00E60199"/>
    <w:rsid w:val="00E77DD9"/>
    <w:rsid w:val="00E83CBC"/>
    <w:rsid w:val="00E84A15"/>
    <w:rsid w:val="00E857AA"/>
    <w:rsid w:val="00E86A6E"/>
    <w:rsid w:val="00E904AA"/>
    <w:rsid w:val="00E96812"/>
    <w:rsid w:val="00E96A22"/>
    <w:rsid w:val="00EA0AF7"/>
    <w:rsid w:val="00EA1C07"/>
    <w:rsid w:val="00EB32C7"/>
    <w:rsid w:val="00EB4322"/>
    <w:rsid w:val="00EB4419"/>
    <w:rsid w:val="00EB4691"/>
    <w:rsid w:val="00EB5943"/>
    <w:rsid w:val="00EB6806"/>
    <w:rsid w:val="00ED5FEC"/>
    <w:rsid w:val="00EE1AD0"/>
    <w:rsid w:val="00EE6DE3"/>
    <w:rsid w:val="00EF1126"/>
    <w:rsid w:val="00EF1B77"/>
    <w:rsid w:val="00EF255B"/>
    <w:rsid w:val="00F21E51"/>
    <w:rsid w:val="00F2337F"/>
    <w:rsid w:val="00F23AC2"/>
    <w:rsid w:val="00F270FC"/>
    <w:rsid w:val="00F3145F"/>
    <w:rsid w:val="00F34D93"/>
    <w:rsid w:val="00F45679"/>
    <w:rsid w:val="00F4786E"/>
    <w:rsid w:val="00F5526C"/>
    <w:rsid w:val="00F57D25"/>
    <w:rsid w:val="00F602AE"/>
    <w:rsid w:val="00F606A0"/>
    <w:rsid w:val="00F64DDA"/>
    <w:rsid w:val="00F70C30"/>
    <w:rsid w:val="00F738CB"/>
    <w:rsid w:val="00F74D64"/>
    <w:rsid w:val="00F839E3"/>
    <w:rsid w:val="00F92783"/>
    <w:rsid w:val="00F96061"/>
    <w:rsid w:val="00F96FCF"/>
    <w:rsid w:val="00FA731C"/>
    <w:rsid w:val="00FB2715"/>
    <w:rsid w:val="00FB6528"/>
    <w:rsid w:val="00FC33F4"/>
    <w:rsid w:val="00FC5B43"/>
    <w:rsid w:val="00FC76B5"/>
    <w:rsid w:val="00FD2A35"/>
    <w:rsid w:val="00FD4F01"/>
    <w:rsid w:val="00FE000C"/>
    <w:rsid w:val="00FE0847"/>
    <w:rsid w:val="00FE1C45"/>
    <w:rsid w:val="00FE3BB6"/>
    <w:rsid w:val="00FF200F"/>
    <w:rsid w:val="00FF7090"/>
    <w:rsid w:val="0E2BB354"/>
    <w:rsid w:val="0F4D8C32"/>
    <w:rsid w:val="1A7B9DA3"/>
    <w:rsid w:val="54D28C5D"/>
    <w:rsid w:val="7289D458"/>
    <w:rsid w:val="7860B0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244F"/>
  <w15:chartTrackingRefBased/>
  <w15:docId w15:val="{ABCECFB5-CA56-461B-9794-234DB9CA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15DC0"/>
    <w:pPr>
      <w:keepNext/>
      <w:keepLines/>
      <w:spacing w:before="40" w:after="0" w:line="276" w:lineRule="auto"/>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C2"/>
    <w:rPr>
      <w:rFonts w:ascii="Segoe UI" w:hAnsi="Segoe UI" w:cs="Segoe UI"/>
      <w:sz w:val="18"/>
      <w:szCs w:val="18"/>
    </w:rPr>
  </w:style>
  <w:style w:type="character" w:customStyle="1" w:styleId="Heading2Char">
    <w:name w:val="Heading 2 Char"/>
    <w:basedOn w:val="DefaultParagraphFont"/>
    <w:link w:val="Heading2"/>
    <w:uiPriority w:val="9"/>
    <w:rsid w:val="00B15DC0"/>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B15DC0"/>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B15DC0"/>
    <w:rPr>
      <w:rFonts w:ascii="Times New Roman" w:hAnsi="Times New Roman"/>
      <w:sz w:val="24"/>
    </w:rPr>
  </w:style>
  <w:style w:type="paragraph" w:styleId="ListParagraph">
    <w:name w:val="List Paragraph"/>
    <w:basedOn w:val="Normal"/>
    <w:uiPriority w:val="34"/>
    <w:qFormat/>
    <w:rsid w:val="00B15DC0"/>
    <w:pPr>
      <w:spacing w:after="200" w:line="276" w:lineRule="auto"/>
      <w:ind w:left="720"/>
      <w:contextualSpacing/>
    </w:pPr>
    <w:rPr>
      <w:rFonts w:ascii="Times New Roman" w:hAnsi="Times New Roman"/>
      <w:sz w:val="24"/>
    </w:rPr>
  </w:style>
  <w:style w:type="paragraph" w:styleId="Header">
    <w:name w:val="header"/>
    <w:basedOn w:val="Normal"/>
    <w:link w:val="HeaderChar"/>
    <w:uiPriority w:val="99"/>
    <w:unhideWhenUsed/>
    <w:rsid w:val="0091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51D"/>
  </w:style>
  <w:style w:type="character" w:styleId="Hyperlink">
    <w:name w:val="Hyperlink"/>
    <w:basedOn w:val="DefaultParagraphFont"/>
    <w:uiPriority w:val="99"/>
    <w:unhideWhenUsed/>
    <w:rsid w:val="000B3B5F"/>
    <w:rPr>
      <w:color w:val="0563C1" w:themeColor="hyperlink"/>
      <w:u w:val="single"/>
    </w:rPr>
  </w:style>
  <w:style w:type="character" w:styleId="CommentReference">
    <w:name w:val="annotation reference"/>
    <w:basedOn w:val="DefaultParagraphFont"/>
    <w:uiPriority w:val="99"/>
    <w:semiHidden/>
    <w:unhideWhenUsed/>
    <w:rsid w:val="007F1C13"/>
    <w:rPr>
      <w:sz w:val="16"/>
      <w:szCs w:val="16"/>
    </w:rPr>
  </w:style>
  <w:style w:type="paragraph" w:styleId="CommentText">
    <w:name w:val="annotation text"/>
    <w:basedOn w:val="Normal"/>
    <w:link w:val="CommentTextChar"/>
    <w:uiPriority w:val="99"/>
    <w:unhideWhenUsed/>
    <w:rsid w:val="007F1C13"/>
    <w:pPr>
      <w:spacing w:line="240" w:lineRule="auto"/>
    </w:pPr>
    <w:rPr>
      <w:sz w:val="20"/>
      <w:szCs w:val="20"/>
    </w:rPr>
  </w:style>
  <w:style w:type="character" w:customStyle="1" w:styleId="CommentTextChar">
    <w:name w:val="Comment Text Char"/>
    <w:basedOn w:val="DefaultParagraphFont"/>
    <w:link w:val="CommentText"/>
    <w:uiPriority w:val="99"/>
    <w:rsid w:val="007F1C13"/>
    <w:rPr>
      <w:sz w:val="20"/>
      <w:szCs w:val="20"/>
    </w:rPr>
  </w:style>
  <w:style w:type="paragraph" w:styleId="CommentSubject">
    <w:name w:val="annotation subject"/>
    <w:basedOn w:val="CommentText"/>
    <w:next w:val="CommentText"/>
    <w:link w:val="CommentSubjectChar"/>
    <w:uiPriority w:val="99"/>
    <w:semiHidden/>
    <w:unhideWhenUsed/>
    <w:rsid w:val="007F1C13"/>
    <w:rPr>
      <w:b/>
      <w:bCs/>
    </w:rPr>
  </w:style>
  <w:style w:type="character" w:customStyle="1" w:styleId="CommentSubjectChar">
    <w:name w:val="Comment Subject Char"/>
    <w:basedOn w:val="CommentTextChar"/>
    <w:link w:val="CommentSubject"/>
    <w:uiPriority w:val="99"/>
    <w:semiHidden/>
    <w:rsid w:val="007F1C13"/>
    <w:rPr>
      <w:b/>
      <w:bCs/>
      <w:sz w:val="20"/>
      <w:szCs w:val="20"/>
    </w:rPr>
  </w:style>
  <w:style w:type="table" w:styleId="TableGrid">
    <w:name w:val="Table Grid"/>
    <w:basedOn w:val="TableNormal"/>
    <w:uiPriority w:val="59"/>
    <w:rsid w:val="008C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6C0E"/>
    <w:pPr>
      <w:spacing w:after="0" w:line="240" w:lineRule="auto"/>
    </w:pPr>
  </w:style>
  <w:style w:type="character" w:styleId="UnresolvedMention">
    <w:name w:val="Unresolved Mention"/>
    <w:basedOn w:val="DefaultParagraphFont"/>
    <w:uiPriority w:val="99"/>
    <w:semiHidden/>
    <w:unhideWhenUsed/>
    <w:rsid w:val="00AD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00235">
      <w:bodyDiv w:val="1"/>
      <w:marLeft w:val="0"/>
      <w:marRight w:val="0"/>
      <w:marTop w:val="0"/>
      <w:marBottom w:val="0"/>
      <w:divBdr>
        <w:top w:val="none" w:sz="0" w:space="0" w:color="auto"/>
        <w:left w:val="none" w:sz="0" w:space="0" w:color="auto"/>
        <w:bottom w:val="none" w:sz="0" w:space="0" w:color="auto"/>
        <w:right w:val="none" w:sz="0" w:space="0" w:color="auto"/>
      </w:divBdr>
    </w:div>
    <w:div w:id="1082070377">
      <w:bodyDiv w:val="1"/>
      <w:marLeft w:val="0"/>
      <w:marRight w:val="0"/>
      <w:marTop w:val="0"/>
      <w:marBottom w:val="0"/>
      <w:divBdr>
        <w:top w:val="none" w:sz="0" w:space="0" w:color="auto"/>
        <w:left w:val="none" w:sz="0" w:space="0" w:color="auto"/>
        <w:bottom w:val="none" w:sz="0" w:space="0" w:color="auto"/>
        <w:right w:val="none" w:sz="0" w:space="0" w:color="auto"/>
      </w:divBdr>
    </w:div>
    <w:div w:id="1248541263">
      <w:bodyDiv w:val="1"/>
      <w:marLeft w:val="0"/>
      <w:marRight w:val="0"/>
      <w:marTop w:val="0"/>
      <w:marBottom w:val="0"/>
      <w:divBdr>
        <w:top w:val="none" w:sz="0" w:space="0" w:color="auto"/>
        <w:left w:val="none" w:sz="0" w:space="0" w:color="auto"/>
        <w:bottom w:val="none" w:sz="0" w:space="0" w:color="auto"/>
        <w:right w:val="none" w:sz="0" w:space="0" w:color="auto"/>
      </w:divBdr>
    </w:div>
    <w:div w:id="14629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195AAD052154C90877C2175A39053" ma:contentTypeVersion="27" ma:contentTypeDescription="Create a new document." ma:contentTypeScope="" ma:versionID="06ba3c5845792b6074697ca7757cb3dc">
  <xsd:schema xmlns:xsd="http://www.w3.org/2001/XMLSchema" xmlns:xs="http://www.w3.org/2001/XMLSchema" xmlns:p="http://schemas.microsoft.com/office/2006/metadata/properties" xmlns:ns2="16a3d3ce-1191-4b61-bdcc-3876b39e2fc2" xmlns:ns3="8ecec057-8c78-413a-8c7a-7980785425af" targetNamespace="http://schemas.microsoft.com/office/2006/metadata/properties" ma:root="true" ma:fieldsID="a9920de4b41c2e8d50698a40baab1e0f" ns2:_="" ns3:_="">
    <xsd:import namespace="16a3d3ce-1191-4b61-bdcc-3876b39e2fc2"/>
    <xsd:import namespace="8ecec057-8c78-413a-8c7a-7980785425af"/>
    <xsd:element name="properties">
      <xsd:complexType>
        <xsd:sequence>
          <xsd:element name="documentManagement">
            <xsd:complexType>
              <xsd:all>
                <xsd:element ref="ns2:TaxCatchAll" minOccurs="0"/>
                <xsd:element ref="ns3:j5c7243103eb4a8f8bdb102a5810412a" minOccurs="0"/>
                <xsd:element ref="ns3:lf00f7cae6154b588c712167af0e92c2" minOccurs="0"/>
                <xsd:element ref="ns3:LegislativeReferences" minOccurs="0"/>
                <xsd:element ref="ns3:DocumentStatus" minOccurs="0"/>
                <xsd:element ref="ns3:p2841a2f4f0e46edb9ade446fe7c03eb" minOccurs="0"/>
                <xsd:element ref="ns3:o7633fe41807459491b1c3875abbe975" minOccurs="0"/>
                <xsd:element ref="ns3:MediaServiceMetadata" minOccurs="0"/>
                <xsd:element ref="ns3:MediaServiceFastMetadata" minOccurs="0"/>
                <xsd:element ref="ns2:SharedWithUsers" minOccurs="0"/>
                <xsd:element ref="ns2:SharedWithDetails" minOccurs="0"/>
                <xsd:element ref="ns3:Date"/>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3d3ce-1191-4b61-bdcc-3876b39e2f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f28c8e8-8a94-43d6-b58b-ebdebf09cd28}" ma:internalName="TaxCatchAll" ma:showField="CatchAllData" ma:web="16a3d3ce-1191-4b61-bdcc-3876b39e2f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ec057-8c78-413a-8c7a-7980785425af" elementFormDefault="qualified">
    <xsd:import namespace="http://schemas.microsoft.com/office/2006/documentManagement/types"/>
    <xsd:import namespace="http://schemas.microsoft.com/office/infopath/2007/PartnerControls"/>
    <xsd:element name="j5c7243103eb4a8f8bdb102a5810412a" ma:index="10" ma:taxonomy="true" ma:internalName="j5c7243103eb4a8f8bdb102a5810412a" ma:taxonomyFieldName="Activity_x0020_Name" ma:displayName="Activity Name" ma:readOnly="false" ma:default="1;#Advice and Enquiries|cc724d83-84c0-4470-814f-04d513d3a73b"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2"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true" ma:isKeyword="false">
      <xsd:complexType>
        <xsd:sequence>
          <xsd:element ref="pc:Terms" minOccurs="0" maxOccurs="1"/>
        </xsd:sequence>
      </xsd:complexType>
    </xsd:element>
    <xsd:element name="LegislativeReferences" ma:index="13" nillable="true" ma:displayName="Legislative References" ma:format="Dropdown" ma:internalName="LegislativeReferences">
      <xsd:simpleType>
        <xsd:restriction base="dms:Text">
          <xsd:maxLength value="255"/>
        </xsd:restriction>
      </xsd:simpleType>
    </xsd:element>
    <xsd:element name="DocumentStatus" ma:index="14" nillable="true" ma:displayName="Document Status" ma:format="Dropdown" ma:internalName="DocumentStatus">
      <xsd:simpleType>
        <xsd:restriction base="dms:Choice">
          <xsd:enumeration value="Draft"/>
          <xsd:enumeration value="Final"/>
        </xsd:restriction>
      </xsd:simpleType>
    </xsd:element>
    <xsd:element name="p2841a2f4f0e46edb9ade446fe7c03eb" ma:index="15" ma:taxonomy="true" ma:internalName="p2841a2f4f0e46edb9ade446fe7c03eb" ma:taxonomyFieldName="Function_x0020_Name" ma:displayName="Function Name" ma:readOnly="false" ma:default="1;#Legal Services|fc20bdc8-151f-4b1d-aea5-c71094fe6d32"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o7633fe41807459491b1c3875abbe975" ma:index="18" nillable="true" ma:taxonomy="true" ma:internalName="o7633fe41807459491b1c3875abbe975" ma:taxonomyFieldName="Business_x0020_Unit" ma:displayName="Business Unit" ma:default="" ma:fieldId="{87633fe4-1807-4594-91b1-c3875abbe975}" ma:sspId="645f8d4e-8f3a-4e65-808f-0c8f2d6bd45a" ma:termSetId="64fa6abe-c190-4ff4-84f0-b5da1810acfb"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ate" ma:index="23"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8ecec057-8c78-413a-8c7a-7980785425af" xsi:nil="true"/>
    <lf00f7cae6154b588c712167af0e92c2 xmlns="8ecec057-8c78-413a-8c7a-7980785425af">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6cdf35d5-5efe-44ee-8263-f145e2f931b1</TermId>
        </TermInfo>
      </Terms>
    </lf00f7cae6154b588c712167af0e92c2>
    <Date xmlns="8ecec057-8c78-413a-8c7a-7980785425af">2023-09-21T14:00:00+00:00</Date>
    <o7633fe41807459491b1c3875abbe975 xmlns="8ecec057-8c78-413a-8c7a-7980785425af">
      <Terms xmlns="http://schemas.microsoft.com/office/infopath/2007/PartnerControls"/>
    </o7633fe41807459491b1c3875abbe975>
    <j5c7243103eb4a8f8bdb102a5810412a xmlns="8ecec057-8c78-413a-8c7a-7980785425af">
      <Terms xmlns="http://schemas.microsoft.com/office/infopath/2007/PartnerControls">
        <TermInfo xmlns="http://schemas.microsoft.com/office/infopath/2007/PartnerControls">
          <TermName xmlns="http://schemas.microsoft.com/office/infopath/2007/PartnerControls">Advice and Enquiries</TermName>
          <TermId xmlns="http://schemas.microsoft.com/office/infopath/2007/PartnerControls">cc724d83-84c0-4470-814f-04d513d3a73b</TermId>
        </TermInfo>
      </Terms>
    </j5c7243103eb4a8f8bdb102a5810412a>
    <LegislativeReferences xmlns="8ecec057-8c78-413a-8c7a-7980785425af" xsi:nil="true"/>
    <p2841a2f4f0e46edb9ade446fe7c03eb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fc20bdc8-151f-4b1d-aea5-c71094fe6d32</TermId>
        </TermInfo>
      </Terms>
    </p2841a2f4f0e46edb9ade446fe7c03eb>
    <TaxCatchAll xmlns="16a3d3ce-1191-4b61-bdcc-3876b39e2fc2">
      <Value>69</Value>
      <Value>2</Value>
      <Value>1</Value>
    </TaxCatchAll>
  </documentManagement>
</p:properties>
</file>

<file path=customXml/itemProps1.xml><?xml version="1.0" encoding="utf-8"?>
<ds:datastoreItem xmlns:ds="http://schemas.openxmlformats.org/officeDocument/2006/customXml" ds:itemID="{6E9716FB-CB77-4C93-8B00-03448A195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3d3ce-1191-4b61-bdcc-3876b39e2fc2"/>
    <ds:schemaRef ds:uri="8ecec057-8c78-413a-8c7a-79807854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8F846-AD90-4790-A6FA-4F1F743C5DEE}">
  <ds:schemaRefs>
    <ds:schemaRef ds:uri="http://schemas.microsoft.com/sharepoint/v3/contenttype/forms"/>
  </ds:schemaRefs>
</ds:datastoreItem>
</file>

<file path=customXml/itemProps3.xml><?xml version="1.0" encoding="utf-8"?>
<ds:datastoreItem xmlns:ds="http://schemas.openxmlformats.org/officeDocument/2006/customXml" ds:itemID="{B17572E2-75BB-46C4-8D4D-9B9301958F80}">
  <ds:schemaRefs>
    <ds:schemaRef ds:uri="http://schemas.microsoft.com/office/2006/metadata/properties"/>
    <ds:schemaRef ds:uri="http://schemas.microsoft.com/office/infopath/2007/PartnerControls"/>
    <ds:schemaRef ds:uri="8ecec057-8c78-413a-8c7a-7980785425af"/>
    <ds:schemaRef ds:uri="16a3d3ce-1191-4b61-bdcc-3876b39e2fc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2269</Words>
  <Characters>12755</Characters>
  <Application>Microsoft Office Word</Application>
  <DocSecurity>4</DocSecurity>
  <Lines>236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DUYN,Nicole</dc:creator>
  <cp:keywords>[SEC=OFFICIAL:Sensitive]</cp:keywords>
  <dc:description/>
  <cp:lastModifiedBy>James McLaren</cp:lastModifiedBy>
  <cp:revision>2</cp:revision>
  <dcterms:created xsi:type="dcterms:W3CDTF">2023-11-26T22:28:00Z</dcterms:created>
  <dcterms:modified xsi:type="dcterms:W3CDTF">2023-11-26T22:28:00Z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0x0101007D7195AAD052154C90877C2175A39053</vt:lpwstr>
  </property>
  <property fmtid="{D5CDD505-2E9C-101B-9397-08002B2CF9AE}" pid="3" name="PM_OriginatorDomainName_SHA256">
    <vt:lpwstr>0C3D4C92EC8F38444BA78741E5B5836F9817C3740155E164E6696E5C1131B3E3</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SecurityClassification">
    <vt:lpwstr>OFFICIAL:Sensitive</vt:lpwstr>
  </property>
  <property fmtid="{D5CDD505-2E9C-101B-9397-08002B2CF9AE}" pid="8" name="PM_Qualifier">
    <vt:lpwstr/>
  </property>
  <property fmtid="{D5CDD505-2E9C-101B-9397-08002B2CF9AE}" pid="9" name="PM_ProtectiveMarkingValue_Header">
    <vt:lpwstr>OFFICIAL: Sensitive_x000d_
Legislative secrecy</vt:lpwstr>
  </property>
  <property fmtid="{D5CDD505-2E9C-101B-9397-08002B2CF9AE}" pid="10" name="PM_Note">
    <vt:lpwstr/>
  </property>
  <property fmtid="{D5CDD505-2E9C-101B-9397-08002B2CF9AE}" pid="11" name="PM_Markers">
    <vt:lpwstr>Legislative-Secrecy</vt:lpwstr>
  </property>
  <property fmtid="{D5CDD505-2E9C-101B-9397-08002B2CF9AE}" pid="12" name="PM_InsertionValue">
    <vt:lpwstr>OFFICIAL: Sensitive</vt:lpwstr>
  </property>
  <property fmtid="{D5CDD505-2E9C-101B-9397-08002B2CF9AE}" pid="13" name="PM_Originator_Hash_SHA1">
    <vt:lpwstr>B173D9DDE79B5BA56B84923D37DAE6397126F869</vt:lpwstr>
  </property>
  <property fmtid="{D5CDD505-2E9C-101B-9397-08002B2CF9AE}" pid="14" name="PM_DisplayValueSecClassificationWithQualifier">
    <vt:lpwstr>OFFICIAL: Sensitive Legislative secrecy</vt:lpwstr>
  </property>
  <property fmtid="{D5CDD505-2E9C-101B-9397-08002B2CF9AE}" pid="15" name="PM_Originating_FileId">
    <vt:lpwstr>06FE3E38AC484D3A9DDEA62E72CA4535</vt:lpwstr>
  </property>
  <property fmtid="{D5CDD505-2E9C-101B-9397-08002B2CF9AE}" pid="16" name="PM_ProtectiveMarkingValue_Footer">
    <vt:lpwstr>Legislative secrecy_x000d_
OFFICIAL: Sensitive</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 Sensitive Legislative secrecy</vt:lpwstr>
  </property>
  <property fmtid="{D5CDD505-2E9C-101B-9397-08002B2CF9AE}" pid="20" name="PM_OriginatorUserAccountName_SHA256">
    <vt:lpwstr>980A5A2479765258B80AEF7AE60CDD3DDEEF7478889074EF3C802F312A79A1C7</vt:lpwstr>
  </property>
  <property fmtid="{D5CDD505-2E9C-101B-9397-08002B2CF9AE}" pid="21" name="PMUuid">
    <vt:lpwstr>v=2022.2;d=gov.au;g=ADFF02B9-5655-5CE1-9D1C-DEBF5F7B5D40</vt:lpwstr>
  </property>
  <property fmtid="{D5CDD505-2E9C-101B-9397-08002B2CF9AE}" pid="22" name="PM_Hash_Version">
    <vt:lpwstr>2022.1</vt:lpwstr>
  </property>
  <property fmtid="{D5CDD505-2E9C-101B-9397-08002B2CF9AE}" pid="23" name="Business Unit">
    <vt:lpwstr/>
  </property>
  <property fmtid="{D5CDD505-2E9C-101B-9397-08002B2CF9AE}" pid="24" name="Activity Name">
    <vt:lpwstr>2;#Advice and Enquiries|cc724d83-84c0-4470-814f-04d513d3a73b</vt:lpwstr>
  </property>
  <property fmtid="{D5CDD505-2E9C-101B-9397-08002B2CF9AE}" pid="25" name="Function Name">
    <vt:lpwstr>1;#Legal Services|fc20bdc8-151f-4b1d-aea5-c71094fe6d32</vt:lpwstr>
  </property>
  <property fmtid="{D5CDD505-2E9C-101B-9397-08002B2CF9AE}" pid="26" name="RecordType">
    <vt:lpwstr>69;#Legislative Instrument|6cdf35d5-5efe-44ee-8263-f145e2f931b1</vt:lpwstr>
  </property>
  <property fmtid="{D5CDD505-2E9C-101B-9397-08002B2CF9AE}" pid="27" name="PM_Hash_Salt">
    <vt:lpwstr>6C78EEB0DAC45F6D2EE9F8ACBB29351C</vt:lpwstr>
  </property>
  <property fmtid="{D5CDD505-2E9C-101B-9397-08002B2CF9AE}" pid="28" name="PMHMAC">
    <vt:lpwstr>v=2022.1;a=SHA256;h=49D86FBE95B238DC368E8247310F0631F5C08748F2A2DC477BA81E194D76EC0B</vt:lpwstr>
  </property>
  <property fmtid="{D5CDD505-2E9C-101B-9397-08002B2CF9AE}" pid="29" name="PM_OriginationTimeStamp">
    <vt:lpwstr>2023-10-17T00:40:14Z</vt:lpwstr>
  </property>
  <property fmtid="{D5CDD505-2E9C-101B-9397-08002B2CF9AE}" pid="30" name="PM_Hash_Salt_Prev">
    <vt:lpwstr>B21EBA27AF83C50A2471CD5DFC5BA871</vt:lpwstr>
  </property>
  <property fmtid="{D5CDD505-2E9C-101B-9397-08002B2CF9AE}" pid="31" name="PM_Hash_SHA1">
    <vt:lpwstr>74BDF31FD674705DB8CA52DBBEF6E20C557DC84F</vt:lpwstr>
  </property>
  <property fmtid="{D5CDD505-2E9C-101B-9397-08002B2CF9AE}" pid="32" name="MSIP_Label_79d889eb-932f-4752-8739-64d25806ef64_Enabled">
    <vt:lpwstr>true</vt:lpwstr>
  </property>
  <property fmtid="{D5CDD505-2E9C-101B-9397-08002B2CF9AE}" pid="33" name="MSIP_Label_79d889eb-932f-4752-8739-64d25806ef64_SetDate">
    <vt:lpwstr>2023-10-29T21:30:41Z</vt:lpwstr>
  </property>
  <property fmtid="{D5CDD505-2E9C-101B-9397-08002B2CF9AE}" pid="34" name="MSIP_Label_79d889eb-932f-4752-8739-64d25806ef64_Method">
    <vt:lpwstr>Privileged</vt:lpwstr>
  </property>
  <property fmtid="{D5CDD505-2E9C-101B-9397-08002B2CF9AE}" pid="35" name="MSIP_Label_79d889eb-932f-4752-8739-64d25806ef64_Name">
    <vt:lpwstr>79d889eb-932f-4752-8739-64d25806ef64</vt:lpwstr>
  </property>
  <property fmtid="{D5CDD505-2E9C-101B-9397-08002B2CF9AE}" pid="36" name="MSIP_Label_79d889eb-932f-4752-8739-64d25806ef64_SiteId">
    <vt:lpwstr>dd0cfd15-4558-4b12-8bad-ea26984fc417</vt:lpwstr>
  </property>
  <property fmtid="{D5CDD505-2E9C-101B-9397-08002B2CF9AE}" pid="37" name="MSIP_Label_79d889eb-932f-4752-8739-64d25806ef64_ActionId">
    <vt:lpwstr>fd53b524-bee5-4627-85e4-8c9e941be152</vt:lpwstr>
  </property>
  <property fmtid="{D5CDD505-2E9C-101B-9397-08002B2CF9AE}" pid="38" name="MSIP_Label_79d889eb-932f-4752-8739-64d25806ef64_ContentBits">
    <vt:lpwstr>0</vt:lpwstr>
  </property>
</Properties>
</file>