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E42C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25E3C62" wp14:editId="61C85B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3BA2" w14:textId="77777777" w:rsidR="005E317F" w:rsidRDefault="005E317F" w:rsidP="005E317F">
      <w:pPr>
        <w:rPr>
          <w:sz w:val="19"/>
        </w:rPr>
      </w:pPr>
    </w:p>
    <w:p w14:paraId="016792EB" w14:textId="6FA4B45D" w:rsidR="005E317F" w:rsidRPr="00E500D4" w:rsidRDefault="009C4B15" w:rsidP="005E317F">
      <w:pPr>
        <w:pStyle w:val="ShortT"/>
      </w:pPr>
      <w:r>
        <w:t>Higher Education Support</w:t>
      </w:r>
      <w:r w:rsidR="005E317F" w:rsidRPr="00DA182D">
        <w:t xml:space="preserve"> </w:t>
      </w:r>
      <w:r w:rsidR="00933535">
        <w:t xml:space="preserve">(Other Grants) </w:t>
      </w:r>
      <w:r w:rsidR="005E317F">
        <w:t>Amendment (</w:t>
      </w:r>
      <w:r w:rsidR="005001A3">
        <w:t xml:space="preserve">Disability Support Programs, </w:t>
      </w:r>
      <w:r w:rsidR="00FA649A">
        <w:t>Women in STEM</w:t>
      </w:r>
      <w:r w:rsidR="009B2006">
        <w:t xml:space="preserve"> and Regional University Study Hubs</w:t>
      </w:r>
      <w:r w:rsidR="005E317F">
        <w:t xml:space="preserve">) </w:t>
      </w:r>
      <w:r>
        <w:t>Guidelines</w:t>
      </w:r>
      <w:r w:rsidR="005E317F" w:rsidRPr="00B973E5">
        <w:t xml:space="preserve"> </w:t>
      </w:r>
      <w:r>
        <w:t>2023</w:t>
      </w:r>
    </w:p>
    <w:p w14:paraId="7D7BE568" w14:textId="0602C852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C4B15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9C4B15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90087">
        <w:rPr>
          <w:szCs w:val="22"/>
        </w:rPr>
        <w:t>g</w:t>
      </w:r>
      <w:r w:rsidR="009C4B15">
        <w:rPr>
          <w:szCs w:val="22"/>
        </w:rPr>
        <w:t>uidelines</w:t>
      </w:r>
      <w:r w:rsidRPr="00DA182D">
        <w:rPr>
          <w:szCs w:val="22"/>
        </w:rPr>
        <w:t>.</w:t>
      </w:r>
    </w:p>
    <w:p w14:paraId="151CD526" w14:textId="5C3D2FFA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75E6B">
        <w:rPr>
          <w:szCs w:val="22"/>
        </w:rPr>
        <w:t>24 November 2023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0E29D652" w14:textId="5363B6D7" w:rsidR="005E317F" w:rsidRDefault="009C4B15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E317F" w:rsidRPr="00A75FE9">
        <w:rPr>
          <w:szCs w:val="22"/>
        </w:rPr>
        <w:t xml:space="preserve"> </w:t>
      </w:r>
    </w:p>
    <w:p w14:paraId="760FAE26" w14:textId="6AC5B838" w:rsidR="005E317F" w:rsidRPr="000D3FB9" w:rsidRDefault="009C4B15" w:rsidP="005E317F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5298E802" w14:textId="77777777" w:rsidR="00B20990" w:rsidRDefault="00B20990" w:rsidP="00B20990"/>
    <w:p w14:paraId="4F096679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6AD1051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222260B" w14:textId="6D21D555" w:rsidR="009B2006" w:rsidRDefault="00B2099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9B2006">
        <w:rPr>
          <w:noProof/>
        </w:rPr>
        <w:t>1  Name</w:t>
      </w:r>
      <w:r w:rsidR="009B2006">
        <w:rPr>
          <w:noProof/>
        </w:rPr>
        <w:tab/>
      </w:r>
      <w:r w:rsidR="009B2006">
        <w:rPr>
          <w:noProof/>
        </w:rPr>
        <w:fldChar w:fldCharType="begin"/>
      </w:r>
      <w:r w:rsidR="009B2006">
        <w:rPr>
          <w:noProof/>
        </w:rPr>
        <w:instrText xml:space="preserve"> PAGEREF _Toc146111203 \h </w:instrText>
      </w:r>
      <w:r w:rsidR="009B2006">
        <w:rPr>
          <w:noProof/>
        </w:rPr>
      </w:r>
      <w:r w:rsidR="009B2006">
        <w:rPr>
          <w:noProof/>
        </w:rPr>
        <w:fldChar w:fldCharType="separate"/>
      </w:r>
      <w:r w:rsidR="00C44F24">
        <w:rPr>
          <w:noProof/>
        </w:rPr>
        <w:t>1</w:t>
      </w:r>
      <w:r w:rsidR="009B2006">
        <w:rPr>
          <w:noProof/>
        </w:rPr>
        <w:fldChar w:fldCharType="end"/>
      </w:r>
    </w:p>
    <w:p w14:paraId="331A5A46" w14:textId="5990E5A7" w:rsidR="009B2006" w:rsidRDefault="009B20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_Toc146111204 \h </w:instrText>
      </w:r>
      <w:r>
        <w:rPr>
          <w:noProof/>
        </w:rPr>
      </w:r>
      <w:r>
        <w:rPr>
          <w:noProof/>
        </w:rPr>
        <w:fldChar w:fldCharType="separate"/>
      </w:r>
      <w:r w:rsidR="00C44F24">
        <w:rPr>
          <w:noProof/>
        </w:rPr>
        <w:t>1</w:t>
      </w:r>
      <w:r>
        <w:rPr>
          <w:noProof/>
        </w:rPr>
        <w:fldChar w:fldCharType="end"/>
      </w:r>
    </w:p>
    <w:p w14:paraId="150606F3" w14:textId="3E3996ED" w:rsidR="009B2006" w:rsidRDefault="009B20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_Toc146111205 \h </w:instrText>
      </w:r>
      <w:r>
        <w:rPr>
          <w:noProof/>
        </w:rPr>
      </w:r>
      <w:r>
        <w:rPr>
          <w:noProof/>
        </w:rPr>
        <w:fldChar w:fldCharType="separate"/>
      </w:r>
      <w:r w:rsidR="00C44F24">
        <w:rPr>
          <w:noProof/>
        </w:rPr>
        <w:t>1</w:t>
      </w:r>
      <w:r>
        <w:rPr>
          <w:noProof/>
        </w:rPr>
        <w:fldChar w:fldCharType="end"/>
      </w:r>
    </w:p>
    <w:p w14:paraId="234551C0" w14:textId="6FBF57CD" w:rsidR="009B2006" w:rsidRDefault="009B20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_Toc146111206 \h </w:instrText>
      </w:r>
      <w:r>
        <w:rPr>
          <w:noProof/>
        </w:rPr>
      </w:r>
      <w:r>
        <w:rPr>
          <w:noProof/>
        </w:rPr>
        <w:fldChar w:fldCharType="separate"/>
      </w:r>
      <w:r w:rsidR="00C44F24">
        <w:rPr>
          <w:noProof/>
        </w:rPr>
        <w:t>1</w:t>
      </w:r>
      <w:r>
        <w:rPr>
          <w:noProof/>
        </w:rPr>
        <w:fldChar w:fldCharType="end"/>
      </w:r>
    </w:p>
    <w:p w14:paraId="355DF271" w14:textId="5E0EA55A" w:rsidR="009B2006" w:rsidRDefault="009B200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_Toc146111207 \h </w:instrText>
      </w:r>
      <w:r>
        <w:rPr>
          <w:noProof/>
        </w:rPr>
      </w:r>
      <w:r>
        <w:rPr>
          <w:noProof/>
        </w:rPr>
        <w:fldChar w:fldCharType="separate"/>
      </w:r>
      <w:r w:rsidR="00C44F24">
        <w:rPr>
          <w:noProof/>
        </w:rPr>
        <w:t>2</w:t>
      </w:r>
      <w:r>
        <w:rPr>
          <w:noProof/>
        </w:rPr>
        <w:fldChar w:fldCharType="end"/>
      </w:r>
    </w:p>
    <w:p w14:paraId="702A9BA9" w14:textId="24A11816" w:rsidR="009B2006" w:rsidRDefault="009B200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Higher Education Support (Other Grants) Guidelines 2022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_Toc146111208 \h </w:instrText>
      </w:r>
      <w:r>
        <w:rPr>
          <w:noProof/>
        </w:rPr>
      </w:r>
      <w:r>
        <w:rPr>
          <w:noProof/>
        </w:rPr>
        <w:fldChar w:fldCharType="separate"/>
      </w:r>
      <w:r w:rsidR="00C44F24">
        <w:rPr>
          <w:noProof/>
        </w:rPr>
        <w:t>2</w:t>
      </w:r>
      <w:r>
        <w:rPr>
          <w:noProof/>
        </w:rPr>
        <w:fldChar w:fldCharType="end"/>
      </w:r>
    </w:p>
    <w:p w14:paraId="2DA28E98" w14:textId="6D97E718" w:rsidR="009B2006" w:rsidRDefault="009B2006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49  Employer reserved places</w:t>
      </w:r>
      <w:r>
        <w:rPr>
          <w:noProof/>
        </w:rPr>
        <w:tab/>
      </w:r>
      <w:r w:rsidR="007C3AB8">
        <w:rPr>
          <w:noProof/>
        </w:rPr>
        <w:t>2</w:t>
      </w:r>
    </w:p>
    <w:p w14:paraId="017C330C" w14:textId="50451BC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4BF0471" w14:textId="77777777" w:rsidR="00B20990" w:rsidRDefault="00B20990" w:rsidP="00B20990"/>
    <w:p w14:paraId="7F1A158D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6B9B7E6" w14:textId="77777777" w:rsidR="005E317F" w:rsidRPr="009C2562" w:rsidRDefault="005E317F" w:rsidP="005E317F">
      <w:pPr>
        <w:pStyle w:val="ActHead5"/>
      </w:pPr>
      <w:bookmarkStart w:id="1" w:name="_Toc146111203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DD0C38D" w14:textId="6764385B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C4B15">
        <w:rPr>
          <w:i/>
        </w:rPr>
        <w:t xml:space="preserve">Higher Education Support </w:t>
      </w:r>
      <w:r w:rsidR="00455976">
        <w:rPr>
          <w:i/>
        </w:rPr>
        <w:t xml:space="preserve">(Other Grants) </w:t>
      </w:r>
      <w:r w:rsidR="009C4B15">
        <w:rPr>
          <w:i/>
        </w:rPr>
        <w:t>Amendment (</w:t>
      </w:r>
      <w:r w:rsidR="005001A3">
        <w:rPr>
          <w:i/>
        </w:rPr>
        <w:t xml:space="preserve">Disability Support Programs, </w:t>
      </w:r>
      <w:r w:rsidR="00FA649A">
        <w:rPr>
          <w:i/>
        </w:rPr>
        <w:t>Women in STEM</w:t>
      </w:r>
      <w:r w:rsidR="009B2006">
        <w:rPr>
          <w:i/>
        </w:rPr>
        <w:t xml:space="preserve"> and Regional University Study Hubs</w:t>
      </w:r>
      <w:r w:rsidR="009C4B15">
        <w:rPr>
          <w:i/>
        </w:rPr>
        <w:t>) Guidelines 2023</w:t>
      </w:r>
      <w:r w:rsidRPr="009C2562">
        <w:t>.</w:t>
      </w:r>
    </w:p>
    <w:p w14:paraId="0CEADFA1" w14:textId="77777777" w:rsidR="005E317F" w:rsidRDefault="005E317F" w:rsidP="005E317F">
      <w:pPr>
        <w:pStyle w:val="ActHead5"/>
      </w:pPr>
      <w:bookmarkStart w:id="3" w:name="_Toc146111204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2991CA14" w14:textId="5BA8ECDB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9C4B15">
        <w:t>the day after this instrument is registered</w:t>
      </w:r>
      <w:r>
        <w:t>.</w:t>
      </w:r>
    </w:p>
    <w:p w14:paraId="590229A5" w14:textId="77777777" w:rsidR="005E317F" w:rsidRPr="009C2562" w:rsidRDefault="005E317F" w:rsidP="005E317F">
      <w:pPr>
        <w:pStyle w:val="ActHead5"/>
      </w:pPr>
      <w:bookmarkStart w:id="4" w:name="_Toc146111205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43048A9D" w14:textId="5FC0A5AD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C4B15">
        <w:t xml:space="preserve">section 238-10 of the </w:t>
      </w:r>
      <w:r w:rsidR="009C4B15">
        <w:rPr>
          <w:i/>
          <w:iCs/>
        </w:rPr>
        <w:t>Higher Education Support Act 2003</w:t>
      </w:r>
      <w:r w:rsidRPr="009C2562">
        <w:t>.</w:t>
      </w:r>
    </w:p>
    <w:p w14:paraId="2046838D" w14:textId="77777777" w:rsidR="005E317F" w:rsidRPr="006065DA" w:rsidRDefault="005E317F" w:rsidP="005E317F">
      <w:pPr>
        <w:pStyle w:val="ActHead5"/>
      </w:pPr>
      <w:bookmarkStart w:id="5" w:name="_Toc146111206"/>
      <w:r w:rsidRPr="006065DA">
        <w:t>4  Schedules</w:t>
      </w:r>
      <w:bookmarkEnd w:id="5"/>
    </w:p>
    <w:p w14:paraId="4C317BE2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216A67C4" w14:textId="77777777" w:rsidR="005E317F" w:rsidRDefault="005E317F" w:rsidP="005E317F">
      <w:pPr>
        <w:pStyle w:val="ActHead6"/>
        <w:pageBreakBefore/>
      </w:pPr>
      <w:bookmarkStart w:id="6" w:name="_Toc146111207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7C3295B7" w14:textId="3E49AEB4" w:rsidR="004B4A7C" w:rsidRPr="00217D5E" w:rsidRDefault="004B4A7C" w:rsidP="004B4A7C">
      <w:pPr>
        <w:pStyle w:val="ActHead7"/>
      </w:pPr>
      <w:bookmarkStart w:id="7" w:name="_Toc120697751"/>
      <w:bookmarkStart w:id="8" w:name="_Toc146111208"/>
      <w:r w:rsidRPr="007279F6">
        <w:rPr>
          <w:rStyle w:val="CharAmPartNo"/>
        </w:rPr>
        <w:t>Part 1</w:t>
      </w:r>
      <w:r w:rsidRPr="00217D5E">
        <w:t>—</w:t>
      </w:r>
      <w:bookmarkEnd w:id="7"/>
      <w:r>
        <w:rPr>
          <w:rStyle w:val="CharAmPartText"/>
        </w:rPr>
        <w:t>Disability Support Programs</w:t>
      </w:r>
    </w:p>
    <w:p w14:paraId="0A1B9BCE" w14:textId="3893C7A6" w:rsidR="005E317F" w:rsidRDefault="009C4B15" w:rsidP="005E317F">
      <w:pPr>
        <w:pStyle w:val="ActHead9"/>
      </w:pPr>
      <w:r>
        <w:t>Higher Education Support (Other Grants) Guidelines 2022</w:t>
      </w:r>
      <w:bookmarkEnd w:id="8"/>
    </w:p>
    <w:p w14:paraId="43ED3837" w14:textId="6508DDAD" w:rsidR="00A62C4C" w:rsidRDefault="00A62C4C" w:rsidP="00A62C4C">
      <w:pPr>
        <w:pStyle w:val="ItemHead"/>
      </w:pPr>
      <w:r>
        <w:t>1  Subsections 39(1) and (2)</w:t>
      </w:r>
    </w:p>
    <w:p w14:paraId="7E926A0C" w14:textId="77777777" w:rsidR="00A62C4C" w:rsidRDefault="00A62C4C" w:rsidP="00A62C4C">
      <w:pPr>
        <w:pStyle w:val="Item"/>
      </w:pPr>
      <w:r>
        <w:t>Repeal subsections 39(1) and (2), substitute:</w:t>
      </w:r>
    </w:p>
    <w:p w14:paraId="51FB46EB" w14:textId="11DA1B89" w:rsidR="00A62C4C" w:rsidRPr="005B7812" w:rsidRDefault="00A62C4C" w:rsidP="00A62C4C">
      <w:pPr>
        <w:pStyle w:val="subsection"/>
        <w:keepNext/>
        <w:rPr>
          <w:rFonts w:cs="Arial"/>
        </w:rPr>
      </w:pPr>
      <w:r w:rsidRPr="00B250C2">
        <w:tab/>
      </w:r>
      <w:r>
        <w:t>(1)</w:t>
      </w:r>
      <w:r>
        <w:tab/>
      </w:r>
      <w:r w:rsidRPr="226522A2">
        <w:rPr>
          <w:rFonts w:cs="Arial"/>
        </w:rPr>
        <w:t>The total amounts available for the two Disability Support Programs (the Disability Support Fund and the Australian Disability Clearinghouse on Education and Training) for 2023</w:t>
      </w:r>
      <w:r w:rsidR="00904858">
        <w:rPr>
          <w:rFonts w:cs="Arial"/>
        </w:rPr>
        <w:t xml:space="preserve">, </w:t>
      </w:r>
      <w:r w:rsidRPr="226522A2">
        <w:rPr>
          <w:rFonts w:cs="Arial"/>
        </w:rPr>
        <w:t>2024</w:t>
      </w:r>
      <w:r w:rsidR="005B7812">
        <w:rPr>
          <w:rFonts w:cs="Arial"/>
        </w:rPr>
        <w:t xml:space="preserve">, </w:t>
      </w:r>
      <w:r w:rsidR="00904858" w:rsidRPr="005B7812">
        <w:rPr>
          <w:rFonts w:cs="Arial"/>
        </w:rPr>
        <w:t>2025</w:t>
      </w:r>
      <w:r w:rsidR="005B7812">
        <w:rPr>
          <w:rFonts w:cs="Arial"/>
        </w:rPr>
        <w:t xml:space="preserve"> and future years</w:t>
      </w:r>
      <w:r w:rsidRPr="005B7812">
        <w:rPr>
          <w:rFonts w:cs="Arial"/>
        </w:rPr>
        <w:t xml:space="preserve"> are: </w:t>
      </w:r>
    </w:p>
    <w:p w14:paraId="2FDC8940" w14:textId="5B01B906" w:rsidR="00A62C4C" w:rsidRPr="005B7812" w:rsidRDefault="00A62C4C" w:rsidP="00A62C4C">
      <w:pPr>
        <w:pStyle w:val="paragraph"/>
        <w:rPr>
          <w:rFonts w:cs="Arial"/>
          <w:szCs w:val="22"/>
        </w:rPr>
      </w:pPr>
      <w:r w:rsidRPr="005B7812">
        <w:tab/>
        <w:t>(a)</w:t>
      </w:r>
      <w:r w:rsidRPr="005B7812">
        <w:tab/>
      </w:r>
      <w:r w:rsidRPr="005B7812">
        <w:rPr>
          <w:rFonts w:cs="Arial"/>
          <w:szCs w:val="22"/>
        </w:rPr>
        <w:t xml:space="preserve">for 2023, $10,184,843; </w:t>
      </w:r>
    </w:p>
    <w:p w14:paraId="6470B5A0" w14:textId="78B62C88" w:rsidR="00A459C1" w:rsidRPr="005B7812" w:rsidRDefault="00A62C4C" w:rsidP="00A62C4C">
      <w:pPr>
        <w:pStyle w:val="paragraph"/>
        <w:rPr>
          <w:rFonts w:cs="Arial"/>
        </w:rPr>
      </w:pPr>
      <w:r w:rsidRPr="005B7812">
        <w:tab/>
      </w:r>
      <w:r w:rsidRPr="005B7812">
        <w:rPr>
          <w:rFonts w:cs="Arial"/>
        </w:rPr>
        <w:t>(b)</w:t>
      </w:r>
      <w:r w:rsidRPr="005B7812">
        <w:tab/>
      </w:r>
      <w:r w:rsidRPr="005B7812">
        <w:rPr>
          <w:rFonts w:cs="Arial"/>
        </w:rPr>
        <w:t>for 2024, $13,343,418</w:t>
      </w:r>
      <w:r w:rsidR="00A459C1" w:rsidRPr="005B7812">
        <w:rPr>
          <w:rFonts w:cs="Arial"/>
        </w:rPr>
        <w:t>;</w:t>
      </w:r>
      <w:r w:rsidR="00904858" w:rsidRPr="005B7812">
        <w:rPr>
          <w:rFonts w:cs="Arial"/>
        </w:rPr>
        <w:t xml:space="preserve"> and</w:t>
      </w:r>
    </w:p>
    <w:p w14:paraId="1D33A07C" w14:textId="2ABA9D77" w:rsidR="00227A35" w:rsidRDefault="00A459C1" w:rsidP="00A62C4C">
      <w:pPr>
        <w:pStyle w:val="paragraph"/>
        <w:rPr>
          <w:rFonts w:cs="Arial"/>
        </w:rPr>
      </w:pPr>
      <w:r w:rsidRPr="005B7812">
        <w:tab/>
      </w:r>
      <w:r w:rsidRPr="005B7812">
        <w:rPr>
          <w:rFonts w:cs="Arial"/>
        </w:rPr>
        <w:t>(c)</w:t>
      </w:r>
      <w:r w:rsidR="00904858" w:rsidRPr="005B7812">
        <w:rPr>
          <w:rFonts w:cs="Arial"/>
        </w:rPr>
        <w:tab/>
      </w:r>
      <w:r w:rsidRPr="005B7812">
        <w:rPr>
          <w:rFonts w:cs="Arial"/>
        </w:rPr>
        <w:t xml:space="preserve">for 2025, </w:t>
      </w:r>
      <w:r w:rsidR="00227A35">
        <w:rPr>
          <w:rFonts w:cs="Arial"/>
        </w:rPr>
        <w:t xml:space="preserve">the amount that is determined by multiplying </w:t>
      </w:r>
      <w:r w:rsidRPr="005B7812">
        <w:rPr>
          <w:rFonts w:cs="Arial"/>
        </w:rPr>
        <w:t xml:space="preserve">$13,143,418 </w:t>
      </w:r>
      <w:r w:rsidR="00227A35">
        <w:rPr>
          <w:rFonts w:cs="Arial"/>
        </w:rPr>
        <w:t xml:space="preserve">with the indexation factor (within the meaning of subsection 198-15(1) of the Act) for 2025 </w:t>
      </w:r>
      <w:r w:rsidRPr="005B7812">
        <w:rPr>
          <w:rFonts w:cs="Arial"/>
        </w:rPr>
        <w:t xml:space="preserve">(the </w:t>
      </w:r>
      <w:r w:rsidRPr="005B7812">
        <w:rPr>
          <w:rFonts w:cs="Arial"/>
          <w:b/>
          <w:bCs/>
          <w:i/>
          <w:iCs/>
        </w:rPr>
        <w:t>2025 DSP Grants Total</w:t>
      </w:r>
      <w:r w:rsidRPr="005B7812">
        <w:rPr>
          <w:rFonts w:cs="Arial"/>
        </w:rPr>
        <w:t>)</w:t>
      </w:r>
      <w:r w:rsidR="00227A35">
        <w:rPr>
          <w:rFonts w:cs="Arial"/>
        </w:rPr>
        <w:t xml:space="preserve">; </w:t>
      </w:r>
    </w:p>
    <w:p w14:paraId="3A8A3AF6" w14:textId="30B55B81" w:rsidR="00A62C4C" w:rsidRPr="005B7812" w:rsidRDefault="00227A35" w:rsidP="00A62C4C">
      <w:pPr>
        <w:pStyle w:val="paragraph"/>
        <w:rPr>
          <w:rFonts w:cs="Arial"/>
        </w:rPr>
      </w:pPr>
      <w:r>
        <w:rPr>
          <w:rFonts w:cs="Arial"/>
        </w:rPr>
        <w:tab/>
        <w:t>(d)</w:t>
      </w:r>
      <w:r>
        <w:rPr>
          <w:rFonts w:cs="Arial"/>
        </w:rPr>
        <w:tab/>
        <w:t xml:space="preserve">for all future years, </w:t>
      </w:r>
      <w:r w:rsidR="005B7812">
        <w:rPr>
          <w:rFonts w:cs="Arial"/>
        </w:rPr>
        <w:t>the 202</w:t>
      </w:r>
      <w:r>
        <w:rPr>
          <w:rFonts w:cs="Arial"/>
        </w:rPr>
        <w:t>5</w:t>
      </w:r>
      <w:r w:rsidR="005B7812">
        <w:rPr>
          <w:rFonts w:cs="Arial"/>
        </w:rPr>
        <w:t xml:space="preserve"> DSP Grants total as indexed</w:t>
      </w:r>
      <w:r w:rsidR="00C53E40">
        <w:rPr>
          <w:rFonts w:cs="Arial"/>
        </w:rPr>
        <w:t xml:space="preserve"> </w:t>
      </w:r>
      <w:r w:rsidR="00A62C4C" w:rsidRPr="005B7812">
        <w:rPr>
          <w:rFonts w:cs="Arial"/>
        </w:rPr>
        <w:t>under section 40.</w:t>
      </w:r>
    </w:p>
    <w:p w14:paraId="6404B99F" w14:textId="77777777" w:rsidR="00A62C4C" w:rsidRPr="005B7812" w:rsidRDefault="00A62C4C" w:rsidP="00A62C4C">
      <w:pPr>
        <w:pStyle w:val="subsection"/>
        <w:keepNext/>
        <w:rPr>
          <w:rFonts w:cs="Arial"/>
          <w:szCs w:val="22"/>
        </w:rPr>
      </w:pPr>
      <w:r w:rsidRPr="005B7812">
        <w:tab/>
        <w:t>(2)</w:t>
      </w:r>
      <w:r w:rsidRPr="005B7812">
        <w:tab/>
      </w:r>
      <w:r w:rsidRPr="005B7812">
        <w:rPr>
          <w:rFonts w:cs="Arial"/>
          <w:szCs w:val="22"/>
        </w:rPr>
        <w:t xml:space="preserve">The total amount of funding available for the Disability Support Fund (the </w:t>
      </w:r>
      <w:r w:rsidRPr="005B7812">
        <w:rPr>
          <w:rFonts w:cs="Arial"/>
          <w:b/>
          <w:bCs/>
          <w:i/>
          <w:iCs/>
          <w:szCs w:val="22"/>
        </w:rPr>
        <w:t>DSF yearly total</w:t>
      </w:r>
      <w:r w:rsidRPr="005B7812">
        <w:rPr>
          <w:rFonts w:cs="Arial"/>
          <w:szCs w:val="22"/>
        </w:rPr>
        <w:t xml:space="preserve">) is: </w:t>
      </w:r>
    </w:p>
    <w:p w14:paraId="2451E2D4" w14:textId="77777777" w:rsidR="00A62C4C" w:rsidRPr="005B7812" w:rsidRDefault="00A62C4C" w:rsidP="00A62C4C">
      <w:pPr>
        <w:pStyle w:val="paragraph"/>
        <w:rPr>
          <w:rFonts w:cs="Arial"/>
        </w:rPr>
      </w:pPr>
      <w:r w:rsidRPr="005B7812">
        <w:rPr>
          <w:rFonts w:cs="Arial"/>
        </w:rPr>
        <w:t xml:space="preserve"> </w:t>
      </w:r>
      <w:r w:rsidRPr="005B7812">
        <w:tab/>
        <w:t>(a)</w:t>
      </w:r>
      <w:r w:rsidRPr="005B7812">
        <w:tab/>
      </w:r>
      <w:r w:rsidRPr="005B7812">
        <w:rPr>
          <w:rFonts w:cs="Arial"/>
        </w:rPr>
        <w:t xml:space="preserve">for 2023, the amount in paragraph (1)(a), less the amount allocated to the Australian Disability Clearinghouse on Education and Training under section 45 (the </w:t>
      </w:r>
      <w:r w:rsidRPr="005B7812">
        <w:rPr>
          <w:rFonts w:cs="Arial"/>
          <w:b/>
          <w:bCs/>
          <w:i/>
          <w:iCs/>
        </w:rPr>
        <w:t>ADCET amount</w:t>
      </w:r>
      <w:r w:rsidRPr="005B7812">
        <w:rPr>
          <w:rFonts w:cs="Arial"/>
          <w:i/>
          <w:iCs/>
        </w:rPr>
        <w:t xml:space="preserve">) </w:t>
      </w:r>
      <w:r w:rsidRPr="005B7812">
        <w:rPr>
          <w:rFonts w:cs="Arial"/>
        </w:rPr>
        <w:t xml:space="preserve">for that year; </w:t>
      </w:r>
    </w:p>
    <w:p w14:paraId="74779F3A" w14:textId="48016BF0" w:rsidR="00A62C4C" w:rsidRPr="005B7812" w:rsidRDefault="00A62C4C" w:rsidP="00A62C4C">
      <w:pPr>
        <w:pStyle w:val="paragraph"/>
        <w:rPr>
          <w:rFonts w:cs="Arial"/>
          <w:szCs w:val="22"/>
        </w:rPr>
      </w:pPr>
      <w:r w:rsidRPr="005B7812">
        <w:rPr>
          <w:rFonts w:cs="Arial"/>
          <w:szCs w:val="22"/>
        </w:rPr>
        <w:tab/>
        <w:t>(b)</w:t>
      </w:r>
      <w:r w:rsidRPr="005B7812">
        <w:rPr>
          <w:rFonts w:cs="Arial"/>
          <w:szCs w:val="22"/>
        </w:rPr>
        <w:tab/>
        <w:t>for 2024, the amount in paragraph (1)(b), less the ADCET amount for that year;</w:t>
      </w:r>
    </w:p>
    <w:p w14:paraId="4721E949" w14:textId="5898546E" w:rsidR="00904858" w:rsidRPr="005B7812" w:rsidRDefault="00904858" w:rsidP="00A62C4C">
      <w:pPr>
        <w:pStyle w:val="paragraph"/>
        <w:rPr>
          <w:rFonts w:cs="Arial"/>
          <w:szCs w:val="22"/>
        </w:rPr>
      </w:pPr>
      <w:r w:rsidRPr="005B7812">
        <w:rPr>
          <w:rFonts w:cs="Arial"/>
          <w:szCs w:val="22"/>
        </w:rPr>
        <w:tab/>
        <w:t>(c)</w:t>
      </w:r>
      <w:r w:rsidRPr="005B7812">
        <w:rPr>
          <w:rFonts w:cs="Arial"/>
          <w:szCs w:val="22"/>
        </w:rPr>
        <w:tab/>
        <w:t>for 2025, the amount in paragraph (1)(c), less the ADCET amount for that year; and</w:t>
      </w:r>
    </w:p>
    <w:p w14:paraId="2C246776" w14:textId="0C514122" w:rsidR="00A62C4C" w:rsidRPr="005B7812" w:rsidRDefault="00A62C4C" w:rsidP="00A62C4C">
      <w:pPr>
        <w:pStyle w:val="paragraph"/>
        <w:rPr>
          <w:rFonts w:cs="Arial"/>
          <w:szCs w:val="22"/>
        </w:rPr>
      </w:pPr>
      <w:r w:rsidRPr="005B7812">
        <w:rPr>
          <w:rFonts w:cs="Arial"/>
          <w:szCs w:val="22"/>
        </w:rPr>
        <w:tab/>
        <w:t>(</w:t>
      </w:r>
      <w:r w:rsidR="004D2E46" w:rsidRPr="005B7812">
        <w:rPr>
          <w:rFonts w:cs="Arial"/>
          <w:szCs w:val="22"/>
        </w:rPr>
        <w:t>d</w:t>
      </w:r>
      <w:r w:rsidRPr="005B7812">
        <w:rPr>
          <w:rFonts w:cs="Arial"/>
          <w:szCs w:val="22"/>
        </w:rPr>
        <w:t>)</w:t>
      </w:r>
      <w:r w:rsidRPr="005B7812">
        <w:rPr>
          <w:rFonts w:cs="Arial"/>
          <w:szCs w:val="22"/>
        </w:rPr>
        <w:tab/>
        <w:t>for all future years, the 202</w:t>
      </w:r>
      <w:r w:rsidR="00A459C1" w:rsidRPr="005B7812">
        <w:rPr>
          <w:rFonts w:cs="Arial"/>
          <w:szCs w:val="22"/>
        </w:rPr>
        <w:t>5</w:t>
      </w:r>
      <w:r w:rsidRPr="005B7812">
        <w:rPr>
          <w:rFonts w:cs="Arial"/>
          <w:szCs w:val="22"/>
        </w:rPr>
        <w:t xml:space="preserve"> DSP Grants Total, as indexed, less the ADCET amount for that year. </w:t>
      </w:r>
    </w:p>
    <w:p w14:paraId="100A3312" w14:textId="343EF2BA" w:rsidR="00A62C4C" w:rsidRPr="005B7812" w:rsidRDefault="00A62C4C" w:rsidP="00A62C4C">
      <w:pPr>
        <w:pStyle w:val="ItemHead"/>
      </w:pPr>
      <w:r w:rsidRPr="005B7812">
        <w:t>2  Paragraph 39(5)(a)</w:t>
      </w:r>
    </w:p>
    <w:p w14:paraId="7255EAEA" w14:textId="77777777" w:rsidR="00A62C4C" w:rsidRPr="005B7812" w:rsidRDefault="00A62C4C" w:rsidP="00A62C4C">
      <w:pPr>
        <w:pStyle w:val="Item"/>
      </w:pPr>
      <w:r w:rsidRPr="005B7812">
        <w:t>Omit “$10,271 in 2022”, substitute “$10,631 in 2023”.</w:t>
      </w:r>
    </w:p>
    <w:p w14:paraId="67284619" w14:textId="68ED8960" w:rsidR="00A62C4C" w:rsidRPr="005B7812" w:rsidRDefault="00A62C4C" w:rsidP="00A62C4C">
      <w:pPr>
        <w:pStyle w:val="ItemHead"/>
      </w:pPr>
      <w:r w:rsidRPr="005B7812">
        <w:t>3  Section 40</w:t>
      </w:r>
    </w:p>
    <w:p w14:paraId="0F160952" w14:textId="5C421E90" w:rsidR="00A62C4C" w:rsidRDefault="00A62C4C" w:rsidP="00A62C4C">
      <w:pPr>
        <w:pStyle w:val="Item"/>
      </w:pPr>
      <w:r w:rsidRPr="005B7812">
        <w:t>Omit “subsections 39(1) and 39(5) for the year 2022”, substitute “paragraphs 39(1)(</w:t>
      </w:r>
      <w:r w:rsidR="00227A35">
        <w:t>d</w:t>
      </w:r>
      <w:r w:rsidRPr="005B7812">
        <w:t>) and (5)(a)”.</w:t>
      </w:r>
    </w:p>
    <w:p w14:paraId="767586F6" w14:textId="77777777" w:rsidR="00A62C4C" w:rsidRDefault="00A62C4C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D3A62D9" w14:textId="0B5BB438" w:rsidR="00A62C4C" w:rsidRDefault="00A62C4C" w:rsidP="00A62C4C">
      <w:pPr>
        <w:pStyle w:val="ActHead7"/>
        <w:rPr>
          <w:rStyle w:val="CharAmPartText"/>
        </w:rPr>
      </w:pPr>
      <w:r w:rsidRPr="007279F6">
        <w:rPr>
          <w:rStyle w:val="CharAmPartNo"/>
        </w:rPr>
        <w:lastRenderedPageBreak/>
        <w:t>Part </w:t>
      </w:r>
      <w:r>
        <w:rPr>
          <w:rStyle w:val="CharAmPartNo"/>
        </w:rPr>
        <w:t>2</w:t>
      </w:r>
      <w:r w:rsidRPr="00217D5E">
        <w:t>—</w:t>
      </w:r>
      <w:r>
        <w:rPr>
          <w:rStyle w:val="CharAmPartText"/>
        </w:rPr>
        <w:t>Women in STEM Cadetships and Advanced Apprenticeships Program</w:t>
      </w:r>
    </w:p>
    <w:p w14:paraId="0DBEB702" w14:textId="77777777" w:rsidR="00A62C4C" w:rsidRDefault="00A62C4C" w:rsidP="00A62C4C">
      <w:pPr>
        <w:pStyle w:val="ActHead9"/>
      </w:pPr>
      <w:r>
        <w:t>Higher Education Support (Other Grants) Guidelines 2022</w:t>
      </w:r>
    </w:p>
    <w:p w14:paraId="6218D61A" w14:textId="16921931" w:rsidR="003D25ED" w:rsidRDefault="0053027F" w:rsidP="003D25ED">
      <w:pPr>
        <w:pStyle w:val="ItemHead"/>
      </w:pPr>
      <w:r>
        <w:t>4</w:t>
      </w:r>
      <w:r w:rsidR="003D25ED">
        <w:t xml:space="preserve">  Paragraph 47(2)(a)</w:t>
      </w:r>
    </w:p>
    <w:p w14:paraId="34D57E10" w14:textId="0CEAB650" w:rsidR="003D25ED" w:rsidRDefault="00F37A0F" w:rsidP="003D25ED">
      <w:pPr>
        <w:pStyle w:val="Item"/>
      </w:pPr>
      <w:r>
        <w:t>After “agree to enter into a deed of agreement with the Commonwealth under this Part”, insert “</w:t>
      </w:r>
      <w:r w:rsidR="007B3D6E">
        <w:t xml:space="preserve">in which the provider is allocated </w:t>
      </w:r>
      <w:r>
        <w:t>employer reserved places”.</w:t>
      </w:r>
    </w:p>
    <w:p w14:paraId="6034D9E4" w14:textId="3057DDD7" w:rsidR="005E317F" w:rsidRDefault="0053027F" w:rsidP="005E317F">
      <w:pPr>
        <w:pStyle w:val="ItemHead"/>
      </w:pPr>
      <w:r>
        <w:t>5</w:t>
      </w:r>
      <w:r w:rsidR="005E317F">
        <w:t xml:space="preserve">  </w:t>
      </w:r>
      <w:r w:rsidR="00345520">
        <w:t xml:space="preserve">Section </w:t>
      </w:r>
      <w:r w:rsidR="00D06FF7">
        <w:t>49</w:t>
      </w:r>
    </w:p>
    <w:p w14:paraId="6697F889" w14:textId="6D8B45EB" w:rsidR="005E317F" w:rsidRDefault="00345520" w:rsidP="005E317F">
      <w:pPr>
        <w:pStyle w:val="Item"/>
      </w:pPr>
      <w:r>
        <w:t>Repeal section 49</w:t>
      </w:r>
      <w:r w:rsidR="00AE70AE">
        <w:t>.</w:t>
      </w:r>
      <w:r>
        <w:t xml:space="preserve"> </w:t>
      </w:r>
    </w:p>
    <w:p w14:paraId="7223B81E" w14:textId="1B554E3D" w:rsidR="00AE70AE" w:rsidRDefault="00AE70AE" w:rsidP="00AE70AE">
      <w:pPr>
        <w:pStyle w:val="ItemHead"/>
      </w:pPr>
      <w:r>
        <w:t>6  Subsection 50(1)</w:t>
      </w:r>
    </w:p>
    <w:p w14:paraId="5F5B4591" w14:textId="7FA85543" w:rsidR="00AE70AE" w:rsidRDefault="00AE70AE" w:rsidP="00AE70AE">
      <w:pPr>
        <w:pStyle w:val="Item"/>
      </w:pPr>
      <w:r>
        <w:t>Omit “subsection (4)”, insert: “subsections (4) and (5)”.</w:t>
      </w:r>
    </w:p>
    <w:p w14:paraId="5D9FDEAD" w14:textId="30411B95" w:rsidR="00BE2BCB" w:rsidRDefault="00BE2BCB" w:rsidP="00BE2BCB">
      <w:pPr>
        <w:pStyle w:val="ItemHead"/>
      </w:pPr>
      <w:r>
        <w:t>7  Subsection 50(4)</w:t>
      </w:r>
    </w:p>
    <w:p w14:paraId="0D9AFE9B" w14:textId="54B6D370" w:rsidR="00BE2BCB" w:rsidRDefault="00BE2BCB" w:rsidP="00BE2BCB">
      <w:pPr>
        <w:pStyle w:val="Item"/>
      </w:pPr>
      <w:r>
        <w:t>Omit “for a year”, insert: “for each year”.</w:t>
      </w:r>
    </w:p>
    <w:p w14:paraId="41454A11" w14:textId="208F4EDC" w:rsidR="00AE70AE" w:rsidRDefault="00BE2BCB" w:rsidP="00AE70AE">
      <w:pPr>
        <w:pStyle w:val="ItemHead"/>
      </w:pPr>
      <w:r>
        <w:t>8</w:t>
      </w:r>
      <w:r w:rsidR="00AE70AE">
        <w:t xml:space="preserve">  Subsection 50(4)</w:t>
      </w:r>
    </w:p>
    <w:p w14:paraId="7AD25F80" w14:textId="11CDA9BA" w:rsidR="00AE70AE" w:rsidRDefault="00AE70AE" w:rsidP="00AE70AE">
      <w:pPr>
        <w:pStyle w:val="Item"/>
      </w:pPr>
      <w:r>
        <w:t xml:space="preserve">After subsection 50(4), insert: </w:t>
      </w:r>
    </w:p>
    <w:p w14:paraId="0572281F" w14:textId="77777777" w:rsidR="00CA63B4" w:rsidRDefault="00AE70AE">
      <w:pPr>
        <w:pStyle w:val="subsection"/>
        <w:rPr>
          <w:rFonts w:cs="Arial"/>
          <w:szCs w:val="22"/>
        </w:rPr>
      </w:pPr>
      <w:r w:rsidRPr="00B250C2">
        <w:rPr>
          <w:rFonts w:cs="Arial"/>
          <w:szCs w:val="22"/>
        </w:rPr>
        <w:tab/>
        <w:t>(</w:t>
      </w:r>
      <w:r>
        <w:rPr>
          <w:rFonts w:cs="Arial"/>
          <w:szCs w:val="22"/>
        </w:rPr>
        <w:t>5</w:t>
      </w:r>
      <w:r w:rsidRPr="00B250C2">
        <w:rPr>
          <w:rFonts w:cs="Arial"/>
          <w:szCs w:val="22"/>
        </w:rPr>
        <w:t>)</w:t>
      </w:r>
      <w:r w:rsidRPr="00B250C2">
        <w:rPr>
          <w:rFonts w:cs="Arial"/>
          <w:szCs w:val="22"/>
        </w:rPr>
        <w:tab/>
      </w:r>
      <w:r w:rsidR="00DC14BC">
        <w:rPr>
          <w:rFonts w:cs="Arial"/>
          <w:szCs w:val="22"/>
        </w:rPr>
        <w:t xml:space="preserve">Notwithstanding subsection 50(4), a </w:t>
      </w:r>
      <w:r>
        <w:rPr>
          <w:rFonts w:cs="Arial"/>
          <w:szCs w:val="22"/>
        </w:rPr>
        <w:t>Women in STEM employer will not be eligible to receive more than</w:t>
      </w:r>
      <w:r w:rsidR="00CA63B4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</w:p>
    <w:p w14:paraId="08452E14" w14:textId="60151EEA" w:rsidR="00CA63B4" w:rsidRDefault="00CA63B4" w:rsidP="00DA1913">
      <w:pPr>
        <w:pStyle w:val="paragrap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BE2BCB">
        <w:rPr>
          <w:rFonts w:cs="Arial"/>
          <w:szCs w:val="22"/>
        </w:rPr>
        <w:t>(a)</w:t>
      </w:r>
      <w:r>
        <w:rPr>
          <w:rFonts w:cs="Arial"/>
          <w:szCs w:val="22"/>
        </w:rPr>
        <w:tab/>
      </w:r>
      <w:r w:rsidR="00AE70AE">
        <w:rPr>
          <w:rFonts w:cs="Arial"/>
          <w:szCs w:val="22"/>
        </w:rPr>
        <w:t xml:space="preserve">$10,000 in </w:t>
      </w:r>
      <w:r w:rsidR="00AE70AE" w:rsidRPr="00BE2BCB">
        <w:rPr>
          <w:rFonts w:cs="Arial"/>
        </w:rPr>
        <w:t>relation</w:t>
      </w:r>
      <w:r w:rsidR="00AE70AE">
        <w:rPr>
          <w:rFonts w:cs="Arial"/>
          <w:szCs w:val="22"/>
        </w:rPr>
        <w:t xml:space="preserve"> to a student undertaking a course of study that leads to an Australian Qualifications Framework qualification at level 5</w:t>
      </w:r>
      <w:r>
        <w:rPr>
          <w:rFonts w:cs="Arial"/>
          <w:szCs w:val="22"/>
        </w:rPr>
        <w:t>;</w:t>
      </w:r>
      <w:r w:rsidR="00AE70AE">
        <w:rPr>
          <w:rFonts w:cs="Arial"/>
          <w:szCs w:val="22"/>
        </w:rPr>
        <w:t xml:space="preserve"> and </w:t>
      </w:r>
    </w:p>
    <w:p w14:paraId="13C52A1E" w14:textId="494A43B6" w:rsidR="00AE70AE" w:rsidRPr="00AE70AE" w:rsidRDefault="00CA63B4" w:rsidP="00DA1913">
      <w:pPr>
        <w:pStyle w:val="paragraph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BE2BCB">
        <w:rPr>
          <w:rFonts w:cs="Arial"/>
          <w:szCs w:val="22"/>
        </w:rPr>
        <w:t>(b)</w:t>
      </w:r>
      <w:r>
        <w:rPr>
          <w:rFonts w:cs="Arial"/>
          <w:szCs w:val="22"/>
        </w:rPr>
        <w:tab/>
      </w:r>
      <w:r w:rsidR="00AE70AE">
        <w:rPr>
          <w:rFonts w:cs="Arial"/>
          <w:szCs w:val="22"/>
        </w:rPr>
        <w:t xml:space="preserve">$20,000 in relation to a student undertaking a course of study that leads to an </w:t>
      </w:r>
      <w:r w:rsidR="00AE70AE" w:rsidRPr="00BE2BCB">
        <w:rPr>
          <w:rFonts w:cs="Arial"/>
        </w:rPr>
        <w:t>Australian</w:t>
      </w:r>
      <w:r w:rsidR="00AE70AE">
        <w:rPr>
          <w:rFonts w:cs="Arial"/>
          <w:szCs w:val="22"/>
        </w:rPr>
        <w:t xml:space="preserve"> Qualifications Framework qualification at level 6.</w:t>
      </w:r>
    </w:p>
    <w:p w14:paraId="71BF48BC" w14:textId="77777777" w:rsidR="00787717" w:rsidRDefault="00787717">
      <w:pPr>
        <w:spacing w:line="240" w:lineRule="auto"/>
        <w:rPr>
          <w:rFonts w:eastAsia="Times New Roman" w:cs="Arial"/>
          <w:szCs w:val="22"/>
          <w:lang w:eastAsia="en-AU"/>
        </w:rPr>
      </w:pPr>
      <w:r>
        <w:rPr>
          <w:rFonts w:cs="Arial"/>
          <w:szCs w:val="22"/>
        </w:rPr>
        <w:br w:type="page"/>
      </w:r>
    </w:p>
    <w:p w14:paraId="3EDB4BDA" w14:textId="34D53492" w:rsidR="00787717" w:rsidRDefault="00787717" w:rsidP="00787717">
      <w:pPr>
        <w:pStyle w:val="ActHead7"/>
        <w:rPr>
          <w:rStyle w:val="CharAmPartText"/>
        </w:rPr>
      </w:pPr>
      <w:r w:rsidRPr="007279F6">
        <w:rPr>
          <w:rStyle w:val="CharAmPartNo"/>
        </w:rPr>
        <w:lastRenderedPageBreak/>
        <w:t>Part </w:t>
      </w:r>
      <w:r>
        <w:rPr>
          <w:rStyle w:val="CharAmPartNo"/>
        </w:rPr>
        <w:t>3</w:t>
      </w:r>
      <w:r w:rsidRPr="00217D5E">
        <w:t>—</w:t>
      </w:r>
      <w:r>
        <w:rPr>
          <w:rStyle w:val="CharAmPartText"/>
        </w:rPr>
        <w:t>Regional University Study Hubs</w:t>
      </w:r>
    </w:p>
    <w:p w14:paraId="7DF9D02B" w14:textId="77777777" w:rsidR="00787717" w:rsidRDefault="00787717" w:rsidP="00787717">
      <w:pPr>
        <w:pStyle w:val="ActHead9"/>
      </w:pPr>
      <w:r>
        <w:t>Higher Education Support (Other Grants) Guidelines 2022</w:t>
      </w:r>
    </w:p>
    <w:p w14:paraId="196DEA4B" w14:textId="08FFDB0B" w:rsidR="0053027F" w:rsidRDefault="00BE2BCB" w:rsidP="0053027F">
      <w:pPr>
        <w:pStyle w:val="ItemHead"/>
      </w:pPr>
      <w:r>
        <w:t>9</w:t>
      </w:r>
      <w:r w:rsidR="0053027F">
        <w:t xml:space="preserve"> Paragraph 18(2)(a)</w:t>
      </w:r>
    </w:p>
    <w:p w14:paraId="28C1F81E" w14:textId="77777777" w:rsidR="0053027F" w:rsidRDefault="0053027F" w:rsidP="0053027F">
      <w:pPr>
        <w:pStyle w:val="Item"/>
      </w:pPr>
      <w:r>
        <w:t>Omit “Regional University Centres”, insert “Regional University Study Hubs”.</w:t>
      </w:r>
    </w:p>
    <w:p w14:paraId="34586B92" w14:textId="0DFC3030" w:rsidR="0053027F" w:rsidRDefault="00BE2BCB" w:rsidP="0053027F">
      <w:pPr>
        <w:pStyle w:val="ItemHead"/>
      </w:pPr>
      <w:r>
        <w:t>10</w:t>
      </w:r>
      <w:r w:rsidR="0053027F">
        <w:t xml:space="preserve"> Paragraph 18(2)(b)</w:t>
      </w:r>
    </w:p>
    <w:p w14:paraId="3F237D41" w14:textId="77777777" w:rsidR="0053027F" w:rsidRDefault="0053027F" w:rsidP="0053027F">
      <w:pPr>
        <w:pStyle w:val="Item"/>
      </w:pPr>
      <w:r>
        <w:t>Omit “Regional University Centres”, insert “Regional University Study Hubs”.</w:t>
      </w:r>
    </w:p>
    <w:p w14:paraId="4F890FD0" w14:textId="09DE149A" w:rsidR="0053027F" w:rsidRDefault="00BE2BCB" w:rsidP="00BE2BCB">
      <w:pPr>
        <w:pStyle w:val="ItemHead"/>
        <w:ind w:left="0" w:firstLine="0"/>
      </w:pPr>
      <w:r>
        <w:t>11</w:t>
      </w:r>
      <w:r w:rsidR="0053027F">
        <w:t xml:space="preserve"> Section 19</w:t>
      </w:r>
    </w:p>
    <w:p w14:paraId="5830794D" w14:textId="77777777" w:rsidR="0053027F" w:rsidRDefault="0053027F" w:rsidP="0053027F">
      <w:pPr>
        <w:pStyle w:val="Item"/>
      </w:pPr>
      <w:r>
        <w:t>Omit “Regional University Centres”, insert “Regional University Study Hubs”.</w:t>
      </w:r>
    </w:p>
    <w:p w14:paraId="406C717C" w14:textId="441E2F5C" w:rsidR="009B2006" w:rsidRDefault="00BE2BCB" w:rsidP="009B2006">
      <w:pPr>
        <w:pStyle w:val="ItemHead"/>
      </w:pPr>
      <w:r>
        <w:t>12</w:t>
      </w:r>
      <w:r w:rsidR="009B2006">
        <w:t xml:space="preserve"> Part 9 (heading)</w:t>
      </w:r>
    </w:p>
    <w:p w14:paraId="7AC0C56B" w14:textId="77777777" w:rsidR="000B05A8" w:rsidRDefault="000B05A8" w:rsidP="009B2006">
      <w:pPr>
        <w:pStyle w:val="Item"/>
      </w:pPr>
      <w:r>
        <w:t xml:space="preserve">Repeal the heading, substitute: </w:t>
      </w:r>
    </w:p>
    <w:p w14:paraId="2873E2B6" w14:textId="513F2AB7" w:rsidR="000B05A8" w:rsidRPr="00B250C2" w:rsidRDefault="000B05A8" w:rsidP="000B05A8">
      <w:pPr>
        <w:pStyle w:val="ActHead2"/>
        <w:keepNext w:val="0"/>
        <w:keepLines w:val="0"/>
        <w:rPr>
          <w:rStyle w:val="CharPartNo"/>
        </w:rPr>
      </w:pPr>
      <w:bookmarkStart w:id="9" w:name="_Toc140499977"/>
      <w:r w:rsidRPr="00B250C2">
        <w:rPr>
          <w:rStyle w:val="CharPartNo"/>
        </w:rPr>
        <w:t>Part 9—</w:t>
      </w:r>
      <w:bookmarkStart w:id="10" w:name="_Hlk94208535"/>
      <w:r w:rsidRPr="00B250C2">
        <w:rPr>
          <w:rStyle w:val="CharPartNo"/>
        </w:rPr>
        <w:t xml:space="preserve">Grants to support open access to higher education across Australia—Regional University </w:t>
      </w:r>
      <w:bookmarkEnd w:id="9"/>
      <w:bookmarkEnd w:id="10"/>
      <w:r>
        <w:rPr>
          <w:rStyle w:val="CharPartNo"/>
        </w:rPr>
        <w:t>Study Hubs</w:t>
      </w:r>
    </w:p>
    <w:p w14:paraId="7B4CF3E8" w14:textId="395820A9" w:rsidR="009B2006" w:rsidRDefault="005001A3" w:rsidP="009B2006">
      <w:pPr>
        <w:pStyle w:val="ItemHead"/>
      </w:pPr>
      <w:r>
        <w:t>1</w:t>
      </w:r>
      <w:r w:rsidR="00BE2BCB">
        <w:t>3</w:t>
      </w:r>
      <w:r w:rsidR="009B2006">
        <w:t xml:space="preserve"> Subsection 64(1)</w:t>
      </w:r>
    </w:p>
    <w:p w14:paraId="00C6D56B" w14:textId="77777777" w:rsidR="009B2006" w:rsidRDefault="009B2006" w:rsidP="009B2006">
      <w:pPr>
        <w:pStyle w:val="Item"/>
      </w:pPr>
      <w:r>
        <w:t>Omit “Regional University Centres”, insert “Regional University Study Hubs”.</w:t>
      </w:r>
    </w:p>
    <w:p w14:paraId="7469DE7F" w14:textId="14195DD9" w:rsidR="009B2006" w:rsidRDefault="005001A3" w:rsidP="009B2006">
      <w:pPr>
        <w:pStyle w:val="ItemHead"/>
      </w:pPr>
      <w:r>
        <w:t>1</w:t>
      </w:r>
      <w:r w:rsidR="00BE2BCB">
        <w:t>4</w:t>
      </w:r>
      <w:r w:rsidR="009B2006">
        <w:t xml:space="preserve"> Subsection 64(2)</w:t>
      </w:r>
    </w:p>
    <w:p w14:paraId="4748655D" w14:textId="250AFBED" w:rsidR="009B2006" w:rsidRDefault="009B2006" w:rsidP="009B2006">
      <w:pPr>
        <w:pStyle w:val="Item"/>
      </w:pPr>
      <w:r>
        <w:t xml:space="preserve">Repeal subsection 64(2), substitute: </w:t>
      </w:r>
    </w:p>
    <w:p w14:paraId="30DF37AA" w14:textId="05B4F5F2" w:rsidR="009B2006" w:rsidRDefault="009B2006" w:rsidP="009B2006">
      <w:pPr>
        <w:pStyle w:val="subsection"/>
        <w:rPr>
          <w:rFonts w:cs="Arial"/>
          <w:szCs w:val="22"/>
        </w:rPr>
      </w:pPr>
      <w:r w:rsidRPr="00B250C2">
        <w:tab/>
      </w:r>
      <w:r>
        <w:t>(2)</w:t>
      </w:r>
      <w:r w:rsidRPr="00B250C2">
        <w:tab/>
      </w:r>
      <w:r>
        <w:t>The objective of the Regional University Study Hubs Program is to provide financial assistance to community-based bodies corporate in regional and remote areas of Australia, to enable them to establish and maintain regional university study hubs in regional areas that support local students.</w:t>
      </w:r>
    </w:p>
    <w:p w14:paraId="29CBCC52" w14:textId="5B69B929" w:rsidR="009B2006" w:rsidRDefault="005001A3" w:rsidP="009B2006">
      <w:pPr>
        <w:pStyle w:val="ItemHead"/>
      </w:pPr>
      <w:r>
        <w:t>1</w:t>
      </w:r>
      <w:r w:rsidR="00BE2BCB">
        <w:t>5</w:t>
      </w:r>
      <w:r w:rsidR="009B2006">
        <w:t xml:space="preserve"> Subsection 66(1)</w:t>
      </w:r>
    </w:p>
    <w:p w14:paraId="0A6A3F2F" w14:textId="24880B5B" w:rsidR="009B2006" w:rsidRDefault="002244E1" w:rsidP="009B2006">
      <w:pPr>
        <w:pStyle w:val="Item"/>
      </w:pPr>
      <w:r>
        <w:t>Repeal</w:t>
      </w:r>
      <w:r w:rsidR="009B2006">
        <w:t xml:space="preserve"> </w:t>
      </w:r>
      <w:r>
        <w:t xml:space="preserve">subsection 66(1), substitute: </w:t>
      </w:r>
    </w:p>
    <w:p w14:paraId="20875568" w14:textId="3085AA69" w:rsidR="002244E1" w:rsidRDefault="002244E1" w:rsidP="002244E1">
      <w:pPr>
        <w:pStyle w:val="subsection"/>
        <w:rPr>
          <w:i/>
          <w:iCs/>
        </w:rPr>
      </w:pPr>
      <w:r>
        <w:rPr>
          <w:i/>
          <w:iCs/>
        </w:rPr>
        <w:t>Grant to be used to establish and operate a Regional University Study Hub</w:t>
      </w:r>
    </w:p>
    <w:p w14:paraId="02E4338D" w14:textId="61825F07" w:rsidR="002244E1" w:rsidRDefault="002244E1" w:rsidP="002244E1">
      <w:pPr>
        <w:pStyle w:val="subsection"/>
      </w:pPr>
      <w:r>
        <w:tab/>
        <w:t>(1)</w:t>
      </w:r>
      <w:r>
        <w:tab/>
        <w:t>A grant under the Regional University Study Hubs Program must only be used to establish, operate and maintain a facility in, and to provide services from, a location in a Remoteness Area categorised under the ABS Remoteness Structure as Inner Regional Australia, Outer Regional Australia, Remote Australia or Very Remote Australia.</w:t>
      </w:r>
    </w:p>
    <w:p w14:paraId="38353D0E" w14:textId="77777777" w:rsidR="009B2006" w:rsidRPr="00B250C2" w:rsidRDefault="009B2006" w:rsidP="00345520">
      <w:pPr>
        <w:pStyle w:val="subsection"/>
        <w:rPr>
          <w:rFonts w:cs="Arial"/>
          <w:szCs w:val="22"/>
        </w:rPr>
      </w:pPr>
    </w:p>
    <w:sectPr w:rsidR="009B2006" w:rsidRPr="00B250C2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DA6C" w14:textId="77777777" w:rsidR="001F43EA" w:rsidRDefault="001F43EA" w:rsidP="0048364F">
      <w:pPr>
        <w:spacing w:line="240" w:lineRule="auto"/>
      </w:pPr>
      <w:r>
        <w:separator/>
      </w:r>
    </w:p>
  </w:endnote>
  <w:endnote w:type="continuationSeparator" w:id="0">
    <w:p w14:paraId="2405C492" w14:textId="77777777" w:rsidR="001F43EA" w:rsidRDefault="001F43E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2C00A52" w14:textId="77777777" w:rsidTr="0001176A">
      <w:tc>
        <w:tcPr>
          <w:tcW w:w="5000" w:type="pct"/>
        </w:tcPr>
        <w:p w14:paraId="463678AB" w14:textId="77777777" w:rsidR="009278C1" w:rsidRDefault="009278C1" w:rsidP="0001176A">
          <w:pPr>
            <w:rPr>
              <w:sz w:val="18"/>
            </w:rPr>
          </w:pPr>
        </w:p>
      </w:tc>
    </w:tr>
  </w:tbl>
  <w:p w14:paraId="0C58A93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0722E5" w14:textId="77777777" w:rsidTr="00C160A1">
      <w:tc>
        <w:tcPr>
          <w:tcW w:w="5000" w:type="pct"/>
        </w:tcPr>
        <w:p w14:paraId="674FD0B8" w14:textId="77777777" w:rsidR="00B20990" w:rsidRDefault="00B20990" w:rsidP="007946FE">
          <w:pPr>
            <w:rPr>
              <w:sz w:val="18"/>
            </w:rPr>
          </w:pPr>
        </w:p>
      </w:tc>
    </w:tr>
  </w:tbl>
  <w:p w14:paraId="38D2954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C84E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4A863FA" w14:textId="77777777" w:rsidTr="00C160A1">
      <w:tc>
        <w:tcPr>
          <w:tcW w:w="5000" w:type="pct"/>
        </w:tcPr>
        <w:p w14:paraId="67842C67" w14:textId="77777777" w:rsidR="00B20990" w:rsidRDefault="00B20990" w:rsidP="00465764">
          <w:pPr>
            <w:rPr>
              <w:sz w:val="18"/>
            </w:rPr>
          </w:pPr>
        </w:p>
      </w:tc>
    </w:tr>
  </w:tbl>
  <w:p w14:paraId="5B1051A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C4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35B580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D080C0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8C2D0D1" w14:textId="76D09E35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44F24">
            <w:rPr>
              <w:i/>
              <w:noProof/>
              <w:sz w:val="18"/>
            </w:rPr>
            <w:t>Higher Education Support (Other Grants) Amendment (Disability Support Programs, Women in STEM and Regional University Study Hubs)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4D1E56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387A10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4D88D8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53A8713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373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2464D7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F3941C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29C6918" w14:textId="3B67B7B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16CC">
            <w:rPr>
              <w:i/>
              <w:noProof/>
              <w:sz w:val="18"/>
            </w:rPr>
            <w:t>Higher Education Support (Other Grants) Amendment (Disability Support Programs, Women in STEM and Regional University Study Hubs)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78B1B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5D92007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E177B11" w14:textId="77777777" w:rsidR="00B20990" w:rsidRDefault="00B20990" w:rsidP="007946FE">
          <w:pPr>
            <w:rPr>
              <w:sz w:val="18"/>
            </w:rPr>
          </w:pPr>
        </w:p>
      </w:tc>
    </w:tr>
  </w:tbl>
  <w:p w14:paraId="25AE991E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046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BC9F39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4BECDF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CAD29E" w14:textId="0397E8C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16CC">
            <w:rPr>
              <w:i/>
              <w:noProof/>
              <w:sz w:val="18"/>
            </w:rPr>
            <w:t>Higher Education Support (Other Grants) Amendment (Disability Support Programs, Women in STEM and Regional University Study Hubs)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1FEECA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A470DE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92229F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2ECE5C2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C26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60D9664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F3F83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85AB1F" w14:textId="04A1A32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B16CC">
            <w:rPr>
              <w:i/>
              <w:noProof/>
              <w:sz w:val="18"/>
            </w:rPr>
            <w:t>Higher Education Support (Other Grants) Amendment (Disability Support Programs, Women in STEM and Regional University Study Hubs) Guidelines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02A1F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AB2AC78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4F63C2" w14:textId="77777777" w:rsidR="00EE57E8" w:rsidRDefault="00EE57E8" w:rsidP="00EE57E8">
          <w:pPr>
            <w:rPr>
              <w:sz w:val="18"/>
            </w:rPr>
          </w:pPr>
        </w:p>
      </w:tc>
    </w:tr>
  </w:tbl>
  <w:p w14:paraId="738F4AC4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180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A24E4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FEA52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2C1E1" w14:textId="7701C67E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44F2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A4A03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4881D8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A17813" w14:textId="03B350C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44F24">
            <w:rPr>
              <w:i/>
              <w:noProof/>
              <w:sz w:val="18"/>
            </w:rPr>
            <w:t>C:\Users\JM4227\Downloads\Attachment A - Higher Education Support (Other Grants) Amendment (Disability Support Programs Women in STEM and Reg - filed (3).docx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44F24">
            <w:rPr>
              <w:i/>
              <w:noProof/>
              <w:sz w:val="18"/>
            </w:rPr>
            <w:t>27/11/2023 12:55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E2DAA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ED44" w14:textId="77777777" w:rsidR="001F43EA" w:rsidRDefault="001F43EA" w:rsidP="0048364F">
      <w:pPr>
        <w:spacing w:line="240" w:lineRule="auto"/>
      </w:pPr>
      <w:r>
        <w:separator/>
      </w:r>
    </w:p>
  </w:footnote>
  <w:footnote w:type="continuationSeparator" w:id="0">
    <w:p w14:paraId="5E596580" w14:textId="77777777" w:rsidR="001F43EA" w:rsidRDefault="001F43E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6F35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E0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AA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990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B2C0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B25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1528" w14:textId="77777777" w:rsidR="00EE57E8" w:rsidRPr="00A961C4" w:rsidRDefault="00EE57E8" w:rsidP="0048364F">
    <w:pPr>
      <w:rPr>
        <w:b/>
        <w:sz w:val="20"/>
      </w:rPr>
    </w:pPr>
  </w:p>
  <w:p w14:paraId="5DB883DC" w14:textId="77777777" w:rsidR="00EE57E8" w:rsidRPr="00A961C4" w:rsidRDefault="00EE57E8" w:rsidP="0048364F">
    <w:pPr>
      <w:rPr>
        <w:b/>
        <w:sz w:val="20"/>
      </w:rPr>
    </w:pPr>
  </w:p>
  <w:p w14:paraId="0AA7711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AED9" w14:textId="77777777" w:rsidR="00EE57E8" w:rsidRPr="00A961C4" w:rsidRDefault="00EE57E8" w:rsidP="0048364F">
    <w:pPr>
      <w:jc w:val="right"/>
      <w:rPr>
        <w:sz w:val="20"/>
      </w:rPr>
    </w:pPr>
  </w:p>
  <w:p w14:paraId="401A65EB" w14:textId="77777777" w:rsidR="00EE57E8" w:rsidRPr="00A961C4" w:rsidRDefault="00EE57E8" w:rsidP="0048364F">
    <w:pPr>
      <w:jc w:val="right"/>
      <w:rPr>
        <w:b/>
        <w:sz w:val="20"/>
      </w:rPr>
    </w:pPr>
  </w:p>
  <w:p w14:paraId="4FC4ACD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327249406">
    <w:abstractNumId w:val="9"/>
  </w:num>
  <w:num w:numId="2" w16cid:durableId="2036153477">
    <w:abstractNumId w:val="7"/>
  </w:num>
  <w:num w:numId="3" w16cid:durableId="1591154314">
    <w:abstractNumId w:val="6"/>
  </w:num>
  <w:num w:numId="4" w16cid:durableId="1684935538">
    <w:abstractNumId w:val="5"/>
  </w:num>
  <w:num w:numId="5" w16cid:durableId="58334693">
    <w:abstractNumId w:val="4"/>
  </w:num>
  <w:num w:numId="6" w16cid:durableId="643848059">
    <w:abstractNumId w:val="8"/>
  </w:num>
  <w:num w:numId="7" w16cid:durableId="1432625200">
    <w:abstractNumId w:val="3"/>
  </w:num>
  <w:num w:numId="8" w16cid:durableId="464935024">
    <w:abstractNumId w:val="2"/>
  </w:num>
  <w:num w:numId="9" w16cid:durableId="2137790358">
    <w:abstractNumId w:val="1"/>
  </w:num>
  <w:num w:numId="10" w16cid:durableId="564416971">
    <w:abstractNumId w:val="0"/>
  </w:num>
  <w:num w:numId="11" w16cid:durableId="1556313467">
    <w:abstractNumId w:val="12"/>
  </w:num>
  <w:num w:numId="12" w16cid:durableId="2139295678">
    <w:abstractNumId w:val="10"/>
  </w:num>
  <w:num w:numId="13" w16cid:durableId="1889999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15"/>
    <w:rsid w:val="00000263"/>
    <w:rsid w:val="000113BC"/>
    <w:rsid w:val="000136AF"/>
    <w:rsid w:val="000374DF"/>
    <w:rsid w:val="0004044E"/>
    <w:rsid w:val="0005120E"/>
    <w:rsid w:val="00054577"/>
    <w:rsid w:val="000614BF"/>
    <w:rsid w:val="00066077"/>
    <w:rsid w:val="0007169C"/>
    <w:rsid w:val="00075E6B"/>
    <w:rsid w:val="00077593"/>
    <w:rsid w:val="00083F48"/>
    <w:rsid w:val="000A479A"/>
    <w:rsid w:val="000A7DF9"/>
    <w:rsid w:val="000B05A8"/>
    <w:rsid w:val="000D05EF"/>
    <w:rsid w:val="000D3FB9"/>
    <w:rsid w:val="000D5485"/>
    <w:rsid w:val="000E598E"/>
    <w:rsid w:val="000E5A3D"/>
    <w:rsid w:val="000F0ADA"/>
    <w:rsid w:val="000F21C1"/>
    <w:rsid w:val="001008F7"/>
    <w:rsid w:val="00104AEF"/>
    <w:rsid w:val="0010745C"/>
    <w:rsid w:val="001122FF"/>
    <w:rsid w:val="00160BD7"/>
    <w:rsid w:val="001643C9"/>
    <w:rsid w:val="00165568"/>
    <w:rsid w:val="00166082"/>
    <w:rsid w:val="00166C2F"/>
    <w:rsid w:val="001716C9"/>
    <w:rsid w:val="00171F52"/>
    <w:rsid w:val="00184261"/>
    <w:rsid w:val="00193461"/>
    <w:rsid w:val="001939E1"/>
    <w:rsid w:val="0019452E"/>
    <w:rsid w:val="00195382"/>
    <w:rsid w:val="00196590"/>
    <w:rsid w:val="001A3B9F"/>
    <w:rsid w:val="001A5520"/>
    <w:rsid w:val="001A65C0"/>
    <w:rsid w:val="001B44C2"/>
    <w:rsid w:val="001B6E08"/>
    <w:rsid w:val="001B7A5D"/>
    <w:rsid w:val="001C69C4"/>
    <w:rsid w:val="001E0A8D"/>
    <w:rsid w:val="001E3590"/>
    <w:rsid w:val="001E7407"/>
    <w:rsid w:val="001F1A46"/>
    <w:rsid w:val="001F43EA"/>
    <w:rsid w:val="00201D27"/>
    <w:rsid w:val="0021153A"/>
    <w:rsid w:val="002244E1"/>
    <w:rsid w:val="002245A6"/>
    <w:rsid w:val="00227A35"/>
    <w:rsid w:val="002302EA"/>
    <w:rsid w:val="00237614"/>
    <w:rsid w:val="00240749"/>
    <w:rsid w:val="002468D7"/>
    <w:rsid w:val="00247E97"/>
    <w:rsid w:val="00256C81"/>
    <w:rsid w:val="00285CDD"/>
    <w:rsid w:val="00291167"/>
    <w:rsid w:val="002919AF"/>
    <w:rsid w:val="0029489E"/>
    <w:rsid w:val="00297ECB"/>
    <w:rsid w:val="002C152A"/>
    <w:rsid w:val="002D043A"/>
    <w:rsid w:val="002E0256"/>
    <w:rsid w:val="0031713F"/>
    <w:rsid w:val="003222D1"/>
    <w:rsid w:val="00325C1D"/>
    <w:rsid w:val="0032750F"/>
    <w:rsid w:val="003415D3"/>
    <w:rsid w:val="003442F6"/>
    <w:rsid w:val="00345520"/>
    <w:rsid w:val="00346335"/>
    <w:rsid w:val="00352B0F"/>
    <w:rsid w:val="003561B0"/>
    <w:rsid w:val="0037440C"/>
    <w:rsid w:val="00397893"/>
    <w:rsid w:val="003A15AC"/>
    <w:rsid w:val="003B0627"/>
    <w:rsid w:val="003C5F2B"/>
    <w:rsid w:val="003C7D35"/>
    <w:rsid w:val="003D0BFE"/>
    <w:rsid w:val="003D25ED"/>
    <w:rsid w:val="003D5700"/>
    <w:rsid w:val="003F6F52"/>
    <w:rsid w:val="004022CA"/>
    <w:rsid w:val="004116CD"/>
    <w:rsid w:val="00414ADE"/>
    <w:rsid w:val="00424CA9"/>
    <w:rsid w:val="004257BB"/>
    <w:rsid w:val="0044291A"/>
    <w:rsid w:val="00455976"/>
    <w:rsid w:val="004600B0"/>
    <w:rsid w:val="00460499"/>
    <w:rsid w:val="00460FBA"/>
    <w:rsid w:val="00474835"/>
    <w:rsid w:val="004819C7"/>
    <w:rsid w:val="0048364F"/>
    <w:rsid w:val="004877FC"/>
    <w:rsid w:val="00490F2E"/>
    <w:rsid w:val="00492A2E"/>
    <w:rsid w:val="00496F97"/>
    <w:rsid w:val="004A3532"/>
    <w:rsid w:val="004A53EA"/>
    <w:rsid w:val="004B35E7"/>
    <w:rsid w:val="004B4A7C"/>
    <w:rsid w:val="004B7AFD"/>
    <w:rsid w:val="004D0D0D"/>
    <w:rsid w:val="004D2E46"/>
    <w:rsid w:val="004F1FAC"/>
    <w:rsid w:val="004F3538"/>
    <w:rsid w:val="004F676E"/>
    <w:rsid w:val="004F71C0"/>
    <w:rsid w:val="005001A3"/>
    <w:rsid w:val="00516B8D"/>
    <w:rsid w:val="00525CBD"/>
    <w:rsid w:val="0052756C"/>
    <w:rsid w:val="00530230"/>
    <w:rsid w:val="0053027F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01B3"/>
    <w:rsid w:val="005A5C5E"/>
    <w:rsid w:val="005B1555"/>
    <w:rsid w:val="005B4067"/>
    <w:rsid w:val="005B65CB"/>
    <w:rsid w:val="005B7812"/>
    <w:rsid w:val="005C3F41"/>
    <w:rsid w:val="005C4EF0"/>
    <w:rsid w:val="005D5EA1"/>
    <w:rsid w:val="005D60E2"/>
    <w:rsid w:val="005E095F"/>
    <w:rsid w:val="005E098C"/>
    <w:rsid w:val="005E1F8D"/>
    <w:rsid w:val="005E317F"/>
    <w:rsid w:val="005E61D3"/>
    <w:rsid w:val="00600219"/>
    <w:rsid w:val="006065DA"/>
    <w:rsid w:val="00606AA4"/>
    <w:rsid w:val="006215E1"/>
    <w:rsid w:val="00640402"/>
    <w:rsid w:val="00640F78"/>
    <w:rsid w:val="00654497"/>
    <w:rsid w:val="00655D6A"/>
    <w:rsid w:val="00656DE9"/>
    <w:rsid w:val="00672876"/>
    <w:rsid w:val="00677CC2"/>
    <w:rsid w:val="00685F42"/>
    <w:rsid w:val="0069207B"/>
    <w:rsid w:val="006A304E"/>
    <w:rsid w:val="006B0D9E"/>
    <w:rsid w:val="006B4A39"/>
    <w:rsid w:val="006B7006"/>
    <w:rsid w:val="006C7F8C"/>
    <w:rsid w:val="006D7AB9"/>
    <w:rsid w:val="00700B2C"/>
    <w:rsid w:val="00713084"/>
    <w:rsid w:val="00714186"/>
    <w:rsid w:val="00717463"/>
    <w:rsid w:val="00720FC2"/>
    <w:rsid w:val="00722E89"/>
    <w:rsid w:val="00731E00"/>
    <w:rsid w:val="007339C7"/>
    <w:rsid w:val="00743451"/>
    <w:rsid w:val="007440B7"/>
    <w:rsid w:val="00747993"/>
    <w:rsid w:val="007634AD"/>
    <w:rsid w:val="007715C9"/>
    <w:rsid w:val="00772943"/>
    <w:rsid w:val="00774EDD"/>
    <w:rsid w:val="007757EC"/>
    <w:rsid w:val="00787717"/>
    <w:rsid w:val="007A6863"/>
    <w:rsid w:val="007B3D6E"/>
    <w:rsid w:val="007C3AB8"/>
    <w:rsid w:val="007C78B4"/>
    <w:rsid w:val="007E32B6"/>
    <w:rsid w:val="007E486B"/>
    <w:rsid w:val="007E7D4A"/>
    <w:rsid w:val="007F48ED"/>
    <w:rsid w:val="007F5E3F"/>
    <w:rsid w:val="008044F8"/>
    <w:rsid w:val="00812F45"/>
    <w:rsid w:val="00836FE9"/>
    <w:rsid w:val="0084172C"/>
    <w:rsid w:val="0085175E"/>
    <w:rsid w:val="00854482"/>
    <w:rsid w:val="00856A31"/>
    <w:rsid w:val="00870602"/>
    <w:rsid w:val="008754D0"/>
    <w:rsid w:val="00877C69"/>
    <w:rsid w:val="00877D48"/>
    <w:rsid w:val="0088345B"/>
    <w:rsid w:val="0088583B"/>
    <w:rsid w:val="00890087"/>
    <w:rsid w:val="008A16A5"/>
    <w:rsid w:val="008A5C57"/>
    <w:rsid w:val="008C0629"/>
    <w:rsid w:val="008D0EE0"/>
    <w:rsid w:val="008D7A27"/>
    <w:rsid w:val="008E4702"/>
    <w:rsid w:val="008E69AA"/>
    <w:rsid w:val="008F4F1C"/>
    <w:rsid w:val="00904858"/>
    <w:rsid w:val="009069AD"/>
    <w:rsid w:val="00910E64"/>
    <w:rsid w:val="00922764"/>
    <w:rsid w:val="009278C1"/>
    <w:rsid w:val="00932377"/>
    <w:rsid w:val="00933535"/>
    <w:rsid w:val="009346E3"/>
    <w:rsid w:val="0094523D"/>
    <w:rsid w:val="00976A63"/>
    <w:rsid w:val="009B2006"/>
    <w:rsid w:val="009B2490"/>
    <w:rsid w:val="009B30D6"/>
    <w:rsid w:val="009B50E5"/>
    <w:rsid w:val="009C3431"/>
    <w:rsid w:val="009C4B15"/>
    <w:rsid w:val="009C5989"/>
    <w:rsid w:val="009C6A32"/>
    <w:rsid w:val="009D08DA"/>
    <w:rsid w:val="009F5E36"/>
    <w:rsid w:val="00A06860"/>
    <w:rsid w:val="00A06E74"/>
    <w:rsid w:val="00A136F5"/>
    <w:rsid w:val="00A231E2"/>
    <w:rsid w:val="00A2550D"/>
    <w:rsid w:val="00A379BB"/>
    <w:rsid w:val="00A4169B"/>
    <w:rsid w:val="00A459C1"/>
    <w:rsid w:val="00A46D27"/>
    <w:rsid w:val="00A50D55"/>
    <w:rsid w:val="00A52FDA"/>
    <w:rsid w:val="00A62C4C"/>
    <w:rsid w:val="00A64912"/>
    <w:rsid w:val="00A70A74"/>
    <w:rsid w:val="00A9231A"/>
    <w:rsid w:val="00A95BC7"/>
    <w:rsid w:val="00AA01B9"/>
    <w:rsid w:val="00AA0343"/>
    <w:rsid w:val="00AA78CE"/>
    <w:rsid w:val="00AA7B26"/>
    <w:rsid w:val="00AC6D82"/>
    <w:rsid w:val="00AC767C"/>
    <w:rsid w:val="00AD3467"/>
    <w:rsid w:val="00AD5641"/>
    <w:rsid w:val="00AD6D7D"/>
    <w:rsid w:val="00AE70AE"/>
    <w:rsid w:val="00AF33DB"/>
    <w:rsid w:val="00B032D8"/>
    <w:rsid w:val="00B05D72"/>
    <w:rsid w:val="00B122FC"/>
    <w:rsid w:val="00B20990"/>
    <w:rsid w:val="00B20B64"/>
    <w:rsid w:val="00B23FAF"/>
    <w:rsid w:val="00B33A2F"/>
    <w:rsid w:val="00B33B3C"/>
    <w:rsid w:val="00B40D74"/>
    <w:rsid w:val="00B42649"/>
    <w:rsid w:val="00B46467"/>
    <w:rsid w:val="00B52663"/>
    <w:rsid w:val="00B56DCB"/>
    <w:rsid w:val="00B61728"/>
    <w:rsid w:val="00B6252C"/>
    <w:rsid w:val="00B770D2"/>
    <w:rsid w:val="00B93516"/>
    <w:rsid w:val="00B96776"/>
    <w:rsid w:val="00B973E5"/>
    <w:rsid w:val="00BA47A3"/>
    <w:rsid w:val="00BA5026"/>
    <w:rsid w:val="00BA7B5B"/>
    <w:rsid w:val="00BB6E79"/>
    <w:rsid w:val="00BE2BCB"/>
    <w:rsid w:val="00BE42C5"/>
    <w:rsid w:val="00BE719A"/>
    <w:rsid w:val="00BE720A"/>
    <w:rsid w:val="00BF0723"/>
    <w:rsid w:val="00BF6650"/>
    <w:rsid w:val="00C067E5"/>
    <w:rsid w:val="00C06CC5"/>
    <w:rsid w:val="00C12EF6"/>
    <w:rsid w:val="00C164CA"/>
    <w:rsid w:val="00C26051"/>
    <w:rsid w:val="00C42BF8"/>
    <w:rsid w:val="00C44F24"/>
    <w:rsid w:val="00C460AE"/>
    <w:rsid w:val="00C50043"/>
    <w:rsid w:val="00C5015F"/>
    <w:rsid w:val="00C50A0F"/>
    <w:rsid w:val="00C50F4A"/>
    <w:rsid w:val="00C53E40"/>
    <w:rsid w:val="00C72D10"/>
    <w:rsid w:val="00C7573B"/>
    <w:rsid w:val="00C76CF3"/>
    <w:rsid w:val="00C93205"/>
    <w:rsid w:val="00C945DC"/>
    <w:rsid w:val="00CA63B4"/>
    <w:rsid w:val="00CA7844"/>
    <w:rsid w:val="00CB16CC"/>
    <w:rsid w:val="00CB58EF"/>
    <w:rsid w:val="00CC568E"/>
    <w:rsid w:val="00CE0A93"/>
    <w:rsid w:val="00CF0BB2"/>
    <w:rsid w:val="00D06FF7"/>
    <w:rsid w:val="00D12B0D"/>
    <w:rsid w:val="00D13441"/>
    <w:rsid w:val="00D243A3"/>
    <w:rsid w:val="00D33440"/>
    <w:rsid w:val="00D42DF1"/>
    <w:rsid w:val="00D52EFE"/>
    <w:rsid w:val="00D56A0D"/>
    <w:rsid w:val="00D63EF6"/>
    <w:rsid w:val="00D66518"/>
    <w:rsid w:val="00D70DFB"/>
    <w:rsid w:val="00D71EEA"/>
    <w:rsid w:val="00D735CD"/>
    <w:rsid w:val="00D76435"/>
    <w:rsid w:val="00D766DF"/>
    <w:rsid w:val="00D90841"/>
    <w:rsid w:val="00DA1913"/>
    <w:rsid w:val="00DA2439"/>
    <w:rsid w:val="00DA6F05"/>
    <w:rsid w:val="00DB64FC"/>
    <w:rsid w:val="00DC14BC"/>
    <w:rsid w:val="00DD6015"/>
    <w:rsid w:val="00DE149E"/>
    <w:rsid w:val="00E0104D"/>
    <w:rsid w:val="00E034DB"/>
    <w:rsid w:val="00E05704"/>
    <w:rsid w:val="00E12F1A"/>
    <w:rsid w:val="00E16E8D"/>
    <w:rsid w:val="00E22935"/>
    <w:rsid w:val="00E54292"/>
    <w:rsid w:val="00E60191"/>
    <w:rsid w:val="00E61518"/>
    <w:rsid w:val="00E66CD7"/>
    <w:rsid w:val="00E74DC7"/>
    <w:rsid w:val="00E76975"/>
    <w:rsid w:val="00E87699"/>
    <w:rsid w:val="00E92E27"/>
    <w:rsid w:val="00E9586B"/>
    <w:rsid w:val="00E97334"/>
    <w:rsid w:val="00EB3A99"/>
    <w:rsid w:val="00EB65F8"/>
    <w:rsid w:val="00EC7753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16532"/>
    <w:rsid w:val="00F20B52"/>
    <w:rsid w:val="00F32FCB"/>
    <w:rsid w:val="00F33523"/>
    <w:rsid w:val="00F37A0F"/>
    <w:rsid w:val="00F677A9"/>
    <w:rsid w:val="00F8121C"/>
    <w:rsid w:val="00F84CF5"/>
    <w:rsid w:val="00F8612E"/>
    <w:rsid w:val="00F94583"/>
    <w:rsid w:val="00FA420B"/>
    <w:rsid w:val="00FA4BFE"/>
    <w:rsid w:val="00FA649A"/>
    <w:rsid w:val="00FB084F"/>
    <w:rsid w:val="00FB6AEE"/>
    <w:rsid w:val="00FC3EAC"/>
    <w:rsid w:val="00FD1613"/>
    <w:rsid w:val="00FF39DE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11653"/>
  <w15:docId w15:val="{D2D66AC0-DF6D-4F95-ABDE-C9617445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06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FF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F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FF7"/>
    <w:rPr>
      <w:b/>
      <w:bCs/>
    </w:rPr>
  </w:style>
  <w:style w:type="character" w:customStyle="1" w:styleId="ActHead5Char">
    <w:name w:val="ActHead 5 Char"/>
    <w:aliases w:val="s Char"/>
    <w:basedOn w:val="DefaultParagraphFont"/>
    <w:link w:val="ActHead5"/>
    <w:rsid w:val="00345520"/>
    <w:rPr>
      <w:rFonts w:eastAsia="Times New Roman" w:cs="Times New Roman"/>
      <w:b/>
      <w:kern w:val="28"/>
      <w:sz w:val="24"/>
      <w:lang w:eastAsia="en-AU"/>
    </w:rPr>
  </w:style>
  <w:style w:type="paragraph" w:styleId="Revision">
    <w:name w:val="Revision"/>
    <w:hidden/>
    <w:uiPriority w:val="99"/>
    <w:semiHidden/>
    <w:rsid w:val="007B3D6E"/>
    <w:rPr>
      <w:sz w:val="22"/>
    </w:rPr>
  </w:style>
  <w:style w:type="character" w:styleId="Hyperlink">
    <w:name w:val="Hyperlink"/>
    <w:basedOn w:val="DefaultParagraphFont"/>
    <w:uiPriority w:val="99"/>
    <w:unhideWhenUsed/>
    <w:rsid w:val="00EC7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753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basedOn w:val="DefaultParagraphFont"/>
    <w:link w:val="paragraph"/>
    <w:rsid w:val="005001A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amending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34CBF69-4079-475C-B2A5-755203FDD0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FC4C0BC08D20C4795CA8AC30CD9D32C" ma:contentTypeVersion="" ma:contentTypeDescription="PDMS Document Site Content Type" ma:contentTypeScope="" ma:versionID="de8c67052277fdb6f8bfe8d9b1fd2a2a">
  <xsd:schema xmlns:xsd="http://www.w3.org/2001/XMLSchema" xmlns:xs="http://www.w3.org/2001/XMLSchema" xmlns:p="http://schemas.microsoft.com/office/2006/metadata/properties" xmlns:ns2="234CBF69-4079-475C-B2A5-755203FDD032" targetNamespace="http://schemas.microsoft.com/office/2006/metadata/properties" ma:root="true" ma:fieldsID="1ff6fe422df50149c1d41818ad2481c4" ns2:_="">
    <xsd:import namespace="234CBF69-4079-475C-B2A5-755203FDD03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CBF69-4079-475C-B2A5-755203FDD03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8198-F913-40C9-85ED-DE82B76F2C6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e03ae2bb-584e-48bf-b2f5-44d42683fa49"/>
    <ds:schemaRef ds:uri="574bdbcb-6485-45f2-a4b5-19f5fe8d9456"/>
    <ds:schemaRef ds:uri="234CBF69-4079-475C-B2A5-755203FDD032"/>
  </ds:schemaRefs>
</ds:datastoreItem>
</file>

<file path=customXml/itemProps2.xml><?xml version="1.0" encoding="utf-8"?>
<ds:datastoreItem xmlns:ds="http://schemas.openxmlformats.org/officeDocument/2006/customXml" ds:itemID="{97F0B2A1-1B7D-450F-977E-F93FB530B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4C486-0690-40A3-95BD-1DB3D9128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CBF69-4079-475C-B2A5-755203FDD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68442-0DD3-477E-9E77-4F2FD0D8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template_-_amending_instrument.dotx</Template>
  <TotalTime>0</TotalTime>
  <Pages>8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2</cp:revision>
  <dcterms:created xsi:type="dcterms:W3CDTF">2023-11-27T01:56:00Z</dcterms:created>
  <dcterms:modified xsi:type="dcterms:W3CDTF">2023-11-27T01:56:00Z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2023-04-05T00:32:23Z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417487f2-5dae-45b5-9faa-d61d52271089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0x010100266966F133664895A6EE3632470D45F5007FC4C0BC08D20C4795CA8AC30CD9D32C</vt:lpwstr>
  </property>
</Properties>
</file>